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11426">
      <w:pPr>
        <w:tabs>
          <w:tab w:val="left" w:pos="5580"/>
        </w:tabs>
        <w:spacing w:line="360" w:lineRule="auto"/>
        <w:jc w:val="center"/>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 xml:space="preserve">                                         </w:t>
      </w:r>
    </w:p>
    <w:p w14:paraId="2A40CEA7">
      <w:pPr>
        <w:snapToGrid w:val="0"/>
        <w:spacing w:line="360" w:lineRule="auto"/>
        <w:jc w:val="center"/>
        <w:rPr>
          <w:rFonts w:asciiTheme="minorEastAsia" w:hAnsiTheme="minorEastAsia" w:eastAsiaTheme="minorEastAsia"/>
          <w:b/>
          <w:color w:val="auto"/>
          <w:sz w:val="40"/>
          <w:szCs w:val="40"/>
          <w:highlight w:val="none"/>
        </w:rPr>
      </w:pPr>
      <w:bookmarkStart w:id="0" w:name="_Hlt162751967"/>
      <w:bookmarkEnd w:id="0"/>
    </w:p>
    <w:p w14:paraId="14246371">
      <w:pPr>
        <w:pStyle w:val="29"/>
        <w:spacing w:line="480" w:lineRule="auto"/>
        <w:jc w:val="center"/>
        <w:rPr>
          <w:rFonts w:hint="eastAsia" w:asciiTheme="minorEastAsia" w:hAnsiTheme="minorEastAsia" w:eastAsiaTheme="minorEastAsia"/>
          <w:b/>
          <w:color w:val="auto"/>
          <w:kern w:val="0"/>
          <w:sz w:val="52"/>
          <w:szCs w:val="52"/>
          <w:highlight w:val="none"/>
          <w:lang w:eastAsia="zh-CN"/>
        </w:rPr>
      </w:pPr>
      <w:r>
        <w:rPr>
          <w:rFonts w:hint="eastAsia" w:asciiTheme="minorEastAsia" w:hAnsiTheme="minorEastAsia" w:eastAsiaTheme="minorEastAsia"/>
          <w:b/>
          <w:color w:val="auto"/>
          <w:kern w:val="0"/>
          <w:sz w:val="52"/>
          <w:szCs w:val="52"/>
          <w:highlight w:val="none"/>
          <w:lang w:eastAsia="zh-CN"/>
        </w:rPr>
        <w:t>新城派出所院内翻新改造</w:t>
      </w:r>
    </w:p>
    <w:p w14:paraId="48C41E59">
      <w:pPr>
        <w:pStyle w:val="29"/>
        <w:spacing w:line="480" w:lineRule="auto"/>
        <w:jc w:val="center"/>
        <w:rPr>
          <w:rFonts w:asciiTheme="minorEastAsia" w:hAnsiTheme="minorEastAsia" w:eastAsiaTheme="minorEastAsia"/>
          <w:color w:val="auto"/>
          <w:sz w:val="52"/>
          <w:szCs w:val="52"/>
          <w:highlight w:val="none"/>
        </w:rPr>
      </w:pPr>
    </w:p>
    <w:p w14:paraId="1EF7EEDC">
      <w:pPr>
        <w:jc w:val="center"/>
        <w:rPr>
          <w:color w:val="auto"/>
          <w:highlight w:val="none"/>
        </w:rPr>
      </w:pPr>
    </w:p>
    <w:p w14:paraId="0BDD5D1F">
      <w:pPr>
        <w:jc w:val="center"/>
        <w:rPr>
          <w:color w:val="auto"/>
          <w:highlight w:val="none"/>
        </w:rPr>
      </w:pPr>
    </w:p>
    <w:p w14:paraId="28098141">
      <w:pPr>
        <w:spacing w:line="360" w:lineRule="auto"/>
        <w:jc w:val="center"/>
        <w:rPr>
          <w:rFonts w:asciiTheme="minorEastAsia" w:hAnsiTheme="minorEastAsia" w:eastAsiaTheme="minorEastAsia"/>
          <w:b/>
          <w:color w:val="auto"/>
          <w:sz w:val="44"/>
          <w:szCs w:val="44"/>
          <w:highlight w:val="none"/>
        </w:rPr>
      </w:pPr>
    </w:p>
    <w:p w14:paraId="51A952D0">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竞 争 性 磋 商</w:t>
      </w:r>
    </w:p>
    <w:p w14:paraId="7DC8E6AC">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14:paraId="77D64CED">
      <w:pPr>
        <w:pStyle w:val="29"/>
        <w:spacing w:line="480" w:lineRule="auto"/>
        <w:jc w:val="center"/>
        <w:rPr>
          <w:rFonts w:asciiTheme="minorEastAsia" w:hAnsiTheme="minorEastAsia" w:eastAsiaTheme="minorEastAsia"/>
          <w:color w:val="auto"/>
          <w:sz w:val="52"/>
          <w:szCs w:val="52"/>
          <w:highlight w:val="none"/>
        </w:rPr>
      </w:pPr>
    </w:p>
    <w:p w14:paraId="1CF52EC8">
      <w:pPr>
        <w:pStyle w:val="29"/>
        <w:spacing w:line="480" w:lineRule="auto"/>
        <w:jc w:val="center"/>
        <w:rPr>
          <w:rFonts w:asciiTheme="minorEastAsia" w:hAnsiTheme="minorEastAsia" w:eastAsiaTheme="minorEastAsia"/>
          <w:color w:val="auto"/>
          <w:sz w:val="52"/>
          <w:szCs w:val="52"/>
          <w:highlight w:val="none"/>
        </w:rPr>
      </w:pPr>
    </w:p>
    <w:p w14:paraId="4B23CB28">
      <w:pPr>
        <w:pStyle w:val="29"/>
        <w:spacing w:line="480" w:lineRule="auto"/>
        <w:jc w:val="center"/>
        <w:rPr>
          <w:rFonts w:asciiTheme="minorEastAsia" w:hAnsiTheme="minorEastAsia" w:eastAsiaTheme="minorEastAsia"/>
          <w:color w:val="auto"/>
          <w:sz w:val="52"/>
          <w:szCs w:val="52"/>
          <w:highlight w:val="none"/>
        </w:rPr>
      </w:pPr>
    </w:p>
    <w:p w14:paraId="5C42E33A">
      <w:pPr>
        <w:pStyle w:val="29"/>
        <w:spacing w:line="480" w:lineRule="auto"/>
        <w:rPr>
          <w:rFonts w:asciiTheme="minorEastAsia" w:hAnsiTheme="minorEastAsia" w:eastAsiaTheme="minorEastAsia"/>
          <w:color w:val="auto"/>
          <w:sz w:val="52"/>
          <w:szCs w:val="52"/>
          <w:highlight w:val="none"/>
        </w:rPr>
      </w:pPr>
    </w:p>
    <w:p w14:paraId="5E2EFA95">
      <w:pPr>
        <w:spacing w:line="360" w:lineRule="auto"/>
        <w:ind w:firstLine="855" w:firstLineChars="300"/>
        <w:jc w:val="center"/>
        <w:rPr>
          <w:rFonts w:asciiTheme="minorEastAsia" w:hAnsiTheme="minorEastAsia" w:eastAsiaTheme="minorEastAsia"/>
          <w:bCs/>
          <w:color w:val="auto"/>
          <w:w w:val="95"/>
          <w:kern w:val="2"/>
          <w:sz w:val="30"/>
          <w:szCs w:val="30"/>
          <w:highlight w:val="none"/>
        </w:rPr>
      </w:pPr>
    </w:p>
    <w:p w14:paraId="465CB24B">
      <w:pPr>
        <w:spacing w:line="360" w:lineRule="auto"/>
        <w:ind w:firstLine="855" w:firstLineChars="300"/>
        <w:rPr>
          <w:rFonts w:hint="eastAsia" w:asciiTheme="minorEastAsia" w:hAnsiTheme="minorEastAsia" w:eastAsiaTheme="minorEastAsia"/>
          <w:bCs/>
          <w:color w:val="auto"/>
          <w:w w:val="95"/>
          <w:kern w:val="2"/>
          <w:sz w:val="30"/>
          <w:szCs w:val="30"/>
          <w:highlight w:val="none"/>
          <w:lang w:eastAsia="zh-CN"/>
        </w:rPr>
      </w:pPr>
      <w:r>
        <w:rPr>
          <w:rFonts w:hint="eastAsia" w:asciiTheme="minorEastAsia" w:hAnsiTheme="minorEastAsia" w:eastAsiaTheme="minorEastAsia"/>
          <w:bCs/>
          <w:color w:val="auto"/>
          <w:w w:val="95"/>
          <w:kern w:val="2"/>
          <w:sz w:val="30"/>
          <w:szCs w:val="30"/>
          <w:highlight w:val="none"/>
        </w:rPr>
        <w:t>项目编号：</w:t>
      </w:r>
      <w:r>
        <w:rPr>
          <w:rFonts w:hint="eastAsia" w:asciiTheme="minorEastAsia" w:hAnsiTheme="minorEastAsia" w:eastAsiaTheme="minorEastAsia"/>
          <w:bCs/>
          <w:color w:val="auto"/>
          <w:w w:val="95"/>
          <w:kern w:val="2"/>
          <w:sz w:val="30"/>
          <w:szCs w:val="30"/>
          <w:highlight w:val="none"/>
          <w:lang w:eastAsia="zh-CN"/>
        </w:rPr>
        <w:t>银建-JXYJ（2025）28号</w:t>
      </w:r>
    </w:p>
    <w:p w14:paraId="3D18DDB4">
      <w:pPr>
        <w:spacing w:line="360" w:lineRule="auto"/>
        <w:ind w:firstLine="855" w:firstLineChars="300"/>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采购单位：嘉兴市秀洲区人民政府新城街道办事处</w:t>
      </w:r>
    </w:p>
    <w:p w14:paraId="1E06DE9C">
      <w:pPr>
        <w:spacing w:line="360" w:lineRule="auto"/>
        <w:ind w:firstLine="855" w:firstLineChars="300"/>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代理机构：嘉兴市银建工程咨询评估有限公司</w:t>
      </w:r>
    </w:p>
    <w:p w14:paraId="23F854AC">
      <w:pPr>
        <w:spacing w:line="360" w:lineRule="auto"/>
        <w:ind w:firstLine="855" w:firstLineChars="300"/>
        <w:jc w:val="center"/>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202</w:t>
      </w:r>
      <w:r>
        <w:rPr>
          <w:rFonts w:hint="eastAsia" w:asciiTheme="minorEastAsia" w:hAnsiTheme="minorEastAsia" w:eastAsiaTheme="minorEastAsia"/>
          <w:bCs/>
          <w:color w:val="auto"/>
          <w:w w:val="95"/>
          <w:kern w:val="2"/>
          <w:sz w:val="30"/>
          <w:szCs w:val="30"/>
          <w:highlight w:val="none"/>
          <w:lang w:val="en-US" w:eastAsia="zh-CN"/>
        </w:rPr>
        <w:t>5</w:t>
      </w:r>
      <w:r>
        <w:rPr>
          <w:rFonts w:hint="eastAsia" w:asciiTheme="minorEastAsia" w:hAnsiTheme="minorEastAsia" w:eastAsiaTheme="minorEastAsia"/>
          <w:bCs/>
          <w:color w:val="auto"/>
          <w:w w:val="95"/>
          <w:kern w:val="2"/>
          <w:sz w:val="30"/>
          <w:szCs w:val="30"/>
          <w:highlight w:val="none"/>
        </w:rPr>
        <w:t>年</w:t>
      </w:r>
      <w:r>
        <w:rPr>
          <w:rFonts w:hint="eastAsia" w:asciiTheme="minorEastAsia" w:hAnsiTheme="minorEastAsia" w:eastAsiaTheme="minorEastAsia"/>
          <w:bCs/>
          <w:color w:val="auto"/>
          <w:w w:val="95"/>
          <w:kern w:val="2"/>
          <w:sz w:val="30"/>
          <w:szCs w:val="30"/>
          <w:highlight w:val="none"/>
          <w:lang w:val="en-US" w:eastAsia="zh-CN"/>
        </w:rPr>
        <w:t>6</w:t>
      </w:r>
      <w:r>
        <w:rPr>
          <w:rFonts w:hint="eastAsia" w:asciiTheme="minorEastAsia" w:hAnsiTheme="minorEastAsia" w:eastAsiaTheme="minorEastAsia"/>
          <w:bCs/>
          <w:color w:val="auto"/>
          <w:w w:val="95"/>
          <w:kern w:val="2"/>
          <w:sz w:val="30"/>
          <w:szCs w:val="30"/>
          <w:highlight w:val="none"/>
        </w:rPr>
        <w:t>月</w:t>
      </w:r>
      <w:r>
        <w:rPr>
          <w:rFonts w:hint="eastAsia" w:asciiTheme="minorEastAsia" w:hAnsiTheme="minorEastAsia" w:eastAsiaTheme="minorEastAsia"/>
          <w:bCs/>
          <w:color w:val="auto"/>
          <w:w w:val="95"/>
          <w:kern w:val="2"/>
          <w:sz w:val="30"/>
          <w:szCs w:val="30"/>
          <w:highlight w:val="none"/>
          <w:lang w:val="en-US" w:eastAsia="zh-CN"/>
        </w:rPr>
        <w:t>24</w:t>
      </w:r>
      <w:r>
        <w:rPr>
          <w:rFonts w:hint="eastAsia" w:asciiTheme="minorEastAsia" w:hAnsiTheme="minorEastAsia" w:eastAsiaTheme="minorEastAsia"/>
          <w:bCs/>
          <w:color w:val="auto"/>
          <w:w w:val="95"/>
          <w:kern w:val="2"/>
          <w:sz w:val="30"/>
          <w:szCs w:val="30"/>
          <w:highlight w:val="none"/>
        </w:rPr>
        <w:t>日</w:t>
      </w:r>
    </w:p>
    <w:p w14:paraId="70EB1970">
      <w:pPr>
        <w:spacing w:line="360" w:lineRule="auto"/>
        <w:rPr>
          <w:rFonts w:asciiTheme="minorEastAsia" w:hAnsiTheme="minorEastAsia" w:eastAsiaTheme="minorEastAsia"/>
          <w:b/>
          <w:bCs/>
          <w:color w:val="auto"/>
          <w:w w:val="95"/>
          <w:kern w:val="2"/>
          <w:sz w:val="30"/>
          <w:szCs w:val="30"/>
          <w:highlight w:val="none"/>
        </w:rPr>
      </w:pPr>
      <w:r>
        <w:rPr>
          <w:rFonts w:asciiTheme="minorEastAsia" w:hAnsiTheme="minorEastAsia" w:eastAsiaTheme="minorEastAsia"/>
          <w:b/>
          <w:bCs/>
          <w:color w:val="auto"/>
          <w:w w:val="95"/>
          <w:kern w:val="2"/>
          <w:sz w:val="30"/>
          <w:szCs w:val="30"/>
          <w:highlight w:val="none"/>
        </w:rPr>
        <w:t xml:space="preserve">                                </w:t>
      </w:r>
    </w:p>
    <w:p w14:paraId="5759131F">
      <w:pPr>
        <w:spacing w:line="360" w:lineRule="auto"/>
        <w:rPr>
          <w:rFonts w:asciiTheme="minorEastAsia" w:hAnsiTheme="minorEastAsia" w:eastAsiaTheme="minorEastAsia"/>
          <w:color w:val="auto"/>
          <w:szCs w:val="21"/>
          <w:highlight w:val="none"/>
        </w:rPr>
      </w:pPr>
    </w:p>
    <w:p w14:paraId="0F8450E1">
      <w:pPr>
        <w:rPr>
          <w:rFonts w:hint="eastAsia" w:asciiTheme="minorEastAsia" w:hAnsiTheme="minorEastAsia" w:eastAsiaTheme="minorEastAsia"/>
          <w:b/>
          <w:bCs/>
          <w:color w:val="auto"/>
          <w:kern w:val="44"/>
          <w:sz w:val="44"/>
          <w:szCs w:val="44"/>
          <w:highlight w:val="none"/>
          <w:lang w:val="zh-CN"/>
        </w:rPr>
      </w:pPr>
      <w:r>
        <w:rPr>
          <w:rFonts w:hint="eastAsia" w:asciiTheme="minorEastAsia" w:hAnsiTheme="minorEastAsia" w:eastAsiaTheme="minorEastAsia"/>
          <w:b/>
          <w:bCs/>
          <w:color w:val="auto"/>
          <w:kern w:val="44"/>
          <w:sz w:val="44"/>
          <w:szCs w:val="44"/>
          <w:highlight w:val="none"/>
          <w:lang w:val="zh-CN"/>
        </w:rPr>
        <w:br w:type="page"/>
      </w:r>
    </w:p>
    <w:p w14:paraId="775EA2CD">
      <w:pPr>
        <w:jc w:val="center"/>
        <w:rPr>
          <w:rFonts w:asciiTheme="minorEastAsia" w:hAnsiTheme="minorEastAsia" w:eastAsiaTheme="minorEastAsia"/>
          <w:b/>
          <w:bCs/>
          <w:color w:val="auto"/>
          <w:kern w:val="44"/>
          <w:sz w:val="44"/>
          <w:szCs w:val="44"/>
          <w:highlight w:val="none"/>
          <w:lang w:val="zh-CN"/>
        </w:rPr>
      </w:pPr>
      <w:r>
        <w:rPr>
          <w:rFonts w:hint="eastAsia" w:asciiTheme="minorEastAsia" w:hAnsiTheme="minorEastAsia" w:eastAsiaTheme="minorEastAsia"/>
          <w:b/>
          <w:bCs/>
          <w:color w:val="auto"/>
          <w:kern w:val="44"/>
          <w:sz w:val="44"/>
          <w:szCs w:val="44"/>
          <w:highlight w:val="none"/>
          <w:lang w:val="zh-CN"/>
        </w:rPr>
        <w:t>目  录</w:t>
      </w:r>
    </w:p>
    <w:p w14:paraId="3BC0D675">
      <w:pPr>
        <w:pStyle w:val="29"/>
        <w:spacing w:before="156" w:beforeLines="50" w:line="360" w:lineRule="auto"/>
        <w:rPr>
          <w:rFonts w:asciiTheme="minorEastAsia" w:hAnsiTheme="minorEastAsia" w:eastAsiaTheme="minorEastAsia"/>
          <w:b/>
          <w:color w:val="auto"/>
          <w:sz w:val="32"/>
          <w:szCs w:val="32"/>
          <w:highlight w:val="none"/>
        </w:rPr>
      </w:pPr>
    </w:p>
    <w:p w14:paraId="7B5FCF36">
      <w:pPr>
        <w:pStyle w:val="37"/>
        <w:tabs>
          <w:tab w:val="right" w:leader="dot" w:pos="9638"/>
        </w:tabs>
        <w:rPr>
          <w:color w:val="auto"/>
          <w:highlight w:val="none"/>
        </w:rPr>
      </w:pPr>
      <w:r>
        <w:rPr>
          <w:rFonts w:hint="eastAsia" w:asciiTheme="minorEastAsia" w:hAnsiTheme="minorEastAsia" w:eastAsiaTheme="minorEastAsia"/>
          <w:b w:val="0"/>
          <w:bCs w:val="0"/>
          <w:caps w:val="0"/>
          <w:color w:val="auto"/>
          <w:kern w:val="2"/>
          <w:sz w:val="28"/>
          <w:szCs w:val="28"/>
          <w:highlight w:val="none"/>
        </w:rPr>
        <w:fldChar w:fldCharType="begin"/>
      </w:r>
      <w:r>
        <w:rPr>
          <w:rStyle w:val="65"/>
          <w:rFonts w:hint="eastAsia" w:asciiTheme="minorEastAsia" w:hAnsiTheme="minorEastAsia" w:eastAsiaTheme="minorEastAsia"/>
          <w:b w:val="0"/>
          <w:bCs w:val="0"/>
          <w:caps w:val="0"/>
          <w:color w:val="auto"/>
          <w:kern w:val="2"/>
          <w:sz w:val="28"/>
          <w:szCs w:val="28"/>
          <w:highlight w:val="none"/>
        </w:rPr>
        <w:instrText xml:space="preserve"> TOC \o "1-1" \h \z \u </w:instrText>
      </w:r>
      <w:r>
        <w:rPr>
          <w:rFonts w:hint="eastAsia" w:asciiTheme="minorEastAsia" w:hAnsiTheme="minorEastAsia" w:eastAsiaTheme="minorEastAsia"/>
          <w:b w:val="0"/>
          <w:bCs w:val="0"/>
          <w:caps w:val="0"/>
          <w:color w:val="auto"/>
          <w:kern w:val="2"/>
          <w:sz w:val="28"/>
          <w:szCs w:val="28"/>
          <w:highlight w:val="none"/>
        </w:rPr>
        <w:fldChar w:fldCharType="separate"/>
      </w:r>
      <w:r>
        <w:rPr>
          <w:color w:val="auto"/>
          <w:highlight w:val="none"/>
        </w:rPr>
        <w:fldChar w:fldCharType="begin"/>
      </w:r>
      <w:r>
        <w:rPr>
          <w:color w:val="auto"/>
          <w:highlight w:val="none"/>
        </w:rPr>
        <w:instrText xml:space="preserve"> HYPERLINK \l "_Toc20323" </w:instrText>
      </w:r>
      <w:r>
        <w:rPr>
          <w:color w:val="auto"/>
          <w:highlight w:val="none"/>
        </w:rPr>
        <w:fldChar w:fldCharType="separate"/>
      </w:r>
      <w:r>
        <w:rPr>
          <w:rFonts w:hint="eastAsia" w:asciiTheme="minorEastAsia" w:hAnsiTheme="minorEastAsia" w:eastAsiaTheme="minorEastAsia"/>
          <w:color w:val="auto"/>
          <w:szCs w:val="28"/>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_Toc20323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59500EE">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"_Toc29127" </w:instrText>
      </w:r>
      <w:r>
        <w:rPr>
          <w:color w:val="auto"/>
          <w:highlight w:val="none"/>
        </w:rPr>
        <w:fldChar w:fldCharType="separate"/>
      </w:r>
      <w:r>
        <w:rPr>
          <w:rFonts w:hint="eastAsia" w:asciiTheme="minorEastAsia" w:hAnsiTheme="minorEastAsia" w:eastAsiaTheme="minorEastAsia"/>
          <w:color w:val="auto"/>
          <w:szCs w:val="28"/>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_Toc29127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B1A157C">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"_Toc6290" </w:instrText>
      </w:r>
      <w:r>
        <w:rPr>
          <w:color w:val="auto"/>
          <w:highlight w:val="none"/>
        </w:rPr>
        <w:fldChar w:fldCharType="separate"/>
      </w:r>
      <w:r>
        <w:rPr>
          <w:rFonts w:hint="eastAsia" w:asciiTheme="minorEastAsia" w:hAnsiTheme="minorEastAsia" w:eastAsiaTheme="minorEastAsia"/>
          <w:color w:val="auto"/>
          <w:szCs w:val="28"/>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_Toc6290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8EFC87B">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"_Toc5936" </w:instrText>
      </w:r>
      <w:r>
        <w:rPr>
          <w:color w:val="auto"/>
          <w:highlight w:val="none"/>
        </w:rPr>
        <w:fldChar w:fldCharType="separate"/>
      </w:r>
      <w:r>
        <w:rPr>
          <w:rFonts w:hint="eastAsia" w:asciiTheme="minorEastAsia" w:hAnsiTheme="minorEastAsia" w:eastAsiaTheme="minorEastAsia"/>
          <w:color w:val="auto"/>
          <w:szCs w:val="28"/>
          <w:highlight w:val="none"/>
        </w:rPr>
        <w:t>第四章 评标办法</w:t>
      </w:r>
      <w:r>
        <w:rPr>
          <w:color w:val="auto"/>
          <w:highlight w:val="none"/>
        </w:rPr>
        <w:tab/>
      </w:r>
      <w:r>
        <w:rPr>
          <w:color w:val="auto"/>
          <w:highlight w:val="none"/>
        </w:rPr>
        <w:fldChar w:fldCharType="begin"/>
      </w:r>
      <w:r>
        <w:rPr>
          <w:color w:val="auto"/>
          <w:highlight w:val="none"/>
        </w:rPr>
        <w:instrText xml:space="preserve"> PAGEREF _Toc5936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3D7D52E6">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"_Toc32553" </w:instrText>
      </w:r>
      <w:r>
        <w:rPr>
          <w:color w:val="auto"/>
          <w:highlight w:val="none"/>
        </w:rPr>
        <w:fldChar w:fldCharType="separate"/>
      </w:r>
      <w:r>
        <w:rPr>
          <w:rFonts w:hint="eastAsia" w:asciiTheme="minorEastAsia" w:hAnsiTheme="minorEastAsia" w:eastAsiaTheme="minorEastAsia"/>
          <w:color w:val="auto"/>
          <w:szCs w:val="28"/>
          <w:highlight w:val="none"/>
        </w:rPr>
        <w:t>第五章  嘉兴市政府采购合同（指引）</w:t>
      </w:r>
      <w:r>
        <w:rPr>
          <w:color w:val="auto"/>
          <w:highlight w:val="none"/>
        </w:rPr>
        <w:tab/>
      </w:r>
      <w:r>
        <w:rPr>
          <w:color w:val="auto"/>
          <w:highlight w:val="none"/>
        </w:rPr>
        <w:fldChar w:fldCharType="begin"/>
      </w:r>
      <w:r>
        <w:rPr>
          <w:color w:val="auto"/>
          <w:highlight w:val="none"/>
        </w:rPr>
        <w:instrText xml:space="preserve"> PAGEREF _Toc32553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308CC1FC">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"_Toc21187" </w:instrText>
      </w:r>
      <w:r>
        <w:rPr>
          <w:color w:val="auto"/>
          <w:highlight w:val="none"/>
        </w:rPr>
        <w:fldChar w:fldCharType="separate"/>
      </w:r>
      <w:r>
        <w:rPr>
          <w:rFonts w:hint="eastAsia" w:asciiTheme="minorEastAsia" w:hAnsiTheme="minorEastAsia" w:eastAsiaTheme="minorEastAsia"/>
          <w:color w:val="auto"/>
          <w:szCs w:val="28"/>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_Toc21187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37F1FAED">
      <w:pPr>
        <w:spacing w:line="360" w:lineRule="auto"/>
        <w:rPr>
          <w:rFonts w:asciiTheme="minorEastAsia" w:hAnsiTheme="minorEastAsia" w:eastAsiaTheme="minorEastAsia"/>
          <w:color w:val="auto"/>
          <w:szCs w:val="21"/>
          <w:highlight w:val="none"/>
        </w:rPr>
        <w:sectPr>
          <w:headerReference r:id="rId3" w:type="default"/>
          <w:footerReference r:id="rId4" w:type="default"/>
          <w:pgSz w:w="11906" w:h="16838"/>
          <w:pgMar w:top="1134" w:right="1134" w:bottom="1134" w:left="1134" w:header="680" w:footer="992" w:gutter="0"/>
          <w:pgNumType w:start="0"/>
          <w:cols w:space="720" w:num="1"/>
          <w:titlePg/>
          <w:docGrid w:type="lines" w:linePitch="312" w:charSpace="0"/>
        </w:sectPr>
      </w:pPr>
      <w:r>
        <w:rPr>
          <w:rFonts w:hint="eastAsia" w:asciiTheme="minorEastAsia" w:hAnsiTheme="minorEastAsia" w:eastAsiaTheme="minorEastAsia"/>
          <w:color w:val="auto"/>
          <w:kern w:val="2"/>
          <w:szCs w:val="28"/>
          <w:highlight w:val="none"/>
        </w:rPr>
        <w:fldChar w:fldCharType="end"/>
      </w:r>
    </w:p>
    <w:p w14:paraId="7235CFCF">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 w:name="_Toc20323"/>
      <w:r>
        <w:rPr>
          <w:rFonts w:hint="eastAsia" w:asciiTheme="minorEastAsia" w:hAnsiTheme="minorEastAsia" w:eastAsiaTheme="minorEastAsia"/>
          <w:b/>
          <w:color w:val="auto"/>
          <w:sz w:val="28"/>
          <w:szCs w:val="28"/>
          <w:highlight w:val="none"/>
        </w:rPr>
        <w:t>第一章 竞争性磋商公告</w:t>
      </w:r>
      <w:bookmarkEnd w:id="1"/>
    </w:p>
    <w:p w14:paraId="2FAC5B47">
      <w:pPr>
        <w:spacing w:line="360" w:lineRule="auto"/>
        <w:ind w:firstLine="420" w:firstLineChars="200"/>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根据《中华人民共和国政府采购法》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中华人民共和国政府采购法实施条例</w:t>
      </w:r>
      <w:r>
        <w:rPr>
          <w:rFonts w:hint="eastAsia" w:asciiTheme="minorEastAsia" w:hAnsiTheme="minorEastAsia" w:eastAsiaTheme="minorEastAsia"/>
          <w:color w:val="auto"/>
          <w:kern w:val="2"/>
          <w:szCs w:val="21"/>
          <w:highlight w:val="none"/>
        </w:rPr>
        <w:t>》和</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政府采购竞争性磋商采购方式管理暂行办法</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、《浙江省</w:t>
      </w:r>
      <w:r>
        <w:rPr>
          <w:rFonts w:asciiTheme="minorEastAsia" w:hAnsiTheme="minorEastAsia" w:eastAsiaTheme="minorEastAsia"/>
          <w:color w:val="auto"/>
          <w:kern w:val="2"/>
          <w:szCs w:val="21"/>
          <w:highlight w:val="none"/>
        </w:rPr>
        <w:t>政府采购项目电子交易管理暂行办法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等规定</w:t>
      </w:r>
      <w:r>
        <w:rPr>
          <w:rFonts w:hint="eastAsia" w:asciiTheme="minorEastAsia" w:hAnsiTheme="minorEastAsia" w:eastAsiaTheme="minorEastAsia"/>
          <w:color w:val="auto"/>
          <w:kern w:val="2"/>
          <w:szCs w:val="21"/>
          <w:highlight w:val="none"/>
        </w:rPr>
        <w:t>，嘉兴市银建工程咨询评估有限公司受采购人的委托，经</w:t>
      </w:r>
      <w:r>
        <w:rPr>
          <w:color w:val="auto"/>
          <w:highlight w:val="none"/>
        </w:rPr>
        <w:fldChar w:fldCharType="begin"/>
      </w:r>
      <w:r>
        <w:rPr>
          <w:color w:val="auto"/>
          <w:highlight w:val="none"/>
        </w:rPr>
        <w:instrText xml:space="preserve"> HYPERLINK "https://pay.zcygov.cn/purchaseplan_front/" \l "/plan/list/detail?id=1000000000002282602&amp;encrypt=1e5477abfa673c79e3081f0aaad08698"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秀洲区财政局</w:t>
      </w:r>
      <w:r>
        <w:rPr>
          <w:rFonts w:hint="eastAsia" w:asciiTheme="minorEastAsia" w:hAnsiTheme="minorEastAsia" w:eastAsiaTheme="minorEastAsia"/>
          <w:color w:val="auto"/>
          <w:kern w:val="2"/>
          <w:szCs w:val="21"/>
          <w:highlight w:val="none"/>
        </w:rPr>
        <w:fldChar w:fldCharType="end"/>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kern w:val="2"/>
          <w:szCs w:val="21"/>
          <w:highlight w:val="none"/>
          <w:u w:val="single"/>
          <w:lang w:eastAsia="zh-CN"/>
        </w:rPr>
        <w:t>临[2025]1064号</w:t>
      </w:r>
      <w:r>
        <w:rPr>
          <w:rFonts w:hint="eastAsia" w:asciiTheme="minorEastAsia" w:hAnsiTheme="minorEastAsia" w:eastAsiaTheme="minorEastAsia"/>
          <w:b/>
          <w:color w:val="auto"/>
          <w:kern w:val="2"/>
          <w:szCs w:val="21"/>
          <w:highlight w:val="none"/>
          <w:u w:val="single"/>
        </w:rPr>
        <w:fldChar w:fldCharType="end"/>
      </w:r>
      <w:r>
        <w:rPr>
          <w:rFonts w:hint="eastAsia" w:asciiTheme="minorEastAsia" w:hAnsiTheme="minorEastAsia" w:eastAsiaTheme="minorEastAsia"/>
          <w:color w:val="auto"/>
          <w:kern w:val="2"/>
          <w:szCs w:val="21"/>
          <w:highlight w:val="none"/>
        </w:rPr>
        <w:t>确认书批准，现就以下项目</w:t>
      </w:r>
      <w:r>
        <w:rPr>
          <w:rFonts w:asciiTheme="minorEastAsia" w:hAnsiTheme="minorEastAsia" w:eastAsiaTheme="minorEastAsia"/>
          <w:color w:val="auto"/>
          <w:kern w:val="2"/>
          <w:szCs w:val="21"/>
          <w:highlight w:val="none"/>
        </w:rPr>
        <w:t>进行</w:t>
      </w:r>
      <w:r>
        <w:rPr>
          <w:rFonts w:hint="eastAsia" w:asciiTheme="minorEastAsia" w:hAnsiTheme="minorEastAsia" w:eastAsiaTheme="minorEastAsia"/>
          <w:b/>
          <w:color w:val="auto"/>
          <w:kern w:val="2"/>
          <w:szCs w:val="21"/>
          <w:highlight w:val="none"/>
          <w:u w:val="single"/>
        </w:rPr>
        <w:t>竞争性磋商</w:t>
      </w:r>
      <w:r>
        <w:rPr>
          <w:rFonts w:hint="eastAsia" w:asciiTheme="minorEastAsia" w:hAnsiTheme="minorEastAsia" w:eastAsiaTheme="minorEastAsia"/>
          <w:color w:val="auto"/>
          <w:kern w:val="2"/>
          <w:szCs w:val="21"/>
          <w:highlight w:val="none"/>
        </w:rPr>
        <w:t>招标</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欢迎合格供应商前来投标，现将有关事项公告如下：</w:t>
      </w:r>
    </w:p>
    <w:p w14:paraId="074EBB60">
      <w:pPr>
        <w:pStyle w:val="341"/>
        <w:widowControl w:val="0"/>
        <w:spacing w:line="360" w:lineRule="auto"/>
        <w:ind w:firstLine="0" w:firstLineChars="0"/>
        <w:jc w:val="both"/>
        <w:rPr>
          <w:rFonts w:hint="eastAsia" w:asciiTheme="minorEastAsia" w:hAnsiTheme="minorEastAsia" w:eastAsiaTheme="minorEastAsia"/>
          <w:color w:val="auto"/>
          <w:kern w:val="2"/>
          <w:szCs w:val="21"/>
          <w:highlight w:val="none"/>
          <w:lang w:eastAsia="zh-CN"/>
        </w:rPr>
      </w:pPr>
      <w:r>
        <w:rPr>
          <w:rFonts w:hint="eastAsia" w:asciiTheme="minorEastAsia" w:hAnsiTheme="minorEastAsia" w:eastAsiaTheme="minorEastAsia"/>
          <w:b/>
          <w:color w:val="auto"/>
          <w:kern w:val="2"/>
          <w:szCs w:val="21"/>
          <w:highlight w:val="none"/>
        </w:rPr>
        <w:t>一、</w:t>
      </w:r>
      <w:r>
        <w:rPr>
          <w:rFonts w:asciiTheme="minorEastAsia" w:hAnsiTheme="minorEastAsia" w:eastAsiaTheme="minorEastAsia"/>
          <w:b/>
          <w:color w:val="auto"/>
          <w:kern w:val="2"/>
          <w:szCs w:val="21"/>
          <w:highlight w:val="none"/>
        </w:rPr>
        <w:t>项目编号：</w:t>
      </w:r>
      <w:r>
        <w:rPr>
          <w:rFonts w:hint="eastAsia" w:asciiTheme="minorEastAsia" w:hAnsiTheme="minorEastAsia" w:eastAsiaTheme="minorEastAsia"/>
          <w:color w:val="auto"/>
          <w:kern w:val="2"/>
          <w:szCs w:val="21"/>
          <w:highlight w:val="none"/>
          <w:lang w:eastAsia="zh-CN"/>
        </w:rPr>
        <w:t>银建-JXYJ（2025）28号</w:t>
      </w:r>
    </w:p>
    <w:p w14:paraId="2B4CA510">
      <w:pPr>
        <w:pStyle w:val="341"/>
        <w:widowControl w:val="0"/>
        <w:spacing w:line="360" w:lineRule="auto"/>
        <w:ind w:firstLine="0" w:firstLineChars="0"/>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二、采购组织类型：</w:t>
      </w:r>
      <w:r>
        <w:rPr>
          <w:rFonts w:hint="eastAsia" w:asciiTheme="minorEastAsia" w:hAnsiTheme="minorEastAsia" w:eastAsiaTheme="minorEastAsia"/>
          <w:color w:val="auto"/>
          <w:kern w:val="2"/>
          <w:szCs w:val="21"/>
          <w:highlight w:val="none"/>
        </w:rPr>
        <w:t xml:space="preserve">分散采购委托代理 </w:t>
      </w:r>
    </w:p>
    <w:p w14:paraId="039245FD">
      <w:pPr>
        <w:pStyle w:val="341"/>
        <w:widowControl w:val="0"/>
        <w:spacing w:line="360" w:lineRule="auto"/>
        <w:ind w:firstLine="0" w:firstLineChars="0"/>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三、采购方式：</w:t>
      </w:r>
      <w:r>
        <w:rPr>
          <w:rFonts w:hint="eastAsia" w:asciiTheme="minorEastAsia" w:hAnsiTheme="minorEastAsia" w:eastAsiaTheme="minorEastAsia"/>
          <w:color w:val="auto"/>
          <w:kern w:val="2"/>
          <w:szCs w:val="21"/>
          <w:highlight w:val="none"/>
        </w:rPr>
        <w:t>竞争性磋商</w:t>
      </w:r>
    </w:p>
    <w:p w14:paraId="5E86D612">
      <w:pPr>
        <w:pStyle w:val="341"/>
        <w:widowControl w:val="0"/>
        <w:spacing w:line="360" w:lineRule="auto"/>
        <w:ind w:firstLine="0" w:firstLineChars="0"/>
        <w:jc w:val="both"/>
        <w:rPr>
          <w:rFonts w:hint="default" w:asciiTheme="minorEastAsia" w:hAnsiTheme="minorEastAsia" w:eastAsiaTheme="minorEastAsia"/>
          <w:b/>
          <w:color w:val="auto"/>
          <w:kern w:val="2"/>
          <w:szCs w:val="21"/>
          <w:highlight w:val="none"/>
          <w:lang w:val="en-US" w:eastAsia="zh-CN"/>
        </w:rPr>
      </w:pPr>
      <w:r>
        <w:rPr>
          <w:rFonts w:hint="eastAsia" w:asciiTheme="minorEastAsia" w:hAnsiTheme="minorEastAsia" w:eastAsiaTheme="minorEastAsia"/>
          <w:b/>
          <w:color w:val="auto"/>
          <w:kern w:val="2"/>
          <w:szCs w:val="21"/>
          <w:highlight w:val="none"/>
        </w:rPr>
        <w:t>四、采购预算：</w:t>
      </w:r>
      <w:r>
        <w:rPr>
          <w:rFonts w:hint="eastAsia" w:asciiTheme="minorEastAsia" w:hAnsiTheme="minorEastAsia" w:eastAsiaTheme="minorEastAsia"/>
          <w:bCs/>
          <w:color w:val="auto"/>
          <w:kern w:val="2"/>
          <w:szCs w:val="21"/>
          <w:highlight w:val="none"/>
          <w:lang w:val="en-US" w:eastAsia="zh-CN"/>
        </w:rPr>
        <w:t>150.0000</w:t>
      </w:r>
      <w:r>
        <w:rPr>
          <w:rFonts w:hint="eastAsia" w:asciiTheme="minorEastAsia" w:hAnsiTheme="minorEastAsia" w:eastAsiaTheme="minorEastAsia"/>
          <w:color w:val="auto"/>
          <w:kern w:val="2"/>
          <w:szCs w:val="21"/>
          <w:highlight w:val="none"/>
        </w:rPr>
        <w:t>万元</w:t>
      </w:r>
      <w:r>
        <w:rPr>
          <w:rFonts w:hint="eastAsia" w:asciiTheme="minorEastAsia" w:hAnsiTheme="minorEastAsia" w:eastAsiaTheme="minorEastAsia"/>
          <w:color w:val="auto"/>
          <w:kern w:val="2"/>
          <w:szCs w:val="21"/>
          <w:highlight w:val="none"/>
          <w:lang w:eastAsia="zh-CN"/>
        </w:rPr>
        <w:t>，</w:t>
      </w:r>
      <w:r>
        <w:rPr>
          <w:rFonts w:hint="eastAsia" w:asciiTheme="minorEastAsia" w:hAnsiTheme="minorEastAsia" w:eastAsiaTheme="minorEastAsia"/>
          <w:color w:val="auto"/>
          <w:kern w:val="2"/>
          <w:szCs w:val="21"/>
          <w:highlight w:val="none"/>
          <w:lang w:val="en-US" w:eastAsia="zh-CN"/>
        </w:rPr>
        <w:t>招标控制价：148.8939万元</w:t>
      </w:r>
    </w:p>
    <w:p w14:paraId="2211684F">
      <w:pPr>
        <w:pStyle w:val="341"/>
        <w:widowControl w:val="0"/>
        <w:spacing w:line="360" w:lineRule="auto"/>
        <w:ind w:firstLine="0" w:firstLineChars="0"/>
        <w:jc w:val="both"/>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b/>
          <w:color w:val="auto"/>
          <w:kern w:val="2"/>
          <w:szCs w:val="21"/>
          <w:highlight w:val="none"/>
        </w:rPr>
        <w:t>五、项目名称：</w:t>
      </w:r>
      <w:r>
        <w:rPr>
          <w:rFonts w:hint="eastAsia" w:asciiTheme="minorEastAsia" w:hAnsiTheme="minorEastAsia" w:eastAsiaTheme="minorEastAsia"/>
          <w:color w:val="auto"/>
          <w:kern w:val="2"/>
          <w:szCs w:val="21"/>
          <w:highlight w:val="none"/>
          <w:lang w:eastAsia="zh-CN"/>
        </w:rPr>
        <w:t>新城派出所院内翻新改造</w:t>
      </w:r>
    </w:p>
    <w:p w14:paraId="4B6CEECE">
      <w:pPr>
        <w:pStyle w:val="341"/>
        <w:widowControl w:val="0"/>
        <w:spacing w:line="360" w:lineRule="auto"/>
        <w:ind w:firstLine="0" w:firstLineChars="0"/>
        <w:jc w:val="both"/>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六、采购内容:</w:t>
      </w:r>
    </w:p>
    <w:tbl>
      <w:tblPr>
        <w:tblStyle w:val="54"/>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46"/>
        <w:gridCol w:w="3379"/>
        <w:gridCol w:w="685"/>
        <w:gridCol w:w="876"/>
        <w:gridCol w:w="2697"/>
        <w:gridCol w:w="1468"/>
      </w:tblGrid>
      <w:tr w14:paraId="3D36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 w:hRule="atLeast"/>
        </w:trPr>
        <w:tc>
          <w:tcPr>
            <w:tcW w:w="646" w:type="dxa"/>
            <w:tcBorders>
              <w:top w:val="single" w:color="auto" w:sz="4" w:space="0"/>
              <w:left w:val="single" w:color="auto" w:sz="4" w:space="0"/>
              <w:bottom w:val="single" w:color="auto" w:sz="4" w:space="0"/>
              <w:right w:val="single" w:color="auto" w:sz="4" w:space="0"/>
            </w:tcBorders>
            <w:vAlign w:val="center"/>
          </w:tcPr>
          <w:p w14:paraId="3552A9C5">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序号</w:t>
            </w:r>
          </w:p>
        </w:tc>
        <w:tc>
          <w:tcPr>
            <w:tcW w:w="3379" w:type="dxa"/>
            <w:tcBorders>
              <w:top w:val="single" w:color="auto" w:sz="4" w:space="0"/>
              <w:left w:val="single" w:color="auto" w:sz="4" w:space="0"/>
              <w:bottom w:val="single" w:color="auto" w:sz="4" w:space="0"/>
              <w:right w:val="single" w:color="auto" w:sz="4" w:space="0"/>
            </w:tcBorders>
            <w:vAlign w:val="center"/>
          </w:tcPr>
          <w:p w14:paraId="1BC35DF1">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项目名称</w:t>
            </w:r>
          </w:p>
        </w:tc>
        <w:tc>
          <w:tcPr>
            <w:tcW w:w="685" w:type="dxa"/>
            <w:tcBorders>
              <w:top w:val="single" w:color="auto" w:sz="4" w:space="0"/>
              <w:left w:val="single" w:color="auto" w:sz="4" w:space="0"/>
              <w:bottom w:val="single" w:color="auto" w:sz="4" w:space="0"/>
              <w:right w:val="single" w:color="auto" w:sz="4" w:space="0"/>
            </w:tcBorders>
            <w:vAlign w:val="center"/>
          </w:tcPr>
          <w:p w14:paraId="16BD3836">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数量</w:t>
            </w:r>
          </w:p>
        </w:tc>
        <w:tc>
          <w:tcPr>
            <w:tcW w:w="876" w:type="dxa"/>
            <w:tcBorders>
              <w:top w:val="single" w:color="auto" w:sz="4" w:space="0"/>
              <w:left w:val="single" w:color="auto" w:sz="4" w:space="0"/>
              <w:bottom w:val="single" w:color="auto" w:sz="4" w:space="0"/>
              <w:right w:val="single" w:color="auto" w:sz="4" w:space="0"/>
            </w:tcBorders>
            <w:vAlign w:val="center"/>
          </w:tcPr>
          <w:p w14:paraId="2E137AB9">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单位</w:t>
            </w:r>
          </w:p>
        </w:tc>
        <w:tc>
          <w:tcPr>
            <w:tcW w:w="2697" w:type="dxa"/>
            <w:tcBorders>
              <w:top w:val="single" w:color="auto" w:sz="4" w:space="0"/>
              <w:left w:val="single" w:color="auto" w:sz="4" w:space="0"/>
              <w:bottom w:val="single" w:color="auto" w:sz="4" w:space="0"/>
              <w:right w:val="single" w:color="auto" w:sz="4" w:space="0"/>
            </w:tcBorders>
            <w:vAlign w:val="center"/>
          </w:tcPr>
          <w:p w14:paraId="5A6A479C">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工期</w:t>
            </w:r>
          </w:p>
        </w:tc>
        <w:tc>
          <w:tcPr>
            <w:tcW w:w="1468" w:type="dxa"/>
            <w:tcBorders>
              <w:top w:val="single" w:color="auto" w:sz="4" w:space="0"/>
              <w:left w:val="single" w:color="auto" w:sz="4" w:space="0"/>
              <w:bottom w:val="single" w:color="auto" w:sz="4" w:space="0"/>
              <w:right w:val="single" w:color="auto" w:sz="4" w:space="0"/>
            </w:tcBorders>
            <w:vAlign w:val="center"/>
          </w:tcPr>
          <w:p w14:paraId="0B82A690">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备注</w:t>
            </w:r>
          </w:p>
        </w:tc>
      </w:tr>
      <w:tr w14:paraId="0EF3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2" w:hRule="atLeast"/>
        </w:trPr>
        <w:tc>
          <w:tcPr>
            <w:tcW w:w="646" w:type="dxa"/>
            <w:tcBorders>
              <w:top w:val="single" w:color="auto" w:sz="4" w:space="0"/>
              <w:left w:val="single" w:color="auto" w:sz="4" w:space="0"/>
              <w:bottom w:val="single" w:color="auto" w:sz="4" w:space="0"/>
              <w:right w:val="single" w:color="auto" w:sz="4" w:space="0"/>
            </w:tcBorders>
            <w:vAlign w:val="center"/>
          </w:tcPr>
          <w:p w14:paraId="3C82349A">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p>
        </w:tc>
        <w:tc>
          <w:tcPr>
            <w:tcW w:w="3379" w:type="dxa"/>
            <w:tcBorders>
              <w:top w:val="single" w:color="auto" w:sz="4" w:space="0"/>
              <w:left w:val="single" w:color="auto" w:sz="4" w:space="0"/>
              <w:bottom w:val="single" w:color="auto" w:sz="4" w:space="0"/>
              <w:right w:val="single" w:color="auto" w:sz="4" w:space="0"/>
            </w:tcBorders>
            <w:vAlign w:val="center"/>
          </w:tcPr>
          <w:p w14:paraId="58B1F483">
            <w:pPr>
              <w:snapToGrid w:val="0"/>
              <w:spacing w:line="360" w:lineRule="auto"/>
              <w:jc w:val="center"/>
              <w:rPr>
                <w:rFonts w:hint="eastAsia" w:asciiTheme="minorEastAsia" w:hAnsiTheme="minorEastAsia" w:eastAsiaTheme="minorEastAsia"/>
                <w:bCs/>
                <w:color w:val="auto"/>
                <w:szCs w:val="21"/>
                <w:highlight w:val="none"/>
                <w:lang w:eastAsia="zh-CN"/>
              </w:rPr>
            </w:pPr>
            <w:r>
              <w:rPr>
                <w:rFonts w:hint="eastAsia" w:cs="Arial" w:asciiTheme="minorEastAsia" w:hAnsiTheme="minorEastAsia" w:eastAsiaTheme="minorEastAsia"/>
                <w:color w:val="auto"/>
                <w:szCs w:val="21"/>
                <w:highlight w:val="none"/>
                <w:lang w:eastAsia="zh-CN"/>
              </w:rPr>
              <w:t>新城派出所院内翻新改造</w:t>
            </w:r>
          </w:p>
        </w:tc>
        <w:tc>
          <w:tcPr>
            <w:tcW w:w="685" w:type="dxa"/>
            <w:tcBorders>
              <w:top w:val="single" w:color="auto" w:sz="4" w:space="0"/>
              <w:left w:val="single" w:color="auto" w:sz="4" w:space="0"/>
              <w:bottom w:val="single" w:color="auto" w:sz="4" w:space="0"/>
              <w:right w:val="single" w:color="auto" w:sz="4" w:space="0"/>
            </w:tcBorders>
            <w:vAlign w:val="center"/>
          </w:tcPr>
          <w:p w14:paraId="074E1222">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p>
        </w:tc>
        <w:tc>
          <w:tcPr>
            <w:tcW w:w="876" w:type="dxa"/>
            <w:tcBorders>
              <w:top w:val="single" w:color="auto" w:sz="4" w:space="0"/>
              <w:left w:val="single" w:color="auto" w:sz="4" w:space="0"/>
              <w:bottom w:val="single" w:color="auto" w:sz="4" w:space="0"/>
              <w:right w:val="single" w:color="auto" w:sz="4" w:space="0"/>
            </w:tcBorders>
            <w:vAlign w:val="center"/>
          </w:tcPr>
          <w:p w14:paraId="5428D861">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项</w:t>
            </w:r>
          </w:p>
        </w:tc>
        <w:tc>
          <w:tcPr>
            <w:tcW w:w="2697" w:type="dxa"/>
            <w:tcBorders>
              <w:top w:val="single" w:color="auto" w:sz="4" w:space="0"/>
              <w:left w:val="single" w:color="auto" w:sz="4" w:space="0"/>
              <w:bottom w:val="single" w:color="auto" w:sz="4" w:space="0"/>
              <w:right w:val="single" w:color="auto" w:sz="4" w:space="0"/>
            </w:tcBorders>
            <w:vAlign w:val="center"/>
          </w:tcPr>
          <w:p w14:paraId="4FDC078F">
            <w:pPr>
              <w:adjustRightInd w:val="0"/>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合同签订后70天内完成</w:t>
            </w:r>
            <w:r>
              <w:rPr>
                <w:rFonts w:hint="eastAsia" w:asciiTheme="minorEastAsia" w:hAnsiTheme="minorEastAsia" w:eastAsiaTheme="minorEastAsia"/>
                <w:color w:val="auto"/>
                <w:szCs w:val="21"/>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5072FCF3">
            <w:pPr>
              <w:adjustRightInd w:val="0"/>
              <w:snapToGrid w:val="0"/>
              <w:spacing w:line="360" w:lineRule="auto"/>
              <w:jc w:val="center"/>
              <w:rPr>
                <w:rFonts w:hint="eastAsia" w:asciiTheme="minorEastAsia" w:hAnsiTheme="minorEastAsia" w:eastAsiaTheme="minorEastAsia"/>
                <w:color w:val="auto"/>
                <w:szCs w:val="21"/>
                <w:highlight w:val="none"/>
                <w:lang w:eastAsia="zh-CN"/>
              </w:rPr>
            </w:pPr>
          </w:p>
        </w:tc>
      </w:tr>
    </w:tbl>
    <w:p w14:paraId="3CF8DCEF">
      <w:pPr>
        <w:pStyle w:val="341"/>
        <w:widowControl w:val="0"/>
        <w:spacing w:line="360" w:lineRule="auto"/>
        <w:ind w:firstLine="0" w:firstLineChars="0"/>
        <w:jc w:val="both"/>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七、供应商的资格要求:</w:t>
      </w:r>
    </w:p>
    <w:p w14:paraId="074D0531">
      <w:pPr>
        <w:spacing w:before="52" w:after="52" w:line="360" w:lineRule="auto"/>
        <w:ind w:right="52"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（一）符合政府采购法第二十二条规定的供应商资格条件：</w:t>
      </w:r>
    </w:p>
    <w:p w14:paraId="5A6B2F6A">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1.具有独立承担民事责任的能力； </w:t>
      </w:r>
    </w:p>
    <w:p w14:paraId="6A54D08D">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2.具有良好的商业信誉和健全的财务会计制度； </w:t>
      </w:r>
    </w:p>
    <w:p w14:paraId="509B180C">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3.具有履行合同所必需的设备和专业技术能力； </w:t>
      </w:r>
    </w:p>
    <w:p w14:paraId="381C222D">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4.有依法缴纳税收和社会保障资金的良好记录； </w:t>
      </w:r>
    </w:p>
    <w:p w14:paraId="467492B1">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5.参加政府采购活动前三年内，在经营活动中没有重大违法记录； </w:t>
      </w:r>
    </w:p>
    <w:p w14:paraId="77371554">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6.符合法律、行政法规规定的其他条件；</w:t>
      </w:r>
    </w:p>
    <w:p w14:paraId="6B39472A">
      <w:pPr>
        <w:snapToGrid w:val="0"/>
        <w:spacing w:line="360" w:lineRule="auto"/>
        <w:ind w:firstLine="211" w:firstLineChars="100"/>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t>（二）落实政府采购政策需满足的资格要求：</w:t>
      </w:r>
    </w:p>
    <w:p w14:paraId="4825A53C">
      <w:pPr>
        <w:snapToGrid w:val="0"/>
        <w:spacing w:line="360" w:lineRule="auto"/>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A8"/>
      </w:r>
      <w:r>
        <w:rPr>
          <w:rFonts w:hint="eastAsia" w:cs="Arial" w:asciiTheme="minorEastAsia" w:hAnsiTheme="minorEastAsia" w:eastAsiaTheme="minorEastAsia"/>
          <w:b/>
          <w:color w:val="auto"/>
          <w:szCs w:val="21"/>
          <w:highlight w:val="none"/>
          <w:u w:val="single"/>
        </w:rPr>
        <w:t xml:space="preserve">无； </w:t>
      </w:r>
    </w:p>
    <w:p w14:paraId="757790F0">
      <w:pPr>
        <w:snapToGrid w:val="0"/>
        <w:spacing w:line="360" w:lineRule="auto"/>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FE"/>
      </w:r>
      <w:r>
        <w:rPr>
          <w:rFonts w:hint="eastAsia" w:cs="Arial" w:asciiTheme="minorEastAsia" w:hAnsiTheme="minorEastAsia" w:eastAsiaTheme="minorEastAsia"/>
          <w:b/>
          <w:color w:val="auto"/>
          <w:szCs w:val="21"/>
          <w:highlight w:val="none"/>
          <w:u w:val="single"/>
        </w:rPr>
        <w:t>专门面向中小企业</w:t>
      </w:r>
    </w:p>
    <w:p w14:paraId="705224FD">
      <w:pPr>
        <w:spacing w:before="52" w:after="52" w:line="360" w:lineRule="auto"/>
        <w:ind w:left="239" w:leftChars="114" w:right="52"/>
        <w:rPr>
          <w:rFonts w:hint="eastAsia" w:eastAsia="宋体" w:asciiTheme="minorEastAsia" w:hAnsiTheme="minorEastAsia"/>
          <w:color w:val="auto"/>
          <w:kern w:val="2"/>
          <w:szCs w:val="21"/>
          <w:highlight w:val="none"/>
          <w:lang w:eastAsia="zh-CN"/>
        </w:rPr>
      </w:pPr>
      <w:r>
        <w:rPr>
          <w:rFonts w:hint="eastAsia" w:asciiTheme="minorEastAsia" w:hAnsiTheme="minorEastAsia" w:eastAsiaTheme="minorEastAsia"/>
          <w:b/>
          <w:bCs/>
          <w:color w:val="auto"/>
          <w:kern w:val="2"/>
          <w:szCs w:val="21"/>
          <w:highlight w:val="none"/>
        </w:rPr>
        <w:t>（三）本项目的特定资格要求：</w:t>
      </w:r>
      <w:bookmarkStart w:id="111" w:name="_GoBack"/>
      <w:r>
        <w:rPr>
          <w:rFonts w:hint="eastAsia" w:asciiTheme="minorEastAsia" w:hAnsiTheme="minorEastAsia" w:eastAsiaTheme="minorEastAsia"/>
          <w:b/>
          <w:bCs/>
          <w:color w:val="auto"/>
          <w:kern w:val="2"/>
          <w:szCs w:val="21"/>
          <w:highlight w:val="none"/>
        </w:rPr>
        <w:t>企业资质：具有</w:t>
      </w:r>
      <w:r>
        <w:rPr>
          <w:rFonts w:hint="eastAsia" w:asciiTheme="minorEastAsia" w:hAnsiTheme="minorEastAsia" w:eastAsiaTheme="minorEastAsia"/>
          <w:b/>
          <w:bCs/>
          <w:color w:val="auto"/>
          <w:kern w:val="2"/>
          <w:szCs w:val="21"/>
          <w:highlight w:val="none"/>
          <w:lang w:eastAsia="zh-CN"/>
        </w:rPr>
        <w:t>市政公用工程施工总承包三级</w:t>
      </w:r>
      <w:r>
        <w:rPr>
          <w:rFonts w:hint="eastAsia" w:asciiTheme="minorEastAsia" w:hAnsiTheme="minorEastAsia" w:eastAsiaTheme="minorEastAsia"/>
          <w:b/>
          <w:bCs/>
          <w:color w:val="auto"/>
          <w:kern w:val="2"/>
          <w:szCs w:val="21"/>
          <w:highlight w:val="none"/>
        </w:rPr>
        <w:t>及以上资质和有效的企业安全生产许可证</w:t>
      </w:r>
      <w:r>
        <w:rPr>
          <w:rFonts w:hint="eastAsia" w:asciiTheme="minorEastAsia" w:hAnsiTheme="minorEastAsia" w:eastAsiaTheme="minorEastAsia"/>
          <w:b/>
          <w:bCs/>
          <w:color w:val="auto"/>
          <w:kern w:val="2"/>
          <w:szCs w:val="21"/>
          <w:highlight w:val="yellow"/>
        </w:rPr>
        <w:t>且“浙江省建筑市场监管公共服务系统”资质动态核查结果为“合格”，</w:t>
      </w:r>
      <w:r>
        <w:rPr>
          <w:rFonts w:hint="eastAsia" w:asciiTheme="minorEastAsia" w:hAnsiTheme="minorEastAsia" w:eastAsiaTheme="minorEastAsia"/>
          <w:b/>
          <w:bCs/>
          <w:color w:val="auto"/>
          <w:kern w:val="2"/>
          <w:szCs w:val="21"/>
          <w:highlight w:val="yellow"/>
          <w:lang w:val="en-US" w:eastAsia="zh-CN"/>
        </w:rPr>
        <w:t>省外企业须提供进省备案证（具体按嘉建（2015）1 号文件执行）</w:t>
      </w:r>
      <w:r>
        <w:rPr>
          <w:rFonts w:hint="eastAsia" w:asciiTheme="minorEastAsia" w:hAnsiTheme="minorEastAsia" w:eastAsiaTheme="minorEastAsia"/>
          <w:b/>
          <w:bCs/>
          <w:color w:val="auto"/>
          <w:kern w:val="2"/>
          <w:szCs w:val="21"/>
          <w:highlight w:val="none"/>
        </w:rPr>
        <w:t>。</w:t>
      </w:r>
      <w:r>
        <w:rPr>
          <w:rFonts w:hint="eastAsia" w:ascii="宋体" w:hAnsi="宋体" w:eastAsia="宋体" w:cs="宋体"/>
          <w:b/>
          <w:color w:val="auto"/>
          <w:szCs w:val="21"/>
          <w:highlight w:val="none"/>
        </w:rPr>
        <w:t>项目负责人：拟派项目负责人具有注册在投标人单位的</w:t>
      </w:r>
      <w:r>
        <w:rPr>
          <w:rFonts w:hint="eastAsia" w:ascii="宋体" w:hAnsi="宋体" w:cs="宋体"/>
          <w:b/>
          <w:color w:val="auto"/>
          <w:szCs w:val="21"/>
          <w:highlight w:val="none"/>
          <w:lang w:eastAsia="zh-CN"/>
        </w:rPr>
        <w:t>市政工程</w:t>
      </w:r>
      <w:r>
        <w:rPr>
          <w:rFonts w:hint="eastAsia" w:ascii="宋体" w:hAnsi="宋体" w:eastAsia="宋体" w:cs="宋体"/>
          <w:b/>
          <w:color w:val="auto"/>
          <w:szCs w:val="21"/>
          <w:highlight w:val="none"/>
        </w:rPr>
        <w:t>二级及以上注册建造师执业资格， 同时具有有效的专职安全生产管理人员B类证书</w:t>
      </w:r>
      <w:r>
        <w:rPr>
          <w:rFonts w:hint="eastAsia" w:ascii="宋体" w:hAnsi="宋体" w:eastAsia="宋体" w:cs="宋体"/>
          <w:b/>
          <w:color w:val="auto"/>
          <w:szCs w:val="21"/>
          <w:highlight w:val="none"/>
          <w:lang w:eastAsia="zh-CN"/>
        </w:rPr>
        <w:t>。</w:t>
      </w:r>
      <w:bookmarkEnd w:id="111"/>
    </w:p>
    <w:p w14:paraId="34D6927A">
      <w:pPr>
        <w:spacing w:before="52" w:after="52" w:line="360" w:lineRule="auto"/>
        <w:ind w:left="239" w:leftChars="114" w:right="52"/>
        <w:rPr>
          <w:rFonts w:cs="Arial" w:asciiTheme="minorEastAsia" w:hAnsiTheme="minorEastAsia" w:eastAsiaTheme="minorEastAsia"/>
          <w:color w:val="auto"/>
          <w:szCs w:val="21"/>
          <w:highlight w:val="none"/>
        </w:rPr>
      </w:pPr>
      <w:r>
        <w:rPr>
          <w:rFonts w:hint="eastAsia" w:asciiTheme="minorEastAsia" w:hAnsiTheme="minorEastAsia" w:eastAsiaTheme="minorEastAsia"/>
          <w:color w:val="auto"/>
          <w:kern w:val="2"/>
          <w:szCs w:val="21"/>
          <w:highlight w:val="none"/>
        </w:rPr>
        <w:t>（四）承诺：符合浙财采监【2013】24号《关于规范政府采购供应商资格设定及资格审查的通知》第六条规定,且未被“信用中国”（www.creditchina.gov.c</w:t>
      </w:r>
      <w:r>
        <w:rPr>
          <w:rFonts w:hint="eastAsia" w:cs="Arial" w:asciiTheme="minorEastAsia" w:hAnsiTheme="minorEastAsia" w:eastAsiaTheme="minorEastAsia"/>
          <w:color w:val="auto"/>
          <w:szCs w:val="21"/>
          <w:highlight w:val="none"/>
        </w:rPr>
        <w:t>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14:paraId="437A914F">
      <w:pPr>
        <w:snapToGrid w:val="0"/>
        <w:spacing w:line="360" w:lineRule="auto"/>
        <w:rPr>
          <w:rFonts w:cs="Arial" w:asciiTheme="minorEastAsia" w:hAnsiTheme="minorEastAsia" w:eastAsiaTheme="minorEastAsia"/>
          <w:b/>
          <w:color w:val="auto"/>
          <w:szCs w:val="21"/>
          <w:highlight w:val="none"/>
        </w:rPr>
      </w:pPr>
      <w:r>
        <w:rPr>
          <w:rFonts w:hint="eastAsia" w:asciiTheme="minorEastAsia" w:hAnsiTheme="minorEastAsia" w:eastAsiaTheme="minorEastAsia"/>
          <w:b/>
          <w:color w:val="auto"/>
          <w:highlight w:val="none"/>
        </w:rPr>
        <w:t>（五）</w:t>
      </w:r>
      <w:r>
        <w:rPr>
          <w:rFonts w:hint="eastAsia" w:cs="Arial" w:asciiTheme="minorEastAsia" w:hAnsiTheme="minorEastAsia" w:eastAsiaTheme="minorEastAsia"/>
          <w:b/>
          <w:color w:val="auto"/>
          <w:szCs w:val="21"/>
          <w:highlight w:val="none"/>
        </w:rPr>
        <w:t>本项目不接受联合体投标。</w:t>
      </w:r>
    </w:p>
    <w:p w14:paraId="4A5BFEEC">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注：本采购项目，中标单位与采购单位签订的政府采购合同适用于嘉兴市政府采购贷款政策，简称“政采贷”，具体内容可参阅政府采购贷款流程： </w:t>
      </w:r>
      <w:r>
        <w:rPr>
          <w:color w:val="auto"/>
          <w:highlight w:val="none"/>
        </w:rPr>
        <w:fldChar w:fldCharType="begin"/>
      </w:r>
      <w:r>
        <w:rPr>
          <w:color w:val="auto"/>
          <w:highlight w:val="none"/>
        </w:rPr>
        <w:instrText xml:space="preserve"> HYPERLINK "http://www.jxzbtb.cn/zxfw/005012/20181016/7e541bf4-ad29-4286-ace8-d12c1b2c54fc.html?tdsourcetag=s_pcqq_aiomsg" </w:instrText>
      </w:r>
      <w:r>
        <w:rPr>
          <w:color w:val="auto"/>
          <w:highlight w:val="none"/>
        </w:rPr>
        <w:fldChar w:fldCharType="separate"/>
      </w:r>
      <w:r>
        <w:rPr>
          <w:rFonts w:asciiTheme="minorEastAsia" w:hAnsiTheme="minorEastAsia" w:eastAsiaTheme="minorEastAsia"/>
          <w:color w:val="auto"/>
          <w:kern w:val="2"/>
          <w:szCs w:val="21"/>
          <w:highlight w:val="none"/>
        </w:rPr>
        <w:t>http://www.jxzbtb.cn/zxfw/005012/20181016/7e541bf4-ad29-4286-ace8-d12c1b2c54fc.html?tdsourcetag=s_pcqq_aiomsg</w:t>
      </w:r>
      <w:r>
        <w:rPr>
          <w:rFonts w:asciiTheme="minorEastAsia" w:hAnsiTheme="minorEastAsia" w:eastAsiaTheme="minorEastAsia"/>
          <w:color w:val="auto"/>
          <w:kern w:val="2"/>
          <w:szCs w:val="21"/>
          <w:highlight w:val="none"/>
        </w:rPr>
        <w:fldChar w:fldCharType="end"/>
      </w:r>
    </w:p>
    <w:p w14:paraId="42E71397">
      <w:pPr>
        <w:spacing w:line="360" w:lineRule="auto"/>
        <w:rPr>
          <w:rFonts w:cs="宋体" w:asciiTheme="minorEastAsia" w:hAnsiTheme="minorEastAsia" w:eastAsiaTheme="minorEastAsia"/>
          <w:b/>
          <w:color w:val="auto"/>
          <w:szCs w:val="21"/>
          <w:highlight w:val="none"/>
          <w:u w:val="single"/>
        </w:rPr>
      </w:pPr>
      <w:r>
        <w:rPr>
          <w:rFonts w:hint="eastAsia" w:asciiTheme="minorEastAsia" w:hAnsiTheme="minorEastAsia" w:eastAsiaTheme="minorEastAsia"/>
          <w:b/>
          <w:color w:val="auto"/>
          <w:kern w:val="2"/>
          <w:szCs w:val="21"/>
          <w:highlight w:val="none"/>
        </w:rPr>
        <w:t>八、公告期限：</w:t>
      </w:r>
      <w:r>
        <w:rPr>
          <w:rFonts w:hint="eastAsia" w:cs="宋体" w:asciiTheme="minorEastAsia" w:hAnsiTheme="minorEastAsia" w:eastAsiaTheme="minorEastAsia"/>
          <w:b/>
          <w:color w:val="auto"/>
          <w:szCs w:val="21"/>
          <w:highlight w:val="none"/>
          <w:u w:val="single"/>
        </w:rPr>
        <w:t xml:space="preserve">   自公告发布之日至投标截止时间止  </w:t>
      </w:r>
    </w:p>
    <w:p w14:paraId="69CB3744">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九、磋商说明：</w:t>
      </w:r>
    </w:p>
    <w:p w14:paraId="782A66F9">
      <w:pPr>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本项目按照《浙江省财政厅关于印发浙江省政府采购项电子交易管理暂行办法的通知》实行电子交易。供应商在使用系统过程中遇到涉及平台使用的任何问题，可致电政采云平台技术支持热线咨询，联系方式：</w:t>
      </w:r>
      <w:r>
        <w:rPr>
          <w:rFonts w:hint="eastAsia" w:asciiTheme="minorEastAsia" w:hAnsiTheme="minorEastAsia" w:eastAsiaTheme="minorEastAsia"/>
          <w:b/>
          <w:color w:val="auto"/>
          <w:kern w:val="2"/>
          <w:szCs w:val="21"/>
          <w:highlight w:val="none"/>
        </w:rPr>
        <w:t>400-881-7190。</w:t>
      </w:r>
    </w:p>
    <w:p w14:paraId="17243C9F">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（二）获取磋商文件（报名）</w:t>
      </w:r>
      <w:r>
        <w:rPr>
          <w:rFonts w:asciiTheme="minorEastAsia" w:hAnsiTheme="minorEastAsia" w:eastAsiaTheme="minorEastAsia"/>
          <w:color w:val="auto"/>
          <w:kern w:val="2"/>
          <w:szCs w:val="21"/>
          <w:highlight w:val="none"/>
        </w:rPr>
        <w:t>：</w:t>
      </w:r>
    </w:p>
    <w:p w14:paraId="5FDD2BFD">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获取方式：磋商公告发布后，在政采云平台已完成注册的供应商登陆系统，申请获取磋商文件，待审核通过后，可下载磋商文件。如果“已申请”标签页显示状态为“审核通过”即为报名成功。路径：用户中心——项目采购——获取磋商文件管理。在“已获取”的状态下，供应商可下载查看磋商文件。</w:t>
      </w:r>
    </w:p>
    <w:p w14:paraId="5A0B2A0D">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2.获取网址：浙江政府采购网</w:t>
      </w:r>
      <w:r>
        <w:rPr>
          <w:color w:val="auto"/>
          <w:highlight w:val="none"/>
        </w:rPr>
        <w:fldChar w:fldCharType="begin"/>
      </w:r>
      <w:r>
        <w:rPr>
          <w:color w:val="auto"/>
          <w:highlight w:val="none"/>
        </w:rPr>
        <w:instrText xml:space="preserve"> HYPERLINK "https://login.zcygov.cn/login"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https://login.zcygov.cn/login</w:t>
      </w:r>
      <w:r>
        <w:rPr>
          <w:rFonts w:hint="eastAsia" w:asciiTheme="minorEastAsia" w:hAnsiTheme="minorEastAsia" w:eastAsiaTheme="minorEastAsia"/>
          <w:color w:val="auto"/>
          <w:kern w:val="2"/>
          <w:szCs w:val="21"/>
          <w:highlight w:val="none"/>
        </w:rPr>
        <w:fldChar w:fldCharType="end"/>
      </w:r>
    </w:p>
    <w:p w14:paraId="2BD9B527">
      <w:pPr>
        <w:spacing w:line="360" w:lineRule="auto"/>
        <w:ind w:firstLine="210" w:firstLineChars="100"/>
        <w:rPr>
          <w:rFonts w:asciiTheme="minorEastAsia" w:hAnsiTheme="minorEastAsia" w:eastAsiaTheme="minorEastAsia"/>
          <w:b/>
          <w:color w:val="auto"/>
          <w:szCs w:val="21"/>
          <w:highlight w:val="none"/>
          <w:shd w:val="clear" w:color="auto" w:fill="FFFFFF"/>
        </w:rPr>
      </w:pPr>
      <w:r>
        <w:rPr>
          <w:rFonts w:hint="eastAsia" w:asciiTheme="minorEastAsia" w:hAnsiTheme="minorEastAsia" w:eastAsiaTheme="minorEastAsia"/>
          <w:color w:val="auto"/>
          <w:kern w:val="2"/>
          <w:szCs w:val="21"/>
          <w:highlight w:val="none"/>
        </w:rPr>
        <w:t>3.获取时间：</w:t>
      </w:r>
      <w:r>
        <w:rPr>
          <w:rFonts w:hint="eastAsia" w:asciiTheme="minorEastAsia" w:hAnsiTheme="minorEastAsia" w:eastAsiaTheme="minorEastAsia"/>
          <w:b/>
          <w:color w:val="auto"/>
          <w:szCs w:val="21"/>
          <w:highlight w:val="none"/>
          <w:shd w:val="clear" w:color="auto" w:fill="FFFFFF"/>
          <w:lang w:eastAsia="zh-CN"/>
        </w:rPr>
        <w:t>2025年7月4日</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时00分</w:t>
      </w:r>
      <w:r>
        <w:rPr>
          <w:rFonts w:hint="eastAsia" w:cs="宋体" w:asciiTheme="minorEastAsia" w:hAnsiTheme="minorEastAsia" w:eastAsiaTheme="minorEastAsia"/>
          <w:b/>
          <w:bCs/>
          <w:color w:val="auto"/>
          <w:szCs w:val="21"/>
          <w:highlight w:val="none"/>
        </w:rPr>
        <w:t>整</w:t>
      </w:r>
      <w:r>
        <w:rPr>
          <w:rFonts w:hint="eastAsia" w:cs="宋体" w:asciiTheme="minorEastAsia" w:hAnsiTheme="minorEastAsia" w:eastAsiaTheme="minorEastAsia"/>
          <w:bCs/>
          <w:color w:val="auto"/>
          <w:szCs w:val="21"/>
          <w:highlight w:val="none"/>
        </w:rPr>
        <w:t>前在上述时间内供应商均可获取招标文件。</w:t>
      </w:r>
    </w:p>
    <w:p w14:paraId="0E789239">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4.供应商注册网址：</w:t>
      </w:r>
    </w:p>
    <w:p w14:paraId="2B27BC06">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Fonts w:hint="eastAsia" w:asciiTheme="minorEastAsia" w:hAnsiTheme="minorEastAsia" w:eastAsiaTheme="minorEastAsia"/>
          <w:color w:val="auto"/>
          <w:kern w:val="2"/>
          <w:highlight w:val="none"/>
        </w:rPr>
        <w:t>https://middle.zcygov.cn/settle-front/#/registry</w:t>
      </w:r>
      <w:r>
        <w:rPr>
          <w:rFonts w:hint="eastAsia" w:asciiTheme="minorEastAsia" w:hAnsiTheme="minorEastAsia" w:eastAsiaTheme="minorEastAsia"/>
          <w:color w:val="auto"/>
          <w:kern w:val="2"/>
          <w:highlight w:val="none"/>
        </w:rPr>
        <w:fldChar w:fldCharType="end"/>
      </w:r>
    </w:p>
    <w:p w14:paraId="7BDEB46C">
      <w:pPr>
        <w:spacing w:line="360" w:lineRule="auto"/>
        <w:ind w:firstLine="422"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政采云咨询电话：95763</w:t>
      </w:r>
      <w:r>
        <w:rPr>
          <w:rFonts w:hint="eastAsia" w:asciiTheme="minorEastAsia" w:hAnsiTheme="minorEastAsia" w:eastAsiaTheme="minorEastAsia"/>
          <w:color w:val="auto"/>
          <w:kern w:val="2"/>
          <w:szCs w:val="21"/>
          <w:highlight w:val="none"/>
        </w:rPr>
        <w:t>，政采云平台服务中心：</w:t>
      </w:r>
      <w:r>
        <w:rPr>
          <w:color w:val="auto"/>
          <w:highlight w:val="none"/>
        </w:rPr>
        <w:fldChar w:fldCharType="begin"/>
      </w:r>
      <w:r>
        <w:rPr>
          <w:color w:val="auto"/>
          <w:highlight w:val="none"/>
        </w:rPr>
        <w:instrText xml:space="preserve"> HYPERLINK "https://service.zcygov.cn/" \l "/"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https://service.zcygov.cn/#/</w:t>
      </w:r>
      <w:r>
        <w:rPr>
          <w:rFonts w:hint="eastAsia" w:asciiTheme="minorEastAsia" w:hAnsiTheme="minorEastAsia" w:eastAsiaTheme="minorEastAsia"/>
          <w:color w:val="auto"/>
          <w:kern w:val="2"/>
          <w:szCs w:val="21"/>
          <w:highlight w:val="none"/>
        </w:rPr>
        <w:fldChar w:fldCharType="end"/>
      </w:r>
    </w:p>
    <w:p w14:paraId="1E000BEC">
      <w:pPr>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汇信（ＣＡ）客服电话：400-888-4636</w:t>
      </w:r>
    </w:p>
    <w:p w14:paraId="235C2DC6">
      <w:pPr>
        <w:pStyle w:val="515"/>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5.响应文件</w:t>
      </w:r>
      <w:r>
        <w:rPr>
          <w:rFonts w:cs="Times New Roman" w:asciiTheme="minorEastAsia" w:hAnsiTheme="minorEastAsia" w:eastAsiaTheme="minorEastAsia"/>
          <w:color w:val="auto"/>
          <w:kern w:val="2"/>
          <w:sz w:val="21"/>
          <w:szCs w:val="21"/>
          <w:highlight w:val="none"/>
        </w:rPr>
        <w:t>制作</w:t>
      </w:r>
      <w:r>
        <w:rPr>
          <w:rFonts w:hint="eastAsia" w:cs="Times New Roman" w:asciiTheme="minorEastAsia" w:hAnsiTheme="minorEastAsia" w:eastAsiaTheme="minorEastAsia"/>
          <w:color w:val="auto"/>
          <w:kern w:val="2"/>
          <w:sz w:val="21"/>
          <w:szCs w:val="21"/>
          <w:highlight w:val="none"/>
        </w:rPr>
        <w:t>注意事项：</w:t>
      </w:r>
    </w:p>
    <w:p w14:paraId="076E61AC">
      <w:pPr>
        <w:pStyle w:val="515"/>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5.1供应商将政采云电子交易客户端下载、安装完成后，可通过账号密码或CA登录客户端进行投标文件制作。</w:t>
      </w:r>
    </w:p>
    <w:p w14:paraId="15F42402">
      <w:pPr>
        <w:pStyle w:val="515"/>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shd w:val="clear" w:color="auto" w:fill="FFFFFF"/>
        </w:rPr>
        <w:t>　　</w:t>
      </w:r>
      <w:r>
        <w:rPr>
          <w:rFonts w:hint="eastAsia" w:cs="Times New Roman" w:asciiTheme="minorEastAsia" w:hAnsiTheme="minorEastAsia" w:eastAsiaTheme="minorEastAsia"/>
          <w:color w:val="auto"/>
          <w:kern w:val="2"/>
          <w:sz w:val="21"/>
          <w:szCs w:val="21"/>
          <w:highlight w:val="none"/>
        </w:rPr>
        <w:t>注：供应商先要申领CA，拿到CA后需要在政采云平台进行绑定，CA相关操作可参考《CA申领操作指南》和《CA管理操作指南》。完成CA数字证书办理在资料齐全的情况下预计7个工作日左右，建议供应商获取招标文件后立即办理。　　　</w:t>
      </w:r>
    </w:p>
    <w:p w14:paraId="5AAACF5A">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5.2电子交易操作指南：</w:t>
      </w:r>
      <w:r>
        <w:rPr>
          <w:color w:val="auto"/>
          <w:highlight w:val="none"/>
        </w:rPr>
        <w:fldChar w:fldCharType="begin"/>
      </w:r>
      <w:r>
        <w:rPr>
          <w:color w:val="auto"/>
          <w:highlight w:val="none"/>
        </w:rPr>
        <w:instrText xml:space="preserve"> HYPERLINK "https://help.zcygov.cn/web/site_2/2018/12-28/2573.html"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https://help.zcygov.cn/web/site_2/2018/12-28/2573.html</w:t>
      </w:r>
      <w:r>
        <w:rPr>
          <w:rFonts w:hint="eastAsia" w:cs="Times New Roman" w:asciiTheme="minorEastAsia" w:hAnsiTheme="minorEastAsia" w:eastAsiaTheme="minorEastAsia"/>
          <w:color w:val="auto"/>
          <w:kern w:val="2"/>
          <w:sz w:val="21"/>
          <w:szCs w:val="21"/>
          <w:highlight w:val="none"/>
        </w:rPr>
        <w:fldChar w:fldCharType="end"/>
      </w:r>
    </w:p>
    <w:p w14:paraId="78C7E988">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《CA申领操作指南》：</w:t>
      </w:r>
      <w:r>
        <w:rPr>
          <w:color w:val="auto"/>
          <w:highlight w:val="none"/>
        </w:rPr>
        <w:fldChar w:fldCharType="begin"/>
      </w:r>
      <w:r>
        <w:rPr>
          <w:color w:val="auto"/>
          <w:highlight w:val="none"/>
        </w:rPr>
        <w:instrText xml:space="preserve"> HYPERLINK "https://help.zcygov.cn/web/site_2/2018/11-29/2452.html"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https://help.zcygov.cn/web/site_2/2018/11-29/2452.html</w:t>
      </w:r>
      <w:r>
        <w:rPr>
          <w:rFonts w:hint="eastAsia" w:cs="Times New Roman" w:asciiTheme="minorEastAsia" w:hAnsiTheme="minorEastAsia" w:eastAsiaTheme="minorEastAsia"/>
          <w:color w:val="auto"/>
          <w:kern w:val="2"/>
          <w:sz w:val="21"/>
          <w:szCs w:val="21"/>
          <w:highlight w:val="none"/>
        </w:rPr>
        <w:fldChar w:fldCharType="end"/>
      </w:r>
    </w:p>
    <w:p w14:paraId="09E1C5F3">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《CA管理操作指南》：</w:t>
      </w:r>
      <w:r>
        <w:rPr>
          <w:color w:val="auto"/>
          <w:highlight w:val="none"/>
        </w:rPr>
        <w:fldChar w:fldCharType="begin"/>
      </w:r>
      <w:r>
        <w:rPr>
          <w:color w:val="auto"/>
          <w:highlight w:val="none"/>
        </w:rPr>
        <w:instrText xml:space="preserve"> HYPERLINK "https://help.zcygov.cn/web/site_2/2019/08-20/3405.html"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https://help.zcygov.cn/web/site_2/2019/08-20/3405.html</w:t>
      </w:r>
      <w:r>
        <w:rPr>
          <w:rFonts w:hint="eastAsia" w:cs="Times New Roman" w:asciiTheme="minorEastAsia" w:hAnsiTheme="minorEastAsia" w:eastAsiaTheme="minorEastAsia"/>
          <w:color w:val="auto"/>
          <w:kern w:val="2"/>
          <w:sz w:val="21"/>
          <w:szCs w:val="21"/>
          <w:highlight w:val="none"/>
        </w:rPr>
        <w:fldChar w:fldCharType="end"/>
      </w:r>
    </w:p>
    <w:p w14:paraId="39D1901A">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 xml:space="preserve">《CA驱动和申领流程》 </w:t>
      </w:r>
      <w:r>
        <w:rPr>
          <w:color w:val="auto"/>
          <w:highlight w:val="none"/>
        </w:rPr>
        <w:fldChar w:fldCharType="begin"/>
      </w:r>
      <w:r>
        <w:rPr>
          <w:color w:val="auto"/>
          <w:highlight w:val="none"/>
        </w:rPr>
        <w:instrText xml:space="preserve"> HYPERLINK "http://www.zjzfcg.gov.cn/bidClientTemplate/2019-05-27/12945.html"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http://www.zjzfcg.gov.cn/bidClientTemplate/2019-05-27/12945.html</w:t>
      </w:r>
      <w:r>
        <w:rPr>
          <w:rFonts w:hint="eastAsia" w:cs="Times New Roman" w:asciiTheme="minorEastAsia" w:hAnsiTheme="minorEastAsia" w:eastAsiaTheme="minorEastAsia"/>
          <w:color w:val="auto"/>
          <w:kern w:val="2"/>
          <w:sz w:val="21"/>
          <w:szCs w:val="21"/>
          <w:highlight w:val="none"/>
        </w:rPr>
        <w:fldChar w:fldCharType="end"/>
      </w:r>
    </w:p>
    <w:p w14:paraId="3BA1345B">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注：ＣＡ证书遗失补办、延期、解锁、质保等业务可以在联连客户端上进行操作；使用政采云投标客户端时，建议使用WIN7及以上操作系统。</w:t>
      </w:r>
    </w:p>
    <w:p w14:paraId="19B3836A">
      <w:pPr>
        <w:pStyle w:val="515"/>
        <w:spacing w:line="360" w:lineRule="auto"/>
        <w:rPr>
          <w:rFonts w:cs="Times New Roman" w:asciiTheme="minorEastAsia" w:hAnsiTheme="minorEastAsia" w:eastAsiaTheme="minorEastAsia"/>
          <w:b/>
          <w:color w:val="auto"/>
          <w:kern w:val="2"/>
          <w:sz w:val="21"/>
          <w:szCs w:val="21"/>
          <w:highlight w:val="none"/>
        </w:rPr>
      </w:pPr>
      <w:r>
        <w:rPr>
          <w:rFonts w:hint="eastAsia" w:cs="Times New Roman" w:asciiTheme="minorEastAsia" w:hAnsiTheme="minorEastAsia" w:eastAsiaTheme="minorEastAsia"/>
          <w:b/>
          <w:color w:val="auto"/>
          <w:kern w:val="2"/>
          <w:sz w:val="21"/>
          <w:szCs w:val="21"/>
          <w:highlight w:val="none"/>
        </w:rPr>
        <w:t>十、注意事项</w:t>
      </w:r>
    </w:p>
    <w:p w14:paraId="289C3159">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1.供应商进行电子投标应安装客户端软件，并按照招标文件和电子交易平台的要求编制并加密投标文件。供应商未按规定加密的投标文件，代理机构应当拒收。</w:t>
      </w:r>
    </w:p>
    <w:p w14:paraId="5E8A10E0">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供应商应当在提交首次响应文件截止时间前完成电子响应文件的传输，提交首次响应文件截止时间前可以补充、修改或者撤回电子响应文件。补充或者修改电子响应文件的，应当先行撤回原文件，补充、修改后重新传输递交。提交首次响应文件截止时间前未完成传输的，视为撤回响应文件。投标截止时间后提交的响应文件，视为无效。</w:t>
      </w:r>
    </w:p>
    <w:p w14:paraId="5A165CCD">
      <w:pPr>
        <w:spacing w:before="120" w:beforeLines="50" w:after="120" w:afterLines="50"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十一、磋商公告发布于</w:t>
      </w:r>
      <w:r>
        <w:rPr>
          <w:rFonts w:hint="eastAsia" w:asciiTheme="minorEastAsia" w:hAnsiTheme="minorEastAsia" w:eastAsiaTheme="minorEastAsia"/>
          <w:color w:val="auto"/>
          <w:kern w:val="2"/>
          <w:szCs w:val="21"/>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65"/>
          <w:rFonts w:asciiTheme="minorEastAsia" w:hAnsiTheme="minorEastAsia" w:eastAsiaTheme="minorEastAsia"/>
          <w:color w:val="auto"/>
          <w:kern w:val="2"/>
          <w:szCs w:val="21"/>
          <w:highlight w:val="none"/>
        </w:rPr>
        <w:t>http://www.zjzfcg.gov.cn/</w:t>
      </w:r>
      <w:r>
        <w:rPr>
          <w:rStyle w:val="65"/>
          <w:rFonts w:asciiTheme="minorEastAsia" w:hAnsiTheme="minorEastAsia" w:eastAsiaTheme="minorEastAsia"/>
          <w:color w:val="auto"/>
          <w:kern w:val="2"/>
          <w:szCs w:val="21"/>
          <w:highlight w:val="none"/>
        </w:rPr>
        <w:fldChar w:fldCharType="end"/>
      </w:r>
      <w:r>
        <w:rPr>
          <w:rFonts w:hint="eastAsia" w:asciiTheme="minorEastAsia" w:hAnsiTheme="minorEastAsia" w:eastAsiaTheme="minorEastAsia"/>
          <w:color w:val="auto"/>
          <w:kern w:val="2"/>
          <w:szCs w:val="21"/>
          <w:highlight w:val="none"/>
        </w:rPr>
        <w:t>)。</w:t>
      </w:r>
    </w:p>
    <w:p w14:paraId="776EB5AE">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kern w:val="2"/>
          <w:szCs w:val="21"/>
          <w:highlight w:val="none"/>
        </w:rPr>
        <w:t>十二、开标时间及地点：</w:t>
      </w:r>
      <w:r>
        <w:rPr>
          <w:rFonts w:hint="eastAsia" w:cs="Arial" w:asciiTheme="minorEastAsia" w:hAnsiTheme="minorEastAsia" w:eastAsiaTheme="minorEastAsia"/>
          <w:color w:val="auto"/>
          <w:szCs w:val="21"/>
          <w:highlight w:val="none"/>
        </w:rPr>
        <w:t>本次招标将于</w:t>
      </w:r>
      <w:r>
        <w:rPr>
          <w:rFonts w:hint="eastAsia" w:asciiTheme="minorEastAsia" w:hAnsiTheme="minorEastAsia" w:eastAsiaTheme="minorEastAsia"/>
          <w:b/>
          <w:color w:val="auto"/>
          <w:szCs w:val="21"/>
          <w:highlight w:val="none"/>
          <w:shd w:val="clear" w:color="auto" w:fill="FFFFFF"/>
          <w:lang w:eastAsia="zh-CN"/>
        </w:rPr>
        <w:t>2025年7月4日</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时00分</w:t>
      </w:r>
      <w:r>
        <w:rPr>
          <w:rFonts w:hint="eastAsia" w:cs="宋体" w:asciiTheme="minorEastAsia" w:hAnsiTheme="minorEastAsia" w:eastAsiaTheme="minorEastAsia"/>
          <w:b/>
          <w:bCs/>
          <w:color w:val="auto"/>
          <w:szCs w:val="21"/>
          <w:highlight w:val="none"/>
        </w:rPr>
        <w:t>整</w:t>
      </w:r>
      <w:r>
        <w:rPr>
          <w:rFonts w:hint="eastAsia" w:asciiTheme="minorEastAsia" w:hAnsiTheme="minorEastAsia" w:eastAsiaTheme="minorEastAsia"/>
          <w:color w:val="auto"/>
          <w:kern w:val="2"/>
          <w:szCs w:val="21"/>
          <w:highlight w:val="none"/>
        </w:rPr>
        <w:t>在浙江省浙江省嘉兴市秀洲区</w:t>
      </w:r>
      <w:r>
        <w:rPr>
          <w:rFonts w:hint="eastAsia" w:asciiTheme="minorEastAsia" w:hAnsiTheme="minorEastAsia" w:eastAsiaTheme="minorEastAsia"/>
          <w:color w:val="auto"/>
          <w:kern w:val="2"/>
          <w:szCs w:val="21"/>
          <w:highlight w:val="none"/>
          <w:lang w:eastAsia="zh-CN"/>
        </w:rPr>
        <w:t>洪兴路</w:t>
      </w:r>
      <w:r>
        <w:rPr>
          <w:rFonts w:hint="eastAsia" w:asciiTheme="minorEastAsia" w:hAnsiTheme="minorEastAsia" w:eastAsiaTheme="minorEastAsia"/>
          <w:color w:val="auto"/>
          <w:kern w:val="2"/>
          <w:szCs w:val="21"/>
          <w:highlight w:val="none"/>
          <w:lang w:val="en-US" w:eastAsia="zh-CN"/>
        </w:rPr>
        <w:t>2399号宝地大厦15楼1506室</w:t>
      </w:r>
      <w:r>
        <w:rPr>
          <w:rFonts w:hint="eastAsia" w:asciiTheme="minorEastAsia" w:hAnsiTheme="minorEastAsia" w:eastAsiaTheme="minorEastAsia"/>
          <w:color w:val="auto"/>
          <w:kern w:val="2"/>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r>
        <w:rPr>
          <w:rFonts w:hint="eastAsia" w:cs="Arial" w:asciiTheme="minorEastAsia" w:hAnsiTheme="minorEastAsia" w:eastAsiaTheme="minorEastAsia"/>
          <w:color w:val="auto"/>
          <w:szCs w:val="21"/>
          <w:highlight w:val="none"/>
        </w:rPr>
        <w:t>开标时间后半小时内</w:t>
      </w:r>
      <w:r>
        <w:rPr>
          <w:rFonts w:cs="Arial" w:asciiTheme="minorEastAsia" w:hAnsiTheme="minorEastAsia" w:eastAsiaTheme="minorEastAsia"/>
          <w:color w:val="auto"/>
          <w:szCs w:val="21"/>
          <w:highlight w:val="none"/>
        </w:rPr>
        <w:t>供应商可以登录“</w:t>
      </w:r>
      <w:r>
        <w:rPr>
          <w:rFonts w:hint="eastAsia" w:cs="Arial" w:asciiTheme="minorEastAsia" w:hAnsiTheme="minorEastAsia" w:eastAsiaTheme="minorEastAsia"/>
          <w:color w:val="auto"/>
          <w:szCs w:val="21"/>
          <w:highlight w:val="none"/>
        </w:rPr>
        <w:t>政采云</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平台</w:t>
      </w:r>
      <w:r>
        <w:rPr>
          <w:rFonts w:cs="Arial" w:asciiTheme="minorEastAsia" w:hAnsiTheme="minorEastAsia" w:eastAsiaTheme="minorEastAsia"/>
          <w:color w:val="auto"/>
          <w:szCs w:val="21"/>
          <w:highlight w:val="none"/>
        </w:rPr>
        <w:t>，用“</w:t>
      </w:r>
      <w:r>
        <w:rPr>
          <w:rFonts w:hint="eastAsia" w:cs="Arial" w:asciiTheme="minorEastAsia" w:hAnsiTheme="minorEastAsia" w:eastAsiaTheme="minorEastAsia"/>
          <w:color w:val="auto"/>
          <w:szCs w:val="21"/>
          <w:highlight w:val="none"/>
        </w:rPr>
        <w:t>项目采购-开标评标</w:t>
      </w:r>
      <w:r>
        <w:rPr>
          <w:rFonts w:cs="Arial" w:asciiTheme="minorEastAsia" w:hAnsiTheme="minorEastAsia" w:eastAsiaTheme="minorEastAsia"/>
          <w:color w:val="auto"/>
          <w:szCs w:val="21"/>
          <w:highlight w:val="none"/>
        </w:rPr>
        <w:t>”功能</w:t>
      </w:r>
      <w:r>
        <w:rPr>
          <w:rFonts w:hint="eastAsia" w:cs="Arial" w:asciiTheme="minorEastAsia" w:hAnsiTheme="minorEastAsia" w:eastAsiaTheme="minorEastAsia"/>
          <w:color w:val="auto"/>
          <w:szCs w:val="21"/>
          <w:highlight w:val="none"/>
        </w:rPr>
        <w:t>进行解密投标文件</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若供应商在规定时间内投</w:t>
      </w:r>
      <w:r>
        <w:rPr>
          <w:rFonts w:cs="Arial" w:asciiTheme="minorEastAsia" w:hAnsiTheme="minorEastAsia" w:eastAsiaTheme="minorEastAsia"/>
          <w:color w:val="auto"/>
          <w:szCs w:val="21"/>
          <w:highlight w:val="none"/>
        </w:rPr>
        <w:t>标文件</w:t>
      </w:r>
      <w:r>
        <w:rPr>
          <w:rFonts w:hint="eastAsia" w:cs="Arial" w:asciiTheme="minorEastAsia" w:hAnsiTheme="minorEastAsia" w:eastAsiaTheme="minorEastAsia"/>
          <w:color w:val="auto"/>
          <w:szCs w:val="21"/>
          <w:highlight w:val="none"/>
        </w:rPr>
        <w:t>无法解密或解密失败</w:t>
      </w:r>
      <w:r>
        <w:rPr>
          <w:rFonts w:cs="Arial" w:asciiTheme="minorEastAsia" w:hAnsiTheme="minorEastAsia" w:eastAsiaTheme="minorEastAsia"/>
          <w:color w:val="auto"/>
          <w:szCs w:val="21"/>
          <w:highlight w:val="none"/>
        </w:rPr>
        <w:t>（含未</w:t>
      </w:r>
      <w:r>
        <w:rPr>
          <w:rFonts w:hint="eastAsia" w:cs="Arial" w:asciiTheme="minorEastAsia" w:hAnsiTheme="minorEastAsia" w:eastAsiaTheme="minorEastAsia"/>
          <w:color w:val="auto"/>
          <w:szCs w:val="21"/>
          <w:highlight w:val="none"/>
        </w:rPr>
        <w:t>提交</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则投标无效。</w:t>
      </w:r>
    </w:p>
    <w:p w14:paraId="53B50D14">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十三、采购人</w:t>
      </w:r>
    </w:p>
    <w:p w14:paraId="1C9E1B37">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采购单位：嘉兴市秀洲区人民政府新城街道办事处</w:t>
      </w:r>
    </w:p>
    <w:p w14:paraId="0C13695A">
      <w:pPr>
        <w:spacing w:line="360" w:lineRule="auto"/>
        <w:rPr>
          <w:rFonts w:asciiTheme="minorEastAsia" w:hAnsiTheme="minorEastAsia" w:eastAsiaTheme="minorEastAsia"/>
          <w:color w:val="auto"/>
          <w:szCs w:val="21"/>
          <w:highlight w:val="none"/>
        </w:rPr>
      </w:pPr>
      <w:bookmarkStart w:id="2" w:name="_Toc528441152"/>
      <w:bookmarkStart w:id="3" w:name="_Toc31529"/>
      <w:bookmarkStart w:id="4" w:name="_Toc5218"/>
      <w:r>
        <w:rPr>
          <w:rFonts w:hint="eastAsia" w:asciiTheme="minorEastAsia" w:hAnsiTheme="minorEastAsia" w:eastAsiaTheme="minorEastAsia"/>
          <w:color w:val="auto"/>
          <w:szCs w:val="21"/>
          <w:highlight w:val="none"/>
        </w:rPr>
        <w:t>联系人：</w:t>
      </w:r>
      <w:r>
        <w:rPr>
          <w:rFonts w:hint="eastAsia" w:asciiTheme="minorEastAsia" w:hAnsiTheme="minorEastAsia" w:eastAsiaTheme="minorEastAsia"/>
          <w:color w:val="auto"/>
          <w:szCs w:val="21"/>
          <w:highlight w:val="none"/>
          <w:lang w:val="en-US" w:eastAsia="zh-CN"/>
        </w:rPr>
        <w:t>唐</w:t>
      </w:r>
      <w:r>
        <w:rPr>
          <w:rFonts w:hint="eastAsia" w:asciiTheme="minorEastAsia" w:hAnsiTheme="minorEastAsia" w:eastAsiaTheme="minorEastAsia"/>
          <w:color w:val="auto"/>
          <w:szCs w:val="21"/>
          <w:highlight w:val="none"/>
        </w:rPr>
        <w:t xml:space="preserve">先生           </w:t>
      </w:r>
    </w:p>
    <w:p w14:paraId="37A1BE3B">
      <w:pPr>
        <w:spacing w:line="360" w:lineRule="auto"/>
        <w:rPr>
          <w:rFonts w:hint="default"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rPr>
        <w:t>地    址：</w:t>
      </w:r>
      <w:r>
        <w:rPr>
          <w:rFonts w:hint="eastAsia" w:ascii="宋体" w:hAnsi="宋体" w:eastAsia="宋体" w:cs="宋体"/>
          <w:color w:val="auto"/>
          <w:sz w:val="21"/>
          <w:szCs w:val="21"/>
          <w:highlight w:val="none"/>
        </w:rPr>
        <w:t>浙江省嘉兴市</w:t>
      </w:r>
      <w:r>
        <w:rPr>
          <w:rFonts w:hint="eastAsia" w:ascii="宋体" w:hAnsi="宋体" w:cs="宋体"/>
          <w:color w:val="auto"/>
          <w:sz w:val="21"/>
          <w:szCs w:val="21"/>
          <w:highlight w:val="none"/>
          <w:lang w:val="en-US" w:eastAsia="zh-CN"/>
        </w:rPr>
        <w:t>聚贤路393号</w:t>
      </w:r>
    </w:p>
    <w:p w14:paraId="5447B715">
      <w:pPr>
        <w:spacing w:line="360" w:lineRule="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lang w:val="en-US" w:eastAsia="zh-CN"/>
        </w:rPr>
        <w:t xml:space="preserve">0573-  </w:t>
      </w:r>
    </w:p>
    <w:p w14:paraId="1277BE93">
      <w:pPr>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color w:val="auto"/>
          <w:szCs w:val="21"/>
          <w:highlight w:val="none"/>
        </w:rPr>
        <w:t>十四、代理机构</w:t>
      </w:r>
    </w:p>
    <w:p w14:paraId="351AA0FF">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名称：嘉兴市银建工程咨询评估有限公司</w:t>
      </w:r>
    </w:p>
    <w:p w14:paraId="1927BC00">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地址：嘉兴市洪兴路2399号宝地大厦1205室</w:t>
      </w:r>
    </w:p>
    <w:p w14:paraId="02C510D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传    真：/             </w:t>
      </w:r>
    </w:p>
    <w:p w14:paraId="46009114">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项目联系人（询问）：</w:t>
      </w:r>
      <w:r>
        <w:rPr>
          <w:rFonts w:hint="eastAsia" w:asciiTheme="minorEastAsia" w:hAnsiTheme="minorEastAsia" w:eastAsiaTheme="minorEastAsia"/>
          <w:color w:val="auto"/>
          <w:szCs w:val="21"/>
          <w:highlight w:val="none"/>
          <w:lang w:val="en-US" w:eastAsia="zh-CN"/>
        </w:rPr>
        <w:t>谢女士</w:t>
      </w:r>
      <w:r>
        <w:rPr>
          <w:rFonts w:hint="eastAsia" w:asciiTheme="minorEastAsia" w:hAnsiTheme="minorEastAsia" w:eastAsiaTheme="minorEastAsia"/>
          <w:color w:val="auto"/>
          <w:szCs w:val="21"/>
          <w:highlight w:val="none"/>
        </w:rPr>
        <w:t xml:space="preserve"> </w:t>
      </w:r>
    </w:p>
    <w:p w14:paraId="66014B48">
      <w:pPr>
        <w:spacing w:line="360" w:lineRule="auto"/>
        <w:rPr>
          <w:rFonts w:hint="default" w:asciiTheme="minorEastAsia" w:hAnsiTheme="minorEastAsia" w:eastAsiaTheme="minorEastAsia"/>
          <w:color w:val="auto"/>
          <w:szCs w:val="21"/>
          <w:highlight w:val="none"/>
          <w:lang w:val="en-US" w:eastAsia="zh-CN"/>
        </w:rPr>
      </w:pPr>
      <w:r>
        <w:rPr>
          <w:rFonts w:asciiTheme="minorEastAsia" w:hAnsiTheme="minorEastAsia" w:eastAsiaTheme="minorEastAsia"/>
          <w:color w:val="auto"/>
          <w:szCs w:val="21"/>
          <w:highlight w:val="none"/>
        </w:rPr>
        <w:t>项目联系方式（询问）：</w:t>
      </w:r>
      <w:r>
        <w:rPr>
          <w:rFonts w:hint="eastAsia" w:asciiTheme="minorEastAsia" w:hAnsiTheme="minorEastAsia" w:eastAsiaTheme="minorEastAsia"/>
          <w:color w:val="auto"/>
          <w:szCs w:val="21"/>
          <w:highlight w:val="none"/>
          <w:lang w:val="en-US" w:eastAsia="zh-CN"/>
        </w:rPr>
        <w:t>15868399512</w:t>
      </w:r>
    </w:p>
    <w:p w14:paraId="1C57255A">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质疑联系人：</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李先生</w:t>
      </w:r>
    </w:p>
    <w:p w14:paraId="627F1C6E">
      <w:pPr>
        <w:spacing w:line="360" w:lineRule="auto"/>
        <w:rPr>
          <w:rFonts w:hint="default"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rPr>
        <w:t>质疑联系方式：</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18006615280</w:t>
      </w:r>
    </w:p>
    <w:p w14:paraId="78919AC6">
      <w:pPr>
        <w:numPr>
          <w:ilvl w:val="0"/>
          <w:numId w:val="4"/>
        </w:numPr>
        <w:snapToGrid w:val="0"/>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政府采购监督管理部门：</w:t>
      </w:r>
    </w:p>
    <w:p w14:paraId="6CB2805D">
      <w:pPr>
        <w:snapToGrid w:val="0"/>
        <w:spacing w:line="360" w:lineRule="auto"/>
        <w:rPr>
          <w:rFonts w:cs="Arial" w:asciiTheme="minorEastAsia" w:hAnsiTheme="minorEastAsia" w:eastAsiaTheme="minorEastAsia"/>
          <w:bCs/>
          <w:color w:val="auto"/>
          <w:szCs w:val="21"/>
          <w:highlight w:val="none"/>
        </w:rPr>
      </w:pPr>
      <w:r>
        <w:rPr>
          <w:rFonts w:hint="eastAsia" w:cs="Arial" w:asciiTheme="minorEastAsia" w:hAnsiTheme="minorEastAsia" w:eastAsiaTheme="minorEastAsia"/>
          <w:bCs/>
          <w:color w:val="auto"/>
          <w:szCs w:val="21"/>
          <w:highlight w:val="none"/>
        </w:rPr>
        <w:t>名    称：嘉兴市秀洲区财政局</w:t>
      </w:r>
    </w:p>
    <w:p w14:paraId="71F3CC3D">
      <w:pPr>
        <w:snapToGrid w:val="0"/>
        <w:spacing w:line="360" w:lineRule="auto"/>
        <w:rPr>
          <w:rFonts w:cs="Arial" w:asciiTheme="minorEastAsia" w:hAnsiTheme="minorEastAsia" w:eastAsiaTheme="minorEastAsia"/>
          <w:bCs/>
          <w:color w:val="auto"/>
          <w:szCs w:val="21"/>
          <w:highlight w:val="none"/>
        </w:rPr>
      </w:pPr>
      <w:r>
        <w:rPr>
          <w:rFonts w:hint="eastAsia" w:cs="Arial" w:asciiTheme="minorEastAsia" w:hAnsiTheme="minorEastAsia" w:eastAsiaTheme="minorEastAsia"/>
          <w:bCs/>
          <w:color w:val="auto"/>
          <w:szCs w:val="21"/>
          <w:highlight w:val="none"/>
        </w:rPr>
        <w:t>联系人 ：宋女士</w:t>
      </w:r>
    </w:p>
    <w:p w14:paraId="21DAB213">
      <w:pPr>
        <w:snapToGrid w:val="0"/>
        <w:spacing w:line="360" w:lineRule="auto"/>
        <w:rPr>
          <w:rFonts w:hint="eastAsia" w:cs="Arial" w:asciiTheme="minorEastAsia" w:hAnsiTheme="minorEastAsia" w:eastAsiaTheme="minorEastAsia"/>
          <w:b/>
          <w:color w:val="auto"/>
          <w:szCs w:val="21"/>
          <w:highlight w:val="none"/>
          <w:lang w:eastAsia="zh-CN"/>
        </w:rPr>
      </w:pPr>
      <w:r>
        <w:rPr>
          <w:rFonts w:hint="eastAsia" w:cs="Arial" w:asciiTheme="minorEastAsia" w:hAnsiTheme="minorEastAsia" w:eastAsiaTheme="minorEastAsia"/>
          <w:bCs/>
          <w:color w:val="auto"/>
          <w:szCs w:val="21"/>
          <w:highlight w:val="none"/>
        </w:rPr>
        <w:t>监督投诉电话：0573-8272008</w:t>
      </w:r>
      <w:r>
        <w:rPr>
          <w:rFonts w:hint="eastAsia" w:cs="Arial" w:asciiTheme="minorEastAsia" w:hAnsiTheme="minorEastAsia" w:eastAsiaTheme="minorEastAsia"/>
          <w:bCs/>
          <w:color w:val="auto"/>
          <w:szCs w:val="21"/>
          <w:highlight w:val="none"/>
          <w:lang w:val="en-US" w:eastAsia="zh-CN"/>
        </w:rPr>
        <w:t>5</w:t>
      </w:r>
    </w:p>
    <w:p w14:paraId="5A8FE63E">
      <w:pPr>
        <w:snapToGrid w:val="0"/>
        <w:spacing w:line="360" w:lineRule="auto"/>
        <w:rPr>
          <w:rFonts w:cs="Arial"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十</w:t>
      </w:r>
      <w:r>
        <w:rPr>
          <w:rFonts w:hint="eastAsia" w:cs="Arial" w:asciiTheme="minorEastAsia" w:hAnsiTheme="minorEastAsia" w:eastAsiaTheme="minorEastAsia"/>
          <w:b/>
          <w:bCs/>
          <w:color w:val="auto"/>
          <w:szCs w:val="21"/>
          <w:highlight w:val="none"/>
        </w:rPr>
        <w:t>六</w:t>
      </w:r>
      <w:r>
        <w:rPr>
          <w:rFonts w:cs="Arial" w:asciiTheme="minorEastAsia" w:hAnsiTheme="minorEastAsia" w:eastAsiaTheme="minorEastAsia"/>
          <w:b/>
          <w:bCs/>
          <w:color w:val="auto"/>
          <w:szCs w:val="21"/>
          <w:highlight w:val="none"/>
        </w:rPr>
        <w:t>、其他事项：</w:t>
      </w:r>
    </w:p>
    <w:p w14:paraId="76355668">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本项目公告期限为</w:t>
      </w:r>
      <w:r>
        <w:rPr>
          <w:rFonts w:hint="eastAsia" w:asciiTheme="minorEastAsia" w:hAnsiTheme="minorEastAsia" w:eastAsiaTheme="minorEastAsia"/>
          <w:color w:val="auto"/>
          <w:szCs w:val="21"/>
          <w:highlight w:val="none"/>
        </w:rPr>
        <w:t>自公告发布之日起至投标截止时间</w:t>
      </w:r>
      <w:r>
        <w:rPr>
          <w:rFonts w:asciiTheme="minorEastAsia" w:hAnsiTheme="minorEastAsia" w:eastAsiaTheme="minorEastAsia"/>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9F813F">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p>
    <w:p w14:paraId="022C3EDD">
      <w:pPr>
        <w:snapToGrid w:val="0"/>
        <w:spacing w:line="360" w:lineRule="auto"/>
        <w:jc w:val="right"/>
        <w:rPr>
          <w:rFonts w:asciiTheme="minorEastAsia" w:hAnsiTheme="minorEastAsia" w:eastAsiaTheme="minorEastAsia"/>
          <w:color w:val="auto"/>
          <w:szCs w:val="21"/>
          <w:highlight w:val="none"/>
        </w:rPr>
      </w:pPr>
    </w:p>
    <w:p w14:paraId="27E22F95">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采购</w:t>
      </w:r>
      <w:r>
        <w:rPr>
          <w:rFonts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rPr>
        <w:t>嘉兴市秀洲区人民政府新城街道办事处</w:t>
      </w:r>
    </w:p>
    <w:p w14:paraId="5AF4958B">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代理机构：嘉兴市银建工程咨询评估有限公司</w:t>
      </w:r>
    </w:p>
    <w:p w14:paraId="4D79FF0B">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202</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24</w:t>
      </w:r>
      <w:r>
        <w:rPr>
          <w:rFonts w:asciiTheme="minorEastAsia" w:hAnsiTheme="minorEastAsia" w:eastAsiaTheme="minorEastAsia"/>
          <w:color w:val="auto"/>
          <w:szCs w:val="21"/>
          <w:highlight w:val="none"/>
        </w:rPr>
        <w:t>日</w:t>
      </w:r>
    </w:p>
    <w:p w14:paraId="71AEE3E4">
      <w:pPr>
        <w:pStyle w:val="4"/>
        <w:spacing w:line="360" w:lineRule="auto"/>
        <w:rPr>
          <w:rFonts w:asciiTheme="minorEastAsia" w:hAnsiTheme="minorEastAsia" w:eastAsiaTheme="minorEastAsia"/>
          <w:color w:val="auto"/>
          <w:highlight w:val="none"/>
        </w:rPr>
        <w:sectPr>
          <w:pgSz w:w="11906" w:h="16838"/>
          <w:pgMar w:top="1440" w:right="1440" w:bottom="1440" w:left="1440" w:header="851" w:footer="567" w:gutter="0"/>
          <w:cols w:space="720" w:num="1"/>
          <w:docGrid w:linePitch="312" w:charSpace="0"/>
        </w:sectPr>
      </w:pPr>
    </w:p>
    <w:p w14:paraId="3EF88080">
      <w:pPr>
        <w:snapToGrid w:val="0"/>
        <w:spacing w:before="120" w:beforeLines="50" w:after="120" w:afterLines="50" w:line="360" w:lineRule="auto"/>
        <w:ind w:left="238"/>
        <w:jc w:val="center"/>
        <w:outlineLvl w:val="0"/>
        <w:rPr>
          <w:rFonts w:asciiTheme="minorEastAsia" w:hAnsiTheme="minorEastAsia" w:eastAsiaTheme="minorEastAsia"/>
          <w:b/>
          <w:color w:val="auto"/>
          <w:sz w:val="28"/>
          <w:szCs w:val="28"/>
          <w:highlight w:val="none"/>
        </w:rPr>
      </w:pPr>
      <w:bookmarkStart w:id="5" w:name="_Toc29127"/>
      <w:r>
        <w:rPr>
          <w:rFonts w:hint="eastAsia" w:asciiTheme="minorEastAsia" w:hAnsiTheme="minorEastAsia" w:eastAsiaTheme="minorEastAsia"/>
          <w:b/>
          <w:color w:val="auto"/>
          <w:sz w:val="28"/>
          <w:szCs w:val="28"/>
          <w:highlight w:val="none"/>
        </w:rPr>
        <w:t>第二章  招标需求</w:t>
      </w:r>
      <w:bookmarkEnd w:id="5"/>
    </w:p>
    <w:p w14:paraId="37FAEE18">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银建-JXYJ（2025）28号</w:t>
      </w:r>
    </w:p>
    <w:p w14:paraId="0FCD5272">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新城派出所院内翻新改造</w:t>
      </w:r>
    </w:p>
    <w:p w14:paraId="2EB96F5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采购人名称：嘉兴市秀洲区人民政府新城街道办事处</w:t>
      </w:r>
    </w:p>
    <w:p w14:paraId="6FA2A576">
      <w:pPr>
        <w:rPr>
          <w:rFonts w:ascii="宋体" w:hAnsi="宋体" w:cs="宋体"/>
          <w:color w:val="auto"/>
          <w:szCs w:val="21"/>
          <w:highlight w:val="none"/>
        </w:rPr>
      </w:pPr>
      <w:r>
        <w:rPr>
          <w:rFonts w:hint="eastAsia" w:ascii="宋体" w:hAnsi="宋体" w:cs="宋体"/>
          <w:color w:val="auto"/>
          <w:szCs w:val="21"/>
          <w:highlight w:val="none"/>
        </w:rPr>
        <w:t xml:space="preserve">   项目基本情况：</w:t>
      </w:r>
      <w:r>
        <w:rPr>
          <w:rFonts w:hint="eastAsia" w:ascii="宋体" w:hAnsi="宋体" w:cs="宋体"/>
          <w:color w:val="auto"/>
          <w:szCs w:val="21"/>
          <w:highlight w:val="none"/>
          <w:lang w:eastAsia="zh-CN"/>
        </w:rPr>
        <w:t>新城派出所院内翻新改造</w:t>
      </w:r>
      <w:r>
        <w:rPr>
          <w:rFonts w:hint="eastAsia" w:ascii="宋体" w:hAnsi="宋体" w:cs="宋体"/>
          <w:color w:val="auto"/>
          <w:szCs w:val="21"/>
          <w:highlight w:val="none"/>
        </w:rPr>
        <w:t>，具体详见工程量清单</w:t>
      </w:r>
    </w:p>
    <w:p w14:paraId="3AC3C7FC">
      <w:pPr>
        <w:numPr>
          <w:ilvl w:val="0"/>
          <w:numId w:val="0"/>
        </w:numPr>
        <w:spacing w:line="440" w:lineRule="exact"/>
        <w:ind w:leftChars="200"/>
        <w:jc w:val="left"/>
        <w:outlineLvl w:val="0"/>
        <w:rPr>
          <w:rFonts w:hint="eastAsia" w:ascii="宋体" w:hAnsi="宋体" w:eastAsia="宋体" w:cs="宋体"/>
          <w:b/>
          <w:color w:val="auto"/>
          <w:szCs w:val="21"/>
          <w:highlight w:val="none"/>
        </w:rPr>
      </w:pPr>
      <w:bookmarkStart w:id="6" w:name="_Toc160454514"/>
      <w:bookmarkStart w:id="7" w:name="_Toc160452775"/>
      <w:bookmarkStart w:id="8" w:name="_Toc95393309"/>
      <w:r>
        <w:rPr>
          <w:rFonts w:hint="eastAsia" w:ascii="宋体" w:hAnsi="宋体" w:eastAsia="宋体" w:cs="宋体"/>
          <w:b/>
          <w:color w:val="auto"/>
          <w:szCs w:val="21"/>
          <w:highlight w:val="none"/>
          <w:lang w:eastAsia="zh-CN"/>
        </w:rPr>
        <w:t>实施要求</w:t>
      </w:r>
      <w:bookmarkEnd w:id="6"/>
      <w:bookmarkEnd w:id="7"/>
      <w:bookmarkEnd w:id="8"/>
    </w:p>
    <w:p w14:paraId="6D591AF7">
      <w:pPr>
        <w:spacing w:line="440" w:lineRule="exact"/>
        <w:ind w:firstLine="420" w:firstLineChars="200"/>
        <w:jc w:val="left"/>
        <w:outlineLvl w:val="0"/>
        <w:rPr>
          <w:rFonts w:hint="eastAsia" w:ascii="宋体" w:hAnsi="宋体" w:eastAsia="宋体" w:cs="宋体"/>
          <w:color w:val="auto"/>
          <w:szCs w:val="21"/>
          <w:highlight w:val="none"/>
        </w:rPr>
      </w:pPr>
      <w:bookmarkStart w:id="9" w:name="_Toc160452776"/>
      <w:bookmarkStart w:id="10" w:name="_Toc160454515"/>
      <w:r>
        <w:rPr>
          <w:rFonts w:hint="eastAsia" w:ascii="宋体" w:hAnsi="宋体" w:eastAsia="宋体" w:cs="宋体"/>
          <w:color w:val="auto"/>
          <w:szCs w:val="21"/>
          <w:highlight w:val="none"/>
        </w:rPr>
        <w:t>1.投标报价应是招标文件所确定的招标范围内全部工作内容的价格表现，除非合同中另有规定，投标人在投标总价中的价格均包括完成该工程项目的分部分项工程费、措施项目费、其他项目费、规费、税金及政策性文件规定等所有费用以及合同明示或暗示的所有责任、义务和一切风险。</w:t>
      </w:r>
    </w:p>
    <w:p w14:paraId="03BE3F6D">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按清单中列出的工程项目填报单价和合价。每一项目只允许有一个报价。任何有选择的报价不予接受，投标人未填单价或合价的工程项目，在实施后，招标人将不予支付，并视作该项费用已包括在其它有价款的单价或合价内。投标人在填报价格及费用时应充分考虑国家现行工程建设标准、技术规范要求及有关要求，投标报价时投标人认为必须或可能发生的费用应全部考虑在总报价中，未在总报价中体现的视作已综合在单价中或已全部优惠。</w:t>
      </w:r>
      <w:bookmarkEnd w:id="9"/>
      <w:bookmarkEnd w:id="10"/>
    </w:p>
    <w:p w14:paraId="1C33F6DB">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中只描述了分项工程计量范围内完成本分项工程应有的主要工作内容，但投标人填报的综合单价应是包含了分项工程计量范围内的所有工作内容的价格，无论工程量清单有无明确列项或表示，只要是为完成该分项工程所需要做的工作和为了满足该分项工程的完整性所需要做的工作，均视为该分项工程所包含的内容。投标人在填写工程量清单的每一项的综合单价和合价时应结合投标须知及构成招标文件的施工合同、技术规范和现场勘察情况进行报价。</w:t>
      </w:r>
    </w:p>
    <w:p w14:paraId="4A432734">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4.本工程报价采用</w:t>
      </w:r>
      <w:r>
        <w:rPr>
          <w:rFonts w:hint="eastAsia" w:ascii="宋体" w:hAnsi="宋体" w:eastAsia="宋体" w:cs="宋体"/>
          <w:b/>
          <w:color w:val="auto"/>
          <w:szCs w:val="21"/>
          <w:highlight w:val="none"/>
          <w:u w:val="single"/>
        </w:rPr>
        <w:t xml:space="preserve"> 综合单价固定 </w:t>
      </w:r>
      <w:r>
        <w:rPr>
          <w:rFonts w:hint="eastAsia" w:ascii="宋体" w:hAnsi="宋体" w:eastAsia="宋体" w:cs="宋体"/>
          <w:color w:val="auto"/>
          <w:szCs w:val="21"/>
          <w:highlight w:val="none"/>
        </w:rPr>
        <w:t>方式进行编制。</w:t>
      </w:r>
    </w:p>
    <w:p w14:paraId="6D71C5B4">
      <w:pPr>
        <w:spacing w:line="440" w:lineRule="exact"/>
        <w:ind w:right="-59" w:rightChars="-28" w:firstLine="420" w:firstLineChars="200"/>
        <w:jc w:val="left"/>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综合单价是为完成一个规定清单项目（或定额项目）所需的人工费、材料费、机械费、和对应的企业管理费、利润及一定范围内的风险费用。各投标人投标报价时应按招标人统一提供的工程量清单</w:t>
      </w:r>
      <w:r>
        <w:rPr>
          <w:rFonts w:hint="eastAsia" w:ascii="宋体" w:hAnsi="宋体" w:eastAsia="宋体" w:cs="宋体"/>
          <w:b/>
          <w:color w:val="auto"/>
          <w:szCs w:val="21"/>
          <w:highlight w:val="none"/>
          <w:u w:val="single"/>
        </w:rPr>
        <w:t>采用综合单价法</w:t>
      </w:r>
      <w:r>
        <w:rPr>
          <w:rFonts w:hint="eastAsia" w:ascii="宋体" w:hAnsi="宋体" w:eastAsia="宋体" w:cs="宋体"/>
          <w:color w:val="auto"/>
          <w:szCs w:val="21"/>
          <w:highlight w:val="none"/>
        </w:rPr>
        <w:t>进行计价。</w:t>
      </w:r>
      <w:r>
        <w:rPr>
          <w:rFonts w:hint="eastAsia" w:ascii="宋体" w:hAnsi="宋体" w:eastAsia="宋体" w:cs="宋体"/>
          <w:b/>
          <w:bCs/>
          <w:color w:val="auto"/>
          <w:szCs w:val="21"/>
          <w:highlight w:val="none"/>
          <w:u w:val="single"/>
        </w:rPr>
        <w:t>结算时综合单价固定，工程量按实计算（明确一次性包干或结算不作调整的项目和费用除外）。</w:t>
      </w:r>
    </w:p>
    <w:p w14:paraId="3A258A5B">
      <w:pPr>
        <w:spacing w:line="440" w:lineRule="exact"/>
        <w:ind w:right="-59" w:rightChars="-28"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（1）本工程计价方法采用“国标清单计价”，</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报价编制各投标人应根据企业自身实力，按照《建设工程工程量清单计价规范》（GB50500-2013）、《市政工程工程量计算规范》（GB50857-2013）、《浙江省市政工程预算定额》（2018版）、《浙江省建设工程施工机械台班费用定额》（2018版）、《浙江省建设工程计价规则》（2018版）、《浙江省建筑安装材料基期价格》（2018版）等计价依据及省、市相关补充规定进行投标报价。</w:t>
      </w:r>
    </w:p>
    <w:p w14:paraId="0591FB8C">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（2）安全文明施工费为必须计取的措施项目，本工程为</w:t>
      </w:r>
      <w:r>
        <w:rPr>
          <w:rFonts w:hint="eastAsia" w:ascii="宋体" w:hAnsi="宋体" w:eastAsia="宋体" w:cs="宋体"/>
          <w:b/>
          <w:color w:val="auto"/>
          <w:szCs w:val="21"/>
          <w:highlight w:val="none"/>
        </w:rPr>
        <w:t>市区</w:t>
      </w:r>
      <w:r>
        <w:rPr>
          <w:rFonts w:hint="eastAsia" w:ascii="宋体" w:hAnsi="宋体" w:eastAsia="宋体" w:cs="宋体"/>
          <w:color w:val="auto"/>
          <w:szCs w:val="21"/>
          <w:highlight w:val="none"/>
        </w:rPr>
        <w:t>工程，安全文明施工基本费报价按《浙江省建设工程计价规则》（2018版）取费规定（不得低于下限值）和《省建设厅关于调整建筑工程安全文明施工费的通知》（浙建建发〔2022〕37号文）文件的规定。</w:t>
      </w:r>
    </w:p>
    <w:p w14:paraId="346861F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规费按《关于转发省住建厅、省发改委、省财政厅&lt;关于颁发浙江省建设工程计价依据（2018版）的通知&gt;的通知》（嘉建办[2019]34号文）执行，投标人报价时可根据自身项目缴纳规费的实际情况，自主确定其投标费率，但不得低于《浙江省建设工程计价规则》（2018版）规定的标准费率的30%。</w:t>
      </w:r>
    </w:p>
    <w:p w14:paraId="7E773419">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税金属不可竞争费用，按《浙江省建设工程计价规则》（2018版）及《关于增值税调整后我省建设工程计价依据增值税税率及有关计价调整的通知》（浙建建发[2019]92号文）规定的一般计税方法的税率计取，税金费率为9%。</w:t>
      </w:r>
    </w:p>
    <w:p w14:paraId="3F5B568F">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人工工日单价可参照《浙江省建筑工程预算定额》（2018版）及近期《嘉兴造价管理》，材料价格可参考近期《嘉兴造价管理》、《浙江造价信息》（正刊）信息价及浙建建发[2019]92号文件规定，机械费按照《浙江省建设工程施工机械台班费用定额》（2018版）及浙建建发[2019]92号文件规定，结算时单价均不作调整。</w:t>
      </w:r>
    </w:p>
    <w:p w14:paraId="6BBD9677">
      <w:pPr>
        <w:spacing w:line="440" w:lineRule="exact"/>
        <w:ind w:firstLine="420" w:firstLineChars="200"/>
        <w:jc w:val="left"/>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5.投标时投标人不得擅自调整工程量清单中的项目编码、项目名称、项目特征描述、计量单位、工程数量，否则按不响应招标文件处理。</w:t>
      </w:r>
    </w:p>
    <w:p w14:paraId="156F5EDA">
      <w:pPr>
        <w:spacing w:line="440" w:lineRule="exact"/>
        <w:ind w:firstLine="420" w:firstLineChars="200"/>
        <w:jc w:val="left"/>
        <w:rPr>
          <w:rFonts w:hint="eastAsia" w:ascii="宋体" w:hAnsi="宋体" w:eastAsia="宋体" w:cs="宋体"/>
          <w:color w:val="auto"/>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.施工期间的用水、用电、电讯线路、材料堆放场地、临时设施搭设、临时便道等由施工单位自行解决，所需费用（包括用水、用电涨价风险因素）投标人报价时自行综合考虑，结算时不增加费用。</w:t>
      </w:r>
    </w:p>
    <w:p w14:paraId="51746E6F">
      <w:pPr>
        <w:spacing w:line="440" w:lineRule="exact"/>
        <w:ind w:firstLine="482"/>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.投标人应自行认真踏勘现场，凡施工范围内和临设区域内需要布置的临时围墙、临时道路、与公共道路连接的临时道路等产生的费用由投标人报价时自行综合考虑，结算时不增加费用。</w:t>
      </w:r>
    </w:p>
    <w:p w14:paraId="7181FD60">
      <w:pPr>
        <w:spacing w:line="440" w:lineRule="exact"/>
        <w:ind w:firstLine="482"/>
        <w:rPr>
          <w:rFonts w:hint="eastAsia" w:ascii="宋体" w:hAnsi="宋体" w:eastAsia="宋体" w:cs="宋体"/>
          <w:color w:val="auto"/>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highlight w:val="none"/>
        </w:rPr>
        <w:t>缩短工期增加费、文明施工费、行车干扰因素所产生的费用均由投标人报价时自行综合考虑，结算时不增加费用。</w:t>
      </w:r>
    </w:p>
    <w:p w14:paraId="3BDD80B5">
      <w:pPr>
        <w:spacing w:line="440" w:lineRule="exact"/>
        <w:ind w:firstLine="482"/>
        <w:jc w:val="left"/>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.承包人应做好施工现场及附近的安全维护措施，由于承包人措施不力，导致事故频发造成重大影响，引起索赔，赔偿、诉讼费用及工程拖延或施工费用增加的，一切责任和费用均由承包人承担。</w:t>
      </w:r>
    </w:p>
    <w:p w14:paraId="54E41CAA">
      <w:pPr>
        <w:spacing w:line="440" w:lineRule="exact"/>
        <w:ind w:firstLine="482"/>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0</w:t>
      </w:r>
      <w:r>
        <w:rPr>
          <w:rFonts w:hint="eastAsia" w:ascii="宋体" w:hAnsi="宋体" w:eastAsia="宋体" w:cs="宋体"/>
          <w:color w:val="auto"/>
          <w:highlight w:val="none"/>
        </w:rPr>
        <w:t>.在施工过程中，由于非发包人也非承包人原因造成工程暂停施工，如果有相关行政部门的相关政策，按政策执行；如果没有相关行政部门的相关政策，暂停施工引起的工期延误可以顺延，但暂停施工引起的所有费用和利润损失由承包人承担。投标人在投标时应自行考虑相应的风险。</w:t>
      </w:r>
    </w:p>
    <w:p w14:paraId="6395FEAC">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.投标人务必自行踏勘现场，并充分考虑施工现场条件差、交通不便等因素所产生的费用，报价时自行综合考虑，结算时不增加费用。</w:t>
      </w:r>
    </w:p>
    <w:p w14:paraId="710AB42A">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.项目施工期间或施工后对原有道路或绿化有损坏的，须恢复原样，费用由承包人承担。</w:t>
      </w:r>
    </w:p>
    <w:p w14:paraId="5EF60A53">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szCs w:val="21"/>
          <w:highlight w:val="none"/>
        </w:rPr>
        <w:t>承包人在施工过程中应注意对原有建筑物、基础设施及各类公用管线、井盖的保护，如有损坏，应由承包人及时修复并承担一切费用，如不及时修复的，招标人将请专业单位进行修复,费用从承包人工程款中直接扣除（管线的保护措施按相关管线部门的要求，费用投标人报价时自行综合考虑，结算时不增加费用）。</w:t>
      </w:r>
    </w:p>
    <w:p w14:paraId="474FD594">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.施工过程中及施工结束后注意施工场地的保洁，要满足环卫要求，临时便道、建筑垃圾、废弃物等应及时清运，所需费用投标人报价时自行综合考虑，结算时不增加费用。</w:t>
      </w:r>
    </w:p>
    <w:p w14:paraId="35161776">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投标人应充分考虑市政、环保、排污、交通、治安、绿化、卫生及运输等方面与现场施工有关的情况及处理周边关系等可能发生的费用，其费用投标人报价时自行综合考虑，结算时不增加费用。</w:t>
      </w:r>
    </w:p>
    <w:p w14:paraId="2EF1D01E">
      <w:pPr>
        <w:spacing w:line="440" w:lineRule="exact"/>
        <w:ind w:firstLine="482"/>
        <w:rPr>
          <w:rFonts w:hint="eastAsia" w:ascii="宋体" w:hAnsi="宋体" w:eastAsia="宋体" w:cs="宋体"/>
          <w:color w:val="auto"/>
          <w:highlight w:val="none"/>
        </w:rPr>
      </w:pPr>
      <w:bookmarkStart w:id="11" w:name="_Toc396891428"/>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highlight w:val="none"/>
        </w:rPr>
        <w:t>其他内容：</w:t>
      </w:r>
      <w:bookmarkEnd w:id="11"/>
    </w:p>
    <w:p w14:paraId="3B66CD42">
      <w:pPr>
        <w:spacing w:line="440" w:lineRule="exact"/>
        <w:ind w:firstLine="482"/>
        <w:rPr>
          <w:rFonts w:hint="eastAsia" w:ascii="宋体" w:hAnsi="宋体" w:eastAsia="宋体" w:cs="宋体"/>
          <w:color w:val="auto"/>
          <w:highlight w:val="none"/>
        </w:rPr>
      </w:pPr>
      <w:bookmarkStart w:id="12" w:name="_Toc396891429"/>
      <w:r>
        <w:rPr>
          <w:rFonts w:hint="eastAsia" w:ascii="宋体" w:hAnsi="宋体" w:eastAsia="宋体" w:cs="宋体"/>
          <w:color w:val="auto"/>
          <w:highlight w:val="none"/>
        </w:rPr>
        <w:t>①对于施工附近可能影响的周围建筑物，构筑物的保护所发生的费用，投标人报价时自行综合考虑，结算时不增加费用。</w:t>
      </w:r>
      <w:bookmarkEnd w:id="12"/>
    </w:p>
    <w:p w14:paraId="7017A407">
      <w:pPr>
        <w:spacing w:line="440" w:lineRule="exact"/>
        <w:ind w:firstLine="482"/>
        <w:rPr>
          <w:rFonts w:hint="eastAsia" w:ascii="宋体" w:hAnsi="宋体" w:eastAsia="宋体" w:cs="宋体"/>
          <w:color w:val="auto"/>
          <w:highlight w:val="none"/>
        </w:rPr>
      </w:pPr>
      <w:bookmarkStart w:id="13" w:name="_Toc396891431"/>
      <w:r>
        <w:rPr>
          <w:rFonts w:hint="eastAsia" w:ascii="宋体" w:hAnsi="宋体" w:eastAsia="宋体" w:cs="宋体"/>
          <w:color w:val="auto"/>
          <w:highlight w:val="none"/>
        </w:rPr>
        <w:t>②施工期间引起的扰民（包括：行车、噪音、污染、损坏居民物品等影响民众生活的因素）投标人报价时自行综合考虑，结算时不增加费用。</w:t>
      </w:r>
      <w:bookmarkEnd w:id="13"/>
    </w:p>
    <w:p w14:paraId="3D302EF8">
      <w:pPr>
        <w:spacing w:line="440" w:lineRule="exact"/>
        <w:ind w:firstLine="482"/>
        <w:rPr>
          <w:rFonts w:hint="eastAsia" w:ascii="宋体" w:hAnsi="宋体" w:eastAsia="宋体" w:cs="宋体"/>
          <w:color w:val="auto"/>
          <w:highlight w:val="none"/>
        </w:rPr>
      </w:pPr>
      <w:bookmarkStart w:id="14" w:name="_Toc396891432"/>
      <w:r>
        <w:rPr>
          <w:rFonts w:hint="eastAsia" w:ascii="宋体" w:hAnsi="宋体" w:eastAsia="宋体" w:cs="宋体"/>
          <w:color w:val="auto"/>
          <w:highlight w:val="none"/>
        </w:rPr>
        <w:t>③投标活动中所发生的其他费用则为投标人非投标报价费用而自行另担。</w:t>
      </w:r>
      <w:bookmarkEnd w:id="14"/>
    </w:p>
    <w:p w14:paraId="64F1C3ED">
      <w:pPr>
        <w:pStyle w:val="29"/>
        <w:numPr>
          <w:ilvl w:val="0"/>
          <w:numId w:val="0"/>
        </w:num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hAnsi="宋体" w:cs="宋体"/>
          <w:b/>
          <w:color w:val="auto"/>
          <w:szCs w:val="21"/>
          <w:highlight w:val="none"/>
          <w:lang w:val="en-US" w:eastAsia="zh-CN"/>
        </w:rPr>
        <w:t>7</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投标人在施工过程中发生一切安全事故均</w:t>
      </w:r>
      <w:r>
        <w:rPr>
          <w:rFonts w:hint="eastAsia" w:hAnsi="宋体" w:cs="宋体"/>
          <w:b/>
          <w:color w:val="auto"/>
          <w:szCs w:val="21"/>
          <w:highlight w:val="none"/>
          <w:lang w:val="en-US" w:eastAsia="zh-CN"/>
        </w:rPr>
        <w:t>全部</w:t>
      </w:r>
      <w:r>
        <w:rPr>
          <w:rFonts w:hint="eastAsia" w:ascii="宋体" w:hAnsi="宋体" w:eastAsia="宋体" w:cs="宋体"/>
          <w:b/>
          <w:color w:val="auto"/>
          <w:szCs w:val="21"/>
          <w:highlight w:val="none"/>
        </w:rPr>
        <w:t>由投标人自行解决，若造成不良影响的，须承担法律责任。</w:t>
      </w:r>
    </w:p>
    <w:p w14:paraId="15F43B09">
      <w:pPr>
        <w:pStyle w:val="29"/>
        <w:spacing w:line="440" w:lineRule="exact"/>
        <w:rPr>
          <w:rFonts w:hAnsi="宋体" w:cs="宋体"/>
          <w:color w:val="auto"/>
          <w:kern w:val="0"/>
          <w:sz w:val="22"/>
          <w:szCs w:val="22"/>
          <w:highlight w:val="none"/>
        </w:rPr>
      </w:pPr>
      <w:r>
        <w:rPr>
          <w:rFonts w:hint="eastAsia" w:hAnsi="宋体" w:cs="宋体"/>
          <w:color w:val="auto"/>
          <w:kern w:val="0"/>
          <w:sz w:val="22"/>
          <w:szCs w:val="22"/>
          <w:highlight w:val="none"/>
        </w:rPr>
        <w:t>商务要求表</w:t>
      </w:r>
    </w:p>
    <w:tbl>
      <w:tblPr>
        <w:tblStyle w:val="5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12"/>
      </w:tblGrid>
      <w:tr w14:paraId="622C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6" w:type="dxa"/>
            <w:vAlign w:val="center"/>
          </w:tcPr>
          <w:p w14:paraId="4524B7B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施工工期</w:t>
            </w:r>
          </w:p>
        </w:tc>
        <w:tc>
          <w:tcPr>
            <w:tcW w:w="7912" w:type="dxa"/>
            <w:vAlign w:val="center"/>
          </w:tcPr>
          <w:p w14:paraId="04669372">
            <w:pPr>
              <w:spacing w:line="400" w:lineRule="exact"/>
              <w:rPr>
                <w:rFonts w:ascii="宋体" w:hAnsi="宋体" w:cs="宋体"/>
                <w:bCs/>
                <w:color w:val="auto"/>
                <w:szCs w:val="21"/>
                <w:highlight w:val="none"/>
              </w:rPr>
            </w:pPr>
            <w:r>
              <w:rPr>
                <w:rFonts w:hint="eastAsia" w:ascii="宋体" w:hAnsi="宋体" w:cs="宋体"/>
                <w:color w:val="auto"/>
                <w:szCs w:val="21"/>
                <w:highlight w:val="none"/>
                <w:lang w:eastAsia="zh-CN"/>
              </w:rPr>
              <w:t>合同签订后70天内完成</w:t>
            </w:r>
            <w:r>
              <w:rPr>
                <w:rFonts w:hint="eastAsia" w:ascii="宋体" w:hAnsi="宋体" w:cs="宋体"/>
                <w:color w:val="auto"/>
                <w:szCs w:val="21"/>
                <w:highlight w:val="none"/>
              </w:rPr>
              <w:t>。</w:t>
            </w:r>
          </w:p>
        </w:tc>
      </w:tr>
      <w:tr w14:paraId="46F8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6" w:type="dxa"/>
            <w:vAlign w:val="center"/>
          </w:tcPr>
          <w:p w14:paraId="230141F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项目实施地点</w:t>
            </w:r>
          </w:p>
        </w:tc>
        <w:tc>
          <w:tcPr>
            <w:tcW w:w="7912" w:type="dxa"/>
            <w:vAlign w:val="center"/>
          </w:tcPr>
          <w:p w14:paraId="1C5D9B41">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新城街道派出所</w:t>
            </w:r>
          </w:p>
        </w:tc>
      </w:tr>
      <w:tr w14:paraId="3761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6" w:type="dxa"/>
            <w:vAlign w:val="center"/>
          </w:tcPr>
          <w:p w14:paraId="1151B363">
            <w:pPr>
              <w:spacing w:line="3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缺陷责任期</w:t>
            </w:r>
          </w:p>
        </w:tc>
        <w:tc>
          <w:tcPr>
            <w:tcW w:w="7912" w:type="dxa"/>
            <w:vAlign w:val="center"/>
          </w:tcPr>
          <w:p w14:paraId="79AE35AC">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2年</w:t>
            </w:r>
          </w:p>
        </w:tc>
      </w:tr>
      <w:tr w14:paraId="1C03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6" w:type="dxa"/>
            <w:vAlign w:val="center"/>
          </w:tcPr>
          <w:p w14:paraId="78758DE4">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价款</w:t>
            </w:r>
            <w:r>
              <w:rPr>
                <w:rFonts w:hint="eastAsia" w:ascii="宋体" w:hAnsi="宋体" w:cs="宋体"/>
                <w:color w:val="auto"/>
                <w:szCs w:val="21"/>
                <w:highlight w:val="none"/>
              </w:rPr>
              <w:t>支付</w:t>
            </w:r>
          </w:p>
        </w:tc>
        <w:tc>
          <w:tcPr>
            <w:tcW w:w="7912" w:type="dxa"/>
            <w:vAlign w:val="center"/>
          </w:tcPr>
          <w:p w14:paraId="1CFCFB2D">
            <w:pPr>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1.在合同生效以及具备实施条件后7个工作日内支付合同金额的40%预付款；</w:t>
            </w:r>
          </w:p>
          <w:p w14:paraId="3EC630B5">
            <w:pPr>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2.项目完成</w:t>
            </w:r>
            <w:r>
              <w:rPr>
                <w:rFonts w:hint="eastAsia" w:asciiTheme="minorEastAsia" w:hAnsiTheme="minorEastAsia" w:cstheme="minorEastAsia"/>
                <w:color w:val="auto"/>
                <w:szCs w:val="21"/>
                <w:highlight w:val="none"/>
                <w:lang w:eastAsia="zh-CN"/>
              </w:rPr>
              <w:t>且</w:t>
            </w:r>
            <w:r>
              <w:rPr>
                <w:rFonts w:hint="eastAsia" w:asciiTheme="minorEastAsia" w:hAnsiTheme="minorEastAsia" w:cstheme="minorEastAsia"/>
                <w:color w:val="auto"/>
                <w:szCs w:val="21"/>
                <w:highlight w:val="none"/>
              </w:rPr>
              <w:t>验收合格后30个工作日内支付至合同价的85%；</w:t>
            </w:r>
            <w:r>
              <w:rPr>
                <w:rFonts w:hint="eastAsia" w:asciiTheme="minorEastAsia" w:hAnsiTheme="minorEastAsia" w:cstheme="minorEastAsia"/>
                <w:color w:val="auto"/>
                <w:szCs w:val="21"/>
                <w:highlight w:val="none"/>
                <w:lang w:val="en-US" w:eastAsia="zh-CN"/>
              </w:rPr>
              <w:t>余款在结算审计完成后承包人向发包人支付结算价1.5%的质量保证金后支付至结算价的100%</w:t>
            </w:r>
            <w:r>
              <w:rPr>
                <w:rFonts w:hint="eastAsia" w:asciiTheme="minorEastAsia" w:hAnsiTheme="minorEastAsia" w:cstheme="minorEastAsia"/>
                <w:color w:val="auto"/>
                <w:szCs w:val="21"/>
                <w:highlight w:val="none"/>
              </w:rPr>
              <w:t>。</w:t>
            </w:r>
          </w:p>
          <w:p w14:paraId="0A4F90DD">
            <w:pPr>
              <w:spacing w:line="340" w:lineRule="exact"/>
              <w:rPr>
                <w:rFonts w:ascii="宋体" w:hAnsi="宋体" w:cs="宋体"/>
                <w:color w:val="auto"/>
                <w:szCs w:val="21"/>
                <w:highlight w:val="none"/>
              </w:rPr>
            </w:pPr>
            <w:r>
              <w:rPr>
                <w:rFonts w:hint="eastAsia" w:asciiTheme="minorEastAsia" w:hAnsiTheme="minorEastAsia" w:cstheme="minorEastAsia"/>
                <w:color w:val="auto"/>
                <w:szCs w:val="21"/>
                <w:highlight w:val="none"/>
              </w:rPr>
              <w:t>注1.中标人根据采购人的要求提供相关结算资料，及相应税务发票；</w:t>
            </w:r>
          </w:p>
        </w:tc>
      </w:tr>
      <w:tr w14:paraId="630A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36" w:type="dxa"/>
            <w:vAlign w:val="center"/>
          </w:tcPr>
          <w:p w14:paraId="51C75817">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912" w:type="dxa"/>
            <w:vAlign w:val="center"/>
          </w:tcPr>
          <w:p w14:paraId="039DA91F">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本项目不设置</w:t>
            </w:r>
          </w:p>
        </w:tc>
      </w:tr>
      <w:tr w14:paraId="4AF1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Align w:val="center"/>
          </w:tcPr>
          <w:p w14:paraId="64DBB91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7912" w:type="dxa"/>
            <w:vAlign w:val="center"/>
          </w:tcPr>
          <w:p w14:paraId="39ED6B42">
            <w:pPr>
              <w:autoSpaceDE w:val="0"/>
              <w:autoSpaceDN w:val="0"/>
              <w:spacing w:line="340" w:lineRule="exact"/>
              <w:rPr>
                <w:rFonts w:ascii="宋体" w:hAnsi="宋体" w:cs="宋体"/>
                <w:color w:val="auto"/>
                <w:szCs w:val="21"/>
                <w:highlight w:val="none"/>
              </w:rPr>
            </w:pPr>
            <w:r>
              <w:rPr>
                <w:rFonts w:hint="eastAsia" w:ascii="宋体" w:hAnsi="宋体" w:cs="宋体"/>
                <w:color w:val="auto"/>
                <w:szCs w:val="21"/>
                <w:highlight w:val="none"/>
                <w:lang w:val="zh-CN"/>
              </w:rPr>
              <w:t>有关本项目实施</w:t>
            </w:r>
            <w:r>
              <w:rPr>
                <w:rFonts w:hint="eastAsia" w:ascii="宋体" w:hAnsi="宋体" w:cs="宋体"/>
                <w:color w:val="auto"/>
                <w:szCs w:val="21"/>
                <w:highlight w:val="none"/>
              </w:rPr>
              <w:t>及质保期内</w:t>
            </w:r>
            <w:r>
              <w:rPr>
                <w:rFonts w:hint="eastAsia" w:ascii="宋体" w:hAnsi="宋体" w:cs="宋体"/>
                <w:color w:val="auto"/>
                <w:szCs w:val="21"/>
                <w:highlight w:val="none"/>
                <w:lang w:val="zh-CN"/>
              </w:rPr>
              <w:t>所需的所有费用（含税费）均计入报价，</w:t>
            </w:r>
            <w:r>
              <w:rPr>
                <w:rFonts w:hint="eastAsia" w:ascii="宋体" w:hAnsi="宋体" w:cs="宋体"/>
                <w:color w:val="auto"/>
                <w:szCs w:val="21"/>
                <w:highlight w:val="none"/>
              </w:rPr>
              <w:t>投标报价是履行合同的最终价格。</w:t>
            </w:r>
          </w:p>
        </w:tc>
      </w:tr>
      <w:tr w14:paraId="296C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36" w:type="dxa"/>
            <w:vAlign w:val="center"/>
          </w:tcPr>
          <w:p w14:paraId="3EAFF69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安全生产责任</w:t>
            </w:r>
          </w:p>
        </w:tc>
        <w:tc>
          <w:tcPr>
            <w:tcW w:w="7912" w:type="dxa"/>
            <w:vAlign w:val="center"/>
          </w:tcPr>
          <w:p w14:paraId="2AC7AC45">
            <w:pPr>
              <w:spacing w:line="340" w:lineRule="exact"/>
              <w:rPr>
                <w:rFonts w:ascii="宋体" w:hAnsi="宋体" w:cs="宋体"/>
                <w:color w:val="auto"/>
                <w:szCs w:val="21"/>
                <w:highlight w:val="none"/>
              </w:rPr>
            </w:pPr>
            <w:r>
              <w:rPr>
                <w:rFonts w:hint="eastAsia" w:ascii="宋体" w:hAnsi="宋体" w:cs="宋体"/>
                <w:color w:val="auto"/>
                <w:szCs w:val="21"/>
                <w:highlight w:val="none"/>
              </w:rPr>
              <w:t>中标人应自行承担项目实施过程中安全生产责任，采购人任何情况下均不承担因此产生的任何法律责任和经济责任。</w:t>
            </w:r>
          </w:p>
        </w:tc>
      </w:tr>
    </w:tbl>
    <w:p w14:paraId="6088F5B8">
      <w:pPr>
        <w:snapToGrid w:val="0"/>
        <w:spacing w:line="400" w:lineRule="exact"/>
        <w:ind w:firstLine="420"/>
        <w:rPr>
          <w:color w:val="auto"/>
          <w:highlight w:val="none"/>
        </w:rPr>
      </w:pPr>
    </w:p>
    <w:p w14:paraId="70CEA5BC">
      <w:pPr>
        <w:snapToGrid w:val="0"/>
        <w:spacing w:before="120" w:after="120" w:line="360" w:lineRule="auto"/>
        <w:outlineLvl w:val="0"/>
        <w:rPr>
          <w:rFonts w:asciiTheme="minorEastAsia" w:hAnsiTheme="minorEastAsia" w:eastAsiaTheme="minorEastAsia"/>
          <w:b/>
          <w:color w:val="auto"/>
          <w:sz w:val="28"/>
          <w:szCs w:val="28"/>
          <w:highlight w:val="none"/>
        </w:rPr>
      </w:pPr>
    </w:p>
    <w:p w14:paraId="345789AF">
      <w:pP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14:paraId="49195584">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5" w:name="_Toc6290"/>
      <w:r>
        <w:rPr>
          <w:rFonts w:hint="eastAsia" w:asciiTheme="minorEastAsia" w:hAnsiTheme="minorEastAsia" w:eastAsiaTheme="minorEastAsia"/>
          <w:b/>
          <w:color w:val="auto"/>
          <w:sz w:val="28"/>
          <w:szCs w:val="28"/>
          <w:highlight w:val="none"/>
        </w:rPr>
        <w:t>第三章  供应商须知</w:t>
      </w:r>
      <w:bookmarkEnd w:id="15"/>
    </w:p>
    <w:p w14:paraId="6F125448">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6" w:name="_Toc27073"/>
      <w:r>
        <w:rPr>
          <w:rFonts w:hint="eastAsia" w:asciiTheme="minorEastAsia" w:hAnsiTheme="minorEastAsia" w:eastAsiaTheme="minorEastAsia"/>
          <w:b/>
          <w:color w:val="auto"/>
          <w:sz w:val="28"/>
          <w:szCs w:val="28"/>
          <w:highlight w:val="none"/>
        </w:rPr>
        <w:t>电子交易注意事项</w:t>
      </w:r>
      <w:bookmarkEnd w:id="16"/>
    </w:p>
    <w:p w14:paraId="5E0229DE">
      <w:pPr>
        <w:spacing w:line="360" w:lineRule="auto"/>
        <w:ind w:firstLine="210" w:firstLineChars="100"/>
        <w:rPr>
          <w:rFonts w:cs="宋体" w:asciiTheme="minorEastAsia" w:hAnsiTheme="minorEastAsia" w:eastAsiaTheme="minorEastAsia"/>
          <w:color w:val="auto"/>
          <w:szCs w:val="21"/>
          <w:highlight w:val="none"/>
          <w:shd w:val="clear" w:color="auto" w:fill="FFFFFF"/>
        </w:rPr>
      </w:pPr>
    </w:p>
    <w:p w14:paraId="018FF1D3">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政府采购项目电子交易活动适用《浙江省政府采购项目电子交易管理暂行办法》，现将相关注意事项告知如下：</w:t>
      </w:r>
    </w:p>
    <w:p w14:paraId="6911206C">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1.代理机构按照招标文件规定的时间通过电子交易平台组织开标、开启投标文件，所有供应商均应当准时在线参加，直至评审结束。</w:t>
      </w:r>
    </w:p>
    <w:p w14:paraId="035DD592">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2.投标文件未按时解密，供应商如提供备份投标文件的，以符合要求的备份投标文件作为依据，否则视为投标文件撤回。投标文件已按时解密的，备份投标文件自动失效。</w:t>
      </w:r>
    </w:p>
    <w:p w14:paraId="490C7A17">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3.采购过程中出现以下情形，导致电子交易平台无法正常运行，或者无法保证电子交易的公平、公正和安全时，代理机构可中止电子交易活动：</w:t>
      </w:r>
    </w:p>
    <w:p w14:paraId="79556BBF">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（一）电子交易平台发生故障而无法登录访问的； </w:t>
      </w:r>
    </w:p>
    <w:p w14:paraId="646451A1">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（二）电子交易平台应用或数据库出现错误，不能进行正常操作的；</w:t>
      </w:r>
    </w:p>
    <w:p w14:paraId="27AAF570">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（三）电子交易平台发现严重安全漏洞，有潜在泄密危险的；</w:t>
      </w:r>
    </w:p>
    <w:p w14:paraId="650D58AD">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（四）病毒发作导致不能进行正常操作的； </w:t>
      </w:r>
    </w:p>
    <w:p w14:paraId="45705324">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（五）其他无法保证电子交易的公平、公正和安全的情况。</w:t>
      </w:r>
    </w:p>
    <w:p w14:paraId="23DAE15F">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出现前款规定情形，不影响采购公平、公正性的，代理机构可以待上述情形消除后继续组织电子交易活动，也可以决定某些环节以纸质形式进行；影响或可能影响采购公平、公正性的，应当重新采购。</w:t>
      </w:r>
    </w:p>
    <w:p w14:paraId="57FEF287">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03D619A2">
      <w:pPr>
        <w:spacing w:line="360" w:lineRule="auto"/>
        <w:jc w:val="center"/>
        <w:rPr>
          <w:rFonts w:asciiTheme="minorEastAsia" w:hAnsiTheme="minorEastAsia" w:eastAsiaTheme="minorEastAsia"/>
          <w:b/>
          <w:bCs/>
          <w:color w:val="auto"/>
          <w:kern w:val="2"/>
          <w:szCs w:val="21"/>
          <w:highlight w:val="none"/>
        </w:rPr>
      </w:pPr>
    </w:p>
    <w:p w14:paraId="63F92D5E">
      <w:pPr>
        <w:spacing w:line="360" w:lineRule="auto"/>
        <w:jc w:val="center"/>
        <w:rPr>
          <w:rFonts w:asciiTheme="minorEastAsia" w:hAnsiTheme="minorEastAsia" w:eastAsiaTheme="minorEastAsia"/>
          <w:b/>
          <w:bCs/>
          <w:color w:val="auto"/>
          <w:kern w:val="2"/>
          <w:szCs w:val="21"/>
          <w:highlight w:val="none"/>
        </w:rPr>
      </w:pPr>
    </w:p>
    <w:p w14:paraId="6788DFE6">
      <w:pPr>
        <w:spacing w:line="360" w:lineRule="auto"/>
        <w:jc w:val="center"/>
        <w:rPr>
          <w:rFonts w:asciiTheme="minorEastAsia" w:hAnsiTheme="minorEastAsia" w:eastAsiaTheme="minorEastAsia"/>
          <w:b/>
          <w:bCs/>
          <w:color w:val="auto"/>
          <w:kern w:val="2"/>
          <w:szCs w:val="21"/>
          <w:highlight w:val="none"/>
        </w:rPr>
      </w:pPr>
    </w:p>
    <w:p w14:paraId="28ACFC1A">
      <w:pPr>
        <w:spacing w:line="360" w:lineRule="auto"/>
        <w:jc w:val="center"/>
        <w:rPr>
          <w:rFonts w:asciiTheme="minorEastAsia" w:hAnsiTheme="minorEastAsia" w:eastAsiaTheme="minorEastAsia"/>
          <w:b/>
          <w:bCs/>
          <w:color w:val="auto"/>
          <w:kern w:val="2"/>
          <w:szCs w:val="21"/>
          <w:highlight w:val="none"/>
        </w:rPr>
      </w:pPr>
    </w:p>
    <w:p w14:paraId="1DC93B1B">
      <w:pPr>
        <w:spacing w:line="360" w:lineRule="auto"/>
        <w:jc w:val="center"/>
        <w:rPr>
          <w:rFonts w:asciiTheme="minorEastAsia" w:hAnsiTheme="minorEastAsia" w:eastAsiaTheme="minorEastAsia"/>
          <w:b/>
          <w:bCs/>
          <w:color w:val="auto"/>
          <w:kern w:val="2"/>
          <w:szCs w:val="21"/>
          <w:highlight w:val="none"/>
        </w:rPr>
      </w:pPr>
    </w:p>
    <w:p w14:paraId="52A220CA">
      <w:pPr>
        <w:spacing w:line="360" w:lineRule="auto"/>
        <w:jc w:val="center"/>
        <w:rPr>
          <w:rFonts w:asciiTheme="minorEastAsia" w:hAnsiTheme="minorEastAsia" w:eastAsiaTheme="minorEastAsia"/>
          <w:b/>
          <w:bCs/>
          <w:color w:val="auto"/>
          <w:kern w:val="2"/>
          <w:szCs w:val="21"/>
          <w:highlight w:val="none"/>
        </w:rPr>
      </w:pPr>
    </w:p>
    <w:p w14:paraId="5CCE6521">
      <w:pPr>
        <w:spacing w:line="360" w:lineRule="auto"/>
        <w:jc w:val="center"/>
        <w:rPr>
          <w:rFonts w:asciiTheme="minorEastAsia" w:hAnsiTheme="minorEastAsia" w:eastAsiaTheme="minorEastAsia"/>
          <w:b/>
          <w:bCs/>
          <w:color w:val="auto"/>
          <w:kern w:val="2"/>
          <w:szCs w:val="21"/>
          <w:highlight w:val="none"/>
        </w:rPr>
      </w:pPr>
    </w:p>
    <w:p w14:paraId="5BCBCC4A">
      <w:pPr>
        <w:spacing w:line="360" w:lineRule="auto"/>
        <w:jc w:val="center"/>
        <w:rPr>
          <w:rFonts w:asciiTheme="minorEastAsia" w:hAnsiTheme="minorEastAsia" w:eastAsiaTheme="minorEastAsia"/>
          <w:b/>
          <w:bCs/>
          <w:color w:val="auto"/>
          <w:kern w:val="2"/>
          <w:szCs w:val="21"/>
          <w:highlight w:val="none"/>
        </w:rPr>
      </w:pPr>
    </w:p>
    <w:p w14:paraId="320E5F3C">
      <w:pPr>
        <w:spacing w:line="360" w:lineRule="auto"/>
        <w:jc w:val="center"/>
        <w:rPr>
          <w:rFonts w:asciiTheme="minorEastAsia" w:hAnsiTheme="minorEastAsia" w:eastAsiaTheme="minorEastAsia"/>
          <w:b/>
          <w:bCs/>
          <w:color w:val="auto"/>
          <w:kern w:val="2"/>
          <w:szCs w:val="21"/>
          <w:highlight w:val="none"/>
        </w:rPr>
      </w:pPr>
    </w:p>
    <w:p w14:paraId="60BDA5C4">
      <w:pPr>
        <w:spacing w:line="360" w:lineRule="auto"/>
        <w:jc w:val="both"/>
        <w:rPr>
          <w:rFonts w:asciiTheme="minorEastAsia" w:hAnsiTheme="minorEastAsia" w:eastAsiaTheme="minorEastAsia"/>
          <w:b/>
          <w:bCs/>
          <w:color w:val="auto"/>
          <w:kern w:val="2"/>
          <w:szCs w:val="21"/>
          <w:highlight w:val="none"/>
        </w:rPr>
      </w:pPr>
    </w:p>
    <w:p w14:paraId="633E04D4">
      <w:pPr>
        <w:spacing w:line="360" w:lineRule="auto"/>
        <w:jc w:val="center"/>
        <w:rPr>
          <w:rFonts w:asciiTheme="minorEastAsia" w:hAnsiTheme="minorEastAsia" w:eastAsiaTheme="minorEastAsia"/>
          <w:b/>
          <w:bCs/>
          <w:color w:val="auto"/>
          <w:kern w:val="2"/>
          <w:szCs w:val="21"/>
          <w:highlight w:val="none"/>
        </w:rPr>
      </w:pPr>
    </w:p>
    <w:p w14:paraId="060FAE36">
      <w:pPr>
        <w:spacing w:line="360" w:lineRule="auto"/>
        <w:jc w:val="center"/>
        <w:rPr>
          <w:rFonts w:asciiTheme="minorEastAsia" w:hAnsiTheme="minorEastAsia" w:eastAsiaTheme="minorEastAsia"/>
          <w:b/>
          <w:bCs/>
          <w:color w:val="auto"/>
          <w:kern w:val="2"/>
          <w:szCs w:val="21"/>
          <w:highlight w:val="none"/>
        </w:rPr>
      </w:pPr>
    </w:p>
    <w:p w14:paraId="0419B4BA">
      <w:pPr>
        <w:spacing w:line="360" w:lineRule="auto"/>
        <w:jc w:val="center"/>
        <w:rPr>
          <w:rFonts w:asciiTheme="minorEastAsia" w:hAnsiTheme="minorEastAsia" w:eastAsiaTheme="minorEastAsia"/>
          <w:b/>
          <w:bCs/>
          <w:color w:val="auto"/>
          <w:kern w:val="2"/>
          <w:szCs w:val="21"/>
          <w:highlight w:val="none"/>
        </w:rPr>
      </w:pPr>
      <w:r>
        <w:rPr>
          <w:rFonts w:hint="eastAsia" w:asciiTheme="minorEastAsia" w:hAnsiTheme="minorEastAsia" w:eastAsiaTheme="minorEastAsia"/>
          <w:b/>
          <w:bCs/>
          <w:color w:val="auto"/>
          <w:kern w:val="2"/>
          <w:szCs w:val="21"/>
          <w:highlight w:val="none"/>
        </w:rPr>
        <w:t>前附表</w:t>
      </w:r>
    </w:p>
    <w:tbl>
      <w:tblPr>
        <w:tblStyle w:val="54"/>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36EFF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bottom"/>
          </w:tcPr>
          <w:p w14:paraId="25A72B46">
            <w:pPr>
              <w:snapToGrid w:val="0"/>
              <w:spacing w:line="360" w:lineRule="auto"/>
              <w:jc w:val="center"/>
              <w:rPr>
                <w:rFonts w:asciiTheme="minorEastAsia" w:hAnsiTheme="minorEastAsia" w:eastAsiaTheme="minorEastAsia"/>
                <w:b/>
                <w:color w:val="auto"/>
                <w:kern w:val="2"/>
                <w:szCs w:val="21"/>
                <w:highlight w:val="none"/>
              </w:rPr>
            </w:pPr>
            <w:bookmarkStart w:id="17" w:name="_Toc177870536"/>
            <w:r>
              <w:rPr>
                <w:rFonts w:hint="eastAsia" w:asciiTheme="minorEastAsia" w:hAnsiTheme="minorEastAsia" w:eastAsiaTheme="minorEastAsia"/>
                <w:b/>
                <w:color w:val="auto"/>
                <w:kern w:val="2"/>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vAlign w:val="bottom"/>
          </w:tcPr>
          <w:p w14:paraId="44CAC338">
            <w:pPr>
              <w:snapToGrid w:val="0"/>
              <w:spacing w:line="360" w:lineRule="auto"/>
              <w:jc w:val="center"/>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内容、要求</w:t>
            </w:r>
          </w:p>
        </w:tc>
      </w:tr>
      <w:tr w14:paraId="5ED19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14:paraId="4E7D27F6">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14:paraId="48F48106">
            <w:pPr>
              <w:pStyle w:val="341"/>
              <w:widowControl w:val="0"/>
              <w:spacing w:line="360" w:lineRule="auto"/>
              <w:ind w:firstLine="0" w:firstLineChars="0"/>
              <w:jc w:val="both"/>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kern w:val="2"/>
                <w:szCs w:val="21"/>
                <w:highlight w:val="none"/>
                <w:lang w:eastAsia="zh-CN"/>
              </w:rPr>
              <w:t>新城派出所院内翻新改造</w:t>
            </w:r>
          </w:p>
        </w:tc>
      </w:tr>
      <w:tr w14:paraId="37B85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vAlign w:val="center"/>
          </w:tcPr>
          <w:p w14:paraId="7C3794D3">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14:paraId="2A980B99">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采购内容：详见第二章磋商需求。</w:t>
            </w:r>
          </w:p>
        </w:tc>
      </w:tr>
      <w:tr w14:paraId="02ED6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14:paraId="518938C1">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14:paraId="229819C4">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磋商报价及费用：</w:t>
            </w:r>
          </w:p>
          <w:p w14:paraId="15E68232">
            <w:pPr>
              <w:snapToGrid w:val="0"/>
              <w:spacing w:line="360" w:lineRule="auto"/>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、本项目投标应以人民币报价；</w:t>
            </w:r>
          </w:p>
          <w:p w14:paraId="56B0FE28">
            <w:pPr>
              <w:snapToGrid w:val="0"/>
              <w:spacing w:line="360" w:lineRule="auto"/>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、不论投标结果如何，投标人均应自行承担所有与投标有关的全部费用。</w:t>
            </w:r>
          </w:p>
          <w:p w14:paraId="48FE3DFF">
            <w:pPr>
              <w:snapToGrid w:val="0"/>
              <w:spacing w:line="360" w:lineRule="auto"/>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、响应文件只允许有一个报价，有选择的或有条件的报价将不予接受。</w:t>
            </w:r>
          </w:p>
        </w:tc>
      </w:tr>
      <w:tr w14:paraId="72F68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869" w:type="dxa"/>
            <w:tcBorders>
              <w:top w:val="single" w:color="auto" w:sz="4" w:space="0"/>
              <w:left w:val="single" w:color="auto" w:sz="4" w:space="0"/>
              <w:bottom w:val="single" w:color="auto" w:sz="4" w:space="0"/>
              <w:right w:val="single" w:color="auto" w:sz="4" w:space="0"/>
            </w:tcBorders>
            <w:vAlign w:val="center"/>
          </w:tcPr>
          <w:p w14:paraId="2E962DD1">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14:paraId="2F3787E7">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投标保证金：无</w:t>
            </w:r>
          </w:p>
        </w:tc>
      </w:tr>
      <w:tr w14:paraId="714AB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vAlign w:val="center"/>
          </w:tcPr>
          <w:p w14:paraId="32B62BC6">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77353710">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供应商获取磋商文件后可与采购人联系，沟通相关事宜。 </w:t>
            </w:r>
          </w:p>
        </w:tc>
      </w:tr>
      <w:tr w14:paraId="7DF1E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vAlign w:val="center"/>
          </w:tcPr>
          <w:p w14:paraId="6DB48F34">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69B9BA2C">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现场踏勘：无。</w:t>
            </w:r>
          </w:p>
        </w:tc>
      </w:tr>
      <w:tr w14:paraId="3EF8D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14:paraId="71343E1C">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7FAC0735">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响应文件组成：由资信技术文件及投标报价文件两部份组成。</w:t>
            </w:r>
          </w:p>
        </w:tc>
      </w:tr>
      <w:tr w14:paraId="24A5B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69" w:type="dxa"/>
            <w:tcBorders>
              <w:top w:val="single" w:color="auto" w:sz="4" w:space="0"/>
              <w:left w:val="single" w:color="auto" w:sz="4" w:space="0"/>
              <w:bottom w:val="single" w:color="auto" w:sz="4" w:space="0"/>
              <w:right w:val="single" w:color="auto" w:sz="4" w:space="0"/>
            </w:tcBorders>
            <w:vAlign w:val="center"/>
          </w:tcPr>
          <w:p w14:paraId="33094B12">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778C882A">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提交首次响应文件截止时间：</w:t>
            </w:r>
            <w:r>
              <w:rPr>
                <w:rFonts w:hint="eastAsia" w:asciiTheme="minorEastAsia" w:hAnsiTheme="minorEastAsia" w:eastAsiaTheme="minorEastAsia"/>
                <w:b/>
                <w:color w:val="auto"/>
                <w:szCs w:val="21"/>
                <w:highlight w:val="none"/>
                <w:shd w:val="clear" w:color="auto" w:fill="FFFFFF"/>
                <w:lang w:eastAsia="zh-CN"/>
              </w:rPr>
              <w:t>2025年7月4日</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时00分</w:t>
            </w:r>
            <w:r>
              <w:rPr>
                <w:rFonts w:hint="eastAsia" w:asciiTheme="minorEastAsia" w:hAnsiTheme="minorEastAsia" w:eastAsiaTheme="minorEastAsia"/>
                <w:b/>
                <w:color w:val="auto"/>
                <w:kern w:val="2"/>
                <w:szCs w:val="21"/>
                <w:highlight w:val="none"/>
              </w:rPr>
              <w:t xml:space="preserve">整。 </w:t>
            </w:r>
          </w:p>
        </w:tc>
      </w:tr>
      <w:tr w14:paraId="11E6F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69" w:type="dxa"/>
            <w:tcBorders>
              <w:top w:val="single" w:color="auto" w:sz="4" w:space="0"/>
              <w:left w:val="single" w:color="auto" w:sz="4" w:space="0"/>
              <w:bottom w:val="single" w:color="auto" w:sz="4" w:space="0"/>
              <w:right w:val="single" w:color="auto" w:sz="4" w:space="0"/>
            </w:tcBorders>
            <w:vAlign w:val="center"/>
          </w:tcPr>
          <w:p w14:paraId="5EC11110">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79F27671">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磋商时间及地点：</w:t>
            </w:r>
            <w:r>
              <w:rPr>
                <w:rFonts w:hint="eastAsia" w:asciiTheme="minorEastAsia" w:hAnsiTheme="minorEastAsia" w:eastAsiaTheme="minorEastAsia"/>
                <w:b/>
                <w:color w:val="auto"/>
                <w:szCs w:val="21"/>
                <w:highlight w:val="none"/>
                <w:shd w:val="clear" w:color="auto" w:fill="FFFFFF"/>
                <w:lang w:eastAsia="zh-CN"/>
              </w:rPr>
              <w:t>2025年7月4日</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时00分</w:t>
            </w:r>
            <w:r>
              <w:rPr>
                <w:rFonts w:hint="eastAsia" w:asciiTheme="minorEastAsia" w:hAnsiTheme="minorEastAsia" w:eastAsiaTheme="minorEastAsia"/>
                <w:b/>
                <w:color w:val="auto"/>
                <w:kern w:val="2"/>
                <w:szCs w:val="21"/>
                <w:highlight w:val="none"/>
              </w:rPr>
              <w:t>整</w:t>
            </w:r>
            <w:r>
              <w:rPr>
                <w:rFonts w:hint="eastAsia" w:cs="Arial" w:asciiTheme="minorEastAsia" w:hAnsiTheme="minorEastAsia" w:eastAsiaTheme="minorEastAsia"/>
                <w:color w:val="auto"/>
                <w:szCs w:val="21"/>
                <w:highlight w:val="none"/>
              </w:rPr>
              <w:t>在</w:t>
            </w:r>
            <w:r>
              <w:rPr>
                <w:rFonts w:hint="eastAsia" w:asciiTheme="minorEastAsia" w:hAnsiTheme="minorEastAsia" w:eastAsiaTheme="minorEastAsia"/>
                <w:color w:val="auto"/>
                <w:szCs w:val="21"/>
                <w:highlight w:val="none"/>
              </w:rPr>
              <w:t>嘉兴市银建工程咨询评估有限公司洪兴路2399号宝地大厦15楼1506室</w:t>
            </w:r>
            <w:r>
              <w:rPr>
                <w:rFonts w:hint="eastAsia" w:cs="Arial"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p>
        </w:tc>
      </w:tr>
      <w:tr w14:paraId="54980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9" w:type="dxa"/>
            <w:tcBorders>
              <w:top w:val="single" w:color="auto" w:sz="4" w:space="0"/>
              <w:left w:val="single" w:color="auto" w:sz="4" w:space="0"/>
              <w:bottom w:val="single" w:color="auto" w:sz="4" w:space="0"/>
              <w:right w:val="single" w:color="auto" w:sz="4" w:space="0"/>
            </w:tcBorders>
            <w:vAlign w:val="center"/>
          </w:tcPr>
          <w:p w14:paraId="3B10AE08">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14:paraId="35E8101A">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磋商办法及评分标准：详见磋商文件第四章。</w:t>
            </w:r>
          </w:p>
        </w:tc>
      </w:tr>
      <w:tr w14:paraId="6ABAC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69" w:type="dxa"/>
            <w:tcBorders>
              <w:top w:val="single" w:color="auto" w:sz="4" w:space="0"/>
              <w:left w:val="single" w:color="auto" w:sz="4" w:space="0"/>
              <w:bottom w:val="single" w:color="auto" w:sz="4" w:space="0"/>
              <w:right w:val="single" w:color="auto" w:sz="4" w:space="0"/>
            </w:tcBorders>
            <w:vAlign w:val="center"/>
          </w:tcPr>
          <w:p w14:paraId="2EEB7C38">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14:paraId="07B75B78">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评标结果公告：评标结束后</w:t>
            </w: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个工作日内，评标结果公告于浙江政府采购网(http://www.zjzfcg.gov.cn/new/)。本项目公告期限为</w:t>
            </w: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个工作日，各参加政府采购活动的供应商认为该成交结果和采购过程等使自己的权益受到损害的，可以自本公告期限届满之日（本公告发布之日后第</w:t>
            </w: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个工作日）起</w:t>
            </w: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个工作日内，以书面形式向采购人或受其委托的代理机构提出质疑。质疑供应商对采购人、代理机构的答复不满意或者采购人、代理机构未在规定的时间内作出答复的，可以在答复期满后十五个工作日内向同级政府采购监督管理部门投诉。质疑函范本、投诉书范本请到浙江政府采购网下载专区下载。</w:t>
            </w:r>
          </w:p>
        </w:tc>
      </w:tr>
      <w:tr w14:paraId="2B211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69" w:type="dxa"/>
            <w:tcBorders>
              <w:top w:val="single" w:color="auto" w:sz="4" w:space="0"/>
              <w:left w:val="single" w:color="auto" w:sz="4" w:space="0"/>
              <w:bottom w:val="single" w:color="auto" w:sz="4" w:space="0"/>
              <w:right w:val="single" w:color="auto" w:sz="4" w:space="0"/>
            </w:tcBorders>
            <w:vAlign w:val="center"/>
          </w:tcPr>
          <w:p w14:paraId="4A480082">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12</w:t>
            </w:r>
          </w:p>
        </w:tc>
        <w:tc>
          <w:tcPr>
            <w:tcW w:w="8371" w:type="dxa"/>
            <w:tcBorders>
              <w:top w:val="single" w:color="auto" w:sz="4" w:space="0"/>
              <w:left w:val="single" w:color="auto" w:sz="4" w:space="0"/>
              <w:bottom w:val="single" w:color="auto" w:sz="4" w:space="0"/>
              <w:right w:val="single" w:color="auto" w:sz="4" w:space="0"/>
            </w:tcBorders>
            <w:vAlign w:val="center"/>
          </w:tcPr>
          <w:p w14:paraId="38238578">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成交公告及成交通知书：成交公告发布于浙江政府采购网(http://www.zjzfcg.gov.cn/new/)，成交公告期限为</w:t>
            </w: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个工作日。在公告成交结果的同时，代理机构向成交人发出成交通知书。</w:t>
            </w:r>
          </w:p>
        </w:tc>
      </w:tr>
      <w:tr w14:paraId="0242D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14:paraId="00887AE4">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14:paraId="4D26D2D4">
            <w:pPr>
              <w:pStyle w:val="29"/>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签订合同时间：中标通知书发出后30日内。</w:t>
            </w:r>
          </w:p>
        </w:tc>
      </w:tr>
      <w:tr w14:paraId="43C46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14:paraId="3927C7AF">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14</w:t>
            </w:r>
          </w:p>
        </w:tc>
        <w:tc>
          <w:tcPr>
            <w:tcW w:w="8371" w:type="dxa"/>
            <w:tcBorders>
              <w:top w:val="single" w:color="auto" w:sz="4" w:space="0"/>
              <w:left w:val="single" w:color="auto" w:sz="4" w:space="0"/>
              <w:bottom w:val="single" w:color="auto" w:sz="4" w:space="0"/>
              <w:right w:val="single" w:color="auto" w:sz="4" w:space="0"/>
            </w:tcBorders>
            <w:vAlign w:val="center"/>
          </w:tcPr>
          <w:p w14:paraId="4A13FA89">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本项目上限价：</w:t>
            </w:r>
            <w:r>
              <w:rPr>
                <w:rFonts w:hint="eastAsia" w:asciiTheme="minorEastAsia" w:hAnsiTheme="minorEastAsia" w:eastAsiaTheme="minorEastAsia"/>
                <w:color w:val="auto"/>
                <w:kern w:val="2"/>
                <w:szCs w:val="21"/>
                <w:highlight w:val="none"/>
                <w:lang w:val="en-US" w:eastAsia="zh-CN"/>
              </w:rPr>
              <w:t>148.8939</w:t>
            </w:r>
            <w:r>
              <w:rPr>
                <w:rFonts w:hint="eastAsia" w:asciiTheme="minorEastAsia" w:hAnsiTheme="minorEastAsia" w:eastAsiaTheme="minorEastAsia"/>
                <w:color w:val="auto"/>
                <w:kern w:val="2"/>
                <w:szCs w:val="21"/>
                <w:highlight w:val="none"/>
              </w:rPr>
              <w:t>万元；超上限价的响应文件无效。</w:t>
            </w:r>
          </w:p>
        </w:tc>
      </w:tr>
      <w:tr w14:paraId="6A75F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3973AC50">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10989516">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付款方式：详见第二章磋商需求。</w:t>
            </w:r>
          </w:p>
        </w:tc>
      </w:tr>
      <w:tr w14:paraId="32111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56D0D718">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5E5AA90B">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响应文件有效期：</w:t>
            </w:r>
            <w:r>
              <w:rPr>
                <w:rFonts w:asciiTheme="minorEastAsia" w:hAnsiTheme="minorEastAsia" w:eastAsiaTheme="minorEastAsia"/>
                <w:color w:val="auto"/>
                <w:kern w:val="2"/>
                <w:szCs w:val="21"/>
                <w:highlight w:val="none"/>
              </w:rPr>
              <w:t>90</w:t>
            </w:r>
            <w:r>
              <w:rPr>
                <w:rFonts w:hint="eastAsia" w:asciiTheme="minorEastAsia" w:hAnsiTheme="minorEastAsia" w:eastAsiaTheme="minorEastAsia"/>
                <w:color w:val="auto"/>
                <w:kern w:val="2"/>
                <w:szCs w:val="21"/>
                <w:highlight w:val="none"/>
              </w:rPr>
              <w:t>天</w:t>
            </w:r>
          </w:p>
        </w:tc>
      </w:tr>
      <w:tr w14:paraId="1B522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36B6C6F9">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4C4FAF4C">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获取磋商文件（报名）</w:t>
            </w:r>
            <w:r>
              <w:rPr>
                <w:rFonts w:asciiTheme="minorEastAsia" w:hAnsiTheme="minorEastAsia" w:eastAsiaTheme="minorEastAsia"/>
                <w:color w:val="auto"/>
                <w:kern w:val="2"/>
                <w:szCs w:val="21"/>
                <w:highlight w:val="none"/>
              </w:rPr>
              <w:t>：</w:t>
            </w:r>
          </w:p>
          <w:p w14:paraId="5677FF57">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方式：磋商公告发布后，在政采云平台已完成注册的供应商登陆系统，申请获取磋商文件，待审核通过后，可下载磋商文件。如果“已申请”标签页显示状态为“审核通过”即为报名成功。路径：用户中心——项目采购——获取磋商文件管理。在“已获取”的状态下，供应商可下载查看磋商文件。</w:t>
            </w:r>
          </w:p>
          <w:p w14:paraId="474C983C">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获取网址：浙江政府采购网</w:t>
            </w:r>
            <w:r>
              <w:rPr>
                <w:color w:val="auto"/>
                <w:highlight w:val="none"/>
              </w:rPr>
              <w:fldChar w:fldCharType="begin"/>
            </w:r>
            <w:r>
              <w:rPr>
                <w:color w:val="auto"/>
                <w:highlight w:val="none"/>
              </w:rPr>
              <w:instrText xml:space="preserve"> HYPERLINK "https://login.zcygov.cn/login" </w:instrText>
            </w:r>
            <w:r>
              <w:rPr>
                <w:color w:val="auto"/>
                <w:highlight w:val="none"/>
              </w:rPr>
              <w:fldChar w:fldCharType="separate"/>
            </w:r>
            <w:r>
              <w:rPr>
                <w:rStyle w:val="65"/>
                <w:rFonts w:hint="eastAsia" w:asciiTheme="minorEastAsia" w:hAnsiTheme="minorEastAsia" w:eastAsiaTheme="minorEastAsia"/>
                <w:color w:val="auto"/>
                <w:kern w:val="2"/>
                <w:szCs w:val="21"/>
                <w:highlight w:val="none"/>
              </w:rPr>
              <w:t>https://login.zcygov.cn/login</w:t>
            </w:r>
            <w:r>
              <w:rPr>
                <w:rStyle w:val="65"/>
                <w:rFonts w:hint="eastAsia" w:asciiTheme="minorEastAsia" w:hAnsiTheme="minorEastAsia" w:eastAsiaTheme="minorEastAsia"/>
                <w:color w:val="auto"/>
                <w:kern w:val="2"/>
                <w:szCs w:val="21"/>
                <w:highlight w:val="none"/>
              </w:rPr>
              <w:fldChar w:fldCharType="end"/>
            </w:r>
          </w:p>
        </w:tc>
      </w:tr>
      <w:tr w14:paraId="6677D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7B03468B">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426B96DD">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信用记录：符合浙财采监</w:t>
            </w:r>
            <w:r>
              <w:rPr>
                <w:rFonts w:asciiTheme="minorEastAsia" w:hAnsiTheme="minorEastAsia" w:eastAsiaTheme="minorEastAsia"/>
                <w:color w:val="auto"/>
                <w:kern w:val="2"/>
                <w:szCs w:val="21"/>
                <w:highlight w:val="none"/>
              </w:rPr>
              <w:t>【2013】24</w:t>
            </w:r>
            <w:r>
              <w:rPr>
                <w:rFonts w:hint="eastAsia" w:asciiTheme="minorEastAsia" w:hAnsiTheme="minorEastAsia" w:eastAsiaTheme="minorEastAsia"/>
                <w:color w:val="auto"/>
                <w:kern w:val="2"/>
                <w:szCs w:val="21"/>
                <w:highlight w:val="none"/>
              </w:rPr>
              <w:t>号《关于规范政府采购供应商资格设定及资格审查的通知》规定,且未被“信用中国”（www.creditchina.gov.cn）和中国政府采购网（www.ccgp.gov.cn）列入失信被执行人、重大税收违法案件当事人名单、政府采购严重违法失信行为记录名单。提交响应文件时同时提供自招标公告发布之日起至投标截止日内任意时间的“信用中国”网站（www.creditchina.gov.cn）和中国政府采购网（www.ccgp.gov.cn）供应商信用查询网页截图。</w:t>
            </w:r>
          </w:p>
        </w:tc>
      </w:tr>
      <w:tr w14:paraId="388DD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3A2B94D3">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33BA04BB">
            <w:pPr>
              <w:tabs>
                <w:tab w:val="left" w:pos="3870"/>
                <w:tab w:val="left" w:pos="4085"/>
              </w:tabs>
              <w:snapToGrid w:val="0"/>
              <w:spacing w:before="50" w:after="120" w:afterLines="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1.根</w:t>
            </w:r>
            <w:r>
              <w:rPr>
                <w:rFonts w:hint="eastAsia" w:asciiTheme="minorEastAsia" w:hAnsiTheme="minorEastAsia" w:eastAsiaTheme="minorEastAsia"/>
                <w:bCs/>
                <w:color w:val="auto"/>
                <w:szCs w:val="21"/>
                <w:highlight w:val="none"/>
              </w:rPr>
              <w:t>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1AC80AF">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bCs/>
                <w:color w:val="auto"/>
                <w:szCs w:val="21"/>
                <w:highlight w:val="none"/>
              </w:rPr>
              <w:t>2.</w:t>
            </w:r>
            <w:r>
              <w:rPr>
                <w:rFonts w:hint="eastAsia" w:asciiTheme="minorEastAsia" w:hAnsiTheme="minorEastAsia" w:eastAsiaTheme="minorEastAsia"/>
                <w:color w:val="auto"/>
                <w:szCs w:val="21"/>
                <w:highlight w:val="none"/>
              </w:rPr>
              <w:t>监狱企业同视为小型、微型企业，享受小微企业政策扶持。</w:t>
            </w:r>
          </w:p>
        </w:tc>
      </w:tr>
      <w:tr w14:paraId="2F80E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69" w:type="dxa"/>
            <w:tcBorders>
              <w:top w:val="single" w:color="auto" w:sz="4" w:space="0"/>
              <w:left w:val="single" w:color="auto" w:sz="4" w:space="0"/>
              <w:bottom w:val="single" w:color="auto" w:sz="4" w:space="0"/>
              <w:right w:val="single" w:color="auto" w:sz="4" w:space="0"/>
            </w:tcBorders>
            <w:vAlign w:val="center"/>
          </w:tcPr>
          <w:p w14:paraId="1C7BA416">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20</w:t>
            </w:r>
          </w:p>
        </w:tc>
        <w:tc>
          <w:tcPr>
            <w:tcW w:w="8371" w:type="dxa"/>
            <w:tcBorders>
              <w:top w:val="single" w:color="auto" w:sz="4" w:space="0"/>
              <w:left w:val="single" w:color="auto" w:sz="4" w:space="0"/>
              <w:bottom w:val="single" w:color="auto" w:sz="4" w:space="0"/>
              <w:right w:val="single" w:color="auto" w:sz="4" w:space="0"/>
            </w:tcBorders>
            <w:vAlign w:val="center"/>
          </w:tcPr>
          <w:p w14:paraId="5AD56A32">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标的： </w:t>
            </w:r>
            <w:r>
              <w:rPr>
                <w:rFonts w:hint="eastAsia" w:asciiTheme="minorEastAsia" w:hAnsiTheme="minorEastAsia" w:eastAsiaTheme="minorEastAsia"/>
                <w:color w:val="auto"/>
                <w:kern w:val="2"/>
                <w:szCs w:val="21"/>
                <w:highlight w:val="none"/>
                <w:u w:val="single"/>
                <w:lang w:eastAsia="zh-CN"/>
              </w:rPr>
              <w:t>新城派出所院内翻新改造</w:t>
            </w:r>
            <w:r>
              <w:rPr>
                <w:rFonts w:hint="eastAsia" w:asciiTheme="minorEastAsia" w:hAnsiTheme="minorEastAsia" w:eastAsiaTheme="minorEastAsia"/>
                <w:color w:val="auto"/>
                <w:kern w:val="2"/>
                <w:szCs w:val="21"/>
                <w:highlight w:val="none"/>
              </w:rPr>
              <w:t xml:space="preserve"> ，属于</w:t>
            </w:r>
            <w:r>
              <w:rPr>
                <w:rFonts w:hint="eastAsia" w:asciiTheme="minorEastAsia" w:hAnsiTheme="minorEastAsia" w:eastAsiaTheme="minorEastAsia"/>
                <w:color w:val="auto"/>
                <w:kern w:val="2"/>
                <w:szCs w:val="21"/>
                <w:highlight w:val="none"/>
                <w:u w:val="single"/>
              </w:rPr>
              <w:t>（三）建筑业</w:t>
            </w:r>
            <w:r>
              <w:rPr>
                <w:rFonts w:hint="eastAsia" w:asciiTheme="minorEastAsia" w:hAnsiTheme="minorEastAsia" w:eastAsiaTheme="minorEastAsia"/>
                <w:color w:val="auto"/>
                <w:kern w:val="2"/>
                <w:szCs w:val="21"/>
                <w:highlight w:val="none"/>
              </w:rPr>
              <w:t>。</w:t>
            </w:r>
          </w:p>
        </w:tc>
      </w:tr>
      <w:tr w14:paraId="549D7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69" w:type="dxa"/>
            <w:tcBorders>
              <w:top w:val="single" w:color="auto" w:sz="4" w:space="0"/>
              <w:left w:val="single" w:color="auto" w:sz="4" w:space="0"/>
              <w:bottom w:val="single" w:color="auto" w:sz="4" w:space="0"/>
              <w:right w:val="single" w:color="auto" w:sz="4" w:space="0"/>
            </w:tcBorders>
            <w:vAlign w:val="center"/>
          </w:tcPr>
          <w:p w14:paraId="1038D9BF">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21</w:t>
            </w:r>
          </w:p>
        </w:tc>
        <w:tc>
          <w:tcPr>
            <w:tcW w:w="8371" w:type="dxa"/>
            <w:tcBorders>
              <w:top w:val="single" w:color="auto" w:sz="4" w:space="0"/>
              <w:left w:val="single" w:color="auto" w:sz="4" w:space="0"/>
              <w:bottom w:val="single" w:color="auto" w:sz="4" w:space="0"/>
              <w:right w:val="single" w:color="auto" w:sz="4" w:space="0"/>
            </w:tcBorders>
            <w:vAlign w:val="center"/>
          </w:tcPr>
          <w:p w14:paraId="5419DB18">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解释：本磋商文件的解释权属于采购单位。</w:t>
            </w:r>
          </w:p>
        </w:tc>
      </w:tr>
      <w:tr w14:paraId="44DBC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69" w:type="dxa"/>
            <w:tcBorders>
              <w:top w:val="single" w:color="auto" w:sz="4" w:space="0"/>
              <w:left w:val="single" w:color="auto" w:sz="4" w:space="0"/>
              <w:bottom w:val="single" w:color="auto" w:sz="4" w:space="0"/>
              <w:right w:val="single" w:color="auto" w:sz="4" w:space="0"/>
            </w:tcBorders>
            <w:vAlign w:val="center"/>
          </w:tcPr>
          <w:p w14:paraId="01D5ABEC">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22</w:t>
            </w:r>
          </w:p>
        </w:tc>
        <w:tc>
          <w:tcPr>
            <w:tcW w:w="8371" w:type="dxa"/>
            <w:tcBorders>
              <w:top w:val="single" w:color="auto" w:sz="4" w:space="0"/>
              <w:left w:val="single" w:color="auto" w:sz="4" w:space="0"/>
              <w:bottom w:val="single" w:color="auto" w:sz="4" w:space="0"/>
              <w:right w:val="single" w:color="auto" w:sz="4" w:space="0"/>
            </w:tcBorders>
            <w:vAlign w:val="center"/>
          </w:tcPr>
          <w:p w14:paraId="65A084CB">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注：根据省财政厅相关规定采用竞争性磋商采购方式采购的政府购买服务项目，在采购过程中符合要求的供应商需要</w:t>
            </w:r>
            <w:r>
              <w:rPr>
                <w:rFonts w:asciiTheme="minorEastAsia" w:hAnsiTheme="minorEastAsia" w:eastAsiaTheme="minorEastAsia"/>
                <w:color w:val="auto"/>
                <w:kern w:val="2"/>
                <w:szCs w:val="21"/>
                <w:highlight w:val="none"/>
              </w:rPr>
              <w:t>3家或3家以上参加磋商，提交最后报价的供应商可以为2</w:t>
            </w:r>
            <w:r>
              <w:rPr>
                <w:rFonts w:hint="eastAsia" w:asciiTheme="minorEastAsia" w:hAnsiTheme="minorEastAsia" w:eastAsiaTheme="minorEastAsia"/>
                <w:color w:val="auto"/>
                <w:kern w:val="2"/>
                <w:szCs w:val="21"/>
                <w:highlight w:val="none"/>
              </w:rPr>
              <w:t>家。</w:t>
            </w:r>
          </w:p>
        </w:tc>
      </w:tr>
      <w:bookmarkEnd w:id="17"/>
    </w:tbl>
    <w:p w14:paraId="2B6F365B">
      <w:pPr>
        <w:pStyle w:val="3"/>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highlight w:val="none"/>
        </w:rPr>
        <w:br w:type="page"/>
      </w:r>
      <w:r>
        <w:rPr>
          <w:rFonts w:asciiTheme="minorEastAsia" w:hAnsiTheme="minorEastAsia" w:eastAsiaTheme="minorEastAsia"/>
          <w:color w:val="auto"/>
          <w:szCs w:val="21"/>
          <w:highlight w:val="none"/>
        </w:rPr>
        <w:t>一</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总则</w:t>
      </w:r>
    </w:p>
    <w:p w14:paraId="2A4FB69C">
      <w:pPr>
        <w:snapToGrid w:val="0"/>
        <w:spacing w:line="360" w:lineRule="auto"/>
        <w:rPr>
          <w:rFonts w:asciiTheme="minorEastAsia" w:hAnsiTheme="minorEastAsia" w:eastAsiaTheme="minorEastAsia"/>
          <w:b/>
          <w:color w:val="auto"/>
          <w:kern w:val="2"/>
          <w:szCs w:val="21"/>
          <w:highlight w:val="none"/>
        </w:rPr>
      </w:pPr>
      <w:bookmarkStart w:id="18" w:name="_Toc397670946"/>
      <w:bookmarkStart w:id="19" w:name="_Toc397670917"/>
      <w:r>
        <w:rPr>
          <w:rFonts w:hint="eastAsia" w:asciiTheme="minorEastAsia" w:hAnsiTheme="minorEastAsia" w:eastAsiaTheme="minorEastAsia"/>
          <w:b/>
          <w:color w:val="auto"/>
          <w:kern w:val="2"/>
          <w:szCs w:val="21"/>
          <w:highlight w:val="none"/>
        </w:rPr>
        <w:t>（一）</w:t>
      </w:r>
      <w:r>
        <w:rPr>
          <w:rFonts w:asciiTheme="minorEastAsia" w:hAnsiTheme="minorEastAsia" w:eastAsiaTheme="minorEastAsia"/>
          <w:b/>
          <w:color w:val="auto"/>
          <w:kern w:val="2"/>
          <w:szCs w:val="21"/>
          <w:highlight w:val="none"/>
        </w:rPr>
        <w:t>适用范围</w:t>
      </w:r>
      <w:bookmarkEnd w:id="18"/>
      <w:bookmarkEnd w:id="19"/>
    </w:p>
    <w:p w14:paraId="487D323B">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本磋商文件仅适用于本项目的磋商、响应、评标、定标、验收、合同履约等行为。</w:t>
      </w:r>
    </w:p>
    <w:p w14:paraId="1A9E075C">
      <w:pPr>
        <w:snapToGrid w:val="0"/>
        <w:spacing w:line="360" w:lineRule="auto"/>
        <w:rPr>
          <w:rFonts w:asciiTheme="minorEastAsia" w:hAnsiTheme="minorEastAsia" w:eastAsiaTheme="minorEastAsia"/>
          <w:b/>
          <w:color w:val="auto"/>
          <w:kern w:val="2"/>
          <w:szCs w:val="21"/>
          <w:highlight w:val="none"/>
        </w:rPr>
      </w:pPr>
      <w:bookmarkStart w:id="20" w:name="_Toc397670919"/>
      <w:bookmarkStart w:id="21" w:name="_Toc397670948"/>
      <w:r>
        <w:rPr>
          <w:rFonts w:hint="eastAsia" w:asciiTheme="minorEastAsia" w:hAnsiTheme="minorEastAsia" w:eastAsiaTheme="minorEastAsia"/>
          <w:b/>
          <w:color w:val="auto"/>
          <w:kern w:val="2"/>
          <w:szCs w:val="21"/>
          <w:highlight w:val="none"/>
        </w:rPr>
        <w:t>（二）定义</w:t>
      </w:r>
    </w:p>
    <w:p w14:paraId="469BDBEF">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.“采购人”</w:t>
      </w:r>
      <w:r>
        <w:rPr>
          <w:rFonts w:asciiTheme="minorEastAsia" w:hAnsiTheme="minorEastAsia" w:eastAsiaTheme="minorEastAsia"/>
          <w:color w:val="auto"/>
          <w:kern w:val="2"/>
          <w:szCs w:val="21"/>
          <w:highlight w:val="none"/>
        </w:rPr>
        <w:t>系指组织本次磋商的</w:t>
      </w:r>
      <w:r>
        <w:rPr>
          <w:rFonts w:hint="eastAsia" w:asciiTheme="minorEastAsia" w:hAnsiTheme="minorEastAsia" w:eastAsiaTheme="minorEastAsia"/>
          <w:color w:val="auto"/>
          <w:kern w:val="2"/>
          <w:szCs w:val="21"/>
          <w:highlight w:val="none"/>
        </w:rPr>
        <w:t>（招标单位）</w:t>
      </w:r>
      <w:r>
        <w:rPr>
          <w:rFonts w:asciiTheme="minorEastAsia" w:hAnsiTheme="minorEastAsia" w:eastAsiaTheme="minorEastAsia"/>
          <w:color w:val="auto"/>
          <w:kern w:val="2"/>
          <w:szCs w:val="21"/>
          <w:highlight w:val="none"/>
        </w:rPr>
        <w:t>。</w:t>
      </w:r>
    </w:p>
    <w:p w14:paraId="26FFE5DE">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、“投标单位”</w:t>
      </w:r>
      <w:r>
        <w:rPr>
          <w:rFonts w:asciiTheme="minorEastAsia" w:hAnsiTheme="minorEastAsia" w:eastAsiaTheme="minorEastAsia"/>
          <w:color w:val="auto"/>
          <w:kern w:val="2"/>
          <w:szCs w:val="21"/>
          <w:highlight w:val="none"/>
        </w:rPr>
        <w:t>系指向</w:t>
      </w:r>
      <w:r>
        <w:rPr>
          <w:rFonts w:hint="eastAsia" w:asciiTheme="minorEastAsia" w:hAnsiTheme="minorEastAsia" w:eastAsiaTheme="minorEastAsia"/>
          <w:color w:val="auto"/>
          <w:kern w:val="2"/>
          <w:szCs w:val="21"/>
          <w:highlight w:val="none"/>
        </w:rPr>
        <w:t>采购人</w:t>
      </w:r>
      <w:r>
        <w:rPr>
          <w:rFonts w:asciiTheme="minorEastAsia" w:hAnsiTheme="minorEastAsia" w:eastAsiaTheme="minorEastAsia"/>
          <w:color w:val="auto"/>
          <w:kern w:val="2"/>
          <w:szCs w:val="21"/>
          <w:highlight w:val="none"/>
        </w:rPr>
        <w:t>提交</w:t>
      </w:r>
      <w:r>
        <w:rPr>
          <w:rFonts w:hint="eastAsia" w:asciiTheme="minorEastAsia" w:hAnsiTheme="minorEastAsia" w:eastAsiaTheme="minorEastAsia"/>
          <w:color w:val="auto"/>
          <w:kern w:val="2"/>
          <w:szCs w:val="21"/>
          <w:highlight w:val="none"/>
        </w:rPr>
        <w:t>响应文件</w:t>
      </w:r>
      <w:r>
        <w:rPr>
          <w:rFonts w:asciiTheme="minorEastAsia" w:hAnsiTheme="minorEastAsia" w:eastAsiaTheme="minorEastAsia"/>
          <w:color w:val="auto"/>
          <w:kern w:val="2"/>
          <w:szCs w:val="21"/>
          <w:highlight w:val="none"/>
        </w:rPr>
        <w:t>的单位。</w:t>
      </w:r>
    </w:p>
    <w:p w14:paraId="5508C6AA">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“产品”系指供方按磋商文件规定，须向采购人提供的一切</w:t>
      </w:r>
      <w:r>
        <w:rPr>
          <w:rFonts w:hint="eastAsia" w:asciiTheme="minorEastAsia" w:hAnsiTheme="minorEastAsia" w:eastAsiaTheme="minorEastAsia"/>
          <w:color w:val="auto"/>
          <w:kern w:val="2"/>
          <w:szCs w:val="21"/>
          <w:highlight w:val="none"/>
        </w:rPr>
        <w:t>服务</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人员、管理费、验收、</w:t>
      </w:r>
      <w:r>
        <w:rPr>
          <w:rFonts w:asciiTheme="minorEastAsia" w:hAnsiTheme="minorEastAsia" w:eastAsiaTheme="minorEastAsia"/>
          <w:color w:val="auto"/>
          <w:kern w:val="2"/>
          <w:szCs w:val="21"/>
          <w:highlight w:val="none"/>
        </w:rPr>
        <w:t>税金及其它有关技术资料和材料。</w:t>
      </w:r>
    </w:p>
    <w:p w14:paraId="126CAD04">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“服务”系指</w:t>
      </w:r>
      <w:r>
        <w:rPr>
          <w:rFonts w:hint="eastAsia" w:asciiTheme="minorEastAsia" w:hAnsiTheme="minorEastAsia" w:eastAsiaTheme="minorEastAsia"/>
          <w:color w:val="auto"/>
          <w:kern w:val="2"/>
          <w:szCs w:val="21"/>
          <w:highlight w:val="none"/>
        </w:rPr>
        <w:t>竞争性磋商文件规定供应商须承担的服务以及其他相关的义务。</w:t>
      </w:r>
    </w:p>
    <w:p w14:paraId="3F037519">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“项目”系指供应商按</w:t>
      </w:r>
      <w:r>
        <w:rPr>
          <w:rFonts w:hint="eastAsia" w:asciiTheme="minorEastAsia" w:hAnsiTheme="minorEastAsia" w:eastAsiaTheme="minorEastAsia"/>
          <w:color w:val="auto"/>
          <w:kern w:val="2"/>
          <w:szCs w:val="21"/>
          <w:highlight w:val="none"/>
        </w:rPr>
        <w:t>磋商文件</w:t>
      </w:r>
      <w:r>
        <w:rPr>
          <w:rFonts w:asciiTheme="minorEastAsia" w:hAnsiTheme="minorEastAsia" w:eastAsiaTheme="minorEastAsia"/>
          <w:color w:val="auto"/>
          <w:kern w:val="2"/>
          <w:szCs w:val="21"/>
          <w:highlight w:val="none"/>
        </w:rPr>
        <w:t>规定向采购人提供的产品和服务。</w:t>
      </w:r>
    </w:p>
    <w:p w14:paraId="738ECC19">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“书面形式”包括信函、传真、电报等。</w:t>
      </w:r>
    </w:p>
    <w:p w14:paraId="266B3568">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“▲”系指实质性要求条款</w:t>
      </w:r>
      <w:r>
        <w:rPr>
          <w:rFonts w:hint="eastAsia" w:asciiTheme="minorEastAsia" w:hAnsiTheme="minorEastAsia" w:eastAsiaTheme="minorEastAsia"/>
          <w:color w:val="auto"/>
          <w:kern w:val="2"/>
          <w:szCs w:val="21"/>
          <w:highlight w:val="none"/>
        </w:rPr>
        <w:t>，不满足</w:t>
      </w:r>
      <w:r>
        <w:rPr>
          <w:rFonts w:asciiTheme="minorEastAsia" w:hAnsiTheme="minorEastAsia" w:eastAsiaTheme="minorEastAsia"/>
          <w:color w:val="auto"/>
          <w:kern w:val="2"/>
          <w:szCs w:val="21"/>
          <w:highlight w:val="none"/>
        </w:rPr>
        <w:t>实质性</w:t>
      </w:r>
      <w:r>
        <w:rPr>
          <w:rFonts w:hint="eastAsia" w:asciiTheme="minorEastAsia" w:hAnsiTheme="minorEastAsia" w:eastAsiaTheme="minorEastAsia"/>
          <w:color w:val="auto"/>
          <w:kern w:val="2"/>
          <w:szCs w:val="21"/>
          <w:highlight w:val="none"/>
        </w:rPr>
        <w:t>要求条款的响应文件无效。</w:t>
      </w:r>
    </w:p>
    <w:p w14:paraId="03899004">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8、“★”系指的条款为核心技术要求。</w:t>
      </w:r>
    </w:p>
    <w:p w14:paraId="622B7E3F">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（三）招标方式</w:t>
      </w:r>
      <w:bookmarkEnd w:id="20"/>
      <w:bookmarkEnd w:id="21"/>
    </w:p>
    <w:p w14:paraId="64D695FF">
      <w:pPr>
        <w:snapToGrid w:val="0"/>
        <w:spacing w:line="360" w:lineRule="auto"/>
        <w:ind w:firstLine="420" w:firstLineChars="200"/>
        <w:rPr>
          <w:rFonts w:asciiTheme="minorEastAsia" w:hAnsiTheme="minorEastAsia" w:eastAsiaTheme="minorEastAsia"/>
          <w:color w:val="auto"/>
          <w:kern w:val="2"/>
          <w:szCs w:val="21"/>
          <w:highlight w:val="none"/>
        </w:rPr>
      </w:pPr>
      <w:bookmarkStart w:id="22" w:name="_Toc397670949"/>
      <w:bookmarkStart w:id="23" w:name="_Toc397670920"/>
      <w:r>
        <w:rPr>
          <w:rFonts w:asciiTheme="minorEastAsia" w:hAnsiTheme="minorEastAsia" w:eastAsiaTheme="minorEastAsia"/>
          <w:color w:val="auto"/>
          <w:kern w:val="2"/>
          <w:szCs w:val="21"/>
          <w:highlight w:val="none"/>
        </w:rPr>
        <w:t>本次招标采用</w:t>
      </w:r>
      <w:r>
        <w:rPr>
          <w:rFonts w:hint="eastAsia" w:asciiTheme="minorEastAsia" w:hAnsiTheme="minorEastAsia" w:eastAsiaTheme="minorEastAsia"/>
          <w:b/>
          <w:color w:val="auto"/>
          <w:kern w:val="2"/>
          <w:szCs w:val="21"/>
          <w:highlight w:val="none"/>
          <w:u w:val="single"/>
        </w:rPr>
        <w:t>竞争性磋商</w:t>
      </w:r>
      <w:r>
        <w:rPr>
          <w:rFonts w:asciiTheme="minorEastAsia" w:hAnsiTheme="minorEastAsia" w:eastAsiaTheme="minorEastAsia"/>
          <w:color w:val="auto"/>
          <w:kern w:val="2"/>
          <w:szCs w:val="21"/>
          <w:highlight w:val="none"/>
        </w:rPr>
        <w:t>方式进行。</w:t>
      </w:r>
    </w:p>
    <w:p w14:paraId="2F9D5711">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（四）投标委托</w:t>
      </w:r>
      <w:bookmarkEnd w:id="22"/>
      <w:bookmarkEnd w:id="23"/>
    </w:p>
    <w:p w14:paraId="4E4B6108">
      <w:pPr>
        <w:pStyle w:val="22"/>
        <w:snapToGrid w:val="0"/>
        <w:spacing w:line="360" w:lineRule="auto"/>
        <w:ind w:left="0" w:leftChars="0"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代表不是法定代表人，须有法定代表人出具的授权采购计划。</w:t>
      </w:r>
    </w:p>
    <w:p w14:paraId="4B06016A">
      <w:pPr>
        <w:snapToGrid w:val="0"/>
        <w:spacing w:line="360" w:lineRule="auto"/>
        <w:rPr>
          <w:rFonts w:asciiTheme="minorEastAsia" w:hAnsiTheme="minorEastAsia" w:eastAsiaTheme="minorEastAsia"/>
          <w:b/>
          <w:color w:val="auto"/>
          <w:kern w:val="2"/>
          <w:szCs w:val="21"/>
          <w:highlight w:val="none"/>
        </w:rPr>
      </w:pPr>
      <w:bookmarkStart w:id="24" w:name="_Toc397670950"/>
      <w:bookmarkStart w:id="25" w:name="_Toc397670921"/>
      <w:r>
        <w:rPr>
          <w:rFonts w:hint="eastAsia" w:asciiTheme="minorEastAsia" w:hAnsiTheme="minorEastAsia" w:eastAsiaTheme="minorEastAsia"/>
          <w:b/>
          <w:color w:val="auto"/>
          <w:kern w:val="2"/>
          <w:szCs w:val="21"/>
          <w:highlight w:val="none"/>
        </w:rPr>
        <w:t>（五）投标费用</w:t>
      </w:r>
      <w:bookmarkEnd w:id="24"/>
      <w:bookmarkEnd w:id="25"/>
    </w:p>
    <w:p w14:paraId="33755C8A">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不论投标结果如何，供应商均应自行承担所有与投标有关的费用（磋商文件有相反规定除外）。</w:t>
      </w:r>
    </w:p>
    <w:p w14:paraId="0617C7CC">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（六）联合体投标</w:t>
      </w:r>
    </w:p>
    <w:p w14:paraId="281A93D5">
      <w:pPr>
        <w:snapToGrid w:val="0"/>
        <w:spacing w:before="120" w:beforeLines="50"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本项目不接受联合体投标。</w:t>
      </w:r>
    </w:p>
    <w:p w14:paraId="723899BB">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（八）是否允许采购进口产品</w:t>
      </w:r>
    </w:p>
    <w:p w14:paraId="2E3386C3">
      <w:pPr>
        <w:snapToGrid w:val="0"/>
        <w:spacing w:before="120" w:beforeLines="50"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不</w:t>
      </w:r>
      <w:r>
        <w:rPr>
          <w:rFonts w:asciiTheme="minorEastAsia" w:hAnsiTheme="minorEastAsia" w:eastAsiaTheme="minorEastAsia"/>
          <w:color w:val="auto"/>
          <w:kern w:val="2"/>
          <w:szCs w:val="21"/>
          <w:highlight w:val="none"/>
        </w:rPr>
        <w:t>允许</w:t>
      </w:r>
      <w:r>
        <w:rPr>
          <w:rFonts w:hint="eastAsia" w:asciiTheme="minorEastAsia" w:hAnsiTheme="minorEastAsia" w:eastAsiaTheme="minorEastAsia"/>
          <w:color w:val="auto"/>
          <w:kern w:val="2"/>
          <w:szCs w:val="21"/>
          <w:highlight w:val="none"/>
        </w:rPr>
        <w:t>采购进口产品。</w:t>
      </w:r>
    </w:p>
    <w:p w14:paraId="31452DDB">
      <w:pPr>
        <w:snapToGrid w:val="0"/>
        <w:spacing w:before="120" w:beforeLines="50" w:line="360" w:lineRule="auto"/>
        <w:rPr>
          <w:rFonts w:asciiTheme="minorEastAsia" w:hAnsiTheme="minorEastAsia" w:eastAsiaTheme="minorEastAsia"/>
          <w:color w:val="auto"/>
          <w:kern w:val="2"/>
          <w:szCs w:val="21"/>
          <w:highlight w:val="none"/>
        </w:rPr>
      </w:pPr>
      <w:bookmarkStart w:id="26" w:name="_Toc397670923"/>
      <w:bookmarkStart w:id="27" w:name="_Toc405792813"/>
      <w:bookmarkStart w:id="28" w:name="_Toc397670952"/>
      <w:bookmarkStart w:id="29" w:name="_Toc444500048"/>
      <w:r>
        <w:rPr>
          <w:rFonts w:asciiTheme="minorEastAsia" w:hAnsiTheme="minorEastAsia" w:eastAsiaTheme="minorEastAsia"/>
          <w:color w:val="auto"/>
          <w:kern w:val="2"/>
          <w:szCs w:val="21"/>
          <w:highlight w:val="none"/>
        </w:rPr>
        <w:t>▲</w:t>
      </w:r>
      <w:r>
        <w:rPr>
          <w:rFonts w:hint="eastAsia" w:asciiTheme="minorEastAsia" w:hAnsiTheme="minorEastAsia" w:eastAsiaTheme="minorEastAsia"/>
          <w:b/>
          <w:color w:val="auto"/>
          <w:kern w:val="2"/>
          <w:szCs w:val="21"/>
          <w:highlight w:val="none"/>
        </w:rPr>
        <w:t>（九）特别说明：</w:t>
      </w:r>
    </w:p>
    <w:p w14:paraId="5B8F9230">
      <w:pPr>
        <w:pStyle w:val="29"/>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供应商投标所使用的资格、信誉、荣誉、业绩与企业认证必须为本法人所拥有。</w:t>
      </w:r>
    </w:p>
    <w:p w14:paraId="781EFFDC">
      <w:pPr>
        <w:pStyle w:val="29"/>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供应商应仔细阅读</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的所有内容，按照</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的要求提交</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，并对所提供的全部资料的真实性承担法律责任。</w:t>
      </w:r>
    </w:p>
    <w:p w14:paraId="2BCB1CED">
      <w:pPr>
        <w:pStyle w:val="29"/>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供应商在投标活动中提供任何虚假材料,其投标无效，并报监管部门查处；中标后发现的,</w:t>
      </w:r>
      <w:r>
        <w:rPr>
          <w:rFonts w:hint="eastAsia" w:asciiTheme="minorEastAsia" w:hAnsiTheme="minorEastAsia" w:eastAsiaTheme="minorEastAsia"/>
          <w:color w:val="auto"/>
          <w:szCs w:val="21"/>
          <w:highlight w:val="none"/>
        </w:rPr>
        <w:t>成交供应商</w:t>
      </w:r>
      <w:r>
        <w:rPr>
          <w:rFonts w:asciiTheme="minorEastAsia" w:hAnsiTheme="minorEastAsia" w:eastAsiaTheme="minorEastAsia"/>
          <w:color w:val="auto"/>
          <w:szCs w:val="21"/>
          <w:highlight w:val="none"/>
        </w:rPr>
        <w:t>须依照《中华人民共和国消费者权益保护法》第49条之规定双倍赔偿采购人</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且民事赔偿并不免除违法供应商的行政与刑事责任。</w:t>
      </w:r>
    </w:p>
    <w:p w14:paraId="3B465C59">
      <w:pPr>
        <w:pStyle w:val="29"/>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十</w:t>
      </w:r>
      <w:r>
        <w:rPr>
          <w:rFonts w:asciiTheme="minorEastAsia" w:hAnsiTheme="minorEastAsia" w:eastAsiaTheme="minorEastAsia"/>
          <w:b/>
          <w:color w:val="auto"/>
          <w:szCs w:val="21"/>
          <w:highlight w:val="none"/>
        </w:rPr>
        <w:t>）质疑和投诉</w:t>
      </w:r>
    </w:p>
    <w:p w14:paraId="662B24F4">
      <w:pPr>
        <w:pStyle w:val="29"/>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认为采购文件、采购过程、中标或者成交结果使自己的权益受到损害的，可以在知道或者应知其权益受到损害之日起7个工作日内，以书面形式一次性向采购人、集中采购机构提出针对同一采购程序环节的质疑。质疑供应商对采购人、代理机构的答复不满意，或者采购人、代理机构未在规定时间内作出答复的，可以在答复期满后15个工作日内向规定的财政部门提起投诉。</w:t>
      </w:r>
    </w:p>
    <w:p w14:paraId="2E70202C">
      <w:pPr>
        <w:pStyle w:val="29"/>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2.供应商须在法定质疑期内一次性提出针对同一采购程序环节的质疑。</w:t>
      </w:r>
    </w:p>
    <w:p w14:paraId="514DD7AC">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供应商认为代理机构在质疑答复程序中启用的调查和复评等程序，在该程序操作过程未明显违反法律禁止性规定时，不得提出疑义。</w:t>
      </w:r>
    </w:p>
    <w:p w14:paraId="622CE146">
      <w:pPr>
        <w:pStyle w:val="29"/>
        <w:snapToGrid w:val="0"/>
        <w:spacing w:line="360" w:lineRule="auto"/>
        <w:ind w:firstLine="420" w:firstLineChars="200"/>
        <w:rPr>
          <w:rFonts w:asciiTheme="minorEastAsia" w:hAnsiTheme="minorEastAsia" w:eastAsiaTheme="minorEastAsia"/>
          <w:bCs/>
          <w:color w:val="auto"/>
          <w:kern w:val="0"/>
          <w:sz w:val="32"/>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.质疑和投诉应当满足《政府采购质疑和投诉办法》（中华人民共和国财政部令第94号）要求。</w:t>
      </w:r>
    </w:p>
    <w:p w14:paraId="2D759956">
      <w:pPr>
        <w:pStyle w:val="29"/>
        <w:snapToGrid w:val="0"/>
        <w:spacing w:before="120" w:after="120" w:line="360" w:lineRule="auto"/>
        <w:ind w:firstLine="413" w:firstLineChars="196"/>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二、磋商文件</w:t>
      </w:r>
      <w:bookmarkEnd w:id="26"/>
      <w:bookmarkEnd w:id="27"/>
      <w:bookmarkEnd w:id="28"/>
      <w:bookmarkEnd w:id="29"/>
    </w:p>
    <w:p w14:paraId="035B1E5A">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（一）磋商文件的构成</w:t>
      </w:r>
    </w:p>
    <w:p w14:paraId="7F31DD01">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磋商公告</w:t>
      </w:r>
    </w:p>
    <w:p w14:paraId="5DCEDCB0">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磋商</w:t>
      </w:r>
      <w:r>
        <w:rPr>
          <w:rFonts w:hint="eastAsia" w:asciiTheme="minorEastAsia" w:hAnsiTheme="minorEastAsia" w:eastAsiaTheme="minorEastAsia"/>
          <w:color w:val="auto"/>
          <w:kern w:val="2"/>
          <w:szCs w:val="21"/>
          <w:highlight w:val="none"/>
        </w:rPr>
        <w:t>项目要求</w:t>
      </w:r>
    </w:p>
    <w:p w14:paraId="4BD297D1">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须知</w:t>
      </w:r>
    </w:p>
    <w:p w14:paraId="683B29F2">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评标办法及标准</w:t>
      </w:r>
    </w:p>
    <w:p w14:paraId="26DA1647">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合同主要条款</w:t>
      </w:r>
    </w:p>
    <w:p w14:paraId="2A0FFE9B">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w:t>
      </w:r>
      <w:r>
        <w:rPr>
          <w:rFonts w:hint="eastAsia" w:asciiTheme="minorEastAsia" w:hAnsiTheme="minorEastAsia" w:eastAsiaTheme="minorEastAsia"/>
          <w:color w:val="auto"/>
          <w:kern w:val="2"/>
          <w:szCs w:val="21"/>
          <w:highlight w:val="none"/>
        </w:rPr>
        <w:t>.响应文件</w:t>
      </w:r>
      <w:r>
        <w:rPr>
          <w:rFonts w:asciiTheme="minorEastAsia" w:hAnsiTheme="minorEastAsia" w:eastAsiaTheme="minorEastAsia"/>
          <w:color w:val="auto"/>
          <w:kern w:val="2"/>
          <w:szCs w:val="21"/>
          <w:highlight w:val="none"/>
        </w:rPr>
        <w:t>格式</w:t>
      </w:r>
    </w:p>
    <w:p w14:paraId="58636ECE">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7.本项目</w:t>
      </w:r>
      <w:r>
        <w:rPr>
          <w:rFonts w:asciiTheme="minorEastAsia" w:hAnsiTheme="minorEastAsia" w:eastAsiaTheme="minorEastAsia"/>
          <w:color w:val="auto"/>
          <w:kern w:val="2"/>
          <w:szCs w:val="21"/>
          <w:highlight w:val="none"/>
        </w:rPr>
        <w:t>磋商文件</w:t>
      </w:r>
      <w:r>
        <w:rPr>
          <w:rFonts w:hint="eastAsia" w:asciiTheme="minorEastAsia" w:hAnsiTheme="minorEastAsia" w:eastAsiaTheme="minorEastAsia"/>
          <w:color w:val="auto"/>
          <w:kern w:val="2"/>
          <w:szCs w:val="21"/>
          <w:highlight w:val="none"/>
        </w:rPr>
        <w:t>的</w:t>
      </w:r>
      <w:r>
        <w:rPr>
          <w:rFonts w:asciiTheme="minorEastAsia" w:hAnsiTheme="minorEastAsia" w:eastAsiaTheme="minorEastAsia"/>
          <w:color w:val="auto"/>
          <w:kern w:val="2"/>
          <w:szCs w:val="21"/>
          <w:highlight w:val="none"/>
        </w:rPr>
        <w:t>澄清、答复、修改、补充的内容</w:t>
      </w:r>
    </w:p>
    <w:p w14:paraId="5523A58F">
      <w:pPr>
        <w:snapToGrid w:val="0"/>
        <w:spacing w:before="120" w:beforeLines="50"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（二）供应商的风险</w:t>
      </w:r>
    </w:p>
    <w:p w14:paraId="1A5BFA43">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供应商没有按照磋商文件要求提供全部资料，或者供应商没有对磋商文件在各方面做出实质性响应是供应商的风险，并可能导致其投标为无效标。</w:t>
      </w:r>
    </w:p>
    <w:p w14:paraId="137A3F61">
      <w:pPr>
        <w:pStyle w:val="13"/>
        <w:numPr>
          <w:ilvl w:val="0"/>
          <w:numId w:val="0"/>
        </w:numPr>
        <w:tabs>
          <w:tab w:val="left" w:pos="720"/>
          <w:tab w:val="clear" w:pos="360"/>
        </w:tabs>
        <w:snapToGrid w:val="0"/>
        <w:spacing w:before="120" w:beforeLines="50" w:after="120"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（三）磋商文件的澄清与修改</w:t>
      </w:r>
    </w:p>
    <w:p w14:paraId="0317A259">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应认真阅读本磋商文件，发现其中有误或有不合理要求的，</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必须在规定时间内以书面形式要求磋商</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澄清。</w:t>
      </w:r>
      <w:r>
        <w:rPr>
          <w:rFonts w:hint="eastAsia" w:asciiTheme="minorEastAsia" w:hAnsiTheme="minorEastAsia" w:eastAsiaTheme="minorEastAsia"/>
          <w:color w:val="auto"/>
          <w:szCs w:val="21"/>
          <w:highlight w:val="none"/>
        </w:rPr>
        <w:t>代理</w:t>
      </w:r>
      <w:r>
        <w:rPr>
          <w:rFonts w:asciiTheme="minorEastAsia" w:hAnsiTheme="minorEastAsia" w:eastAsiaTheme="minorEastAsia"/>
          <w:color w:val="auto"/>
          <w:szCs w:val="21"/>
          <w:highlight w:val="none"/>
        </w:rPr>
        <w:t>机构对已发出的磋商文件进行必要澄清、答复、修改或补充的，应当在磋商文件要求提交</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截止时间</w:t>
      </w:r>
      <w:r>
        <w:rPr>
          <w:rFonts w:hint="eastAsia" w:asciiTheme="minorEastAsia" w:hAnsiTheme="minorEastAsia" w:eastAsiaTheme="minorEastAsia"/>
          <w:color w:val="auto"/>
          <w:szCs w:val="21"/>
          <w:highlight w:val="none"/>
        </w:rPr>
        <w:t>三</w:t>
      </w:r>
      <w:r>
        <w:rPr>
          <w:rFonts w:asciiTheme="minorEastAsia" w:hAnsiTheme="minorEastAsia" w:eastAsiaTheme="minorEastAsia"/>
          <w:color w:val="auto"/>
          <w:szCs w:val="21"/>
          <w:highlight w:val="none"/>
        </w:rPr>
        <w:t>日前，在财政部门指定的政府采购信息发布媒体上发布更正公告，并以书面形式通知所有磋商文件收受人。</w:t>
      </w:r>
    </w:p>
    <w:p w14:paraId="049DB440">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代理</w:t>
      </w:r>
      <w:r>
        <w:rPr>
          <w:rFonts w:asciiTheme="minorEastAsia" w:hAnsiTheme="minorEastAsia" w:eastAsiaTheme="minorEastAsia"/>
          <w:color w:val="auto"/>
          <w:szCs w:val="21"/>
          <w:highlight w:val="none"/>
        </w:rPr>
        <w:t>机构必须以书面形式答复</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要求澄清的问题，并将不包含问题来源的答复书面通知所有购买磋商文件的</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；除书面答复以外的其他澄清方式及澄清内容均无效。</w:t>
      </w:r>
    </w:p>
    <w:p w14:paraId="2582C016">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3.磋商文件澄清、答复、修改、补充的内容为磋商文件的组成部分。当磋商文件与磋商文件的答复、澄清、修改、补充通知就同一内容的表述不一致时，以最后发出的书面文件为准。</w:t>
      </w:r>
    </w:p>
    <w:p w14:paraId="10E86427">
      <w:pPr>
        <w:pStyle w:val="29"/>
        <w:snapToGrid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4.磋商文件的澄清、答复、修改或补充都应该通过本代理机构以法定形式发布，采购人非通过本机构，不得擅自澄清、答复、修改或补充磋商文件。</w:t>
      </w:r>
      <w:bookmarkStart w:id="30" w:name="_Toc397670924"/>
      <w:bookmarkStart w:id="31" w:name="_Toc397670953"/>
    </w:p>
    <w:bookmarkEnd w:id="30"/>
    <w:bookmarkEnd w:id="31"/>
    <w:p w14:paraId="71BBDF70">
      <w:pPr>
        <w:pStyle w:val="29"/>
        <w:snapToGrid w:val="0"/>
        <w:spacing w:before="120" w:after="120" w:line="360" w:lineRule="auto"/>
        <w:ind w:firstLine="413" w:firstLineChars="196"/>
        <w:jc w:val="center"/>
        <w:outlineLvl w:val="1"/>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三、投标文件的编制</w:t>
      </w:r>
    </w:p>
    <w:p w14:paraId="02C5ADC0">
      <w:pPr>
        <w:pStyle w:val="29"/>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本项目所涉投标文件格式请详见第六章，未给出的格式请自拟。资信技术文件中不得出现报价，否则投标文件将被视为无效。</w:t>
      </w:r>
    </w:p>
    <w:p w14:paraId="20F858AF">
      <w:pPr>
        <w:pStyle w:val="29"/>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总体要求</w:t>
      </w:r>
      <w:r>
        <w:rPr>
          <w:rFonts w:asciiTheme="minorEastAsia" w:hAnsiTheme="minorEastAsia" w:eastAsiaTheme="minorEastAsia"/>
          <w:b/>
          <w:color w:val="auto"/>
          <w:szCs w:val="21"/>
          <w:highlight w:val="none"/>
        </w:rPr>
        <w:t>：</w:t>
      </w:r>
    </w:p>
    <w:p w14:paraId="2B5259E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11C8463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投标文件及供应商与采购有关的来往通知，函件和文件均应使用中文。</w:t>
      </w:r>
    </w:p>
    <w:p w14:paraId="3F3A1C7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供应商应按本文件中提供的文件格式、内容和要求制作投标文件。</w:t>
      </w:r>
    </w:p>
    <w:p w14:paraId="45AD0D03">
      <w:pPr>
        <w:snapToGrid w:val="0"/>
        <w:spacing w:line="360" w:lineRule="auto"/>
        <w:ind w:firstLine="413" w:firstLineChars="196"/>
        <w:rPr>
          <w:rFonts w:asciiTheme="minorEastAsia" w:hAnsiTheme="minorEastAsia" w:eastAsiaTheme="minorEastAsia"/>
          <w:b/>
          <w:color w:val="auto"/>
          <w:szCs w:val="21"/>
          <w:highlight w:val="none"/>
        </w:rPr>
      </w:pPr>
      <w:bookmarkStart w:id="32" w:name="_Toc406402944"/>
      <w:bookmarkStart w:id="33" w:name="_Toc406402988"/>
      <w:r>
        <w:rPr>
          <w:rFonts w:hint="eastAsia" w:asciiTheme="minorEastAsia" w:hAnsiTheme="minorEastAsia" w:eastAsiaTheme="minorEastAsia"/>
          <w:b/>
          <w:color w:val="auto"/>
          <w:szCs w:val="21"/>
          <w:highlight w:val="none"/>
        </w:rPr>
        <w:t>（一）投标文件的组成</w:t>
      </w:r>
      <w:bookmarkEnd w:id="32"/>
      <w:bookmarkEnd w:id="33"/>
    </w:p>
    <w:p w14:paraId="44CBA04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电子投标文件和备份投标文件均由资信技术文件、商务报价文件两部份组成。投标文件中所须加盖公章部分均采用CA签章。</w:t>
      </w:r>
    </w:p>
    <w:p w14:paraId="0A1874B7">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1、资信文件：</w:t>
      </w:r>
    </w:p>
    <w:p w14:paraId="58569A80">
      <w:pPr>
        <w:spacing w:line="360" w:lineRule="auto"/>
        <w:ind w:firstLine="420" w:firstLineChars="200"/>
        <w:rPr>
          <w:rFonts w:asciiTheme="minorEastAsia" w:hAnsiTheme="minorEastAsia" w:eastAsiaTheme="minorEastAsia"/>
          <w:color w:val="auto"/>
          <w:szCs w:val="21"/>
          <w:highlight w:val="none"/>
        </w:rPr>
      </w:pPr>
      <w:bookmarkStart w:id="34" w:name="_Toc406402945"/>
      <w:bookmarkStart w:id="35" w:name="_Toc406402989"/>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投标声明书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（附件1）</w:t>
      </w:r>
    </w:p>
    <w:p w14:paraId="1F5C6C4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）法定代表人授权委托书；</w:t>
      </w:r>
      <w:r>
        <w:rPr>
          <w:rFonts w:hint="eastAsia" w:asciiTheme="minorEastAsia" w:hAnsiTheme="minorEastAsia" w:eastAsiaTheme="minorEastAsia"/>
          <w:color w:val="auto"/>
          <w:szCs w:val="21"/>
          <w:highlight w:val="none"/>
        </w:rPr>
        <w:t>（附件2）</w:t>
      </w:r>
    </w:p>
    <w:p w14:paraId="0E07422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关于资格的声明函；（附件3）</w:t>
      </w:r>
    </w:p>
    <w:p w14:paraId="7C964AA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）投标人基本情况；</w:t>
      </w:r>
      <w:r>
        <w:rPr>
          <w:rFonts w:hint="eastAsia" w:asciiTheme="minorEastAsia" w:hAnsiTheme="minorEastAsia" w:eastAsiaTheme="minorEastAsia"/>
          <w:color w:val="auto"/>
          <w:szCs w:val="21"/>
          <w:highlight w:val="none"/>
        </w:rPr>
        <w:t>（附件4）</w:t>
      </w:r>
    </w:p>
    <w:p w14:paraId="2F32C2E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）业绩</w:t>
      </w:r>
      <w:r>
        <w:rPr>
          <w:rFonts w:hint="eastAsia" w:asciiTheme="minorEastAsia" w:hAnsiTheme="minorEastAsia" w:eastAsiaTheme="minorEastAsia"/>
          <w:color w:val="auto"/>
          <w:szCs w:val="21"/>
          <w:highlight w:val="none"/>
        </w:rPr>
        <w:t>表</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（附件5）</w:t>
      </w:r>
    </w:p>
    <w:p w14:paraId="6F53F39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项目组</w:t>
      </w:r>
      <w:r>
        <w:rPr>
          <w:rFonts w:asciiTheme="minorEastAsia" w:hAnsiTheme="minorEastAsia" w:eastAsiaTheme="minorEastAsia"/>
          <w:color w:val="auto"/>
          <w:szCs w:val="21"/>
          <w:highlight w:val="none"/>
        </w:rPr>
        <w:t>人员配置</w:t>
      </w:r>
      <w:r>
        <w:rPr>
          <w:rFonts w:hint="eastAsia" w:asciiTheme="minorEastAsia" w:hAnsiTheme="minorEastAsia" w:eastAsiaTheme="minorEastAsia"/>
          <w:color w:val="auto"/>
          <w:szCs w:val="21"/>
          <w:highlight w:val="none"/>
        </w:rPr>
        <w:t>情况；（附件6）</w:t>
      </w:r>
    </w:p>
    <w:p w14:paraId="4B195B9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（7）投标人符合政府采购法第二十二条资格的相关证明文件；</w:t>
      </w:r>
    </w:p>
    <w:p w14:paraId="7E8EBCD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（8）投标人符合特定条件的相关证明文件；</w:t>
      </w:r>
    </w:p>
    <w:p w14:paraId="60E8271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14:paraId="3128672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（10）中小企业声明函、残疾人福利性单位声明函及其他符合政策性加分条件的承诺函或证明材料。（附件7、8）</w:t>
      </w:r>
    </w:p>
    <w:p w14:paraId="195501A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）商务偏离表、技术偏离表、（附件9、10）</w:t>
      </w:r>
    </w:p>
    <w:p w14:paraId="47601E8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）未尽事宜请各供应商按评分细则制作技术部份。</w:t>
      </w:r>
    </w:p>
    <w:p w14:paraId="6D73FF75">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技术文件</w:t>
      </w:r>
    </w:p>
    <w:p w14:paraId="1054F68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项目理解</w:t>
      </w:r>
      <w:r>
        <w:rPr>
          <w:rFonts w:hint="eastAsia" w:asciiTheme="minorEastAsia" w:hAnsiTheme="minorEastAsia" w:eastAsiaTheme="minorEastAsia"/>
          <w:color w:val="auto"/>
          <w:szCs w:val="21"/>
          <w:highlight w:val="none"/>
        </w:rPr>
        <w:t>、实施方案、编制大纲、进度计划、服务质量；（格式自拟）</w:t>
      </w:r>
    </w:p>
    <w:p w14:paraId="184F8CE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投标人承诺给予招标人的各种优惠条件，包括售后服务等方面的优惠；</w:t>
      </w:r>
      <w:r>
        <w:rPr>
          <w:rFonts w:hint="eastAsia" w:asciiTheme="minorEastAsia" w:hAnsiTheme="minorEastAsia" w:eastAsiaTheme="minorEastAsia"/>
          <w:color w:val="auto"/>
          <w:szCs w:val="21"/>
          <w:highlight w:val="none"/>
        </w:rPr>
        <w:t>（格式自拟）</w:t>
      </w:r>
    </w:p>
    <w:p w14:paraId="3D57781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（3）投标人认为有必要提供的声明及文件资料。</w:t>
      </w:r>
    </w:p>
    <w:p w14:paraId="3405AB2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（4）未尽事宜请各投标人按评分细则制作。</w:t>
      </w:r>
    </w:p>
    <w:p w14:paraId="122B8C1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（注：复印件应加盖投标人公章）</w:t>
      </w:r>
    </w:p>
    <w:p w14:paraId="4B314985">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3</w:t>
      </w:r>
      <w:r>
        <w:rPr>
          <w:rFonts w:hint="eastAsia" w:asciiTheme="minorEastAsia" w:hAnsiTheme="minorEastAsia" w:eastAsiaTheme="minorEastAsia"/>
          <w:b/>
          <w:color w:val="auto"/>
          <w:szCs w:val="21"/>
          <w:highlight w:val="none"/>
        </w:rPr>
        <w:t>、商务</w:t>
      </w:r>
      <w:r>
        <w:rPr>
          <w:rFonts w:asciiTheme="minorEastAsia" w:hAnsiTheme="minorEastAsia" w:eastAsiaTheme="minorEastAsia"/>
          <w:b/>
          <w:color w:val="auto"/>
          <w:szCs w:val="21"/>
          <w:highlight w:val="none"/>
        </w:rPr>
        <w:t>报价文件：</w:t>
      </w:r>
    </w:p>
    <w:p w14:paraId="4E2CD63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（1）投标函；（附件11）</w:t>
      </w:r>
    </w:p>
    <w:p w14:paraId="2BDF0CA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）开标一览表；</w:t>
      </w:r>
      <w:r>
        <w:rPr>
          <w:rFonts w:hint="eastAsia" w:asciiTheme="minorEastAsia" w:hAnsiTheme="minorEastAsia" w:eastAsiaTheme="minorEastAsia"/>
          <w:color w:val="auto"/>
          <w:szCs w:val="21"/>
          <w:highlight w:val="none"/>
        </w:rPr>
        <w:t>（附件12）</w:t>
      </w:r>
    </w:p>
    <w:p w14:paraId="2CEE25B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（3）明细报价表；（附件13）</w:t>
      </w:r>
    </w:p>
    <w:p w14:paraId="69C792D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rPr>
        <w:t>针对报价</w:t>
      </w:r>
      <w:r>
        <w:rPr>
          <w:rFonts w:asciiTheme="minorEastAsia" w:hAnsiTheme="minorEastAsia" w:eastAsiaTheme="minorEastAsia"/>
          <w:color w:val="auto"/>
          <w:szCs w:val="21"/>
          <w:highlight w:val="none"/>
        </w:rPr>
        <w:t>需要说明的其他文件和说明</w:t>
      </w:r>
      <w:r>
        <w:rPr>
          <w:rFonts w:hint="eastAsia" w:asciiTheme="minorEastAsia" w:hAnsiTheme="minorEastAsia" w:eastAsiaTheme="minorEastAsia"/>
          <w:color w:val="auto"/>
          <w:szCs w:val="21"/>
          <w:highlight w:val="none"/>
        </w:rPr>
        <w:t>；</w:t>
      </w:r>
      <w:bookmarkEnd w:id="34"/>
      <w:bookmarkEnd w:id="35"/>
    </w:p>
    <w:p w14:paraId="07D6B7AA">
      <w:pPr>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注：</w:t>
      </w:r>
      <w:r>
        <w:rPr>
          <w:rFonts w:hint="eastAsia" w:asciiTheme="minorEastAsia" w:hAnsiTheme="minorEastAsia" w:eastAsiaTheme="minorEastAsia"/>
          <w:b/>
          <w:color w:val="auto"/>
          <w:szCs w:val="21"/>
          <w:highlight w:val="none"/>
        </w:rPr>
        <w:t>1、投标人可根据评分细则按排版自行编制目录。</w:t>
      </w:r>
    </w:p>
    <w:p w14:paraId="3C2D2C79">
      <w:pPr>
        <w:snapToGrid w:val="0"/>
        <w:spacing w:before="120" w:beforeLines="50" w:after="50"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color w:val="auto"/>
          <w:kern w:val="2"/>
          <w:szCs w:val="21"/>
          <w:highlight w:val="none"/>
        </w:rPr>
        <w:t>　</w:t>
      </w:r>
      <w:bookmarkStart w:id="36" w:name="_Toc397670926"/>
      <w:bookmarkStart w:id="37" w:name="_Toc397670955"/>
      <w:bookmarkStart w:id="38" w:name="_Toc444500050"/>
      <w:bookmarkStart w:id="39" w:name="_Toc405792815"/>
      <w:r>
        <w:rPr>
          <w:rFonts w:hint="eastAsia" w:asciiTheme="minorEastAsia" w:hAnsiTheme="minorEastAsia" w:eastAsiaTheme="minorEastAsia"/>
          <w:color w:val="auto"/>
          <w:kern w:val="2"/>
          <w:szCs w:val="21"/>
          <w:highlight w:val="none"/>
        </w:rPr>
        <w:t xml:space="preserve">  </w:t>
      </w:r>
      <w:r>
        <w:rPr>
          <w:rFonts w:asciiTheme="minorEastAsia" w:hAnsiTheme="minorEastAsia" w:eastAsiaTheme="minorEastAsia"/>
          <w:b/>
          <w:color w:val="auto"/>
          <w:kern w:val="2"/>
          <w:szCs w:val="21"/>
          <w:highlight w:val="none"/>
        </w:rPr>
        <w:t>法定代表人（负责人）授权委托书、</w:t>
      </w:r>
      <w:r>
        <w:rPr>
          <w:rFonts w:hint="eastAsia" w:asciiTheme="minorEastAsia" w:hAnsiTheme="minorEastAsia" w:eastAsiaTheme="minorEastAsia"/>
          <w:b/>
          <w:color w:val="auto"/>
          <w:kern w:val="2"/>
          <w:szCs w:val="21"/>
          <w:highlight w:val="none"/>
        </w:rPr>
        <w:t>磋商函、</w:t>
      </w:r>
      <w:r>
        <w:rPr>
          <w:rFonts w:asciiTheme="minorEastAsia" w:hAnsiTheme="minorEastAsia" w:eastAsiaTheme="minorEastAsia"/>
          <w:b/>
          <w:color w:val="auto"/>
          <w:kern w:val="2"/>
          <w:szCs w:val="21"/>
          <w:highlight w:val="none"/>
        </w:rPr>
        <w:t>磋商声明书、</w:t>
      </w:r>
      <w:r>
        <w:rPr>
          <w:rFonts w:hint="eastAsia" w:asciiTheme="minorEastAsia" w:hAnsiTheme="minorEastAsia" w:eastAsiaTheme="minorEastAsia"/>
          <w:b/>
          <w:color w:val="auto"/>
          <w:kern w:val="2"/>
          <w:szCs w:val="21"/>
          <w:highlight w:val="none"/>
        </w:rPr>
        <w:t>磋商报价表</w:t>
      </w:r>
      <w:r>
        <w:rPr>
          <w:rFonts w:asciiTheme="minorEastAsia" w:hAnsiTheme="minorEastAsia" w:eastAsiaTheme="minorEastAsia"/>
          <w:b/>
          <w:color w:val="auto"/>
          <w:kern w:val="2"/>
          <w:szCs w:val="21"/>
          <w:highlight w:val="none"/>
        </w:rPr>
        <w:t>须由法定代表人（负责人）</w:t>
      </w:r>
      <w:r>
        <w:rPr>
          <w:rFonts w:hint="eastAsia" w:asciiTheme="minorEastAsia" w:hAnsiTheme="minorEastAsia" w:eastAsiaTheme="minorEastAsia"/>
          <w:b/>
          <w:color w:val="auto"/>
          <w:kern w:val="2"/>
          <w:szCs w:val="21"/>
          <w:highlight w:val="none"/>
        </w:rPr>
        <w:t>或被授权人签字或盖章</w:t>
      </w:r>
      <w:r>
        <w:rPr>
          <w:rFonts w:asciiTheme="minorEastAsia" w:hAnsiTheme="minorEastAsia" w:eastAsiaTheme="minorEastAsia"/>
          <w:b/>
          <w:color w:val="auto"/>
          <w:kern w:val="2"/>
          <w:szCs w:val="21"/>
          <w:highlight w:val="none"/>
        </w:rPr>
        <w:t>并加盖单位公章。</w:t>
      </w:r>
    </w:p>
    <w:p w14:paraId="2457BCE3">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（二）响应文件的语言及计量</w:t>
      </w:r>
      <w:bookmarkEnd w:id="36"/>
      <w:bookmarkEnd w:id="37"/>
      <w:bookmarkEnd w:id="38"/>
      <w:bookmarkEnd w:id="39"/>
    </w:p>
    <w:p w14:paraId="653BEDEB">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1.响应文件以及供应商与磋商采购人就有关投标事宜的所有来往函电，均应以中文汉语书写。除签名、盖章、专用名称等特殊情形外，以中文汉语以外的文字表述的响应文件视同未提供。</w:t>
      </w:r>
    </w:p>
    <w:p w14:paraId="65C84A02">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2.投标计量单位，磋商文件已有明确规定的，使用磋商文件规定的计量单位；磋商文件没有规定的，应采用中华人民共和国法定计量单位（货币单位：人民币元），否则视同未响应。</w:t>
      </w:r>
      <w:bookmarkStart w:id="40" w:name="_Toc444500051"/>
      <w:bookmarkStart w:id="41" w:name="_Toc405792816"/>
      <w:bookmarkStart w:id="42" w:name="_Toc397670956"/>
      <w:bookmarkStart w:id="43" w:name="_Toc397670927"/>
    </w:p>
    <w:p w14:paraId="06EF41A8">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3.供应商应按本次磋商项目进行报价，不得缺项和漏项；</w:t>
      </w:r>
    </w:p>
    <w:p w14:paraId="768A0CFC">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4.供应商应按磋商文件规定的，只允许有一个报价，任何有选择性的报价，将不予接受；</w:t>
      </w:r>
    </w:p>
    <w:p w14:paraId="467D0221">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5.供应商的最终报价由供应商自担全部风险责任；</w:t>
      </w:r>
    </w:p>
    <w:p w14:paraId="3D9A4ED7">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6.各供应商拟采取的竞争措施和提供给采购人的优惠条件应在磋商响应文件中列明；</w:t>
      </w:r>
    </w:p>
    <w:p w14:paraId="4998760A">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7.供应商所有优惠条件和优惠费用不得降低和影响本项目质量；</w:t>
      </w:r>
    </w:p>
    <w:p w14:paraId="64BA4FCF">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8.供应商对磋商文件里有关磋商报价的全部内容应仔细确认，若有个别异议，应在开标前提出修改意见，否则视同全部确认。</w:t>
      </w:r>
    </w:p>
    <w:p w14:paraId="75B7D3E9">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9.供应商按照清单总说明报价要求及其他有关说明进行报价。</w:t>
      </w:r>
    </w:p>
    <w:p w14:paraId="46C53297">
      <w:pPr>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（三）</w:t>
      </w:r>
      <w:bookmarkEnd w:id="40"/>
      <w:bookmarkEnd w:id="41"/>
      <w:bookmarkEnd w:id="42"/>
      <w:bookmarkEnd w:id="43"/>
      <w:r>
        <w:rPr>
          <w:rFonts w:hint="eastAsia" w:asciiTheme="minorEastAsia" w:hAnsiTheme="minorEastAsia" w:eastAsiaTheme="minorEastAsia"/>
          <w:b/>
          <w:color w:val="auto"/>
          <w:kern w:val="2"/>
          <w:szCs w:val="21"/>
          <w:highlight w:val="none"/>
        </w:rPr>
        <w:t>磋商报价</w:t>
      </w:r>
    </w:p>
    <w:p w14:paraId="27E309E9">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1.磋商报价应按磋商文件中相关附表格式填写。</w:t>
      </w:r>
    </w:p>
    <w:p w14:paraId="408E8542">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2.磋商报价是履行合同的最终价格，应包括为完成本项目所需要所有设备费用、投标费用及为完成本项目直至可以正常运行的等所有费用、税金、利润、及政策性文件规定等各项应有费用。</w:t>
      </w:r>
    </w:p>
    <w:p w14:paraId="2B5C02E8">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3.响应文件只允许有一个报价，有选择的或有条件的报价将不予接受。</w:t>
      </w:r>
    </w:p>
    <w:p w14:paraId="7409D533">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（四）响应文件的有效期</w:t>
      </w:r>
    </w:p>
    <w:p w14:paraId="5844795C">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▲1.自提交首次响应文件截止时间截止日起90天响应文件应保持有效。有效期不足的响应文件将被拒绝。</w:t>
      </w:r>
    </w:p>
    <w:p w14:paraId="0283C9ED">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2.在特殊情况下，采购人可与供应商协商延长投标书的有效期，这种要求和答复均以书面形式进行。</w:t>
      </w:r>
    </w:p>
    <w:p w14:paraId="4B6BE4CD">
      <w:pPr>
        <w:spacing w:line="360" w:lineRule="auto"/>
        <w:ind w:firstLine="420" w:firstLineChars="200"/>
        <w:rPr>
          <w:rFonts w:asciiTheme="minorEastAsia" w:hAnsiTheme="minorEastAsia" w:eastAsiaTheme="minorEastAsia"/>
          <w:color w:val="auto"/>
          <w:kern w:val="2"/>
          <w:szCs w:val="21"/>
          <w:highlight w:val="none"/>
        </w:rPr>
      </w:pPr>
      <w:bookmarkStart w:id="44" w:name="_Toc405792817"/>
      <w:bookmarkStart w:id="45" w:name="_Toc397670928"/>
      <w:bookmarkStart w:id="46" w:name="_Toc444500052"/>
      <w:bookmarkStart w:id="47" w:name="_Toc444005837"/>
      <w:bookmarkStart w:id="48" w:name="_Toc397670957"/>
      <w:r>
        <w:rPr>
          <w:rFonts w:hint="eastAsia" w:asciiTheme="minorEastAsia" w:hAnsiTheme="minorEastAsia" w:eastAsiaTheme="minorEastAsia"/>
          <w:color w:val="auto"/>
          <w:kern w:val="2"/>
          <w:szCs w:val="21"/>
          <w:highlight w:val="none"/>
        </w:rPr>
        <w:t>3.供应商可拒绝接受延期要求。同意延长有效期的供应商不能修改响应文件。</w:t>
      </w:r>
      <w:bookmarkEnd w:id="44"/>
      <w:bookmarkEnd w:id="45"/>
      <w:bookmarkEnd w:id="46"/>
      <w:bookmarkEnd w:id="47"/>
      <w:bookmarkEnd w:id="48"/>
      <w:r>
        <w:rPr>
          <w:rFonts w:hint="eastAsia" w:asciiTheme="minorEastAsia" w:hAnsiTheme="minorEastAsia" w:eastAsiaTheme="minorEastAsia"/>
          <w:color w:val="auto"/>
          <w:kern w:val="2"/>
          <w:szCs w:val="21"/>
          <w:highlight w:val="none"/>
        </w:rPr>
        <w:t xml:space="preserve"> </w:t>
      </w:r>
    </w:p>
    <w:p w14:paraId="65D0DD13">
      <w:pPr>
        <w:spacing w:line="360" w:lineRule="auto"/>
        <w:ind w:firstLine="420" w:firstLineChars="200"/>
        <w:rPr>
          <w:rFonts w:asciiTheme="minorEastAsia" w:hAnsiTheme="minorEastAsia" w:eastAsiaTheme="minorEastAsia"/>
          <w:color w:val="auto"/>
          <w:kern w:val="2"/>
          <w:szCs w:val="21"/>
          <w:highlight w:val="none"/>
        </w:rPr>
      </w:pPr>
      <w:bookmarkStart w:id="49" w:name="_Toc405792818"/>
      <w:bookmarkStart w:id="50" w:name="_Toc397670958"/>
      <w:bookmarkStart w:id="51" w:name="_Toc444005838"/>
      <w:bookmarkStart w:id="52" w:name="_Toc397670929"/>
      <w:bookmarkStart w:id="53" w:name="_Toc444500053"/>
      <w:r>
        <w:rPr>
          <w:rFonts w:hint="eastAsia" w:asciiTheme="minorEastAsia" w:hAnsiTheme="minorEastAsia" w:eastAsiaTheme="minorEastAsia"/>
          <w:color w:val="auto"/>
          <w:kern w:val="2"/>
          <w:szCs w:val="21"/>
          <w:highlight w:val="none"/>
        </w:rPr>
        <w:t>4.成交供应商的响应文件自开标之日起至合同履行完毕止均应保持有效。</w:t>
      </w:r>
      <w:bookmarkEnd w:id="49"/>
      <w:bookmarkEnd w:id="50"/>
      <w:bookmarkEnd w:id="51"/>
      <w:bookmarkEnd w:id="52"/>
      <w:bookmarkEnd w:id="53"/>
    </w:p>
    <w:p w14:paraId="696327D3">
      <w:pPr>
        <w:spacing w:line="360" w:lineRule="auto"/>
        <w:rPr>
          <w:rFonts w:asciiTheme="minorEastAsia" w:hAnsiTheme="minorEastAsia" w:eastAsiaTheme="minorEastAsia"/>
          <w:b/>
          <w:color w:val="auto"/>
          <w:kern w:val="2"/>
          <w:szCs w:val="21"/>
          <w:highlight w:val="none"/>
        </w:rPr>
      </w:pPr>
      <w:bookmarkStart w:id="54" w:name="_Toc444500055"/>
      <w:bookmarkStart w:id="55" w:name="_Toc397670931"/>
      <w:bookmarkStart w:id="56" w:name="_Toc405792820"/>
      <w:bookmarkStart w:id="57" w:name="_Toc397670960"/>
      <w:r>
        <w:rPr>
          <w:rFonts w:hint="eastAsia" w:asciiTheme="minorEastAsia" w:hAnsiTheme="minorEastAsia" w:eastAsiaTheme="minorEastAsia"/>
          <w:b/>
          <w:color w:val="auto"/>
          <w:kern w:val="2"/>
          <w:szCs w:val="21"/>
          <w:highlight w:val="none"/>
        </w:rPr>
        <w:t>（五）响应文件的签署和份数</w:t>
      </w:r>
    </w:p>
    <w:p w14:paraId="327D2780">
      <w:pPr>
        <w:pStyle w:val="136"/>
        <w:ind w:firstLine="42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电子交易文件按政采云平台供应商电子招投标操作指南（网址：https://help.zcygov.cn/web/site_2/2018/12-28/2573.html）及本磋商文件规定的格式和顺序编制电子交易文件并进行关联定位。</w:t>
      </w:r>
    </w:p>
    <w:bookmarkEnd w:id="54"/>
    <w:bookmarkEnd w:id="55"/>
    <w:bookmarkEnd w:id="56"/>
    <w:bookmarkEnd w:id="57"/>
    <w:p w14:paraId="3A0D0490">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（六）响应文件的修改和撤回</w:t>
      </w:r>
    </w:p>
    <w:p w14:paraId="23A01223">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在提交首次响应文件截止时间之前，可以对已提交的响应文件进行修改或撤回，并书面通知磋商采购人；提交首次响应文件截止时间后，供应商不得撤回、修改响应文件。修改后重新递交的响应文件应当按本磋商文件的要求进行。</w:t>
      </w:r>
    </w:p>
    <w:p w14:paraId="1C29C8C5">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（七）投标无效的情形</w:t>
      </w:r>
    </w:p>
    <w:p w14:paraId="6EE3BC36">
      <w:pPr>
        <w:snapToGrid w:val="0"/>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1.有下列情形之一的，视为供应商串通投标，其投标无效：</w:t>
      </w:r>
    </w:p>
    <w:p w14:paraId="3288B7B0">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1.1不同供应商的响应文件由同一单位或者个人编制；</w:t>
      </w:r>
    </w:p>
    <w:p w14:paraId="439E1777">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1.2不同供应商委托同一单位或者个人办理投标事宜；</w:t>
      </w:r>
    </w:p>
    <w:p w14:paraId="1761171C">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1.3不同供应商的响应文件载明的项目管理成员或者联系人员为同一人；</w:t>
      </w:r>
    </w:p>
    <w:p w14:paraId="3623761E">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1.4不同供应商的响应文件异常一致或者磋商报价呈规律性差异；</w:t>
      </w:r>
    </w:p>
    <w:p w14:paraId="27350278">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1.5不同供应商的响应文件相互混装。</w:t>
      </w:r>
    </w:p>
    <w:p w14:paraId="43BC6C17">
      <w:pPr>
        <w:snapToGrid w:val="0"/>
        <w:spacing w:line="360" w:lineRule="auto"/>
        <w:ind w:firstLine="422"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2.实质上没有响应磋商文件要求的投标将被视为无效投标</w:t>
      </w:r>
      <w:r>
        <w:rPr>
          <w:rFonts w:hint="eastAsia" w:asciiTheme="minorEastAsia" w:hAnsiTheme="minorEastAsia" w:eastAsiaTheme="minorEastAsia"/>
          <w:color w:val="auto"/>
          <w:kern w:val="2"/>
          <w:szCs w:val="21"/>
          <w:highlight w:val="none"/>
        </w:rPr>
        <w:t>。供应商修改、补正投标文件后，不影响磋商小组对其投标文件所作的评价和评分结果。</w:t>
      </w:r>
    </w:p>
    <w:p w14:paraId="0008DDA6">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3.电子交易</w:t>
      </w:r>
      <w:r>
        <w:rPr>
          <w:rFonts w:asciiTheme="minorEastAsia" w:hAnsiTheme="minorEastAsia" w:eastAsiaTheme="minorEastAsia"/>
          <w:b/>
          <w:color w:val="auto"/>
          <w:kern w:val="2"/>
          <w:szCs w:val="21"/>
          <w:highlight w:val="none"/>
        </w:rPr>
        <w:t>文件解密失败的，且未在规定时间内提交</w:t>
      </w:r>
      <w:r>
        <w:rPr>
          <w:rFonts w:hint="eastAsia" w:asciiTheme="minorEastAsia" w:hAnsiTheme="minorEastAsia" w:eastAsiaTheme="minorEastAsia"/>
          <w:b/>
          <w:color w:val="auto"/>
          <w:kern w:val="2"/>
          <w:szCs w:val="21"/>
          <w:highlight w:val="none"/>
        </w:rPr>
        <w:t>有效</w:t>
      </w:r>
      <w:r>
        <w:rPr>
          <w:rFonts w:asciiTheme="minorEastAsia" w:hAnsiTheme="minorEastAsia" w:eastAsiaTheme="minorEastAsia"/>
          <w:b/>
          <w:color w:val="auto"/>
          <w:kern w:val="2"/>
          <w:szCs w:val="21"/>
          <w:highlight w:val="none"/>
        </w:rPr>
        <w:t>备份</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的</w:t>
      </w:r>
      <w:r>
        <w:rPr>
          <w:rFonts w:hint="eastAsia" w:asciiTheme="minorEastAsia" w:hAnsiTheme="minorEastAsia" w:eastAsiaTheme="minorEastAsia"/>
          <w:b/>
          <w:color w:val="auto"/>
          <w:kern w:val="2"/>
          <w:szCs w:val="21"/>
          <w:highlight w:val="none"/>
        </w:rPr>
        <w:t>。</w:t>
      </w:r>
    </w:p>
    <w:p w14:paraId="395C2239">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4.没有通过资格审查的，响应文件</w:t>
      </w:r>
      <w:r>
        <w:rPr>
          <w:rFonts w:asciiTheme="minorEastAsia" w:hAnsiTheme="minorEastAsia" w:eastAsiaTheme="minorEastAsia"/>
          <w:b/>
          <w:color w:val="auto"/>
          <w:kern w:val="2"/>
          <w:szCs w:val="21"/>
          <w:highlight w:val="none"/>
        </w:rPr>
        <w:t>将被视为无效。</w:t>
      </w:r>
    </w:p>
    <w:p w14:paraId="2E1614DD">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5.</w:t>
      </w:r>
      <w:r>
        <w:rPr>
          <w:rFonts w:asciiTheme="minorEastAsia" w:hAnsiTheme="minorEastAsia" w:eastAsiaTheme="minorEastAsia"/>
          <w:b/>
          <w:color w:val="auto"/>
          <w:kern w:val="2"/>
          <w:szCs w:val="21"/>
          <w:highlight w:val="none"/>
        </w:rPr>
        <w:t>在符合性审查和商务评审时，如发现下列情形之一的，</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将被视为无效：</w:t>
      </w:r>
    </w:p>
    <w:p w14:paraId="27FAE0E2">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5.1电子响应</w:t>
      </w:r>
      <w:r>
        <w:rPr>
          <w:rFonts w:asciiTheme="minorEastAsia" w:hAnsiTheme="minorEastAsia" w:eastAsiaTheme="minorEastAsia"/>
          <w:color w:val="auto"/>
          <w:kern w:val="2"/>
          <w:szCs w:val="21"/>
          <w:highlight w:val="none"/>
        </w:rPr>
        <w:t>文件未按规定要求提供电子签章的</w:t>
      </w:r>
      <w:r>
        <w:rPr>
          <w:rFonts w:hint="eastAsia" w:asciiTheme="minorEastAsia" w:hAnsiTheme="minorEastAsia" w:eastAsiaTheme="minorEastAsia"/>
          <w:color w:val="auto"/>
          <w:kern w:val="2"/>
          <w:szCs w:val="21"/>
          <w:highlight w:val="none"/>
        </w:rPr>
        <w:t>；</w:t>
      </w:r>
    </w:p>
    <w:p w14:paraId="311A948D">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5.2在资信技术文件中出现报价的；</w:t>
      </w:r>
    </w:p>
    <w:p w14:paraId="51A3BBA7">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5.3</w:t>
      </w:r>
      <w:r>
        <w:rPr>
          <w:rFonts w:asciiTheme="minorEastAsia" w:hAnsiTheme="minorEastAsia" w:eastAsiaTheme="minorEastAsia"/>
          <w:color w:val="auto"/>
          <w:kern w:val="2"/>
          <w:szCs w:val="21"/>
          <w:highlight w:val="none"/>
        </w:rPr>
        <w:t>资格证明文件不全的，或者不符合</w:t>
      </w:r>
      <w:r>
        <w:rPr>
          <w:rFonts w:hint="eastAsia" w:asciiTheme="minorEastAsia" w:hAnsiTheme="minorEastAsia" w:eastAsiaTheme="minorEastAsia"/>
          <w:color w:val="auto"/>
          <w:kern w:val="2"/>
          <w:szCs w:val="21"/>
          <w:highlight w:val="none"/>
        </w:rPr>
        <w:t>磋商文件</w:t>
      </w:r>
      <w:r>
        <w:rPr>
          <w:rFonts w:asciiTheme="minorEastAsia" w:hAnsiTheme="minorEastAsia" w:eastAsiaTheme="minorEastAsia"/>
          <w:color w:val="auto"/>
          <w:kern w:val="2"/>
          <w:szCs w:val="21"/>
          <w:highlight w:val="none"/>
        </w:rPr>
        <w:t>标明的资格要求的</w:t>
      </w:r>
      <w:r>
        <w:rPr>
          <w:rFonts w:hint="eastAsia" w:asciiTheme="minorEastAsia" w:hAnsiTheme="minorEastAsia" w:eastAsiaTheme="minorEastAsia"/>
          <w:color w:val="auto"/>
          <w:kern w:val="2"/>
          <w:szCs w:val="21"/>
          <w:highlight w:val="none"/>
        </w:rPr>
        <w:t>；</w:t>
      </w:r>
    </w:p>
    <w:p w14:paraId="37EC544D">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5.4响应文件</w:t>
      </w:r>
      <w:r>
        <w:rPr>
          <w:rFonts w:asciiTheme="minorEastAsia" w:hAnsiTheme="minorEastAsia" w:eastAsiaTheme="minorEastAsia"/>
          <w:color w:val="auto"/>
          <w:kern w:val="2"/>
          <w:szCs w:val="21"/>
          <w:highlight w:val="none"/>
        </w:rPr>
        <w:t>无法定代表人签字</w:t>
      </w:r>
      <w:r>
        <w:rPr>
          <w:rFonts w:hint="eastAsia" w:asciiTheme="minorEastAsia" w:hAnsiTheme="minorEastAsia" w:eastAsiaTheme="minorEastAsia"/>
          <w:color w:val="auto"/>
          <w:kern w:val="2"/>
          <w:szCs w:val="21"/>
          <w:highlight w:val="none"/>
        </w:rPr>
        <w:t>（或盖章）</w:t>
      </w:r>
      <w:r>
        <w:rPr>
          <w:rFonts w:asciiTheme="minorEastAsia" w:hAnsiTheme="minorEastAsia" w:eastAsiaTheme="minorEastAsia"/>
          <w:color w:val="auto"/>
          <w:kern w:val="2"/>
          <w:szCs w:val="21"/>
          <w:highlight w:val="none"/>
        </w:rPr>
        <w:t>,或未</w:t>
      </w:r>
      <w:r>
        <w:rPr>
          <w:rFonts w:hint="eastAsia" w:asciiTheme="minorEastAsia" w:hAnsiTheme="minorEastAsia" w:eastAsiaTheme="minorEastAsia"/>
          <w:color w:val="auto"/>
          <w:kern w:val="2"/>
          <w:szCs w:val="21"/>
          <w:highlight w:val="none"/>
        </w:rPr>
        <w:t>提供法定代表人授权委托书、投标声明书或者填写项目不齐全的；</w:t>
      </w:r>
    </w:p>
    <w:p w14:paraId="1F352E9D">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5.5投标代表人未能出具身份证明或与法定代表人授权委托人身份不符的；</w:t>
      </w:r>
      <w:r>
        <w:rPr>
          <w:rFonts w:asciiTheme="minorEastAsia" w:hAnsiTheme="minorEastAsia" w:eastAsiaTheme="minorEastAsia"/>
          <w:color w:val="auto"/>
          <w:kern w:val="2"/>
          <w:szCs w:val="21"/>
          <w:highlight w:val="none"/>
        </w:rPr>
        <w:t xml:space="preserve"> </w:t>
      </w:r>
    </w:p>
    <w:p w14:paraId="2F423051">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5.6响应文件格式不规范、项目不齐全或者内容虚假的；</w:t>
      </w:r>
    </w:p>
    <w:p w14:paraId="296CFA0C">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5.7响应文件的实质性内容未使用中文表述、意思表述不明确、前后矛盾或者使用计量单位不符合磋商文件要求的（经磋商小组认定并允许其当场更正的笔误除外）；</w:t>
      </w:r>
    </w:p>
    <w:p w14:paraId="2EC2322B">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5.8投标有效期、工期、质保期等商务条款不能满足磋商文件要求的；</w:t>
      </w:r>
    </w:p>
    <w:p w14:paraId="2EE3256C">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5.9未实质性响应磋商文件要求或者响应文件有招标方不能接受的附加条件的；</w:t>
      </w:r>
    </w:p>
    <w:p w14:paraId="19D5A863">
      <w:pPr>
        <w:pStyle w:val="22"/>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5.10不符合本磋商文件中的实质性要求条款。</w:t>
      </w:r>
    </w:p>
    <w:p w14:paraId="43BE1508">
      <w:pPr>
        <w:pStyle w:val="22"/>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6.</w:t>
      </w:r>
      <w:r>
        <w:rPr>
          <w:rFonts w:asciiTheme="minorEastAsia" w:hAnsiTheme="minorEastAsia" w:eastAsiaTheme="minorEastAsia"/>
          <w:b/>
          <w:color w:val="auto"/>
          <w:kern w:val="2"/>
          <w:szCs w:val="21"/>
          <w:highlight w:val="none"/>
        </w:rPr>
        <w:t>在技术评审时，如发现下列情形之一的，投标文件将被视为无效：</w:t>
      </w:r>
    </w:p>
    <w:p w14:paraId="1322178D">
      <w:pPr>
        <w:pStyle w:val="22"/>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6.1</w:t>
      </w:r>
      <w:r>
        <w:rPr>
          <w:rFonts w:asciiTheme="minorEastAsia" w:hAnsiTheme="minorEastAsia" w:eastAsiaTheme="minorEastAsia"/>
          <w:color w:val="auto"/>
          <w:kern w:val="2"/>
          <w:szCs w:val="21"/>
          <w:highlight w:val="none"/>
        </w:rPr>
        <w:t>投标文件标明的响应或偏离与事实不符或虚假投标的；</w:t>
      </w:r>
    </w:p>
    <w:p w14:paraId="5267714E">
      <w:pPr>
        <w:pStyle w:val="22"/>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6.2</w:t>
      </w:r>
      <w:r>
        <w:rPr>
          <w:rFonts w:asciiTheme="minorEastAsia" w:hAnsiTheme="minorEastAsia" w:eastAsiaTheme="minorEastAsia"/>
          <w:color w:val="auto"/>
          <w:kern w:val="2"/>
          <w:szCs w:val="21"/>
          <w:highlight w:val="none"/>
        </w:rPr>
        <w:t>明显不符合招标文件</w:t>
      </w:r>
      <w:r>
        <w:rPr>
          <w:rFonts w:hint="eastAsia" w:asciiTheme="minorEastAsia" w:hAnsiTheme="minorEastAsia" w:eastAsiaTheme="minorEastAsia"/>
          <w:color w:val="auto"/>
          <w:kern w:val="2"/>
          <w:szCs w:val="21"/>
          <w:highlight w:val="none"/>
        </w:rPr>
        <w:t>要求</w:t>
      </w:r>
      <w:r>
        <w:rPr>
          <w:rFonts w:asciiTheme="minorEastAsia" w:hAnsiTheme="minorEastAsia" w:eastAsiaTheme="minorEastAsia"/>
          <w:color w:val="auto"/>
          <w:kern w:val="2"/>
          <w:szCs w:val="21"/>
          <w:highlight w:val="none"/>
        </w:rPr>
        <w:t>，或者</w:t>
      </w:r>
      <w:r>
        <w:rPr>
          <w:rFonts w:hint="eastAsia" w:asciiTheme="minorEastAsia" w:hAnsiTheme="minorEastAsia" w:eastAsiaTheme="minorEastAsia"/>
          <w:color w:val="auto"/>
          <w:kern w:val="2"/>
          <w:szCs w:val="21"/>
          <w:highlight w:val="none"/>
        </w:rPr>
        <w:t>与</w:t>
      </w:r>
      <w:r>
        <w:rPr>
          <w:rFonts w:asciiTheme="minorEastAsia" w:hAnsiTheme="minorEastAsia" w:eastAsiaTheme="minorEastAsia"/>
          <w:color w:val="auto"/>
          <w:kern w:val="2"/>
          <w:szCs w:val="21"/>
          <w:highlight w:val="none"/>
        </w:rPr>
        <w:t>招标文件中标“▲”的</w:t>
      </w:r>
      <w:r>
        <w:rPr>
          <w:rFonts w:hint="eastAsia" w:asciiTheme="minorEastAsia" w:hAnsiTheme="minorEastAsia" w:eastAsiaTheme="minorEastAsia"/>
          <w:color w:val="auto"/>
          <w:kern w:val="2"/>
          <w:szCs w:val="21"/>
          <w:highlight w:val="none"/>
        </w:rPr>
        <w:t>要求</w:t>
      </w:r>
      <w:r>
        <w:rPr>
          <w:rFonts w:asciiTheme="minorEastAsia" w:hAnsiTheme="minorEastAsia" w:eastAsiaTheme="minorEastAsia"/>
          <w:color w:val="auto"/>
          <w:kern w:val="2"/>
          <w:szCs w:val="21"/>
          <w:highlight w:val="none"/>
        </w:rPr>
        <w:t>发生实质性偏离的；</w:t>
      </w:r>
    </w:p>
    <w:p w14:paraId="1ED91B5B">
      <w:pPr>
        <w:pStyle w:val="22"/>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7.在报价评审时，</w:t>
      </w:r>
      <w:r>
        <w:rPr>
          <w:rFonts w:asciiTheme="minorEastAsia" w:hAnsiTheme="minorEastAsia" w:eastAsiaTheme="minorEastAsia"/>
          <w:b/>
          <w:color w:val="auto"/>
          <w:kern w:val="2"/>
          <w:szCs w:val="21"/>
          <w:highlight w:val="none"/>
        </w:rPr>
        <w:t>如发现下列情形之一的，</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将被视为无效：</w:t>
      </w:r>
    </w:p>
    <w:p w14:paraId="703FFC6C">
      <w:pPr>
        <w:pStyle w:val="22"/>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7.1未采用人民币报价或者未按照招标文件标明的币种报价的；</w:t>
      </w:r>
    </w:p>
    <w:p w14:paraId="41364F91">
      <w:pPr>
        <w:pStyle w:val="22"/>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.2报价超出最高限价</w:t>
      </w:r>
      <w:r>
        <w:rPr>
          <w:rFonts w:hint="eastAsia" w:asciiTheme="minorEastAsia" w:hAnsiTheme="minorEastAsia" w:eastAsiaTheme="minorEastAsia"/>
          <w:color w:val="auto"/>
          <w:szCs w:val="21"/>
          <w:highlight w:val="none"/>
        </w:rPr>
        <w:t>；</w:t>
      </w:r>
    </w:p>
    <w:p w14:paraId="6D934D8F">
      <w:pPr>
        <w:pStyle w:val="22"/>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 xml:space="preserve">投标报价具有选择性，或者开标价格与投标文件承诺的优惠（折扣）价格不一致的。 </w:t>
      </w:r>
    </w:p>
    <w:p w14:paraId="618F5B61">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投标报价明细表总额与开标一览表总价不一致的。</w:t>
      </w:r>
    </w:p>
    <w:p w14:paraId="01CD017F">
      <w:pPr>
        <w:pStyle w:val="73"/>
        <w:rPr>
          <w:rFonts w:eastAsiaTheme="minorEastAsia"/>
          <w:color w:val="auto"/>
          <w:highlight w:val="none"/>
          <w:lang w:val="en-US"/>
        </w:rPr>
      </w:pPr>
      <w:r>
        <w:rPr>
          <w:rFonts w:hint="eastAsia" w:asciiTheme="minorEastAsia" w:hAnsiTheme="minorEastAsia" w:eastAsiaTheme="minorEastAsia"/>
          <w:color w:val="auto"/>
          <w:szCs w:val="21"/>
          <w:highlight w:val="none"/>
          <w:lang w:val="en-US"/>
        </w:rPr>
        <w:t xml:space="preserve">    </w:t>
      </w:r>
      <w:r>
        <w:rPr>
          <w:rFonts w:hint="eastAsia" w:asciiTheme="minorEastAsia" w:hAnsiTheme="minorEastAsia" w:eastAsiaTheme="minorEastAsia"/>
          <w:color w:val="auto"/>
          <w:sz w:val="21"/>
          <w:szCs w:val="21"/>
          <w:highlight w:val="none"/>
          <w:lang w:val="en-US"/>
        </w:rPr>
        <w:t>7.5投标时未提供工程量报价明细表的。</w:t>
      </w:r>
    </w:p>
    <w:p w14:paraId="5FB86614">
      <w:pPr>
        <w:pStyle w:val="22"/>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8.被拒绝的响应文件为无效。</w:t>
      </w:r>
    </w:p>
    <w:p w14:paraId="69FE177C">
      <w:pPr>
        <w:adjustRightInd w:val="0"/>
        <w:snapToGrid w:val="0"/>
        <w:spacing w:line="360" w:lineRule="auto"/>
        <w:ind w:firstLine="422" w:firstLineChars="200"/>
        <w:jc w:val="center"/>
        <w:rPr>
          <w:rFonts w:asciiTheme="minorEastAsia" w:hAnsiTheme="minorEastAsia" w:eastAsiaTheme="minorEastAsia"/>
          <w:b/>
          <w:color w:val="auto"/>
          <w:kern w:val="2"/>
          <w:szCs w:val="21"/>
          <w:highlight w:val="none"/>
        </w:rPr>
      </w:pPr>
      <w:bookmarkStart w:id="58" w:name="_Toc498261257"/>
      <w:bookmarkStart w:id="59" w:name="_Toc381081889"/>
    </w:p>
    <w:p w14:paraId="40DB1A31">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w:t>
      </w:r>
      <w:bookmarkEnd w:id="58"/>
      <w:bookmarkEnd w:id="59"/>
      <w:bookmarkStart w:id="60" w:name="_Toc498261258"/>
      <w:r>
        <w:rPr>
          <w:rFonts w:hint="eastAsia" w:asciiTheme="minorEastAsia" w:hAnsiTheme="minorEastAsia" w:eastAsiaTheme="minorEastAsia"/>
          <w:b/>
          <w:color w:val="auto"/>
          <w:szCs w:val="21"/>
          <w:highlight w:val="none"/>
        </w:rPr>
        <w:t>磋商准备</w:t>
      </w:r>
    </w:p>
    <w:p w14:paraId="7B683011">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1.本项目实行电子开评标，供应商无需到开标现场，但须准时在线参加，直至评审结束。。</w:t>
      </w:r>
    </w:p>
    <w:p w14:paraId="3196C343">
      <w:pPr>
        <w:pStyle w:val="22"/>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2.电子开评标及评审程序</w:t>
      </w:r>
    </w:p>
    <w:p w14:paraId="7446FC12">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2.1投标截止时间后的半小时内，由各供应商自行对电子投标文件进行解密（请各供应商务必在规定时间内完成电子投标文件的解密工作。 </w:t>
      </w:r>
    </w:p>
    <w:p w14:paraId="32FABF90">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2.2采购人或代理机构对供应商的资格审查文件进行</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磋商小组对供应商的资信技术响应文件进行评审；</w:t>
      </w:r>
    </w:p>
    <w:p w14:paraId="14660E72">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2.3磋商小组对报价文件进行评审；</w:t>
      </w:r>
    </w:p>
    <w:p w14:paraId="4CABE335">
      <w:pPr>
        <w:pStyle w:val="22"/>
        <w:snapToGrid w:val="0"/>
        <w:spacing w:line="360" w:lineRule="auto"/>
        <w:ind w:firstLine="411" w:firstLineChars="196"/>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2.4</w:t>
      </w:r>
      <w:r>
        <w:rPr>
          <w:rFonts w:hint="eastAsia" w:asciiTheme="minorEastAsia" w:hAnsiTheme="minorEastAsia" w:eastAsiaTheme="minorEastAsia"/>
          <w:color w:val="auto"/>
          <w:szCs w:val="21"/>
          <w:highlight w:val="none"/>
        </w:rPr>
        <w:t>磋商小组</w:t>
      </w:r>
      <w:r>
        <w:rPr>
          <w:rFonts w:asciiTheme="minorEastAsia" w:hAnsiTheme="minorEastAsia" w:eastAsiaTheme="minorEastAsia"/>
          <w:color w:val="auto"/>
          <w:szCs w:val="21"/>
          <w:highlight w:val="none"/>
        </w:rPr>
        <w:t>撰写评审报告，推荐中标候选人。</w:t>
      </w:r>
    </w:p>
    <w:p w14:paraId="77B33472">
      <w:pPr>
        <w:pStyle w:val="29"/>
        <w:snapToGrid w:val="0"/>
        <w:spacing w:before="120" w:after="120" w:line="360" w:lineRule="auto"/>
        <w:jc w:val="center"/>
        <w:outlineLvl w:val="1"/>
        <w:rPr>
          <w:rFonts w:asciiTheme="minorEastAsia" w:hAnsiTheme="minorEastAsia" w:eastAsiaTheme="minorEastAsia"/>
          <w:b/>
          <w:color w:val="auto"/>
          <w:szCs w:val="21"/>
          <w:highlight w:val="none"/>
        </w:rPr>
      </w:pPr>
    </w:p>
    <w:p w14:paraId="7D02B386">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w:t>
      </w:r>
      <w:r>
        <w:rPr>
          <w:rFonts w:asciiTheme="minorEastAsia" w:hAnsiTheme="minorEastAsia" w:eastAsiaTheme="minorEastAsia"/>
          <w:b/>
          <w:color w:val="auto"/>
          <w:szCs w:val="21"/>
          <w:highlight w:val="none"/>
        </w:rPr>
        <w:t>磋商程序</w:t>
      </w:r>
      <w:bookmarkEnd w:id="60"/>
    </w:p>
    <w:p w14:paraId="02316A4F">
      <w:pPr>
        <w:pStyle w:val="29"/>
        <w:snapToGrid w:val="0"/>
        <w:spacing w:line="360" w:lineRule="auto"/>
        <w:ind w:firstLine="422" w:firstLineChars="200"/>
        <w:rPr>
          <w:rFonts w:asciiTheme="minorEastAsia" w:hAnsiTheme="minorEastAsia" w:eastAsiaTheme="minorEastAsia"/>
          <w:b/>
          <w:color w:val="auto"/>
          <w:kern w:val="0"/>
          <w:szCs w:val="21"/>
          <w:highlight w:val="none"/>
        </w:rPr>
      </w:pPr>
      <w:bookmarkStart w:id="61" w:name="_Toc192313120"/>
      <w:r>
        <w:rPr>
          <w:rFonts w:asciiTheme="minorEastAsia" w:hAnsiTheme="minorEastAsia" w:eastAsiaTheme="minorEastAsia"/>
          <w:b/>
          <w:color w:val="auto"/>
          <w:kern w:val="0"/>
          <w:szCs w:val="21"/>
          <w:highlight w:val="none"/>
        </w:rPr>
        <w:t>（一）组建磋商小组</w:t>
      </w:r>
    </w:p>
    <w:p w14:paraId="1A167826">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本项目磋商小组由政府采购评审专家</w:t>
      </w:r>
      <w:r>
        <w:rPr>
          <w:rFonts w:hint="eastAsia" w:asciiTheme="minorEastAsia" w:hAnsiTheme="minorEastAsia" w:eastAsiaTheme="minorEastAsia"/>
          <w:color w:val="auto"/>
          <w:kern w:val="0"/>
          <w:szCs w:val="21"/>
          <w:highlight w:val="none"/>
        </w:rPr>
        <w:t>2</w:t>
      </w:r>
      <w:r>
        <w:rPr>
          <w:rFonts w:asciiTheme="minorEastAsia" w:hAnsiTheme="minorEastAsia" w:eastAsiaTheme="minorEastAsia"/>
          <w:color w:val="auto"/>
          <w:kern w:val="0"/>
          <w:szCs w:val="21"/>
          <w:highlight w:val="none"/>
        </w:rPr>
        <w:t>人</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采购人代表1人</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共</w:t>
      </w:r>
      <w:r>
        <w:rPr>
          <w:rFonts w:hint="eastAsia" w:asciiTheme="minorEastAsia" w:hAnsiTheme="minorEastAsia" w:eastAsiaTheme="minorEastAsia"/>
          <w:color w:val="auto"/>
          <w:kern w:val="0"/>
          <w:szCs w:val="21"/>
          <w:highlight w:val="none"/>
        </w:rPr>
        <w:t>3</w:t>
      </w:r>
      <w:r>
        <w:rPr>
          <w:rFonts w:asciiTheme="minorEastAsia" w:hAnsiTheme="minorEastAsia" w:eastAsiaTheme="minorEastAsia"/>
          <w:color w:val="auto"/>
          <w:kern w:val="0"/>
          <w:szCs w:val="21"/>
          <w:highlight w:val="none"/>
        </w:rPr>
        <w:t>人组成。</w:t>
      </w:r>
    </w:p>
    <w:p w14:paraId="68CA622B">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磋商小组负责具体评标事务，并独立履行下列职责：</w:t>
      </w:r>
    </w:p>
    <w:p w14:paraId="5AACDD48">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1、审查、评价磋商文件是否符合磋商文件的商务、技术等实质性要求;</w:t>
      </w:r>
    </w:p>
    <w:p w14:paraId="44352555">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2、磋商过程中要求供应商对磋商文件有关事项作出澄清或者说明;</w:t>
      </w:r>
    </w:p>
    <w:p w14:paraId="68CD4623">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3、对磋商文件进行比较和评价;</w:t>
      </w:r>
    </w:p>
    <w:p w14:paraId="42B15C64">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4、确定成交候选人名单，以及根据采购人委托直接确定成交供应商;</w:t>
      </w:r>
    </w:p>
    <w:p w14:paraId="5525C971">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5、向采购人、集中采购机构或者有关部门报告评标中发现的违法行为。</w:t>
      </w:r>
    </w:p>
    <w:p w14:paraId="195F70BE">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除采购人代表、评标现场组织人员外，采购人的其他工作人员以及与评标工作无关的人员不得进入评标现场。</w:t>
      </w:r>
    </w:p>
    <w:p w14:paraId="7FD8B8B5">
      <w:pPr>
        <w:pStyle w:val="29"/>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磋商</w:t>
      </w:r>
      <w:r>
        <w:rPr>
          <w:rFonts w:asciiTheme="minorEastAsia" w:hAnsiTheme="minorEastAsia" w:eastAsiaTheme="minorEastAsia"/>
          <w:b/>
          <w:color w:val="auto"/>
          <w:szCs w:val="21"/>
          <w:highlight w:val="none"/>
        </w:rPr>
        <w:t>的方式</w:t>
      </w:r>
    </w:p>
    <w:p w14:paraId="425E4CAA">
      <w:pPr>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本项目采用不公开方式</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的依据为</w:t>
      </w:r>
      <w:r>
        <w:rPr>
          <w:rFonts w:hint="eastAsia" w:asciiTheme="minorEastAsia" w:hAnsiTheme="minorEastAsia" w:eastAsiaTheme="minorEastAsia"/>
          <w:color w:val="auto"/>
          <w:szCs w:val="21"/>
          <w:highlight w:val="none"/>
        </w:rPr>
        <w:t>竞争性磋商</w:t>
      </w:r>
      <w:r>
        <w:rPr>
          <w:rFonts w:asciiTheme="minorEastAsia" w:hAnsiTheme="minorEastAsia" w:eastAsiaTheme="minorEastAsia"/>
          <w:color w:val="auto"/>
          <w:szCs w:val="21"/>
          <w:highlight w:val="none"/>
        </w:rPr>
        <w:t>文件和</w:t>
      </w:r>
      <w:r>
        <w:rPr>
          <w:rFonts w:hint="eastAsia" w:asciiTheme="minorEastAsia" w:hAnsiTheme="minorEastAsia" w:eastAsiaTheme="minorEastAsia"/>
          <w:color w:val="auto"/>
          <w:szCs w:val="21"/>
          <w:highlight w:val="none"/>
        </w:rPr>
        <w:t>响应</w:t>
      </w:r>
      <w:r>
        <w:rPr>
          <w:rFonts w:asciiTheme="minorEastAsia" w:hAnsiTheme="minorEastAsia" w:eastAsiaTheme="minorEastAsia"/>
          <w:color w:val="auto"/>
          <w:szCs w:val="21"/>
          <w:highlight w:val="none"/>
        </w:rPr>
        <w:t>文件。</w:t>
      </w:r>
    </w:p>
    <w:p w14:paraId="759F6ED3">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1.磋商步骤</w:t>
      </w:r>
    </w:p>
    <w:p w14:paraId="211968B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1.1磋商小组讨论、通过磋商工作流程和磋商要点。</w:t>
      </w:r>
    </w:p>
    <w:p w14:paraId="704ADD1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经办人</w:t>
      </w:r>
      <w:r>
        <w:rPr>
          <w:rFonts w:asciiTheme="minorEastAsia" w:hAnsiTheme="minorEastAsia" w:eastAsiaTheme="minorEastAsia"/>
          <w:color w:val="auto"/>
          <w:szCs w:val="21"/>
          <w:highlight w:val="none"/>
        </w:rPr>
        <w:t>宣布磋商的有关事项；</w:t>
      </w:r>
    </w:p>
    <w:p w14:paraId="4C48B71D">
      <w:pPr>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w:t>
      </w:r>
      <w:r>
        <w:rPr>
          <w:rFonts w:hint="eastAsia" w:asciiTheme="minorEastAsia" w:hAnsiTheme="minorEastAsia" w:eastAsiaTheme="minorEastAsia"/>
          <w:color w:val="auto"/>
          <w:szCs w:val="21"/>
          <w:highlight w:val="none"/>
        </w:rPr>
        <w:t>磋商小组对所提交的响应资信技术文件进行审查，审查结束后，由经办人公布无效响应方名单、响应无效的原因、废标情况；</w:t>
      </w:r>
    </w:p>
    <w:p w14:paraId="29060F0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1.4磋商小组与各</w:t>
      </w:r>
      <w:r>
        <w:rPr>
          <w:rFonts w:hint="eastAsia" w:asciiTheme="minorEastAsia" w:hAnsiTheme="minorEastAsia" w:eastAsiaTheme="minorEastAsia"/>
          <w:color w:val="auto"/>
          <w:szCs w:val="21"/>
          <w:highlight w:val="none"/>
        </w:rPr>
        <w:t>供应商就技术参数要素分别进行磋商。逐家磋商一次为一个轮次，磋商轮次可为二轮。本项目二轮商务报价由政采云系统平台发起。</w:t>
      </w:r>
    </w:p>
    <w:p w14:paraId="6CF10D68">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1.5在磋商过程中，采购人和磋商对象可就合同内容进行磋商，技术服务需求如双方都认为有必要的情况可作相应微调，但评分标准不作调整。</w:t>
      </w:r>
    </w:p>
    <w:p w14:paraId="5D2A44A3">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1.6如磋商过程中有调整的内容，在最后一轮报价前，我中心和采购</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将根据磋商内容将调整的部分发给符合参与最后一轮报价的供应商，以便其在最后一轮报价中调整报价。</w:t>
      </w:r>
    </w:p>
    <w:p w14:paraId="1F411828">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1.7磋商小组根据本磋商文件的评审方法对各供应商的资信技术服务情况进行评审打分。工作人员按照磋商小组独立评定结果进行算术平均值计算。</w:t>
      </w:r>
    </w:p>
    <w:p w14:paraId="79E3591A">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磋商结束后，</w:t>
      </w:r>
      <w:r>
        <w:rPr>
          <w:rFonts w:hint="eastAsia" w:asciiTheme="minorEastAsia" w:hAnsiTheme="minorEastAsia" w:eastAsiaTheme="minorEastAsia"/>
          <w:color w:val="auto"/>
          <w:szCs w:val="21"/>
          <w:highlight w:val="none"/>
        </w:rPr>
        <w:t>各供应商在规定时间内通过系统进行第一轮报价并</w:t>
      </w:r>
      <w:r>
        <w:rPr>
          <w:rFonts w:asciiTheme="minorEastAsia" w:hAnsiTheme="minorEastAsia" w:eastAsiaTheme="minorEastAsia"/>
          <w:color w:val="auto"/>
          <w:szCs w:val="21"/>
          <w:highlight w:val="none"/>
        </w:rPr>
        <w:t>CA签章确认</w:t>
      </w:r>
      <w:r>
        <w:rPr>
          <w:rFonts w:hint="eastAsia" w:asciiTheme="minorEastAsia" w:hAnsiTheme="minorEastAsia" w:eastAsiaTheme="minorEastAsia"/>
          <w:color w:val="auto"/>
          <w:szCs w:val="21"/>
          <w:highlight w:val="none"/>
        </w:rPr>
        <w:t>，第一轮报价确认结束后</w:t>
      </w:r>
      <w:r>
        <w:rPr>
          <w:rFonts w:asciiTheme="minorEastAsia" w:hAnsiTheme="minorEastAsia" w:eastAsiaTheme="minorEastAsia"/>
          <w:color w:val="auto"/>
          <w:szCs w:val="21"/>
          <w:highlight w:val="none"/>
        </w:rPr>
        <w:t>各供应商进行</w:t>
      </w:r>
      <w:r>
        <w:rPr>
          <w:rFonts w:hint="eastAsia" w:asciiTheme="minorEastAsia" w:hAnsiTheme="minorEastAsia" w:eastAsiaTheme="minorEastAsia"/>
          <w:color w:val="auto"/>
          <w:szCs w:val="21"/>
          <w:highlight w:val="none"/>
        </w:rPr>
        <w:t>二轮报价，</w:t>
      </w:r>
      <w:r>
        <w:rPr>
          <w:rFonts w:asciiTheme="minorEastAsia" w:hAnsiTheme="minorEastAsia" w:eastAsiaTheme="minorEastAsia"/>
          <w:color w:val="auto"/>
          <w:szCs w:val="21"/>
          <w:highlight w:val="none"/>
        </w:rPr>
        <w:t>在规定时间内没有提交最后报价的供应商，视为退出磋商</w:t>
      </w:r>
      <w:r>
        <w:rPr>
          <w:rFonts w:hint="eastAsia" w:asciiTheme="minorEastAsia" w:hAnsiTheme="minorEastAsia" w:eastAsiaTheme="minorEastAsia"/>
          <w:color w:val="auto"/>
          <w:szCs w:val="21"/>
          <w:highlight w:val="none"/>
        </w:rPr>
        <w:t>。</w:t>
      </w:r>
    </w:p>
    <w:p w14:paraId="6BBC917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1.9.工作人员</w:t>
      </w:r>
      <w:r>
        <w:rPr>
          <w:rFonts w:hint="eastAsia" w:asciiTheme="minorEastAsia" w:hAnsiTheme="minorEastAsia" w:eastAsiaTheme="minorEastAsia"/>
          <w:color w:val="auto"/>
          <w:szCs w:val="21"/>
          <w:highlight w:val="none"/>
        </w:rPr>
        <w:t>经系统</w:t>
      </w:r>
      <w:r>
        <w:rPr>
          <w:rFonts w:asciiTheme="minorEastAsia" w:hAnsiTheme="minorEastAsia" w:eastAsiaTheme="minorEastAsia"/>
          <w:color w:val="auto"/>
          <w:szCs w:val="21"/>
          <w:highlight w:val="none"/>
        </w:rPr>
        <w:t>查验最</w:t>
      </w:r>
      <w:r>
        <w:rPr>
          <w:rFonts w:hint="eastAsia" w:asciiTheme="minorEastAsia" w:hAnsiTheme="minorEastAsia" w:eastAsiaTheme="minorEastAsia"/>
          <w:color w:val="auto"/>
          <w:szCs w:val="21"/>
          <w:highlight w:val="none"/>
        </w:rPr>
        <w:t>后</w:t>
      </w:r>
      <w:r>
        <w:rPr>
          <w:rFonts w:asciiTheme="minorEastAsia" w:hAnsiTheme="minorEastAsia" w:eastAsiaTheme="minorEastAsia"/>
          <w:color w:val="auto"/>
          <w:szCs w:val="21"/>
          <w:highlight w:val="none"/>
        </w:rPr>
        <w:t>报价的情况，</w:t>
      </w:r>
      <w:r>
        <w:rPr>
          <w:rFonts w:hint="eastAsia" w:asciiTheme="minorEastAsia" w:hAnsiTheme="minorEastAsia" w:eastAsiaTheme="minorEastAsia"/>
          <w:color w:val="auto"/>
          <w:szCs w:val="21"/>
          <w:highlight w:val="none"/>
        </w:rPr>
        <w:t>按规定进入价格标评审的磋商最后报价。</w:t>
      </w:r>
    </w:p>
    <w:p w14:paraId="02B0366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1.10.磋商小组对最</w:t>
      </w:r>
      <w:r>
        <w:rPr>
          <w:rFonts w:hint="eastAsia" w:asciiTheme="minorEastAsia" w:hAnsiTheme="minorEastAsia" w:eastAsiaTheme="minorEastAsia"/>
          <w:color w:val="auto"/>
          <w:szCs w:val="21"/>
          <w:highlight w:val="none"/>
        </w:rPr>
        <w:t>后</w:t>
      </w:r>
      <w:r>
        <w:rPr>
          <w:rFonts w:asciiTheme="minorEastAsia" w:hAnsiTheme="minorEastAsia" w:eastAsiaTheme="minorEastAsia"/>
          <w:color w:val="auto"/>
          <w:szCs w:val="21"/>
          <w:highlight w:val="none"/>
        </w:rPr>
        <w:t>报价的合理性进行审核，决定是否结束磋商。若报价合理，磋商小组则根据第</w:t>
      </w:r>
      <w:r>
        <w:rPr>
          <w:rFonts w:hint="eastAsia" w:asciiTheme="minorEastAsia" w:hAnsiTheme="minorEastAsia" w:eastAsiaTheme="minorEastAsia"/>
          <w:color w:val="auto"/>
          <w:szCs w:val="21"/>
          <w:highlight w:val="none"/>
        </w:rPr>
        <w:t>四章评审方法计算出总得分并按照排序由高到低的原则推荐候选供应商；</w:t>
      </w:r>
    </w:p>
    <w:p w14:paraId="53AED17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1.11.磋商结束后，</w:t>
      </w:r>
      <w:r>
        <w:rPr>
          <w:rFonts w:hint="eastAsia" w:asciiTheme="minorEastAsia" w:hAnsiTheme="minorEastAsia" w:eastAsiaTheme="minorEastAsia"/>
          <w:color w:val="auto"/>
          <w:szCs w:val="21"/>
          <w:highlight w:val="none"/>
        </w:rPr>
        <w:t>经办人</w:t>
      </w:r>
      <w:r>
        <w:rPr>
          <w:rFonts w:asciiTheme="minorEastAsia" w:hAnsiTheme="minorEastAsia" w:eastAsiaTheme="minorEastAsia"/>
          <w:color w:val="auto"/>
          <w:szCs w:val="21"/>
          <w:highlight w:val="none"/>
        </w:rPr>
        <w:t>公布有效</w:t>
      </w:r>
      <w:r>
        <w:rPr>
          <w:rFonts w:hint="eastAsia" w:asciiTheme="minorEastAsia" w:hAnsiTheme="minorEastAsia" w:eastAsiaTheme="minorEastAsia"/>
          <w:color w:val="auto"/>
          <w:szCs w:val="21"/>
          <w:highlight w:val="none"/>
        </w:rPr>
        <w:t>供应商的总得分结果和推荐排名。</w:t>
      </w:r>
    </w:p>
    <w:p w14:paraId="5EB504BD">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1.12.磋商原则：磋商小组必须公平、公正、客观，不带任何倾向性和启发性；不得向外界透露任何与磋商有关的内容；任何单位和个人不得干扰、影响磋商的正常进行；磋商小组及有关工作人员不得私下与</w:t>
      </w:r>
      <w:r>
        <w:rPr>
          <w:rFonts w:hint="eastAsia" w:asciiTheme="minorEastAsia" w:hAnsiTheme="minorEastAsia" w:eastAsiaTheme="minorEastAsia"/>
          <w:color w:val="auto"/>
          <w:szCs w:val="21"/>
          <w:highlight w:val="none"/>
        </w:rPr>
        <w:t>响应方接触。</w:t>
      </w:r>
      <w:bookmarkStart w:id="62" w:name="_Toc522609461"/>
    </w:p>
    <w:p w14:paraId="21488955">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响应文件的澄清</w:t>
      </w:r>
      <w:bookmarkEnd w:id="62"/>
    </w:p>
    <w:p w14:paraId="07FD2492">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2.l在磋商期间，磋商小组有权要求供应商对其</w:t>
      </w:r>
      <w:r>
        <w:rPr>
          <w:rFonts w:hint="eastAsia" w:asciiTheme="minorEastAsia" w:hAnsiTheme="minorEastAsia" w:eastAsiaTheme="minorEastAsia"/>
          <w:color w:val="auto"/>
          <w:szCs w:val="21"/>
          <w:highlight w:val="none"/>
        </w:rPr>
        <w:t>响应文件含义不明确、同类问题表述不一致或者有明显文字和计算错误的内容进行澄清。</w:t>
      </w:r>
    </w:p>
    <w:p w14:paraId="2DE84226">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2.2磋商小组认为有必要，可要求供应商对某些问题作出必要的澄清、说明和纠正。</w:t>
      </w:r>
      <w:r>
        <w:rPr>
          <w:rFonts w:hint="eastAsia" w:asciiTheme="minorEastAsia" w:hAnsiTheme="minorEastAsia" w:eastAsiaTheme="minorEastAsia"/>
          <w:color w:val="auto"/>
          <w:szCs w:val="21"/>
          <w:highlight w:val="none"/>
        </w:rPr>
        <w:t>供应商的澄清、说明或者补正应当采用在线形式。</w:t>
      </w:r>
    </w:p>
    <w:p w14:paraId="47F781B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2.3供应商不按磋商小组规定的时间作澄清，将视为放弃该权利。</w:t>
      </w:r>
    </w:p>
    <w:p w14:paraId="28EF4AB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2.4并非每个供应商都将被询标。</w:t>
      </w:r>
      <w:bookmarkStart w:id="63" w:name="_Toc522609462"/>
    </w:p>
    <w:p w14:paraId="3E99B69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3.确定成交供应商</w:t>
      </w:r>
      <w:bookmarkEnd w:id="63"/>
    </w:p>
    <w:p w14:paraId="0D243E67">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3.1磋商小组将对通过资格性审查和符合性审查的</w:t>
      </w:r>
      <w:r>
        <w:rPr>
          <w:rFonts w:hint="eastAsia" w:asciiTheme="minorEastAsia" w:hAnsiTheme="minorEastAsia" w:eastAsiaTheme="minorEastAsia"/>
          <w:color w:val="auto"/>
          <w:szCs w:val="21"/>
          <w:highlight w:val="none"/>
        </w:rPr>
        <w:t>响应文件进行评价和比较。</w:t>
      </w:r>
    </w:p>
    <w:p w14:paraId="64BBFF0C">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w:t>
      </w:r>
      <w:r>
        <w:rPr>
          <w:rFonts w:hint="eastAsia" w:asciiTheme="minorEastAsia" w:hAnsiTheme="minorEastAsia" w:eastAsiaTheme="minorEastAsia"/>
          <w:color w:val="auto"/>
          <w:szCs w:val="21"/>
          <w:highlight w:val="none"/>
        </w:rPr>
        <w:t>磋商小组按采购文件公布的评定成交标准对响应文件进行评审，并将最终得分排名提交给采购人，采购人书面授权磋商小组直接确定成交供应商的</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磋商小组确认成交供应商。最低报价等任何单项因素的最优不作为成交的保证。</w:t>
      </w:r>
      <w:bookmarkStart w:id="64" w:name="_Toc522609463"/>
    </w:p>
    <w:p w14:paraId="74C28526">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4.磋商过程保密</w:t>
      </w:r>
      <w:bookmarkEnd w:id="64"/>
    </w:p>
    <w:p w14:paraId="7045E665">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4.l在宣布成交结果之前，凡属于审查、澄清、评价、比较磋商文件等有关信息，相关当事人均不得泄露给任何磋商供应商或与磋商工作无关的人员。</w:t>
      </w:r>
    </w:p>
    <w:p w14:paraId="4297555D">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4.2供应商不得探听上述信息，不得以任何行为影响磋商过程，否则其</w:t>
      </w:r>
      <w:r>
        <w:rPr>
          <w:rFonts w:hint="eastAsia" w:asciiTheme="minorEastAsia" w:hAnsiTheme="minorEastAsia" w:eastAsiaTheme="minorEastAsia"/>
          <w:color w:val="auto"/>
          <w:szCs w:val="21"/>
          <w:highlight w:val="none"/>
        </w:rPr>
        <w:t>响应文件将被作为无效响应文件。</w:t>
      </w:r>
    </w:p>
    <w:p w14:paraId="3DD68AEC">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4.3在磋商期间，</w:t>
      </w:r>
      <w:r>
        <w:rPr>
          <w:rFonts w:hint="eastAsia" w:asciiTheme="minorEastAsia" w:hAnsiTheme="minorEastAsia" w:eastAsiaTheme="minorEastAsia"/>
          <w:color w:val="auto"/>
          <w:szCs w:val="21"/>
          <w:highlight w:val="none"/>
        </w:rPr>
        <w:t>嘉兴市银建工程咨询评估有限公司将有专门人员与供应商进行联络。</w:t>
      </w:r>
    </w:p>
    <w:p w14:paraId="22F9441D">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4.4</w:t>
      </w:r>
      <w:r>
        <w:rPr>
          <w:rFonts w:hint="eastAsia" w:asciiTheme="minorEastAsia" w:hAnsiTheme="minorEastAsia" w:eastAsiaTheme="minorEastAsia"/>
          <w:color w:val="auto"/>
          <w:szCs w:val="21"/>
          <w:highlight w:val="none"/>
        </w:rPr>
        <w:t>嘉兴市银建工程咨询评估有限公司和磋商小组不向未成交的供应商解释未成交原因，也不对磋商过程中的细节问题进行公布。</w:t>
      </w:r>
      <w:bookmarkStart w:id="65" w:name="_Toc522609464"/>
      <w:bookmarkStart w:id="66" w:name="_Toc332724044"/>
    </w:p>
    <w:bookmarkEnd w:id="65"/>
    <w:bookmarkEnd w:id="66"/>
    <w:p w14:paraId="4304A987">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.错误修正</w:t>
      </w:r>
    </w:p>
    <w:p w14:paraId="5599A0B8">
      <w:pPr>
        <w:pStyle w:val="29"/>
        <w:snapToGrid w:val="0"/>
        <w:spacing w:line="360" w:lineRule="auto"/>
        <w:ind w:left="689" w:leftChars="228" w:hanging="210" w:hangingChars="1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文件如果出现计算或表达上的错误，修正错误的原则如下：</w:t>
      </w:r>
    </w:p>
    <w:p w14:paraId="62A9F21C">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开标一览表总价与磋商报价明细表汇总数不一致的，以开标一览表为准；</w:t>
      </w:r>
    </w:p>
    <w:p w14:paraId="1ADDDE5E">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.2</w:t>
      </w: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文件的大写金额和小写金额不一致的，以大写金额为准；</w:t>
      </w:r>
    </w:p>
    <w:p w14:paraId="5F9ADD0E">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.3总价金额与按单价汇总金额不一致的，以单价金额计算结果为准；</w:t>
      </w:r>
    </w:p>
    <w:p w14:paraId="31AEB6CD">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.4对不同文字文本</w:t>
      </w:r>
      <w:r>
        <w:rPr>
          <w:rFonts w:hint="eastAsia" w:asciiTheme="minorEastAsia" w:hAnsiTheme="minorEastAsia" w:eastAsiaTheme="minorEastAsia"/>
          <w:color w:val="auto"/>
          <w:kern w:val="0"/>
          <w:szCs w:val="21"/>
          <w:highlight w:val="none"/>
        </w:rPr>
        <w:t>响应文件</w:t>
      </w:r>
      <w:r>
        <w:rPr>
          <w:rFonts w:asciiTheme="minorEastAsia" w:hAnsiTheme="minorEastAsia" w:eastAsiaTheme="minorEastAsia"/>
          <w:color w:val="auto"/>
          <w:kern w:val="0"/>
          <w:szCs w:val="21"/>
          <w:highlight w:val="none"/>
        </w:rPr>
        <w:t>的解释发生异议的，以中文文本为准。</w:t>
      </w:r>
    </w:p>
    <w:p w14:paraId="7F22DCE8">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按上述修正错误的原则及方法调整或修正</w:t>
      </w:r>
      <w:r>
        <w:rPr>
          <w:rFonts w:hint="eastAsia" w:asciiTheme="minorEastAsia" w:hAnsiTheme="minorEastAsia" w:eastAsiaTheme="minorEastAsia"/>
          <w:color w:val="auto"/>
          <w:kern w:val="0"/>
          <w:szCs w:val="21"/>
          <w:highlight w:val="none"/>
        </w:rPr>
        <w:t>响应文件</w:t>
      </w:r>
      <w:r>
        <w:rPr>
          <w:rFonts w:asciiTheme="minorEastAsia" w:hAnsiTheme="minorEastAsia" w:eastAsiaTheme="minorEastAsia"/>
          <w:color w:val="auto"/>
          <w:kern w:val="0"/>
          <w:szCs w:val="21"/>
          <w:highlight w:val="none"/>
        </w:rPr>
        <w:t>的磋商报价，供应商同意</w:t>
      </w:r>
      <w:r>
        <w:rPr>
          <w:rFonts w:hint="eastAsia" w:asciiTheme="minorEastAsia" w:hAnsiTheme="minorEastAsia" w:eastAsiaTheme="minorEastAsia"/>
          <w:color w:val="auto"/>
          <w:kern w:val="0"/>
          <w:szCs w:val="21"/>
          <w:highlight w:val="none"/>
        </w:rPr>
        <w:t>并签字确认</w:t>
      </w:r>
      <w:r>
        <w:rPr>
          <w:rFonts w:asciiTheme="minorEastAsia" w:hAnsiTheme="minorEastAsia" w:eastAsiaTheme="minorEastAsia"/>
          <w:color w:val="auto"/>
          <w:kern w:val="0"/>
          <w:szCs w:val="21"/>
          <w:highlight w:val="none"/>
        </w:rPr>
        <w:t>后，调整后的磋商报价对磋商供应商具有约束作用。如果供应商不接受修正后的报价，则其</w:t>
      </w: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将</w:t>
      </w:r>
      <w:r>
        <w:rPr>
          <w:rFonts w:hint="eastAsia" w:asciiTheme="minorEastAsia" w:hAnsiTheme="minorEastAsia" w:eastAsiaTheme="minorEastAsia"/>
          <w:color w:val="auto"/>
          <w:kern w:val="0"/>
          <w:szCs w:val="21"/>
          <w:highlight w:val="none"/>
        </w:rPr>
        <w:t>作为无效响应处理</w:t>
      </w:r>
      <w:r>
        <w:rPr>
          <w:rFonts w:asciiTheme="minorEastAsia" w:hAnsiTheme="minorEastAsia" w:eastAsiaTheme="minorEastAsia"/>
          <w:color w:val="auto"/>
          <w:kern w:val="0"/>
          <w:szCs w:val="21"/>
          <w:highlight w:val="none"/>
        </w:rPr>
        <w:t>。</w:t>
      </w:r>
    </w:p>
    <w:p w14:paraId="4A91ACE7">
      <w:pPr>
        <w:pStyle w:val="29"/>
        <w:snapToGrid w:val="0"/>
        <w:spacing w:after="120"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6</w:t>
      </w:r>
      <w:r>
        <w:rPr>
          <w:rFonts w:asciiTheme="minorEastAsia" w:hAnsiTheme="minorEastAsia" w:eastAsiaTheme="minorEastAsia"/>
          <w:color w:val="auto"/>
          <w:kern w:val="0"/>
          <w:szCs w:val="21"/>
          <w:highlight w:val="none"/>
        </w:rPr>
        <w:t>.评标过程的监控</w:t>
      </w:r>
    </w:p>
    <w:p w14:paraId="13CF752D">
      <w:pPr>
        <w:pStyle w:val="29"/>
        <w:snapToGrid w:val="0"/>
        <w:spacing w:after="120"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kern w:val="0"/>
          <w:szCs w:val="21"/>
          <w:highlight w:val="none"/>
        </w:rPr>
        <w:t>本项目评标过程实行全程录音、录像监控</w:t>
      </w:r>
      <w:r>
        <w:rPr>
          <w:rFonts w:hint="eastAsia" w:asciiTheme="minorEastAsia" w:hAnsiTheme="minorEastAsia" w:eastAsiaTheme="minorEastAsia"/>
          <w:color w:val="auto"/>
          <w:kern w:val="0"/>
          <w:szCs w:val="21"/>
          <w:highlight w:val="none"/>
        </w:rPr>
        <w:t>。</w:t>
      </w:r>
      <w:bookmarkEnd w:id="61"/>
      <w:bookmarkStart w:id="67" w:name="_Toc498261259"/>
    </w:p>
    <w:p w14:paraId="2758E0B3">
      <w:pPr>
        <w:pStyle w:val="29"/>
        <w:snapToGrid w:val="0"/>
        <w:spacing w:before="120" w:after="120" w:line="360" w:lineRule="auto"/>
        <w:jc w:val="center"/>
        <w:outlineLvl w:val="1"/>
        <w:rPr>
          <w:rFonts w:asciiTheme="minorEastAsia" w:hAnsiTheme="minorEastAsia" w:eastAsiaTheme="minorEastAsia"/>
          <w:b/>
          <w:color w:val="auto"/>
          <w:szCs w:val="21"/>
          <w:highlight w:val="none"/>
        </w:rPr>
      </w:pPr>
    </w:p>
    <w:p w14:paraId="5A73E62A">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w:t>
      </w:r>
      <w:r>
        <w:rPr>
          <w:rFonts w:asciiTheme="minorEastAsia" w:hAnsiTheme="minorEastAsia" w:eastAsiaTheme="minorEastAsia"/>
          <w:b/>
          <w:color w:val="auto"/>
          <w:szCs w:val="21"/>
          <w:highlight w:val="none"/>
        </w:rPr>
        <w:t>磋商结果的确定</w:t>
      </w:r>
      <w:bookmarkEnd w:id="67"/>
    </w:p>
    <w:p w14:paraId="6DE9B48E">
      <w:pPr>
        <w:pStyle w:val="14"/>
        <w:spacing w:line="360" w:lineRule="auto"/>
        <w:ind w:firstLine="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w:t>
      </w:r>
      <w:r>
        <w:rPr>
          <w:rFonts w:asciiTheme="minorEastAsia" w:hAnsiTheme="minorEastAsia" w:eastAsiaTheme="minorEastAsia"/>
          <w:color w:val="auto"/>
          <w:kern w:val="2"/>
          <w:szCs w:val="21"/>
          <w:highlight w:val="none"/>
        </w:rPr>
        <w:t>磋商结果确定</w:t>
      </w:r>
      <w:r>
        <w:rPr>
          <w:rFonts w:hint="eastAsia" w:asciiTheme="minorEastAsia" w:hAnsiTheme="minorEastAsia" w:eastAsiaTheme="minorEastAsia"/>
          <w:color w:val="auto"/>
          <w:kern w:val="2"/>
          <w:szCs w:val="21"/>
          <w:highlight w:val="none"/>
        </w:rPr>
        <w:t>：在全部满足磋商文件实质性要求的前提下，按综合得分高低直接确定排名第一的为中标人。综合得分排名第一的中标人放弃中标或者因不可抗力提出不能履行合同，采购人可以确定综合得分排名第二的为中标人，综合得分排名第二的中标人因前款同样的原因不能签订合同，采购人可以确定综合得分排名第三的为中标人。</w:t>
      </w:r>
      <w:bookmarkStart w:id="68" w:name="_Toc170792772"/>
      <w:bookmarkStart w:id="69" w:name="_Toc107820051"/>
    </w:p>
    <w:p w14:paraId="38F6909A">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（二）</w:t>
      </w:r>
      <w:r>
        <w:rPr>
          <w:rFonts w:asciiTheme="minorEastAsia" w:hAnsiTheme="minorEastAsia" w:eastAsiaTheme="minorEastAsia"/>
          <w:color w:val="auto"/>
          <w:kern w:val="2"/>
          <w:szCs w:val="21"/>
          <w:highlight w:val="none"/>
        </w:rPr>
        <w:t>成交公告</w:t>
      </w:r>
      <w:r>
        <w:rPr>
          <w:rFonts w:hint="eastAsia" w:asciiTheme="minorEastAsia" w:hAnsiTheme="minorEastAsia" w:eastAsiaTheme="minorEastAsia"/>
          <w:color w:val="auto"/>
          <w:kern w:val="2"/>
          <w:szCs w:val="21"/>
          <w:highlight w:val="none"/>
        </w:rPr>
        <w:t>：成交公告期限为1个工作日。</w:t>
      </w:r>
    </w:p>
    <w:p w14:paraId="0F329EE4">
      <w:pPr>
        <w:widowControl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（三）</w:t>
      </w:r>
      <w:r>
        <w:rPr>
          <w:rFonts w:asciiTheme="minorEastAsia" w:hAnsiTheme="minorEastAsia" w:eastAsiaTheme="minorEastAsia"/>
          <w:color w:val="auto"/>
          <w:kern w:val="2"/>
          <w:szCs w:val="21"/>
          <w:highlight w:val="none"/>
        </w:rPr>
        <w:t>成交通知书</w:t>
      </w:r>
      <w:r>
        <w:rPr>
          <w:rFonts w:hint="eastAsia" w:asciiTheme="minorEastAsia" w:hAnsiTheme="minorEastAsia" w:eastAsiaTheme="minorEastAsia"/>
          <w:color w:val="auto"/>
          <w:kern w:val="2"/>
          <w:szCs w:val="21"/>
          <w:highlight w:val="none"/>
        </w:rPr>
        <w:t>：在公告成交结果的同时，代理机构向成交供应商发出成交通知书。</w:t>
      </w:r>
      <w:bookmarkEnd w:id="68"/>
      <w:bookmarkEnd w:id="69"/>
    </w:p>
    <w:p w14:paraId="71D39FF9">
      <w:pPr>
        <w:pStyle w:val="29"/>
        <w:snapToGrid w:val="0"/>
        <w:spacing w:before="120" w:after="120" w:line="360" w:lineRule="auto"/>
        <w:jc w:val="center"/>
        <w:outlineLvl w:val="1"/>
        <w:rPr>
          <w:rFonts w:asciiTheme="minorEastAsia" w:hAnsiTheme="minorEastAsia" w:eastAsiaTheme="minorEastAsia"/>
          <w:b/>
          <w:color w:val="auto"/>
          <w:szCs w:val="21"/>
          <w:highlight w:val="none"/>
        </w:rPr>
      </w:pPr>
    </w:p>
    <w:p w14:paraId="07C9E611">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七、合同授予</w:t>
      </w:r>
    </w:p>
    <w:p w14:paraId="52561DEB">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（一）签订合同</w:t>
      </w:r>
    </w:p>
    <w:p w14:paraId="6DB3EE09">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.采购人与成交供应商</w:t>
      </w:r>
      <w:r>
        <w:rPr>
          <w:rFonts w:asciiTheme="minorEastAsia" w:hAnsiTheme="minorEastAsia" w:eastAsiaTheme="minorEastAsia"/>
          <w:color w:val="auto"/>
          <w:kern w:val="2"/>
          <w:szCs w:val="21"/>
          <w:highlight w:val="none"/>
        </w:rPr>
        <w:t>应</w:t>
      </w:r>
      <w:r>
        <w:rPr>
          <w:rFonts w:hint="eastAsia" w:asciiTheme="minorEastAsia" w:hAnsiTheme="minorEastAsia" w:eastAsiaTheme="minorEastAsia"/>
          <w:color w:val="auto"/>
          <w:kern w:val="2"/>
          <w:szCs w:val="21"/>
          <w:highlight w:val="none"/>
        </w:rPr>
        <w:t>当在《成交通知书》发出之日起30日内签订政府采购合同。同时，代理机构对合同内容进行审查，如发现与采购结果和投标承诺内容不一致的，将予以纠正。</w:t>
      </w:r>
    </w:p>
    <w:p w14:paraId="2B0BDD7A">
      <w:pPr>
        <w:snapToGrid w:val="0"/>
        <w:spacing w:line="360" w:lineRule="auto"/>
        <w:ind w:firstLine="420" w:firstLineChars="200"/>
        <w:rPr>
          <w:rFonts w:asciiTheme="minorEastAsia" w:hAnsiTheme="minorEastAsia" w:eastAsiaTheme="minorEastAsia"/>
          <w:b/>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.成交供应商</w:t>
      </w:r>
      <w:r>
        <w:rPr>
          <w:rFonts w:asciiTheme="minorEastAsia" w:hAnsiTheme="minorEastAsia" w:eastAsiaTheme="minorEastAsia"/>
          <w:color w:val="auto"/>
          <w:kern w:val="2"/>
          <w:szCs w:val="21"/>
          <w:highlight w:val="none"/>
        </w:rPr>
        <w:t>拖延、拒签合同的,将被取消中标资格</w:t>
      </w:r>
      <w:r>
        <w:rPr>
          <w:rFonts w:hint="eastAsia" w:asciiTheme="minorEastAsia" w:hAnsiTheme="minorEastAsia" w:eastAsiaTheme="minorEastAsia"/>
          <w:color w:val="auto"/>
          <w:kern w:val="2"/>
          <w:szCs w:val="21"/>
          <w:highlight w:val="none"/>
        </w:rPr>
        <w:t>，并报监督管理部门</w:t>
      </w:r>
      <w:r>
        <w:rPr>
          <w:rFonts w:asciiTheme="minorEastAsia" w:hAnsiTheme="minorEastAsia" w:eastAsiaTheme="minorEastAsia"/>
          <w:color w:val="auto"/>
          <w:kern w:val="2"/>
          <w:szCs w:val="21"/>
          <w:highlight w:val="none"/>
        </w:rPr>
        <w:t>。</w:t>
      </w:r>
    </w:p>
    <w:p w14:paraId="63AE0544">
      <w:pPr>
        <w:spacing w:line="360" w:lineRule="auto"/>
        <w:jc w:val="both"/>
        <w:outlineLvl w:val="1"/>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八、招标代理费</w:t>
      </w:r>
    </w:p>
    <w:p w14:paraId="304A28CD">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招标代理机构按标段向中标人收取招标代理服务费及控制价编制费，中标人应在收取《中标通知书》时向采购代理机构交纳招标代理服务费及控制价编制费，招标代理服务费的收费标准按浙价服〔2003〕77号文规定计算</w:t>
      </w:r>
    </w:p>
    <w:tbl>
      <w:tblPr>
        <w:tblStyle w:val="54"/>
        <w:tblW w:w="801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63"/>
        <w:gridCol w:w="1664"/>
        <w:gridCol w:w="1233"/>
        <w:gridCol w:w="1858"/>
      </w:tblGrid>
      <w:tr w14:paraId="575A5E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7B058B12">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中标金额（万元）</w:t>
            </w:r>
          </w:p>
        </w:tc>
        <w:tc>
          <w:tcPr>
            <w:tcW w:w="1664" w:type="dxa"/>
            <w:tcBorders>
              <w:top w:val="outset" w:color="auto" w:sz="6" w:space="0"/>
              <w:left w:val="outset" w:color="auto" w:sz="6" w:space="0"/>
              <w:bottom w:val="outset" w:color="auto" w:sz="6" w:space="0"/>
              <w:right w:val="outset" w:color="auto" w:sz="6" w:space="0"/>
            </w:tcBorders>
            <w:vAlign w:val="center"/>
          </w:tcPr>
          <w:p w14:paraId="752CBA4B">
            <w:pPr>
              <w:spacing w:before="100" w:beforeAutospacing="1" w:after="100" w:afterAutospacing="1"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货物招标</w:t>
            </w:r>
          </w:p>
        </w:tc>
        <w:tc>
          <w:tcPr>
            <w:tcW w:w="1233" w:type="dxa"/>
            <w:tcBorders>
              <w:top w:val="outset" w:color="auto" w:sz="6" w:space="0"/>
              <w:left w:val="outset" w:color="auto" w:sz="6" w:space="0"/>
              <w:bottom w:val="outset" w:color="auto" w:sz="6" w:space="0"/>
              <w:right w:val="outset" w:color="auto" w:sz="6" w:space="0"/>
            </w:tcBorders>
            <w:vAlign w:val="center"/>
          </w:tcPr>
          <w:p w14:paraId="4A71A316">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服务招标</w:t>
            </w:r>
          </w:p>
        </w:tc>
        <w:tc>
          <w:tcPr>
            <w:tcW w:w="1858" w:type="dxa"/>
            <w:tcBorders>
              <w:top w:val="outset" w:color="auto" w:sz="6" w:space="0"/>
              <w:left w:val="outset" w:color="auto" w:sz="6" w:space="0"/>
              <w:bottom w:val="outset" w:color="auto" w:sz="6" w:space="0"/>
              <w:right w:val="outset" w:color="auto" w:sz="6" w:space="0"/>
            </w:tcBorders>
            <w:vAlign w:val="center"/>
          </w:tcPr>
          <w:p w14:paraId="0B011251">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工程招标</w:t>
            </w:r>
          </w:p>
        </w:tc>
      </w:tr>
      <w:tr w14:paraId="78FC04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286C4ADB">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100以下</w:t>
            </w:r>
          </w:p>
        </w:tc>
        <w:tc>
          <w:tcPr>
            <w:tcW w:w="1664" w:type="dxa"/>
            <w:tcBorders>
              <w:top w:val="outset" w:color="auto" w:sz="6" w:space="0"/>
              <w:left w:val="outset" w:color="auto" w:sz="6" w:space="0"/>
              <w:bottom w:val="outset" w:color="auto" w:sz="6" w:space="0"/>
              <w:right w:val="outset" w:color="auto" w:sz="6" w:space="0"/>
            </w:tcBorders>
            <w:vAlign w:val="center"/>
          </w:tcPr>
          <w:p w14:paraId="2F231AD4">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1.5％</w:t>
            </w:r>
          </w:p>
        </w:tc>
        <w:tc>
          <w:tcPr>
            <w:tcW w:w="1233" w:type="dxa"/>
            <w:tcBorders>
              <w:top w:val="outset" w:color="auto" w:sz="6" w:space="0"/>
              <w:left w:val="outset" w:color="auto" w:sz="6" w:space="0"/>
              <w:bottom w:val="outset" w:color="auto" w:sz="6" w:space="0"/>
              <w:right w:val="outset" w:color="auto" w:sz="6" w:space="0"/>
            </w:tcBorders>
            <w:vAlign w:val="center"/>
          </w:tcPr>
          <w:p w14:paraId="1BBD0F2C">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1.5％</w:t>
            </w:r>
          </w:p>
        </w:tc>
        <w:tc>
          <w:tcPr>
            <w:tcW w:w="1858" w:type="dxa"/>
            <w:tcBorders>
              <w:top w:val="outset" w:color="auto" w:sz="6" w:space="0"/>
              <w:left w:val="outset" w:color="auto" w:sz="6" w:space="0"/>
              <w:bottom w:val="outset" w:color="auto" w:sz="6" w:space="0"/>
              <w:right w:val="outset" w:color="auto" w:sz="6" w:space="0"/>
            </w:tcBorders>
            <w:vAlign w:val="center"/>
          </w:tcPr>
          <w:p w14:paraId="4095580F">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w:t>
            </w:r>
          </w:p>
        </w:tc>
      </w:tr>
      <w:tr w14:paraId="0F29AF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70689F83">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100—500</w:t>
            </w:r>
          </w:p>
        </w:tc>
        <w:tc>
          <w:tcPr>
            <w:tcW w:w="1664" w:type="dxa"/>
            <w:tcBorders>
              <w:top w:val="outset" w:color="auto" w:sz="6" w:space="0"/>
              <w:left w:val="outset" w:color="auto" w:sz="6" w:space="0"/>
              <w:bottom w:val="outset" w:color="auto" w:sz="6" w:space="0"/>
              <w:right w:val="outset" w:color="auto" w:sz="6" w:space="0"/>
            </w:tcBorders>
            <w:vAlign w:val="center"/>
          </w:tcPr>
          <w:p w14:paraId="4A8FB264">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1.1％</w:t>
            </w:r>
          </w:p>
        </w:tc>
        <w:tc>
          <w:tcPr>
            <w:tcW w:w="1233" w:type="dxa"/>
            <w:tcBorders>
              <w:top w:val="outset" w:color="auto" w:sz="6" w:space="0"/>
              <w:left w:val="outset" w:color="auto" w:sz="6" w:space="0"/>
              <w:bottom w:val="outset" w:color="auto" w:sz="6" w:space="0"/>
              <w:right w:val="outset" w:color="auto" w:sz="6" w:space="0"/>
            </w:tcBorders>
            <w:vAlign w:val="center"/>
          </w:tcPr>
          <w:p w14:paraId="0A97E3A0">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p>
        </w:tc>
        <w:tc>
          <w:tcPr>
            <w:tcW w:w="1858" w:type="dxa"/>
            <w:tcBorders>
              <w:top w:val="outset" w:color="auto" w:sz="6" w:space="0"/>
              <w:left w:val="outset" w:color="auto" w:sz="6" w:space="0"/>
              <w:bottom w:val="outset" w:color="auto" w:sz="6" w:space="0"/>
              <w:right w:val="outset" w:color="auto" w:sz="6" w:space="0"/>
            </w:tcBorders>
            <w:vAlign w:val="center"/>
          </w:tcPr>
          <w:p w14:paraId="18C229CB">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0.7％</w:t>
            </w:r>
          </w:p>
        </w:tc>
      </w:tr>
      <w:tr w14:paraId="4A8C84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5A44C2BB">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500—1000</w:t>
            </w:r>
          </w:p>
        </w:tc>
        <w:tc>
          <w:tcPr>
            <w:tcW w:w="1664" w:type="dxa"/>
            <w:tcBorders>
              <w:top w:val="outset" w:color="auto" w:sz="6" w:space="0"/>
              <w:left w:val="outset" w:color="auto" w:sz="6" w:space="0"/>
              <w:bottom w:val="outset" w:color="auto" w:sz="6" w:space="0"/>
              <w:right w:val="outset" w:color="auto" w:sz="6" w:space="0"/>
            </w:tcBorders>
            <w:vAlign w:val="center"/>
          </w:tcPr>
          <w:p w14:paraId="53850E86">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p>
        </w:tc>
        <w:tc>
          <w:tcPr>
            <w:tcW w:w="1233" w:type="dxa"/>
            <w:tcBorders>
              <w:top w:val="outset" w:color="auto" w:sz="6" w:space="0"/>
              <w:left w:val="outset" w:color="auto" w:sz="6" w:space="0"/>
              <w:bottom w:val="outset" w:color="auto" w:sz="6" w:space="0"/>
              <w:right w:val="outset" w:color="auto" w:sz="6" w:space="0"/>
            </w:tcBorders>
            <w:vAlign w:val="center"/>
          </w:tcPr>
          <w:p w14:paraId="7D31712C">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0.45％</w:t>
            </w:r>
          </w:p>
        </w:tc>
        <w:tc>
          <w:tcPr>
            <w:tcW w:w="1858" w:type="dxa"/>
            <w:tcBorders>
              <w:top w:val="outset" w:color="auto" w:sz="6" w:space="0"/>
              <w:left w:val="outset" w:color="auto" w:sz="6" w:space="0"/>
              <w:bottom w:val="outset" w:color="auto" w:sz="6" w:space="0"/>
              <w:right w:val="outset" w:color="auto" w:sz="6" w:space="0"/>
            </w:tcBorders>
            <w:vAlign w:val="center"/>
          </w:tcPr>
          <w:p w14:paraId="5A9C76DB">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0.55％</w:t>
            </w:r>
          </w:p>
        </w:tc>
      </w:tr>
      <w:tr w14:paraId="5091E8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5DCEEE94">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1000—5000</w:t>
            </w:r>
          </w:p>
        </w:tc>
        <w:tc>
          <w:tcPr>
            <w:tcW w:w="1664" w:type="dxa"/>
            <w:tcBorders>
              <w:top w:val="outset" w:color="auto" w:sz="6" w:space="0"/>
              <w:left w:val="outset" w:color="auto" w:sz="6" w:space="0"/>
              <w:bottom w:val="outset" w:color="auto" w:sz="6" w:space="0"/>
              <w:right w:val="outset" w:color="auto" w:sz="6" w:space="0"/>
            </w:tcBorders>
            <w:vAlign w:val="center"/>
          </w:tcPr>
          <w:p w14:paraId="65DBB4BA">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0.5％</w:t>
            </w:r>
          </w:p>
        </w:tc>
        <w:tc>
          <w:tcPr>
            <w:tcW w:w="1233" w:type="dxa"/>
            <w:tcBorders>
              <w:top w:val="outset" w:color="auto" w:sz="6" w:space="0"/>
              <w:left w:val="outset" w:color="auto" w:sz="6" w:space="0"/>
              <w:bottom w:val="outset" w:color="auto" w:sz="6" w:space="0"/>
              <w:right w:val="outset" w:color="auto" w:sz="6" w:space="0"/>
            </w:tcBorders>
            <w:vAlign w:val="center"/>
          </w:tcPr>
          <w:p w14:paraId="1B565163">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0.25％</w:t>
            </w:r>
          </w:p>
        </w:tc>
        <w:tc>
          <w:tcPr>
            <w:tcW w:w="1858" w:type="dxa"/>
            <w:tcBorders>
              <w:top w:val="outset" w:color="auto" w:sz="6" w:space="0"/>
              <w:left w:val="outset" w:color="auto" w:sz="6" w:space="0"/>
              <w:bottom w:val="outset" w:color="auto" w:sz="6" w:space="0"/>
              <w:right w:val="outset" w:color="auto" w:sz="6" w:space="0"/>
            </w:tcBorders>
            <w:vAlign w:val="center"/>
          </w:tcPr>
          <w:p w14:paraId="51858651">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0.35％</w:t>
            </w:r>
          </w:p>
        </w:tc>
      </w:tr>
    </w:tbl>
    <w:p w14:paraId="617C1A73">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招标代理服务收费按差额定率累进法计算。</w:t>
      </w:r>
    </w:p>
    <w:p w14:paraId="36BB343C">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投标单位以工程类招标收费标准支付中标服务费，清单预算编制费按</w:t>
      </w:r>
      <w:r>
        <w:rPr>
          <w:rFonts w:hint="eastAsia" w:ascii="宋体" w:hAnsi="宋体" w:cs="宋体"/>
          <w:color w:val="auto"/>
          <w:highlight w:val="none"/>
        </w:rPr>
        <w:t>（浙价服[2009]84号）规定收费标准收取。招标控制价编制服务费按《浙江省建设工程造价咨询服务项目及收费指引》的通知(浙建价协[2021]13号计算的标准收取，以招标控制价为计算基数。</w:t>
      </w:r>
      <w:r>
        <w:rPr>
          <w:rFonts w:hint="eastAsia" w:asciiTheme="minorEastAsia" w:hAnsiTheme="minorEastAsia" w:eastAsiaTheme="minorEastAsia"/>
          <w:color w:val="auto"/>
          <w:kern w:val="2"/>
          <w:szCs w:val="21"/>
          <w:highlight w:val="none"/>
        </w:rPr>
        <w:t>上述合计金额不足6000元的按6000元计取服务费</w:t>
      </w:r>
    </w:p>
    <w:p w14:paraId="2CB76748">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4、服务费的货币为人民币。</w:t>
      </w:r>
    </w:p>
    <w:p w14:paraId="0BDF01C2">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5、服务费支付方式：一次性以网银、电汇的形式支付。</w:t>
      </w:r>
    </w:p>
    <w:p w14:paraId="6BBA3744">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6、服务费以银行划账方式按下列要求提交：</w:t>
      </w:r>
    </w:p>
    <w:p w14:paraId="3ED4EA57">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收款人：嘉兴市银建工程咨询评估有限公司</w:t>
      </w:r>
    </w:p>
    <w:p w14:paraId="358C049B">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户名：嘉兴市银建工程咨询评估有限公司</w:t>
      </w:r>
    </w:p>
    <w:p w14:paraId="51C2FD73">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开户银行：建行嘉兴分行营业部</w:t>
      </w:r>
    </w:p>
    <w:p w14:paraId="68284A34">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账号：3300 1638 0470 5000 4370</w:t>
      </w:r>
    </w:p>
    <w:p w14:paraId="16DF5C3F">
      <w:pPr>
        <w:snapToGrid w:val="0"/>
        <w:spacing w:line="360" w:lineRule="auto"/>
        <w:ind w:right="-401" w:rightChars="-191"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招标代理服务费及控制价编制费支付时间：招标代理服务费及控制价编制费必须在中标人领取《中标通知书》时一次性付清，如果中标人未能按时交纳服务费，采购代理机构/采购人保留追究其责任的权利</w:t>
      </w:r>
      <w:r>
        <w:rPr>
          <w:rFonts w:asciiTheme="minorEastAsia" w:hAnsiTheme="minorEastAsia" w:eastAsiaTheme="minorEastAsia"/>
          <w:color w:val="auto"/>
          <w:kern w:val="2"/>
          <w:szCs w:val="21"/>
          <w:highlight w:val="none"/>
        </w:rPr>
        <w:t>。</w:t>
      </w:r>
    </w:p>
    <w:p w14:paraId="3716C790">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8、</w:t>
      </w:r>
      <w:r>
        <w:rPr>
          <w:rFonts w:hint="eastAsia" w:asciiTheme="minorEastAsia" w:hAnsiTheme="minorEastAsia" w:eastAsiaTheme="minorEastAsia"/>
          <w:color w:val="auto"/>
          <w:kern w:val="2"/>
          <w:szCs w:val="21"/>
          <w:highlight w:val="none"/>
        </w:rPr>
        <w:t>招标代理服务费及控制价编制费不在投标报价中单列</w:t>
      </w:r>
      <w:r>
        <w:rPr>
          <w:rFonts w:asciiTheme="minorEastAsia" w:hAnsiTheme="minorEastAsia" w:eastAsiaTheme="minorEastAsia"/>
          <w:color w:val="auto"/>
          <w:kern w:val="2"/>
          <w:szCs w:val="21"/>
          <w:highlight w:val="none"/>
        </w:rPr>
        <w:t>。</w:t>
      </w:r>
    </w:p>
    <w:p w14:paraId="11325BBC">
      <w:pPr>
        <w:snapToGrid w:val="0"/>
        <w:spacing w:before="120" w:after="120" w:line="360" w:lineRule="auto"/>
        <w:jc w:val="both"/>
        <w:rPr>
          <w:rFonts w:asciiTheme="minorEastAsia" w:hAnsiTheme="minorEastAsia" w:eastAsiaTheme="minorEastAsia"/>
          <w:b/>
          <w:color w:val="auto"/>
          <w:sz w:val="28"/>
          <w:szCs w:val="28"/>
          <w:highlight w:val="none"/>
        </w:rPr>
      </w:pPr>
    </w:p>
    <w:p w14:paraId="2648BA29">
      <w:pPr>
        <w:snapToGrid w:val="0"/>
        <w:spacing w:before="120" w:after="120" w:line="360" w:lineRule="auto"/>
        <w:jc w:val="center"/>
        <w:rPr>
          <w:rFonts w:asciiTheme="minorEastAsia" w:hAnsiTheme="minorEastAsia" w:eastAsiaTheme="minorEastAsia"/>
          <w:b/>
          <w:color w:val="auto"/>
          <w:sz w:val="28"/>
          <w:szCs w:val="28"/>
          <w:highlight w:val="none"/>
        </w:rPr>
      </w:pPr>
    </w:p>
    <w:p w14:paraId="5BC1A12A">
      <w:pPr>
        <w:snapToGrid w:val="0"/>
        <w:spacing w:before="120" w:after="120" w:line="360" w:lineRule="auto"/>
        <w:jc w:val="center"/>
        <w:rPr>
          <w:rFonts w:asciiTheme="minorEastAsia" w:hAnsiTheme="minorEastAsia" w:eastAsiaTheme="minorEastAsia"/>
          <w:b/>
          <w:color w:val="auto"/>
          <w:sz w:val="28"/>
          <w:szCs w:val="28"/>
          <w:highlight w:val="none"/>
        </w:rPr>
      </w:pPr>
    </w:p>
    <w:p w14:paraId="6CF35EDC">
      <w:pPr>
        <w:snapToGrid w:val="0"/>
        <w:spacing w:before="120" w:after="120" w:line="360" w:lineRule="auto"/>
        <w:jc w:val="center"/>
        <w:rPr>
          <w:rFonts w:asciiTheme="minorEastAsia" w:hAnsiTheme="minorEastAsia" w:eastAsiaTheme="minorEastAsia"/>
          <w:b/>
          <w:color w:val="auto"/>
          <w:sz w:val="28"/>
          <w:szCs w:val="28"/>
          <w:highlight w:val="none"/>
        </w:rPr>
      </w:pPr>
    </w:p>
    <w:p w14:paraId="208A422B">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0F524BC3">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1BD4F122">
      <w:pPr>
        <w:rPr>
          <w:rFonts w:asciiTheme="minorEastAsia" w:hAnsiTheme="minorEastAsia" w:eastAsiaTheme="minorEastAsia"/>
          <w:b/>
          <w:color w:val="auto"/>
          <w:sz w:val="28"/>
          <w:szCs w:val="28"/>
          <w:highlight w:val="none"/>
        </w:rPr>
      </w:pPr>
      <w:bookmarkStart w:id="70" w:name="_Toc5936"/>
      <w:r>
        <w:rPr>
          <w:rFonts w:hint="eastAsia" w:asciiTheme="minorEastAsia" w:hAnsiTheme="minorEastAsia" w:eastAsiaTheme="minorEastAsia"/>
          <w:b/>
          <w:color w:val="auto"/>
          <w:sz w:val="28"/>
          <w:szCs w:val="28"/>
          <w:highlight w:val="none"/>
        </w:rPr>
        <w:br w:type="page"/>
      </w:r>
    </w:p>
    <w:p w14:paraId="1EFC2C01">
      <w:pPr>
        <w:snapToGrid w:val="0"/>
        <w:spacing w:before="120" w:after="120" w:line="360" w:lineRule="auto"/>
        <w:jc w:val="center"/>
        <w:outlineLvl w:val="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第四章 评标办法</w:t>
      </w:r>
      <w:bookmarkEnd w:id="70"/>
    </w:p>
    <w:tbl>
      <w:tblPr>
        <w:tblStyle w:val="54"/>
        <w:tblpPr w:leftFromText="180" w:rightFromText="180" w:vertAnchor="text" w:horzAnchor="page" w:tblpX="1621" w:tblpY="614"/>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6234"/>
        <w:gridCol w:w="971"/>
      </w:tblGrid>
      <w:tr w14:paraId="1D0D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23" w:type="dxa"/>
            <w:tcBorders>
              <w:top w:val="single" w:color="auto" w:sz="4" w:space="0"/>
              <w:left w:val="single" w:color="auto" w:sz="4" w:space="0"/>
              <w:bottom w:val="single" w:color="auto" w:sz="4" w:space="0"/>
              <w:right w:val="single" w:color="auto" w:sz="4" w:space="0"/>
            </w:tcBorders>
            <w:vAlign w:val="center"/>
          </w:tcPr>
          <w:p w14:paraId="6386E9A7">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评定项目</w:t>
            </w:r>
          </w:p>
        </w:tc>
        <w:tc>
          <w:tcPr>
            <w:tcW w:w="6234" w:type="dxa"/>
            <w:tcBorders>
              <w:top w:val="single" w:color="auto" w:sz="4" w:space="0"/>
              <w:left w:val="single" w:color="auto" w:sz="4" w:space="0"/>
              <w:bottom w:val="single" w:color="auto" w:sz="4" w:space="0"/>
              <w:right w:val="single" w:color="auto" w:sz="4" w:space="0"/>
            </w:tcBorders>
            <w:vAlign w:val="center"/>
          </w:tcPr>
          <w:p w14:paraId="71E50387">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评定内容</w:t>
            </w:r>
          </w:p>
        </w:tc>
        <w:tc>
          <w:tcPr>
            <w:tcW w:w="971" w:type="dxa"/>
            <w:tcBorders>
              <w:top w:val="single" w:color="auto" w:sz="4" w:space="0"/>
              <w:left w:val="single" w:color="auto" w:sz="4" w:space="0"/>
              <w:bottom w:val="single" w:color="auto" w:sz="4" w:space="0"/>
              <w:right w:val="single" w:color="auto" w:sz="4" w:space="0"/>
            </w:tcBorders>
            <w:vAlign w:val="center"/>
          </w:tcPr>
          <w:p w14:paraId="4911D03E">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分值</w:t>
            </w:r>
          </w:p>
          <w:p w14:paraId="440CDC59">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范围</w:t>
            </w:r>
          </w:p>
        </w:tc>
      </w:tr>
      <w:tr w14:paraId="67DB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57" w:type="dxa"/>
            <w:gridSpan w:val="2"/>
            <w:tcBorders>
              <w:top w:val="single" w:color="auto" w:sz="4" w:space="0"/>
              <w:left w:val="single" w:color="auto" w:sz="4" w:space="0"/>
              <w:bottom w:val="single" w:color="auto" w:sz="4" w:space="0"/>
              <w:right w:val="single" w:color="auto" w:sz="4" w:space="0"/>
            </w:tcBorders>
            <w:vAlign w:val="center"/>
          </w:tcPr>
          <w:p w14:paraId="769BAC97">
            <w:pPr>
              <w:autoSpaceDE w:val="0"/>
              <w:autoSpaceDN w:val="0"/>
              <w:spacing w:line="340" w:lineRule="exact"/>
              <w:jc w:val="center"/>
              <w:rPr>
                <w:rFonts w:ascii="宋体" w:hAnsi="宋体" w:cs="宋体"/>
                <w:color w:val="auto"/>
                <w:szCs w:val="21"/>
                <w:highlight w:val="none"/>
              </w:rPr>
            </w:pPr>
            <w:r>
              <w:rPr>
                <w:rFonts w:hint="eastAsia" w:ascii="宋体" w:hAnsi="宋体" w:cs="宋体"/>
                <w:b/>
                <w:bCs/>
                <w:color w:val="auto"/>
                <w:szCs w:val="21"/>
                <w:highlight w:val="none"/>
              </w:rPr>
              <w:t>技术部分</w:t>
            </w:r>
          </w:p>
        </w:tc>
        <w:tc>
          <w:tcPr>
            <w:tcW w:w="971" w:type="dxa"/>
            <w:tcBorders>
              <w:top w:val="single" w:color="auto" w:sz="4" w:space="0"/>
              <w:left w:val="single" w:color="auto" w:sz="4" w:space="0"/>
              <w:bottom w:val="single" w:color="auto" w:sz="4" w:space="0"/>
              <w:right w:val="single" w:color="auto" w:sz="4" w:space="0"/>
            </w:tcBorders>
            <w:vAlign w:val="center"/>
          </w:tcPr>
          <w:p w14:paraId="3BA834BC">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65</w:t>
            </w:r>
            <w:r>
              <w:rPr>
                <w:rFonts w:hint="eastAsia" w:ascii="宋体" w:hAnsi="宋体" w:cs="宋体"/>
                <w:color w:val="auto"/>
                <w:szCs w:val="21"/>
                <w:highlight w:val="none"/>
              </w:rPr>
              <w:t>分</w:t>
            </w:r>
          </w:p>
        </w:tc>
      </w:tr>
      <w:tr w14:paraId="7639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23" w:type="dxa"/>
            <w:tcBorders>
              <w:left w:val="single" w:color="auto" w:sz="4" w:space="0"/>
              <w:right w:val="single" w:color="auto" w:sz="4" w:space="0"/>
            </w:tcBorders>
            <w:vAlign w:val="center"/>
          </w:tcPr>
          <w:p w14:paraId="140B0BF3">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项目整体理解</w:t>
            </w:r>
          </w:p>
        </w:tc>
        <w:tc>
          <w:tcPr>
            <w:tcW w:w="6234" w:type="dxa"/>
            <w:tcBorders>
              <w:top w:val="single" w:color="auto" w:sz="4" w:space="0"/>
              <w:left w:val="single" w:color="auto" w:sz="4" w:space="0"/>
              <w:right w:val="single" w:color="auto" w:sz="4" w:space="0"/>
            </w:tcBorders>
            <w:vAlign w:val="center"/>
          </w:tcPr>
          <w:p w14:paraId="7D6E6530">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针对项目需求，根据投标人对本项目的项目背景和现状分析，项目内容等相关的理解程度进行综合评分。对本项目需求理解全面准确、分析合理的得9-12分；比较详细、较为合理的得6-9分（不含）；理解不充分、不全面的得3-6分（不含），不提供不得分。</w:t>
            </w:r>
          </w:p>
        </w:tc>
        <w:tc>
          <w:tcPr>
            <w:tcW w:w="971" w:type="dxa"/>
            <w:tcBorders>
              <w:top w:val="single" w:color="auto" w:sz="4" w:space="0"/>
              <w:left w:val="single" w:color="auto" w:sz="4" w:space="0"/>
              <w:bottom w:val="single" w:color="auto" w:sz="4" w:space="0"/>
              <w:right w:val="single" w:color="auto" w:sz="4" w:space="0"/>
            </w:tcBorders>
            <w:vAlign w:val="center"/>
          </w:tcPr>
          <w:p w14:paraId="54E16A6B">
            <w:pPr>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0-12</w:t>
            </w:r>
          </w:p>
        </w:tc>
      </w:tr>
      <w:tr w14:paraId="41E8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23" w:type="dxa"/>
            <w:tcBorders>
              <w:left w:val="single" w:color="auto" w:sz="4" w:space="0"/>
              <w:right w:val="single" w:color="auto" w:sz="4" w:space="0"/>
            </w:tcBorders>
            <w:vAlign w:val="center"/>
          </w:tcPr>
          <w:p w14:paraId="71B04418">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重难点分析</w:t>
            </w:r>
          </w:p>
        </w:tc>
        <w:tc>
          <w:tcPr>
            <w:tcW w:w="6234" w:type="dxa"/>
            <w:tcBorders>
              <w:top w:val="single" w:color="auto" w:sz="4" w:space="0"/>
              <w:left w:val="single" w:color="auto" w:sz="4" w:space="0"/>
              <w:right w:val="single" w:color="auto" w:sz="4" w:space="0"/>
            </w:tcBorders>
            <w:vAlign w:val="center"/>
          </w:tcPr>
          <w:p w14:paraId="718B01C5">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对项目的技术关键点、难点进行分析，根据其完整性，合理性等进行综合评分。对本项目关键问题重点、难点分析合理、清晰、全面的得7-10分；对本项目关键问题的重点、难点分析较为合理、较为清晰、较为全面的得4-7分（不含）；对本项目关键问题的重点、难点分析不合理、不清晰、不全面的得1-4分（不含），不提供不得分。</w:t>
            </w:r>
          </w:p>
        </w:tc>
        <w:tc>
          <w:tcPr>
            <w:tcW w:w="971" w:type="dxa"/>
            <w:tcBorders>
              <w:top w:val="single" w:color="auto" w:sz="4" w:space="0"/>
              <w:left w:val="single" w:color="auto" w:sz="4" w:space="0"/>
              <w:bottom w:val="single" w:color="auto" w:sz="4" w:space="0"/>
              <w:right w:val="single" w:color="auto" w:sz="4" w:space="0"/>
            </w:tcBorders>
            <w:vAlign w:val="center"/>
          </w:tcPr>
          <w:p w14:paraId="6E9E6BF7">
            <w:pPr>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0-10</w:t>
            </w:r>
          </w:p>
        </w:tc>
      </w:tr>
      <w:tr w14:paraId="4371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16BF71A8">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施工方案</w:t>
            </w:r>
          </w:p>
        </w:tc>
        <w:tc>
          <w:tcPr>
            <w:tcW w:w="6234" w:type="dxa"/>
            <w:tcBorders>
              <w:top w:val="single" w:color="auto" w:sz="4" w:space="0"/>
              <w:left w:val="single" w:color="auto" w:sz="4" w:space="0"/>
              <w:right w:val="single" w:color="auto" w:sz="4" w:space="0"/>
            </w:tcBorders>
            <w:vAlign w:val="center"/>
          </w:tcPr>
          <w:p w14:paraId="60833AA7">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对项目施工方案</w:t>
            </w:r>
            <w:r>
              <w:rPr>
                <w:rFonts w:hint="eastAsia" w:ascii="宋体" w:hAnsi="宋体" w:cs="宋体"/>
                <w:b/>
                <w:bCs/>
                <w:color w:val="auto"/>
                <w:szCs w:val="21"/>
                <w:highlight w:val="none"/>
              </w:rPr>
              <w:t>（包括但不限于实施人员安排、施工质量把控、施工进度安排、安全防护及文明施工等）</w:t>
            </w:r>
            <w:r>
              <w:rPr>
                <w:rFonts w:hint="eastAsia" w:ascii="宋体" w:hAnsi="宋体" w:cs="宋体"/>
                <w:color w:val="auto"/>
                <w:szCs w:val="21"/>
                <w:highlight w:val="none"/>
              </w:rPr>
              <w:t>的完整性、科学性、紧凑性、合理性等进行综合评分。服务方案方案科学合理、完善的得7-10分，服务方案较完善较合理的得4-7分（不含），服务方案不够科学合理，内容不够完善的得1-4分（不含），不提供不得分。</w:t>
            </w:r>
          </w:p>
        </w:tc>
        <w:tc>
          <w:tcPr>
            <w:tcW w:w="971" w:type="dxa"/>
            <w:tcBorders>
              <w:top w:val="single" w:color="auto" w:sz="4" w:space="0"/>
              <w:left w:val="single" w:color="auto" w:sz="4" w:space="0"/>
              <w:bottom w:val="single" w:color="auto" w:sz="4" w:space="0"/>
              <w:right w:val="single" w:color="auto" w:sz="4" w:space="0"/>
            </w:tcBorders>
            <w:vAlign w:val="center"/>
          </w:tcPr>
          <w:p w14:paraId="54518AA5">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0-10</w:t>
            </w:r>
          </w:p>
        </w:tc>
      </w:tr>
      <w:tr w14:paraId="17ED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4C83188E">
            <w:pPr>
              <w:snapToGrid w:val="0"/>
              <w:spacing w:line="380" w:lineRule="exac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相关管理制度</w:t>
            </w:r>
          </w:p>
        </w:tc>
        <w:tc>
          <w:tcPr>
            <w:tcW w:w="6234" w:type="dxa"/>
            <w:tcBorders>
              <w:top w:val="single" w:color="auto" w:sz="4" w:space="0"/>
              <w:left w:val="single" w:color="auto" w:sz="4" w:space="0"/>
              <w:right w:val="single" w:color="auto" w:sz="4" w:space="0"/>
            </w:tcBorders>
            <w:vAlign w:val="center"/>
          </w:tcPr>
          <w:p w14:paraId="1F418548">
            <w:pPr>
              <w:snapToGrid w:val="0"/>
              <w:spacing w:line="380" w:lineRule="exact"/>
              <w:textAlignment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eastAsia="zh-CN"/>
              </w:rPr>
              <w:t>根据作业质量标准，检查考核办法，作业人员安全教育、劳动保护、安全管理制度，意外事件应急预案等情况酌情评分</w:t>
            </w:r>
            <w:r>
              <w:rPr>
                <w:rFonts w:hint="eastAsia" w:ascii="宋体" w:hAnsi="宋体" w:eastAsia="宋体" w:cs="宋体"/>
                <w:color w:val="auto"/>
                <w:szCs w:val="21"/>
                <w:highlight w:val="none"/>
                <w:lang w:val="en-US" w:eastAsia="zh-CN"/>
              </w:rPr>
              <w:t>，不提供不得分。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0，5-10分</w:t>
            </w:r>
            <w:r>
              <w:rPr>
                <w:rFonts w:hint="eastAsia" w:ascii="宋体" w:hAnsi="宋体" w:eastAsia="宋体" w:cs="宋体"/>
                <w:color w:val="auto"/>
                <w:szCs w:val="21"/>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vAlign w:val="center"/>
          </w:tcPr>
          <w:p w14:paraId="05086589">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0-10</w:t>
            </w:r>
          </w:p>
        </w:tc>
      </w:tr>
      <w:tr w14:paraId="1B3E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3D96620F">
            <w:pPr>
              <w:snapToGrid w:val="0"/>
              <w:spacing w:line="380" w:lineRule="exac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应急预案</w:t>
            </w:r>
          </w:p>
        </w:tc>
        <w:tc>
          <w:tcPr>
            <w:tcW w:w="6234" w:type="dxa"/>
            <w:tcBorders>
              <w:top w:val="single" w:color="auto" w:sz="4" w:space="0"/>
              <w:left w:val="single" w:color="auto" w:sz="4" w:space="0"/>
              <w:right w:val="single" w:color="auto" w:sz="4" w:space="0"/>
            </w:tcBorders>
            <w:vAlign w:val="center"/>
          </w:tcPr>
          <w:p w14:paraId="48E65DF5">
            <w:pPr>
              <w:snapToGrid w:val="0"/>
              <w:spacing w:line="380" w:lineRule="exact"/>
              <w:textAlignment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rPr>
              <w:t>安全文明礼貌的承诺及应急预案实施措施，评委根据投标方提供的安全服务方案及应急预案措施进行综合评分，应急预案要求：针对台风暴雨天气、梅雨季节、冰雪霜冻天气、污雨水井或管道或化粪池堵塞或污水外溢情况、发生火灾等特殊紧急情况进行详细方案描述</w:t>
            </w:r>
            <w:r>
              <w:rPr>
                <w:rFonts w:hint="eastAsia" w:ascii="宋体" w:hAnsi="宋体" w:eastAsia="宋体" w:cs="宋体"/>
                <w:color w:val="auto"/>
                <w:szCs w:val="21"/>
                <w:highlight w:val="none"/>
                <w:lang w:val="en-US" w:eastAsia="zh-CN"/>
              </w:rPr>
              <w:t>，不提供不得分。</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0，4</w:t>
            </w:r>
            <w:r>
              <w:rPr>
                <w:rFonts w:hint="default" w:ascii="宋体" w:hAnsi="宋体" w:eastAsia="宋体" w:cs="宋体"/>
                <w:color w:val="auto"/>
                <w:szCs w:val="21"/>
                <w:highlight w:val="none"/>
                <w:lang w:val="en-US" w:eastAsia="zh-CN"/>
              </w:rPr>
              <w:t>-8分）</w:t>
            </w:r>
          </w:p>
        </w:tc>
        <w:tc>
          <w:tcPr>
            <w:tcW w:w="971" w:type="dxa"/>
            <w:tcBorders>
              <w:top w:val="single" w:color="auto" w:sz="4" w:space="0"/>
              <w:left w:val="single" w:color="auto" w:sz="4" w:space="0"/>
              <w:bottom w:val="single" w:color="auto" w:sz="4" w:space="0"/>
              <w:right w:val="single" w:color="auto" w:sz="4" w:space="0"/>
            </w:tcBorders>
            <w:vAlign w:val="center"/>
          </w:tcPr>
          <w:p w14:paraId="10D498C9">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lang w:val="en-US" w:eastAsia="zh-CN"/>
              </w:rPr>
              <w:t>8</w:t>
            </w:r>
          </w:p>
        </w:tc>
      </w:tr>
      <w:tr w14:paraId="7F09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7BB1B61C">
            <w:pPr>
              <w:snapToGrid w:val="0"/>
              <w:spacing w:line="3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进度安排</w:t>
            </w:r>
          </w:p>
        </w:tc>
        <w:tc>
          <w:tcPr>
            <w:tcW w:w="6234" w:type="dxa"/>
            <w:tcBorders>
              <w:top w:val="single" w:color="auto" w:sz="4" w:space="0"/>
              <w:left w:val="single" w:color="auto" w:sz="4" w:space="0"/>
              <w:right w:val="single" w:color="auto" w:sz="4" w:space="0"/>
            </w:tcBorders>
            <w:vAlign w:val="center"/>
          </w:tcPr>
          <w:p w14:paraId="03C1B9D9">
            <w:pPr>
              <w:snapToGrid w:val="0"/>
              <w:spacing w:line="380" w:lineRule="exac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投标人针对本项目实施的项目进度安排，根据进度安排的科学性、合理性、规范性和可操作性，各投标单位比较得分</w:t>
            </w:r>
            <w:r>
              <w:rPr>
                <w:rFonts w:hint="eastAsia" w:ascii="宋体" w:hAnsi="宋体" w:eastAsia="宋体" w:cs="宋体"/>
                <w:color w:val="auto"/>
                <w:szCs w:val="21"/>
                <w:highlight w:val="none"/>
                <w:lang w:val="en-US" w:eastAsia="zh-CN"/>
              </w:rPr>
              <w:t>，不提供不得分。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0，5-10分</w:t>
            </w:r>
            <w:r>
              <w:rPr>
                <w:rFonts w:hint="eastAsia" w:ascii="宋体" w:hAnsi="宋体" w:eastAsia="宋体" w:cs="宋体"/>
                <w:color w:val="auto"/>
                <w:szCs w:val="21"/>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vAlign w:val="center"/>
          </w:tcPr>
          <w:p w14:paraId="3B2A15C4">
            <w:pPr>
              <w:snapToGrid w:val="0"/>
              <w:spacing w:line="38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0-</w:t>
            </w:r>
            <w:r>
              <w:rPr>
                <w:rFonts w:hint="eastAsia" w:ascii="宋体" w:hAnsi="宋体" w:cs="宋体"/>
                <w:color w:val="auto"/>
                <w:szCs w:val="21"/>
                <w:highlight w:val="none"/>
                <w:lang w:val="en-US" w:eastAsia="zh-CN"/>
              </w:rPr>
              <w:t>10</w:t>
            </w:r>
          </w:p>
        </w:tc>
      </w:tr>
      <w:tr w14:paraId="266B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vAlign w:val="center"/>
          </w:tcPr>
          <w:p w14:paraId="18D6E639">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合理化建议</w:t>
            </w:r>
          </w:p>
        </w:tc>
        <w:tc>
          <w:tcPr>
            <w:tcW w:w="6234" w:type="dxa"/>
            <w:tcBorders>
              <w:top w:val="single" w:color="auto" w:sz="4" w:space="0"/>
              <w:left w:val="single" w:color="auto" w:sz="4" w:space="0"/>
              <w:bottom w:val="single" w:color="auto" w:sz="4" w:space="0"/>
              <w:right w:val="single" w:color="auto" w:sz="4" w:space="0"/>
            </w:tcBorders>
            <w:vAlign w:val="center"/>
          </w:tcPr>
          <w:p w14:paraId="42175F02">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针对本项目提出的合理化建议，根据合理化建议的有效性、可行性，由专家一致认定有效可行的，每一条得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仿宋" w:hAnsi="仿宋" w:eastAsia="仿宋" w:cs="仿宋"/>
                <w:color w:val="auto"/>
                <w:szCs w:val="21"/>
                <w:highlight w:val="none"/>
                <w:lang w:val="en-US" w:eastAsia="zh-CN"/>
              </w:rPr>
              <w:t>，不提供不得分</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971" w:type="dxa"/>
            <w:tcBorders>
              <w:left w:val="single" w:color="auto" w:sz="4" w:space="0"/>
              <w:right w:val="single" w:color="auto" w:sz="4" w:space="0"/>
            </w:tcBorders>
            <w:vAlign w:val="center"/>
          </w:tcPr>
          <w:p w14:paraId="54F49F1D">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p>
        </w:tc>
      </w:tr>
      <w:tr w14:paraId="2451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57" w:type="dxa"/>
            <w:gridSpan w:val="2"/>
            <w:tcBorders>
              <w:left w:val="single" w:color="auto" w:sz="4" w:space="0"/>
              <w:right w:val="single" w:color="auto" w:sz="4" w:space="0"/>
            </w:tcBorders>
            <w:vAlign w:val="center"/>
          </w:tcPr>
          <w:p w14:paraId="7BB09B17">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商务资信部分</w:t>
            </w:r>
          </w:p>
        </w:tc>
        <w:tc>
          <w:tcPr>
            <w:tcW w:w="971" w:type="dxa"/>
            <w:tcBorders>
              <w:left w:val="single" w:color="auto" w:sz="4" w:space="0"/>
              <w:right w:val="single" w:color="auto" w:sz="4" w:space="0"/>
            </w:tcBorders>
            <w:vAlign w:val="center"/>
          </w:tcPr>
          <w:p w14:paraId="04C51E41">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分</w:t>
            </w:r>
          </w:p>
        </w:tc>
      </w:tr>
      <w:tr w14:paraId="7B4A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vAlign w:val="center"/>
          </w:tcPr>
          <w:p w14:paraId="22BFDD6C">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6234" w:type="dxa"/>
            <w:tcBorders>
              <w:top w:val="single" w:color="auto" w:sz="4" w:space="0"/>
              <w:left w:val="single" w:color="auto" w:sz="4" w:space="0"/>
              <w:bottom w:val="single" w:color="auto" w:sz="4" w:space="0"/>
              <w:right w:val="single" w:color="auto" w:sz="4" w:space="0"/>
            </w:tcBorders>
            <w:vAlign w:val="center"/>
          </w:tcPr>
          <w:p w14:paraId="0647F4A2">
            <w:pPr>
              <w:autoSpaceDE w:val="0"/>
              <w:autoSpaceDN w:val="0"/>
              <w:spacing w:line="340" w:lineRule="exact"/>
              <w:rPr>
                <w:rFonts w:ascii="宋体" w:hAnsi="宋体" w:cs="宋体"/>
                <w:color w:val="auto"/>
                <w:szCs w:val="21"/>
                <w:highlight w:val="none"/>
              </w:rPr>
            </w:pPr>
            <w:r>
              <w:rPr>
                <w:rFonts w:hint="eastAsia" w:ascii="宋体" w:hAnsi="宋体" w:cs="宋体"/>
                <w:color w:val="auto"/>
                <w:szCs w:val="21"/>
                <w:highlight w:val="none"/>
                <w:lang w:val="en-US" w:eastAsia="zh-CN"/>
              </w:rPr>
              <w:t>2020年1月1日</w:t>
            </w:r>
            <w:r>
              <w:rPr>
                <w:rFonts w:hint="eastAsia" w:ascii="宋体" w:hAnsi="宋体" w:cs="宋体"/>
                <w:color w:val="auto"/>
                <w:szCs w:val="21"/>
                <w:highlight w:val="none"/>
              </w:rPr>
              <w:t>以来在承担过同类项目业绩或案例证明。供应商每提供一个同类项目，得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分，最高3分（提供合同，时间以合同签订时间为准，不提供不得分）</w:t>
            </w:r>
          </w:p>
        </w:tc>
        <w:tc>
          <w:tcPr>
            <w:tcW w:w="971" w:type="dxa"/>
            <w:tcBorders>
              <w:left w:val="single" w:color="auto" w:sz="4" w:space="0"/>
              <w:right w:val="single" w:color="auto" w:sz="4" w:space="0"/>
            </w:tcBorders>
            <w:vAlign w:val="center"/>
          </w:tcPr>
          <w:p w14:paraId="2E30DC27">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0-3</w:t>
            </w:r>
          </w:p>
        </w:tc>
      </w:tr>
      <w:tr w14:paraId="6C1C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vAlign w:val="center"/>
          </w:tcPr>
          <w:p w14:paraId="2FFD965B">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投标文件制作</w:t>
            </w:r>
          </w:p>
        </w:tc>
        <w:tc>
          <w:tcPr>
            <w:tcW w:w="6234" w:type="dxa"/>
            <w:tcBorders>
              <w:top w:val="single" w:color="auto" w:sz="4" w:space="0"/>
              <w:left w:val="single" w:color="auto" w:sz="4" w:space="0"/>
              <w:bottom w:val="single" w:color="auto" w:sz="4" w:space="0"/>
              <w:right w:val="single" w:color="auto" w:sz="4" w:space="0"/>
            </w:tcBorders>
            <w:vAlign w:val="center"/>
          </w:tcPr>
          <w:p w14:paraId="03650B76">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编制完整，格式规范、装订整齐、符合招标文件要求的，得2分；投标文件有关内容前后矛盾、与招标文件要求不一致等，评标委员会允许且需要通过询标等程序进行澄清的，该项不得分；投标文件存在其他错漏的，每项（次）扣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分，扣完该项得分为止。</w:t>
            </w:r>
          </w:p>
        </w:tc>
        <w:tc>
          <w:tcPr>
            <w:tcW w:w="971" w:type="dxa"/>
            <w:tcBorders>
              <w:left w:val="single" w:color="auto" w:sz="4" w:space="0"/>
              <w:right w:val="single" w:color="auto" w:sz="4" w:space="0"/>
            </w:tcBorders>
            <w:vAlign w:val="center"/>
          </w:tcPr>
          <w:p w14:paraId="6C9D76C2">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0-2</w:t>
            </w:r>
          </w:p>
        </w:tc>
      </w:tr>
      <w:tr w14:paraId="3342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857" w:type="dxa"/>
            <w:gridSpan w:val="2"/>
            <w:tcBorders>
              <w:left w:val="single" w:color="auto" w:sz="4" w:space="0"/>
              <w:right w:val="single" w:color="auto" w:sz="4" w:space="0"/>
            </w:tcBorders>
            <w:vAlign w:val="center"/>
          </w:tcPr>
          <w:p w14:paraId="47E0D3E8">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报价部分</w:t>
            </w:r>
          </w:p>
        </w:tc>
        <w:tc>
          <w:tcPr>
            <w:tcW w:w="971" w:type="dxa"/>
            <w:tcBorders>
              <w:left w:val="single" w:color="auto" w:sz="4" w:space="0"/>
              <w:right w:val="single" w:color="auto" w:sz="4" w:space="0"/>
            </w:tcBorders>
            <w:vAlign w:val="center"/>
          </w:tcPr>
          <w:p w14:paraId="344D802D">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30分</w:t>
            </w:r>
          </w:p>
        </w:tc>
      </w:tr>
      <w:tr w14:paraId="750B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bottom w:val="single" w:color="auto" w:sz="4" w:space="0"/>
              <w:right w:val="single" w:color="auto" w:sz="4" w:space="0"/>
            </w:tcBorders>
            <w:vAlign w:val="center"/>
          </w:tcPr>
          <w:p w14:paraId="0C7FD50B">
            <w:pPr>
              <w:autoSpaceDE w:val="0"/>
              <w:autoSpaceDN w:val="0"/>
              <w:spacing w:line="340" w:lineRule="exact"/>
              <w:jc w:val="center"/>
              <w:rPr>
                <w:rFonts w:ascii="宋体" w:hAnsi="宋体" w:cs="宋体"/>
                <w:b/>
                <w:color w:val="auto"/>
                <w:szCs w:val="21"/>
                <w:highlight w:val="none"/>
              </w:rPr>
            </w:pPr>
            <w:r>
              <w:rPr>
                <w:rFonts w:hint="eastAsia" w:ascii="宋体" w:hAnsi="宋体" w:cs="宋体"/>
                <w:color w:val="auto"/>
                <w:szCs w:val="21"/>
                <w:highlight w:val="none"/>
              </w:rPr>
              <w:t>投标报价</w:t>
            </w:r>
          </w:p>
        </w:tc>
        <w:tc>
          <w:tcPr>
            <w:tcW w:w="6234" w:type="dxa"/>
            <w:tcBorders>
              <w:left w:val="single" w:color="auto" w:sz="4" w:space="0"/>
              <w:bottom w:val="single" w:color="auto" w:sz="4" w:space="0"/>
              <w:right w:val="single" w:color="auto" w:sz="4" w:space="0"/>
            </w:tcBorders>
            <w:vAlign w:val="center"/>
          </w:tcPr>
          <w:p w14:paraId="5D3BA415">
            <w:pPr>
              <w:spacing w:line="360" w:lineRule="exact"/>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有效投标报价的最低价作为评标基准价，其最低报价为满分；按［投标报价得分=（评标基准价/投标报价）×30］的计算公式计算。</w:t>
            </w:r>
          </w:p>
          <w:p w14:paraId="326B573C">
            <w:pPr>
              <w:spacing w:line="360" w:lineRule="exact"/>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0A497062">
            <w:pPr>
              <w:autoSpaceDE w:val="0"/>
              <w:autoSpaceDN w:val="0"/>
              <w:spacing w:line="340" w:lineRule="exact"/>
              <w:rPr>
                <w:rFonts w:ascii="宋体" w:hAnsi="宋体" w:cs="宋体"/>
                <w:b/>
                <w:color w:val="auto"/>
                <w:szCs w:val="21"/>
                <w:highlight w:val="none"/>
              </w:rPr>
            </w:pPr>
            <w:r>
              <w:rPr>
                <w:rFonts w:hint="eastAsia" w:ascii="宋体" w:hAnsi="宋体" w:cs="宋体"/>
                <w:color w:val="auto"/>
                <w:szCs w:val="21"/>
                <w:highlight w:val="none"/>
              </w:rPr>
              <w:t>因落实政府采购政策需要进行价格调整的，以调整后的价格计算评标基准价和投标报价。</w:t>
            </w:r>
          </w:p>
        </w:tc>
        <w:tc>
          <w:tcPr>
            <w:tcW w:w="971" w:type="dxa"/>
            <w:tcBorders>
              <w:left w:val="single" w:color="auto" w:sz="4" w:space="0"/>
              <w:right w:val="single" w:color="auto" w:sz="4" w:space="0"/>
            </w:tcBorders>
            <w:vAlign w:val="center"/>
          </w:tcPr>
          <w:p w14:paraId="62E5C8BA">
            <w:pPr>
              <w:autoSpaceDE w:val="0"/>
              <w:autoSpaceDN w:val="0"/>
              <w:spacing w:line="340" w:lineRule="exact"/>
              <w:jc w:val="center"/>
              <w:rPr>
                <w:rFonts w:ascii="宋体" w:hAnsi="宋体" w:cs="宋体"/>
                <w:color w:val="auto"/>
                <w:szCs w:val="21"/>
                <w:highlight w:val="none"/>
              </w:rPr>
            </w:pPr>
          </w:p>
        </w:tc>
      </w:tr>
    </w:tbl>
    <w:p w14:paraId="0E83FF2D">
      <w:pPr>
        <w:adjustRightInd w:val="0"/>
        <w:snapToGrid w:val="0"/>
        <w:spacing w:line="360" w:lineRule="auto"/>
        <w:rPr>
          <w:rFonts w:ascii="宋体" w:hAnsi="宋体"/>
          <w:bCs/>
          <w:color w:val="auto"/>
          <w:spacing w:val="-4"/>
          <w:szCs w:val="21"/>
          <w:highlight w:val="none"/>
        </w:rPr>
      </w:pPr>
      <w:r>
        <w:rPr>
          <w:rFonts w:hint="eastAsia" w:ascii="宋体" w:hAnsi="宋体"/>
          <w:bCs/>
          <w:color w:val="auto"/>
          <w:spacing w:val="-4"/>
          <w:szCs w:val="21"/>
          <w:highlight w:val="none"/>
        </w:rPr>
        <w:t>注：建议在制作投标书时，在目录后附一个评分索引表，方便查找。</w:t>
      </w:r>
    </w:p>
    <w:p w14:paraId="32C6154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一、评标方法</w:t>
      </w:r>
    </w:p>
    <w:p w14:paraId="2330AC32">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1.本项目采用综合评分法。</w:t>
      </w:r>
      <w:r>
        <w:rPr>
          <w:rFonts w:hint="eastAsia" w:ascii="宋体" w:hAnsi="宋体" w:cs="宋体"/>
          <w:color w:val="auto"/>
          <w:szCs w:val="21"/>
          <w:highlight w:val="none"/>
        </w:rPr>
        <w:t>综合评分法，是指投标文件满足招标文件全部实质性要求，且按照评审因素的量化指标评审得分最高的投标人为中标候选人的评标方法。</w:t>
      </w:r>
    </w:p>
    <w:p w14:paraId="177C5405">
      <w:pPr>
        <w:spacing w:line="360" w:lineRule="auto"/>
        <w:rPr>
          <w:rFonts w:ascii="宋体" w:hAnsi="宋体" w:cs="宋体"/>
          <w:color w:val="auto"/>
          <w:szCs w:val="21"/>
          <w:highlight w:val="none"/>
        </w:rPr>
      </w:pPr>
      <w:r>
        <w:rPr>
          <w:rFonts w:hint="eastAsia" w:ascii="宋体" w:hAnsi="宋体" w:cs="宋体"/>
          <w:b/>
          <w:color w:val="auto"/>
          <w:szCs w:val="21"/>
          <w:highlight w:val="none"/>
        </w:rPr>
        <w:t>二、评标标准</w:t>
      </w:r>
    </w:p>
    <w:p w14:paraId="1F21B168">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szCs w:val="21"/>
          <w:highlight w:val="none"/>
        </w:rPr>
        <w:t>见评标办法前附表。</w:t>
      </w:r>
    </w:p>
    <w:p w14:paraId="3ED91943">
      <w:pPr>
        <w:spacing w:line="360" w:lineRule="auto"/>
        <w:outlineLvl w:val="0"/>
        <w:rPr>
          <w:rFonts w:ascii="宋体" w:hAnsi="宋体" w:cs="宋体"/>
          <w:b/>
          <w:color w:val="auto"/>
          <w:szCs w:val="21"/>
          <w:highlight w:val="none"/>
        </w:rPr>
      </w:pPr>
      <w:bookmarkStart w:id="71" w:name="_Toc5850"/>
      <w:r>
        <w:rPr>
          <w:rFonts w:hint="eastAsia" w:ascii="宋体" w:hAnsi="宋体" w:cs="宋体"/>
          <w:b/>
          <w:color w:val="auto"/>
          <w:szCs w:val="21"/>
          <w:highlight w:val="none"/>
        </w:rPr>
        <w:t>三、评标程序</w:t>
      </w:r>
      <w:bookmarkEnd w:id="71"/>
    </w:p>
    <w:p w14:paraId="5768C181">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3.1符合性审查。</w:t>
      </w:r>
      <w:r>
        <w:rPr>
          <w:rFonts w:hint="eastAsia" w:ascii="宋体" w:hAnsi="宋体" w:cs="宋体"/>
          <w:color w:val="auto"/>
          <w:szCs w:val="21"/>
          <w:highlight w:val="none"/>
        </w:rPr>
        <w:t>评标委员会应当对符合资格的投标人的投标文件进行符合性审查，以确定其是否满足招标文件的实质性要求。不满足招标文件的实质性要求的，投标无效。</w:t>
      </w:r>
    </w:p>
    <w:p w14:paraId="4BA47047">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3.2 比较与评价。</w:t>
      </w:r>
      <w:r>
        <w:rPr>
          <w:rFonts w:hint="eastAsia" w:ascii="宋体" w:hAnsi="宋体" w:cs="宋体"/>
          <w:color w:val="auto"/>
          <w:szCs w:val="21"/>
          <w:highlight w:val="none"/>
        </w:rPr>
        <w:t>评标委员会应当按照招标文件中规定的评标方法和标准，对符合性审查合格的投标文件进行商务和技术评估，综合比较与评价。</w:t>
      </w:r>
    </w:p>
    <w:p w14:paraId="30EDBE55">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3.3汇总商务技术得分。</w:t>
      </w:r>
      <w:r>
        <w:rPr>
          <w:rFonts w:hint="eastAsia" w:ascii="宋体" w:hAnsi="宋体" w:cs="宋体"/>
          <w:color w:val="auto"/>
          <w:szCs w:val="21"/>
          <w:highlight w:val="none"/>
        </w:rPr>
        <w:t>评标委员会各成员应当独立对每个投标人的商务和技术文件进行评价，并汇总商务技术得分情况。</w:t>
      </w:r>
    </w:p>
    <w:p w14:paraId="66901B1D">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3.4报价评审。</w:t>
      </w:r>
    </w:p>
    <w:p w14:paraId="2E80352C">
      <w:pPr>
        <w:pStyle w:val="370"/>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6D6A1B8D">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18FF6BD4">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6BE5F7D8">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357B3049">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26FD6F12">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751A321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3.4.2投标文件出现不是唯一的、有选择性投标报价的，投标无效。</w:t>
      </w:r>
    </w:p>
    <w:p w14:paraId="7038FE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3.4.3投标报价超过招标文件中规定的预算金额或者最高限价的，投标无效。</w:t>
      </w:r>
    </w:p>
    <w:p w14:paraId="4FF18C18">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8DB3CB">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6BA3A8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3.5排序与推荐。</w:t>
      </w:r>
      <w:r>
        <w:rPr>
          <w:rFonts w:hint="eastAsia" w:ascii="宋体" w:hAnsi="宋体" w:cs="宋体"/>
          <w:color w:val="auto"/>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A8267F">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744A4A">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3.6编写评标报告。</w:t>
      </w:r>
      <w:r>
        <w:rPr>
          <w:rFonts w:hint="eastAsia" w:ascii="宋体" w:hAnsi="宋体" w:cs="宋体"/>
          <w:color w:val="auto"/>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94569C">
      <w:pPr>
        <w:shd w:val="clear" w:color="auto" w:fill="FFFFFF"/>
        <w:spacing w:after="225" w:line="315" w:lineRule="atLeast"/>
        <w:rPr>
          <w:rFonts w:ascii="宋体" w:hAnsi="宋体" w:cs="宋体"/>
          <w:b/>
          <w:color w:val="auto"/>
          <w:szCs w:val="21"/>
          <w:highlight w:val="none"/>
        </w:rPr>
      </w:pPr>
      <w:r>
        <w:rPr>
          <w:rFonts w:hint="eastAsia" w:ascii="宋体" w:hAnsi="宋体" w:cs="宋体"/>
          <w:b/>
          <w:color w:val="auto"/>
          <w:szCs w:val="21"/>
          <w:highlight w:val="none"/>
        </w:rPr>
        <w:t>四、评标中的其他事项</w:t>
      </w:r>
    </w:p>
    <w:p w14:paraId="5313C056">
      <w:pPr>
        <w:pStyle w:val="370"/>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6D5AC2">
      <w:pPr>
        <w:pStyle w:val="22"/>
        <w:spacing w:line="360" w:lineRule="auto"/>
        <w:ind w:left="954" w:leftChars="226" w:hanging="479"/>
        <w:rPr>
          <w:rFonts w:ascii="宋体" w:hAnsi="宋体" w:cs="宋体"/>
          <w:color w:val="auto"/>
          <w:szCs w:val="21"/>
          <w:highlight w:val="none"/>
        </w:rPr>
      </w:pPr>
      <w:r>
        <w:rPr>
          <w:rFonts w:hint="eastAsia" w:ascii="宋体" w:hAnsi="宋体" w:cs="宋体"/>
          <w:b/>
          <w:color w:val="auto"/>
          <w:szCs w:val="21"/>
          <w:highlight w:val="none"/>
        </w:rPr>
        <w:t>4.2投标无效。</w:t>
      </w:r>
      <w:r>
        <w:rPr>
          <w:rFonts w:hint="eastAsia" w:ascii="宋体" w:hAnsi="宋体" w:cs="宋体"/>
          <w:color w:val="auto"/>
          <w:szCs w:val="21"/>
          <w:highlight w:val="none"/>
        </w:rPr>
        <w:t>有下列情况之一的，投标无效：</w:t>
      </w:r>
    </w:p>
    <w:p w14:paraId="765F6C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4.2.1投标人不具备招标文件中规定的资格要求的（投标人未提供有效的资格文件的，视为投标人不具备招标文件中规定的资格要求）；</w:t>
      </w:r>
    </w:p>
    <w:p w14:paraId="1C6157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4.2.2投标文件未按照招标文件要求签署、盖章的；</w:t>
      </w:r>
    </w:p>
    <w:p w14:paraId="6C8137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4.2.3采购人拟采购的产品属于政府强制采购的节能产品品目清单范围的，投标人未按招标文件要求提供国家确定的认证机构出具的、处于有效期之内的节能产品认证证书的；</w:t>
      </w:r>
    </w:p>
    <w:p w14:paraId="68D9A3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4.2.4投标文件含有采购人不能接受的附加条件的；</w:t>
      </w:r>
    </w:p>
    <w:p w14:paraId="351ACA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4.2.5投标文件中承诺的投标有效期少于招标文件中载明的投标有效期的；</w:t>
      </w:r>
    </w:p>
    <w:p w14:paraId="03B82D12">
      <w:pPr>
        <w:snapToGrid w:val="0"/>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4.2.6投标文件出现不是唯一的、有选择性投标报价的;</w:t>
      </w:r>
    </w:p>
    <w:p w14:paraId="7EE81C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4.2.7投标报价超过招标文件中规定的预算金额或者最高限价的;</w:t>
      </w:r>
    </w:p>
    <w:p w14:paraId="5EDA7F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4.2.8报价明显低于其他通过符合性审查投标人的报价，有可能影响产品质量或者不能诚信履约的，未能按要求提供书面说明或者提交相关证明材料，不能证明其报价合理性的;</w:t>
      </w:r>
    </w:p>
    <w:p w14:paraId="4289C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4.2.9投标人对根据修正原则修正后的报价不确认的；</w:t>
      </w:r>
    </w:p>
    <w:p w14:paraId="26CFAD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4.2.10投标人提供虚假材料投标的；</w:t>
      </w:r>
    </w:p>
    <w:p w14:paraId="1A06824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4.2.11投标人有恶意串通、妨碍其他投标人的竞争行为、损害采购人或者其他投标人的合法权益情形的；</w:t>
      </w:r>
    </w:p>
    <w:p w14:paraId="49EF69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4.2.12投标人仅提交备份投标文件，没有在电子交易平台传输递交投标文件的，投标无效；</w:t>
      </w:r>
    </w:p>
    <w:p w14:paraId="34542264">
      <w:pPr>
        <w:pStyle w:val="3"/>
        <w:tabs>
          <w:tab w:val="left" w:pos="432"/>
        </w:tabs>
        <w:ind w:left="430" w:leftChars="205"/>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4.2.13 投标文件不满足招标文件的其它实质性要求的；</w:t>
      </w:r>
    </w:p>
    <w:p w14:paraId="7833D6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4.2.14法律、法规、规章（适用本市的）及省级以上规范性文件（适用本市的）规定的其他无效情形。</w:t>
      </w:r>
    </w:p>
    <w:p w14:paraId="20AF865D">
      <w:pPr>
        <w:pStyle w:val="22"/>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5.废标。</w:t>
      </w:r>
      <w:r>
        <w:rPr>
          <w:rFonts w:hint="eastAsia" w:ascii="宋体" w:hAnsi="宋体" w:cs="宋体"/>
          <w:color w:val="auto"/>
          <w:szCs w:val="21"/>
          <w:highlight w:val="none"/>
        </w:rPr>
        <w:t>根据《中华人民共和国政府采购法》第三十六条之规定，在采购中，出现下列情形之一的，应予废标：</w:t>
      </w:r>
    </w:p>
    <w:p w14:paraId="5D5D808E">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5.1符合专业条件的供应商或者对招标文件作实质响应的供应商不足3家的；</w:t>
      </w:r>
    </w:p>
    <w:p w14:paraId="16FD7392">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5.2出现影响采购公正的违法、违规行为的；</w:t>
      </w:r>
    </w:p>
    <w:p w14:paraId="41CDDCF5">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5.3投标人的报价均超过了采购预算，采购人不能支付的；</w:t>
      </w:r>
    </w:p>
    <w:p w14:paraId="7EAA3609">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5.4因重大变故，采购任务取消的。</w:t>
      </w:r>
    </w:p>
    <w:p w14:paraId="0AB2425A">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废标后，采购机构应当将废标理由通知所有投标人。</w:t>
      </w:r>
    </w:p>
    <w:p w14:paraId="30FA1CAE">
      <w:pPr>
        <w:pStyle w:val="22"/>
        <w:snapToGrid w:val="0"/>
        <w:spacing w:line="360" w:lineRule="auto"/>
        <w:ind w:firstLine="517" w:firstLineChars="245"/>
        <w:rPr>
          <w:rFonts w:ascii="宋体" w:hAnsi="宋体" w:cs="宋体"/>
          <w:color w:val="auto"/>
          <w:szCs w:val="21"/>
          <w:highlight w:val="none"/>
        </w:rPr>
      </w:pPr>
      <w:r>
        <w:rPr>
          <w:rFonts w:hint="eastAsia" w:ascii="宋体" w:hAnsi="宋体" w:cs="宋体"/>
          <w:b/>
          <w:color w:val="auto"/>
          <w:szCs w:val="21"/>
          <w:highlight w:val="none"/>
        </w:rPr>
        <w:t>6.修改招标文件，重新组织采购活动。</w:t>
      </w:r>
      <w:r>
        <w:rPr>
          <w:rFonts w:hint="eastAsia" w:ascii="宋体" w:hAnsi="宋体" w:cs="宋体"/>
          <w:color w:val="auto"/>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7F2B734">
      <w:pPr>
        <w:pStyle w:val="22"/>
        <w:snapToGrid w:val="0"/>
        <w:spacing w:line="360" w:lineRule="auto"/>
        <w:ind w:firstLine="517" w:firstLineChars="245"/>
        <w:rPr>
          <w:rFonts w:ascii="宋体" w:hAnsi="宋体" w:cs="宋体"/>
          <w:color w:val="auto"/>
          <w:szCs w:val="21"/>
          <w:highlight w:val="none"/>
        </w:rPr>
      </w:pPr>
      <w:r>
        <w:rPr>
          <w:rFonts w:hint="eastAsia" w:ascii="宋体" w:hAnsi="宋体" w:cs="宋体"/>
          <w:b/>
          <w:color w:val="auto"/>
          <w:szCs w:val="21"/>
          <w:highlight w:val="none"/>
        </w:rPr>
        <w:t>7.重新开展采购。</w:t>
      </w:r>
      <w:r>
        <w:rPr>
          <w:rFonts w:hint="eastAsia" w:ascii="宋体" w:hAnsi="宋体" w:cs="宋体"/>
          <w:color w:val="auto"/>
          <w:szCs w:val="21"/>
          <w:highlight w:val="none"/>
        </w:rPr>
        <w:t>有政府采购法第七十一条、第七十二条规定的违法行为之一，影响或者可能影响中标、成交结果的，依照下列规定处理：</w:t>
      </w:r>
    </w:p>
    <w:p w14:paraId="21AB1AD0">
      <w:pPr>
        <w:pStyle w:val="22"/>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7.1未确定中标或者中标人的，终止本次政府采购活动，重新开展政府采购活动。</w:t>
      </w:r>
    </w:p>
    <w:p w14:paraId="04CEAE3B">
      <w:pPr>
        <w:pStyle w:val="22"/>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B49C579">
      <w:pPr>
        <w:pStyle w:val="22"/>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7.3政府采购合同已签订但尚未履行的，撤销合同，从合格的中标或者成交候选人中另行确定中标或者中标人；没有合格的中标或者成交候选人的，重新开展政府采购活动。</w:t>
      </w:r>
    </w:p>
    <w:p w14:paraId="1CF8CA0A">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7.4政府采购合同已经履行，给采购人、供应商造成损失的，由责任人承担赔偿责任。</w:t>
      </w:r>
    </w:p>
    <w:p w14:paraId="7E7B9829">
      <w:pPr>
        <w:pStyle w:val="3"/>
        <w:rPr>
          <w:rFonts w:ascii="宋体" w:hAnsi="宋体" w:cs="宋体"/>
          <w:color w:val="auto"/>
          <w:highlight w:val="none"/>
        </w:rPr>
      </w:pPr>
      <w:r>
        <w:rPr>
          <w:rFonts w:hint="eastAsia" w:ascii="宋体" w:hAnsi="宋体" w:cs="宋体"/>
          <w:color w:val="auto"/>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bookmarkEnd w:id="2"/>
    <w:bookmarkEnd w:id="3"/>
    <w:bookmarkEnd w:id="4"/>
    <w:p w14:paraId="6A33CDB9">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72" w:name="_Toc528441162"/>
    </w:p>
    <w:p w14:paraId="17B23424">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1075DFD2">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4357424F">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21B7D10D">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48C36081">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12DB9EA2">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348900C2">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30F003FE">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2BB71E3F">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77B9BC95">
      <w:pP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14:paraId="668B6621">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73" w:name="_Toc32553"/>
      <w:r>
        <w:rPr>
          <w:rFonts w:hint="eastAsia" w:asciiTheme="minorEastAsia" w:hAnsiTheme="minorEastAsia" w:eastAsiaTheme="minorEastAsia"/>
          <w:b/>
          <w:color w:val="auto"/>
          <w:sz w:val="28"/>
          <w:szCs w:val="28"/>
          <w:highlight w:val="none"/>
        </w:rPr>
        <w:t>第五章  嘉兴市政府采购合同（指引）</w:t>
      </w:r>
      <w:bookmarkEnd w:id="73"/>
    </w:p>
    <w:p w14:paraId="7C9DC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招标编号：</w:t>
      </w:r>
      <w:r>
        <w:rPr>
          <w:rFonts w:hint="eastAsia" w:cs="Arial" w:asciiTheme="minorEastAsia" w:hAnsiTheme="minorEastAsia" w:eastAsiaTheme="minorEastAsia"/>
          <w:color w:val="auto"/>
          <w:szCs w:val="21"/>
          <w:highlight w:val="none"/>
          <w:lang w:eastAsia="zh-CN"/>
        </w:rPr>
        <w:t>银建-JXYJ（2025）28号</w:t>
      </w:r>
      <w:r>
        <w:rPr>
          <w:rFonts w:hint="eastAsia" w:cs="Arial" w:asciiTheme="minorEastAsia" w:hAnsiTheme="minorEastAsia" w:eastAsiaTheme="minorEastAsia"/>
          <w:color w:val="auto"/>
          <w:szCs w:val="21"/>
          <w:highlight w:val="none"/>
        </w:rPr>
        <w:t xml:space="preserve"> </w:t>
      </w:r>
    </w:p>
    <w:p w14:paraId="681CC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color w:val="auto"/>
          <w:szCs w:val="21"/>
          <w:highlight w:val="none"/>
        </w:rPr>
        <w:t>合同编号：</w:t>
      </w:r>
      <w:r>
        <w:rPr>
          <w:rFonts w:hint="eastAsia" w:cs="Arial" w:asciiTheme="minorEastAsia" w:hAnsiTheme="minorEastAsia" w:eastAsiaTheme="minorEastAsia"/>
          <w:color w:val="auto"/>
          <w:szCs w:val="21"/>
          <w:highlight w:val="none"/>
          <w:lang w:eastAsia="zh-CN"/>
        </w:rPr>
        <w:t>银建-JXYJ（2025）28号</w:t>
      </w:r>
    </w:p>
    <w:p w14:paraId="23FC4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政府采购计划（预算）确认书号：</w:t>
      </w:r>
      <w:r>
        <w:rPr>
          <w:color w:val="auto"/>
          <w:highlight w:val="none"/>
        </w:rPr>
        <w:fldChar w:fldCharType="begin"/>
      </w:r>
      <w:r>
        <w:rPr>
          <w:color w:val="auto"/>
          <w:highlight w:val="none"/>
        </w:rPr>
        <w:instrText xml:space="preserve"> HYPERLINK "https://pay.zcygov.cn/purchaseplan_front/" \l "/plan/list/detail?id=1000000000002359552&amp;encrypt=3effe6746659071f29377a8fb69ef46c" \t "_blank" \o "JM-00034587" </w:instrText>
      </w:r>
      <w:r>
        <w:rPr>
          <w:color w:val="auto"/>
          <w:highlight w:val="none"/>
        </w:rPr>
        <w:fldChar w:fldCharType="separate"/>
      </w:r>
      <w:r>
        <w:rPr>
          <w:color w:val="auto"/>
          <w:highlight w:val="none"/>
        </w:rPr>
        <w:fldChar w:fldCharType="end"/>
      </w:r>
      <w:r>
        <w:rPr>
          <w:color w:val="auto"/>
          <w:highlight w:val="none"/>
        </w:rPr>
        <w:fldChar w:fldCharType="begin"/>
      </w:r>
      <w:r>
        <w:rPr>
          <w:color w:val="auto"/>
          <w:highlight w:val="none"/>
        </w:rPr>
        <w:instrText xml:space="preserve"> HYPERLINK "https://pay.zcygov.cn/purchaseplan_front/" \l "/plan/list/detail?id=1000000000002254157&amp;encrypt=bc26d93a1eb531475bc98682ad889359" \t "_blank" </w:instrText>
      </w:r>
      <w:r>
        <w:rPr>
          <w:color w:val="auto"/>
          <w:highlight w:val="none"/>
        </w:rPr>
        <w:fldChar w:fldCharType="separate"/>
      </w:r>
      <w:r>
        <w:rPr>
          <w:color w:val="auto"/>
          <w:highlight w:val="none"/>
        </w:rPr>
        <w:fldChar w:fldCharType="end"/>
      </w:r>
      <w:r>
        <w:rPr>
          <w:rFonts w:cs="Arial" w:asciiTheme="minorEastAsia" w:hAnsiTheme="minorEastAsia" w:eastAsiaTheme="minorEastAsia"/>
          <w:color w:val="auto"/>
          <w:szCs w:val="21"/>
          <w:highlight w:val="none"/>
        </w:rPr>
        <w:t xml:space="preserve"> </w:t>
      </w:r>
      <w:r>
        <w:rPr>
          <w:rFonts w:asciiTheme="minorEastAsia" w:hAnsiTheme="minorEastAsia" w:eastAsiaTheme="minorEastAsia"/>
          <w:b/>
          <w:color w:val="auto"/>
          <w:szCs w:val="21"/>
          <w:highlight w:val="none"/>
          <w:u w:val="single"/>
        </w:rPr>
        <w:t xml:space="preserve"> </w:t>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szCs w:val="21"/>
          <w:highlight w:val="none"/>
          <w:u w:val="single"/>
          <w:lang w:eastAsia="zh-CN"/>
        </w:rPr>
        <w:t>临[2025]1064号</w:t>
      </w:r>
      <w:r>
        <w:rPr>
          <w:rFonts w:hint="eastAsia" w:asciiTheme="minorEastAsia" w:hAnsiTheme="minorEastAsia" w:eastAsiaTheme="minorEastAsia"/>
          <w:b/>
          <w:color w:val="auto"/>
          <w:szCs w:val="21"/>
          <w:highlight w:val="none"/>
          <w:u w:val="single"/>
        </w:rPr>
        <w:fldChar w:fldCharType="end"/>
      </w:r>
    </w:p>
    <w:p w14:paraId="7502B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采购人（以下称甲方）：嘉兴市秀洲区人民政府新城街道办事处</w:t>
      </w:r>
    </w:p>
    <w:p w14:paraId="315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供应商（以下称乙方）：</w:t>
      </w:r>
    </w:p>
    <w:p w14:paraId="62E9C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代理机构：嘉兴市银建工程咨询评估有限公司</w:t>
      </w:r>
    </w:p>
    <w:p w14:paraId="4247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采购方式：竞争性磋商</w:t>
      </w:r>
    </w:p>
    <w:p w14:paraId="6EF7B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根据《中华人民共和国政府采购法》、《中华人民共和国民法典》等法律法规的规定，甲乙双方按照</w:t>
      </w:r>
      <w:r>
        <w:rPr>
          <w:rFonts w:hint="eastAsia" w:cs="Arial" w:asciiTheme="minorEastAsia" w:hAnsiTheme="minorEastAsia" w:eastAsiaTheme="minorEastAsia"/>
          <w:color w:val="auto"/>
          <w:szCs w:val="21"/>
          <w:highlight w:val="none"/>
          <w:u w:val="single"/>
          <w:lang w:eastAsia="zh-CN"/>
        </w:rPr>
        <w:t>新城派出所院内翻新改造</w:t>
      </w:r>
      <w:r>
        <w:rPr>
          <w:rFonts w:hint="eastAsia" w:cs="Arial" w:asciiTheme="minorEastAsia" w:hAnsiTheme="minorEastAsia" w:eastAsiaTheme="minorEastAsia"/>
          <w:color w:val="auto"/>
          <w:szCs w:val="21"/>
          <w:highlight w:val="none"/>
        </w:rPr>
        <w:t>采购结果签订本合同。</w:t>
      </w:r>
    </w:p>
    <w:p w14:paraId="1CEE2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cs="Arial" w:asciiTheme="minorEastAsia" w:hAnsiTheme="minorEastAsia" w:eastAsiaTheme="minorEastAsia"/>
          <w:color w:val="auto"/>
          <w:szCs w:val="21"/>
          <w:highlight w:val="none"/>
        </w:rPr>
      </w:pPr>
    </w:p>
    <w:p w14:paraId="426F8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第一条 合同组成</w:t>
      </w:r>
    </w:p>
    <w:p w14:paraId="08980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本次政府采购活动的相关文件为本合同的组成部分，这些文件包括但不限于：</w:t>
      </w:r>
    </w:p>
    <w:p w14:paraId="77479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（1）本合同文本；</w:t>
      </w:r>
    </w:p>
    <w:p w14:paraId="4FB3E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（2）招标文件与采购投标文件；</w:t>
      </w:r>
    </w:p>
    <w:p w14:paraId="55A7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（3）中标或成交通知书；</w:t>
      </w:r>
    </w:p>
    <w:p w14:paraId="759F7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组成本合同的所有文件必须为书面形式。政府采购合同备案时，须提供以上（1）、（3）两项，如由社会中介机构代理，须提供代理协议，合同如有变更的，须提供变更协议。</w:t>
      </w:r>
    </w:p>
    <w:p w14:paraId="4A729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p>
    <w:p w14:paraId="6AD3D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第二条 合同标的</w:t>
      </w:r>
    </w:p>
    <w:p w14:paraId="0E3DC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本次采购的是</w:t>
      </w:r>
    </w:p>
    <w:tbl>
      <w:tblPr>
        <w:tblStyle w:val="54"/>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
        <w:gridCol w:w="3813"/>
        <w:gridCol w:w="1153"/>
        <w:gridCol w:w="769"/>
        <w:gridCol w:w="1729"/>
        <w:gridCol w:w="1729"/>
      </w:tblGrid>
      <w:tr w14:paraId="1CB6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64" w:type="dxa"/>
            <w:gridSpan w:val="2"/>
            <w:tcBorders>
              <w:top w:val="single" w:color="auto" w:sz="4" w:space="0"/>
              <w:left w:val="single" w:color="auto" w:sz="4" w:space="0"/>
              <w:bottom w:val="single" w:color="auto" w:sz="4" w:space="0"/>
              <w:right w:val="single" w:color="auto" w:sz="4" w:space="0"/>
            </w:tcBorders>
            <w:vAlign w:val="center"/>
          </w:tcPr>
          <w:p w14:paraId="529C7015">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3813" w:type="dxa"/>
            <w:tcBorders>
              <w:top w:val="single" w:color="auto" w:sz="4" w:space="0"/>
              <w:left w:val="single" w:color="auto" w:sz="4" w:space="0"/>
              <w:bottom w:val="single" w:color="auto" w:sz="4" w:space="0"/>
              <w:right w:val="single" w:color="auto" w:sz="4" w:space="0"/>
            </w:tcBorders>
            <w:vAlign w:val="center"/>
          </w:tcPr>
          <w:p w14:paraId="6B7248F0">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项目名称</w:t>
            </w:r>
          </w:p>
        </w:tc>
        <w:tc>
          <w:tcPr>
            <w:tcW w:w="1153" w:type="dxa"/>
            <w:tcBorders>
              <w:top w:val="single" w:color="auto" w:sz="4" w:space="0"/>
              <w:left w:val="single" w:color="auto" w:sz="4" w:space="0"/>
              <w:bottom w:val="single" w:color="auto" w:sz="4" w:space="0"/>
              <w:right w:val="single" w:color="auto" w:sz="4" w:space="0"/>
            </w:tcBorders>
            <w:vAlign w:val="center"/>
          </w:tcPr>
          <w:p w14:paraId="37FC6ED4">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769" w:type="dxa"/>
            <w:tcBorders>
              <w:top w:val="single" w:color="auto" w:sz="4" w:space="0"/>
              <w:left w:val="single" w:color="auto" w:sz="4" w:space="0"/>
              <w:bottom w:val="single" w:color="auto" w:sz="4" w:space="0"/>
              <w:right w:val="single" w:color="auto" w:sz="4" w:space="0"/>
            </w:tcBorders>
            <w:vAlign w:val="center"/>
          </w:tcPr>
          <w:p w14:paraId="5C173A04">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1729" w:type="dxa"/>
            <w:tcBorders>
              <w:top w:val="single" w:color="auto" w:sz="4" w:space="0"/>
              <w:left w:val="single" w:color="auto" w:sz="4" w:space="0"/>
              <w:bottom w:val="single" w:color="auto" w:sz="4" w:space="0"/>
              <w:right w:val="single" w:color="auto" w:sz="4" w:space="0"/>
            </w:tcBorders>
            <w:vAlign w:val="center"/>
          </w:tcPr>
          <w:p w14:paraId="5BB4D7C2">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预算金额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c>
          <w:tcPr>
            <w:tcW w:w="1729" w:type="dxa"/>
            <w:tcBorders>
              <w:top w:val="single" w:color="auto" w:sz="4" w:space="0"/>
              <w:left w:val="single" w:color="auto" w:sz="4" w:space="0"/>
              <w:bottom w:val="single" w:color="auto" w:sz="4" w:space="0"/>
              <w:right w:val="single" w:color="auto" w:sz="4" w:space="0"/>
            </w:tcBorders>
            <w:vAlign w:val="center"/>
          </w:tcPr>
          <w:p w14:paraId="7093DCE2">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r>
      <w:tr w14:paraId="42AF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7" w:type="dxa"/>
            <w:tcBorders>
              <w:top w:val="single" w:color="auto" w:sz="4" w:space="0"/>
              <w:left w:val="single" w:color="auto" w:sz="4" w:space="0"/>
              <w:bottom w:val="single" w:color="auto" w:sz="4" w:space="0"/>
              <w:right w:val="single" w:color="auto" w:sz="4" w:space="0"/>
            </w:tcBorders>
          </w:tcPr>
          <w:p w14:paraId="333978EF">
            <w:pPr>
              <w:spacing w:before="156" w:after="156" w:line="360" w:lineRule="auto"/>
              <w:rPr>
                <w:rFonts w:asciiTheme="minorEastAsia" w:hAnsiTheme="minorEastAsia" w:eastAsiaTheme="minorEastAsia"/>
                <w:color w:val="auto"/>
                <w:szCs w:val="21"/>
                <w:highlight w:val="none"/>
              </w:rPr>
            </w:pPr>
          </w:p>
        </w:tc>
        <w:tc>
          <w:tcPr>
            <w:tcW w:w="3820" w:type="dxa"/>
            <w:gridSpan w:val="2"/>
            <w:tcBorders>
              <w:top w:val="single" w:color="auto" w:sz="4" w:space="0"/>
              <w:left w:val="single" w:color="auto" w:sz="4" w:space="0"/>
              <w:bottom w:val="single" w:color="auto" w:sz="4" w:space="0"/>
              <w:right w:val="single" w:color="auto" w:sz="4" w:space="0"/>
            </w:tcBorders>
          </w:tcPr>
          <w:p w14:paraId="584D141B">
            <w:pPr>
              <w:spacing w:before="156" w:after="156" w:line="360" w:lineRule="auto"/>
              <w:rPr>
                <w:rFonts w:asciiTheme="minorEastAsia" w:hAnsiTheme="minorEastAsia" w:eastAsiaTheme="minorEastAsia"/>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tcPr>
          <w:p w14:paraId="4ECB2DE2">
            <w:pPr>
              <w:spacing w:before="156" w:after="156" w:line="360" w:lineRule="auto"/>
              <w:rPr>
                <w:rFonts w:asciiTheme="minorEastAsia" w:hAnsiTheme="minorEastAsia" w:eastAsiaTheme="minorEastAsia"/>
                <w:color w:val="auto"/>
                <w:szCs w:val="21"/>
                <w:highlight w:val="none"/>
              </w:rPr>
            </w:pPr>
          </w:p>
        </w:tc>
        <w:tc>
          <w:tcPr>
            <w:tcW w:w="769" w:type="dxa"/>
            <w:tcBorders>
              <w:top w:val="single" w:color="auto" w:sz="4" w:space="0"/>
              <w:left w:val="single" w:color="auto" w:sz="4" w:space="0"/>
              <w:bottom w:val="single" w:color="auto" w:sz="4" w:space="0"/>
              <w:right w:val="single" w:color="auto" w:sz="4" w:space="0"/>
            </w:tcBorders>
          </w:tcPr>
          <w:p w14:paraId="40136211">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3265C9C0">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6077BA27">
            <w:pPr>
              <w:spacing w:before="156" w:after="156" w:line="360" w:lineRule="auto"/>
              <w:rPr>
                <w:rFonts w:asciiTheme="minorEastAsia" w:hAnsiTheme="minorEastAsia" w:eastAsiaTheme="minorEastAsia"/>
                <w:color w:val="auto"/>
                <w:szCs w:val="21"/>
                <w:highlight w:val="none"/>
              </w:rPr>
            </w:pPr>
          </w:p>
        </w:tc>
      </w:tr>
      <w:tr w14:paraId="7849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tcBorders>
              <w:top w:val="single" w:color="auto" w:sz="4" w:space="0"/>
              <w:left w:val="single" w:color="auto" w:sz="4" w:space="0"/>
              <w:bottom w:val="single" w:color="auto" w:sz="4" w:space="0"/>
              <w:right w:val="single" w:color="auto" w:sz="4" w:space="0"/>
            </w:tcBorders>
          </w:tcPr>
          <w:p w14:paraId="45A973D0">
            <w:pPr>
              <w:spacing w:before="156" w:after="156" w:line="360" w:lineRule="auto"/>
              <w:jc w:val="center"/>
              <w:rPr>
                <w:rFonts w:asciiTheme="minorEastAsia" w:hAnsiTheme="minorEastAsia" w:eastAsiaTheme="minorEastAsia"/>
                <w:b/>
                <w:color w:val="auto"/>
                <w:szCs w:val="21"/>
                <w:highlight w:val="none"/>
              </w:rPr>
            </w:pPr>
          </w:p>
        </w:tc>
        <w:tc>
          <w:tcPr>
            <w:tcW w:w="4973" w:type="dxa"/>
            <w:gridSpan w:val="3"/>
            <w:tcBorders>
              <w:top w:val="single" w:color="auto" w:sz="4" w:space="0"/>
              <w:left w:val="single" w:color="auto" w:sz="4" w:space="0"/>
              <w:bottom w:val="single" w:color="auto" w:sz="4" w:space="0"/>
              <w:right w:val="single" w:color="auto" w:sz="4" w:space="0"/>
            </w:tcBorders>
          </w:tcPr>
          <w:p w14:paraId="663D97B0">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合计</w:t>
            </w:r>
          </w:p>
        </w:tc>
        <w:tc>
          <w:tcPr>
            <w:tcW w:w="769" w:type="dxa"/>
            <w:tcBorders>
              <w:top w:val="single" w:color="auto" w:sz="4" w:space="0"/>
              <w:left w:val="single" w:color="auto" w:sz="4" w:space="0"/>
              <w:bottom w:val="single" w:color="auto" w:sz="4" w:space="0"/>
              <w:right w:val="single" w:color="auto" w:sz="4" w:space="0"/>
            </w:tcBorders>
          </w:tcPr>
          <w:p w14:paraId="488FC997">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0B7A7C28">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208AFFEE">
            <w:pPr>
              <w:spacing w:before="156" w:after="156" w:line="360" w:lineRule="auto"/>
              <w:rPr>
                <w:rFonts w:asciiTheme="minorEastAsia" w:hAnsiTheme="minorEastAsia" w:eastAsiaTheme="minorEastAsia"/>
                <w:color w:val="auto"/>
                <w:szCs w:val="21"/>
                <w:highlight w:val="none"/>
              </w:rPr>
            </w:pPr>
          </w:p>
        </w:tc>
      </w:tr>
    </w:tbl>
    <w:p w14:paraId="0147D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p>
    <w:p w14:paraId="67797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第三条 合同价款及付款方式</w:t>
      </w:r>
    </w:p>
    <w:p w14:paraId="24DD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1、本合同项下总价款为（大写）人民币，分项价款在“投标报价表”中明确。</w:t>
      </w:r>
    </w:p>
    <w:p w14:paraId="0453F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2、本合同总价款包括货物设计、材料、制造、包装、运输、安装、调试、检测、售后服务、税费等全部费用。</w:t>
      </w:r>
    </w:p>
    <w:p w14:paraId="1E907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3、本合同付款方式为以下第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w:t>
      </w:r>
    </w:p>
    <w:p w14:paraId="3079C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（1）本合同项下的采购资金系甲方自行支付，付款程序为；</w:t>
      </w:r>
    </w:p>
    <w:p w14:paraId="09C1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（2）本合同项下的采购资金须财政直接支付，付款程序为</w:t>
      </w:r>
      <w:r>
        <w:rPr>
          <w:rFonts w:hint="eastAsia" w:ascii="宋体" w:hAnsi="宋体" w:cs="宋体"/>
          <w:b/>
          <w:color w:val="auto"/>
          <w:szCs w:val="21"/>
          <w:highlight w:val="none"/>
          <w:u w:val="single"/>
        </w:rPr>
        <w:t xml:space="preserve">  ；</w:t>
      </w:r>
    </w:p>
    <w:p w14:paraId="4F8C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（3）其他方式：</w:t>
      </w:r>
    </w:p>
    <w:p w14:paraId="0183B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若收取了履约保证金，则不应重复设置尾款支付条件。</w:t>
      </w:r>
    </w:p>
    <w:p w14:paraId="73CBD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p>
    <w:p w14:paraId="78B0F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第四条 履约保证金</w:t>
      </w:r>
    </w:p>
    <w:p w14:paraId="40080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color w:val="auto"/>
          <w:szCs w:val="21"/>
          <w:highlight w:val="none"/>
        </w:rPr>
        <w:t>按以下第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项处理：</w:t>
      </w:r>
    </w:p>
    <w:p w14:paraId="4648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1、本项目设置履约保证金，乙方应于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（时间）向甲方提交履约保证金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元。履约保证金在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（时间）退还乙方。</w:t>
      </w:r>
    </w:p>
    <w:p w14:paraId="21573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2、本项目不设置履约保证金。</w:t>
      </w:r>
    </w:p>
    <w:p w14:paraId="48EE8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第五条 合同的变更和终止</w:t>
      </w:r>
    </w:p>
    <w:p w14:paraId="7E3B4F0F">
      <w:pPr>
        <w:spacing w:line="360" w:lineRule="auto"/>
        <w:rPr>
          <w:rFonts w:ascii="宋体" w:hAnsi="宋体" w:cs="宋体"/>
          <w:color w:val="auto"/>
          <w:szCs w:val="21"/>
          <w:highlight w:val="none"/>
        </w:rPr>
      </w:pPr>
      <w:r>
        <w:rPr>
          <w:rFonts w:hint="eastAsia" w:ascii="宋体" w:hAnsi="宋体" w:cs="宋体"/>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15C72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第六条 合同的转让与分包</w:t>
      </w:r>
    </w:p>
    <w:p w14:paraId="3480B7B0">
      <w:pPr>
        <w:spacing w:line="360" w:lineRule="auto"/>
        <w:rPr>
          <w:rFonts w:ascii="宋体" w:hAnsi="宋体" w:cs="宋体"/>
          <w:color w:val="auto"/>
          <w:szCs w:val="21"/>
          <w:highlight w:val="none"/>
        </w:rPr>
      </w:pPr>
      <w:r>
        <w:rPr>
          <w:rFonts w:hint="eastAsia" w:ascii="宋体" w:hAnsi="宋体" w:cs="宋体"/>
          <w:color w:val="auto"/>
          <w:szCs w:val="21"/>
          <w:highlight w:val="none"/>
        </w:rPr>
        <w:t>乙方不得擅自部分或全部转让其应履行的合同义务。乙方分包的，应经过甲方书面同意。</w:t>
      </w:r>
    </w:p>
    <w:p w14:paraId="29835792">
      <w:pPr>
        <w:spacing w:line="360" w:lineRule="auto"/>
        <w:rPr>
          <w:rFonts w:ascii="宋体" w:hAnsi="宋体" w:cs="宋体"/>
          <w:b/>
          <w:color w:val="auto"/>
          <w:szCs w:val="21"/>
          <w:highlight w:val="none"/>
        </w:rPr>
      </w:pPr>
      <w:r>
        <w:rPr>
          <w:rFonts w:hint="eastAsia" w:ascii="宋体" w:hAnsi="宋体" w:cs="宋体"/>
          <w:b/>
          <w:color w:val="auto"/>
          <w:szCs w:val="21"/>
          <w:highlight w:val="none"/>
        </w:rPr>
        <w:t>第七条 争议的解决</w:t>
      </w:r>
    </w:p>
    <w:p w14:paraId="4118E1E3">
      <w:pPr>
        <w:spacing w:line="360" w:lineRule="auto"/>
        <w:rPr>
          <w:rFonts w:ascii="宋体" w:hAnsi="宋体" w:cs="宋体"/>
          <w:color w:val="auto"/>
          <w:szCs w:val="21"/>
          <w:highlight w:val="none"/>
        </w:rPr>
      </w:pPr>
      <w:r>
        <w:rPr>
          <w:rFonts w:hint="eastAsia" w:ascii="宋体" w:hAnsi="宋体" w:cs="宋体"/>
          <w:color w:val="auto"/>
          <w:szCs w:val="21"/>
          <w:highlight w:val="none"/>
        </w:rPr>
        <w:t>1、因履行本合同引起的或与本合同有关的争议，甲、乙双方应首先通过友好协商解决，如果协商不能解决争议，则采取以下第种方式解决争议：</w:t>
      </w:r>
    </w:p>
    <w:p w14:paraId="28A67A09">
      <w:pPr>
        <w:spacing w:line="360" w:lineRule="auto"/>
        <w:rPr>
          <w:rFonts w:ascii="宋体" w:hAnsi="宋体" w:cs="宋体"/>
          <w:color w:val="auto"/>
          <w:szCs w:val="21"/>
          <w:highlight w:val="none"/>
        </w:rPr>
      </w:pPr>
      <w:r>
        <w:rPr>
          <w:rFonts w:hint="eastAsia" w:ascii="宋体" w:hAnsi="宋体" w:cs="宋体"/>
          <w:color w:val="auto"/>
          <w:szCs w:val="21"/>
          <w:highlight w:val="none"/>
        </w:rPr>
        <w:t>（1）向甲方所在地有管辖权的人民法院提起诉讼；</w:t>
      </w:r>
    </w:p>
    <w:p w14:paraId="3B803C55">
      <w:pPr>
        <w:spacing w:line="360" w:lineRule="auto"/>
        <w:rPr>
          <w:rFonts w:ascii="宋体" w:hAnsi="宋体" w:cs="宋体"/>
          <w:color w:val="auto"/>
          <w:szCs w:val="21"/>
          <w:highlight w:val="none"/>
        </w:rPr>
      </w:pPr>
      <w:r>
        <w:rPr>
          <w:rFonts w:hint="eastAsia" w:ascii="宋体" w:hAnsi="宋体" w:cs="宋体"/>
          <w:color w:val="auto"/>
          <w:szCs w:val="21"/>
          <w:highlight w:val="none"/>
        </w:rPr>
        <w:t>（2）向仲裁委员申请仲裁。</w:t>
      </w:r>
    </w:p>
    <w:p w14:paraId="32E647F0">
      <w:pPr>
        <w:spacing w:line="360" w:lineRule="auto"/>
        <w:rPr>
          <w:rFonts w:ascii="宋体" w:hAnsi="宋体" w:cs="宋体"/>
          <w:color w:val="auto"/>
          <w:szCs w:val="21"/>
          <w:highlight w:val="none"/>
        </w:rPr>
      </w:pPr>
      <w:r>
        <w:rPr>
          <w:rFonts w:hint="eastAsia" w:ascii="宋体" w:hAnsi="宋体" w:cs="宋体"/>
          <w:color w:val="auto"/>
          <w:szCs w:val="21"/>
          <w:highlight w:val="none"/>
        </w:rPr>
        <w:t>第八条 合同备案及其他</w:t>
      </w:r>
    </w:p>
    <w:p w14:paraId="4EEF7BD6">
      <w:pPr>
        <w:spacing w:line="360" w:lineRule="auto"/>
        <w:rPr>
          <w:rFonts w:ascii="宋体" w:hAnsi="宋体" w:cs="宋体"/>
          <w:color w:val="auto"/>
          <w:szCs w:val="21"/>
          <w:highlight w:val="none"/>
        </w:rPr>
      </w:pPr>
      <w:r>
        <w:rPr>
          <w:rFonts w:hint="eastAsia" w:ascii="宋体" w:hAnsi="宋体" w:cs="宋体"/>
          <w:color w:val="auto"/>
          <w:szCs w:val="21"/>
          <w:highlight w:val="none"/>
        </w:rPr>
        <w:t>本合同一式五份，甲乙双方各执二份， 一份送招标代理机构存档。</w:t>
      </w:r>
    </w:p>
    <w:p w14:paraId="02498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p>
    <w:p w14:paraId="00EF619C">
      <w:pPr>
        <w:pStyle w:val="2"/>
        <w:keepNext w:val="0"/>
        <w:keepLines w:val="0"/>
        <w:pageBreakBefore w:val="0"/>
        <w:overflowPunct/>
        <w:topLinePunct w:val="0"/>
        <w:bidi w:val="0"/>
        <w:adjustRightInd/>
        <w:spacing w:line="240" w:lineRule="auto"/>
        <w:ind w:left="0"/>
        <w:jc w:val="center"/>
        <w:rPr>
          <w:rFonts w:hint="eastAsia" w:ascii="宋体" w:hAnsi="宋体" w:eastAsia="宋体" w:cs="宋体"/>
          <w:color w:val="auto"/>
          <w:sz w:val="36"/>
          <w:szCs w:val="36"/>
          <w:highlight w:val="none"/>
        </w:rPr>
      </w:pPr>
      <w:r>
        <w:rPr>
          <w:rFonts w:hint="eastAsia" w:asciiTheme="minorEastAsia" w:hAnsiTheme="minorEastAsia" w:eastAsiaTheme="minorEastAsia"/>
          <w:b/>
          <w:color w:val="auto"/>
          <w:kern w:val="2"/>
          <w:sz w:val="32"/>
          <w:szCs w:val="32"/>
          <w:highlight w:val="none"/>
        </w:rPr>
        <w:br w:type="page"/>
      </w:r>
      <w:r>
        <w:rPr>
          <w:rFonts w:hint="eastAsia" w:ascii="宋体" w:hAnsi="宋体" w:eastAsia="宋体" w:cs="宋体"/>
          <w:color w:val="auto"/>
          <w:sz w:val="36"/>
          <w:szCs w:val="36"/>
          <w:highlight w:val="none"/>
        </w:rPr>
        <w:t>合同条款及格式</w:t>
      </w:r>
    </w:p>
    <w:p w14:paraId="6DB0EA7F">
      <w:pPr>
        <w:pStyle w:val="29"/>
        <w:spacing w:line="360" w:lineRule="auto"/>
        <w:ind w:firstLine="420" w:firstLineChars="200"/>
        <w:rPr>
          <w:rFonts w:hint="eastAsia" w:ascii="宋体" w:hAnsi="宋体" w:eastAsia="宋体" w:cs="宋体"/>
          <w:color w:val="auto"/>
          <w:sz w:val="21"/>
          <w:szCs w:val="21"/>
          <w:highlight w:val="none"/>
        </w:rPr>
      </w:pPr>
      <w:bookmarkStart w:id="74" w:name="bookmark180"/>
      <w:bookmarkEnd w:id="74"/>
      <w:r>
        <w:rPr>
          <w:rFonts w:hint="eastAsia" w:ascii="宋体" w:hAnsi="宋体" w:eastAsia="宋体" w:cs="宋体"/>
          <w:color w:val="auto"/>
          <w:sz w:val="21"/>
          <w:szCs w:val="21"/>
          <w:highlight w:val="none"/>
        </w:rPr>
        <w:t>合同条件采用建设工程施工合同示范文本(GF—2017—0201)的《合同条件》。</w:t>
      </w:r>
    </w:p>
    <w:p w14:paraId="522AB87F">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合同协议条款将由招标人(甲方)与中标人(乙方)结合本工程具体情况协商后签订。以下为招标人提出涉及投标人的主要条款，投标人在投标文件中进行承诺。</w:t>
      </w:r>
    </w:p>
    <w:p w14:paraId="213D6FAA">
      <w:pPr>
        <w:pStyle w:val="29"/>
        <w:spacing w:line="360" w:lineRule="auto"/>
        <w:ind w:firstLine="420" w:firstLineChars="200"/>
        <w:rPr>
          <w:rFonts w:hint="eastAsia" w:ascii="宋体" w:hAnsi="宋体" w:eastAsia="宋体" w:cs="宋体"/>
          <w:color w:val="auto"/>
          <w:sz w:val="21"/>
          <w:szCs w:val="21"/>
          <w:highlight w:val="none"/>
        </w:rPr>
      </w:pPr>
    </w:p>
    <w:p w14:paraId="075005D0">
      <w:pPr>
        <w:spacing w:before="120" w:beforeLines="50" w:after="120" w:afterLines="50"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《建设工程施工合同》</w:t>
      </w:r>
    </w:p>
    <w:p w14:paraId="64C1B0FB">
      <w:pPr>
        <w:spacing w:before="120" w:beforeLines="50" w:after="120" w:afterLines="50" w:line="360" w:lineRule="auto"/>
        <w:ind w:firstLine="422" w:firstLineChars="200"/>
        <w:jc w:val="center"/>
        <w:outlineLvl w:val="1"/>
        <w:rPr>
          <w:rFonts w:hint="eastAsia" w:ascii="宋体" w:hAnsi="宋体" w:eastAsia="宋体" w:cs="宋体"/>
          <w:b/>
          <w:color w:val="auto"/>
          <w:sz w:val="21"/>
          <w:szCs w:val="21"/>
          <w:highlight w:val="none"/>
        </w:rPr>
      </w:pPr>
      <w:bookmarkStart w:id="75" w:name="_Toc96951634"/>
      <w:bookmarkStart w:id="76" w:name="_Toc96951754"/>
      <w:bookmarkStart w:id="77" w:name="_Toc123820508"/>
      <w:r>
        <w:rPr>
          <w:rFonts w:hint="eastAsia" w:ascii="宋体" w:hAnsi="宋体" w:eastAsia="宋体" w:cs="宋体"/>
          <w:b/>
          <w:color w:val="auto"/>
          <w:sz w:val="21"/>
          <w:szCs w:val="21"/>
          <w:highlight w:val="none"/>
        </w:rPr>
        <w:t>第一部分  合同协议书</w:t>
      </w:r>
      <w:bookmarkEnd w:id="75"/>
      <w:bookmarkEnd w:id="76"/>
      <w:bookmarkEnd w:id="77"/>
    </w:p>
    <w:p w14:paraId="3A6165C0">
      <w:pPr>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lang w:eastAsia="zh-CN"/>
        </w:rPr>
        <w:t>嘉兴市秀洲区人民政府新城街道办事处</w:t>
      </w:r>
    </w:p>
    <w:p w14:paraId="7ECDEAE4">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xml:space="preserve">                        </w:t>
      </w:r>
    </w:p>
    <w:p w14:paraId="1C4F36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w:t>
      </w:r>
      <w:r>
        <w:rPr>
          <w:rFonts w:hint="eastAsia" w:ascii="宋体" w:hAnsi="宋体" w:eastAsia="宋体" w:cs="宋体"/>
          <w:color w:val="auto"/>
          <w:sz w:val="21"/>
          <w:szCs w:val="21"/>
          <w:highlight w:val="none"/>
          <w:lang w:val="en-US" w:eastAsia="zh-CN"/>
        </w:rPr>
        <w:t>法典</w:t>
      </w:r>
      <w:r>
        <w:rPr>
          <w:rFonts w:hint="eastAsia" w:ascii="宋体" w:hAnsi="宋体" w:eastAsia="宋体" w:cs="宋体"/>
          <w:color w:val="auto"/>
          <w:sz w:val="21"/>
          <w:szCs w:val="21"/>
          <w:highlight w:val="none"/>
        </w:rPr>
        <w:t>》、《中华人民共和国建筑法》及有关法律规定，遵循平等、自愿、公平和诚实信用的原则，双方就</w:t>
      </w:r>
      <w:r>
        <w:rPr>
          <w:rFonts w:hint="eastAsia" w:ascii="宋体" w:hAnsi="宋体" w:cs="宋体"/>
          <w:color w:val="auto"/>
          <w:sz w:val="21"/>
          <w:szCs w:val="21"/>
          <w:highlight w:val="none"/>
          <w:u w:val="single"/>
          <w:lang w:eastAsia="zh-CN"/>
        </w:rPr>
        <w:t>新城派出所院内翻新改造</w:t>
      </w:r>
      <w:r>
        <w:rPr>
          <w:rFonts w:hint="eastAsia" w:ascii="宋体" w:hAnsi="宋体" w:eastAsia="宋体" w:cs="宋体"/>
          <w:color w:val="auto"/>
          <w:sz w:val="21"/>
          <w:szCs w:val="21"/>
          <w:highlight w:val="none"/>
        </w:rPr>
        <w:t>施工及有关事项协商一致，共同达成如下协议：</w:t>
      </w:r>
    </w:p>
    <w:p w14:paraId="166C9EB9">
      <w:pPr>
        <w:spacing w:before="60" w:beforeLines="25" w:after="60" w:afterLines="25" w:line="360" w:lineRule="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一、工程概况</w:t>
      </w:r>
    </w:p>
    <w:p w14:paraId="6458F09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eastAsia="zh-CN"/>
        </w:rPr>
        <w:t>新城派出所院内翻新改造</w:t>
      </w:r>
      <w:r>
        <w:rPr>
          <w:rFonts w:hint="eastAsia" w:ascii="宋体" w:hAnsi="宋体" w:eastAsia="宋体" w:cs="宋体"/>
          <w:color w:val="auto"/>
          <w:sz w:val="21"/>
          <w:szCs w:val="21"/>
          <w:highlight w:val="none"/>
          <w:u w:val="single"/>
        </w:rPr>
        <w:t xml:space="preserve"> </w:t>
      </w:r>
    </w:p>
    <w:p w14:paraId="5D56EA5A">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2.工程地点：</w:t>
      </w:r>
      <w:r>
        <w:rPr>
          <w:rFonts w:hint="eastAsia" w:ascii="宋体" w:hAnsi="宋体" w:eastAsia="宋体" w:cs="宋体"/>
          <w:iCs/>
          <w:color w:val="auto"/>
          <w:spacing w:val="4"/>
          <w:sz w:val="21"/>
          <w:szCs w:val="21"/>
          <w:highlight w:val="none"/>
          <w:u w:val="single"/>
          <w:lang w:val="en-US" w:eastAsia="zh-CN"/>
        </w:rPr>
        <w:t xml:space="preserve">         </w:t>
      </w:r>
    </w:p>
    <w:p w14:paraId="44EA91B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 </w:t>
      </w:r>
    </w:p>
    <w:p w14:paraId="1744CA2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.工程内容：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u w:val="single"/>
        </w:rPr>
        <w:t xml:space="preserve"> </w:t>
      </w:r>
    </w:p>
    <w:p w14:paraId="6B244BF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14:paraId="5B64D4F8">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.工程承包范围：</w:t>
      </w:r>
      <w:r>
        <w:rPr>
          <w:rFonts w:hint="eastAsia" w:ascii="宋体" w:hAnsi="宋体" w:eastAsia="宋体" w:cs="宋体"/>
          <w:color w:val="auto"/>
          <w:sz w:val="21"/>
          <w:szCs w:val="21"/>
          <w:highlight w:val="none"/>
          <w:u w:val="single"/>
          <w:lang w:bidi="ar"/>
        </w:rPr>
        <w:t xml:space="preserve">                            </w:t>
      </w:r>
    </w:p>
    <w:p w14:paraId="7C1453D5">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二、合同工期</w:t>
      </w:r>
    </w:p>
    <w:p w14:paraId="352BC7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91780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F4A07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0914EFB">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三、质量标准</w:t>
      </w:r>
    </w:p>
    <w:p w14:paraId="006583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b/>
          <w:color w:val="auto"/>
          <w:sz w:val="21"/>
          <w:szCs w:val="21"/>
          <w:highlight w:val="none"/>
          <w:u w:val="single"/>
        </w:rPr>
        <w:t xml:space="preserve"> 合格  </w:t>
      </w:r>
      <w:r>
        <w:rPr>
          <w:rFonts w:hint="eastAsia" w:ascii="宋体" w:hAnsi="宋体" w:eastAsia="宋体" w:cs="宋体"/>
          <w:color w:val="auto"/>
          <w:sz w:val="21"/>
          <w:szCs w:val="21"/>
          <w:highlight w:val="none"/>
        </w:rPr>
        <w:t>标准。</w:t>
      </w:r>
    </w:p>
    <w:p w14:paraId="6ACD180C">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四、签约合同价与合同价格形式</w:t>
      </w:r>
      <w:r>
        <w:rPr>
          <w:rFonts w:hint="eastAsia" w:ascii="宋体" w:hAnsi="宋体" w:eastAsia="宋体" w:cs="宋体"/>
          <w:b/>
          <w:color w:val="auto"/>
          <w:sz w:val="21"/>
          <w:szCs w:val="21"/>
          <w:highlight w:val="none"/>
        </w:rPr>
        <w:tab/>
      </w:r>
    </w:p>
    <w:p w14:paraId="6794AC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013BAF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C2CC7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604D65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7F3F24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6CB8A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70EEA8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9F378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6BD127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229673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7CE4B1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398DB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1D87B1C4">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五、项目经理</w:t>
      </w:r>
    </w:p>
    <w:p w14:paraId="6B0762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098810F4">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六、合同文件构成</w:t>
      </w:r>
    </w:p>
    <w:p w14:paraId="68195F8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43CD12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w:t>
      </w:r>
    </w:p>
    <w:p w14:paraId="41B1CF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 </w:t>
      </w:r>
    </w:p>
    <w:p w14:paraId="480635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3016F2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2ACD4A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222049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17B600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3D8D73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722AD3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5DD97D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6CB66007">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七、承诺</w:t>
      </w:r>
    </w:p>
    <w:p w14:paraId="3341C41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4DA80F36">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765E0EF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70F55FC9">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八、词语含义</w:t>
      </w:r>
    </w:p>
    <w:p w14:paraId="3FC4F27A">
      <w:pPr>
        <w:spacing w:before="60" w:beforeLines="25" w:after="60" w:afterLines="25"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734100C3">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九、签订时间</w:t>
      </w:r>
    </w:p>
    <w:p w14:paraId="0078FB79">
      <w:pPr>
        <w:spacing w:before="60" w:beforeLines="25" w:after="60" w:afterLines="25"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3C340FEC">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十、签订地点</w:t>
      </w:r>
    </w:p>
    <w:p w14:paraId="69A303C3">
      <w:pPr>
        <w:spacing w:before="60" w:beforeLines="25" w:after="60" w:afterLines="25"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浙江嘉兴 </w:t>
      </w:r>
      <w:r>
        <w:rPr>
          <w:rFonts w:hint="eastAsia" w:ascii="宋体" w:hAnsi="宋体" w:eastAsia="宋体" w:cs="宋体"/>
          <w:bCs/>
          <w:color w:val="auto"/>
          <w:sz w:val="21"/>
          <w:szCs w:val="21"/>
          <w:highlight w:val="none"/>
        </w:rPr>
        <w:t>签订。</w:t>
      </w:r>
    </w:p>
    <w:p w14:paraId="622ECB77">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十一、补充协议</w:t>
      </w:r>
    </w:p>
    <w:p w14:paraId="5873FD4A">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1D0BEC5C">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十二、合同生效</w:t>
      </w:r>
    </w:p>
    <w:p w14:paraId="27B64E9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合同当事人加盖公章，并由法定代表人或法定代表人的授权代表签字后 </w:t>
      </w:r>
      <w:r>
        <w:rPr>
          <w:rFonts w:hint="eastAsia" w:ascii="宋体" w:hAnsi="宋体" w:eastAsia="宋体" w:cs="宋体"/>
          <w:bCs/>
          <w:color w:val="auto"/>
          <w:sz w:val="21"/>
          <w:szCs w:val="21"/>
          <w:highlight w:val="none"/>
        </w:rPr>
        <w:t>生效。</w:t>
      </w:r>
    </w:p>
    <w:p w14:paraId="0FA338E6">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十三、合同份数</w:t>
      </w:r>
    </w:p>
    <w:p w14:paraId="785AF281">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6</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3</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3</w:t>
      </w:r>
      <w:r>
        <w:rPr>
          <w:rFonts w:hint="eastAsia" w:ascii="宋体" w:hAnsi="宋体" w:eastAsia="宋体" w:cs="宋体"/>
          <w:bCs/>
          <w:color w:val="auto"/>
          <w:sz w:val="21"/>
          <w:szCs w:val="21"/>
          <w:highlight w:val="none"/>
        </w:rPr>
        <w:t>份。</w:t>
      </w:r>
    </w:p>
    <w:p w14:paraId="2EFD41F1">
      <w:pPr>
        <w:spacing w:line="360" w:lineRule="auto"/>
        <w:ind w:firstLine="420" w:firstLineChars="200"/>
        <w:rPr>
          <w:rFonts w:hint="eastAsia" w:ascii="宋体" w:hAnsi="宋体" w:eastAsia="宋体" w:cs="宋体"/>
          <w:bCs/>
          <w:color w:val="auto"/>
          <w:sz w:val="21"/>
          <w:szCs w:val="21"/>
          <w:highlight w:val="none"/>
        </w:rPr>
      </w:pPr>
    </w:p>
    <w:p w14:paraId="66DBA67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发包人：  （公章）                         承包人：  （公章）                             </w:t>
      </w:r>
    </w:p>
    <w:p w14:paraId="4D775CC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法定代表人或其委托代理人：                 法定代表人或其委托代理人：</w:t>
      </w:r>
    </w:p>
    <w:p w14:paraId="6D9D03C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（签字）                                  （签字）</w:t>
      </w:r>
    </w:p>
    <w:p w14:paraId="59ECFA36">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组织机构代码：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组织机构代码：</w:t>
      </w:r>
      <w:r>
        <w:rPr>
          <w:rFonts w:hint="eastAsia" w:ascii="宋体" w:hAnsi="宋体" w:eastAsia="宋体" w:cs="宋体"/>
          <w:bCs/>
          <w:color w:val="auto"/>
          <w:sz w:val="21"/>
          <w:szCs w:val="21"/>
          <w:highlight w:val="none"/>
          <w:u w:val="single"/>
        </w:rPr>
        <w:t xml:space="preserve">           </w:t>
      </w:r>
    </w:p>
    <w:p w14:paraId="5B9E8B79">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  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地  址：</w:t>
      </w:r>
      <w:r>
        <w:rPr>
          <w:rFonts w:hint="eastAsia" w:ascii="宋体" w:hAnsi="宋体" w:eastAsia="宋体" w:cs="宋体"/>
          <w:bCs/>
          <w:color w:val="auto"/>
          <w:sz w:val="21"/>
          <w:szCs w:val="21"/>
          <w:highlight w:val="none"/>
          <w:u w:val="single"/>
        </w:rPr>
        <w:t xml:space="preserve">                </w:t>
      </w:r>
    </w:p>
    <w:p w14:paraId="58918ECA">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邮政编码：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邮政编码：</w:t>
      </w:r>
      <w:r>
        <w:rPr>
          <w:rFonts w:hint="eastAsia" w:ascii="宋体" w:hAnsi="宋体" w:eastAsia="宋体" w:cs="宋体"/>
          <w:bCs/>
          <w:color w:val="auto"/>
          <w:sz w:val="21"/>
          <w:szCs w:val="21"/>
          <w:highlight w:val="none"/>
          <w:u w:val="single"/>
        </w:rPr>
        <w:t xml:space="preserve">              </w:t>
      </w:r>
    </w:p>
    <w:p w14:paraId="1C71855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73BE03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委托代理人：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委托代理人：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242C97A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  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电  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AE5B56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  真：</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          传  真：</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 xml:space="preserve">  </w:t>
      </w:r>
    </w:p>
    <w:p w14:paraId="1D0995E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电子信箱：</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电子信箱：</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27BB05D8">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开户银行：</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开户银行：</w:t>
      </w:r>
      <w:r>
        <w:rPr>
          <w:rFonts w:hint="eastAsia" w:ascii="宋体" w:hAnsi="宋体" w:eastAsia="宋体" w:cs="宋体"/>
          <w:bCs/>
          <w:color w:val="auto"/>
          <w:sz w:val="21"/>
          <w:szCs w:val="21"/>
          <w:highlight w:val="none"/>
          <w:u w:val="single"/>
        </w:rPr>
        <w:t xml:space="preserve">              </w:t>
      </w:r>
    </w:p>
    <w:p w14:paraId="734616C1">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账  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账  号：</w:t>
      </w:r>
      <w:r>
        <w:rPr>
          <w:rFonts w:hint="eastAsia" w:ascii="宋体" w:hAnsi="宋体" w:eastAsia="宋体" w:cs="宋体"/>
          <w:bCs/>
          <w:color w:val="auto"/>
          <w:sz w:val="21"/>
          <w:szCs w:val="21"/>
          <w:highlight w:val="none"/>
          <w:u w:val="single"/>
        </w:rPr>
        <w:t xml:space="preserve">                </w:t>
      </w:r>
    </w:p>
    <w:p w14:paraId="672A619A">
      <w:pPr>
        <w:spacing w:line="360" w:lineRule="auto"/>
        <w:ind w:left="420" w:leftChars="200"/>
        <w:rPr>
          <w:rFonts w:hint="eastAsia" w:ascii="宋体" w:hAnsi="宋体" w:eastAsia="宋体" w:cs="宋体"/>
          <w:color w:val="auto"/>
          <w:sz w:val="21"/>
          <w:szCs w:val="21"/>
          <w:highlight w:val="none"/>
        </w:rPr>
      </w:pPr>
    </w:p>
    <w:p w14:paraId="20FC424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1515D79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通用条款</w:t>
      </w:r>
    </w:p>
    <w:p w14:paraId="167118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略，按住房城乡建设部、国家工商行政管理总局颁发的《建设工程施工合同》示范文本（GF—2017—0201）的合同条款</w:t>
      </w:r>
    </w:p>
    <w:p w14:paraId="2EDE78DF">
      <w:pPr>
        <w:spacing w:before="120" w:beforeLines="50" w:after="120" w:after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第三部分  专用条款</w:t>
      </w:r>
    </w:p>
    <w:p w14:paraId="628E5DFA">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一般约定</w:t>
      </w:r>
    </w:p>
    <w:p w14:paraId="1847A2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4FB850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5298EA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1.1.1.10其他合同文件包括：</w:t>
      </w:r>
      <w:r>
        <w:rPr>
          <w:rFonts w:hint="eastAsia" w:ascii="宋体" w:hAnsi="宋体" w:eastAsia="宋体" w:cs="宋体"/>
          <w:color w:val="auto"/>
          <w:sz w:val="21"/>
          <w:szCs w:val="21"/>
          <w:highlight w:val="none"/>
          <w:u w:val="single"/>
        </w:rPr>
        <w:t>招标文件、补充文件以及双方有关工程的洽商、变更等书面协议或文件视为本合同的组成部分</w:t>
      </w:r>
      <w:r>
        <w:rPr>
          <w:rFonts w:hint="eastAsia" w:ascii="宋体" w:hAnsi="宋体" w:eastAsia="宋体" w:cs="宋体"/>
          <w:color w:val="auto"/>
          <w:sz w:val="21"/>
          <w:szCs w:val="21"/>
          <w:highlight w:val="none"/>
        </w:rPr>
        <w:t>。</w:t>
      </w:r>
    </w:p>
    <w:p w14:paraId="0289E3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2D586C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3EB7DA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按监理合同           </w:t>
      </w:r>
      <w:r>
        <w:rPr>
          <w:rFonts w:hint="eastAsia" w:ascii="宋体" w:hAnsi="宋体" w:eastAsia="宋体" w:cs="宋体"/>
          <w:color w:val="auto"/>
          <w:sz w:val="21"/>
          <w:szCs w:val="21"/>
          <w:highlight w:val="none"/>
        </w:rPr>
        <w:t>；</w:t>
      </w:r>
    </w:p>
    <w:p w14:paraId="2BB7E0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76D89F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3CE60D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6C1E3B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79D05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753EC9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C73D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59003C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B0F17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5F4B23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4304CC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3372FCE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23A5B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1"/>
          <w:highlight w:val="none"/>
          <w:u w:val="single"/>
        </w:rPr>
        <w:t xml:space="preserve">        用地红线范围内      </w:t>
      </w:r>
      <w:r>
        <w:rPr>
          <w:rFonts w:hint="eastAsia" w:ascii="宋体" w:hAnsi="宋体" w:eastAsia="宋体" w:cs="宋体"/>
          <w:color w:val="auto"/>
          <w:sz w:val="21"/>
          <w:szCs w:val="21"/>
          <w:highlight w:val="none"/>
        </w:rPr>
        <w:t>。</w:t>
      </w:r>
    </w:p>
    <w:p w14:paraId="381BAF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1"/>
          <w:highlight w:val="none"/>
          <w:u w:val="single"/>
        </w:rPr>
        <w:t>如需，施工单位应自行向相关部门报批，费用由施工单位自行承担</w:t>
      </w:r>
      <w:r>
        <w:rPr>
          <w:rFonts w:hint="eastAsia" w:ascii="宋体" w:hAnsi="宋体" w:eastAsia="宋体" w:cs="宋体"/>
          <w:color w:val="auto"/>
          <w:sz w:val="21"/>
          <w:szCs w:val="21"/>
          <w:highlight w:val="none"/>
        </w:rPr>
        <w:t>。</w:t>
      </w:r>
    </w:p>
    <w:p w14:paraId="317D14C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197D5E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《中华人民共和国民法典》、《中华人民共和国建筑法》</w:t>
      </w:r>
      <w:r>
        <w:rPr>
          <w:rFonts w:hint="eastAsia" w:ascii="宋体" w:hAnsi="宋体" w:eastAsia="宋体" w:cs="宋体"/>
          <w:color w:val="auto"/>
          <w:sz w:val="21"/>
          <w:szCs w:val="21"/>
          <w:highlight w:val="none"/>
        </w:rPr>
        <w:t>。</w:t>
      </w:r>
    </w:p>
    <w:p w14:paraId="1F1CAD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328471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采用现行有效的适用于本工程的施工和验收标准、规范，若不同标准和规范之间要求不一致的，以较高标准为优先</w:t>
      </w:r>
      <w:r>
        <w:rPr>
          <w:rFonts w:hint="eastAsia" w:ascii="宋体" w:hAnsi="宋体" w:eastAsia="宋体" w:cs="宋体"/>
          <w:color w:val="auto"/>
          <w:sz w:val="21"/>
          <w:szCs w:val="21"/>
          <w:highlight w:val="none"/>
        </w:rPr>
        <w:t>。</w:t>
      </w:r>
    </w:p>
    <w:p w14:paraId="73715DC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A0951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提供国外标准、规范的份数：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A2FA9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0871C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对工程的技术标准和功能要求的特殊要求：</w:t>
      </w:r>
      <w:r>
        <w:rPr>
          <w:rFonts w:hint="eastAsia" w:ascii="宋体" w:hAnsi="宋体" w:eastAsia="宋体" w:cs="宋体"/>
          <w:color w:val="auto"/>
          <w:sz w:val="21"/>
          <w:szCs w:val="21"/>
          <w:highlight w:val="none"/>
          <w:u w:val="single"/>
        </w:rPr>
        <w:t>招标文件中的技术规范和要求</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1B8E98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3C0D37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⑴本合同协议书；⑵中标通知书；⑶询标记录（纪要）；⑷投标书及其附件；⑸本合同专用条款；⑹本合同通用条款；⑺招标补充文件（包括答疑会纪要、澄清等）；⑻招标文件；⑼标准、规范及有关技术文件；⑽图纸；⑾工程量清单；⑿工程报价单或工程预算书、双方有关工程的洽商、变更等书面协议或文件视为本合同的组成部分。</w:t>
      </w:r>
    </w:p>
    <w:p w14:paraId="74E017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6F14F0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7C408B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向承包人提供图纸的期限：</w:t>
      </w:r>
      <w:r>
        <w:rPr>
          <w:rFonts w:hint="eastAsia" w:ascii="宋体" w:hAnsi="宋体" w:eastAsia="宋体" w:cs="宋体"/>
          <w:color w:val="auto"/>
          <w:sz w:val="21"/>
          <w:szCs w:val="21"/>
          <w:highlight w:val="none"/>
          <w:u w:val="single"/>
        </w:rPr>
        <w:t>签订施工合同后7日内</w:t>
      </w:r>
      <w:r>
        <w:rPr>
          <w:rFonts w:hint="eastAsia" w:ascii="宋体" w:hAnsi="宋体" w:eastAsia="宋体" w:cs="宋体"/>
          <w:color w:val="auto"/>
          <w:sz w:val="21"/>
          <w:szCs w:val="21"/>
          <w:highlight w:val="none"/>
        </w:rPr>
        <w:t>；</w:t>
      </w:r>
    </w:p>
    <w:p w14:paraId="260AA6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向承包人提供图纸的数量：</w:t>
      </w:r>
      <w:r>
        <w:rPr>
          <w:rFonts w:hint="eastAsia" w:ascii="宋体" w:hAnsi="宋体" w:eastAsia="宋体" w:cs="宋体"/>
          <w:color w:val="auto"/>
          <w:sz w:val="21"/>
          <w:szCs w:val="21"/>
          <w:highlight w:val="none"/>
          <w:u w:val="single"/>
        </w:rPr>
        <w:t>施工图7套（含今后需要绘制竣工图的4套）</w:t>
      </w:r>
      <w:r>
        <w:rPr>
          <w:rFonts w:hint="eastAsia" w:ascii="宋体" w:hAnsi="宋体" w:eastAsia="宋体" w:cs="宋体"/>
          <w:color w:val="auto"/>
          <w:sz w:val="21"/>
          <w:szCs w:val="21"/>
          <w:highlight w:val="none"/>
        </w:rPr>
        <w:t>；</w:t>
      </w:r>
    </w:p>
    <w:p w14:paraId="525D71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向承包人提供图纸的内容：</w:t>
      </w:r>
      <w:r>
        <w:rPr>
          <w:rFonts w:hint="eastAsia" w:ascii="宋体" w:hAnsi="宋体" w:eastAsia="宋体" w:cs="宋体"/>
          <w:color w:val="auto"/>
          <w:sz w:val="21"/>
          <w:szCs w:val="21"/>
          <w:highlight w:val="none"/>
          <w:u w:val="single"/>
        </w:rPr>
        <w:t>全套施工图</w:t>
      </w:r>
      <w:r>
        <w:rPr>
          <w:rFonts w:hint="eastAsia" w:ascii="宋体" w:hAnsi="宋体" w:eastAsia="宋体" w:cs="宋体"/>
          <w:color w:val="auto"/>
          <w:sz w:val="21"/>
          <w:szCs w:val="21"/>
          <w:highlight w:val="none"/>
        </w:rPr>
        <w:t>。</w:t>
      </w:r>
    </w:p>
    <w:p w14:paraId="7B53B5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7A2EF62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修正的施工组织设计、工程进度计划及专项施工方案</w:t>
      </w:r>
      <w:r>
        <w:rPr>
          <w:rFonts w:hint="eastAsia" w:ascii="宋体" w:hAnsi="宋体" w:eastAsia="宋体" w:cs="宋体"/>
          <w:color w:val="auto"/>
          <w:sz w:val="21"/>
          <w:szCs w:val="21"/>
          <w:highlight w:val="none"/>
        </w:rPr>
        <w:t>；</w:t>
      </w:r>
    </w:p>
    <w:p w14:paraId="1CB0BD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签订合同后一周内</w:t>
      </w:r>
      <w:r>
        <w:rPr>
          <w:rFonts w:hint="eastAsia" w:ascii="宋体" w:hAnsi="宋体" w:eastAsia="宋体" w:cs="宋体"/>
          <w:color w:val="auto"/>
          <w:sz w:val="21"/>
          <w:szCs w:val="21"/>
          <w:highlight w:val="none"/>
        </w:rPr>
        <w:t>；</w:t>
      </w:r>
    </w:p>
    <w:p w14:paraId="7FAB6B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4份  </w:t>
      </w:r>
      <w:r>
        <w:rPr>
          <w:rFonts w:hint="eastAsia" w:ascii="宋体" w:hAnsi="宋体" w:eastAsia="宋体" w:cs="宋体"/>
          <w:color w:val="auto"/>
          <w:sz w:val="21"/>
          <w:szCs w:val="21"/>
          <w:highlight w:val="none"/>
        </w:rPr>
        <w:t>；</w:t>
      </w:r>
    </w:p>
    <w:p w14:paraId="6BEB7E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纸质文件3份，电子文件1份</w:t>
      </w:r>
      <w:r>
        <w:rPr>
          <w:rFonts w:hint="eastAsia" w:ascii="宋体" w:hAnsi="宋体" w:eastAsia="宋体" w:cs="宋体"/>
          <w:color w:val="auto"/>
          <w:sz w:val="21"/>
          <w:szCs w:val="21"/>
          <w:highlight w:val="none"/>
        </w:rPr>
        <w:t>；</w:t>
      </w:r>
    </w:p>
    <w:p w14:paraId="48984A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审批承包人文件的期限：</w:t>
      </w:r>
      <w:r>
        <w:rPr>
          <w:rFonts w:hint="eastAsia" w:ascii="宋体" w:hAnsi="宋体" w:eastAsia="宋体" w:cs="宋体"/>
          <w:color w:val="auto"/>
          <w:sz w:val="21"/>
          <w:szCs w:val="21"/>
          <w:highlight w:val="none"/>
          <w:u w:val="single"/>
        </w:rPr>
        <w:t>收到文件后10日内</w:t>
      </w:r>
      <w:r>
        <w:rPr>
          <w:rFonts w:hint="eastAsia" w:ascii="宋体" w:hAnsi="宋体" w:eastAsia="宋体" w:cs="宋体"/>
          <w:color w:val="auto"/>
          <w:sz w:val="21"/>
          <w:szCs w:val="21"/>
          <w:highlight w:val="none"/>
        </w:rPr>
        <w:t>。</w:t>
      </w:r>
    </w:p>
    <w:p w14:paraId="4042B4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0B70EC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承包人应在施工现场另外保存一套完整的图纸和承包人文件，供发包人、监理人及有关人员进行工程检查时使用</w:t>
      </w:r>
      <w:r>
        <w:rPr>
          <w:rFonts w:hint="eastAsia" w:ascii="宋体" w:hAnsi="宋体" w:eastAsia="宋体" w:cs="宋体"/>
          <w:color w:val="auto"/>
          <w:sz w:val="21"/>
          <w:szCs w:val="21"/>
          <w:highlight w:val="none"/>
        </w:rPr>
        <w:t>。</w:t>
      </w:r>
    </w:p>
    <w:p w14:paraId="0CB61C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2BB60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和承包人应当在</w:t>
      </w: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0BA2EC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1.7.2 </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接收文件的地点：</w:t>
      </w:r>
      <w:r>
        <w:rPr>
          <w:rFonts w:hint="eastAsia" w:ascii="宋体" w:hAnsi="宋体" w:eastAsia="宋体" w:cs="宋体"/>
          <w:color w:val="auto"/>
          <w:sz w:val="21"/>
          <w:szCs w:val="21"/>
          <w:highlight w:val="none"/>
          <w:u w:val="single"/>
        </w:rPr>
        <w:t>       施工现场       </w:t>
      </w:r>
      <w:r>
        <w:rPr>
          <w:rFonts w:hint="eastAsia" w:ascii="宋体" w:hAnsi="宋体" w:eastAsia="宋体" w:cs="宋体"/>
          <w:color w:val="auto"/>
          <w:sz w:val="21"/>
          <w:szCs w:val="21"/>
          <w:highlight w:val="none"/>
        </w:rPr>
        <w:t>；</w:t>
      </w:r>
    </w:p>
    <w:p w14:paraId="00D6C0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指定的接收人为：</w:t>
      </w:r>
      <w:r>
        <w:rPr>
          <w:rFonts w:hint="eastAsia" w:ascii="宋体" w:hAnsi="宋体" w:eastAsia="宋体" w:cs="宋体"/>
          <w:color w:val="auto"/>
          <w:sz w:val="21"/>
          <w:szCs w:val="21"/>
          <w:highlight w:val="none"/>
          <w:u w:val="single"/>
        </w:rPr>
        <w:t> 现场双方协商确定   </w:t>
      </w:r>
      <w:r>
        <w:rPr>
          <w:rFonts w:hint="eastAsia" w:ascii="宋体" w:hAnsi="宋体" w:eastAsia="宋体" w:cs="宋体"/>
          <w:color w:val="auto"/>
          <w:sz w:val="21"/>
          <w:szCs w:val="21"/>
          <w:highlight w:val="none"/>
        </w:rPr>
        <w:t>。</w:t>
      </w:r>
    </w:p>
    <w:p w14:paraId="560767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   施工现场           </w:t>
      </w:r>
      <w:r>
        <w:rPr>
          <w:rFonts w:hint="eastAsia" w:ascii="宋体" w:hAnsi="宋体" w:eastAsia="宋体" w:cs="宋体"/>
          <w:color w:val="auto"/>
          <w:sz w:val="21"/>
          <w:szCs w:val="21"/>
          <w:highlight w:val="none"/>
        </w:rPr>
        <w:t>；</w:t>
      </w:r>
    </w:p>
    <w:p w14:paraId="089A31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 现场双方协商确定     </w:t>
      </w:r>
      <w:r>
        <w:rPr>
          <w:rFonts w:hint="eastAsia" w:ascii="宋体" w:hAnsi="宋体" w:eastAsia="宋体" w:cs="宋体"/>
          <w:color w:val="auto"/>
          <w:sz w:val="21"/>
          <w:szCs w:val="21"/>
          <w:highlight w:val="none"/>
        </w:rPr>
        <w:t>。</w:t>
      </w:r>
    </w:p>
    <w:p w14:paraId="186562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 施工现场           </w:t>
      </w:r>
      <w:r>
        <w:rPr>
          <w:rFonts w:hint="eastAsia" w:ascii="宋体" w:hAnsi="宋体" w:eastAsia="宋体" w:cs="宋体"/>
          <w:color w:val="auto"/>
          <w:sz w:val="21"/>
          <w:szCs w:val="21"/>
          <w:highlight w:val="none"/>
        </w:rPr>
        <w:t>；</w:t>
      </w:r>
    </w:p>
    <w:p w14:paraId="28E9C9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现场双方协商确定   </w:t>
      </w:r>
      <w:r>
        <w:rPr>
          <w:rFonts w:hint="eastAsia" w:ascii="宋体" w:hAnsi="宋体" w:eastAsia="宋体" w:cs="宋体"/>
          <w:color w:val="auto"/>
          <w:sz w:val="21"/>
          <w:szCs w:val="21"/>
          <w:highlight w:val="none"/>
        </w:rPr>
        <w:t>。</w:t>
      </w:r>
    </w:p>
    <w:p w14:paraId="3FC307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313288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 出入现场的权利</w:t>
      </w:r>
    </w:p>
    <w:p w14:paraId="681B93F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1BFAFC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 场内交通</w:t>
      </w:r>
    </w:p>
    <w:p w14:paraId="57B6DA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本项目的用地红线</w:t>
      </w:r>
      <w:r>
        <w:rPr>
          <w:rFonts w:hint="eastAsia" w:ascii="宋体" w:hAnsi="宋体" w:eastAsia="宋体" w:cs="宋体"/>
          <w:color w:val="auto"/>
          <w:sz w:val="21"/>
          <w:szCs w:val="21"/>
          <w:highlight w:val="none"/>
        </w:rPr>
        <w:t>。</w:t>
      </w:r>
    </w:p>
    <w:p w14:paraId="58BD86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向承包人免费提供满足工程施工需要的场内道路和交通设施的约定：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  </w:t>
      </w:r>
    </w:p>
    <w:p w14:paraId="272E43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4FAF4A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2166EB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6B510B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提供给承包人的图纸、发包人为实施工程自行编制或委托编制的技术规范以及反映</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关于合同要求或其他类似性质的文件的著作权的归属：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63965A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提供的上述文件的使用限制的要求：</w:t>
      </w:r>
      <w:r>
        <w:rPr>
          <w:rFonts w:hint="eastAsia" w:ascii="宋体" w:hAnsi="宋体" w:eastAsia="宋体" w:cs="宋体"/>
          <w:color w:val="auto"/>
          <w:sz w:val="21"/>
          <w:szCs w:val="21"/>
          <w:highlight w:val="none"/>
          <w:u w:val="single"/>
        </w:rPr>
        <w:t xml:space="preserve"> 施工期间 </w:t>
      </w:r>
      <w:r>
        <w:rPr>
          <w:rFonts w:hint="eastAsia" w:ascii="宋体" w:hAnsi="宋体" w:eastAsia="宋体" w:cs="宋体"/>
          <w:color w:val="auto"/>
          <w:sz w:val="21"/>
          <w:szCs w:val="21"/>
          <w:highlight w:val="none"/>
        </w:rPr>
        <w:t>。</w:t>
      </w:r>
    </w:p>
    <w:p w14:paraId="365DA1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714CF1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8C9E9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承包人自行承担</w:t>
      </w:r>
      <w:r>
        <w:rPr>
          <w:rFonts w:hint="eastAsia" w:ascii="宋体" w:hAnsi="宋体" w:eastAsia="宋体" w:cs="宋体"/>
          <w:color w:val="auto"/>
          <w:sz w:val="21"/>
          <w:szCs w:val="21"/>
          <w:highlight w:val="none"/>
        </w:rPr>
        <w:t>。</w:t>
      </w:r>
    </w:p>
    <w:p w14:paraId="635D86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5FD94A3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调整，但施工过程中不予调整 </w:t>
      </w:r>
      <w:r>
        <w:rPr>
          <w:rFonts w:hint="eastAsia" w:ascii="宋体" w:hAnsi="宋体" w:eastAsia="宋体" w:cs="宋体"/>
          <w:color w:val="auto"/>
          <w:sz w:val="21"/>
          <w:szCs w:val="21"/>
          <w:highlight w:val="none"/>
        </w:rPr>
        <w:t>。</w:t>
      </w:r>
    </w:p>
    <w:p w14:paraId="35FF3323">
      <w:pPr>
        <w:spacing w:line="360" w:lineRule="auto"/>
        <w:ind w:firstLine="422" w:firstLineChars="200"/>
        <w:outlineLvl w:val="0"/>
        <w:rPr>
          <w:rFonts w:hint="eastAsia" w:ascii="宋体" w:hAnsi="宋体" w:eastAsia="宋体" w:cs="宋体"/>
          <w:b/>
          <w:color w:val="auto"/>
          <w:sz w:val="21"/>
          <w:szCs w:val="21"/>
          <w:highlight w:val="none"/>
        </w:rPr>
      </w:pPr>
      <w:bookmarkStart w:id="78" w:name="_Toc123820509"/>
      <w:bookmarkStart w:id="79" w:name="_Toc96951755"/>
      <w:bookmarkStart w:id="80" w:name="_Toc96951635"/>
      <w:r>
        <w:rPr>
          <w:rFonts w:hint="eastAsia" w:ascii="宋体" w:hAnsi="宋体" w:eastAsia="宋体" w:cs="宋体"/>
          <w:b/>
          <w:color w:val="auto"/>
          <w:sz w:val="21"/>
          <w:szCs w:val="21"/>
          <w:highlight w:val="none"/>
        </w:rPr>
        <w:t>允许调整合同价格的工程量偏差范围：</w:t>
      </w:r>
      <w:bookmarkEnd w:id="78"/>
      <w:bookmarkEnd w:id="79"/>
      <w:bookmarkEnd w:id="80"/>
      <w:bookmarkStart w:id="81" w:name="_Toc96951636"/>
      <w:bookmarkStart w:id="82" w:name="_Toc123820510"/>
      <w:bookmarkStart w:id="83" w:name="_Toc96951756"/>
      <w:r>
        <w:rPr>
          <w:rFonts w:hint="eastAsia" w:ascii="宋体" w:hAnsi="宋体" w:eastAsia="宋体" w:cs="宋体"/>
          <w:b w:val="0"/>
          <w:bCs/>
          <w:i w:val="0"/>
          <w:iCs w:val="0"/>
          <w:color w:val="auto"/>
          <w:sz w:val="21"/>
          <w:szCs w:val="21"/>
          <w:highlight w:val="none"/>
          <w:u w:val="single"/>
        </w:rPr>
        <w:t>竣工结算时，结算工程量根据《建设工程工程量清单计价规范》（GB50500-2013）、竣工资料（包括竣工图、设计变更图纸、设计变更联系单、</w:t>
      </w:r>
      <w:r>
        <w:rPr>
          <w:rFonts w:hint="eastAsia" w:ascii="宋体" w:hAnsi="宋体" w:eastAsia="宋体" w:cs="宋体"/>
          <w:color w:val="auto"/>
          <w:sz w:val="21"/>
          <w:szCs w:val="21"/>
          <w:highlight w:val="none"/>
          <w:u w:val="single"/>
        </w:rPr>
        <w:t>发包人</w:t>
      </w:r>
      <w:r>
        <w:rPr>
          <w:rFonts w:hint="eastAsia" w:ascii="宋体" w:hAnsi="宋体" w:eastAsia="宋体" w:cs="宋体"/>
          <w:b w:val="0"/>
          <w:bCs/>
          <w:i w:val="0"/>
          <w:iCs w:val="0"/>
          <w:color w:val="auto"/>
          <w:sz w:val="21"/>
          <w:szCs w:val="21"/>
          <w:highlight w:val="none"/>
          <w:u w:val="single"/>
        </w:rPr>
        <w:t>认可的签证单、补充性文件）等按实结算（除明确一次性包干或结算不作调整的项目和费用外）。</w:t>
      </w:r>
    </w:p>
    <w:p w14:paraId="1F83B74B">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发包人</w:t>
      </w:r>
      <w:bookmarkEnd w:id="81"/>
      <w:bookmarkEnd w:id="82"/>
      <w:bookmarkEnd w:id="83"/>
    </w:p>
    <w:p w14:paraId="70C70D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5A3C32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3E0795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     </w:t>
      </w:r>
      <w:r>
        <w:rPr>
          <w:rFonts w:hint="eastAsia" w:ascii="宋体" w:hAnsi="宋体" w:eastAsia="宋体" w:cs="宋体"/>
          <w:color w:val="auto"/>
          <w:sz w:val="21"/>
          <w:szCs w:val="21"/>
          <w:highlight w:val="none"/>
        </w:rPr>
        <w:t>；</w:t>
      </w:r>
    </w:p>
    <w:p w14:paraId="416C67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007B11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39930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22E79A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197915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4A994C3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代表发包方行使工程现场管理的协调，对任何作为结算价款调整依据的工期、工程变更、签证单进行审核确认等</w:t>
      </w:r>
      <w:r>
        <w:rPr>
          <w:rFonts w:hint="eastAsia" w:ascii="宋体" w:hAnsi="宋体" w:eastAsia="宋体" w:cs="宋体"/>
          <w:color w:val="auto"/>
          <w:sz w:val="21"/>
          <w:szCs w:val="21"/>
          <w:highlight w:val="none"/>
        </w:rPr>
        <w:t>。</w:t>
      </w:r>
    </w:p>
    <w:p w14:paraId="242D6A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39378C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7B60C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开工日期7天前</w:t>
      </w:r>
      <w:r>
        <w:rPr>
          <w:rFonts w:hint="eastAsia" w:ascii="宋体" w:hAnsi="宋体" w:eastAsia="宋体" w:cs="宋体"/>
          <w:color w:val="auto"/>
          <w:sz w:val="21"/>
          <w:szCs w:val="21"/>
          <w:highlight w:val="none"/>
        </w:rPr>
        <w:t>。</w:t>
      </w:r>
    </w:p>
    <w:p w14:paraId="753075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4B3E5E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关于发包人应负责提供施工所需要的条件，包括：</w:t>
      </w:r>
    </w:p>
    <w:p w14:paraId="52F2CE2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（1）施工场地具备施工条件的要求及完成的时间：</w:t>
      </w:r>
      <w:r>
        <w:rPr>
          <w:rFonts w:hint="eastAsia" w:ascii="宋体" w:hAnsi="宋体" w:eastAsia="宋体" w:cs="宋体"/>
          <w:color w:val="auto"/>
          <w:sz w:val="21"/>
          <w:szCs w:val="21"/>
          <w:highlight w:val="none"/>
          <w:u w:val="single"/>
        </w:rPr>
        <w:t>施工现场已具备开工条件，有关进场准备的工作，由承包人根据本工程施工要求在开工前做好此项工程，费用已含在承包人的投标报价中。</w:t>
      </w:r>
    </w:p>
    <w:p w14:paraId="79AE59E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（2）将施工所需的水、电、电讯线路接至施工现场的时间、地点和供应要求：</w:t>
      </w:r>
      <w:r>
        <w:rPr>
          <w:rFonts w:hint="eastAsia" w:ascii="宋体" w:hAnsi="宋体" w:eastAsia="宋体" w:cs="宋体"/>
          <w:b/>
          <w:bCs/>
          <w:color w:val="auto"/>
          <w:sz w:val="21"/>
          <w:szCs w:val="21"/>
          <w:highlight w:val="none"/>
          <w:u w:val="single"/>
          <w:lang w:val="en-US" w:eastAsia="zh-CN"/>
        </w:rPr>
        <w:t>用水、用电由投标人自行解决，相应费用考虑在报价中。投标人应充分考虑停电因素，现场停电因素而投入的自发电设备、发电所需燃料及相关费用应包括在投标报价中，结算时不另增加费用</w:t>
      </w:r>
      <w:r>
        <w:rPr>
          <w:rFonts w:hint="eastAsia" w:ascii="宋体" w:hAnsi="宋体" w:eastAsia="宋体" w:cs="宋体"/>
          <w:b/>
          <w:bCs/>
          <w:color w:val="auto"/>
          <w:sz w:val="21"/>
          <w:szCs w:val="21"/>
          <w:highlight w:val="none"/>
          <w:u w:val="single"/>
        </w:rPr>
        <w:t>。</w:t>
      </w:r>
    </w:p>
    <w:p w14:paraId="0AEE56C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（3）施工现场与公共道路的通道开通时间和要求：</w:t>
      </w:r>
      <w:r>
        <w:rPr>
          <w:rFonts w:hint="eastAsia" w:ascii="宋体" w:hAnsi="宋体" w:eastAsia="宋体" w:cs="宋体"/>
          <w:color w:val="auto"/>
          <w:sz w:val="21"/>
          <w:szCs w:val="21"/>
          <w:highlight w:val="none"/>
          <w:u w:val="single"/>
        </w:rPr>
        <w:t>施工临时道路、与公共道路连接的临时道路的修建、养护、拆除均由承包人自行解决，所发生的一切费用由承包人承担，已包括在投标报价中</w:t>
      </w:r>
      <w:r>
        <w:rPr>
          <w:rFonts w:hint="eastAsia" w:ascii="宋体" w:hAnsi="宋体" w:eastAsia="宋体" w:cs="宋体"/>
          <w:color w:val="auto"/>
          <w:sz w:val="21"/>
          <w:szCs w:val="21"/>
          <w:highlight w:val="none"/>
        </w:rPr>
        <w:t>。</w:t>
      </w:r>
    </w:p>
    <w:p w14:paraId="533BFD2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（4）工程地质和地下管线资料的提供时间：</w:t>
      </w:r>
      <w:r>
        <w:rPr>
          <w:rFonts w:hint="eastAsia" w:ascii="宋体" w:hAnsi="宋体" w:eastAsia="宋体" w:cs="宋体"/>
          <w:color w:val="auto"/>
          <w:sz w:val="21"/>
          <w:szCs w:val="21"/>
          <w:highlight w:val="none"/>
          <w:u w:val="single"/>
        </w:rPr>
        <w:t>开工前由施工单位自行与各相关管线单位协调，及时对各相关管线单位的管线进行调查、摸底，施工单位根据自行协调的内容对相关管线进行核实和保护，所发生的一切费用由承包人承担，已包括在投标报价中。如施工期间地下管线有损坏，承包人将承担由此产生的一切费用。</w:t>
      </w:r>
    </w:p>
    <w:p w14:paraId="6CAA824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（5）由发包人办理的施工所需证件、批件的名称和完成时间：</w:t>
      </w:r>
      <w:r>
        <w:rPr>
          <w:rFonts w:hint="eastAsia" w:ascii="宋体" w:hAnsi="宋体" w:eastAsia="宋体" w:cs="宋体"/>
          <w:color w:val="auto"/>
          <w:sz w:val="21"/>
          <w:szCs w:val="21"/>
          <w:highlight w:val="none"/>
          <w:u w:val="single"/>
        </w:rPr>
        <w:t>按规定由发包人办理的各类证件，发包人应在某项工作需要此类证件时办理完毕，承包人需把有关情况及时提前告知发包人。需要承包人提供办理证件相关资料的，承包人必须协助发包人办理</w:t>
      </w:r>
      <w:r>
        <w:rPr>
          <w:rFonts w:hint="eastAsia" w:ascii="宋体" w:hAnsi="宋体" w:eastAsia="宋体" w:cs="宋体"/>
          <w:color w:val="auto"/>
          <w:sz w:val="21"/>
          <w:szCs w:val="21"/>
          <w:highlight w:val="none"/>
        </w:rPr>
        <w:t>。</w:t>
      </w:r>
    </w:p>
    <w:p w14:paraId="4CA069E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（6）水准点与坐标控制点交验要求：</w:t>
      </w:r>
      <w:r>
        <w:rPr>
          <w:rFonts w:hint="eastAsia" w:ascii="宋体" w:hAnsi="宋体" w:eastAsia="宋体" w:cs="宋体"/>
          <w:color w:val="auto"/>
          <w:sz w:val="21"/>
          <w:szCs w:val="21"/>
          <w:highlight w:val="none"/>
          <w:u w:val="single"/>
        </w:rPr>
        <w:t>开工前确定，由发包人以书面形式提供给承包人，并进行现场交验。</w:t>
      </w:r>
    </w:p>
    <w:p w14:paraId="30DA15B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（7）图纸会审和设计交底时间：</w:t>
      </w:r>
      <w:r>
        <w:rPr>
          <w:rFonts w:hint="eastAsia" w:ascii="宋体" w:hAnsi="宋体" w:eastAsia="宋体" w:cs="宋体"/>
          <w:color w:val="auto"/>
          <w:sz w:val="21"/>
          <w:szCs w:val="21"/>
          <w:highlight w:val="none"/>
          <w:u w:val="single"/>
        </w:rPr>
        <w:t>根据需要由双方协商确定时间。</w:t>
      </w:r>
    </w:p>
    <w:p w14:paraId="48A0862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（8）协调处理施工场地周围地下管线和邻近建筑物、构筑物（含文物保护建筑）、古树名木的保护工作：</w:t>
      </w:r>
      <w:r>
        <w:rPr>
          <w:rFonts w:hint="eastAsia" w:ascii="宋体" w:hAnsi="宋体" w:eastAsia="宋体" w:cs="宋体"/>
          <w:color w:val="auto"/>
          <w:sz w:val="21"/>
          <w:szCs w:val="21"/>
          <w:highlight w:val="none"/>
          <w:u w:val="single"/>
        </w:rPr>
        <w:t>如遇上述情况时，承包人应提出具体保护实施方案，由发包人征得有关管理部门同意后，由承包人实施，所需费用，承包人已列入投标报价。</w:t>
      </w:r>
    </w:p>
    <w:p w14:paraId="1822E7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资金来源证明及支付担保</w:t>
      </w:r>
    </w:p>
    <w:p w14:paraId="151C76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E0F8C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9DE0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1D6744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承包人</w:t>
      </w:r>
    </w:p>
    <w:p w14:paraId="49CD6B5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6895AA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（5）承包人提交的竣工资料的内容：</w:t>
      </w:r>
      <w:r>
        <w:rPr>
          <w:rFonts w:hint="eastAsia" w:ascii="宋体" w:hAnsi="宋体" w:eastAsia="宋体" w:cs="宋体"/>
          <w:color w:val="auto"/>
          <w:sz w:val="21"/>
          <w:szCs w:val="21"/>
          <w:highlight w:val="none"/>
          <w:u w:val="single"/>
        </w:rPr>
        <w:t xml:space="preserve">按照法律法规规定的完整内容编制竣工资料，完成竣工资料立卷及归档 </w:t>
      </w:r>
      <w:r>
        <w:rPr>
          <w:rFonts w:hint="eastAsia" w:ascii="宋体" w:hAnsi="宋体" w:eastAsia="宋体" w:cs="宋体"/>
          <w:color w:val="auto"/>
          <w:sz w:val="21"/>
          <w:szCs w:val="21"/>
          <w:highlight w:val="none"/>
        </w:rPr>
        <w:t>。</w:t>
      </w:r>
    </w:p>
    <w:p w14:paraId="66CEC6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承包人提供竣工图的约定：</w:t>
      </w:r>
    </w:p>
    <w:p w14:paraId="618A846A">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(1)施工中没有设计变更，施工后由承包人在发包人提供的施工图加盖竣工图章，提交发包人。</w:t>
      </w:r>
    </w:p>
    <w:p w14:paraId="218FB62F">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(2)施工中只有零星的少量变更，承包人在竣工图变更位置注明，并连同经发包人同意的变更签证，于竣工后由承包人加盖竣工图章交发包人。</w:t>
      </w:r>
    </w:p>
    <w:p w14:paraId="43480884">
      <w:pPr>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(3)施工中对原设计变更较多，原施工图难于作为竣工图，应由承包人组织重新绘制竣工图并承担相应费用。</w:t>
      </w:r>
    </w:p>
    <w:p w14:paraId="426976C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4套    </w:t>
      </w:r>
      <w:r>
        <w:rPr>
          <w:rFonts w:hint="eastAsia" w:ascii="宋体" w:hAnsi="宋体" w:eastAsia="宋体" w:cs="宋体"/>
          <w:color w:val="auto"/>
          <w:sz w:val="21"/>
          <w:szCs w:val="21"/>
          <w:highlight w:val="none"/>
        </w:rPr>
        <w:t>。</w:t>
      </w:r>
    </w:p>
    <w:p w14:paraId="01B40A3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由承包人承担      </w:t>
      </w:r>
      <w:r>
        <w:rPr>
          <w:rFonts w:hint="eastAsia" w:ascii="宋体" w:hAnsi="宋体" w:eastAsia="宋体" w:cs="宋体"/>
          <w:color w:val="auto"/>
          <w:sz w:val="21"/>
          <w:szCs w:val="21"/>
          <w:highlight w:val="none"/>
        </w:rPr>
        <w:t>。</w:t>
      </w:r>
    </w:p>
    <w:p w14:paraId="518880D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在提供竣工报告后一个月内   </w:t>
      </w:r>
      <w:r>
        <w:rPr>
          <w:rFonts w:hint="eastAsia" w:ascii="宋体" w:hAnsi="宋体" w:eastAsia="宋体" w:cs="宋体"/>
          <w:color w:val="auto"/>
          <w:sz w:val="21"/>
          <w:szCs w:val="21"/>
          <w:highlight w:val="none"/>
        </w:rPr>
        <w:t>。</w:t>
      </w:r>
    </w:p>
    <w:p w14:paraId="41B9D3B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纸质3套，电子文档1套     </w:t>
      </w:r>
      <w:r>
        <w:rPr>
          <w:rFonts w:hint="eastAsia" w:ascii="宋体" w:hAnsi="宋体" w:eastAsia="宋体" w:cs="宋体"/>
          <w:color w:val="auto"/>
          <w:sz w:val="21"/>
          <w:szCs w:val="21"/>
          <w:highlight w:val="none"/>
        </w:rPr>
        <w:t>。</w:t>
      </w:r>
    </w:p>
    <w:p w14:paraId="2E807E15">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（6）承包人应履行的其他义务：</w:t>
      </w:r>
    </w:p>
    <w:p w14:paraId="73443AF3">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1、每月25日前提供施工进度计划和相应的工程量报表。除每月提供外，如果监理或发包人要求临时提供某些报表和资料，承包人应无条件按监理和发包人要求提供此类报表和资料。</w:t>
      </w:r>
    </w:p>
    <w:p w14:paraId="4A55932F">
      <w:pPr>
        <w:spacing w:line="360" w:lineRule="auto"/>
        <w:ind w:firstLine="48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2、承包人按当地建筑工地文明施工管理相关规定执行并承担施工安全保卫工作及夜间施工照明。</w:t>
      </w:r>
    </w:p>
    <w:p w14:paraId="69A86515">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zh-CN"/>
        </w:rPr>
        <w:t>3、遵守地方政府和有关部门对施工场地交通、环卫和施工噪音等管理规定。所有手续的费用由承包人承担。承包人应采取有效措施尽量减小尘土和噪音污染，需要进行夜间作业时应经</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u w:val="single"/>
          <w:lang w:val="zh-CN"/>
        </w:rPr>
        <w:t>批准。按监理要求标化管理及环保要求实施施工管理并承担相关费用，发包人给予配合。</w:t>
      </w:r>
    </w:p>
    <w:p w14:paraId="448F2A32">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4、在整个工程竣工验收并移交给发包人之前，承包人应按规定自行保护好承包范围内的已完工程的任何一部份或整体。此类费用由承包人承担。</w:t>
      </w:r>
    </w:p>
    <w:p w14:paraId="6DA85910">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14:paraId="594525A1">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14:paraId="34534780">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u w:val="single"/>
          <w:lang w:val="zh-CN"/>
        </w:rPr>
        <w:t>提供施工许可手续办理的必备资料，协助</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u w:val="single"/>
          <w:lang w:val="zh-CN"/>
        </w:rPr>
        <w:t>办理施工许可证；</w:t>
      </w:r>
      <w:r>
        <w:rPr>
          <w:rFonts w:hint="eastAsia" w:ascii="宋体" w:hAnsi="宋体" w:eastAsia="宋体" w:cs="宋体"/>
          <w:color w:val="auto"/>
          <w:sz w:val="21"/>
          <w:szCs w:val="21"/>
          <w:highlight w:val="none"/>
          <w:u w:val="single"/>
        </w:rPr>
        <w:t>确保安全生产，文明施工，派驻现场的主要施工管理人员必须与投标文件相同。</w:t>
      </w:r>
    </w:p>
    <w:p w14:paraId="684F4A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5A5307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22D7E3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4D3A5E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00D57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项目负责人执业资格等级：</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056A9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A679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项目负责人执业印章号：</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4D1FFE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4307D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B06E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5F58C1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3BE2A6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授予项目经理在紧急情况下的临时处置权，但应受到以下四个方面的限制：</w:t>
      </w:r>
    </w:p>
    <w:p w14:paraId="149823E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（1）只有在涉及工程及工程有关的人身和财产安全的情况下项目经理才能行使该项权力；</w:t>
      </w:r>
    </w:p>
    <w:p w14:paraId="31F6304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（2）项目经理只有在同时无法联系到发包人代表或总监理工程师的情况下才能行使该项权力；</w:t>
      </w:r>
    </w:p>
    <w:p w14:paraId="4322F4E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（3）项目经理行使该项权力所采取的措施必要合理得当，而不能随意采取不必要的措施；</w:t>
      </w:r>
    </w:p>
    <w:p w14:paraId="231A472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项目经理在采取措施后及时向监理人和发包人代表报告全部情况。如果项目经理行使临时处置权不符合四项中的任何一项，发包人可以主张由承包人承担因项目经理行使临时处置权而增加的费用或延误的工期责任。</w:t>
      </w:r>
    </w:p>
    <w:p w14:paraId="058815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color w:val="auto"/>
          <w:sz w:val="21"/>
          <w:szCs w:val="21"/>
          <w:highlight w:val="none"/>
          <w:u w:val="single"/>
        </w:rPr>
        <w:t>项目经理必须按照发包人要求进行考核，每月到施工现场的时间不少于22天</w:t>
      </w:r>
      <w:r>
        <w:rPr>
          <w:rFonts w:hint="eastAsia" w:ascii="宋体" w:hAnsi="宋体" w:eastAsia="宋体" w:cs="宋体"/>
          <w:color w:val="auto"/>
          <w:sz w:val="21"/>
          <w:szCs w:val="21"/>
          <w:highlight w:val="none"/>
        </w:rPr>
        <w:t>。</w:t>
      </w:r>
    </w:p>
    <w:p w14:paraId="35BC90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承包人不提交上述文件的，项目经理无权履行职责，发包人有权要求更换项目经理，由此增加的费用和（或）延误的工期由承包人承担。</w:t>
      </w:r>
    </w:p>
    <w:p w14:paraId="2EFB1A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项目经理未经批准，离开施工现场的违约责任：</w:t>
      </w:r>
      <w:r>
        <w:rPr>
          <w:rFonts w:hint="eastAsia" w:ascii="宋体" w:hAnsi="宋体" w:eastAsia="宋体" w:cs="宋体"/>
          <w:color w:val="auto"/>
          <w:sz w:val="21"/>
          <w:szCs w:val="21"/>
          <w:highlight w:val="none"/>
          <w:u w:val="single"/>
        </w:rPr>
        <w:t>项目经理每月在本工地上班时间不足22天，以违约论，按每天</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000元支付违约金；考勤由监理方负责（项目经理应主动到监理方报到），须由总监理工程师签字确认，每月25日报发包方，发包方代表审核后直接作为扣除违约金的依据。项目经理长期不在岗，时间累计超过1个月，视为严重不履行合同，发包方可要求更换项目经理并对承包方处以人民币</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0000元的罚金，承包方承担由此给发包人造成的损失和（或）延误的工期。 </w:t>
      </w:r>
    </w:p>
    <w:p w14:paraId="5F514D9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3.2.3 承包人更换项目经理的违约责任：</w:t>
      </w:r>
      <w:r>
        <w:rPr>
          <w:rFonts w:hint="eastAsia" w:ascii="宋体" w:hAnsi="宋体" w:eastAsia="宋体" w:cs="宋体"/>
          <w:color w:val="auto"/>
          <w:sz w:val="21"/>
          <w:szCs w:val="21"/>
          <w:highlight w:val="none"/>
          <w:u w:val="single"/>
        </w:rPr>
        <w:t>处以人民币</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0000元的罚金并承担由此增加的费用和（或）延误的工期。</w:t>
      </w:r>
    </w:p>
    <w:p w14:paraId="7D9594C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处以人民币</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0000元的罚金并承担由此增加的费用和（或）延误的工期。</w:t>
      </w:r>
    </w:p>
    <w:p w14:paraId="17D59D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后项目经理变更的条件为：（1）因自身原因导致工程项目发生重大质量、安全事故的；（2）有违法、违规、违纪行为，被暂停或者吊销担任项目经理资格的；（3）不能胜任所承担的工程任务，发包人要求更换的；（4）变更工作单位的；（5）患严重疾病需要治疗或者修养，时间在一个月以上或者超过合同工期二分之一以上的。出现上述情形更换项目经理均视为承包人违约，发包人可对承包人处以人民币5万元的</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，承包人承担由此增加的费用和（或）延误的工期。</w:t>
      </w:r>
    </w:p>
    <w:p w14:paraId="00A74A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合同约定的职责。</w:t>
      </w:r>
    </w:p>
    <w:p w14:paraId="792B7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项目经理因特殊情况授权其下属人员履行其某项工作职责的，该下属人员应具备履行相应职责的能力，并应提前7天将上述人员的姓名和授权范围书面通知发包人和监理人，并征得发包人书面同意。</w:t>
      </w:r>
    </w:p>
    <w:p w14:paraId="767A15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1CFD92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B1BBC21">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处以人民币</w:t>
      </w:r>
      <w:r>
        <w:rPr>
          <w:rFonts w:hint="eastAsia" w:ascii="宋体" w:hAnsi="宋体" w:eastAsia="宋体" w:cs="宋体"/>
          <w:color w:val="auto"/>
          <w:sz w:val="21"/>
          <w:szCs w:val="21"/>
          <w:highlight w:val="none"/>
          <w:u w:val="single"/>
          <w:lang w:val="en-US" w:eastAsia="zh-CN"/>
        </w:rPr>
        <w:t>1000</w:t>
      </w:r>
      <w:r>
        <w:rPr>
          <w:rFonts w:hint="eastAsia" w:ascii="宋体" w:hAnsi="宋体" w:eastAsia="宋体" w:cs="宋体"/>
          <w:color w:val="auto"/>
          <w:sz w:val="21"/>
          <w:szCs w:val="21"/>
          <w:highlight w:val="none"/>
          <w:u w:val="single"/>
        </w:rPr>
        <w:t>元的罚金并承担由此增加的费用和（或）延误的工期</w:t>
      </w:r>
      <w:r>
        <w:rPr>
          <w:rFonts w:hint="eastAsia" w:ascii="宋体" w:hAnsi="宋体" w:eastAsia="宋体" w:cs="宋体"/>
          <w:color w:val="auto"/>
          <w:sz w:val="21"/>
          <w:szCs w:val="21"/>
          <w:highlight w:val="none"/>
        </w:rPr>
        <w:t>。</w:t>
      </w:r>
    </w:p>
    <w:p w14:paraId="6FA0E30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37D3A36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3.3.5承包人更换主要施工管理人员的违约责任：</w:t>
      </w:r>
      <w:r>
        <w:rPr>
          <w:rFonts w:hint="eastAsia" w:ascii="宋体" w:hAnsi="宋体" w:eastAsia="宋体" w:cs="宋体"/>
          <w:color w:val="auto"/>
          <w:sz w:val="21"/>
          <w:szCs w:val="21"/>
          <w:highlight w:val="none"/>
          <w:u w:val="single"/>
        </w:rPr>
        <w:t>按每人次人民币</w:t>
      </w:r>
      <w:r>
        <w:rPr>
          <w:rFonts w:hint="eastAsia" w:ascii="宋体" w:hAnsi="宋体" w:eastAsia="宋体" w:cs="宋体"/>
          <w:color w:val="auto"/>
          <w:sz w:val="21"/>
          <w:szCs w:val="21"/>
          <w:highlight w:val="none"/>
          <w:u w:val="single"/>
          <w:lang w:val="en-US" w:eastAsia="zh-CN"/>
        </w:rPr>
        <w:t>1000</w:t>
      </w:r>
      <w:r>
        <w:rPr>
          <w:rFonts w:hint="eastAsia" w:ascii="宋体" w:hAnsi="宋体" w:eastAsia="宋体" w:cs="宋体"/>
          <w:color w:val="auto"/>
          <w:sz w:val="21"/>
          <w:szCs w:val="21"/>
          <w:highlight w:val="none"/>
          <w:u w:val="single"/>
        </w:rPr>
        <w:t>元处以罚金并承担由此增加的费用和（或）延误的工期。</w:t>
      </w:r>
    </w:p>
    <w:p w14:paraId="59E1A9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承包人主要施工管理人员离开施工现场的违约责任：</w:t>
      </w:r>
      <w:r>
        <w:rPr>
          <w:rFonts w:hint="eastAsia" w:ascii="宋体" w:hAnsi="宋体" w:eastAsia="宋体" w:cs="宋体"/>
          <w:color w:val="auto"/>
          <w:sz w:val="21"/>
          <w:szCs w:val="21"/>
          <w:highlight w:val="none"/>
          <w:u w:val="single"/>
        </w:rPr>
        <w:t>施工员、质量员、安全员、材料员、资料员每月在本工地上班时间不足25天，以违约论，按每人每天500元支付违约金。考勤由监理方负责（上述人员应主动到监理方报到），须由总监理工程师签字确认，每月25日报发包人，发包人代表审核后直接作为扣除违约金的依据。</w:t>
      </w:r>
    </w:p>
    <w:p w14:paraId="25DB94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分包</w:t>
      </w:r>
    </w:p>
    <w:p w14:paraId="038505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分包的一般约定</w:t>
      </w:r>
    </w:p>
    <w:p w14:paraId="6B281B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B5B33A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5AF1C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3.5.2分包的确定</w:t>
      </w:r>
    </w:p>
    <w:p w14:paraId="01D5AFF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0D9629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57E00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13983C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按通用条款    </w:t>
      </w:r>
      <w:r>
        <w:rPr>
          <w:rFonts w:hint="eastAsia" w:ascii="宋体" w:hAnsi="宋体" w:eastAsia="宋体" w:cs="宋体"/>
          <w:color w:val="auto"/>
          <w:sz w:val="21"/>
          <w:szCs w:val="21"/>
          <w:highlight w:val="none"/>
        </w:rPr>
        <w:t>。</w:t>
      </w:r>
    </w:p>
    <w:p w14:paraId="6852C7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6A5519F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 xml:space="preserve">按通用条款 </w:t>
      </w:r>
      <w:r>
        <w:rPr>
          <w:rFonts w:hint="eastAsia" w:ascii="宋体" w:hAnsi="宋体" w:eastAsia="宋体" w:cs="宋体"/>
          <w:color w:val="auto"/>
          <w:sz w:val="21"/>
          <w:szCs w:val="21"/>
          <w:highlight w:val="none"/>
        </w:rPr>
        <w:t>。</w:t>
      </w:r>
    </w:p>
    <w:p w14:paraId="44483F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468C95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承</w:t>
      </w:r>
      <w:r>
        <w:rPr>
          <w:rFonts w:hint="eastAsia" w:ascii="宋体" w:hAnsi="宋体" w:eastAsia="宋体" w:cs="宋体"/>
          <w:color w:val="auto"/>
          <w:sz w:val="21"/>
          <w:szCs w:val="21"/>
          <w:highlight w:val="none"/>
        </w:rPr>
        <w:t>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B922B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14:paraId="6D15046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监理人</w:t>
      </w:r>
    </w:p>
    <w:p w14:paraId="46BD81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46A356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按监理合同         </w:t>
      </w:r>
      <w:r>
        <w:rPr>
          <w:rFonts w:hint="eastAsia" w:ascii="宋体" w:hAnsi="宋体" w:eastAsia="宋体" w:cs="宋体"/>
          <w:color w:val="auto"/>
          <w:sz w:val="21"/>
          <w:szCs w:val="21"/>
          <w:highlight w:val="none"/>
        </w:rPr>
        <w:t>。</w:t>
      </w:r>
    </w:p>
    <w:p w14:paraId="3DE0C0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按监理合同         </w:t>
      </w:r>
      <w:r>
        <w:rPr>
          <w:rFonts w:hint="eastAsia" w:ascii="宋体" w:hAnsi="宋体" w:eastAsia="宋体" w:cs="宋体"/>
          <w:color w:val="auto"/>
          <w:sz w:val="21"/>
          <w:szCs w:val="21"/>
          <w:highlight w:val="none"/>
        </w:rPr>
        <w:t xml:space="preserve">。 </w:t>
      </w:r>
    </w:p>
    <w:p w14:paraId="036CA0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按监理合同</w:t>
      </w:r>
      <w:r>
        <w:rPr>
          <w:rFonts w:hint="eastAsia" w:ascii="宋体" w:hAnsi="宋体" w:eastAsia="宋体" w:cs="宋体"/>
          <w:color w:val="auto"/>
          <w:sz w:val="21"/>
          <w:szCs w:val="21"/>
          <w:highlight w:val="none"/>
        </w:rPr>
        <w:t>。</w:t>
      </w:r>
    </w:p>
    <w:p w14:paraId="1903A4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1CAA08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6BE928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按监理合同 </w:t>
      </w:r>
      <w:r>
        <w:rPr>
          <w:rFonts w:hint="eastAsia" w:ascii="宋体" w:hAnsi="宋体" w:eastAsia="宋体" w:cs="宋体"/>
          <w:color w:val="auto"/>
          <w:sz w:val="21"/>
          <w:szCs w:val="21"/>
          <w:highlight w:val="none"/>
        </w:rPr>
        <w:t>；</w:t>
      </w:r>
    </w:p>
    <w:p w14:paraId="383C6B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D3B82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2701F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87ECB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13A4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10C2AB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xml:space="preserve">按监理合同 </w:t>
      </w:r>
      <w:r>
        <w:rPr>
          <w:rFonts w:hint="eastAsia" w:ascii="宋体" w:hAnsi="宋体" w:eastAsia="宋体" w:cs="宋体"/>
          <w:color w:val="auto"/>
          <w:sz w:val="21"/>
          <w:szCs w:val="21"/>
          <w:highlight w:val="none"/>
        </w:rPr>
        <w:t>。</w:t>
      </w:r>
    </w:p>
    <w:p w14:paraId="66C6C9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23F33F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6EE91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6398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DD4F9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2334CF8">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工程质量</w:t>
      </w:r>
    </w:p>
    <w:p w14:paraId="69C50E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7A8994CE">
      <w:pPr>
        <w:spacing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5.1.1 特殊质量标准和要求：</w:t>
      </w:r>
      <w:r>
        <w:rPr>
          <w:rFonts w:hint="eastAsia" w:ascii="宋体" w:hAnsi="宋体" w:eastAsia="宋体" w:cs="宋体"/>
          <w:b/>
          <w:color w:val="auto"/>
          <w:sz w:val="21"/>
          <w:szCs w:val="21"/>
          <w:highlight w:val="none"/>
          <w:u w:val="single"/>
        </w:rPr>
        <w:t xml:space="preserve">        /       </w:t>
      </w:r>
    </w:p>
    <w:p w14:paraId="7513D5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b/>
          <w:color w:val="auto"/>
          <w:sz w:val="21"/>
          <w:szCs w:val="21"/>
          <w:highlight w:val="none"/>
          <w:u w:val="single"/>
        </w:rPr>
        <w:t xml:space="preserve">         /        </w:t>
      </w:r>
    </w:p>
    <w:p w14:paraId="2A2C3D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7EF7ED6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2CB2A8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rPr>
        <w:t>小时提交书面延期要求。</w:t>
      </w:r>
    </w:p>
    <w:p w14:paraId="1CE0C2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48</w:t>
      </w:r>
      <w:r>
        <w:rPr>
          <w:rFonts w:hint="eastAsia" w:ascii="宋体" w:hAnsi="宋体" w:eastAsia="宋体" w:cs="宋体"/>
          <w:color w:val="auto"/>
          <w:sz w:val="21"/>
          <w:szCs w:val="21"/>
          <w:highlight w:val="none"/>
        </w:rPr>
        <w:t>小时。</w:t>
      </w:r>
    </w:p>
    <w:p w14:paraId="7C01353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安全文明施工与环境保护</w:t>
      </w:r>
    </w:p>
    <w:p w14:paraId="4AC891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5F32F8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DE03A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A6A99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023DE9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7DA64DC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在实施和完成本合同工程及其工程保修的整个过程中，承包方应遵守国家和浙江、嘉兴等有关安全文明施工的有关规定。如果由于承包人未能对安全文明生产采取必要的措施而导致发生与此有关的人身伤亡、罚款、索赔、损失补偿、诉讼及其他一切责任，由承包人负责。</w:t>
      </w:r>
    </w:p>
    <w:p w14:paraId="7AA1ED2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承包人应当为施工现场从事施工作业和管理的人员，在施工活动过程中发生的人身意外伤亡事故提供保障，办理建筑意外伤害保险、支付保险费。</w:t>
      </w:r>
    </w:p>
    <w:p w14:paraId="20FFAEB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承包人在实施施工和保修期间的任何时候，对本工程周围环境都应采取必要的保护措施，不得随意排放污水和有害物，也不得破坏已建或在建工程的任何部分。</w:t>
      </w:r>
    </w:p>
    <w:p w14:paraId="4D1BC9F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承包人的机械设备必须符合国家有关标准，性能良好，应配备专业的操作人员并具有上岗证书，施工车辆应经过公安交通部门检测合格，证照齐全。</w:t>
      </w:r>
    </w:p>
    <w:p w14:paraId="4C4AA89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在工程开工前应办理好工程的安监手续，并经验收后才能进行开工建设，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14:paraId="76DBC70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该做好外来人员和外来车辆到现场的安全管理，承包人应做好各类危险指示牌，指示牌需清晰可辩，如外来人员或外来车辆在施工现场出现事故，是由于承包人责任的，承包人应承担该项赔偿费用和责任。</w:t>
      </w:r>
    </w:p>
    <w:p w14:paraId="68639A5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安全防护措施费由承包人承担。</w:t>
      </w:r>
    </w:p>
    <w:p w14:paraId="24F7DF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与进度款同期支付</w:t>
      </w:r>
      <w:r>
        <w:rPr>
          <w:rFonts w:hint="eastAsia" w:ascii="宋体" w:hAnsi="宋体" w:eastAsia="宋体" w:cs="宋体"/>
          <w:color w:val="auto"/>
          <w:sz w:val="21"/>
          <w:szCs w:val="21"/>
          <w:highlight w:val="none"/>
        </w:rPr>
        <w:t>。</w:t>
      </w:r>
    </w:p>
    <w:p w14:paraId="5BB5FE3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工期和进度</w:t>
      </w:r>
    </w:p>
    <w:p w14:paraId="5B640D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3F1D22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C6A45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273C70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697F6E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2514FD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施工进度计划</w:t>
      </w:r>
    </w:p>
    <w:p w14:paraId="5D2CC9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3BE777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23CF6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203079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45AB96F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12C946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2700D9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ECC22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21B7D9C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天内发出开工通知的，承包人有权提出价格调整要求，或者解除合同。</w:t>
      </w:r>
    </w:p>
    <w:p w14:paraId="2D0731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483BCC4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7497B2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工期延误</w:t>
      </w:r>
    </w:p>
    <w:p w14:paraId="0EAB58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5C6A80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74BE9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 因承包人原因导致工期延误</w:t>
      </w:r>
    </w:p>
    <w:p w14:paraId="701CF20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因承包人原因造成工期延误，逾期竣工违约金的计算方法为：</w:t>
      </w:r>
      <w:r>
        <w:rPr>
          <w:rFonts w:hint="eastAsia" w:ascii="宋体" w:hAnsi="宋体" w:eastAsia="宋体" w:cs="宋体"/>
          <w:color w:val="auto"/>
          <w:sz w:val="21"/>
          <w:szCs w:val="21"/>
          <w:highlight w:val="none"/>
          <w:u w:val="single"/>
        </w:rPr>
        <w:t>每延误一天按</w:t>
      </w:r>
      <w:r>
        <w:rPr>
          <w:rFonts w:hint="eastAsia" w:ascii="宋体" w:hAnsi="宋体" w:eastAsia="宋体" w:cs="宋体"/>
          <w:color w:val="auto"/>
          <w:sz w:val="21"/>
          <w:szCs w:val="21"/>
          <w:highlight w:val="none"/>
          <w:u w:val="single"/>
          <w:lang w:val="en-US" w:eastAsia="zh-CN"/>
        </w:rPr>
        <w:t>2000元</w:t>
      </w:r>
      <w:r>
        <w:rPr>
          <w:rFonts w:hint="eastAsia" w:ascii="宋体" w:hAnsi="宋体" w:eastAsia="宋体" w:cs="宋体"/>
          <w:color w:val="auto"/>
          <w:sz w:val="21"/>
          <w:szCs w:val="21"/>
          <w:highlight w:val="none"/>
          <w:u w:val="single"/>
        </w:rPr>
        <w:t>计取违约金，直到最高赔偿额。</w:t>
      </w:r>
    </w:p>
    <w:p w14:paraId="189CC8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因承包人原因造成工期延误，逾期竣工违约金的上限：</w:t>
      </w:r>
      <w:r>
        <w:rPr>
          <w:rFonts w:hint="eastAsia" w:ascii="宋体" w:hAnsi="宋体" w:eastAsia="宋体" w:cs="宋体"/>
          <w:color w:val="auto"/>
          <w:sz w:val="21"/>
          <w:szCs w:val="21"/>
          <w:highlight w:val="none"/>
          <w:u w:val="single"/>
        </w:rPr>
        <w:t xml:space="preserve"> 即合同价的5%</w:t>
      </w:r>
      <w:r>
        <w:rPr>
          <w:rFonts w:hint="eastAsia" w:ascii="宋体" w:hAnsi="宋体" w:eastAsia="宋体" w:cs="宋体"/>
          <w:color w:val="auto"/>
          <w:sz w:val="21"/>
          <w:szCs w:val="21"/>
          <w:highlight w:val="none"/>
        </w:rPr>
        <w:t>。</w:t>
      </w:r>
    </w:p>
    <w:p w14:paraId="6390A6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 不利物质条件</w:t>
      </w:r>
    </w:p>
    <w:p w14:paraId="6F1E54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F8F74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7.7异常恶劣的气候条件</w:t>
      </w:r>
    </w:p>
    <w:p w14:paraId="4E0943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7C0609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（1）日最高气温达到40度及以上的天气；</w:t>
      </w:r>
    </w:p>
    <w:p w14:paraId="681C2A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（2）启动台风橙色及以上的预警的天气；</w:t>
      </w:r>
    </w:p>
    <w:p w14:paraId="72C15E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（3）造成工程损坏的冰雹和大雪灾害：日降雪量10mm及以上；</w:t>
      </w:r>
    </w:p>
    <w:p w14:paraId="63233A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（4）启动防汛预案一级响应的天气，启动防冻预案一级响应的天气。</w:t>
      </w:r>
    </w:p>
    <w:p w14:paraId="191D3E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1F48A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E64DC8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 材料与设备</w:t>
      </w:r>
    </w:p>
    <w:p w14:paraId="107171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8.2.承包人采购材料与工程设备</w:t>
      </w:r>
    </w:p>
    <w:p w14:paraId="06E0391F">
      <w:pPr>
        <w:spacing w:line="360" w:lineRule="auto"/>
        <w:ind w:firstLine="420" w:firstLineChars="200"/>
        <w:outlineLvl w:val="0"/>
        <w:rPr>
          <w:rFonts w:hint="eastAsia" w:ascii="宋体" w:hAnsi="宋体" w:eastAsia="宋体" w:cs="宋体"/>
          <w:color w:val="auto"/>
          <w:sz w:val="21"/>
          <w:szCs w:val="21"/>
          <w:highlight w:val="none"/>
          <w:u w:val="single"/>
        </w:rPr>
      </w:pPr>
      <w:bookmarkStart w:id="84" w:name="_Toc96951637"/>
      <w:bookmarkStart w:id="85" w:name="_Toc123820511"/>
      <w:bookmarkStart w:id="86" w:name="_Toc96951757"/>
      <w:r>
        <w:rPr>
          <w:rFonts w:hint="eastAsia" w:ascii="宋体" w:hAnsi="宋体" w:eastAsia="宋体" w:cs="宋体"/>
          <w:color w:val="auto"/>
          <w:sz w:val="21"/>
          <w:szCs w:val="21"/>
          <w:highlight w:val="none"/>
          <w:u w:val="single"/>
        </w:rPr>
        <w:t>1、本工程的材料、设备、配件由承包人负责采购，其质量必须符合设计和施工规范要求并经监理、建设单位确认。</w:t>
      </w:r>
      <w:bookmarkEnd w:id="84"/>
      <w:bookmarkEnd w:id="85"/>
      <w:bookmarkEnd w:id="86"/>
    </w:p>
    <w:p w14:paraId="74CE9F98">
      <w:pPr>
        <w:spacing w:line="360" w:lineRule="auto"/>
        <w:ind w:firstLine="420" w:firstLineChars="200"/>
        <w:outlineLvl w:val="0"/>
        <w:rPr>
          <w:rFonts w:hint="eastAsia" w:ascii="宋体" w:hAnsi="宋体" w:eastAsia="宋体" w:cs="宋体"/>
          <w:color w:val="auto"/>
          <w:sz w:val="21"/>
          <w:szCs w:val="21"/>
          <w:highlight w:val="none"/>
          <w:u w:val="single"/>
        </w:rPr>
      </w:pPr>
      <w:bookmarkStart w:id="87" w:name="_Toc96951638"/>
      <w:bookmarkStart w:id="88" w:name="_Toc96951758"/>
      <w:bookmarkStart w:id="89" w:name="_Toc123820512"/>
      <w:r>
        <w:rPr>
          <w:rFonts w:hint="eastAsia" w:ascii="宋体" w:hAnsi="宋体" w:eastAsia="宋体" w:cs="宋体"/>
          <w:color w:val="auto"/>
          <w:sz w:val="21"/>
          <w:szCs w:val="21"/>
          <w:highlight w:val="none"/>
          <w:u w:val="single"/>
        </w:rPr>
        <w:t>2、承包人采购成品、半成品、材料、设备在采购前均需征得发包人同意或双方共同采购。否则，发包人有权要求承包人更换或采取其它补救措施。对国家有强制性认证要求的设备与材料，必须具有强制性认证标志。</w:t>
      </w:r>
      <w:bookmarkEnd w:id="87"/>
      <w:bookmarkEnd w:id="88"/>
      <w:bookmarkEnd w:id="89"/>
    </w:p>
    <w:p w14:paraId="6F5311B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采购的材料到货后，要求附有产品合格证、质保单及有关检测报告，并经发包人指定的代表进行验收，按规定需送检测试的，必须测试合格后方可使用，检测所需费用，由承包人承担。否则发包人和监理单位有权制止。</w:t>
      </w:r>
    </w:p>
    <w:p w14:paraId="1490826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4、使用不合格材料和不允许使用的材料，所产生的后果由承包人承担全部责任。</w:t>
      </w:r>
    </w:p>
    <w:p w14:paraId="1E6160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8.4材料与工程设备的保管与使用</w:t>
      </w:r>
    </w:p>
    <w:p w14:paraId="56CA18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8.4.1发包人供应的材料设备的保管费用的承担：</w:t>
      </w:r>
      <w:r>
        <w:rPr>
          <w:rFonts w:hint="eastAsia" w:ascii="宋体" w:hAnsi="宋体" w:eastAsia="宋体" w:cs="宋体"/>
          <w:color w:val="auto"/>
          <w:sz w:val="21"/>
          <w:szCs w:val="21"/>
          <w:highlight w:val="none"/>
          <w:u w:val="single"/>
        </w:rPr>
        <w:t xml:space="preserve">按通用条款 </w:t>
      </w:r>
      <w:r>
        <w:rPr>
          <w:rFonts w:hint="eastAsia" w:ascii="宋体" w:hAnsi="宋体" w:eastAsia="宋体" w:cs="宋体"/>
          <w:color w:val="auto"/>
          <w:sz w:val="21"/>
          <w:szCs w:val="21"/>
          <w:highlight w:val="none"/>
        </w:rPr>
        <w:t>。</w:t>
      </w:r>
    </w:p>
    <w:p w14:paraId="4FE261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01101F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60DA59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另行确定 </w:t>
      </w:r>
      <w:r>
        <w:rPr>
          <w:rFonts w:hint="eastAsia" w:ascii="宋体" w:hAnsi="宋体" w:eastAsia="宋体" w:cs="宋体"/>
          <w:color w:val="auto"/>
          <w:sz w:val="21"/>
          <w:szCs w:val="21"/>
          <w:highlight w:val="none"/>
        </w:rPr>
        <w:t>。</w:t>
      </w:r>
    </w:p>
    <w:p w14:paraId="017EF6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288246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4A8C18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承包人自行承担 </w:t>
      </w:r>
      <w:r>
        <w:rPr>
          <w:rFonts w:hint="eastAsia" w:ascii="宋体" w:hAnsi="宋体" w:eastAsia="宋体" w:cs="宋体"/>
          <w:color w:val="auto"/>
          <w:sz w:val="21"/>
          <w:szCs w:val="21"/>
          <w:highlight w:val="none"/>
        </w:rPr>
        <w:t>。</w:t>
      </w:r>
    </w:p>
    <w:p w14:paraId="462AA35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 试验与检验</w:t>
      </w:r>
    </w:p>
    <w:p w14:paraId="1D3BA7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9.1试验设备与试验人员</w:t>
      </w:r>
    </w:p>
    <w:p w14:paraId="4E2BB4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试验设备</w:t>
      </w:r>
    </w:p>
    <w:p w14:paraId="62F541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r>
        <w:rPr>
          <w:rFonts w:hint="eastAsia" w:ascii="宋体" w:hAnsi="宋体" w:eastAsia="宋体" w:cs="宋体"/>
          <w:color w:val="auto"/>
          <w:sz w:val="21"/>
          <w:szCs w:val="21"/>
          <w:highlight w:val="none"/>
          <w:u w:val="single"/>
        </w:rPr>
        <w:t xml:space="preserve"> 另行确定 </w:t>
      </w:r>
      <w:r>
        <w:rPr>
          <w:rFonts w:hint="eastAsia" w:ascii="宋体" w:hAnsi="宋体" w:eastAsia="宋体" w:cs="宋体"/>
          <w:color w:val="auto"/>
          <w:sz w:val="21"/>
          <w:szCs w:val="21"/>
          <w:highlight w:val="none"/>
        </w:rPr>
        <w:t xml:space="preserve">。 </w:t>
      </w:r>
    </w:p>
    <w:p w14:paraId="1AA09D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另行确定 </w:t>
      </w:r>
      <w:r>
        <w:rPr>
          <w:rFonts w:hint="eastAsia" w:ascii="宋体" w:hAnsi="宋体" w:eastAsia="宋体" w:cs="宋体"/>
          <w:color w:val="auto"/>
          <w:sz w:val="21"/>
          <w:szCs w:val="21"/>
          <w:highlight w:val="none"/>
        </w:rPr>
        <w:t>。</w:t>
      </w:r>
    </w:p>
    <w:p w14:paraId="34D796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另行确定 </w:t>
      </w:r>
      <w:r>
        <w:rPr>
          <w:rFonts w:hint="eastAsia" w:ascii="宋体" w:hAnsi="宋体" w:eastAsia="宋体" w:cs="宋体"/>
          <w:color w:val="auto"/>
          <w:sz w:val="21"/>
          <w:szCs w:val="21"/>
          <w:highlight w:val="none"/>
        </w:rPr>
        <w:t>。</w:t>
      </w:r>
    </w:p>
    <w:p w14:paraId="39A543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14:paraId="49F9A2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49BAD97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变更</w:t>
      </w:r>
    </w:p>
    <w:p w14:paraId="674CF7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10.1变更的范围</w:t>
      </w:r>
    </w:p>
    <w:p w14:paraId="637E91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p>
    <w:p w14:paraId="38909ACD">
      <w:pPr>
        <w:spacing w:line="360" w:lineRule="auto"/>
        <w:ind w:firstLine="420" w:firstLineChars="200"/>
        <w:rPr>
          <w:rFonts w:hint="eastAsia" w:ascii="宋体" w:hAnsi="宋体" w:eastAsia="宋体" w:cs="宋体"/>
          <w:color w:val="auto"/>
          <w:sz w:val="21"/>
          <w:szCs w:val="21"/>
          <w:highlight w:val="none"/>
          <w:u w:val="single"/>
        </w:rPr>
      </w:pPr>
      <w:bookmarkStart w:id="90" w:name="_Toc31253"/>
      <w:r>
        <w:rPr>
          <w:rFonts w:hint="eastAsia" w:ascii="宋体" w:hAnsi="宋体" w:eastAsia="宋体" w:cs="宋体"/>
          <w:color w:val="auto"/>
          <w:sz w:val="21"/>
          <w:szCs w:val="21"/>
          <w:highlight w:val="none"/>
          <w:u w:val="single"/>
        </w:rPr>
        <w:t>（1）当本工程设计需要变更时，应经设计部门、监理单位及建设单位认可并出具工程设计变更联系单。所有未经建设单位认可的工程变更，将被视为施工单位的擅自变更，施工单位将承担全部责任。施工单位无权单独与设计部门联系工程变更事宜。</w:t>
      </w:r>
      <w:bookmarkEnd w:id="90"/>
    </w:p>
    <w:p w14:paraId="3CB8FAD1">
      <w:pPr>
        <w:spacing w:line="360" w:lineRule="auto"/>
        <w:ind w:firstLine="420" w:firstLineChars="200"/>
        <w:rPr>
          <w:rFonts w:hint="eastAsia" w:ascii="宋体" w:hAnsi="宋体" w:eastAsia="宋体" w:cs="宋体"/>
          <w:color w:val="auto"/>
          <w:sz w:val="21"/>
          <w:szCs w:val="21"/>
          <w:highlight w:val="none"/>
          <w:u w:val="single"/>
        </w:rPr>
      </w:pPr>
      <w:bookmarkStart w:id="91" w:name="_Toc6677"/>
      <w:r>
        <w:rPr>
          <w:rFonts w:hint="eastAsia" w:ascii="宋体" w:hAnsi="宋体" w:eastAsia="宋体" w:cs="宋体"/>
          <w:color w:val="auto"/>
          <w:sz w:val="21"/>
          <w:szCs w:val="21"/>
          <w:highlight w:val="none"/>
          <w:u w:val="single"/>
        </w:rPr>
        <w:t>（2）施工中原设计图纸已有设计但未详尽部分，由甲方委托设计单位补充详细图，乙方</w:t>
      </w:r>
      <w:r>
        <w:rPr>
          <w:rFonts w:hint="eastAsia" w:ascii="宋体" w:hAnsi="宋体" w:eastAsia="宋体" w:cs="宋体"/>
          <w:color w:val="auto"/>
          <w:sz w:val="21"/>
          <w:szCs w:val="21"/>
          <w:highlight w:val="none"/>
          <w:u w:val="single"/>
          <w:lang w:val="en-US" w:eastAsia="zh-CN"/>
        </w:rPr>
        <w:t>可</w:t>
      </w:r>
      <w:r>
        <w:rPr>
          <w:rFonts w:hint="eastAsia" w:ascii="宋体" w:hAnsi="宋体" w:eastAsia="宋体" w:cs="宋体"/>
          <w:color w:val="auto"/>
          <w:sz w:val="21"/>
          <w:szCs w:val="21"/>
          <w:highlight w:val="none"/>
          <w:u w:val="single"/>
        </w:rPr>
        <w:t>视为设计变更及要求增加施工费用。</w:t>
      </w:r>
      <w:bookmarkEnd w:id="91"/>
    </w:p>
    <w:p w14:paraId="75B4700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（3）设计变更数量应有相应书面说明，且由甲方代表签证方属有效，否则不得作为结算计价依据。</w:t>
      </w:r>
    </w:p>
    <w:p w14:paraId="1FEBF0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006CF3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131F8CE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关于变更估价的约定:</w:t>
      </w:r>
    </w:p>
    <w:p w14:paraId="63250C64">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u w:val="single"/>
        </w:rPr>
        <w:t>1、已标价工程量清单有相同项目的，按照相同项目单价认定。</w:t>
      </w:r>
      <w:r>
        <w:rPr>
          <w:rFonts w:hint="eastAsia" w:ascii="宋体" w:hAnsi="宋体" w:eastAsia="宋体" w:cs="宋体"/>
          <w:color w:val="auto"/>
          <w:kern w:val="2"/>
          <w:sz w:val="21"/>
          <w:szCs w:val="21"/>
          <w:highlight w:val="none"/>
          <w:u w:val="single"/>
        </w:rPr>
        <w:t>但合价金额占合同总价2%及以上的分部分项设计变更项目，其工程量增加或减少超过本项目工程数量15%及以上时，或合价金额占合同总价不到2%的分部分项设计变更项目，但其工程量增加或减少超过本项目工程数量25%及以上时，其增加部分工程量或减少后剩余部分工程量的相应单价由承包人参照投标时的报价分析表对原单价重新组价，并按照合理的成本与利润构成的原则提出单价，经</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kern w:val="2"/>
          <w:sz w:val="21"/>
          <w:szCs w:val="21"/>
          <w:highlight w:val="none"/>
          <w:u w:val="single"/>
        </w:rPr>
        <w:t>审定后，作为结算的依据。</w:t>
      </w:r>
    </w:p>
    <w:p w14:paraId="7D5A48AF">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w:t>
      </w:r>
      <w:r>
        <w:rPr>
          <w:rFonts w:hint="eastAsia" w:ascii="宋体" w:hAnsi="宋体" w:eastAsia="宋体" w:cs="宋体"/>
          <w:color w:val="auto"/>
          <w:sz w:val="21"/>
          <w:szCs w:val="21"/>
          <w:highlight w:val="none"/>
          <w:u w:val="single"/>
        </w:rPr>
        <w:t>已标价工程量清单</w:t>
      </w:r>
      <w:r>
        <w:rPr>
          <w:rFonts w:hint="eastAsia" w:ascii="宋体" w:hAnsi="宋体" w:eastAsia="宋体" w:cs="宋体"/>
          <w:color w:val="auto"/>
          <w:kern w:val="2"/>
          <w:sz w:val="21"/>
          <w:szCs w:val="21"/>
          <w:highlight w:val="none"/>
          <w:u w:val="single"/>
        </w:rPr>
        <w:t>中有类似工程项目综合单价的，参照该类似项目的综合单价计算确定：</w:t>
      </w:r>
    </w:p>
    <w:p w14:paraId="339FF55B">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(a)某种材料（或半成品及成品）等级、标准变化的，清单组合子目不变，仅调整不同材料价格；</w:t>
      </w:r>
    </w:p>
    <w:p w14:paraId="7F03C651">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(b)清单项目某一特征或工程内容发生变化，不影响其他特征及工程内容的，其他特征组合标准不变，仅调整发生变化的组合子目价格；</w:t>
      </w:r>
    </w:p>
    <w:p w14:paraId="4AE6BC3D">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3、</w:t>
      </w:r>
      <w:r>
        <w:rPr>
          <w:rFonts w:hint="eastAsia" w:ascii="宋体" w:hAnsi="宋体" w:eastAsia="宋体" w:cs="宋体"/>
          <w:color w:val="auto"/>
          <w:sz w:val="21"/>
          <w:szCs w:val="21"/>
          <w:highlight w:val="none"/>
          <w:u w:val="single"/>
        </w:rPr>
        <w:t>已标价工程量清单</w:t>
      </w:r>
      <w:r>
        <w:rPr>
          <w:rFonts w:hint="eastAsia" w:ascii="宋体" w:hAnsi="宋体" w:eastAsia="宋体" w:cs="宋体"/>
          <w:color w:val="auto"/>
          <w:kern w:val="2"/>
          <w:sz w:val="21"/>
          <w:szCs w:val="21"/>
          <w:highlight w:val="none"/>
          <w:u w:val="single"/>
        </w:rPr>
        <w:t>中没有类似工程项目综合单价的，由承包人根据合同中约定的组价原则或参考“计价依据”提出适当的综合单价，经</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kern w:val="2"/>
          <w:sz w:val="21"/>
          <w:szCs w:val="21"/>
          <w:highlight w:val="none"/>
          <w:u w:val="single"/>
        </w:rPr>
        <w:t>或监理人审定后执行；</w:t>
      </w:r>
    </w:p>
    <w:p w14:paraId="5A72366F">
      <w:pPr>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组价原则：</w:t>
      </w:r>
    </w:p>
    <w:p w14:paraId="4F91770F">
      <w:pPr>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根据《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等计价依据及定额标准计算；综合费率（含管理费、利润、风险费用）按投标文件同一口径执行；组价时，人工、材料、机械台班单价按照投标时人工、材料、机械台班单价的报价计算，无投标报价的材料价格，按照合同工期前80％《嘉兴造价管理》材料平均信息价计算，既无投标报价又无信息价的材料价格按</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kern w:val="2"/>
          <w:sz w:val="21"/>
          <w:szCs w:val="21"/>
          <w:highlight w:val="none"/>
          <w:u w:val="single"/>
        </w:rPr>
        <w:t>签证价格，定额不明确的由业主签证确认；计算出该项费用后并换算到《房屋建筑与装饰工程工程量计算规范》（GB50854-2013）、《通用安装工程工程量计算规范》（GB50856-2013）、《市政工程工程量计算规范》（GB50857-2013）以及浙江省有关补充规定的计算规定，格式套用投标书格式</w:t>
      </w:r>
      <w:r>
        <w:rPr>
          <w:rFonts w:hint="eastAsia" w:ascii="宋体" w:hAnsi="宋体" w:eastAsia="宋体" w:cs="宋体"/>
          <w:color w:val="auto"/>
          <w:kern w:val="2"/>
          <w:sz w:val="21"/>
          <w:szCs w:val="21"/>
          <w:highlight w:val="none"/>
        </w:rPr>
        <w:t>。</w:t>
      </w:r>
    </w:p>
    <w:p w14:paraId="6A250A93">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4、投标综合单价异常的处理：</w:t>
      </w:r>
    </w:p>
    <w:p w14:paraId="3BC2968E">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（1）投标综合单价遇下列情况，应对其异常性进行判定：</w:t>
      </w:r>
    </w:p>
    <w:p w14:paraId="50507E6B">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①投标综合单价与按合同约定的计价依据计算的综合单价偏差±25%以上；</w:t>
      </w:r>
    </w:p>
    <w:p w14:paraId="40FCC2C7">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②其他异常情况。</w:t>
      </w:r>
    </w:p>
    <w:p w14:paraId="249BCEA2">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（2）出现综合单价异常情况，按以下原则处理：</w:t>
      </w:r>
    </w:p>
    <w:p w14:paraId="4A35E107">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①工程量增加本项工程量15%以内的，按原综合单价在该项目合价中扣除，增加超过15%以外部分工程量，按本款第3条的组价原则重新确定综合单价，计算合价；</w:t>
      </w:r>
    </w:p>
    <w:p w14:paraId="44F6C523">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②工程量减少超过本项工程量15%以内的，按原综合单价在该项目合价中扣除，减少超过15%以外部分工程量，按本款第3条的组价原则重新确定综合单价，计算合价后，在该项目合价中扣除。</w:t>
      </w:r>
    </w:p>
    <w:p w14:paraId="166733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10.4.2承包人应在收到变更指示后14天内，向监理人提交变更估价申请，办理变更签证手续，逾期未上报的或逾期补报的，发包人将均不予签证。</w:t>
      </w:r>
    </w:p>
    <w:p w14:paraId="32F17E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10.5承包人的合理化建议</w:t>
      </w:r>
    </w:p>
    <w:p w14:paraId="3B25F9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39EF3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462DE67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3F3119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 暂估价</w:t>
      </w:r>
    </w:p>
    <w:p w14:paraId="77C2CD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暂估价材料和工程设备的明细详见附件11：《暂估价一览表》。</w:t>
      </w:r>
    </w:p>
    <w:p w14:paraId="741E99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 依法必须招标的暂估价项目</w:t>
      </w:r>
    </w:p>
    <w:p w14:paraId="34D47A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种方式确定。</w:t>
      </w:r>
    </w:p>
    <w:p w14:paraId="23CC8F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4ECFA1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种方式确定。</w:t>
      </w:r>
    </w:p>
    <w:p w14:paraId="4110F9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第3种方式：承包人直接实施的暂估价项目</w:t>
      </w:r>
    </w:p>
    <w:p w14:paraId="654B13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本项目不设置 </w:t>
      </w:r>
      <w:r>
        <w:rPr>
          <w:rFonts w:hint="eastAsia" w:ascii="宋体" w:hAnsi="宋体" w:eastAsia="宋体" w:cs="宋体"/>
          <w:color w:val="auto"/>
          <w:sz w:val="21"/>
          <w:szCs w:val="21"/>
          <w:highlight w:val="none"/>
        </w:rPr>
        <w:t>。</w:t>
      </w:r>
    </w:p>
    <w:p w14:paraId="1AE57D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66A3FC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本项目不设置  </w:t>
      </w:r>
      <w:r>
        <w:rPr>
          <w:rFonts w:hint="eastAsia" w:ascii="宋体" w:hAnsi="宋体" w:eastAsia="宋体" w:cs="宋体"/>
          <w:color w:val="auto"/>
          <w:sz w:val="21"/>
          <w:szCs w:val="21"/>
          <w:highlight w:val="none"/>
        </w:rPr>
        <w:t>。</w:t>
      </w:r>
    </w:p>
    <w:p w14:paraId="39DEEFE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价格调整</w:t>
      </w:r>
    </w:p>
    <w:p w14:paraId="196C5B44">
      <w:pPr>
        <w:spacing w:line="360" w:lineRule="auto"/>
        <w:ind w:firstLine="420" w:firstLineChars="200"/>
        <w:rPr>
          <w:rFonts w:hint="eastAsia" w:ascii="宋体" w:hAnsi="宋体" w:eastAsia="宋体" w:cs="宋体"/>
          <w:color w:val="auto"/>
          <w:sz w:val="21"/>
          <w:szCs w:val="21"/>
          <w:highlight w:val="none"/>
        </w:rPr>
      </w:pPr>
      <w:bookmarkStart w:id="92" w:name="_Toc297120501"/>
      <w:bookmarkStart w:id="93" w:name="_Toc296891029"/>
      <w:bookmarkStart w:id="94" w:name="_Toc312678039"/>
      <w:bookmarkStart w:id="95" w:name="_Toc297216209"/>
      <w:bookmarkStart w:id="96" w:name="_Toc304295577"/>
      <w:bookmarkStart w:id="97" w:name="_Toc296503201"/>
      <w:bookmarkStart w:id="98" w:name="_Toc296891241"/>
      <w:bookmarkStart w:id="99" w:name="_Toc296347200"/>
      <w:bookmarkStart w:id="100" w:name="_Toc297123550"/>
      <w:bookmarkStart w:id="101" w:name="_Toc292559911"/>
      <w:bookmarkStart w:id="102" w:name="_Toc300935000"/>
      <w:bookmarkStart w:id="103" w:name="_Toc292559406"/>
      <w:bookmarkStart w:id="104" w:name="_Toc296944540"/>
      <w:bookmarkStart w:id="105" w:name="_Toc297048387"/>
      <w:bookmarkStart w:id="106" w:name="_Toc303539157"/>
      <w:bookmarkStart w:id="107" w:name="_Toc296346702"/>
      <w:r>
        <w:rPr>
          <w:rFonts w:hint="eastAsia" w:ascii="宋体" w:hAnsi="宋体" w:eastAsia="宋体" w:cs="宋体"/>
          <w:color w:val="auto"/>
          <w:sz w:val="21"/>
          <w:szCs w:val="21"/>
          <w:highlight w:val="none"/>
        </w:rPr>
        <w:t>11.1 市场价格波动引起的调整</w:t>
      </w: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3EB30F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w:t>
      </w:r>
    </w:p>
    <w:p w14:paraId="29FB1A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种方式对合同价格进行调整：</w:t>
      </w:r>
    </w:p>
    <w:p w14:paraId="4CE87A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22FFC5C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6BFDD0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4251C3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（2）关于基准价格的约定：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AFE9C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EFE76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 合同价格、计量与支付</w:t>
      </w:r>
    </w:p>
    <w:p w14:paraId="6F5BF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合同价格形式：</w:t>
      </w:r>
      <w:r>
        <w:rPr>
          <w:rFonts w:hint="eastAsia" w:ascii="宋体" w:hAnsi="宋体" w:eastAsia="宋体" w:cs="宋体"/>
          <w:b/>
          <w:color w:val="auto"/>
          <w:sz w:val="21"/>
          <w:szCs w:val="21"/>
          <w:highlight w:val="none"/>
          <w:u w:val="single"/>
        </w:rPr>
        <w:t>本工程采用单价合同</w:t>
      </w:r>
    </w:p>
    <w:p w14:paraId="39AD6C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2DE9445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综合单价包含的风险范围：</w:t>
      </w:r>
    </w:p>
    <w:p w14:paraId="60F5923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承包人在编制投标书时，应被认为已察看和核查了现场和其周围环境，并已经充分掌握工程现场的地表周围和地下如地下水等情况，并对该处的气象等因素作了充分的预测以及与之有关的可利用的资料（包括当地有关工程施工的管理规定），并对以下几点内容（考虑到费用和时间实际可能）已经查明：</w:t>
      </w:r>
    </w:p>
    <w:p w14:paraId="78A00A8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 现场的地形地貌和特征，包括地表及地下水等情况；</w:t>
      </w:r>
    </w:p>
    <w:p w14:paraId="382E6F8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 水文和气候条件；</w:t>
      </w:r>
    </w:p>
    <w:p w14:paraId="6EB2477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 实施和完成本合同工程及其工程保修所需做的工作范围、性质和所需用的材料采购和加工；</w:t>
      </w:r>
    </w:p>
    <w:p w14:paraId="7D92551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 进入现场的手段和需要的食宿供应条件；</w:t>
      </w:r>
    </w:p>
    <w:p w14:paraId="6A76661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 承包方己取得有关可能对投标或报价有影响或起作用的风险、意外及其所有其他情况的必要资料。</w:t>
      </w:r>
    </w:p>
    <w:p w14:paraId="30EF6D1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（2）：承包人在编制投标书时，应被认为已考虑了以下风险因素：</w:t>
      </w:r>
    </w:p>
    <w:p w14:paraId="205E80E2">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 合同执行期间，工程造价管理部门公布的价格变化（第11.1款规定的人工及可调材料除外）；</w:t>
      </w:r>
    </w:p>
    <w:p w14:paraId="1FE875E2">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 合同执行期内，人工、材料、机械费价格的市场变化；</w:t>
      </w:r>
    </w:p>
    <w:p w14:paraId="48A01D31">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 合同执行期内，施工临时停电、停水造成的停工；</w:t>
      </w:r>
    </w:p>
    <w:p w14:paraId="1A9D95F9">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 合同执行期内，因客观原因造成承包人停工、窝工；</w:t>
      </w:r>
    </w:p>
    <w:p w14:paraId="24490D2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 合同执行期内可能发生的其他费用，包括市政、市容、环保、交通、治安等。</w:t>
      </w:r>
    </w:p>
    <w:p w14:paraId="603DAE4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（3）：承包人在编制投标书时，应被认为已考虑了本合同的其他风险条款。</w:t>
      </w:r>
    </w:p>
    <w:p w14:paraId="6671807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投标单位在投标时根据招标要求自行确定，风险因素范围内的风险费用不在合同价外另行计列及调整。</w:t>
      </w:r>
    </w:p>
    <w:p w14:paraId="44C920DF">
      <w:pPr>
        <w:tabs>
          <w:tab w:val="center" w:pos="4723"/>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风险范围以外合同价格的调整方法：</w:t>
      </w:r>
    </w:p>
    <w:p w14:paraId="59162267">
      <w:pPr>
        <w:spacing w:line="360" w:lineRule="auto"/>
        <w:ind w:firstLine="420"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（1）分部分项工程量清单项目工程数量的调整：</w:t>
      </w:r>
      <w:r>
        <w:rPr>
          <w:rFonts w:hint="eastAsia" w:ascii="宋体" w:hAnsi="宋体" w:eastAsia="宋体" w:cs="宋体"/>
          <w:color w:val="auto"/>
          <w:sz w:val="21"/>
          <w:szCs w:val="21"/>
          <w:highlight w:val="none"/>
          <w:u w:val="single"/>
        </w:rPr>
        <w:t>分部分项清单工程量（明确一次性包干或结算不作调整的项目和费用外）按</w:t>
      </w:r>
      <w:r>
        <w:rPr>
          <w:rFonts w:hint="eastAsia" w:ascii="宋体" w:hAnsi="宋体" w:eastAsia="宋体" w:cs="宋体"/>
          <w:b/>
          <w:bCs/>
          <w:color w:val="auto"/>
          <w:sz w:val="21"/>
          <w:szCs w:val="21"/>
          <w:highlight w:val="none"/>
          <w:u w:val="single"/>
        </w:rPr>
        <w:t>《建设工程工程量清单计价规范》（GB50500－2013）、《通用安装工程工程量计算规范》（GB50856- 2013）、《市政工程工程量计算规范》（GB50857-2013）、施工图、会审纪要、联系单等按实计算。</w:t>
      </w:r>
    </w:p>
    <w:p w14:paraId="637CD8C8">
      <w:pPr>
        <w:tabs>
          <w:tab w:val="center" w:pos="4723"/>
        </w:tabs>
        <w:spacing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（2）措施项目工程量清单项目工程数量的调整：</w:t>
      </w:r>
      <w:r>
        <w:rPr>
          <w:rFonts w:hint="eastAsia" w:ascii="宋体" w:hAnsi="宋体" w:eastAsia="宋体" w:cs="宋体"/>
          <w:b/>
          <w:bCs/>
          <w:color w:val="auto"/>
          <w:sz w:val="21"/>
          <w:szCs w:val="21"/>
          <w:highlight w:val="none"/>
          <w:u w:val="single"/>
        </w:rPr>
        <w:t>施工技术措施费按实结算，其中以“项”、“次”为计量单位的技术措施费为一次性包干费用，结算时不作调整。新增项目（会审纪要、联系单等）引起施工技术措施费调整的，则施工技术措施费按实调整。</w:t>
      </w:r>
    </w:p>
    <w:p w14:paraId="6B10F70B">
      <w:pPr>
        <w:tabs>
          <w:tab w:val="center" w:pos="4723"/>
        </w:tabs>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（3）分部分项工程量清单项目综合单价的调整：</w:t>
      </w:r>
      <w:r>
        <w:rPr>
          <w:rFonts w:hint="eastAsia" w:ascii="宋体" w:hAnsi="宋体" w:eastAsia="宋体" w:cs="宋体"/>
          <w:color w:val="auto"/>
          <w:sz w:val="21"/>
          <w:szCs w:val="21"/>
          <w:highlight w:val="none"/>
          <w:u w:val="single"/>
        </w:rPr>
        <w:t>按合同专用条款10.4.1“ 变更估价原则”执行。</w:t>
      </w:r>
    </w:p>
    <w:p w14:paraId="2F2DA6F1">
      <w:pPr>
        <w:spacing w:line="360" w:lineRule="auto"/>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（4）市场价格波动引起的调整：</w:t>
      </w:r>
      <w:r>
        <w:rPr>
          <w:rFonts w:hint="eastAsia" w:ascii="宋体" w:hAnsi="宋体" w:eastAsia="宋体" w:cs="宋体"/>
          <w:color w:val="auto"/>
          <w:sz w:val="21"/>
          <w:szCs w:val="21"/>
          <w:highlight w:val="none"/>
          <w:u w:val="single"/>
        </w:rPr>
        <w:t>按合同第11.1款规定执行</w:t>
      </w:r>
      <w:r>
        <w:rPr>
          <w:rFonts w:hint="eastAsia" w:ascii="宋体" w:hAnsi="宋体" w:eastAsia="宋体" w:cs="宋体"/>
          <w:color w:val="auto"/>
          <w:sz w:val="21"/>
          <w:szCs w:val="21"/>
          <w:highlight w:val="none"/>
        </w:rPr>
        <w:t>。</w:t>
      </w:r>
    </w:p>
    <w:p w14:paraId="739BC4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B16F2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p w14:paraId="340E7A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058251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1、合</w:t>
      </w:r>
      <w:r>
        <w:rPr>
          <w:rFonts w:hint="eastAsia" w:ascii="宋体" w:hAnsi="宋体" w:eastAsia="宋体" w:cs="宋体"/>
          <w:color w:val="auto"/>
          <w:sz w:val="21"/>
          <w:szCs w:val="21"/>
          <w:highlight w:val="none"/>
          <w:u w:val="single"/>
        </w:rPr>
        <w:t>同价的</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含</w:t>
      </w:r>
      <w:r>
        <w:rPr>
          <w:rFonts w:hint="eastAsia" w:ascii="宋体" w:hAnsi="宋体" w:eastAsia="宋体" w:cs="宋体"/>
          <w:color w:val="auto"/>
          <w:sz w:val="21"/>
          <w:szCs w:val="21"/>
          <w:highlight w:val="none"/>
          <w:u w:val="single"/>
        </w:rPr>
        <w:t>农民工工资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w:t>
      </w:r>
    </w:p>
    <w:p w14:paraId="6F32B1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合同签订后7日内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FCBA2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6BF50C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3D12AD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4762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1A790C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5EE5EC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17999C4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b/>
          <w:color w:val="auto"/>
          <w:sz w:val="21"/>
          <w:szCs w:val="21"/>
          <w:highlight w:val="none"/>
          <w:u w:val="single"/>
        </w:rPr>
        <w:t>按照《建设工程工程量清单计价规范》（GB50500-2013）、《房屋建筑与装饰工程工程量计算规范》（GB50854-2013）、《通用安装工程工程量计算规范》（GB50856- 2013）、《市政工程工程量计算规范》（GB50857-2013）浙江省配合贯彻《建设工程工程量清单计价规范》（GB50500-2013版）相关补充和调整管理规定及相关计价依据所规定的工程量计算规则计算</w:t>
      </w:r>
      <w:r>
        <w:rPr>
          <w:rFonts w:hint="eastAsia" w:ascii="宋体" w:hAnsi="宋体" w:eastAsia="宋体" w:cs="宋体"/>
          <w:color w:val="auto"/>
          <w:sz w:val="21"/>
          <w:szCs w:val="21"/>
          <w:highlight w:val="none"/>
          <w:u w:val="single"/>
        </w:rPr>
        <w:t>。</w:t>
      </w:r>
    </w:p>
    <w:p w14:paraId="05FD95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97322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按月进度   </w:t>
      </w:r>
      <w:r>
        <w:rPr>
          <w:rFonts w:hint="eastAsia" w:ascii="宋体" w:hAnsi="宋体" w:eastAsia="宋体" w:cs="宋体"/>
          <w:color w:val="auto"/>
          <w:sz w:val="21"/>
          <w:szCs w:val="21"/>
          <w:highlight w:val="none"/>
        </w:rPr>
        <w:t>。</w:t>
      </w:r>
    </w:p>
    <w:p w14:paraId="16EA95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58E2DA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1FBBA7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6666D2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5014A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12.3.5总价合同采用支付分解表计量支付的，是否适用第12.3.4 项〔总价合同的计量〕约定进行计量：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14E6F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328533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F02FB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67AB9D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14:paraId="5D44AE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关于付款周期的约定： </w:t>
      </w:r>
    </w:p>
    <w:p w14:paraId="3E1383DA">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1.在合同生效以及具备实施条件后7个工作日内支付合同金额的40%预付款；</w:t>
      </w:r>
    </w:p>
    <w:p w14:paraId="1A0C3736">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2.项目完成且验收合格后30个工作日内支付至合同价的85%；余款在结算审计完成后</w:t>
      </w:r>
      <w:r>
        <w:rPr>
          <w:rFonts w:hint="eastAsia" w:ascii="宋体" w:hAnsi="宋体" w:cs="宋体"/>
          <w:b/>
          <w:bCs/>
          <w:color w:val="auto"/>
          <w:sz w:val="21"/>
          <w:szCs w:val="21"/>
          <w:highlight w:val="none"/>
          <w:lang w:val="en-US" w:eastAsia="zh-CN"/>
        </w:rPr>
        <w:t>承包人向发包人支付结算价1.5%的质量保证金后支付至结算价的100%</w:t>
      </w:r>
      <w:r>
        <w:rPr>
          <w:rFonts w:hint="eastAsia" w:ascii="宋体" w:hAnsi="宋体" w:eastAsia="宋体" w:cs="宋体"/>
          <w:b/>
          <w:bCs/>
          <w:color w:val="auto"/>
          <w:sz w:val="21"/>
          <w:szCs w:val="21"/>
          <w:highlight w:val="none"/>
          <w:lang w:val="en-US" w:eastAsia="zh-CN"/>
        </w:rPr>
        <w:t>。</w:t>
      </w:r>
    </w:p>
    <w:p w14:paraId="05C257BD">
      <w:pPr>
        <w:spacing w:line="360" w:lineRule="auto"/>
        <w:ind w:firstLine="420" w:firstLineChars="200"/>
        <w:jc w:val="both"/>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 xml:space="preserve">注：①本项目严格执行嘉兴市秀洲区人力资源和社会保障局等4部门《秀洲区工程建设领域农民工工资专用账户及工资保证金管理实施细则（试行）》（秀洲人社【2022】18号）及浙江省住房和城乡建设厅等11部门《关于在全省工程建设领域改革保证金制度的通知》（浙建〔2020〕7号），中标人要开设农民工工资预储专用存款账户并为农民工办理银行工资卡，建设单位拨付的工程款将按农民工工资或劳务费所占的合理比例列入存款账户，专项用于支付农民工工资。 </w:t>
      </w:r>
    </w:p>
    <w:p w14:paraId="38097DB4">
      <w:pPr>
        <w:spacing w:line="360" w:lineRule="auto"/>
        <w:ind w:firstLine="420" w:firstLineChars="200"/>
        <w:jc w:val="both"/>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 xml:space="preserve">②所有工程联系单均送审前一并提交，且工程联系单等增加部分在工程结算审定后一并支付。 </w:t>
      </w:r>
    </w:p>
    <w:p w14:paraId="16F78336">
      <w:pPr>
        <w:spacing w:line="360" w:lineRule="auto"/>
        <w:ind w:firstLine="420" w:firstLineChars="200"/>
        <w:jc w:val="both"/>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 xml:space="preserve">③对于承包人应承担的审价费用的核增减追加费。 </w:t>
      </w:r>
    </w:p>
    <w:p w14:paraId="7C5CE5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136C57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385C29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33DF81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4FE7A7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2270081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10E69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000C937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CB8E5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1DEC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33831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762A69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63F752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7A1C4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3E35158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验收和工程试车</w:t>
      </w:r>
    </w:p>
    <w:p w14:paraId="0B3A50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7953C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rPr>
        <w:t>小时提交书面延期要求。</w:t>
      </w:r>
    </w:p>
    <w:p w14:paraId="60C2AB5A">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48</w:t>
      </w:r>
      <w:r>
        <w:rPr>
          <w:rFonts w:hint="eastAsia" w:ascii="宋体" w:hAnsi="宋体" w:eastAsia="宋体" w:cs="宋体"/>
          <w:color w:val="auto"/>
          <w:sz w:val="21"/>
          <w:szCs w:val="21"/>
          <w:highlight w:val="none"/>
        </w:rPr>
        <w:t>小时。</w:t>
      </w:r>
    </w:p>
    <w:p w14:paraId="527A6C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竣工验收</w:t>
      </w:r>
    </w:p>
    <w:p w14:paraId="5E8AFD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14:paraId="709335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25E5FF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66A890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14:paraId="776E56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应当在颁发工程接收证书后7天内完成工程的移交 </w:t>
      </w:r>
      <w:r>
        <w:rPr>
          <w:rFonts w:hint="eastAsia" w:ascii="宋体" w:hAnsi="宋体" w:eastAsia="宋体" w:cs="宋体"/>
          <w:color w:val="auto"/>
          <w:sz w:val="21"/>
          <w:szCs w:val="21"/>
          <w:highlight w:val="none"/>
        </w:rPr>
        <w:t>。</w:t>
      </w:r>
    </w:p>
    <w:p w14:paraId="7885B73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2FB7F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按第7.5.2条款  </w:t>
      </w:r>
      <w:r>
        <w:rPr>
          <w:rFonts w:hint="eastAsia" w:ascii="宋体" w:hAnsi="宋体" w:eastAsia="宋体" w:cs="宋体"/>
          <w:color w:val="auto"/>
          <w:sz w:val="21"/>
          <w:szCs w:val="21"/>
          <w:highlight w:val="none"/>
        </w:rPr>
        <w:t>。</w:t>
      </w:r>
    </w:p>
    <w:p w14:paraId="0E7DD0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p w14:paraId="5A0B3F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6508DA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130E9E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27C500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3FC303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14A7A0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4ABE82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37B5C7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0DAF20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颁发工程接收证书后14天内</w:t>
      </w:r>
      <w:r>
        <w:rPr>
          <w:rFonts w:hint="eastAsia" w:ascii="宋体" w:hAnsi="宋体" w:eastAsia="宋体" w:cs="宋体"/>
          <w:color w:val="auto"/>
          <w:sz w:val="21"/>
          <w:szCs w:val="21"/>
          <w:highlight w:val="none"/>
        </w:rPr>
        <w:t>。</w:t>
      </w:r>
    </w:p>
    <w:p w14:paraId="23E64C1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竣工结算</w:t>
      </w:r>
    </w:p>
    <w:p w14:paraId="5F4796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7A58D9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3C7871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06E0C8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641669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D33AA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工程结算经发包人委托相关单位审核 </w:t>
      </w:r>
      <w:r>
        <w:rPr>
          <w:rFonts w:hint="eastAsia" w:ascii="宋体" w:hAnsi="宋体" w:eastAsia="宋体" w:cs="宋体"/>
          <w:color w:val="auto"/>
          <w:sz w:val="21"/>
          <w:szCs w:val="21"/>
          <w:highlight w:val="none"/>
        </w:rPr>
        <w:t>。</w:t>
      </w:r>
    </w:p>
    <w:p w14:paraId="4E3F66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请求建设行政主管部门、行业协会或第三方进行调解。有关审核（价）中发生的相关费用：工程结算按规定程序由发包人委托中介机构审核，结算核减（增）率超过5%的，则超过部分的审核费由承包人负责，发包人可以在支付或准备支付给承包人的任何款项中扣除。承包人资料不齐或不符合竣工备案条件的，发包人可拒绝承包人的支付要求。</w:t>
      </w:r>
    </w:p>
    <w:p w14:paraId="71AE80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46509E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329857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4份  </w:t>
      </w:r>
      <w:r>
        <w:rPr>
          <w:rFonts w:hint="eastAsia" w:ascii="宋体" w:hAnsi="宋体" w:eastAsia="宋体" w:cs="宋体"/>
          <w:color w:val="auto"/>
          <w:sz w:val="21"/>
          <w:szCs w:val="21"/>
          <w:highlight w:val="none"/>
        </w:rPr>
        <w:t>。</w:t>
      </w:r>
    </w:p>
    <w:p w14:paraId="1CF160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 xml:space="preserve">。 </w:t>
      </w:r>
    </w:p>
    <w:p w14:paraId="77B501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1D3C78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1448ED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发包人应在颁发最终结清证书后28天内完成支付</w:t>
      </w:r>
      <w:r>
        <w:rPr>
          <w:rFonts w:hint="eastAsia" w:ascii="宋体" w:hAnsi="宋体" w:eastAsia="宋体" w:cs="宋体"/>
          <w:color w:val="auto"/>
          <w:sz w:val="21"/>
          <w:szCs w:val="21"/>
          <w:highlight w:val="none"/>
        </w:rPr>
        <w:t>。</w:t>
      </w:r>
    </w:p>
    <w:p w14:paraId="2609AF3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 缺陷责任期与保修</w:t>
      </w:r>
    </w:p>
    <w:p w14:paraId="3657DD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p>
    <w:p w14:paraId="7D9029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详见工程质量保修书   </w:t>
      </w:r>
      <w:r>
        <w:rPr>
          <w:rFonts w:hint="eastAsia" w:ascii="宋体" w:hAnsi="宋体" w:eastAsia="宋体" w:cs="宋体"/>
          <w:color w:val="auto"/>
          <w:sz w:val="21"/>
          <w:szCs w:val="21"/>
          <w:highlight w:val="none"/>
        </w:rPr>
        <w:t>。</w:t>
      </w:r>
    </w:p>
    <w:p w14:paraId="33962D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06E5EF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rPr>
        <w:t>。</w:t>
      </w:r>
    </w:p>
    <w:p w14:paraId="4CED2F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135403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种方式：</w:t>
      </w:r>
    </w:p>
    <w:p w14:paraId="1FDFE3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7E04AC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%的工程款；</w:t>
      </w:r>
    </w:p>
    <w:p w14:paraId="555D19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color w:val="auto"/>
          <w:sz w:val="21"/>
          <w:szCs w:val="21"/>
          <w:highlight w:val="none"/>
          <w:u w:val="single"/>
        </w:rPr>
        <w:t xml:space="preserve"> 审定价的1.5%，采用银行保函或保险公司保函或融资公司担保 </w:t>
      </w:r>
      <w:r>
        <w:rPr>
          <w:rFonts w:hint="eastAsia" w:ascii="宋体" w:hAnsi="宋体" w:eastAsia="宋体" w:cs="宋体"/>
          <w:color w:val="auto"/>
          <w:sz w:val="21"/>
          <w:szCs w:val="21"/>
          <w:highlight w:val="none"/>
        </w:rPr>
        <w:t>。</w:t>
      </w:r>
    </w:p>
    <w:p w14:paraId="4FC568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572520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种方式：</w:t>
      </w:r>
    </w:p>
    <w:p w14:paraId="2ECBB4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7ACEEF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08493B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color w:val="auto"/>
          <w:sz w:val="21"/>
          <w:szCs w:val="21"/>
          <w:highlight w:val="none"/>
          <w:u w:val="single"/>
        </w:rPr>
        <w:t xml:space="preserve"> 按合同条款12.4.1 执行 </w:t>
      </w:r>
      <w:r>
        <w:rPr>
          <w:rFonts w:hint="eastAsia" w:ascii="宋体" w:hAnsi="宋体" w:eastAsia="宋体" w:cs="宋体"/>
          <w:color w:val="auto"/>
          <w:sz w:val="21"/>
          <w:szCs w:val="21"/>
          <w:highlight w:val="none"/>
        </w:rPr>
        <w:t>。</w:t>
      </w:r>
    </w:p>
    <w:p w14:paraId="2E1F54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 xml:space="preserve">如承包人在发包人签发竣工付款证书后28天内提交质量保证金保函，发包人应退还扣留的作为质量保证金的工程价款；保函金额为工程价款结算总额的1.5% </w:t>
      </w:r>
      <w:r>
        <w:rPr>
          <w:rFonts w:hint="eastAsia" w:ascii="宋体" w:hAnsi="宋体" w:eastAsia="宋体" w:cs="宋体"/>
          <w:color w:val="auto"/>
          <w:sz w:val="21"/>
          <w:szCs w:val="21"/>
          <w:highlight w:val="none"/>
        </w:rPr>
        <w:t>。</w:t>
      </w:r>
    </w:p>
    <w:p w14:paraId="77D6A2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p w14:paraId="759FEE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66E986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sz w:val="21"/>
          <w:szCs w:val="21"/>
          <w:highlight w:val="none"/>
          <w:u w:val="single"/>
        </w:rPr>
        <w:t xml:space="preserve">详见工程质量保修书 </w:t>
      </w:r>
      <w:r>
        <w:rPr>
          <w:rFonts w:hint="eastAsia" w:ascii="宋体" w:hAnsi="宋体" w:eastAsia="宋体" w:cs="宋体"/>
          <w:color w:val="auto"/>
          <w:sz w:val="21"/>
          <w:szCs w:val="21"/>
          <w:highlight w:val="none"/>
        </w:rPr>
        <w:t>。</w:t>
      </w:r>
    </w:p>
    <w:p w14:paraId="4F8E18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540B70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 接到保修通知后48小时内派人保修，承包人不在约定期限内派人保修的，发包人可以委托他人修理，维修费用在质量保证金中扣取  </w:t>
      </w:r>
      <w:r>
        <w:rPr>
          <w:rFonts w:hint="eastAsia" w:ascii="宋体" w:hAnsi="宋体" w:eastAsia="宋体" w:cs="宋体"/>
          <w:color w:val="auto"/>
          <w:sz w:val="21"/>
          <w:szCs w:val="21"/>
          <w:highlight w:val="none"/>
        </w:rPr>
        <w:t>。</w:t>
      </w:r>
    </w:p>
    <w:p w14:paraId="09220CE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 违约</w:t>
      </w:r>
    </w:p>
    <w:p w14:paraId="725623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3B71B5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0B743F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9F5B4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3FA4B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7F2E37E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785E7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7C827E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2B331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2C759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A8B0B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01987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23C11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6EEB74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color w:val="auto"/>
          <w:sz w:val="21"/>
          <w:szCs w:val="21"/>
          <w:highlight w:val="none"/>
          <w:u w:val="single"/>
        </w:rPr>
        <w:t>28</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35832C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26077E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391252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500B0F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6F8DFBE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承包人违约责任的承担方式和计算方法：</w:t>
      </w:r>
    </w:p>
    <w:p w14:paraId="52CFA503">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因承包人原因达不到合同中规定的工程质量要求，发包人可采用口头通知的方式要求承包人进行返工；如返工后仍达不到约定条件的，发包人有权向承包人发出整改通知书，并视为承包人违约，承包人应向发包人支付违约金，承包人拒不整改的或整改不到位的，每发生一次，扣除承包人人民币1000元。如累计扣</w:t>
      </w:r>
      <w:r>
        <w:rPr>
          <w:rFonts w:hint="eastAsia" w:ascii="宋体" w:hAnsi="宋体" w:eastAsia="宋体" w:cs="宋体"/>
          <w:color w:val="auto"/>
          <w:sz w:val="21"/>
          <w:szCs w:val="21"/>
          <w:highlight w:val="none"/>
          <w:u w:val="single"/>
          <w:lang w:val="en-US" w:eastAsia="zh-CN"/>
        </w:rPr>
        <w:t>违约金</w:t>
      </w:r>
      <w:r>
        <w:rPr>
          <w:rFonts w:hint="eastAsia" w:ascii="宋体" w:hAnsi="宋体" w:eastAsia="宋体" w:cs="宋体"/>
          <w:color w:val="auto"/>
          <w:sz w:val="21"/>
          <w:szCs w:val="21"/>
          <w:highlight w:val="none"/>
          <w:u w:val="single"/>
        </w:rPr>
        <w:t>额超过合同价的1.5%，同时发包人有权与承包人终止合同，并要求承包人向发包人支付本合同价10%的</w:t>
      </w:r>
      <w:r>
        <w:rPr>
          <w:rFonts w:hint="eastAsia" w:ascii="宋体" w:hAnsi="宋体" w:eastAsia="宋体" w:cs="宋体"/>
          <w:color w:val="auto"/>
          <w:sz w:val="21"/>
          <w:szCs w:val="21"/>
          <w:highlight w:val="none"/>
          <w:u w:val="single"/>
          <w:lang w:val="en-US" w:eastAsia="zh-CN"/>
        </w:rPr>
        <w:t>违约金</w:t>
      </w:r>
      <w:r>
        <w:rPr>
          <w:rFonts w:hint="eastAsia" w:ascii="宋体" w:hAnsi="宋体" w:eastAsia="宋体" w:cs="宋体"/>
          <w:color w:val="auto"/>
          <w:sz w:val="21"/>
          <w:szCs w:val="21"/>
          <w:highlight w:val="none"/>
          <w:u w:val="single"/>
        </w:rPr>
        <w:t>。上述款项由发包人在工程费的支付时予以扣除，承包人已承诺无条件接受。</w:t>
      </w:r>
    </w:p>
    <w:p w14:paraId="2D314CEA">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（2）施工质量管理违约责任：</w:t>
      </w:r>
    </w:p>
    <w:p w14:paraId="31D3985E">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日常施工质量管理：发包人（或监理人）日常检查过程中发现承包人未按图施工、施工质量达不到相关验收标准或合同中规定的质量要求，发包人（或监理人）可采用口头通知的方式要求承包人进行返工；如返工后仍达不到约定条件的，发包人（或监理人）有权向承包人发出整改通知书，并视为承包人违约，承包人应向发包人支付违约金，以发包人（或监理人）签署的整改通知书为准，每书面通知整改一次，扣除承包人人民币500元，若整改不到位需要再次整改的，违约金按上述金额逐次翻倍，叠加计算。</w:t>
      </w:r>
    </w:p>
    <w:p w14:paraId="0DEAC0D0">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行政主管、督查等部门例行检查：若行政主管、督查等部门在例行检查中发现工程存在质量问题，发出书面通知，视为承包人违约，承包人应向发包人支付违约金，每书面通知整改一次，承包人应向发包人支付违约金500元/次；若整改不到位需要再次整改的，违约金按上述金额逐次翻倍，叠加计算。</w:t>
      </w:r>
    </w:p>
    <w:p w14:paraId="4E38616E">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有行政主管部门参与的工程验收：因承包人原因造成工程一次验收未通过，视为承包人违约，要求承包人及时整改并向发包人支付违约金1000元/次；若再次验收未通过的，违约金按上述金额逐次翻倍，叠加计算。</w:t>
      </w:r>
    </w:p>
    <w:p w14:paraId="54BA09C3">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D.因承包人原因造成工程停工整改，每停工整改一次，视为承包人违约，扣除承包人违约金人民币5000元。</w:t>
      </w:r>
    </w:p>
    <w:p w14:paraId="7894BABB">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E、未按图施工，但不具备整改条件，在不影响结构、安全及使用功能的情况下，扣除实际与图纸之间差额部分金额并再支付差额部分同等金额的违约金。</w:t>
      </w:r>
    </w:p>
    <w:p w14:paraId="39B51D74">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上述条款如累计扣除金额超过全部质量履约保证金，发包人可从工程款中直接扣除超过部分金额。同时发包人有权与承包人终止合同，并要求承包人向发包人支付本合同价10%的违约金。上述款项由发包人在最近一次工程费的支付时予以扣除，承包人已承诺无条件接受。</w:t>
      </w:r>
    </w:p>
    <w:p w14:paraId="0154463B">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在实施和完成本合同工程及其工程保修的整个过程中，承包人应遵守国家和嘉兴市政府有关安全生产文明施工的相关规定。如由于承包人未能对安全文明生产采取必要的措施而导致发生与此有关的人身伤亡、罚款、索赔、损失补偿、诉讼及其他一切责任，由承包人负责。承包人必须根据国家和地方有关安全生产、文明施工的规定落实好各项安全措施，如现场施工违反规定，监理工程师有权发出整改通知书，如承包人拒不执行，监理工程师有权要求停工，并报建设行政主管部门及发包人。每书面通知整改一次，扣除承包人人民币1000元；每停工整改一次，处罚承包人人民币2000元，行政主管、督查等部门例行检查发出书面通知时亦执行此项条款。如累计直接损失超过全部文明施工履约保证金，还应赔偿超过部分金额。上述款项由发包人在工程费的支付时予以扣除，承包人已承诺无条件接受。</w:t>
      </w:r>
    </w:p>
    <w:p w14:paraId="1394A467">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承包人投入本工程的施工队伍的素质、能力、力量和机械等必须符合投标书的承诺和满足工程的实际需要。如承包人在接到开工令后15日历天内所投入的机械、施工队伍仍不符合投标书的承诺，发包人可采用口头通知的方式要求承包人进行整改；如整改后仍达不到投标书承诺的，发包人有权向承包人发出整改通知书，并视为承包人违约。承包人应向发包人支付违约金，以发包人签署的整改通知书为准，每书面通知整改一次，处罚承包人1000元人民币。如由于承包人原因造成现场管理混乱，施工质量和进度明显达不到合同要求且无视发包人或监理工程师事先的书面整改通知书，拒不服从监理工程师监管，发包人有权要求其加强管理，调整充实力量，承包人必须接受。当上述措施仍无效时，发包人可单方面终止合同，并追究承包人的经济责任。上述款项由发包人在最近一次工程费的支付时予以扣除，承包人已承诺无条件接受。</w:t>
      </w:r>
    </w:p>
    <w:p w14:paraId="5589AB71">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（5）承包人将本工程非法转包的，发包人可以立即解除本合同并要求承包人向发包人承担本合同价20%的违约金。</w:t>
      </w:r>
    </w:p>
    <w:p w14:paraId="12639803">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承包人应对施工人员加强教育和管理，配合当地有关部门做好社会治安工作。本工程发包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发包人单位或工程的正常秩序或搅乱当地社会稳定的，发包人有权停止支付工程款，每次事件（经主管部门认定的事件）发生，发包人可要求承包人赔偿由此给发包人造成的损失或负面社会影响，每次扣除</w:t>
      </w:r>
      <w:r>
        <w:rPr>
          <w:rFonts w:hint="eastAsia" w:ascii="宋体" w:hAnsi="宋体" w:eastAsia="宋体" w:cs="宋体"/>
          <w:color w:val="auto"/>
          <w:sz w:val="21"/>
          <w:szCs w:val="21"/>
          <w:highlight w:val="none"/>
          <w:u w:val="single"/>
          <w:lang w:val="en-US" w:eastAsia="zh-CN"/>
        </w:rPr>
        <w:t>违约金</w:t>
      </w:r>
      <w:r>
        <w:rPr>
          <w:rFonts w:hint="eastAsia" w:ascii="宋体" w:hAnsi="宋体" w:eastAsia="宋体" w:cs="宋体"/>
          <w:color w:val="auto"/>
          <w:sz w:val="21"/>
          <w:szCs w:val="21"/>
          <w:highlight w:val="none"/>
          <w:u w:val="single"/>
        </w:rPr>
        <w:t>人民币10000元。同时发包人可根据相关文件要求进行处置。</w:t>
      </w:r>
    </w:p>
    <w:p w14:paraId="2C5E3D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7E4F78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4F2CEE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C8510C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17. 不可抗力 </w:t>
      </w:r>
    </w:p>
    <w:p w14:paraId="7F9553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4457C77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6122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6A0312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28</w:t>
      </w:r>
      <w:r>
        <w:rPr>
          <w:rFonts w:hint="eastAsia" w:ascii="宋体" w:hAnsi="宋体" w:eastAsia="宋体" w:cs="宋体"/>
          <w:color w:val="auto"/>
          <w:sz w:val="21"/>
          <w:szCs w:val="21"/>
          <w:highlight w:val="none"/>
        </w:rPr>
        <w:t>天内完成款项的支付。</w:t>
      </w:r>
    </w:p>
    <w:p w14:paraId="33319E9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 保险</w:t>
      </w:r>
    </w:p>
    <w:p w14:paraId="4FCF8F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54126A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按规定办理建设工程一切险及第三者责任险（明确发包人为受益人）及施工人员人身意外伤害保险并承担该项保险的一切费用。其他有关部门规定必须办理或要求办理的各类强制保险、劳动保险和承包人认为需投保的等由承包人自己负责办理并承担一切费用</w:t>
      </w:r>
      <w:r>
        <w:rPr>
          <w:rFonts w:hint="eastAsia" w:ascii="宋体" w:hAnsi="宋体" w:eastAsia="宋体" w:cs="宋体"/>
          <w:color w:val="auto"/>
          <w:sz w:val="21"/>
          <w:szCs w:val="21"/>
          <w:highlight w:val="none"/>
        </w:rPr>
        <w:t>。</w:t>
      </w:r>
    </w:p>
    <w:p w14:paraId="4C8F13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756AAC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sz w:val="21"/>
          <w:szCs w:val="21"/>
          <w:highlight w:val="none"/>
          <w:u w:val="single"/>
        </w:rPr>
        <w:t xml:space="preserve"> 承包人必须依照法律规定参保 </w:t>
      </w:r>
      <w:r>
        <w:rPr>
          <w:rFonts w:hint="eastAsia" w:ascii="宋体" w:hAnsi="宋体" w:eastAsia="宋体" w:cs="宋体"/>
          <w:color w:val="auto"/>
          <w:sz w:val="21"/>
          <w:szCs w:val="21"/>
          <w:highlight w:val="none"/>
        </w:rPr>
        <w:t>。</w:t>
      </w:r>
    </w:p>
    <w:p w14:paraId="0A5B56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是   </w:t>
      </w:r>
      <w:r>
        <w:rPr>
          <w:rFonts w:hint="eastAsia" w:ascii="宋体" w:hAnsi="宋体" w:eastAsia="宋体" w:cs="宋体"/>
          <w:color w:val="auto"/>
          <w:sz w:val="21"/>
          <w:szCs w:val="21"/>
          <w:highlight w:val="none"/>
        </w:rPr>
        <w:t>。</w:t>
      </w:r>
    </w:p>
    <w:p w14:paraId="5C33FA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0C4E28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7C3D9DBA">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 争议解决</w:t>
      </w:r>
    </w:p>
    <w:p w14:paraId="35167B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争议评审</w:t>
      </w:r>
    </w:p>
    <w:p w14:paraId="167F1D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 xml:space="preserve">。  </w:t>
      </w:r>
    </w:p>
    <w:p w14:paraId="0A5224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658B9FF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D8203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BED30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80EE9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6C503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525C1B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7E62F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p>
    <w:p w14:paraId="12D32D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种方式解决：</w:t>
      </w:r>
    </w:p>
    <w:p w14:paraId="22A705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嘉兴 </w:t>
      </w:r>
      <w:r>
        <w:rPr>
          <w:rFonts w:hint="eastAsia" w:ascii="宋体" w:hAnsi="宋体" w:eastAsia="宋体" w:cs="宋体"/>
          <w:color w:val="auto"/>
          <w:sz w:val="21"/>
          <w:szCs w:val="21"/>
          <w:highlight w:val="none"/>
        </w:rPr>
        <w:t>仲裁委员会申请仲裁；</w:t>
      </w:r>
    </w:p>
    <w:p w14:paraId="7B9EDC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工程所在地 </w:t>
      </w:r>
      <w:r>
        <w:rPr>
          <w:rFonts w:hint="eastAsia" w:ascii="宋体" w:hAnsi="宋体" w:eastAsia="宋体" w:cs="宋体"/>
          <w:color w:val="auto"/>
          <w:sz w:val="21"/>
          <w:szCs w:val="21"/>
          <w:highlight w:val="none"/>
        </w:rPr>
        <w:t>人民法院起诉。</w:t>
      </w:r>
    </w:p>
    <w:p w14:paraId="5DBD4686">
      <w:pPr>
        <w:spacing w:line="240" w:lineRule="auto"/>
        <w:ind w:firstLine="422" w:firstLineChars="200"/>
        <w:rPr>
          <w:rFonts w:hint="eastAsia" w:ascii="宋体" w:hAnsi="宋体" w:eastAsia="宋体" w:cs="宋体"/>
          <w:b/>
          <w:color w:val="auto"/>
          <w:sz w:val="21"/>
          <w:szCs w:val="21"/>
          <w:highlight w:val="none"/>
        </w:rPr>
      </w:pPr>
    </w:p>
    <w:p w14:paraId="6CEFB8F7">
      <w:pPr>
        <w:rPr>
          <w:rFonts w:hint="eastAsia" w:asciiTheme="minorEastAsia" w:hAnsiTheme="minorEastAsia" w:eastAsiaTheme="minorEastAsia"/>
          <w:b/>
          <w:color w:val="auto"/>
          <w:kern w:val="2"/>
          <w:sz w:val="32"/>
          <w:szCs w:val="32"/>
          <w:highlight w:val="none"/>
        </w:rPr>
      </w:pPr>
      <w:r>
        <w:rPr>
          <w:rFonts w:hint="eastAsia" w:asciiTheme="minorEastAsia" w:hAnsiTheme="minorEastAsia" w:eastAsiaTheme="minorEastAsia"/>
          <w:b/>
          <w:color w:val="auto"/>
          <w:kern w:val="2"/>
          <w:sz w:val="32"/>
          <w:szCs w:val="32"/>
          <w:highlight w:val="none"/>
        </w:rPr>
        <w:br w:type="page"/>
      </w:r>
    </w:p>
    <w:p w14:paraId="175D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Theme="minorEastAsia" w:hAnsiTheme="minorEastAsia" w:eastAsiaTheme="minorEastAsia"/>
          <w:b/>
          <w:color w:val="auto"/>
          <w:kern w:val="2"/>
          <w:sz w:val="32"/>
          <w:szCs w:val="32"/>
          <w:highlight w:val="none"/>
        </w:rPr>
      </w:pPr>
    </w:p>
    <w:tbl>
      <w:tblPr>
        <w:tblStyle w:val="54"/>
        <w:tblW w:w="9767" w:type="dxa"/>
        <w:jc w:val="center"/>
        <w:tblLayout w:type="fixed"/>
        <w:tblCellMar>
          <w:top w:w="0" w:type="dxa"/>
          <w:left w:w="108" w:type="dxa"/>
          <w:bottom w:w="0" w:type="dxa"/>
          <w:right w:w="108" w:type="dxa"/>
        </w:tblCellMar>
      </w:tblPr>
      <w:tblGrid>
        <w:gridCol w:w="2125"/>
        <w:gridCol w:w="2761"/>
        <w:gridCol w:w="1211"/>
        <w:gridCol w:w="1880"/>
        <w:gridCol w:w="1790"/>
      </w:tblGrid>
      <w:tr w14:paraId="5B0A3838">
        <w:tblPrEx>
          <w:tblCellMar>
            <w:top w:w="0" w:type="dxa"/>
            <w:left w:w="108" w:type="dxa"/>
            <w:bottom w:w="0" w:type="dxa"/>
            <w:right w:w="108" w:type="dxa"/>
          </w:tblCellMar>
        </w:tblPrEx>
        <w:trPr>
          <w:trHeight w:val="570" w:hRule="atLeast"/>
          <w:jc w:val="center"/>
        </w:trPr>
        <w:tc>
          <w:tcPr>
            <w:tcW w:w="9767" w:type="dxa"/>
            <w:gridSpan w:val="5"/>
            <w:tcBorders>
              <w:top w:val="nil"/>
              <w:left w:val="nil"/>
              <w:bottom w:val="nil"/>
              <w:right w:val="nil"/>
            </w:tcBorders>
            <w:vAlign w:val="center"/>
          </w:tcPr>
          <w:p w14:paraId="206E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eastAsiaTheme="minorEastAsia"/>
                <w:b/>
                <w:color w:val="auto"/>
                <w:kern w:val="2"/>
                <w:sz w:val="32"/>
                <w:szCs w:val="32"/>
                <w:highlight w:val="none"/>
              </w:rPr>
            </w:pPr>
            <w:r>
              <w:rPr>
                <w:rFonts w:hint="eastAsia" w:asciiTheme="minorEastAsia" w:hAnsiTheme="minorEastAsia" w:eastAsiaTheme="minorEastAsia"/>
                <w:b/>
                <w:color w:val="auto"/>
                <w:kern w:val="2"/>
                <w:sz w:val="32"/>
                <w:szCs w:val="32"/>
                <w:highlight w:val="none"/>
              </w:rPr>
              <w:t>政府采购验收单</w:t>
            </w:r>
          </w:p>
          <w:p w14:paraId="69E34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按照嘉兴市秀洲区财政局</w:t>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szCs w:val="21"/>
                <w:highlight w:val="none"/>
                <w:u w:val="single"/>
                <w:lang w:eastAsia="zh-CN"/>
              </w:rPr>
              <w:t>临[2025]1064号</w:t>
            </w:r>
            <w:r>
              <w:rPr>
                <w:rFonts w:hint="eastAsia" w:asciiTheme="minorEastAsia" w:hAnsiTheme="minorEastAsia" w:eastAsiaTheme="minorEastAsia"/>
                <w:b/>
                <w:color w:val="auto"/>
                <w:szCs w:val="21"/>
                <w:highlight w:val="none"/>
                <w:u w:val="single"/>
              </w:rPr>
              <w:fldChar w:fldCharType="end"/>
            </w:r>
            <w:r>
              <w:rPr>
                <w:rFonts w:asciiTheme="minorEastAsia" w:hAnsiTheme="minorEastAsia" w:eastAsiaTheme="minorEastAsia"/>
                <w:color w:val="auto"/>
                <w:kern w:val="2"/>
                <w:szCs w:val="21"/>
                <w:highlight w:val="none"/>
              </w:rPr>
              <w:t>采购计划</w:t>
            </w:r>
            <w:r>
              <w:rPr>
                <w:rFonts w:hint="eastAsia" w:asciiTheme="minorEastAsia" w:hAnsiTheme="minorEastAsia" w:eastAsiaTheme="minorEastAsia"/>
                <w:color w:val="auto"/>
                <w:kern w:val="2"/>
                <w:szCs w:val="21"/>
                <w:highlight w:val="none"/>
              </w:rPr>
              <w:t>，采购编号：</w:t>
            </w:r>
            <w:r>
              <w:rPr>
                <w:rFonts w:hint="eastAsia" w:cs="Arial" w:asciiTheme="minorEastAsia" w:hAnsiTheme="minorEastAsia" w:eastAsiaTheme="minorEastAsia"/>
                <w:color w:val="auto"/>
                <w:szCs w:val="21"/>
                <w:highlight w:val="none"/>
                <w:lang w:eastAsia="zh-CN"/>
              </w:rPr>
              <w:t>银建-JXYJ（2025）28号</w:t>
            </w:r>
            <w:r>
              <w:rPr>
                <w:rFonts w:asciiTheme="minorEastAsia" w:hAnsiTheme="minorEastAsia" w:eastAsiaTheme="minorEastAsia"/>
                <w:color w:val="auto"/>
                <w:kern w:val="2"/>
                <w:szCs w:val="21"/>
                <w:highlight w:val="none"/>
              </w:rPr>
              <w:t xml:space="preserve"> </w:t>
            </w:r>
            <w:r>
              <w:rPr>
                <w:rFonts w:hint="eastAsia" w:asciiTheme="minorEastAsia" w:hAnsiTheme="minorEastAsia" w:eastAsiaTheme="minorEastAsia"/>
                <w:color w:val="auto"/>
                <w:kern w:val="2"/>
                <w:szCs w:val="21"/>
                <w:highlight w:val="none"/>
              </w:rPr>
              <w:t>,合同号：</w:t>
            </w:r>
            <w:r>
              <w:rPr>
                <w:rFonts w:hint="eastAsia" w:cs="Arial" w:asciiTheme="minorEastAsia" w:hAnsiTheme="minorEastAsia" w:eastAsiaTheme="minorEastAsia"/>
                <w:color w:val="auto"/>
                <w:szCs w:val="21"/>
                <w:highlight w:val="none"/>
                <w:lang w:eastAsia="zh-CN"/>
              </w:rPr>
              <w:t>银建-JXYJ（2025）28号</w:t>
            </w:r>
            <w:r>
              <w:rPr>
                <w:rFonts w:hint="eastAsia" w:asciiTheme="minorEastAsia" w:hAnsiTheme="minorEastAsia" w:eastAsiaTheme="minorEastAsia"/>
                <w:color w:val="auto"/>
                <w:kern w:val="2"/>
                <w:szCs w:val="21"/>
                <w:highlight w:val="none"/>
              </w:rPr>
              <w:t>。以下项目已采购到位并验收合格。</w:t>
            </w:r>
          </w:p>
        </w:tc>
      </w:tr>
      <w:tr w14:paraId="4542473E">
        <w:tblPrEx>
          <w:tblCellMar>
            <w:top w:w="0" w:type="dxa"/>
            <w:left w:w="108" w:type="dxa"/>
            <w:bottom w:w="0" w:type="dxa"/>
            <w:right w:w="108" w:type="dxa"/>
          </w:tblCellMar>
        </w:tblPrEx>
        <w:trPr>
          <w:trHeight w:val="870" w:hRule="atLeast"/>
          <w:jc w:val="center"/>
        </w:trPr>
        <w:tc>
          <w:tcPr>
            <w:tcW w:w="2125" w:type="dxa"/>
            <w:tcBorders>
              <w:top w:val="single" w:color="auto" w:sz="4" w:space="0"/>
              <w:left w:val="single" w:color="auto" w:sz="4" w:space="0"/>
              <w:bottom w:val="nil"/>
              <w:right w:val="single" w:color="auto" w:sz="4" w:space="0"/>
            </w:tcBorders>
            <w:vAlign w:val="center"/>
          </w:tcPr>
          <w:p w14:paraId="0CC2C7B2">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服务名称</w:t>
            </w:r>
          </w:p>
        </w:tc>
        <w:tc>
          <w:tcPr>
            <w:tcW w:w="2761" w:type="dxa"/>
            <w:tcBorders>
              <w:top w:val="single" w:color="auto" w:sz="4" w:space="0"/>
              <w:left w:val="nil"/>
              <w:bottom w:val="nil"/>
              <w:right w:val="single" w:color="auto" w:sz="4" w:space="0"/>
            </w:tcBorders>
            <w:vAlign w:val="center"/>
          </w:tcPr>
          <w:p w14:paraId="53B06AF1">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服务内容</w:t>
            </w:r>
          </w:p>
        </w:tc>
        <w:tc>
          <w:tcPr>
            <w:tcW w:w="1211" w:type="dxa"/>
            <w:tcBorders>
              <w:top w:val="single" w:color="auto" w:sz="4" w:space="0"/>
              <w:left w:val="nil"/>
              <w:bottom w:val="nil"/>
              <w:right w:val="single" w:color="auto" w:sz="4" w:space="0"/>
            </w:tcBorders>
            <w:vAlign w:val="center"/>
          </w:tcPr>
          <w:p w14:paraId="7E883F11">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数量</w:t>
            </w:r>
          </w:p>
        </w:tc>
        <w:tc>
          <w:tcPr>
            <w:tcW w:w="1880" w:type="dxa"/>
            <w:tcBorders>
              <w:top w:val="single" w:color="auto" w:sz="4" w:space="0"/>
              <w:left w:val="nil"/>
              <w:bottom w:val="nil"/>
              <w:right w:val="single" w:color="auto" w:sz="4" w:space="0"/>
            </w:tcBorders>
            <w:vAlign w:val="center"/>
          </w:tcPr>
          <w:p w14:paraId="607B1526">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核定总价</w:t>
            </w:r>
          </w:p>
        </w:tc>
        <w:tc>
          <w:tcPr>
            <w:tcW w:w="1790" w:type="dxa"/>
            <w:tcBorders>
              <w:top w:val="single" w:color="auto" w:sz="4" w:space="0"/>
              <w:left w:val="nil"/>
              <w:bottom w:val="single" w:color="auto" w:sz="4" w:space="0"/>
              <w:right w:val="single" w:color="auto" w:sz="4" w:space="0"/>
            </w:tcBorders>
            <w:vAlign w:val="center"/>
          </w:tcPr>
          <w:p w14:paraId="1CCA5A78">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采购人</w:t>
            </w:r>
          </w:p>
          <w:p w14:paraId="6AC47614">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验收意见</w:t>
            </w:r>
          </w:p>
        </w:tc>
      </w:tr>
      <w:tr w14:paraId="7EA8BB48">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71F644A2">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2761" w:type="dxa"/>
            <w:tcBorders>
              <w:top w:val="single" w:color="auto" w:sz="4" w:space="0"/>
              <w:left w:val="nil"/>
              <w:bottom w:val="single" w:color="auto" w:sz="4" w:space="0"/>
              <w:right w:val="single" w:color="auto" w:sz="4" w:space="0"/>
            </w:tcBorders>
            <w:vAlign w:val="center"/>
          </w:tcPr>
          <w:p w14:paraId="6889F1DE">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211" w:type="dxa"/>
            <w:tcBorders>
              <w:top w:val="single" w:color="auto" w:sz="4" w:space="0"/>
              <w:left w:val="nil"/>
              <w:bottom w:val="single" w:color="auto" w:sz="4" w:space="0"/>
              <w:right w:val="single" w:color="auto" w:sz="4" w:space="0"/>
            </w:tcBorders>
            <w:vAlign w:val="center"/>
          </w:tcPr>
          <w:p w14:paraId="08D5B881">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880" w:type="dxa"/>
            <w:tcBorders>
              <w:top w:val="single" w:color="auto" w:sz="4" w:space="0"/>
              <w:left w:val="nil"/>
              <w:bottom w:val="single" w:color="auto" w:sz="4" w:space="0"/>
              <w:right w:val="single" w:color="auto" w:sz="4" w:space="0"/>
            </w:tcBorders>
            <w:vAlign w:val="center"/>
          </w:tcPr>
          <w:p w14:paraId="54F78ED8">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790" w:type="dxa"/>
            <w:tcBorders>
              <w:top w:val="nil"/>
              <w:left w:val="nil"/>
              <w:bottom w:val="single" w:color="auto" w:sz="4" w:space="0"/>
              <w:right w:val="single" w:color="auto" w:sz="4" w:space="0"/>
            </w:tcBorders>
            <w:vAlign w:val="bottom"/>
          </w:tcPr>
          <w:p w14:paraId="3CA48C6F">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2797E907">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038A288E">
            <w:pPr>
              <w:spacing w:line="360" w:lineRule="auto"/>
              <w:jc w:val="center"/>
              <w:rPr>
                <w:rFonts w:asciiTheme="minorEastAsia" w:hAnsiTheme="minorEastAsia" w:eastAsiaTheme="minorEastAsia"/>
                <w:color w:val="auto"/>
                <w:kern w:val="2"/>
                <w:szCs w:val="21"/>
                <w:highlight w:val="none"/>
              </w:rPr>
            </w:pPr>
          </w:p>
        </w:tc>
        <w:tc>
          <w:tcPr>
            <w:tcW w:w="2761" w:type="dxa"/>
            <w:tcBorders>
              <w:top w:val="single" w:color="auto" w:sz="4" w:space="0"/>
              <w:left w:val="nil"/>
              <w:bottom w:val="single" w:color="auto" w:sz="4" w:space="0"/>
              <w:right w:val="single" w:color="auto" w:sz="4" w:space="0"/>
            </w:tcBorders>
            <w:vAlign w:val="center"/>
          </w:tcPr>
          <w:p w14:paraId="2C23E1FC">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14:paraId="137D6941">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14:paraId="29395B70">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14:paraId="6C610C56">
            <w:pPr>
              <w:spacing w:line="360" w:lineRule="auto"/>
              <w:rPr>
                <w:rFonts w:asciiTheme="minorEastAsia" w:hAnsiTheme="minorEastAsia" w:eastAsiaTheme="minorEastAsia"/>
                <w:color w:val="auto"/>
                <w:kern w:val="2"/>
                <w:szCs w:val="21"/>
                <w:highlight w:val="none"/>
              </w:rPr>
            </w:pPr>
          </w:p>
        </w:tc>
      </w:tr>
      <w:tr w14:paraId="3425AAB3">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58E6F003">
            <w:pPr>
              <w:spacing w:line="360" w:lineRule="auto"/>
              <w:jc w:val="center"/>
              <w:rPr>
                <w:rFonts w:asciiTheme="minorEastAsia" w:hAnsiTheme="minorEastAsia" w:eastAsiaTheme="minorEastAsia"/>
                <w:color w:val="auto"/>
                <w:kern w:val="2"/>
                <w:szCs w:val="21"/>
                <w:highlight w:val="none"/>
              </w:rPr>
            </w:pPr>
          </w:p>
        </w:tc>
        <w:tc>
          <w:tcPr>
            <w:tcW w:w="2761" w:type="dxa"/>
            <w:tcBorders>
              <w:top w:val="single" w:color="auto" w:sz="4" w:space="0"/>
              <w:left w:val="nil"/>
              <w:bottom w:val="single" w:color="auto" w:sz="4" w:space="0"/>
              <w:right w:val="single" w:color="auto" w:sz="4" w:space="0"/>
            </w:tcBorders>
            <w:vAlign w:val="center"/>
          </w:tcPr>
          <w:p w14:paraId="7C08885F">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14:paraId="733256BD">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14:paraId="0E0A1AE9">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14:paraId="04BB568E">
            <w:pPr>
              <w:spacing w:line="360" w:lineRule="auto"/>
              <w:rPr>
                <w:rFonts w:asciiTheme="minorEastAsia" w:hAnsiTheme="minorEastAsia" w:eastAsiaTheme="minorEastAsia"/>
                <w:color w:val="auto"/>
                <w:kern w:val="2"/>
                <w:szCs w:val="21"/>
                <w:highlight w:val="none"/>
              </w:rPr>
            </w:pPr>
          </w:p>
        </w:tc>
      </w:tr>
      <w:tr w14:paraId="2D2AFA8F">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4A840B46">
            <w:pPr>
              <w:spacing w:line="360" w:lineRule="auto"/>
              <w:jc w:val="center"/>
              <w:rPr>
                <w:rFonts w:asciiTheme="minorEastAsia" w:hAnsiTheme="minorEastAsia" w:eastAsiaTheme="minorEastAsia"/>
                <w:color w:val="auto"/>
                <w:kern w:val="2"/>
                <w:szCs w:val="21"/>
                <w:highlight w:val="none"/>
              </w:rPr>
            </w:pPr>
          </w:p>
          <w:p w14:paraId="5B740942">
            <w:pPr>
              <w:pStyle w:val="3"/>
              <w:spacing w:line="360" w:lineRule="auto"/>
              <w:rPr>
                <w:rFonts w:asciiTheme="minorEastAsia" w:hAnsiTheme="minorEastAsia" w:eastAsiaTheme="minorEastAsia"/>
                <w:b w:val="0"/>
                <w:bCs w:val="0"/>
                <w:color w:val="auto"/>
                <w:kern w:val="2"/>
                <w:sz w:val="21"/>
                <w:szCs w:val="21"/>
                <w:highlight w:val="none"/>
              </w:rPr>
            </w:pPr>
          </w:p>
        </w:tc>
        <w:tc>
          <w:tcPr>
            <w:tcW w:w="2761" w:type="dxa"/>
            <w:tcBorders>
              <w:top w:val="single" w:color="auto" w:sz="4" w:space="0"/>
              <w:left w:val="nil"/>
              <w:bottom w:val="single" w:color="auto" w:sz="4" w:space="0"/>
              <w:right w:val="single" w:color="auto" w:sz="4" w:space="0"/>
            </w:tcBorders>
            <w:vAlign w:val="center"/>
          </w:tcPr>
          <w:p w14:paraId="4D249CD7">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14:paraId="4E663BA1">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14:paraId="14F35EEC">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14:paraId="41F13DF6">
            <w:pPr>
              <w:spacing w:line="360" w:lineRule="auto"/>
              <w:rPr>
                <w:rFonts w:asciiTheme="minorEastAsia" w:hAnsiTheme="minorEastAsia" w:eastAsiaTheme="minorEastAsia"/>
                <w:color w:val="auto"/>
                <w:kern w:val="2"/>
                <w:szCs w:val="21"/>
                <w:highlight w:val="none"/>
              </w:rPr>
            </w:pPr>
          </w:p>
        </w:tc>
      </w:tr>
      <w:tr w14:paraId="2DCF8790">
        <w:tblPrEx>
          <w:tblCellMar>
            <w:top w:w="0" w:type="dxa"/>
            <w:left w:w="108" w:type="dxa"/>
            <w:bottom w:w="0" w:type="dxa"/>
            <w:right w:w="108" w:type="dxa"/>
          </w:tblCellMar>
        </w:tblPrEx>
        <w:trPr>
          <w:trHeight w:val="750" w:hRule="atLeast"/>
          <w:jc w:val="center"/>
        </w:trPr>
        <w:tc>
          <w:tcPr>
            <w:tcW w:w="2125" w:type="dxa"/>
            <w:tcBorders>
              <w:top w:val="nil"/>
              <w:left w:val="single" w:color="auto" w:sz="4" w:space="0"/>
              <w:bottom w:val="single" w:color="auto" w:sz="4" w:space="0"/>
              <w:right w:val="single" w:color="auto" w:sz="4" w:space="0"/>
            </w:tcBorders>
            <w:vAlign w:val="center"/>
          </w:tcPr>
          <w:p w14:paraId="2FB31A7C">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合计总价款</w:t>
            </w:r>
          </w:p>
          <w:p w14:paraId="75BC67CA">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（人民币）</w:t>
            </w:r>
          </w:p>
        </w:tc>
        <w:tc>
          <w:tcPr>
            <w:tcW w:w="7642" w:type="dxa"/>
            <w:gridSpan w:val="4"/>
            <w:tcBorders>
              <w:top w:val="nil"/>
              <w:left w:val="nil"/>
              <w:bottom w:val="single" w:color="auto" w:sz="4" w:space="0"/>
              <w:right w:val="single" w:color="000000" w:sz="4" w:space="0"/>
            </w:tcBorders>
            <w:vAlign w:val="center"/>
          </w:tcPr>
          <w:p w14:paraId="026F8079">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人民币                 元整。       ￥:              </w:t>
            </w:r>
          </w:p>
        </w:tc>
      </w:tr>
      <w:tr w14:paraId="30D4A1EE">
        <w:tblPrEx>
          <w:tblCellMar>
            <w:top w:w="0" w:type="dxa"/>
            <w:left w:w="108" w:type="dxa"/>
            <w:bottom w:w="0" w:type="dxa"/>
            <w:right w:w="108" w:type="dxa"/>
          </w:tblCellMar>
        </w:tblPrEx>
        <w:trPr>
          <w:trHeight w:val="690" w:hRule="atLeast"/>
          <w:jc w:val="center"/>
        </w:trPr>
        <w:tc>
          <w:tcPr>
            <w:tcW w:w="2125" w:type="dxa"/>
            <w:tcBorders>
              <w:top w:val="nil"/>
              <w:left w:val="single" w:color="auto" w:sz="4" w:space="0"/>
              <w:bottom w:val="nil"/>
              <w:right w:val="nil"/>
            </w:tcBorders>
            <w:vAlign w:val="bottom"/>
          </w:tcPr>
          <w:p w14:paraId="5A16D86E">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供货单位（盖章）：                     </w:t>
            </w:r>
          </w:p>
        </w:tc>
        <w:tc>
          <w:tcPr>
            <w:tcW w:w="2761" w:type="dxa"/>
            <w:tcBorders>
              <w:top w:val="nil"/>
              <w:left w:val="nil"/>
              <w:bottom w:val="nil"/>
              <w:right w:val="nil"/>
            </w:tcBorders>
            <w:vAlign w:val="center"/>
          </w:tcPr>
          <w:p w14:paraId="0FD6AA70">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  采购人（盖章）:</w:t>
            </w:r>
          </w:p>
        </w:tc>
        <w:tc>
          <w:tcPr>
            <w:tcW w:w="3091" w:type="dxa"/>
            <w:gridSpan w:val="2"/>
            <w:tcBorders>
              <w:top w:val="nil"/>
              <w:left w:val="nil"/>
              <w:bottom w:val="nil"/>
              <w:right w:val="nil"/>
            </w:tcBorders>
            <w:vAlign w:val="bottom"/>
          </w:tcPr>
          <w:p w14:paraId="53C35273">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5854210E">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75A52819">
        <w:tblPrEx>
          <w:tblCellMar>
            <w:top w:w="0" w:type="dxa"/>
            <w:left w:w="108" w:type="dxa"/>
            <w:bottom w:w="0" w:type="dxa"/>
            <w:right w:w="108" w:type="dxa"/>
          </w:tblCellMar>
        </w:tblPrEx>
        <w:trPr>
          <w:trHeight w:val="525" w:hRule="atLeast"/>
          <w:jc w:val="center"/>
        </w:trPr>
        <w:tc>
          <w:tcPr>
            <w:tcW w:w="2125" w:type="dxa"/>
            <w:tcBorders>
              <w:top w:val="nil"/>
              <w:left w:val="single" w:color="auto" w:sz="4" w:space="0"/>
              <w:bottom w:val="nil"/>
              <w:right w:val="nil"/>
            </w:tcBorders>
            <w:vAlign w:val="bottom"/>
          </w:tcPr>
          <w:p w14:paraId="25240E64">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经办项目负责人：</w:t>
            </w:r>
          </w:p>
        </w:tc>
        <w:tc>
          <w:tcPr>
            <w:tcW w:w="2761" w:type="dxa"/>
            <w:tcBorders>
              <w:top w:val="nil"/>
              <w:left w:val="nil"/>
              <w:bottom w:val="nil"/>
              <w:right w:val="nil"/>
            </w:tcBorders>
            <w:vAlign w:val="center"/>
          </w:tcPr>
          <w:p w14:paraId="4F472F47">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项目验收组组长：</w:t>
            </w:r>
          </w:p>
        </w:tc>
        <w:tc>
          <w:tcPr>
            <w:tcW w:w="3091" w:type="dxa"/>
            <w:gridSpan w:val="2"/>
            <w:tcBorders>
              <w:top w:val="nil"/>
              <w:left w:val="nil"/>
              <w:bottom w:val="nil"/>
              <w:right w:val="nil"/>
            </w:tcBorders>
            <w:vAlign w:val="bottom"/>
          </w:tcPr>
          <w:p w14:paraId="51B8FB87">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290CBCCE">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5EDD59BE">
        <w:tblPrEx>
          <w:tblCellMar>
            <w:top w:w="0" w:type="dxa"/>
            <w:left w:w="108" w:type="dxa"/>
            <w:bottom w:w="0" w:type="dxa"/>
            <w:right w:w="108" w:type="dxa"/>
          </w:tblCellMar>
        </w:tblPrEx>
        <w:trPr>
          <w:trHeight w:val="525" w:hRule="atLeast"/>
          <w:jc w:val="center"/>
        </w:trPr>
        <w:tc>
          <w:tcPr>
            <w:tcW w:w="2125" w:type="dxa"/>
            <w:tcBorders>
              <w:top w:val="nil"/>
              <w:left w:val="single" w:color="auto" w:sz="4" w:space="0"/>
              <w:bottom w:val="nil"/>
              <w:right w:val="nil"/>
            </w:tcBorders>
            <w:vAlign w:val="bottom"/>
          </w:tcPr>
          <w:p w14:paraId="05400F11">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联系电话：</w:t>
            </w:r>
          </w:p>
        </w:tc>
        <w:tc>
          <w:tcPr>
            <w:tcW w:w="2761" w:type="dxa"/>
            <w:tcBorders>
              <w:top w:val="nil"/>
              <w:left w:val="nil"/>
              <w:bottom w:val="nil"/>
              <w:right w:val="nil"/>
            </w:tcBorders>
            <w:vAlign w:val="center"/>
          </w:tcPr>
          <w:p w14:paraId="0B8A8C77">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联系电话：</w:t>
            </w:r>
          </w:p>
        </w:tc>
        <w:tc>
          <w:tcPr>
            <w:tcW w:w="1211" w:type="dxa"/>
            <w:tcBorders>
              <w:top w:val="nil"/>
              <w:left w:val="nil"/>
              <w:bottom w:val="nil"/>
              <w:right w:val="nil"/>
            </w:tcBorders>
            <w:vAlign w:val="bottom"/>
          </w:tcPr>
          <w:p w14:paraId="0EC09CBD">
            <w:pPr>
              <w:spacing w:line="360" w:lineRule="auto"/>
              <w:rPr>
                <w:rFonts w:asciiTheme="minorEastAsia" w:hAnsiTheme="minorEastAsia" w:eastAsiaTheme="minorEastAsia"/>
                <w:color w:val="auto"/>
                <w:kern w:val="2"/>
                <w:szCs w:val="21"/>
                <w:highlight w:val="none"/>
              </w:rPr>
            </w:pPr>
          </w:p>
        </w:tc>
        <w:tc>
          <w:tcPr>
            <w:tcW w:w="1880" w:type="dxa"/>
            <w:tcBorders>
              <w:top w:val="nil"/>
              <w:left w:val="nil"/>
              <w:bottom w:val="nil"/>
              <w:right w:val="nil"/>
            </w:tcBorders>
            <w:vAlign w:val="bottom"/>
          </w:tcPr>
          <w:p w14:paraId="024B48F0">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34FF8E93">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63CCE807">
        <w:tblPrEx>
          <w:tblCellMar>
            <w:top w:w="0" w:type="dxa"/>
            <w:left w:w="108" w:type="dxa"/>
            <w:bottom w:w="0" w:type="dxa"/>
            <w:right w:w="108" w:type="dxa"/>
          </w:tblCellMar>
        </w:tblPrEx>
        <w:trPr>
          <w:trHeight w:val="540" w:hRule="atLeast"/>
          <w:jc w:val="center"/>
        </w:trPr>
        <w:tc>
          <w:tcPr>
            <w:tcW w:w="2125" w:type="dxa"/>
            <w:tcBorders>
              <w:top w:val="nil"/>
              <w:left w:val="single" w:color="auto" w:sz="4" w:space="0"/>
              <w:bottom w:val="nil"/>
              <w:right w:val="nil"/>
            </w:tcBorders>
            <w:vAlign w:val="bottom"/>
          </w:tcPr>
          <w:p w14:paraId="6C27B425">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开户银行：</w:t>
            </w:r>
          </w:p>
        </w:tc>
        <w:tc>
          <w:tcPr>
            <w:tcW w:w="2761" w:type="dxa"/>
            <w:tcBorders>
              <w:top w:val="nil"/>
              <w:left w:val="nil"/>
              <w:bottom w:val="nil"/>
              <w:right w:val="nil"/>
            </w:tcBorders>
            <w:vAlign w:val="center"/>
          </w:tcPr>
          <w:p w14:paraId="5729B7A2">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项目验收组成员（签名）：</w:t>
            </w:r>
          </w:p>
        </w:tc>
        <w:tc>
          <w:tcPr>
            <w:tcW w:w="1211" w:type="dxa"/>
            <w:tcBorders>
              <w:top w:val="nil"/>
              <w:left w:val="nil"/>
              <w:bottom w:val="nil"/>
              <w:right w:val="nil"/>
            </w:tcBorders>
            <w:vAlign w:val="bottom"/>
          </w:tcPr>
          <w:p w14:paraId="6F5FECD4">
            <w:pPr>
              <w:spacing w:line="360" w:lineRule="auto"/>
              <w:rPr>
                <w:rFonts w:asciiTheme="minorEastAsia" w:hAnsiTheme="minorEastAsia" w:eastAsiaTheme="minorEastAsia"/>
                <w:color w:val="auto"/>
                <w:kern w:val="2"/>
                <w:szCs w:val="21"/>
                <w:highlight w:val="none"/>
              </w:rPr>
            </w:pPr>
          </w:p>
        </w:tc>
        <w:tc>
          <w:tcPr>
            <w:tcW w:w="1880" w:type="dxa"/>
            <w:tcBorders>
              <w:top w:val="nil"/>
              <w:left w:val="nil"/>
              <w:bottom w:val="nil"/>
              <w:right w:val="nil"/>
            </w:tcBorders>
            <w:vAlign w:val="bottom"/>
          </w:tcPr>
          <w:p w14:paraId="52D8DF2E">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103C2D1C">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130D42B3">
        <w:tblPrEx>
          <w:tblCellMar>
            <w:top w:w="0" w:type="dxa"/>
            <w:left w:w="108" w:type="dxa"/>
            <w:bottom w:w="0" w:type="dxa"/>
            <w:right w:w="108" w:type="dxa"/>
          </w:tblCellMar>
        </w:tblPrEx>
        <w:trPr>
          <w:trHeight w:val="675" w:hRule="atLeast"/>
          <w:jc w:val="center"/>
        </w:trPr>
        <w:tc>
          <w:tcPr>
            <w:tcW w:w="2125" w:type="dxa"/>
            <w:tcBorders>
              <w:top w:val="nil"/>
              <w:left w:val="single" w:color="auto" w:sz="4" w:space="0"/>
              <w:bottom w:val="single" w:color="auto" w:sz="4" w:space="0"/>
              <w:right w:val="nil"/>
            </w:tcBorders>
            <w:vAlign w:val="center"/>
          </w:tcPr>
          <w:p w14:paraId="7AA7AF3A">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银行帐号：</w:t>
            </w:r>
          </w:p>
        </w:tc>
        <w:tc>
          <w:tcPr>
            <w:tcW w:w="2761" w:type="dxa"/>
            <w:tcBorders>
              <w:top w:val="nil"/>
              <w:left w:val="nil"/>
              <w:bottom w:val="single" w:color="auto" w:sz="4" w:space="0"/>
              <w:right w:val="nil"/>
            </w:tcBorders>
            <w:vAlign w:val="bottom"/>
          </w:tcPr>
          <w:p w14:paraId="043E014D">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4881" w:type="dxa"/>
            <w:gridSpan w:val="3"/>
            <w:tcBorders>
              <w:top w:val="nil"/>
              <w:left w:val="nil"/>
              <w:bottom w:val="single" w:color="auto" w:sz="4" w:space="0"/>
              <w:right w:val="single" w:color="000000" w:sz="4" w:space="0"/>
            </w:tcBorders>
            <w:vAlign w:val="center"/>
          </w:tcPr>
          <w:p w14:paraId="32744A1D">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验收时间：       年     月     日</w:t>
            </w:r>
          </w:p>
        </w:tc>
      </w:tr>
      <w:tr w14:paraId="1C5B617A">
        <w:tblPrEx>
          <w:tblCellMar>
            <w:top w:w="0" w:type="dxa"/>
            <w:left w:w="108" w:type="dxa"/>
            <w:bottom w:w="0" w:type="dxa"/>
            <w:right w:w="108" w:type="dxa"/>
          </w:tblCellMar>
        </w:tblPrEx>
        <w:trPr>
          <w:trHeight w:val="345" w:hRule="atLeast"/>
          <w:jc w:val="center"/>
        </w:trPr>
        <w:tc>
          <w:tcPr>
            <w:tcW w:w="9767" w:type="dxa"/>
            <w:gridSpan w:val="5"/>
            <w:tcBorders>
              <w:top w:val="single" w:color="auto" w:sz="4" w:space="0"/>
              <w:left w:val="nil"/>
              <w:bottom w:val="nil"/>
              <w:right w:val="nil"/>
            </w:tcBorders>
            <w:vAlign w:val="center"/>
          </w:tcPr>
          <w:p w14:paraId="49C33270">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本单一式三联：第一联采购人留存，第二联作为财政支付凭证，第三联供货单位留存</w:t>
            </w:r>
            <w:r>
              <w:rPr>
                <w:rFonts w:asciiTheme="minorEastAsia" w:hAnsiTheme="minorEastAsia" w:eastAsiaTheme="minorEastAsia"/>
                <w:color w:val="auto"/>
                <w:kern w:val="2"/>
                <w:szCs w:val="21"/>
                <w:highlight w:val="none"/>
              </w:rPr>
              <w:t xml:space="preserve"> </w:t>
            </w:r>
          </w:p>
        </w:tc>
      </w:tr>
    </w:tbl>
    <w:p w14:paraId="0B961563">
      <w:pPr>
        <w:pStyle w:val="436"/>
        <w:snapToGrid w:val="0"/>
        <w:spacing w:line="360" w:lineRule="auto"/>
        <w:jc w:val="center"/>
        <w:rPr>
          <w:rFonts w:asciiTheme="minorEastAsia" w:hAnsiTheme="minorEastAsia" w:eastAsiaTheme="minorEastAsia"/>
          <w:b/>
          <w:color w:val="auto"/>
          <w:sz w:val="21"/>
          <w:szCs w:val="21"/>
          <w:highlight w:val="none"/>
        </w:rPr>
      </w:pPr>
    </w:p>
    <w:p w14:paraId="3809C61C">
      <w:pPr>
        <w:pStyle w:val="436"/>
        <w:snapToGrid w:val="0"/>
        <w:spacing w:line="360" w:lineRule="auto"/>
        <w:jc w:val="center"/>
        <w:rPr>
          <w:rFonts w:asciiTheme="minorEastAsia" w:hAnsiTheme="minorEastAsia" w:eastAsiaTheme="minorEastAsia"/>
          <w:b/>
          <w:color w:val="auto"/>
          <w:sz w:val="21"/>
          <w:szCs w:val="21"/>
          <w:highlight w:val="none"/>
        </w:rPr>
      </w:pPr>
    </w:p>
    <w:p w14:paraId="4A37F638">
      <w:pPr>
        <w:pStyle w:val="436"/>
        <w:snapToGrid w:val="0"/>
        <w:spacing w:line="360" w:lineRule="auto"/>
        <w:jc w:val="center"/>
        <w:rPr>
          <w:rFonts w:asciiTheme="minorEastAsia" w:hAnsiTheme="minorEastAsia" w:eastAsiaTheme="minorEastAsia"/>
          <w:b/>
          <w:color w:val="auto"/>
          <w:sz w:val="21"/>
          <w:szCs w:val="21"/>
          <w:highlight w:val="none"/>
        </w:rPr>
      </w:pPr>
    </w:p>
    <w:p w14:paraId="61BF1A49">
      <w:pPr>
        <w:pStyle w:val="436"/>
        <w:tabs>
          <w:tab w:val="left" w:pos="3858"/>
        </w:tabs>
        <w:snapToGrid w:val="0"/>
        <w:spacing w:line="360" w:lineRule="auto"/>
        <w:jc w:val="left"/>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ab/>
      </w:r>
    </w:p>
    <w:p w14:paraId="3FF18AD2">
      <w:pPr>
        <w:pStyle w:val="436"/>
        <w:snapToGrid w:val="0"/>
        <w:spacing w:line="360" w:lineRule="auto"/>
        <w:jc w:val="center"/>
        <w:rPr>
          <w:rFonts w:asciiTheme="minorEastAsia" w:hAnsiTheme="minorEastAsia" w:eastAsiaTheme="minorEastAsia"/>
          <w:b/>
          <w:color w:val="auto"/>
          <w:sz w:val="21"/>
          <w:szCs w:val="21"/>
          <w:highlight w:val="none"/>
        </w:rPr>
      </w:pPr>
    </w:p>
    <w:p w14:paraId="140D6F35">
      <w:pPr>
        <w:pStyle w:val="436"/>
        <w:snapToGrid w:val="0"/>
        <w:spacing w:line="360" w:lineRule="auto"/>
        <w:jc w:val="center"/>
        <w:rPr>
          <w:rFonts w:asciiTheme="minorEastAsia" w:hAnsiTheme="minorEastAsia" w:eastAsiaTheme="minorEastAsia"/>
          <w:b/>
          <w:color w:val="auto"/>
          <w:sz w:val="21"/>
          <w:szCs w:val="21"/>
          <w:highlight w:val="none"/>
        </w:rPr>
      </w:pPr>
    </w:p>
    <w:p w14:paraId="0B5A7888">
      <w:pPr>
        <w:pStyle w:val="436"/>
        <w:snapToGrid w:val="0"/>
        <w:spacing w:line="360" w:lineRule="auto"/>
        <w:jc w:val="center"/>
        <w:rPr>
          <w:rFonts w:asciiTheme="minorEastAsia" w:hAnsiTheme="minorEastAsia" w:eastAsiaTheme="minorEastAsia"/>
          <w:b/>
          <w:color w:val="auto"/>
          <w:sz w:val="21"/>
          <w:szCs w:val="21"/>
          <w:highlight w:val="none"/>
        </w:rPr>
      </w:pPr>
    </w:p>
    <w:p w14:paraId="1FDD5A0F">
      <w:pPr>
        <w:pStyle w:val="436"/>
        <w:snapToGrid w:val="0"/>
        <w:spacing w:line="360" w:lineRule="auto"/>
        <w:jc w:val="center"/>
        <w:rPr>
          <w:rFonts w:asciiTheme="minorEastAsia" w:hAnsiTheme="minorEastAsia" w:eastAsiaTheme="minorEastAsia"/>
          <w:b/>
          <w:color w:val="auto"/>
          <w:sz w:val="21"/>
          <w:szCs w:val="21"/>
          <w:highlight w:val="none"/>
        </w:rPr>
      </w:pPr>
    </w:p>
    <w:p w14:paraId="59973B86">
      <w:pPr>
        <w:pStyle w:val="436"/>
        <w:snapToGrid w:val="0"/>
        <w:spacing w:line="360" w:lineRule="auto"/>
        <w:jc w:val="center"/>
        <w:rPr>
          <w:rFonts w:asciiTheme="minorEastAsia" w:hAnsiTheme="minorEastAsia" w:eastAsiaTheme="minorEastAsia"/>
          <w:b/>
          <w:color w:val="auto"/>
          <w:sz w:val="21"/>
          <w:szCs w:val="21"/>
          <w:highlight w:val="none"/>
        </w:rPr>
      </w:pPr>
    </w:p>
    <w:bookmarkEnd w:id="72"/>
    <w:p w14:paraId="024A1BD8">
      <w:pPr>
        <w:snapToGrid w:val="0"/>
        <w:spacing w:line="360" w:lineRule="auto"/>
        <w:jc w:val="center"/>
        <w:rPr>
          <w:rFonts w:asciiTheme="minorEastAsia" w:hAnsiTheme="minorEastAsia" w:eastAsiaTheme="minorEastAsia"/>
          <w:b/>
          <w:bCs/>
          <w:color w:val="auto"/>
          <w:sz w:val="28"/>
          <w:szCs w:val="28"/>
          <w:highlight w:val="none"/>
        </w:rPr>
      </w:pPr>
    </w:p>
    <w:p w14:paraId="652CCA24">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08" w:name="_Toc21187"/>
      <w:r>
        <w:rPr>
          <w:rFonts w:hint="eastAsia" w:asciiTheme="minorEastAsia" w:hAnsiTheme="minorEastAsia" w:eastAsiaTheme="minorEastAsia"/>
          <w:b/>
          <w:color w:val="auto"/>
          <w:sz w:val="28"/>
          <w:szCs w:val="28"/>
          <w:highlight w:val="none"/>
        </w:rPr>
        <w:t>第六章  投标文件格式</w:t>
      </w:r>
      <w:bookmarkEnd w:id="108"/>
    </w:p>
    <w:p w14:paraId="384642A0">
      <w:pPr>
        <w:snapToGrid w:val="0"/>
        <w:spacing w:line="360" w:lineRule="auto"/>
        <w:jc w:val="center"/>
        <w:rPr>
          <w:rFonts w:asciiTheme="minorEastAsia" w:hAnsiTheme="minorEastAsia" w:eastAsiaTheme="minorEastAsia"/>
          <w:b/>
          <w:bCs/>
          <w:color w:val="auto"/>
          <w:szCs w:val="21"/>
          <w:highlight w:val="none"/>
        </w:rPr>
      </w:pPr>
    </w:p>
    <w:p w14:paraId="496F9F5D">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1.投标文件封面格式：</w:t>
      </w:r>
    </w:p>
    <w:p w14:paraId="21840778">
      <w:pPr>
        <w:snapToGrid w:val="0"/>
        <w:spacing w:line="360" w:lineRule="auto"/>
        <w:rPr>
          <w:rFonts w:asciiTheme="minorEastAsia" w:hAnsiTheme="minorEastAsia" w:eastAsiaTheme="minorEastAsia"/>
          <w:b/>
          <w:bCs/>
          <w:color w:val="auto"/>
          <w:szCs w:val="21"/>
          <w:highlight w:val="none"/>
        </w:rPr>
      </w:pPr>
    </w:p>
    <w:p w14:paraId="233B5498">
      <w:pPr>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资信技术文件</w:t>
      </w:r>
    </w:p>
    <w:p w14:paraId="7A460D71">
      <w:pPr>
        <w:snapToGrid w:val="0"/>
        <w:spacing w:line="360" w:lineRule="auto"/>
        <w:ind w:firstLine="840" w:firstLineChars="400"/>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项目名称：</w:t>
      </w:r>
    </w:p>
    <w:p w14:paraId="3F871EDA">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14:paraId="03F1BCC4">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14:paraId="33D31F8B">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14:paraId="6B81C41D">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14:paraId="22964AB6">
      <w:pPr>
        <w:snapToGrid w:val="0"/>
        <w:spacing w:line="360" w:lineRule="auto"/>
        <w:rPr>
          <w:rFonts w:asciiTheme="minorEastAsia" w:hAnsiTheme="minorEastAsia" w:eastAsiaTheme="minorEastAsia"/>
          <w:b/>
          <w:color w:val="auto"/>
          <w:szCs w:val="21"/>
          <w:highlight w:val="none"/>
        </w:rPr>
      </w:pPr>
    </w:p>
    <w:p w14:paraId="407C5582">
      <w:pPr>
        <w:snapToGrid w:val="0"/>
        <w:spacing w:line="360" w:lineRule="auto"/>
        <w:rPr>
          <w:rFonts w:asciiTheme="minorEastAsia" w:hAnsiTheme="minorEastAsia" w:eastAsiaTheme="minorEastAsia"/>
          <w:b/>
          <w:color w:val="auto"/>
          <w:szCs w:val="21"/>
          <w:highlight w:val="none"/>
        </w:rPr>
      </w:pPr>
    </w:p>
    <w:p w14:paraId="749C4881">
      <w:pPr>
        <w:snapToGrid w:val="0"/>
        <w:spacing w:line="360" w:lineRule="auto"/>
        <w:rPr>
          <w:rFonts w:asciiTheme="minorEastAsia" w:hAnsiTheme="minorEastAsia" w:eastAsiaTheme="minorEastAsia"/>
          <w:b/>
          <w:color w:val="auto"/>
          <w:szCs w:val="21"/>
          <w:highlight w:val="none"/>
        </w:rPr>
      </w:pPr>
    </w:p>
    <w:p w14:paraId="2E58C4A5">
      <w:pPr>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商务报价文件</w:t>
      </w:r>
    </w:p>
    <w:p w14:paraId="64A27A30">
      <w:pPr>
        <w:snapToGrid w:val="0"/>
        <w:spacing w:line="360" w:lineRule="auto"/>
        <w:rPr>
          <w:rFonts w:asciiTheme="minorEastAsia" w:hAnsiTheme="minorEastAsia" w:eastAsiaTheme="minorEastAsia"/>
          <w:bCs/>
          <w:color w:val="auto"/>
          <w:szCs w:val="21"/>
          <w:highlight w:val="none"/>
        </w:rPr>
      </w:pPr>
    </w:p>
    <w:p w14:paraId="7AE8A9CA">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p w14:paraId="37BC87C9">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14:paraId="742EF07B">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14:paraId="46CB6F68">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14:paraId="64265A30">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14:paraId="40272DB8">
      <w:pPr>
        <w:spacing w:line="360" w:lineRule="auto"/>
        <w:rPr>
          <w:rFonts w:asciiTheme="minorEastAsia" w:hAnsiTheme="minorEastAsia" w:eastAsiaTheme="minorEastAsia"/>
          <w:color w:val="auto"/>
          <w:szCs w:val="21"/>
          <w:highlight w:val="none"/>
        </w:rPr>
      </w:pPr>
    </w:p>
    <w:p w14:paraId="1F40357E">
      <w:pPr>
        <w:snapToGrid w:val="0"/>
        <w:spacing w:line="360" w:lineRule="auto"/>
        <w:rPr>
          <w:rFonts w:asciiTheme="minorEastAsia" w:hAnsiTheme="minorEastAsia" w:eastAsiaTheme="minorEastAsia"/>
          <w:b/>
          <w:color w:val="auto"/>
          <w:szCs w:val="21"/>
          <w:highlight w:val="none"/>
        </w:rPr>
      </w:pPr>
    </w:p>
    <w:p w14:paraId="08C3BEA0">
      <w:pPr>
        <w:snapToGrid w:val="0"/>
        <w:spacing w:line="360" w:lineRule="auto"/>
        <w:rPr>
          <w:rFonts w:asciiTheme="minorEastAsia" w:hAnsiTheme="minorEastAsia" w:eastAsiaTheme="minorEastAsia"/>
          <w:b/>
          <w:color w:val="auto"/>
          <w:szCs w:val="21"/>
          <w:highlight w:val="none"/>
        </w:rPr>
      </w:pPr>
    </w:p>
    <w:p w14:paraId="5F484FB7">
      <w:pPr>
        <w:snapToGrid w:val="0"/>
        <w:spacing w:line="360" w:lineRule="auto"/>
        <w:rPr>
          <w:rFonts w:asciiTheme="minorEastAsia" w:hAnsiTheme="minorEastAsia" w:eastAsiaTheme="minorEastAsia"/>
          <w:b/>
          <w:color w:val="auto"/>
          <w:szCs w:val="21"/>
          <w:highlight w:val="none"/>
        </w:rPr>
      </w:pPr>
    </w:p>
    <w:p w14:paraId="0A8F16DA">
      <w:pPr>
        <w:snapToGrid w:val="0"/>
        <w:spacing w:line="360" w:lineRule="auto"/>
        <w:rPr>
          <w:rFonts w:asciiTheme="minorEastAsia" w:hAnsiTheme="minorEastAsia" w:eastAsiaTheme="minorEastAsia"/>
          <w:b/>
          <w:color w:val="auto"/>
          <w:szCs w:val="21"/>
          <w:highlight w:val="none"/>
        </w:rPr>
      </w:pPr>
    </w:p>
    <w:p w14:paraId="442FB7F4">
      <w:pPr>
        <w:snapToGrid w:val="0"/>
        <w:spacing w:line="360" w:lineRule="auto"/>
        <w:rPr>
          <w:rFonts w:asciiTheme="minorEastAsia" w:hAnsiTheme="minorEastAsia" w:eastAsiaTheme="minorEastAsia"/>
          <w:b/>
          <w:color w:val="auto"/>
          <w:szCs w:val="21"/>
          <w:highlight w:val="none"/>
        </w:rPr>
      </w:pPr>
    </w:p>
    <w:p w14:paraId="73B282AF">
      <w:pPr>
        <w:snapToGrid w:val="0"/>
        <w:spacing w:line="360" w:lineRule="auto"/>
        <w:rPr>
          <w:rFonts w:asciiTheme="minorEastAsia" w:hAnsiTheme="minorEastAsia" w:eastAsiaTheme="minorEastAsia"/>
          <w:b/>
          <w:color w:val="auto"/>
          <w:szCs w:val="21"/>
          <w:highlight w:val="none"/>
        </w:rPr>
      </w:pPr>
    </w:p>
    <w:p w14:paraId="7B54E64B">
      <w:pPr>
        <w:snapToGrid w:val="0"/>
        <w:spacing w:line="360" w:lineRule="auto"/>
        <w:rPr>
          <w:rFonts w:asciiTheme="minorEastAsia" w:hAnsiTheme="minorEastAsia" w:eastAsiaTheme="minorEastAsia"/>
          <w:b/>
          <w:color w:val="auto"/>
          <w:szCs w:val="21"/>
          <w:highlight w:val="none"/>
        </w:rPr>
      </w:pPr>
    </w:p>
    <w:p w14:paraId="66224117">
      <w:pPr>
        <w:snapToGrid w:val="0"/>
        <w:spacing w:line="360" w:lineRule="auto"/>
        <w:rPr>
          <w:rFonts w:asciiTheme="minorEastAsia" w:hAnsiTheme="minorEastAsia" w:eastAsiaTheme="minorEastAsia"/>
          <w:b/>
          <w:color w:val="auto"/>
          <w:szCs w:val="21"/>
          <w:highlight w:val="none"/>
        </w:rPr>
      </w:pPr>
    </w:p>
    <w:p w14:paraId="04E403B4">
      <w:pPr>
        <w:snapToGrid w:val="0"/>
        <w:spacing w:line="360" w:lineRule="auto"/>
        <w:rPr>
          <w:rFonts w:asciiTheme="minorEastAsia" w:hAnsiTheme="minorEastAsia" w:eastAsiaTheme="minorEastAsia"/>
          <w:b/>
          <w:color w:val="auto"/>
          <w:szCs w:val="21"/>
          <w:highlight w:val="none"/>
        </w:rPr>
      </w:pPr>
    </w:p>
    <w:p w14:paraId="5D245984">
      <w:pPr>
        <w:snapToGrid w:val="0"/>
        <w:spacing w:line="360" w:lineRule="auto"/>
        <w:rPr>
          <w:rFonts w:asciiTheme="minorEastAsia" w:hAnsiTheme="minorEastAsia" w:eastAsiaTheme="minorEastAsia"/>
          <w:b/>
          <w:color w:val="auto"/>
          <w:szCs w:val="21"/>
          <w:highlight w:val="none"/>
        </w:rPr>
      </w:pPr>
    </w:p>
    <w:p w14:paraId="7B112EC3">
      <w:pPr>
        <w:snapToGrid w:val="0"/>
        <w:spacing w:line="360" w:lineRule="auto"/>
        <w:rPr>
          <w:rFonts w:asciiTheme="minorEastAsia" w:hAnsiTheme="minorEastAsia" w:eastAsiaTheme="minorEastAsia"/>
          <w:b/>
          <w:color w:val="auto"/>
          <w:szCs w:val="21"/>
          <w:highlight w:val="none"/>
        </w:rPr>
      </w:pPr>
    </w:p>
    <w:p w14:paraId="3A9BFBF3">
      <w:pPr>
        <w:snapToGrid w:val="0"/>
        <w:spacing w:line="360" w:lineRule="auto"/>
        <w:rPr>
          <w:rFonts w:asciiTheme="minorEastAsia" w:hAnsiTheme="minorEastAsia" w:eastAsiaTheme="minorEastAsia"/>
          <w:b/>
          <w:color w:val="auto"/>
          <w:szCs w:val="21"/>
          <w:highlight w:val="none"/>
        </w:rPr>
      </w:pPr>
    </w:p>
    <w:p w14:paraId="7BCB3BFC">
      <w:pPr>
        <w:snapToGrid w:val="0"/>
        <w:spacing w:line="360" w:lineRule="auto"/>
        <w:rPr>
          <w:rFonts w:asciiTheme="minorEastAsia" w:hAnsiTheme="minorEastAsia" w:eastAsiaTheme="minorEastAsia"/>
          <w:b/>
          <w:color w:val="auto"/>
          <w:szCs w:val="21"/>
          <w:highlight w:val="none"/>
        </w:rPr>
      </w:pPr>
    </w:p>
    <w:p w14:paraId="5AF60E84">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14:paraId="24F0E435">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投标声明书（附件1）</w:t>
      </w:r>
    </w:p>
    <w:p w14:paraId="39580223">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0AEBF486">
      <w:pPr>
        <w:snapToGrid w:val="0"/>
        <w:spacing w:before="120"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（投标单位名称）系中华人民共和国合法企业，经营地址。</w:t>
      </w:r>
    </w:p>
    <w:p w14:paraId="30D28285">
      <w:pPr>
        <w:snapToGrid w:val="0"/>
        <w:spacing w:before="120" w:beforeLines="50" w:after="50"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的法定代表人，我方愿意参加贵方组织的的投标，为便于贵方公正、择优地确定中标人及其投标产品和服务，我方就本次投标有关事项郑重声明如下：</w:t>
      </w:r>
    </w:p>
    <w:p w14:paraId="5553F417">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我方向贵方提交的所有投标文件、资料都是准确的和真实的。</w:t>
      </w:r>
    </w:p>
    <w:p w14:paraId="57AD3A1D">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2.我方承诺具有履行合同所必需的设备和专业技术能力； </w:t>
      </w:r>
    </w:p>
    <w:p w14:paraId="17BFCE89">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highlight w:val="none"/>
        </w:rPr>
        <w:t>我方承诺</w:t>
      </w:r>
      <w:r>
        <w:rPr>
          <w:rFonts w:hint="eastAsia" w:asciiTheme="minorEastAsia" w:hAnsiTheme="minorEastAsia" w:eastAsiaTheme="minorEastAsia"/>
          <w:color w:val="auto"/>
          <w:szCs w:val="21"/>
          <w:highlight w:val="none"/>
        </w:rPr>
        <w:t xml:space="preserve">具有良好的商业信誉和健全的财务会计制度；（附财务报表）（格式自拟） </w:t>
      </w:r>
    </w:p>
    <w:p w14:paraId="489EE09D">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4.我方承诺有依法缴纳税收和社会保障资金的良好记录；（附依法缴纳税费或依法免缴税费的证明）（格式自拟） </w:t>
      </w:r>
    </w:p>
    <w:p w14:paraId="139A4723">
      <w:pPr>
        <w:snapToGrid w:val="0"/>
        <w:spacing w:before="120"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5.我方承诺参加政府采购活动前三年内，在经营活动中没有重大违法记录；（若有，请如实填写；</w:t>
      </w:r>
      <w:r>
        <w:rPr>
          <w:rFonts w:hint="eastAsia" w:asciiTheme="minorEastAsia" w:hAnsiTheme="minorEastAsia" w:eastAsiaTheme="minorEastAsia"/>
          <w:color w:val="auto"/>
          <w:szCs w:val="21"/>
          <w:highlight w:val="none"/>
          <w:u w:val="single"/>
        </w:rPr>
        <w:t>　　　　　　　　　　　　</w:t>
      </w:r>
    </w:p>
    <w:p w14:paraId="3E963AC6">
      <w:pPr>
        <w:snapToGrid w:val="0"/>
        <w:spacing w:before="120"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w:t>
      </w:r>
    </w:p>
    <w:p w14:paraId="3F5972F6">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以上事项如有虚假或隐瞒，我方愿意承担一切后果，并不再寻求任何旨在减轻或免除法律责任的辩解。</w:t>
      </w:r>
    </w:p>
    <w:p w14:paraId="17247665">
      <w:pPr>
        <w:spacing w:line="360" w:lineRule="auto"/>
        <w:ind w:firstLine="527" w:firstLineChars="250"/>
        <w:jc w:val="center"/>
        <w:rPr>
          <w:rFonts w:asciiTheme="minorEastAsia" w:hAnsiTheme="minorEastAsia" w:eastAsiaTheme="minorEastAsia"/>
          <w:b/>
          <w:color w:val="auto"/>
          <w:szCs w:val="21"/>
          <w:highlight w:val="none"/>
        </w:rPr>
      </w:pPr>
    </w:p>
    <w:p w14:paraId="65DEF226">
      <w:pPr>
        <w:spacing w:before="120" w:beforeLines="50" w:line="360" w:lineRule="auto"/>
        <w:ind w:firstLine="1500" w:firstLineChars="6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5E5E7AAE">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624E2F28">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1145E891">
      <w:pPr>
        <w:pStyle w:val="29"/>
        <w:snapToGrid w:val="0"/>
        <w:spacing w:line="360" w:lineRule="auto"/>
        <w:rPr>
          <w:rFonts w:asciiTheme="minorEastAsia" w:hAnsiTheme="minorEastAsia" w:eastAsiaTheme="minorEastAsia"/>
          <w:color w:val="auto"/>
          <w:szCs w:val="21"/>
          <w:highlight w:val="none"/>
        </w:rPr>
      </w:pPr>
    </w:p>
    <w:p w14:paraId="054BE013">
      <w:pPr>
        <w:snapToGrid w:val="0"/>
        <w:spacing w:line="360" w:lineRule="auto"/>
        <w:rPr>
          <w:rFonts w:asciiTheme="minorEastAsia" w:hAnsiTheme="minorEastAsia" w:eastAsiaTheme="minorEastAsia"/>
          <w:b/>
          <w:color w:val="auto"/>
          <w:szCs w:val="21"/>
          <w:highlight w:val="none"/>
        </w:rPr>
      </w:pPr>
    </w:p>
    <w:p w14:paraId="32FD37E7">
      <w:pPr>
        <w:snapToGrid w:val="0"/>
        <w:spacing w:line="360" w:lineRule="auto"/>
        <w:rPr>
          <w:rFonts w:asciiTheme="minorEastAsia" w:hAnsiTheme="minorEastAsia" w:eastAsiaTheme="minorEastAsia"/>
          <w:b/>
          <w:color w:val="auto"/>
          <w:szCs w:val="21"/>
          <w:highlight w:val="none"/>
        </w:rPr>
      </w:pPr>
    </w:p>
    <w:p w14:paraId="3E41594E">
      <w:pPr>
        <w:snapToGrid w:val="0"/>
        <w:spacing w:line="360" w:lineRule="auto"/>
        <w:rPr>
          <w:rFonts w:asciiTheme="minorEastAsia" w:hAnsiTheme="minorEastAsia" w:eastAsiaTheme="minorEastAsia"/>
          <w:b/>
          <w:color w:val="auto"/>
          <w:szCs w:val="21"/>
          <w:highlight w:val="none"/>
        </w:rPr>
      </w:pPr>
    </w:p>
    <w:p w14:paraId="1CB46E98">
      <w:pPr>
        <w:snapToGrid w:val="0"/>
        <w:spacing w:line="360" w:lineRule="auto"/>
        <w:rPr>
          <w:rFonts w:asciiTheme="minorEastAsia" w:hAnsiTheme="minorEastAsia" w:eastAsiaTheme="minorEastAsia"/>
          <w:b/>
          <w:color w:val="auto"/>
          <w:szCs w:val="21"/>
          <w:highlight w:val="none"/>
        </w:rPr>
      </w:pPr>
    </w:p>
    <w:p w14:paraId="693EF792">
      <w:pPr>
        <w:snapToGrid w:val="0"/>
        <w:spacing w:line="360" w:lineRule="auto"/>
        <w:rPr>
          <w:rFonts w:asciiTheme="minorEastAsia" w:hAnsiTheme="minorEastAsia" w:eastAsiaTheme="minorEastAsia"/>
          <w:b/>
          <w:color w:val="auto"/>
          <w:szCs w:val="21"/>
          <w:highlight w:val="none"/>
        </w:rPr>
      </w:pPr>
    </w:p>
    <w:p w14:paraId="57A31D38">
      <w:pPr>
        <w:snapToGrid w:val="0"/>
        <w:spacing w:line="360" w:lineRule="auto"/>
        <w:rPr>
          <w:rFonts w:asciiTheme="minorEastAsia" w:hAnsiTheme="minorEastAsia" w:eastAsiaTheme="minorEastAsia"/>
          <w:b/>
          <w:color w:val="auto"/>
          <w:szCs w:val="21"/>
          <w:highlight w:val="none"/>
        </w:rPr>
      </w:pPr>
    </w:p>
    <w:p w14:paraId="66D4586E">
      <w:pPr>
        <w:snapToGrid w:val="0"/>
        <w:spacing w:line="360" w:lineRule="auto"/>
        <w:rPr>
          <w:rFonts w:asciiTheme="minorEastAsia" w:hAnsiTheme="minorEastAsia" w:eastAsiaTheme="minorEastAsia"/>
          <w:b/>
          <w:color w:val="auto"/>
          <w:szCs w:val="21"/>
          <w:highlight w:val="none"/>
        </w:rPr>
      </w:pPr>
    </w:p>
    <w:p w14:paraId="2DCF4FCB">
      <w:pPr>
        <w:snapToGrid w:val="0"/>
        <w:spacing w:line="360" w:lineRule="auto"/>
        <w:rPr>
          <w:rFonts w:asciiTheme="minorEastAsia" w:hAnsiTheme="minorEastAsia" w:eastAsiaTheme="minorEastAsia"/>
          <w:b/>
          <w:color w:val="auto"/>
          <w:szCs w:val="21"/>
          <w:highlight w:val="none"/>
        </w:rPr>
      </w:pPr>
    </w:p>
    <w:p w14:paraId="5E379F18">
      <w:pPr>
        <w:snapToGrid w:val="0"/>
        <w:spacing w:line="360" w:lineRule="auto"/>
        <w:rPr>
          <w:rFonts w:asciiTheme="minorEastAsia" w:hAnsiTheme="minorEastAsia" w:eastAsiaTheme="minorEastAsia"/>
          <w:b/>
          <w:color w:val="auto"/>
          <w:szCs w:val="21"/>
          <w:highlight w:val="none"/>
        </w:rPr>
      </w:pPr>
    </w:p>
    <w:p w14:paraId="5466C49F">
      <w:pPr>
        <w:snapToGrid w:val="0"/>
        <w:spacing w:line="360" w:lineRule="auto"/>
        <w:rPr>
          <w:rFonts w:asciiTheme="minorEastAsia" w:hAnsiTheme="minorEastAsia" w:eastAsiaTheme="minorEastAsia"/>
          <w:b/>
          <w:color w:val="auto"/>
          <w:szCs w:val="21"/>
          <w:highlight w:val="none"/>
        </w:rPr>
      </w:pPr>
    </w:p>
    <w:p w14:paraId="1FF8B442">
      <w:pPr>
        <w:snapToGrid w:val="0"/>
        <w:spacing w:line="360" w:lineRule="auto"/>
        <w:rPr>
          <w:rFonts w:asciiTheme="minorEastAsia" w:hAnsiTheme="minorEastAsia" w:eastAsiaTheme="minorEastAsia"/>
          <w:b/>
          <w:color w:val="auto"/>
          <w:szCs w:val="21"/>
          <w:highlight w:val="none"/>
        </w:rPr>
      </w:pPr>
    </w:p>
    <w:p w14:paraId="65892F4E">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14:paraId="2F2E6361">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法定代表人授权委托书（附件2）</w:t>
      </w:r>
    </w:p>
    <w:p w14:paraId="515D7B38">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63A5AD38">
      <w:pPr>
        <w:snapToGrid w:val="0"/>
        <w:spacing w:line="360" w:lineRule="auto"/>
        <w:ind w:firstLine="630" w:firstLine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我（姓名）系（投标人名称）的法定代表人，现授权委托本单位在职职工（姓名）以我方的名义参加</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新城派出所院内翻新改造</w:t>
      </w:r>
      <w:r>
        <w:rPr>
          <w:rFonts w:hint="eastAsia" w:asciiTheme="minorEastAsia" w:hAnsiTheme="minorEastAsia" w:eastAsiaTheme="minorEastAsia"/>
          <w:color w:val="auto"/>
          <w:szCs w:val="21"/>
          <w:highlight w:val="none"/>
        </w:rPr>
        <w:t>的投标活动，并代表我方全权办理针对上述项目的投标、开标、评标、签约等具体事务和签署相关文件。</w:t>
      </w:r>
    </w:p>
    <w:p w14:paraId="107998F6">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我方对被授权人的签名事项负全部责任。</w:t>
      </w:r>
    </w:p>
    <w:p w14:paraId="7E35FB3D">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在撤销授权的书面通知以前，本授权书一直有效。</w:t>
      </w:r>
      <w:r>
        <w:rPr>
          <w:rFonts w:hint="eastAsia" w:asciiTheme="minorEastAsia" w:hAnsiTheme="minorEastAsia" w:eastAsiaTheme="minorEastAsia"/>
          <w:color w:val="auto"/>
          <w:szCs w:val="21"/>
          <w:highlight w:val="none"/>
        </w:rPr>
        <w:t>被授权人在授权书有效期内签署的所有文件不因授权的撤销而失效。</w:t>
      </w:r>
    </w:p>
    <w:p w14:paraId="040FC89D">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被授权人无转委托权，特此委托。</w:t>
      </w:r>
    </w:p>
    <w:p w14:paraId="386F45D3">
      <w:pPr>
        <w:snapToGrid w:val="0"/>
        <w:spacing w:line="360" w:lineRule="auto"/>
        <w:rPr>
          <w:rFonts w:asciiTheme="minorEastAsia" w:hAnsiTheme="minorEastAsia" w:eastAsiaTheme="minorEastAsia"/>
          <w:color w:val="auto"/>
          <w:szCs w:val="21"/>
          <w:highlight w:val="none"/>
        </w:rPr>
      </w:pPr>
    </w:p>
    <w:p w14:paraId="261E34F7">
      <w:pPr>
        <w:snapToGrid w:val="0"/>
        <w:spacing w:before="120"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法定代表人签字：                     被授权人签字：</w:t>
      </w:r>
    </w:p>
    <w:p w14:paraId="36937B36">
      <w:pPr>
        <w:snapToGrid w:val="0"/>
        <w:spacing w:before="120"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法定代表人身份证号：                 被授权人身份证号：</w:t>
      </w:r>
    </w:p>
    <w:p w14:paraId="1BBB7764">
      <w:pPr>
        <w:snapToGrid w:val="0"/>
        <w:spacing w:before="120" w:beforeLines="50" w:after="50" w:line="360" w:lineRule="auto"/>
        <w:rPr>
          <w:rFonts w:asciiTheme="minorEastAsia" w:hAnsiTheme="minorEastAsia" w:eastAsiaTheme="minorEastAsia"/>
          <w:color w:val="auto"/>
          <w:szCs w:val="21"/>
          <w:highlight w:val="none"/>
        </w:rPr>
      </w:pPr>
    </w:p>
    <w:p w14:paraId="6A703D32">
      <w:pPr>
        <w:snapToGrid w:val="0"/>
        <w:spacing w:before="120"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法定代表人身份证（正反面）       被授权人身份证（正反面）</w:t>
      </w:r>
    </w:p>
    <w:p w14:paraId="041E2477">
      <w:pPr>
        <w:snapToGrid w:val="0"/>
        <w:spacing w:line="360" w:lineRule="auto"/>
        <w:rPr>
          <w:rFonts w:asciiTheme="minorEastAsia" w:hAnsiTheme="minorEastAsia" w:eastAsiaTheme="minorEastAsia"/>
          <w:color w:val="auto"/>
          <w:szCs w:val="21"/>
          <w:highlight w:val="none"/>
        </w:rPr>
      </w:pPr>
    </w:p>
    <w:p w14:paraId="0F65A90A">
      <w:pPr>
        <w:snapToGrid w:val="0"/>
        <w:spacing w:line="360" w:lineRule="auto"/>
        <w:ind w:firstLine="200"/>
        <w:jc w:val="right"/>
        <w:rPr>
          <w:rFonts w:asciiTheme="minorEastAsia" w:hAnsiTheme="minorEastAsia" w:eastAsiaTheme="minorEastAsia"/>
          <w:color w:val="auto"/>
          <w:szCs w:val="21"/>
          <w:highlight w:val="none"/>
          <w:u w:val="single"/>
        </w:rPr>
      </w:pPr>
    </w:p>
    <w:p w14:paraId="459FDD50">
      <w:pPr>
        <w:spacing w:before="120" w:beforeLines="50" w:line="360" w:lineRule="auto"/>
        <w:jc w:val="right"/>
        <w:rPr>
          <w:rFonts w:asciiTheme="minorEastAsia" w:hAnsiTheme="minorEastAsia" w:eastAsiaTheme="minorEastAsia"/>
          <w:color w:val="auto"/>
          <w:szCs w:val="21"/>
          <w:highlight w:val="none"/>
        </w:rPr>
      </w:pPr>
    </w:p>
    <w:p w14:paraId="1C0098FB">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329374E1">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2DD6D421">
      <w:pPr>
        <w:snapToGrid w:val="0"/>
        <w:spacing w:line="360" w:lineRule="auto"/>
        <w:ind w:firstLine="210" w:firstLineChars="100"/>
        <w:jc w:val="right"/>
        <w:rPr>
          <w:rFonts w:asciiTheme="minorEastAsia" w:hAnsiTheme="minorEastAsia" w:eastAsiaTheme="minorEastAsia"/>
          <w:color w:val="auto"/>
          <w:szCs w:val="21"/>
          <w:highlight w:val="none"/>
        </w:rPr>
      </w:pPr>
    </w:p>
    <w:p w14:paraId="3024DB9E">
      <w:pPr>
        <w:snapToGrid w:val="0"/>
        <w:spacing w:line="360" w:lineRule="auto"/>
        <w:rPr>
          <w:rFonts w:asciiTheme="minorEastAsia" w:hAnsiTheme="minorEastAsia" w:eastAsiaTheme="minorEastAsia"/>
          <w:color w:val="auto"/>
          <w:szCs w:val="21"/>
          <w:highlight w:val="none"/>
        </w:rPr>
      </w:pPr>
    </w:p>
    <w:p w14:paraId="084849BB">
      <w:pPr>
        <w:snapToGrid w:val="0"/>
        <w:spacing w:line="360" w:lineRule="auto"/>
        <w:rPr>
          <w:rFonts w:asciiTheme="minorEastAsia" w:hAnsiTheme="minorEastAsia" w:eastAsiaTheme="minorEastAsia"/>
          <w:color w:val="auto"/>
          <w:szCs w:val="21"/>
          <w:highlight w:val="none"/>
        </w:rPr>
      </w:pPr>
    </w:p>
    <w:p w14:paraId="48A317D2">
      <w:pPr>
        <w:snapToGrid w:val="0"/>
        <w:spacing w:line="360" w:lineRule="auto"/>
        <w:rPr>
          <w:rFonts w:asciiTheme="minorEastAsia" w:hAnsiTheme="minorEastAsia" w:eastAsiaTheme="minorEastAsia"/>
          <w:b/>
          <w:color w:val="auto"/>
          <w:szCs w:val="21"/>
          <w:highlight w:val="none"/>
        </w:rPr>
      </w:pPr>
    </w:p>
    <w:p w14:paraId="28384042">
      <w:pPr>
        <w:snapToGrid w:val="0"/>
        <w:spacing w:line="360" w:lineRule="auto"/>
        <w:rPr>
          <w:rFonts w:asciiTheme="minorEastAsia" w:hAnsiTheme="minorEastAsia" w:eastAsiaTheme="minorEastAsia"/>
          <w:b/>
          <w:color w:val="auto"/>
          <w:szCs w:val="21"/>
          <w:highlight w:val="none"/>
        </w:rPr>
      </w:pPr>
    </w:p>
    <w:p w14:paraId="32CCCC2B">
      <w:pPr>
        <w:snapToGrid w:val="0"/>
        <w:spacing w:line="360" w:lineRule="auto"/>
        <w:rPr>
          <w:rFonts w:asciiTheme="minorEastAsia" w:hAnsiTheme="minorEastAsia" w:eastAsiaTheme="minorEastAsia"/>
          <w:b/>
          <w:color w:val="auto"/>
          <w:szCs w:val="21"/>
          <w:highlight w:val="none"/>
        </w:rPr>
      </w:pPr>
    </w:p>
    <w:p w14:paraId="659C9E9A">
      <w:pPr>
        <w:snapToGrid w:val="0"/>
        <w:spacing w:line="360" w:lineRule="auto"/>
        <w:rPr>
          <w:rFonts w:asciiTheme="minorEastAsia" w:hAnsiTheme="minorEastAsia" w:eastAsiaTheme="minorEastAsia"/>
          <w:b/>
          <w:color w:val="auto"/>
          <w:szCs w:val="21"/>
          <w:highlight w:val="none"/>
        </w:rPr>
      </w:pPr>
    </w:p>
    <w:p w14:paraId="0D6D0255">
      <w:pPr>
        <w:snapToGrid w:val="0"/>
        <w:spacing w:line="360" w:lineRule="auto"/>
        <w:rPr>
          <w:rFonts w:asciiTheme="minorEastAsia" w:hAnsiTheme="minorEastAsia" w:eastAsiaTheme="minorEastAsia"/>
          <w:b/>
          <w:color w:val="auto"/>
          <w:szCs w:val="21"/>
          <w:highlight w:val="none"/>
        </w:rPr>
      </w:pPr>
    </w:p>
    <w:p w14:paraId="7C037074">
      <w:pPr>
        <w:snapToGrid w:val="0"/>
        <w:spacing w:line="360" w:lineRule="auto"/>
        <w:rPr>
          <w:rFonts w:asciiTheme="minorEastAsia" w:hAnsiTheme="minorEastAsia" w:eastAsiaTheme="minorEastAsia"/>
          <w:b/>
          <w:color w:val="auto"/>
          <w:szCs w:val="21"/>
          <w:highlight w:val="none"/>
        </w:rPr>
      </w:pPr>
    </w:p>
    <w:p w14:paraId="61E0042E">
      <w:pPr>
        <w:snapToGrid w:val="0"/>
        <w:spacing w:line="360" w:lineRule="auto"/>
        <w:rPr>
          <w:rFonts w:asciiTheme="minorEastAsia" w:hAnsiTheme="minorEastAsia" w:eastAsiaTheme="minorEastAsia"/>
          <w:b/>
          <w:color w:val="auto"/>
          <w:szCs w:val="21"/>
          <w:highlight w:val="none"/>
        </w:rPr>
      </w:pPr>
    </w:p>
    <w:p w14:paraId="03F63E72">
      <w:pPr>
        <w:snapToGrid w:val="0"/>
        <w:spacing w:line="360" w:lineRule="auto"/>
        <w:rPr>
          <w:rFonts w:asciiTheme="minorEastAsia" w:hAnsiTheme="minorEastAsia" w:eastAsiaTheme="minorEastAsia"/>
          <w:b/>
          <w:color w:val="auto"/>
          <w:szCs w:val="21"/>
          <w:highlight w:val="none"/>
        </w:rPr>
      </w:pPr>
    </w:p>
    <w:p w14:paraId="7B1C48EB">
      <w:pPr>
        <w:snapToGrid w:val="0"/>
        <w:spacing w:line="360" w:lineRule="auto"/>
        <w:rPr>
          <w:rFonts w:asciiTheme="minorEastAsia" w:hAnsiTheme="minorEastAsia" w:eastAsiaTheme="minorEastAsia"/>
          <w:b/>
          <w:color w:val="auto"/>
          <w:szCs w:val="21"/>
          <w:highlight w:val="none"/>
        </w:rPr>
      </w:pPr>
    </w:p>
    <w:p w14:paraId="69A58562">
      <w:pPr>
        <w:snapToGrid w:val="0"/>
        <w:spacing w:line="360" w:lineRule="auto"/>
        <w:rPr>
          <w:rFonts w:asciiTheme="minorEastAsia" w:hAnsiTheme="minorEastAsia" w:eastAsiaTheme="minorEastAsia"/>
          <w:b/>
          <w:color w:val="auto"/>
          <w:szCs w:val="21"/>
          <w:highlight w:val="none"/>
        </w:rPr>
      </w:pPr>
    </w:p>
    <w:p w14:paraId="7144800F">
      <w:pPr>
        <w:snapToGrid w:val="0"/>
        <w:spacing w:line="360" w:lineRule="auto"/>
        <w:rPr>
          <w:rFonts w:asciiTheme="minorEastAsia" w:hAnsiTheme="minorEastAsia" w:eastAsiaTheme="minorEastAsia"/>
          <w:b/>
          <w:color w:val="auto"/>
          <w:szCs w:val="21"/>
          <w:highlight w:val="none"/>
        </w:rPr>
      </w:pPr>
    </w:p>
    <w:p w14:paraId="46284A7D">
      <w:pPr>
        <w:snapToGrid w:val="0"/>
        <w:spacing w:line="360" w:lineRule="auto"/>
        <w:rPr>
          <w:rFonts w:asciiTheme="minorEastAsia" w:hAnsiTheme="minorEastAsia" w:eastAsiaTheme="minorEastAsia"/>
          <w:b/>
          <w:color w:val="auto"/>
          <w:szCs w:val="21"/>
          <w:highlight w:val="none"/>
        </w:rPr>
      </w:pPr>
    </w:p>
    <w:p w14:paraId="59806DB3">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14:paraId="6B14EF59">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关于资格的声明函（附件3）</w:t>
      </w:r>
    </w:p>
    <w:p w14:paraId="4FCD3F61">
      <w:pPr>
        <w:spacing w:line="360" w:lineRule="auto"/>
        <w:rPr>
          <w:rFonts w:asciiTheme="minorEastAsia" w:hAnsiTheme="minorEastAsia" w:eastAsiaTheme="minorEastAsia"/>
          <w:color w:val="auto"/>
          <w:szCs w:val="21"/>
          <w:highlight w:val="none"/>
        </w:rPr>
      </w:pPr>
    </w:p>
    <w:p w14:paraId="23EFE1C2">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6EDA55A5">
      <w:pPr>
        <w:spacing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关于贵方</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新城派出所院内翻新改造</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招标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，本签字人愿意参加投标，提供</w:t>
      </w:r>
      <w:r>
        <w:rPr>
          <w:rFonts w:hint="eastAsia" w:asciiTheme="minorEastAsia" w:hAnsiTheme="minorEastAsia" w:eastAsiaTheme="minorEastAsia"/>
          <w:color w:val="auto"/>
          <w:szCs w:val="21"/>
          <w:highlight w:val="none"/>
        </w:rPr>
        <w:t>招标文件</w:t>
      </w:r>
      <w:r>
        <w:rPr>
          <w:rFonts w:asciiTheme="minorEastAsia" w:hAnsiTheme="minorEastAsia" w:eastAsiaTheme="minorEastAsia"/>
          <w:color w:val="auto"/>
          <w:szCs w:val="21"/>
          <w:highlight w:val="none"/>
        </w:rPr>
        <w:t>规定的</w:t>
      </w:r>
      <w:r>
        <w:rPr>
          <w:rFonts w:hint="eastAsia" w:asciiTheme="minorEastAsia" w:hAnsiTheme="minorEastAsia" w:eastAsiaTheme="minorEastAsia"/>
          <w:color w:val="auto"/>
          <w:szCs w:val="21"/>
          <w:highlight w:val="none"/>
        </w:rPr>
        <w:t>要求及服务，</w:t>
      </w:r>
      <w:r>
        <w:rPr>
          <w:rFonts w:asciiTheme="minorEastAsia" w:hAnsiTheme="minorEastAsia" w:eastAsiaTheme="minorEastAsia"/>
          <w:color w:val="auto"/>
          <w:szCs w:val="21"/>
          <w:highlight w:val="none"/>
        </w:rPr>
        <w:t>并证实提交的下列文件和说明是准确的和真实的</w:t>
      </w:r>
      <w:r>
        <w:rPr>
          <w:rFonts w:hint="eastAsia" w:asciiTheme="minorEastAsia" w:hAnsiTheme="minorEastAsia" w:eastAsiaTheme="minorEastAsia"/>
          <w:color w:val="auto"/>
          <w:szCs w:val="21"/>
          <w:highlight w:val="none"/>
        </w:rPr>
        <w:t>：</w:t>
      </w:r>
    </w:p>
    <w:p w14:paraId="6BC98D49">
      <w:pPr>
        <w:spacing w:line="360" w:lineRule="auto"/>
        <w:ind w:firstLine="315" w:firstLineChars="1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投标人概况。</w:t>
      </w:r>
    </w:p>
    <w:p w14:paraId="1F1A9289">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2、有效期内的法人营业执照（或民非登记证书）副本复印件（加盖公章）、</w:t>
      </w:r>
    </w:p>
    <w:p w14:paraId="0FBB1CE0">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3、招标文件要求的相关资格资质证明文件及附件资料复印件（加盖公章）。</w:t>
      </w:r>
    </w:p>
    <w:p w14:paraId="242DF86E">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4、投标人认为有必要提供的声明及文件资料。</w:t>
      </w:r>
    </w:p>
    <w:p w14:paraId="6C4E7D58">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N、</w:t>
      </w:r>
      <w:r>
        <w:rPr>
          <w:rFonts w:asciiTheme="minorEastAsia" w:hAnsiTheme="minorEastAsia" w:eastAsiaTheme="minorEastAsia"/>
          <w:color w:val="auto"/>
          <w:szCs w:val="21"/>
          <w:highlight w:val="none"/>
        </w:rPr>
        <w:t>……</w:t>
      </w:r>
    </w:p>
    <w:p w14:paraId="3CF64CDC">
      <w:pPr>
        <w:spacing w:before="120" w:beforeLines="50" w:line="360" w:lineRule="auto"/>
        <w:ind w:firstLine="2750" w:firstLineChars="1100"/>
        <w:rPr>
          <w:rFonts w:asciiTheme="minorEastAsia" w:hAnsiTheme="minorEastAsia" w:eastAsiaTheme="minorEastAsia"/>
          <w:color w:val="auto"/>
          <w:spacing w:val="20"/>
          <w:szCs w:val="21"/>
          <w:highlight w:val="none"/>
        </w:rPr>
      </w:pPr>
    </w:p>
    <w:p w14:paraId="450E68B8">
      <w:pPr>
        <w:spacing w:before="120" w:beforeLines="50" w:line="360" w:lineRule="auto"/>
        <w:ind w:firstLine="2750" w:firstLineChars="1100"/>
        <w:rPr>
          <w:rFonts w:asciiTheme="minorEastAsia" w:hAnsiTheme="minorEastAsia" w:eastAsiaTheme="minorEastAsia"/>
          <w:color w:val="auto"/>
          <w:spacing w:val="20"/>
          <w:szCs w:val="21"/>
          <w:highlight w:val="none"/>
        </w:rPr>
      </w:pPr>
    </w:p>
    <w:p w14:paraId="05CBE22D">
      <w:pPr>
        <w:spacing w:before="120" w:beforeLines="50" w:line="360" w:lineRule="auto"/>
        <w:ind w:firstLine="2750" w:firstLineChars="11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14:paraId="26FA2F8A">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58B64C5F">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718494A6">
      <w:pPr>
        <w:spacing w:line="360" w:lineRule="auto"/>
        <w:jc w:val="center"/>
        <w:rPr>
          <w:rFonts w:asciiTheme="minorEastAsia" w:hAnsiTheme="minorEastAsia" w:eastAsiaTheme="minorEastAsia"/>
          <w:b/>
          <w:color w:val="auto"/>
          <w:szCs w:val="21"/>
          <w:highlight w:val="none"/>
        </w:rPr>
      </w:pPr>
    </w:p>
    <w:p w14:paraId="47EE78D6">
      <w:pPr>
        <w:spacing w:line="360" w:lineRule="auto"/>
        <w:jc w:val="center"/>
        <w:rPr>
          <w:rFonts w:asciiTheme="minorEastAsia" w:hAnsiTheme="minorEastAsia" w:eastAsiaTheme="minorEastAsia"/>
          <w:b/>
          <w:color w:val="auto"/>
          <w:szCs w:val="21"/>
          <w:highlight w:val="none"/>
        </w:rPr>
      </w:pPr>
    </w:p>
    <w:p w14:paraId="53F15C93">
      <w:pPr>
        <w:spacing w:line="360" w:lineRule="auto"/>
        <w:jc w:val="center"/>
        <w:rPr>
          <w:rFonts w:asciiTheme="minorEastAsia" w:hAnsiTheme="minorEastAsia" w:eastAsiaTheme="minorEastAsia"/>
          <w:b/>
          <w:color w:val="auto"/>
          <w:szCs w:val="21"/>
          <w:highlight w:val="none"/>
        </w:rPr>
      </w:pPr>
    </w:p>
    <w:p w14:paraId="2957EA6D">
      <w:pPr>
        <w:spacing w:line="360" w:lineRule="auto"/>
        <w:jc w:val="center"/>
        <w:rPr>
          <w:rFonts w:asciiTheme="minorEastAsia" w:hAnsiTheme="minorEastAsia" w:eastAsiaTheme="minorEastAsia"/>
          <w:b/>
          <w:color w:val="auto"/>
          <w:szCs w:val="21"/>
          <w:highlight w:val="none"/>
        </w:rPr>
      </w:pPr>
    </w:p>
    <w:p w14:paraId="1E21B981">
      <w:pPr>
        <w:spacing w:line="360" w:lineRule="auto"/>
        <w:jc w:val="center"/>
        <w:rPr>
          <w:rFonts w:asciiTheme="minorEastAsia" w:hAnsiTheme="minorEastAsia" w:eastAsiaTheme="minorEastAsia"/>
          <w:b/>
          <w:color w:val="auto"/>
          <w:szCs w:val="21"/>
          <w:highlight w:val="none"/>
        </w:rPr>
      </w:pPr>
    </w:p>
    <w:p w14:paraId="120425A3">
      <w:pPr>
        <w:spacing w:line="360" w:lineRule="auto"/>
        <w:jc w:val="center"/>
        <w:rPr>
          <w:rFonts w:asciiTheme="minorEastAsia" w:hAnsiTheme="minorEastAsia" w:eastAsiaTheme="minorEastAsia"/>
          <w:b/>
          <w:color w:val="auto"/>
          <w:szCs w:val="21"/>
          <w:highlight w:val="none"/>
        </w:rPr>
      </w:pPr>
    </w:p>
    <w:p w14:paraId="446A5A2E">
      <w:pPr>
        <w:spacing w:line="360" w:lineRule="auto"/>
        <w:rPr>
          <w:rFonts w:asciiTheme="minorEastAsia" w:hAnsiTheme="minorEastAsia" w:eastAsiaTheme="minorEastAsia"/>
          <w:b/>
          <w:color w:val="auto"/>
          <w:szCs w:val="21"/>
          <w:highlight w:val="none"/>
        </w:rPr>
      </w:pPr>
    </w:p>
    <w:p w14:paraId="60945DC0">
      <w:pPr>
        <w:spacing w:line="360" w:lineRule="auto"/>
        <w:jc w:val="center"/>
        <w:rPr>
          <w:rFonts w:asciiTheme="minorEastAsia" w:hAnsiTheme="minorEastAsia" w:eastAsiaTheme="minorEastAsia"/>
          <w:b/>
          <w:color w:val="auto"/>
          <w:szCs w:val="21"/>
          <w:highlight w:val="none"/>
        </w:rPr>
      </w:pPr>
    </w:p>
    <w:p w14:paraId="62C75CA4">
      <w:pPr>
        <w:spacing w:line="360" w:lineRule="auto"/>
        <w:jc w:val="center"/>
        <w:rPr>
          <w:rFonts w:asciiTheme="minorEastAsia" w:hAnsiTheme="minorEastAsia" w:eastAsiaTheme="minorEastAsia"/>
          <w:b/>
          <w:color w:val="auto"/>
          <w:szCs w:val="21"/>
          <w:highlight w:val="none"/>
        </w:rPr>
      </w:pPr>
    </w:p>
    <w:p w14:paraId="0DE66DB8">
      <w:pPr>
        <w:spacing w:line="360" w:lineRule="auto"/>
        <w:rPr>
          <w:rFonts w:asciiTheme="minorEastAsia" w:hAnsiTheme="minorEastAsia" w:eastAsiaTheme="minorEastAsia"/>
          <w:b/>
          <w:color w:val="auto"/>
          <w:szCs w:val="21"/>
          <w:highlight w:val="none"/>
        </w:rPr>
      </w:pPr>
    </w:p>
    <w:p w14:paraId="6944F2CB">
      <w:pPr>
        <w:spacing w:line="360" w:lineRule="auto"/>
        <w:rPr>
          <w:rFonts w:asciiTheme="minorEastAsia" w:hAnsiTheme="minorEastAsia" w:eastAsiaTheme="minorEastAsia"/>
          <w:b/>
          <w:color w:val="auto"/>
          <w:szCs w:val="21"/>
          <w:highlight w:val="none"/>
        </w:rPr>
      </w:pPr>
    </w:p>
    <w:p w14:paraId="45A6A009">
      <w:pPr>
        <w:spacing w:line="360" w:lineRule="auto"/>
        <w:rPr>
          <w:rFonts w:asciiTheme="minorEastAsia" w:hAnsiTheme="minorEastAsia" w:eastAsiaTheme="minorEastAsia"/>
          <w:b/>
          <w:color w:val="auto"/>
          <w:szCs w:val="21"/>
          <w:highlight w:val="none"/>
        </w:rPr>
      </w:pPr>
    </w:p>
    <w:p w14:paraId="47B8520E">
      <w:pPr>
        <w:spacing w:line="360" w:lineRule="auto"/>
        <w:rPr>
          <w:rFonts w:asciiTheme="minorEastAsia" w:hAnsiTheme="minorEastAsia" w:eastAsiaTheme="minorEastAsia"/>
          <w:b/>
          <w:color w:val="auto"/>
          <w:szCs w:val="21"/>
          <w:highlight w:val="none"/>
        </w:rPr>
      </w:pPr>
    </w:p>
    <w:p w14:paraId="001BD3DD">
      <w:pPr>
        <w:spacing w:line="360" w:lineRule="auto"/>
        <w:jc w:val="both"/>
        <w:rPr>
          <w:rFonts w:asciiTheme="minorEastAsia" w:hAnsiTheme="minorEastAsia" w:eastAsiaTheme="minorEastAsia"/>
          <w:b/>
          <w:color w:val="auto"/>
          <w:szCs w:val="21"/>
          <w:highlight w:val="none"/>
        </w:rPr>
      </w:pPr>
    </w:p>
    <w:p w14:paraId="574D9C6A">
      <w:pPr>
        <w:spacing w:line="360" w:lineRule="auto"/>
        <w:jc w:val="center"/>
        <w:rPr>
          <w:rFonts w:asciiTheme="minorEastAsia" w:hAnsiTheme="minorEastAsia" w:eastAsiaTheme="minorEastAsia"/>
          <w:b/>
          <w:color w:val="auto"/>
          <w:szCs w:val="21"/>
          <w:highlight w:val="none"/>
        </w:rPr>
      </w:pPr>
    </w:p>
    <w:p w14:paraId="53116953">
      <w:pPr>
        <w:spacing w:line="360" w:lineRule="auto"/>
        <w:rPr>
          <w:rFonts w:asciiTheme="minorEastAsia" w:hAnsiTheme="minorEastAsia" w:eastAsiaTheme="minorEastAsia"/>
          <w:b/>
          <w:color w:val="auto"/>
          <w:szCs w:val="21"/>
          <w:highlight w:val="none"/>
        </w:rPr>
      </w:pPr>
    </w:p>
    <w:p w14:paraId="25242C64">
      <w:pPr>
        <w:spacing w:line="360" w:lineRule="auto"/>
        <w:rPr>
          <w:rFonts w:asciiTheme="minorEastAsia" w:hAnsiTheme="minorEastAsia" w:eastAsiaTheme="minorEastAsia"/>
          <w:b/>
          <w:color w:val="auto"/>
          <w:szCs w:val="21"/>
          <w:highlight w:val="none"/>
        </w:rPr>
      </w:pPr>
    </w:p>
    <w:p w14:paraId="27BD494F">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14:paraId="05707A6A">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投标人基本情况表 （附件4）</w:t>
      </w:r>
    </w:p>
    <w:tbl>
      <w:tblPr>
        <w:tblStyle w:val="5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14:paraId="306C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650" w:type="dxa"/>
            <w:vMerge w:val="restart"/>
            <w:vAlign w:val="center"/>
          </w:tcPr>
          <w:p w14:paraId="014E1CED">
            <w:pPr>
              <w:spacing w:line="360" w:lineRule="auto"/>
              <w:jc w:val="center"/>
              <w:rPr>
                <w:rFonts w:asciiTheme="minorEastAsia" w:hAnsiTheme="minorEastAsia" w:eastAsiaTheme="minorEastAsia"/>
                <w:color w:val="auto"/>
                <w:szCs w:val="21"/>
                <w:highlight w:val="none"/>
              </w:rPr>
            </w:pPr>
          </w:p>
          <w:p w14:paraId="74E83937">
            <w:pPr>
              <w:spacing w:line="360" w:lineRule="auto"/>
              <w:jc w:val="center"/>
              <w:rPr>
                <w:rFonts w:asciiTheme="minorEastAsia" w:hAnsiTheme="minorEastAsia" w:eastAsiaTheme="minorEastAsia"/>
                <w:color w:val="auto"/>
                <w:szCs w:val="21"/>
                <w:highlight w:val="none"/>
              </w:rPr>
            </w:pPr>
          </w:p>
          <w:p w14:paraId="14745A1E">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w:t>
            </w:r>
          </w:p>
          <w:p w14:paraId="20AC3F70">
            <w:pPr>
              <w:spacing w:line="360" w:lineRule="auto"/>
              <w:jc w:val="center"/>
              <w:rPr>
                <w:rFonts w:asciiTheme="minorEastAsia" w:hAnsiTheme="minorEastAsia" w:eastAsiaTheme="minorEastAsia"/>
                <w:color w:val="auto"/>
                <w:szCs w:val="21"/>
                <w:highlight w:val="none"/>
              </w:rPr>
            </w:pPr>
          </w:p>
          <w:p w14:paraId="37E01AC9">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w:t>
            </w:r>
          </w:p>
          <w:p w14:paraId="32E18CB9">
            <w:pPr>
              <w:spacing w:line="360" w:lineRule="auto"/>
              <w:jc w:val="center"/>
              <w:rPr>
                <w:rFonts w:asciiTheme="minorEastAsia" w:hAnsiTheme="minorEastAsia" w:eastAsiaTheme="minorEastAsia"/>
                <w:color w:val="auto"/>
                <w:szCs w:val="21"/>
                <w:highlight w:val="none"/>
              </w:rPr>
            </w:pPr>
          </w:p>
          <w:p w14:paraId="6DE9C86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w:t>
            </w:r>
          </w:p>
          <w:p w14:paraId="437B5C34">
            <w:pPr>
              <w:spacing w:line="360" w:lineRule="auto"/>
              <w:jc w:val="center"/>
              <w:rPr>
                <w:rFonts w:asciiTheme="minorEastAsia" w:hAnsiTheme="minorEastAsia" w:eastAsiaTheme="minorEastAsia"/>
                <w:color w:val="auto"/>
                <w:szCs w:val="21"/>
                <w:highlight w:val="none"/>
              </w:rPr>
            </w:pPr>
          </w:p>
          <w:p w14:paraId="7A879812">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概</w:t>
            </w:r>
          </w:p>
          <w:p w14:paraId="09006683">
            <w:pPr>
              <w:spacing w:line="360" w:lineRule="auto"/>
              <w:jc w:val="center"/>
              <w:rPr>
                <w:rFonts w:asciiTheme="minorEastAsia" w:hAnsiTheme="minorEastAsia" w:eastAsiaTheme="minorEastAsia"/>
                <w:color w:val="auto"/>
                <w:szCs w:val="21"/>
                <w:highlight w:val="none"/>
              </w:rPr>
            </w:pPr>
          </w:p>
          <w:p w14:paraId="4994F80F">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况</w:t>
            </w:r>
          </w:p>
        </w:tc>
        <w:tc>
          <w:tcPr>
            <w:tcW w:w="1813" w:type="dxa"/>
            <w:vAlign w:val="center"/>
          </w:tcPr>
          <w:p w14:paraId="7C13C583">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公司名称</w:t>
            </w:r>
          </w:p>
        </w:tc>
        <w:tc>
          <w:tcPr>
            <w:tcW w:w="6147" w:type="dxa"/>
            <w:gridSpan w:val="3"/>
            <w:vAlign w:val="center"/>
          </w:tcPr>
          <w:p w14:paraId="0A46C1BC">
            <w:pPr>
              <w:spacing w:line="360" w:lineRule="auto"/>
              <w:jc w:val="center"/>
              <w:rPr>
                <w:rFonts w:asciiTheme="minorEastAsia" w:hAnsiTheme="minorEastAsia" w:eastAsiaTheme="minorEastAsia"/>
                <w:color w:val="auto"/>
                <w:szCs w:val="21"/>
                <w:highlight w:val="none"/>
              </w:rPr>
            </w:pPr>
          </w:p>
        </w:tc>
      </w:tr>
      <w:tr w14:paraId="585B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50" w:type="dxa"/>
            <w:vMerge w:val="continue"/>
            <w:vAlign w:val="center"/>
          </w:tcPr>
          <w:p w14:paraId="5D3C7A28">
            <w:pPr>
              <w:spacing w:line="360" w:lineRule="auto"/>
              <w:jc w:val="center"/>
              <w:rPr>
                <w:rFonts w:asciiTheme="minorEastAsia" w:hAnsiTheme="minorEastAsia" w:eastAsiaTheme="minorEastAsia"/>
                <w:color w:val="auto"/>
                <w:szCs w:val="21"/>
                <w:highlight w:val="none"/>
              </w:rPr>
            </w:pPr>
          </w:p>
        </w:tc>
        <w:tc>
          <w:tcPr>
            <w:tcW w:w="1813" w:type="dxa"/>
            <w:vAlign w:val="center"/>
          </w:tcPr>
          <w:p w14:paraId="3A746B27">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p>
        </w:tc>
        <w:tc>
          <w:tcPr>
            <w:tcW w:w="6147" w:type="dxa"/>
            <w:gridSpan w:val="3"/>
            <w:vAlign w:val="center"/>
          </w:tcPr>
          <w:p w14:paraId="6D9AA633">
            <w:pPr>
              <w:spacing w:line="360" w:lineRule="auto"/>
              <w:jc w:val="center"/>
              <w:rPr>
                <w:rFonts w:asciiTheme="minorEastAsia" w:hAnsiTheme="minorEastAsia" w:eastAsiaTheme="minorEastAsia"/>
                <w:color w:val="auto"/>
                <w:szCs w:val="21"/>
                <w:highlight w:val="none"/>
              </w:rPr>
            </w:pPr>
          </w:p>
        </w:tc>
      </w:tr>
      <w:tr w14:paraId="7713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50" w:type="dxa"/>
            <w:vMerge w:val="continue"/>
            <w:vAlign w:val="center"/>
          </w:tcPr>
          <w:p w14:paraId="50B9804F">
            <w:pPr>
              <w:spacing w:line="360" w:lineRule="auto"/>
              <w:jc w:val="center"/>
              <w:rPr>
                <w:rFonts w:asciiTheme="minorEastAsia" w:hAnsiTheme="minorEastAsia" w:eastAsiaTheme="minorEastAsia"/>
                <w:color w:val="auto"/>
                <w:szCs w:val="21"/>
                <w:highlight w:val="none"/>
              </w:rPr>
            </w:pPr>
          </w:p>
        </w:tc>
        <w:tc>
          <w:tcPr>
            <w:tcW w:w="1813" w:type="dxa"/>
            <w:vAlign w:val="center"/>
          </w:tcPr>
          <w:p w14:paraId="70D5C362">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经营范围</w:t>
            </w:r>
          </w:p>
        </w:tc>
        <w:tc>
          <w:tcPr>
            <w:tcW w:w="6147" w:type="dxa"/>
            <w:gridSpan w:val="3"/>
            <w:vAlign w:val="center"/>
          </w:tcPr>
          <w:p w14:paraId="66B04C27">
            <w:pPr>
              <w:spacing w:line="360" w:lineRule="auto"/>
              <w:ind w:firstLine="420" w:firstLineChars="200"/>
              <w:rPr>
                <w:rFonts w:asciiTheme="minorEastAsia" w:hAnsiTheme="minorEastAsia" w:eastAsiaTheme="minorEastAsia"/>
                <w:color w:val="auto"/>
                <w:szCs w:val="21"/>
                <w:highlight w:val="none"/>
              </w:rPr>
            </w:pPr>
          </w:p>
        </w:tc>
      </w:tr>
      <w:tr w14:paraId="0641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50" w:type="dxa"/>
            <w:vMerge w:val="continue"/>
            <w:vAlign w:val="center"/>
          </w:tcPr>
          <w:p w14:paraId="514EE549">
            <w:pPr>
              <w:spacing w:line="360" w:lineRule="auto"/>
              <w:jc w:val="center"/>
              <w:rPr>
                <w:rFonts w:asciiTheme="minorEastAsia" w:hAnsiTheme="minorEastAsia" w:eastAsiaTheme="minorEastAsia"/>
                <w:color w:val="auto"/>
                <w:szCs w:val="21"/>
                <w:highlight w:val="none"/>
              </w:rPr>
            </w:pPr>
          </w:p>
        </w:tc>
        <w:tc>
          <w:tcPr>
            <w:tcW w:w="1813" w:type="dxa"/>
            <w:vAlign w:val="center"/>
          </w:tcPr>
          <w:p w14:paraId="72E51FB6">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p>
        </w:tc>
        <w:tc>
          <w:tcPr>
            <w:tcW w:w="2538" w:type="dxa"/>
            <w:vAlign w:val="center"/>
          </w:tcPr>
          <w:p w14:paraId="175D09B8">
            <w:pPr>
              <w:spacing w:line="360" w:lineRule="auto"/>
              <w:jc w:val="center"/>
              <w:rPr>
                <w:rFonts w:asciiTheme="minorEastAsia" w:hAnsiTheme="minorEastAsia" w:eastAsiaTheme="minorEastAsia"/>
                <w:color w:val="auto"/>
                <w:szCs w:val="21"/>
                <w:highlight w:val="none"/>
              </w:rPr>
            </w:pPr>
          </w:p>
        </w:tc>
        <w:tc>
          <w:tcPr>
            <w:tcW w:w="1530" w:type="dxa"/>
            <w:vAlign w:val="center"/>
          </w:tcPr>
          <w:p w14:paraId="394991B1">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经济性质</w:t>
            </w:r>
          </w:p>
        </w:tc>
        <w:tc>
          <w:tcPr>
            <w:tcW w:w="2079" w:type="dxa"/>
            <w:vAlign w:val="center"/>
          </w:tcPr>
          <w:p w14:paraId="0918CF8E">
            <w:pPr>
              <w:spacing w:line="360" w:lineRule="auto"/>
              <w:jc w:val="center"/>
              <w:rPr>
                <w:rFonts w:asciiTheme="minorEastAsia" w:hAnsiTheme="minorEastAsia" w:eastAsiaTheme="minorEastAsia"/>
                <w:color w:val="auto"/>
                <w:szCs w:val="21"/>
                <w:highlight w:val="none"/>
              </w:rPr>
            </w:pPr>
          </w:p>
        </w:tc>
      </w:tr>
      <w:tr w14:paraId="7C66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50" w:type="dxa"/>
            <w:vMerge w:val="continue"/>
            <w:vAlign w:val="center"/>
          </w:tcPr>
          <w:p w14:paraId="5D718F8F">
            <w:pPr>
              <w:spacing w:line="360" w:lineRule="auto"/>
              <w:jc w:val="center"/>
              <w:rPr>
                <w:rFonts w:asciiTheme="minorEastAsia" w:hAnsiTheme="minorEastAsia" w:eastAsiaTheme="minorEastAsia"/>
                <w:color w:val="auto"/>
                <w:szCs w:val="21"/>
                <w:highlight w:val="none"/>
              </w:rPr>
            </w:pPr>
          </w:p>
        </w:tc>
        <w:tc>
          <w:tcPr>
            <w:tcW w:w="1813" w:type="dxa"/>
            <w:vAlign w:val="center"/>
          </w:tcPr>
          <w:p w14:paraId="5D683DF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p>
        </w:tc>
        <w:tc>
          <w:tcPr>
            <w:tcW w:w="2538" w:type="dxa"/>
            <w:vAlign w:val="center"/>
          </w:tcPr>
          <w:p w14:paraId="067F897F">
            <w:pPr>
              <w:spacing w:line="360" w:lineRule="auto"/>
              <w:jc w:val="center"/>
              <w:rPr>
                <w:rFonts w:asciiTheme="minorEastAsia" w:hAnsiTheme="minorEastAsia" w:eastAsiaTheme="minorEastAsia"/>
                <w:color w:val="auto"/>
                <w:szCs w:val="21"/>
                <w:highlight w:val="none"/>
              </w:rPr>
            </w:pPr>
          </w:p>
        </w:tc>
        <w:tc>
          <w:tcPr>
            <w:tcW w:w="1530" w:type="dxa"/>
            <w:vAlign w:val="center"/>
          </w:tcPr>
          <w:p w14:paraId="28AF759E">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2079" w:type="dxa"/>
            <w:vAlign w:val="center"/>
          </w:tcPr>
          <w:p w14:paraId="0ED67DCE">
            <w:pPr>
              <w:spacing w:line="360" w:lineRule="auto"/>
              <w:jc w:val="center"/>
              <w:rPr>
                <w:rFonts w:asciiTheme="minorEastAsia" w:hAnsiTheme="minorEastAsia" w:eastAsiaTheme="minorEastAsia"/>
                <w:color w:val="auto"/>
                <w:szCs w:val="21"/>
                <w:highlight w:val="none"/>
              </w:rPr>
            </w:pPr>
          </w:p>
        </w:tc>
      </w:tr>
      <w:tr w14:paraId="4D9A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650" w:type="dxa"/>
            <w:vMerge w:val="continue"/>
            <w:vAlign w:val="center"/>
          </w:tcPr>
          <w:p w14:paraId="4759D854">
            <w:pPr>
              <w:spacing w:line="360" w:lineRule="auto"/>
              <w:jc w:val="center"/>
              <w:rPr>
                <w:rFonts w:asciiTheme="minorEastAsia" w:hAnsiTheme="minorEastAsia" w:eastAsiaTheme="minorEastAsia"/>
                <w:color w:val="auto"/>
                <w:szCs w:val="21"/>
                <w:highlight w:val="none"/>
              </w:rPr>
            </w:pPr>
          </w:p>
        </w:tc>
        <w:tc>
          <w:tcPr>
            <w:tcW w:w="1813" w:type="dxa"/>
            <w:vAlign w:val="center"/>
          </w:tcPr>
          <w:p w14:paraId="21E2A7A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注册资金</w:t>
            </w:r>
          </w:p>
        </w:tc>
        <w:tc>
          <w:tcPr>
            <w:tcW w:w="2538" w:type="dxa"/>
            <w:vAlign w:val="center"/>
          </w:tcPr>
          <w:p w14:paraId="630A0B33">
            <w:pPr>
              <w:spacing w:line="360" w:lineRule="auto"/>
              <w:jc w:val="center"/>
              <w:rPr>
                <w:rFonts w:asciiTheme="minorEastAsia" w:hAnsiTheme="minorEastAsia" w:eastAsiaTheme="minorEastAsia"/>
                <w:color w:val="auto"/>
                <w:szCs w:val="21"/>
                <w:highlight w:val="none"/>
              </w:rPr>
            </w:pPr>
          </w:p>
        </w:tc>
        <w:tc>
          <w:tcPr>
            <w:tcW w:w="1530" w:type="dxa"/>
            <w:vAlign w:val="center"/>
          </w:tcPr>
          <w:p w14:paraId="6E53C061">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人员数</w:t>
            </w:r>
          </w:p>
        </w:tc>
        <w:tc>
          <w:tcPr>
            <w:tcW w:w="2079" w:type="dxa"/>
            <w:vAlign w:val="center"/>
          </w:tcPr>
          <w:p w14:paraId="4C482934">
            <w:pPr>
              <w:spacing w:line="360" w:lineRule="auto"/>
              <w:jc w:val="center"/>
              <w:rPr>
                <w:rFonts w:asciiTheme="minorEastAsia" w:hAnsiTheme="minorEastAsia" w:eastAsiaTheme="minorEastAsia"/>
                <w:color w:val="auto"/>
                <w:szCs w:val="21"/>
                <w:highlight w:val="none"/>
              </w:rPr>
            </w:pPr>
          </w:p>
        </w:tc>
      </w:tr>
      <w:tr w14:paraId="7371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650" w:type="dxa"/>
            <w:vMerge w:val="continue"/>
            <w:vAlign w:val="center"/>
          </w:tcPr>
          <w:p w14:paraId="4EA1E32D">
            <w:pPr>
              <w:spacing w:line="360" w:lineRule="auto"/>
              <w:jc w:val="center"/>
              <w:rPr>
                <w:rFonts w:asciiTheme="minorEastAsia" w:hAnsiTheme="minorEastAsia" w:eastAsiaTheme="minorEastAsia"/>
                <w:color w:val="auto"/>
                <w:szCs w:val="21"/>
                <w:highlight w:val="none"/>
              </w:rPr>
            </w:pPr>
          </w:p>
        </w:tc>
        <w:tc>
          <w:tcPr>
            <w:tcW w:w="1813" w:type="dxa"/>
            <w:vAlign w:val="center"/>
          </w:tcPr>
          <w:p w14:paraId="2BCC369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是否依法纳税</w:t>
            </w:r>
          </w:p>
        </w:tc>
        <w:tc>
          <w:tcPr>
            <w:tcW w:w="6147" w:type="dxa"/>
            <w:gridSpan w:val="3"/>
            <w:vAlign w:val="center"/>
          </w:tcPr>
          <w:p w14:paraId="4054C6F9">
            <w:pPr>
              <w:spacing w:line="360" w:lineRule="auto"/>
              <w:jc w:val="center"/>
              <w:rPr>
                <w:rFonts w:asciiTheme="minorEastAsia" w:hAnsiTheme="minorEastAsia" w:eastAsiaTheme="minorEastAsia"/>
                <w:color w:val="auto"/>
                <w:szCs w:val="21"/>
                <w:highlight w:val="none"/>
              </w:rPr>
            </w:pPr>
          </w:p>
        </w:tc>
      </w:tr>
      <w:tr w14:paraId="2735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650" w:type="dxa"/>
            <w:vMerge w:val="continue"/>
            <w:vAlign w:val="center"/>
          </w:tcPr>
          <w:p w14:paraId="047668AF">
            <w:pPr>
              <w:spacing w:line="360" w:lineRule="auto"/>
              <w:jc w:val="center"/>
              <w:rPr>
                <w:rFonts w:asciiTheme="minorEastAsia" w:hAnsiTheme="minorEastAsia" w:eastAsiaTheme="minorEastAsia"/>
                <w:color w:val="auto"/>
                <w:szCs w:val="21"/>
                <w:highlight w:val="none"/>
              </w:rPr>
            </w:pPr>
          </w:p>
        </w:tc>
        <w:tc>
          <w:tcPr>
            <w:tcW w:w="7960" w:type="dxa"/>
            <w:gridSpan w:val="4"/>
          </w:tcPr>
          <w:p w14:paraId="7A3631D4">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单位介绍：</w:t>
            </w:r>
          </w:p>
        </w:tc>
      </w:tr>
      <w:tr w14:paraId="23D4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610" w:type="dxa"/>
            <w:gridSpan w:val="5"/>
            <w:vAlign w:val="center"/>
          </w:tcPr>
          <w:p w14:paraId="084D2957">
            <w:pPr>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（单位公章）年   月   日</w:t>
            </w:r>
          </w:p>
        </w:tc>
      </w:tr>
    </w:tbl>
    <w:p w14:paraId="12EE8204">
      <w:pPr>
        <w:spacing w:before="120" w:before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注：附营业执照。</w:t>
      </w:r>
    </w:p>
    <w:p w14:paraId="6D55E0DE">
      <w:pPr>
        <w:snapToGrid w:val="0"/>
        <w:spacing w:line="360" w:lineRule="auto"/>
        <w:rPr>
          <w:rFonts w:asciiTheme="minorEastAsia" w:hAnsiTheme="minorEastAsia" w:eastAsiaTheme="minorEastAsia"/>
          <w:b/>
          <w:bCs/>
          <w:color w:val="auto"/>
          <w:kern w:val="44"/>
          <w:szCs w:val="21"/>
          <w:highlight w:val="none"/>
        </w:rPr>
      </w:pPr>
    </w:p>
    <w:p w14:paraId="3BC3CC2B">
      <w:pPr>
        <w:snapToGrid w:val="0"/>
        <w:spacing w:line="360" w:lineRule="auto"/>
        <w:rPr>
          <w:rFonts w:asciiTheme="minorEastAsia" w:hAnsiTheme="minorEastAsia" w:eastAsiaTheme="minorEastAsia"/>
          <w:b/>
          <w:bCs/>
          <w:color w:val="auto"/>
          <w:kern w:val="44"/>
          <w:szCs w:val="21"/>
          <w:highlight w:val="none"/>
        </w:rPr>
      </w:pPr>
    </w:p>
    <w:p w14:paraId="50BD7357">
      <w:pPr>
        <w:snapToGrid w:val="0"/>
        <w:spacing w:line="360" w:lineRule="auto"/>
        <w:rPr>
          <w:rFonts w:asciiTheme="minorEastAsia" w:hAnsiTheme="minorEastAsia" w:eastAsiaTheme="minorEastAsia"/>
          <w:b/>
          <w:bCs/>
          <w:color w:val="auto"/>
          <w:kern w:val="44"/>
          <w:szCs w:val="21"/>
          <w:highlight w:val="none"/>
        </w:rPr>
      </w:pPr>
    </w:p>
    <w:p w14:paraId="3CF183C8">
      <w:pPr>
        <w:snapToGrid w:val="0"/>
        <w:spacing w:line="360" w:lineRule="auto"/>
        <w:rPr>
          <w:rFonts w:asciiTheme="minorEastAsia" w:hAnsiTheme="minorEastAsia" w:eastAsiaTheme="minorEastAsia"/>
          <w:b/>
          <w:bCs/>
          <w:color w:val="auto"/>
          <w:kern w:val="44"/>
          <w:szCs w:val="21"/>
          <w:highlight w:val="none"/>
        </w:rPr>
      </w:pPr>
    </w:p>
    <w:p w14:paraId="6019E8D2">
      <w:pPr>
        <w:snapToGrid w:val="0"/>
        <w:spacing w:line="360" w:lineRule="auto"/>
        <w:rPr>
          <w:rFonts w:asciiTheme="minorEastAsia" w:hAnsiTheme="minorEastAsia" w:eastAsiaTheme="minorEastAsia"/>
          <w:b/>
          <w:bCs/>
          <w:color w:val="auto"/>
          <w:kern w:val="44"/>
          <w:szCs w:val="21"/>
          <w:highlight w:val="none"/>
        </w:rPr>
      </w:pPr>
    </w:p>
    <w:p w14:paraId="6DD744C5">
      <w:pPr>
        <w:snapToGrid w:val="0"/>
        <w:spacing w:line="360" w:lineRule="auto"/>
        <w:rPr>
          <w:rFonts w:asciiTheme="minorEastAsia" w:hAnsiTheme="minorEastAsia" w:eastAsiaTheme="minorEastAsia"/>
          <w:b/>
          <w:bCs/>
          <w:color w:val="auto"/>
          <w:kern w:val="44"/>
          <w:szCs w:val="21"/>
          <w:highlight w:val="none"/>
        </w:rPr>
      </w:pPr>
    </w:p>
    <w:p w14:paraId="0DF8D4E2">
      <w:pPr>
        <w:snapToGrid w:val="0"/>
        <w:spacing w:line="360" w:lineRule="auto"/>
        <w:rPr>
          <w:rFonts w:asciiTheme="minorEastAsia" w:hAnsiTheme="minorEastAsia" w:eastAsiaTheme="minorEastAsia"/>
          <w:b/>
          <w:bCs/>
          <w:color w:val="auto"/>
          <w:kern w:val="44"/>
          <w:szCs w:val="21"/>
          <w:highlight w:val="none"/>
        </w:rPr>
      </w:pPr>
    </w:p>
    <w:p w14:paraId="42758E1F">
      <w:pPr>
        <w:snapToGrid w:val="0"/>
        <w:spacing w:line="360" w:lineRule="auto"/>
        <w:rPr>
          <w:rFonts w:asciiTheme="minorEastAsia" w:hAnsiTheme="minorEastAsia" w:eastAsiaTheme="minorEastAsia"/>
          <w:b/>
          <w:bCs/>
          <w:color w:val="auto"/>
          <w:kern w:val="44"/>
          <w:szCs w:val="21"/>
          <w:highlight w:val="none"/>
        </w:rPr>
      </w:pPr>
    </w:p>
    <w:p w14:paraId="3F8F3BE7">
      <w:pPr>
        <w:snapToGrid w:val="0"/>
        <w:spacing w:line="360" w:lineRule="auto"/>
        <w:rPr>
          <w:rFonts w:asciiTheme="minorEastAsia" w:hAnsiTheme="minorEastAsia" w:eastAsiaTheme="minorEastAsia"/>
          <w:b/>
          <w:bCs/>
          <w:color w:val="auto"/>
          <w:kern w:val="44"/>
          <w:szCs w:val="21"/>
          <w:highlight w:val="none"/>
        </w:rPr>
      </w:pPr>
    </w:p>
    <w:p w14:paraId="36B914E0">
      <w:pPr>
        <w:snapToGrid w:val="0"/>
        <w:spacing w:line="360" w:lineRule="auto"/>
        <w:rPr>
          <w:rFonts w:asciiTheme="minorEastAsia" w:hAnsiTheme="minorEastAsia" w:eastAsiaTheme="minorEastAsia"/>
          <w:b/>
          <w:bCs/>
          <w:color w:val="auto"/>
          <w:kern w:val="44"/>
          <w:szCs w:val="21"/>
          <w:highlight w:val="none"/>
        </w:rPr>
      </w:pPr>
    </w:p>
    <w:p w14:paraId="5096D781">
      <w:pPr>
        <w:snapToGrid w:val="0"/>
        <w:spacing w:line="360" w:lineRule="auto"/>
        <w:rPr>
          <w:rFonts w:asciiTheme="minorEastAsia" w:hAnsiTheme="minorEastAsia" w:eastAsiaTheme="minorEastAsia"/>
          <w:b/>
          <w:bCs/>
          <w:color w:val="auto"/>
          <w:kern w:val="44"/>
          <w:szCs w:val="21"/>
          <w:highlight w:val="none"/>
        </w:rPr>
      </w:pPr>
    </w:p>
    <w:p w14:paraId="549332D6">
      <w:pPr>
        <w:snapToGrid w:val="0"/>
        <w:spacing w:line="360" w:lineRule="auto"/>
        <w:rPr>
          <w:color w:val="auto"/>
          <w:highlight w:val="none"/>
        </w:rPr>
      </w:pPr>
    </w:p>
    <w:p w14:paraId="78E5FBB9">
      <w:pPr>
        <w:rPr>
          <w:color w:val="auto"/>
          <w:highlight w:val="none"/>
        </w:rPr>
      </w:pPr>
    </w:p>
    <w:p w14:paraId="55C05580">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14:paraId="3DF5D243">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业绩一览表（附件5）</w:t>
      </w:r>
    </w:p>
    <w:tbl>
      <w:tblPr>
        <w:tblStyle w:val="5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14:paraId="3B83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03880CB8">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067" w:type="dxa"/>
            <w:vAlign w:val="center"/>
          </w:tcPr>
          <w:p w14:paraId="4F608C37">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rPr>
              <w:t>项目名称</w:t>
            </w:r>
          </w:p>
        </w:tc>
        <w:tc>
          <w:tcPr>
            <w:tcW w:w="2067" w:type="dxa"/>
            <w:vAlign w:val="center"/>
          </w:tcPr>
          <w:p w14:paraId="1FEA168C">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项目金额</w:t>
            </w:r>
          </w:p>
          <w:p w14:paraId="3EE2695F">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rPr>
              <w:t>万元）</w:t>
            </w:r>
          </w:p>
        </w:tc>
        <w:tc>
          <w:tcPr>
            <w:tcW w:w="1720" w:type="dxa"/>
            <w:vAlign w:val="center"/>
          </w:tcPr>
          <w:p w14:paraId="312CCE1C">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合同时间</w:t>
            </w:r>
          </w:p>
        </w:tc>
        <w:tc>
          <w:tcPr>
            <w:tcW w:w="2066" w:type="dxa"/>
            <w:vAlign w:val="center"/>
          </w:tcPr>
          <w:p w14:paraId="37D87D0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66D3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724960F7">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C569EBC">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D75ED6C">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7C48AFC">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441206E2">
            <w:pPr>
              <w:spacing w:line="360" w:lineRule="auto"/>
              <w:ind w:firstLine="525" w:firstLineChars="250"/>
              <w:jc w:val="center"/>
              <w:rPr>
                <w:rFonts w:asciiTheme="minorEastAsia" w:hAnsiTheme="minorEastAsia" w:eastAsiaTheme="minorEastAsia"/>
                <w:color w:val="auto"/>
                <w:szCs w:val="21"/>
                <w:highlight w:val="none"/>
              </w:rPr>
            </w:pPr>
          </w:p>
        </w:tc>
      </w:tr>
      <w:tr w14:paraId="0EEB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7D85942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9D1C518">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4C4D7CE">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AD2B628">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8ACEEE5">
            <w:pPr>
              <w:spacing w:line="360" w:lineRule="auto"/>
              <w:ind w:firstLine="525" w:firstLineChars="250"/>
              <w:jc w:val="center"/>
              <w:rPr>
                <w:rFonts w:asciiTheme="minorEastAsia" w:hAnsiTheme="minorEastAsia" w:eastAsiaTheme="minorEastAsia"/>
                <w:color w:val="auto"/>
                <w:szCs w:val="21"/>
                <w:highlight w:val="none"/>
              </w:rPr>
            </w:pPr>
          </w:p>
        </w:tc>
      </w:tr>
      <w:tr w14:paraId="01B6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2C69204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6B3878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5477E1A">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F055CDD">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07CDEC82">
            <w:pPr>
              <w:spacing w:line="360" w:lineRule="auto"/>
              <w:ind w:firstLine="525" w:firstLineChars="250"/>
              <w:jc w:val="center"/>
              <w:rPr>
                <w:rFonts w:asciiTheme="minorEastAsia" w:hAnsiTheme="minorEastAsia" w:eastAsiaTheme="minorEastAsia"/>
                <w:color w:val="auto"/>
                <w:szCs w:val="21"/>
                <w:highlight w:val="none"/>
              </w:rPr>
            </w:pPr>
          </w:p>
        </w:tc>
      </w:tr>
      <w:tr w14:paraId="5993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50730B8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8A92975">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B0108B9">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21FED52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16D5EC6">
            <w:pPr>
              <w:spacing w:line="360" w:lineRule="auto"/>
              <w:ind w:firstLine="525" w:firstLineChars="250"/>
              <w:jc w:val="center"/>
              <w:rPr>
                <w:rFonts w:asciiTheme="minorEastAsia" w:hAnsiTheme="minorEastAsia" w:eastAsiaTheme="minorEastAsia"/>
                <w:color w:val="auto"/>
                <w:szCs w:val="21"/>
                <w:highlight w:val="none"/>
              </w:rPr>
            </w:pPr>
          </w:p>
        </w:tc>
      </w:tr>
      <w:tr w14:paraId="6267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2CD50AD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D58C217">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B262E08">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1DADE7EB">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60ECF875">
            <w:pPr>
              <w:spacing w:line="360" w:lineRule="auto"/>
              <w:ind w:firstLine="525" w:firstLineChars="250"/>
              <w:jc w:val="center"/>
              <w:rPr>
                <w:rFonts w:asciiTheme="minorEastAsia" w:hAnsiTheme="minorEastAsia" w:eastAsiaTheme="minorEastAsia"/>
                <w:color w:val="auto"/>
                <w:szCs w:val="21"/>
                <w:highlight w:val="none"/>
              </w:rPr>
            </w:pPr>
          </w:p>
        </w:tc>
      </w:tr>
      <w:tr w14:paraId="3447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2829D37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1CDB3C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5D4B51E">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6A8F2719">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578466A">
            <w:pPr>
              <w:spacing w:line="360" w:lineRule="auto"/>
              <w:ind w:firstLine="525" w:firstLineChars="250"/>
              <w:jc w:val="center"/>
              <w:rPr>
                <w:rFonts w:asciiTheme="minorEastAsia" w:hAnsiTheme="minorEastAsia" w:eastAsiaTheme="minorEastAsia"/>
                <w:color w:val="auto"/>
                <w:szCs w:val="21"/>
                <w:highlight w:val="none"/>
              </w:rPr>
            </w:pPr>
          </w:p>
        </w:tc>
      </w:tr>
      <w:tr w14:paraId="0674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96FAC2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21F0CC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B37435D">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7D865BFF">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C1E817A">
            <w:pPr>
              <w:spacing w:line="360" w:lineRule="auto"/>
              <w:ind w:firstLine="525" w:firstLineChars="250"/>
              <w:jc w:val="center"/>
              <w:rPr>
                <w:rFonts w:asciiTheme="minorEastAsia" w:hAnsiTheme="minorEastAsia" w:eastAsiaTheme="minorEastAsia"/>
                <w:color w:val="auto"/>
                <w:szCs w:val="21"/>
                <w:highlight w:val="none"/>
              </w:rPr>
            </w:pPr>
          </w:p>
        </w:tc>
      </w:tr>
      <w:tr w14:paraId="566A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77A8C49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A907F5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44D5E77">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10644F7F">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7275F95F">
            <w:pPr>
              <w:spacing w:line="360" w:lineRule="auto"/>
              <w:ind w:firstLine="525" w:firstLineChars="250"/>
              <w:jc w:val="center"/>
              <w:rPr>
                <w:rFonts w:asciiTheme="minorEastAsia" w:hAnsiTheme="minorEastAsia" w:eastAsiaTheme="minorEastAsia"/>
                <w:color w:val="auto"/>
                <w:szCs w:val="21"/>
                <w:highlight w:val="none"/>
              </w:rPr>
            </w:pPr>
          </w:p>
        </w:tc>
      </w:tr>
      <w:tr w14:paraId="23BF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39E3954E">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A9E694A">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F9EC4B0">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999A66A">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6776B2DF">
            <w:pPr>
              <w:spacing w:line="360" w:lineRule="auto"/>
              <w:ind w:firstLine="525" w:firstLineChars="250"/>
              <w:jc w:val="center"/>
              <w:rPr>
                <w:rFonts w:asciiTheme="minorEastAsia" w:hAnsiTheme="minorEastAsia" w:eastAsiaTheme="minorEastAsia"/>
                <w:color w:val="auto"/>
                <w:szCs w:val="21"/>
                <w:highlight w:val="none"/>
              </w:rPr>
            </w:pPr>
          </w:p>
        </w:tc>
      </w:tr>
      <w:tr w14:paraId="1383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093239FA">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D6038A7">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06954214">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08C9D62A">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1BA91296">
            <w:pPr>
              <w:spacing w:line="360" w:lineRule="auto"/>
              <w:ind w:firstLine="525" w:firstLineChars="250"/>
              <w:jc w:val="center"/>
              <w:rPr>
                <w:rFonts w:asciiTheme="minorEastAsia" w:hAnsiTheme="minorEastAsia" w:eastAsiaTheme="minorEastAsia"/>
                <w:color w:val="auto"/>
                <w:szCs w:val="21"/>
                <w:highlight w:val="none"/>
              </w:rPr>
            </w:pPr>
          </w:p>
        </w:tc>
      </w:tr>
      <w:tr w14:paraId="6290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68DC6D06">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0076E90D">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0D8FE41">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6C90089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05263ACB">
            <w:pPr>
              <w:spacing w:line="360" w:lineRule="auto"/>
              <w:ind w:firstLine="525" w:firstLineChars="250"/>
              <w:jc w:val="center"/>
              <w:rPr>
                <w:rFonts w:asciiTheme="minorEastAsia" w:hAnsiTheme="minorEastAsia" w:eastAsiaTheme="minorEastAsia"/>
                <w:color w:val="auto"/>
                <w:szCs w:val="21"/>
                <w:highlight w:val="none"/>
              </w:rPr>
            </w:pPr>
          </w:p>
        </w:tc>
      </w:tr>
      <w:tr w14:paraId="1142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93F82F2">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788E32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6D8BBD2">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A0716A7">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C3B83C4">
            <w:pPr>
              <w:spacing w:line="360" w:lineRule="auto"/>
              <w:ind w:firstLine="525" w:firstLineChars="250"/>
              <w:jc w:val="center"/>
              <w:rPr>
                <w:rFonts w:asciiTheme="minorEastAsia" w:hAnsiTheme="minorEastAsia" w:eastAsiaTheme="minorEastAsia"/>
                <w:color w:val="auto"/>
                <w:szCs w:val="21"/>
                <w:highlight w:val="none"/>
              </w:rPr>
            </w:pPr>
          </w:p>
        </w:tc>
      </w:tr>
      <w:tr w14:paraId="355C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0CA202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975BB3F">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04A6C19C">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7134FFB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4C3D6B4C">
            <w:pPr>
              <w:spacing w:line="360" w:lineRule="auto"/>
              <w:ind w:firstLine="525" w:firstLineChars="250"/>
              <w:jc w:val="center"/>
              <w:rPr>
                <w:rFonts w:asciiTheme="minorEastAsia" w:hAnsiTheme="minorEastAsia" w:eastAsiaTheme="minorEastAsia"/>
                <w:color w:val="auto"/>
                <w:szCs w:val="21"/>
                <w:highlight w:val="none"/>
              </w:rPr>
            </w:pPr>
          </w:p>
        </w:tc>
      </w:tr>
      <w:tr w14:paraId="560C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32403B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5E347D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EF71538">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726DF12">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F4E69ED">
            <w:pPr>
              <w:spacing w:line="360" w:lineRule="auto"/>
              <w:ind w:firstLine="525" w:firstLineChars="250"/>
              <w:jc w:val="center"/>
              <w:rPr>
                <w:rFonts w:asciiTheme="minorEastAsia" w:hAnsiTheme="minorEastAsia" w:eastAsiaTheme="minorEastAsia"/>
                <w:color w:val="auto"/>
                <w:szCs w:val="21"/>
                <w:highlight w:val="none"/>
              </w:rPr>
            </w:pPr>
          </w:p>
        </w:tc>
      </w:tr>
      <w:tr w14:paraId="4801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300AE21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D1EE03C">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57F7BD8">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5F4BED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ED190EB">
            <w:pPr>
              <w:spacing w:line="360" w:lineRule="auto"/>
              <w:ind w:firstLine="525" w:firstLineChars="250"/>
              <w:jc w:val="center"/>
              <w:rPr>
                <w:rFonts w:asciiTheme="minorEastAsia" w:hAnsiTheme="minorEastAsia" w:eastAsiaTheme="minorEastAsia"/>
                <w:color w:val="auto"/>
                <w:szCs w:val="21"/>
                <w:highlight w:val="none"/>
              </w:rPr>
            </w:pPr>
          </w:p>
        </w:tc>
      </w:tr>
      <w:tr w14:paraId="2088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5BC7BF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1A0CF88">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F269822">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0EA0389F">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1B39F42">
            <w:pPr>
              <w:spacing w:line="360" w:lineRule="auto"/>
              <w:ind w:firstLine="525" w:firstLineChars="250"/>
              <w:jc w:val="center"/>
              <w:rPr>
                <w:rFonts w:asciiTheme="minorEastAsia" w:hAnsiTheme="minorEastAsia" w:eastAsiaTheme="minorEastAsia"/>
                <w:color w:val="auto"/>
                <w:szCs w:val="21"/>
                <w:highlight w:val="none"/>
              </w:rPr>
            </w:pPr>
          </w:p>
        </w:tc>
      </w:tr>
    </w:tbl>
    <w:p w14:paraId="09DEB21E">
      <w:pPr>
        <w:pStyle w:val="29"/>
        <w:tabs>
          <w:tab w:val="left" w:pos="1200"/>
        </w:tabs>
        <w:spacing w:before="120" w:after="12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注：1、以上项目须提供合同复印件加盖单位公章.</w:t>
      </w:r>
    </w:p>
    <w:p w14:paraId="10A1C17D">
      <w:pPr>
        <w:pStyle w:val="29"/>
        <w:tabs>
          <w:tab w:val="left" w:pos="1200"/>
        </w:tabs>
        <w:spacing w:before="120" w:after="12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2、本表可在不改变格式的情况下根据具体需要自行增减。</w:t>
      </w:r>
    </w:p>
    <w:p w14:paraId="4587970D">
      <w:pPr>
        <w:snapToGrid w:val="0"/>
        <w:spacing w:line="360" w:lineRule="auto"/>
        <w:rPr>
          <w:rFonts w:asciiTheme="minorEastAsia" w:hAnsiTheme="minorEastAsia" w:eastAsiaTheme="minorEastAsia"/>
          <w:color w:val="auto"/>
          <w:spacing w:val="20"/>
          <w:szCs w:val="21"/>
          <w:highlight w:val="none"/>
        </w:rPr>
      </w:pPr>
    </w:p>
    <w:p w14:paraId="25613BBF">
      <w:pPr>
        <w:snapToGrid w:val="0"/>
        <w:spacing w:line="360" w:lineRule="auto"/>
        <w:rPr>
          <w:rFonts w:asciiTheme="minorEastAsia" w:hAnsiTheme="minorEastAsia" w:eastAsiaTheme="minorEastAsia"/>
          <w:color w:val="auto"/>
          <w:spacing w:val="20"/>
          <w:szCs w:val="21"/>
          <w:highlight w:val="none"/>
        </w:rPr>
      </w:pPr>
    </w:p>
    <w:p w14:paraId="4F8E87A7">
      <w:pPr>
        <w:snapToGrid w:val="0"/>
        <w:spacing w:line="360" w:lineRule="auto"/>
        <w:rPr>
          <w:rFonts w:asciiTheme="minorEastAsia" w:hAnsiTheme="minorEastAsia" w:eastAsiaTheme="minorEastAsia"/>
          <w:color w:val="auto"/>
          <w:spacing w:val="20"/>
          <w:szCs w:val="21"/>
          <w:highlight w:val="none"/>
        </w:rPr>
      </w:pPr>
    </w:p>
    <w:p w14:paraId="497E815B">
      <w:pPr>
        <w:snapToGrid w:val="0"/>
        <w:spacing w:line="360" w:lineRule="auto"/>
        <w:rPr>
          <w:rFonts w:asciiTheme="minorEastAsia" w:hAnsiTheme="minorEastAsia" w:eastAsiaTheme="minorEastAsia"/>
          <w:color w:val="auto"/>
          <w:spacing w:val="20"/>
          <w:szCs w:val="21"/>
          <w:highlight w:val="none"/>
        </w:rPr>
      </w:pPr>
    </w:p>
    <w:p w14:paraId="7E7E8C0D">
      <w:pPr>
        <w:snapToGrid w:val="0"/>
        <w:spacing w:line="360" w:lineRule="auto"/>
        <w:rPr>
          <w:rFonts w:asciiTheme="minorEastAsia" w:hAnsiTheme="minorEastAsia" w:eastAsiaTheme="minorEastAsia"/>
          <w:color w:val="auto"/>
          <w:szCs w:val="21"/>
          <w:highlight w:val="none"/>
        </w:rPr>
      </w:pPr>
      <w:bookmarkStart w:id="109" w:name="OLE_LINK7"/>
    </w:p>
    <w:p w14:paraId="3585AB01">
      <w:pPr>
        <w:snapToGrid w:val="0"/>
        <w:spacing w:line="360" w:lineRule="auto"/>
        <w:ind w:firstLine="211" w:firstLineChars="100"/>
        <w:rPr>
          <w:rFonts w:asciiTheme="minorEastAsia" w:hAnsiTheme="minorEastAsia" w:eastAsiaTheme="minorEastAsia"/>
          <w:b/>
          <w:bCs/>
          <w:color w:val="auto"/>
          <w:szCs w:val="21"/>
          <w:highlight w:val="none"/>
        </w:rPr>
      </w:pPr>
    </w:p>
    <w:p w14:paraId="07328F80">
      <w:pPr>
        <w:snapToGrid w:val="0"/>
        <w:spacing w:line="360" w:lineRule="auto"/>
        <w:ind w:firstLine="211" w:firstLineChars="1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7.</w:t>
      </w:r>
      <w:bookmarkEnd w:id="109"/>
    </w:p>
    <w:p w14:paraId="26149BD9">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项目组人员配置表（附件6）</w:t>
      </w:r>
    </w:p>
    <w:tbl>
      <w:tblPr>
        <w:tblStyle w:val="54"/>
        <w:tblW w:w="8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1758"/>
        <w:gridCol w:w="2236"/>
        <w:gridCol w:w="2236"/>
      </w:tblGrid>
      <w:tr w14:paraId="3AF5D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6B745E8">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14:paraId="64433BC4">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姓名</w:t>
            </w:r>
          </w:p>
        </w:tc>
        <w:tc>
          <w:tcPr>
            <w:tcW w:w="1758" w:type="dxa"/>
            <w:tcBorders>
              <w:top w:val="single" w:color="auto" w:sz="4" w:space="0"/>
              <w:left w:val="single" w:color="auto" w:sz="4" w:space="0"/>
              <w:bottom w:val="single" w:color="auto" w:sz="4" w:space="0"/>
              <w:right w:val="single" w:color="auto" w:sz="4" w:space="0"/>
            </w:tcBorders>
            <w:vAlign w:val="center"/>
          </w:tcPr>
          <w:p w14:paraId="3D5A552B">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学历</w:t>
            </w:r>
          </w:p>
        </w:tc>
        <w:tc>
          <w:tcPr>
            <w:tcW w:w="2236" w:type="dxa"/>
            <w:tcBorders>
              <w:top w:val="single" w:color="auto" w:sz="4" w:space="0"/>
              <w:left w:val="single" w:color="auto" w:sz="4" w:space="0"/>
              <w:bottom w:val="single" w:color="auto" w:sz="4" w:space="0"/>
              <w:right w:val="single" w:color="auto" w:sz="4" w:space="0"/>
            </w:tcBorders>
          </w:tcPr>
          <w:p w14:paraId="5A01D101">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职称</w:t>
            </w:r>
          </w:p>
        </w:tc>
        <w:tc>
          <w:tcPr>
            <w:tcW w:w="2236" w:type="dxa"/>
            <w:tcBorders>
              <w:top w:val="single" w:color="auto" w:sz="4" w:space="0"/>
              <w:left w:val="single" w:color="auto" w:sz="4" w:space="0"/>
              <w:bottom w:val="single" w:color="auto" w:sz="4" w:space="0"/>
              <w:right w:val="single" w:color="auto" w:sz="4" w:space="0"/>
            </w:tcBorders>
          </w:tcPr>
          <w:p w14:paraId="09EB86E6">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工作经验</w:t>
            </w:r>
          </w:p>
        </w:tc>
      </w:tr>
      <w:tr w14:paraId="1B953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76A317D">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14:paraId="5F01FAE3">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4EF6ADF">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D7F7D91">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D4CEAA7">
            <w:pPr>
              <w:adjustRightInd w:val="0"/>
              <w:spacing w:line="360" w:lineRule="auto"/>
              <w:jc w:val="center"/>
              <w:rPr>
                <w:rFonts w:cs="Arial" w:asciiTheme="minorEastAsia" w:hAnsiTheme="minorEastAsia" w:eastAsiaTheme="minorEastAsia"/>
                <w:color w:val="auto"/>
                <w:szCs w:val="21"/>
                <w:highlight w:val="none"/>
              </w:rPr>
            </w:pPr>
          </w:p>
        </w:tc>
      </w:tr>
      <w:tr w14:paraId="78AE9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3B3F9AA">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14:paraId="0F328917">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34719E67">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C13EDF8">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EACB497">
            <w:pPr>
              <w:adjustRightInd w:val="0"/>
              <w:spacing w:line="360" w:lineRule="auto"/>
              <w:jc w:val="right"/>
              <w:rPr>
                <w:rFonts w:cs="Arial" w:asciiTheme="minorEastAsia" w:hAnsiTheme="minorEastAsia" w:eastAsiaTheme="minorEastAsia"/>
                <w:color w:val="auto"/>
                <w:szCs w:val="21"/>
                <w:highlight w:val="none"/>
              </w:rPr>
            </w:pPr>
          </w:p>
        </w:tc>
      </w:tr>
      <w:tr w14:paraId="4F120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666B5E6">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14:paraId="0FE7D1F0">
            <w:pPr>
              <w:adjustRightInd w:val="0"/>
              <w:spacing w:line="360" w:lineRule="auto"/>
              <w:jc w:val="center"/>
              <w:rPr>
                <w:rFonts w:asciiTheme="minorEastAsia" w:hAnsiTheme="minorEastAsia" w:eastAsiaTheme="minorEastAsia"/>
                <w:b/>
                <w:bCs/>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164444A1">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0FAB4A3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7AA0B467">
            <w:pPr>
              <w:adjustRightInd w:val="0"/>
              <w:spacing w:line="360" w:lineRule="auto"/>
              <w:jc w:val="right"/>
              <w:rPr>
                <w:rFonts w:cs="Arial" w:asciiTheme="minorEastAsia" w:hAnsiTheme="minorEastAsia" w:eastAsiaTheme="minorEastAsia"/>
                <w:color w:val="auto"/>
                <w:szCs w:val="21"/>
                <w:highlight w:val="none"/>
              </w:rPr>
            </w:pPr>
          </w:p>
        </w:tc>
      </w:tr>
      <w:tr w14:paraId="1E855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5ED161B">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14:paraId="34CEDFD1">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519CADEB">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9930CF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71FA5136">
            <w:pPr>
              <w:adjustRightInd w:val="0"/>
              <w:spacing w:line="360" w:lineRule="auto"/>
              <w:jc w:val="right"/>
              <w:rPr>
                <w:rFonts w:cs="Arial" w:asciiTheme="minorEastAsia" w:hAnsiTheme="minorEastAsia" w:eastAsiaTheme="minorEastAsia"/>
                <w:color w:val="auto"/>
                <w:szCs w:val="21"/>
                <w:highlight w:val="none"/>
              </w:rPr>
            </w:pPr>
          </w:p>
        </w:tc>
      </w:tr>
      <w:tr w14:paraId="1B502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06625DD">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14:paraId="30028D6F">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32E6358">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279E5D9">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BC506F4">
            <w:pPr>
              <w:adjustRightInd w:val="0"/>
              <w:spacing w:line="360" w:lineRule="auto"/>
              <w:jc w:val="right"/>
              <w:rPr>
                <w:rFonts w:cs="Arial" w:asciiTheme="minorEastAsia" w:hAnsiTheme="minorEastAsia" w:eastAsiaTheme="minorEastAsia"/>
                <w:color w:val="auto"/>
                <w:szCs w:val="21"/>
                <w:highlight w:val="none"/>
              </w:rPr>
            </w:pPr>
          </w:p>
        </w:tc>
      </w:tr>
      <w:tr w14:paraId="329D0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A7B3F24">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14:paraId="6DCCC0DC">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58" w:type="dxa"/>
            <w:tcBorders>
              <w:top w:val="single" w:color="auto" w:sz="4" w:space="0"/>
              <w:left w:val="single" w:color="auto" w:sz="4" w:space="0"/>
              <w:bottom w:val="single" w:color="auto" w:sz="4" w:space="0"/>
              <w:right w:val="single" w:color="auto" w:sz="4" w:space="0"/>
            </w:tcBorders>
            <w:vAlign w:val="center"/>
          </w:tcPr>
          <w:p w14:paraId="2B0C29DF">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40D025A6">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085D693">
            <w:pPr>
              <w:adjustRightInd w:val="0"/>
              <w:spacing w:line="360" w:lineRule="auto"/>
              <w:jc w:val="right"/>
              <w:rPr>
                <w:rFonts w:cs="Arial" w:asciiTheme="minorEastAsia" w:hAnsiTheme="minorEastAsia" w:eastAsiaTheme="minorEastAsia"/>
                <w:color w:val="auto"/>
                <w:szCs w:val="21"/>
                <w:highlight w:val="none"/>
              </w:rPr>
            </w:pPr>
          </w:p>
        </w:tc>
      </w:tr>
      <w:tr w14:paraId="660E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5D01662">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14:paraId="2812F299">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16A43AB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4ED36E0">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30F9AA3">
            <w:pPr>
              <w:adjustRightInd w:val="0"/>
              <w:spacing w:line="360" w:lineRule="auto"/>
              <w:jc w:val="right"/>
              <w:rPr>
                <w:rFonts w:cs="Arial" w:asciiTheme="minorEastAsia" w:hAnsiTheme="minorEastAsia" w:eastAsiaTheme="minorEastAsia"/>
                <w:color w:val="auto"/>
                <w:szCs w:val="21"/>
                <w:highlight w:val="none"/>
              </w:rPr>
            </w:pPr>
          </w:p>
        </w:tc>
      </w:tr>
      <w:tr w14:paraId="409EA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C0C438C">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14:paraId="0921698E">
            <w:pPr>
              <w:adjustRightInd w:val="0"/>
              <w:spacing w:line="360" w:lineRule="auto"/>
              <w:jc w:val="center"/>
              <w:rPr>
                <w:rFonts w:asciiTheme="minorEastAsia" w:hAnsiTheme="minorEastAsia" w:eastAsiaTheme="minorEastAsia"/>
                <w:color w:val="auto"/>
                <w:spacing w:val="-20"/>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0842DE84">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3131B53">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5E28DFF">
            <w:pPr>
              <w:adjustRightInd w:val="0"/>
              <w:spacing w:line="360" w:lineRule="auto"/>
              <w:jc w:val="right"/>
              <w:rPr>
                <w:rFonts w:cs="Arial" w:asciiTheme="minorEastAsia" w:hAnsiTheme="minorEastAsia" w:eastAsiaTheme="minorEastAsia"/>
                <w:color w:val="auto"/>
                <w:szCs w:val="21"/>
                <w:highlight w:val="none"/>
              </w:rPr>
            </w:pPr>
          </w:p>
        </w:tc>
      </w:tr>
      <w:tr w14:paraId="3B7F3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A990D5A">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14:paraId="18C68FB5">
            <w:pPr>
              <w:adjustRightInd w:val="0"/>
              <w:spacing w:line="360" w:lineRule="auto"/>
              <w:jc w:val="center"/>
              <w:rPr>
                <w:rFonts w:asciiTheme="minorEastAsia" w:hAnsiTheme="minorEastAsia" w:eastAsiaTheme="minorEastAsia"/>
                <w:color w:val="auto"/>
                <w:spacing w:val="-20"/>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68683FC">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78EBFF0">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0FD0B095">
            <w:pPr>
              <w:adjustRightInd w:val="0"/>
              <w:spacing w:line="360" w:lineRule="auto"/>
              <w:jc w:val="right"/>
              <w:rPr>
                <w:rFonts w:cs="Arial" w:asciiTheme="minorEastAsia" w:hAnsiTheme="minorEastAsia" w:eastAsiaTheme="minorEastAsia"/>
                <w:color w:val="auto"/>
                <w:szCs w:val="21"/>
                <w:highlight w:val="none"/>
              </w:rPr>
            </w:pPr>
          </w:p>
        </w:tc>
      </w:tr>
      <w:tr w14:paraId="6DB0C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AAADFEB">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14:paraId="315D7AB1">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107A5001">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D3978AC">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31D4C43">
            <w:pPr>
              <w:adjustRightInd w:val="0"/>
              <w:spacing w:line="360" w:lineRule="auto"/>
              <w:jc w:val="right"/>
              <w:rPr>
                <w:rFonts w:cs="Arial" w:asciiTheme="minorEastAsia" w:hAnsiTheme="minorEastAsia" w:eastAsiaTheme="minorEastAsia"/>
                <w:color w:val="auto"/>
                <w:szCs w:val="21"/>
                <w:highlight w:val="none"/>
              </w:rPr>
            </w:pPr>
          </w:p>
        </w:tc>
      </w:tr>
      <w:tr w14:paraId="0A882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C92B4D8">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w:t>
            </w:r>
          </w:p>
        </w:tc>
        <w:tc>
          <w:tcPr>
            <w:tcW w:w="1745" w:type="dxa"/>
            <w:tcBorders>
              <w:top w:val="single" w:color="auto" w:sz="4" w:space="0"/>
              <w:left w:val="single" w:color="auto" w:sz="4" w:space="0"/>
              <w:bottom w:val="single" w:color="auto" w:sz="4" w:space="0"/>
              <w:right w:val="single" w:color="auto" w:sz="4" w:space="0"/>
            </w:tcBorders>
            <w:vAlign w:val="center"/>
          </w:tcPr>
          <w:p w14:paraId="62C21012">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58" w:type="dxa"/>
            <w:tcBorders>
              <w:top w:val="single" w:color="auto" w:sz="4" w:space="0"/>
              <w:left w:val="single" w:color="auto" w:sz="4" w:space="0"/>
              <w:bottom w:val="single" w:color="auto" w:sz="4" w:space="0"/>
              <w:right w:val="single" w:color="auto" w:sz="4" w:space="0"/>
            </w:tcBorders>
            <w:vAlign w:val="center"/>
          </w:tcPr>
          <w:p w14:paraId="3A3BA391">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6576619">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4467C84">
            <w:pPr>
              <w:adjustRightInd w:val="0"/>
              <w:spacing w:line="360" w:lineRule="auto"/>
              <w:jc w:val="right"/>
              <w:rPr>
                <w:rFonts w:cs="Arial" w:asciiTheme="minorEastAsia" w:hAnsiTheme="minorEastAsia" w:eastAsiaTheme="minorEastAsia"/>
                <w:color w:val="auto"/>
                <w:szCs w:val="21"/>
                <w:highlight w:val="none"/>
              </w:rPr>
            </w:pPr>
          </w:p>
        </w:tc>
      </w:tr>
      <w:tr w14:paraId="3B5AB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2556" w:type="dxa"/>
            <w:gridSpan w:val="2"/>
            <w:tcBorders>
              <w:top w:val="single" w:color="auto" w:sz="4" w:space="0"/>
              <w:left w:val="single" w:color="auto" w:sz="4" w:space="0"/>
              <w:bottom w:val="single" w:color="auto" w:sz="4" w:space="0"/>
              <w:right w:val="single" w:color="auto" w:sz="4" w:space="0"/>
            </w:tcBorders>
            <w:vAlign w:val="center"/>
          </w:tcPr>
          <w:p w14:paraId="190789BF">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合计总人数</w:t>
            </w:r>
          </w:p>
        </w:tc>
        <w:tc>
          <w:tcPr>
            <w:tcW w:w="6230" w:type="dxa"/>
            <w:gridSpan w:val="3"/>
            <w:tcBorders>
              <w:top w:val="single" w:color="auto" w:sz="4" w:space="0"/>
              <w:left w:val="single" w:color="auto" w:sz="4" w:space="0"/>
              <w:bottom w:val="single" w:color="auto" w:sz="4" w:space="0"/>
              <w:right w:val="single" w:color="auto" w:sz="4" w:space="0"/>
            </w:tcBorders>
            <w:vAlign w:val="center"/>
          </w:tcPr>
          <w:p w14:paraId="45546846">
            <w:pPr>
              <w:adjustRightInd w:val="0"/>
              <w:spacing w:line="360" w:lineRule="auto"/>
              <w:jc w:val="center"/>
              <w:rPr>
                <w:rFonts w:cs="Arial" w:asciiTheme="minorEastAsia" w:hAnsiTheme="minorEastAsia" w:eastAsiaTheme="minorEastAsia"/>
                <w:color w:val="auto"/>
                <w:szCs w:val="21"/>
                <w:highlight w:val="none"/>
              </w:rPr>
            </w:pPr>
          </w:p>
        </w:tc>
      </w:tr>
    </w:tbl>
    <w:p w14:paraId="652F306C">
      <w:pPr>
        <w:snapToGrid w:val="0"/>
        <w:spacing w:line="360" w:lineRule="auto"/>
        <w:ind w:firstLine="211" w:firstLineChars="100"/>
        <w:rPr>
          <w:rFonts w:asciiTheme="minorEastAsia" w:hAnsiTheme="minorEastAsia" w:eastAsiaTheme="minorEastAsia"/>
          <w:b/>
          <w:bCs/>
          <w:color w:val="auto"/>
          <w:szCs w:val="21"/>
          <w:highlight w:val="none"/>
        </w:rPr>
      </w:pPr>
    </w:p>
    <w:p w14:paraId="7453DCC8">
      <w:pPr>
        <w:snapToGrid w:val="0"/>
        <w:spacing w:line="360" w:lineRule="auto"/>
        <w:ind w:firstLine="211" w:firstLineChars="100"/>
        <w:rPr>
          <w:rFonts w:asciiTheme="minorEastAsia" w:hAnsiTheme="minorEastAsia" w:eastAsiaTheme="minorEastAsia"/>
          <w:b/>
          <w:bCs/>
          <w:color w:val="auto"/>
          <w:szCs w:val="21"/>
          <w:highlight w:val="none"/>
        </w:rPr>
      </w:pPr>
    </w:p>
    <w:p w14:paraId="7C05A33A">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注：1、上表中行数不够可自加。</w:t>
      </w:r>
    </w:p>
    <w:p w14:paraId="16842255">
      <w:pPr>
        <w:snapToGrid w:val="0"/>
        <w:spacing w:line="360" w:lineRule="auto"/>
        <w:ind w:firstLine="200"/>
        <w:jc w:val="right"/>
        <w:rPr>
          <w:rFonts w:asciiTheme="minorEastAsia" w:hAnsiTheme="minorEastAsia" w:eastAsiaTheme="minorEastAsia"/>
          <w:color w:val="auto"/>
          <w:szCs w:val="21"/>
          <w:highlight w:val="none"/>
        </w:rPr>
      </w:pPr>
    </w:p>
    <w:p w14:paraId="1B836B30">
      <w:pPr>
        <w:spacing w:before="120" w:beforeLines="50" w:line="360" w:lineRule="auto"/>
        <w:ind w:firstLine="2750" w:firstLineChars="1100"/>
        <w:jc w:val="right"/>
        <w:rPr>
          <w:rFonts w:asciiTheme="minorEastAsia" w:hAnsiTheme="minorEastAsia" w:eastAsiaTheme="minorEastAsia"/>
          <w:color w:val="auto"/>
          <w:szCs w:val="21"/>
          <w:highlight w:val="none"/>
        </w:rPr>
      </w:pPr>
      <w:bookmarkStart w:id="110" w:name="OLE_LINK8"/>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14:paraId="5AF89968">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42F0FB72">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7A0E0BC1">
      <w:pPr>
        <w:pStyle w:val="29"/>
        <w:spacing w:before="120" w:after="120" w:line="360" w:lineRule="auto"/>
        <w:jc w:val="center"/>
        <w:rPr>
          <w:rFonts w:asciiTheme="minorEastAsia" w:hAnsiTheme="minorEastAsia" w:eastAsiaTheme="minorEastAsia"/>
          <w:b/>
          <w:color w:val="auto"/>
          <w:szCs w:val="21"/>
          <w:highlight w:val="none"/>
        </w:rPr>
      </w:pPr>
    </w:p>
    <w:p w14:paraId="6E60CFE7">
      <w:pPr>
        <w:pStyle w:val="29"/>
        <w:spacing w:before="120" w:after="120" w:line="360" w:lineRule="auto"/>
        <w:jc w:val="center"/>
        <w:rPr>
          <w:rFonts w:asciiTheme="minorEastAsia" w:hAnsiTheme="minorEastAsia" w:eastAsiaTheme="minorEastAsia"/>
          <w:b/>
          <w:color w:val="auto"/>
          <w:szCs w:val="21"/>
          <w:highlight w:val="none"/>
        </w:rPr>
      </w:pPr>
    </w:p>
    <w:p w14:paraId="558EF91C">
      <w:pPr>
        <w:pStyle w:val="29"/>
        <w:spacing w:before="120" w:after="120" w:line="360" w:lineRule="auto"/>
        <w:jc w:val="center"/>
        <w:rPr>
          <w:rFonts w:asciiTheme="minorEastAsia" w:hAnsiTheme="minorEastAsia" w:eastAsiaTheme="minorEastAsia"/>
          <w:b/>
          <w:color w:val="auto"/>
          <w:szCs w:val="21"/>
          <w:highlight w:val="none"/>
        </w:rPr>
      </w:pPr>
    </w:p>
    <w:p w14:paraId="0039F484">
      <w:pPr>
        <w:pStyle w:val="29"/>
        <w:spacing w:before="120" w:after="120" w:line="360" w:lineRule="auto"/>
        <w:jc w:val="center"/>
        <w:rPr>
          <w:rFonts w:asciiTheme="minorEastAsia" w:hAnsiTheme="minorEastAsia" w:eastAsiaTheme="minorEastAsia"/>
          <w:b/>
          <w:color w:val="auto"/>
          <w:szCs w:val="21"/>
          <w:highlight w:val="none"/>
        </w:rPr>
      </w:pPr>
    </w:p>
    <w:p w14:paraId="21BD3465">
      <w:pPr>
        <w:pStyle w:val="29"/>
        <w:spacing w:before="120" w:after="120" w:line="360" w:lineRule="auto"/>
        <w:jc w:val="center"/>
        <w:rPr>
          <w:rFonts w:asciiTheme="minorEastAsia" w:hAnsiTheme="minorEastAsia" w:eastAsiaTheme="minorEastAsia"/>
          <w:b/>
          <w:color w:val="auto"/>
          <w:szCs w:val="21"/>
          <w:highlight w:val="none"/>
        </w:rPr>
      </w:pPr>
    </w:p>
    <w:p w14:paraId="7668952C">
      <w:pPr>
        <w:pStyle w:val="29"/>
        <w:spacing w:before="120" w:after="120" w:line="360" w:lineRule="auto"/>
        <w:jc w:val="center"/>
        <w:rPr>
          <w:rFonts w:asciiTheme="minorEastAsia" w:hAnsiTheme="minorEastAsia" w:eastAsiaTheme="minorEastAsia"/>
          <w:b/>
          <w:color w:val="auto"/>
          <w:szCs w:val="21"/>
          <w:highlight w:val="none"/>
        </w:rPr>
      </w:pPr>
    </w:p>
    <w:p w14:paraId="7A00EBF4">
      <w:pPr>
        <w:pStyle w:val="29"/>
        <w:spacing w:before="120" w:after="120" w:line="360" w:lineRule="auto"/>
        <w:jc w:val="center"/>
        <w:rPr>
          <w:rFonts w:asciiTheme="minorEastAsia" w:hAnsiTheme="minorEastAsia" w:eastAsiaTheme="minorEastAsia"/>
          <w:b/>
          <w:color w:val="auto"/>
          <w:szCs w:val="21"/>
          <w:highlight w:val="none"/>
        </w:rPr>
      </w:pPr>
    </w:p>
    <w:p w14:paraId="4800BA5D">
      <w:pPr>
        <w:pStyle w:val="29"/>
        <w:spacing w:before="120" w:after="120"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8、项目负责人简历表</w:t>
      </w:r>
      <w:bookmarkEnd w:id="110"/>
    </w:p>
    <w:tbl>
      <w:tblPr>
        <w:tblStyle w:val="5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357"/>
        <w:gridCol w:w="1417"/>
        <w:gridCol w:w="1134"/>
      </w:tblGrid>
      <w:tr w14:paraId="7497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4DE93724">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5C19375B">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39F6FB9F">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性 别</w:t>
            </w:r>
          </w:p>
        </w:tc>
        <w:tc>
          <w:tcPr>
            <w:tcW w:w="1357" w:type="dxa"/>
            <w:tcBorders>
              <w:top w:val="single" w:color="auto" w:sz="12" w:space="0"/>
              <w:left w:val="single" w:color="auto" w:sz="6" w:space="0"/>
              <w:bottom w:val="single" w:color="auto" w:sz="6" w:space="0"/>
              <w:right w:val="single" w:color="auto" w:sz="6" w:space="0"/>
            </w:tcBorders>
            <w:vAlign w:val="center"/>
          </w:tcPr>
          <w:p w14:paraId="4BEE05FB">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417" w:type="dxa"/>
            <w:tcBorders>
              <w:top w:val="single" w:color="auto" w:sz="12" w:space="0"/>
              <w:left w:val="single" w:color="auto" w:sz="6" w:space="0"/>
              <w:bottom w:val="single" w:color="auto" w:sz="6" w:space="0"/>
              <w:right w:val="single" w:color="auto" w:sz="6" w:space="0"/>
            </w:tcBorders>
            <w:vAlign w:val="center"/>
          </w:tcPr>
          <w:p w14:paraId="289699D8">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 龄</w:t>
            </w:r>
          </w:p>
        </w:tc>
        <w:tc>
          <w:tcPr>
            <w:tcW w:w="1134" w:type="dxa"/>
            <w:tcBorders>
              <w:top w:val="single" w:color="auto" w:sz="12" w:space="0"/>
              <w:left w:val="single" w:color="auto" w:sz="6" w:space="0"/>
              <w:bottom w:val="single" w:color="auto" w:sz="6" w:space="0"/>
              <w:right w:val="single" w:color="auto" w:sz="12" w:space="0"/>
            </w:tcBorders>
            <w:vAlign w:val="center"/>
          </w:tcPr>
          <w:p w14:paraId="092DDE28">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05FD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7E2462F6">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786E1DB2">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4E436587">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称</w:t>
            </w:r>
          </w:p>
        </w:tc>
        <w:tc>
          <w:tcPr>
            <w:tcW w:w="1357" w:type="dxa"/>
            <w:tcBorders>
              <w:top w:val="single" w:color="auto" w:sz="6" w:space="0"/>
              <w:left w:val="single" w:color="auto" w:sz="6" w:space="0"/>
              <w:bottom w:val="single" w:color="auto" w:sz="6" w:space="0"/>
              <w:right w:val="single" w:color="auto" w:sz="6" w:space="0"/>
            </w:tcBorders>
            <w:vAlign w:val="center"/>
          </w:tcPr>
          <w:p w14:paraId="5C612545">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34804CA9">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务</w:t>
            </w:r>
          </w:p>
        </w:tc>
        <w:tc>
          <w:tcPr>
            <w:tcW w:w="1134" w:type="dxa"/>
            <w:tcBorders>
              <w:top w:val="single" w:color="auto" w:sz="6" w:space="0"/>
              <w:left w:val="single" w:color="auto" w:sz="6" w:space="0"/>
              <w:bottom w:val="single" w:color="auto" w:sz="6" w:space="0"/>
              <w:right w:val="single" w:color="auto" w:sz="12" w:space="0"/>
            </w:tcBorders>
            <w:vAlign w:val="center"/>
          </w:tcPr>
          <w:p w14:paraId="4C2A60DE">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1597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46957309">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5500FC8A">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357" w:type="dxa"/>
            <w:tcBorders>
              <w:top w:val="single" w:color="auto" w:sz="6" w:space="0"/>
              <w:left w:val="single" w:color="auto" w:sz="6" w:space="0"/>
              <w:bottom w:val="single" w:color="auto" w:sz="6" w:space="0"/>
              <w:right w:val="single" w:color="auto" w:sz="6" w:space="0"/>
            </w:tcBorders>
            <w:vAlign w:val="center"/>
          </w:tcPr>
          <w:p w14:paraId="045A1D35">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 机</w:t>
            </w:r>
          </w:p>
        </w:tc>
        <w:tc>
          <w:tcPr>
            <w:tcW w:w="2551" w:type="dxa"/>
            <w:gridSpan w:val="2"/>
            <w:tcBorders>
              <w:top w:val="single" w:color="auto" w:sz="6" w:space="0"/>
              <w:left w:val="single" w:color="auto" w:sz="6" w:space="0"/>
              <w:bottom w:val="single" w:color="auto" w:sz="6" w:space="0"/>
              <w:right w:val="single" w:color="auto" w:sz="12" w:space="0"/>
            </w:tcBorders>
            <w:vAlign w:val="center"/>
          </w:tcPr>
          <w:p w14:paraId="26645454">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0FAB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8827" w:type="dxa"/>
            <w:gridSpan w:val="6"/>
            <w:tcBorders>
              <w:top w:val="single" w:color="auto" w:sz="6" w:space="0"/>
              <w:left w:val="single" w:color="auto" w:sz="12" w:space="0"/>
              <w:bottom w:val="single" w:color="auto" w:sz="12" w:space="0"/>
              <w:right w:val="single" w:color="auto" w:sz="12" w:space="0"/>
            </w:tcBorders>
          </w:tcPr>
          <w:p w14:paraId="46FA2BD2">
            <w:pPr>
              <w:pStyle w:val="29"/>
              <w:spacing w:before="120" w:after="120" w:line="360" w:lineRule="auto"/>
              <w:ind w:left="630" w:hanging="630" w:hanging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近三年从事相关工作经历及经验：</w:t>
            </w:r>
          </w:p>
        </w:tc>
      </w:tr>
    </w:tbl>
    <w:p w14:paraId="02127FEE">
      <w:pPr>
        <w:pStyle w:val="29"/>
        <w:spacing w:before="120" w:after="120" w:line="360" w:lineRule="auto"/>
        <w:ind w:left="632" w:hanging="632" w:hangingChars="3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 xml:space="preserve"> 注:</w:t>
      </w:r>
      <w:r>
        <w:rPr>
          <w:rFonts w:hint="eastAsia" w:asciiTheme="minorEastAsia" w:hAnsiTheme="minorEastAsia" w:eastAsiaTheme="minorEastAsia"/>
          <w:color w:val="auto"/>
          <w:szCs w:val="21"/>
          <w:highlight w:val="none"/>
        </w:rPr>
        <w:t>附身份证等复印件。</w:t>
      </w:r>
    </w:p>
    <w:p w14:paraId="40AA71F5">
      <w:pPr>
        <w:spacing w:line="360" w:lineRule="auto"/>
        <w:ind w:firstLine="3750" w:firstLineChars="1500"/>
        <w:jc w:val="right"/>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r>
        <w:rPr>
          <w:rFonts w:hint="eastAsia" w:ascii="宋体" w:hAnsi="宋体"/>
          <w:color w:val="auto"/>
          <w:spacing w:val="20"/>
          <w:szCs w:val="21"/>
          <w:highlight w:val="none"/>
          <w:u w:val="single"/>
        </w:rPr>
        <w:t xml:space="preserve">             </w:t>
      </w:r>
    </w:p>
    <w:p w14:paraId="6A4A9E6A">
      <w:pPr>
        <w:spacing w:line="360" w:lineRule="auto"/>
        <w:ind w:firstLine="500" w:firstLineChars="200"/>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r>
        <w:rPr>
          <w:rFonts w:hint="eastAsia" w:ascii="宋体" w:hAnsi="宋体"/>
          <w:color w:val="auto"/>
          <w:spacing w:val="20"/>
          <w:szCs w:val="21"/>
          <w:highlight w:val="none"/>
          <w:u w:val="single"/>
        </w:rPr>
        <w:t xml:space="preserve">            </w:t>
      </w:r>
    </w:p>
    <w:p w14:paraId="12B0C9EB">
      <w:pPr>
        <w:tabs>
          <w:tab w:val="left" w:pos="1418"/>
        </w:tabs>
        <w:spacing w:line="360" w:lineRule="auto"/>
        <w:ind w:left="1418" w:hanging="567"/>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14:paraId="1E1B005E">
      <w:pPr>
        <w:pStyle w:val="29"/>
        <w:snapToGrid w:val="0"/>
        <w:spacing w:line="360" w:lineRule="auto"/>
        <w:jc w:val="right"/>
        <w:rPr>
          <w:rFonts w:asciiTheme="minorEastAsia" w:hAnsiTheme="minorEastAsia" w:eastAsiaTheme="minorEastAsia"/>
          <w:b/>
          <w:color w:val="auto"/>
          <w:szCs w:val="21"/>
          <w:highlight w:val="none"/>
        </w:rPr>
      </w:pPr>
    </w:p>
    <w:p w14:paraId="1F1A78C3">
      <w:pPr>
        <w:pStyle w:val="29"/>
        <w:spacing w:before="120" w:after="120" w:line="360" w:lineRule="auto"/>
        <w:jc w:val="center"/>
        <w:rPr>
          <w:rFonts w:hAnsi="宋体"/>
          <w:b/>
          <w:color w:val="auto"/>
          <w:szCs w:val="21"/>
          <w:highlight w:val="none"/>
        </w:rPr>
      </w:pPr>
      <w:r>
        <w:rPr>
          <w:rFonts w:hint="eastAsia" w:hAnsi="宋体"/>
          <w:b/>
          <w:color w:val="auto"/>
          <w:szCs w:val="21"/>
          <w:highlight w:val="none"/>
        </w:rPr>
        <w:t>组员简历表</w:t>
      </w:r>
    </w:p>
    <w:tbl>
      <w:tblPr>
        <w:tblStyle w:val="54"/>
        <w:tblW w:w="913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516"/>
        <w:gridCol w:w="1513"/>
        <w:gridCol w:w="1616"/>
        <w:gridCol w:w="1446"/>
        <w:gridCol w:w="1554"/>
      </w:tblGrid>
      <w:tr w14:paraId="16D2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12" w:space="0"/>
              <w:left w:val="single" w:color="auto" w:sz="12" w:space="0"/>
              <w:bottom w:val="single" w:color="auto" w:sz="6" w:space="0"/>
              <w:right w:val="single" w:color="auto" w:sz="6" w:space="0"/>
            </w:tcBorders>
            <w:vAlign w:val="center"/>
          </w:tcPr>
          <w:p w14:paraId="7925E20D">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姓 名</w:t>
            </w:r>
          </w:p>
        </w:tc>
        <w:tc>
          <w:tcPr>
            <w:tcW w:w="1516" w:type="dxa"/>
            <w:tcBorders>
              <w:top w:val="single" w:color="auto" w:sz="12" w:space="0"/>
              <w:left w:val="single" w:color="auto" w:sz="6" w:space="0"/>
              <w:bottom w:val="single" w:color="auto" w:sz="6" w:space="0"/>
              <w:right w:val="single" w:color="auto" w:sz="6" w:space="0"/>
            </w:tcBorders>
            <w:vAlign w:val="center"/>
          </w:tcPr>
          <w:p w14:paraId="3BC41745">
            <w:pPr>
              <w:pStyle w:val="29"/>
              <w:spacing w:before="120" w:after="120" w:line="360" w:lineRule="auto"/>
              <w:ind w:left="630" w:hanging="630" w:hangingChars="300"/>
              <w:jc w:val="center"/>
              <w:rPr>
                <w:rFonts w:hAnsi="宋体"/>
                <w:color w:val="auto"/>
                <w:szCs w:val="21"/>
                <w:highlight w:val="none"/>
              </w:rPr>
            </w:pPr>
          </w:p>
        </w:tc>
        <w:tc>
          <w:tcPr>
            <w:tcW w:w="1513" w:type="dxa"/>
            <w:tcBorders>
              <w:top w:val="single" w:color="auto" w:sz="12" w:space="0"/>
              <w:left w:val="single" w:color="auto" w:sz="6" w:space="0"/>
              <w:bottom w:val="single" w:color="auto" w:sz="6" w:space="0"/>
              <w:right w:val="single" w:color="auto" w:sz="6" w:space="0"/>
            </w:tcBorders>
            <w:vAlign w:val="center"/>
          </w:tcPr>
          <w:p w14:paraId="08E1F1CF">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性 别</w:t>
            </w:r>
          </w:p>
        </w:tc>
        <w:tc>
          <w:tcPr>
            <w:tcW w:w="1616" w:type="dxa"/>
            <w:tcBorders>
              <w:top w:val="single" w:color="auto" w:sz="12" w:space="0"/>
              <w:left w:val="single" w:color="auto" w:sz="6" w:space="0"/>
              <w:bottom w:val="single" w:color="auto" w:sz="6" w:space="0"/>
              <w:right w:val="single" w:color="auto" w:sz="6" w:space="0"/>
            </w:tcBorders>
            <w:vAlign w:val="center"/>
          </w:tcPr>
          <w:p w14:paraId="0C6AF5F5">
            <w:pPr>
              <w:pStyle w:val="29"/>
              <w:spacing w:before="120" w:after="120" w:line="360" w:lineRule="auto"/>
              <w:ind w:left="630" w:hanging="630" w:hangingChars="300"/>
              <w:jc w:val="center"/>
              <w:rPr>
                <w:rFonts w:hAnsi="宋体"/>
                <w:color w:val="auto"/>
                <w:szCs w:val="21"/>
                <w:highlight w:val="none"/>
              </w:rPr>
            </w:pPr>
          </w:p>
        </w:tc>
        <w:tc>
          <w:tcPr>
            <w:tcW w:w="1446" w:type="dxa"/>
            <w:tcBorders>
              <w:top w:val="single" w:color="auto" w:sz="12" w:space="0"/>
              <w:left w:val="single" w:color="auto" w:sz="6" w:space="0"/>
              <w:bottom w:val="single" w:color="auto" w:sz="6" w:space="0"/>
              <w:right w:val="single" w:color="auto" w:sz="6" w:space="0"/>
            </w:tcBorders>
            <w:vAlign w:val="center"/>
          </w:tcPr>
          <w:p w14:paraId="135F2CA2">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年 龄</w:t>
            </w:r>
          </w:p>
        </w:tc>
        <w:tc>
          <w:tcPr>
            <w:tcW w:w="1554" w:type="dxa"/>
            <w:tcBorders>
              <w:top w:val="single" w:color="auto" w:sz="12" w:space="0"/>
              <w:left w:val="single" w:color="auto" w:sz="6" w:space="0"/>
              <w:bottom w:val="single" w:color="auto" w:sz="6" w:space="0"/>
              <w:right w:val="single" w:color="auto" w:sz="12" w:space="0"/>
            </w:tcBorders>
            <w:vAlign w:val="center"/>
          </w:tcPr>
          <w:p w14:paraId="66262F54">
            <w:pPr>
              <w:pStyle w:val="29"/>
              <w:spacing w:before="120" w:after="120" w:line="360" w:lineRule="auto"/>
              <w:ind w:left="630" w:hanging="630" w:hangingChars="300"/>
              <w:jc w:val="center"/>
              <w:rPr>
                <w:rFonts w:hAnsi="宋体"/>
                <w:color w:val="auto"/>
                <w:szCs w:val="21"/>
                <w:highlight w:val="none"/>
              </w:rPr>
            </w:pPr>
          </w:p>
        </w:tc>
      </w:tr>
      <w:tr w14:paraId="4AF5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6" w:space="0"/>
              <w:left w:val="single" w:color="auto" w:sz="12" w:space="0"/>
              <w:bottom w:val="single" w:color="auto" w:sz="6" w:space="0"/>
              <w:right w:val="single" w:color="auto" w:sz="6" w:space="0"/>
            </w:tcBorders>
            <w:vAlign w:val="center"/>
          </w:tcPr>
          <w:p w14:paraId="45F76199">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学 历</w:t>
            </w:r>
          </w:p>
        </w:tc>
        <w:tc>
          <w:tcPr>
            <w:tcW w:w="1516" w:type="dxa"/>
            <w:tcBorders>
              <w:top w:val="single" w:color="auto" w:sz="6" w:space="0"/>
              <w:left w:val="single" w:color="auto" w:sz="6" w:space="0"/>
              <w:bottom w:val="single" w:color="auto" w:sz="6" w:space="0"/>
              <w:right w:val="single" w:color="auto" w:sz="6" w:space="0"/>
            </w:tcBorders>
            <w:vAlign w:val="center"/>
          </w:tcPr>
          <w:p w14:paraId="5F2C9010">
            <w:pPr>
              <w:pStyle w:val="29"/>
              <w:spacing w:before="120" w:after="120" w:line="360" w:lineRule="auto"/>
              <w:ind w:left="630" w:hanging="630" w:hangingChars="300"/>
              <w:jc w:val="center"/>
              <w:rPr>
                <w:rFonts w:hAnsi="宋体"/>
                <w:color w:val="auto"/>
                <w:szCs w:val="21"/>
                <w:highlight w:val="none"/>
              </w:rPr>
            </w:pPr>
          </w:p>
        </w:tc>
        <w:tc>
          <w:tcPr>
            <w:tcW w:w="1513" w:type="dxa"/>
            <w:tcBorders>
              <w:top w:val="single" w:color="auto" w:sz="6" w:space="0"/>
              <w:left w:val="single" w:color="auto" w:sz="6" w:space="0"/>
              <w:bottom w:val="single" w:color="auto" w:sz="6" w:space="0"/>
              <w:right w:val="single" w:color="auto" w:sz="6" w:space="0"/>
            </w:tcBorders>
            <w:vAlign w:val="center"/>
          </w:tcPr>
          <w:p w14:paraId="3519FAE8">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职 称</w:t>
            </w:r>
          </w:p>
        </w:tc>
        <w:tc>
          <w:tcPr>
            <w:tcW w:w="1616" w:type="dxa"/>
            <w:tcBorders>
              <w:top w:val="single" w:color="auto" w:sz="6" w:space="0"/>
              <w:left w:val="single" w:color="auto" w:sz="6" w:space="0"/>
              <w:bottom w:val="single" w:color="auto" w:sz="6" w:space="0"/>
              <w:right w:val="single" w:color="auto" w:sz="6" w:space="0"/>
            </w:tcBorders>
            <w:vAlign w:val="center"/>
          </w:tcPr>
          <w:p w14:paraId="7920D94D">
            <w:pPr>
              <w:pStyle w:val="29"/>
              <w:spacing w:before="120" w:after="120" w:line="360" w:lineRule="auto"/>
              <w:ind w:left="630" w:hanging="630" w:hangingChars="300"/>
              <w:jc w:val="center"/>
              <w:rPr>
                <w:rFonts w:hAnsi="宋体"/>
                <w:color w:val="auto"/>
                <w:szCs w:val="21"/>
                <w:highlight w:val="none"/>
              </w:rPr>
            </w:pPr>
          </w:p>
        </w:tc>
        <w:tc>
          <w:tcPr>
            <w:tcW w:w="1446" w:type="dxa"/>
            <w:tcBorders>
              <w:top w:val="single" w:color="auto" w:sz="6" w:space="0"/>
              <w:left w:val="single" w:color="auto" w:sz="6" w:space="0"/>
              <w:bottom w:val="single" w:color="auto" w:sz="6" w:space="0"/>
              <w:right w:val="single" w:color="auto" w:sz="6" w:space="0"/>
            </w:tcBorders>
            <w:vAlign w:val="center"/>
          </w:tcPr>
          <w:p w14:paraId="023A308F">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职 务</w:t>
            </w:r>
          </w:p>
        </w:tc>
        <w:tc>
          <w:tcPr>
            <w:tcW w:w="1554" w:type="dxa"/>
            <w:tcBorders>
              <w:top w:val="single" w:color="auto" w:sz="6" w:space="0"/>
              <w:left w:val="single" w:color="auto" w:sz="6" w:space="0"/>
              <w:bottom w:val="single" w:color="auto" w:sz="6" w:space="0"/>
              <w:right w:val="single" w:color="auto" w:sz="12" w:space="0"/>
            </w:tcBorders>
            <w:vAlign w:val="center"/>
          </w:tcPr>
          <w:p w14:paraId="78FD9432">
            <w:pPr>
              <w:pStyle w:val="29"/>
              <w:spacing w:before="120" w:after="120" w:line="360" w:lineRule="auto"/>
              <w:ind w:left="630" w:hanging="630" w:hangingChars="300"/>
              <w:jc w:val="center"/>
              <w:rPr>
                <w:rFonts w:hAnsi="宋体"/>
                <w:color w:val="auto"/>
                <w:szCs w:val="21"/>
                <w:highlight w:val="none"/>
              </w:rPr>
            </w:pPr>
          </w:p>
        </w:tc>
      </w:tr>
      <w:tr w14:paraId="68D2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6" w:space="0"/>
              <w:left w:val="single" w:color="auto" w:sz="12" w:space="0"/>
              <w:bottom w:val="single" w:color="auto" w:sz="6" w:space="0"/>
              <w:right w:val="single" w:color="auto" w:sz="6" w:space="0"/>
            </w:tcBorders>
            <w:vAlign w:val="center"/>
          </w:tcPr>
          <w:p w14:paraId="52CF6831">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联系电话</w:t>
            </w:r>
          </w:p>
        </w:tc>
        <w:tc>
          <w:tcPr>
            <w:tcW w:w="3029" w:type="dxa"/>
            <w:gridSpan w:val="2"/>
            <w:tcBorders>
              <w:top w:val="single" w:color="auto" w:sz="6" w:space="0"/>
              <w:left w:val="single" w:color="auto" w:sz="6" w:space="0"/>
              <w:bottom w:val="single" w:color="auto" w:sz="6" w:space="0"/>
              <w:right w:val="single" w:color="auto" w:sz="6" w:space="0"/>
            </w:tcBorders>
            <w:vAlign w:val="center"/>
          </w:tcPr>
          <w:p w14:paraId="7020C560">
            <w:pPr>
              <w:pStyle w:val="29"/>
              <w:spacing w:before="120" w:after="120" w:line="360" w:lineRule="auto"/>
              <w:ind w:left="630" w:hanging="630" w:hangingChars="300"/>
              <w:jc w:val="center"/>
              <w:rPr>
                <w:rFonts w:hAnsi="宋体"/>
                <w:color w:val="auto"/>
                <w:szCs w:val="21"/>
                <w:highlight w:val="none"/>
              </w:rPr>
            </w:pPr>
          </w:p>
        </w:tc>
        <w:tc>
          <w:tcPr>
            <w:tcW w:w="1616" w:type="dxa"/>
            <w:tcBorders>
              <w:top w:val="single" w:color="auto" w:sz="6" w:space="0"/>
              <w:left w:val="single" w:color="auto" w:sz="6" w:space="0"/>
              <w:bottom w:val="single" w:color="auto" w:sz="6" w:space="0"/>
              <w:right w:val="single" w:color="auto" w:sz="6" w:space="0"/>
            </w:tcBorders>
            <w:vAlign w:val="center"/>
          </w:tcPr>
          <w:p w14:paraId="6315A445">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手 机</w:t>
            </w:r>
          </w:p>
        </w:tc>
        <w:tc>
          <w:tcPr>
            <w:tcW w:w="3000" w:type="dxa"/>
            <w:gridSpan w:val="2"/>
            <w:tcBorders>
              <w:top w:val="single" w:color="auto" w:sz="6" w:space="0"/>
              <w:left w:val="single" w:color="auto" w:sz="6" w:space="0"/>
              <w:bottom w:val="single" w:color="auto" w:sz="6" w:space="0"/>
              <w:right w:val="single" w:color="auto" w:sz="12" w:space="0"/>
            </w:tcBorders>
            <w:vAlign w:val="center"/>
          </w:tcPr>
          <w:p w14:paraId="67AB1403">
            <w:pPr>
              <w:pStyle w:val="29"/>
              <w:spacing w:before="120" w:after="120" w:line="360" w:lineRule="auto"/>
              <w:ind w:left="630" w:hanging="630" w:hangingChars="300"/>
              <w:jc w:val="center"/>
              <w:rPr>
                <w:rFonts w:hAnsi="宋体"/>
                <w:color w:val="auto"/>
                <w:szCs w:val="21"/>
                <w:highlight w:val="none"/>
              </w:rPr>
            </w:pPr>
          </w:p>
        </w:tc>
      </w:tr>
      <w:tr w14:paraId="2150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9131" w:type="dxa"/>
            <w:gridSpan w:val="6"/>
            <w:tcBorders>
              <w:top w:val="single" w:color="auto" w:sz="6" w:space="0"/>
              <w:left w:val="single" w:color="auto" w:sz="12" w:space="0"/>
              <w:bottom w:val="single" w:color="auto" w:sz="12" w:space="0"/>
              <w:right w:val="single" w:color="auto" w:sz="12" w:space="0"/>
            </w:tcBorders>
          </w:tcPr>
          <w:p w14:paraId="0E05DE57">
            <w:pPr>
              <w:pStyle w:val="29"/>
              <w:spacing w:before="120" w:after="120" w:line="360" w:lineRule="auto"/>
              <w:ind w:left="630" w:hanging="630" w:hangingChars="300"/>
              <w:rPr>
                <w:rFonts w:hAnsi="宋体"/>
                <w:color w:val="auto"/>
                <w:szCs w:val="21"/>
                <w:highlight w:val="none"/>
              </w:rPr>
            </w:pPr>
            <w:r>
              <w:rPr>
                <w:rFonts w:hint="eastAsia" w:hAnsi="宋体"/>
                <w:color w:val="auto"/>
                <w:szCs w:val="21"/>
                <w:highlight w:val="none"/>
              </w:rPr>
              <w:t>介绍</w:t>
            </w:r>
          </w:p>
        </w:tc>
      </w:tr>
    </w:tbl>
    <w:p w14:paraId="4F036FD1">
      <w:pPr>
        <w:pStyle w:val="29"/>
        <w:spacing w:before="120" w:after="120" w:line="360" w:lineRule="auto"/>
        <w:ind w:left="630" w:hanging="630" w:hangingChars="300"/>
        <w:rPr>
          <w:rFonts w:hAnsi="宋体"/>
          <w:b/>
          <w:bCs/>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w:t>
      </w:r>
    </w:p>
    <w:p w14:paraId="436C0ACA">
      <w:pPr>
        <w:spacing w:line="360" w:lineRule="auto"/>
        <w:ind w:firstLine="3750" w:firstLineChars="1500"/>
        <w:rPr>
          <w:rFonts w:ascii="宋体" w:hAnsi="宋体"/>
          <w:color w:val="auto"/>
          <w:spacing w:val="20"/>
          <w:szCs w:val="21"/>
          <w:highlight w:val="none"/>
        </w:rPr>
      </w:pPr>
    </w:p>
    <w:p w14:paraId="5F45D78A">
      <w:pPr>
        <w:spacing w:line="360" w:lineRule="auto"/>
        <w:ind w:firstLine="3750" w:firstLineChars="1500"/>
        <w:jc w:val="right"/>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r>
        <w:rPr>
          <w:rFonts w:hint="eastAsia" w:ascii="宋体" w:hAnsi="宋体"/>
          <w:color w:val="auto"/>
          <w:spacing w:val="20"/>
          <w:szCs w:val="21"/>
          <w:highlight w:val="none"/>
          <w:u w:val="single"/>
        </w:rPr>
        <w:t xml:space="preserve">             </w:t>
      </w:r>
    </w:p>
    <w:p w14:paraId="11961E5F">
      <w:pPr>
        <w:spacing w:line="360" w:lineRule="auto"/>
        <w:ind w:firstLine="500" w:firstLineChars="200"/>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r>
        <w:rPr>
          <w:rFonts w:hint="eastAsia" w:ascii="宋体" w:hAnsi="宋体"/>
          <w:color w:val="auto"/>
          <w:spacing w:val="20"/>
          <w:szCs w:val="21"/>
          <w:highlight w:val="none"/>
          <w:u w:val="single"/>
        </w:rPr>
        <w:t xml:space="preserve">            </w:t>
      </w:r>
    </w:p>
    <w:p w14:paraId="383885E5">
      <w:pPr>
        <w:tabs>
          <w:tab w:val="left" w:pos="1418"/>
        </w:tabs>
        <w:spacing w:line="360" w:lineRule="auto"/>
        <w:ind w:left="1418" w:hanging="567"/>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14:paraId="4E93D93F">
      <w:pPr>
        <w:pStyle w:val="29"/>
        <w:snapToGrid w:val="0"/>
        <w:spacing w:line="360" w:lineRule="auto"/>
        <w:jc w:val="right"/>
        <w:rPr>
          <w:rFonts w:asciiTheme="minorEastAsia" w:hAnsiTheme="minorEastAsia" w:eastAsiaTheme="minorEastAsia"/>
          <w:b/>
          <w:color w:val="auto"/>
          <w:szCs w:val="21"/>
          <w:highlight w:val="none"/>
        </w:rPr>
      </w:pPr>
    </w:p>
    <w:p w14:paraId="603C175A">
      <w:pPr>
        <w:pStyle w:val="29"/>
        <w:snapToGrid w:val="0"/>
        <w:spacing w:line="360" w:lineRule="auto"/>
        <w:rPr>
          <w:rFonts w:asciiTheme="minorEastAsia" w:hAnsiTheme="minorEastAsia" w:eastAsiaTheme="minorEastAsia"/>
          <w:b/>
          <w:color w:val="auto"/>
          <w:szCs w:val="21"/>
          <w:highlight w:val="none"/>
        </w:rPr>
      </w:pPr>
    </w:p>
    <w:p w14:paraId="25E561A8">
      <w:pPr>
        <w:pStyle w:val="29"/>
        <w:snapToGrid w:val="0"/>
        <w:spacing w:line="360" w:lineRule="auto"/>
        <w:rPr>
          <w:rFonts w:asciiTheme="minorEastAsia" w:hAnsiTheme="minorEastAsia" w:eastAsiaTheme="minorEastAsia"/>
          <w:b/>
          <w:color w:val="auto"/>
          <w:szCs w:val="21"/>
          <w:highlight w:val="none"/>
        </w:rPr>
      </w:pPr>
    </w:p>
    <w:p w14:paraId="617947C6">
      <w:pPr>
        <w:pStyle w:val="29"/>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9</w:t>
      </w:r>
      <w:r>
        <w:rPr>
          <w:rFonts w:hint="eastAsia" w:asciiTheme="minorEastAsia" w:hAnsiTheme="minorEastAsia" w:eastAsiaTheme="minorEastAsia"/>
          <w:b/>
          <w:color w:val="auto"/>
          <w:szCs w:val="21"/>
          <w:highlight w:val="none"/>
        </w:rPr>
        <w:t>、</w:t>
      </w:r>
    </w:p>
    <w:p w14:paraId="212C3913">
      <w:pPr>
        <w:pStyle w:val="29"/>
        <w:snapToGrid w:val="0"/>
        <w:spacing w:line="360" w:lineRule="auto"/>
        <w:ind w:left="1262" w:hanging="422"/>
        <w:jc w:val="center"/>
        <w:rPr>
          <w:rFonts w:hAnsi="宋体"/>
          <w:b/>
          <w:color w:val="auto"/>
          <w:szCs w:val="21"/>
          <w:highlight w:val="none"/>
        </w:rPr>
      </w:pPr>
      <w:r>
        <w:rPr>
          <w:rFonts w:hint="eastAsia" w:asciiTheme="minorEastAsia" w:hAnsiTheme="minorEastAsia" w:eastAsiaTheme="minorEastAsia"/>
          <w:b/>
          <w:color w:val="auto"/>
          <w:szCs w:val="21"/>
          <w:highlight w:val="none"/>
        </w:rPr>
        <w:t>中小企业声明函</w:t>
      </w:r>
      <w:r>
        <w:rPr>
          <w:rFonts w:hint="eastAsia" w:asciiTheme="minorEastAsia" w:hAnsiTheme="minorEastAsia" w:eastAsiaTheme="minorEastAsia"/>
          <w:b/>
          <w:bCs/>
          <w:color w:val="auto"/>
          <w:szCs w:val="21"/>
          <w:highlight w:val="none"/>
        </w:rPr>
        <w:t>（附件7）</w:t>
      </w:r>
      <w:r>
        <w:rPr>
          <w:rFonts w:hint="eastAsia" w:hAnsi="宋体"/>
          <w:b/>
          <w:bCs/>
          <w:color w:val="auto"/>
          <w:szCs w:val="21"/>
          <w:highlight w:val="none"/>
        </w:rPr>
        <w:t>（工程、服务）</w:t>
      </w:r>
    </w:p>
    <w:p w14:paraId="6FE92720">
      <w:pPr>
        <w:spacing w:line="360" w:lineRule="auto"/>
        <w:ind w:firstLine="420" w:firstLineChars="200"/>
        <w:rPr>
          <w:rFonts w:ascii="宋体" w:hAnsi="宋体"/>
          <w:color w:val="auto"/>
          <w:szCs w:val="21"/>
          <w:highlight w:val="none"/>
        </w:rPr>
      </w:pPr>
      <w:r>
        <w:rPr>
          <w:rFonts w:ascii="宋体" w:hAnsi="宋体"/>
          <w:color w:val="auto"/>
          <w:szCs w:val="21"/>
          <w:highlight w:val="none"/>
        </w:rPr>
        <w:t>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工程的施工单位</w:t>
      </w:r>
      <w:r>
        <w:rPr>
          <w:rFonts w:ascii="宋体" w:hAnsi="宋体"/>
          <w:color w:val="auto"/>
          <w:szCs w:val="21"/>
          <w:highlight w:val="none"/>
        </w:rPr>
        <w:t>全部</w:t>
      </w:r>
      <w:r>
        <w:rPr>
          <w:rFonts w:hint="eastAsia" w:ascii="宋体" w:hAnsi="宋体"/>
          <w:color w:val="auto"/>
          <w:szCs w:val="21"/>
          <w:highlight w:val="none"/>
        </w:rPr>
        <w:t>为</w:t>
      </w:r>
      <w:r>
        <w:rPr>
          <w:rFonts w:ascii="宋体" w:hAnsi="宋体"/>
          <w:color w:val="auto"/>
          <w:szCs w:val="21"/>
          <w:highlight w:val="none"/>
        </w:rPr>
        <w:t>符合政策要求的中小企业</w:t>
      </w:r>
      <w:r>
        <w:rPr>
          <w:rFonts w:hint="eastAsia" w:ascii="宋体" w:hAnsi="宋体"/>
          <w:color w:val="auto"/>
          <w:szCs w:val="21"/>
          <w:highlight w:val="none"/>
        </w:rPr>
        <w:t>（或者服务全部由符合政策要求的中小企业承接）</w:t>
      </w:r>
      <w:r>
        <w:rPr>
          <w:rFonts w:ascii="宋体" w:hAnsi="宋体"/>
          <w:color w:val="auto"/>
          <w:szCs w:val="21"/>
          <w:highlight w:val="none"/>
        </w:rPr>
        <w:t>。相关企业（含联合体中的中小企业、签订分包意向协议的中小企业）的具体情况如下：</w:t>
      </w:r>
    </w:p>
    <w:p w14:paraId="4B1EE2F8">
      <w:pPr>
        <w:spacing w:line="360" w:lineRule="auto"/>
        <w:ind w:left="420" w:left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u w:val="single"/>
        </w:rPr>
        <w:t>（标的名称）</w:t>
      </w:r>
      <w:r>
        <w:rPr>
          <w:rFonts w:hint="eastAsia" w:ascii="宋体" w:hAnsi="宋体"/>
          <w:color w:val="auto"/>
          <w:szCs w:val="21"/>
          <w:highlight w:val="none"/>
          <w:u w:val="single"/>
        </w:rPr>
        <w:t xml:space="preserve">   </w:t>
      </w:r>
      <w:r>
        <w:rPr>
          <w:rFonts w:ascii="宋体" w:hAnsi="宋体"/>
          <w:color w:val="auto"/>
          <w:szCs w:val="21"/>
          <w:highlight w:val="none"/>
        </w:rPr>
        <w:t>，属于</w:t>
      </w:r>
      <w:r>
        <w:rPr>
          <w:rFonts w:ascii="宋体" w:hAnsi="宋体"/>
          <w:color w:val="auto"/>
          <w:szCs w:val="21"/>
          <w:highlight w:val="none"/>
          <w:u w:val="single"/>
        </w:rPr>
        <w:t>（采购文件中明确的所属行业）</w:t>
      </w:r>
      <w:r>
        <w:rPr>
          <w:rFonts w:ascii="宋体" w:hAnsi="宋体"/>
          <w:color w:val="auto"/>
          <w:szCs w:val="21"/>
          <w:highlight w:val="none"/>
        </w:rPr>
        <w:t>行业；</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w:t>
      </w:r>
      <w:r>
        <w:rPr>
          <w:rFonts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rPr>
        <w:t>万元1，属于</w:t>
      </w:r>
      <w:r>
        <w:rPr>
          <w:rFonts w:ascii="宋体" w:hAnsi="宋体"/>
          <w:color w:val="auto"/>
          <w:szCs w:val="21"/>
          <w:highlight w:val="none"/>
          <w:u w:val="single"/>
        </w:rPr>
        <w:t>（中型企业、小型企业、微型企业）</w:t>
      </w:r>
      <w:r>
        <w:rPr>
          <w:rFonts w:ascii="宋体" w:hAnsi="宋体"/>
          <w:color w:val="auto"/>
          <w:szCs w:val="21"/>
          <w:highlight w:val="none"/>
        </w:rPr>
        <w:t>；</w:t>
      </w:r>
    </w:p>
    <w:p w14:paraId="3F788D91">
      <w:pPr>
        <w:spacing w:line="360" w:lineRule="auto"/>
        <w:ind w:firstLine="525" w:firstLineChars="250"/>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58E0A5B8">
      <w:pPr>
        <w:spacing w:line="360" w:lineRule="auto"/>
        <w:ind w:firstLine="525" w:firstLineChars="250"/>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0AA2F30A">
      <w:pPr>
        <w:spacing w:line="360" w:lineRule="auto"/>
        <w:ind w:firstLine="525" w:firstLineChars="250"/>
        <w:rPr>
          <w:rFonts w:ascii="宋体" w:hAnsi="宋体"/>
          <w:color w:val="auto"/>
          <w:szCs w:val="21"/>
          <w:highlight w:val="none"/>
        </w:rPr>
      </w:pPr>
      <w:r>
        <w:rPr>
          <w:rFonts w:ascii="宋体" w:hAnsi="宋体"/>
          <w:color w:val="auto"/>
          <w:szCs w:val="21"/>
          <w:highlight w:val="none"/>
        </w:rPr>
        <w:t>从业人员、营业收入、资产总额填报上一年度数据，无上一年度数据的新成立企业可不填报。</w:t>
      </w:r>
    </w:p>
    <w:p w14:paraId="2D12545B">
      <w:pPr>
        <w:spacing w:line="360" w:lineRule="auto"/>
        <w:ind w:firstLine="4515" w:firstLineChars="2150"/>
        <w:jc w:val="right"/>
        <w:rPr>
          <w:rFonts w:ascii="宋体" w:hAnsi="宋体"/>
          <w:color w:val="auto"/>
          <w:szCs w:val="21"/>
          <w:highlight w:val="none"/>
        </w:rPr>
      </w:pPr>
    </w:p>
    <w:p w14:paraId="0833AFD8">
      <w:pPr>
        <w:spacing w:line="360" w:lineRule="auto"/>
        <w:ind w:firstLine="4515" w:firstLineChars="2150"/>
        <w:jc w:val="right"/>
        <w:rPr>
          <w:rFonts w:ascii="宋体" w:hAnsi="宋体"/>
          <w:color w:val="auto"/>
          <w:spacing w:val="20"/>
          <w:szCs w:val="21"/>
          <w:highlight w:val="none"/>
          <w:u w:val="single"/>
        </w:rPr>
      </w:pPr>
      <w:r>
        <w:rPr>
          <w:rFonts w:ascii="宋体" w:hAnsi="宋体"/>
          <w:color w:val="auto"/>
          <w:szCs w:val="21"/>
          <w:highlight w:val="none"/>
        </w:rPr>
        <w:t>企业称（盖章）</w:t>
      </w:r>
      <w:r>
        <w:rPr>
          <w:rFonts w:hint="eastAsia" w:ascii="宋体" w:hAnsi="宋体"/>
          <w:color w:val="auto"/>
          <w:szCs w:val="21"/>
          <w:highlight w:val="none"/>
        </w:rPr>
        <w:t>：</w:t>
      </w:r>
    </w:p>
    <w:p w14:paraId="2DA4CFED">
      <w:pPr>
        <w:pStyle w:val="29"/>
        <w:spacing w:before="120" w:after="120" w:line="360" w:lineRule="auto"/>
        <w:ind w:left="1340" w:hanging="500"/>
        <w:jc w:val="right"/>
        <w:rPr>
          <w:rFonts w:hAnsi="宋体"/>
          <w:b/>
          <w:color w:val="auto"/>
          <w:szCs w:val="21"/>
          <w:highlight w:val="none"/>
        </w:rPr>
      </w:pPr>
      <w:r>
        <w:rPr>
          <w:rFonts w:hint="eastAsia" w:hAnsi="宋体"/>
          <w:color w:val="auto"/>
          <w:spacing w:val="20"/>
          <w:szCs w:val="21"/>
          <w:highlight w:val="none"/>
        </w:rPr>
        <w:t xml:space="preserve">             日     期：</w:t>
      </w:r>
    </w:p>
    <w:p w14:paraId="5F95D32B">
      <w:pPr>
        <w:spacing w:line="360" w:lineRule="auto"/>
        <w:ind w:firstLine="422" w:firstLineChars="200"/>
        <w:rPr>
          <w:rFonts w:asciiTheme="minorEastAsia" w:hAnsiTheme="minorEastAsia" w:eastAsiaTheme="minorEastAsia"/>
          <w:b/>
          <w:color w:val="auto"/>
          <w:szCs w:val="21"/>
          <w:highlight w:val="none"/>
        </w:rPr>
      </w:pPr>
    </w:p>
    <w:p w14:paraId="6F1BF3D7">
      <w:pPr>
        <w:spacing w:line="360" w:lineRule="auto"/>
        <w:ind w:firstLine="422" w:firstLineChars="200"/>
        <w:rPr>
          <w:rFonts w:asciiTheme="minorEastAsia" w:hAnsiTheme="minorEastAsia" w:eastAsiaTheme="minorEastAsia"/>
          <w:b/>
          <w:color w:val="auto"/>
          <w:szCs w:val="21"/>
          <w:highlight w:val="none"/>
        </w:rPr>
      </w:pPr>
    </w:p>
    <w:p w14:paraId="3CF05291">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w:t>
      </w:r>
    </w:p>
    <w:p w14:paraId="78E79E27">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残疾人福利性单位声明函</w:t>
      </w:r>
      <w:r>
        <w:rPr>
          <w:rFonts w:hint="eastAsia" w:asciiTheme="minorEastAsia" w:hAnsiTheme="minorEastAsia" w:eastAsiaTheme="minorEastAsia"/>
          <w:b/>
          <w:bCs/>
          <w:color w:val="auto"/>
          <w:szCs w:val="21"/>
          <w:highlight w:val="none"/>
        </w:rPr>
        <w:t>（附件8）</w:t>
      </w:r>
    </w:p>
    <w:p w14:paraId="1A71F3D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6B2376">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本单位对上述声明的真实性负责。如有虚假，将依法承担相应责任</w:t>
      </w:r>
    </w:p>
    <w:p w14:paraId="5B5805B4">
      <w:pPr>
        <w:spacing w:line="360" w:lineRule="auto"/>
        <w:ind w:firstLine="420" w:firstLineChars="200"/>
        <w:rPr>
          <w:rFonts w:asciiTheme="minorEastAsia" w:hAnsiTheme="minorEastAsia" w:eastAsiaTheme="minorEastAsia"/>
          <w:color w:val="auto"/>
          <w:szCs w:val="21"/>
          <w:highlight w:val="none"/>
        </w:rPr>
      </w:pPr>
    </w:p>
    <w:p w14:paraId="73DF7497">
      <w:pPr>
        <w:spacing w:before="120" w:beforeLines="50" w:line="360" w:lineRule="auto"/>
        <w:ind w:firstLine="1000" w:firstLineChars="4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071FD175">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0CDD80ED">
      <w:pPr>
        <w:pStyle w:val="29"/>
        <w:spacing w:before="120" w:after="120" w:line="360" w:lineRule="auto"/>
        <w:ind w:firstLine="420"/>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1D29E99E">
      <w:pPr>
        <w:snapToGrid w:val="0"/>
        <w:spacing w:line="360" w:lineRule="auto"/>
        <w:rPr>
          <w:rFonts w:asciiTheme="minorEastAsia" w:hAnsiTheme="minorEastAsia" w:eastAsiaTheme="minorEastAsia"/>
          <w:color w:val="auto"/>
          <w:spacing w:val="20"/>
          <w:szCs w:val="21"/>
          <w:highlight w:val="none"/>
        </w:rPr>
      </w:pPr>
    </w:p>
    <w:p w14:paraId="5DED8285">
      <w:pPr>
        <w:snapToGrid w:val="0"/>
        <w:spacing w:line="360" w:lineRule="auto"/>
        <w:rPr>
          <w:rFonts w:asciiTheme="minorEastAsia" w:hAnsiTheme="minorEastAsia" w:eastAsiaTheme="minorEastAsia"/>
          <w:color w:val="auto"/>
          <w:spacing w:val="20"/>
          <w:szCs w:val="21"/>
          <w:highlight w:val="none"/>
        </w:rPr>
      </w:pPr>
    </w:p>
    <w:p w14:paraId="2AF66C1F">
      <w:pPr>
        <w:snapToGrid w:val="0"/>
        <w:spacing w:line="360" w:lineRule="auto"/>
        <w:rPr>
          <w:rFonts w:asciiTheme="minorEastAsia" w:hAnsiTheme="minorEastAsia" w:eastAsiaTheme="minorEastAsia"/>
          <w:color w:val="auto"/>
          <w:spacing w:val="20"/>
          <w:szCs w:val="21"/>
          <w:highlight w:val="none"/>
        </w:rPr>
      </w:pPr>
    </w:p>
    <w:p w14:paraId="232AF027">
      <w:pPr>
        <w:snapToGrid w:val="0"/>
        <w:spacing w:line="360" w:lineRule="auto"/>
        <w:rPr>
          <w:rStyle w:val="748"/>
          <w:rFonts w:asciiTheme="minorEastAsia" w:hAnsiTheme="minorEastAsia" w:eastAsiaTheme="minorEastAsia"/>
          <w:b/>
          <w:color w:val="auto"/>
          <w:szCs w:val="21"/>
          <w:highlight w:val="none"/>
        </w:rPr>
      </w:pPr>
    </w:p>
    <w:p w14:paraId="7BC84C40">
      <w:pPr>
        <w:snapToGrid w:val="0"/>
        <w:spacing w:line="360" w:lineRule="auto"/>
        <w:rPr>
          <w:rStyle w:val="748"/>
          <w:rFonts w:asciiTheme="minorEastAsia" w:hAnsiTheme="minorEastAsia" w:eastAsiaTheme="minorEastAsia"/>
          <w:b/>
          <w:color w:val="auto"/>
          <w:szCs w:val="21"/>
          <w:highlight w:val="none"/>
        </w:rPr>
      </w:pPr>
      <w:r>
        <w:rPr>
          <w:rStyle w:val="748"/>
          <w:rFonts w:hint="eastAsia" w:asciiTheme="minorEastAsia" w:hAnsiTheme="minorEastAsia" w:eastAsiaTheme="minorEastAsia"/>
          <w:b/>
          <w:color w:val="auto"/>
          <w:szCs w:val="21"/>
          <w:highlight w:val="none"/>
        </w:rPr>
        <w:t>1</w:t>
      </w:r>
      <w:r>
        <w:rPr>
          <w:rStyle w:val="748"/>
          <w:rFonts w:asciiTheme="minorEastAsia" w:hAnsiTheme="minorEastAsia" w:eastAsiaTheme="minorEastAsia"/>
          <w:b/>
          <w:color w:val="auto"/>
          <w:szCs w:val="21"/>
          <w:highlight w:val="none"/>
        </w:rPr>
        <w:t>1</w:t>
      </w:r>
      <w:r>
        <w:rPr>
          <w:rStyle w:val="748"/>
          <w:rFonts w:hint="eastAsia" w:asciiTheme="minorEastAsia" w:hAnsiTheme="minorEastAsia" w:eastAsiaTheme="minorEastAsia"/>
          <w:b/>
          <w:color w:val="auto"/>
          <w:szCs w:val="21"/>
          <w:highlight w:val="none"/>
        </w:rPr>
        <w:t>、劳动用工书面承诺</w:t>
      </w:r>
      <w:r>
        <w:rPr>
          <w:rFonts w:hint="eastAsia" w:asciiTheme="minorEastAsia" w:hAnsiTheme="minorEastAsia" w:eastAsiaTheme="minorEastAsia"/>
          <w:b/>
          <w:bCs/>
          <w:color w:val="auto"/>
          <w:szCs w:val="21"/>
          <w:highlight w:val="none"/>
        </w:rPr>
        <w:t>（附件9）</w:t>
      </w:r>
    </w:p>
    <w:p w14:paraId="3D37CF10">
      <w:pPr>
        <w:snapToGrid w:val="0"/>
        <w:spacing w:line="360" w:lineRule="auto"/>
        <w:ind w:left="237" w:leftChars="113" w:firstLine="420" w:firstLineChars="200"/>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如我公司在本次公开招标中标后成为中标供应商，我公司将严格遵守《劳动法》及《劳动合同法》的相关规定，按招标文件的要求及我公司投标文件文件配置服务人员，按国家规定为员工缴纳社会保险，员工的工资标准不低于嘉兴市最低工资标准，并将所有条款写入劳动用工合同。</w:t>
      </w:r>
    </w:p>
    <w:p w14:paraId="18EBA349">
      <w:pPr>
        <w:snapToGrid w:val="0"/>
        <w:spacing w:line="360" w:lineRule="auto"/>
        <w:ind w:left="237" w:leftChars="113" w:firstLine="420" w:firstLineChars="200"/>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特此承诺。</w:t>
      </w:r>
    </w:p>
    <w:p w14:paraId="6BD655C0">
      <w:pPr>
        <w:snapToGrid w:val="0"/>
        <w:spacing w:line="360" w:lineRule="auto"/>
        <w:ind w:left="238" w:firstLine="1680" w:firstLineChars="800"/>
        <w:jc w:val="right"/>
        <w:rPr>
          <w:rStyle w:val="748"/>
          <w:rFonts w:asciiTheme="minorEastAsia" w:hAnsiTheme="minorEastAsia" w:eastAsiaTheme="minorEastAsia"/>
          <w:color w:val="auto"/>
          <w:szCs w:val="21"/>
          <w:highlight w:val="none"/>
        </w:rPr>
      </w:pPr>
    </w:p>
    <w:p w14:paraId="0B2179ED">
      <w:pPr>
        <w:snapToGrid w:val="0"/>
        <w:spacing w:line="360" w:lineRule="auto"/>
        <w:ind w:left="238" w:firstLine="1680" w:firstLineChars="800"/>
        <w:jc w:val="right"/>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　　                           投标人（盖章）：</w:t>
      </w:r>
    </w:p>
    <w:p w14:paraId="648AC09B">
      <w:pPr>
        <w:pStyle w:val="3"/>
        <w:rPr>
          <w:color w:val="auto"/>
          <w:highlight w:val="none"/>
        </w:rPr>
      </w:pPr>
    </w:p>
    <w:p w14:paraId="3C529AA2">
      <w:pPr>
        <w:pStyle w:val="755"/>
        <w:spacing w:line="360" w:lineRule="auto"/>
        <w:rPr>
          <w:rStyle w:val="748"/>
          <w:rFonts w:asciiTheme="minorEastAsia" w:hAnsiTheme="minorEastAsia" w:eastAsiaTheme="minorEastAsia"/>
          <w:b/>
          <w:color w:val="auto"/>
          <w:sz w:val="21"/>
          <w:szCs w:val="21"/>
          <w:highlight w:val="none"/>
        </w:rPr>
      </w:pPr>
      <w:r>
        <w:rPr>
          <w:rStyle w:val="748"/>
          <w:rFonts w:hint="eastAsia" w:asciiTheme="minorEastAsia" w:hAnsiTheme="minorEastAsia" w:eastAsiaTheme="minorEastAsia"/>
          <w:b/>
          <w:color w:val="auto"/>
          <w:sz w:val="21"/>
          <w:szCs w:val="21"/>
          <w:highlight w:val="none"/>
        </w:rPr>
        <w:t>1</w:t>
      </w:r>
      <w:r>
        <w:rPr>
          <w:rStyle w:val="748"/>
          <w:rFonts w:asciiTheme="minorEastAsia" w:hAnsiTheme="minorEastAsia" w:eastAsiaTheme="minorEastAsia"/>
          <w:b/>
          <w:color w:val="auto"/>
          <w:sz w:val="21"/>
          <w:szCs w:val="21"/>
          <w:highlight w:val="none"/>
        </w:rPr>
        <w:t>2</w:t>
      </w:r>
      <w:r>
        <w:rPr>
          <w:rStyle w:val="748"/>
          <w:rFonts w:hint="eastAsia" w:asciiTheme="minorEastAsia" w:hAnsiTheme="minorEastAsia" w:eastAsiaTheme="minorEastAsia"/>
          <w:b/>
          <w:color w:val="auto"/>
          <w:sz w:val="21"/>
          <w:szCs w:val="21"/>
          <w:highlight w:val="none"/>
        </w:rPr>
        <w:t>、                               商务响应表（附件10）</w:t>
      </w:r>
    </w:p>
    <w:tbl>
      <w:tblPr>
        <w:tblStyle w:val="54"/>
        <w:tblW w:w="8490" w:type="dxa"/>
        <w:tblInd w:w="27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09"/>
        <w:gridCol w:w="3085"/>
        <w:gridCol w:w="3085"/>
        <w:gridCol w:w="1411"/>
      </w:tblGrid>
      <w:tr w14:paraId="1AD019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12" w:space="0"/>
              <w:left w:val="single" w:color="000000" w:sz="12" w:space="0"/>
              <w:bottom w:val="single" w:color="000000" w:sz="4" w:space="0"/>
              <w:right w:val="single" w:color="000000" w:sz="4" w:space="0"/>
            </w:tcBorders>
          </w:tcPr>
          <w:p w14:paraId="643E93FC">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序号</w:t>
            </w:r>
          </w:p>
        </w:tc>
        <w:tc>
          <w:tcPr>
            <w:tcW w:w="3085" w:type="dxa"/>
            <w:tcBorders>
              <w:top w:val="single" w:color="000000" w:sz="12" w:space="0"/>
              <w:left w:val="single" w:color="000000" w:sz="4" w:space="0"/>
              <w:bottom w:val="single" w:color="000000" w:sz="4" w:space="0"/>
              <w:right w:val="single" w:color="000000" w:sz="4" w:space="0"/>
            </w:tcBorders>
          </w:tcPr>
          <w:p w14:paraId="7B9B8376">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招标文件的规定</w:t>
            </w:r>
          </w:p>
        </w:tc>
        <w:tc>
          <w:tcPr>
            <w:tcW w:w="3085" w:type="dxa"/>
            <w:tcBorders>
              <w:top w:val="single" w:color="000000" w:sz="12" w:space="0"/>
              <w:left w:val="single" w:color="000000" w:sz="4" w:space="0"/>
              <w:bottom w:val="single" w:color="000000" w:sz="4" w:space="0"/>
              <w:right w:val="single" w:color="000000" w:sz="4" w:space="0"/>
            </w:tcBorders>
          </w:tcPr>
          <w:p w14:paraId="58469C29">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投标文件的相应</w:t>
            </w:r>
          </w:p>
        </w:tc>
        <w:tc>
          <w:tcPr>
            <w:tcW w:w="1411" w:type="dxa"/>
            <w:tcBorders>
              <w:top w:val="single" w:color="000000" w:sz="12" w:space="0"/>
              <w:left w:val="single" w:color="000000" w:sz="4" w:space="0"/>
              <w:bottom w:val="single" w:color="000000" w:sz="4" w:space="0"/>
              <w:right w:val="single" w:color="000000" w:sz="12" w:space="0"/>
            </w:tcBorders>
          </w:tcPr>
          <w:p w14:paraId="08DE8830">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偏离说明</w:t>
            </w:r>
          </w:p>
        </w:tc>
      </w:tr>
      <w:tr w14:paraId="584154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4" w:space="0"/>
              <w:right w:val="single" w:color="000000" w:sz="4" w:space="0"/>
            </w:tcBorders>
          </w:tcPr>
          <w:p w14:paraId="2A8E9268">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154A870F">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70628592">
            <w:pPr>
              <w:spacing w:line="360" w:lineRule="auto"/>
              <w:rPr>
                <w:rStyle w:val="748"/>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4" w:space="0"/>
              <w:right w:val="single" w:color="000000" w:sz="12" w:space="0"/>
            </w:tcBorders>
          </w:tcPr>
          <w:p w14:paraId="6E82D56B">
            <w:pPr>
              <w:spacing w:line="360" w:lineRule="auto"/>
              <w:rPr>
                <w:rStyle w:val="748"/>
                <w:rFonts w:asciiTheme="minorEastAsia" w:hAnsiTheme="minorEastAsia" w:eastAsiaTheme="minorEastAsia"/>
                <w:color w:val="auto"/>
                <w:szCs w:val="21"/>
                <w:highlight w:val="none"/>
              </w:rPr>
            </w:pPr>
          </w:p>
        </w:tc>
      </w:tr>
      <w:tr w14:paraId="604DBE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4" w:space="0"/>
              <w:right w:val="single" w:color="000000" w:sz="4" w:space="0"/>
            </w:tcBorders>
          </w:tcPr>
          <w:p w14:paraId="79ADE9C8">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4927EE8A">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66123589">
            <w:pPr>
              <w:spacing w:line="360" w:lineRule="auto"/>
              <w:rPr>
                <w:rStyle w:val="748"/>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4" w:space="0"/>
              <w:right w:val="single" w:color="000000" w:sz="12" w:space="0"/>
            </w:tcBorders>
          </w:tcPr>
          <w:p w14:paraId="0EC99B2E">
            <w:pPr>
              <w:spacing w:line="360" w:lineRule="auto"/>
              <w:rPr>
                <w:rStyle w:val="748"/>
                <w:rFonts w:asciiTheme="minorEastAsia" w:hAnsiTheme="minorEastAsia" w:eastAsiaTheme="minorEastAsia"/>
                <w:color w:val="auto"/>
                <w:szCs w:val="21"/>
                <w:highlight w:val="none"/>
              </w:rPr>
            </w:pPr>
          </w:p>
        </w:tc>
      </w:tr>
      <w:tr w14:paraId="601DB5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12" w:space="0"/>
              <w:right w:val="single" w:color="000000" w:sz="4" w:space="0"/>
            </w:tcBorders>
          </w:tcPr>
          <w:p w14:paraId="2DE12454">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12" w:space="0"/>
              <w:right w:val="single" w:color="000000" w:sz="4" w:space="0"/>
            </w:tcBorders>
          </w:tcPr>
          <w:p w14:paraId="340ABFD2">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12" w:space="0"/>
              <w:right w:val="single" w:color="000000" w:sz="4" w:space="0"/>
            </w:tcBorders>
          </w:tcPr>
          <w:p w14:paraId="6532BC2B">
            <w:pPr>
              <w:spacing w:line="360" w:lineRule="auto"/>
              <w:rPr>
                <w:rStyle w:val="748"/>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12" w:space="0"/>
              <w:right w:val="single" w:color="000000" w:sz="12" w:space="0"/>
            </w:tcBorders>
          </w:tcPr>
          <w:p w14:paraId="1D329348">
            <w:pPr>
              <w:spacing w:line="360" w:lineRule="auto"/>
              <w:rPr>
                <w:rStyle w:val="748"/>
                <w:rFonts w:asciiTheme="minorEastAsia" w:hAnsiTheme="minorEastAsia" w:eastAsiaTheme="minorEastAsia"/>
                <w:color w:val="auto"/>
                <w:szCs w:val="21"/>
                <w:highlight w:val="none"/>
              </w:rPr>
            </w:pPr>
          </w:p>
        </w:tc>
      </w:tr>
    </w:tbl>
    <w:p w14:paraId="41E1034E">
      <w:pPr>
        <w:spacing w:line="360" w:lineRule="auto"/>
        <w:rPr>
          <w:rStyle w:val="748"/>
          <w:rFonts w:asciiTheme="minorEastAsia" w:hAnsiTheme="minorEastAsia" w:eastAsiaTheme="minorEastAsia"/>
          <w:b/>
          <w:color w:val="auto"/>
          <w:szCs w:val="21"/>
          <w:highlight w:val="none"/>
        </w:rPr>
      </w:pPr>
      <w:r>
        <w:rPr>
          <w:rStyle w:val="748"/>
          <w:rFonts w:hint="eastAsia" w:asciiTheme="minorEastAsia" w:hAnsiTheme="minorEastAsia" w:eastAsiaTheme="minorEastAsia"/>
          <w:b/>
          <w:color w:val="auto"/>
          <w:szCs w:val="21"/>
          <w:highlight w:val="none"/>
        </w:rPr>
        <w:t>注：供应商的投标文件（除技术规格部分）与招标文件之规定存在偏离的，应在此表中如实说明。未在上表中说明的，将被认为完全响应招标文件的规定。</w:t>
      </w:r>
    </w:p>
    <w:p w14:paraId="603E7FEE">
      <w:pPr>
        <w:snapToGrid w:val="0"/>
        <w:spacing w:line="360" w:lineRule="auto"/>
        <w:rPr>
          <w:rFonts w:asciiTheme="minorEastAsia" w:hAnsiTheme="minorEastAsia" w:eastAsiaTheme="minorEastAsia"/>
          <w:color w:val="auto"/>
          <w:spacing w:val="20"/>
          <w:szCs w:val="21"/>
          <w:highlight w:val="none"/>
        </w:rPr>
      </w:pPr>
    </w:p>
    <w:p w14:paraId="5F1077C7">
      <w:pPr>
        <w:rPr>
          <w:color w:val="auto"/>
          <w:highlight w:val="none"/>
        </w:rPr>
      </w:pPr>
    </w:p>
    <w:p w14:paraId="129E2D51">
      <w:pPr>
        <w:snapToGrid w:val="0"/>
        <w:spacing w:line="360" w:lineRule="auto"/>
        <w:rPr>
          <w:rStyle w:val="748"/>
          <w:rFonts w:asciiTheme="minorEastAsia" w:hAnsiTheme="minorEastAsia" w:eastAsiaTheme="minorEastAsia"/>
          <w:b/>
          <w:color w:val="auto"/>
          <w:szCs w:val="21"/>
          <w:highlight w:val="none"/>
        </w:rPr>
      </w:pPr>
      <w:r>
        <w:rPr>
          <w:rStyle w:val="748"/>
          <w:rFonts w:hint="eastAsia" w:asciiTheme="minorEastAsia" w:hAnsiTheme="minorEastAsia" w:eastAsiaTheme="minorEastAsia"/>
          <w:b/>
          <w:color w:val="auto"/>
          <w:szCs w:val="21"/>
          <w:highlight w:val="none"/>
        </w:rPr>
        <w:t>1</w:t>
      </w:r>
      <w:r>
        <w:rPr>
          <w:rStyle w:val="748"/>
          <w:rFonts w:asciiTheme="minorEastAsia" w:hAnsiTheme="minorEastAsia" w:eastAsiaTheme="minorEastAsia"/>
          <w:b/>
          <w:color w:val="auto"/>
          <w:szCs w:val="21"/>
          <w:highlight w:val="none"/>
        </w:rPr>
        <w:t>3</w:t>
      </w:r>
      <w:r>
        <w:rPr>
          <w:rStyle w:val="748"/>
          <w:rFonts w:hint="eastAsia" w:asciiTheme="minorEastAsia" w:hAnsiTheme="minorEastAsia" w:eastAsiaTheme="minorEastAsia"/>
          <w:b/>
          <w:color w:val="auto"/>
          <w:szCs w:val="21"/>
          <w:highlight w:val="none"/>
        </w:rPr>
        <w:t>、技术响应表格式：</w:t>
      </w:r>
    </w:p>
    <w:p w14:paraId="61DA1D37">
      <w:pPr>
        <w:snapToGrid w:val="0"/>
        <w:spacing w:line="360" w:lineRule="auto"/>
        <w:jc w:val="center"/>
        <w:rPr>
          <w:rStyle w:val="748"/>
          <w:rFonts w:asciiTheme="minorEastAsia" w:hAnsiTheme="minorEastAsia" w:eastAsiaTheme="minorEastAsia"/>
          <w:color w:val="auto"/>
          <w:szCs w:val="21"/>
          <w:highlight w:val="none"/>
          <w:u w:val="single"/>
        </w:rPr>
      </w:pPr>
      <w:r>
        <w:rPr>
          <w:rStyle w:val="748"/>
          <w:rFonts w:hint="eastAsia" w:asciiTheme="minorEastAsia" w:hAnsiTheme="minorEastAsia" w:eastAsiaTheme="minorEastAsia"/>
          <w:b/>
          <w:color w:val="auto"/>
          <w:szCs w:val="21"/>
          <w:highlight w:val="none"/>
        </w:rPr>
        <w:t>技术响应表（附件11）</w:t>
      </w:r>
    </w:p>
    <w:tbl>
      <w:tblPr>
        <w:tblStyle w:val="54"/>
        <w:tblW w:w="878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78"/>
        <w:gridCol w:w="2675"/>
        <w:gridCol w:w="1386"/>
        <w:gridCol w:w="1089"/>
        <w:gridCol w:w="762"/>
        <w:gridCol w:w="1299"/>
      </w:tblGrid>
      <w:tr w14:paraId="0A512D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96" w:hRule="atLeast"/>
        </w:trPr>
        <w:tc>
          <w:tcPr>
            <w:tcW w:w="4253" w:type="dxa"/>
            <w:gridSpan w:val="2"/>
            <w:tcBorders>
              <w:top w:val="single" w:color="000000" w:sz="4" w:space="0"/>
              <w:left w:val="single" w:color="000000" w:sz="4" w:space="0"/>
              <w:bottom w:val="single" w:color="000000" w:sz="4" w:space="0"/>
              <w:right w:val="single" w:color="000000" w:sz="4" w:space="0"/>
            </w:tcBorders>
          </w:tcPr>
          <w:p w14:paraId="45B5A168">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招标文件要求</w:t>
            </w:r>
          </w:p>
        </w:tc>
        <w:tc>
          <w:tcPr>
            <w:tcW w:w="3237" w:type="dxa"/>
            <w:gridSpan w:val="3"/>
            <w:tcBorders>
              <w:top w:val="single" w:color="000000" w:sz="4" w:space="0"/>
              <w:left w:val="single" w:color="000000" w:sz="4" w:space="0"/>
              <w:bottom w:val="single" w:color="000000" w:sz="4" w:space="0"/>
              <w:right w:val="single" w:color="000000" w:sz="4" w:space="0"/>
            </w:tcBorders>
          </w:tcPr>
          <w:p w14:paraId="79BE563A">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投标文件响应</w:t>
            </w:r>
          </w:p>
        </w:tc>
        <w:tc>
          <w:tcPr>
            <w:tcW w:w="1299" w:type="dxa"/>
            <w:vMerge w:val="restart"/>
            <w:tcBorders>
              <w:top w:val="single" w:color="000000" w:sz="4" w:space="0"/>
              <w:left w:val="single" w:color="000000" w:sz="4" w:space="0"/>
              <w:bottom w:val="single" w:color="000000" w:sz="4" w:space="0"/>
              <w:right w:val="single" w:color="000000" w:sz="4" w:space="0"/>
            </w:tcBorders>
            <w:vAlign w:val="center"/>
          </w:tcPr>
          <w:p w14:paraId="76C3BD56">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偏离</w:t>
            </w:r>
          </w:p>
          <w:p w14:paraId="2B4F6C3B">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情况</w:t>
            </w:r>
          </w:p>
        </w:tc>
      </w:tr>
      <w:tr w14:paraId="324BDC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80" w:hRule="atLeast"/>
        </w:trPr>
        <w:tc>
          <w:tcPr>
            <w:tcW w:w="1578" w:type="dxa"/>
            <w:tcBorders>
              <w:top w:val="single" w:color="000000" w:sz="4" w:space="0"/>
              <w:left w:val="single" w:color="000000" w:sz="4" w:space="0"/>
              <w:bottom w:val="single" w:color="000000" w:sz="4" w:space="0"/>
              <w:right w:val="single" w:color="000000" w:sz="4" w:space="0"/>
            </w:tcBorders>
          </w:tcPr>
          <w:p w14:paraId="0E9BDB7D">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项目</w:t>
            </w:r>
          </w:p>
        </w:tc>
        <w:tc>
          <w:tcPr>
            <w:tcW w:w="2675" w:type="dxa"/>
            <w:tcBorders>
              <w:top w:val="single" w:color="000000" w:sz="4" w:space="0"/>
              <w:left w:val="single" w:color="000000" w:sz="4" w:space="0"/>
              <w:bottom w:val="single" w:color="000000" w:sz="4" w:space="0"/>
              <w:right w:val="single" w:color="000000" w:sz="4" w:space="0"/>
            </w:tcBorders>
          </w:tcPr>
          <w:p w14:paraId="7569C3E5">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要求</w:t>
            </w:r>
          </w:p>
        </w:tc>
        <w:tc>
          <w:tcPr>
            <w:tcW w:w="1386" w:type="dxa"/>
            <w:tcBorders>
              <w:top w:val="single" w:color="000000" w:sz="4" w:space="0"/>
              <w:left w:val="single" w:color="000000" w:sz="4" w:space="0"/>
              <w:bottom w:val="single" w:color="000000" w:sz="4" w:space="0"/>
              <w:right w:val="single" w:color="000000" w:sz="4" w:space="0"/>
            </w:tcBorders>
          </w:tcPr>
          <w:p w14:paraId="34E3DBEE">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设备名称</w:t>
            </w:r>
          </w:p>
        </w:tc>
        <w:tc>
          <w:tcPr>
            <w:tcW w:w="1089" w:type="dxa"/>
            <w:tcBorders>
              <w:top w:val="single" w:color="000000" w:sz="4" w:space="0"/>
              <w:left w:val="single" w:color="000000" w:sz="4" w:space="0"/>
              <w:bottom w:val="single" w:color="000000" w:sz="4" w:space="0"/>
              <w:right w:val="single" w:color="auto" w:sz="4" w:space="0"/>
            </w:tcBorders>
          </w:tcPr>
          <w:p w14:paraId="613C4A5A">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性能及指标</w:t>
            </w:r>
          </w:p>
        </w:tc>
        <w:tc>
          <w:tcPr>
            <w:tcW w:w="762" w:type="dxa"/>
            <w:tcBorders>
              <w:top w:val="single" w:color="000000" w:sz="4" w:space="0"/>
              <w:left w:val="single" w:color="auto" w:sz="4" w:space="0"/>
              <w:bottom w:val="single" w:color="000000" w:sz="4" w:space="0"/>
              <w:right w:val="single" w:color="000000" w:sz="4" w:space="0"/>
            </w:tcBorders>
          </w:tcPr>
          <w:p w14:paraId="737A7AD4">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品牌</w:t>
            </w: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14:paraId="7481144F">
            <w:pPr>
              <w:pStyle w:val="752"/>
              <w:spacing w:line="360" w:lineRule="auto"/>
              <w:rPr>
                <w:rStyle w:val="748"/>
                <w:rFonts w:asciiTheme="minorEastAsia" w:hAnsiTheme="minorEastAsia" w:eastAsiaTheme="minorEastAsia"/>
                <w:color w:val="auto"/>
                <w:szCs w:val="21"/>
                <w:highlight w:val="none"/>
              </w:rPr>
            </w:pPr>
          </w:p>
        </w:tc>
      </w:tr>
      <w:tr w14:paraId="5BB1D9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3D450402">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501318E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2B80261A">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141DF689">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12C5E2EF">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5CB4A3A1">
            <w:pPr>
              <w:pStyle w:val="752"/>
              <w:snapToGrid w:val="0"/>
              <w:spacing w:before="0" w:after="0" w:line="360" w:lineRule="auto"/>
              <w:rPr>
                <w:rStyle w:val="748"/>
                <w:rFonts w:asciiTheme="minorEastAsia" w:hAnsiTheme="minorEastAsia" w:eastAsiaTheme="minorEastAsia"/>
                <w:color w:val="auto"/>
                <w:sz w:val="21"/>
                <w:szCs w:val="21"/>
                <w:highlight w:val="none"/>
              </w:rPr>
            </w:pPr>
          </w:p>
        </w:tc>
      </w:tr>
      <w:tr w14:paraId="4EEF9A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1C1627E0">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5B476531">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427A592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1AEE06DE">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671F34F2">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4D3DDDFB">
            <w:pPr>
              <w:pStyle w:val="752"/>
              <w:snapToGrid w:val="0"/>
              <w:spacing w:before="0" w:after="0" w:line="360" w:lineRule="auto"/>
              <w:rPr>
                <w:rStyle w:val="748"/>
                <w:rFonts w:asciiTheme="minorEastAsia" w:hAnsiTheme="minorEastAsia" w:eastAsiaTheme="minorEastAsia"/>
                <w:color w:val="auto"/>
                <w:sz w:val="21"/>
                <w:szCs w:val="21"/>
                <w:highlight w:val="none"/>
              </w:rPr>
            </w:pPr>
          </w:p>
        </w:tc>
      </w:tr>
      <w:tr w14:paraId="33A3ED8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57829E91">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6FBF9CB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625A694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4E58A3F2">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58431489">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04DD97BA">
            <w:pPr>
              <w:pStyle w:val="752"/>
              <w:snapToGrid w:val="0"/>
              <w:spacing w:before="0" w:after="0" w:line="360" w:lineRule="auto"/>
              <w:rPr>
                <w:rStyle w:val="748"/>
                <w:rFonts w:asciiTheme="minorEastAsia" w:hAnsiTheme="minorEastAsia" w:eastAsiaTheme="minorEastAsia"/>
                <w:color w:val="auto"/>
                <w:sz w:val="21"/>
                <w:szCs w:val="21"/>
                <w:highlight w:val="none"/>
              </w:rPr>
            </w:pPr>
          </w:p>
        </w:tc>
      </w:tr>
    </w:tbl>
    <w:p w14:paraId="181834B4">
      <w:pPr>
        <w:pStyle w:val="754"/>
        <w:spacing w:before="0" w:after="0" w:line="360" w:lineRule="auto"/>
        <w:ind w:left="63" w:right="63"/>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注：供应商应根据投标设备的性能指标、对照招标文件要求在“偏离情况”栏注明“正偏离”、“负偏离”或“无偏离”。货物无品牌可打/。</w:t>
      </w:r>
    </w:p>
    <w:p w14:paraId="4F9A0524">
      <w:pPr>
        <w:pStyle w:val="754"/>
        <w:spacing w:before="0" w:after="0" w:line="360" w:lineRule="auto"/>
        <w:ind w:left="63" w:right="63"/>
        <w:rPr>
          <w:rStyle w:val="748"/>
          <w:rFonts w:asciiTheme="minorEastAsia" w:hAnsiTheme="minorEastAsia" w:eastAsiaTheme="minorEastAsia"/>
          <w:color w:val="auto"/>
          <w:sz w:val="21"/>
          <w:szCs w:val="21"/>
          <w:highlight w:val="none"/>
        </w:rPr>
      </w:pPr>
    </w:p>
    <w:p w14:paraId="4FE077DD">
      <w:pPr>
        <w:pStyle w:val="754"/>
        <w:spacing w:before="0" w:after="0" w:line="360" w:lineRule="auto"/>
        <w:ind w:left="63" w:right="63"/>
        <w:rPr>
          <w:rStyle w:val="748"/>
          <w:rFonts w:asciiTheme="minorEastAsia" w:hAnsiTheme="minorEastAsia" w:eastAsiaTheme="minorEastAsia"/>
          <w:b w:val="0"/>
          <w:bCs w:val="0"/>
          <w:color w:val="auto"/>
          <w:sz w:val="21"/>
          <w:szCs w:val="21"/>
          <w:highlight w:val="none"/>
        </w:rPr>
      </w:pPr>
    </w:p>
    <w:p w14:paraId="1D6F3F75">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4</w:t>
      </w:r>
      <w:r>
        <w:rPr>
          <w:rFonts w:hint="eastAsia" w:asciiTheme="minorEastAsia" w:hAnsiTheme="minorEastAsia" w:eastAsiaTheme="minorEastAsia"/>
          <w:b/>
          <w:color w:val="auto"/>
          <w:szCs w:val="21"/>
          <w:highlight w:val="none"/>
        </w:rPr>
        <w:t>、</w:t>
      </w:r>
    </w:p>
    <w:p w14:paraId="525ADE66">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r>
        <w:rPr>
          <w:rFonts w:hint="eastAsia" w:asciiTheme="minorEastAsia" w:hAnsiTheme="minorEastAsia" w:eastAsiaTheme="minorEastAsia"/>
          <w:b/>
          <w:bCs/>
          <w:color w:val="auto"/>
          <w:szCs w:val="21"/>
          <w:highlight w:val="none"/>
        </w:rPr>
        <w:t>（附件12）</w:t>
      </w:r>
    </w:p>
    <w:p w14:paraId="3DF9DBE3">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1B355E9A">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根据贵方</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w:t>
      </w:r>
      <w:r>
        <w:rPr>
          <w:rFonts w:asciiTheme="minorEastAsia" w:hAnsiTheme="minorEastAsia" w:eastAsiaTheme="minorEastAsia"/>
          <w:color w:val="auto"/>
          <w:szCs w:val="21"/>
          <w:highlight w:val="none"/>
        </w:rPr>
        <w:t>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，签字代表________（</w:t>
      </w:r>
      <w:r>
        <w:rPr>
          <w:rFonts w:hint="eastAsia" w:asciiTheme="minorEastAsia" w:hAnsiTheme="minorEastAsia" w:eastAsiaTheme="minorEastAsia"/>
          <w:color w:val="auto"/>
          <w:szCs w:val="21"/>
          <w:highlight w:val="none"/>
        </w:rPr>
        <w:t>法人</w:t>
      </w:r>
      <w:r>
        <w:rPr>
          <w:rFonts w:asciiTheme="minorEastAsia" w:hAnsiTheme="minorEastAsia" w:eastAsiaTheme="minorEastAsia"/>
          <w:color w:val="auto"/>
          <w:szCs w:val="21"/>
          <w:highlight w:val="none"/>
        </w:rPr>
        <w:t>全名）经正式授权</w:t>
      </w:r>
      <w:r>
        <w:rPr>
          <w:rFonts w:hint="eastAsia" w:asciiTheme="minorEastAsia" w:hAnsiTheme="minorEastAsia" w:eastAsiaTheme="minorEastAsia"/>
          <w:color w:val="auto"/>
          <w:szCs w:val="21"/>
          <w:highlight w:val="none"/>
        </w:rPr>
        <w:t>（被授权人）</w:t>
      </w:r>
      <w:r>
        <w:rPr>
          <w:rFonts w:asciiTheme="minorEastAsia" w:hAnsiTheme="minorEastAsia" w:eastAsiaTheme="minorEastAsia"/>
          <w:color w:val="auto"/>
          <w:szCs w:val="21"/>
          <w:highlight w:val="none"/>
        </w:rPr>
        <w:t>并代表投标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________________________________________（投标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名称）提交</w:t>
      </w:r>
      <w:r>
        <w:rPr>
          <w:rFonts w:hint="eastAsia" w:asciiTheme="minorEastAsia" w:hAnsiTheme="minorEastAsia" w:eastAsiaTheme="minorEastAsia"/>
          <w:color w:val="auto"/>
          <w:szCs w:val="21"/>
          <w:highlight w:val="none"/>
        </w:rPr>
        <w:t>投标文件、开标过程中的工作</w:t>
      </w:r>
      <w:r>
        <w:rPr>
          <w:rFonts w:asciiTheme="minorEastAsia" w:hAnsiTheme="minorEastAsia" w:eastAsiaTheme="minorEastAsia"/>
          <w:color w:val="auto"/>
          <w:szCs w:val="21"/>
          <w:highlight w:val="none"/>
        </w:rPr>
        <w:t>。</w:t>
      </w:r>
    </w:p>
    <w:p w14:paraId="4E358A50">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据此函，</w:t>
      </w:r>
      <w:r>
        <w:rPr>
          <w:rFonts w:hint="eastAsia" w:asciiTheme="minorEastAsia" w:hAnsiTheme="minorEastAsia" w:eastAsiaTheme="minorEastAsia"/>
          <w:color w:val="auto"/>
          <w:szCs w:val="21"/>
          <w:highlight w:val="none"/>
        </w:rPr>
        <w:t>签字代表宣布同意如下：</w:t>
      </w:r>
    </w:p>
    <w:p w14:paraId="6DD54C27">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92C328B">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2、投标人在投标之前已经与贵方进行了充分的沟通，完全理解并接受招标文件的各项规定和要求，对招标文件的合理性、合法性不再有异议。</w:t>
      </w:r>
    </w:p>
    <w:p w14:paraId="617021D6">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3、本投标有效期自开标日起 90个日历天</w:t>
      </w:r>
      <w:r>
        <w:rPr>
          <w:rFonts w:asciiTheme="minorEastAsia" w:hAnsiTheme="minorEastAsia" w:eastAsiaTheme="minorEastAsia"/>
          <w:color w:val="auto"/>
          <w:szCs w:val="21"/>
          <w:highlight w:val="none"/>
        </w:rPr>
        <w:t>。</w:t>
      </w:r>
    </w:p>
    <w:p w14:paraId="26A238F5">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4、如中标，本投标文件至本项目合同履行完毕止均保持有效，本投标人将按“招标文件”及政府采购法律、法规的规定履行合同责任和义务。</w:t>
      </w:r>
    </w:p>
    <w:p w14:paraId="4BD0E167">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5、投标人同意按照贵方要求提供与投标有关的一切数据或资料，并保证其真实性、合法性。</w:t>
      </w:r>
    </w:p>
    <w:p w14:paraId="6CD9F579">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6、与本投标有关的一切正式往来信函请寄：</w:t>
      </w:r>
    </w:p>
    <w:p w14:paraId="7E0383AF">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rPr>
        <w:t>____________________邮编：__________</w:t>
      </w:r>
      <w:r>
        <w:rPr>
          <w:rFonts w:hint="eastAsia" w:asciiTheme="minorEastAsia" w:hAnsiTheme="minorEastAsia" w:eastAsiaTheme="minorEastAsia"/>
          <w:color w:val="auto"/>
          <w:szCs w:val="21"/>
          <w:highlight w:val="none"/>
        </w:rPr>
        <w:t xml:space="preserve">   电话：</w:t>
      </w:r>
      <w:r>
        <w:rPr>
          <w:rFonts w:asciiTheme="minorEastAsia" w:hAnsiTheme="minorEastAsia" w:eastAsiaTheme="minorEastAsia"/>
          <w:color w:val="auto"/>
          <w:szCs w:val="21"/>
          <w:highlight w:val="none"/>
        </w:rPr>
        <w:t>______________</w:t>
      </w:r>
    </w:p>
    <w:p w14:paraId="01C69B00">
      <w:pPr>
        <w:adjustRightInd w:val="0"/>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传真：______________</w:t>
      </w:r>
      <w:r>
        <w:rPr>
          <w:rFonts w:hint="eastAsia" w:asciiTheme="minorEastAsia" w:hAnsiTheme="minorEastAsia" w:eastAsiaTheme="minorEastAsia"/>
          <w:color w:val="auto"/>
          <w:szCs w:val="21"/>
          <w:highlight w:val="none"/>
        </w:rPr>
        <w:t>投标人代表姓名</w:t>
      </w:r>
      <w:r>
        <w:rPr>
          <w:rFonts w:asciiTheme="minorEastAsia" w:hAnsiTheme="minorEastAsia" w:eastAsiaTheme="minorEastAsia"/>
          <w:color w:val="auto"/>
          <w:szCs w:val="21"/>
          <w:highlight w:val="none"/>
        </w:rPr>
        <w:t xml:space="preserve"> ___________ 职务：______________</w:t>
      </w:r>
    </w:p>
    <w:p w14:paraId="3B10D2D2">
      <w:pPr>
        <w:adjustRightInd w:val="0"/>
        <w:snapToGrid w:val="0"/>
        <w:spacing w:line="360" w:lineRule="auto"/>
        <w:rPr>
          <w:rFonts w:asciiTheme="minorEastAsia" w:hAnsiTheme="minorEastAsia" w:eastAsiaTheme="minorEastAsia"/>
          <w:color w:val="auto"/>
          <w:szCs w:val="21"/>
          <w:highlight w:val="none"/>
        </w:rPr>
      </w:pPr>
    </w:p>
    <w:p w14:paraId="626FD6A5">
      <w:pPr>
        <w:adjustRightInd w:val="0"/>
        <w:snapToGrid w:val="0"/>
        <w:spacing w:line="360" w:lineRule="auto"/>
        <w:rPr>
          <w:rFonts w:asciiTheme="minorEastAsia" w:hAnsiTheme="minorEastAsia" w:eastAsiaTheme="minorEastAsia"/>
          <w:color w:val="auto"/>
          <w:szCs w:val="21"/>
          <w:highlight w:val="none"/>
        </w:rPr>
      </w:pPr>
    </w:p>
    <w:p w14:paraId="5D90ABB9">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rPr>
        <w:t>(盖章):___________________</w:t>
      </w:r>
    </w:p>
    <w:p w14:paraId="41E0E536">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开户银行：   </w:t>
      </w:r>
    </w:p>
    <w:p w14:paraId="1FE3941A">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银行帐号：</w:t>
      </w:r>
    </w:p>
    <w:p w14:paraId="2909CC2A">
      <w:pPr>
        <w:spacing w:before="120"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760B9E4C">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10250349">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60F4627F">
      <w:pPr>
        <w:snapToGrid w:val="0"/>
        <w:spacing w:line="360" w:lineRule="auto"/>
        <w:rPr>
          <w:rFonts w:asciiTheme="minorEastAsia" w:hAnsiTheme="minorEastAsia" w:eastAsiaTheme="minorEastAsia"/>
          <w:b/>
          <w:color w:val="auto"/>
          <w:szCs w:val="21"/>
          <w:highlight w:val="none"/>
        </w:rPr>
      </w:pPr>
    </w:p>
    <w:p w14:paraId="25FA0EA3">
      <w:pPr>
        <w:snapToGrid w:val="0"/>
        <w:spacing w:line="360" w:lineRule="auto"/>
        <w:rPr>
          <w:rFonts w:asciiTheme="minorEastAsia" w:hAnsiTheme="minorEastAsia" w:eastAsiaTheme="minorEastAsia"/>
          <w:b/>
          <w:color w:val="auto"/>
          <w:szCs w:val="21"/>
          <w:highlight w:val="none"/>
        </w:rPr>
      </w:pPr>
    </w:p>
    <w:p w14:paraId="0A4DAF6C">
      <w:pPr>
        <w:snapToGrid w:val="0"/>
        <w:spacing w:line="360" w:lineRule="auto"/>
        <w:rPr>
          <w:rFonts w:asciiTheme="minorEastAsia" w:hAnsiTheme="minorEastAsia" w:eastAsiaTheme="minorEastAsia"/>
          <w:b/>
          <w:color w:val="auto"/>
          <w:szCs w:val="21"/>
          <w:highlight w:val="none"/>
        </w:rPr>
      </w:pPr>
    </w:p>
    <w:p w14:paraId="2AB341EF">
      <w:pPr>
        <w:snapToGrid w:val="0"/>
        <w:spacing w:line="360" w:lineRule="auto"/>
        <w:rPr>
          <w:rFonts w:asciiTheme="minorEastAsia" w:hAnsiTheme="minorEastAsia" w:eastAsiaTheme="minorEastAsia"/>
          <w:b/>
          <w:color w:val="auto"/>
          <w:szCs w:val="21"/>
          <w:highlight w:val="none"/>
        </w:rPr>
      </w:pPr>
    </w:p>
    <w:p w14:paraId="042DC72F">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518F172F">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5</w:t>
      </w:r>
      <w:r>
        <w:rPr>
          <w:rFonts w:hint="eastAsia" w:asciiTheme="minorEastAsia" w:hAnsiTheme="minorEastAsia" w:eastAsiaTheme="minorEastAsia"/>
          <w:b/>
          <w:color w:val="auto"/>
          <w:szCs w:val="21"/>
          <w:highlight w:val="none"/>
        </w:rPr>
        <w:t>、</w:t>
      </w:r>
    </w:p>
    <w:p w14:paraId="606846A4">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开标一览表（附件13）</w:t>
      </w:r>
    </w:p>
    <w:p w14:paraId="08FF293F">
      <w:pPr>
        <w:spacing w:line="360" w:lineRule="auto"/>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eastAsia="zh-CN"/>
        </w:rPr>
        <w:t>新城派出所院内翻新改造</w:t>
      </w:r>
    </w:p>
    <w:tbl>
      <w:tblPr>
        <w:tblStyle w:val="5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41"/>
        <w:gridCol w:w="1483"/>
        <w:gridCol w:w="1217"/>
        <w:gridCol w:w="1003"/>
        <w:gridCol w:w="1790"/>
        <w:gridCol w:w="896"/>
      </w:tblGrid>
      <w:tr w14:paraId="5C35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10" w:type="dxa"/>
            <w:vAlign w:val="center"/>
          </w:tcPr>
          <w:p w14:paraId="64BC7266">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序号</w:t>
            </w:r>
          </w:p>
        </w:tc>
        <w:tc>
          <w:tcPr>
            <w:tcW w:w="2541" w:type="dxa"/>
            <w:vAlign w:val="center"/>
          </w:tcPr>
          <w:p w14:paraId="5D6871F1">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项目名称</w:t>
            </w:r>
          </w:p>
        </w:tc>
        <w:tc>
          <w:tcPr>
            <w:tcW w:w="1483" w:type="dxa"/>
            <w:vAlign w:val="center"/>
          </w:tcPr>
          <w:p w14:paraId="5F2B642E">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上限价</w:t>
            </w:r>
          </w:p>
          <w:p w14:paraId="5820FC2C">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（万元）</w:t>
            </w:r>
          </w:p>
        </w:tc>
        <w:tc>
          <w:tcPr>
            <w:tcW w:w="1217" w:type="dxa"/>
            <w:vAlign w:val="center"/>
          </w:tcPr>
          <w:p w14:paraId="666B339A">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投标报价</w:t>
            </w:r>
          </w:p>
          <w:p w14:paraId="22BAB1BD">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（万元）</w:t>
            </w:r>
          </w:p>
        </w:tc>
        <w:tc>
          <w:tcPr>
            <w:tcW w:w="1003" w:type="dxa"/>
            <w:vAlign w:val="center"/>
          </w:tcPr>
          <w:p w14:paraId="71569C83">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项目负责人</w:t>
            </w:r>
          </w:p>
        </w:tc>
        <w:tc>
          <w:tcPr>
            <w:tcW w:w="1790" w:type="dxa"/>
            <w:vAlign w:val="center"/>
          </w:tcPr>
          <w:p w14:paraId="4A418ACE">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工期</w:t>
            </w:r>
          </w:p>
        </w:tc>
        <w:tc>
          <w:tcPr>
            <w:tcW w:w="896" w:type="dxa"/>
            <w:vAlign w:val="center"/>
          </w:tcPr>
          <w:p w14:paraId="6656C796">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备注</w:t>
            </w:r>
          </w:p>
        </w:tc>
      </w:tr>
      <w:tr w14:paraId="0A95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10" w:type="dxa"/>
            <w:vAlign w:val="center"/>
          </w:tcPr>
          <w:p w14:paraId="43BAF867">
            <w:pPr>
              <w:adjustRightInd w:val="0"/>
              <w:snapToGrid w:val="0"/>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w:t>
            </w:r>
          </w:p>
        </w:tc>
        <w:tc>
          <w:tcPr>
            <w:tcW w:w="2541" w:type="dxa"/>
            <w:vAlign w:val="center"/>
          </w:tcPr>
          <w:p w14:paraId="20A027E8">
            <w:pPr>
              <w:snapToGrid w:val="0"/>
              <w:spacing w:line="360" w:lineRule="auto"/>
              <w:jc w:val="center"/>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highlight w:val="none"/>
                <w:lang w:eastAsia="zh-CN"/>
              </w:rPr>
              <w:t>新城派出所院内翻新改造</w:t>
            </w:r>
          </w:p>
        </w:tc>
        <w:tc>
          <w:tcPr>
            <w:tcW w:w="1483" w:type="dxa"/>
            <w:vAlign w:val="center"/>
          </w:tcPr>
          <w:p w14:paraId="2D859247">
            <w:pPr>
              <w:adjustRightInd w:val="0"/>
              <w:snapToGrid w:val="0"/>
              <w:spacing w:line="360" w:lineRule="auto"/>
              <w:jc w:val="center"/>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148.8939</w:t>
            </w:r>
          </w:p>
        </w:tc>
        <w:tc>
          <w:tcPr>
            <w:tcW w:w="1217" w:type="dxa"/>
            <w:vAlign w:val="center"/>
          </w:tcPr>
          <w:p w14:paraId="44F772E0">
            <w:pPr>
              <w:adjustRightInd w:val="0"/>
              <w:snapToGrid w:val="0"/>
              <w:spacing w:line="360" w:lineRule="auto"/>
              <w:jc w:val="center"/>
              <w:rPr>
                <w:rFonts w:cs="宋体" w:asciiTheme="minorEastAsia" w:hAnsiTheme="minorEastAsia" w:eastAsiaTheme="minorEastAsia"/>
                <w:color w:val="auto"/>
                <w:highlight w:val="none"/>
              </w:rPr>
            </w:pPr>
          </w:p>
        </w:tc>
        <w:tc>
          <w:tcPr>
            <w:tcW w:w="1003" w:type="dxa"/>
            <w:vAlign w:val="center"/>
          </w:tcPr>
          <w:p w14:paraId="7F10DCCE">
            <w:pPr>
              <w:adjustRightInd w:val="0"/>
              <w:spacing w:line="360" w:lineRule="auto"/>
              <w:jc w:val="center"/>
              <w:rPr>
                <w:rFonts w:cs="Arial" w:asciiTheme="minorEastAsia" w:hAnsiTheme="minorEastAsia" w:eastAsiaTheme="minorEastAsia"/>
                <w:color w:val="auto"/>
                <w:szCs w:val="21"/>
                <w:highlight w:val="none"/>
              </w:rPr>
            </w:pPr>
          </w:p>
        </w:tc>
        <w:tc>
          <w:tcPr>
            <w:tcW w:w="1790" w:type="dxa"/>
            <w:vAlign w:val="center"/>
          </w:tcPr>
          <w:p w14:paraId="42F82510">
            <w:pPr>
              <w:adjustRightInd w:val="0"/>
              <w:spacing w:line="360" w:lineRule="auto"/>
              <w:jc w:val="center"/>
              <w:rPr>
                <w:rFonts w:cs="Arial" w:asciiTheme="minorEastAsia" w:hAnsiTheme="minorEastAsia" w:eastAsiaTheme="minorEastAsia"/>
                <w:color w:val="auto"/>
                <w:szCs w:val="21"/>
                <w:highlight w:val="none"/>
              </w:rPr>
            </w:pPr>
          </w:p>
        </w:tc>
        <w:tc>
          <w:tcPr>
            <w:tcW w:w="896" w:type="dxa"/>
            <w:vAlign w:val="center"/>
          </w:tcPr>
          <w:p w14:paraId="052CC5C7">
            <w:pPr>
              <w:adjustRightInd w:val="0"/>
              <w:spacing w:line="360" w:lineRule="auto"/>
              <w:jc w:val="center"/>
              <w:rPr>
                <w:rFonts w:cs="Arial" w:asciiTheme="minorEastAsia" w:hAnsiTheme="minorEastAsia" w:eastAsiaTheme="minorEastAsia"/>
                <w:color w:val="auto"/>
                <w:szCs w:val="21"/>
                <w:highlight w:val="none"/>
              </w:rPr>
            </w:pPr>
          </w:p>
        </w:tc>
      </w:tr>
      <w:tr w14:paraId="19C0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640" w:type="dxa"/>
            <w:gridSpan w:val="7"/>
            <w:vAlign w:val="center"/>
          </w:tcPr>
          <w:p w14:paraId="5E3DDBB4">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合计大写（人民币）：                               </w:t>
            </w:r>
          </w:p>
        </w:tc>
      </w:tr>
    </w:tbl>
    <w:p w14:paraId="3AFF4B68">
      <w:pPr>
        <w:spacing w:line="360" w:lineRule="auto"/>
        <w:rPr>
          <w:rFonts w:asciiTheme="minorEastAsia" w:hAnsiTheme="minorEastAsia" w:eastAsiaTheme="minorEastAsia"/>
          <w:b/>
          <w:color w:val="auto"/>
          <w:szCs w:val="21"/>
          <w:highlight w:val="none"/>
        </w:rPr>
      </w:pPr>
    </w:p>
    <w:p w14:paraId="5B0240CA">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bCs/>
          <w:color w:val="auto"/>
          <w:szCs w:val="21"/>
          <w:highlight w:val="none"/>
        </w:rPr>
        <w:t>注</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1</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填写此表时不得改变表格的形式。</w:t>
      </w:r>
    </w:p>
    <w:p w14:paraId="7CD36609">
      <w:pPr>
        <w:adjustRightInd w:val="0"/>
        <w:spacing w:line="36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2、投标报</w:t>
      </w:r>
      <w:r>
        <w:rPr>
          <w:rFonts w:cs="Arial" w:asciiTheme="minorEastAsia" w:hAnsiTheme="minorEastAsia" w:eastAsiaTheme="minorEastAsia"/>
          <w:color w:val="auto"/>
          <w:szCs w:val="21"/>
          <w:highlight w:val="none"/>
        </w:rPr>
        <w:t>价包括</w:t>
      </w:r>
      <w:r>
        <w:rPr>
          <w:rFonts w:hint="eastAsia" w:cs="Arial" w:asciiTheme="minorEastAsia" w:hAnsiTheme="minorEastAsia" w:eastAsiaTheme="minorEastAsia"/>
          <w:color w:val="auto"/>
          <w:szCs w:val="21"/>
          <w:highlight w:val="none"/>
        </w:rPr>
        <w:t>提供服务、人员、交通、税金等本项目所需的</w:t>
      </w:r>
      <w:r>
        <w:rPr>
          <w:rFonts w:cs="Arial" w:asciiTheme="minorEastAsia" w:hAnsiTheme="minorEastAsia" w:eastAsiaTheme="minorEastAsia"/>
          <w:color w:val="auto"/>
          <w:szCs w:val="21"/>
          <w:highlight w:val="none"/>
        </w:rPr>
        <w:t>全部费用。</w:t>
      </w:r>
    </w:p>
    <w:p w14:paraId="7DD57539">
      <w:pPr>
        <w:adjustRightInd w:val="0"/>
        <w:spacing w:line="360" w:lineRule="auto"/>
        <w:ind w:firstLine="420" w:firstLineChars="200"/>
        <w:rPr>
          <w:rFonts w:asciiTheme="minorEastAsia" w:hAnsiTheme="minorEastAsia" w:eastAsiaTheme="minorEastAsia"/>
          <w:color w:val="auto"/>
          <w:szCs w:val="21"/>
          <w:highlight w:val="none"/>
        </w:rPr>
      </w:pPr>
    </w:p>
    <w:p w14:paraId="07E641EC">
      <w:pPr>
        <w:spacing w:before="120"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52D4ED8A">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0BDAAFEC">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17C951F9">
      <w:pPr>
        <w:spacing w:line="360" w:lineRule="auto"/>
        <w:rPr>
          <w:rFonts w:asciiTheme="minorEastAsia" w:hAnsiTheme="minorEastAsia" w:eastAsiaTheme="minorEastAsia"/>
          <w:b/>
          <w:color w:val="auto"/>
          <w:szCs w:val="21"/>
          <w:highlight w:val="none"/>
        </w:rPr>
      </w:pPr>
    </w:p>
    <w:p w14:paraId="06921E11">
      <w:pPr>
        <w:spacing w:line="360" w:lineRule="auto"/>
        <w:rPr>
          <w:rFonts w:asciiTheme="minorEastAsia" w:hAnsiTheme="minorEastAsia" w:eastAsiaTheme="minorEastAsia"/>
          <w:b/>
          <w:color w:val="auto"/>
          <w:szCs w:val="21"/>
          <w:highlight w:val="none"/>
        </w:rPr>
      </w:pPr>
    </w:p>
    <w:p w14:paraId="47A0E414">
      <w:pPr>
        <w:spacing w:line="360" w:lineRule="auto"/>
        <w:rPr>
          <w:rFonts w:asciiTheme="minorEastAsia" w:hAnsiTheme="minorEastAsia" w:eastAsiaTheme="minorEastAsia"/>
          <w:b/>
          <w:color w:val="auto"/>
          <w:szCs w:val="21"/>
          <w:highlight w:val="none"/>
        </w:rPr>
      </w:pPr>
    </w:p>
    <w:p w14:paraId="78CA6DBC">
      <w:pPr>
        <w:spacing w:line="360" w:lineRule="auto"/>
        <w:rPr>
          <w:rFonts w:asciiTheme="minorEastAsia" w:hAnsiTheme="minorEastAsia" w:eastAsiaTheme="minorEastAsia"/>
          <w:b/>
          <w:color w:val="auto"/>
          <w:szCs w:val="21"/>
          <w:highlight w:val="none"/>
        </w:rPr>
      </w:pPr>
    </w:p>
    <w:p w14:paraId="51732FF6">
      <w:pPr>
        <w:spacing w:line="360" w:lineRule="auto"/>
        <w:rPr>
          <w:rFonts w:asciiTheme="minorEastAsia" w:hAnsiTheme="minorEastAsia" w:eastAsiaTheme="minorEastAsia"/>
          <w:b/>
          <w:color w:val="auto"/>
          <w:szCs w:val="21"/>
          <w:highlight w:val="none"/>
        </w:rPr>
      </w:pPr>
    </w:p>
    <w:p w14:paraId="5A7165DA">
      <w:pPr>
        <w:spacing w:line="360" w:lineRule="auto"/>
        <w:rPr>
          <w:rFonts w:asciiTheme="minorEastAsia" w:hAnsiTheme="minorEastAsia" w:eastAsiaTheme="minorEastAsia"/>
          <w:b/>
          <w:color w:val="auto"/>
          <w:szCs w:val="21"/>
          <w:highlight w:val="none"/>
        </w:rPr>
      </w:pPr>
    </w:p>
    <w:p w14:paraId="37209375">
      <w:pPr>
        <w:spacing w:line="360" w:lineRule="auto"/>
        <w:rPr>
          <w:rFonts w:asciiTheme="minorEastAsia" w:hAnsiTheme="minorEastAsia" w:eastAsiaTheme="minorEastAsia"/>
          <w:b/>
          <w:color w:val="auto"/>
          <w:szCs w:val="21"/>
          <w:highlight w:val="none"/>
        </w:rPr>
      </w:pPr>
    </w:p>
    <w:p w14:paraId="36C74CB2">
      <w:pPr>
        <w:spacing w:line="360" w:lineRule="auto"/>
        <w:rPr>
          <w:rFonts w:asciiTheme="minorEastAsia" w:hAnsiTheme="minorEastAsia" w:eastAsiaTheme="minorEastAsia"/>
          <w:b/>
          <w:color w:val="auto"/>
          <w:szCs w:val="21"/>
          <w:highlight w:val="none"/>
        </w:rPr>
      </w:pPr>
    </w:p>
    <w:p w14:paraId="13238B70">
      <w:pPr>
        <w:spacing w:line="360" w:lineRule="auto"/>
        <w:rPr>
          <w:rFonts w:asciiTheme="minorEastAsia" w:hAnsiTheme="minorEastAsia" w:eastAsiaTheme="minorEastAsia"/>
          <w:b/>
          <w:color w:val="auto"/>
          <w:szCs w:val="21"/>
          <w:highlight w:val="none"/>
        </w:rPr>
      </w:pPr>
    </w:p>
    <w:p w14:paraId="6A18D52A">
      <w:pPr>
        <w:spacing w:line="360" w:lineRule="auto"/>
        <w:rPr>
          <w:rFonts w:asciiTheme="minorEastAsia" w:hAnsiTheme="minorEastAsia" w:eastAsiaTheme="minorEastAsia"/>
          <w:b/>
          <w:color w:val="auto"/>
          <w:szCs w:val="21"/>
          <w:highlight w:val="none"/>
        </w:rPr>
      </w:pPr>
    </w:p>
    <w:p w14:paraId="68D2D053">
      <w:pPr>
        <w:spacing w:line="360" w:lineRule="auto"/>
        <w:rPr>
          <w:rFonts w:asciiTheme="minorEastAsia" w:hAnsiTheme="minorEastAsia" w:eastAsiaTheme="minorEastAsia"/>
          <w:b/>
          <w:color w:val="auto"/>
          <w:szCs w:val="21"/>
          <w:highlight w:val="none"/>
        </w:rPr>
      </w:pPr>
    </w:p>
    <w:p w14:paraId="4608CF76">
      <w:pPr>
        <w:spacing w:line="360" w:lineRule="auto"/>
        <w:rPr>
          <w:rFonts w:asciiTheme="minorEastAsia" w:hAnsiTheme="minorEastAsia" w:eastAsiaTheme="minorEastAsia"/>
          <w:b/>
          <w:color w:val="auto"/>
          <w:szCs w:val="21"/>
          <w:highlight w:val="none"/>
        </w:rPr>
      </w:pPr>
    </w:p>
    <w:p w14:paraId="43AAECF1">
      <w:pPr>
        <w:spacing w:line="360" w:lineRule="auto"/>
        <w:rPr>
          <w:rFonts w:asciiTheme="minorEastAsia" w:hAnsiTheme="minorEastAsia" w:eastAsiaTheme="minorEastAsia"/>
          <w:b/>
          <w:color w:val="auto"/>
          <w:szCs w:val="21"/>
          <w:highlight w:val="none"/>
        </w:rPr>
      </w:pPr>
    </w:p>
    <w:p w14:paraId="60699864">
      <w:pPr>
        <w:spacing w:line="360" w:lineRule="auto"/>
        <w:rPr>
          <w:rFonts w:asciiTheme="minorEastAsia" w:hAnsiTheme="minorEastAsia" w:eastAsiaTheme="minorEastAsia"/>
          <w:b/>
          <w:color w:val="auto"/>
          <w:szCs w:val="21"/>
          <w:highlight w:val="none"/>
        </w:rPr>
      </w:pPr>
    </w:p>
    <w:p w14:paraId="3B35F4A8">
      <w:pPr>
        <w:spacing w:line="360" w:lineRule="auto"/>
        <w:rPr>
          <w:rFonts w:asciiTheme="minorEastAsia" w:hAnsiTheme="minorEastAsia" w:eastAsiaTheme="minorEastAsia"/>
          <w:b/>
          <w:color w:val="auto"/>
          <w:szCs w:val="21"/>
          <w:highlight w:val="none"/>
        </w:rPr>
      </w:pPr>
    </w:p>
    <w:p w14:paraId="15F7B9E8">
      <w:pPr>
        <w:spacing w:line="360" w:lineRule="auto"/>
        <w:rPr>
          <w:rFonts w:asciiTheme="minorEastAsia" w:hAnsiTheme="minorEastAsia" w:eastAsiaTheme="minorEastAsia"/>
          <w:b/>
          <w:color w:val="auto"/>
          <w:szCs w:val="21"/>
          <w:highlight w:val="none"/>
        </w:rPr>
      </w:pPr>
    </w:p>
    <w:p w14:paraId="0FE9BD59">
      <w:pPr>
        <w:spacing w:line="360" w:lineRule="auto"/>
        <w:rPr>
          <w:rFonts w:asciiTheme="minorEastAsia" w:hAnsiTheme="minorEastAsia" w:eastAsiaTheme="minorEastAsia"/>
          <w:b/>
          <w:color w:val="auto"/>
          <w:szCs w:val="21"/>
          <w:highlight w:val="none"/>
        </w:rPr>
      </w:pPr>
    </w:p>
    <w:p w14:paraId="2197B2EB">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6</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bCs/>
          <w:color w:val="auto"/>
          <w:szCs w:val="21"/>
          <w:highlight w:val="none"/>
        </w:rPr>
        <w:t>分项报价明细表</w:t>
      </w:r>
      <w:r>
        <w:rPr>
          <w:rFonts w:hint="eastAsia" w:asciiTheme="minorEastAsia" w:hAnsiTheme="minorEastAsia" w:eastAsiaTheme="minorEastAsia"/>
          <w:b/>
          <w:color w:val="auto"/>
          <w:szCs w:val="21"/>
          <w:highlight w:val="none"/>
        </w:rPr>
        <w:t>（附件14）</w:t>
      </w:r>
    </w:p>
    <w:p w14:paraId="6EF83EF2">
      <w:pPr>
        <w:pStyle w:val="73"/>
        <w:jc w:val="center"/>
        <w:rPr>
          <w:color w:val="auto"/>
          <w:highlight w:val="none"/>
        </w:rPr>
      </w:pPr>
      <w:r>
        <w:rPr>
          <w:rFonts w:hint="eastAsia"/>
          <w:color w:val="auto"/>
          <w:highlight w:val="none"/>
        </w:rPr>
        <w:t>详见工程量清单表</w:t>
      </w:r>
    </w:p>
    <w:p w14:paraId="1AC99B3F">
      <w:pPr>
        <w:pStyle w:val="29"/>
        <w:snapToGrid w:val="0"/>
        <w:spacing w:line="360" w:lineRule="auto"/>
        <w:rPr>
          <w:rFonts w:asciiTheme="minorEastAsia" w:hAnsiTheme="minorEastAsia" w:eastAsiaTheme="minorEastAsia"/>
          <w:b/>
          <w:color w:val="auto"/>
          <w:szCs w:val="21"/>
          <w:highlight w:val="none"/>
        </w:rPr>
      </w:pPr>
    </w:p>
    <w:p w14:paraId="232889F9">
      <w:pPr>
        <w:spacing w:line="360" w:lineRule="auto"/>
        <w:rPr>
          <w:rFonts w:asciiTheme="minorEastAsia" w:hAnsiTheme="minorEastAsia" w:eastAsiaTheme="minorEastAsia"/>
          <w:color w:val="auto"/>
          <w:highlight w:val="none"/>
        </w:rPr>
      </w:pPr>
    </w:p>
    <w:p w14:paraId="0909254D">
      <w:pPr>
        <w:pStyle w:val="29"/>
        <w:snapToGrid w:val="0"/>
        <w:spacing w:line="360" w:lineRule="auto"/>
        <w:rPr>
          <w:rFonts w:asciiTheme="minorEastAsia" w:hAnsiTheme="minorEastAsia" w:eastAsiaTheme="minorEastAsia"/>
          <w:color w:val="auto"/>
          <w:highlight w:val="none"/>
        </w:rPr>
      </w:pPr>
    </w:p>
    <w:sectPr>
      <w:footerReference r:id="rId5" w:type="default"/>
      <w:pgSz w:w="11906" w:h="16838"/>
      <w:pgMar w:top="1021" w:right="1440" w:bottom="1021" w:left="1440" w:header="851" w:footer="992" w:gutter="0"/>
      <w:cols w:space="72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微软繁隶书">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微软雅黑 Light">
    <w:panose1 w:val="020B0502040204020203"/>
    <w:charset w:val="7A"/>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_x000B__x000C_">
    <w:altName w:val="微软雅黑"/>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方正兰亭黑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046095"/>
    </w:sdtPr>
    <w:sdtContent>
      <w:p w14:paraId="300F994E">
        <w:pPr>
          <w:pStyle w:val="35"/>
          <w:jc w:val="center"/>
        </w:pPr>
        <w:r>
          <w:fldChar w:fldCharType="begin"/>
        </w:r>
        <w:r>
          <w:instrText xml:space="preserve">PAGE   \* MERGEFORMAT</w:instrText>
        </w:r>
        <w:r>
          <w:fldChar w:fldCharType="separate"/>
        </w:r>
        <w:r>
          <w:rPr>
            <w:lang w:val="zh-CN"/>
          </w:rPr>
          <w:t>1</w:t>
        </w:r>
        <w:r>
          <w:rPr>
            <w:lang w:val="zh-CN"/>
          </w:rPr>
          <w:fldChar w:fldCharType="end"/>
        </w:r>
      </w:p>
    </w:sdtContent>
  </w:sdt>
  <w:p w14:paraId="2A98402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5746588"/>
    </w:sdtPr>
    <w:sdtContent>
      <w:p w14:paraId="6B07F62D">
        <w:pPr>
          <w:pStyle w:val="35"/>
          <w:jc w:val="center"/>
        </w:pPr>
        <w:r>
          <w:fldChar w:fldCharType="begin"/>
        </w:r>
        <w:r>
          <w:instrText xml:space="preserve">PAGE   \* MERGEFORMAT</w:instrText>
        </w:r>
        <w:r>
          <w:fldChar w:fldCharType="separate"/>
        </w:r>
        <w:r>
          <w:rPr>
            <w:lang w:val="zh-CN"/>
          </w:rPr>
          <w:t>22</w:t>
        </w:r>
        <w:r>
          <w:fldChar w:fldCharType="end"/>
        </w:r>
      </w:p>
    </w:sdtContent>
  </w:sdt>
  <w:p w14:paraId="32BAA594">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4925">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5A05D"/>
    <w:multiLevelType w:val="singleLevel"/>
    <w:tmpl w:val="2965A05D"/>
    <w:lvl w:ilvl="0" w:tentative="0">
      <w:start w:val="15"/>
      <w:numFmt w:val="chineseCounting"/>
      <w:suff w:val="nothing"/>
      <w:lvlText w:val="%1、"/>
      <w:lvlJc w:val="left"/>
      <w:rPr>
        <w:rFonts w:hint="eastAsia"/>
      </w:rPr>
    </w:lvl>
  </w:abstractNum>
  <w:abstractNum w:abstractNumId="1">
    <w:nsid w:val="3B86313F"/>
    <w:multiLevelType w:val="multilevel"/>
    <w:tmpl w:val="3B86313F"/>
    <w:lvl w:ilvl="0" w:tentative="0">
      <w:start w:val="1"/>
      <w:numFmt w:val="decimal"/>
      <w:pStyle w:val="759"/>
      <w:lvlText w:val="%1."/>
      <w:lvlJc w:val="left"/>
      <w:pPr>
        <w:ind w:left="420" w:hanging="420"/>
      </w:pPr>
    </w:lvl>
    <w:lvl w:ilvl="1" w:tentative="0">
      <w:start w:val="2"/>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
    <w:nsid w:val="5370D9AC"/>
    <w:multiLevelType w:val="singleLevel"/>
    <w:tmpl w:val="5370D9AC"/>
    <w:lvl w:ilvl="0" w:tentative="0">
      <w:start w:val="1"/>
      <w:numFmt w:val="chineseCounting"/>
      <w:pStyle w:val="13"/>
      <w:suff w:val="space"/>
      <w:lvlText w:val="第%1条"/>
      <w:lvlJc w:val="left"/>
    </w:lvl>
  </w:abstractNum>
  <w:abstractNum w:abstractNumId="3">
    <w:nsid w:val="59A901B1"/>
    <w:multiLevelType w:val="multilevel"/>
    <w:tmpl w:val="59A901B1"/>
    <w:lvl w:ilvl="0" w:tentative="0">
      <w:start w:val="1"/>
      <w:numFmt w:val="bullet"/>
      <w:pStyle w:val="76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wODkzNmVkZjA0NzNkZjdlZDQ2MGMwMTI4NmU4ODgifQ=="/>
  </w:docVars>
  <w:rsids>
    <w:rsidRoot w:val="00172A27"/>
    <w:rsid w:val="00000E21"/>
    <w:rsid w:val="00001AAF"/>
    <w:rsid w:val="00001BEE"/>
    <w:rsid w:val="00002AB2"/>
    <w:rsid w:val="00003C5B"/>
    <w:rsid w:val="00003E8F"/>
    <w:rsid w:val="00003F63"/>
    <w:rsid w:val="000043A1"/>
    <w:rsid w:val="00004C4B"/>
    <w:rsid w:val="00004E47"/>
    <w:rsid w:val="000051A0"/>
    <w:rsid w:val="000061DC"/>
    <w:rsid w:val="000077E5"/>
    <w:rsid w:val="000078E0"/>
    <w:rsid w:val="00010F2E"/>
    <w:rsid w:val="00011D31"/>
    <w:rsid w:val="000122D3"/>
    <w:rsid w:val="00012A8A"/>
    <w:rsid w:val="0001376D"/>
    <w:rsid w:val="00020163"/>
    <w:rsid w:val="000201B9"/>
    <w:rsid w:val="0002181C"/>
    <w:rsid w:val="00022513"/>
    <w:rsid w:val="0002314D"/>
    <w:rsid w:val="0002330D"/>
    <w:rsid w:val="000238EA"/>
    <w:rsid w:val="000244D2"/>
    <w:rsid w:val="00024B72"/>
    <w:rsid w:val="000253DF"/>
    <w:rsid w:val="0002574C"/>
    <w:rsid w:val="00025B09"/>
    <w:rsid w:val="0003087B"/>
    <w:rsid w:val="00030D6F"/>
    <w:rsid w:val="000311DF"/>
    <w:rsid w:val="000315AB"/>
    <w:rsid w:val="0003322A"/>
    <w:rsid w:val="0003340B"/>
    <w:rsid w:val="000340C2"/>
    <w:rsid w:val="00034985"/>
    <w:rsid w:val="0003539E"/>
    <w:rsid w:val="00037097"/>
    <w:rsid w:val="00037363"/>
    <w:rsid w:val="000375DB"/>
    <w:rsid w:val="00037A9A"/>
    <w:rsid w:val="00040333"/>
    <w:rsid w:val="00040CB5"/>
    <w:rsid w:val="00041D60"/>
    <w:rsid w:val="0004294A"/>
    <w:rsid w:val="000429AF"/>
    <w:rsid w:val="00043C36"/>
    <w:rsid w:val="000442A1"/>
    <w:rsid w:val="00045155"/>
    <w:rsid w:val="0004519E"/>
    <w:rsid w:val="000458F1"/>
    <w:rsid w:val="00047334"/>
    <w:rsid w:val="00051106"/>
    <w:rsid w:val="00051404"/>
    <w:rsid w:val="00051C82"/>
    <w:rsid w:val="000537D1"/>
    <w:rsid w:val="00053BE5"/>
    <w:rsid w:val="00054D31"/>
    <w:rsid w:val="00054EB3"/>
    <w:rsid w:val="00055AF5"/>
    <w:rsid w:val="00055FBF"/>
    <w:rsid w:val="00061ABD"/>
    <w:rsid w:val="00061B3A"/>
    <w:rsid w:val="00062532"/>
    <w:rsid w:val="00063282"/>
    <w:rsid w:val="00064155"/>
    <w:rsid w:val="000649B0"/>
    <w:rsid w:val="00065059"/>
    <w:rsid w:val="0006518E"/>
    <w:rsid w:val="00065396"/>
    <w:rsid w:val="000653FF"/>
    <w:rsid w:val="000676A9"/>
    <w:rsid w:val="0007109E"/>
    <w:rsid w:val="000714FA"/>
    <w:rsid w:val="00071C7D"/>
    <w:rsid w:val="00072944"/>
    <w:rsid w:val="00073BB5"/>
    <w:rsid w:val="00074104"/>
    <w:rsid w:val="000748A5"/>
    <w:rsid w:val="000751AC"/>
    <w:rsid w:val="00075662"/>
    <w:rsid w:val="00075BA3"/>
    <w:rsid w:val="0007632E"/>
    <w:rsid w:val="00076FFB"/>
    <w:rsid w:val="00077506"/>
    <w:rsid w:val="00077D32"/>
    <w:rsid w:val="00080BEC"/>
    <w:rsid w:val="000813B6"/>
    <w:rsid w:val="00081FCE"/>
    <w:rsid w:val="00082224"/>
    <w:rsid w:val="00082A7D"/>
    <w:rsid w:val="0008306D"/>
    <w:rsid w:val="000832EC"/>
    <w:rsid w:val="00083F27"/>
    <w:rsid w:val="000845E6"/>
    <w:rsid w:val="00084D5D"/>
    <w:rsid w:val="00085B83"/>
    <w:rsid w:val="000861BA"/>
    <w:rsid w:val="0008694E"/>
    <w:rsid w:val="00086DF2"/>
    <w:rsid w:val="00086F21"/>
    <w:rsid w:val="00087024"/>
    <w:rsid w:val="00087CC6"/>
    <w:rsid w:val="00087DFD"/>
    <w:rsid w:val="00087F62"/>
    <w:rsid w:val="000903F3"/>
    <w:rsid w:val="0009156B"/>
    <w:rsid w:val="00092233"/>
    <w:rsid w:val="00092898"/>
    <w:rsid w:val="00093865"/>
    <w:rsid w:val="00093900"/>
    <w:rsid w:val="00094240"/>
    <w:rsid w:val="00095443"/>
    <w:rsid w:val="00095479"/>
    <w:rsid w:val="000958EB"/>
    <w:rsid w:val="00095C71"/>
    <w:rsid w:val="00096198"/>
    <w:rsid w:val="00096503"/>
    <w:rsid w:val="00096EAA"/>
    <w:rsid w:val="000A06C0"/>
    <w:rsid w:val="000A0F80"/>
    <w:rsid w:val="000A2011"/>
    <w:rsid w:val="000A238D"/>
    <w:rsid w:val="000A48C1"/>
    <w:rsid w:val="000A50C6"/>
    <w:rsid w:val="000A510A"/>
    <w:rsid w:val="000A5379"/>
    <w:rsid w:val="000A53F0"/>
    <w:rsid w:val="000A575B"/>
    <w:rsid w:val="000A5898"/>
    <w:rsid w:val="000A6C4B"/>
    <w:rsid w:val="000A7338"/>
    <w:rsid w:val="000A774D"/>
    <w:rsid w:val="000A7A29"/>
    <w:rsid w:val="000B08C6"/>
    <w:rsid w:val="000B0F5B"/>
    <w:rsid w:val="000B148F"/>
    <w:rsid w:val="000B2967"/>
    <w:rsid w:val="000B2C33"/>
    <w:rsid w:val="000B2ECF"/>
    <w:rsid w:val="000B429C"/>
    <w:rsid w:val="000B464A"/>
    <w:rsid w:val="000B4F8C"/>
    <w:rsid w:val="000B50BE"/>
    <w:rsid w:val="000B51A9"/>
    <w:rsid w:val="000B5744"/>
    <w:rsid w:val="000B5D2E"/>
    <w:rsid w:val="000B60BC"/>
    <w:rsid w:val="000B6E6E"/>
    <w:rsid w:val="000B6EA7"/>
    <w:rsid w:val="000B7093"/>
    <w:rsid w:val="000B70AA"/>
    <w:rsid w:val="000B7310"/>
    <w:rsid w:val="000B7488"/>
    <w:rsid w:val="000C02DD"/>
    <w:rsid w:val="000C0E2C"/>
    <w:rsid w:val="000C1488"/>
    <w:rsid w:val="000C2FE6"/>
    <w:rsid w:val="000C320D"/>
    <w:rsid w:val="000C3803"/>
    <w:rsid w:val="000C3E69"/>
    <w:rsid w:val="000C4C13"/>
    <w:rsid w:val="000C586C"/>
    <w:rsid w:val="000C6176"/>
    <w:rsid w:val="000C6204"/>
    <w:rsid w:val="000C630D"/>
    <w:rsid w:val="000C77DB"/>
    <w:rsid w:val="000C7C79"/>
    <w:rsid w:val="000D029D"/>
    <w:rsid w:val="000D128A"/>
    <w:rsid w:val="000D28BA"/>
    <w:rsid w:val="000D29CE"/>
    <w:rsid w:val="000D34F7"/>
    <w:rsid w:val="000D3CF2"/>
    <w:rsid w:val="000D54DB"/>
    <w:rsid w:val="000D599A"/>
    <w:rsid w:val="000D6956"/>
    <w:rsid w:val="000D76CF"/>
    <w:rsid w:val="000D7869"/>
    <w:rsid w:val="000E1D5A"/>
    <w:rsid w:val="000E1EB4"/>
    <w:rsid w:val="000E2614"/>
    <w:rsid w:val="000E2FE7"/>
    <w:rsid w:val="000E3C17"/>
    <w:rsid w:val="000E4407"/>
    <w:rsid w:val="000E48C5"/>
    <w:rsid w:val="000E4CEF"/>
    <w:rsid w:val="000E50CF"/>
    <w:rsid w:val="000E5A5B"/>
    <w:rsid w:val="000E5DB9"/>
    <w:rsid w:val="000E6A02"/>
    <w:rsid w:val="000E77A6"/>
    <w:rsid w:val="000F04C0"/>
    <w:rsid w:val="000F05A7"/>
    <w:rsid w:val="000F2113"/>
    <w:rsid w:val="000F254C"/>
    <w:rsid w:val="000F28AD"/>
    <w:rsid w:val="000F2E59"/>
    <w:rsid w:val="000F386A"/>
    <w:rsid w:val="000F39EE"/>
    <w:rsid w:val="000F3FFF"/>
    <w:rsid w:val="000F448B"/>
    <w:rsid w:val="000F46E9"/>
    <w:rsid w:val="000F47AE"/>
    <w:rsid w:val="000F4BF6"/>
    <w:rsid w:val="000F4E78"/>
    <w:rsid w:val="000F516E"/>
    <w:rsid w:val="000F5183"/>
    <w:rsid w:val="000F5312"/>
    <w:rsid w:val="000F5980"/>
    <w:rsid w:val="000F5ACF"/>
    <w:rsid w:val="000F5FA7"/>
    <w:rsid w:val="000F6319"/>
    <w:rsid w:val="000F67AB"/>
    <w:rsid w:val="000F6BEB"/>
    <w:rsid w:val="000F752C"/>
    <w:rsid w:val="000F759E"/>
    <w:rsid w:val="00100070"/>
    <w:rsid w:val="00100180"/>
    <w:rsid w:val="001007E9"/>
    <w:rsid w:val="00101749"/>
    <w:rsid w:val="00102843"/>
    <w:rsid w:val="00102B92"/>
    <w:rsid w:val="00102EC8"/>
    <w:rsid w:val="00102F86"/>
    <w:rsid w:val="001032F4"/>
    <w:rsid w:val="00107A41"/>
    <w:rsid w:val="00111CBE"/>
    <w:rsid w:val="0011225A"/>
    <w:rsid w:val="00112E94"/>
    <w:rsid w:val="001135DC"/>
    <w:rsid w:val="001147BC"/>
    <w:rsid w:val="00114C25"/>
    <w:rsid w:val="001154AC"/>
    <w:rsid w:val="00117D67"/>
    <w:rsid w:val="00117ED6"/>
    <w:rsid w:val="001207CB"/>
    <w:rsid w:val="001210CA"/>
    <w:rsid w:val="00121154"/>
    <w:rsid w:val="00121AA3"/>
    <w:rsid w:val="00121FBF"/>
    <w:rsid w:val="00122A50"/>
    <w:rsid w:val="00122AAA"/>
    <w:rsid w:val="00123EC2"/>
    <w:rsid w:val="00124849"/>
    <w:rsid w:val="00124A6D"/>
    <w:rsid w:val="00125AA1"/>
    <w:rsid w:val="00125C42"/>
    <w:rsid w:val="00127C07"/>
    <w:rsid w:val="001306D1"/>
    <w:rsid w:val="00130E8D"/>
    <w:rsid w:val="001327B4"/>
    <w:rsid w:val="001330F3"/>
    <w:rsid w:val="001354DC"/>
    <w:rsid w:val="001355F9"/>
    <w:rsid w:val="00135B94"/>
    <w:rsid w:val="0013682F"/>
    <w:rsid w:val="001402D2"/>
    <w:rsid w:val="00140389"/>
    <w:rsid w:val="00140E88"/>
    <w:rsid w:val="00143501"/>
    <w:rsid w:val="00143C4F"/>
    <w:rsid w:val="0014455D"/>
    <w:rsid w:val="00144A2C"/>
    <w:rsid w:val="00144D83"/>
    <w:rsid w:val="001453E9"/>
    <w:rsid w:val="00145A70"/>
    <w:rsid w:val="00145E01"/>
    <w:rsid w:val="00146013"/>
    <w:rsid w:val="00146F3E"/>
    <w:rsid w:val="00147176"/>
    <w:rsid w:val="001476EC"/>
    <w:rsid w:val="00147C49"/>
    <w:rsid w:val="00147CFB"/>
    <w:rsid w:val="00150258"/>
    <w:rsid w:val="001504B3"/>
    <w:rsid w:val="001504DD"/>
    <w:rsid w:val="0015067F"/>
    <w:rsid w:val="00150EEA"/>
    <w:rsid w:val="00151020"/>
    <w:rsid w:val="00151AA5"/>
    <w:rsid w:val="00151EE8"/>
    <w:rsid w:val="00152122"/>
    <w:rsid w:val="00152514"/>
    <w:rsid w:val="0015259D"/>
    <w:rsid w:val="001528D7"/>
    <w:rsid w:val="00153CDD"/>
    <w:rsid w:val="00155B2B"/>
    <w:rsid w:val="00156248"/>
    <w:rsid w:val="0015658D"/>
    <w:rsid w:val="0016002A"/>
    <w:rsid w:val="0016083B"/>
    <w:rsid w:val="00160AA5"/>
    <w:rsid w:val="00161AAA"/>
    <w:rsid w:val="00163781"/>
    <w:rsid w:val="001639EC"/>
    <w:rsid w:val="00164ABE"/>
    <w:rsid w:val="00164C51"/>
    <w:rsid w:val="00166915"/>
    <w:rsid w:val="0016717A"/>
    <w:rsid w:val="00167614"/>
    <w:rsid w:val="00167AA3"/>
    <w:rsid w:val="00167F79"/>
    <w:rsid w:val="00171462"/>
    <w:rsid w:val="00171EE0"/>
    <w:rsid w:val="00172A27"/>
    <w:rsid w:val="00173D80"/>
    <w:rsid w:val="0017424E"/>
    <w:rsid w:val="001756D3"/>
    <w:rsid w:val="001765CA"/>
    <w:rsid w:val="00176E6C"/>
    <w:rsid w:val="00176EAF"/>
    <w:rsid w:val="00177452"/>
    <w:rsid w:val="0017764A"/>
    <w:rsid w:val="00180D48"/>
    <w:rsid w:val="00181BEF"/>
    <w:rsid w:val="00182AB9"/>
    <w:rsid w:val="00183197"/>
    <w:rsid w:val="001833FA"/>
    <w:rsid w:val="00183B07"/>
    <w:rsid w:val="00183D32"/>
    <w:rsid w:val="00184243"/>
    <w:rsid w:val="001847D3"/>
    <w:rsid w:val="00184EC7"/>
    <w:rsid w:val="00184FB3"/>
    <w:rsid w:val="001850A3"/>
    <w:rsid w:val="00185BE3"/>
    <w:rsid w:val="001865EF"/>
    <w:rsid w:val="001875BC"/>
    <w:rsid w:val="0019044D"/>
    <w:rsid w:val="001905A2"/>
    <w:rsid w:val="00190CA3"/>
    <w:rsid w:val="00191B5C"/>
    <w:rsid w:val="00191E55"/>
    <w:rsid w:val="00192320"/>
    <w:rsid w:val="00192C43"/>
    <w:rsid w:val="0019312F"/>
    <w:rsid w:val="0019338C"/>
    <w:rsid w:val="001939CA"/>
    <w:rsid w:val="00194545"/>
    <w:rsid w:val="00194906"/>
    <w:rsid w:val="00194EFD"/>
    <w:rsid w:val="001950CF"/>
    <w:rsid w:val="00195151"/>
    <w:rsid w:val="00197331"/>
    <w:rsid w:val="001976D4"/>
    <w:rsid w:val="00197C48"/>
    <w:rsid w:val="001A0F42"/>
    <w:rsid w:val="001A12E6"/>
    <w:rsid w:val="001A1D88"/>
    <w:rsid w:val="001A1F5E"/>
    <w:rsid w:val="001A2F38"/>
    <w:rsid w:val="001A3427"/>
    <w:rsid w:val="001A35EC"/>
    <w:rsid w:val="001A3E32"/>
    <w:rsid w:val="001A40C1"/>
    <w:rsid w:val="001A4757"/>
    <w:rsid w:val="001A4A53"/>
    <w:rsid w:val="001A4E64"/>
    <w:rsid w:val="001A56DE"/>
    <w:rsid w:val="001A65B8"/>
    <w:rsid w:val="001A6AC4"/>
    <w:rsid w:val="001A713E"/>
    <w:rsid w:val="001B0454"/>
    <w:rsid w:val="001B0BD9"/>
    <w:rsid w:val="001B0D89"/>
    <w:rsid w:val="001B15F1"/>
    <w:rsid w:val="001B2EC1"/>
    <w:rsid w:val="001B5D4C"/>
    <w:rsid w:val="001B70E0"/>
    <w:rsid w:val="001B7E28"/>
    <w:rsid w:val="001C07EA"/>
    <w:rsid w:val="001C0E99"/>
    <w:rsid w:val="001C11E5"/>
    <w:rsid w:val="001C1FED"/>
    <w:rsid w:val="001C30B5"/>
    <w:rsid w:val="001C351C"/>
    <w:rsid w:val="001C450C"/>
    <w:rsid w:val="001C46C1"/>
    <w:rsid w:val="001C4A2C"/>
    <w:rsid w:val="001C5199"/>
    <w:rsid w:val="001C5AF2"/>
    <w:rsid w:val="001C5E31"/>
    <w:rsid w:val="001C60B2"/>
    <w:rsid w:val="001C6530"/>
    <w:rsid w:val="001C719B"/>
    <w:rsid w:val="001D05F5"/>
    <w:rsid w:val="001D0B8D"/>
    <w:rsid w:val="001D0E89"/>
    <w:rsid w:val="001D12AE"/>
    <w:rsid w:val="001D13C7"/>
    <w:rsid w:val="001D284A"/>
    <w:rsid w:val="001D2A7F"/>
    <w:rsid w:val="001D3BAF"/>
    <w:rsid w:val="001D42DA"/>
    <w:rsid w:val="001D42FE"/>
    <w:rsid w:val="001D4E26"/>
    <w:rsid w:val="001D5574"/>
    <w:rsid w:val="001D5885"/>
    <w:rsid w:val="001E0B91"/>
    <w:rsid w:val="001E1A4E"/>
    <w:rsid w:val="001E1E4D"/>
    <w:rsid w:val="001E2819"/>
    <w:rsid w:val="001E2B2B"/>
    <w:rsid w:val="001E2DE5"/>
    <w:rsid w:val="001E2FD7"/>
    <w:rsid w:val="001E37CB"/>
    <w:rsid w:val="001E3916"/>
    <w:rsid w:val="001E4107"/>
    <w:rsid w:val="001E44FC"/>
    <w:rsid w:val="001E51DB"/>
    <w:rsid w:val="001E551B"/>
    <w:rsid w:val="001E5D74"/>
    <w:rsid w:val="001E68E0"/>
    <w:rsid w:val="001E68FF"/>
    <w:rsid w:val="001E720F"/>
    <w:rsid w:val="001F019F"/>
    <w:rsid w:val="001F12C6"/>
    <w:rsid w:val="001F1AF2"/>
    <w:rsid w:val="001F2113"/>
    <w:rsid w:val="001F38B6"/>
    <w:rsid w:val="001F39DE"/>
    <w:rsid w:val="001F3DC9"/>
    <w:rsid w:val="001F6340"/>
    <w:rsid w:val="001F64EE"/>
    <w:rsid w:val="001F695A"/>
    <w:rsid w:val="001F771D"/>
    <w:rsid w:val="00200937"/>
    <w:rsid w:val="002018EB"/>
    <w:rsid w:val="00201959"/>
    <w:rsid w:val="0020384D"/>
    <w:rsid w:val="00203CE8"/>
    <w:rsid w:val="002059F1"/>
    <w:rsid w:val="00205A60"/>
    <w:rsid w:val="00205ABD"/>
    <w:rsid w:val="00205B51"/>
    <w:rsid w:val="00205D6D"/>
    <w:rsid w:val="00205E24"/>
    <w:rsid w:val="002063B0"/>
    <w:rsid w:val="0020722A"/>
    <w:rsid w:val="0020733A"/>
    <w:rsid w:val="00207EBC"/>
    <w:rsid w:val="002100BB"/>
    <w:rsid w:val="002102A9"/>
    <w:rsid w:val="00210427"/>
    <w:rsid w:val="00210670"/>
    <w:rsid w:val="002107F3"/>
    <w:rsid w:val="002108A2"/>
    <w:rsid w:val="00211744"/>
    <w:rsid w:val="00211D9A"/>
    <w:rsid w:val="00212118"/>
    <w:rsid w:val="00212333"/>
    <w:rsid w:val="00212779"/>
    <w:rsid w:val="002133A5"/>
    <w:rsid w:val="00213670"/>
    <w:rsid w:val="00213A17"/>
    <w:rsid w:val="00213A34"/>
    <w:rsid w:val="00213B4E"/>
    <w:rsid w:val="00214342"/>
    <w:rsid w:val="002146B8"/>
    <w:rsid w:val="00216195"/>
    <w:rsid w:val="002161F5"/>
    <w:rsid w:val="002163A9"/>
    <w:rsid w:val="0021702A"/>
    <w:rsid w:val="0022196E"/>
    <w:rsid w:val="00221974"/>
    <w:rsid w:val="00221CF0"/>
    <w:rsid w:val="002221BA"/>
    <w:rsid w:val="00222338"/>
    <w:rsid w:val="002228FC"/>
    <w:rsid w:val="00222B08"/>
    <w:rsid w:val="00222EA2"/>
    <w:rsid w:val="00223B89"/>
    <w:rsid w:val="002245C6"/>
    <w:rsid w:val="002250FE"/>
    <w:rsid w:val="002259FB"/>
    <w:rsid w:val="0022603B"/>
    <w:rsid w:val="002275A0"/>
    <w:rsid w:val="00230182"/>
    <w:rsid w:val="00230B9B"/>
    <w:rsid w:val="00230F7F"/>
    <w:rsid w:val="002315C8"/>
    <w:rsid w:val="0023188F"/>
    <w:rsid w:val="0023191B"/>
    <w:rsid w:val="00231928"/>
    <w:rsid w:val="00232ABC"/>
    <w:rsid w:val="00232E97"/>
    <w:rsid w:val="00233F7A"/>
    <w:rsid w:val="00235206"/>
    <w:rsid w:val="00235B1C"/>
    <w:rsid w:val="00236A2C"/>
    <w:rsid w:val="00236A6F"/>
    <w:rsid w:val="0023724E"/>
    <w:rsid w:val="00240C77"/>
    <w:rsid w:val="00240C87"/>
    <w:rsid w:val="00240CFF"/>
    <w:rsid w:val="00241CDD"/>
    <w:rsid w:val="00242328"/>
    <w:rsid w:val="00242B32"/>
    <w:rsid w:val="00242CCB"/>
    <w:rsid w:val="00242CEB"/>
    <w:rsid w:val="00242F99"/>
    <w:rsid w:val="00242FF0"/>
    <w:rsid w:val="00243861"/>
    <w:rsid w:val="00243C88"/>
    <w:rsid w:val="002449E3"/>
    <w:rsid w:val="0024553A"/>
    <w:rsid w:val="00245C62"/>
    <w:rsid w:val="00245C8B"/>
    <w:rsid w:val="00246406"/>
    <w:rsid w:val="002500F9"/>
    <w:rsid w:val="00250106"/>
    <w:rsid w:val="00251E2A"/>
    <w:rsid w:val="0025343C"/>
    <w:rsid w:val="00253E80"/>
    <w:rsid w:val="00254053"/>
    <w:rsid w:val="002544FF"/>
    <w:rsid w:val="002545E0"/>
    <w:rsid w:val="002547BB"/>
    <w:rsid w:val="00254DD5"/>
    <w:rsid w:val="002552BE"/>
    <w:rsid w:val="0025551A"/>
    <w:rsid w:val="002558C3"/>
    <w:rsid w:val="00255920"/>
    <w:rsid w:val="002559DB"/>
    <w:rsid w:val="00255B9C"/>
    <w:rsid w:val="00255D18"/>
    <w:rsid w:val="002561DF"/>
    <w:rsid w:val="002564CB"/>
    <w:rsid w:val="0026011F"/>
    <w:rsid w:val="002604C5"/>
    <w:rsid w:val="002607F8"/>
    <w:rsid w:val="00261663"/>
    <w:rsid w:val="00261A60"/>
    <w:rsid w:val="00261E78"/>
    <w:rsid w:val="00262AAC"/>
    <w:rsid w:val="00263A46"/>
    <w:rsid w:val="00264EE2"/>
    <w:rsid w:val="00265245"/>
    <w:rsid w:val="00265A1F"/>
    <w:rsid w:val="00265B36"/>
    <w:rsid w:val="00266A51"/>
    <w:rsid w:val="0026716A"/>
    <w:rsid w:val="0026755C"/>
    <w:rsid w:val="00270003"/>
    <w:rsid w:val="00270A86"/>
    <w:rsid w:val="00270C0D"/>
    <w:rsid w:val="00270DC7"/>
    <w:rsid w:val="00270E9A"/>
    <w:rsid w:val="00270F58"/>
    <w:rsid w:val="0027187F"/>
    <w:rsid w:val="002722CB"/>
    <w:rsid w:val="00272E6A"/>
    <w:rsid w:val="00273366"/>
    <w:rsid w:val="00273C69"/>
    <w:rsid w:val="0027458B"/>
    <w:rsid w:val="00274E77"/>
    <w:rsid w:val="00275127"/>
    <w:rsid w:val="00275160"/>
    <w:rsid w:val="00275168"/>
    <w:rsid w:val="00276138"/>
    <w:rsid w:val="002772D0"/>
    <w:rsid w:val="00277AC6"/>
    <w:rsid w:val="00277C7E"/>
    <w:rsid w:val="00280EDF"/>
    <w:rsid w:val="00280F67"/>
    <w:rsid w:val="002812DE"/>
    <w:rsid w:val="002825D6"/>
    <w:rsid w:val="00282F2F"/>
    <w:rsid w:val="0028344E"/>
    <w:rsid w:val="00284861"/>
    <w:rsid w:val="00284B83"/>
    <w:rsid w:val="002856BA"/>
    <w:rsid w:val="00285959"/>
    <w:rsid w:val="00285C96"/>
    <w:rsid w:val="0028657F"/>
    <w:rsid w:val="00286641"/>
    <w:rsid w:val="00286E3E"/>
    <w:rsid w:val="0029007A"/>
    <w:rsid w:val="002903C4"/>
    <w:rsid w:val="00290928"/>
    <w:rsid w:val="002911FA"/>
    <w:rsid w:val="00292328"/>
    <w:rsid w:val="00294885"/>
    <w:rsid w:val="00294A2C"/>
    <w:rsid w:val="00294AF7"/>
    <w:rsid w:val="00294DAD"/>
    <w:rsid w:val="00295CCF"/>
    <w:rsid w:val="0029676E"/>
    <w:rsid w:val="00296B57"/>
    <w:rsid w:val="00296BF9"/>
    <w:rsid w:val="00296D05"/>
    <w:rsid w:val="00297013"/>
    <w:rsid w:val="00297297"/>
    <w:rsid w:val="00297438"/>
    <w:rsid w:val="0029743C"/>
    <w:rsid w:val="002A1259"/>
    <w:rsid w:val="002A1FA9"/>
    <w:rsid w:val="002A27CB"/>
    <w:rsid w:val="002A2A71"/>
    <w:rsid w:val="002A2B16"/>
    <w:rsid w:val="002A4DB5"/>
    <w:rsid w:val="002A5F2F"/>
    <w:rsid w:val="002A616C"/>
    <w:rsid w:val="002A668D"/>
    <w:rsid w:val="002A6B95"/>
    <w:rsid w:val="002A6DF7"/>
    <w:rsid w:val="002A760A"/>
    <w:rsid w:val="002A7750"/>
    <w:rsid w:val="002A79B9"/>
    <w:rsid w:val="002B038D"/>
    <w:rsid w:val="002B0AB5"/>
    <w:rsid w:val="002B1A8C"/>
    <w:rsid w:val="002B1B8C"/>
    <w:rsid w:val="002B1BD8"/>
    <w:rsid w:val="002B24C3"/>
    <w:rsid w:val="002B2608"/>
    <w:rsid w:val="002B3875"/>
    <w:rsid w:val="002B3CF8"/>
    <w:rsid w:val="002B4171"/>
    <w:rsid w:val="002B4196"/>
    <w:rsid w:val="002B52F8"/>
    <w:rsid w:val="002B578A"/>
    <w:rsid w:val="002B63A2"/>
    <w:rsid w:val="002B63AB"/>
    <w:rsid w:val="002B6907"/>
    <w:rsid w:val="002B7BC2"/>
    <w:rsid w:val="002C1310"/>
    <w:rsid w:val="002C1B7A"/>
    <w:rsid w:val="002C333B"/>
    <w:rsid w:val="002C3A23"/>
    <w:rsid w:val="002C3CC2"/>
    <w:rsid w:val="002C45EC"/>
    <w:rsid w:val="002C51BB"/>
    <w:rsid w:val="002C630C"/>
    <w:rsid w:val="002C65BB"/>
    <w:rsid w:val="002C6601"/>
    <w:rsid w:val="002C6C5A"/>
    <w:rsid w:val="002C6E59"/>
    <w:rsid w:val="002C7577"/>
    <w:rsid w:val="002C7A7A"/>
    <w:rsid w:val="002C7EEE"/>
    <w:rsid w:val="002D097C"/>
    <w:rsid w:val="002D18BD"/>
    <w:rsid w:val="002D1A64"/>
    <w:rsid w:val="002D1AB1"/>
    <w:rsid w:val="002D1E90"/>
    <w:rsid w:val="002D22BF"/>
    <w:rsid w:val="002D2464"/>
    <w:rsid w:val="002D24E1"/>
    <w:rsid w:val="002D2EF4"/>
    <w:rsid w:val="002D4330"/>
    <w:rsid w:val="002D43BA"/>
    <w:rsid w:val="002D4607"/>
    <w:rsid w:val="002D5C29"/>
    <w:rsid w:val="002D62C0"/>
    <w:rsid w:val="002D646C"/>
    <w:rsid w:val="002D64F0"/>
    <w:rsid w:val="002D6642"/>
    <w:rsid w:val="002E0DB6"/>
    <w:rsid w:val="002E1272"/>
    <w:rsid w:val="002E12DC"/>
    <w:rsid w:val="002E192A"/>
    <w:rsid w:val="002E1C72"/>
    <w:rsid w:val="002E258B"/>
    <w:rsid w:val="002E2807"/>
    <w:rsid w:val="002E3C36"/>
    <w:rsid w:val="002E4248"/>
    <w:rsid w:val="002E537B"/>
    <w:rsid w:val="002E593D"/>
    <w:rsid w:val="002E6831"/>
    <w:rsid w:val="002E68B4"/>
    <w:rsid w:val="002E7867"/>
    <w:rsid w:val="002E7C3B"/>
    <w:rsid w:val="002F1A6A"/>
    <w:rsid w:val="002F28D1"/>
    <w:rsid w:val="002F2BFC"/>
    <w:rsid w:val="002F2DB6"/>
    <w:rsid w:val="002F34C2"/>
    <w:rsid w:val="002F551E"/>
    <w:rsid w:val="002F5A7B"/>
    <w:rsid w:val="002F5AA7"/>
    <w:rsid w:val="002F630E"/>
    <w:rsid w:val="002F643C"/>
    <w:rsid w:val="002F70A8"/>
    <w:rsid w:val="0030028A"/>
    <w:rsid w:val="00300B61"/>
    <w:rsid w:val="00300F48"/>
    <w:rsid w:val="00301660"/>
    <w:rsid w:val="0030166D"/>
    <w:rsid w:val="0030242A"/>
    <w:rsid w:val="00303641"/>
    <w:rsid w:val="00303D2C"/>
    <w:rsid w:val="0030510E"/>
    <w:rsid w:val="0030513C"/>
    <w:rsid w:val="003075E8"/>
    <w:rsid w:val="003101E3"/>
    <w:rsid w:val="003103FD"/>
    <w:rsid w:val="003110B4"/>
    <w:rsid w:val="00311588"/>
    <w:rsid w:val="00311793"/>
    <w:rsid w:val="00311863"/>
    <w:rsid w:val="00312D47"/>
    <w:rsid w:val="00312D50"/>
    <w:rsid w:val="00313022"/>
    <w:rsid w:val="0031324B"/>
    <w:rsid w:val="00313401"/>
    <w:rsid w:val="00314C4E"/>
    <w:rsid w:val="003169C2"/>
    <w:rsid w:val="00316C3B"/>
    <w:rsid w:val="00316E3F"/>
    <w:rsid w:val="003170B5"/>
    <w:rsid w:val="0031790F"/>
    <w:rsid w:val="00317FE2"/>
    <w:rsid w:val="00320488"/>
    <w:rsid w:val="00320FBB"/>
    <w:rsid w:val="003213F1"/>
    <w:rsid w:val="00321453"/>
    <w:rsid w:val="003215EF"/>
    <w:rsid w:val="00321945"/>
    <w:rsid w:val="003221EA"/>
    <w:rsid w:val="00322310"/>
    <w:rsid w:val="00322461"/>
    <w:rsid w:val="00322639"/>
    <w:rsid w:val="00322B1C"/>
    <w:rsid w:val="003231E7"/>
    <w:rsid w:val="00323457"/>
    <w:rsid w:val="00323B54"/>
    <w:rsid w:val="003252CE"/>
    <w:rsid w:val="00325B39"/>
    <w:rsid w:val="00325DB0"/>
    <w:rsid w:val="0032656C"/>
    <w:rsid w:val="00326BCC"/>
    <w:rsid w:val="00326EEF"/>
    <w:rsid w:val="003271C4"/>
    <w:rsid w:val="00330B8C"/>
    <w:rsid w:val="00332620"/>
    <w:rsid w:val="00332776"/>
    <w:rsid w:val="003329E4"/>
    <w:rsid w:val="00332A23"/>
    <w:rsid w:val="00333E41"/>
    <w:rsid w:val="00334199"/>
    <w:rsid w:val="003360AE"/>
    <w:rsid w:val="0033733C"/>
    <w:rsid w:val="00340599"/>
    <w:rsid w:val="00343D1F"/>
    <w:rsid w:val="00345968"/>
    <w:rsid w:val="00345C09"/>
    <w:rsid w:val="0034602C"/>
    <w:rsid w:val="0034640B"/>
    <w:rsid w:val="0034699A"/>
    <w:rsid w:val="003477EF"/>
    <w:rsid w:val="00347969"/>
    <w:rsid w:val="0034797B"/>
    <w:rsid w:val="00350735"/>
    <w:rsid w:val="0035174D"/>
    <w:rsid w:val="00351DA1"/>
    <w:rsid w:val="00351FD9"/>
    <w:rsid w:val="003528FD"/>
    <w:rsid w:val="00353AF8"/>
    <w:rsid w:val="00353C02"/>
    <w:rsid w:val="00353EA7"/>
    <w:rsid w:val="00353F76"/>
    <w:rsid w:val="003558C9"/>
    <w:rsid w:val="00356036"/>
    <w:rsid w:val="003570DD"/>
    <w:rsid w:val="00357292"/>
    <w:rsid w:val="00357459"/>
    <w:rsid w:val="00361632"/>
    <w:rsid w:val="003619B7"/>
    <w:rsid w:val="0036321D"/>
    <w:rsid w:val="00363F80"/>
    <w:rsid w:val="00364937"/>
    <w:rsid w:val="00364BC8"/>
    <w:rsid w:val="00365956"/>
    <w:rsid w:val="00367205"/>
    <w:rsid w:val="00367406"/>
    <w:rsid w:val="003674A4"/>
    <w:rsid w:val="00367A8F"/>
    <w:rsid w:val="00367B18"/>
    <w:rsid w:val="0037179D"/>
    <w:rsid w:val="003727E0"/>
    <w:rsid w:val="0037308A"/>
    <w:rsid w:val="00373409"/>
    <w:rsid w:val="00373839"/>
    <w:rsid w:val="00373B5A"/>
    <w:rsid w:val="0037418D"/>
    <w:rsid w:val="00374ABE"/>
    <w:rsid w:val="00374E03"/>
    <w:rsid w:val="0037538D"/>
    <w:rsid w:val="003757EC"/>
    <w:rsid w:val="003767BD"/>
    <w:rsid w:val="003774DD"/>
    <w:rsid w:val="00377829"/>
    <w:rsid w:val="0037793E"/>
    <w:rsid w:val="00380A3B"/>
    <w:rsid w:val="003811D3"/>
    <w:rsid w:val="003827ED"/>
    <w:rsid w:val="003833A9"/>
    <w:rsid w:val="003838F6"/>
    <w:rsid w:val="00384532"/>
    <w:rsid w:val="00384BE3"/>
    <w:rsid w:val="00384E1F"/>
    <w:rsid w:val="0038524E"/>
    <w:rsid w:val="00385594"/>
    <w:rsid w:val="00385CA1"/>
    <w:rsid w:val="00385ED5"/>
    <w:rsid w:val="00385ED9"/>
    <w:rsid w:val="00392853"/>
    <w:rsid w:val="00392A38"/>
    <w:rsid w:val="0039368A"/>
    <w:rsid w:val="00393AE2"/>
    <w:rsid w:val="00394CD6"/>
    <w:rsid w:val="00394EEE"/>
    <w:rsid w:val="003956B8"/>
    <w:rsid w:val="00395718"/>
    <w:rsid w:val="00396B06"/>
    <w:rsid w:val="003975A9"/>
    <w:rsid w:val="00397B41"/>
    <w:rsid w:val="003A0A57"/>
    <w:rsid w:val="003A1A9B"/>
    <w:rsid w:val="003A1B9A"/>
    <w:rsid w:val="003A2305"/>
    <w:rsid w:val="003A244D"/>
    <w:rsid w:val="003A2CD3"/>
    <w:rsid w:val="003A303A"/>
    <w:rsid w:val="003A35F6"/>
    <w:rsid w:val="003A4187"/>
    <w:rsid w:val="003A4676"/>
    <w:rsid w:val="003A4A17"/>
    <w:rsid w:val="003A4E43"/>
    <w:rsid w:val="003A5B93"/>
    <w:rsid w:val="003A61E7"/>
    <w:rsid w:val="003A6C25"/>
    <w:rsid w:val="003A6D46"/>
    <w:rsid w:val="003B000D"/>
    <w:rsid w:val="003B0419"/>
    <w:rsid w:val="003B06C0"/>
    <w:rsid w:val="003B1900"/>
    <w:rsid w:val="003B2124"/>
    <w:rsid w:val="003B27AF"/>
    <w:rsid w:val="003B2D17"/>
    <w:rsid w:val="003B3265"/>
    <w:rsid w:val="003B4CCF"/>
    <w:rsid w:val="003B4DC1"/>
    <w:rsid w:val="003B6A95"/>
    <w:rsid w:val="003B6B8C"/>
    <w:rsid w:val="003B7C59"/>
    <w:rsid w:val="003B7DD5"/>
    <w:rsid w:val="003C0668"/>
    <w:rsid w:val="003C0F4D"/>
    <w:rsid w:val="003C12CF"/>
    <w:rsid w:val="003C2BC1"/>
    <w:rsid w:val="003C416B"/>
    <w:rsid w:val="003C482C"/>
    <w:rsid w:val="003C5A98"/>
    <w:rsid w:val="003C702A"/>
    <w:rsid w:val="003C719D"/>
    <w:rsid w:val="003C72C5"/>
    <w:rsid w:val="003C736C"/>
    <w:rsid w:val="003D03A5"/>
    <w:rsid w:val="003D0F8F"/>
    <w:rsid w:val="003D1396"/>
    <w:rsid w:val="003D1EAD"/>
    <w:rsid w:val="003D2023"/>
    <w:rsid w:val="003D2A66"/>
    <w:rsid w:val="003D2F0B"/>
    <w:rsid w:val="003D306F"/>
    <w:rsid w:val="003D3451"/>
    <w:rsid w:val="003D38A7"/>
    <w:rsid w:val="003D3DCF"/>
    <w:rsid w:val="003D427C"/>
    <w:rsid w:val="003D4731"/>
    <w:rsid w:val="003D4F5E"/>
    <w:rsid w:val="003D5098"/>
    <w:rsid w:val="003D5269"/>
    <w:rsid w:val="003D5547"/>
    <w:rsid w:val="003D5853"/>
    <w:rsid w:val="003D6582"/>
    <w:rsid w:val="003D711C"/>
    <w:rsid w:val="003D7AC0"/>
    <w:rsid w:val="003E0050"/>
    <w:rsid w:val="003E02C8"/>
    <w:rsid w:val="003E125C"/>
    <w:rsid w:val="003E2891"/>
    <w:rsid w:val="003E2911"/>
    <w:rsid w:val="003E4259"/>
    <w:rsid w:val="003E451D"/>
    <w:rsid w:val="003E4704"/>
    <w:rsid w:val="003E4756"/>
    <w:rsid w:val="003E485F"/>
    <w:rsid w:val="003E53D6"/>
    <w:rsid w:val="003E6C40"/>
    <w:rsid w:val="003E7315"/>
    <w:rsid w:val="003F034F"/>
    <w:rsid w:val="003F0D16"/>
    <w:rsid w:val="003F0E66"/>
    <w:rsid w:val="003F12E0"/>
    <w:rsid w:val="003F1E33"/>
    <w:rsid w:val="003F1FC0"/>
    <w:rsid w:val="003F2556"/>
    <w:rsid w:val="003F2DA1"/>
    <w:rsid w:val="003F2FBE"/>
    <w:rsid w:val="003F3448"/>
    <w:rsid w:val="003F3F87"/>
    <w:rsid w:val="003F4060"/>
    <w:rsid w:val="003F4FBF"/>
    <w:rsid w:val="003F52B6"/>
    <w:rsid w:val="003F557E"/>
    <w:rsid w:val="003F5B22"/>
    <w:rsid w:val="003F5B35"/>
    <w:rsid w:val="003F66E7"/>
    <w:rsid w:val="003F71DA"/>
    <w:rsid w:val="004026BB"/>
    <w:rsid w:val="0040278B"/>
    <w:rsid w:val="00402B3B"/>
    <w:rsid w:val="00402FC2"/>
    <w:rsid w:val="00403421"/>
    <w:rsid w:val="00405292"/>
    <w:rsid w:val="004065CB"/>
    <w:rsid w:val="004068BF"/>
    <w:rsid w:val="00406E72"/>
    <w:rsid w:val="00407217"/>
    <w:rsid w:val="00407594"/>
    <w:rsid w:val="00407599"/>
    <w:rsid w:val="0041079E"/>
    <w:rsid w:val="00410F65"/>
    <w:rsid w:val="0041117B"/>
    <w:rsid w:val="00411EBD"/>
    <w:rsid w:val="00412964"/>
    <w:rsid w:val="00413091"/>
    <w:rsid w:val="0041466D"/>
    <w:rsid w:val="00414697"/>
    <w:rsid w:val="0041575F"/>
    <w:rsid w:val="0041637E"/>
    <w:rsid w:val="004165E6"/>
    <w:rsid w:val="00416B25"/>
    <w:rsid w:val="004170E1"/>
    <w:rsid w:val="004173A2"/>
    <w:rsid w:val="00417EEA"/>
    <w:rsid w:val="004201E4"/>
    <w:rsid w:val="00420323"/>
    <w:rsid w:val="00420971"/>
    <w:rsid w:val="0042100C"/>
    <w:rsid w:val="0042238B"/>
    <w:rsid w:val="00422952"/>
    <w:rsid w:val="00422ACA"/>
    <w:rsid w:val="00422B59"/>
    <w:rsid w:val="0042416C"/>
    <w:rsid w:val="004243A7"/>
    <w:rsid w:val="004249E3"/>
    <w:rsid w:val="00425CED"/>
    <w:rsid w:val="004260F6"/>
    <w:rsid w:val="00426147"/>
    <w:rsid w:val="004307EB"/>
    <w:rsid w:val="004311A1"/>
    <w:rsid w:val="0043232C"/>
    <w:rsid w:val="0043244E"/>
    <w:rsid w:val="00433A97"/>
    <w:rsid w:val="00433CE2"/>
    <w:rsid w:val="0043416C"/>
    <w:rsid w:val="00434406"/>
    <w:rsid w:val="00435093"/>
    <w:rsid w:val="004357E2"/>
    <w:rsid w:val="00436972"/>
    <w:rsid w:val="00436A70"/>
    <w:rsid w:val="00437319"/>
    <w:rsid w:val="00440E97"/>
    <w:rsid w:val="004413F7"/>
    <w:rsid w:val="00442327"/>
    <w:rsid w:val="00442A81"/>
    <w:rsid w:val="00442DB8"/>
    <w:rsid w:val="00443690"/>
    <w:rsid w:val="00443D26"/>
    <w:rsid w:val="00444646"/>
    <w:rsid w:val="00444958"/>
    <w:rsid w:val="00445397"/>
    <w:rsid w:val="004457EB"/>
    <w:rsid w:val="00445B42"/>
    <w:rsid w:val="00445CB8"/>
    <w:rsid w:val="0044619F"/>
    <w:rsid w:val="004466F6"/>
    <w:rsid w:val="00446EAD"/>
    <w:rsid w:val="00447029"/>
    <w:rsid w:val="00450712"/>
    <w:rsid w:val="00450A68"/>
    <w:rsid w:val="00450F69"/>
    <w:rsid w:val="0045109D"/>
    <w:rsid w:val="00451525"/>
    <w:rsid w:val="004527E0"/>
    <w:rsid w:val="00452956"/>
    <w:rsid w:val="00452DE3"/>
    <w:rsid w:val="00452F0F"/>
    <w:rsid w:val="004530C4"/>
    <w:rsid w:val="0045314E"/>
    <w:rsid w:val="004531AC"/>
    <w:rsid w:val="00453765"/>
    <w:rsid w:val="00453B98"/>
    <w:rsid w:val="0045445B"/>
    <w:rsid w:val="0045573C"/>
    <w:rsid w:val="00455FAE"/>
    <w:rsid w:val="00455FB6"/>
    <w:rsid w:val="00456355"/>
    <w:rsid w:val="004572C4"/>
    <w:rsid w:val="0045737D"/>
    <w:rsid w:val="004575A1"/>
    <w:rsid w:val="004575DE"/>
    <w:rsid w:val="004577A9"/>
    <w:rsid w:val="004600E8"/>
    <w:rsid w:val="004608DC"/>
    <w:rsid w:val="00460FD3"/>
    <w:rsid w:val="004634EE"/>
    <w:rsid w:val="00463F74"/>
    <w:rsid w:val="00464401"/>
    <w:rsid w:val="0046458F"/>
    <w:rsid w:val="0046566D"/>
    <w:rsid w:val="00465A27"/>
    <w:rsid w:val="00465D47"/>
    <w:rsid w:val="004672B5"/>
    <w:rsid w:val="004674C4"/>
    <w:rsid w:val="0046781D"/>
    <w:rsid w:val="00467D55"/>
    <w:rsid w:val="00467E29"/>
    <w:rsid w:val="00471252"/>
    <w:rsid w:val="004712BF"/>
    <w:rsid w:val="00471398"/>
    <w:rsid w:val="004715DE"/>
    <w:rsid w:val="00471736"/>
    <w:rsid w:val="004719EE"/>
    <w:rsid w:val="00472082"/>
    <w:rsid w:val="004729F5"/>
    <w:rsid w:val="00472A45"/>
    <w:rsid w:val="00472AE3"/>
    <w:rsid w:val="00472D4F"/>
    <w:rsid w:val="0047321F"/>
    <w:rsid w:val="004736A3"/>
    <w:rsid w:val="00473831"/>
    <w:rsid w:val="00473E6D"/>
    <w:rsid w:val="004745C7"/>
    <w:rsid w:val="00474A16"/>
    <w:rsid w:val="00474C04"/>
    <w:rsid w:val="00474FE4"/>
    <w:rsid w:val="00475979"/>
    <w:rsid w:val="004763F9"/>
    <w:rsid w:val="0047665C"/>
    <w:rsid w:val="004769F7"/>
    <w:rsid w:val="00476A74"/>
    <w:rsid w:val="00476AD7"/>
    <w:rsid w:val="00476E42"/>
    <w:rsid w:val="00476EA1"/>
    <w:rsid w:val="00477623"/>
    <w:rsid w:val="00477864"/>
    <w:rsid w:val="00477958"/>
    <w:rsid w:val="00477FC7"/>
    <w:rsid w:val="00480AB3"/>
    <w:rsid w:val="00481270"/>
    <w:rsid w:val="004816EA"/>
    <w:rsid w:val="004817E9"/>
    <w:rsid w:val="00481DDD"/>
    <w:rsid w:val="0048211F"/>
    <w:rsid w:val="00482B5A"/>
    <w:rsid w:val="00482B82"/>
    <w:rsid w:val="00482BEE"/>
    <w:rsid w:val="004845E0"/>
    <w:rsid w:val="004855C7"/>
    <w:rsid w:val="00486154"/>
    <w:rsid w:val="00486259"/>
    <w:rsid w:val="00486575"/>
    <w:rsid w:val="0048749A"/>
    <w:rsid w:val="004924C0"/>
    <w:rsid w:val="00492ED9"/>
    <w:rsid w:val="0049300D"/>
    <w:rsid w:val="0049307F"/>
    <w:rsid w:val="00493D12"/>
    <w:rsid w:val="00493D45"/>
    <w:rsid w:val="0049426D"/>
    <w:rsid w:val="00494385"/>
    <w:rsid w:val="00494AF5"/>
    <w:rsid w:val="004958E4"/>
    <w:rsid w:val="0049626A"/>
    <w:rsid w:val="004972D2"/>
    <w:rsid w:val="00497956"/>
    <w:rsid w:val="004A02D9"/>
    <w:rsid w:val="004A1912"/>
    <w:rsid w:val="004A247D"/>
    <w:rsid w:val="004A24C3"/>
    <w:rsid w:val="004A30B3"/>
    <w:rsid w:val="004A3836"/>
    <w:rsid w:val="004A39CC"/>
    <w:rsid w:val="004A4B90"/>
    <w:rsid w:val="004A5403"/>
    <w:rsid w:val="004A5511"/>
    <w:rsid w:val="004A7497"/>
    <w:rsid w:val="004B0721"/>
    <w:rsid w:val="004B0C7E"/>
    <w:rsid w:val="004B1A3A"/>
    <w:rsid w:val="004B20A4"/>
    <w:rsid w:val="004B2240"/>
    <w:rsid w:val="004B2742"/>
    <w:rsid w:val="004B2C70"/>
    <w:rsid w:val="004B3BA5"/>
    <w:rsid w:val="004B453F"/>
    <w:rsid w:val="004B5961"/>
    <w:rsid w:val="004B6C73"/>
    <w:rsid w:val="004B7042"/>
    <w:rsid w:val="004B7818"/>
    <w:rsid w:val="004B7C08"/>
    <w:rsid w:val="004C0475"/>
    <w:rsid w:val="004C1AD2"/>
    <w:rsid w:val="004C2A1F"/>
    <w:rsid w:val="004C33D1"/>
    <w:rsid w:val="004C43AC"/>
    <w:rsid w:val="004C45FE"/>
    <w:rsid w:val="004C4F2B"/>
    <w:rsid w:val="004C5052"/>
    <w:rsid w:val="004C63EE"/>
    <w:rsid w:val="004C679F"/>
    <w:rsid w:val="004C6F9A"/>
    <w:rsid w:val="004C70B6"/>
    <w:rsid w:val="004C7905"/>
    <w:rsid w:val="004D00E6"/>
    <w:rsid w:val="004D149C"/>
    <w:rsid w:val="004D1CBC"/>
    <w:rsid w:val="004D1DC3"/>
    <w:rsid w:val="004D2144"/>
    <w:rsid w:val="004D3325"/>
    <w:rsid w:val="004D3DBA"/>
    <w:rsid w:val="004D3EC7"/>
    <w:rsid w:val="004D50B2"/>
    <w:rsid w:val="004D56BF"/>
    <w:rsid w:val="004D5C41"/>
    <w:rsid w:val="004D6A28"/>
    <w:rsid w:val="004D6C1A"/>
    <w:rsid w:val="004E0089"/>
    <w:rsid w:val="004E139D"/>
    <w:rsid w:val="004E30B2"/>
    <w:rsid w:val="004E382E"/>
    <w:rsid w:val="004E6090"/>
    <w:rsid w:val="004E6639"/>
    <w:rsid w:val="004E6B71"/>
    <w:rsid w:val="004E6B73"/>
    <w:rsid w:val="004E6B7F"/>
    <w:rsid w:val="004E7853"/>
    <w:rsid w:val="004E7FBA"/>
    <w:rsid w:val="004F042C"/>
    <w:rsid w:val="004F05B9"/>
    <w:rsid w:val="004F06C9"/>
    <w:rsid w:val="004F0768"/>
    <w:rsid w:val="004F0FD4"/>
    <w:rsid w:val="004F1F02"/>
    <w:rsid w:val="004F333A"/>
    <w:rsid w:val="004F341E"/>
    <w:rsid w:val="004F34FE"/>
    <w:rsid w:val="004F4B31"/>
    <w:rsid w:val="004F50C5"/>
    <w:rsid w:val="004F569E"/>
    <w:rsid w:val="004F6570"/>
    <w:rsid w:val="004F6DF2"/>
    <w:rsid w:val="005006D6"/>
    <w:rsid w:val="0050073C"/>
    <w:rsid w:val="00500A97"/>
    <w:rsid w:val="005022E5"/>
    <w:rsid w:val="005026AF"/>
    <w:rsid w:val="00503408"/>
    <w:rsid w:val="00503C71"/>
    <w:rsid w:val="00504C7B"/>
    <w:rsid w:val="00504C9F"/>
    <w:rsid w:val="005053DE"/>
    <w:rsid w:val="00505441"/>
    <w:rsid w:val="00505968"/>
    <w:rsid w:val="0050610E"/>
    <w:rsid w:val="00507597"/>
    <w:rsid w:val="00512CD5"/>
    <w:rsid w:val="00514131"/>
    <w:rsid w:val="00514220"/>
    <w:rsid w:val="00514720"/>
    <w:rsid w:val="00514EF3"/>
    <w:rsid w:val="005168E7"/>
    <w:rsid w:val="005171C3"/>
    <w:rsid w:val="00517669"/>
    <w:rsid w:val="00517A87"/>
    <w:rsid w:val="005209FD"/>
    <w:rsid w:val="00520C13"/>
    <w:rsid w:val="00521EC3"/>
    <w:rsid w:val="0052229F"/>
    <w:rsid w:val="005222DF"/>
    <w:rsid w:val="00522B25"/>
    <w:rsid w:val="00522D6C"/>
    <w:rsid w:val="00522EC1"/>
    <w:rsid w:val="00523950"/>
    <w:rsid w:val="00523E6C"/>
    <w:rsid w:val="005246FA"/>
    <w:rsid w:val="00525BC7"/>
    <w:rsid w:val="00525D99"/>
    <w:rsid w:val="00526A21"/>
    <w:rsid w:val="00526BD1"/>
    <w:rsid w:val="00527BB4"/>
    <w:rsid w:val="00530359"/>
    <w:rsid w:val="005307E7"/>
    <w:rsid w:val="00530A4D"/>
    <w:rsid w:val="0053118F"/>
    <w:rsid w:val="00531C84"/>
    <w:rsid w:val="00532600"/>
    <w:rsid w:val="0053268F"/>
    <w:rsid w:val="00532954"/>
    <w:rsid w:val="00532A60"/>
    <w:rsid w:val="00532EE4"/>
    <w:rsid w:val="005332EC"/>
    <w:rsid w:val="005338A7"/>
    <w:rsid w:val="00535212"/>
    <w:rsid w:val="00535502"/>
    <w:rsid w:val="00535B27"/>
    <w:rsid w:val="00535CB2"/>
    <w:rsid w:val="00536A59"/>
    <w:rsid w:val="005416E9"/>
    <w:rsid w:val="0054190C"/>
    <w:rsid w:val="005422AA"/>
    <w:rsid w:val="00542F1A"/>
    <w:rsid w:val="005435B5"/>
    <w:rsid w:val="00544768"/>
    <w:rsid w:val="00544849"/>
    <w:rsid w:val="00544B3E"/>
    <w:rsid w:val="00545436"/>
    <w:rsid w:val="00545EE1"/>
    <w:rsid w:val="00546190"/>
    <w:rsid w:val="005463A6"/>
    <w:rsid w:val="005465A1"/>
    <w:rsid w:val="00546755"/>
    <w:rsid w:val="00546A2F"/>
    <w:rsid w:val="00546B33"/>
    <w:rsid w:val="005475C7"/>
    <w:rsid w:val="0054795B"/>
    <w:rsid w:val="00550102"/>
    <w:rsid w:val="00550CD7"/>
    <w:rsid w:val="0055197B"/>
    <w:rsid w:val="00553168"/>
    <w:rsid w:val="00553956"/>
    <w:rsid w:val="0055423D"/>
    <w:rsid w:val="0055459B"/>
    <w:rsid w:val="0055474D"/>
    <w:rsid w:val="00554D83"/>
    <w:rsid w:val="00554F78"/>
    <w:rsid w:val="00555226"/>
    <w:rsid w:val="005553D4"/>
    <w:rsid w:val="00555C78"/>
    <w:rsid w:val="00555FA5"/>
    <w:rsid w:val="00556452"/>
    <w:rsid w:val="00556AB9"/>
    <w:rsid w:val="00557172"/>
    <w:rsid w:val="00557378"/>
    <w:rsid w:val="00557F6D"/>
    <w:rsid w:val="00560046"/>
    <w:rsid w:val="00560A0C"/>
    <w:rsid w:val="005611C6"/>
    <w:rsid w:val="00561976"/>
    <w:rsid w:val="0056259D"/>
    <w:rsid w:val="00564FDC"/>
    <w:rsid w:val="00565864"/>
    <w:rsid w:val="00566AE7"/>
    <w:rsid w:val="00566B16"/>
    <w:rsid w:val="0056774F"/>
    <w:rsid w:val="00567CB4"/>
    <w:rsid w:val="005700B8"/>
    <w:rsid w:val="00570726"/>
    <w:rsid w:val="00570E57"/>
    <w:rsid w:val="00571013"/>
    <w:rsid w:val="005717EC"/>
    <w:rsid w:val="00571C4D"/>
    <w:rsid w:val="00571C51"/>
    <w:rsid w:val="005732C4"/>
    <w:rsid w:val="00573370"/>
    <w:rsid w:val="00573B05"/>
    <w:rsid w:val="00573B0E"/>
    <w:rsid w:val="005743CA"/>
    <w:rsid w:val="005745D1"/>
    <w:rsid w:val="00574672"/>
    <w:rsid w:val="005755C5"/>
    <w:rsid w:val="00575CAB"/>
    <w:rsid w:val="00576850"/>
    <w:rsid w:val="005775FC"/>
    <w:rsid w:val="005778D7"/>
    <w:rsid w:val="00577E45"/>
    <w:rsid w:val="00580854"/>
    <w:rsid w:val="00583D0F"/>
    <w:rsid w:val="0058475D"/>
    <w:rsid w:val="00584E48"/>
    <w:rsid w:val="00586817"/>
    <w:rsid w:val="00587476"/>
    <w:rsid w:val="00587C50"/>
    <w:rsid w:val="00590A8E"/>
    <w:rsid w:val="00591299"/>
    <w:rsid w:val="00591616"/>
    <w:rsid w:val="00591654"/>
    <w:rsid w:val="00591F3E"/>
    <w:rsid w:val="00592071"/>
    <w:rsid w:val="00592985"/>
    <w:rsid w:val="00593BAA"/>
    <w:rsid w:val="00595B1E"/>
    <w:rsid w:val="00596DC8"/>
    <w:rsid w:val="00597749"/>
    <w:rsid w:val="00597BF2"/>
    <w:rsid w:val="00597C6C"/>
    <w:rsid w:val="00597F38"/>
    <w:rsid w:val="005A07CE"/>
    <w:rsid w:val="005A19FE"/>
    <w:rsid w:val="005A1DF8"/>
    <w:rsid w:val="005A2C55"/>
    <w:rsid w:val="005A2F09"/>
    <w:rsid w:val="005A336F"/>
    <w:rsid w:val="005A33B6"/>
    <w:rsid w:val="005A3581"/>
    <w:rsid w:val="005A3ADA"/>
    <w:rsid w:val="005A3FF7"/>
    <w:rsid w:val="005A4B16"/>
    <w:rsid w:val="005A4D74"/>
    <w:rsid w:val="005A6350"/>
    <w:rsid w:val="005A6BE0"/>
    <w:rsid w:val="005B0878"/>
    <w:rsid w:val="005B091F"/>
    <w:rsid w:val="005B0D4C"/>
    <w:rsid w:val="005B1236"/>
    <w:rsid w:val="005B16F5"/>
    <w:rsid w:val="005B2425"/>
    <w:rsid w:val="005B2D2C"/>
    <w:rsid w:val="005B2FD5"/>
    <w:rsid w:val="005B41C4"/>
    <w:rsid w:val="005B49C6"/>
    <w:rsid w:val="005B5659"/>
    <w:rsid w:val="005B6F09"/>
    <w:rsid w:val="005C0BDB"/>
    <w:rsid w:val="005C0D4D"/>
    <w:rsid w:val="005C1473"/>
    <w:rsid w:val="005C1B99"/>
    <w:rsid w:val="005C1DB5"/>
    <w:rsid w:val="005C2EE5"/>
    <w:rsid w:val="005C32DD"/>
    <w:rsid w:val="005C3CBA"/>
    <w:rsid w:val="005C44A3"/>
    <w:rsid w:val="005C4C93"/>
    <w:rsid w:val="005C4F7E"/>
    <w:rsid w:val="005C51FD"/>
    <w:rsid w:val="005C52AA"/>
    <w:rsid w:val="005C543E"/>
    <w:rsid w:val="005C6249"/>
    <w:rsid w:val="005C7C13"/>
    <w:rsid w:val="005C7F99"/>
    <w:rsid w:val="005D054D"/>
    <w:rsid w:val="005D198A"/>
    <w:rsid w:val="005D1DDF"/>
    <w:rsid w:val="005D2A4A"/>
    <w:rsid w:val="005D38EE"/>
    <w:rsid w:val="005D46B1"/>
    <w:rsid w:val="005D48D0"/>
    <w:rsid w:val="005D4AD8"/>
    <w:rsid w:val="005D4C76"/>
    <w:rsid w:val="005D57CC"/>
    <w:rsid w:val="005D58B9"/>
    <w:rsid w:val="005D58D7"/>
    <w:rsid w:val="005D5B2C"/>
    <w:rsid w:val="005D5CAA"/>
    <w:rsid w:val="005D6956"/>
    <w:rsid w:val="005E1CF8"/>
    <w:rsid w:val="005E254B"/>
    <w:rsid w:val="005E2659"/>
    <w:rsid w:val="005E2722"/>
    <w:rsid w:val="005E38D8"/>
    <w:rsid w:val="005E410F"/>
    <w:rsid w:val="005E41EF"/>
    <w:rsid w:val="005E5CFD"/>
    <w:rsid w:val="005E6512"/>
    <w:rsid w:val="005E75BE"/>
    <w:rsid w:val="005E7D4E"/>
    <w:rsid w:val="005F085D"/>
    <w:rsid w:val="005F1CD0"/>
    <w:rsid w:val="005F2FE7"/>
    <w:rsid w:val="005F39D5"/>
    <w:rsid w:val="005F3AF5"/>
    <w:rsid w:val="005F4D9E"/>
    <w:rsid w:val="005F52A6"/>
    <w:rsid w:val="005F5B52"/>
    <w:rsid w:val="005F5CFA"/>
    <w:rsid w:val="005F6242"/>
    <w:rsid w:val="005F7AF6"/>
    <w:rsid w:val="005F7C35"/>
    <w:rsid w:val="005F7F69"/>
    <w:rsid w:val="00600589"/>
    <w:rsid w:val="00600BC7"/>
    <w:rsid w:val="00601705"/>
    <w:rsid w:val="0060330C"/>
    <w:rsid w:val="006040BF"/>
    <w:rsid w:val="0060507A"/>
    <w:rsid w:val="00605BBC"/>
    <w:rsid w:val="00606E6F"/>
    <w:rsid w:val="00607373"/>
    <w:rsid w:val="0060760F"/>
    <w:rsid w:val="00611576"/>
    <w:rsid w:val="00611FD9"/>
    <w:rsid w:val="00614D31"/>
    <w:rsid w:val="00616F83"/>
    <w:rsid w:val="00620216"/>
    <w:rsid w:val="00620C54"/>
    <w:rsid w:val="00621317"/>
    <w:rsid w:val="0062165B"/>
    <w:rsid w:val="0062221F"/>
    <w:rsid w:val="00622523"/>
    <w:rsid w:val="00623A65"/>
    <w:rsid w:val="00624264"/>
    <w:rsid w:val="0062467E"/>
    <w:rsid w:val="00625A4F"/>
    <w:rsid w:val="0062683B"/>
    <w:rsid w:val="00626E7A"/>
    <w:rsid w:val="0063022D"/>
    <w:rsid w:val="00630915"/>
    <w:rsid w:val="00631045"/>
    <w:rsid w:val="00631657"/>
    <w:rsid w:val="006328D4"/>
    <w:rsid w:val="00632D26"/>
    <w:rsid w:val="0063313F"/>
    <w:rsid w:val="00633399"/>
    <w:rsid w:val="006338BC"/>
    <w:rsid w:val="0063467E"/>
    <w:rsid w:val="00634CEF"/>
    <w:rsid w:val="00634F7A"/>
    <w:rsid w:val="00634FDF"/>
    <w:rsid w:val="00636529"/>
    <w:rsid w:val="00636CAB"/>
    <w:rsid w:val="00637A57"/>
    <w:rsid w:val="006408A8"/>
    <w:rsid w:val="00640F37"/>
    <w:rsid w:val="00641567"/>
    <w:rsid w:val="0064195D"/>
    <w:rsid w:val="00643E7A"/>
    <w:rsid w:val="006448AF"/>
    <w:rsid w:val="006449F8"/>
    <w:rsid w:val="0064666E"/>
    <w:rsid w:val="006473AF"/>
    <w:rsid w:val="00647403"/>
    <w:rsid w:val="00647426"/>
    <w:rsid w:val="006474CE"/>
    <w:rsid w:val="00647666"/>
    <w:rsid w:val="006504D2"/>
    <w:rsid w:val="00650B73"/>
    <w:rsid w:val="00650E81"/>
    <w:rsid w:val="006510B4"/>
    <w:rsid w:val="006530E8"/>
    <w:rsid w:val="006547D8"/>
    <w:rsid w:val="00654E65"/>
    <w:rsid w:val="006555A0"/>
    <w:rsid w:val="0065562C"/>
    <w:rsid w:val="0065572C"/>
    <w:rsid w:val="00655B16"/>
    <w:rsid w:val="00656869"/>
    <w:rsid w:val="00656F58"/>
    <w:rsid w:val="006572CF"/>
    <w:rsid w:val="0065768C"/>
    <w:rsid w:val="006579D3"/>
    <w:rsid w:val="00657DA1"/>
    <w:rsid w:val="00660187"/>
    <w:rsid w:val="00660282"/>
    <w:rsid w:val="006613FA"/>
    <w:rsid w:val="0066179A"/>
    <w:rsid w:val="00661C69"/>
    <w:rsid w:val="00661DAD"/>
    <w:rsid w:val="006622E3"/>
    <w:rsid w:val="00662334"/>
    <w:rsid w:val="00662CB1"/>
    <w:rsid w:val="0066379D"/>
    <w:rsid w:val="00663C82"/>
    <w:rsid w:val="0066555D"/>
    <w:rsid w:val="006665A4"/>
    <w:rsid w:val="00667723"/>
    <w:rsid w:val="006711C3"/>
    <w:rsid w:val="0067134B"/>
    <w:rsid w:val="00671D7B"/>
    <w:rsid w:val="006730C0"/>
    <w:rsid w:val="00673C17"/>
    <w:rsid w:val="00673F6F"/>
    <w:rsid w:val="00673F76"/>
    <w:rsid w:val="0067451E"/>
    <w:rsid w:val="00674882"/>
    <w:rsid w:val="00674BBD"/>
    <w:rsid w:val="00675075"/>
    <w:rsid w:val="00675E85"/>
    <w:rsid w:val="0067639C"/>
    <w:rsid w:val="00676528"/>
    <w:rsid w:val="00676E95"/>
    <w:rsid w:val="006804E0"/>
    <w:rsid w:val="00680A94"/>
    <w:rsid w:val="00680C5C"/>
    <w:rsid w:val="00680E82"/>
    <w:rsid w:val="00682427"/>
    <w:rsid w:val="00682480"/>
    <w:rsid w:val="0068294D"/>
    <w:rsid w:val="00683E77"/>
    <w:rsid w:val="006863A6"/>
    <w:rsid w:val="006866E9"/>
    <w:rsid w:val="00686ED5"/>
    <w:rsid w:val="00687FB4"/>
    <w:rsid w:val="006901D3"/>
    <w:rsid w:val="00690433"/>
    <w:rsid w:val="00690DF5"/>
    <w:rsid w:val="006911AD"/>
    <w:rsid w:val="006911EC"/>
    <w:rsid w:val="00693C14"/>
    <w:rsid w:val="00695404"/>
    <w:rsid w:val="00696412"/>
    <w:rsid w:val="006965F7"/>
    <w:rsid w:val="00696BBE"/>
    <w:rsid w:val="006977EC"/>
    <w:rsid w:val="00697F8E"/>
    <w:rsid w:val="00697FE8"/>
    <w:rsid w:val="006A0CF9"/>
    <w:rsid w:val="006A0E03"/>
    <w:rsid w:val="006A0EF8"/>
    <w:rsid w:val="006A1645"/>
    <w:rsid w:val="006A1A89"/>
    <w:rsid w:val="006A2269"/>
    <w:rsid w:val="006A3338"/>
    <w:rsid w:val="006A3932"/>
    <w:rsid w:val="006A3A5D"/>
    <w:rsid w:val="006A412D"/>
    <w:rsid w:val="006A4590"/>
    <w:rsid w:val="006A4854"/>
    <w:rsid w:val="006A49A3"/>
    <w:rsid w:val="006A5872"/>
    <w:rsid w:val="006A5CE3"/>
    <w:rsid w:val="006A66A6"/>
    <w:rsid w:val="006A71E9"/>
    <w:rsid w:val="006A762E"/>
    <w:rsid w:val="006A7833"/>
    <w:rsid w:val="006B1B3F"/>
    <w:rsid w:val="006B2680"/>
    <w:rsid w:val="006B27F4"/>
    <w:rsid w:val="006B5CB2"/>
    <w:rsid w:val="006B62EF"/>
    <w:rsid w:val="006B6C18"/>
    <w:rsid w:val="006B6C93"/>
    <w:rsid w:val="006B6D4C"/>
    <w:rsid w:val="006B7A01"/>
    <w:rsid w:val="006B7CF5"/>
    <w:rsid w:val="006C0B4D"/>
    <w:rsid w:val="006C1094"/>
    <w:rsid w:val="006C13D4"/>
    <w:rsid w:val="006C1C39"/>
    <w:rsid w:val="006C1F93"/>
    <w:rsid w:val="006C303E"/>
    <w:rsid w:val="006C3390"/>
    <w:rsid w:val="006C3F44"/>
    <w:rsid w:val="006C4183"/>
    <w:rsid w:val="006C4537"/>
    <w:rsid w:val="006C4B7E"/>
    <w:rsid w:val="006C5150"/>
    <w:rsid w:val="006C5737"/>
    <w:rsid w:val="006C6570"/>
    <w:rsid w:val="006C6733"/>
    <w:rsid w:val="006C750C"/>
    <w:rsid w:val="006C75E3"/>
    <w:rsid w:val="006D06CF"/>
    <w:rsid w:val="006D078B"/>
    <w:rsid w:val="006D0857"/>
    <w:rsid w:val="006D08FE"/>
    <w:rsid w:val="006D0BCF"/>
    <w:rsid w:val="006D22B8"/>
    <w:rsid w:val="006D2B66"/>
    <w:rsid w:val="006D2B67"/>
    <w:rsid w:val="006D2B6E"/>
    <w:rsid w:val="006D348A"/>
    <w:rsid w:val="006D4CB2"/>
    <w:rsid w:val="006D5A30"/>
    <w:rsid w:val="006D5B3B"/>
    <w:rsid w:val="006D5D9F"/>
    <w:rsid w:val="006D6BA1"/>
    <w:rsid w:val="006D7AB4"/>
    <w:rsid w:val="006E070F"/>
    <w:rsid w:val="006E12D7"/>
    <w:rsid w:val="006E1E5B"/>
    <w:rsid w:val="006E21B5"/>
    <w:rsid w:val="006E470A"/>
    <w:rsid w:val="006E5515"/>
    <w:rsid w:val="006E5A70"/>
    <w:rsid w:val="006E7633"/>
    <w:rsid w:val="006E7FB5"/>
    <w:rsid w:val="006F03F3"/>
    <w:rsid w:val="006F1606"/>
    <w:rsid w:val="006F42F4"/>
    <w:rsid w:val="006F57AD"/>
    <w:rsid w:val="006F62F7"/>
    <w:rsid w:val="006F6BA7"/>
    <w:rsid w:val="007004F1"/>
    <w:rsid w:val="007009BE"/>
    <w:rsid w:val="007018F1"/>
    <w:rsid w:val="00701A86"/>
    <w:rsid w:val="00702708"/>
    <w:rsid w:val="007032F3"/>
    <w:rsid w:val="00703871"/>
    <w:rsid w:val="0070415D"/>
    <w:rsid w:val="00705F35"/>
    <w:rsid w:val="00706BD0"/>
    <w:rsid w:val="00706E73"/>
    <w:rsid w:val="007070EB"/>
    <w:rsid w:val="007100E3"/>
    <w:rsid w:val="00711002"/>
    <w:rsid w:val="007118FF"/>
    <w:rsid w:val="00711E16"/>
    <w:rsid w:val="00711F7F"/>
    <w:rsid w:val="00712223"/>
    <w:rsid w:val="00713562"/>
    <w:rsid w:val="00713D0A"/>
    <w:rsid w:val="00714B0D"/>
    <w:rsid w:val="007150B7"/>
    <w:rsid w:val="00715BB0"/>
    <w:rsid w:val="00716926"/>
    <w:rsid w:val="00717DED"/>
    <w:rsid w:val="0072043E"/>
    <w:rsid w:val="007204E8"/>
    <w:rsid w:val="00720A5F"/>
    <w:rsid w:val="00720CB1"/>
    <w:rsid w:val="007212FB"/>
    <w:rsid w:val="00721A76"/>
    <w:rsid w:val="00722E5C"/>
    <w:rsid w:val="007230E1"/>
    <w:rsid w:val="00723BF4"/>
    <w:rsid w:val="007240F2"/>
    <w:rsid w:val="0072448C"/>
    <w:rsid w:val="00724E80"/>
    <w:rsid w:val="00724F2B"/>
    <w:rsid w:val="00725229"/>
    <w:rsid w:val="0072538C"/>
    <w:rsid w:val="007255A8"/>
    <w:rsid w:val="007256C5"/>
    <w:rsid w:val="00725A9B"/>
    <w:rsid w:val="00726717"/>
    <w:rsid w:val="00726C34"/>
    <w:rsid w:val="00727AAD"/>
    <w:rsid w:val="00727C31"/>
    <w:rsid w:val="00727CD4"/>
    <w:rsid w:val="00727FE7"/>
    <w:rsid w:val="007306DE"/>
    <w:rsid w:val="00731C42"/>
    <w:rsid w:val="00731DD6"/>
    <w:rsid w:val="0073208D"/>
    <w:rsid w:val="00732F8B"/>
    <w:rsid w:val="007355E6"/>
    <w:rsid w:val="00735BCD"/>
    <w:rsid w:val="00735E83"/>
    <w:rsid w:val="00737138"/>
    <w:rsid w:val="00737E3F"/>
    <w:rsid w:val="00741006"/>
    <w:rsid w:val="00741D32"/>
    <w:rsid w:val="00741ED0"/>
    <w:rsid w:val="00742EA0"/>
    <w:rsid w:val="007438EE"/>
    <w:rsid w:val="00743FD0"/>
    <w:rsid w:val="00744721"/>
    <w:rsid w:val="007450B5"/>
    <w:rsid w:val="0074593C"/>
    <w:rsid w:val="00745A9F"/>
    <w:rsid w:val="0074638A"/>
    <w:rsid w:val="0074641D"/>
    <w:rsid w:val="00746B17"/>
    <w:rsid w:val="00746C08"/>
    <w:rsid w:val="00747A19"/>
    <w:rsid w:val="00750C47"/>
    <w:rsid w:val="00750CDB"/>
    <w:rsid w:val="00751132"/>
    <w:rsid w:val="00751CB0"/>
    <w:rsid w:val="007522E8"/>
    <w:rsid w:val="007527A3"/>
    <w:rsid w:val="007527E4"/>
    <w:rsid w:val="0075302A"/>
    <w:rsid w:val="007534B9"/>
    <w:rsid w:val="007537C9"/>
    <w:rsid w:val="00753D16"/>
    <w:rsid w:val="00754D99"/>
    <w:rsid w:val="00755F87"/>
    <w:rsid w:val="00757580"/>
    <w:rsid w:val="00760002"/>
    <w:rsid w:val="00760305"/>
    <w:rsid w:val="007606C0"/>
    <w:rsid w:val="00760FAB"/>
    <w:rsid w:val="00761884"/>
    <w:rsid w:val="00762290"/>
    <w:rsid w:val="007649D8"/>
    <w:rsid w:val="007651BA"/>
    <w:rsid w:val="00766559"/>
    <w:rsid w:val="00766D63"/>
    <w:rsid w:val="0076734B"/>
    <w:rsid w:val="00767722"/>
    <w:rsid w:val="0077028B"/>
    <w:rsid w:val="00770772"/>
    <w:rsid w:val="0077091F"/>
    <w:rsid w:val="00770DEF"/>
    <w:rsid w:val="00771EC8"/>
    <w:rsid w:val="00771FE1"/>
    <w:rsid w:val="00772E69"/>
    <w:rsid w:val="00773105"/>
    <w:rsid w:val="00773DC2"/>
    <w:rsid w:val="00774908"/>
    <w:rsid w:val="00774BCE"/>
    <w:rsid w:val="00775E5F"/>
    <w:rsid w:val="00776635"/>
    <w:rsid w:val="00776AC0"/>
    <w:rsid w:val="0077792F"/>
    <w:rsid w:val="00777A95"/>
    <w:rsid w:val="00777DF5"/>
    <w:rsid w:val="00777EF4"/>
    <w:rsid w:val="00780CB1"/>
    <w:rsid w:val="007811D1"/>
    <w:rsid w:val="00782DE3"/>
    <w:rsid w:val="0078346D"/>
    <w:rsid w:val="00783556"/>
    <w:rsid w:val="00783B41"/>
    <w:rsid w:val="00783F01"/>
    <w:rsid w:val="00784121"/>
    <w:rsid w:val="007845A1"/>
    <w:rsid w:val="00784EBB"/>
    <w:rsid w:val="00785027"/>
    <w:rsid w:val="007853E9"/>
    <w:rsid w:val="007859EB"/>
    <w:rsid w:val="00785B47"/>
    <w:rsid w:val="007862AF"/>
    <w:rsid w:val="00786C67"/>
    <w:rsid w:val="00787408"/>
    <w:rsid w:val="00787C67"/>
    <w:rsid w:val="0079098E"/>
    <w:rsid w:val="00790F15"/>
    <w:rsid w:val="00791163"/>
    <w:rsid w:val="007915DF"/>
    <w:rsid w:val="007934BE"/>
    <w:rsid w:val="00793D4E"/>
    <w:rsid w:val="00793EC0"/>
    <w:rsid w:val="00796A23"/>
    <w:rsid w:val="00797234"/>
    <w:rsid w:val="007977EA"/>
    <w:rsid w:val="00797B06"/>
    <w:rsid w:val="007A0B02"/>
    <w:rsid w:val="007A166F"/>
    <w:rsid w:val="007A18A2"/>
    <w:rsid w:val="007A2C38"/>
    <w:rsid w:val="007A2E3E"/>
    <w:rsid w:val="007A33FC"/>
    <w:rsid w:val="007A3468"/>
    <w:rsid w:val="007A398C"/>
    <w:rsid w:val="007A3A4B"/>
    <w:rsid w:val="007A3D05"/>
    <w:rsid w:val="007A4070"/>
    <w:rsid w:val="007A45EE"/>
    <w:rsid w:val="007A4B5D"/>
    <w:rsid w:val="007A5BC5"/>
    <w:rsid w:val="007A6136"/>
    <w:rsid w:val="007A6F56"/>
    <w:rsid w:val="007A6F6F"/>
    <w:rsid w:val="007B066E"/>
    <w:rsid w:val="007B0D31"/>
    <w:rsid w:val="007B17EA"/>
    <w:rsid w:val="007B1C54"/>
    <w:rsid w:val="007B1C9B"/>
    <w:rsid w:val="007B251F"/>
    <w:rsid w:val="007B2B71"/>
    <w:rsid w:val="007B2EF1"/>
    <w:rsid w:val="007B3737"/>
    <w:rsid w:val="007B3792"/>
    <w:rsid w:val="007B396B"/>
    <w:rsid w:val="007B3B50"/>
    <w:rsid w:val="007B4DC3"/>
    <w:rsid w:val="007B4FF9"/>
    <w:rsid w:val="007B5221"/>
    <w:rsid w:val="007B5A47"/>
    <w:rsid w:val="007B75CD"/>
    <w:rsid w:val="007C0071"/>
    <w:rsid w:val="007C013C"/>
    <w:rsid w:val="007C0977"/>
    <w:rsid w:val="007C188A"/>
    <w:rsid w:val="007C1BE4"/>
    <w:rsid w:val="007C2255"/>
    <w:rsid w:val="007C2616"/>
    <w:rsid w:val="007C2E64"/>
    <w:rsid w:val="007C3A40"/>
    <w:rsid w:val="007C3A5F"/>
    <w:rsid w:val="007C4099"/>
    <w:rsid w:val="007C4A79"/>
    <w:rsid w:val="007C4AFE"/>
    <w:rsid w:val="007C4E47"/>
    <w:rsid w:val="007C5460"/>
    <w:rsid w:val="007C5A22"/>
    <w:rsid w:val="007C64E8"/>
    <w:rsid w:val="007D0446"/>
    <w:rsid w:val="007D1076"/>
    <w:rsid w:val="007D1441"/>
    <w:rsid w:val="007D166E"/>
    <w:rsid w:val="007D1B0B"/>
    <w:rsid w:val="007D1C6D"/>
    <w:rsid w:val="007D1D1A"/>
    <w:rsid w:val="007D20DE"/>
    <w:rsid w:val="007D21BB"/>
    <w:rsid w:val="007D2385"/>
    <w:rsid w:val="007D2934"/>
    <w:rsid w:val="007D29B5"/>
    <w:rsid w:val="007D33FB"/>
    <w:rsid w:val="007D3E0B"/>
    <w:rsid w:val="007D41E8"/>
    <w:rsid w:val="007D4371"/>
    <w:rsid w:val="007D46B8"/>
    <w:rsid w:val="007D4D4D"/>
    <w:rsid w:val="007D5895"/>
    <w:rsid w:val="007D5C88"/>
    <w:rsid w:val="007D5E32"/>
    <w:rsid w:val="007D5F94"/>
    <w:rsid w:val="007D6A46"/>
    <w:rsid w:val="007D6DD0"/>
    <w:rsid w:val="007D700B"/>
    <w:rsid w:val="007D7632"/>
    <w:rsid w:val="007D7812"/>
    <w:rsid w:val="007E029C"/>
    <w:rsid w:val="007E11E0"/>
    <w:rsid w:val="007E14C7"/>
    <w:rsid w:val="007E27D9"/>
    <w:rsid w:val="007E2E8C"/>
    <w:rsid w:val="007E333E"/>
    <w:rsid w:val="007E3492"/>
    <w:rsid w:val="007E3C53"/>
    <w:rsid w:val="007E3E4D"/>
    <w:rsid w:val="007E4084"/>
    <w:rsid w:val="007E4442"/>
    <w:rsid w:val="007E4C1B"/>
    <w:rsid w:val="007E4DA7"/>
    <w:rsid w:val="007E5319"/>
    <w:rsid w:val="007E5C2C"/>
    <w:rsid w:val="007E5CCB"/>
    <w:rsid w:val="007E7112"/>
    <w:rsid w:val="007F0058"/>
    <w:rsid w:val="007F1751"/>
    <w:rsid w:val="007F1C2B"/>
    <w:rsid w:val="007F1D88"/>
    <w:rsid w:val="007F24CE"/>
    <w:rsid w:val="007F2A0C"/>
    <w:rsid w:val="007F2C7F"/>
    <w:rsid w:val="007F2D27"/>
    <w:rsid w:val="007F3599"/>
    <w:rsid w:val="007F3834"/>
    <w:rsid w:val="007F3DED"/>
    <w:rsid w:val="007F409B"/>
    <w:rsid w:val="007F4172"/>
    <w:rsid w:val="007F442A"/>
    <w:rsid w:val="007F45CC"/>
    <w:rsid w:val="007F4793"/>
    <w:rsid w:val="007F58C2"/>
    <w:rsid w:val="007F6040"/>
    <w:rsid w:val="007F65A8"/>
    <w:rsid w:val="007F6871"/>
    <w:rsid w:val="007F69E3"/>
    <w:rsid w:val="007F69F7"/>
    <w:rsid w:val="007F7132"/>
    <w:rsid w:val="007F724B"/>
    <w:rsid w:val="00800CB3"/>
    <w:rsid w:val="00800E50"/>
    <w:rsid w:val="008014B1"/>
    <w:rsid w:val="00801830"/>
    <w:rsid w:val="0080204B"/>
    <w:rsid w:val="0080251E"/>
    <w:rsid w:val="00802BF4"/>
    <w:rsid w:val="00802D3C"/>
    <w:rsid w:val="0080324D"/>
    <w:rsid w:val="008037E9"/>
    <w:rsid w:val="00803C5F"/>
    <w:rsid w:val="00803CFE"/>
    <w:rsid w:val="00804661"/>
    <w:rsid w:val="008051B7"/>
    <w:rsid w:val="0080570D"/>
    <w:rsid w:val="00805C3E"/>
    <w:rsid w:val="00806483"/>
    <w:rsid w:val="00807DE2"/>
    <w:rsid w:val="0081006E"/>
    <w:rsid w:val="00811A5E"/>
    <w:rsid w:val="0081245C"/>
    <w:rsid w:val="00812A14"/>
    <w:rsid w:val="00812ED6"/>
    <w:rsid w:val="00813837"/>
    <w:rsid w:val="0081452D"/>
    <w:rsid w:val="00814A31"/>
    <w:rsid w:val="00815227"/>
    <w:rsid w:val="0081726A"/>
    <w:rsid w:val="00817C8A"/>
    <w:rsid w:val="00820633"/>
    <w:rsid w:val="0082086B"/>
    <w:rsid w:val="00820A5B"/>
    <w:rsid w:val="00820FFD"/>
    <w:rsid w:val="008230EB"/>
    <w:rsid w:val="00823D2D"/>
    <w:rsid w:val="0082455A"/>
    <w:rsid w:val="0082472E"/>
    <w:rsid w:val="00824790"/>
    <w:rsid w:val="00824970"/>
    <w:rsid w:val="00824EC1"/>
    <w:rsid w:val="00825941"/>
    <w:rsid w:val="00825E50"/>
    <w:rsid w:val="00826E62"/>
    <w:rsid w:val="00827303"/>
    <w:rsid w:val="0082772F"/>
    <w:rsid w:val="00827F09"/>
    <w:rsid w:val="00830A85"/>
    <w:rsid w:val="00830FFB"/>
    <w:rsid w:val="00831E17"/>
    <w:rsid w:val="00832062"/>
    <w:rsid w:val="008321DE"/>
    <w:rsid w:val="00832A5E"/>
    <w:rsid w:val="00833377"/>
    <w:rsid w:val="008339B3"/>
    <w:rsid w:val="00833CC3"/>
    <w:rsid w:val="008356FB"/>
    <w:rsid w:val="0083580A"/>
    <w:rsid w:val="00835C46"/>
    <w:rsid w:val="008363F8"/>
    <w:rsid w:val="00837244"/>
    <w:rsid w:val="00837289"/>
    <w:rsid w:val="0083742F"/>
    <w:rsid w:val="008374BA"/>
    <w:rsid w:val="00837610"/>
    <w:rsid w:val="00837DE9"/>
    <w:rsid w:val="00841CD5"/>
    <w:rsid w:val="0084248F"/>
    <w:rsid w:val="00843110"/>
    <w:rsid w:val="00843981"/>
    <w:rsid w:val="00844709"/>
    <w:rsid w:val="008448B5"/>
    <w:rsid w:val="00844C99"/>
    <w:rsid w:val="0084521A"/>
    <w:rsid w:val="0084544D"/>
    <w:rsid w:val="00845A57"/>
    <w:rsid w:val="00846E2F"/>
    <w:rsid w:val="00847F57"/>
    <w:rsid w:val="00850E1E"/>
    <w:rsid w:val="0085140F"/>
    <w:rsid w:val="008516C1"/>
    <w:rsid w:val="00851DD3"/>
    <w:rsid w:val="00851ED4"/>
    <w:rsid w:val="00852060"/>
    <w:rsid w:val="00852337"/>
    <w:rsid w:val="008525CC"/>
    <w:rsid w:val="00852AF6"/>
    <w:rsid w:val="0085321A"/>
    <w:rsid w:val="0085323A"/>
    <w:rsid w:val="00853DDA"/>
    <w:rsid w:val="00855100"/>
    <w:rsid w:val="0085537D"/>
    <w:rsid w:val="008555A4"/>
    <w:rsid w:val="008565B6"/>
    <w:rsid w:val="00857A03"/>
    <w:rsid w:val="00857C96"/>
    <w:rsid w:val="0086087C"/>
    <w:rsid w:val="00860DAE"/>
    <w:rsid w:val="00860EED"/>
    <w:rsid w:val="00861121"/>
    <w:rsid w:val="00861A2B"/>
    <w:rsid w:val="00861CC1"/>
    <w:rsid w:val="00861D2E"/>
    <w:rsid w:val="00862B59"/>
    <w:rsid w:val="00864BA3"/>
    <w:rsid w:val="0086560D"/>
    <w:rsid w:val="00866369"/>
    <w:rsid w:val="00866C1E"/>
    <w:rsid w:val="00866E87"/>
    <w:rsid w:val="0086749A"/>
    <w:rsid w:val="008702B8"/>
    <w:rsid w:val="008709FE"/>
    <w:rsid w:val="0087121E"/>
    <w:rsid w:val="008715B7"/>
    <w:rsid w:val="00871D41"/>
    <w:rsid w:val="00872F8C"/>
    <w:rsid w:val="00873D52"/>
    <w:rsid w:val="00874313"/>
    <w:rsid w:val="00874577"/>
    <w:rsid w:val="008745E4"/>
    <w:rsid w:val="00874970"/>
    <w:rsid w:val="00874A22"/>
    <w:rsid w:val="008750BB"/>
    <w:rsid w:val="00875749"/>
    <w:rsid w:val="00876424"/>
    <w:rsid w:val="008777E0"/>
    <w:rsid w:val="00880B91"/>
    <w:rsid w:val="00880F2D"/>
    <w:rsid w:val="008815AF"/>
    <w:rsid w:val="00881D25"/>
    <w:rsid w:val="00882D2E"/>
    <w:rsid w:val="00882E27"/>
    <w:rsid w:val="00882EFC"/>
    <w:rsid w:val="008830B3"/>
    <w:rsid w:val="00883252"/>
    <w:rsid w:val="00883483"/>
    <w:rsid w:val="008840FE"/>
    <w:rsid w:val="00884497"/>
    <w:rsid w:val="00884523"/>
    <w:rsid w:val="00884DA3"/>
    <w:rsid w:val="008873A4"/>
    <w:rsid w:val="008876D0"/>
    <w:rsid w:val="008876F8"/>
    <w:rsid w:val="00887EC5"/>
    <w:rsid w:val="00887F72"/>
    <w:rsid w:val="008909DC"/>
    <w:rsid w:val="00892099"/>
    <w:rsid w:val="00892789"/>
    <w:rsid w:val="00892B74"/>
    <w:rsid w:val="00894354"/>
    <w:rsid w:val="00895792"/>
    <w:rsid w:val="0089655E"/>
    <w:rsid w:val="008977D1"/>
    <w:rsid w:val="008A056C"/>
    <w:rsid w:val="008A0E07"/>
    <w:rsid w:val="008A201E"/>
    <w:rsid w:val="008A2A4D"/>
    <w:rsid w:val="008A2ABD"/>
    <w:rsid w:val="008A3E0E"/>
    <w:rsid w:val="008A4A2B"/>
    <w:rsid w:val="008A506F"/>
    <w:rsid w:val="008A5132"/>
    <w:rsid w:val="008A520A"/>
    <w:rsid w:val="008A5D0B"/>
    <w:rsid w:val="008A7511"/>
    <w:rsid w:val="008A7D1F"/>
    <w:rsid w:val="008A7D38"/>
    <w:rsid w:val="008A7DBA"/>
    <w:rsid w:val="008B043D"/>
    <w:rsid w:val="008B2123"/>
    <w:rsid w:val="008B24C2"/>
    <w:rsid w:val="008B2B59"/>
    <w:rsid w:val="008B2E65"/>
    <w:rsid w:val="008B312D"/>
    <w:rsid w:val="008B3F24"/>
    <w:rsid w:val="008B4EEE"/>
    <w:rsid w:val="008B5960"/>
    <w:rsid w:val="008B5B84"/>
    <w:rsid w:val="008B5CF5"/>
    <w:rsid w:val="008B7B8A"/>
    <w:rsid w:val="008C0489"/>
    <w:rsid w:val="008C0F96"/>
    <w:rsid w:val="008C155D"/>
    <w:rsid w:val="008C25B3"/>
    <w:rsid w:val="008C25D1"/>
    <w:rsid w:val="008C2617"/>
    <w:rsid w:val="008C2D3C"/>
    <w:rsid w:val="008C3185"/>
    <w:rsid w:val="008C42BD"/>
    <w:rsid w:val="008C4DF8"/>
    <w:rsid w:val="008C4E18"/>
    <w:rsid w:val="008C543B"/>
    <w:rsid w:val="008C568D"/>
    <w:rsid w:val="008C5E8D"/>
    <w:rsid w:val="008C695E"/>
    <w:rsid w:val="008C6B8D"/>
    <w:rsid w:val="008C7CCE"/>
    <w:rsid w:val="008C7DF6"/>
    <w:rsid w:val="008C7F7D"/>
    <w:rsid w:val="008D0B3B"/>
    <w:rsid w:val="008D1550"/>
    <w:rsid w:val="008D22BD"/>
    <w:rsid w:val="008D28FD"/>
    <w:rsid w:val="008D4079"/>
    <w:rsid w:val="008D4ADF"/>
    <w:rsid w:val="008D4ED5"/>
    <w:rsid w:val="008D4F00"/>
    <w:rsid w:val="008D5164"/>
    <w:rsid w:val="008D533E"/>
    <w:rsid w:val="008D5DB3"/>
    <w:rsid w:val="008D7878"/>
    <w:rsid w:val="008E0E6B"/>
    <w:rsid w:val="008E21B7"/>
    <w:rsid w:val="008E2597"/>
    <w:rsid w:val="008E3157"/>
    <w:rsid w:val="008E33B4"/>
    <w:rsid w:val="008E45F1"/>
    <w:rsid w:val="008E483D"/>
    <w:rsid w:val="008E4C45"/>
    <w:rsid w:val="008E4DBC"/>
    <w:rsid w:val="008E54BF"/>
    <w:rsid w:val="008E5790"/>
    <w:rsid w:val="008E57B3"/>
    <w:rsid w:val="008E58B9"/>
    <w:rsid w:val="008E5C5E"/>
    <w:rsid w:val="008E5E45"/>
    <w:rsid w:val="008E5F79"/>
    <w:rsid w:val="008E6D35"/>
    <w:rsid w:val="008E6E67"/>
    <w:rsid w:val="008E76D3"/>
    <w:rsid w:val="008E7C7E"/>
    <w:rsid w:val="008F09E0"/>
    <w:rsid w:val="008F0D5C"/>
    <w:rsid w:val="008F17D0"/>
    <w:rsid w:val="008F23AC"/>
    <w:rsid w:val="008F33BC"/>
    <w:rsid w:val="008F3600"/>
    <w:rsid w:val="008F4143"/>
    <w:rsid w:val="008F477B"/>
    <w:rsid w:val="008F498F"/>
    <w:rsid w:val="008F49FC"/>
    <w:rsid w:val="008F4DDB"/>
    <w:rsid w:val="008F54E8"/>
    <w:rsid w:val="008F55BF"/>
    <w:rsid w:val="008F587F"/>
    <w:rsid w:val="008F5A80"/>
    <w:rsid w:val="008F6AF3"/>
    <w:rsid w:val="008F6BF4"/>
    <w:rsid w:val="008F6CDF"/>
    <w:rsid w:val="009002ED"/>
    <w:rsid w:val="009004C7"/>
    <w:rsid w:val="00900DC5"/>
    <w:rsid w:val="00901588"/>
    <w:rsid w:val="009020CC"/>
    <w:rsid w:val="009024BA"/>
    <w:rsid w:val="0090265F"/>
    <w:rsid w:val="00904CAA"/>
    <w:rsid w:val="00905392"/>
    <w:rsid w:val="009060F9"/>
    <w:rsid w:val="00906B39"/>
    <w:rsid w:val="00906DA3"/>
    <w:rsid w:val="00906F85"/>
    <w:rsid w:val="009072D3"/>
    <w:rsid w:val="00907AA9"/>
    <w:rsid w:val="00910547"/>
    <w:rsid w:val="00910612"/>
    <w:rsid w:val="0091253E"/>
    <w:rsid w:val="00912C67"/>
    <w:rsid w:val="00913B05"/>
    <w:rsid w:val="00914260"/>
    <w:rsid w:val="00914805"/>
    <w:rsid w:val="00915464"/>
    <w:rsid w:val="00915795"/>
    <w:rsid w:val="0091637C"/>
    <w:rsid w:val="0091698A"/>
    <w:rsid w:val="00917548"/>
    <w:rsid w:val="00917645"/>
    <w:rsid w:val="009177C8"/>
    <w:rsid w:val="00917F15"/>
    <w:rsid w:val="0092020A"/>
    <w:rsid w:val="009203A9"/>
    <w:rsid w:val="00921196"/>
    <w:rsid w:val="0092182B"/>
    <w:rsid w:val="009220D4"/>
    <w:rsid w:val="00922794"/>
    <w:rsid w:val="00922B56"/>
    <w:rsid w:val="009231FD"/>
    <w:rsid w:val="009234D1"/>
    <w:rsid w:val="0092355C"/>
    <w:rsid w:val="00923673"/>
    <w:rsid w:val="00923DDD"/>
    <w:rsid w:val="00923F2D"/>
    <w:rsid w:val="00924F8D"/>
    <w:rsid w:val="00925164"/>
    <w:rsid w:val="0092524D"/>
    <w:rsid w:val="0092535A"/>
    <w:rsid w:val="00925622"/>
    <w:rsid w:val="00926777"/>
    <w:rsid w:val="00926DE5"/>
    <w:rsid w:val="00930850"/>
    <w:rsid w:val="0093092E"/>
    <w:rsid w:val="00930E53"/>
    <w:rsid w:val="009314B3"/>
    <w:rsid w:val="00932455"/>
    <w:rsid w:val="009328A7"/>
    <w:rsid w:val="00932A81"/>
    <w:rsid w:val="00932AC5"/>
    <w:rsid w:val="00933BB9"/>
    <w:rsid w:val="009341E6"/>
    <w:rsid w:val="00934A48"/>
    <w:rsid w:val="0093534F"/>
    <w:rsid w:val="009360F3"/>
    <w:rsid w:val="009361AD"/>
    <w:rsid w:val="00936E4D"/>
    <w:rsid w:val="00937B1D"/>
    <w:rsid w:val="00940C2A"/>
    <w:rsid w:val="009420DF"/>
    <w:rsid w:val="009421D4"/>
    <w:rsid w:val="0094270E"/>
    <w:rsid w:val="0094278C"/>
    <w:rsid w:val="00942C5E"/>
    <w:rsid w:val="00942E89"/>
    <w:rsid w:val="00946651"/>
    <w:rsid w:val="00947825"/>
    <w:rsid w:val="00947CD1"/>
    <w:rsid w:val="00950691"/>
    <w:rsid w:val="00950DC1"/>
    <w:rsid w:val="009510D1"/>
    <w:rsid w:val="0095111C"/>
    <w:rsid w:val="00951A74"/>
    <w:rsid w:val="00951DDB"/>
    <w:rsid w:val="0095213F"/>
    <w:rsid w:val="009529A8"/>
    <w:rsid w:val="00952ABF"/>
    <w:rsid w:val="00952EA9"/>
    <w:rsid w:val="0095323B"/>
    <w:rsid w:val="00953427"/>
    <w:rsid w:val="009551A7"/>
    <w:rsid w:val="00955A30"/>
    <w:rsid w:val="00955D69"/>
    <w:rsid w:val="0095669D"/>
    <w:rsid w:val="00956D64"/>
    <w:rsid w:val="0095748F"/>
    <w:rsid w:val="00957BD7"/>
    <w:rsid w:val="00960AA0"/>
    <w:rsid w:val="00960BA8"/>
    <w:rsid w:val="00961AC9"/>
    <w:rsid w:val="00961C33"/>
    <w:rsid w:val="00961D71"/>
    <w:rsid w:val="00962070"/>
    <w:rsid w:val="009622F8"/>
    <w:rsid w:val="0096236B"/>
    <w:rsid w:val="00962EF7"/>
    <w:rsid w:val="00963035"/>
    <w:rsid w:val="00963067"/>
    <w:rsid w:val="0096324C"/>
    <w:rsid w:val="009632B2"/>
    <w:rsid w:val="0096349B"/>
    <w:rsid w:val="00964157"/>
    <w:rsid w:val="009644A2"/>
    <w:rsid w:val="00965667"/>
    <w:rsid w:val="00965D42"/>
    <w:rsid w:val="009670DC"/>
    <w:rsid w:val="00967226"/>
    <w:rsid w:val="0096777F"/>
    <w:rsid w:val="0096797E"/>
    <w:rsid w:val="00967A8C"/>
    <w:rsid w:val="00970ABE"/>
    <w:rsid w:val="00970B33"/>
    <w:rsid w:val="00972EEA"/>
    <w:rsid w:val="00973F85"/>
    <w:rsid w:val="009748BC"/>
    <w:rsid w:val="00974CCA"/>
    <w:rsid w:val="00974D7D"/>
    <w:rsid w:val="00974E8B"/>
    <w:rsid w:val="00975108"/>
    <w:rsid w:val="009761A0"/>
    <w:rsid w:val="009761CB"/>
    <w:rsid w:val="00976257"/>
    <w:rsid w:val="0097675A"/>
    <w:rsid w:val="00976B56"/>
    <w:rsid w:val="00977970"/>
    <w:rsid w:val="00977CBA"/>
    <w:rsid w:val="00977DF5"/>
    <w:rsid w:val="00977FF2"/>
    <w:rsid w:val="00980540"/>
    <w:rsid w:val="00980C06"/>
    <w:rsid w:val="009827A9"/>
    <w:rsid w:val="009839D2"/>
    <w:rsid w:val="00983EE1"/>
    <w:rsid w:val="009847E1"/>
    <w:rsid w:val="009849AC"/>
    <w:rsid w:val="00984FF9"/>
    <w:rsid w:val="00985184"/>
    <w:rsid w:val="009853B3"/>
    <w:rsid w:val="00985438"/>
    <w:rsid w:val="009854E3"/>
    <w:rsid w:val="00986EC3"/>
    <w:rsid w:val="009871E3"/>
    <w:rsid w:val="00990332"/>
    <w:rsid w:val="0099035E"/>
    <w:rsid w:val="00990524"/>
    <w:rsid w:val="009908D0"/>
    <w:rsid w:val="00990F56"/>
    <w:rsid w:val="009928F6"/>
    <w:rsid w:val="009935FE"/>
    <w:rsid w:val="0099360C"/>
    <w:rsid w:val="0099363F"/>
    <w:rsid w:val="00993E82"/>
    <w:rsid w:val="00994195"/>
    <w:rsid w:val="0099488D"/>
    <w:rsid w:val="00994987"/>
    <w:rsid w:val="00994F51"/>
    <w:rsid w:val="009970A0"/>
    <w:rsid w:val="00997F87"/>
    <w:rsid w:val="009A004E"/>
    <w:rsid w:val="009A0386"/>
    <w:rsid w:val="009A30D2"/>
    <w:rsid w:val="009A344C"/>
    <w:rsid w:val="009A34F3"/>
    <w:rsid w:val="009A3A9B"/>
    <w:rsid w:val="009A4A85"/>
    <w:rsid w:val="009A548D"/>
    <w:rsid w:val="009A5C34"/>
    <w:rsid w:val="009A6840"/>
    <w:rsid w:val="009A68F7"/>
    <w:rsid w:val="009A7323"/>
    <w:rsid w:val="009A7C47"/>
    <w:rsid w:val="009B02E5"/>
    <w:rsid w:val="009B0927"/>
    <w:rsid w:val="009B1C7A"/>
    <w:rsid w:val="009B2125"/>
    <w:rsid w:val="009B4058"/>
    <w:rsid w:val="009B4EB3"/>
    <w:rsid w:val="009B58B2"/>
    <w:rsid w:val="009B596B"/>
    <w:rsid w:val="009B66E3"/>
    <w:rsid w:val="009B75E5"/>
    <w:rsid w:val="009B7960"/>
    <w:rsid w:val="009C0E05"/>
    <w:rsid w:val="009C24D7"/>
    <w:rsid w:val="009C28D0"/>
    <w:rsid w:val="009C51B7"/>
    <w:rsid w:val="009C51C3"/>
    <w:rsid w:val="009C5243"/>
    <w:rsid w:val="009C5749"/>
    <w:rsid w:val="009C59B8"/>
    <w:rsid w:val="009C6395"/>
    <w:rsid w:val="009C71B4"/>
    <w:rsid w:val="009C7485"/>
    <w:rsid w:val="009C78FD"/>
    <w:rsid w:val="009D07D8"/>
    <w:rsid w:val="009D0E2C"/>
    <w:rsid w:val="009D1898"/>
    <w:rsid w:val="009D1CE5"/>
    <w:rsid w:val="009D2118"/>
    <w:rsid w:val="009D21AF"/>
    <w:rsid w:val="009D2A07"/>
    <w:rsid w:val="009D2B56"/>
    <w:rsid w:val="009D35EF"/>
    <w:rsid w:val="009D5235"/>
    <w:rsid w:val="009D5656"/>
    <w:rsid w:val="009D5861"/>
    <w:rsid w:val="009D5B51"/>
    <w:rsid w:val="009D5EAD"/>
    <w:rsid w:val="009D63DB"/>
    <w:rsid w:val="009D68D2"/>
    <w:rsid w:val="009D7DEE"/>
    <w:rsid w:val="009E1125"/>
    <w:rsid w:val="009E142A"/>
    <w:rsid w:val="009E14AE"/>
    <w:rsid w:val="009E164A"/>
    <w:rsid w:val="009E1921"/>
    <w:rsid w:val="009E1C56"/>
    <w:rsid w:val="009E2369"/>
    <w:rsid w:val="009E49E6"/>
    <w:rsid w:val="009E5763"/>
    <w:rsid w:val="009E7270"/>
    <w:rsid w:val="009E76AF"/>
    <w:rsid w:val="009F0034"/>
    <w:rsid w:val="009F0852"/>
    <w:rsid w:val="009F0FEB"/>
    <w:rsid w:val="009F25F0"/>
    <w:rsid w:val="009F3485"/>
    <w:rsid w:val="009F38E7"/>
    <w:rsid w:val="009F400C"/>
    <w:rsid w:val="009F4A14"/>
    <w:rsid w:val="009F503D"/>
    <w:rsid w:val="00A01F7C"/>
    <w:rsid w:val="00A01FDE"/>
    <w:rsid w:val="00A02A28"/>
    <w:rsid w:val="00A03369"/>
    <w:rsid w:val="00A04457"/>
    <w:rsid w:val="00A044B3"/>
    <w:rsid w:val="00A046CB"/>
    <w:rsid w:val="00A05128"/>
    <w:rsid w:val="00A05809"/>
    <w:rsid w:val="00A05AF6"/>
    <w:rsid w:val="00A06057"/>
    <w:rsid w:val="00A063C3"/>
    <w:rsid w:val="00A06AF8"/>
    <w:rsid w:val="00A06FDC"/>
    <w:rsid w:val="00A10A6E"/>
    <w:rsid w:val="00A12F69"/>
    <w:rsid w:val="00A1361B"/>
    <w:rsid w:val="00A13814"/>
    <w:rsid w:val="00A13D27"/>
    <w:rsid w:val="00A145F5"/>
    <w:rsid w:val="00A1468F"/>
    <w:rsid w:val="00A15626"/>
    <w:rsid w:val="00A1656B"/>
    <w:rsid w:val="00A167CD"/>
    <w:rsid w:val="00A173A6"/>
    <w:rsid w:val="00A17413"/>
    <w:rsid w:val="00A20223"/>
    <w:rsid w:val="00A20AF8"/>
    <w:rsid w:val="00A21377"/>
    <w:rsid w:val="00A227EA"/>
    <w:rsid w:val="00A23495"/>
    <w:rsid w:val="00A23BFF"/>
    <w:rsid w:val="00A250AB"/>
    <w:rsid w:val="00A25E0B"/>
    <w:rsid w:val="00A26053"/>
    <w:rsid w:val="00A2610F"/>
    <w:rsid w:val="00A26211"/>
    <w:rsid w:val="00A26A0B"/>
    <w:rsid w:val="00A26AC5"/>
    <w:rsid w:val="00A26EEF"/>
    <w:rsid w:val="00A271CC"/>
    <w:rsid w:val="00A278C0"/>
    <w:rsid w:val="00A27FA0"/>
    <w:rsid w:val="00A3092B"/>
    <w:rsid w:val="00A31B4E"/>
    <w:rsid w:val="00A31DE5"/>
    <w:rsid w:val="00A31EB8"/>
    <w:rsid w:val="00A32768"/>
    <w:rsid w:val="00A332E7"/>
    <w:rsid w:val="00A342C8"/>
    <w:rsid w:val="00A35565"/>
    <w:rsid w:val="00A355B6"/>
    <w:rsid w:val="00A358FD"/>
    <w:rsid w:val="00A3648C"/>
    <w:rsid w:val="00A4077D"/>
    <w:rsid w:val="00A40C50"/>
    <w:rsid w:val="00A40E01"/>
    <w:rsid w:val="00A4159D"/>
    <w:rsid w:val="00A41B1C"/>
    <w:rsid w:val="00A41F8D"/>
    <w:rsid w:val="00A41FCC"/>
    <w:rsid w:val="00A4272C"/>
    <w:rsid w:val="00A42AF2"/>
    <w:rsid w:val="00A42F05"/>
    <w:rsid w:val="00A43158"/>
    <w:rsid w:val="00A433BA"/>
    <w:rsid w:val="00A43422"/>
    <w:rsid w:val="00A43AE7"/>
    <w:rsid w:val="00A43B1A"/>
    <w:rsid w:val="00A44905"/>
    <w:rsid w:val="00A44CB9"/>
    <w:rsid w:val="00A458CD"/>
    <w:rsid w:val="00A46E9D"/>
    <w:rsid w:val="00A47519"/>
    <w:rsid w:val="00A47BB4"/>
    <w:rsid w:val="00A50627"/>
    <w:rsid w:val="00A50B01"/>
    <w:rsid w:val="00A51E2A"/>
    <w:rsid w:val="00A5590D"/>
    <w:rsid w:val="00A56656"/>
    <w:rsid w:val="00A5680B"/>
    <w:rsid w:val="00A571D1"/>
    <w:rsid w:val="00A57BA9"/>
    <w:rsid w:val="00A57E98"/>
    <w:rsid w:val="00A60522"/>
    <w:rsid w:val="00A60A9B"/>
    <w:rsid w:val="00A612AF"/>
    <w:rsid w:val="00A617B6"/>
    <w:rsid w:val="00A623BF"/>
    <w:rsid w:val="00A630F5"/>
    <w:rsid w:val="00A6327F"/>
    <w:rsid w:val="00A63D08"/>
    <w:rsid w:val="00A65507"/>
    <w:rsid w:val="00A65CAB"/>
    <w:rsid w:val="00A65EDB"/>
    <w:rsid w:val="00A66322"/>
    <w:rsid w:val="00A70E76"/>
    <w:rsid w:val="00A71E3D"/>
    <w:rsid w:val="00A72089"/>
    <w:rsid w:val="00A72512"/>
    <w:rsid w:val="00A72B50"/>
    <w:rsid w:val="00A73762"/>
    <w:rsid w:val="00A73B67"/>
    <w:rsid w:val="00A740D3"/>
    <w:rsid w:val="00A745CD"/>
    <w:rsid w:val="00A748DC"/>
    <w:rsid w:val="00A74996"/>
    <w:rsid w:val="00A74BE5"/>
    <w:rsid w:val="00A74C8E"/>
    <w:rsid w:val="00A7559E"/>
    <w:rsid w:val="00A7592A"/>
    <w:rsid w:val="00A75AB9"/>
    <w:rsid w:val="00A76BA6"/>
    <w:rsid w:val="00A77095"/>
    <w:rsid w:val="00A7784A"/>
    <w:rsid w:val="00A77ECA"/>
    <w:rsid w:val="00A80683"/>
    <w:rsid w:val="00A80705"/>
    <w:rsid w:val="00A80AB9"/>
    <w:rsid w:val="00A80AC9"/>
    <w:rsid w:val="00A81479"/>
    <w:rsid w:val="00A82911"/>
    <w:rsid w:val="00A82AA6"/>
    <w:rsid w:val="00A832B0"/>
    <w:rsid w:val="00A8375F"/>
    <w:rsid w:val="00A838DC"/>
    <w:rsid w:val="00A8392C"/>
    <w:rsid w:val="00A8402F"/>
    <w:rsid w:val="00A85133"/>
    <w:rsid w:val="00A85632"/>
    <w:rsid w:val="00A9019E"/>
    <w:rsid w:val="00A90E54"/>
    <w:rsid w:val="00A91218"/>
    <w:rsid w:val="00A912FD"/>
    <w:rsid w:val="00A92F0F"/>
    <w:rsid w:val="00A94A33"/>
    <w:rsid w:val="00A95692"/>
    <w:rsid w:val="00A95A55"/>
    <w:rsid w:val="00A96043"/>
    <w:rsid w:val="00A96438"/>
    <w:rsid w:val="00A96642"/>
    <w:rsid w:val="00AA05B7"/>
    <w:rsid w:val="00AA0985"/>
    <w:rsid w:val="00AA09E2"/>
    <w:rsid w:val="00AA10ED"/>
    <w:rsid w:val="00AA1309"/>
    <w:rsid w:val="00AA31CC"/>
    <w:rsid w:val="00AA35CB"/>
    <w:rsid w:val="00AA478D"/>
    <w:rsid w:val="00AA4BAC"/>
    <w:rsid w:val="00AA5699"/>
    <w:rsid w:val="00AA5944"/>
    <w:rsid w:val="00AA63FF"/>
    <w:rsid w:val="00AA673F"/>
    <w:rsid w:val="00AA6EDD"/>
    <w:rsid w:val="00AA77F1"/>
    <w:rsid w:val="00AA79CD"/>
    <w:rsid w:val="00AA7C17"/>
    <w:rsid w:val="00AB0479"/>
    <w:rsid w:val="00AB05D3"/>
    <w:rsid w:val="00AB06F6"/>
    <w:rsid w:val="00AB0FF7"/>
    <w:rsid w:val="00AB10DD"/>
    <w:rsid w:val="00AB1AB6"/>
    <w:rsid w:val="00AB1B8F"/>
    <w:rsid w:val="00AB1B96"/>
    <w:rsid w:val="00AB1C13"/>
    <w:rsid w:val="00AB2DC0"/>
    <w:rsid w:val="00AB4D12"/>
    <w:rsid w:val="00AB5533"/>
    <w:rsid w:val="00AB682E"/>
    <w:rsid w:val="00AB7609"/>
    <w:rsid w:val="00AB7AD0"/>
    <w:rsid w:val="00AC0164"/>
    <w:rsid w:val="00AC066B"/>
    <w:rsid w:val="00AC1F92"/>
    <w:rsid w:val="00AC28A8"/>
    <w:rsid w:val="00AC2AB1"/>
    <w:rsid w:val="00AC530A"/>
    <w:rsid w:val="00AC5BF0"/>
    <w:rsid w:val="00AC729B"/>
    <w:rsid w:val="00AC7734"/>
    <w:rsid w:val="00AC7EDA"/>
    <w:rsid w:val="00AD018F"/>
    <w:rsid w:val="00AD09B2"/>
    <w:rsid w:val="00AD309B"/>
    <w:rsid w:val="00AD3343"/>
    <w:rsid w:val="00AD3A39"/>
    <w:rsid w:val="00AD44DA"/>
    <w:rsid w:val="00AD4B9B"/>
    <w:rsid w:val="00AD58D6"/>
    <w:rsid w:val="00AD5C0A"/>
    <w:rsid w:val="00AE0D89"/>
    <w:rsid w:val="00AE23CB"/>
    <w:rsid w:val="00AE37A0"/>
    <w:rsid w:val="00AE37C3"/>
    <w:rsid w:val="00AE4032"/>
    <w:rsid w:val="00AE523C"/>
    <w:rsid w:val="00AE53EB"/>
    <w:rsid w:val="00AE5C63"/>
    <w:rsid w:val="00AE6E07"/>
    <w:rsid w:val="00AE7F9A"/>
    <w:rsid w:val="00AF0321"/>
    <w:rsid w:val="00AF062C"/>
    <w:rsid w:val="00AF0ECA"/>
    <w:rsid w:val="00AF1C37"/>
    <w:rsid w:val="00AF1EA6"/>
    <w:rsid w:val="00AF301D"/>
    <w:rsid w:val="00AF33FE"/>
    <w:rsid w:val="00AF356A"/>
    <w:rsid w:val="00AF3791"/>
    <w:rsid w:val="00AF491E"/>
    <w:rsid w:val="00AF5277"/>
    <w:rsid w:val="00AF57D6"/>
    <w:rsid w:val="00AF64D4"/>
    <w:rsid w:val="00AF796E"/>
    <w:rsid w:val="00AF7CE4"/>
    <w:rsid w:val="00B002AF"/>
    <w:rsid w:val="00B0082C"/>
    <w:rsid w:val="00B00FB9"/>
    <w:rsid w:val="00B017A7"/>
    <w:rsid w:val="00B02927"/>
    <w:rsid w:val="00B034D0"/>
    <w:rsid w:val="00B035A8"/>
    <w:rsid w:val="00B04A8E"/>
    <w:rsid w:val="00B04C71"/>
    <w:rsid w:val="00B04EB7"/>
    <w:rsid w:val="00B04F85"/>
    <w:rsid w:val="00B05119"/>
    <w:rsid w:val="00B0546C"/>
    <w:rsid w:val="00B0651A"/>
    <w:rsid w:val="00B06B40"/>
    <w:rsid w:val="00B0727A"/>
    <w:rsid w:val="00B0754F"/>
    <w:rsid w:val="00B07FD7"/>
    <w:rsid w:val="00B10105"/>
    <w:rsid w:val="00B10823"/>
    <w:rsid w:val="00B12B4E"/>
    <w:rsid w:val="00B1303A"/>
    <w:rsid w:val="00B13207"/>
    <w:rsid w:val="00B132F7"/>
    <w:rsid w:val="00B1371B"/>
    <w:rsid w:val="00B13EB3"/>
    <w:rsid w:val="00B13F11"/>
    <w:rsid w:val="00B1407A"/>
    <w:rsid w:val="00B147A5"/>
    <w:rsid w:val="00B14C86"/>
    <w:rsid w:val="00B14FD1"/>
    <w:rsid w:val="00B16292"/>
    <w:rsid w:val="00B16F65"/>
    <w:rsid w:val="00B17742"/>
    <w:rsid w:val="00B20292"/>
    <w:rsid w:val="00B20E06"/>
    <w:rsid w:val="00B20E86"/>
    <w:rsid w:val="00B213E2"/>
    <w:rsid w:val="00B21686"/>
    <w:rsid w:val="00B21C60"/>
    <w:rsid w:val="00B21C68"/>
    <w:rsid w:val="00B25049"/>
    <w:rsid w:val="00B252BF"/>
    <w:rsid w:val="00B25784"/>
    <w:rsid w:val="00B25D88"/>
    <w:rsid w:val="00B26269"/>
    <w:rsid w:val="00B2718C"/>
    <w:rsid w:val="00B27BC8"/>
    <w:rsid w:val="00B300AB"/>
    <w:rsid w:val="00B3014B"/>
    <w:rsid w:val="00B332B5"/>
    <w:rsid w:val="00B334C0"/>
    <w:rsid w:val="00B3355A"/>
    <w:rsid w:val="00B33A53"/>
    <w:rsid w:val="00B350D0"/>
    <w:rsid w:val="00B350F8"/>
    <w:rsid w:val="00B3533B"/>
    <w:rsid w:val="00B40128"/>
    <w:rsid w:val="00B40416"/>
    <w:rsid w:val="00B40FDC"/>
    <w:rsid w:val="00B4106B"/>
    <w:rsid w:val="00B4379F"/>
    <w:rsid w:val="00B43920"/>
    <w:rsid w:val="00B43A59"/>
    <w:rsid w:val="00B43A7C"/>
    <w:rsid w:val="00B441FC"/>
    <w:rsid w:val="00B44991"/>
    <w:rsid w:val="00B466E9"/>
    <w:rsid w:val="00B46EC1"/>
    <w:rsid w:val="00B476B6"/>
    <w:rsid w:val="00B47D7D"/>
    <w:rsid w:val="00B50081"/>
    <w:rsid w:val="00B5058A"/>
    <w:rsid w:val="00B505D6"/>
    <w:rsid w:val="00B50674"/>
    <w:rsid w:val="00B50B5D"/>
    <w:rsid w:val="00B512FE"/>
    <w:rsid w:val="00B52057"/>
    <w:rsid w:val="00B523E4"/>
    <w:rsid w:val="00B528BA"/>
    <w:rsid w:val="00B530AE"/>
    <w:rsid w:val="00B53697"/>
    <w:rsid w:val="00B54879"/>
    <w:rsid w:val="00B5507A"/>
    <w:rsid w:val="00B553DF"/>
    <w:rsid w:val="00B55DC5"/>
    <w:rsid w:val="00B5630F"/>
    <w:rsid w:val="00B57C36"/>
    <w:rsid w:val="00B57EAE"/>
    <w:rsid w:val="00B60186"/>
    <w:rsid w:val="00B603CF"/>
    <w:rsid w:val="00B606FF"/>
    <w:rsid w:val="00B6102A"/>
    <w:rsid w:val="00B61A80"/>
    <w:rsid w:val="00B61E8E"/>
    <w:rsid w:val="00B63374"/>
    <w:rsid w:val="00B63576"/>
    <w:rsid w:val="00B650B6"/>
    <w:rsid w:val="00B65AEB"/>
    <w:rsid w:val="00B669F0"/>
    <w:rsid w:val="00B66A66"/>
    <w:rsid w:val="00B67928"/>
    <w:rsid w:val="00B67B64"/>
    <w:rsid w:val="00B70144"/>
    <w:rsid w:val="00B717A3"/>
    <w:rsid w:val="00B724D9"/>
    <w:rsid w:val="00B729A3"/>
    <w:rsid w:val="00B74BD5"/>
    <w:rsid w:val="00B74EBB"/>
    <w:rsid w:val="00B758DD"/>
    <w:rsid w:val="00B761E1"/>
    <w:rsid w:val="00B761FA"/>
    <w:rsid w:val="00B80295"/>
    <w:rsid w:val="00B803ED"/>
    <w:rsid w:val="00B80943"/>
    <w:rsid w:val="00B80A77"/>
    <w:rsid w:val="00B8149F"/>
    <w:rsid w:val="00B82A45"/>
    <w:rsid w:val="00B82E59"/>
    <w:rsid w:val="00B83F53"/>
    <w:rsid w:val="00B85536"/>
    <w:rsid w:val="00B85B0F"/>
    <w:rsid w:val="00B86678"/>
    <w:rsid w:val="00B8695E"/>
    <w:rsid w:val="00B86E09"/>
    <w:rsid w:val="00B915FB"/>
    <w:rsid w:val="00B91970"/>
    <w:rsid w:val="00B91C3C"/>
    <w:rsid w:val="00B9294D"/>
    <w:rsid w:val="00B93080"/>
    <w:rsid w:val="00B93517"/>
    <w:rsid w:val="00B94957"/>
    <w:rsid w:val="00B94E2B"/>
    <w:rsid w:val="00B95238"/>
    <w:rsid w:val="00B96126"/>
    <w:rsid w:val="00B9627A"/>
    <w:rsid w:val="00B963BB"/>
    <w:rsid w:val="00B96696"/>
    <w:rsid w:val="00B967B3"/>
    <w:rsid w:val="00BA1D09"/>
    <w:rsid w:val="00BA2322"/>
    <w:rsid w:val="00BA2407"/>
    <w:rsid w:val="00BA3034"/>
    <w:rsid w:val="00BA326F"/>
    <w:rsid w:val="00BA4049"/>
    <w:rsid w:val="00BA4278"/>
    <w:rsid w:val="00BA43A9"/>
    <w:rsid w:val="00BA44C3"/>
    <w:rsid w:val="00BA4A40"/>
    <w:rsid w:val="00BA4B81"/>
    <w:rsid w:val="00BA54CF"/>
    <w:rsid w:val="00BA551F"/>
    <w:rsid w:val="00BA5684"/>
    <w:rsid w:val="00BA6883"/>
    <w:rsid w:val="00BA6AAC"/>
    <w:rsid w:val="00BA6C93"/>
    <w:rsid w:val="00BA75B8"/>
    <w:rsid w:val="00BB045D"/>
    <w:rsid w:val="00BB0541"/>
    <w:rsid w:val="00BB0F53"/>
    <w:rsid w:val="00BB1A99"/>
    <w:rsid w:val="00BB2008"/>
    <w:rsid w:val="00BB296F"/>
    <w:rsid w:val="00BB2BCD"/>
    <w:rsid w:val="00BB326B"/>
    <w:rsid w:val="00BB36F5"/>
    <w:rsid w:val="00BB3CF3"/>
    <w:rsid w:val="00BB5A34"/>
    <w:rsid w:val="00BB672F"/>
    <w:rsid w:val="00BB6E1C"/>
    <w:rsid w:val="00BB7481"/>
    <w:rsid w:val="00BB7BCD"/>
    <w:rsid w:val="00BB7DFE"/>
    <w:rsid w:val="00BC057B"/>
    <w:rsid w:val="00BC0632"/>
    <w:rsid w:val="00BC0BF9"/>
    <w:rsid w:val="00BC1830"/>
    <w:rsid w:val="00BC1CAD"/>
    <w:rsid w:val="00BC25F8"/>
    <w:rsid w:val="00BC2E94"/>
    <w:rsid w:val="00BC55C1"/>
    <w:rsid w:val="00BC5F55"/>
    <w:rsid w:val="00BC759D"/>
    <w:rsid w:val="00BC77C1"/>
    <w:rsid w:val="00BD0FF6"/>
    <w:rsid w:val="00BD1A9E"/>
    <w:rsid w:val="00BD1F57"/>
    <w:rsid w:val="00BD2144"/>
    <w:rsid w:val="00BD2428"/>
    <w:rsid w:val="00BD2456"/>
    <w:rsid w:val="00BD312E"/>
    <w:rsid w:val="00BD3239"/>
    <w:rsid w:val="00BD4442"/>
    <w:rsid w:val="00BD4817"/>
    <w:rsid w:val="00BD49DE"/>
    <w:rsid w:val="00BD4BC7"/>
    <w:rsid w:val="00BD5A77"/>
    <w:rsid w:val="00BD5B0E"/>
    <w:rsid w:val="00BD5BCC"/>
    <w:rsid w:val="00BD637A"/>
    <w:rsid w:val="00BD6607"/>
    <w:rsid w:val="00BD6F80"/>
    <w:rsid w:val="00BD753F"/>
    <w:rsid w:val="00BD79CF"/>
    <w:rsid w:val="00BE01EF"/>
    <w:rsid w:val="00BE0B8B"/>
    <w:rsid w:val="00BE0BAE"/>
    <w:rsid w:val="00BE0BBF"/>
    <w:rsid w:val="00BE115A"/>
    <w:rsid w:val="00BE172F"/>
    <w:rsid w:val="00BE175C"/>
    <w:rsid w:val="00BE1856"/>
    <w:rsid w:val="00BE22E0"/>
    <w:rsid w:val="00BE2323"/>
    <w:rsid w:val="00BE2A66"/>
    <w:rsid w:val="00BE3286"/>
    <w:rsid w:val="00BE3389"/>
    <w:rsid w:val="00BE356F"/>
    <w:rsid w:val="00BE35CF"/>
    <w:rsid w:val="00BE3F97"/>
    <w:rsid w:val="00BE4230"/>
    <w:rsid w:val="00BE463B"/>
    <w:rsid w:val="00BE488C"/>
    <w:rsid w:val="00BE524B"/>
    <w:rsid w:val="00BE71F5"/>
    <w:rsid w:val="00BF1813"/>
    <w:rsid w:val="00BF2C9D"/>
    <w:rsid w:val="00BF3CF0"/>
    <w:rsid w:val="00BF422A"/>
    <w:rsid w:val="00BF4340"/>
    <w:rsid w:val="00BF4A53"/>
    <w:rsid w:val="00BF55F3"/>
    <w:rsid w:val="00BF5A1A"/>
    <w:rsid w:val="00BF6346"/>
    <w:rsid w:val="00BF74C2"/>
    <w:rsid w:val="00BF77F3"/>
    <w:rsid w:val="00C0099A"/>
    <w:rsid w:val="00C0109A"/>
    <w:rsid w:val="00C0167A"/>
    <w:rsid w:val="00C01787"/>
    <w:rsid w:val="00C02515"/>
    <w:rsid w:val="00C02C83"/>
    <w:rsid w:val="00C032D1"/>
    <w:rsid w:val="00C043A6"/>
    <w:rsid w:val="00C048B0"/>
    <w:rsid w:val="00C0582E"/>
    <w:rsid w:val="00C05D55"/>
    <w:rsid w:val="00C06047"/>
    <w:rsid w:val="00C06AC8"/>
    <w:rsid w:val="00C06DD7"/>
    <w:rsid w:val="00C0772C"/>
    <w:rsid w:val="00C07AB7"/>
    <w:rsid w:val="00C07B9C"/>
    <w:rsid w:val="00C07C19"/>
    <w:rsid w:val="00C1098B"/>
    <w:rsid w:val="00C109FB"/>
    <w:rsid w:val="00C10A34"/>
    <w:rsid w:val="00C10D0C"/>
    <w:rsid w:val="00C118F1"/>
    <w:rsid w:val="00C123B8"/>
    <w:rsid w:val="00C1326B"/>
    <w:rsid w:val="00C136F0"/>
    <w:rsid w:val="00C13CB0"/>
    <w:rsid w:val="00C14539"/>
    <w:rsid w:val="00C14692"/>
    <w:rsid w:val="00C14892"/>
    <w:rsid w:val="00C149EF"/>
    <w:rsid w:val="00C15F77"/>
    <w:rsid w:val="00C1602D"/>
    <w:rsid w:val="00C16CF7"/>
    <w:rsid w:val="00C17926"/>
    <w:rsid w:val="00C2016E"/>
    <w:rsid w:val="00C20969"/>
    <w:rsid w:val="00C2121C"/>
    <w:rsid w:val="00C2153B"/>
    <w:rsid w:val="00C21F05"/>
    <w:rsid w:val="00C2208F"/>
    <w:rsid w:val="00C23D80"/>
    <w:rsid w:val="00C24251"/>
    <w:rsid w:val="00C25D95"/>
    <w:rsid w:val="00C26DF2"/>
    <w:rsid w:val="00C30A75"/>
    <w:rsid w:val="00C32402"/>
    <w:rsid w:val="00C32E4C"/>
    <w:rsid w:val="00C32EF9"/>
    <w:rsid w:val="00C331FD"/>
    <w:rsid w:val="00C34AE2"/>
    <w:rsid w:val="00C36185"/>
    <w:rsid w:val="00C36792"/>
    <w:rsid w:val="00C36942"/>
    <w:rsid w:val="00C37170"/>
    <w:rsid w:val="00C376D5"/>
    <w:rsid w:val="00C40B3A"/>
    <w:rsid w:val="00C40B4D"/>
    <w:rsid w:val="00C40C7E"/>
    <w:rsid w:val="00C40CA9"/>
    <w:rsid w:val="00C40F3E"/>
    <w:rsid w:val="00C420AC"/>
    <w:rsid w:val="00C4253D"/>
    <w:rsid w:val="00C426DF"/>
    <w:rsid w:val="00C427E9"/>
    <w:rsid w:val="00C428EC"/>
    <w:rsid w:val="00C4330F"/>
    <w:rsid w:val="00C436D1"/>
    <w:rsid w:val="00C44EA8"/>
    <w:rsid w:val="00C467A6"/>
    <w:rsid w:val="00C467CD"/>
    <w:rsid w:val="00C47561"/>
    <w:rsid w:val="00C5053E"/>
    <w:rsid w:val="00C50B99"/>
    <w:rsid w:val="00C50C0E"/>
    <w:rsid w:val="00C512FC"/>
    <w:rsid w:val="00C515B8"/>
    <w:rsid w:val="00C51994"/>
    <w:rsid w:val="00C52717"/>
    <w:rsid w:val="00C5298D"/>
    <w:rsid w:val="00C531C3"/>
    <w:rsid w:val="00C5343A"/>
    <w:rsid w:val="00C537A4"/>
    <w:rsid w:val="00C538E9"/>
    <w:rsid w:val="00C53B54"/>
    <w:rsid w:val="00C53DBA"/>
    <w:rsid w:val="00C54C44"/>
    <w:rsid w:val="00C56297"/>
    <w:rsid w:val="00C60469"/>
    <w:rsid w:val="00C607A9"/>
    <w:rsid w:val="00C60B32"/>
    <w:rsid w:val="00C63CAA"/>
    <w:rsid w:val="00C65C15"/>
    <w:rsid w:val="00C66F28"/>
    <w:rsid w:val="00C67825"/>
    <w:rsid w:val="00C70103"/>
    <w:rsid w:val="00C70177"/>
    <w:rsid w:val="00C706AE"/>
    <w:rsid w:val="00C7088D"/>
    <w:rsid w:val="00C71BE5"/>
    <w:rsid w:val="00C72171"/>
    <w:rsid w:val="00C724E8"/>
    <w:rsid w:val="00C72832"/>
    <w:rsid w:val="00C72A32"/>
    <w:rsid w:val="00C72B3E"/>
    <w:rsid w:val="00C73D30"/>
    <w:rsid w:val="00C7440B"/>
    <w:rsid w:val="00C74514"/>
    <w:rsid w:val="00C74F50"/>
    <w:rsid w:val="00C7717E"/>
    <w:rsid w:val="00C800FA"/>
    <w:rsid w:val="00C80130"/>
    <w:rsid w:val="00C80595"/>
    <w:rsid w:val="00C80768"/>
    <w:rsid w:val="00C817A7"/>
    <w:rsid w:val="00C82FBB"/>
    <w:rsid w:val="00C849C7"/>
    <w:rsid w:val="00C84C25"/>
    <w:rsid w:val="00C84EEB"/>
    <w:rsid w:val="00C85010"/>
    <w:rsid w:val="00C85273"/>
    <w:rsid w:val="00C85371"/>
    <w:rsid w:val="00C85D79"/>
    <w:rsid w:val="00C85F94"/>
    <w:rsid w:val="00C86012"/>
    <w:rsid w:val="00C86330"/>
    <w:rsid w:val="00C8641F"/>
    <w:rsid w:val="00C868F6"/>
    <w:rsid w:val="00C87641"/>
    <w:rsid w:val="00C87CB8"/>
    <w:rsid w:val="00C87CEF"/>
    <w:rsid w:val="00C90379"/>
    <w:rsid w:val="00C90416"/>
    <w:rsid w:val="00C912C9"/>
    <w:rsid w:val="00C92125"/>
    <w:rsid w:val="00C922BA"/>
    <w:rsid w:val="00C92850"/>
    <w:rsid w:val="00C92BFD"/>
    <w:rsid w:val="00C93CD5"/>
    <w:rsid w:val="00C93FAC"/>
    <w:rsid w:val="00C95117"/>
    <w:rsid w:val="00C95B4D"/>
    <w:rsid w:val="00C96569"/>
    <w:rsid w:val="00C96570"/>
    <w:rsid w:val="00C96D9B"/>
    <w:rsid w:val="00C96DB8"/>
    <w:rsid w:val="00CA0453"/>
    <w:rsid w:val="00CA0823"/>
    <w:rsid w:val="00CA1981"/>
    <w:rsid w:val="00CA1EC3"/>
    <w:rsid w:val="00CA1F8C"/>
    <w:rsid w:val="00CA1FDC"/>
    <w:rsid w:val="00CA2140"/>
    <w:rsid w:val="00CA253A"/>
    <w:rsid w:val="00CA3207"/>
    <w:rsid w:val="00CA395B"/>
    <w:rsid w:val="00CA5406"/>
    <w:rsid w:val="00CA7D9C"/>
    <w:rsid w:val="00CA7F1F"/>
    <w:rsid w:val="00CB090A"/>
    <w:rsid w:val="00CB0D51"/>
    <w:rsid w:val="00CB1B37"/>
    <w:rsid w:val="00CB1D82"/>
    <w:rsid w:val="00CB3709"/>
    <w:rsid w:val="00CB50E9"/>
    <w:rsid w:val="00CB56B9"/>
    <w:rsid w:val="00CB5902"/>
    <w:rsid w:val="00CB5A9D"/>
    <w:rsid w:val="00CB5DF3"/>
    <w:rsid w:val="00CB670F"/>
    <w:rsid w:val="00CB7B96"/>
    <w:rsid w:val="00CC02CE"/>
    <w:rsid w:val="00CC0BC7"/>
    <w:rsid w:val="00CC0E0C"/>
    <w:rsid w:val="00CC1BE3"/>
    <w:rsid w:val="00CC28D1"/>
    <w:rsid w:val="00CC2DB3"/>
    <w:rsid w:val="00CC314E"/>
    <w:rsid w:val="00CC3623"/>
    <w:rsid w:val="00CC36A8"/>
    <w:rsid w:val="00CC3BD2"/>
    <w:rsid w:val="00CC51B9"/>
    <w:rsid w:val="00CC5612"/>
    <w:rsid w:val="00CC5915"/>
    <w:rsid w:val="00CC6297"/>
    <w:rsid w:val="00CC64AA"/>
    <w:rsid w:val="00CD0429"/>
    <w:rsid w:val="00CD22F1"/>
    <w:rsid w:val="00CD29FC"/>
    <w:rsid w:val="00CD2A26"/>
    <w:rsid w:val="00CD2B32"/>
    <w:rsid w:val="00CD3693"/>
    <w:rsid w:val="00CD5745"/>
    <w:rsid w:val="00CD5D7D"/>
    <w:rsid w:val="00CD5F5C"/>
    <w:rsid w:val="00CD63CC"/>
    <w:rsid w:val="00CD70EB"/>
    <w:rsid w:val="00CD787C"/>
    <w:rsid w:val="00CD7ACC"/>
    <w:rsid w:val="00CE03CB"/>
    <w:rsid w:val="00CE13F2"/>
    <w:rsid w:val="00CE2988"/>
    <w:rsid w:val="00CE2E0A"/>
    <w:rsid w:val="00CE31FC"/>
    <w:rsid w:val="00CE423D"/>
    <w:rsid w:val="00CE54FF"/>
    <w:rsid w:val="00CE567D"/>
    <w:rsid w:val="00CE657A"/>
    <w:rsid w:val="00CE6F2C"/>
    <w:rsid w:val="00CE737E"/>
    <w:rsid w:val="00CF0371"/>
    <w:rsid w:val="00CF04DA"/>
    <w:rsid w:val="00CF0E99"/>
    <w:rsid w:val="00CF0F30"/>
    <w:rsid w:val="00CF0FAE"/>
    <w:rsid w:val="00CF169F"/>
    <w:rsid w:val="00CF2259"/>
    <w:rsid w:val="00CF2CB2"/>
    <w:rsid w:val="00CF2D81"/>
    <w:rsid w:val="00CF2DEE"/>
    <w:rsid w:val="00CF40FA"/>
    <w:rsid w:val="00CF46BF"/>
    <w:rsid w:val="00CF4BA9"/>
    <w:rsid w:val="00CF5275"/>
    <w:rsid w:val="00CF5A61"/>
    <w:rsid w:val="00CF6463"/>
    <w:rsid w:val="00CF6A9B"/>
    <w:rsid w:val="00CF7285"/>
    <w:rsid w:val="00CF7463"/>
    <w:rsid w:val="00CF79EB"/>
    <w:rsid w:val="00CF7BE8"/>
    <w:rsid w:val="00D000CA"/>
    <w:rsid w:val="00D0065F"/>
    <w:rsid w:val="00D00A99"/>
    <w:rsid w:val="00D024E6"/>
    <w:rsid w:val="00D0388E"/>
    <w:rsid w:val="00D03D16"/>
    <w:rsid w:val="00D03FD4"/>
    <w:rsid w:val="00D04288"/>
    <w:rsid w:val="00D0517F"/>
    <w:rsid w:val="00D05534"/>
    <w:rsid w:val="00D058F8"/>
    <w:rsid w:val="00D05CEE"/>
    <w:rsid w:val="00D05E1F"/>
    <w:rsid w:val="00D06090"/>
    <w:rsid w:val="00D11A22"/>
    <w:rsid w:val="00D120AC"/>
    <w:rsid w:val="00D1262B"/>
    <w:rsid w:val="00D129ED"/>
    <w:rsid w:val="00D12F17"/>
    <w:rsid w:val="00D13235"/>
    <w:rsid w:val="00D132D8"/>
    <w:rsid w:val="00D13CB7"/>
    <w:rsid w:val="00D141F3"/>
    <w:rsid w:val="00D14319"/>
    <w:rsid w:val="00D14672"/>
    <w:rsid w:val="00D14B93"/>
    <w:rsid w:val="00D14C90"/>
    <w:rsid w:val="00D15A20"/>
    <w:rsid w:val="00D15C28"/>
    <w:rsid w:val="00D15D6B"/>
    <w:rsid w:val="00D166DB"/>
    <w:rsid w:val="00D16C3D"/>
    <w:rsid w:val="00D17323"/>
    <w:rsid w:val="00D17AB5"/>
    <w:rsid w:val="00D20046"/>
    <w:rsid w:val="00D21054"/>
    <w:rsid w:val="00D21A70"/>
    <w:rsid w:val="00D235CE"/>
    <w:rsid w:val="00D24208"/>
    <w:rsid w:val="00D24967"/>
    <w:rsid w:val="00D24C5C"/>
    <w:rsid w:val="00D25697"/>
    <w:rsid w:val="00D25932"/>
    <w:rsid w:val="00D25A12"/>
    <w:rsid w:val="00D26C24"/>
    <w:rsid w:val="00D275C5"/>
    <w:rsid w:val="00D27C40"/>
    <w:rsid w:val="00D302E8"/>
    <w:rsid w:val="00D30800"/>
    <w:rsid w:val="00D3139B"/>
    <w:rsid w:val="00D31927"/>
    <w:rsid w:val="00D32A3F"/>
    <w:rsid w:val="00D32C3D"/>
    <w:rsid w:val="00D33CB0"/>
    <w:rsid w:val="00D3426C"/>
    <w:rsid w:val="00D34769"/>
    <w:rsid w:val="00D364DD"/>
    <w:rsid w:val="00D37383"/>
    <w:rsid w:val="00D37616"/>
    <w:rsid w:val="00D37AFA"/>
    <w:rsid w:val="00D40306"/>
    <w:rsid w:val="00D40E1B"/>
    <w:rsid w:val="00D41630"/>
    <w:rsid w:val="00D41AC7"/>
    <w:rsid w:val="00D42A9E"/>
    <w:rsid w:val="00D43253"/>
    <w:rsid w:val="00D4355A"/>
    <w:rsid w:val="00D43571"/>
    <w:rsid w:val="00D436B2"/>
    <w:rsid w:val="00D43F5B"/>
    <w:rsid w:val="00D45F82"/>
    <w:rsid w:val="00D461EC"/>
    <w:rsid w:val="00D46C5C"/>
    <w:rsid w:val="00D46FD8"/>
    <w:rsid w:val="00D479E1"/>
    <w:rsid w:val="00D47DC4"/>
    <w:rsid w:val="00D50C9F"/>
    <w:rsid w:val="00D50E28"/>
    <w:rsid w:val="00D51599"/>
    <w:rsid w:val="00D520CE"/>
    <w:rsid w:val="00D52EE4"/>
    <w:rsid w:val="00D54360"/>
    <w:rsid w:val="00D54718"/>
    <w:rsid w:val="00D54AF5"/>
    <w:rsid w:val="00D55E70"/>
    <w:rsid w:val="00D56012"/>
    <w:rsid w:val="00D56DF1"/>
    <w:rsid w:val="00D56E4F"/>
    <w:rsid w:val="00D5730D"/>
    <w:rsid w:val="00D57B18"/>
    <w:rsid w:val="00D57EC2"/>
    <w:rsid w:val="00D618B7"/>
    <w:rsid w:val="00D61B88"/>
    <w:rsid w:val="00D62313"/>
    <w:rsid w:val="00D637D1"/>
    <w:rsid w:val="00D63813"/>
    <w:rsid w:val="00D63AE3"/>
    <w:rsid w:val="00D63AEA"/>
    <w:rsid w:val="00D63EE5"/>
    <w:rsid w:val="00D641CB"/>
    <w:rsid w:val="00D64972"/>
    <w:rsid w:val="00D6537F"/>
    <w:rsid w:val="00D6685F"/>
    <w:rsid w:val="00D7048F"/>
    <w:rsid w:val="00D7087C"/>
    <w:rsid w:val="00D70A6C"/>
    <w:rsid w:val="00D7136A"/>
    <w:rsid w:val="00D71451"/>
    <w:rsid w:val="00D71EE8"/>
    <w:rsid w:val="00D72AE8"/>
    <w:rsid w:val="00D7331F"/>
    <w:rsid w:val="00D73BE2"/>
    <w:rsid w:val="00D73F79"/>
    <w:rsid w:val="00D74736"/>
    <w:rsid w:val="00D74ACD"/>
    <w:rsid w:val="00D74C91"/>
    <w:rsid w:val="00D74ED0"/>
    <w:rsid w:val="00D7544F"/>
    <w:rsid w:val="00D75688"/>
    <w:rsid w:val="00D75B79"/>
    <w:rsid w:val="00D763BC"/>
    <w:rsid w:val="00D76657"/>
    <w:rsid w:val="00D76920"/>
    <w:rsid w:val="00D80A7A"/>
    <w:rsid w:val="00D80ECD"/>
    <w:rsid w:val="00D81C8F"/>
    <w:rsid w:val="00D8216D"/>
    <w:rsid w:val="00D8345C"/>
    <w:rsid w:val="00D84301"/>
    <w:rsid w:val="00D843A9"/>
    <w:rsid w:val="00D84444"/>
    <w:rsid w:val="00D85390"/>
    <w:rsid w:val="00D86125"/>
    <w:rsid w:val="00D876FE"/>
    <w:rsid w:val="00D90B86"/>
    <w:rsid w:val="00D92CAE"/>
    <w:rsid w:val="00D93EEF"/>
    <w:rsid w:val="00D9424D"/>
    <w:rsid w:val="00D94520"/>
    <w:rsid w:val="00D94E5F"/>
    <w:rsid w:val="00D950F0"/>
    <w:rsid w:val="00D9574D"/>
    <w:rsid w:val="00D9691E"/>
    <w:rsid w:val="00D9772A"/>
    <w:rsid w:val="00DA00ED"/>
    <w:rsid w:val="00DA042C"/>
    <w:rsid w:val="00DA094A"/>
    <w:rsid w:val="00DA114B"/>
    <w:rsid w:val="00DA1319"/>
    <w:rsid w:val="00DA381C"/>
    <w:rsid w:val="00DA3B43"/>
    <w:rsid w:val="00DA423D"/>
    <w:rsid w:val="00DA4A4C"/>
    <w:rsid w:val="00DA4F5B"/>
    <w:rsid w:val="00DA51D3"/>
    <w:rsid w:val="00DA57BE"/>
    <w:rsid w:val="00DA583F"/>
    <w:rsid w:val="00DA6007"/>
    <w:rsid w:val="00DA7331"/>
    <w:rsid w:val="00DA74C3"/>
    <w:rsid w:val="00DB0628"/>
    <w:rsid w:val="00DB0FBE"/>
    <w:rsid w:val="00DB114B"/>
    <w:rsid w:val="00DB14C9"/>
    <w:rsid w:val="00DB1A2F"/>
    <w:rsid w:val="00DB223B"/>
    <w:rsid w:val="00DB24B2"/>
    <w:rsid w:val="00DB32A6"/>
    <w:rsid w:val="00DB370D"/>
    <w:rsid w:val="00DB4C40"/>
    <w:rsid w:val="00DB6201"/>
    <w:rsid w:val="00DB6FD8"/>
    <w:rsid w:val="00DB7104"/>
    <w:rsid w:val="00DB7BC7"/>
    <w:rsid w:val="00DC02F5"/>
    <w:rsid w:val="00DC058E"/>
    <w:rsid w:val="00DC1086"/>
    <w:rsid w:val="00DC1F4F"/>
    <w:rsid w:val="00DC244F"/>
    <w:rsid w:val="00DC2F1D"/>
    <w:rsid w:val="00DC2FDE"/>
    <w:rsid w:val="00DC3048"/>
    <w:rsid w:val="00DC39B4"/>
    <w:rsid w:val="00DC3A7C"/>
    <w:rsid w:val="00DC3F28"/>
    <w:rsid w:val="00DC43CA"/>
    <w:rsid w:val="00DC4531"/>
    <w:rsid w:val="00DC4CD2"/>
    <w:rsid w:val="00DC5808"/>
    <w:rsid w:val="00DC5F89"/>
    <w:rsid w:val="00DC68F3"/>
    <w:rsid w:val="00DC6AC7"/>
    <w:rsid w:val="00DC6C3E"/>
    <w:rsid w:val="00DC72A4"/>
    <w:rsid w:val="00DC745B"/>
    <w:rsid w:val="00DC7693"/>
    <w:rsid w:val="00DC7849"/>
    <w:rsid w:val="00DC7B3D"/>
    <w:rsid w:val="00DD03BF"/>
    <w:rsid w:val="00DD0DB9"/>
    <w:rsid w:val="00DD12B1"/>
    <w:rsid w:val="00DD1C8A"/>
    <w:rsid w:val="00DD3BFE"/>
    <w:rsid w:val="00DD3FDD"/>
    <w:rsid w:val="00DD54BC"/>
    <w:rsid w:val="00DD5907"/>
    <w:rsid w:val="00DD59CE"/>
    <w:rsid w:val="00DD60F3"/>
    <w:rsid w:val="00DD6968"/>
    <w:rsid w:val="00DD69C1"/>
    <w:rsid w:val="00DD75EF"/>
    <w:rsid w:val="00DE012D"/>
    <w:rsid w:val="00DE02C4"/>
    <w:rsid w:val="00DE055D"/>
    <w:rsid w:val="00DE0606"/>
    <w:rsid w:val="00DE09F8"/>
    <w:rsid w:val="00DE1128"/>
    <w:rsid w:val="00DE12F9"/>
    <w:rsid w:val="00DE13B9"/>
    <w:rsid w:val="00DE186D"/>
    <w:rsid w:val="00DE1D22"/>
    <w:rsid w:val="00DE1F31"/>
    <w:rsid w:val="00DE1F41"/>
    <w:rsid w:val="00DE31C5"/>
    <w:rsid w:val="00DE3AA2"/>
    <w:rsid w:val="00DE57A7"/>
    <w:rsid w:val="00DE5EF4"/>
    <w:rsid w:val="00DE648A"/>
    <w:rsid w:val="00DE664B"/>
    <w:rsid w:val="00DE7C54"/>
    <w:rsid w:val="00DF0915"/>
    <w:rsid w:val="00DF0C2F"/>
    <w:rsid w:val="00DF2A67"/>
    <w:rsid w:val="00DF36B9"/>
    <w:rsid w:val="00DF3E13"/>
    <w:rsid w:val="00DF3E20"/>
    <w:rsid w:val="00DF421A"/>
    <w:rsid w:val="00DF4C5A"/>
    <w:rsid w:val="00DF4C9C"/>
    <w:rsid w:val="00DF54D8"/>
    <w:rsid w:val="00DF557A"/>
    <w:rsid w:val="00DF7865"/>
    <w:rsid w:val="00DF7A96"/>
    <w:rsid w:val="00E00592"/>
    <w:rsid w:val="00E00E1C"/>
    <w:rsid w:val="00E01325"/>
    <w:rsid w:val="00E015F9"/>
    <w:rsid w:val="00E0252E"/>
    <w:rsid w:val="00E03920"/>
    <w:rsid w:val="00E03C58"/>
    <w:rsid w:val="00E0679F"/>
    <w:rsid w:val="00E06AB7"/>
    <w:rsid w:val="00E06B10"/>
    <w:rsid w:val="00E06FF8"/>
    <w:rsid w:val="00E07B1C"/>
    <w:rsid w:val="00E10172"/>
    <w:rsid w:val="00E10EC8"/>
    <w:rsid w:val="00E1196B"/>
    <w:rsid w:val="00E14C12"/>
    <w:rsid w:val="00E16075"/>
    <w:rsid w:val="00E16998"/>
    <w:rsid w:val="00E1700F"/>
    <w:rsid w:val="00E17178"/>
    <w:rsid w:val="00E173E0"/>
    <w:rsid w:val="00E17877"/>
    <w:rsid w:val="00E20705"/>
    <w:rsid w:val="00E20724"/>
    <w:rsid w:val="00E20D66"/>
    <w:rsid w:val="00E20FF0"/>
    <w:rsid w:val="00E21A09"/>
    <w:rsid w:val="00E22352"/>
    <w:rsid w:val="00E227B0"/>
    <w:rsid w:val="00E22984"/>
    <w:rsid w:val="00E22E8F"/>
    <w:rsid w:val="00E23049"/>
    <w:rsid w:val="00E23772"/>
    <w:rsid w:val="00E239B5"/>
    <w:rsid w:val="00E23D3C"/>
    <w:rsid w:val="00E24434"/>
    <w:rsid w:val="00E24CAB"/>
    <w:rsid w:val="00E25204"/>
    <w:rsid w:val="00E25599"/>
    <w:rsid w:val="00E27154"/>
    <w:rsid w:val="00E27A24"/>
    <w:rsid w:val="00E27EAE"/>
    <w:rsid w:val="00E30D95"/>
    <w:rsid w:val="00E31183"/>
    <w:rsid w:val="00E31403"/>
    <w:rsid w:val="00E31A59"/>
    <w:rsid w:val="00E32303"/>
    <w:rsid w:val="00E32596"/>
    <w:rsid w:val="00E332C5"/>
    <w:rsid w:val="00E33CD8"/>
    <w:rsid w:val="00E33D3A"/>
    <w:rsid w:val="00E33EFF"/>
    <w:rsid w:val="00E34CC2"/>
    <w:rsid w:val="00E34D72"/>
    <w:rsid w:val="00E359BB"/>
    <w:rsid w:val="00E35C64"/>
    <w:rsid w:val="00E35C91"/>
    <w:rsid w:val="00E362B2"/>
    <w:rsid w:val="00E367F7"/>
    <w:rsid w:val="00E36CE0"/>
    <w:rsid w:val="00E36FC5"/>
    <w:rsid w:val="00E37B1F"/>
    <w:rsid w:val="00E40451"/>
    <w:rsid w:val="00E4050F"/>
    <w:rsid w:val="00E40683"/>
    <w:rsid w:val="00E407AC"/>
    <w:rsid w:val="00E40977"/>
    <w:rsid w:val="00E41252"/>
    <w:rsid w:val="00E413E7"/>
    <w:rsid w:val="00E41CB0"/>
    <w:rsid w:val="00E441E4"/>
    <w:rsid w:val="00E441E5"/>
    <w:rsid w:val="00E4440F"/>
    <w:rsid w:val="00E44512"/>
    <w:rsid w:val="00E44D66"/>
    <w:rsid w:val="00E462C0"/>
    <w:rsid w:val="00E4784B"/>
    <w:rsid w:val="00E50C8C"/>
    <w:rsid w:val="00E50E3C"/>
    <w:rsid w:val="00E517DB"/>
    <w:rsid w:val="00E51D37"/>
    <w:rsid w:val="00E51EB6"/>
    <w:rsid w:val="00E52122"/>
    <w:rsid w:val="00E5245C"/>
    <w:rsid w:val="00E529B4"/>
    <w:rsid w:val="00E52BE9"/>
    <w:rsid w:val="00E52D5C"/>
    <w:rsid w:val="00E53EBE"/>
    <w:rsid w:val="00E54B8B"/>
    <w:rsid w:val="00E54FD1"/>
    <w:rsid w:val="00E558B8"/>
    <w:rsid w:val="00E55A9F"/>
    <w:rsid w:val="00E56626"/>
    <w:rsid w:val="00E57914"/>
    <w:rsid w:val="00E60510"/>
    <w:rsid w:val="00E60903"/>
    <w:rsid w:val="00E60FA3"/>
    <w:rsid w:val="00E61E3A"/>
    <w:rsid w:val="00E61E9F"/>
    <w:rsid w:val="00E62300"/>
    <w:rsid w:val="00E627C7"/>
    <w:rsid w:val="00E6367F"/>
    <w:rsid w:val="00E64BEC"/>
    <w:rsid w:val="00E64D3E"/>
    <w:rsid w:val="00E64DB4"/>
    <w:rsid w:val="00E652BF"/>
    <w:rsid w:val="00E65547"/>
    <w:rsid w:val="00E65850"/>
    <w:rsid w:val="00E65E45"/>
    <w:rsid w:val="00E6754D"/>
    <w:rsid w:val="00E70D5D"/>
    <w:rsid w:val="00E70E84"/>
    <w:rsid w:val="00E73FCC"/>
    <w:rsid w:val="00E74049"/>
    <w:rsid w:val="00E740E0"/>
    <w:rsid w:val="00E74D11"/>
    <w:rsid w:val="00E75055"/>
    <w:rsid w:val="00E756BC"/>
    <w:rsid w:val="00E76608"/>
    <w:rsid w:val="00E7665D"/>
    <w:rsid w:val="00E76903"/>
    <w:rsid w:val="00E77B18"/>
    <w:rsid w:val="00E77DF2"/>
    <w:rsid w:val="00E806BE"/>
    <w:rsid w:val="00E8111B"/>
    <w:rsid w:val="00E8113F"/>
    <w:rsid w:val="00E81D83"/>
    <w:rsid w:val="00E82D4B"/>
    <w:rsid w:val="00E82DFD"/>
    <w:rsid w:val="00E83047"/>
    <w:rsid w:val="00E83168"/>
    <w:rsid w:val="00E84DDC"/>
    <w:rsid w:val="00E84E88"/>
    <w:rsid w:val="00E85573"/>
    <w:rsid w:val="00E87498"/>
    <w:rsid w:val="00E878E9"/>
    <w:rsid w:val="00E87A91"/>
    <w:rsid w:val="00E87C4F"/>
    <w:rsid w:val="00E90A98"/>
    <w:rsid w:val="00E90D72"/>
    <w:rsid w:val="00E913A6"/>
    <w:rsid w:val="00E9156F"/>
    <w:rsid w:val="00E91CE1"/>
    <w:rsid w:val="00E91D5E"/>
    <w:rsid w:val="00E91D9F"/>
    <w:rsid w:val="00E9223A"/>
    <w:rsid w:val="00E93496"/>
    <w:rsid w:val="00E93694"/>
    <w:rsid w:val="00E93B42"/>
    <w:rsid w:val="00E94C4A"/>
    <w:rsid w:val="00E94F16"/>
    <w:rsid w:val="00E951F8"/>
    <w:rsid w:val="00E953F0"/>
    <w:rsid w:val="00E95C66"/>
    <w:rsid w:val="00E95DA8"/>
    <w:rsid w:val="00E95F8C"/>
    <w:rsid w:val="00E96BDC"/>
    <w:rsid w:val="00E97615"/>
    <w:rsid w:val="00E97CBC"/>
    <w:rsid w:val="00EA0456"/>
    <w:rsid w:val="00EA1F8F"/>
    <w:rsid w:val="00EA222C"/>
    <w:rsid w:val="00EA25B0"/>
    <w:rsid w:val="00EA26BD"/>
    <w:rsid w:val="00EA2A07"/>
    <w:rsid w:val="00EA2A9D"/>
    <w:rsid w:val="00EA2B27"/>
    <w:rsid w:val="00EA3C89"/>
    <w:rsid w:val="00EA3FAF"/>
    <w:rsid w:val="00EA5098"/>
    <w:rsid w:val="00EA518F"/>
    <w:rsid w:val="00EA5654"/>
    <w:rsid w:val="00EA59DB"/>
    <w:rsid w:val="00EA617F"/>
    <w:rsid w:val="00EA7EDE"/>
    <w:rsid w:val="00EB07C2"/>
    <w:rsid w:val="00EB111A"/>
    <w:rsid w:val="00EB1467"/>
    <w:rsid w:val="00EB1614"/>
    <w:rsid w:val="00EB326E"/>
    <w:rsid w:val="00EB376F"/>
    <w:rsid w:val="00EB487C"/>
    <w:rsid w:val="00EB48E6"/>
    <w:rsid w:val="00EB4C93"/>
    <w:rsid w:val="00EB53CE"/>
    <w:rsid w:val="00EB5746"/>
    <w:rsid w:val="00EB5E80"/>
    <w:rsid w:val="00EB6F7A"/>
    <w:rsid w:val="00EC06CA"/>
    <w:rsid w:val="00EC0A3C"/>
    <w:rsid w:val="00EC0CF7"/>
    <w:rsid w:val="00EC2829"/>
    <w:rsid w:val="00EC2D86"/>
    <w:rsid w:val="00EC3FFB"/>
    <w:rsid w:val="00EC4570"/>
    <w:rsid w:val="00EC4F8A"/>
    <w:rsid w:val="00ED003A"/>
    <w:rsid w:val="00ED05CA"/>
    <w:rsid w:val="00ED093A"/>
    <w:rsid w:val="00ED1E48"/>
    <w:rsid w:val="00ED2749"/>
    <w:rsid w:val="00ED2A92"/>
    <w:rsid w:val="00ED2B77"/>
    <w:rsid w:val="00ED306E"/>
    <w:rsid w:val="00ED314F"/>
    <w:rsid w:val="00ED391B"/>
    <w:rsid w:val="00ED3D79"/>
    <w:rsid w:val="00ED5BA8"/>
    <w:rsid w:val="00ED62B5"/>
    <w:rsid w:val="00ED7C54"/>
    <w:rsid w:val="00EE115A"/>
    <w:rsid w:val="00EE16F1"/>
    <w:rsid w:val="00EE1885"/>
    <w:rsid w:val="00EE2A67"/>
    <w:rsid w:val="00EE304C"/>
    <w:rsid w:val="00EE3CEA"/>
    <w:rsid w:val="00EE459F"/>
    <w:rsid w:val="00EE4CBF"/>
    <w:rsid w:val="00EE504E"/>
    <w:rsid w:val="00EE623F"/>
    <w:rsid w:val="00EE6A05"/>
    <w:rsid w:val="00EE6D63"/>
    <w:rsid w:val="00EE6DD9"/>
    <w:rsid w:val="00EE744E"/>
    <w:rsid w:val="00EE7E05"/>
    <w:rsid w:val="00EF0525"/>
    <w:rsid w:val="00EF086B"/>
    <w:rsid w:val="00EF2651"/>
    <w:rsid w:val="00EF2946"/>
    <w:rsid w:val="00EF31F7"/>
    <w:rsid w:val="00EF3314"/>
    <w:rsid w:val="00EF33CE"/>
    <w:rsid w:val="00EF379C"/>
    <w:rsid w:val="00EF41E8"/>
    <w:rsid w:val="00EF4813"/>
    <w:rsid w:val="00EF5170"/>
    <w:rsid w:val="00EF6148"/>
    <w:rsid w:val="00EF6449"/>
    <w:rsid w:val="00EF6E27"/>
    <w:rsid w:val="00EF788F"/>
    <w:rsid w:val="00EF7AF2"/>
    <w:rsid w:val="00EF7C81"/>
    <w:rsid w:val="00EF7EB0"/>
    <w:rsid w:val="00EF7F0E"/>
    <w:rsid w:val="00F00037"/>
    <w:rsid w:val="00F002BA"/>
    <w:rsid w:val="00F00CA3"/>
    <w:rsid w:val="00F019CC"/>
    <w:rsid w:val="00F0389D"/>
    <w:rsid w:val="00F04157"/>
    <w:rsid w:val="00F047DF"/>
    <w:rsid w:val="00F05211"/>
    <w:rsid w:val="00F05D41"/>
    <w:rsid w:val="00F05DB1"/>
    <w:rsid w:val="00F05ECE"/>
    <w:rsid w:val="00F0602E"/>
    <w:rsid w:val="00F06086"/>
    <w:rsid w:val="00F06BCB"/>
    <w:rsid w:val="00F07654"/>
    <w:rsid w:val="00F07D87"/>
    <w:rsid w:val="00F1096C"/>
    <w:rsid w:val="00F11506"/>
    <w:rsid w:val="00F12FF2"/>
    <w:rsid w:val="00F1310A"/>
    <w:rsid w:val="00F14FD0"/>
    <w:rsid w:val="00F154DF"/>
    <w:rsid w:val="00F156FD"/>
    <w:rsid w:val="00F15B7B"/>
    <w:rsid w:val="00F15DB9"/>
    <w:rsid w:val="00F166C9"/>
    <w:rsid w:val="00F16DE1"/>
    <w:rsid w:val="00F171AE"/>
    <w:rsid w:val="00F171D1"/>
    <w:rsid w:val="00F17706"/>
    <w:rsid w:val="00F17A7C"/>
    <w:rsid w:val="00F17B83"/>
    <w:rsid w:val="00F20699"/>
    <w:rsid w:val="00F214E9"/>
    <w:rsid w:val="00F216E5"/>
    <w:rsid w:val="00F217AD"/>
    <w:rsid w:val="00F21A58"/>
    <w:rsid w:val="00F229F8"/>
    <w:rsid w:val="00F25891"/>
    <w:rsid w:val="00F27157"/>
    <w:rsid w:val="00F27207"/>
    <w:rsid w:val="00F2754E"/>
    <w:rsid w:val="00F276DC"/>
    <w:rsid w:val="00F27DD7"/>
    <w:rsid w:val="00F27EC0"/>
    <w:rsid w:val="00F30486"/>
    <w:rsid w:val="00F30BB1"/>
    <w:rsid w:val="00F31B61"/>
    <w:rsid w:val="00F31F9A"/>
    <w:rsid w:val="00F3225E"/>
    <w:rsid w:val="00F3234E"/>
    <w:rsid w:val="00F325F7"/>
    <w:rsid w:val="00F32A4D"/>
    <w:rsid w:val="00F33225"/>
    <w:rsid w:val="00F334DA"/>
    <w:rsid w:val="00F33705"/>
    <w:rsid w:val="00F35472"/>
    <w:rsid w:val="00F3564E"/>
    <w:rsid w:val="00F35FE5"/>
    <w:rsid w:val="00F36432"/>
    <w:rsid w:val="00F36CDC"/>
    <w:rsid w:val="00F37375"/>
    <w:rsid w:val="00F37CA1"/>
    <w:rsid w:val="00F37DA6"/>
    <w:rsid w:val="00F400C8"/>
    <w:rsid w:val="00F4058B"/>
    <w:rsid w:val="00F40D37"/>
    <w:rsid w:val="00F41690"/>
    <w:rsid w:val="00F41F4D"/>
    <w:rsid w:val="00F42FC5"/>
    <w:rsid w:val="00F44F4B"/>
    <w:rsid w:val="00F4586F"/>
    <w:rsid w:val="00F45A23"/>
    <w:rsid w:val="00F46373"/>
    <w:rsid w:val="00F4680C"/>
    <w:rsid w:val="00F469DA"/>
    <w:rsid w:val="00F47161"/>
    <w:rsid w:val="00F478DE"/>
    <w:rsid w:val="00F50180"/>
    <w:rsid w:val="00F51976"/>
    <w:rsid w:val="00F5198A"/>
    <w:rsid w:val="00F51B53"/>
    <w:rsid w:val="00F523D7"/>
    <w:rsid w:val="00F52536"/>
    <w:rsid w:val="00F526F3"/>
    <w:rsid w:val="00F52F25"/>
    <w:rsid w:val="00F536EE"/>
    <w:rsid w:val="00F54D8B"/>
    <w:rsid w:val="00F557D2"/>
    <w:rsid w:val="00F55923"/>
    <w:rsid w:val="00F55C1E"/>
    <w:rsid w:val="00F574A7"/>
    <w:rsid w:val="00F57F49"/>
    <w:rsid w:val="00F6035C"/>
    <w:rsid w:val="00F60D9E"/>
    <w:rsid w:val="00F60E5F"/>
    <w:rsid w:val="00F61B6F"/>
    <w:rsid w:val="00F62704"/>
    <w:rsid w:val="00F62BCA"/>
    <w:rsid w:val="00F62FE1"/>
    <w:rsid w:val="00F63618"/>
    <w:rsid w:val="00F638C8"/>
    <w:rsid w:val="00F63C2A"/>
    <w:rsid w:val="00F64276"/>
    <w:rsid w:val="00F648C9"/>
    <w:rsid w:val="00F65103"/>
    <w:rsid w:val="00F656AD"/>
    <w:rsid w:val="00F668B4"/>
    <w:rsid w:val="00F67C88"/>
    <w:rsid w:val="00F70818"/>
    <w:rsid w:val="00F710C7"/>
    <w:rsid w:val="00F711C5"/>
    <w:rsid w:val="00F71E28"/>
    <w:rsid w:val="00F73EC4"/>
    <w:rsid w:val="00F74ADE"/>
    <w:rsid w:val="00F75EBB"/>
    <w:rsid w:val="00F765A8"/>
    <w:rsid w:val="00F77A68"/>
    <w:rsid w:val="00F82A28"/>
    <w:rsid w:val="00F833B2"/>
    <w:rsid w:val="00F83501"/>
    <w:rsid w:val="00F83955"/>
    <w:rsid w:val="00F83DC3"/>
    <w:rsid w:val="00F84420"/>
    <w:rsid w:val="00F844EB"/>
    <w:rsid w:val="00F8452E"/>
    <w:rsid w:val="00F8466E"/>
    <w:rsid w:val="00F8469E"/>
    <w:rsid w:val="00F8550F"/>
    <w:rsid w:val="00F86C44"/>
    <w:rsid w:val="00F87B85"/>
    <w:rsid w:val="00F87D05"/>
    <w:rsid w:val="00F901CC"/>
    <w:rsid w:val="00F91F8C"/>
    <w:rsid w:val="00F920C7"/>
    <w:rsid w:val="00F93157"/>
    <w:rsid w:val="00F93A5C"/>
    <w:rsid w:val="00F93B66"/>
    <w:rsid w:val="00F93C9E"/>
    <w:rsid w:val="00F95658"/>
    <w:rsid w:val="00F969C8"/>
    <w:rsid w:val="00F97605"/>
    <w:rsid w:val="00F976D6"/>
    <w:rsid w:val="00FA02DB"/>
    <w:rsid w:val="00FA0C13"/>
    <w:rsid w:val="00FA1059"/>
    <w:rsid w:val="00FA1505"/>
    <w:rsid w:val="00FA1873"/>
    <w:rsid w:val="00FA195C"/>
    <w:rsid w:val="00FA1B9A"/>
    <w:rsid w:val="00FA2606"/>
    <w:rsid w:val="00FA342E"/>
    <w:rsid w:val="00FA3625"/>
    <w:rsid w:val="00FA3688"/>
    <w:rsid w:val="00FA4534"/>
    <w:rsid w:val="00FA4E67"/>
    <w:rsid w:val="00FA501E"/>
    <w:rsid w:val="00FA56F1"/>
    <w:rsid w:val="00FA5B48"/>
    <w:rsid w:val="00FA681D"/>
    <w:rsid w:val="00FA7A2B"/>
    <w:rsid w:val="00FB1520"/>
    <w:rsid w:val="00FB35A4"/>
    <w:rsid w:val="00FB42A5"/>
    <w:rsid w:val="00FB4777"/>
    <w:rsid w:val="00FB549D"/>
    <w:rsid w:val="00FB5563"/>
    <w:rsid w:val="00FB5869"/>
    <w:rsid w:val="00FB5B84"/>
    <w:rsid w:val="00FB6641"/>
    <w:rsid w:val="00FB6703"/>
    <w:rsid w:val="00FB6738"/>
    <w:rsid w:val="00FB71E2"/>
    <w:rsid w:val="00FB7276"/>
    <w:rsid w:val="00FC0048"/>
    <w:rsid w:val="00FC0522"/>
    <w:rsid w:val="00FC1AA9"/>
    <w:rsid w:val="00FC25E6"/>
    <w:rsid w:val="00FC2F54"/>
    <w:rsid w:val="00FC4135"/>
    <w:rsid w:val="00FC54C8"/>
    <w:rsid w:val="00FC56A6"/>
    <w:rsid w:val="00FC5811"/>
    <w:rsid w:val="00FC635C"/>
    <w:rsid w:val="00FC75D3"/>
    <w:rsid w:val="00FC75E5"/>
    <w:rsid w:val="00FC7873"/>
    <w:rsid w:val="00FD0253"/>
    <w:rsid w:val="00FD050A"/>
    <w:rsid w:val="00FD0B94"/>
    <w:rsid w:val="00FD1A82"/>
    <w:rsid w:val="00FD2911"/>
    <w:rsid w:val="00FD2D65"/>
    <w:rsid w:val="00FD326A"/>
    <w:rsid w:val="00FD46D0"/>
    <w:rsid w:val="00FD4D3C"/>
    <w:rsid w:val="00FD5E3A"/>
    <w:rsid w:val="00FD698E"/>
    <w:rsid w:val="00FD6A84"/>
    <w:rsid w:val="00FE074C"/>
    <w:rsid w:val="00FE0B03"/>
    <w:rsid w:val="00FE164B"/>
    <w:rsid w:val="00FE1D12"/>
    <w:rsid w:val="00FE1EDA"/>
    <w:rsid w:val="00FE205C"/>
    <w:rsid w:val="00FE20C9"/>
    <w:rsid w:val="00FE22D0"/>
    <w:rsid w:val="00FE31DF"/>
    <w:rsid w:val="00FE3262"/>
    <w:rsid w:val="00FE32EE"/>
    <w:rsid w:val="00FE33B2"/>
    <w:rsid w:val="00FE3A6F"/>
    <w:rsid w:val="00FE3E4E"/>
    <w:rsid w:val="00FE42CE"/>
    <w:rsid w:val="00FE4C92"/>
    <w:rsid w:val="00FE522D"/>
    <w:rsid w:val="00FE52C2"/>
    <w:rsid w:val="00FE534E"/>
    <w:rsid w:val="00FE5A57"/>
    <w:rsid w:val="00FE60CF"/>
    <w:rsid w:val="00FE620D"/>
    <w:rsid w:val="00FF084D"/>
    <w:rsid w:val="00FF0925"/>
    <w:rsid w:val="00FF0B69"/>
    <w:rsid w:val="00FF1190"/>
    <w:rsid w:val="00FF1726"/>
    <w:rsid w:val="00FF17AC"/>
    <w:rsid w:val="00FF18B1"/>
    <w:rsid w:val="00FF190D"/>
    <w:rsid w:val="00FF2A55"/>
    <w:rsid w:val="00FF2D8E"/>
    <w:rsid w:val="00FF2E90"/>
    <w:rsid w:val="00FF317E"/>
    <w:rsid w:val="00FF4BDE"/>
    <w:rsid w:val="00FF63B1"/>
    <w:rsid w:val="00FF6C99"/>
    <w:rsid w:val="00FF7243"/>
    <w:rsid w:val="00FF756C"/>
    <w:rsid w:val="010B22BF"/>
    <w:rsid w:val="01477DF6"/>
    <w:rsid w:val="01585D83"/>
    <w:rsid w:val="01675C00"/>
    <w:rsid w:val="017F2F66"/>
    <w:rsid w:val="019236FF"/>
    <w:rsid w:val="01B21506"/>
    <w:rsid w:val="01C12788"/>
    <w:rsid w:val="01C3078A"/>
    <w:rsid w:val="01D910C1"/>
    <w:rsid w:val="02172B02"/>
    <w:rsid w:val="026D2185"/>
    <w:rsid w:val="027E6549"/>
    <w:rsid w:val="029D6428"/>
    <w:rsid w:val="03042E1F"/>
    <w:rsid w:val="036B581E"/>
    <w:rsid w:val="03951A9C"/>
    <w:rsid w:val="03B07793"/>
    <w:rsid w:val="03DA45DB"/>
    <w:rsid w:val="04061801"/>
    <w:rsid w:val="044A436A"/>
    <w:rsid w:val="04591674"/>
    <w:rsid w:val="045E3D03"/>
    <w:rsid w:val="04960CC1"/>
    <w:rsid w:val="04B636B0"/>
    <w:rsid w:val="05021CF5"/>
    <w:rsid w:val="0554767A"/>
    <w:rsid w:val="05553238"/>
    <w:rsid w:val="055C5361"/>
    <w:rsid w:val="057F78AE"/>
    <w:rsid w:val="05BC55FF"/>
    <w:rsid w:val="05F344C5"/>
    <w:rsid w:val="0647577E"/>
    <w:rsid w:val="071E3D6E"/>
    <w:rsid w:val="072401B6"/>
    <w:rsid w:val="07244F87"/>
    <w:rsid w:val="074579D3"/>
    <w:rsid w:val="07524999"/>
    <w:rsid w:val="07715302"/>
    <w:rsid w:val="077205C0"/>
    <w:rsid w:val="077B4525"/>
    <w:rsid w:val="07B4284E"/>
    <w:rsid w:val="07E9636F"/>
    <w:rsid w:val="080E623C"/>
    <w:rsid w:val="08195EF3"/>
    <w:rsid w:val="08235A4A"/>
    <w:rsid w:val="085B33C8"/>
    <w:rsid w:val="085C46C4"/>
    <w:rsid w:val="086F58A2"/>
    <w:rsid w:val="089502CD"/>
    <w:rsid w:val="08B95416"/>
    <w:rsid w:val="08E55977"/>
    <w:rsid w:val="096526B6"/>
    <w:rsid w:val="09E84799"/>
    <w:rsid w:val="0A363AF0"/>
    <w:rsid w:val="0AFC7DFC"/>
    <w:rsid w:val="0B3533C3"/>
    <w:rsid w:val="0B582A62"/>
    <w:rsid w:val="0B86796D"/>
    <w:rsid w:val="0BBF52B2"/>
    <w:rsid w:val="0BD82C3F"/>
    <w:rsid w:val="0BDA0738"/>
    <w:rsid w:val="0C1A0510"/>
    <w:rsid w:val="0C6B185E"/>
    <w:rsid w:val="0CA6063E"/>
    <w:rsid w:val="0CD30C2B"/>
    <w:rsid w:val="0D1B5F95"/>
    <w:rsid w:val="0D410293"/>
    <w:rsid w:val="0D5B58CD"/>
    <w:rsid w:val="0D6931DE"/>
    <w:rsid w:val="0DE20272"/>
    <w:rsid w:val="0DFC2C13"/>
    <w:rsid w:val="0E4B045A"/>
    <w:rsid w:val="0E5D0249"/>
    <w:rsid w:val="0E7773AF"/>
    <w:rsid w:val="0EE17FD7"/>
    <w:rsid w:val="0EFA6F28"/>
    <w:rsid w:val="0F3A2AC9"/>
    <w:rsid w:val="0FF0485B"/>
    <w:rsid w:val="1033268E"/>
    <w:rsid w:val="10346C76"/>
    <w:rsid w:val="10574896"/>
    <w:rsid w:val="108913C8"/>
    <w:rsid w:val="108D45A8"/>
    <w:rsid w:val="109D1177"/>
    <w:rsid w:val="11280B30"/>
    <w:rsid w:val="11561218"/>
    <w:rsid w:val="115936E3"/>
    <w:rsid w:val="11A70258"/>
    <w:rsid w:val="120F7599"/>
    <w:rsid w:val="12415B32"/>
    <w:rsid w:val="12432335"/>
    <w:rsid w:val="12F1290D"/>
    <w:rsid w:val="130E0BED"/>
    <w:rsid w:val="1340104E"/>
    <w:rsid w:val="13653A41"/>
    <w:rsid w:val="140C3397"/>
    <w:rsid w:val="143809F8"/>
    <w:rsid w:val="144A2DEF"/>
    <w:rsid w:val="145D22C7"/>
    <w:rsid w:val="149D7253"/>
    <w:rsid w:val="14A9014B"/>
    <w:rsid w:val="14BA1BCC"/>
    <w:rsid w:val="14BE0A79"/>
    <w:rsid w:val="14C17E72"/>
    <w:rsid w:val="14C37442"/>
    <w:rsid w:val="1500003E"/>
    <w:rsid w:val="15930665"/>
    <w:rsid w:val="15B74C13"/>
    <w:rsid w:val="15BE22FF"/>
    <w:rsid w:val="15D85FE2"/>
    <w:rsid w:val="15EB4E45"/>
    <w:rsid w:val="16047358"/>
    <w:rsid w:val="1626496D"/>
    <w:rsid w:val="16B37B07"/>
    <w:rsid w:val="16B8317A"/>
    <w:rsid w:val="16C43553"/>
    <w:rsid w:val="16EF7BA5"/>
    <w:rsid w:val="16FD008D"/>
    <w:rsid w:val="17893D02"/>
    <w:rsid w:val="178C784F"/>
    <w:rsid w:val="17B46EBC"/>
    <w:rsid w:val="17CD594A"/>
    <w:rsid w:val="17EB3DD8"/>
    <w:rsid w:val="18111F8B"/>
    <w:rsid w:val="1837794E"/>
    <w:rsid w:val="183B4C5D"/>
    <w:rsid w:val="184D0C7A"/>
    <w:rsid w:val="18524BAC"/>
    <w:rsid w:val="18592B10"/>
    <w:rsid w:val="185968F5"/>
    <w:rsid w:val="18782CC4"/>
    <w:rsid w:val="18BC7A5E"/>
    <w:rsid w:val="19033734"/>
    <w:rsid w:val="1932689D"/>
    <w:rsid w:val="19536E25"/>
    <w:rsid w:val="198733AD"/>
    <w:rsid w:val="19991EEC"/>
    <w:rsid w:val="19EA6197"/>
    <w:rsid w:val="19F54BAF"/>
    <w:rsid w:val="1A125EDC"/>
    <w:rsid w:val="1A1B6321"/>
    <w:rsid w:val="1A3D316E"/>
    <w:rsid w:val="1A617F9D"/>
    <w:rsid w:val="1A917E62"/>
    <w:rsid w:val="1AAB41FD"/>
    <w:rsid w:val="1B4825F1"/>
    <w:rsid w:val="1B4B17D0"/>
    <w:rsid w:val="1B52084A"/>
    <w:rsid w:val="1B6B19AF"/>
    <w:rsid w:val="1B7B4D26"/>
    <w:rsid w:val="1B7E3CB0"/>
    <w:rsid w:val="1BEE4193"/>
    <w:rsid w:val="1BF64F4F"/>
    <w:rsid w:val="1C84376D"/>
    <w:rsid w:val="1C8A6593"/>
    <w:rsid w:val="1D282EFD"/>
    <w:rsid w:val="1D5D0D7A"/>
    <w:rsid w:val="1D63771D"/>
    <w:rsid w:val="1DFFD9BF"/>
    <w:rsid w:val="1E1932E1"/>
    <w:rsid w:val="1E674FC9"/>
    <w:rsid w:val="1E8E691C"/>
    <w:rsid w:val="1E98103E"/>
    <w:rsid w:val="1EBF09D7"/>
    <w:rsid w:val="1F2209E9"/>
    <w:rsid w:val="1F51520F"/>
    <w:rsid w:val="1F851444"/>
    <w:rsid w:val="1FB802F2"/>
    <w:rsid w:val="1FCB119D"/>
    <w:rsid w:val="1FD63FF1"/>
    <w:rsid w:val="1FE86B3C"/>
    <w:rsid w:val="20571479"/>
    <w:rsid w:val="20BE0AEB"/>
    <w:rsid w:val="211D3931"/>
    <w:rsid w:val="2125229D"/>
    <w:rsid w:val="212B30B6"/>
    <w:rsid w:val="214231F9"/>
    <w:rsid w:val="21604FB1"/>
    <w:rsid w:val="21905375"/>
    <w:rsid w:val="21936E30"/>
    <w:rsid w:val="21A0524B"/>
    <w:rsid w:val="21CD54CF"/>
    <w:rsid w:val="21E0768C"/>
    <w:rsid w:val="21F86024"/>
    <w:rsid w:val="22175620"/>
    <w:rsid w:val="22212092"/>
    <w:rsid w:val="224E750C"/>
    <w:rsid w:val="228F4DE2"/>
    <w:rsid w:val="22C90207"/>
    <w:rsid w:val="23444129"/>
    <w:rsid w:val="23A53168"/>
    <w:rsid w:val="23DD61F9"/>
    <w:rsid w:val="241365FC"/>
    <w:rsid w:val="24843698"/>
    <w:rsid w:val="24AE4580"/>
    <w:rsid w:val="24CE5D6E"/>
    <w:rsid w:val="24DD2E9C"/>
    <w:rsid w:val="24E0523F"/>
    <w:rsid w:val="24FC0C90"/>
    <w:rsid w:val="25116156"/>
    <w:rsid w:val="25197D36"/>
    <w:rsid w:val="25272A37"/>
    <w:rsid w:val="252A0AD7"/>
    <w:rsid w:val="254F2F0D"/>
    <w:rsid w:val="257E1F49"/>
    <w:rsid w:val="259D71CD"/>
    <w:rsid w:val="25BF1F60"/>
    <w:rsid w:val="25F468ED"/>
    <w:rsid w:val="26013F03"/>
    <w:rsid w:val="26056E8A"/>
    <w:rsid w:val="26274B5A"/>
    <w:rsid w:val="267E5ADA"/>
    <w:rsid w:val="268C7753"/>
    <w:rsid w:val="26961CF6"/>
    <w:rsid w:val="26EA575C"/>
    <w:rsid w:val="26FC2724"/>
    <w:rsid w:val="2705677C"/>
    <w:rsid w:val="272376E9"/>
    <w:rsid w:val="2753664C"/>
    <w:rsid w:val="27991A32"/>
    <w:rsid w:val="27AA1E24"/>
    <w:rsid w:val="27E51E09"/>
    <w:rsid w:val="281D1919"/>
    <w:rsid w:val="28450329"/>
    <w:rsid w:val="284E121B"/>
    <w:rsid w:val="28557F50"/>
    <w:rsid w:val="288C38D8"/>
    <w:rsid w:val="289F35E5"/>
    <w:rsid w:val="28A06623"/>
    <w:rsid w:val="28E54A9E"/>
    <w:rsid w:val="29995B0D"/>
    <w:rsid w:val="29B21742"/>
    <w:rsid w:val="29CD4867"/>
    <w:rsid w:val="2A0E6D39"/>
    <w:rsid w:val="2A37136A"/>
    <w:rsid w:val="2A816277"/>
    <w:rsid w:val="2A966EAE"/>
    <w:rsid w:val="2AE610ED"/>
    <w:rsid w:val="2B3C660D"/>
    <w:rsid w:val="2B5A6805"/>
    <w:rsid w:val="2BB26C42"/>
    <w:rsid w:val="2BE86DD4"/>
    <w:rsid w:val="2C7E3F14"/>
    <w:rsid w:val="2C9373B1"/>
    <w:rsid w:val="2CBD3A81"/>
    <w:rsid w:val="2D0D0F6C"/>
    <w:rsid w:val="2D31190F"/>
    <w:rsid w:val="2D447E0E"/>
    <w:rsid w:val="2D5474A6"/>
    <w:rsid w:val="2D5F2018"/>
    <w:rsid w:val="2D5FC0E4"/>
    <w:rsid w:val="2D9E2BDC"/>
    <w:rsid w:val="2DFB71A2"/>
    <w:rsid w:val="2E1E5C40"/>
    <w:rsid w:val="2E2154A7"/>
    <w:rsid w:val="2E42139C"/>
    <w:rsid w:val="2E656FD2"/>
    <w:rsid w:val="2E670CC4"/>
    <w:rsid w:val="2E9C205A"/>
    <w:rsid w:val="2EB4353D"/>
    <w:rsid w:val="2F4847BE"/>
    <w:rsid w:val="2F7C58A4"/>
    <w:rsid w:val="2FE17DD7"/>
    <w:rsid w:val="2FF63A3A"/>
    <w:rsid w:val="30066D3C"/>
    <w:rsid w:val="30244A7B"/>
    <w:rsid w:val="30500350"/>
    <w:rsid w:val="309C6923"/>
    <w:rsid w:val="30AC4667"/>
    <w:rsid w:val="30BE5C11"/>
    <w:rsid w:val="30C61205"/>
    <w:rsid w:val="30F84F44"/>
    <w:rsid w:val="311B4858"/>
    <w:rsid w:val="31B34F5B"/>
    <w:rsid w:val="31C76103"/>
    <w:rsid w:val="31DA682F"/>
    <w:rsid w:val="31E06798"/>
    <w:rsid w:val="31F75CA1"/>
    <w:rsid w:val="320F6140"/>
    <w:rsid w:val="32184C4A"/>
    <w:rsid w:val="322F1B9D"/>
    <w:rsid w:val="327947E1"/>
    <w:rsid w:val="32EC3A7E"/>
    <w:rsid w:val="33133A2B"/>
    <w:rsid w:val="331A6D5B"/>
    <w:rsid w:val="3354739B"/>
    <w:rsid w:val="336B250C"/>
    <w:rsid w:val="339D29DC"/>
    <w:rsid w:val="33C618D6"/>
    <w:rsid w:val="33FF2D73"/>
    <w:rsid w:val="342844FA"/>
    <w:rsid w:val="343839CB"/>
    <w:rsid w:val="345A6307"/>
    <w:rsid w:val="346A286F"/>
    <w:rsid w:val="347F190D"/>
    <w:rsid w:val="34B271AA"/>
    <w:rsid w:val="354923F0"/>
    <w:rsid w:val="35556A0F"/>
    <w:rsid w:val="3565764E"/>
    <w:rsid w:val="35684401"/>
    <w:rsid w:val="356B543D"/>
    <w:rsid w:val="35841412"/>
    <w:rsid w:val="3645589B"/>
    <w:rsid w:val="36813F90"/>
    <w:rsid w:val="36DA5A01"/>
    <w:rsid w:val="37080424"/>
    <w:rsid w:val="373B711F"/>
    <w:rsid w:val="37525A26"/>
    <w:rsid w:val="37927700"/>
    <w:rsid w:val="379F1CCC"/>
    <w:rsid w:val="37DA56D8"/>
    <w:rsid w:val="37DD1F80"/>
    <w:rsid w:val="37EA02D3"/>
    <w:rsid w:val="38283F0F"/>
    <w:rsid w:val="382A06A9"/>
    <w:rsid w:val="38690C21"/>
    <w:rsid w:val="38736D6A"/>
    <w:rsid w:val="38C10001"/>
    <w:rsid w:val="38C602AF"/>
    <w:rsid w:val="391D3829"/>
    <w:rsid w:val="39285304"/>
    <w:rsid w:val="397F2F54"/>
    <w:rsid w:val="398F0FFC"/>
    <w:rsid w:val="398F3CA1"/>
    <w:rsid w:val="39AF6E87"/>
    <w:rsid w:val="39E065C6"/>
    <w:rsid w:val="39E24237"/>
    <w:rsid w:val="39E3652C"/>
    <w:rsid w:val="3A38094C"/>
    <w:rsid w:val="3A4B6C9E"/>
    <w:rsid w:val="3A7E47CB"/>
    <w:rsid w:val="3B053B39"/>
    <w:rsid w:val="3B3D36AA"/>
    <w:rsid w:val="3B536376"/>
    <w:rsid w:val="3B8576B0"/>
    <w:rsid w:val="3B944BE1"/>
    <w:rsid w:val="3BC4103C"/>
    <w:rsid w:val="3BF6086A"/>
    <w:rsid w:val="3C5373A2"/>
    <w:rsid w:val="3C6C127E"/>
    <w:rsid w:val="3CAD3B9A"/>
    <w:rsid w:val="3CDB69FF"/>
    <w:rsid w:val="3CEC4000"/>
    <w:rsid w:val="3D9E2B22"/>
    <w:rsid w:val="3DE02F55"/>
    <w:rsid w:val="3DE05719"/>
    <w:rsid w:val="3DFF5FCD"/>
    <w:rsid w:val="3E4623E6"/>
    <w:rsid w:val="3E492C5C"/>
    <w:rsid w:val="3EA35764"/>
    <w:rsid w:val="3ECC67EA"/>
    <w:rsid w:val="3EE13EE9"/>
    <w:rsid w:val="3EF44577"/>
    <w:rsid w:val="3F0F0BE2"/>
    <w:rsid w:val="3F3C2B8E"/>
    <w:rsid w:val="3F694895"/>
    <w:rsid w:val="3F9E7CF1"/>
    <w:rsid w:val="3FB472AD"/>
    <w:rsid w:val="3FDA3976"/>
    <w:rsid w:val="3FEEAA64"/>
    <w:rsid w:val="3FEF3FC9"/>
    <w:rsid w:val="3FF52E19"/>
    <w:rsid w:val="403E1960"/>
    <w:rsid w:val="40496A40"/>
    <w:rsid w:val="407C318D"/>
    <w:rsid w:val="40B651B6"/>
    <w:rsid w:val="40C22711"/>
    <w:rsid w:val="40D65D0B"/>
    <w:rsid w:val="410B50C8"/>
    <w:rsid w:val="41122101"/>
    <w:rsid w:val="415E6AEF"/>
    <w:rsid w:val="41821120"/>
    <w:rsid w:val="41A85855"/>
    <w:rsid w:val="41B056FD"/>
    <w:rsid w:val="41B45A71"/>
    <w:rsid w:val="41B829FD"/>
    <w:rsid w:val="41BD104F"/>
    <w:rsid w:val="41D946F0"/>
    <w:rsid w:val="42DA5A94"/>
    <w:rsid w:val="430950B9"/>
    <w:rsid w:val="431A3F12"/>
    <w:rsid w:val="43352D37"/>
    <w:rsid w:val="440D33ED"/>
    <w:rsid w:val="446318F4"/>
    <w:rsid w:val="44DF29F6"/>
    <w:rsid w:val="452F446F"/>
    <w:rsid w:val="453829F6"/>
    <w:rsid w:val="453D481B"/>
    <w:rsid w:val="4561560D"/>
    <w:rsid w:val="458C3719"/>
    <w:rsid w:val="45EC73BA"/>
    <w:rsid w:val="45EE1AFF"/>
    <w:rsid w:val="46223E12"/>
    <w:rsid w:val="462B1DDD"/>
    <w:rsid w:val="46307D05"/>
    <w:rsid w:val="463E118C"/>
    <w:rsid w:val="46491B6F"/>
    <w:rsid w:val="465B2D8B"/>
    <w:rsid w:val="46776605"/>
    <w:rsid w:val="469B3313"/>
    <w:rsid w:val="46D17B65"/>
    <w:rsid w:val="46D93CF1"/>
    <w:rsid w:val="470A538B"/>
    <w:rsid w:val="475A41A2"/>
    <w:rsid w:val="478D229A"/>
    <w:rsid w:val="47B543C7"/>
    <w:rsid w:val="47F71EB6"/>
    <w:rsid w:val="483D2B0E"/>
    <w:rsid w:val="48800D4D"/>
    <w:rsid w:val="48BE3356"/>
    <w:rsid w:val="48D573B2"/>
    <w:rsid w:val="48EF0B1C"/>
    <w:rsid w:val="48EF6644"/>
    <w:rsid w:val="4901632C"/>
    <w:rsid w:val="49367DCB"/>
    <w:rsid w:val="493E6225"/>
    <w:rsid w:val="49AC5302"/>
    <w:rsid w:val="49B204CE"/>
    <w:rsid w:val="4A014102"/>
    <w:rsid w:val="4ADF0021"/>
    <w:rsid w:val="4B6B2624"/>
    <w:rsid w:val="4B7163E4"/>
    <w:rsid w:val="4B814C16"/>
    <w:rsid w:val="4BCF5A03"/>
    <w:rsid w:val="4BD051C6"/>
    <w:rsid w:val="4BFA28DF"/>
    <w:rsid w:val="4C096C91"/>
    <w:rsid w:val="4C1F4426"/>
    <w:rsid w:val="4C2F52B9"/>
    <w:rsid w:val="4C5E40D5"/>
    <w:rsid w:val="4C8062FB"/>
    <w:rsid w:val="4CA448D9"/>
    <w:rsid w:val="4CB03E07"/>
    <w:rsid w:val="4CCA578B"/>
    <w:rsid w:val="4CE12FF4"/>
    <w:rsid w:val="4CE6624D"/>
    <w:rsid w:val="4D022AC8"/>
    <w:rsid w:val="4D136991"/>
    <w:rsid w:val="4D224F15"/>
    <w:rsid w:val="4D2EF403"/>
    <w:rsid w:val="4D514C87"/>
    <w:rsid w:val="4D560C1D"/>
    <w:rsid w:val="4D654DCD"/>
    <w:rsid w:val="4DBC0010"/>
    <w:rsid w:val="4DD642A7"/>
    <w:rsid w:val="4DFB1F60"/>
    <w:rsid w:val="4E2E6792"/>
    <w:rsid w:val="4E9776CC"/>
    <w:rsid w:val="4EA24854"/>
    <w:rsid w:val="4EE71FFE"/>
    <w:rsid w:val="4EE96F7A"/>
    <w:rsid w:val="4F341B4C"/>
    <w:rsid w:val="4F967008"/>
    <w:rsid w:val="4F9A2C4A"/>
    <w:rsid w:val="4FEA2CB9"/>
    <w:rsid w:val="50673179"/>
    <w:rsid w:val="51024103"/>
    <w:rsid w:val="510E79A5"/>
    <w:rsid w:val="51674809"/>
    <w:rsid w:val="51F65161"/>
    <w:rsid w:val="51F66AA6"/>
    <w:rsid w:val="51F71ED3"/>
    <w:rsid w:val="520B4AAB"/>
    <w:rsid w:val="52117B0C"/>
    <w:rsid w:val="52450ED8"/>
    <w:rsid w:val="52506A76"/>
    <w:rsid w:val="52757B0E"/>
    <w:rsid w:val="5276311A"/>
    <w:rsid w:val="52ED1546"/>
    <w:rsid w:val="530E2528"/>
    <w:rsid w:val="5336216F"/>
    <w:rsid w:val="536476E1"/>
    <w:rsid w:val="537D695B"/>
    <w:rsid w:val="538637CC"/>
    <w:rsid w:val="53863D11"/>
    <w:rsid w:val="538C545F"/>
    <w:rsid w:val="53947B06"/>
    <w:rsid w:val="53C96B19"/>
    <w:rsid w:val="53D05CE3"/>
    <w:rsid w:val="53EB1A58"/>
    <w:rsid w:val="53FE2BC8"/>
    <w:rsid w:val="541E0424"/>
    <w:rsid w:val="54366A1C"/>
    <w:rsid w:val="546E205D"/>
    <w:rsid w:val="547A5B6F"/>
    <w:rsid w:val="549F52E8"/>
    <w:rsid w:val="54D6605C"/>
    <w:rsid w:val="54DD64C8"/>
    <w:rsid w:val="55264138"/>
    <w:rsid w:val="55613240"/>
    <w:rsid w:val="55773420"/>
    <w:rsid w:val="558C68FC"/>
    <w:rsid w:val="559E5A11"/>
    <w:rsid w:val="55A5347D"/>
    <w:rsid w:val="564121B6"/>
    <w:rsid w:val="564A3756"/>
    <w:rsid w:val="57142670"/>
    <w:rsid w:val="574D57E6"/>
    <w:rsid w:val="57CA0115"/>
    <w:rsid w:val="57D0743E"/>
    <w:rsid w:val="57F20686"/>
    <w:rsid w:val="58091BB9"/>
    <w:rsid w:val="583C03D8"/>
    <w:rsid w:val="586755A8"/>
    <w:rsid w:val="58C77C4C"/>
    <w:rsid w:val="58CE431A"/>
    <w:rsid w:val="58F16A74"/>
    <w:rsid w:val="58F214AF"/>
    <w:rsid w:val="58FF210C"/>
    <w:rsid w:val="59090384"/>
    <w:rsid w:val="59125105"/>
    <w:rsid w:val="59406718"/>
    <w:rsid w:val="59790DC9"/>
    <w:rsid w:val="597B61E4"/>
    <w:rsid w:val="599649A8"/>
    <w:rsid w:val="59A55470"/>
    <w:rsid w:val="59AA44AC"/>
    <w:rsid w:val="59EB516A"/>
    <w:rsid w:val="5A114393"/>
    <w:rsid w:val="5A2D5403"/>
    <w:rsid w:val="5A582575"/>
    <w:rsid w:val="5A726D75"/>
    <w:rsid w:val="5A72701C"/>
    <w:rsid w:val="5B274488"/>
    <w:rsid w:val="5B532A3F"/>
    <w:rsid w:val="5B7D5C8B"/>
    <w:rsid w:val="5B9A61E2"/>
    <w:rsid w:val="5BBA672B"/>
    <w:rsid w:val="5BC92996"/>
    <w:rsid w:val="5BCE3868"/>
    <w:rsid w:val="5BDE1DC2"/>
    <w:rsid w:val="5CA07A90"/>
    <w:rsid w:val="5CB30787"/>
    <w:rsid w:val="5CDD378B"/>
    <w:rsid w:val="5D4C62B0"/>
    <w:rsid w:val="5D5338AC"/>
    <w:rsid w:val="5D7173C7"/>
    <w:rsid w:val="5D790044"/>
    <w:rsid w:val="5D8D340D"/>
    <w:rsid w:val="5D94619C"/>
    <w:rsid w:val="5DD2076A"/>
    <w:rsid w:val="5E882E35"/>
    <w:rsid w:val="5EA60235"/>
    <w:rsid w:val="5EB159A8"/>
    <w:rsid w:val="5F160263"/>
    <w:rsid w:val="5F580586"/>
    <w:rsid w:val="5F792E95"/>
    <w:rsid w:val="5F952C4F"/>
    <w:rsid w:val="5FA36AB1"/>
    <w:rsid w:val="5FAD40F5"/>
    <w:rsid w:val="5FB02792"/>
    <w:rsid w:val="5FB32D21"/>
    <w:rsid w:val="5FB5513D"/>
    <w:rsid w:val="5FC91F92"/>
    <w:rsid w:val="5FCA43B9"/>
    <w:rsid w:val="5FD20458"/>
    <w:rsid w:val="5FDA1AB5"/>
    <w:rsid w:val="5FDC6A46"/>
    <w:rsid w:val="5FF27F8E"/>
    <w:rsid w:val="602225C6"/>
    <w:rsid w:val="60351019"/>
    <w:rsid w:val="60517652"/>
    <w:rsid w:val="60671D01"/>
    <w:rsid w:val="60A82F9D"/>
    <w:rsid w:val="60C154BA"/>
    <w:rsid w:val="60D763FE"/>
    <w:rsid w:val="614208AF"/>
    <w:rsid w:val="61FD1633"/>
    <w:rsid w:val="6206374F"/>
    <w:rsid w:val="620D5F4E"/>
    <w:rsid w:val="62574B9F"/>
    <w:rsid w:val="62672FAF"/>
    <w:rsid w:val="626F6054"/>
    <w:rsid w:val="62750B1A"/>
    <w:rsid w:val="62BA1672"/>
    <w:rsid w:val="62E61C76"/>
    <w:rsid w:val="62FB74EE"/>
    <w:rsid w:val="63127E64"/>
    <w:rsid w:val="633D3934"/>
    <w:rsid w:val="63656FAE"/>
    <w:rsid w:val="63827AFC"/>
    <w:rsid w:val="639D0D3D"/>
    <w:rsid w:val="63A70D24"/>
    <w:rsid w:val="63BA50B5"/>
    <w:rsid w:val="63D20880"/>
    <w:rsid w:val="63F15EA2"/>
    <w:rsid w:val="64380F8E"/>
    <w:rsid w:val="644902DF"/>
    <w:rsid w:val="64670A4D"/>
    <w:rsid w:val="647369F2"/>
    <w:rsid w:val="648010BA"/>
    <w:rsid w:val="64825AEF"/>
    <w:rsid w:val="64BC449E"/>
    <w:rsid w:val="64E161B1"/>
    <w:rsid w:val="6518256A"/>
    <w:rsid w:val="653B397C"/>
    <w:rsid w:val="65446C6D"/>
    <w:rsid w:val="65560944"/>
    <w:rsid w:val="6582167A"/>
    <w:rsid w:val="65903CFB"/>
    <w:rsid w:val="65E22B7D"/>
    <w:rsid w:val="65E358E4"/>
    <w:rsid w:val="660974CA"/>
    <w:rsid w:val="66144B02"/>
    <w:rsid w:val="661F1DE7"/>
    <w:rsid w:val="663A5C37"/>
    <w:rsid w:val="66B80FD4"/>
    <w:rsid w:val="672E4EBD"/>
    <w:rsid w:val="674939D6"/>
    <w:rsid w:val="675E59B4"/>
    <w:rsid w:val="67827ABF"/>
    <w:rsid w:val="67B67DBB"/>
    <w:rsid w:val="67CC2F67"/>
    <w:rsid w:val="67CC543C"/>
    <w:rsid w:val="67F16764"/>
    <w:rsid w:val="67F9B2EC"/>
    <w:rsid w:val="67FF273B"/>
    <w:rsid w:val="681A4FC4"/>
    <w:rsid w:val="686C48BF"/>
    <w:rsid w:val="68917019"/>
    <w:rsid w:val="68C726A5"/>
    <w:rsid w:val="6948378F"/>
    <w:rsid w:val="698352E7"/>
    <w:rsid w:val="6984327E"/>
    <w:rsid w:val="69873C4D"/>
    <w:rsid w:val="698D7F90"/>
    <w:rsid w:val="69971CDC"/>
    <w:rsid w:val="69C015CA"/>
    <w:rsid w:val="6A223EA6"/>
    <w:rsid w:val="6A48588C"/>
    <w:rsid w:val="6A575A70"/>
    <w:rsid w:val="6A5C01F5"/>
    <w:rsid w:val="6A620056"/>
    <w:rsid w:val="6A7B356D"/>
    <w:rsid w:val="6AC31DB0"/>
    <w:rsid w:val="6B452BBB"/>
    <w:rsid w:val="6B454B57"/>
    <w:rsid w:val="6BD82612"/>
    <w:rsid w:val="6BE20FB1"/>
    <w:rsid w:val="6C6C68CE"/>
    <w:rsid w:val="6CA134AA"/>
    <w:rsid w:val="6CD85494"/>
    <w:rsid w:val="6D5761CF"/>
    <w:rsid w:val="6DB406A7"/>
    <w:rsid w:val="6DEE25FE"/>
    <w:rsid w:val="6DF53E4D"/>
    <w:rsid w:val="6E310F21"/>
    <w:rsid w:val="6E6E27A6"/>
    <w:rsid w:val="6E753F28"/>
    <w:rsid w:val="6E83368B"/>
    <w:rsid w:val="6EA52E4E"/>
    <w:rsid w:val="6EA97457"/>
    <w:rsid w:val="6ECE0C85"/>
    <w:rsid w:val="6F6018A4"/>
    <w:rsid w:val="6F693189"/>
    <w:rsid w:val="6F9DC60E"/>
    <w:rsid w:val="6FBE7F0D"/>
    <w:rsid w:val="7007308C"/>
    <w:rsid w:val="704E41A8"/>
    <w:rsid w:val="70BB75A3"/>
    <w:rsid w:val="70C578A2"/>
    <w:rsid w:val="70E50A34"/>
    <w:rsid w:val="70F63668"/>
    <w:rsid w:val="71526B69"/>
    <w:rsid w:val="7160281F"/>
    <w:rsid w:val="719A6BE7"/>
    <w:rsid w:val="71C923CC"/>
    <w:rsid w:val="71EB5739"/>
    <w:rsid w:val="720D5060"/>
    <w:rsid w:val="72306B38"/>
    <w:rsid w:val="72373D93"/>
    <w:rsid w:val="727A5985"/>
    <w:rsid w:val="727C6D52"/>
    <w:rsid w:val="731B3719"/>
    <w:rsid w:val="739B4217"/>
    <w:rsid w:val="74530C41"/>
    <w:rsid w:val="74670BD3"/>
    <w:rsid w:val="746A18D5"/>
    <w:rsid w:val="748F72A5"/>
    <w:rsid w:val="749C79C6"/>
    <w:rsid w:val="74B15D62"/>
    <w:rsid w:val="74E1677B"/>
    <w:rsid w:val="75050C6E"/>
    <w:rsid w:val="75521329"/>
    <w:rsid w:val="75603FA8"/>
    <w:rsid w:val="75F046B7"/>
    <w:rsid w:val="75F72AAB"/>
    <w:rsid w:val="76212B09"/>
    <w:rsid w:val="76366FA8"/>
    <w:rsid w:val="767E9AD9"/>
    <w:rsid w:val="76BC2E9C"/>
    <w:rsid w:val="7715018B"/>
    <w:rsid w:val="775A2047"/>
    <w:rsid w:val="778174BF"/>
    <w:rsid w:val="779A53B2"/>
    <w:rsid w:val="77A812CC"/>
    <w:rsid w:val="77D537C7"/>
    <w:rsid w:val="785A6E89"/>
    <w:rsid w:val="78786AE6"/>
    <w:rsid w:val="78B53B73"/>
    <w:rsid w:val="78BF11F1"/>
    <w:rsid w:val="7916585A"/>
    <w:rsid w:val="791F6B25"/>
    <w:rsid w:val="79257414"/>
    <w:rsid w:val="799B60AC"/>
    <w:rsid w:val="79A24AE0"/>
    <w:rsid w:val="79E8413F"/>
    <w:rsid w:val="7A140EFA"/>
    <w:rsid w:val="7A3054FE"/>
    <w:rsid w:val="7A3754CF"/>
    <w:rsid w:val="7A8667B3"/>
    <w:rsid w:val="7A8F3AAE"/>
    <w:rsid w:val="7AA1406E"/>
    <w:rsid w:val="7AB41161"/>
    <w:rsid w:val="7B1A0118"/>
    <w:rsid w:val="7B486EC0"/>
    <w:rsid w:val="7BBD4F47"/>
    <w:rsid w:val="7BDECB6F"/>
    <w:rsid w:val="7C2050E3"/>
    <w:rsid w:val="7C6C33AC"/>
    <w:rsid w:val="7C9977CC"/>
    <w:rsid w:val="7CBA7768"/>
    <w:rsid w:val="7CCA289C"/>
    <w:rsid w:val="7CFEB1EA"/>
    <w:rsid w:val="7D0668E7"/>
    <w:rsid w:val="7D86695B"/>
    <w:rsid w:val="7DA95022"/>
    <w:rsid w:val="7DBE536A"/>
    <w:rsid w:val="7DD54C56"/>
    <w:rsid w:val="7DEA07E4"/>
    <w:rsid w:val="7DEF3717"/>
    <w:rsid w:val="7E006375"/>
    <w:rsid w:val="7E317C24"/>
    <w:rsid w:val="7E48019B"/>
    <w:rsid w:val="7E5029B5"/>
    <w:rsid w:val="7E514C6E"/>
    <w:rsid w:val="7E682726"/>
    <w:rsid w:val="7E811580"/>
    <w:rsid w:val="7EEC4A8A"/>
    <w:rsid w:val="7F325C7E"/>
    <w:rsid w:val="7F52516C"/>
    <w:rsid w:val="7F6F242B"/>
    <w:rsid w:val="7F7736ED"/>
    <w:rsid w:val="7F7B02A3"/>
    <w:rsid w:val="7F7C1CF8"/>
    <w:rsid w:val="7F8B3675"/>
    <w:rsid w:val="7F980CE9"/>
    <w:rsid w:val="7FA11504"/>
    <w:rsid w:val="7FE7D689"/>
    <w:rsid w:val="7FFC2B80"/>
    <w:rsid w:val="9FD7D4DF"/>
    <w:rsid w:val="A6EFBB00"/>
    <w:rsid w:val="ADF913DC"/>
    <w:rsid w:val="BCDFDF96"/>
    <w:rsid w:val="BECEE61A"/>
    <w:rsid w:val="BFFC3EF0"/>
    <w:rsid w:val="D7D7DAFC"/>
    <w:rsid w:val="DBFFD457"/>
    <w:rsid w:val="DEFFE100"/>
    <w:rsid w:val="DFFE7479"/>
    <w:rsid w:val="EFB1A551"/>
    <w:rsid w:val="EFBFCDC1"/>
    <w:rsid w:val="EFFB46B6"/>
    <w:rsid w:val="F3BE2247"/>
    <w:rsid w:val="F3FF673F"/>
    <w:rsid w:val="F7F5B293"/>
    <w:rsid w:val="FF7752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75"/>
    <w:qFormat/>
    <w:uiPriority w:val="9"/>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3">
    <w:name w:val="heading 2"/>
    <w:basedOn w:val="1"/>
    <w:next w:val="1"/>
    <w:link w:val="7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7"/>
    <w:qFormat/>
    <w:uiPriority w:val="99"/>
    <w:pPr>
      <w:keepNext/>
      <w:keepLines/>
      <w:widowControl w:val="0"/>
      <w:tabs>
        <w:tab w:val="left" w:pos="864"/>
      </w:tabs>
      <w:spacing w:before="280" w:after="290" w:line="376" w:lineRule="auto"/>
      <w:jc w:val="both"/>
      <w:outlineLvl w:val="3"/>
    </w:pPr>
    <w:rPr>
      <w:rFonts w:ascii="Arial" w:hAnsi="Arial" w:eastAsia="黑体"/>
      <w:b/>
      <w:bCs/>
      <w:kern w:val="2"/>
      <w:sz w:val="28"/>
      <w:szCs w:val="28"/>
      <w:lang w:val="zh-CN"/>
    </w:rPr>
  </w:style>
  <w:style w:type="paragraph" w:styleId="6">
    <w:name w:val="heading 5"/>
    <w:basedOn w:val="1"/>
    <w:next w:val="1"/>
    <w:link w:val="78"/>
    <w:qFormat/>
    <w:uiPriority w:val="0"/>
    <w:pPr>
      <w:keepNext/>
      <w:keepLines/>
      <w:widowControl w:val="0"/>
      <w:tabs>
        <w:tab w:val="left" w:pos="1008"/>
      </w:tabs>
      <w:spacing w:before="280" w:after="290" w:line="376" w:lineRule="auto"/>
      <w:jc w:val="both"/>
      <w:outlineLvl w:val="4"/>
    </w:pPr>
    <w:rPr>
      <w:rFonts w:ascii="Calibri" w:hAnsi="Calibri"/>
      <w:b/>
      <w:bCs/>
      <w:kern w:val="2"/>
      <w:sz w:val="28"/>
      <w:szCs w:val="28"/>
    </w:rPr>
  </w:style>
  <w:style w:type="paragraph" w:styleId="7">
    <w:name w:val="heading 6"/>
    <w:basedOn w:val="1"/>
    <w:next w:val="1"/>
    <w:link w:val="79"/>
    <w:qFormat/>
    <w:uiPriority w:val="0"/>
    <w:pPr>
      <w:keepNext/>
      <w:keepLines/>
      <w:widowControl w:val="0"/>
      <w:tabs>
        <w:tab w:val="left" w:pos="1152"/>
      </w:tabs>
      <w:spacing w:before="240" w:after="64" w:line="320" w:lineRule="auto"/>
      <w:jc w:val="both"/>
      <w:outlineLvl w:val="5"/>
    </w:pPr>
    <w:rPr>
      <w:rFonts w:ascii="Arial" w:hAnsi="Arial" w:eastAsia="黑体"/>
      <w:b/>
      <w:bCs/>
      <w:kern w:val="2"/>
      <w:sz w:val="24"/>
      <w:szCs w:val="24"/>
    </w:rPr>
  </w:style>
  <w:style w:type="paragraph" w:styleId="8">
    <w:name w:val="heading 7"/>
    <w:basedOn w:val="1"/>
    <w:next w:val="1"/>
    <w:link w:val="80"/>
    <w:qFormat/>
    <w:uiPriority w:val="0"/>
    <w:pPr>
      <w:keepNext/>
      <w:keepLines/>
      <w:widowControl w:val="0"/>
      <w:tabs>
        <w:tab w:val="left" w:pos="1296"/>
      </w:tabs>
      <w:spacing w:before="240" w:after="64" w:line="320" w:lineRule="auto"/>
      <w:jc w:val="both"/>
      <w:outlineLvl w:val="6"/>
    </w:pPr>
    <w:rPr>
      <w:rFonts w:ascii="Calibri" w:hAnsi="Calibri"/>
      <w:b/>
      <w:bCs/>
      <w:kern w:val="2"/>
      <w:sz w:val="24"/>
      <w:szCs w:val="24"/>
    </w:rPr>
  </w:style>
  <w:style w:type="paragraph" w:styleId="9">
    <w:name w:val="heading 8"/>
    <w:basedOn w:val="1"/>
    <w:next w:val="1"/>
    <w:link w:val="81"/>
    <w:qFormat/>
    <w:uiPriority w:val="0"/>
    <w:pPr>
      <w:keepNext/>
      <w:keepLines/>
      <w:widowControl w:val="0"/>
      <w:tabs>
        <w:tab w:val="left" w:pos="1440"/>
      </w:tabs>
      <w:spacing w:before="240" w:after="64" w:line="320" w:lineRule="auto"/>
      <w:jc w:val="both"/>
      <w:outlineLvl w:val="7"/>
    </w:pPr>
    <w:rPr>
      <w:rFonts w:ascii="Arial" w:hAnsi="Arial" w:eastAsia="黑体"/>
      <w:kern w:val="2"/>
      <w:sz w:val="24"/>
      <w:szCs w:val="24"/>
    </w:rPr>
  </w:style>
  <w:style w:type="paragraph" w:styleId="10">
    <w:name w:val="heading 9"/>
    <w:basedOn w:val="1"/>
    <w:next w:val="1"/>
    <w:link w:val="82"/>
    <w:qFormat/>
    <w:uiPriority w:val="0"/>
    <w:pPr>
      <w:keepNext/>
      <w:keepLines/>
      <w:widowControl w:val="0"/>
      <w:tabs>
        <w:tab w:val="left" w:pos="1584"/>
      </w:tabs>
      <w:spacing w:before="240" w:after="64" w:line="320" w:lineRule="auto"/>
      <w:jc w:val="both"/>
      <w:outlineLvl w:val="8"/>
    </w:pPr>
    <w:rPr>
      <w:rFonts w:ascii="Arial" w:hAnsi="Arial" w:eastAsia="黑体"/>
      <w:kern w:val="2"/>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ind w:left="100" w:leftChars="400" w:hanging="200" w:hangingChars="200"/>
      <w:jc w:val="both"/>
    </w:pPr>
    <w:rPr>
      <w:kern w:val="2"/>
      <w:szCs w:val="24"/>
    </w:rPr>
  </w:style>
  <w:style w:type="paragraph" w:styleId="12">
    <w:name w:val="toc 7"/>
    <w:basedOn w:val="1"/>
    <w:next w:val="1"/>
    <w:qFormat/>
    <w:uiPriority w:val="99"/>
    <w:pPr>
      <w:ind w:left="1260"/>
    </w:pPr>
    <w:rPr>
      <w:rFonts w:ascii="Calibri" w:hAnsi="Calibri"/>
      <w:sz w:val="18"/>
      <w:szCs w:val="18"/>
    </w:rPr>
  </w:style>
  <w:style w:type="paragraph" w:styleId="13">
    <w:name w:val="List Number"/>
    <w:basedOn w:val="1"/>
    <w:qFormat/>
    <w:uiPriority w:val="99"/>
    <w:pPr>
      <w:widowControl w:val="0"/>
      <w:numPr>
        <w:ilvl w:val="0"/>
        <w:numId w:val="1"/>
      </w:numPr>
      <w:tabs>
        <w:tab w:val="left" w:pos="360"/>
      </w:tabs>
      <w:jc w:val="both"/>
    </w:pPr>
    <w:rPr>
      <w:rFonts w:ascii="Calibri" w:hAnsi="Calibri"/>
      <w:kern w:val="2"/>
      <w:szCs w:val="24"/>
    </w:rPr>
  </w:style>
  <w:style w:type="paragraph" w:styleId="14">
    <w:name w:val="Normal Indent"/>
    <w:basedOn w:val="1"/>
    <w:link w:val="83"/>
    <w:qFormat/>
    <w:uiPriority w:val="0"/>
    <w:pPr>
      <w:ind w:firstLine="420"/>
    </w:pPr>
  </w:style>
  <w:style w:type="paragraph" w:styleId="15">
    <w:name w:val="caption"/>
    <w:basedOn w:val="1"/>
    <w:next w:val="1"/>
    <w:qFormat/>
    <w:uiPriority w:val="0"/>
    <w:pPr>
      <w:framePr w:w="9721" w:h="1873" w:hSpace="180" w:wrap="around" w:vAnchor="text" w:hAnchor="page" w:x="1621" w:y="1"/>
      <w:widowControl w:val="0"/>
      <w:shd w:val="clear" w:color="C0C0C0" w:fill="FFFFFF"/>
      <w:tabs>
        <w:tab w:val="left" w:pos="9000"/>
      </w:tabs>
      <w:ind w:firstLine="180" w:firstLineChars="75"/>
      <w:jc w:val="both"/>
    </w:pPr>
    <w:rPr>
      <w:rFonts w:ascii="Arial Narrow" w:hAnsi="Arial Narrow" w:eastAsia="微软繁隶书"/>
      <w:b/>
      <w:color w:val="FF0000"/>
      <w:kern w:val="2"/>
      <w:sz w:val="24"/>
      <w:szCs w:val="24"/>
    </w:rPr>
  </w:style>
  <w:style w:type="paragraph" w:styleId="16">
    <w:name w:val="Document Map"/>
    <w:basedOn w:val="1"/>
    <w:link w:val="84"/>
    <w:qFormat/>
    <w:uiPriority w:val="0"/>
    <w:rPr>
      <w:rFonts w:ascii="宋体"/>
      <w:sz w:val="18"/>
      <w:szCs w:val="18"/>
    </w:rPr>
  </w:style>
  <w:style w:type="paragraph" w:styleId="17">
    <w:name w:val="annotation text"/>
    <w:basedOn w:val="1"/>
    <w:link w:val="85"/>
    <w:qFormat/>
    <w:uiPriority w:val="0"/>
  </w:style>
  <w:style w:type="paragraph" w:styleId="18">
    <w:name w:val="Body Text 3"/>
    <w:basedOn w:val="1"/>
    <w:link w:val="86"/>
    <w:qFormat/>
    <w:uiPriority w:val="0"/>
    <w:pPr>
      <w:widowControl w:val="0"/>
      <w:jc w:val="both"/>
    </w:pPr>
    <w:rPr>
      <w:rFonts w:ascii="宋体"/>
      <w:kern w:val="2"/>
      <w:sz w:val="24"/>
    </w:rPr>
  </w:style>
  <w:style w:type="paragraph" w:styleId="19">
    <w:name w:val="Body Text"/>
    <w:basedOn w:val="1"/>
    <w:next w:val="20"/>
    <w:link w:val="87"/>
    <w:qFormat/>
    <w:uiPriority w:val="0"/>
    <w:pPr>
      <w:widowControl w:val="0"/>
      <w:spacing w:line="360" w:lineRule="auto"/>
      <w:jc w:val="both"/>
    </w:pPr>
    <w:rPr>
      <w:rFonts w:ascii="楷体_GB2312" w:eastAsia="楷体_GB2312"/>
      <w:kern w:val="2"/>
      <w:sz w:val="32"/>
    </w:rPr>
  </w:style>
  <w:style w:type="paragraph" w:styleId="20">
    <w:name w:val="Body Text First Indent"/>
    <w:basedOn w:val="19"/>
    <w:next w:val="21"/>
    <w:link w:val="104"/>
    <w:qFormat/>
    <w:uiPriority w:val="0"/>
    <w:pPr>
      <w:spacing w:after="120" w:line="240" w:lineRule="auto"/>
      <w:ind w:firstLine="420" w:firstLineChars="100"/>
    </w:pPr>
    <w:rPr>
      <w:rFonts w:ascii="Times New Roman" w:eastAsia="宋体"/>
      <w:sz w:val="21"/>
      <w:szCs w:val="24"/>
    </w:rPr>
  </w:style>
  <w:style w:type="paragraph" w:styleId="21">
    <w:name w:val="toc 6"/>
    <w:basedOn w:val="1"/>
    <w:next w:val="1"/>
    <w:qFormat/>
    <w:uiPriority w:val="99"/>
    <w:pPr>
      <w:ind w:left="1050"/>
    </w:pPr>
    <w:rPr>
      <w:rFonts w:ascii="Calibri" w:hAnsi="Calibri"/>
      <w:sz w:val="18"/>
      <w:szCs w:val="18"/>
    </w:rPr>
  </w:style>
  <w:style w:type="paragraph" w:styleId="22">
    <w:name w:val="Body Text Indent"/>
    <w:basedOn w:val="1"/>
    <w:link w:val="88"/>
    <w:qFormat/>
    <w:uiPriority w:val="0"/>
    <w:pPr>
      <w:spacing w:after="120"/>
      <w:ind w:left="420" w:leftChars="200"/>
    </w:pPr>
  </w:style>
  <w:style w:type="paragraph" w:styleId="23">
    <w:name w:val="List 2"/>
    <w:basedOn w:val="1"/>
    <w:qFormat/>
    <w:uiPriority w:val="99"/>
    <w:pPr>
      <w:ind w:left="100" w:leftChars="200" w:hanging="200" w:hangingChars="200"/>
      <w:contextualSpacing/>
    </w:pPr>
  </w:style>
  <w:style w:type="paragraph" w:styleId="24">
    <w:name w:val="Block Text"/>
    <w:basedOn w:val="1"/>
    <w:qFormat/>
    <w:uiPriority w:val="0"/>
    <w:pPr>
      <w:widowControl w:val="0"/>
      <w:adjustRightInd w:val="0"/>
      <w:ind w:left="420" w:right="33"/>
      <w:textAlignment w:val="baseline"/>
    </w:pPr>
    <w:rPr>
      <w:rFonts w:ascii="Calibri" w:hAnsi="Calibri"/>
      <w:sz w:val="24"/>
    </w:rPr>
  </w:style>
  <w:style w:type="paragraph" w:styleId="25">
    <w:name w:val="List Bullet 2"/>
    <w:basedOn w:val="1"/>
    <w:qFormat/>
    <w:uiPriority w:val="0"/>
    <w:pPr>
      <w:widowControl w:val="0"/>
      <w:tabs>
        <w:tab w:val="left" w:pos="1200"/>
      </w:tabs>
      <w:spacing w:line="460" w:lineRule="exact"/>
      <w:ind w:left="1200" w:hanging="720"/>
      <w:jc w:val="both"/>
    </w:pPr>
    <w:rPr>
      <w:rFonts w:ascii="Calibri" w:hAnsi="Calibri"/>
      <w:spacing w:val="6"/>
      <w:kern w:val="2"/>
      <w:sz w:val="24"/>
    </w:rPr>
  </w:style>
  <w:style w:type="paragraph" w:styleId="26">
    <w:name w:val="index 4"/>
    <w:basedOn w:val="1"/>
    <w:next w:val="1"/>
    <w:qFormat/>
    <w:uiPriority w:val="0"/>
    <w:pPr>
      <w:widowControl w:val="0"/>
      <w:ind w:left="600" w:leftChars="600"/>
      <w:jc w:val="both"/>
    </w:pPr>
    <w:rPr>
      <w:rFonts w:ascii="Calibri" w:hAnsi="Calibri"/>
      <w:kern w:val="2"/>
      <w:szCs w:val="24"/>
    </w:rPr>
  </w:style>
  <w:style w:type="paragraph" w:styleId="27">
    <w:name w:val="toc 5"/>
    <w:basedOn w:val="1"/>
    <w:next w:val="1"/>
    <w:qFormat/>
    <w:uiPriority w:val="99"/>
    <w:pPr>
      <w:ind w:left="840"/>
    </w:pPr>
    <w:rPr>
      <w:rFonts w:ascii="Calibri" w:hAnsi="Calibri"/>
      <w:sz w:val="18"/>
      <w:szCs w:val="18"/>
    </w:rPr>
  </w:style>
  <w:style w:type="paragraph" w:styleId="28">
    <w:name w:val="toc 3"/>
    <w:basedOn w:val="1"/>
    <w:next w:val="1"/>
    <w:qFormat/>
    <w:uiPriority w:val="99"/>
    <w:pPr>
      <w:ind w:left="420"/>
    </w:pPr>
    <w:rPr>
      <w:rFonts w:ascii="Calibri" w:hAnsi="Calibri"/>
      <w:i/>
      <w:iCs/>
      <w:sz w:val="20"/>
    </w:rPr>
  </w:style>
  <w:style w:type="paragraph" w:styleId="29">
    <w:name w:val="Plain Text"/>
    <w:basedOn w:val="1"/>
    <w:link w:val="89"/>
    <w:qFormat/>
    <w:uiPriority w:val="0"/>
    <w:pPr>
      <w:widowControl w:val="0"/>
      <w:jc w:val="both"/>
    </w:pPr>
    <w:rPr>
      <w:rFonts w:ascii="宋体" w:hAnsi="Courier New"/>
      <w:kern w:val="2"/>
    </w:rPr>
  </w:style>
  <w:style w:type="paragraph" w:styleId="30">
    <w:name w:val="toc 8"/>
    <w:basedOn w:val="1"/>
    <w:next w:val="1"/>
    <w:qFormat/>
    <w:uiPriority w:val="99"/>
    <w:pPr>
      <w:ind w:left="1470"/>
    </w:pPr>
    <w:rPr>
      <w:rFonts w:ascii="Calibri" w:hAnsi="Calibri"/>
      <w:sz w:val="18"/>
      <w:szCs w:val="18"/>
    </w:rPr>
  </w:style>
  <w:style w:type="paragraph" w:styleId="31">
    <w:name w:val="Date"/>
    <w:basedOn w:val="1"/>
    <w:next w:val="1"/>
    <w:link w:val="90"/>
    <w:qFormat/>
    <w:uiPriority w:val="99"/>
    <w:pPr>
      <w:widowControl w:val="0"/>
      <w:jc w:val="both"/>
    </w:pPr>
    <w:rPr>
      <w:rFonts w:ascii="宋体"/>
      <w:sz w:val="24"/>
    </w:rPr>
  </w:style>
  <w:style w:type="paragraph" w:styleId="32">
    <w:name w:val="Body Text Indent 2"/>
    <w:basedOn w:val="1"/>
    <w:link w:val="91"/>
    <w:qFormat/>
    <w:uiPriority w:val="0"/>
    <w:pPr>
      <w:widowControl w:val="0"/>
      <w:spacing w:after="120" w:line="480" w:lineRule="auto"/>
      <w:ind w:left="420" w:leftChars="200"/>
      <w:jc w:val="both"/>
    </w:pPr>
    <w:rPr>
      <w:kern w:val="2"/>
      <w:szCs w:val="24"/>
    </w:rPr>
  </w:style>
  <w:style w:type="paragraph" w:styleId="33">
    <w:name w:val="endnote text"/>
    <w:basedOn w:val="1"/>
    <w:link w:val="92"/>
    <w:qFormat/>
    <w:uiPriority w:val="0"/>
    <w:pPr>
      <w:widowControl w:val="0"/>
      <w:snapToGrid w:val="0"/>
    </w:pPr>
    <w:rPr>
      <w:kern w:val="2"/>
    </w:rPr>
  </w:style>
  <w:style w:type="paragraph" w:styleId="34">
    <w:name w:val="Balloon Text"/>
    <w:basedOn w:val="1"/>
    <w:link w:val="93"/>
    <w:qFormat/>
    <w:uiPriority w:val="99"/>
    <w:rPr>
      <w:sz w:val="18"/>
      <w:szCs w:val="18"/>
    </w:rPr>
  </w:style>
  <w:style w:type="paragraph" w:styleId="35">
    <w:name w:val="footer"/>
    <w:basedOn w:val="1"/>
    <w:link w:val="94"/>
    <w:qFormat/>
    <w:uiPriority w:val="99"/>
    <w:pPr>
      <w:tabs>
        <w:tab w:val="center" w:pos="4153"/>
        <w:tab w:val="right" w:pos="8306"/>
      </w:tabs>
      <w:snapToGrid w:val="0"/>
    </w:pPr>
    <w:rPr>
      <w:sz w:val="18"/>
    </w:rPr>
  </w:style>
  <w:style w:type="paragraph" w:styleId="36">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pPr>
    <w:rPr>
      <w:rFonts w:ascii="Calibri" w:hAnsi="Calibri"/>
      <w:b/>
      <w:bCs/>
      <w:caps/>
      <w:sz w:val="20"/>
    </w:rPr>
  </w:style>
  <w:style w:type="paragraph" w:styleId="38">
    <w:name w:val="toc 4"/>
    <w:basedOn w:val="1"/>
    <w:next w:val="1"/>
    <w:qFormat/>
    <w:uiPriority w:val="99"/>
    <w:pPr>
      <w:ind w:left="630"/>
    </w:pPr>
    <w:rPr>
      <w:rFonts w:ascii="Calibri" w:hAnsi="Calibri"/>
      <w:sz w:val="18"/>
      <w:szCs w:val="18"/>
    </w:rPr>
  </w:style>
  <w:style w:type="paragraph" w:styleId="39">
    <w:name w:val="Subtitle"/>
    <w:basedOn w:val="1"/>
    <w:next w:val="1"/>
    <w:link w:val="96"/>
    <w:qFormat/>
    <w:uiPriority w:val="0"/>
    <w:pPr>
      <w:widowControl w:val="0"/>
      <w:spacing w:before="240" w:after="60" w:line="312" w:lineRule="auto"/>
      <w:jc w:val="center"/>
      <w:outlineLvl w:val="1"/>
    </w:pPr>
    <w:rPr>
      <w:rFonts w:ascii="Cambria" w:hAnsi="Cambria"/>
      <w:b/>
      <w:kern w:val="28"/>
      <w:sz w:val="32"/>
    </w:rPr>
  </w:style>
  <w:style w:type="paragraph" w:styleId="40">
    <w:name w:val="List"/>
    <w:basedOn w:val="1"/>
    <w:qFormat/>
    <w:uiPriority w:val="0"/>
    <w:pPr>
      <w:widowControl w:val="0"/>
      <w:ind w:left="200" w:hanging="200" w:hangingChars="200"/>
      <w:jc w:val="both"/>
    </w:pPr>
    <w:rPr>
      <w:rFonts w:ascii="Calibri" w:hAnsi="Calibri"/>
      <w:kern w:val="2"/>
      <w:szCs w:val="22"/>
    </w:rPr>
  </w:style>
  <w:style w:type="paragraph" w:styleId="41">
    <w:name w:val="footnote text"/>
    <w:basedOn w:val="1"/>
    <w:link w:val="97"/>
    <w:qFormat/>
    <w:uiPriority w:val="0"/>
    <w:pPr>
      <w:widowControl w:val="0"/>
      <w:jc w:val="both"/>
    </w:pPr>
    <w:rPr>
      <w:kern w:val="2"/>
      <w:sz w:val="20"/>
    </w:rPr>
  </w:style>
  <w:style w:type="paragraph" w:styleId="42">
    <w:name w:val="Body Text Indent 3"/>
    <w:basedOn w:val="1"/>
    <w:link w:val="98"/>
    <w:qFormat/>
    <w:uiPriority w:val="0"/>
    <w:pPr>
      <w:spacing w:after="120"/>
      <w:ind w:left="420" w:leftChars="200"/>
    </w:pPr>
    <w:rPr>
      <w:sz w:val="16"/>
      <w:szCs w:val="16"/>
    </w:rPr>
  </w:style>
  <w:style w:type="paragraph" w:styleId="43">
    <w:name w:val="index 7"/>
    <w:basedOn w:val="1"/>
    <w:next w:val="1"/>
    <w:qFormat/>
    <w:uiPriority w:val="0"/>
    <w:pPr>
      <w:tabs>
        <w:tab w:val="left" w:pos="0"/>
        <w:tab w:val="left" w:pos="390"/>
      </w:tabs>
      <w:autoSpaceDE w:val="0"/>
      <w:autoSpaceDN w:val="0"/>
      <w:snapToGrid w:val="0"/>
      <w:spacing w:line="360" w:lineRule="auto"/>
      <w:ind w:left="1470" w:hanging="210" w:firstLineChars="177"/>
    </w:pPr>
    <w:rPr>
      <w:rFonts w:hAnsi="宋体"/>
      <w:color w:val="000000"/>
      <w:sz w:val="20"/>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39"/>
    <w:pPr>
      <w:ind w:left="210"/>
    </w:pPr>
    <w:rPr>
      <w:rFonts w:ascii="Calibri" w:hAnsi="Calibri"/>
      <w:smallCaps/>
      <w:sz w:val="20"/>
    </w:rPr>
  </w:style>
  <w:style w:type="paragraph" w:styleId="46">
    <w:name w:val="toc 9"/>
    <w:basedOn w:val="1"/>
    <w:next w:val="1"/>
    <w:qFormat/>
    <w:uiPriority w:val="99"/>
    <w:pPr>
      <w:ind w:left="1680"/>
    </w:pPr>
    <w:rPr>
      <w:rFonts w:ascii="Calibri" w:hAnsi="Calibri"/>
      <w:sz w:val="18"/>
      <w:szCs w:val="18"/>
    </w:rPr>
  </w:style>
  <w:style w:type="paragraph" w:styleId="47">
    <w:name w:val="Body Text 2"/>
    <w:basedOn w:val="1"/>
    <w:link w:val="99"/>
    <w:qFormat/>
    <w:uiPriority w:val="0"/>
    <w:pPr>
      <w:widowControl w:val="0"/>
      <w:spacing w:line="500" w:lineRule="exact"/>
      <w:jc w:val="both"/>
    </w:pPr>
    <w:rPr>
      <w:rFonts w:ascii="宋体" w:hAnsi="宋体"/>
      <w:color w:val="000000"/>
      <w:kern w:val="2"/>
      <w:sz w:val="24"/>
      <w:szCs w:val="24"/>
    </w:rPr>
  </w:style>
  <w:style w:type="paragraph" w:styleId="48">
    <w:name w:val="HTML Preformatted"/>
    <w:basedOn w:val="1"/>
    <w:link w:val="10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Times New Roman"/>
      <w:sz w:val="20"/>
    </w:rPr>
  </w:style>
  <w:style w:type="paragraph" w:styleId="49">
    <w:name w:val="Normal (Web)"/>
    <w:basedOn w:val="1"/>
    <w:link w:val="101"/>
    <w:qFormat/>
    <w:uiPriority w:val="0"/>
    <w:pPr>
      <w:spacing w:before="100" w:beforeAutospacing="1" w:after="100" w:afterAutospacing="1"/>
    </w:pPr>
    <w:rPr>
      <w:rFonts w:ascii="Arial Unicode MS" w:hAnsi="Arial Unicode MS" w:eastAsia="Times New Roman"/>
      <w:color w:val="000000"/>
      <w:sz w:val="24"/>
      <w:szCs w:val="24"/>
    </w:rPr>
  </w:style>
  <w:style w:type="paragraph" w:styleId="50">
    <w:name w:val="index 1"/>
    <w:basedOn w:val="1"/>
    <w:next w:val="1"/>
    <w:qFormat/>
    <w:uiPriority w:val="0"/>
    <w:pPr>
      <w:widowControl w:val="0"/>
      <w:spacing w:line="220" w:lineRule="exact"/>
      <w:jc w:val="center"/>
    </w:pPr>
    <w:rPr>
      <w:rFonts w:ascii="仿宋_GB2312" w:hAnsi="Calibri" w:eastAsia="仿宋_GB2312"/>
      <w:kern w:val="2"/>
      <w:szCs w:val="21"/>
    </w:rPr>
  </w:style>
  <w:style w:type="paragraph" w:styleId="51">
    <w:name w:val="Title"/>
    <w:basedOn w:val="1"/>
    <w:link w:val="102"/>
    <w:qFormat/>
    <w:uiPriority w:val="0"/>
    <w:pPr>
      <w:widowControl w:val="0"/>
      <w:adjustRightInd w:val="0"/>
      <w:spacing w:before="240" w:after="60" w:line="420" w:lineRule="atLeast"/>
      <w:jc w:val="center"/>
      <w:textAlignment w:val="baseline"/>
      <w:outlineLvl w:val="0"/>
    </w:pPr>
    <w:rPr>
      <w:rFonts w:ascii="Arial" w:hAnsi="Arial"/>
      <w:b/>
      <w:sz w:val="32"/>
    </w:rPr>
  </w:style>
  <w:style w:type="paragraph" w:styleId="52">
    <w:name w:val="annotation subject"/>
    <w:basedOn w:val="17"/>
    <w:next w:val="17"/>
    <w:link w:val="103"/>
    <w:qFormat/>
    <w:uiPriority w:val="0"/>
    <w:rPr>
      <w:b/>
      <w:bCs/>
    </w:rPr>
  </w:style>
  <w:style w:type="paragraph" w:styleId="53">
    <w:name w:val="Body Text First Indent 2"/>
    <w:basedOn w:val="22"/>
    <w:link w:val="767"/>
    <w:qFormat/>
    <w:uiPriority w:val="99"/>
    <w:pPr>
      <w:ind w:firstLine="420"/>
    </w:pPr>
    <w:rPr>
      <w:rFonts w:cs="宋体"/>
      <w:szCs w:val="21"/>
    </w:rPr>
  </w:style>
  <w:style w:type="table" w:styleId="55">
    <w:name w:val="Table Grid"/>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99"/>
    <w:rPr>
      <w:b/>
      <w:bCs/>
    </w:rPr>
  </w:style>
  <w:style w:type="character" w:styleId="58">
    <w:name w:val="endnote reference"/>
    <w:qFormat/>
    <w:uiPriority w:val="0"/>
    <w:rPr>
      <w:rFonts w:cs="Times New Roman"/>
      <w:vertAlign w:val="superscript"/>
    </w:rPr>
  </w:style>
  <w:style w:type="character" w:styleId="59">
    <w:name w:val="page number"/>
    <w:basedOn w:val="56"/>
    <w:qFormat/>
    <w:uiPriority w:val="99"/>
  </w:style>
  <w:style w:type="character" w:styleId="60">
    <w:name w:val="FollowedHyperlink"/>
    <w:qFormat/>
    <w:uiPriority w:val="99"/>
    <w:rPr>
      <w:color w:val="800080"/>
      <w:u w:val="single"/>
    </w:rPr>
  </w:style>
  <w:style w:type="character" w:styleId="61">
    <w:name w:val="Emphasis"/>
    <w:qFormat/>
    <w:uiPriority w:val="99"/>
    <w:rPr>
      <w:i/>
    </w:rPr>
  </w:style>
  <w:style w:type="character" w:styleId="62">
    <w:name w:val="HTML Definition"/>
    <w:qFormat/>
    <w:uiPriority w:val="99"/>
    <w:rPr>
      <w:i/>
    </w:rPr>
  </w:style>
  <w:style w:type="character" w:styleId="63">
    <w:name w:val="HTML Typewriter"/>
    <w:qFormat/>
    <w:uiPriority w:val="99"/>
    <w:rPr>
      <w:rFonts w:ascii="微软雅黑" w:hAnsi="微软雅黑" w:eastAsia="微软雅黑" w:cs="Times New Roman"/>
      <w:sz w:val="20"/>
    </w:rPr>
  </w:style>
  <w:style w:type="character" w:styleId="64">
    <w:name w:val="HTML Variable"/>
    <w:qFormat/>
    <w:uiPriority w:val="99"/>
    <w:rPr>
      <w:rFonts w:cs="Times New Roman"/>
    </w:rPr>
  </w:style>
  <w:style w:type="character" w:styleId="65">
    <w:name w:val="Hyperlink"/>
    <w:qFormat/>
    <w:uiPriority w:val="99"/>
    <w:rPr>
      <w:color w:val="0000FF"/>
      <w:u w:val="single"/>
    </w:rPr>
  </w:style>
  <w:style w:type="character" w:styleId="66">
    <w:name w:val="HTML Code"/>
    <w:qFormat/>
    <w:uiPriority w:val="99"/>
    <w:rPr>
      <w:rFonts w:hint="default" w:ascii="Segoe UI" w:hAnsi="Segoe UI" w:eastAsia="Segoe UI" w:cs="Segoe UI"/>
      <w:sz w:val="21"/>
      <w:szCs w:val="21"/>
    </w:rPr>
  </w:style>
  <w:style w:type="character" w:styleId="67">
    <w:name w:val="annotation reference"/>
    <w:qFormat/>
    <w:uiPriority w:val="0"/>
    <w:rPr>
      <w:sz w:val="21"/>
      <w:szCs w:val="21"/>
    </w:rPr>
  </w:style>
  <w:style w:type="character" w:styleId="68">
    <w:name w:val="HTML Cite"/>
    <w:qFormat/>
    <w:uiPriority w:val="99"/>
    <w:rPr>
      <w:rFonts w:cs="Times New Roman"/>
    </w:rPr>
  </w:style>
  <w:style w:type="character" w:styleId="69">
    <w:name w:val="footnote reference"/>
    <w:qFormat/>
    <w:uiPriority w:val="0"/>
    <w:rPr>
      <w:rFonts w:cs="Times New Roman"/>
      <w:vertAlign w:val="superscript"/>
    </w:rPr>
  </w:style>
  <w:style w:type="character" w:styleId="70">
    <w:name w:val="HTML Keyboard"/>
    <w:qFormat/>
    <w:uiPriority w:val="0"/>
    <w:rPr>
      <w:rFonts w:hint="default" w:ascii="Segoe UI" w:hAnsi="Segoe UI" w:eastAsia="Segoe UI" w:cs="Segoe UI"/>
      <w:sz w:val="21"/>
      <w:szCs w:val="21"/>
    </w:rPr>
  </w:style>
  <w:style w:type="character" w:styleId="71">
    <w:name w:val="HTML Sample"/>
    <w:qFormat/>
    <w:uiPriority w:val="0"/>
    <w:rPr>
      <w:rFonts w:ascii="Segoe UI" w:hAnsi="Segoe UI" w:eastAsia="Segoe UI" w:cs="Segoe UI"/>
      <w:sz w:val="21"/>
      <w:szCs w:val="21"/>
    </w:rPr>
  </w:style>
  <w:style w:type="paragraph" w:customStyle="1" w:styleId="72">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73">
    <w:name w:val="[Normal]"/>
    <w:qFormat/>
    <w:uiPriority w:val="0"/>
    <w:rPr>
      <w:rFonts w:ascii="宋体" w:hAnsi="宋体" w:eastAsia="宋体" w:cs="Times New Roman"/>
      <w:sz w:val="24"/>
      <w:szCs w:val="22"/>
      <w:lang w:val="zh-CN" w:eastAsia="zh-CN" w:bidi="ar-SA"/>
    </w:rPr>
  </w:style>
  <w:style w:type="character" w:customStyle="1" w:styleId="74">
    <w:name w:val="标题 3 字符"/>
    <w:link w:val="4"/>
    <w:qFormat/>
    <w:uiPriority w:val="9"/>
    <w:rPr>
      <w:rFonts w:ascii="Times New Roman" w:hAnsi="Times New Roman"/>
      <w:b/>
      <w:bCs/>
      <w:sz w:val="32"/>
      <w:szCs w:val="32"/>
    </w:rPr>
  </w:style>
  <w:style w:type="character" w:customStyle="1" w:styleId="75">
    <w:name w:val="标题 1 字符"/>
    <w:link w:val="2"/>
    <w:qFormat/>
    <w:uiPriority w:val="9"/>
    <w:rPr>
      <w:rFonts w:ascii="宋体" w:hAnsi="Times New Roman" w:eastAsia="宋体" w:cs="Times New Roman"/>
      <w:b/>
      <w:kern w:val="44"/>
      <w:sz w:val="24"/>
      <w:szCs w:val="20"/>
    </w:rPr>
  </w:style>
  <w:style w:type="character" w:customStyle="1" w:styleId="76">
    <w:name w:val="标题 2 字符1"/>
    <w:link w:val="3"/>
    <w:qFormat/>
    <w:uiPriority w:val="0"/>
    <w:rPr>
      <w:rFonts w:ascii="Cambria" w:hAnsi="Cambria" w:eastAsia="宋体" w:cs="Times New Roman"/>
      <w:b/>
      <w:bCs/>
      <w:sz w:val="32"/>
      <w:szCs w:val="32"/>
    </w:rPr>
  </w:style>
  <w:style w:type="character" w:customStyle="1" w:styleId="77">
    <w:name w:val="标题 4 字符"/>
    <w:link w:val="5"/>
    <w:qFormat/>
    <w:uiPriority w:val="99"/>
    <w:rPr>
      <w:rFonts w:ascii="Arial" w:hAnsi="Arial" w:eastAsia="黑体"/>
      <w:b/>
      <w:bCs/>
      <w:kern w:val="2"/>
      <w:sz w:val="28"/>
      <w:szCs w:val="28"/>
      <w:lang w:val="zh-CN"/>
    </w:rPr>
  </w:style>
  <w:style w:type="character" w:customStyle="1" w:styleId="78">
    <w:name w:val="标题 5 字符"/>
    <w:link w:val="6"/>
    <w:qFormat/>
    <w:uiPriority w:val="0"/>
    <w:rPr>
      <w:rFonts w:ascii="Calibri" w:hAnsi="Calibri"/>
      <w:b/>
      <w:bCs/>
      <w:kern w:val="2"/>
      <w:sz w:val="28"/>
      <w:szCs w:val="28"/>
    </w:rPr>
  </w:style>
  <w:style w:type="character" w:customStyle="1" w:styleId="79">
    <w:name w:val="标题 6 字符"/>
    <w:link w:val="7"/>
    <w:qFormat/>
    <w:uiPriority w:val="0"/>
    <w:rPr>
      <w:rFonts w:ascii="Arial" w:hAnsi="Arial" w:eastAsia="黑体"/>
      <w:b/>
      <w:bCs/>
      <w:kern w:val="2"/>
      <w:sz w:val="24"/>
      <w:szCs w:val="24"/>
    </w:rPr>
  </w:style>
  <w:style w:type="character" w:customStyle="1" w:styleId="80">
    <w:name w:val="标题 7 字符"/>
    <w:link w:val="8"/>
    <w:qFormat/>
    <w:uiPriority w:val="0"/>
    <w:rPr>
      <w:rFonts w:ascii="Calibri" w:hAnsi="Calibri"/>
      <w:b/>
      <w:bCs/>
      <w:kern w:val="2"/>
      <w:sz w:val="24"/>
      <w:szCs w:val="24"/>
    </w:rPr>
  </w:style>
  <w:style w:type="character" w:customStyle="1" w:styleId="81">
    <w:name w:val="标题 8 字符"/>
    <w:link w:val="9"/>
    <w:qFormat/>
    <w:uiPriority w:val="0"/>
    <w:rPr>
      <w:rFonts w:ascii="Arial" w:hAnsi="Arial" w:eastAsia="黑体"/>
      <w:kern w:val="2"/>
      <w:sz w:val="24"/>
      <w:szCs w:val="24"/>
    </w:rPr>
  </w:style>
  <w:style w:type="character" w:customStyle="1" w:styleId="82">
    <w:name w:val="标题 9 字符"/>
    <w:link w:val="10"/>
    <w:qFormat/>
    <w:uiPriority w:val="0"/>
    <w:rPr>
      <w:rFonts w:ascii="Arial" w:hAnsi="Arial" w:eastAsia="黑体"/>
      <w:kern w:val="2"/>
      <w:sz w:val="21"/>
      <w:szCs w:val="21"/>
    </w:rPr>
  </w:style>
  <w:style w:type="character" w:customStyle="1" w:styleId="83">
    <w:name w:val="正文缩进 字符"/>
    <w:link w:val="14"/>
    <w:qFormat/>
    <w:uiPriority w:val="0"/>
    <w:rPr>
      <w:rFonts w:ascii="Times New Roman" w:hAnsi="Times New Roman"/>
      <w:sz w:val="21"/>
    </w:rPr>
  </w:style>
  <w:style w:type="character" w:customStyle="1" w:styleId="84">
    <w:name w:val="文档结构图 字符"/>
    <w:link w:val="16"/>
    <w:qFormat/>
    <w:uiPriority w:val="0"/>
    <w:rPr>
      <w:rFonts w:ascii="宋体" w:hAnsi="Times New Roman"/>
      <w:sz w:val="18"/>
      <w:szCs w:val="18"/>
    </w:rPr>
  </w:style>
  <w:style w:type="character" w:customStyle="1" w:styleId="85">
    <w:name w:val="批注文字 字符"/>
    <w:link w:val="17"/>
    <w:qFormat/>
    <w:uiPriority w:val="0"/>
    <w:rPr>
      <w:rFonts w:ascii="Times New Roman" w:hAnsi="Times New Roman"/>
      <w:sz w:val="21"/>
    </w:rPr>
  </w:style>
  <w:style w:type="character" w:customStyle="1" w:styleId="86">
    <w:name w:val="正文文本 3 字符"/>
    <w:link w:val="18"/>
    <w:qFormat/>
    <w:locked/>
    <w:uiPriority w:val="0"/>
    <w:rPr>
      <w:rFonts w:ascii="宋体"/>
      <w:kern w:val="2"/>
      <w:sz w:val="24"/>
    </w:rPr>
  </w:style>
  <w:style w:type="character" w:customStyle="1" w:styleId="87">
    <w:name w:val="正文文本 字符"/>
    <w:link w:val="19"/>
    <w:qFormat/>
    <w:uiPriority w:val="0"/>
    <w:rPr>
      <w:rFonts w:ascii="楷体_GB2312" w:hAnsi="Times New Roman" w:eastAsia="楷体_GB2312"/>
      <w:kern w:val="2"/>
      <w:sz w:val="32"/>
    </w:rPr>
  </w:style>
  <w:style w:type="character" w:customStyle="1" w:styleId="88">
    <w:name w:val="正文文本缩进 字符1"/>
    <w:link w:val="22"/>
    <w:qFormat/>
    <w:uiPriority w:val="99"/>
    <w:rPr>
      <w:sz w:val="21"/>
    </w:rPr>
  </w:style>
  <w:style w:type="character" w:customStyle="1" w:styleId="89">
    <w:name w:val="纯文本 字符3"/>
    <w:link w:val="29"/>
    <w:qFormat/>
    <w:uiPriority w:val="0"/>
    <w:rPr>
      <w:rFonts w:ascii="宋体" w:hAnsi="Courier New" w:eastAsia="宋体"/>
      <w:kern w:val="2"/>
      <w:sz w:val="21"/>
      <w:lang w:val="en-US" w:eastAsia="zh-CN" w:bidi="ar-SA"/>
    </w:rPr>
  </w:style>
  <w:style w:type="character" w:customStyle="1" w:styleId="90">
    <w:name w:val="日期 字符"/>
    <w:link w:val="31"/>
    <w:qFormat/>
    <w:locked/>
    <w:uiPriority w:val="99"/>
    <w:rPr>
      <w:rFonts w:ascii="宋体"/>
      <w:sz w:val="24"/>
    </w:rPr>
  </w:style>
  <w:style w:type="character" w:customStyle="1" w:styleId="91">
    <w:name w:val="正文文本缩进 2 字符"/>
    <w:link w:val="32"/>
    <w:qFormat/>
    <w:locked/>
    <w:uiPriority w:val="0"/>
    <w:rPr>
      <w:kern w:val="2"/>
      <w:sz w:val="21"/>
      <w:szCs w:val="24"/>
    </w:rPr>
  </w:style>
  <w:style w:type="character" w:customStyle="1" w:styleId="92">
    <w:name w:val="尾注文本 字符"/>
    <w:link w:val="33"/>
    <w:qFormat/>
    <w:locked/>
    <w:uiPriority w:val="0"/>
    <w:rPr>
      <w:kern w:val="2"/>
      <w:sz w:val="21"/>
    </w:rPr>
  </w:style>
  <w:style w:type="character" w:customStyle="1" w:styleId="93">
    <w:name w:val="批注框文本 字符"/>
    <w:link w:val="34"/>
    <w:qFormat/>
    <w:uiPriority w:val="99"/>
    <w:rPr>
      <w:rFonts w:ascii="Times New Roman" w:hAnsi="Times New Roman"/>
      <w:sz w:val="18"/>
      <w:szCs w:val="18"/>
    </w:rPr>
  </w:style>
  <w:style w:type="character" w:customStyle="1" w:styleId="94">
    <w:name w:val="页脚 字符"/>
    <w:link w:val="35"/>
    <w:qFormat/>
    <w:uiPriority w:val="99"/>
    <w:rPr>
      <w:rFonts w:ascii="Times New Roman" w:hAnsi="Times New Roman" w:eastAsia="宋体" w:cs="Times New Roman"/>
      <w:kern w:val="0"/>
      <w:sz w:val="18"/>
      <w:szCs w:val="20"/>
    </w:rPr>
  </w:style>
  <w:style w:type="character" w:customStyle="1" w:styleId="95">
    <w:name w:val="页眉 字符"/>
    <w:link w:val="36"/>
    <w:qFormat/>
    <w:uiPriority w:val="99"/>
    <w:rPr>
      <w:rFonts w:ascii="Times New Roman" w:hAnsi="Times New Roman" w:eastAsia="宋体" w:cs="Times New Roman"/>
      <w:kern w:val="0"/>
      <w:sz w:val="18"/>
      <w:szCs w:val="18"/>
    </w:rPr>
  </w:style>
  <w:style w:type="character" w:customStyle="1" w:styleId="96">
    <w:name w:val="副标题 字符"/>
    <w:link w:val="39"/>
    <w:qFormat/>
    <w:locked/>
    <w:uiPriority w:val="0"/>
    <w:rPr>
      <w:rFonts w:ascii="Cambria" w:hAnsi="Cambria"/>
      <w:b/>
      <w:kern w:val="28"/>
      <w:sz w:val="32"/>
    </w:rPr>
  </w:style>
  <w:style w:type="character" w:customStyle="1" w:styleId="97">
    <w:name w:val="脚注文本 字符"/>
    <w:link w:val="41"/>
    <w:qFormat/>
    <w:locked/>
    <w:uiPriority w:val="0"/>
    <w:rPr>
      <w:kern w:val="2"/>
    </w:rPr>
  </w:style>
  <w:style w:type="character" w:customStyle="1" w:styleId="98">
    <w:name w:val="正文文本缩进 3 字符"/>
    <w:link w:val="42"/>
    <w:qFormat/>
    <w:locked/>
    <w:uiPriority w:val="0"/>
    <w:rPr>
      <w:sz w:val="16"/>
      <w:szCs w:val="16"/>
    </w:rPr>
  </w:style>
  <w:style w:type="character" w:customStyle="1" w:styleId="99">
    <w:name w:val="正文文本 2 字符"/>
    <w:link w:val="47"/>
    <w:qFormat/>
    <w:uiPriority w:val="0"/>
    <w:rPr>
      <w:rFonts w:ascii="宋体" w:hAnsi="宋体"/>
      <w:color w:val="000000"/>
      <w:kern w:val="2"/>
      <w:sz w:val="24"/>
      <w:szCs w:val="24"/>
    </w:rPr>
  </w:style>
  <w:style w:type="character" w:customStyle="1" w:styleId="100">
    <w:name w:val="HTML 预设格式 字符"/>
    <w:link w:val="48"/>
    <w:qFormat/>
    <w:uiPriority w:val="99"/>
    <w:rPr>
      <w:rFonts w:ascii="Arial Unicode MS" w:hAnsi="Arial Unicode MS" w:eastAsia="Times New Roman"/>
    </w:rPr>
  </w:style>
  <w:style w:type="character" w:customStyle="1" w:styleId="101">
    <w:name w:val="普通(网站) 字符"/>
    <w:link w:val="49"/>
    <w:qFormat/>
    <w:uiPriority w:val="0"/>
    <w:rPr>
      <w:rFonts w:ascii="Arial Unicode MS" w:hAnsi="Arial Unicode MS" w:eastAsia="Times New Roman"/>
      <w:color w:val="000000"/>
      <w:sz w:val="24"/>
      <w:szCs w:val="24"/>
    </w:rPr>
  </w:style>
  <w:style w:type="character" w:customStyle="1" w:styleId="102">
    <w:name w:val="标题 字符"/>
    <w:link w:val="51"/>
    <w:qFormat/>
    <w:locked/>
    <w:uiPriority w:val="0"/>
    <w:rPr>
      <w:rFonts w:ascii="Arial" w:hAnsi="Arial"/>
      <w:b/>
      <w:sz w:val="32"/>
    </w:rPr>
  </w:style>
  <w:style w:type="character" w:customStyle="1" w:styleId="103">
    <w:name w:val="批注主题 字符"/>
    <w:link w:val="52"/>
    <w:qFormat/>
    <w:uiPriority w:val="0"/>
    <w:rPr>
      <w:rFonts w:ascii="Times New Roman" w:hAnsi="Times New Roman"/>
      <w:b/>
      <w:bCs/>
      <w:sz w:val="21"/>
    </w:rPr>
  </w:style>
  <w:style w:type="character" w:customStyle="1" w:styleId="104">
    <w:name w:val="正文首行缩进 字符"/>
    <w:link w:val="20"/>
    <w:qFormat/>
    <w:locked/>
    <w:uiPriority w:val="0"/>
    <w:rPr>
      <w:kern w:val="2"/>
      <w:sz w:val="21"/>
      <w:szCs w:val="24"/>
    </w:rPr>
  </w:style>
  <w:style w:type="paragraph" w:customStyle="1" w:styleId="105">
    <w:name w:val="pa-142"/>
    <w:basedOn w:val="1"/>
    <w:qFormat/>
    <w:uiPriority w:val="0"/>
    <w:pPr>
      <w:spacing w:line="320" w:lineRule="atLeast"/>
      <w:ind w:firstLine="280"/>
      <w:jc w:val="right"/>
    </w:pPr>
    <w:rPr>
      <w:rFonts w:ascii="宋体" w:hAnsi="宋体" w:cs="宋体"/>
      <w:sz w:val="24"/>
      <w:szCs w:val="24"/>
    </w:rPr>
  </w:style>
  <w:style w:type="paragraph" w:customStyle="1" w:styleId="106">
    <w:name w:val="pa-16"/>
    <w:basedOn w:val="1"/>
    <w:qFormat/>
    <w:uiPriority w:val="0"/>
    <w:pPr>
      <w:spacing w:line="240" w:lineRule="atLeast"/>
      <w:jc w:val="both"/>
    </w:pPr>
    <w:rPr>
      <w:rFonts w:ascii="宋体" w:hAnsi="宋体" w:cs="宋体"/>
      <w:sz w:val="24"/>
      <w:szCs w:val="24"/>
    </w:rPr>
  </w:style>
  <w:style w:type="paragraph" w:customStyle="1" w:styleId="107">
    <w:name w:val="ca-12"/>
    <w:basedOn w:val="1"/>
    <w:qFormat/>
    <w:uiPriority w:val="0"/>
    <w:rPr>
      <w:rFonts w:ascii="Calibri" w:hAnsi="Calibri"/>
      <w:color w:val="000000"/>
      <w:sz w:val="32"/>
      <w:szCs w:val="32"/>
    </w:rPr>
  </w:style>
  <w:style w:type="paragraph" w:customStyle="1" w:styleId="108">
    <w:name w:val="Char12"/>
    <w:basedOn w:val="1"/>
    <w:qFormat/>
    <w:uiPriority w:val="0"/>
    <w:pPr>
      <w:widowControl w:val="0"/>
      <w:jc w:val="both"/>
    </w:pPr>
    <w:rPr>
      <w:rFonts w:ascii="仿宋_GB2312" w:hAnsi="Calibri" w:eastAsia="仿宋_GB2312"/>
      <w:b/>
      <w:kern w:val="2"/>
      <w:sz w:val="32"/>
      <w:szCs w:val="32"/>
    </w:rPr>
  </w:style>
  <w:style w:type="paragraph" w:customStyle="1" w:styleId="109">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6"/>
      <w:szCs w:val="16"/>
    </w:rPr>
  </w:style>
  <w:style w:type="paragraph" w:customStyle="1" w:styleId="110">
    <w:name w:val="pa-86"/>
    <w:basedOn w:val="1"/>
    <w:qFormat/>
    <w:uiPriority w:val="0"/>
    <w:pPr>
      <w:spacing w:line="320" w:lineRule="atLeast"/>
      <w:ind w:firstLine="560"/>
      <w:jc w:val="both"/>
    </w:pPr>
    <w:rPr>
      <w:rFonts w:ascii="宋体" w:hAnsi="宋体" w:cs="宋体"/>
      <w:sz w:val="24"/>
      <w:szCs w:val="24"/>
    </w:rPr>
  </w:style>
  <w:style w:type="paragraph" w:customStyle="1" w:styleId="111">
    <w:name w:val="标题5"/>
    <w:basedOn w:val="4"/>
    <w:link w:val="112"/>
    <w:qFormat/>
    <w:uiPriority w:val="0"/>
    <w:pPr>
      <w:widowControl w:val="0"/>
      <w:spacing w:line="413" w:lineRule="auto"/>
      <w:ind w:left="720" w:hanging="720"/>
      <w:jc w:val="both"/>
    </w:pPr>
    <w:rPr>
      <w:rFonts w:ascii="Arial" w:hAnsi="Arial"/>
      <w:bCs w:val="0"/>
      <w:szCs w:val="20"/>
    </w:rPr>
  </w:style>
  <w:style w:type="character" w:customStyle="1" w:styleId="112">
    <w:name w:val="标题5 Char Char"/>
    <w:link w:val="111"/>
    <w:qFormat/>
    <w:locked/>
    <w:uiPriority w:val="0"/>
    <w:rPr>
      <w:rFonts w:ascii="Arial" w:hAnsi="Arial"/>
      <w:b/>
      <w:sz w:val="32"/>
    </w:rPr>
  </w:style>
  <w:style w:type="paragraph" w:customStyle="1" w:styleId="113">
    <w:name w:val="pa-98"/>
    <w:basedOn w:val="1"/>
    <w:qFormat/>
    <w:uiPriority w:val="0"/>
    <w:pPr>
      <w:spacing w:line="720" w:lineRule="atLeast"/>
      <w:ind w:firstLine="480"/>
      <w:jc w:val="both"/>
    </w:pPr>
    <w:rPr>
      <w:rFonts w:ascii="宋体" w:hAnsi="宋体" w:cs="宋体"/>
      <w:sz w:val="24"/>
      <w:szCs w:val="24"/>
    </w:rPr>
  </w:style>
  <w:style w:type="paragraph" w:customStyle="1" w:styleId="114">
    <w:name w:val="pa-67"/>
    <w:basedOn w:val="1"/>
    <w:qFormat/>
    <w:uiPriority w:val="0"/>
    <w:pPr>
      <w:spacing w:line="240" w:lineRule="atLeast"/>
      <w:ind w:firstLine="420"/>
    </w:pPr>
    <w:rPr>
      <w:rFonts w:ascii="宋体" w:hAnsi="宋体" w:cs="宋体"/>
      <w:sz w:val="24"/>
      <w:szCs w:val="24"/>
    </w:rPr>
  </w:style>
  <w:style w:type="paragraph" w:customStyle="1" w:styleId="115">
    <w:name w:val="样式1"/>
    <w:basedOn w:val="2"/>
    <w:qFormat/>
    <w:uiPriority w:val="0"/>
    <w:pPr>
      <w:tabs>
        <w:tab w:val="clear" w:pos="840"/>
      </w:tabs>
      <w:adjustRightInd/>
      <w:snapToGrid/>
      <w:spacing w:before="340" w:after="330" w:line="576" w:lineRule="auto"/>
      <w:jc w:val="center"/>
    </w:pPr>
    <w:rPr>
      <w:rFonts w:ascii="Calibri" w:hAnsi="Calibri" w:eastAsia="黑体"/>
      <w:bCs/>
      <w:sz w:val="44"/>
      <w:szCs w:val="44"/>
    </w:rPr>
  </w:style>
  <w:style w:type="paragraph" w:customStyle="1" w:styleId="116">
    <w:name w:val="td-4"/>
    <w:basedOn w:val="1"/>
    <w:qFormat/>
    <w:uiPriority w:val="0"/>
    <w:pPr>
      <w:pBdr>
        <w:top w:val="single" w:color="000000" w:sz="12" w:space="0"/>
        <w:left w:val="single" w:color="000000" w:sz="12" w:space="4"/>
        <w:bottom w:val="single" w:color="000000" w:sz="4" w:space="0"/>
        <w:right w:val="single" w:color="000000" w:sz="4" w:space="0"/>
      </w:pBdr>
    </w:pPr>
    <w:rPr>
      <w:rFonts w:ascii="宋体" w:hAnsi="宋体" w:cs="宋体"/>
      <w:sz w:val="24"/>
      <w:szCs w:val="24"/>
    </w:rPr>
  </w:style>
  <w:style w:type="paragraph" w:customStyle="1" w:styleId="117">
    <w:name w:val="ca-24"/>
    <w:basedOn w:val="1"/>
    <w:qFormat/>
    <w:uiPriority w:val="0"/>
    <w:rPr>
      <w:rFonts w:ascii="宋体" w:hAnsi="宋体" w:cs="宋体"/>
      <w:sz w:val="24"/>
      <w:szCs w:val="24"/>
    </w:rPr>
  </w:style>
  <w:style w:type="paragraph" w:customStyle="1" w:styleId="118">
    <w:name w:val="pa-100"/>
    <w:basedOn w:val="1"/>
    <w:qFormat/>
    <w:uiPriority w:val="0"/>
    <w:pPr>
      <w:spacing w:line="300" w:lineRule="atLeast"/>
      <w:jc w:val="both"/>
    </w:pPr>
    <w:rPr>
      <w:rFonts w:ascii="宋体" w:hAnsi="宋体" w:cs="宋体"/>
      <w:sz w:val="24"/>
      <w:szCs w:val="24"/>
    </w:rPr>
  </w:style>
  <w:style w:type="paragraph" w:customStyle="1" w:styleId="119">
    <w:name w:val="ca-38"/>
    <w:basedOn w:val="1"/>
    <w:qFormat/>
    <w:uiPriority w:val="0"/>
    <w:rPr>
      <w:rFonts w:ascii="Calibri" w:hAnsi="Calibri"/>
      <w:b/>
      <w:bCs/>
      <w:spacing w:val="-20"/>
      <w:szCs w:val="21"/>
    </w:rPr>
  </w:style>
  <w:style w:type="paragraph" w:customStyle="1" w:styleId="120">
    <w:name w:val="引用2"/>
    <w:basedOn w:val="1"/>
    <w:next w:val="1"/>
    <w:qFormat/>
    <w:uiPriority w:val="0"/>
    <w:pPr>
      <w:widowControl w:val="0"/>
      <w:jc w:val="both"/>
    </w:pPr>
    <w:rPr>
      <w:rFonts w:ascii="Calibri" w:hAnsi="Calibri"/>
      <w:i/>
      <w:color w:val="000000"/>
      <w:kern w:val="2"/>
      <w:sz w:val="22"/>
    </w:rPr>
  </w:style>
  <w:style w:type="paragraph" w:customStyle="1" w:styleId="121">
    <w:name w:val="样式 标题 3 + (中文) 黑体 小四 非加粗 段前: 7.8 磅 段后: 0 磅 行距: 固定值 20 磅"/>
    <w:basedOn w:val="4"/>
    <w:qFormat/>
    <w:uiPriority w:val="0"/>
    <w:pPr>
      <w:widowControl w:val="0"/>
      <w:spacing w:before="0" w:after="0" w:line="400" w:lineRule="exact"/>
      <w:ind w:left="720" w:hanging="720"/>
      <w:jc w:val="both"/>
    </w:pPr>
    <w:rPr>
      <w:rFonts w:ascii="Calibri" w:hAnsi="Calibri" w:eastAsia="黑体" w:cs="宋体"/>
      <w:b w:val="0"/>
      <w:bCs w:val="0"/>
      <w:kern w:val="2"/>
      <w:sz w:val="24"/>
      <w:szCs w:val="20"/>
    </w:rPr>
  </w:style>
  <w:style w:type="paragraph" w:customStyle="1" w:styleId="122">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kern w:val="2"/>
      <w:sz w:val="28"/>
      <w:szCs w:val="28"/>
    </w:rPr>
  </w:style>
  <w:style w:type="paragraph" w:customStyle="1" w:styleId="123">
    <w:name w:val="pa-51"/>
    <w:basedOn w:val="1"/>
    <w:qFormat/>
    <w:uiPriority w:val="0"/>
    <w:pPr>
      <w:spacing w:line="276" w:lineRule="atLeast"/>
      <w:jc w:val="center"/>
    </w:pPr>
    <w:rPr>
      <w:rFonts w:ascii="宋体" w:hAnsi="宋体" w:cs="宋体"/>
      <w:sz w:val="24"/>
      <w:szCs w:val="24"/>
    </w:rPr>
  </w:style>
  <w:style w:type="paragraph" w:customStyle="1" w:styleId="124">
    <w:name w:val="pa-14"/>
    <w:basedOn w:val="1"/>
    <w:qFormat/>
    <w:uiPriority w:val="0"/>
    <w:pPr>
      <w:spacing w:line="360" w:lineRule="atLeast"/>
    </w:pPr>
    <w:rPr>
      <w:rFonts w:ascii="宋体" w:hAnsi="宋体" w:cs="宋体"/>
      <w:sz w:val="24"/>
      <w:szCs w:val="24"/>
    </w:rPr>
  </w:style>
  <w:style w:type="paragraph" w:customStyle="1" w:styleId="125">
    <w:name w:val="pa-110"/>
    <w:basedOn w:val="1"/>
    <w:qFormat/>
    <w:uiPriority w:val="0"/>
    <w:pPr>
      <w:spacing w:line="360" w:lineRule="atLeast"/>
      <w:jc w:val="center"/>
    </w:pPr>
    <w:rPr>
      <w:rFonts w:ascii="宋体" w:hAnsi="宋体" w:cs="宋体"/>
      <w:sz w:val="24"/>
      <w:szCs w:val="24"/>
    </w:rPr>
  </w:style>
  <w:style w:type="paragraph" w:styleId="126">
    <w:name w:val="List Paragraph"/>
    <w:basedOn w:val="1"/>
    <w:link w:val="127"/>
    <w:qFormat/>
    <w:uiPriority w:val="34"/>
    <w:pPr>
      <w:ind w:firstLine="420" w:firstLineChars="200"/>
    </w:pPr>
  </w:style>
  <w:style w:type="character" w:customStyle="1" w:styleId="127">
    <w:name w:val="列出段落 字符"/>
    <w:link w:val="126"/>
    <w:qFormat/>
    <w:uiPriority w:val="99"/>
    <w:rPr>
      <w:sz w:val="21"/>
    </w:rPr>
  </w:style>
  <w:style w:type="paragraph" w:customStyle="1" w:styleId="128">
    <w:name w:val="Char Char1 Char1"/>
    <w:basedOn w:val="1"/>
    <w:qFormat/>
    <w:uiPriority w:val="0"/>
    <w:pPr>
      <w:widowControl w:val="0"/>
      <w:jc w:val="both"/>
    </w:pPr>
    <w:rPr>
      <w:rFonts w:ascii="Calibri" w:hAnsi="Calibri"/>
      <w:kern w:val="2"/>
      <w:szCs w:val="24"/>
    </w:rPr>
  </w:style>
  <w:style w:type="paragraph" w:customStyle="1" w:styleId="129">
    <w:name w:val="xl9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130">
    <w:name w:val="引用1"/>
    <w:basedOn w:val="1"/>
    <w:next w:val="1"/>
    <w:link w:val="131"/>
    <w:qFormat/>
    <w:uiPriority w:val="0"/>
    <w:pPr>
      <w:widowControl w:val="0"/>
      <w:jc w:val="both"/>
    </w:pPr>
    <w:rPr>
      <w:i/>
      <w:color w:val="000000"/>
      <w:kern w:val="2"/>
      <w:sz w:val="22"/>
    </w:rPr>
  </w:style>
  <w:style w:type="character" w:customStyle="1" w:styleId="131">
    <w:name w:val="Quote Char"/>
    <w:link w:val="130"/>
    <w:qFormat/>
    <w:locked/>
    <w:uiPriority w:val="0"/>
    <w:rPr>
      <w:i/>
      <w:color w:val="000000"/>
      <w:kern w:val="2"/>
      <w:sz w:val="22"/>
    </w:rPr>
  </w:style>
  <w:style w:type="paragraph" w:customStyle="1" w:styleId="132">
    <w:name w:val="标题4"/>
    <w:basedOn w:val="3"/>
    <w:next w:val="26"/>
    <w:link w:val="133"/>
    <w:qFormat/>
    <w:uiPriority w:val="0"/>
    <w:pPr>
      <w:widowControl w:val="0"/>
      <w:spacing w:line="413" w:lineRule="auto"/>
      <w:jc w:val="both"/>
    </w:pPr>
    <w:rPr>
      <w:rFonts w:ascii="Arial" w:hAnsi="Arial"/>
      <w:bCs w:val="0"/>
      <w:szCs w:val="20"/>
    </w:rPr>
  </w:style>
  <w:style w:type="character" w:customStyle="1" w:styleId="133">
    <w:name w:val="标题4 Char Char"/>
    <w:link w:val="132"/>
    <w:qFormat/>
    <w:locked/>
    <w:uiPriority w:val="0"/>
    <w:rPr>
      <w:rFonts w:ascii="Arial" w:hAnsi="Arial"/>
      <w:b/>
      <w:sz w:val="32"/>
    </w:rPr>
  </w:style>
  <w:style w:type="paragraph" w:customStyle="1" w:styleId="134">
    <w:name w:val="pa-78"/>
    <w:basedOn w:val="1"/>
    <w:qFormat/>
    <w:uiPriority w:val="0"/>
    <w:pPr>
      <w:spacing w:line="340" w:lineRule="atLeast"/>
      <w:jc w:val="both"/>
    </w:pPr>
    <w:rPr>
      <w:rFonts w:ascii="宋体" w:hAnsi="宋体" w:cs="宋体"/>
      <w:sz w:val="24"/>
      <w:szCs w:val="24"/>
    </w:rPr>
  </w:style>
  <w:style w:type="paragraph" w:customStyle="1" w:styleId="135">
    <w:name w:val="xl114"/>
    <w:basedOn w:val="1"/>
    <w:qFormat/>
    <w:uiPriority w:val="0"/>
    <w:pP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136">
    <w:name w:val="*正文"/>
    <w:basedOn w:val="1"/>
    <w:qFormat/>
    <w:uiPriority w:val="0"/>
    <w:pPr>
      <w:spacing w:line="360" w:lineRule="auto"/>
      <w:ind w:firstLine="480" w:firstLineChars="200"/>
    </w:pPr>
    <w:rPr>
      <w:rFonts w:ascii="Calibri" w:hAnsi="Calibri" w:cs="仿宋_GB2312"/>
      <w:sz w:val="24"/>
    </w:rPr>
  </w:style>
  <w:style w:type="paragraph" w:customStyle="1" w:styleId="137">
    <w:name w:val="默认段落字体 Para Char Char Char Char Char Char Char"/>
    <w:basedOn w:val="1"/>
    <w:qFormat/>
    <w:uiPriority w:val="0"/>
    <w:pPr>
      <w:widowControl w:val="0"/>
      <w:jc w:val="both"/>
    </w:pPr>
    <w:rPr>
      <w:rFonts w:ascii="Tahoma" w:hAnsi="Tahoma"/>
      <w:kern w:val="2"/>
      <w:sz w:val="24"/>
    </w:rPr>
  </w:style>
  <w:style w:type="paragraph" w:customStyle="1" w:styleId="138">
    <w:name w:val="样式 标题 3h3标题 3(节)H3l3CTsect1.2.3Heading 3 - old一level_3..."/>
    <w:basedOn w:val="4"/>
    <w:qFormat/>
    <w:uiPriority w:val="0"/>
    <w:pPr>
      <w:widowControl w:val="0"/>
      <w:adjustRightInd w:val="0"/>
      <w:spacing w:line="360" w:lineRule="auto"/>
      <w:ind w:left="720" w:hanging="720"/>
    </w:pPr>
    <w:rPr>
      <w:rFonts w:ascii="宋体" w:hAnsi="Arial"/>
      <w:kern w:val="24"/>
      <w:sz w:val="24"/>
      <w:szCs w:val="20"/>
    </w:rPr>
  </w:style>
  <w:style w:type="paragraph" w:customStyle="1" w:styleId="139">
    <w:name w:val="Char Char Char Char Char Char1 Char Char Char Char Char Char Char Char Char Char Char Char Char1 Char Char Char1"/>
    <w:basedOn w:val="1"/>
    <w:qFormat/>
    <w:uiPriority w:val="0"/>
    <w:pPr>
      <w:widowControl w:val="0"/>
      <w:jc w:val="both"/>
    </w:pPr>
    <w:rPr>
      <w:rFonts w:ascii="Calibri" w:hAnsi="Calibri"/>
      <w:b/>
      <w:bCs/>
      <w:kern w:val="2"/>
      <w:sz w:val="36"/>
      <w:szCs w:val="32"/>
    </w:rPr>
  </w:style>
  <w:style w:type="paragraph" w:customStyle="1" w:styleId="140">
    <w:name w:val="pa-84"/>
    <w:basedOn w:val="1"/>
    <w:qFormat/>
    <w:uiPriority w:val="0"/>
    <w:pPr>
      <w:spacing w:line="480" w:lineRule="atLeast"/>
      <w:jc w:val="center"/>
    </w:pPr>
    <w:rPr>
      <w:rFonts w:ascii="宋体" w:hAnsi="宋体" w:cs="宋体"/>
      <w:sz w:val="24"/>
      <w:szCs w:val="24"/>
    </w:rPr>
  </w:style>
  <w:style w:type="paragraph" w:customStyle="1" w:styleId="141">
    <w:name w:val="pa-91"/>
    <w:basedOn w:val="1"/>
    <w:qFormat/>
    <w:uiPriority w:val="0"/>
    <w:pPr>
      <w:spacing w:line="360" w:lineRule="atLeast"/>
      <w:ind w:firstLine="4000"/>
    </w:pPr>
    <w:rPr>
      <w:rFonts w:ascii="宋体" w:hAnsi="宋体" w:cs="宋体"/>
      <w:sz w:val="24"/>
      <w:szCs w:val="24"/>
    </w:rPr>
  </w:style>
  <w:style w:type="paragraph" w:customStyle="1" w:styleId="142">
    <w:name w:val="标书标题2"/>
    <w:basedOn w:val="3"/>
    <w:qFormat/>
    <w:uiPriority w:val="0"/>
    <w:pPr>
      <w:keepLines w:val="0"/>
      <w:tabs>
        <w:tab w:val="left" w:pos="1140"/>
      </w:tabs>
      <w:adjustRightInd w:val="0"/>
      <w:snapToGrid w:val="0"/>
      <w:spacing w:beforeLines="50" w:after="60" w:line="300" w:lineRule="auto"/>
      <w:ind w:left="1140" w:hanging="720"/>
    </w:pPr>
    <w:rPr>
      <w:rFonts w:ascii="Arial Narrow" w:hAnsi="Arial Narrow" w:eastAsia="仿宋_GB2312"/>
      <w:bCs w:val="0"/>
      <w:sz w:val="28"/>
      <w:szCs w:val="20"/>
    </w:rPr>
  </w:style>
  <w:style w:type="paragraph" w:customStyle="1" w:styleId="143">
    <w:name w:val="表格格式"/>
    <w:basedOn w:val="1"/>
    <w:qFormat/>
    <w:uiPriority w:val="0"/>
    <w:pPr>
      <w:widowControl w:val="0"/>
      <w:spacing w:line="360" w:lineRule="exact"/>
      <w:ind w:left="-91"/>
    </w:pPr>
    <w:rPr>
      <w:rFonts w:ascii="宋体" w:hAnsi="Calibri"/>
      <w:sz w:val="24"/>
      <w:szCs w:val="11"/>
    </w:rPr>
  </w:style>
  <w:style w:type="paragraph" w:customStyle="1" w:styleId="144">
    <w:name w:val="pa-127"/>
    <w:basedOn w:val="1"/>
    <w:qFormat/>
    <w:uiPriority w:val="0"/>
    <w:pPr>
      <w:spacing w:line="480" w:lineRule="atLeast"/>
      <w:ind w:firstLine="960"/>
      <w:jc w:val="both"/>
    </w:pPr>
    <w:rPr>
      <w:rFonts w:ascii="宋体" w:hAnsi="宋体" w:cs="宋体"/>
      <w:sz w:val="24"/>
      <w:szCs w:val="24"/>
    </w:rPr>
  </w:style>
  <w:style w:type="paragraph" w:customStyle="1" w:styleId="145">
    <w:name w:val="pa-20"/>
    <w:basedOn w:val="1"/>
    <w:qFormat/>
    <w:uiPriority w:val="0"/>
    <w:pPr>
      <w:spacing w:line="360" w:lineRule="atLeast"/>
    </w:pPr>
    <w:rPr>
      <w:rFonts w:ascii="宋体" w:hAnsi="宋体" w:cs="宋体"/>
      <w:sz w:val="24"/>
      <w:szCs w:val="24"/>
    </w:rPr>
  </w:style>
  <w:style w:type="paragraph" w:customStyle="1" w:styleId="146">
    <w:name w:val="样式 标题 3 + 段前: 7.8 磅"/>
    <w:basedOn w:val="4"/>
    <w:qFormat/>
    <w:uiPriority w:val="0"/>
    <w:pPr>
      <w:keepNext w:val="0"/>
      <w:keepLines w:val="0"/>
      <w:widowControl w:val="0"/>
      <w:tabs>
        <w:tab w:val="left" w:pos="432"/>
      </w:tabs>
      <w:spacing w:before="156" w:after="0" w:line="360" w:lineRule="auto"/>
      <w:ind w:left="432" w:hanging="432"/>
      <w:jc w:val="both"/>
    </w:pPr>
    <w:rPr>
      <w:rFonts w:ascii="Calibri" w:hAnsi="Calibri" w:cs="宋体"/>
      <w:b w:val="0"/>
      <w:bCs w:val="0"/>
      <w:kern w:val="2"/>
      <w:sz w:val="24"/>
      <w:szCs w:val="20"/>
    </w:rPr>
  </w:style>
  <w:style w:type="paragraph" w:customStyle="1" w:styleId="147">
    <w:name w:val="内文"/>
    <w:link w:val="148"/>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48">
    <w:name w:val="内文 Char Char"/>
    <w:link w:val="147"/>
    <w:qFormat/>
    <w:locked/>
    <w:uiPriority w:val="0"/>
    <w:rPr>
      <w:rFonts w:ascii="Arial" w:hAnsi="Arial" w:eastAsia="Times New Roman"/>
      <w:kern w:val="2"/>
      <w:sz w:val="21"/>
      <w:lang w:val="en-US" w:eastAsia="zh-CN" w:bidi="ar-SA"/>
    </w:rPr>
  </w:style>
  <w:style w:type="paragraph" w:customStyle="1" w:styleId="149">
    <w:name w:val="ca-21"/>
    <w:basedOn w:val="1"/>
    <w:qFormat/>
    <w:uiPriority w:val="0"/>
    <w:rPr>
      <w:rFonts w:ascii="宋体" w:hAnsi="宋体" w:cs="宋体"/>
      <w:color w:val="000000"/>
      <w:szCs w:val="21"/>
    </w:rPr>
  </w:style>
  <w:style w:type="paragraph" w:customStyle="1" w:styleId="150">
    <w:name w:val="pa-37"/>
    <w:basedOn w:val="1"/>
    <w:qFormat/>
    <w:uiPriority w:val="0"/>
    <w:pPr>
      <w:spacing w:line="360" w:lineRule="atLeast"/>
      <w:ind w:firstLine="300"/>
      <w:jc w:val="both"/>
    </w:pPr>
    <w:rPr>
      <w:rFonts w:ascii="宋体" w:hAnsi="宋体" w:cs="宋体"/>
      <w:sz w:val="24"/>
      <w:szCs w:val="24"/>
    </w:rPr>
  </w:style>
  <w:style w:type="paragraph" w:customStyle="1" w:styleId="151">
    <w:name w:val="Revision1"/>
    <w:qFormat/>
    <w:uiPriority w:val="0"/>
    <w:rPr>
      <w:rFonts w:ascii="Calibri" w:hAnsi="Calibri" w:eastAsia="宋体" w:cs="Times New Roman"/>
      <w:kern w:val="2"/>
      <w:sz w:val="21"/>
      <w:szCs w:val="24"/>
      <w:lang w:val="en-US" w:eastAsia="zh-CN" w:bidi="ar-SA"/>
    </w:rPr>
  </w:style>
  <w:style w:type="paragraph" w:customStyle="1" w:styleId="152">
    <w:name w:val="ca-33"/>
    <w:basedOn w:val="1"/>
    <w:qFormat/>
    <w:uiPriority w:val="0"/>
    <w:rPr>
      <w:rFonts w:ascii="宋体" w:hAnsi="宋体" w:cs="宋体"/>
      <w:b/>
      <w:bCs/>
      <w:color w:val="002060"/>
      <w:spacing w:val="-20"/>
      <w:sz w:val="20"/>
    </w:rPr>
  </w:style>
  <w:style w:type="paragraph" w:customStyle="1" w:styleId="153">
    <w:name w:val="ca-48"/>
    <w:basedOn w:val="1"/>
    <w:qFormat/>
    <w:uiPriority w:val="0"/>
    <w:rPr>
      <w:rFonts w:ascii="宋体" w:hAnsi="宋体" w:cs="宋体"/>
      <w:color w:val="000000"/>
      <w:sz w:val="26"/>
      <w:szCs w:val="26"/>
    </w:rPr>
  </w:style>
  <w:style w:type="paragraph" w:customStyle="1" w:styleId="154">
    <w:name w:val="pa-133"/>
    <w:basedOn w:val="1"/>
    <w:qFormat/>
    <w:uiPriority w:val="0"/>
    <w:pPr>
      <w:spacing w:line="280" w:lineRule="atLeast"/>
    </w:pPr>
    <w:rPr>
      <w:rFonts w:ascii="宋体" w:hAnsi="宋体" w:cs="宋体"/>
      <w:sz w:val="24"/>
      <w:szCs w:val="24"/>
    </w:rPr>
  </w:style>
  <w:style w:type="paragraph" w:customStyle="1" w:styleId="155">
    <w:name w:val="ca-3"/>
    <w:basedOn w:val="1"/>
    <w:qFormat/>
    <w:uiPriority w:val="0"/>
    <w:rPr>
      <w:rFonts w:ascii="Calibri" w:hAnsi="Calibri"/>
      <w:b/>
      <w:bCs/>
      <w:color w:val="000000"/>
      <w:spacing w:val="-20"/>
      <w:sz w:val="48"/>
      <w:szCs w:val="48"/>
    </w:rPr>
  </w:style>
  <w:style w:type="paragraph" w:customStyle="1" w:styleId="156">
    <w:name w:val="pa-73"/>
    <w:basedOn w:val="1"/>
    <w:qFormat/>
    <w:uiPriority w:val="0"/>
    <w:pPr>
      <w:spacing w:line="360" w:lineRule="atLeast"/>
      <w:ind w:firstLine="640"/>
      <w:jc w:val="both"/>
    </w:pPr>
    <w:rPr>
      <w:rFonts w:ascii="宋体" w:hAnsi="宋体" w:cs="宋体"/>
      <w:sz w:val="24"/>
      <w:szCs w:val="24"/>
    </w:rPr>
  </w:style>
  <w:style w:type="paragraph" w:customStyle="1" w:styleId="157">
    <w:name w:val="pa-81"/>
    <w:basedOn w:val="1"/>
    <w:qFormat/>
    <w:uiPriority w:val="0"/>
    <w:pPr>
      <w:spacing w:line="360" w:lineRule="atLeast"/>
      <w:jc w:val="center"/>
    </w:pPr>
    <w:rPr>
      <w:rFonts w:ascii="宋体" w:hAnsi="宋体" w:cs="宋体"/>
      <w:sz w:val="24"/>
      <w:szCs w:val="24"/>
    </w:rPr>
  </w:style>
  <w:style w:type="paragraph" w:customStyle="1" w:styleId="158">
    <w:name w:val="pa-93"/>
    <w:basedOn w:val="1"/>
    <w:qFormat/>
    <w:uiPriority w:val="0"/>
    <w:pPr>
      <w:spacing w:line="480" w:lineRule="atLeast"/>
      <w:ind w:firstLine="480"/>
    </w:pPr>
    <w:rPr>
      <w:rFonts w:ascii="宋体" w:hAnsi="宋体" w:cs="宋体"/>
      <w:sz w:val="24"/>
      <w:szCs w:val="24"/>
    </w:rPr>
  </w:style>
  <w:style w:type="paragraph" w:customStyle="1" w:styleId="159">
    <w:name w:val="默认段落字体 Para Char Char Char Char Char Char Char Char Char Char"/>
    <w:basedOn w:val="1"/>
    <w:qFormat/>
    <w:uiPriority w:val="0"/>
    <w:pPr>
      <w:widowControl w:val="0"/>
      <w:jc w:val="both"/>
    </w:pPr>
    <w:rPr>
      <w:rFonts w:ascii="Calibri" w:hAnsi="Calibri"/>
      <w:kern w:val="2"/>
    </w:rPr>
  </w:style>
  <w:style w:type="paragraph" w:customStyle="1" w:styleId="160">
    <w:name w:val="pa-89"/>
    <w:basedOn w:val="1"/>
    <w:qFormat/>
    <w:uiPriority w:val="0"/>
    <w:pPr>
      <w:spacing w:line="320" w:lineRule="atLeast"/>
      <w:jc w:val="both"/>
    </w:pPr>
    <w:rPr>
      <w:rFonts w:ascii="宋体" w:hAnsi="宋体" w:cs="宋体"/>
      <w:sz w:val="24"/>
      <w:szCs w:val="24"/>
    </w:rPr>
  </w:style>
  <w:style w:type="paragraph" w:customStyle="1" w:styleId="161">
    <w:name w:val="投标书正文"/>
    <w:link w:val="162"/>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62">
    <w:name w:val="投标书正文 Char Char"/>
    <w:link w:val="161"/>
    <w:qFormat/>
    <w:uiPriority w:val="0"/>
    <w:rPr>
      <w:rFonts w:eastAsia="Times New Roman"/>
      <w:kern w:val="2"/>
      <w:sz w:val="24"/>
      <w:szCs w:val="24"/>
    </w:rPr>
  </w:style>
  <w:style w:type="paragraph" w:customStyle="1" w:styleId="163">
    <w:name w:val="xl63"/>
    <w:basedOn w:val="1"/>
    <w:qFormat/>
    <w:uiPriority w:val="0"/>
    <w:pPr>
      <w:spacing w:before="100" w:beforeAutospacing="1" w:after="100" w:afterAutospacing="1"/>
      <w:jc w:val="center"/>
    </w:pPr>
    <w:rPr>
      <w:rFonts w:ascii="宋体" w:hAnsi="宋体" w:cs="宋体"/>
      <w:b/>
      <w:bCs/>
      <w:sz w:val="20"/>
    </w:rPr>
  </w:style>
  <w:style w:type="paragraph" w:customStyle="1" w:styleId="164">
    <w:name w:val="纯文本1"/>
    <w:basedOn w:val="1"/>
    <w:qFormat/>
    <w:uiPriority w:val="99"/>
    <w:pPr>
      <w:widowControl w:val="0"/>
      <w:spacing w:afterLines="50"/>
      <w:jc w:val="both"/>
    </w:pPr>
    <w:rPr>
      <w:rFonts w:ascii="宋体" w:hAnsi="Courier New"/>
      <w:kern w:val="2"/>
      <w:sz w:val="24"/>
    </w:rPr>
  </w:style>
  <w:style w:type="paragraph" w:customStyle="1" w:styleId="165">
    <w:name w:val="ca-25"/>
    <w:basedOn w:val="1"/>
    <w:qFormat/>
    <w:uiPriority w:val="0"/>
    <w:rPr>
      <w:rFonts w:ascii="Calibri" w:hAnsi="Calibri"/>
      <w:szCs w:val="21"/>
    </w:rPr>
  </w:style>
  <w:style w:type="paragraph" w:customStyle="1" w:styleId="166">
    <w:name w:val="ca-6"/>
    <w:basedOn w:val="1"/>
    <w:qFormat/>
    <w:uiPriority w:val="0"/>
    <w:rPr>
      <w:rFonts w:ascii="宋体" w:hAnsi="宋体" w:cs="宋体"/>
      <w:color w:val="000000"/>
      <w:sz w:val="30"/>
      <w:szCs w:val="30"/>
    </w:rPr>
  </w:style>
  <w:style w:type="paragraph" w:customStyle="1" w:styleId="167">
    <w:name w:val="pa-19"/>
    <w:basedOn w:val="1"/>
    <w:qFormat/>
    <w:uiPriority w:val="0"/>
    <w:pPr>
      <w:spacing w:line="240" w:lineRule="atLeast"/>
      <w:ind w:firstLine="20"/>
    </w:pPr>
    <w:rPr>
      <w:rFonts w:ascii="宋体" w:hAnsi="宋体" w:cs="宋体"/>
      <w:sz w:val="24"/>
      <w:szCs w:val="24"/>
    </w:rPr>
  </w:style>
  <w:style w:type="paragraph" w:customStyle="1" w:styleId="168">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69">
    <w:name w:val="xl65"/>
    <w:basedOn w:val="1"/>
    <w:qFormat/>
    <w:uiPriority w:val="0"/>
    <w:pPr>
      <w:spacing w:before="100" w:beforeAutospacing="1" w:after="100" w:afterAutospacing="1"/>
    </w:pPr>
    <w:rPr>
      <w:rFonts w:ascii="宋体" w:hAnsi="宋体" w:cs="宋体"/>
      <w:b/>
      <w:bCs/>
      <w:sz w:val="24"/>
      <w:szCs w:val="24"/>
    </w:rPr>
  </w:style>
  <w:style w:type="paragraph" w:customStyle="1" w:styleId="170">
    <w:name w:val="TOC Heading1"/>
    <w:basedOn w:val="2"/>
    <w:next w:val="1"/>
    <w:qFormat/>
    <w:uiPriority w:val="0"/>
    <w:pPr>
      <w:tabs>
        <w:tab w:val="clear" w:pos="840"/>
      </w:tabs>
      <w:adjustRightInd/>
      <w:snapToGrid/>
      <w:spacing w:before="340" w:after="330" w:line="576" w:lineRule="auto"/>
      <w:outlineLvl w:val="9"/>
    </w:pPr>
    <w:rPr>
      <w:rFonts w:ascii="Calibri" w:hAnsi="Calibri"/>
      <w:bCs/>
      <w:sz w:val="44"/>
      <w:szCs w:val="44"/>
    </w:rPr>
  </w:style>
  <w:style w:type="paragraph" w:customStyle="1" w:styleId="171">
    <w:name w:val="ca-49"/>
    <w:basedOn w:val="1"/>
    <w:qFormat/>
    <w:uiPriority w:val="0"/>
    <w:rPr>
      <w:rFonts w:ascii="宋体" w:hAnsi="宋体" w:cs="宋体"/>
      <w:sz w:val="32"/>
      <w:szCs w:val="32"/>
    </w:rPr>
  </w:style>
  <w:style w:type="paragraph" w:customStyle="1" w:styleId="172">
    <w:name w:val="菲页2"/>
    <w:basedOn w:val="4"/>
    <w:qFormat/>
    <w:uiPriority w:val="0"/>
    <w:pPr>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173">
    <w:name w:val="正文文本缩进1"/>
    <w:basedOn w:val="1"/>
    <w:qFormat/>
    <w:uiPriority w:val="0"/>
    <w:pPr>
      <w:widowControl w:val="0"/>
      <w:spacing w:before="120" w:after="120" w:line="360" w:lineRule="auto"/>
      <w:ind w:left="420" w:leftChars="200"/>
      <w:jc w:val="both"/>
    </w:pPr>
    <w:rPr>
      <w:rFonts w:ascii="Calibri" w:hAnsi="Calibri"/>
      <w:kern w:val="2"/>
      <w:sz w:val="20"/>
    </w:rPr>
  </w:style>
  <w:style w:type="paragraph" w:customStyle="1" w:styleId="174">
    <w:name w:val="td-0"/>
    <w:basedOn w:val="1"/>
    <w:qFormat/>
    <w:uiPriority w:val="0"/>
    <w:pPr>
      <w:pBdr>
        <w:top w:val="single" w:color="000000" w:sz="4" w:space="0"/>
        <w:left w:val="single" w:color="000000" w:sz="4" w:space="4"/>
        <w:bottom w:val="single" w:color="000000" w:sz="4" w:space="0"/>
        <w:right w:val="single" w:color="000000" w:sz="4" w:space="0"/>
      </w:pBdr>
    </w:pPr>
    <w:rPr>
      <w:rFonts w:ascii="宋体" w:hAnsi="宋体" w:cs="宋体"/>
      <w:sz w:val="24"/>
      <w:szCs w:val="24"/>
    </w:rPr>
  </w:style>
  <w:style w:type="paragraph" w:customStyle="1" w:styleId="175">
    <w:name w:val="xl1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sz w:val="18"/>
      <w:szCs w:val="18"/>
    </w:rPr>
  </w:style>
  <w:style w:type="paragraph" w:customStyle="1" w:styleId="176">
    <w:name w:val="pa-34"/>
    <w:basedOn w:val="1"/>
    <w:qFormat/>
    <w:uiPriority w:val="0"/>
    <w:pPr>
      <w:spacing w:line="360" w:lineRule="atLeast"/>
      <w:ind w:firstLine="460"/>
      <w:jc w:val="both"/>
    </w:pPr>
    <w:rPr>
      <w:rFonts w:ascii="宋体" w:hAnsi="宋体" w:cs="宋体"/>
      <w:sz w:val="24"/>
      <w:szCs w:val="24"/>
    </w:rPr>
  </w:style>
  <w:style w:type="paragraph" w:customStyle="1" w:styleId="177">
    <w:name w:val="样式 标题 4 + 段后: 8.15 磅 行距: 1.5 倍行距"/>
    <w:basedOn w:val="5"/>
    <w:qFormat/>
    <w:uiPriority w:val="0"/>
    <w:pPr>
      <w:tabs>
        <w:tab w:val="clear" w:pos="864"/>
      </w:tabs>
      <w:spacing w:after="163" w:line="360" w:lineRule="auto"/>
    </w:pPr>
    <w:rPr>
      <w:rFonts w:eastAsia="宋体" w:cs="宋体"/>
      <w:sz w:val="24"/>
      <w:szCs w:val="20"/>
      <w:lang w:val="en-US"/>
    </w:rPr>
  </w:style>
  <w:style w:type="paragraph" w:customStyle="1" w:styleId="178">
    <w:name w:val="pa-28"/>
    <w:basedOn w:val="1"/>
    <w:qFormat/>
    <w:uiPriority w:val="0"/>
    <w:pPr>
      <w:spacing w:line="360" w:lineRule="atLeast"/>
      <w:ind w:firstLine="420"/>
    </w:pPr>
    <w:rPr>
      <w:rFonts w:ascii="宋体" w:hAnsi="宋体" w:cs="宋体"/>
      <w:sz w:val="24"/>
      <w:szCs w:val="24"/>
    </w:rPr>
  </w:style>
  <w:style w:type="paragraph" w:customStyle="1" w:styleId="179">
    <w:name w:val="6'"/>
    <w:basedOn w:val="1"/>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rPr>
  </w:style>
  <w:style w:type="paragraph" w:customStyle="1" w:styleId="180">
    <w:name w:val="p17"/>
    <w:basedOn w:val="1"/>
    <w:qFormat/>
    <w:uiPriority w:val="0"/>
    <w:pPr>
      <w:jc w:val="both"/>
    </w:pPr>
    <w:rPr>
      <w:szCs w:val="21"/>
    </w:rPr>
  </w:style>
  <w:style w:type="paragraph" w:customStyle="1" w:styleId="181">
    <w:name w:val="ca-37"/>
    <w:basedOn w:val="1"/>
    <w:qFormat/>
    <w:uiPriority w:val="0"/>
    <w:rPr>
      <w:rFonts w:ascii="宋体" w:hAnsi="宋体" w:cs="宋体"/>
      <w:color w:val="000000"/>
      <w:szCs w:val="21"/>
    </w:rPr>
  </w:style>
  <w:style w:type="paragraph" w:customStyle="1" w:styleId="182">
    <w:name w:val="pa-42"/>
    <w:basedOn w:val="1"/>
    <w:qFormat/>
    <w:uiPriority w:val="0"/>
    <w:pPr>
      <w:spacing w:line="280" w:lineRule="atLeast"/>
      <w:ind w:firstLine="420"/>
    </w:pPr>
    <w:rPr>
      <w:rFonts w:ascii="宋体" w:hAnsi="宋体" w:cs="宋体"/>
      <w:sz w:val="24"/>
      <w:szCs w:val="24"/>
    </w:rPr>
  </w:style>
  <w:style w:type="paragraph" w:customStyle="1" w:styleId="183">
    <w:name w:val="明显引用2"/>
    <w:basedOn w:val="1"/>
    <w:next w:val="1"/>
    <w:qFormat/>
    <w:uiPriority w:val="0"/>
    <w:pPr>
      <w:widowControl w:val="0"/>
      <w:pBdr>
        <w:bottom w:val="single" w:color="4F81BD" w:sz="4" w:space="4"/>
      </w:pBdr>
      <w:spacing w:before="200" w:after="280"/>
      <w:ind w:left="936" w:right="936"/>
      <w:jc w:val="both"/>
    </w:pPr>
    <w:rPr>
      <w:rFonts w:ascii="Calibri" w:hAnsi="Calibri"/>
      <w:b/>
      <w:i/>
      <w:color w:val="4F81BD"/>
      <w:kern w:val="2"/>
      <w:sz w:val="22"/>
    </w:rPr>
  </w:style>
  <w:style w:type="paragraph" w:customStyle="1" w:styleId="184">
    <w:name w:val="样式 纯文本普通文字 Char纯文本 Char Char普通文字纯文本 Char Char Char Char Char...6"/>
    <w:basedOn w:val="29"/>
    <w:link w:val="185"/>
    <w:qFormat/>
    <w:uiPriority w:val="0"/>
    <w:rPr>
      <w:color w:val="000000"/>
    </w:rPr>
  </w:style>
  <w:style w:type="character" w:customStyle="1" w:styleId="185">
    <w:name w:val="样式 纯文本普通文字 Char纯文本 Char Char普通文字纯文本 Char Char Char Char Char...6 Char Char"/>
    <w:link w:val="184"/>
    <w:qFormat/>
    <w:locked/>
    <w:uiPriority w:val="0"/>
    <w:rPr>
      <w:rFonts w:ascii="宋体" w:hAnsi="Courier New"/>
      <w:color w:val="000000"/>
      <w:kern w:val="2"/>
      <w:sz w:val="21"/>
    </w:rPr>
  </w:style>
  <w:style w:type="paragraph" w:customStyle="1" w:styleId="186">
    <w:name w:val="pa-140"/>
    <w:basedOn w:val="1"/>
    <w:qFormat/>
    <w:uiPriority w:val="0"/>
    <w:pPr>
      <w:spacing w:line="320" w:lineRule="atLeast"/>
      <w:ind w:firstLine="560"/>
      <w:jc w:val="both"/>
    </w:pPr>
    <w:rPr>
      <w:rFonts w:ascii="宋体" w:hAnsi="宋体" w:cs="宋体"/>
      <w:sz w:val="24"/>
      <w:szCs w:val="24"/>
    </w:rPr>
  </w:style>
  <w:style w:type="paragraph" w:customStyle="1" w:styleId="187">
    <w:name w:val="pa-137"/>
    <w:basedOn w:val="1"/>
    <w:qFormat/>
    <w:uiPriority w:val="0"/>
    <w:pPr>
      <w:spacing w:line="480" w:lineRule="atLeast"/>
      <w:jc w:val="center"/>
    </w:pPr>
    <w:rPr>
      <w:rFonts w:ascii="宋体" w:hAnsi="宋体" w:cs="宋体"/>
      <w:sz w:val="24"/>
      <w:szCs w:val="24"/>
    </w:rPr>
  </w:style>
  <w:style w:type="paragraph" w:customStyle="1" w:styleId="188">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sz w:val="16"/>
      <w:szCs w:val="16"/>
    </w:rPr>
  </w:style>
  <w:style w:type="paragraph" w:customStyle="1" w:styleId="189">
    <w:name w:val="pa-75"/>
    <w:basedOn w:val="1"/>
    <w:qFormat/>
    <w:uiPriority w:val="0"/>
    <w:pPr>
      <w:spacing w:line="300" w:lineRule="atLeast"/>
      <w:jc w:val="center"/>
    </w:pPr>
    <w:rPr>
      <w:rFonts w:ascii="宋体" w:hAnsi="宋体" w:cs="宋体"/>
      <w:sz w:val="24"/>
      <w:szCs w:val="24"/>
    </w:rPr>
  </w:style>
  <w:style w:type="paragraph" w:customStyle="1" w:styleId="190">
    <w:name w:val="pa-96"/>
    <w:basedOn w:val="1"/>
    <w:qFormat/>
    <w:uiPriority w:val="0"/>
    <w:pPr>
      <w:spacing w:line="480" w:lineRule="atLeast"/>
      <w:jc w:val="both"/>
    </w:pPr>
    <w:rPr>
      <w:rFonts w:ascii="宋体" w:hAnsi="宋体" w:cs="宋体"/>
      <w:sz w:val="24"/>
      <w:szCs w:val="24"/>
    </w:rPr>
  </w:style>
  <w:style w:type="paragraph" w:customStyle="1" w:styleId="191">
    <w:name w:val="pa-90"/>
    <w:basedOn w:val="1"/>
    <w:qFormat/>
    <w:uiPriority w:val="0"/>
    <w:pPr>
      <w:spacing w:line="280" w:lineRule="atLeast"/>
      <w:jc w:val="both"/>
    </w:pPr>
    <w:rPr>
      <w:rFonts w:ascii="宋体" w:hAnsi="宋体" w:cs="宋体"/>
      <w:sz w:val="24"/>
      <w:szCs w:val="24"/>
    </w:rPr>
  </w:style>
  <w:style w:type="paragraph" w:customStyle="1" w:styleId="192">
    <w:name w:val="表头"/>
    <w:basedOn w:val="1"/>
    <w:qFormat/>
    <w:uiPriority w:val="0"/>
    <w:pPr>
      <w:widowControl w:val="0"/>
      <w:spacing w:line="360" w:lineRule="auto"/>
      <w:jc w:val="center"/>
    </w:pPr>
    <w:rPr>
      <w:rFonts w:ascii="黑体" w:hAnsi="Calibri" w:eastAsia="黑体"/>
      <w:sz w:val="24"/>
    </w:rPr>
  </w:style>
  <w:style w:type="paragraph" w:customStyle="1" w:styleId="193">
    <w:name w:val="pa-23"/>
    <w:basedOn w:val="1"/>
    <w:qFormat/>
    <w:uiPriority w:val="0"/>
    <w:pPr>
      <w:spacing w:line="360" w:lineRule="atLeast"/>
      <w:ind w:firstLine="420"/>
      <w:jc w:val="both"/>
    </w:pPr>
    <w:rPr>
      <w:rFonts w:ascii="宋体" w:hAnsi="宋体" w:cs="宋体"/>
      <w:sz w:val="24"/>
      <w:szCs w:val="24"/>
    </w:rPr>
  </w:style>
  <w:style w:type="paragraph" w:customStyle="1" w:styleId="194">
    <w:name w:val="附件"/>
    <w:basedOn w:val="2"/>
    <w:qFormat/>
    <w:uiPriority w:val="0"/>
    <w:pPr>
      <w:keepNext w:val="0"/>
      <w:keepLines w:val="0"/>
      <w:pageBreakBefore/>
      <w:spacing w:beforeLines="100" w:afterLines="100" w:line="240" w:lineRule="auto"/>
      <w:jc w:val="center"/>
    </w:pPr>
    <w:rPr>
      <w:rFonts w:hAnsi="宋体"/>
      <w:sz w:val="28"/>
      <w:szCs w:val="36"/>
    </w:rPr>
  </w:style>
  <w:style w:type="paragraph" w:customStyle="1" w:styleId="195">
    <w:name w:val="ca-19"/>
    <w:basedOn w:val="1"/>
    <w:qFormat/>
    <w:uiPriority w:val="0"/>
    <w:rPr>
      <w:rFonts w:ascii="Calibri" w:hAnsi="Calibri"/>
      <w:sz w:val="18"/>
      <w:szCs w:val="18"/>
    </w:rPr>
  </w:style>
  <w:style w:type="paragraph" w:customStyle="1" w:styleId="196">
    <w:name w:val="样式 样式 标题 3section:33l3Level 3 HeadH3heading 3h3Bold Headbh... + ... Char"/>
    <w:basedOn w:val="1"/>
    <w:qFormat/>
    <w:uiPriority w:val="0"/>
    <w:pPr>
      <w:keepNext/>
      <w:keepLines/>
      <w:widowControl w:val="0"/>
      <w:spacing w:beforeLines="50" w:afterLines="50" w:line="360" w:lineRule="auto"/>
      <w:ind w:left="800" w:leftChars="400"/>
      <w:jc w:val="both"/>
      <w:outlineLvl w:val="2"/>
    </w:pPr>
    <w:rPr>
      <w:rFonts w:ascii="宋体" w:hAnsi="宋体" w:cs="宋体"/>
      <w:b/>
      <w:bCs/>
      <w:color w:val="FF0000"/>
      <w:kern w:val="2"/>
      <w:sz w:val="24"/>
      <w:szCs w:val="24"/>
    </w:rPr>
  </w:style>
  <w:style w:type="paragraph" w:customStyle="1" w:styleId="197">
    <w:name w:val="ca-27"/>
    <w:basedOn w:val="1"/>
    <w:qFormat/>
    <w:uiPriority w:val="0"/>
    <w:rPr>
      <w:rFonts w:ascii="宋体" w:hAnsi="宋体" w:cs="宋体"/>
      <w:b/>
      <w:bCs/>
      <w:color w:val="002060"/>
      <w:spacing w:val="-20"/>
      <w:szCs w:val="21"/>
    </w:rPr>
  </w:style>
  <w:style w:type="paragraph" w:customStyle="1" w:styleId="198">
    <w:name w:val="pa-113"/>
    <w:basedOn w:val="1"/>
    <w:qFormat/>
    <w:uiPriority w:val="0"/>
    <w:pPr>
      <w:spacing w:line="360" w:lineRule="atLeast"/>
      <w:ind w:firstLine="2960"/>
      <w:jc w:val="both"/>
    </w:pPr>
    <w:rPr>
      <w:rFonts w:ascii="宋体" w:hAnsi="宋体" w:cs="宋体"/>
      <w:sz w:val="24"/>
      <w:szCs w:val="24"/>
    </w:rPr>
  </w:style>
  <w:style w:type="paragraph" w:customStyle="1" w:styleId="199">
    <w:name w:val="pa-12"/>
    <w:basedOn w:val="1"/>
    <w:qFormat/>
    <w:uiPriority w:val="0"/>
    <w:pPr>
      <w:spacing w:line="360" w:lineRule="atLeast"/>
      <w:jc w:val="both"/>
    </w:pPr>
    <w:rPr>
      <w:rFonts w:ascii="宋体" w:hAnsi="宋体" w:cs="宋体"/>
      <w:sz w:val="24"/>
      <w:szCs w:val="24"/>
    </w:rPr>
  </w:style>
  <w:style w:type="paragraph" w:customStyle="1" w:styleId="20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sz w:val="20"/>
    </w:rPr>
  </w:style>
  <w:style w:type="paragraph" w:customStyle="1" w:styleId="201">
    <w:name w:val="pa-47"/>
    <w:basedOn w:val="1"/>
    <w:qFormat/>
    <w:uiPriority w:val="0"/>
    <w:pPr>
      <w:spacing w:line="280" w:lineRule="atLeast"/>
      <w:ind w:firstLine="280"/>
      <w:jc w:val="center"/>
    </w:pPr>
    <w:rPr>
      <w:rFonts w:ascii="宋体" w:hAnsi="宋体" w:cs="宋体"/>
      <w:sz w:val="24"/>
      <w:szCs w:val="24"/>
    </w:rPr>
  </w:style>
  <w:style w:type="paragraph" w:customStyle="1" w:styleId="202">
    <w:name w:val="ca-1"/>
    <w:basedOn w:val="1"/>
    <w:qFormat/>
    <w:uiPriority w:val="0"/>
    <w:rPr>
      <w:rFonts w:ascii="宋体" w:hAnsi="宋体" w:cs="宋体"/>
      <w:color w:val="000000"/>
      <w:spacing w:val="40"/>
      <w:sz w:val="44"/>
      <w:szCs w:val="44"/>
    </w:rPr>
  </w:style>
  <w:style w:type="paragraph" w:customStyle="1" w:styleId="203">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sz w:val="16"/>
      <w:szCs w:val="16"/>
    </w:rPr>
  </w:style>
  <w:style w:type="paragraph" w:customStyle="1" w:styleId="204">
    <w:name w:val="样式 正文缩进正文（首行缩进两字）特点ALT+Z表正文正文非缩进四号段1Normal Indent Char2...2"/>
    <w:basedOn w:val="4"/>
    <w:qFormat/>
    <w:uiPriority w:val="0"/>
    <w:pPr>
      <w:widowControl w:val="0"/>
      <w:spacing w:before="360" w:after="120" w:line="360" w:lineRule="auto"/>
      <w:jc w:val="center"/>
    </w:pPr>
    <w:rPr>
      <w:rFonts w:ascii="宋体" w:hAnsi="宋体"/>
      <w:bCs w:val="0"/>
      <w:kern w:val="2"/>
      <w:sz w:val="28"/>
      <w:szCs w:val="20"/>
    </w:rPr>
  </w:style>
  <w:style w:type="paragraph" w:customStyle="1" w:styleId="205">
    <w:name w:val="Quote1"/>
    <w:basedOn w:val="1"/>
    <w:next w:val="1"/>
    <w:link w:val="206"/>
    <w:qFormat/>
    <w:uiPriority w:val="0"/>
    <w:pPr>
      <w:widowControl w:val="0"/>
      <w:jc w:val="both"/>
    </w:pPr>
    <w:rPr>
      <w:i/>
      <w:color w:val="000000"/>
      <w:kern w:val="2"/>
      <w:sz w:val="22"/>
    </w:rPr>
  </w:style>
  <w:style w:type="character" w:customStyle="1" w:styleId="206">
    <w:name w:val="引用 Char"/>
    <w:link w:val="205"/>
    <w:qFormat/>
    <w:locked/>
    <w:uiPriority w:val="0"/>
    <w:rPr>
      <w:i/>
      <w:color w:val="000000"/>
      <w:kern w:val="2"/>
      <w:sz w:val="22"/>
    </w:rPr>
  </w:style>
  <w:style w:type="paragraph" w:customStyle="1" w:styleId="207">
    <w:name w:val="样式 正文缩进正文（首行缩进两字）特点ALT+Z表正文正文非缩进四号段1Normal Indent Char2...1"/>
    <w:basedOn w:val="3"/>
    <w:qFormat/>
    <w:uiPriority w:val="0"/>
    <w:pPr>
      <w:widowControl w:val="0"/>
      <w:spacing w:before="1320" w:after="240" w:line="300" w:lineRule="auto"/>
      <w:jc w:val="center"/>
    </w:pPr>
    <w:rPr>
      <w:rFonts w:ascii="Arial" w:hAnsi="Arial" w:eastAsia="黑体"/>
      <w:bCs w:val="0"/>
      <w:kern w:val="2"/>
      <w:szCs w:val="20"/>
    </w:rPr>
  </w:style>
  <w:style w:type="paragraph" w:customStyle="1" w:styleId="208">
    <w:name w:val="表内文字"/>
    <w:basedOn w:val="1"/>
    <w:qFormat/>
    <w:uiPriority w:val="0"/>
    <w:pPr>
      <w:widowControl w:val="0"/>
      <w:spacing w:line="500" w:lineRule="atLeast"/>
      <w:jc w:val="center"/>
    </w:pPr>
    <w:rPr>
      <w:rFonts w:ascii="Arial" w:hAnsi="Arial" w:eastAsia="楷体_GB2312"/>
      <w:kern w:val="2"/>
      <w:sz w:val="28"/>
    </w:rPr>
  </w:style>
  <w:style w:type="paragraph" w:customStyle="1" w:styleId="209">
    <w:name w:val="Char Char7 Char"/>
    <w:basedOn w:val="1"/>
    <w:qFormat/>
    <w:uiPriority w:val="0"/>
    <w:pPr>
      <w:widowControl w:val="0"/>
      <w:tabs>
        <w:tab w:val="left" w:pos="425"/>
      </w:tabs>
      <w:ind w:left="420" w:leftChars="200" w:firstLine="270" w:firstLineChars="150"/>
      <w:jc w:val="both"/>
    </w:pPr>
    <w:rPr>
      <w:rFonts w:ascii="宋体" w:hAnsi="宋体" w:cs="Arial"/>
      <w:color w:val="5E5E5E"/>
      <w:szCs w:val="21"/>
    </w:rPr>
  </w:style>
  <w:style w:type="paragraph" w:customStyle="1" w:styleId="210">
    <w:name w:val="xl80"/>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rPr>
  </w:style>
  <w:style w:type="paragraph" w:customStyle="1" w:styleId="211">
    <w:name w:val="pa-120"/>
    <w:basedOn w:val="1"/>
    <w:qFormat/>
    <w:uiPriority w:val="0"/>
    <w:pPr>
      <w:spacing w:line="280" w:lineRule="atLeast"/>
      <w:jc w:val="right"/>
    </w:pPr>
    <w:rPr>
      <w:rFonts w:ascii="宋体" w:hAnsi="宋体" w:cs="宋体"/>
      <w:sz w:val="24"/>
      <w:szCs w:val="24"/>
    </w:rPr>
  </w:style>
  <w:style w:type="paragraph" w:customStyle="1" w:styleId="212">
    <w:name w:val="Char1"/>
    <w:basedOn w:val="1"/>
    <w:qFormat/>
    <w:uiPriority w:val="0"/>
  </w:style>
  <w:style w:type="paragraph" w:customStyle="1" w:styleId="213">
    <w:name w:val="pa-85"/>
    <w:basedOn w:val="1"/>
    <w:qFormat/>
    <w:uiPriority w:val="0"/>
    <w:pPr>
      <w:spacing w:line="760" w:lineRule="atLeast"/>
      <w:jc w:val="center"/>
    </w:pPr>
    <w:rPr>
      <w:rFonts w:ascii="宋体" w:hAnsi="宋体" w:cs="宋体"/>
      <w:sz w:val="24"/>
      <w:szCs w:val="24"/>
    </w:rPr>
  </w:style>
  <w:style w:type="paragraph" w:customStyle="1" w:styleId="214">
    <w:name w:val="ca-22"/>
    <w:basedOn w:val="1"/>
    <w:qFormat/>
    <w:uiPriority w:val="0"/>
    <w:rPr>
      <w:rFonts w:ascii="宋体" w:hAnsi="宋体" w:cs="宋体"/>
      <w:szCs w:val="21"/>
    </w:rPr>
  </w:style>
  <w:style w:type="paragraph" w:customStyle="1" w:styleId="215">
    <w:name w:val="列出段落1"/>
    <w:basedOn w:val="1"/>
    <w:link w:val="216"/>
    <w:qFormat/>
    <w:uiPriority w:val="0"/>
    <w:pPr>
      <w:ind w:left="720"/>
      <w:contextualSpacing/>
    </w:pPr>
    <w:rPr>
      <w:rFonts w:ascii="Arial" w:hAnsi="Arial" w:eastAsia="黑体"/>
      <w:sz w:val="24"/>
      <w:szCs w:val="24"/>
      <w:lang w:eastAsia="en-US" w:bidi="en-US"/>
    </w:rPr>
  </w:style>
  <w:style w:type="character" w:customStyle="1" w:styleId="216">
    <w:name w:val="List Paragraph Char"/>
    <w:link w:val="215"/>
    <w:qFormat/>
    <w:uiPriority w:val="0"/>
    <w:rPr>
      <w:rFonts w:ascii="Arial" w:hAnsi="Arial" w:eastAsia="黑体"/>
      <w:sz w:val="24"/>
      <w:szCs w:val="24"/>
      <w:lang w:eastAsia="en-US" w:bidi="en-US"/>
    </w:rPr>
  </w:style>
  <w:style w:type="paragraph" w:customStyle="1" w:styleId="217">
    <w:name w:val="font6"/>
    <w:basedOn w:val="1"/>
    <w:qFormat/>
    <w:uiPriority w:val="0"/>
    <w:pPr>
      <w:spacing w:before="100" w:beforeAutospacing="1" w:after="100" w:afterAutospacing="1"/>
    </w:pPr>
    <w:rPr>
      <w:rFonts w:ascii="宋体" w:hAnsi="宋体" w:cs="宋体"/>
      <w:color w:val="FF0000"/>
      <w:sz w:val="16"/>
      <w:szCs w:val="16"/>
    </w:rPr>
  </w:style>
  <w:style w:type="paragraph" w:customStyle="1" w:styleId="218">
    <w:name w:val="pa-87"/>
    <w:basedOn w:val="1"/>
    <w:qFormat/>
    <w:uiPriority w:val="0"/>
    <w:pPr>
      <w:spacing w:line="320" w:lineRule="atLeast"/>
      <w:ind w:firstLine="560"/>
    </w:pPr>
    <w:rPr>
      <w:rFonts w:ascii="宋体" w:hAnsi="宋体" w:cs="宋体"/>
      <w:sz w:val="24"/>
      <w:szCs w:val="24"/>
    </w:rPr>
  </w:style>
  <w:style w:type="paragraph" w:customStyle="1" w:styleId="219">
    <w:name w:val="ca-47"/>
    <w:basedOn w:val="1"/>
    <w:qFormat/>
    <w:uiPriority w:val="0"/>
    <w:rPr>
      <w:rFonts w:ascii="宋体" w:hAnsi="宋体" w:cs="宋体"/>
      <w:b/>
      <w:bCs/>
      <w:color w:val="000000"/>
      <w:spacing w:val="-20"/>
      <w:sz w:val="24"/>
      <w:szCs w:val="24"/>
    </w:rPr>
  </w:style>
  <w:style w:type="paragraph" w:customStyle="1" w:styleId="220">
    <w:name w:val="xl113"/>
    <w:basedOn w:val="1"/>
    <w:qFormat/>
    <w:uiPriority w:val="0"/>
    <w:pPr>
      <w:pBdr>
        <w:bottom w:val="single" w:color="auto" w:sz="4" w:space="0"/>
      </w:pBd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221">
    <w:name w:val="ca-15"/>
    <w:basedOn w:val="1"/>
    <w:qFormat/>
    <w:uiPriority w:val="0"/>
    <w:rPr>
      <w:rFonts w:ascii="宋体" w:hAnsi="宋体" w:cs="宋体"/>
      <w:caps/>
      <w:color w:val="000000"/>
      <w:sz w:val="24"/>
      <w:szCs w:val="24"/>
    </w:rPr>
  </w:style>
  <w:style w:type="paragraph" w:customStyle="1" w:styleId="222">
    <w:name w:val="正文缩进1"/>
    <w:basedOn w:val="1"/>
    <w:qFormat/>
    <w:uiPriority w:val="0"/>
    <w:pPr>
      <w:widowControl w:val="0"/>
      <w:ind w:firstLine="420" w:firstLineChars="200"/>
      <w:jc w:val="both"/>
    </w:pPr>
    <w:rPr>
      <w:rFonts w:ascii="Calibri" w:hAnsi="Calibri"/>
      <w:kern w:val="2"/>
      <w:sz w:val="24"/>
      <w:szCs w:val="24"/>
    </w:rPr>
  </w:style>
  <w:style w:type="paragraph" w:customStyle="1" w:styleId="22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224">
    <w:name w:val="pa-13"/>
    <w:basedOn w:val="1"/>
    <w:qFormat/>
    <w:uiPriority w:val="0"/>
    <w:pPr>
      <w:spacing w:line="360" w:lineRule="atLeast"/>
      <w:jc w:val="both"/>
    </w:pPr>
    <w:rPr>
      <w:rFonts w:ascii="宋体" w:hAnsi="宋体" w:cs="宋体"/>
      <w:sz w:val="24"/>
      <w:szCs w:val="24"/>
    </w:rPr>
  </w:style>
  <w:style w:type="paragraph" w:customStyle="1" w:styleId="225">
    <w:name w:val="pa-101"/>
    <w:basedOn w:val="1"/>
    <w:qFormat/>
    <w:uiPriority w:val="0"/>
    <w:pPr>
      <w:spacing w:line="360" w:lineRule="atLeast"/>
      <w:jc w:val="center"/>
    </w:pPr>
    <w:rPr>
      <w:rFonts w:ascii="宋体" w:hAnsi="宋体" w:cs="宋体"/>
      <w:sz w:val="24"/>
      <w:szCs w:val="24"/>
    </w:rPr>
  </w:style>
  <w:style w:type="paragraph" w:customStyle="1" w:styleId="226">
    <w:name w:val="ca-53"/>
    <w:basedOn w:val="1"/>
    <w:qFormat/>
    <w:uiPriority w:val="0"/>
    <w:rPr>
      <w:rFonts w:ascii="Calibri" w:hAnsi="Calibri"/>
      <w:b/>
      <w:bCs/>
      <w:spacing w:val="-20"/>
      <w:sz w:val="36"/>
      <w:szCs w:val="36"/>
    </w:rPr>
  </w:style>
  <w:style w:type="paragraph" w:customStyle="1" w:styleId="227">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229">
    <w:name w:val="标题6"/>
    <w:basedOn w:val="1"/>
    <w:next w:val="2"/>
    <w:qFormat/>
    <w:uiPriority w:val="0"/>
    <w:pPr>
      <w:snapToGrid w:val="0"/>
      <w:spacing w:beforeLines="50" w:afterLines="50" w:line="520" w:lineRule="atLeast"/>
      <w:ind w:firstLine="200" w:firstLineChars="200"/>
      <w:jc w:val="both"/>
    </w:pPr>
    <w:rPr>
      <w:rFonts w:ascii="Calibri" w:hAnsi="Calibri" w:cs="Arial"/>
      <w:b/>
      <w:kern w:val="2"/>
      <w:sz w:val="24"/>
      <w:szCs w:val="24"/>
    </w:rPr>
  </w:style>
  <w:style w:type="paragraph" w:customStyle="1" w:styleId="230">
    <w:name w:val="pa-129"/>
    <w:basedOn w:val="1"/>
    <w:qFormat/>
    <w:uiPriority w:val="0"/>
    <w:pPr>
      <w:spacing w:line="300" w:lineRule="atLeast"/>
      <w:jc w:val="both"/>
    </w:pPr>
    <w:rPr>
      <w:rFonts w:ascii="宋体" w:hAnsi="宋体" w:cs="宋体"/>
      <w:sz w:val="24"/>
      <w:szCs w:val="24"/>
    </w:rPr>
  </w:style>
  <w:style w:type="paragraph" w:customStyle="1" w:styleId="231">
    <w:name w:val="pa-30"/>
    <w:basedOn w:val="1"/>
    <w:qFormat/>
    <w:uiPriority w:val="0"/>
    <w:pPr>
      <w:spacing w:line="360" w:lineRule="atLeast"/>
      <w:ind w:firstLine="4100"/>
      <w:jc w:val="both"/>
    </w:pPr>
    <w:rPr>
      <w:rFonts w:ascii="宋体" w:hAnsi="宋体" w:cs="宋体"/>
      <w:sz w:val="24"/>
      <w:szCs w:val="24"/>
    </w:rPr>
  </w:style>
  <w:style w:type="paragraph" w:customStyle="1" w:styleId="232">
    <w:name w:val="样式 标题 3 + (符号) 宋体 四号 加粗 黑色 段前: 0 磅 段后: 0 磅 行距: 固定值 22 磅"/>
    <w:basedOn w:val="4"/>
    <w:qFormat/>
    <w:uiPriority w:val="0"/>
    <w:pPr>
      <w:widowControl w:val="0"/>
      <w:spacing w:beforeLines="50" w:afterLines="50" w:line="460" w:lineRule="exact"/>
    </w:pPr>
    <w:rPr>
      <w:rFonts w:ascii="宋体" w:hAnsi="宋体"/>
      <w:color w:val="000000"/>
      <w:kern w:val="24"/>
      <w:sz w:val="28"/>
      <w:szCs w:val="20"/>
    </w:rPr>
  </w:style>
  <w:style w:type="paragraph" w:customStyle="1" w:styleId="23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35">
    <w:name w:val="pa-33"/>
    <w:basedOn w:val="1"/>
    <w:qFormat/>
    <w:uiPriority w:val="0"/>
    <w:pPr>
      <w:spacing w:line="360" w:lineRule="atLeast"/>
      <w:ind w:firstLine="440"/>
      <w:jc w:val="both"/>
    </w:pPr>
    <w:rPr>
      <w:rFonts w:ascii="宋体" w:hAnsi="宋体" w:cs="宋体"/>
      <w:sz w:val="24"/>
      <w:szCs w:val="24"/>
    </w:rPr>
  </w:style>
  <w:style w:type="paragraph" w:customStyle="1" w:styleId="236">
    <w:name w:val="pa-134"/>
    <w:basedOn w:val="1"/>
    <w:qFormat/>
    <w:uiPriority w:val="0"/>
    <w:pPr>
      <w:spacing w:line="360" w:lineRule="atLeast"/>
      <w:jc w:val="both"/>
    </w:pPr>
    <w:rPr>
      <w:rFonts w:ascii="宋体" w:hAnsi="宋体" w:cs="宋体"/>
      <w:sz w:val="24"/>
      <w:szCs w:val="24"/>
    </w:rPr>
  </w:style>
  <w:style w:type="paragraph" w:customStyle="1" w:styleId="237">
    <w:name w:val="td-3"/>
    <w:basedOn w:val="1"/>
    <w:qFormat/>
    <w:uiPriority w:val="0"/>
    <w:pPr>
      <w:pBdr>
        <w:top w:val="single" w:color="000000" w:sz="6" w:space="0"/>
        <w:left w:val="single" w:color="000000" w:sz="6" w:space="4"/>
        <w:right w:val="single" w:color="000000" w:sz="6" w:space="0"/>
      </w:pBdr>
    </w:pPr>
    <w:rPr>
      <w:rFonts w:ascii="宋体" w:hAnsi="宋体" w:cs="宋体"/>
      <w:sz w:val="24"/>
      <w:szCs w:val="24"/>
    </w:rPr>
  </w:style>
  <w:style w:type="paragraph" w:customStyle="1" w:styleId="238">
    <w:name w:val="xl64"/>
    <w:basedOn w:val="1"/>
    <w:qFormat/>
    <w:uiPriority w:val="0"/>
    <w:pPr>
      <w:shd w:val="clear" w:color="000000" w:fill="00FFFF"/>
      <w:spacing w:before="100" w:beforeAutospacing="1" w:after="100" w:afterAutospacing="1"/>
    </w:pPr>
    <w:rPr>
      <w:rFonts w:ascii="宋体" w:hAnsi="宋体" w:cs="宋体"/>
      <w:sz w:val="24"/>
      <w:szCs w:val="24"/>
    </w:rPr>
  </w:style>
  <w:style w:type="paragraph" w:customStyle="1" w:styleId="239">
    <w:name w:val="xl67"/>
    <w:basedOn w:val="1"/>
    <w:qFormat/>
    <w:uiPriority w:val="0"/>
    <w:pPr>
      <w:spacing w:before="100" w:beforeAutospacing="1" w:after="100" w:afterAutospacing="1"/>
      <w:jc w:val="center"/>
    </w:pPr>
    <w:rPr>
      <w:rFonts w:ascii="宋体" w:hAnsi="宋体" w:cs="宋体"/>
      <w:sz w:val="20"/>
    </w:rPr>
  </w:style>
  <w:style w:type="paragraph" w:customStyle="1" w:styleId="240">
    <w:name w:val="表格"/>
    <w:basedOn w:val="1"/>
    <w:qFormat/>
    <w:uiPriority w:val="0"/>
    <w:pPr>
      <w:widowControl w:val="0"/>
      <w:jc w:val="center"/>
      <w:textAlignment w:val="center"/>
    </w:pPr>
    <w:rPr>
      <w:rFonts w:ascii="华文细黑" w:hAnsi="华文细黑"/>
    </w:rPr>
  </w:style>
  <w:style w:type="paragraph" w:customStyle="1" w:styleId="241">
    <w:name w:val="ca-13"/>
    <w:basedOn w:val="1"/>
    <w:qFormat/>
    <w:uiPriority w:val="0"/>
    <w:rPr>
      <w:rFonts w:ascii="宋体" w:hAnsi="宋体" w:cs="宋体"/>
      <w:color w:val="000000"/>
      <w:sz w:val="32"/>
      <w:szCs w:val="32"/>
    </w:rPr>
  </w:style>
  <w:style w:type="paragraph" w:customStyle="1" w:styleId="242">
    <w:name w:val="投标书正文无序编号"/>
    <w:basedOn w:val="161"/>
    <w:link w:val="243"/>
    <w:qFormat/>
    <w:uiPriority w:val="0"/>
    <w:pPr>
      <w:tabs>
        <w:tab w:val="left" w:pos="780"/>
        <w:tab w:val="left" w:pos="902"/>
      </w:tabs>
      <w:adjustRightInd w:val="0"/>
      <w:ind w:firstLine="0" w:firstLineChars="0"/>
    </w:pPr>
    <w:rPr>
      <w:rFonts w:eastAsia="宋体"/>
    </w:rPr>
  </w:style>
  <w:style w:type="character" w:customStyle="1" w:styleId="243">
    <w:name w:val="投标书正文无序编号 Char Char"/>
    <w:link w:val="242"/>
    <w:qFormat/>
    <w:uiPriority w:val="0"/>
    <w:rPr>
      <w:kern w:val="2"/>
      <w:sz w:val="24"/>
      <w:szCs w:val="24"/>
    </w:rPr>
  </w:style>
  <w:style w:type="paragraph" w:customStyle="1" w:styleId="244">
    <w:name w:val="样式 正文（首行缩进两字） + 宋体 首行缩进:  2 字符"/>
    <w:basedOn w:val="14"/>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245">
    <w:name w:val="pa-112"/>
    <w:basedOn w:val="1"/>
    <w:qFormat/>
    <w:uiPriority w:val="0"/>
    <w:pPr>
      <w:spacing w:line="280" w:lineRule="atLeast"/>
      <w:jc w:val="both"/>
    </w:pPr>
    <w:rPr>
      <w:rFonts w:ascii="宋体" w:hAnsi="宋体" w:cs="宋体"/>
      <w:sz w:val="24"/>
      <w:szCs w:val="24"/>
    </w:rPr>
  </w:style>
  <w:style w:type="paragraph" w:customStyle="1" w:styleId="246">
    <w:name w:val="ca-28"/>
    <w:basedOn w:val="1"/>
    <w:qFormat/>
    <w:uiPriority w:val="0"/>
    <w:rPr>
      <w:rFonts w:ascii="宋体" w:hAnsi="宋体" w:cs="宋体"/>
      <w:color w:val="FF0000"/>
      <w:szCs w:val="21"/>
    </w:rPr>
  </w:style>
  <w:style w:type="paragraph" w:customStyle="1" w:styleId="247">
    <w:name w:val="小节"/>
    <w:basedOn w:val="4"/>
    <w:qFormat/>
    <w:uiPriority w:val="0"/>
    <w:pPr>
      <w:widowControl w:val="0"/>
      <w:spacing w:before="200" w:after="200" w:line="560" w:lineRule="exact"/>
    </w:pPr>
    <w:rPr>
      <w:rFonts w:ascii="宋体" w:hAnsi="宋体"/>
      <w:bCs w:val="0"/>
      <w:color w:val="000000"/>
      <w:spacing w:val="10"/>
      <w:kern w:val="24"/>
      <w:sz w:val="28"/>
    </w:rPr>
  </w:style>
  <w:style w:type="paragraph" w:customStyle="1" w:styleId="248">
    <w:name w:val="ca-44"/>
    <w:basedOn w:val="1"/>
    <w:qFormat/>
    <w:uiPriority w:val="0"/>
    <w:rPr>
      <w:rFonts w:ascii="宋体" w:hAnsi="宋体" w:cs="宋体"/>
      <w:color w:val="000000"/>
      <w:sz w:val="52"/>
      <w:szCs w:val="52"/>
    </w:rPr>
  </w:style>
  <w:style w:type="paragraph" w:customStyle="1" w:styleId="249">
    <w:name w:val="td-6"/>
    <w:basedOn w:val="1"/>
    <w:qFormat/>
    <w:uiPriority w:val="0"/>
    <w:pPr>
      <w:pBdr>
        <w:top w:val="single" w:color="000000" w:sz="12" w:space="0"/>
        <w:left w:val="single" w:color="000000" w:sz="4" w:space="4"/>
        <w:bottom w:val="single" w:color="000000" w:sz="4" w:space="0"/>
        <w:right w:val="single" w:color="000000" w:sz="12" w:space="0"/>
      </w:pBdr>
    </w:pPr>
    <w:rPr>
      <w:rFonts w:ascii="宋体" w:hAnsi="宋体" w:cs="宋体"/>
      <w:sz w:val="24"/>
      <w:szCs w:val="24"/>
    </w:rPr>
  </w:style>
  <w:style w:type="paragraph" w:customStyle="1" w:styleId="250">
    <w:name w:val="xl97"/>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51">
    <w:name w:val="ca-2"/>
    <w:basedOn w:val="1"/>
    <w:qFormat/>
    <w:uiPriority w:val="0"/>
    <w:rPr>
      <w:rFonts w:ascii="Calibri" w:hAnsi="Calibri"/>
      <w:color w:val="000000"/>
      <w:sz w:val="36"/>
      <w:szCs w:val="36"/>
    </w:rPr>
  </w:style>
  <w:style w:type="paragraph" w:customStyle="1" w:styleId="252">
    <w:name w:val="pa-82"/>
    <w:basedOn w:val="1"/>
    <w:qFormat/>
    <w:uiPriority w:val="0"/>
    <w:pPr>
      <w:spacing w:line="480" w:lineRule="atLeast"/>
      <w:jc w:val="center"/>
    </w:pPr>
    <w:rPr>
      <w:rFonts w:ascii="宋体" w:hAnsi="宋体" w:cs="宋体"/>
      <w:sz w:val="24"/>
      <w:szCs w:val="24"/>
    </w:rPr>
  </w:style>
  <w:style w:type="paragraph" w:customStyle="1" w:styleId="253">
    <w:name w:val="Char Char Char Char Char Char Char1"/>
    <w:basedOn w:val="1"/>
    <w:qFormat/>
    <w:uiPriority w:val="0"/>
    <w:pPr>
      <w:widowControl w:val="0"/>
      <w:jc w:val="both"/>
    </w:pPr>
    <w:rPr>
      <w:rFonts w:ascii="Calibri" w:hAnsi="Calibri"/>
      <w:kern w:val="2"/>
      <w:szCs w:val="24"/>
    </w:rPr>
  </w:style>
  <w:style w:type="paragraph" w:customStyle="1" w:styleId="254">
    <w:name w:val="pa-45"/>
    <w:basedOn w:val="1"/>
    <w:qFormat/>
    <w:uiPriority w:val="0"/>
    <w:pPr>
      <w:spacing w:line="280" w:lineRule="atLeast"/>
      <w:ind w:firstLine="420"/>
      <w:jc w:val="both"/>
    </w:pPr>
    <w:rPr>
      <w:rFonts w:ascii="宋体" w:hAnsi="宋体" w:cs="宋体"/>
      <w:sz w:val="24"/>
      <w:szCs w:val="24"/>
    </w:rPr>
  </w:style>
  <w:style w:type="paragraph" w:customStyle="1" w:styleId="255">
    <w:name w:val="pa-99"/>
    <w:basedOn w:val="1"/>
    <w:qFormat/>
    <w:uiPriority w:val="0"/>
    <w:pPr>
      <w:spacing w:line="300" w:lineRule="atLeast"/>
      <w:ind w:firstLine="520"/>
      <w:jc w:val="both"/>
    </w:pPr>
    <w:rPr>
      <w:rFonts w:ascii="宋体" w:hAnsi="宋体" w:cs="宋体"/>
      <w:sz w:val="24"/>
      <w:szCs w:val="24"/>
    </w:rPr>
  </w:style>
  <w:style w:type="paragraph" w:customStyle="1" w:styleId="256">
    <w:name w:val="ca-40"/>
    <w:basedOn w:val="1"/>
    <w:qFormat/>
    <w:uiPriority w:val="0"/>
    <w:rPr>
      <w:rFonts w:ascii="Calibri" w:hAnsi="Calibri"/>
      <w:sz w:val="20"/>
    </w:rPr>
  </w:style>
  <w:style w:type="paragraph" w:customStyle="1" w:styleId="257">
    <w:name w:val="样式4"/>
    <w:basedOn w:val="4"/>
    <w:qFormat/>
    <w:uiPriority w:val="0"/>
    <w:pPr>
      <w:widowControl w:val="0"/>
      <w:spacing w:line="415" w:lineRule="auto"/>
      <w:ind w:left="720" w:hanging="720"/>
      <w:jc w:val="both"/>
    </w:pPr>
    <w:rPr>
      <w:rFonts w:ascii="Calibri" w:hAnsi="Calibri" w:eastAsia="Times New Roman"/>
      <w:kern w:val="2"/>
    </w:rPr>
  </w:style>
  <w:style w:type="paragraph" w:customStyle="1" w:styleId="258">
    <w:name w:val="pa-107"/>
    <w:basedOn w:val="1"/>
    <w:qFormat/>
    <w:uiPriority w:val="0"/>
    <w:pPr>
      <w:spacing w:line="720" w:lineRule="atLeast"/>
      <w:ind w:firstLine="3000"/>
      <w:jc w:val="both"/>
    </w:pPr>
    <w:rPr>
      <w:rFonts w:ascii="宋体" w:hAnsi="宋体" w:cs="宋体"/>
      <w:sz w:val="24"/>
      <w:szCs w:val="24"/>
    </w:rPr>
  </w:style>
  <w:style w:type="paragraph" w:customStyle="1" w:styleId="259">
    <w:name w:val="ca-46"/>
    <w:basedOn w:val="1"/>
    <w:qFormat/>
    <w:uiPriority w:val="0"/>
    <w:rPr>
      <w:rFonts w:ascii="宋体" w:hAnsi="宋体" w:cs="宋体"/>
      <w:color w:val="000000"/>
      <w:spacing w:val="-20"/>
      <w:sz w:val="28"/>
      <w:szCs w:val="28"/>
    </w:rPr>
  </w:style>
  <w:style w:type="paragraph" w:customStyle="1" w:styleId="260">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261">
    <w:name w:val="pa-68"/>
    <w:basedOn w:val="1"/>
    <w:qFormat/>
    <w:uiPriority w:val="0"/>
    <w:pPr>
      <w:spacing w:line="240" w:lineRule="atLeast"/>
      <w:ind w:firstLine="520"/>
      <w:jc w:val="both"/>
    </w:pPr>
    <w:rPr>
      <w:rFonts w:ascii="宋体" w:hAnsi="宋体" w:cs="宋体"/>
      <w:sz w:val="24"/>
      <w:szCs w:val="24"/>
    </w:rPr>
  </w:style>
  <w:style w:type="paragraph" w:customStyle="1" w:styleId="262">
    <w:name w:val="样式 样式 标题 4 + 非加粗 + (中文) 黑体 段前: 0 磅 段后: 0 磅 行距: 固定值 22 磅"/>
    <w:basedOn w:val="1"/>
    <w:qFormat/>
    <w:uiPriority w:val="0"/>
    <w:pPr>
      <w:keepNext/>
      <w:keepLines/>
      <w:widowControl w:val="0"/>
      <w:spacing w:beforeLines="50" w:afterLines="50" w:line="500" w:lineRule="exact"/>
      <w:jc w:val="both"/>
      <w:outlineLvl w:val="3"/>
    </w:pPr>
    <w:rPr>
      <w:rFonts w:ascii="Arial" w:hAnsi="Arial" w:cs="宋体"/>
      <w:b/>
      <w:bCs/>
      <w:kern w:val="2"/>
      <w:sz w:val="24"/>
      <w:szCs w:val="24"/>
    </w:rPr>
  </w:style>
  <w:style w:type="paragraph" w:customStyle="1" w:styleId="263">
    <w:name w:val="样式2"/>
    <w:basedOn w:val="4"/>
    <w:qFormat/>
    <w:uiPriority w:val="0"/>
    <w:pPr>
      <w:widowControl w:val="0"/>
      <w:spacing w:line="415" w:lineRule="auto"/>
      <w:ind w:left="720" w:hanging="720"/>
      <w:jc w:val="both"/>
    </w:pPr>
    <w:rPr>
      <w:rFonts w:ascii="Calibri" w:hAnsi="Calibri"/>
      <w:kern w:val="2"/>
    </w:rPr>
  </w:style>
  <w:style w:type="paragraph" w:customStyle="1" w:styleId="264">
    <w:name w:val="pa-50"/>
    <w:basedOn w:val="1"/>
    <w:qFormat/>
    <w:uiPriority w:val="0"/>
    <w:pPr>
      <w:spacing w:line="280" w:lineRule="atLeast"/>
      <w:ind w:hanging="200"/>
      <w:jc w:val="center"/>
    </w:pPr>
    <w:rPr>
      <w:rFonts w:ascii="宋体" w:hAnsi="宋体" w:cs="宋体"/>
      <w:sz w:val="24"/>
      <w:szCs w:val="24"/>
    </w:rPr>
  </w:style>
  <w:style w:type="paragraph" w:customStyle="1" w:styleId="265">
    <w:name w:val="标书标题4"/>
    <w:basedOn w:val="5"/>
    <w:qFormat/>
    <w:uiPriority w:val="0"/>
    <w:pPr>
      <w:keepLines w:val="0"/>
      <w:tabs>
        <w:tab w:val="clear" w:pos="864"/>
      </w:tabs>
      <w:adjustRightInd w:val="0"/>
      <w:snapToGrid w:val="0"/>
      <w:spacing w:before="0" w:after="0" w:line="300" w:lineRule="auto"/>
    </w:pPr>
    <w:rPr>
      <w:rFonts w:ascii="Arial Narrow" w:hAnsi="Arial Narrow" w:eastAsia="仿宋_GB2312"/>
      <w:bCs w:val="0"/>
      <w:color w:val="000000"/>
      <w:kern w:val="0"/>
      <w:sz w:val="24"/>
      <w:szCs w:val="32"/>
      <w:lang w:val="en-US"/>
    </w:rPr>
  </w:style>
  <w:style w:type="paragraph" w:customStyle="1" w:styleId="266">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rPr>
  </w:style>
  <w:style w:type="paragraph" w:customStyle="1" w:styleId="267">
    <w:name w:val="t1"/>
    <w:basedOn w:val="1"/>
    <w:qFormat/>
    <w:uiPriority w:val="0"/>
    <w:pPr>
      <w:spacing w:line="280" w:lineRule="atLeast"/>
    </w:pPr>
    <w:rPr>
      <w:rFonts w:ascii="Calibri" w:hAnsi="Calibri"/>
      <w:sz w:val="24"/>
      <w:lang w:val="de-DE" w:eastAsia="de-DE"/>
    </w:rPr>
  </w:style>
  <w:style w:type="paragraph" w:customStyle="1" w:styleId="268">
    <w:name w:val="样式 标题 3 + 段后: 0 磅"/>
    <w:basedOn w:val="4"/>
    <w:qFormat/>
    <w:uiPriority w:val="0"/>
    <w:pPr>
      <w:widowControl w:val="0"/>
      <w:spacing w:after="0" w:line="360" w:lineRule="auto"/>
    </w:pPr>
    <w:rPr>
      <w:rFonts w:ascii="宋体" w:hAnsi="Arial" w:cs="宋体"/>
      <w:bCs w:val="0"/>
      <w:spacing w:val="14"/>
      <w:kern w:val="24"/>
      <w:sz w:val="28"/>
      <w:szCs w:val="20"/>
    </w:rPr>
  </w:style>
  <w:style w:type="paragraph" w:customStyle="1" w:styleId="269">
    <w:name w:val="Char Char Char Char Char Char Char Char Char Char Char Char Char Char Char Char Char Char Char Char Char Char Char Char Char Char Char Char Char Char Char Char Char1"/>
    <w:basedOn w:val="1"/>
    <w:qFormat/>
    <w:uiPriority w:val="0"/>
    <w:pPr>
      <w:spacing w:after="160" w:line="240" w:lineRule="exact"/>
    </w:pPr>
    <w:rPr>
      <w:rFonts w:ascii="Verdana" w:hAnsi="Verdana" w:eastAsia="仿宋_GB2312"/>
      <w:sz w:val="24"/>
      <w:lang w:eastAsia="en-US"/>
    </w:rPr>
  </w:style>
  <w:style w:type="paragraph" w:customStyle="1" w:styleId="270">
    <w:name w:val="ca-16"/>
    <w:basedOn w:val="1"/>
    <w:qFormat/>
    <w:uiPriority w:val="0"/>
    <w:rPr>
      <w:rFonts w:ascii="宋体" w:hAnsi="宋体" w:cs="宋体"/>
      <w:sz w:val="24"/>
      <w:szCs w:val="24"/>
    </w:rPr>
  </w:style>
  <w:style w:type="paragraph" w:customStyle="1" w:styleId="271">
    <w:name w:val="Char Char4"/>
    <w:basedOn w:val="1"/>
    <w:qFormat/>
    <w:uiPriority w:val="0"/>
    <w:pPr>
      <w:widowControl w:val="0"/>
      <w:jc w:val="both"/>
    </w:pPr>
    <w:rPr>
      <w:rFonts w:ascii="Tahoma" w:hAnsi="Tahoma"/>
      <w:kern w:val="2"/>
      <w:sz w:val="24"/>
    </w:rPr>
  </w:style>
  <w:style w:type="paragraph" w:customStyle="1" w:styleId="272">
    <w:name w:val="pa-139"/>
    <w:basedOn w:val="1"/>
    <w:qFormat/>
    <w:uiPriority w:val="0"/>
    <w:pPr>
      <w:spacing w:line="320" w:lineRule="atLeast"/>
      <w:ind w:firstLine="280"/>
      <w:jc w:val="both"/>
    </w:pPr>
    <w:rPr>
      <w:rFonts w:ascii="宋体" w:hAnsi="宋体" w:cs="宋体"/>
      <w:sz w:val="24"/>
      <w:szCs w:val="24"/>
    </w:rPr>
  </w:style>
  <w:style w:type="paragraph" w:customStyle="1" w:styleId="273">
    <w:name w:val="xl66"/>
    <w:basedOn w:val="1"/>
    <w:qFormat/>
    <w:uiPriority w:val="0"/>
    <w:pPr>
      <w:spacing w:before="100" w:beforeAutospacing="1" w:after="100" w:afterAutospacing="1"/>
      <w:jc w:val="center"/>
      <w:textAlignment w:val="top"/>
    </w:pPr>
    <w:rPr>
      <w:rFonts w:ascii="宋体" w:hAnsi="宋体" w:cs="宋体"/>
      <w:sz w:val="20"/>
    </w:rPr>
  </w:style>
  <w:style w:type="paragraph" w:customStyle="1" w:styleId="274">
    <w:name w:val="节"/>
    <w:basedOn w:val="3"/>
    <w:qFormat/>
    <w:uiPriority w:val="0"/>
    <w:pPr>
      <w:widowControl w:val="0"/>
      <w:spacing w:before="160" w:after="160" w:line="720" w:lineRule="exact"/>
      <w:jc w:val="center"/>
    </w:pPr>
    <w:rPr>
      <w:rFonts w:ascii="Arial" w:hAnsi="Arial" w:eastAsia="黑体"/>
      <w:b w:val="0"/>
      <w:bCs w:val="0"/>
      <w:spacing w:val="14"/>
      <w:kern w:val="24"/>
      <w:szCs w:val="20"/>
    </w:rPr>
  </w:style>
  <w:style w:type="paragraph" w:customStyle="1" w:styleId="275">
    <w:name w:val="pa-119"/>
    <w:basedOn w:val="1"/>
    <w:qFormat/>
    <w:uiPriority w:val="0"/>
    <w:pPr>
      <w:spacing w:line="420" w:lineRule="atLeast"/>
      <w:jc w:val="center"/>
    </w:pPr>
    <w:rPr>
      <w:rFonts w:ascii="宋体" w:hAnsi="宋体" w:cs="宋体"/>
      <w:sz w:val="24"/>
      <w:szCs w:val="24"/>
    </w:rPr>
  </w:style>
  <w:style w:type="paragraph" w:customStyle="1" w:styleId="276">
    <w:name w:val="pa-124"/>
    <w:basedOn w:val="1"/>
    <w:qFormat/>
    <w:uiPriority w:val="0"/>
    <w:pPr>
      <w:spacing w:line="760" w:lineRule="atLeast"/>
      <w:jc w:val="both"/>
    </w:pPr>
    <w:rPr>
      <w:rFonts w:ascii="宋体" w:hAnsi="宋体" w:cs="宋体"/>
      <w:sz w:val="24"/>
      <w:szCs w:val="24"/>
    </w:rPr>
  </w:style>
  <w:style w:type="paragraph" w:customStyle="1" w:styleId="277">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78">
    <w:name w:val="pa-38"/>
    <w:basedOn w:val="1"/>
    <w:qFormat/>
    <w:uiPriority w:val="0"/>
    <w:pPr>
      <w:spacing w:line="360" w:lineRule="atLeast"/>
      <w:ind w:firstLine="520"/>
      <w:jc w:val="both"/>
    </w:pPr>
    <w:rPr>
      <w:rFonts w:ascii="宋体" w:hAnsi="宋体" w:cs="宋体"/>
      <w:sz w:val="24"/>
      <w:szCs w:val="24"/>
    </w:rPr>
  </w:style>
  <w:style w:type="paragraph" w:customStyle="1" w:styleId="279">
    <w:name w:val="ca-18"/>
    <w:basedOn w:val="1"/>
    <w:qFormat/>
    <w:uiPriority w:val="0"/>
    <w:rPr>
      <w:rFonts w:ascii="宋体" w:hAnsi="宋体" w:cs="宋体"/>
      <w:color w:val="000000"/>
      <w:sz w:val="18"/>
      <w:szCs w:val="18"/>
    </w:rPr>
  </w:style>
  <w:style w:type="paragraph" w:customStyle="1" w:styleId="280">
    <w:name w:val="xl25"/>
    <w:basedOn w:val="1"/>
    <w:qFormat/>
    <w:uiPriority w:val="0"/>
    <w:pPr>
      <w:spacing w:before="100" w:beforeAutospacing="1" w:after="100" w:afterAutospacing="1"/>
      <w:jc w:val="center"/>
      <w:textAlignment w:val="center"/>
    </w:pPr>
    <w:rPr>
      <w:rFonts w:ascii="宋体" w:hAnsi="宋体"/>
      <w:sz w:val="24"/>
      <w:szCs w:val="24"/>
    </w:rPr>
  </w:style>
  <w:style w:type="paragraph" w:customStyle="1" w:styleId="281">
    <w:name w:val="pa-17"/>
    <w:basedOn w:val="1"/>
    <w:qFormat/>
    <w:uiPriority w:val="0"/>
    <w:pPr>
      <w:spacing w:line="240" w:lineRule="atLeast"/>
      <w:jc w:val="center"/>
    </w:pPr>
    <w:rPr>
      <w:rFonts w:ascii="宋体" w:hAnsi="宋体" w:cs="宋体"/>
      <w:sz w:val="24"/>
      <w:szCs w:val="24"/>
    </w:rPr>
  </w:style>
  <w:style w:type="paragraph" w:customStyle="1" w:styleId="282">
    <w:name w:val="bt1bt1"/>
    <w:basedOn w:val="2"/>
    <w:qFormat/>
    <w:uiPriority w:val="0"/>
    <w:pPr>
      <w:tabs>
        <w:tab w:val="clear" w:pos="840"/>
      </w:tabs>
      <w:adjustRightInd/>
      <w:snapToGrid/>
      <w:spacing w:before="340" w:after="330" w:line="240" w:lineRule="auto"/>
      <w:jc w:val="center"/>
    </w:pPr>
    <w:rPr>
      <w:rFonts w:ascii="黑体" w:hAnsi="Calibri" w:eastAsia="黑体"/>
      <w:b w:val="0"/>
      <w:bCs/>
      <w:sz w:val="36"/>
      <w:szCs w:val="36"/>
    </w:rPr>
  </w:style>
  <w:style w:type="paragraph" w:customStyle="1" w:styleId="283">
    <w:name w:val="pa-59"/>
    <w:basedOn w:val="1"/>
    <w:qFormat/>
    <w:uiPriority w:val="0"/>
    <w:pPr>
      <w:spacing w:line="360" w:lineRule="atLeast"/>
      <w:ind w:firstLine="200"/>
      <w:jc w:val="both"/>
    </w:pPr>
    <w:rPr>
      <w:rFonts w:ascii="宋体" w:hAnsi="宋体" w:cs="宋体"/>
      <w:sz w:val="24"/>
      <w:szCs w:val="24"/>
    </w:rPr>
  </w:style>
  <w:style w:type="paragraph" w:customStyle="1" w:styleId="284">
    <w:name w:val="flNote"/>
    <w:basedOn w:val="1"/>
    <w:qFormat/>
    <w:uiPriority w:val="0"/>
    <w:pPr>
      <w:widowControl w:val="0"/>
      <w:adjustRightInd w:val="0"/>
      <w:spacing w:before="320" w:after="160" w:line="360" w:lineRule="atLeast"/>
      <w:jc w:val="center"/>
      <w:textAlignment w:val="baseline"/>
    </w:pPr>
    <w:rPr>
      <w:rFonts w:ascii="Arial" w:hAnsi="Calibri" w:eastAsia="黑体"/>
      <w:sz w:val="30"/>
    </w:rPr>
  </w:style>
  <w:style w:type="paragraph" w:customStyle="1" w:styleId="285">
    <w:name w:val="pa-48"/>
    <w:basedOn w:val="1"/>
    <w:qFormat/>
    <w:uiPriority w:val="0"/>
    <w:pPr>
      <w:spacing w:line="280" w:lineRule="atLeast"/>
      <w:ind w:firstLine="440"/>
      <w:jc w:val="both"/>
    </w:pPr>
    <w:rPr>
      <w:rFonts w:ascii="宋体" w:hAnsi="宋体" w:cs="宋体"/>
      <w:sz w:val="24"/>
      <w:szCs w:val="24"/>
    </w:rPr>
  </w:style>
  <w:style w:type="paragraph" w:customStyle="1" w:styleId="286">
    <w:name w:val="样式 仿宋_GB2312 四号 首行缩进:  0.74 厘米"/>
    <w:basedOn w:val="1"/>
    <w:qFormat/>
    <w:uiPriority w:val="0"/>
    <w:pPr>
      <w:widowControl w:val="0"/>
      <w:ind w:firstLine="420"/>
      <w:jc w:val="both"/>
    </w:pPr>
    <w:rPr>
      <w:rFonts w:ascii="仿宋_GB2312" w:hAnsi="Calibri" w:eastAsia="仿宋_GB2312" w:cs="宋体"/>
      <w:kern w:val="2"/>
      <w:sz w:val="28"/>
    </w:rPr>
  </w:style>
  <w:style w:type="paragraph" w:customStyle="1" w:styleId="287">
    <w:name w:val="Intense Quote1"/>
    <w:basedOn w:val="1"/>
    <w:next w:val="1"/>
    <w:link w:val="288"/>
    <w:qFormat/>
    <w:uiPriority w:val="0"/>
    <w:pPr>
      <w:widowControl w:val="0"/>
      <w:pBdr>
        <w:bottom w:val="single" w:color="4F81BD" w:sz="4" w:space="4"/>
      </w:pBdr>
      <w:spacing w:before="200" w:after="280"/>
      <w:ind w:left="936" w:right="936"/>
      <w:jc w:val="both"/>
    </w:pPr>
    <w:rPr>
      <w:b/>
      <w:i/>
      <w:color w:val="4F81BD"/>
      <w:kern w:val="2"/>
      <w:sz w:val="22"/>
    </w:rPr>
  </w:style>
  <w:style w:type="character" w:customStyle="1" w:styleId="288">
    <w:name w:val="明显引用 Char"/>
    <w:link w:val="287"/>
    <w:qFormat/>
    <w:locked/>
    <w:uiPriority w:val="0"/>
    <w:rPr>
      <w:b/>
      <w:i/>
      <w:color w:val="4F81BD"/>
      <w:kern w:val="2"/>
      <w:sz w:val="22"/>
    </w:rPr>
  </w:style>
  <w:style w:type="paragraph" w:customStyle="1" w:styleId="289">
    <w:name w:val="缺省文本"/>
    <w:basedOn w:val="1"/>
    <w:qFormat/>
    <w:uiPriority w:val="0"/>
    <w:pPr>
      <w:widowControl w:val="0"/>
      <w:autoSpaceDE w:val="0"/>
      <w:autoSpaceDN w:val="0"/>
      <w:adjustRightInd w:val="0"/>
    </w:pPr>
    <w:rPr>
      <w:rFonts w:ascii="Calibri" w:hAnsi="Calibri"/>
      <w:sz w:val="24"/>
      <w:szCs w:val="24"/>
    </w:rPr>
  </w:style>
  <w:style w:type="paragraph" w:customStyle="1" w:styleId="290">
    <w:name w:val="pa-24"/>
    <w:basedOn w:val="1"/>
    <w:qFormat/>
    <w:uiPriority w:val="0"/>
    <w:pPr>
      <w:spacing w:line="360" w:lineRule="atLeast"/>
      <w:ind w:firstLine="480"/>
      <w:jc w:val="both"/>
    </w:pPr>
    <w:rPr>
      <w:rFonts w:ascii="宋体" w:hAnsi="宋体" w:cs="宋体"/>
      <w:sz w:val="24"/>
      <w:szCs w:val="24"/>
    </w:rPr>
  </w:style>
  <w:style w:type="paragraph" w:customStyle="1" w:styleId="29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292">
    <w:name w:val="Char Char Char Char Char Char Char Char Char Char Char Char Char Char Char Char Char Char Char Char Char Char Char Char Char Char Char Char Char Char Char Char Char2"/>
    <w:basedOn w:val="1"/>
    <w:qFormat/>
    <w:uiPriority w:val="0"/>
    <w:pPr>
      <w:spacing w:after="160" w:line="240" w:lineRule="exact"/>
    </w:pPr>
    <w:rPr>
      <w:rFonts w:ascii="Verdana" w:hAnsi="Verdana" w:eastAsia="仿宋_GB2312"/>
      <w:sz w:val="24"/>
      <w:lang w:eastAsia="en-US"/>
    </w:rPr>
  </w:style>
  <w:style w:type="paragraph" w:customStyle="1" w:styleId="293">
    <w:name w:val="pa-71"/>
    <w:basedOn w:val="1"/>
    <w:qFormat/>
    <w:uiPriority w:val="0"/>
    <w:pPr>
      <w:spacing w:line="240" w:lineRule="atLeast"/>
      <w:ind w:firstLine="320"/>
      <w:jc w:val="both"/>
    </w:pPr>
    <w:rPr>
      <w:rFonts w:ascii="宋体" w:hAnsi="宋体" w:cs="宋体"/>
      <w:sz w:val="24"/>
      <w:szCs w:val="24"/>
    </w:rPr>
  </w:style>
  <w:style w:type="paragraph" w:customStyle="1" w:styleId="294">
    <w:name w:val="ca-39"/>
    <w:basedOn w:val="1"/>
    <w:qFormat/>
    <w:uiPriority w:val="0"/>
    <w:rPr>
      <w:rFonts w:ascii="宋体" w:hAnsi="宋体" w:cs="宋体"/>
      <w:b/>
      <w:bCs/>
      <w:color w:val="000000"/>
      <w:spacing w:val="-20"/>
      <w:sz w:val="28"/>
      <w:szCs w:val="28"/>
    </w:rPr>
  </w:style>
  <w:style w:type="paragraph" w:customStyle="1" w:styleId="295">
    <w:name w:val="样式 标题 3 + 红色"/>
    <w:basedOn w:val="4"/>
    <w:qFormat/>
    <w:uiPriority w:val="0"/>
    <w:pPr>
      <w:widowControl w:val="0"/>
      <w:spacing w:before="120" w:after="120" w:line="700" w:lineRule="exact"/>
    </w:pPr>
    <w:rPr>
      <w:rFonts w:ascii="宋体" w:hAnsi="宋体"/>
      <w:color w:val="FF0000"/>
      <w:spacing w:val="10"/>
      <w:kern w:val="24"/>
      <w:sz w:val="28"/>
    </w:rPr>
  </w:style>
  <w:style w:type="paragraph" w:customStyle="1" w:styleId="296">
    <w:name w:val="xl112"/>
    <w:basedOn w:val="1"/>
    <w:qFormat/>
    <w:uiPriority w:val="0"/>
    <w:pP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297">
    <w:name w:val="pa-116"/>
    <w:basedOn w:val="1"/>
    <w:qFormat/>
    <w:uiPriority w:val="0"/>
    <w:pPr>
      <w:spacing w:line="480" w:lineRule="atLeast"/>
      <w:ind w:firstLine="200"/>
      <w:jc w:val="both"/>
    </w:pPr>
    <w:rPr>
      <w:rFonts w:ascii="宋体" w:hAnsi="宋体" w:cs="宋体"/>
      <w:sz w:val="24"/>
      <w:szCs w:val="24"/>
    </w:rPr>
  </w:style>
  <w:style w:type="paragraph" w:customStyle="1" w:styleId="298">
    <w:name w:val="pa-102"/>
    <w:basedOn w:val="1"/>
    <w:qFormat/>
    <w:uiPriority w:val="0"/>
    <w:pPr>
      <w:spacing w:line="300" w:lineRule="atLeast"/>
      <w:jc w:val="center"/>
    </w:pPr>
    <w:rPr>
      <w:rFonts w:ascii="宋体" w:hAnsi="宋体" w:cs="宋体"/>
      <w:sz w:val="24"/>
      <w:szCs w:val="24"/>
    </w:rPr>
  </w:style>
  <w:style w:type="paragraph" w:customStyle="1" w:styleId="299">
    <w:name w:val="样式3"/>
    <w:basedOn w:val="4"/>
    <w:qFormat/>
    <w:uiPriority w:val="0"/>
    <w:pPr>
      <w:widowControl w:val="0"/>
      <w:spacing w:line="415" w:lineRule="auto"/>
      <w:jc w:val="both"/>
    </w:pPr>
    <w:rPr>
      <w:rFonts w:ascii="Calibri" w:hAnsi="Calibri" w:eastAsia="Times New Roman"/>
      <w:kern w:val="2"/>
    </w:rPr>
  </w:style>
  <w:style w:type="paragraph" w:customStyle="1" w:styleId="300">
    <w:name w:val="ca-51"/>
    <w:basedOn w:val="1"/>
    <w:qFormat/>
    <w:uiPriority w:val="0"/>
    <w:rPr>
      <w:rFonts w:ascii="Calibri" w:hAnsi="Calibri"/>
      <w:b/>
      <w:bCs/>
      <w:color w:val="000000"/>
      <w:spacing w:val="-20"/>
      <w:sz w:val="32"/>
      <w:szCs w:val="32"/>
    </w:rPr>
  </w:style>
  <w:style w:type="paragraph" w:customStyle="1" w:styleId="301">
    <w:name w:val="Char Char Char Char1"/>
    <w:basedOn w:val="1"/>
    <w:qFormat/>
    <w:uiPriority w:val="0"/>
    <w:pPr>
      <w:widowControl w:val="0"/>
      <w:jc w:val="both"/>
    </w:pPr>
    <w:rPr>
      <w:rFonts w:ascii="Calibri" w:hAnsi="Calibri"/>
      <w:kern w:val="2"/>
      <w:szCs w:val="24"/>
    </w:rPr>
  </w:style>
  <w:style w:type="paragraph" w:customStyle="1" w:styleId="302">
    <w:name w:val="ca-36"/>
    <w:basedOn w:val="1"/>
    <w:qFormat/>
    <w:uiPriority w:val="0"/>
    <w:rPr>
      <w:rFonts w:ascii="宋体" w:hAnsi="宋体" w:cs="宋体"/>
      <w:b/>
      <w:bCs/>
      <w:spacing w:val="-20"/>
      <w:szCs w:val="21"/>
    </w:rPr>
  </w:style>
  <w:style w:type="paragraph" w:customStyle="1" w:styleId="303">
    <w:name w:val="ca-8"/>
    <w:basedOn w:val="1"/>
    <w:qFormat/>
    <w:uiPriority w:val="0"/>
    <w:rPr>
      <w:rFonts w:ascii="宋体" w:hAnsi="宋体" w:cs="宋体"/>
      <w:color w:val="000000"/>
      <w:sz w:val="28"/>
      <w:szCs w:val="28"/>
    </w:rPr>
  </w:style>
  <w:style w:type="paragraph" w:customStyle="1" w:styleId="304">
    <w:name w:val="pa-32"/>
    <w:basedOn w:val="1"/>
    <w:qFormat/>
    <w:uiPriority w:val="0"/>
    <w:pPr>
      <w:spacing w:line="360" w:lineRule="atLeast"/>
      <w:ind w:firstLine="520"/>
      <w:jc w:val="both"/>
    </w:pPr>
    <w:rPr>
      <w:rFonts w:ascii="宋体" w:hAnsi="宋体" w:cs="宋体"/>
      <w:sz w:val="24"/>
      <w:szCs w:val="24"/>
    </w:rPr>
  </w:style>
  <w:style w:type="paragraph" w:customStyle="1" w:styleId="305">
    <w:name w:val="pa-27"/>
    <w:basedOn w:val="1"/>
    <w:qFormat/>
    <w:uiPriority w:val="0"/>
    <w:pPr>
      <w:spacing w:line="276" w:lineRule="atLeast"/>
      <w:ind w:firstLine="300"/>
      <w:jc w:val="both"/>
    </w:pPr>
    <w:rPr>
      <w:rFonts w:ascii="宋体" w:hAnsi="宋体" w:cs="宋体"/>
      <w:sz w:val="24"/>
      <w:szCs w:val="24"/>
    </w:rPr>
  </w:style>
  <w:style w:type="paragraph" w:customStyle="1" w:styleId="306">
    <w:name w:val="pa-6"/>
    <w:basedOn w:val="1"/>
    <w:qFormat/>
    <w:uiPriority w:val="0"/>
    <w:pPr>
      <w:spacing w:line="560" w:lineRule="atLeast"/>
      <w:jc w:val="both"/>
    </w:pPr>
    <w:rPr>
      <w:rFonts w:ascii="宋体" w:hAnsi="宋体" w:cs="宋体"/>
      <w:sz w:val="24"/>
      <w:szCs w:val="24"/>
    </w:rPr>
  </w:style>
  <w:style w:type="paragraph" w:customStyle="1" w:styleId="307">
    <w:name w:val="pa-44"/>
    <w:basedOn w:val="1"/>
    <w:qFormat/>
    <w:uiPriority w:val="0"/>
    <w:pPr>
      <w:spacing w:line="360" w:lineRule="atLeast"/>
      <w:ind w:firstLine="420"/>
    </w:pPr>
    <w:rPr>
      <w:rFonts w:ascii="宋体" w:hAnsi="宋体" w:cs="宋体"/>
      <w:sz w:val="24"/>
      <w:szCs w:val="24"/>
    </w:rPr>
  </w:style>
  <w:style w:type="paragraph" w:customStyle="1" w:styleId="308">
    <w:name w:val="Char Char1 Char"/>
    <w:basedOn w:val="1"/>
    <w:qFormat/>
    <w:uiPriority w:val="0"/>
    <w:pPr>
      <w:widowControl w:val="0"/>
      <w:jc w:val="both"/>
    </w:pPr>
    <w:rPr>
      <w:rFonts w:ascii="Calibri" w:hAnsi="Calibri"/>
      <w:kern w:val="2"/>
      <w:szCs w:val="24"/>
    </w:rPr>
  </w:style>
  <w:style w:type="paragraph" w:customStyle="1" w:styleId="309">
    <w:name w:val="pa-118"/>
    <w:basedOn w:val="1"/>
    <w:qFormat/>
    <w:uiPriority w:val="0"/>
    <w:pPr>
      <w:spacing w:line="480" w:lineRule="atLeast"/>
      <w:ind w:firstLine="1440"/>
      <w:jc w:val="both"/>
    </w:pPr>
    <w:rPr>
      <w:rFonts w:ascii="宋体" w:hAnsi="宋体" w:cs="宋体"/>
      <w:sz w:val="24"/>
      <w:szCs w:val="24"/>
    </w:rPr>
  </w:style>
  <w:style w:type="paragraph" w:customStyle="1" w:styleId="310">
    <w:name w:val="Char Char Char Char Char Char Char Char 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311">
    <w:name w:val="pa-25"/>
    <w:basedOn w:val="1"/>
    <w:qFormat/>
    <w:uiPriority w:val="0"/>
    <w:pPr>
      <w:spacing w:line="360" w:lineRule="atLeast"/>
      <w:ind w:firstLine="480"/>
      <w:jc w:val="center"/>
    </w:pPr>
    <w:rPr>
      <w:rFonts w:ascii="宋体" w:hAnsi="宋体" w:cs="宋体"/>
      <w:sz w:val="24"/>
      <w:szCs w:val="24"/>
    </w:rPr>
  </w:style>
  <w:style w:type="paragraph" w:customStyle="1" w:styleId="312">
    <w:name w:val="样式 标题 1 + 宋体 居中 段前: 48 磅 段后: 12 磅 行距: 1.5 倍行距"/>
    <w:basedOn w:val="2"/>
    <w:qFormat/>
    <w:uiPriority w:val="0"/>
    <w:pPr>
      <w:tabs>
        <w:tab w:val="clear" w:pos="840"/>
      </w:tabs>
      <w:adjustRightInd/>
      <w:snapToGrid/>
      <w:spacing w:before="1560" w:after="240"/>
      <w:jc w:val="center"/>
    </w:pPr>
    <w:rPr>
      <w:rFonts w:hAnsi="宋体"/>
      <w:b w:val="0"/>
      <w:kern w:val="2"/>
      <w:sz w:val="36"/>
    </w:rPr>
  </w:style>
  <w:style w:type="paragraph" w:customStyle="1" w:styleId="313">
    <w:name w:val="pa-77"/>
    <w:basedOn w:val="1"/>
    <w:qFormat/>
    <w:uiPriority w:val="0"/>
    <w:pPr>
      <w:spacing w:line="360" w:lineRule="atLeast"/>
      <w:jc w:val="both"/>
    </w:pPr>
    <w:rPr>
      <w:rFonts w:ascii="宋体" w:hAnsi="宋体" w:cs="宋体"/>
      <w:sz w:val="24"/>
      <w:szCs w:val="24"/>
    </w:rPr>
  </w:style>
  <w:style w:type="paragraph" w:customStyle="1" w:styleId="314">
    <w:name w:val="xl7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15">
    <w:name w:val="pa-105"/>
    <w:basedOn w:val="1"/>
    <w:qFormat/>
    <w:uiPriority w:val="0"/>
    <w:pPr>
      <w:spacing w:line="960" w:lineRule="atLeast"/>
      <w:jc w:val="both"/>
    </w:pPr>
    <w:rPr>
      <w:rFonts w:ascii="宋体" w:hAnsi="宋体" w:cs="宋体"/>
      <w:sz w:val="24"/>
      <w:szCs w:val="24"/>
    </w:rPr>
  </w:style>
  <w:style w:type="paragraph" w:customStyle="1" w:styleId="316">
    <w:name w:val="pa-104"/>
    <w:basedOn w:val="1"/>
    <w:qFormat/>
    <w:uiPriority w:val="0"/>
    <w:pPr>
      <w:spacing w:line="280" w:lineRule="atLeast"/>
      <w:ind w:firstLine="500"/>
    </w:pPr>
    <w:rPr>
      <w:rFonts w:ascii="宋体" w:hAnsi="宋体" w:cs="宋体"/>
      <w:sz w:val="24"/>
      <w:szCs w:val="24"/>
    </w:rPr>
  </w:style>
  <w:style w:type="paragraph" w:customStyle="1" w:styleId="317">
    <w:name w:val="部分1"/>
    <w:basedOn w:val="1"/>
    <w:qFormat/>
    <w:uiPriority w:val="0"/>
    <w:pPr>
      <w:keepNext/>
      <w:pageBreakBefore/>
      <w:widowControl w:val="0"/>
      <w:tabs>
        <w:tab w:val="left" w:pos="720"/>
      </w:tabs>
      <w:spacing w:line="360" w:lineRule="auto"/>
      <w:jc w:val="center"/>
      <w:outlineLvl w:val="0"/>
    </w:pPr>
    <w:rPr>
      <w:rFonts w:ascii="Calibri" w:hAnsi="Calibri" w:eastAsia="黑体"/>
      <w:b/>
      <w:kern w:val="44"/>
      <w:sz w:val="36"/>
    </w:rPr>
  </w:style>
  <w:style w:type="paragraph" w:customStyle="1" w:styleId="318">
    <w:name w:val="pa-3"/>
    <w:basedOn w:val="1"/>
    <w:qFormat/>
    <w:uiPriority w:val="0"/>
    <w:pPr>
      <w:spacing w:line="520" w:lineRule="atLeast"/>
      <w:jc w:val="center"/>
    </w:pPr>
    <w:rPr>
      <w:rFonts w:ascii="宋体" w:hAnsi="宋体" w:cs="宋体"/>
      <w:sz w:val="24"/>
      <w:szCs w:val="24"/>
    </w:rPr>
  </w:style>
  <w:style w:type="paragraph" w:customStyle="1" w:styleId="319">
    <w:name w:val="pa-103"/>
    <w:basedOn w:val="1"/>
    <w:qFormat/>
    <w:uiPriority w:val="0"/>
    <w:pPr>
      <w:spacing w:line="480" w:lineRule="atLeast"/>
      <w:ind w:firstLine="500"/>
    </w:pPr>
    <w:rPr>
      <w:rFonts w:ascii="宋体" w:hAnsi="宋体" w:cs="宋体"/>
      <w:sz w:val="24"/>
      <w:szCs w:val="24"/>
    </w:rPr>
  </w:style>
  <w:style w:type="paragraph" w:customStyle="1" w:styleId="320">
    <w:name w:val="pa-9"/>
    <w:basedOn w:val="1"/>
    <w:qFormat/>
    <w:uiPriority w:val="0"/>
    <w:pPr>
      <w:spacing w:line="360" w:lineRule="atLeast"/>
      <w:ind w:firstLine="900"/>
      <w:jc w:val="both"/>
    </w:pPr>
    <w:rPr>
      <w:rFonts w:ascii="宋体" w:hAnsi="宋体" w:cs="宋体"/>
      <w:sz w:val="24"/>
      <w:szCs w:val="24"/>
    </w:rPr>
  </w:style>
  <w:style w:type="paragraph" w:customStyle="1" w:styleId="321">
    <w:name w:val="td-5"/>
    <w:basedOn w:val="1"/>
    <w:qFormat/>
    <w:uiPriority w:val="0"/>
    <w:pPr>
      <w:pBdr>
        <w:top w:val="single" w:color="000000" w:sz="12" w:space="0"/>
        <w:left w:val="single" w:color="000000" w:sz="4" w:space="4"/>
        <w:bottom w:val="single" w:color="000000" w:sz="4" w:space="0"/>
        <w:right w:val="single" w:color="000000" w:sz="4" w:space="0"/>
      </w:pBdr>
    </w:pPr>
    <w:rPr>
      <w:rFonts w:ascii="宋体" w:hAnsi="宋体" w:cs="宋体"/>
      <w:sz w:val="24"/>
      <w:szCs w:val="24"/>
    </w:rPr>
  </w:style>
  <w:style w:type="paragraph" w:customStyle="1" w:styleId="322">
    <w:name w:val="pa-109"/>
    <w:basedOn w:val="1"/>
    <w:qFormat/>
    <w:uiPriority w:val="0"/>
    <w:pPr>
      <w:spacing w:line="280" w:lineRule="atLeast"/>
      <w:jc w:val="both"/>
    </w:pPr>
    <w:rPr>
      <w:rFonts w:ascii="宋体" w:hAnsi="宋体" w:cs="宋体"/>
      <w:sz w:val="24"/>
      <w:szCs w:val="24"/>
    </w:rPr>
  </w:style>
  <w:style w:type="paragraph" w:customStyle="1" w:styleId="323">
    <w:name w:val="pa-95"/>
    <w:basedOn w:val="1"/>
    <w:qFormat/>
    <w:uiPriority w:val="0"/>
    <w:pPr>
      <w:spacing w:line="440" w:lineRule="atLeast"/>
      <w:jc w:val="center"/>
    </w:pPr>
    <w:rPr>
      <w:rFonts w:ascii="宋体" w:hAnsi="宋体" w:cs="宋体"/>
      <w:sz w:val="24"/>
      <w:szCs w:val="24"/>
    </w:rPr>
  </w:style>
  <w:style w:type="paragraph" w:customStyle="1" w:styleId="324">
    <w:name w:val="样式 标题 4 + 非加粗"/>
    <w:basedOn w:val="5"/>
    <w:qFormat/>
    <w:uiPriority w:val="0"/>
    <w:pPr>
      <w:tabs>
        <w:tab w:val="clear" w:pos="864"/>
      </w:tabs>
      <w:spacing w:before="120" w:after="120" w:line="377" w:lineRule="auto"/>
    </w:pPr>
    <w:rPr>
      <w:rFonts w:eastAsia="宋体"/>
      <w:bCs w:val="0"/>
      <w:spacing w:val="4"/>
      <w:sz w:val="24"/>
      <w:szCs w:val="24"/>
      <w:lang w:val="en-US"/>
    </w:rPr>
  </w:style>
  <w:style w:type="paragraph" w:customStyle="1" w:styleId="325">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326">
    <w:name w:val="List Paragraph1"/>
    <w:basedOn w:val="1"/>
    <w:qFormat/>
    <w:uiPriority w:val="99"/>
    <w:pPr>
      <w:ind w:left="720"/>
      <w:contextualSpacing/>
    </w:pPr>
    <w:rPr>
      <w:rFonts w:ascii="Arial" w:hAnsi="Arial" w:eastAsia="黑体"/>
      <w:sz w:val="24"/>
      <w:szCs w:val="24"/>
      <w:lang w:eastAsia="en-US"/>
    </w:rPr>
  </w:style>
  <w:style w:type="paragraph" w:customStyle="1" w:styleId="327">
    <w:name w:val="pa-21"/>
    <w:basedOn w:val="1"/>
    <w:qFormat/>
    <w:uiPriority w:val="0"/>
    <w:pPr>
      <w:spacing w:line="240" w:lineRule="atLeast"/>
      <w:ind w:firstLine="420"/>
      <w:jc w:val="both"/>
    </w:pPr>
    <w:rPr>
      <w:rFonts w:ascii="宋体" w:hAnsi="宋体" w:cs="宋体"/>
      <w:sz w:val="24"/>
      <w:szCs w:val="24"/>
    </w:rPr>
  </w:style>
  <w:style w:type="paragraph" w:customStyle="1" w:styleId="328">
    <w:name w:val="pa-131"/>
    <w:basedOn w:val="1"/>
    <w:qFormat/>
    <w:uiPriority w:val="0"/>
    <w:pPr>
      <w:spacing w:line="280" w:lineRule="atLeast"/>
    </w:pPr>
    <w:rPr>
      <w:rFonts w:ascii="宋体" w:hAnsi="宋体" w:cs="宋体"/>
      <w:sz w:val="24"/>
      <w:szCs w:val="24"/>
    </w:rPr>
  </w:style>
  <w:style w:type="paragraph" w:customStyle="1" w:styleId="329">
    <w:name w:val="pa-61"/>
    <w:basedOn w:val="1"/>
    <w:qFormat/>
    <w:uiPriority w:val="0"/>
    <w:pPr>
      <w:spacing w:line="240" w:lineRule="atLeast"/>
      <w:jc w:val="both"/>
    </w:pPr>
    <w:rPr>
      <w:rFonts w:ascii="宋体" w:hAnsi="宋体" w:cs="宋体"/>
      <w:sz w:val="24"/>
      <w:szCs w:val="24"/>
    </w:rPr>
  </w:style>
  <w:style w:type="paragraph" w:customStyle="1" w:styleId="330">
    <w:name w:val="pa-15"/>
    <w:basedOn w:val="1"/>
    <w:qFormat/>
    <w:uiPriority w:val="0"/>
    <w:pPr>
      <w:spacing w:line="240" w:lineRule="atLeast"/>
    </w:pPr>
    <w:rPr>
      <w:rFonts w:ascii="宋体" w:hAnsi="宋体" w:cs="宋体"/>
      <w:sz w:val="24"/>
      <w:szCs w:val="24"/>
    </w:rPr>
  </w:style>
  <w:style w:type="paragraph" w:customStyle="1" w:styleId="331">
    <w:name w:val="td-11"/>
    <w:basedOn w:val="1"/>
    <w:qFormat/>
    <w:uiPriority w:val="0"/>
    <w:pPr>
      <w:pBdr>
        <w:top w:val="single" w:color="000000" w:sz="4" w:space="0"/>
        <w:left w:val="single" w:color="000000" w:sz="4" w:space="4"/>
        <w:bottom w:val="single" w:color="000000" w:sz="12" w:space="0"/>
        <w:right w:val="single" w:color="000000" w:sz="12" w:space="0"/>
      </w:pBdr>
    </w:pPr>
    <w:rPr>
      <w:rFonts w:ascii="宋体" w:hAnsi="宋体" w:cs="宋体"/>
      <w:sz w:val="24"/>
      <w:szCs w:val="24"/>
    </w:rPr>
  </w:style>
  <w:style w:type="paragraph" w:customStyle="1" w:styleId="332">
    <w:name w:val="pa-80"/>
    <w:basedOn w:val="1"/>
    <w:qFormat/>
    <w:uiPriority w:val="0"/>
    <w:pPr>
      <w:spacing w:line="360" w:lineRule="atLeast"/>
      <w:jc w:val="both"/>
    </w:pPr>
    <w:rPr>
      <w:rFonts w:ascii="宋体" w:hAnsi="宋体" w:cs="宋体"/>
      <w:sz w:val="24"/>
      <w:szCs w:val="24"/>
    </w:rPr>
  </w:style>
  <w:style w:type="paragraph" w:customStyle="1" w:styleId="333">
    <w:name w:val="td-2"/>
    <w:basedOn w:val="1"/>
    <w:qFormat/>
    <w:uiPriority w:val="0"/>
    <w:pPr>
      <w:pBdr>
        <w:left w:val="single" w:color="000000" w:sz="6" w:space="4"/>
        <w:bottom w:val="single" w:color="000000" w:sz="6" w:space="0"/>
        <w:right w:val="single" w:color="000000" w:sz="6" w:space="0"/>
      </w:pBdr>
    </w:pPr>
    <w:rPr>
      <w:rFonts w:ascii="宋体" w:hAnsi="宋体" w:cs="宋体"/>
      <w:sz w:val="24"/>
      <w:szCs w:val="24"/>
    </w:rPr>
  </w:style>
  <w:style w:type="paragraph" w:customStyle="1" w:styleId="334">
    <w:name w:val="ca-11"/>
    <w:basedOn w:val="1"/>
    <w:qFormat/>
    <w:uiPriority w:val="0"/>
    <w:rPr>
      <w:rFonts w:ascii="Calibri" w:hAnsi="Calibri"/>
      <w:color w:val="000000"/>
      <w:sz w:val="30"/>
      <w:szCs w:val="30"/>
    </w:rPr>
  </w:style>
  <w:style w:type="paragraph" w:customStyle="1" w:styleId="335">
    <w:name w:val="ca-10"/>
    <w:basedOn w:val="1"/>
    <w:qFormat/>
    <w:uiPriority w:val="0"/>
    <w:rPr>
      <w:rFonts w:ascii="Calibri" w:hAnsi="Calibri"/>
      <w:color w:val="000000"/>
      <w:sz w:val="52"/>
      <w:szCs w:val="52"/>
    </w:rPr>
  </w:style>
  <w:style w:type="paragraph" w:customStyle="1" w:styleId="336">
    <w:name w:val="Char1 Char Char Char Char Char Char"/>
    <w:basedOn w:val="1"/>
    <w:qFormat/>
    <w:uiPriority w:val="0"/>
    <w:pPr>
      <w:widowControl w:val="0"/>
      <w:jc w:val="both"/>
    </w:pPr>
    <w:rPr>
      <w:rFonts w:ascii="Tahoma" w:hAnsi="Tahoma"/>
      <w:kern w:val="2"/>
      <w:sz w:val="24"/>
    </w:rPr>
  </w:style>
  <w:style w:type="paragraph" w:customStyle="1" w:styleId="337">
    <w:name w:val="Char2"/>
    <w:basedOn w:val="1"/>
    <w:qFormat/>
    <w:uiPriority w:val="0"/>
    <w:pPr>
      <w:widowControl w:val="0"/>
      <w:jc w:val="both"/>
    </w:pPr>
    <w:rPr>
      <w:rFonts w:ascii="宋体" w:hAnsi="Calibri"/>
      <w:kern w:val="2"/>
      <w:sz w:val="28"/>
    </w:rPr>
  </w:style>
  <w:style w:type="paragraph" w:customStyle="1" w:styleId="338">
    <w:name w:val="xl8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339">
    <w:name w:val="pa-43"/>
    <w:basedOn w:val="1"/>
    <w:qFormat/>
    <w:uiPriority w:val="0"/>
    <w:pPr>
      <w:spacing w:line="280" w:lineRule="atLeast"/>
      <w:jc w:val="center"/>
    </w:pPr>
    <w:rPr>
      <w:rFonts w:ascii="宋体" w:hAnsi="宋体" w:cs="宋体"/>
      <w:sz w:val="24"/>
      <w:szCs w:val="24"/>
    </w:rPr>
  </w:style>
  <w:style w:type="paragraph" w:customStyle="1" w:styleId="340">
    <w:name w:val="pa-0"/>
    <w:basedOn w:val="1"/>
    <w:qFormat/>
    <w:uiPriority w:val="0"/>
    <w:pPr>
      <w:spacing w:line="520" w:lineRule="atLeast"/>
      <w:jc w:val="center"/>
    </w:pPr>
    <w:rPr>
      <w:rFonts w:ascii="宋体" w:hAnsi="宋体" w:cs="宋体"/>
      <w:sz w:val="24"/>
      <w:szCs w:val="24"/>
    </w:rPr>
  </w:style>
  <w:style w:type="paragraph" w:customStyle="1" w:styleId="341">
    <w:name w:val="中等深浅网格 1 - 强调文字颜色 21"/>
    <w:basedOn w:val="1"/>
    <w:qFormat/>
    <w:uiPriority w:val="34"/>
    <w:pPr>
      <w:ind w:firstLine="420" w:firstLineChars="200"/>
    </w:pPr>
  </w:style>
  <w:style w:type="paragraph" w:customStyle="1" w:styleId="342">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43">
    <w:name w:val="pa-88"/>
    <w:basedOn w:val="1"/>
    <w:qFormat/>
    <w:uiPriority w:val="0"/>
    <w:pPr>
      <w:spacing w:line="320" w:lineRule="atLeast"/>
      <w:ind w:firstLine="480"/>
      <w:jc w:val="both"/>
    </w:pPr>
    <w:rPr>
      <w:rFonts w:ascii="宋体" w:hAnsi="宋体" w:cs="宋体"/>
      <w:sz w:val="24"/>
      <w:szCs w:val="24"/>
    </w:rPr>
  </w:style>
  <w:style w:type="paragraph" w:customStyle="1" w:styleId="344">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345">
    <w:name w:val="pa-141"/>
    <w:basedOn w:val="1"/>
    <w:qFormat/>
    <w:uiPriority w:val="0"/>
    <w:pPr>
      <w:spacing w:line="320" w:lineRule="atLeast"/>
      <w:jc w:val="right"/>
    </w:pPr>
    <w:rPr>
      <w:rFonts w:ascii="宋体" w:hAnsi="宋体" w:cs="宋体"/>
      <w:sz w:val="24"/>
      <w:szCs w:val="24"/>
    </w:rPr>
  </w:style>
  <w:style w:type="paragraph" w:customStyle="1" w:styleId="346">
    <w:name w:val="pa-39"/>
    <w:basedOn w:val="1"/>
    <w:qFormat/>
    <w:uiPriority w:val="0"/>
    <w:pPr>
      <w:spacing w:line="360" w:lineRule="atLeast"/>
      <w:jc w:val="center"/>
    </w:pPr>
    <w:rPr>
      <w:rFonts w:ascii="宋体" w:hAnsi="宋体" w:cs="宋体"/>
      <w:sz w:val="24"/>
      <w:szCs w:val="24"/>
    </w:rPr>
  </w:style>
  <w:style w:type="paragraph" w:customStyle="1" w:styleId="347">
    <w:name w:val="Date1"/>
    <w:basedOn w:val="1"/>
    <w:next w:val="1"/>
    <w:qFormat/>
    <w:uiPriority w:val="0"/>
    <w:pPr>
      <w:widowControl w:val="0"/>
      <w:adjustRightInd w:val="0"/>
      <w:spacing w:line="360" w:lineRule="auto"/>
      <w:jc w:val="right"/>
      <w:textAlignment w:val="baseline"/>
    </w:pPr>
    <w:rPr>
      <w:rFonts w:ascii="Calibri" w:hAnsi="Calibri"/>
      <w:sz w:val="24"/>
    </w:rPr>
  </w:style>
  <w:style w:type="paragraph" w:customStyle="1" w:styleId="348">
    <w:name w:val="td-1"/>
    <w:basedOn w:val="1"/>
    <w:qFormat/>
    <w:uiPriority w:val="0"/>
    <w:pPr>
      <w:pBdr>
        <w:top w:val="single" w:color="000000" w:sz="6" w:space="0"/>
        <w:left w:val="single" w:color="000000" w:sz="6" w:space="4"/>
        <w:bottom w:val="single" w:color="000000" w:sz="6" w:space="0"/>
        <w:right w:val="single" w:color="000000" w:sz="6" w:space="0"/>
      </w:pBdr>
    </w:pPr>
    <w:rPr>
      <w:rFonts w:ascii="宋体" w:hAnsi="宋体" w:cs="宋体"/>
      <w:sz w:val="24"/>
      <w:szCs w:val="24"/>
    </w:rPr>
  </w:style>
  <w:style w:type="paragraph" w:customStyle="1" w:styleId="349">
    <w:name w:val="正文，首行缩进:"/>
    <w:basedOn w:val="1"/>
    <w:qFormat/>
    <w:uiPriority w:val="0"/>
    <w:pPr>
      <w:widowControl w:val="0"/>
      <w:tabs>
        <w:tab w:val="left" w:pos="3376"/>
      </w:tabs>
      <w:spacing w:line="460" w:lineRule="exact"/>
      <w:ind w:firstLine="480" w:firstLineChars="200"/>
    </w:pPr>
    <w:rPr>
      <w:rFonts w:ascii="宋体" w:hAnsi="宋体" w:cs="宋体"/>
      <w:kern w:val="2"/>
      <w:sz w:val="24"/>
    </w:rPr>
  </w:style>
  <w:style w:type="paragraph" w:customStyle="1" w:styleId="350">
    <w:name w:val="ca-50"/>
    <w:basedOn w:val="1"/>
    <w:qFormat/>
    <w:uiPriority w:val="0"/>
    <w:rPr>
      <w:rFonts w:ascii="宋体" w:hAnsi="宋体" w:cs="宋体"/>
      <w:sz w:val="24"/>
      <w:szCs w:val="24"/>
    </w:rPr>
  </w:style>
  <w:style w:type="paragraph" w:customStyle="1" w:styleId="351">
    <w:name w:val="pa-31"/>
    <w:basedOn w:val="1"/>
    <w:qFormat/>
    <w:uiPriority w:val="0"/>
    <w:pPr>
      <w:spacing w:line="240" w:lineRule="atLeast"/>
      <w:ind w:firstLine="420"/>
    </w:pPr>
    <w:rPr>
      <w:rFonts w:ascii="宋体" w:hAnsi="宋体" w:cs="宋体"/>
      <w:sz w:val="24"/>
      <w:szCs w:val="24"/>
    </w:rPr>
  </w:style>
  <w:style w:type="paragraph" w:customStyle="1" w:styleId="352">
    <w:name w:val="0"/>
    <w:basedOn w:val="1"/>
    <w:qFormat/>
    <w:uiPriority w:val="0"/>
    <w:pPr>
      <w:snapToGrid w:val="0"/>
      <w:jc w:val="both"/>
    </w:pPr>
    <w:rPr>
      <w:rFonts w:ascii="Calibri" w:hAnsi="Calibri"/>
      <w:sz w:val="20"/>
    </w:rPr>
  </w:style>
  <w:style w:type="paragraph" w:customStyle="1" w:styleId="353">
    <w:name w:val="xl88"/>
    <w:basedOn w:val="1"/>
    <w:qFormat/>
    <w:uiPriority w:val="0"/>
    <w:pPr>
      <w:pBdr>
        <w:bottom w:val="single" w:color="auto" w:sz="4" w:space="0"/>
      </w:pBdr>
      <w:spacing w:before="100" w:beforeAutospacing="1" w:after="100" w:afterAutospacing="1"/>
      <w:jc w:val="center"/>
    </w:pPr>
    <w:rPr>
      <w:rFonts w:ascii="黑体" w:hAnsi="黑体" w:eastAsia="黑体" w:cs="宋体"/>
      <w:sz w:val="32"/>
      <w:szCs w:val="32"/>
    </w:rPr>
  </w:style>
  <w:style w:type="paragraph" w:customStyle="1" w:styleId="354">
    <w:name w:val="pa-40"/>
    <w:basedOn w:val="1"/>
    <w:qFormat/>
    <w:uiPriority w:val="0"/>
    <w:pPr>
      <w:spacing w:line="280" w:lineRule="atLeast"/>
      <w:jc w:val="both"/>
    </w:pPr>
    <w:rPr>
      <w:rFonts w:ascii="宋体" w:hAnsi="宋体" w:cs="宋体"/>
      <w:sz w:val="24"/>
      <w:szCs w:val="24"/>
    </w:rPr>
  </w:style>
  <w:style w:type="paragraph" w:customStyle="1" w:styleId="355">
    <w:name w:val="pa-130"/>
    <w:basedOn w:val="1"/>
    <w:qFormat/>
    <w:uiPriority w:val="0"/>
    <w:pPr>
      <w:spacing w:line="300" w:lineRule="atLeast"/>
    </w:pPr>
    <w:rPr>
      <w:rFonts w:ascii="宋体" w:hAnsi="宋体" w:cs="宋体"/>
      <w:sz w:val="24"/>
      <w:szCs w:val="24"/>
    </w:rPr>
  </w:style>
  <w:style w:type="paragraph" w:customStyle="1" w:styleId="356">
    <w:name w:val="Char Char Char Char"/>
    <w:basedOn w:val="1"/>
    <w:qFormat/>
    <w:uiPriority w:val="0"/>
    <w:pPr>
      <w:spacing w:after="160" w:line="240" w:lineRule="exact"/>
    </w:pPr>
    <w:rPr>
      <w:rFonts w:ascii="Verdana" w:hAnsi="Verdana" w:eastAsia="仿宋_GB2312"/>
      <w:sz w:val="24"/>
      <w:lang w:eastAsia="en-US"/>
    </w:rPr>
  </w:style>
  <w:style w:type="paragraph" w:customStyle="1" w:styleId="357">
    <w:name w:val="pa-64"/>
    <w:basedOn w:val="1"/>
    <w:qFormat/>
    <w:uiPriority w:val="0"/>
    <w:pPr>
      <w:spacing w:line="360" w:lineRule="atLeast"/>
      <w:ind w:firstLine="560"/>
    </w:pPr>
    <w:rPr>
      <w:rFonts w:ascii="宋体" w:hAnsi="宋体" w:cs="宋体"/>
      <w:sz w:val="24"/>
      <w:szCs w:val="24"/>
    </w:rPr>
  </w:style>
  <w:style w:type="paragraph" w:customStyle="1" w:styleId="358">
    <w:name w:val="Char Char Char Char Char Char"/>
    <w:basedOn w:val="1"/>
    <w:qFormat/>
    <w:uiPriority w:val="0"/>
    <w:pPr>
      <w:widowControl w:val="0"/>
      <w:jc w:val="both"/>
    </w:pPr>
    <w:rPr>
      <w:rFonts w:ascii="Calibri" w:hAnsi="Calibri"/>
      <w:kern w:val="2"/>
      <w:szCs w:val="24"/>
    </w:rPr>
  </w:style>
  <w:style w:type="paragraph" w:customStyle="1" w:styleId="359">
    <w:name w:val="样式 正文（首行缩进两字） + 宋体 左侧:  0 厘米 悬挂缩进: 1.43 字符"/>
    <w:basedOn w:val="14"/>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360">
    <w:name w:val="表格正文"/>
    <w:basedOn w:val="1"/>
    <w:link w:val="361"/>
    <w:qFormat/>
    <w:uiPriority w:val="0"/>
    <w:pPr>
      <w:widowControl w:val="0"/>
      <w:jc w:val="both"/>
    </w:pPr>
    <w:rPr>
      <w:kern w:val="2"/>
      <w:szCs w:val="24"/>
    </w:rPr>
  </w:style>
  <w:style w:type="character" w:customStyle="1" w:styleId="361">
    <w:name w:val="表格正文 Char"/>
    <w:link w:val="360"/>
    <w:qFormat/>
    <w:uiPriority w:val="0"/>
    <w:rPr>
      <w:kern w:val="2"/>
      <w:sz w:val="21"/>
      <w:szCs w:val="24"/>
    </w:rPr>
  </w:style>
  <w:style w:type="paragraph" w:customStyle="1" w:styleId="362">
    <w:name w:val="ca-34"/>
    <w:basedOn w:val="1"/>
    <w:qFormat/>
    <w:uiPriority w:val="0"/>
    <w:rPr>
      <w:rFonts w:ascii="宋体" w:hAnsi="宋体" w:cs="宋体"/>
      <w:color w:val="000000"/>
      <w:sz w:val="20"/>
    </w:rPr>
  </w:style>
  <w:style w:type="paragraph" w:customStyle="1" w:styleId="363">
    <w:name w:val="xl39"/>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sz w:val="20"/>
    </w:rPr>
  </w:style>
  <w:style w:type="paragraph" w:customStyle="1" w:styleId="364">
    <w:name w:val="pa-63"/>
    <w:basedOn w:val="1"/>
    <w:qFormat/>
    <w:uiPriority w:val="0"/>
    <w:pPr>
      <w:spacing w:line="360" w:lineRule="atLeast"/>
      <w:ind w:firstLine="300"/>
    </w:pPr>
    <w:rPr>
      <w:rFonts w:ascii="宋体" w:hAnsi="宋体" w:cs="宋体"/>
      <w:sz w:val="24"/>
      <w:szCs w:val="24"/>
    </w:rPr>
  </w:style>
  <w:style w:type="paragraph" w:customStyle="1" w:styleId="365">
    <w:name w:val="Char Char Char Char Char Char1"/>
    <w:basedOn w:val="1"/>
    <w:qFormat/>
    <w:uiPriority w:val="0"/>
    <w:pPr>
      <w:spacing w:after="160" w:line="240" w:lineRule="exact"/>
    </w:pPr>
    <w:rPr>
      <w:rFonts w:ascii="Verdana" w:hAnsi="Verdana" w:eastAsia="仿宋_GB2312"/>
      <w:sz w:val="24"/>
      <w:lang w:eastAsia="en-US"/>
    </w:rPr>
  </w:style>
  <w:style w:type="paragraph" w:customStyle="1" w:styleId="366">
    <w:name w:val="pa-56"/>
    <w:basedOn w:val="1"/>
    <w:qFormat/>
    <w:uiPriority w:val="0"/>
    <w:pPr>
      <w:spacing w:line="300" w:lineRule="atLeast"/>
      <w:ind w:firstLine="420"/>
      <w:jc w:val="both"/>
    </w:pPr>
    <w:rPr>
      <w:rFonts w:ascii="宋体" w:hAnsi="宋体" w:cs="宋体"/>
      <w:sz w:val="24"/>
      <w:szCs w:val="24"/>
    </w:rPr>
  </w:style>
  <w:style w:type="paragraph" w:customStyle="1" w:styleId="367">
    <w:name w:val="样式 样式 首行缩进:  2.25 字符 + 首行缩进:  2.25 字符"/>
    <w:basedOn w:val="1"/>
    <w:link w:val="368"/>
    <w:qFormat/>
    <w:uiPriority w:val="0"/>
    <w:pPr>
      <w:widowControl w:val="0"/>
      <w:spacing w:line="360" w:lineRule="auto"/>
      <w:ind w:firstLine="420" w:firstLineChars="200"/>
      <w:jc w:val="both"/>
    </w:pPr>
    <w:rPr>
      <w:rFonts w:ascii="宋体" w:hAnsi="宋体"/>
      <w:kern w:val="2"/>
      <w:szCs w:val="21"/>
    </w:rPr>
  </w:style>
  <w:style w:type="character" w:customStyle="1" w:styleId="368">
    <w:name w:val="样式 样式 首行缩进:  2.25 字符 + 首行缩进:  2.25 字符 Char"/>
    <w:link w:val="367"/>
    <w:qFormat/>
    <w:uiPriority w:val="0"/>
    <w:rPr>
      <w:rFonts w:ascii="宋体" w:hAnsi="宋体" w:cs="宋体"/>
      <w:kern w:val="2"/>
      <w:sz w:val="21"/>
      <w:szCs w:val="21"/>
    </w:rPr>
  </w:style>
  <w:style w:type="paragraph" w:customStyle="1" w:styleId="3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0">
    <w:name w:val="正文2"/>
    <w:basedOn w:val="1"/>
    <w:link w:val="371"/>
    <w:qFormat/>
    <w:uiPriority w:val="99"/>
    <w:pPr>
      <w:widowControl w:val="0"/>
      <w:spacing w:before="156" w:line="360" w:lineRule="auto"/>
      <w:ind w:firstLine="510" w:firstLineChars="200"/>
      <w:jc w:val="both"/>
    </w:pPr>
    <w:rPr>
      <w:kern w:val="2"/>
      <w:sz w:val="24"/>
    </w:rPr>
  </w:style>
  <w:style w:type="character" w:customStyle="1" w:styleId="371">
    <w:name w:val="正文2 Char Char"/>
    <w:link w:val="370"/>
    <w:qFormat/>
    <w:uiPriority w:val="0"/>
    <w:rPr>
      <w:kern w:val="2"/>
      <w:sz w:val="24"/>
    </w:rPr>
  </w:style>
  <w:style w:type="paragraph" w:customStyle="1" w:styleId="372">
    <w:name w:val="文档正文"/>
    <w:basedOn w:val="1"/>
    <w:qFormat/>
    <w:uiPriority w:val="0"/>
    <w:pPr>
      <w:widowControl w:val="0"/>
      <w:adjustRightInd w:val="0"/>
      <w:spacing w:line="480" w:lineRule="atLeast"/>
      <w:ind w:firstLine="567"/>
      <w:jc w:val="both"/>
      <w:textAlignment w:val="baseline"/>
    </w:pPr>
    <w:rPr>
      <w:rFonts w:ascii="仿宋_GB2312" w:hAnsi="Calibri" w:eastAsia="仿宋_GB2312"/>
      <w:sz w:val="28"/>
    </w:rPr>
  </w:style>
  <w:style w:type="paragraph" w:customStyle="1" w:styleId="373">
    <w:name w:val="pa-10"/>
    <w:basedOn w:val="1"/>
    <w:qFormat/>
    <w:uiPriority w:val="0"/>
    <w:pPr>
      <w:spacing w:line="360" w:lineRule="atLeast"/>
      <w:ind w:firstLine="3220"/>
      <w:jc w:val="both"/>
    </w:pPr>
    <w:rPr>
      <w:rFonts w:ascii="宋体" w:hAnsi="宋体" w:cs="宋体"/>
      <w:sz w:val="24"/>
      <w:szCs w:val="24"/>
    </w:rPr>
  </w:style>
  <w:style w:type="paragraph" w:customStyle="1" w:styleId="374">
    <w:name w:val="菲页1"/>
    <w:basedOn w:val="3"/>
    <w:qFormat/>
    <w:uiPriority w:val="0"/>
    <w:pPr>
      <w:spacing w:line="413" w:lineRule="auto"/>
      <w:jc w:val="center"/>
    </w:pPr>
    <w:rPr>
      <w:rFonts w:ascii="黑体" w:hAnsi="宋体" w:eastAsia="黑体"/>
      <w:b w:val="0"/>
      <w:bCs w:val="0"/>
      <w:sz w:val="52"/>
      <w:szCs w:val="20"/>
    </w:rPr>
  </w:style>
  <w:style w:type="paragraph" w:customStyle="1" w:styleId="375">
    <w:name w:val="pa-114"/>
    <w:basedOn w:val="1"/>
    <w:qFormat/>
    <w:uiPriority w:val="0"/>
    <w:pPr>
      <w:spacing w:line="280" w:lineRule="atLeast"/>
      <w:ind w:firstLine="2220"/>
      <w:jc w:val="both"/>
    </w:pPr>
    <w:rPr>
      <w:rFonts w:ascii="宋体" w:hAnsi="宋体" w:cs="宋体"/>
      <w:sz w:val="24"/>
      <w:szCs w:val="24"/>
    </w:rPr>
  </w:style>
  <w:style w:type="paragraph" w:customStyle="1" w:styleId="376">
    <w:name w:val="zbggmain"/>
    <w:basedOn w:val="1"/>
    <w:qFormat/>
    <w:uiPriority w:val="0"/>
    <w:pPr>
      <w:spacing w:before="100" w:beforeAutospacing="1" w:after="100" w:afterAutospacing="1" w:line="360" w:lineRule="auto"/>
    </w:pPr>
    <w:rPr>
      <w:rFonts w:ascii="Calibri" w:hAnsi="Calibri"/>
      <w:color w:val="000000"/>
      <w:sz w:val="24"/>
      <w:szCs w:val="24"/>
    </w:rPr>
  </w:style>
  <w:style w:type="paragraph" w:customStyle="1" w:styleId="377">
    <w:name w:val="标书标题3"/>
    <w:basedOn w:val="4"/>
    <w:qFormat/>
    <w:uiPriority w:val="0"/>
    <w:pPr>
      <w:keepLines w:val="0"/>
      <w:adjustRightInd w:val="0"/>
      <w:snapToGrid w:val="0"/>
      <w:spacing w:before="120" w:after="60" w:line="300" w:lineRule="auto"/>
    </w:pPr>
    <w:rPr>
      <w:rFonts w:ascii="Arial Narrow" w:hAnsi="Arial Narrow" w:eastAsia="仿宋_GB2312"/>
      <w:b w:val="0"/>
      <w:bCs w:val="0"/>
      <w:color w:val="000000"/>
      <w:sz w:val="28"/>
    </w:rPr>
  </w:style>
  <w:style w:type="paragraph" w:customStyle="1" w:styleId="378">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379">
    <w:name w:val="xl9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rPr>
  </w:style>
  <w:style w:type="paragraph" w:customStyle="1" w:styleId="380">
    <w:name w:val="pa-69"/>
    <w:basedOn w:val="1"/>
    <w:qFormat/>
    <w:uiPriority w:val="0"/>
    <w:pPr>
      <w:spacing w:line="240" w:lineRule="atLeast"/>
      <w:ind w:firstLine="1140"/>
      <w:jc w:val="both"/>
    </w:pPr>
    <w:rPr>
      <w:rFonts w:ascii="宋体" w:hAnsi="宋体" w:cs="宋体"/>
      <w:sz w:val="24"/>
      <w:szCs w:val="24"/>
    </w:rPr>
  </w:style>
  <w:style w:type="paragraph" w:customStyle="1" w:styleId="381">
    <w:name w:val="pa-76"/>
    <w:basedOn w:val="1"/>
    <w:qFormat/>
    <w:uiPriority w:val="0"/>
    <w:pPr>
      <w:spacing w:line="400" w:lineRule="atLeast"/>
    </w:pPr>
    <w:rPr>
      <w:rFonts w:ascii="宋体" w:hAnsi="宋体" w:cs="宋体"/>
      <w:sz w:val="24"/>
      <w:szCs w:val="24"/>
    </w:rPr>
  </w:style>
  <w:style w:type="paragraph" w:customStyle="1" w:styleId="382">
    <w:name w:val="pa-46"/>
    <w:basedOn w:val="1"/>
    <w:qFormat/>
    <w:uiPriority w:val="0"/>
    <w:pPr>
      <w:spacing w:line="280" w:lineRule="atLeast"/>
      <w:ind w:firstLine="420"/>
    </w:pPr>
    <w:rPr>
      <w:rFonts w:ascii="宋体" w:hAnsi="宋体" w:cs="宋体"/>
      <w:sz w:val="24"/>
      <w:szCs w:val="24"/>
    </w:rPr>
  </w:style>
  <w:style w:type="paragraph" w:customStyle="1" w:styleId="383">
    <w:name w:val="标准正文"/>
    <w:basedOn w:val="1"/>
    <w:qFormat/>
    <w:uiPriority w:val="0"/>
    <w:pPr>
      <w:spacing w:line="360" w:lineRule="auto"/>
      <w:ind w:firstLine="200" w:firstLineChars="200"/>
    </w:pPr>
    <w:rPr>
      <w:sz w:val="24"/>
    </w:rPr>
  </w:style>
  <w:style w:type="paragraph" w:customStyle="1" w:styleId="384">
    <w:name w:val="pa-49"/>
    <w:basedOn w:val="1"/>
    <w:qFormat/>
    <w:uiPriority w:val="0"/>
    <w:pPr>
      <w:spacing w:line="280" w:lineRule="atLeast"/>
      <w:ind w:firstLine="440"/>
    </w:pPr>
    <w:rPr>
      <w:rFonts w:ascii="宋体" w:hAnsi="宋体" w:cs="宋体"/>
      <w:sz w:val="24"/>
      <w:szCs w:val="24"/>
    </w:rPr>
  </w:style>
  <w:style w:type="paragraph" w:customStyle="1" w:styleId="385">
    <w:name w:val="目录"/>
    <w:basedOn w:val="1"/>
    <w:qFormat/>
    <w:uiPriority w:val="0"/>
    <w:pPr>
      <w:jc w:val="center"/>
    </w:pPr>
    <w:rPr>
      <w:rFonts w:ascii="宋体" w:hAnsi="Calibri"/>
      <w:b/>
      <w:sz w:val="36"/>
    </w:rPr>
  </w:style>
  <w:style w:type="paragraph" w:customStyle="1" w:styleId="386">
    <w:name w:val="pa-94"/>
    <w:basedOn w:val="1"/>
    <w:qFormat/>
    <w:uiPriority w:val="0"/>
    <w:pPr>
      <w:spacing w:line="480" w:lineRule="atLeast"/>
    </w:pPr>
    <w:rPr>
      <w:rFonts w:ascii="宋体" w:hAnsi="宋体" w:cs="宋体"/>
      <w:sz w:val="24"/>
      <w:szCs w:val="24"/>
    </w:rPr>
  </w:style>
  <w:style w:type="paragraph" w:customStyle="1" w:styleId="387">
    <w:name w:val="pa-83"/>
    <w:basedOn w:val="1"/>
    <w:qFormat/>
    <w:uiPriority w:val="0"/>
    <w:pPr>
      <w:spacing w:line="560" w:lineRule="atLeast"/>
      <w:jc w:val="center"/>
    </w:pPr>
    <w:rPr>
      <w:rFonts w:ascii="宋体" w:hAnsi="宋体" w:cs="宋体"/>
      <w:sz w:val="24"/>
      <w:szCs w:val="24"/>
    </w:rPr>
  </w:style>
  <w:style w:type="paragraph" w:customStyle="1" w:styleId="388">
    <w:name w:val="Char Char Char Char21"/>
    <w:basedOn w:val="1"/>
    <w:qFormat/>
    <w:uiPriority w:val="0"/>
    <w:pPr>
      <w:widowControl w:val="0"/>
      <w:jc w:val="both"/>
    </w:pPr>
    <w:rPr>
      <w:rFonts w:ascii="Calibri" w:hAnsi="Calibri"/>
      <w:kern w:val="2"/>
    </w:rPr>
  </w:style>
  <w:style w:type="paragraph" w:customStyle="1" w:styleId="389">
    <w:name w:val="Char Char Char Char Char Char Char"/>
    <w:basedOn w:val="1"/>
    <w:qFormat/>
    <w:uiPriority w:val="0"/>
    <w:pPr>
      <w:widowControl w:val="0"/>
      <w:jc w:val="both"/>
    </w:pPr>
    <w:rPr>
      <w:rFonts w:ascii="仿宋_GB2312" w:eastAsia="仿宋_GB2312"/>
      <w:b/>
      <w:kern w:val="2"/>
      <w:sz w:val="32"/>
      <w:szCs w:val="32"/>
    </w:rPr>
  </w:style>
  <w:style w:type="paragraph" w:customStyle="1" w:styleId="390">
    <w:name w:val="pa-65"/>
    <w:basedOn w:val="1"/>
    <w:qFormat/>
    <w:uiPriority w:val="0"/>
    <w:pPr>
      <w:spacing w:line="360" w:lineRule="atLeast"/>
      <w:jc w:val="both"/>
    </w:pPr>
    <w:rPr>
      <w:rFonts w:ascii="宋体" w:hAnsi="宋体" w:cs="宋体"/>
      <w:sz w:val="24"/>
      <w:szCs w:val="24"/>
    </w:rPr>
  </w:style>
  <w:style w:type="paragraph" w:customStyle="1" w:styleId="391">
    <w:name w:val="xl8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392">
    <w:name w:val="pa-4"/>
    <w:basedOn w:val="1"/>
    <w:qFormat/>
    <w:uiPriority w:val="0"/>
    <w:pPr>
      <w:spacing w:line="360" w:lineRule="atLeast"/>
      <w:jc w:val="center"/>
    </w:pPr>
    <w:rPr>
      <w:rFonts w:ascii="宋体" w:hAnsi="宋体" w:cs="宋体"/>
      <w:sz w:val="24"/>
      <w:szCs w:val="24"/>
    </w:rPr>
  </w:style>
  <w:style w:type="paragraph" w:customStyle="1" w:styleId="393">
    <w:name w:val="pa-5"/>
    <w:basedOn w:val="1"/>
    <w:qFormat/>
    <w:uiPriority w:val="0"/>
    <w:pPr>
      <w:spacing w:line="1000" w:lineRule="atLeast"/>
      <w:jc w:val="center"/>
    </w:pPr>
    <w:rPr>
      <w:rFonts w:ascii="宋体" w:hAnsi="宋体" w:cs="宋体"/>
      <w:sz w:val="24"/>
      <w:szCs w:val="24"/>
    </w:rPr>
  </w:style>
  <w:style w:type="paragraph" w:customStyle="1" w:styleId="394">
    <w:name w:val="样式 正文（首行缩进两字） + 首行缩进:  2 字符"/>
    <w:basedOn w:val="14"/>
    <w:qFormat/>
    <w:uiPriority w:val="0"/>
    <w:pPr>
      <w:widowControl w:val="0"/>
      <w:spacing w:line="460" w:lineRule="exact"/>
      <w:ind w:firstLine="536" w:firstLineChars="200"/>
      <w:jc w:val="both"/>
    </w:pPr>
    <w:rPr>
      <w:rFonts w:hAnsi="Calibri"/>
      <w:spacing w:val="6"/>
      <w:kern w:val="24"/>
      <w:sz w:val="24"/>
    </w:rPr>
  </w:style>
  <w:style w:type="paragraph" w:customStyle="1" w:styleId="395">
    <w:name w:val="pa-70"/>
    <w:basedOn w:val="1"/>
    <w:qFormat/>
    <w:uiPriority w:val="0"/>
    <w:pPr>
      <w:spacing w:line="360" w:lineRule="atLeast"/>
      <w:ind w:firstLine="420"/>
    </w:pPr>
    <w:rPr>
      <w:rFonts w:ascii="宋体" w:hAnsi="宋体" w:cs="宋体"/>
      <w:sz w:val="24"/>
      <w:szCs w:val="24"/>
    </w:rPr>
  </w:style>
  <w:style w:type="paragraph" w:customStyle="1" w:styleId="396">
    <w:name w:val="xl77"/>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97">
    <w:name w:val="投标标题 2"/>
    <w:basedOn w:val="15"/>
    <w:qFormat/>
    <w:uiPriority w:val="0"/>
    <w:pPr>
      <w:framePr w:w="0" w:hRule="auto" w:hSpace="0" w:vAnchor="margin" w:hAnchor="text" w:xAlign="left" w:yAlign="inline"/>
      <w:shd w:val="clear" w:color="auto" w:fill="auto"/>
      <w:tabs>
        <w:tab w:val="clear" w:pos="9000"/>
      </w:tabs>
      <w:ind w:firstLine="6290" w:firstLineChars="2282"/>
    </w:pPr>
    <w:rPr>
      <w:rFonts w:ascii="Times New Roman" w:hAnsi="Times New Roman" w:eastAsia="黑体"/>
      <w:bCs/>
      <w:color w:val="auto"/>
      <w:sz w:val="28"/>
    </w:rPr>
  </w:style>
  <w:style w:type="paragraph" w:customStyle="1" w:styleId="398">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399">
    <w:name w:val="样式 样式 标题 3 + (符号) 宋体 四号 加粗 黑色 段前: 0 磅 段后: 0 磅 行距: 固定值 22 磅 + 段前:..."/>
    <w:basedOn w:val="1"/>
    <w:qFormat/>
    <w:uiPriority w:val="0"/>
    <w:pPr>
      <w:keepNext/>
      <w:keepLines/>
      <w:widowControl w:val="0"/>
      <w:tabs>
        <w:tab w:val="left" w:pos="1275"/>
      </w:tabs>
      <w:spacing w:beforeLines="50" w:afterLines="50" w:line="580" w:lineRule="exact"/>
      <w:outlineLvl w:val="2"/>
    </w:pPr>
    <w:rPr>
      <w:rFonts w:ascii="宋体" w:hAnsi="宋体"/>
      <w:b/>
      <w:bCs/>
      <w:color w:val="000000"/>
      <w:kern w:val="24"/>
      <w:sz w:val="28"/>
    </w:rPr>
  </w:style>
  <w:style w:type="paragraph" w:customStyle="1" w:styleId="400">
    <w:name w:val="xl115"/>
    <w:basedOn w:val="1"/>
    <w:qFormat/>
    <w:uiPriority w:val="0"/>
    <w:pPr>
      <w:pBdr>
        <w:bottom w:val="single" w:color="auto" w:sz="4" w:space="0"/>
      </w:pBd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401">
    <w:name w:val="正文文字2"/>
    <w:basedOn w:val="19"/>
    <w:qFormat/>
    <w:uiPriority w:val="0"/>
    <w:pPr>
      <w:adjustRightInd w:val="0"/>
      <w:spacing w:after="60" w:line="360" w:lineRule="atLeast"/>
      <w:ind w:left="72" w:leftChars="30" w:right="72" w:rightChars="30"/>
      <w:jc w:val="center"/>
    </w:pPr>
    <w:rPr>
      <w:rFonts w:ascii="Arial" w:eastAsia="黑体"/>
      <w:kern w:val="0"/>
      <w:sz w:val="21"/>
    </w:rPr>
  </w:style>
  <w:style w:type="paragraph" w:customStyle="1" w:styleId="402">
    <w:name w:val="pa-72"/>
    <w:basedOn w:val="1"/>
    <w:qFormat/>
    <w:uiPriority w:val="0"/>
    <w:pPr>
      <w:spacing w:line="240" w:lineRule="atLeast"/>
      <w:ind w:firstLine="560"/>
      <w:jc w:val="both"/>
    </w:pPr>
    <w:rPr>
      <w:rFonts w:ascii="宋体" w:hAnsi="宋体" w:cs="宋体"/>
      <w:sz w:val="24"/>
      <w:szCs w:val="24"/>
    </w:rPr>
  </w:style>
  <w:style w:type="paragraph" w:customStyle="1" w:styleId="403">
    <w:name w:val="pa-108"/>
    <w:basedOn w:val="1"/>
    <w:qFormat/>
    <w:uiPriority w:val="0"/>
    <w:pPr>
      <w:spacing w:line="280" w:lineRule="atLeast"/>
      <w:jc w:val="center"/>
    </w:pPr>
    <w:rPr>
      <w:rFonts w:ascii="宋体" w:hAnsi="宋体" w:cs="宋体"/>
      <w:sz w:val="24"/>
      <w:szCs w:val="24"/>
    </w:rPr>
  </w:style>
  <w:style w:type="paragraph" w:customStyle="1" w:styleId="404">
    <w:name w:val="xl8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rPr>
  </w:style>
  <w:style w:type="paragraph" w:customStyle="1" w:styleId="405">
    <w:name w:val="_Style 357"/>
    <w:basedOn w:val="2"/>
    <w:next w:val="1"/>
    <w:qFormat/>
    <w:uiPriority w:val="0"/>
    <w:pPr>
      <w:widowControl/>
      <w:tabs>
        <w:tab w:val="clear" w:pos="840"/>
      </w:tabs>
      <w:adjustRightInd/>
      <w:snapToGrid/>
      <w:spacing w:before="480" w:line="276" w:lineRule="auto"/>
      <w:jc w:val="left"/>
      <w:outlineLvl w:val="9"/>
    </w:pPr>
    <w:rPr>
      <w:rFonts w:ascii="Cambria" w:hAnsi="Cambria"/>
      <w:bCs/>
      <w:color w:val="365F91"/>
      <w:kern w:val="0"/>
      <w:sz w:val="28"/>
      <w:szCs w:val="28"/>
    </w:rPr>
  </w:style>
  <w:style w:type="paragraph" w:customStyle="1" w:styleId="406">
    <w:name w:val="pa-123"/>
    <w:basedOn w:val="1"/>
    <w:qFormat/>
    <w:uiPriority w:val="0"/>
    <w:pPr>
      <w:spacing w:line="360" w:lineRule="atLeast"/>
      <w:jc w:val="both"/>
    </w:pPr>
    <w:rPr>
      <w:rFonts w:ascii="宋体" w:hAnsi="宋体" w:cs="宋体"/>
      <w:sz w:val="24"/>
      <w:szCs w:val="24"/>
    </w:rPr>
  </w:style>
  <w:style w:type="paragraph" w:customStyle="1" w:styleId="407">
    <w:name w:val="font7"/>
    <w:basedOn w:val="1"/>
    <w:qFormat/>
    <w:uiPriority w:val="0"/>
    <w:pPr>
      <w:spacing w:before="100" w:beforeAutospacing="1" w:after="100" w:afterAutospacing="1"/>
    </w:pPr>
    <w:rPr>
      <w:rFonts w:ascii="宋体" w:hAnsi="宋体" w:cs="宋体"/>
      <w:sz w:val="18"/>
      <w:szCs w:val="18"/>
    </w:rPr>
  </w:style>
  <w:style w:type="paragraph" w:customStyle="1" w:styleId="408">
    <w:name w:val="ca-35"/>
    <w:basedOn w:val="1"/>
    <w:qFormat/>
    <w:uiPriority w:val="0"/>
    <w:rPr>
      <w:rFonts w:ascii="Calibri" w:hAnsi="Calibri"/>
      <w:sz w:val="10"/>
      <w:szCs w:val="10"/>
    </w:rPr>
  </w:style>
  <w:style w:type="paragraph" w:customStyle="1" w:styleId="409">
    <w:name w:val="Char Char Char Char Char Char Char Char Char Char Char Char Char Char"/>
    <w:basedOn w:val="1"/>
    <w:qFormat/>
    <w:uiPriority w:val="0"/>
    <w:pPr>
      <w:spacing w:after="160" w:line="240" w:lineRule="exact"/>
    </w:pPr>
    <w:rPr>
      <w:rFonts w:ascii="Verdana" w:hAnsi="Verdana" w:cs="宋体"/>
      <w:b/>
      <w:sz w:val="20"/>
      <w:lang w:eastAsia="en-US"/>
    </w:rPr>
  </w:style>
  <w:style w:type="paragraph" w:customStyle="1" w:styleId="410">
    <w:name w:val="样式 正文缩进正文（首行缩进两字）特点ALT+Z表正文正文非缩进四号段1Normal Indent Char2...4"/>
    <w:basedOn w:val="22"/>
    <w:qFormat/>
    <w:uiPriority w:val="0"/>
    <w:pPr>
      <w:widowControl w:val="0"/>
      <w:spacing w:after="0"/>
      <w:ind w:left="0" w:leftChars="0" w:firstLine="570"/>
      <w:jc w:val="both"/>
    </w:pPr>
    <w:rPr>
      <w:kern w:val="2"/>
      <w:sz w:val="28"/>
    </w:rPr>
  </w:style>
  <w:style w:type="paragraph" w:customStyle="1" w:styleId="411">
    <w:name w:val="样式 标题 1 + 黑体 三号 非加粗 居中 段前: 6 磅 段后: 6 磅 行距: 固定值 20 磅"/>
    <w:basedOn w:val="2"/>
    <w:qFormat/>
    <w:uiPriority w:val="0"/>
    <w:pPr>
      <w:tabs>
        <w:tab w:val="clear" w:pos="840"/>
      </w:tabs>
      <w:adjustRightInd/>
      <w:snapToGrid/>
      <w:spacing w:before="120" w:after="120" w:line="400" w:lineRule="exact"/>
      <w:jc w:val="center"/>
    </w:pPr>
    <w:rPr>
      <w:rFonts w:ascii="黑体" w:hAnsi="黑体" w:eastAsia="黑体" w:cs="宋体"/>
      <w:b w:val="0"/>
      <w:sz w:val="32"/>
    </w:rPr>
  </w:style>
  <w:style w:type="paragraph" w:customStyle="1" w:styleId="412">
    <w:name w:val="xl98"/>
    <w:basedOn w:val="1"/>
    <w:qFormat/>
    <w:uiPriority w:val="0"/>
    <w:pPr>
      <w:pBdr>
        <w:top w:val="single" w:color="auto" w:sz="4" w:space="0"/>
        <w:left w:val="single" w:color="auto" w:sz="4" w:space="0"/>
        <w:bottom w:val="single" w:color="auto" w:sz="4" w:space="0"/>
        <w:right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413">
    <w:name w:val="ca-20"/>
    <w:basedOn w:val="1"/>
    <w:qFormat/>
    <w:uiPriority w:val="0"/>
    <w:rPr>
      <w:rFonts w:ascii="??" w:hAnsi="??" w:cs="宋体"/>
      <w:color w:val="000000"/>
      <w:sz w:val="18"/>
      <w:szCs w:val="18"/>
    </w:rPr>
  </w:style>
  <w:style w:type="paragraph" w:customStyle="1" w:styleId="414">
    <w:name w:val="ca-30"/>
    <w:basedOn w:val="1"/>
    <w:qFormat/>
    <w:uiPriority w:val="0"/>
    <w:rPr>
      <w:rFonts w:ascii="??" w:hAnsi="??" w:cs="宋体"/>
      <w:color w:val="002060"/>
      <w:szCs w:val="21"/>
    </w:rPr>
  </w:style>
  <w:style w:type="paragraph" w:customStyle="1" w:styleId="415">
    <w:name w:val="pa-128"/>
    <w:basedOn w:val="1"/>
    <w:qFormat/>
    <w:uiPriority w:val="0"/>
    <w:pPr>
      <w:spacing w:line="360" w:lineRule="atLeast"/>
      <w:jc w:val="center"/>
    </w:pPr>
    <w:rPr>
      <w:rFonts w:ascii="宋体" w:hAnsi="宋体" w:cs="宋体"/>
      <w:sz w:val="24"/>
      <w:szCs w:val="24"/>
    </w:rPr>
  </w:style>
  <w:style w:type="paragraph" w:customStyle="1" w:styleId="416">
    <w:name w:val="pa-97"/>
    <w:basedOn w:val="1"/>
    <w:qFormat/>
    <w:uiPriority w:val="0"/>
    <w:pPr>
      <w:spacing w:line="720" w:lineRule="atLeast"/>
      <w:jc w:val="both"/>
    </w:pPr>
    <w:rPr>
      <w:rFonts w:ascii="宋体" w:hAnsi="宋体" w:cs="宋体"/>
      <w:sz w:val="24"/>
      <w:szCs w:val="24"/>
    </w:rPr>
  </w:style>
  <w:style w:type="paragraph" w:customStyle="1" w:styleId="417">
    <w:name w:val="Char Char Char Char Char Char Char Char"/>
    <w:basedOn w:val="16"/>
    <w:qFormat/>
    <w:uiPriority w:val="0"/>
    <w:pPr>
      <w:widowControl w:val="0"/>
      <w:shd w:val="clear" w:color="auto" w:fill="000080"/>
      <w:jc w:val="both"/>
    </w:pPr>
    <w:rPr>
      <w:rFonts w:ascii="Tahoma" w:hAnsi="Tahoma" w:cs="Tahoma"/>
      <w:kern w:val="2"/>
      <w:sz w:val="24"/>
      <w:szCs w:val="24"/>
    </w:rPr>
  </w:style>
  <w:style w:type="paragraph" w:customStyle="1" w:styleId="418">
    <w:name w:val="pa-122"/>
    <w:basedOn w:val="1"/>
    <w:qFormat/>
    <w:uiPriority w:val="0"/>
    <w:pPr>
      <w:spacing w:line="360" w:lineRule="atLeast"/>
      <w:jc w:val="center"/>
    </w:pPr>
    <w:rPr>
      <w:rFonts w:ascii="宋体" w:hAnsi="宋体" w:cs="宋体"/>
      <w:sz w:val="24"/>
      <w:szCs w:val="24"/>
    </w:rPr>
  </w:style>
  <w:style w:type="paragraph" w:customStyle="1" w:styleId="419">
    <w:name w:val="pa-121"/>
    <w:basedOn w:val="1"/>
    <w:qFormat/>
    <w:uiPriority w:val="0"/>
    <w:pPr>
      <w:spacing w:line="360" w:lineRule="atLeast"/>
      <w:jc w:val="center"/>
    </w:pPr>
    <w:rPr>
      <w:rFonts w:ascii="宋体" w:hAnsi="宋体" w:cs="宋体"/>
      <w:sz w:val="24"/>
      <w:szCs w:val="24"/>
    </w:rPr>
  </w:style>
  <w:style w:type="paragraph" w:customStyle="1" w:styleId="420">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sz w:val="16"/>
      <w:szCs w:val="16"/>
    </w:rPr>
  </w:style>
  <w:style w:type="paragraph" w:customStyle="1" w:styleId="421">
    <w:name w:val="表格文字"/>
    <w:basedOn w:val="1"/>
    <w:qFormat/>
    <w:uiPriority w:val="0"/>
    <w:pPr>
      <w:widowControl w:val="0"/>
      <w:adjustRightInd w:val="0"/>
      <w:spacing w:line="420" w:lineRule="atLeast"/>
      <w:textAlignment w:val="baseline"/>
    </w:pPr>
    <w:rPr>
      <w:rFonts w:ascii="Calibri" w:hAnsi="Calibri"/>
    </w:rPr>
  </w:style>
  <w:style w:type="paragraph" w:customStyle="1" w:styleId="422">
    <w:name w:val="样式 正文缩进正文（首行缩进两字）特点ALT+Z表正文正文非缩进四号段1Normal Indent Char2..."/>
    <w:basedOn w:val="3"/>
    <w:next w:val="4"/>
    <w:qFormat/>
    <w:uiPriority w:val="0"/>
    <w:pPr>
      <w:widowControl w:val="0"/>
      <w:spacing w:before="240" w:after="120" w:line="400" w:lineRule="exact"/>
      <w:ind w:left="1140" w:hanging="630"/>
      <w:jc w:val="center"/>
    </w:pPr>
    <w:rPr>
      <w:rFonts w:ascii="宋体" w:hAnsi="宋体" w:eastAsia="黑体"/>
      <w:bCs w:val="0"/>
      <w:kern w:val="2"/>
      <w:szCs w:val="20"/>
    </w:rPr>
  </w:style>
  <w:style w:type="paragraph" w:customStyle="1" w:styleId="423">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424">
    <w:name w:val="空半行"/>
    <w:basedOn w:val="1"/>
    <w:qFormat/>
    <w:uiPriority w:val="0"/>
    <w:pPr>
      <w:widowControl w:val="0"/>
      <w:adjustRightInd w:val="0"/>
      <w:spacing w:line="120" w:lineRule="exact"/>
      <w:jc w:val="both"/>
      <w:textAlignment w:val="baseline"/>
    </w:pPr>
    <w:rPr>
      <w:rFonts w:ascii="Calibri" w:hAnsi="Calibri" w:eastAsia="仿宋_GB2312"/>
      <w:color w:val="FFFFFF"/>
      <w:sz w:val="30"/>
    </w:rPr>
  </w:style>
  <w:style w:type="paragraph" w:customStyle="1" w:styleId="425">
    <w:name w:val="xl8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26">
    <w:name w:val="pa-8"/>
    <w:basedOn w:val="1"/>
    <w:qFormat/>
    <w:uiPriority w:val="0"/>
    <w:pPr>
      <w:spacing w:line="360" w:lineRule="atLeast"/>
      <w:jc w:val="both"/>
    </w:pPr>
    <w:rPr>
      <w:rFonts w:ascii="宋体" w:hAnsi="宋体" w:cs="宋体"/>
      <w:sz w:val="24"/>
      <w:szCs w:val="24"/>
    </w:rPr>
  </w:style>
  <w:style w:type="paragraph" w:customStyle="1" w:styleId="427">
    <w:name w:val="pa-53"/>
    <w:basedOn w:val="1"/>
    <w:qFormat/>
    <w:uiPriority w:val="0"/>
    <w:pPr>
      <w:spacing w:line="280" w:lineRule="atLeast"/>
      <w:ind w:firstLine="100"/>
      <w:jc w:val="both"/>
    </w:pPr>
    <w:rPr>
      <w:rFonts w:ascii="宋体" w:hAnsi="宋体" w:cs="宋体"/>
      <w:sz w:val="24"/>
      <w:szCs w:val="24"/>
    </w:rPr>
  </w:style>
  <w:style w:type="paragraph" w:customStyle="1" w:styleId="428">
    <w:name w:val="Char Char1 Char Char Char Char Char Char Char Char Char Char"/>
    <w:basedOn w:val="1"/>
    <w:qFormat/>
    <w:uiPriority w:val="0"/>
    <w:pPr>
      <w:widowControl w:val="0"/>
      <w:tabs>
        <w:tab w:val="left" w:pos="360"/>
      </w:tabs>
      <w:ind w:firstLine="420" w:firstLineChars="150"/>
      <w:jc w:val="both"/>
    </w:pPr>
    <w:rPr>
      <w:rFonts w:ascii="Arial" w:hAnsi="Arial" w:cs="Arial"/>
      <w:kern w:val="2"/>
      <w:sz w:val="20"/>
    </w:rPr>
  </w:style>
  <w:style w:type="paragraph" w:customStyle="1" w:styleId="429">
    <w:name w:val="pa-18"/>
    <w:basedOn w:val="1"/>
    <w:qFormat/>
    <w:uiPriority w:val="0"/>
    <w:pPr>
      <w:spacing w:line="240" w:lineRule="atLeast"/>
      <w:ind w:firstLine="20"/>
      <w:jc w:val="both"/>
    </w:pPr>
    <w:rPr>
      <w:rFonts w:ascii="宋体" w:hAnsi="宋体" w:cs="宋体"/>
      <w:sz w:val="24"/>
      <w:szCs w:val="24"/>
    </w:rPr>
  </w:style>
  <w:style w:type="paragraph" w:customStyle="1" w:styleId="430">
    <w:name w:val="pa-11"/>
    <w:basedOn w:val="1"/>
    <w:qFormat/>
    <w:uiPriority w:val="0"/>
    <w:pPr>
      <w:spacing w:line="280" w:lineRule="atLeast"/>
      <w:jc w:val="both"/>
    </w:pPr>
    <w:rPr>
      <w:rFonts w:ascii="宋体" w:hAnsi="宋体" w:cs="宋体"/>
      <w:sz w:val="24"/>
      <w:szCs w:val="24"/>
    </w:rPr>
  </w:style>
  <w:style w:type="paragraph" w:customStyle="1" w:styleId="431">
    <w:name w:val="Char Char Char Char Char Char Char2"/>
    <w:basedOn w:val="1"/>
    <w:qFormat/>
    <w:uiPriority w:val="0"/>
    <w:pPr>
      <w:widowControl w:val="0"/>
      <w:jc w:val="both"/>
    </w:pPr>
    <w:rPr>
      <w:rFonts w:ascii="Calibri" w:hAnsi="Calibri"/>
      <w:kern w:val="2"/>
      <w:szCs w:val="24"/>
    </w:rPr>
  </w:style>
  <w:style w:type="paragraph" w:customStyle="1" w:styleId="432">
    <w:name w:val="pa-66"/>
    <w:basedOn w:val="1"/>
    <w:qFormat/>
    <w:uiPriority w:val="0"/>
    <w:pPr>
      <w:spacing w:line="240" w:lineRule="atLeast"/>
      <w:ind w:firstLine="200"/>
      <w:jc w:val="both"/>
    </w:pPr>
    <w:rPr>
      <w:rFonts w:ascii="宋体" w:hAnsi="宋体" w:cs="宋体"/>
      <w:sz w:val="24"/>
      <w:szCs w:val="24"/>
    </w:rPr>
  </w:style>
  <w:style w:type="paragraph" w:customStyle="1" w:styleId="433">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434">
    <w:name w:val="pa-41"/>
    <w:basedOn w:val="1"/>
    <w:qFormat/>
    <w:uiPriority w:val="0"/>
    <w:pPr>
      <w:spacing w:line="280" w:lineRule="atLeast"/>
      <w:ind w:firstLine="420"/>
      <w:jc w:val="both"/>
    </w:pPr>
    <w:rPr>
      <w:rFonts w:ascii="宋体" w:hAnsi="宋体" w:cs="宋体"/>
      <w:sz w:val="24"/>
      <w:szCs w:val="24"/>
    </w:rPr>
  </w:style>
  <w:style w:type="paragraph" w:customStyle="1" w:styleId="435">
    <w:name w:val="ca-52"/>
    <w:basedOn w:val="1"/>
    <w:qFormat/>
    <w:uiPriority w:val="0"/>
    <w:rPr>
      <w:rFonts w:ascii="宋体" w:hAnsi="宋体" w:cs="宋体"/>
      <w:b/>
      <w:bCs/>
      <w:spacing w:val="-20"/>
      <w:sz w:val="36"/>
      <w:szCs w:val="36"/>
    </w:rPr>
  </w:style>
  <w:style w:type="paragraph" w:customStyle="1" w:styleId="436">
    <w:name w:val="纯文本11"/>
    <w:basedOn w:val="1"/>
    <w:qFormat/>
    <w:uiPriority w:val="0"/>
    <w:pPr>
      <w:widowControl w:val="0"/>
      <w:adjustRightInd w:val="0"/>
      <w:jc w:val="both"/>
      <w:textAlignment w:val="baseline"/>
    </w:pPr>
    <w:rPr>
      <w:rFonts w:ascii="宋体" w:hAnsi="Courier New" w:eastAsia="楷体_GB2312"/>
      <w:kern w:val="2"/>
      <w:sz w:val="26"/>
    </w:rPr>
  </w:style>
  <w:style w:type="paragraph" w:styleId="437">
    <w:name w:val="No Spacing"/>
    <w:link w:val="438"/>
    <w:qFormat/>
    <w:uiPriority w:val="1"/>
    <w:rPr>
      <w:rFonts w:ascii="Times New Roman" w:hAnsi="Times New Roman" w:eastAsia="Times New Roman" w:cs="Times New Roman"/>
      <w:sz w:val="22"/>
      <w:szCs w:val="22"/>
      <w:lang w:val="en-US" w:eastAsia="zh-CN" w:bidi="ar-SA"/>
    </w:rPr>
  </w:style>
  <w:style w:type="character" w:customStyle="1" w:styleId="438">
    <w:name w:val="无间隔 字符"/>
    <w:link w:val="437"/>
    <w:qFormat/>
    <w:uiPriority w:val="0"/>
    <w:rPr>
      <w:rFonts w:eastAsia="Times New Roman"/>
      <w:sz w:val="22"/>
      <w:szCs w:val="22"/>
      <w:lang w:val="en-US" w:eastAsia="zh-CN" w:bidi="ar-SA"/>
    </w:rPr>
  </w:style>
  <w:style w:type="paragraph" w:customStyle="1" w:styleId="439">
    <w:name w:val="pa-55"/>
    <w:basedOn w:val="1"/>
    <w:qFormat/>
    <w:uiPriority w:val="0"/>
    <w:pPr>
      <w:spacing w:line="300" w:lineRule="atLeast"/>
      <w:ind w:firstLine="480"/>
      <w:jc w:val="center"/>
    </w:pPr>
    <w:rPr>
      <w:rFonts w:ascii="宋体" w:hAnsi="宋体" w:cs="宋体"/>
      <w:sz w:val="24"/>
      <w:szCs w:val="24"/>
    </w:rPr>
  </w:style>
  <w:style w:type="paragraph" w:customStyle="1" w:styleId="440">
    <w:name w:val="ca-17"/>
    <w:basedOn w:val="1"/>
    <w:qFormat/>
    <w:uiPriority w:val="0"/>
    <w:rPr>
      <w:rFonts w:ascii="Calibri" w:hAnsi="Calibri"/>
      <w:b/>
      <w:bCs/>
      <w:spacing w:val="-20"/>
      <w:sz w:val="24"/>
      <w:szCs w:val="24"/>
    </w:rPr>
  </w:style>
  <w:style w:type="paragraph" w:customStyle="1" w:styleId="441">
    <w:name w:val="ca-31"/>
    <w:basedOn w:val="1"/>
    <w:qFormat/>
    <w:uiPriority w:val="0"/>
    <w:rPr>
      <w:rFonts w:ascii="??" w:hAnsi="??" w:cs="宋体"/>
      <w:color w:val="000000"/>
      <w:szCs w:val="21"/>
    </w:rPr>
  </w:style>
  <w:style w:type="paragraph" w:customStyle="1" w:styleId="442">
    <w:name w:val="默认段落字体 Para Char Char Char Char Char Char Char Char Char1 Char"/>
    <w:basedOn w:val="1"/>
    <w:qFormat/>
    <w:uiPriority w:val="0"/>
    <w:pPr>
      <w:widowControl w:val="0"/>
      <w:tabs>
        <w:tab w:val="left" w:pos="1260"/>
      </w:tabs>
      <w:spacing w:line="360" w:lineRule="auto"/>
      <w:ind w:left="1260" w:firstLine="480" w:firstLineChars="200"/>
      <w:jc w:val="both"/>
    </w:pPr>
    <w:rPr>
      <w:rFonts w:ascii="Tahoma" w:hAnsi="Tahoma"/>
      <w:kern w:val="2"/>
      <w:sz w:val="24"/>
    </w:rPr>
  </w:style>
  <w:style w:type="paragraph" w:customStyle="1" w:styleId="443">
    <w:name w:val="pa-57"/>
    <w:basedOn w:val="1"/>
    <w:qFormat/>
    <w:uiPriority w:val="0"/>
    <w:pPr>
      <w:spacing w:line="300" w:lineRule="atLeast"/>
      <w:ind w:firstLine="560"/>
      <w:jc w:val="both"/>
    </w:pPr>
    <w:rPr>
      <w:rFonts w:ascii="宋体" w:hAnsi="宋体" w:cs="宋体"/>
      <w:sz w:val="24"/>
      <w:szCs w:val="24"/>
    </w:rPr>
  </w:style>
  <w:style w:type="paragraph" w:customStyle="1" w:styleId="444">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sz w:val="16"/>
      <w:szCs w:val="16"/>
    </w:rPr>
  </w:style>
  <w:style w:type="paragraph" w:customStyle="1" w:styleId="445">
    <w:name w:val="正文段"/>
    <w:basedOn w:val="1"/>
    <w:qFormat/>
    <w:uiPriority w:val="99"/>
    <w:pPr>
      <w:snapToGrid w:val="0"/>
      <w:spacing w:afterLines="50"/>
      <w:ind w:firstLine="200" w:firstLineChars="200"/>
      <w:jc w:val="both"/>
    </w:pPr>
    <w:rPr>
      <w:rFonts w:ascii="Calibri" w:hAnsi="Calibri"/>
      <w:sz w:val="24"/>
    </w:rPr>
  </w:style>
  <w:style w:type="paragraph" w:customStyle="1" w:styleId="44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47">
    <w:name w:val="pa-7"/>
    <w:basedOn w:val="1"/>
    <w:qFormat/>
    <w:uiPriority w:val="0"/>
    <w:pPr>
      <w:spacing w:line="400" w:lineRule="atLeast"/>
      <w:jc w:val="both"/>
    </w:pPr>
    <w:rPr>
      <w:rFonts w:ascii="宋体" w:hAnsi="宋体" w:cs="宋体"/>
      <w:sz w:val="24"/>
      <w:szCs w:val="24"/>
    </w:rPr>
  </w:style>
  <w:style w:type="paragraph" w:customStyle="1" w:styleId="448">
    <w:name w:val="Blockquote"/>
    <w:basedOn w:val="1"/>
    <w:link w:val="449"/>
    <w:qFormat/>
    <w:uiPriority w:val="0"/>
    <w:pPr>
      <w:widowControl w:val="0"/>
      <w:autoSpaceDE w:val="0"/>
      <w:autoSpaceDN w:val="0"/>
      <w:adjustRightInd w:val="0"/>
      <w:spacing w:before="100" w:after="100"/>
      <w:ind w:left="360" w:right="360"/>
    </w:pPr>
    <w:rPr>
      <w:sz w:val="24"/>
    </w:rPr>
  </w:style>
  <w:style w:type="character" w:customStyle="1" w:styleId="449">
    <w:name w:val="Blockquote Char"/>
    <w:link w:val="448"/>
    <w:qFormat/>
    <w:locked/>
    <w:uiPriority w:val="0"/>
    <w:rPr>
      <w:sz w:val="24"/>
    </w:rPr>
  </w:style>
  <w:style w:type="paragraph" w:customStyle="1" w:styleId="450">
    <w:name w:val="ca-32"/>
    <w:basedOn w:val="1"/>
    <w:qFormat/>
    <w:uiPriority w:val="0"/>
    <w:rPr>
      <w:rFonts w:ascii="宋体" w:hAnsi="宋体" w:cs="宋体"/>
      <w:b/>
      <w:bCs/>
      <w:color w:val="C00000"/>
      <w:spacing w:val="-20"/>
      <w:szCs w:val="21"/>
    </w:rPr>
  </w:style>
  <w:style w:type="paragraph" w:customStyle="1" w:styleId="451">
    <w:name w:val="style1"/>
    <w:basedOn w:val="1"/>
    <w:qFormat/>
    <w:uiPriority w:val="0"/>
    <w:pPr>
      <w:spacing w:before="100" w:beforeAutospacing="1" w:after="100" w:afterAutospacing="1" w:line="432" w:lineRule="auto"/>
    </w:pPr>
    <w:rPr>
      <w:rFonts w:ascii="宋体" w:hAnsi="宋体" w:cs="宋体"/>
      <w:sz w:val="27"/>
      <w:szCs w:val="27"/>
    </w:rPr>
  </w:style>
  <w:style w:type="paragraph" w:customStyle="1" w:styleId="452">
    <w:name w:val="ca-29"/>
    <w:basedOn w:val="1"/>
    <w:qFormat/>
    <w:uiPriority w:val="0"/>
    <w:rPr>
      <w:rFonts w:ascii="宋体" w:hAnsi="宋体" w:cs="宋体"/>
      <w:color w:val="7030A0"/>
      <w:szCs w:val="21"/>
    </w:rPr>
  </w:style>
  <w:style w:type="paragraph" w:customStyle="1" w:styleId="453">
    <w:name w:val="xl106"/>
    <w:basedOn w:val="1"/>
    <w:qFormat/>
    <w:uiPriority w:val="0"/>
    <w:pPr>
      <w:pBdr>
        <w:top w:val="single" w:color="auto" w:sz="4" w:space="0"/>
        <w:left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sz w:val="24"/>
      <w:szCs w:val="24"/>
    </w:rPr>
  </w:style>
  <w:style w:type="paragraph" w:customStyle="1" w:styleId="454">
    <w:name w:val="样式 宋体 首行缩进:  0.87 厘米"/>
    <w:basedOn w:val="1"/>
    <w:qFormat/>
    <w:uiPriority w:val="0"/>
    <w:pPr>
      <w:widowControl w:val="0"/>
      <w:spacing w:line="480" w:lineRule="exact"/>
      <w:ind w:firstLine="493"/>
      <w:jc w:val="both"/>
    </w:pPr>
    <w:rPr>
      <w:rFonts w:ascii="宋体" w:hAnsi="宋体" w:cs="宋体"/>
      <w:spacing w:val="6"/>
      <w:kern w:val="2"/>
      <w:sz w:val="24"/>
      <w:szCs w:val="24"/>
    </w:rPr>
  </w:style>
  <w:style w:type="paragraph" w:customStyle="1" w:styleId="455">
    <w:name w:val="xl7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56">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sz w:val="16"/>
      <w:szCs w:val="16"/>
    </w:rPr>
  </w:style>
  <w:style w:type="paragraph" w:customStyle="1" w:styleId="457">
    <w:name w:val="ca-43"/>
    <w:basedOn w:val="1"/>
    <w:qFormat/>
    <w:uiPriority w:val="0"/>
    <w:rPr>
      <w:rFonts w:ascii="宋体" w:hAnsi="宋体" w:cs="宋体"/>
      <w:color w:val="000000"/>
      <w:sz w:val="44"/>
      <w:szCs w:val="44"/>
    </w:rPr>
  </w:style>
  <w:style w:type="paragraph" w:customStyle="1" w:styleId="458">
    <w:name w:val="pa-92"/>
    <w:basedOn w:val="1"/>
    <w:qFormat/>
    <w:uiPriority w:val="0"/>
    <w:pPr>
      <w:spacing w:line="480" w:lineRule="atLeast"/>
      <w:ind w:firstLine="480"/>
      <w:jc w:val="both"/>
    </w:pPr>
    <w:rPr>
      <w:rFonts w:ascii="宋体" w:hAnsi="宋体" w:cs="宋体"/>
      <w:sz w:val="24"/>
      <w:szCs w:val="24"/>
    </w:rPr>
  </w:style>
  <w:style w:type="paragraph" w:customStyle="1" w:styleId="459">
    <w:name w:val="pa-54"/>
    <w:basedOn w:val="1"/>
    <w:qFormat/>
    <w:uiPriority w:val="0"/>
    <w:pPr>
      <w:spacing w:line="280" w:lineRule="atLeast"/>
    </w:pPr>
    <w:rPr>
      <w:rFonts w:ascii="宋体" w:hAnsi="宋体" w:cs="宋体"/>
      <w:sz w:val="24"/>
      <w:szCs w:val="24"/>
    </w:rPr>
  </w:style>
  <w:style w:type="paragraph" w:customStyle="1" w:styleId="460">
    <w:name w:val="Char Char Char Char3"/>
    <w:basedOn w:val="1"/>
    <w:qFormat/>
    <w:uiPriority w:val="0"/>
    <w:pPr>
      <w:spacing w:after="160" w:line="240" w:lineRule="exact"/>
    </w:pPr>
    <w:rPr>
      <w:rFonts w:ascii="Arial" w:hAnsi="Arial" w:cs="Verdana"/>
      <w:b/>
      <w:sz w:val="24"/>
      <w:lang w:eastAsia="en-US"/>
    </w:rPr>
  </w:style>
  <w:style w:type="paragraph" w:customStyle="1" w:styleId="461">
    <w:name w:val="ca-5"/>
    <w:basedOn w:val="1"/>
    <w:qFormat/>
    <w:uiPriority w:val="0"/>
    <w:rPr>
      <w:rFonts w:ascii="宋体" w:hAnsi="宋体" w:cs="宋体"/>
      <w:b/>
      <w:bCs/>
      <w:color w:val="000000"/>
      <w:spacing w:val="40"/>
      <w:sz w:val="48"/>
      <w:szCs w:val="48"/>
    </w:rPr>
  </w:style>
  <w:style w:type="paragraph" w:customStyle="1" w:styleId="462">
    <w:name w:val="xl86"/>
    <w:basedOn w:val="1"/>
    <w:qFormat/>
    <w:uiPriority w:val="0"/>
    <w:pPr>
      <w:pBdr>
        <w:left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463">
    <w:name w:val="pa-79"/>
    <w:basedOn w:val="1"/>
    <w:qFormat/>
    <w:uiPriority w:val="0"/>
    <w:pPr>
      <w:spacing w:line="360" w:lineRule="atLeast"/>
      <w:ind w:firstLine="3040"/>
    </w:pPr>
    <w:rPr>
      <w:rFonts w:ascii="宋体" w:hAnsi="宋体" w:cs="宋体"/>
      <w:sz w:val="24"/>
      <w:szCs w:val="24"/>
    </w:rPr>
  </w:style>
  <w:style w:type="paragraph" w:customStyle="1" w:styleId="464">
    <w:name w:val="xl100"/>
    <w:basedOn w:val="1"/>
    <w:qFormat/>
    <w:uiPriority w:val="0"/>
    <w:pPr>
      <w:spacing w:before="100" w:beforeAutospacing="1" w:after="100" w:afterAutospacing="1"/>
      <w:textAlignment w:val="center"/>
    </w:pPr>
    <w:rPr>
      <w:rFonts w:ascii="宋体" w:hAnsi="宋体" w:cs="宋体"/>
      <w:sz w:val="16"/>
      <w:szCs w:val="16"/>
    </w:rPr>
  </w:style>
  <w:style w:type="paragraph" w:customStyle="1" w:styleId="465">
    <w:name w:val="td-7"/>
    <w:basedOn w:val="1"/>
    <w:qFormat/>
    <w:uiPriority w:val="0"/>
    <w:pPr>
      <w:pBdr>
        <w:top w:val="single" w:color="000000" w:sz="4" w:space="0"/>
        <w:left w:val="single" w:color="000000" w:sz="12" w:space="4"/>
        <w:bottom w:val="single" w:color="000000" w:sz="4" w:space="0"/>
        <w:right w:val="single" w:color="000000" w:sz="4" w:space="0"/>
      </w:pBdr>
    </w:pPr>
    <w:rPr>
      <w:rFonts w:ascii="宋体" w:hAnsi="宋体" w:cs="宋体"/>
      <w:sz w:val="24"/>
      <w:szCs w:val="24"/>
    </w:rPr>
  </w:style>
  <w:style w:type="paragraph" w:customStyle="1" w:styleId="466">
    <w:name w:val="xl109"/>
    <w:basedOn w:val="1"/>
    <w:qFormat/>
    <w:uiPriority w:val="0"/>
    <w:pPr>
      <w:pBdr>
        <w:top w:val="single" w:color="auto" w:sz="4" w:space="0"/>
        <w:bottom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467">
    <w:name w:val="样式 节 + 行距: 固定值 37 磅"/>
    <w:basedOn w:val="274"/>
    <w:qFormat/>
    <w:uiPriority w:val="0"/>
    <w:pPr>
      <w:spacing w:before="120" w:after="120" w:line="660" w:lineRule="exact"/>
    </w:pPr>
    <w:rPr>
      <w:rFonts w:cs="宋体"/>
    </w:rPr>
  </w:style>
  <w:style w:type="paragraph" w:customStyle="1" w:styleId="468">
    <w:name w:val="pa-29"/>
    <w:basedOn w:val="1"/>
    <w:qFormat/>
    <w:uiPriority w:val="0"/>
    <w:pPr>
      <w:spacing w:line="360" w:lineRule="atLeast"/>
      <w:ind w:firstLine="2820"/>
      <w:jc w:val="both"/>
    </w:pPr>
    <w:rPr>
      <w:rFonts w:ascii="宋体" w:hAnsi="宋体" w:cs="宋体"/>
      <w:sz w:val="24"/>
      <w:szCs w:val="24"/>
    </w:rPr>
  </w:style>
  <w:style w:type="paragraph" w:customStyle="1" w:styleId="469">
    <w:name w:val="样式 正文文本"/>
    <w:basedOn w:val="1"/>
    <w:qFormat/>
    <w:uiPriority w:val="0"/>
    <w:pPr>
      <w:widowControl w:val="0"/>
      <w:adjustRightInd w:val="0"/>
      <w:snapToGrid w:val="0"/>
      <w:spacing w:line="400" w:lineRule="exact"/>
      <w:ind w:firstLine="200" w:firstLineChars="200"/>
      <w:jc w:val="both"/>
    </w:pPr>
    <w:rPr>
      <w:rFonts w:ascii="Arial" w:hAnsi="Arial" w:cs="宋体"/>
      <w:color w:val="000000"/>
      <w:kern w:val="2"/>
    </w:rPr>
  </w:style>
  <w:style w:type="paragraph" w:customStyle="1" w:styleId="470">
    <w:name w:val="ca-14"/>
    <w:basedOn w:val="1"/>
    <w:qFormat/>
    <w:uiPriority w:val="0"/>
    <w:rPr>
      <w:rFonts w:ascii="Calibri" w:hAnsi="Calibri"/>
      <w:color w:val="000000"/>
      <w:sz w:val="24"/>
      <w:szCs w:val="24"/>
    </w:rPr>
  </w:style>
  <w:style w:type="paragraph" w:customStyle="1" w:styleId="471">
    <w:name w:val="pa-136"/>
    <w:basedOn w:val="1"/>
    <w:qFormat/>
    <w:uiPriority w:val="0"/>
    <w:pPr>
      <w:spacing w:line="360" w:lineRule="atLeast"/>
      <w:ind w:firstLine="5640"/>
      <w:jc w:val="both"/>
    </w:pPr>
    <w:rPr>
      <w:rFonts w:ascii="宋体" w:hAnsi="宋体" w:cs="宋体"/>
      <w:sz w:val="24"/>
      <w:szCs w:val="24"/>
    </w:rPr>
  </w:style>
  <w:style w:type="paragraph" w:customStyle="1" w:styleId="472">
    <w:name w:val="ca-42"/>
    <w:basedOn w:val="1"/>
    <w:qFormat/>
    <w:uiPriority w:val="0"/>
    <w:rPr>
      <w:rFonts w:ascii="宋体" w:hAnsi="宋体" w:cs="宋体"/>
      <w:color w:val="000000"/>
      <w:sz w:val="36"/>
      <w:szCs w:val="36"/>
    </w:rPr>
  </w:style>
  <w:style w:type="paragraph" w:customStyle="1" w:styleId="47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474">
    <w:name w:val="ca-23"/>
    <w:basedOn w:val="1"/>
    <w:qFormat/>
    <w:uiPriority w:val="0"/>
    <w:rPr>
      <w:rFonts w:ascii="Calibri" w:hAnsi="Calibri"/>
      <w:szCs w:val="21"/>
    </w:rPr>
  </w:style>
  <w:style w:type="paragraph" w:customStyle="1" w:styleId="475">
    <w:name w:val="样式 正文（首行缩进两字） + 宋体"/>
    <w:basedOn w:val="14"/>
    <w:qFormat/>
    <w:uiPriority w:val="0"/>
    <w:pPr>
      <w:widowControl w:val="0"/>
      <w:spacing w:line="460" w:lineRule="exact"/>
      <w:ind w:firstLine="200" w:firstLineChars="200"/>
      <w:jc w:val="both"/>
    </w:pPr>
    <w:rPr>
      <w:rFonts w:ascii="宋体" w:hAnsi="宋体"/>
      <w:spacing w:val="6"/>
      <w:kern w:val="24"/>
      <w:sz w:val="24"/>
    </w:rPr>
  </w:style>
  <w:style w:type="paragraph" w:customStyle="1" w:styleId="476">
    <w:name w:val="_Style 123"/>
    <w:basedOn w:val="1"/>
    <w:next w:val="126"/>
    <w:qFormat/>
    <w:uiPriority w:val="34"/>
    <w:pPr>
      <w:widowControl w:val="0"/>
      <w:ind w:firstLine="420" w:firstLineChars="200"/>
      <w:jc w:val="both"/>
    </w:pPr>
    <w:rPr>
      <w:rFonts w:ascii="Calibri" w:hAnsi="Calibri"/>
      <w:kern w:val="2"/>
      <w:szCs w:val="24"/>
    </w:rPr>
  </w:style>
  <w:style w:type="paragraph" w:customStyle="1" w:styleId="477">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6"/>
      <w:szCs w:val="16"/>
    </w:rPr>
  </w:style>
  <w:style w:type="paragraph" w:customStyle="1" w:styleId="478">
    <w:name w:val="样式 标题 2 + Times New Roman 四号 非加粗 段前: 5 磅 段后: 0 磅 行距: 固定值 20..."/>
    <w:basedOn w:val="3"/>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paragraph" w:customStyle="1" w:styleId="479">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480">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8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4"/>
      <w:szCs w:val="24"/>
    </w:rPr>
  </w:style>
  <w:style w:type="paragraph" w:customStyle="1" w:styleId="482">
    <w:name w:val="xl4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bCs/>
      <w:sz w:val="24"/>
      <w:szCs w:val="24"/>
    </w:rPr>
  </w:style>
  <w:style w:type="paragraph" w:customStyle="1" w:styleId="483">
    <w:name w:val="样式 正文（首行缩进两字） + 宋体 首行缩进:  0 字符"/>
    <w:basedOn w:val="14"/>
    <w:qFormat/>
    <w:uiPriority w:val="0"/>
    <w:pPr>
      <w:widowControl w:val="0"/>
      <w:spacing w:line="460" w:lineRule="exact"/>
      <w:ind w:firstLine="0"/>
      <w:jc w:val="both"/>
    </w:pPr>
    <w:rPr>
      <w:rFonts w:ascii="宋体" w:hAnsi="宋体" w:cs="宋体"/>
      <w:spacing w:val="6"/>
      <w:kern w:val="24"/>
      <w:sz w:val="24"/>
    </w:rPr>
  </w:style>
  <w:style w:type="paragraph" w:customStyle="1" w:styleId="484">
    <w:name w:val="默认段落字体 Para Char"/>
    <w:basedOn w:val="1"/>
    <w:qFormat/>
    <w:uiPriority w:val="0"/>
    <w:pPr>
      <w:widowControl w:val="0"/>
      <w:tabs>
        <w:tab w:val="left" w:pos="432"/>
      </w:tabs>
      <w:ind w:left="840" w:hanging="420"/>
      <w:jc w:val="both"/>
    </w:pPr>
    <w:rPr>
      <w:rFonts w:ascii="Calibri" w:hAnsi="Calibri"/>
      <w:kern w:val="2"/>
      <w:szCs w:val="24"/>
    </w:rPr>
  </w:style>
  <w:style w:type="paragraph" w:customStyle="1" w:styleId="485">
    <w:name w:val="pa-1"/>
    <w:basedOn w:val="1"/>
    <w:qFormat/>
    <w:uiPriority w:val="0"/>
    <w:pPr>
      <w:spacing w:line="480" w:lineRule="atLeast"/>
      <w:jc w:val="center"/>
    </w:pPr>
    <w:rPr>
      <w:rFonts w:ascii="宋体" w:hAnsi="宋体" w:cs="宋体"/>
      <w:sz w:val="24"/>
      <w:szCs w:val="24"/>
    </w:rPr>
  </w:style>
  <w:style w:type="paragraph" w:customStyle="1" w:styleId="4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Char"/>
    <w:basedOn w:val="1"/>
    <w:qFormat/>
    <w:uiPriority w:val="0"/>
    <w:pPr>
      <w:widowControl w:val="0"/>
      <w:jc w:val="both"/>
    </w:pPr>
    <w:rPr>
      <w:rFonts w:ascii="Calibri" w:hAnsi="Calibri"/>
      <w:kern w:val="2"/>
      <w:szCs w:val="24"/>
    </w:rPr>
  </w:style>
  <w:style w:type="paragraph" w:customStyle="1" w:styleId="488">
    <w:name w:val="正文文本缩进2"/>
    <w:basedOn w:val="1"/>
    <w:qFormat/>
    <w:uiPriority w:val="0"/>
    <w:pPr>
      <w:widowControl w:val="0"/>
      <w:spacing w:before="120" w:after="120" w:line="360" w:lineRule="auto"/>
      <w:ind w:left="420" w:leftChars="200"/>
      <w:jc w:val="both"/>
    </w:pPr>
    <w:rPr>
      <w:rFonts w:ascii="Calibri" w:hAnsi="Calibri"/>
      <w:kern w:val="2"/>
      <w:sz w:val="20"/>
    </w:rPr>
  </w:style>
  <w:style w:type="paragraph" w:customStyle="1" w:styleId="489">
    <w:name w:val="Char3"/>
    <w:basedOn w:val="1"/>
    <w:link w:val="490"/>
    <w:qFormat/>
    <w:uiPriority w:val="0"/>
    <w:pPr>
      <w:widowControl w:val="0"/>
      <w:jc w:val="both"/>
    </w:pPr>
    <w:rPr>
      <w:rFonts w:ascii="Tahoma" w:hAnsi="Tahoma"/>
      <w:kern w:val="2"/>
      <w:sz w:val="24"/>
    </w:rPr>
  </w:style>
  <w:style w:type="character" w:customStyle="1" w:styleId="490">
    <w:name w:val="Char Char25"/>
    <w:link w:val="489"/>
    <w:qFormat/>
    <w:locked/>
    <w:uiPriority w:val="0"/>
    <w:rPr>
      <w:rFonts w:ascii="Tahoma" w:hAnsi="Tahoma"/>
      <w:kern w:val="2"/>
      <w:sz w:val="24"/>
    </w:rPr>
  </w:style>
  <w:style w:type="paragraph" w:customStyle="1" w:styleId="491">
    <w:name w:val="msonormalcxspmiddle"/>
    <w:basedOn w:val="1"/>
    <w:qFormat/>
    <w:uiPriority w:val="0"/>
    <w:pPr>
      <w:spacing w:before="100" w:beforeAutospacing="1" w:after="100" w:afterAutospacing="1"/>
    </w:pPr>
    <w:rPr>
      <w:rFonts w:ascii="宋体" w:hAnsi="宋体" w:cs="宋体"/>
      <w:sz w:val="24"/>
      <w:szCs w:val="24"/>
    </w:rPr>
  </w:style>
  <w:style w:type="paragraph" w:customStyle="1" w:styleId="492">
    <w:name w:val="ca-0"/>
    <w:basedOn w:val="1"/>
    <w:qFormat/>
    <w:uiPriority w:val="0"/>
    <w:rPr>
      <w:rFonts w:ascii="宋体" w:hAnsi="宋体" w:cs="宋体"/>
      <w:color w:val="000000"/>
      <w:sz w:val="48"/>
      <w:szCs w:val="48"/>
    </w:rPr>
  </w:style>
  <w:style w:type="paragraph" w:customStyle="1" w:styleId="493">
    <w:name w:val="pa-22"/>
    <w:basedOn w:val="1"/>
    <w:qFormat/>
    <w:uiPriority w:val="0"/>
    <w:pPr>
      <w:spacing w:line="280" w:lineRule="atLeast"/>
      <w:ind w:firstLine="480"/>
      <w:jc w:val="both"/>
    </w:pPr>
    <w:rPr>
      <w:rFonts w:ascii="宋体" w:hAnsi="宋体" w:cs="宋体"/>
      <w:sz w:val="24"/>
      <w:szCs w:val="24"/>
    </w:rPr>
  </w:style>
  <w:style w:type="paragraph" w:customStyle="1" w:styleId="494">
    <w:name w:val="明显引用1"/>
    <w:basedOn w:val="1"/>
    <w:next w:val="1"/>
    <w:link w:val="495"/>
    <w:qFormat/>
    <w:uiPriority w:val="0"/>
    <w:pPr>
      <w:widowControl w:val="0"/>
      <w:pBdr>
        <w:bottom w:val="single" w:color="4F81BD" w:sz="4" w:space="4"/>
      </w:pBdr>
      <w:spacing w:before="200" w:after="280"/>
      <w:ind w:left="936" w:right="936"/>
      <w:jc w:val="both"/>
    </w:pPr>
    <w:rPr>
      <w:b/>
      <w:i/>
      <w:color w:val="4F81BD"/>
      <w:kern w:val="2"/>
      <w:sz w:val="22"/>
    </w:rPr>
  </w:style>
  <w:style w:type="character" w:customStyle="1" w:styleId="495">
    <w:name w:val="Intense Quote Char"/>
    <w:link w:val="494"/>
    <w:qFormat/>
    <w:locked/>
    <w:uiPriority w:val="0"/>
    <w:rPr>
      <w:b/>
      <w:i/>
      <w:color w:val="4F81BD"/>
      <w:kern w:val="2"/>
      <w:sz w:val="22"/>
    </w:rPr>
  </w:style>
  <w:style w:type="paragraph" w:customStyle="1" w:styleId="496">
    <w:name w:val="目录文字"/>
    <w:basedOn w:val="1"/>
    <w:qFormat/>
    <w:uiPriority w:val="0"/>
    <w:pPr>
      <w:spacing w:line="480" w:lineRule="auto"/>
    </w:pPr>
    <w:rPr>
      <w:rFonts w:ascii="宋体" w:hAnsi="宋体"/>
      <w:sz w:val="24"/>
    </w:rPr>
  </w:style>
  <w:style w:type="paragraph" w:customStyle="1" w:styleId="497">
    <w:name w:val="pa-58"/>
    <w:basedOn w:val="1"/>
    <w:qFormat/>
    <w:uiPriority w:val="0"/>
    <w:pPr>
      <w:spacing w:line="300" w:lineRule="atLeast"/>
      <w:ind w:firstLine="300"/>
      <w:jc w:val="both"/>
    </w:pPr>
    <w:rPr>
      <w:rFonts w:ascii="宋体" w:hAnsi="宋体" w:cs="宋体"/>
      <w:sz w:val="24"/>
      <w:szCs w:val="24"/>
    </w:rPr>
  </w:style>
  <w:style w:type="paragraph" w:customStyle="1" w:styleId="498">
    <w:name w:val="Char11"/>
    <w:basedOn w:val="1"/>
    <w:qFormat/>
    <w:uiPriority w:val="0"/>
    <w:pPr>
      <w:widowControl w:val="0"/>
      <w:jc w:val="both"/>
    </w:pPr>
    <w:rPr>
      <w:rFonts w:ascii="Calibri" w:hAnsi="Calibri"/>
      <w:kern w:val="2"/>
    </w:rPr>
  </w:style>
  <w:style w:type="paragraph" w:customStyle="1" w:styleId="499">
    <w:name w:val="方案正文-样式 小四 行距: 1.5 倍行距"/>
    <w:basedOn w:val="1"/>
    <w:link w:val="500"/>
    <w:qFormat/>
    <w:uiPriority w:val="0"/>
    <w:pPr>
      <w:widowControl w:val="0"/>
      <w:spacing w:line="360" w:lineRule="auto"/>
      <w:ind w:firstLine="480" w:firstLineChars="200"/>
      <w:jc w:val="both"/>
    </w:pPr>
    <w:rPr>
      <w:kern w:val="2"/>
      <w:sz w:val="24"/>
    </w:rPr>
  </w:style>
  <w:style w:type="character" w:customStyle="1" w:styleId="500">
    <w:name w:val="方案正文-样式 小四 行距: 1.5 倍行距 Char Char"/>
    <w:link w:val="499"/>
    <w:qFormat/>
    <w:uiPriority w:val="0"/>
    <w:rPr>
      <w:kern w:val="2"/>
      <w:sz w:val="24"/>
    </w:rPr>
  </w:style>
  <w:style w:type="paragraph" w:customStyle="1" w:styleId="501">
    <w:name w:val="样式 标题 2 + (中文) 黑体 四号 黑色"/>
    <w:basedOn w:val="3"/>
    <w:qFormat/>
    <w:uiPriority w:val="0"/>
    <w:pPr>
      <w:widowControl w:val="0"/>
      <w:spacing w:line="520" w:lineRule="exact"/>
    </w:pPr>
    <w:rPr>
      <w:rFonts w:ascii="Arial" w:hAnsi="Arial" w:eastAsia="黑体"/>
      <w:color w:val="000000"/>
      <w:kern w:val="24"/>
      <w:sz w:val="28"/>
      <w:szCs w:val="20"/>
    </w:rPr>
  </w:style>
  <w:style w:type="paragraph" w:customStyle="1" w:styleId="502">
    <w:name w:val="样式 标题 3h33rd level3l3CTLevel 3 Topic Headingsect1.2.3Hea..."/>
    <w:basedOn w:val="4"/>
    <w:qFormat/>
    <w:uiPriority w:val="0"/>
    <w:pPr>
      <w:widowControl w:val="0"/>
      <w:adjustRightInd w:val="0"/>
      <w:spacing w:beforeLines="50" w:afterLines="50" w:line="240" w:lineRule="atLeast"/>
      <w:ind w:left="180" w:hanging="720"/>
      <w:textAlignment w:val="baseline"/>
    </w:pPr>
    <w:rPr>
      <w:rFonts w:ascii="宋体" w:hAnsi="宋体" w:cs="宋体"/>
      <w:sz w:val="24"/>
      <w:szCs w:val="20"/>
    </w:rPr>
  </w:style>
  <w:style w:type="paragraph" w:customStyle="1" w:styleId="503">
    <w:name w:val="pa-2"/>
    <w:basedOn w:val="1"/>
    <w:qFormat/>
    <w:uiPriority w:val="0"/>
    <w:pPr>
      <w:spacing w:line="400" w:lineRule="atLeast"/>
      <w:jc w:val="center"/>
    </w:pPr>
    <w:rPr>
      <w:rFonts w:ascii="宋体" w:hAnsi="宋体" w:cs="宋体"/>
      <w:sz w:val="24"/>
      <w:szCs w:val="24"/>
    </w:rPr>
  </w:style>
  <w:style w:type="paragraph" w:customStyle="1" w:styleId="504">
    <w:name w:val="pa-135"/>
    <w:basedOn w:val="1"/>
    <w:qFormat/>
    <w:uiPriority w:val="0"/>
    <w:pPr>
      <w:spacing w:line="480" w:lineRule="atLeast"/>
      <w:ind w:firstLine="520"/>
      <w:jc w:val="both"/>
    </w:pPr>
    <w:rPr>
      <w:rFonts w:ascii="宋体" w:hAnsi="宋体" w:cs="宋体"/>
      <w:sz w:val="24"/>
      <w:szCs w:val="24"/>
    </w:rPr>
  </w:style>
  <w:style w:type="paragraph" w:customStyle="1" w:styleId="505">
    <w:name w:val="pa-36"/>
    <w:basedOn w:val="1"/>
    <w:qFormat/>
    <w:uiPriority w:val="0"/>
    <w:pPr>
      <w:spacing w:line="360" w:lineRule="atLeast"/>
      <w:ind w:firstLine="3100"/>
    </w:pPr>
    <w:rPr>
      <w:rFonts w:ascii="宋体" w:hAnsi="宋体" w:cs="宋体"/>
      <w:sz w:val="24"/>
      <w:szCs w:val="24"/>
    </w:rPr>
  </w:style>
  <w:style w:type="paragraph" w:customStyle="1" w:styleId="506">
    <w:name w:val="ca-9"/>
    <w:basedOn w:val="1"/>
    <w:qFormat/>
    <w:uiPriority w:val="0"/>
    <w:rPr>
      <w:rFonts w:ascii="楷体_GB2312" w:hAnsi="宋体" w:eastAsia="楷体_GB2312" w:cs="宋体"/>
      <w:color w:val="000000"/>
      <w:spacing w:val="20"/>
      <w:sz w:val="96"/>
      <w:szCs w:val="96"/>
    </w:rPr>
  </w:style>
  <w:style w:type="paragraph" w:customStyle="1" w:styleId="507">
    <w:name w:val="pa-138"/>
    <w:basedOn w:val="1"/>
    <w:qFormat/>
    <w:uiPriority w:val="0"/>
    <w:pPr>
      <w:spacing w:line="480" w:lineRule="atLeast"/>
      <w:ind w:firstLine="960"/>
      <w:jc w:val="center"/>
    </w:pPr>
    <w:rPr>
      <w:rFonts w:ascii="宋体" w:hAnsi="宋体" w:cs="宋体"/>
      <w:sz w:val="24"/>
      <w:szCs w:val="24"/>
    </w:rPr>
  </w:style>
  <w:style w:type="paragraph" w:customStyle="1" w:styleId="508">
    <w:name w:val="pa-132"/>
    <w:basedOn w:val="1"/>
    <w:qFormat/>
    <w:uiPriority w:val="0"/>
    <w:pPr>
      <w:spacing w:line="360" w:lineRule="atLeast"/>
      <w:jc w:val="both"/>
    </w:pPr>
    <w:rPr>
      <w:rFonts w:ascii="宋体" w:hAnsi="宋体" w:cs="宋体"/>
      <w:sz w:val="24"/>
      <w:szCs w:val="24"/>
    </w:rPr>
  </w:style>
  <w:style w:type="paragraph" w:customStyle="1" w:styleId="509">
    <w:name w:val="pa-126"/>
    <w:basedOn w:val="1"/>
    <w:qFormat/>
    <w:uiPriority w:val="0"/>
    <w:pPr>
      <w:spacing w:line="480" w:lineRule="atLeast"/>
      <w:ind w:firstLine="480"/>
      <w:jc w:val="both"/>
    </w:pPr>
    <w:rPr>
      <w:rFonts w:ascii="宋体" w:hAnsi="宋体" w:cs="宋体"/>
      <w:sz w:val="24"/>
      <w:szCs w:val="24"/>
    </w:rPr>
  </w:style>
  <w:style w:type="paragraph" w:customStyle="1" w:styleId="510">
    <w:name w:val="pa-26"/>
    <w:basedOn w:val="1"/>
    <w:qFormat/>
    <w:uiPriority w:val="0"/>
    <w:pPr>
      <w:spacing w:line="276" w:lineRule="atLeast"/>
      <w:ind w:firstLine="720"/>
      <w:jc w:val="both"/>
    </w:pPr>
    <w:rPr>
      <w:rFonts w:ascii="宋体" w:hAnsi="宋体" w:cs="宋体"/>
      <w:sz w:val="24"/>
      <w:szCs w:val="24"/>
    </w:rPr>
  </w:style>
  <w:style w:type="paragraph" w:customStyle="1" w:styleId="511">
    <w:name w:val="1"/>
    <w:basedOn w:val="1"/>
    <w:next w:val="29"/>
    <w:qFormat/>
    <w:uiPriority w:val="0"/>
    <w:pPr>
      <w:widowControl w:val="0"/>
      <w:jc w:val="both"/>
    </w:pPr>
    <w:rPr>
      <w:rFonts w:ascii="宋体" w:hAnsi="Courier New" w:cs="Courier New"/>
      <w:kern w:val="2"/>
      <w:szCs w:val="21"/>
    </w:rPr>
  </w:style>
  <w:style w:type="paragraph" w:customStyle="1" w:styleId="512">
    <w:name w:val="Char13"/>
    <w:basedOn w:val="1"/>
    <w:qFormat/>
    <w:uiPriority w:val="0"/>
    <w:pPr>
      <w:widowControl w:val="0"/>
      <w:jc w:val="both"/>
    </w:pPr>
    <w:rPr>
      <w:rFonts w:ascii="Calibri" w:hAnsi="Calibri"/>
      <w:kern w:val="2"/>
      <w:szCs w:val="24"/>
    </w:rPr>
  </w:style>
  <w:style w:type="paragraph" w:customStyle="1" w:styleId="513">
    <w:name w:val="font5"/>
    <w:basedOn w:val="1"/>
    <w:qFormat/>
    <w:uiPriority w:val="0"/>
    <w:pPr>
      <w:spacing w:before="100" w:beforeAutospacing="1" w:after="100" w:afterAutospacing="1"/>
    </w:pPr>
    <w:rPr>
      <w:rFonts w:ascii="宋体" w:hAnsi="宋体" w:cs="宋体"/>
      <w:sz w:val="18"/>
      <w:szCs w:val="18"/>
    </w:rPr>
  </w:style>
  <w:style w:type="paragraph" w:customStyle="1" w:styleId="51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sz w:val="16"/>
      <w:szCs w:val="16"/>
    </w:rPr>
  </w:style>
  <w:style w:type="paragraph" w:customStyle="1" w:styleId="5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6">
    <w:name w:val="pa-125"/>
    <w:basedOn w:val="1"/>
    <w:qFormat/>
    <w:uiPriority w:val="0"/>
    <w:pPr>
      <w:spacing w:line="480" w:lineRule="atLeast"/>
      <w:ind w:firstLine="1080"/>
      <w:jc w:val="both"/>
    </w:pPr>
    <w:rPr>
      <w:rFonts w:ascii="宋体" w:hAnsi="宋体" w:cs="宋体"/>
      <w:sz w:val="24"/>
      <w:szCs w:val="24"/>
    </w:rPr>
  </w:style>
  <w:style w:type="paragraph" w:customStyle="1" w:styleId="517">
    <w:name w:val="pa-62"/>
    <w:basedOn w:val="1"/>
    <w:qFormat/>
    <w:uiPriority w:val="0"/>
    <w:pPr>
      <w:spacing w:line="360" w:lineRule="atLeast"/>
      <w:ind w:firstLine="420"/>
      <w:jc w:val="both"/>
    </w:pPr>
    <w:rPr>
      <w:rFonts w:ascii="宋体" w:hAnsi="宋体" w:cs="宋体"/>
      <w:sz w:val="24"/>
      <w:szCs w:val="24"/>
    </w:rPr>
  </w:style>
  <w:style w:type="paragraph" w:customStyle="1" w:styleId="518">
    <w:name w:val="Char Char Char Char Char Char Char Char Char Char Char"/>
    <w:basedOn w:val="16"/>
    <w:qFormat/>
    <w:uiPriority w:val="0"/>
    <w:pPr>
      <w:widowControl w:val="0"/>
      <w:shd w:val="clear" w:color="auto" w:fill="000080"/>
      <w:jc w:val="both"/>
    </w:pPr>
    <w:rPr>
      <w:rFonts w:ascii="Tahoma" w:hAnsi="Tahoma"/>
      <w:kern w:val="2"/>
      <w:sz w:val="24"/>
      <w:szCs w:val="24"/>
    </w:rPr>
  </w:style>
  <w:style w:type="paragraph" w:customStyle="1" w:styleId="519">
    <w:name w:val="表格(五号)"/>
    <w:basedOn w:val="1"/>
    <w:qFormat/>
    <w:uiPriority w:val="0"/>
    <w:pPr>
      <w:widowControl w:val="0"/>
      <w:adjustRightInd w:val="0"/>
      <w:snapToGrid w:val="0"/>
      <w:spacing w:before="60" w:after="60"/>
      <w:ind w:left="11"/>
      <w:jc w:val="center"/>
    </w:pPr>
    <w:rPr>
      <w:rFonts w:ascii="Calibri" w:hAnsi="Calibri"/>
    </w:rPr>
  </w:style>
  <w:style w:type="paragraph" w:customStyle="1" w:styleId="520">
    <w:name w:val="正文文字格式"/>
    <w:basedOn w:val="1"/>
    <w:qFormat/>
    <w:uiPriority w:val="0"/>
    <w:pPr>
      <w:widowControl w:val="0"/>
      <w:spacing w:line="460" w:lineRule="exact"/>
      <w:ind w:firstLine="505"/>
    </w:pPr>
    <w:rPr>
      <w:rFonts w:ascii="宋体" w:hAnsi="Calibri"/>
      <w:kern w:val="24"/>
      <w:sz w:val="24"/>
    </w:rPr>
  </w:style>
  <w:style w:type="paragraph" w:customStyle="1" w:styleId="521">
    <w:name w:val="菲页(卷)"/>
    <w:basedOn w:val="2"/>
    <w:next w:val="168"/>
    <w:qFormat/>
    <w:uiPriority w:val="0"/>
    <w:pPr>
      <w:keepLines w:val="0"/>
      <w:widowControl/>
      <w:adjustRightInd/>
      <w:snapToGrid/>
      <w:spacing w:line="240" w:lineRule="auto"/>
      <w:ind w:left="840" w:hanging="420"/>
      <w:jc w:val="center"/>
      <w:outlineLvl w:val="1"/>
    </w:pPr>
    <w:rPr>
      <w:rFonts w:ascii="黑体" w:hAnsi="Calibri" w:eastAsia="黑体"/>
      <w:b w:val="0"/>
      <w:kern w:val="0"/>
      <w:sz w:val="52"/>
    </w:rPr>
  </w:style>
  <w:style w:type="paragraph" w:customStyle="1" w:styleId="52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523">
    <w:name w:val="xl107"/>
    <w:basedOn w:val="1"/>
    <w:qFormat/>
    <w:uiPriority w:val="0"/>
    <w:pPr>
      <w:pBdr>
        <w:top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sz w:val="24"/>
      <w:szCs w:val="24"/>
    </w:rPr>
  </w:style>
  <w:style w:type="paragraph" w:customStyle="1" w:styleId="524">
    <w:name w:val="pa-52"/>
    <w:basedOn w:val="1"/>
    <w:qFormat/>
    <w:uiPriority w:val="0"/>
    <w:pPr>
      <w:spacing w:line="276" w:lineRule="atLeast"/>
    </w:pPr>
    <w:rPr>
      <w:rFonts w:ascii="宋体" w:hAnsi="宋体" w:cs="宋体"/>
      <w:sz w:val="24"/>
      <w:szCs w:val="24"/>
    </w:rPr>
  </w:style>
  <w:style w:type="paragraph" w:customStyle="1" w:styleId="525">
    <w:name w:val="ca-26"/>
    <w:basedOn w:val="1"/>
    <w:qFormat/>
    <w:uiPriority w:val="0"/>
    <w:rPr>
      <w:rFonts w:ascii="宋体" w:hAnsi="宋体" w:cs="宋体"/>
      <w:color w:val="00206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27">
    <w:name w:val="pa-60"/>
    <w:basedOn w:val="1"/>
    <w:qFormat/>
    <w:uiPriority w:val="0"/>
    <w:pPr>
      <w:spacing w:line="360" w:lineRule="atLeast"/>
      <w:ind w:firstLine="560"/>
      <w:jc w:val="both"/>
    </w:pPr>
    <w:rPr>
      <w:rFonts w:ascii="宋体" w:hAnsi="宋体" w:cs="宋体"/>
      <w:sz w:val="24"/>
      <w:szCs w:val="24"/>
    </w:rPr>
  </w:style>
  <w:style w:type="paragraph" w:customStyle="1" w:styleId="528">
    <w:name w:val="td-9"/>
    <w:basedOn w:val="1"/>
    <w:qFormat/>
    <w:uiPriority w:val="0"/>
    <w:pPr>
      <w:pBdr>
        <w:top w:val="single" w:color="000000" w:sz="4" w:space="0"/>
        <w:left w:val="single" w:color="000000" w:sz="12" w:space="4"/>
        <w:bottom w:val="single" w:color="000000" w:sz="12" w:space="0"/>
        <w:right w:val="single" w:color="000000" w:sz="4" w:space="0"/>
      </w:pBdr>
    </w:pPr>
    <w:rPr>
      <w:rFonts w:ascii="宋体" w:hAnsi="宋体" w:cs="宋体"/>
      <w:sz w:val="24"/>
      <w:szCs w:val="24"/>
    </w:rPr>
  </w:style>
  <w:style w:type="paragraph" w:customStyle="1" w:styleId="529">
    <w:name w:val="td-10"/>
    <w:basedOn w:val="1"/>
    <w:qFormat/>
    <w:uiPriority w:val="0"/>
    <w:pPr>
      <w:pBdr>
        <w:top w:val="single" w:color="000000" w:sz="4" w:space="0"/>
        <w:left w:val="single" w:color="000000" w:sz="4" w:space="4"/>
        <w:bottom w:val="single" w:color="000000" w:sz="12" w:space="0"/>
        <w:right w:val="single" w:color="000000" w:sz="4" w:space="0"/>
      </w:pBdr>
    </w:pPr>
    <w:rPr>
      <w:rFonts w:ascii="宋体" w:hAnsi="宋体" w:cs="宋体"/>
      <w:sz w:val="24"/>
      <w:szCs w:val="24"/>
    </w:rPr>
  </w:style>
  <w:style w:type="paragraph" w:customStyle="1" w:styleId="530">
    <w:name w:val="pa-111"/>
    <w:basedOn w:val="1"/>
    <w:qFormat/>
    <w:uiPriority w:val="0"/>
    <w:pPr>
      <w:spacing w:line="280" w:lineRule="atLeast"/>
      <w:ind w:firstLine="480"/>
      <w:jc w:val="both"/>
    </w:pPr>
    <w:rPr>
      <w:rFonts w:ascii="宋体" w:hAnsi="宋体" w:cs="宋体"/>
      <w:sz w:val="24"/>
      <w:szCs w:val="24"/>
    </w:rPr>
  </w:style>
  <w:style w:type="paragraph" w:customStyle="1" w:styleId="531">
    <w:name w:val="Char Char Char"/>
    <w:basedOn w:val="1"/>
    <w:qFormat/>
    <w:uiPriority w:val="0"/>
    <w:pPr>
      <w:widowControl w:val="0"/>
      <w:jc w:val="both"/>
    </w:pPr>
    <w:rPr>
      <w:kern w:val="2"/>
    </w:rPr>
  </w:style>
  <w:style w:type="paragraph" w:customStyle="1" w:styleId="532">
    <w:name w:val="pa-35"/>
    <w:basedOn w:val="1"/>
    <w:qFormat/>
    <w:uiPriority w:val="0"/>
    <w:pPr>
      <w:spacing w:line="360" w:lineRule="atLeast"/>
    </w:pPr>
    <w:rPr>
      <w:rFonts w:ascii="宋体" w:hAnsi="宋体" w:cs="宋体"/>
      <w:sz w:val="24"/>
      <w:szCs w:val="24"/>
    </w:rPr>
  </w:style>
  <w:style w:type="paragraph" w:customStyle="1" w:styleId="533">
    <w:name w:val="ca-45"/>
    <w:basedOn w:val="1"/>
    <w:qFormat/>
    <w:uiPriority w:val="0"/>
    <w:rPr>
      <w:rFonts w:ascii="宋体" w:hAnsi="宋体" w:cs="宋体"/>
      <w:color w:val="000000"/>
      <w:sz w:val="72"/>
      <w:szCs w:val="72"/>
    </w:rPr>
  </w:style>
  <w:style w:type="paragraph" w:customStyle="1" w:styleId="534">
    <w:name w:val="pa-74"/>
    <w:basedOn w:val="1"/>
    <w:qFormat/>
    <w:uiPriority w:val="0"/>
    <w:pPr>
      <w:spacing w:line="360" w:lineRule="atLeast"/>
      <w:ind w:firstLine="640"/>
      <w:jc w:val="center"/>
    </w:pPr>
    <w:rPr>
      <w:rFonts w:ascii="宋体" w:hAnsi="宋体" w:cs="宋体"/>
      <w:sz w:val="24"/>
      <w:szCs w:val="24"/>
    </w:rPr>
  </w:style>
  <w:style w:type="paragraph" w:customStyle="1" w:styleId="535">
    <w:name w:val="ca-7"/>
    <w:basedOn w:val="1"/>
    <w:qFormat/>
    <w:uiPriority w:val="0"/>
    <w:rPr>
      <w:rFonts w:ascii="Calibri" w:hAnsi="Calibri"/>
      <w:color w:val="000000"/>
      <w:sz w:val="28"/>
      <w:szCs w:val="28"/>
    </w:rPr>
  </w:style>
  <w:style w:type="paragraph" w:customStyle="1" w:styleId="536">
    <w:name w:val="列出段落2"/>
    <w:basedOn w:val="1"/>
    <w:qFormat/>
    <w:uiPriority w:val="0"/>
    <w:pPr>
      <w:widowControl w:val="0"/>
      <w:spacing w:before="100" w:beforeAutospacing="1" w:after="100" w:afterAutospacing="1"/>
      <w:ind w:left="720"/>
      <w:jc w:val="both"/>
    </w:pPr>
    <w:rPr>
      <w:rFonts w:ascii="Calibri" w:hAnsi="Calibri"/>
      <w:color w:val="000000"/>
      <w:kern w:val="2"/>
      <w:szCs w:val="21"/>
    </w:rPr>
  </w:style>
  <w:style w:type="paragraph" w:customStyle="1" w:styleId="537">
    <w:name w:val="pa-106"/>
    <w:basedOn w:val="1"/>
    <w:qFormat/>
    <w:uiPriority w:val="0"/>
    <w:pPr>
      <w:spacing w:line="720" w:lineRule="atLeast"/>
      <w:jc w:val="both"/>
    </w:pPr>
    <w:rPr>
      <w:rFonts w:ascii="宋体" w:hAnsi="宋体" w:cs="宋体"/>
      <w:sz w:val="24"/>
      <w:szCs w:val="24"/>
    </w:rPr>
  </w:style>
  <w:style w:type="paragraph" w:customStyle="1" w:styleId="538">
    <w:name w:val="ca-41"/>
    <w:basedOn w:val="1"/>
    <w:qFormat/>
    <w:uiPriority w:val="0"/>
    <w:rPr>
      <w:rFonts w:ascii="宋体" w:hAnsi="宋体" w:cs="宋体"/>
      <w:b/>
      <w:bCs/>
      <w:color w:val="000000"/>
      <w:spacing w:val="-20"/>
      <w:sz w:val="32"/>
      <w:szCs w:val="32"/>
    </w:rPr>
  </w:style>
  <w:style w:type="paragraph" w:customStyle="1" w:styleId="539">
    <w:name w:val="xl110"/>
    <w:basedOn w:val="1"/>
    <w:qFormat/>
    <w:uiPriority w:val="0"/>
    <w:pPr>
      <w:pBdr>
        <w:top w:val="single" w:color="auto" w:sz="4" w:space="0"/>
        <w:bottom w:val="single" w:color="auto" w:sz="4" w:space="0"/>
        <w:right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540">
    <w:name w:val="ca-4"/>
    <w:basedOn w:val="1"/>
    <w:qFormat/>
    <w:uiPriority w:val="0"/>
    <w:rPr>
      <w:rFonts w:ascii="宋体" w:hAnsi="宋体" w:cs="宋体"/>
      <w:b/>
      <w:bCs/>
      <w:color w:val="000000"/>
      <w:spacing w:val="-20"/>
      <w:sz w:val="48"/>
      <w:szCs w:val="48"/>
    </w:rPr>
  </w:style>
  <w:style w:type="paragraph" w:customStyle="1" w:styleId="541">
    <w:name w:val="图"/>
    <w:basedOn w:val="1"/>
    <w:qFormat/>
    <w:uiPriority w:val="0"/>
    <w:pPr>
      <w:keepNext/>
      <w:widowControl w:val="0"/>
      <w:adjustRightInd w:val="0"/>
      <w:snapToGrid w:val="0"/>
      <w:spacing w:before="60" w:after="60" w:line="300" w:lineRule="auto"/>
      <w:jc w:val="center"/>
    </w:pPr>
    <w:rPr>
      <w:rFonts w:hint="eastAsia" w:ascii="Calibri" w:hAnsi="Calibri"/>
      <w:spacing w:val="20"/>
      <w:sz w:val="24"/>
    </w:rPr>
  </w:style>
  <w:style w:type="paragraph" w:customStyle="1" w:styleId="542">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sz w:val="20"/>
    </w:rPr>
  </w:style>
  <w:style w:type="paragraph" w:customStyle="1" w:styleId="543">
    <w:name w:val="Char Char Char Char2"/>
    <w:basedOn w:val="1"/>
    <w:qFormat/>
    <w:uiPriority w:val="0"/>
    <w:pPr>
      <w:spacing w:after="160" w:line="240" w:lineRule="exact"/>
    </w:pPr>
    <w:rPr>
      <w:rFonts w:ascii="Verdana" w:hAnsi="Verdana" w:eastAsia="仿宋_GB2312"/>
      <w:sz w:val="24"/>
      <w:lang w:eastAsia="en-US"/>
    </w:rPr>
  </w:style>
  <w:style w:type="paragraph" w:customStyle="1" w:styleId="544">
    <w:name w:val="pa-117"/>
    <w:basedOn w:val="1"/>
    <w:qFormat/>
    <w:uiPriority w:val="0"/>
    <w:pPr>
      <w:spacing w:line="360" w:lineRule="atLeast"/>
      <w:ind w:firstLine="3840"/>
      <w:jc w:val="both"/>
    </w:pPr>
    <w:rPr>
      <w:rFonts w:ascii="宋体" w:hAnsi="宋体" w:cs="宋体"/>
      <w:sz w:val="24"/>
      <w:szCs w:val="24"/>
    </w:rPr>
  </w:style>
  <w:style w:type="paragraph" w:customStyle="1" w:styleId="545">
    <w:name w:val="p0"/>
    <w:basedOn w:val="1"/>
    <w:qFormat/>
    <w:uiPriority w:val="99"/>
    <w:pPr>
      <w:jc w:val="both"/>
    </w:pPr>
    <w:rPr>
      <w:rFonts w:ascii="Calibri" w:hAnsi="Calibri" w:cs="宋体"/>
      <w:szCs w:val="21"/>
    </w:rPr>
  </w:style>
  <w:style w:type="paragraph" w:customStyle="1" w:styleId="546">
    <w:name w:val="p16"/>
    <w:basedOn w:val="1"/>
    <w:qFormat/>
    <w:uiPriority w:val="0"/>
    <w:pPr>
      <w:jc w:val="both"/>
    </w:pPr>
    <w:rPr>
      <w:szCs w:val="21"/>
    </w:rPr>
  </w:style>
  <w:style w:type="paragraph" w:customStyle="1" w:styleId="547">
    <w:name w:val="xl108"/>
    <w:basedOn w:val="1"/>
    <w:qFormat/>
    <w:uiPriority w:val="0"/>
    <w:pPr>
      <w:pBdr>
        <w:top w:val="single" w:color="auto" w:sz="4" w:space="0"/>
        <w:left w:val="single" w:color="auto" w:sz="4" w:space="0"/>
        <w:bottom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548">
    <w:name w:val="pa-115"/>
    <w:basedOn w:val="1"/>
    <w:qFormat/>
    <w:uiPriority w:val="0"/>
    <w:pPr>
      <w:spacing w:line="480" w:lineRule="atLeast"/>
      <w:jc w:val="both"/>
    </w:pPr>
    <w:rPr>
      <w:rFonts w:ascii="宋体" w:hAnsi="宋体" w:cs="宋体"/>
      <w:sz w:val="24"/>
      <w:szCs w:val="24"/>
    </w:rPr>
  </w:style>
  <w:style w:type="paragraph" w:customStyle="1" w:styleId="549">
    <w:name w:val="td-8"/>
    <w:basedOn w:val="1"/>
    <w:qFormat/>
    <w:uiPriority w:val="0"/>
    <w:pPr>
      <w:pBdr>
        <w:top w:val="single" w:color="000000" w:sz="4" w:space="0"/>
        <w:left w:val="single" w:color="000000" w:sz="4" w:space="4"/>
        <w:bottom w:val="single" w:color="000000" w:sz="4" w:space="0"/>
        <w:right w:val="single" w:color="000000" w:sz="12" w:space="0"/>
      </w:pBdr>
    </w:pPr>
    <w:rPr>
      <w:rFonts w:ascii="宋体" w:hAnsi="宋体" w:cs="宋体"/>
      <w:sz w:val="24"/>
      <w:szCs w:val="24"/>
    </w:rPr>
  </w:style>
  <w:style w:type="paragraph" w:customStyle="1" w:styleId="550">
    <w:name w:val="默认段落字体 Para Char Char Char Char"/>
    <w:basedOn w:val="1"/>
    <w:qFormat/>
    <w:uiPriority w:val="99"/>
    <w:pPr>
      <w:widowControl w:val="0"/>
      <w:spacing w:line="360" w:lineRule="auto"/>
      <w:ind w:firstLine="200" w:firstLineChars="200"/>
      <w:jc w:val="both"/>
    </w:pPr>
    <w:rPr>
      <w:kern w:val="2"/>
      <w:szCs w:val="24"/>
    </w:rPr>
  </w:style>
  <w:style w:type="paragraph" w:customStyle="1" w:styleId="551">
    <w:name w:val="简单回函地址"/>
    <w:basedOn w:val="1"/>
    <w:qFormat/>
    <w:uiPriority w:val="99"/>
    <w:pPr>
      <w:widowControl w:val="0"/>
      <w:jc w:val="both"/>
    </w:pPr>
    <w:rPr>
      <w:kern w:val="2"/>
    </w:rPr>
  </w:style>
  <w:style w:type="paragraph" w:customStyle="1" w:styleId="552">
    <w:name w:val="纯文本2"/>
    <w:basedOn w:val="1"/>
    <w:qFormat/>
    <w:uiPriority w:val="99"/>
    <w:pPr>
      <w:adjustRightInd w:val="0"/>
      <w:spacing w:line="300" w:lineRule="exact"/>
      <w:ind w:firstLine="200" w:firstLineChars="200"/>
      <w:textAlignment w:val="baseline"/>
    </w:pPr>
    <w:rPr>
      <w:rFonts w:ascii="宋体" w:hAnsi="Courier New" w:eastAsia="楷体_GB2312"/>
      <w:kern w:val="2"/>
      <w:sz w:val="26"/>
    </w:rPr>
  </w:style>
  <w:style w:type="paragraph" w:customStyle="1" w:styleId="553">
    <w:name w:val="默认段落字体 Para Char Char Char Char Char Char Char Char Char1 Char Char Char Char"/>
    <w:basedOn w:val="1"/>
    <w:qFormat/>
    <w:uiPriority w:val="99"/>
    <w:pPr>
      <w:widowControl w:val="0"/>
      <w:jc w:val="both"/>
    </w:pPr>
    <w:rPr>
      <w:rFonts w:ascii="Tahoma" w:hAnsi="Tahoma"/>
      <w:kern w:val="2"/>
      <w:sz w:val="24"/>
    </w:rPr>
  </w:style>
  <w:style w:type="paragraph" w:customStyle="1" w:styleId="554">
    <w:name w:val="纯文本3"/>
    <w:basedOn w:val="1"/>
    <w:qFormat/>
    <w:uiPriority w:val="0"/>
    <w:pPr>
      <w:widowControl w:val="0"/>
      <w:spacing w:line="400" w:lineRule="exact"/>
      <w:jc w:val="both"/>
    </w:pPr>
    <w:rPr>
      <w:rFonts w:ascii="宋体" w:hAnsi="宋体"/>
      <w:kern w:val="2"/>
      <w:sz w:val="24"/>
      <w:szCs w:val="24"/>
    </w:rPr>
  </w:style>
  <w:style w:type="paragraph" w:customStyle="1" w:styleId="555">
    <w:name w:val="msonormal"/>
    <w:basedOn w:val="1"/>
    <w:qFormat/>
    <w:uiPriority w:val="0"/>
    <w:pPr>
      <w:spacing w:before="100" w:beforeAutospacing="1" w:after="100" w:afterAutospacing="1"/>
    </w:pPr>
    <w:rPr>
      <w:rFonts w:ascii="宋体" w:hAnsi="宋体" w:cs="宋体"/>
      <w:sz w:val="24"/>
      <w:szCs w:val="24"/>
    </w:rPr>
  </w:style>
  <w:style w:type="character" w:customStyle="1" w:styleId="556">
    <w:name w:val="批注主题 Char3"/>
    <w:qFormat/>
    <w:uiPriority w:val="0"/>
    <w:rPr>
      <w:rFonts w:eastAsia="宋体" w:cs="Times New Roman"/>
      <w:b/>
      <w:bCs/>
      <w:kern w:val="2"/>
      <w:sz w:val="24"/>
      <w:szCs w:val="24"/>
      <w:lang w:val="en-US" w:eastAsia="zh-CN" w:bidi="ar-SA"/>
    </w:rPr>
  </w:style>
  <w:style w:type="character" w:customStyle="1" w:styleId="557">
    <w:name w:val="zbggtop11 style5"/>
    <w:qFormat/>
    <w:uiPriority w:val="0"/>
    <w:rPr>
      <w:rFonts w:cs="Times New Roman"/>
    </w:rPr>
  </w:style>
  <w:style w:type="character" w:customStyle="1" w:styleId="558">
    <w:name w:val="ca-511"/>
    <w:qFormat/>
    <w:uiPriority w:val="0"/>
    <w:rPr>
      <w:rFonts w:ascii="Times New Roman" w:hAnsi="Times New Roman" w:cs="Times New Roman"/>
      <w:b/>
      <w:bCs/>
      <w:color w:val="000000"/>
      <w:spacing w:val="-20"/>
      <w:sz w:val="32"/>
      <w:szCs w:val="32"/>
    </w:rPr>
  </w:style>
  <w:style w:type="character" w:customStyle="1" w:styleId="559">
    <w:name w:val="脚注文本 Char1"/>
    <w:qFormat/>
    <w:uiPriority w:val="0"/>
    <w:rPr>
      <w:sz w:val="18"/>
      <w:szCs w:val="18"/>
    </w:rPr>
  </w:style>
  <w:style w:type="character" w:customStyle="1" w:styleId="560">
    <w:name w:val="ca-191"/>
    <w:qFormat/>
    <w:uiPriority w:val="0"/>
    <w:rPr>
      <w:rFonts w:ascii="Times New Roman" w:hAnsi="Times New Roman" w:cs="Times New Roman"/>
      <w:sz w:val="18"/>
      <w:szCs w:val="18"/>
    </w:rPr>
  </w:style>
  <w:style w:type="character" w:customStyle="1" w:styleId="561">
    <w:name w:val="Title Char"/>
    <w:qFormat/>
    <w:locked/>
    <w:uiPriority w:val="0"/>
    <w:rPr>
      <w:rFonts w:ascii="Arial" w:hAnsi="Arial" w:eastAsia="宋体"/>
      <w:b/>
      <w:sz w:val="32"/>
      <w:lang w:val="en-US" w:eastAsia="zh-CN"/>
    </w:rPr>
  </w:style>
  <w:style w:type="character" w:customStyle="1" w:styleId="562">
    <w:name w:val="ca-361"/>
    <w:qFormat/>
    <w:uiPriority w:val="0"/>
    <w:rPr>
      <w:rFonts w:ascii="宋体" w:hAnsi="宋体" w:eastAsia="宋体" w:cs="Times New Roman"/>
      <w:b/>
      <w:bCs/>
      <w:spacing w:val="-20"/>
      <w:sz w:val="21"/>
      <w:szCs w:val="21"/>
    </w:rPr>
  </w:style>
  <w:style w:type="character" w:customStyle="1" w:styleId="563">
    <w:name w:val="2nd level Char"/>
    <w:qFormat/>
    <w:uiPriority w:val="0"/>
    <w:rPr>
      <w:rFonts w:ascii="Arial" w:hAnsi="Arial" w:eastAsia="宋体" w:cs="Times New Roman"/>
      <w:b/>
      <w:bCs/>
      <w:kern w:val="2"/>
      <w:sz w:val="32"/>
      <w:szCs w:val="32"/>
      <w:lang w:val="en-US" w:eastAsia="zh-CN" w:bidi="ar-SA"/>
    </w:rPr>
  </w:style>
  <w:style w:type="character" w:customStyle="1" w:styleId="564">
    <w:name w:val="ca-211"/>
    <w:qFormat/>
    <w:uiPriority w:val="0"/>
    <w:rPr>
      <w:rFonts w:ascii="宋体" w:hAnsi="宋体" w:eastAsia="宋体" w:cs="Times New Roman"/>
      <w:color w:val="000000"/>
      <w:sz w:val="21"/>
      <w:szCs w:val="21"/>
    </w:rPr>
  </w:style>
  <w:style w:type="character" w:customStyle="1" w:styleId="565">
    <w:name w:val="页脚 Char1"/>
    <w:qFormat/>
    <w:uiPriority w:val="0"/>
    <w:rPr>
      <w:rFonts w:eastAsia="宋体" w:cs="Times New Roman"/>
      <w:kern w:val="2"/>
      <w:sz w:val="18"/>
      <w:szCs w:val="18"/>
      <w:lang w:val="en-US" w:eastAsia="zh-CN" w:bidi="ar-SA"/>
    </w:rPr>
  </w:style>
  <w:style w:type="character" w:customStyle="1" w:styleId="566">
    <w:name w:val="Body Text Indent 2 Char"/>
    <w:qFormat/>
    <w:locked/>
    <w:uiPriority w:val="0"/>
    <w:rPr>
      <w:rFonts w:eastAsia="宋体"/>
      <w:kern w:val="2"/>
      <w:sz w:val="21"/>
      <w:szCs w:val="24"/>
      <w:lang w:val="en-US" w:eastAsia="zh-CN" w:bidi="ar-SA"/>
    </w:rPr>
  </w:style>
  <w:style w:type="character" w:customStyle="1" w:styleId="567">
    <w:name w:val="ca-321"/>
    <w:qFormat/>
    <w:uiPriority w:val="0"/>
    <w:rPr>
      <w:rFonts w:ascii="宋体" w:hAnsi="宋体" w:eastAsia="宋体" w:cs="Times New Roman"/>
      <w:b/>
      <w:bCs/>
      <w:color w:val="C00000"/>
      <w:spacing w:val="-20"/>
      <w:sz w:val="21"/>
      <w:szCs w:val="21"/>
    </w:rPr>
  </w:style>
  <w:style w:type="character" w:customStyle="1" w:styleId="568">
    <w:name w:val="副标题 Char1"/>
    <w:qFormat/>
    <w:uiPriority w:val="0"/>
    <w:rPr>
      <w:rFonts w:ascii="Cambria" w:hAnsi="Cambria"/>
      <w:b/>
      <w:kern w:val="28"/>
      <w:sz w:val="32"/>
    </w:rPr>
  </w:style>
  <w:style w:type="character" w:customStyle="1" w:styleId="569">
    <w:name w:val="ca-161"/>
    <w:qFormat/>
    <w:uiPriority w:val="0"/>
    <w:rPr>
      <w:rFonts w:ascii="宋体" w:hAnsi="宋体" w:eastAsia="宋体" w:cs="Times New Roman"/>
      <w:sz w:val="24"/>
      <w:szCs w:val="24"/>
    </w:rPr>
  </w:style>
  <w:style w:type="character" w:customStyle="1" w:styleId="570">
    <w:name w:val="htd01"/>
    <w:qFormat/>
    <w:uiPriority w:val="0"/>
    <w:rPr>
      <w:rFonts w:cs="Times New Roman"/>
    </w:rPr>
  </w:style>
  <w:style w:type="character" w:customStyle="1" w:styleId="571">
    <w:name w:val="zbggmain style9"/>
    <w:qFormat/>
    <w:uiPriority w:val="0"/>
    <w:rPr>
      <w:rFonts w:cs="Times New Roman"/>
    </w:rPr>
  </w:style>
  <w:style w:type="character" w:customStyle="1" w:styleId="572">
    <w:name w:val="纯文本 Char"/>
    <w:qFormat/>
    <w:uiPriority w:val="0"/>
    <w:rPr>
      <w:rFonts w:ascii="宋体" w:cs="Courier New"/>
      <w:szCs w:val="21"/>
      <w:lang w:bidi="ar-SA"/>
    </w:rPr>
  </w:style>
  <w:style w:type="character" w:customStyle="1" w:styleId="573">
    <w:name w:val="ca-210"/>
    <w:qFormat/>
    <w:uiPriority w:val="0"/>
    <w:rPr>
      <w:rFonts w:ascii="Times New Roman" w:hAnsi="Times New Roman" w:cs="Times New Roman"/>
      <w:color w:val="000000"/>
      <w:sz w:val="36"/>
      <w:szCs w:val="36"/>
    </w:rPr>
  </w:style>
  <w:style w:type="character" w:customStyle="1" w:styleId="574">
    <w:name w:val="Heading 5 Char"/>
    <w:qFormat/>
    <w:locked/>
    <w:uiPriority w:val="0"/>
    <w:rPr>
      <w:rFonts w:eastAsia="宋体"/>
      <w:b/>
      <w:kern w:val="2"/>
      <w:sz w:val="28"/>
      <w:lang w:val="en-US" w:eastAsia="zh-CN"/>
    </w:rPr>
  </w:style>
  <w:style w:type="character" w:customStyle="1" w:styleId="575">
    <w:name w:val="正文2 Char"/>
    <w:qFormat/>
    <w:uiPriority w:val="0"/>
    <w:rPr>
      <w:rFonts w:eastAsia="宋体"/>
      <w:kern w:val="2"/>
      <w:sz w:val="24"/>
      <w:lang w:val="en-US" w:eastAsia="zh-CN" w:bidi="ar-SA"/>
    </w:rPr>
  </w:style>
  <w:style w:type="character" w:customStyle="1" w:styleId="576">
    <w:name w:val="Char Char Char Char Char Char Char Char Char"/>
    <w:qFormat/>
    <w:uiPriority w:val="0"/>
    <w:rPr>
      <w:rFonts w:eastAsia="宋体" w:cs="Times New Roman"/>
      <w:kern w:val="2"/>
      <w:sz w:val="24"/>
      <w:szCs w:val="24"/>
      <w:lang w:val="en-US" w:eastAsia="zh-CN" w:bidi="ar-SA"/>
    </w:rPr>
  </w:style>
  <w:style w:type="character" w:customStyle="1" w:styleId="577">
    <w:name w:val="Header Char"/>
    <w:qFormat/>
    <w:locked/>
    <w:uiPriority w:val="0"/>
    <w:rPr>
      <w:rFonts w:eastAsia="宋体"/>
      <w:kern w:val="2"/>
      <w:sz w:val="18"/>
      <w:lang w:val="en-US" w:eastAsia="zh-CN"/>
    </w:rPr>
  </w:style>
  <w:style w:type="character" w:customStyle="1" w:styleId="578">
    <w:name w:val="ca-381"/>
    <w:qFormat/>
    <w:uiPriority w:val="0"/>
    <w:rPr>
      <w:rFonts w:ascii="Times New Roman" w:hAnsi="Times New Roman" w:cs="Times New Roman"/>
      <w:b/>
      <w:bCs/>
      <w:spacing w:val="-20"/>
      <w:sz w:val="21"/>
      <w:szCs w:val="21"/>
    </w:rPr>
  </w:style>
  <w:style w:type="character" w:customStyle="1" w:styleId="579">
    <w:name w:val="text"/>
    <w:qFormat/>
    <w:uiPriority w:val="0"/>
    <w:rPr>
      <w:rFonts w:cs="Times New Roman"/>
    </w:rPr>
  </w:style>
  <w:style w:type="character" w:customStyle="1" w:styleId="580">
    <w:name w:val="Heading 3 Char1"/>
    <w:qFormat/>
    <w:locked/>
    <w:uiPriority w:val="0"/>
    <w:rPr>
      <w:rFonts w:cs="Times New Roman"/>
      <w:b/>
      <w:bCs/>
      <w:kern w:val="2"/>
      <w:sz w:val="32"/>
      <w:szCs w:val="32"/>
    </w:rPr>
  </w:style>
  <w:style w:type="character" w:customStyle="1" w:styleId="581">
    <w:name w:val="ca-421"/>
    <w:qFormat/>
    <w:uiPriority w:val="0"/>
    <w:rPr>
      <w:rFonts w:ascii="宋体" w:hAnsi="宋体" w:eastAsia="宋体" w:cs="Times New Roman"/>
      <w:color w:val="000000"/>
      <w:sz w:val="36"/>
      <w:szCs w:val="36"/>
    </w:rPr>
  </w:style>
  <w:style w:type="character" w:customStyle="1" w:styleId="582">
    <w:name w:val="by jerry Char1"/>
    <w:qFormat/>
    <w:uiPriority w:val="0"/>
    <w:rPr>
      <w:rFonts w:cs="Times New Roman"/>
      <w:b/>
      <w:bCs/>
      <w:kern w:val="44"/>
      <w:sz w:val="44"/>
      <w:szCs w:val="44"/>
    </w:rPr>
  </w:style>
  <w:style w:type="character" w:customStyle="1" w:styleId="583">
    <w:name w:val="Para head"/>
    <w:qFormat/>
    <w:uiPriority w:val="0"/>
    <w:rPr>
      <w:rFonts w:ascii="Arial" w:hAnsi="Arial" w:cs="Times New Roman"/>
      <w:sz w:val="20"/>
    </w:rPr>
  </w:style>
  <w:style w:type="character" w:customStyle="1" w:styleId="584">
    <w:name w:val="Comment Subject Char"/>
    <w:qFormat/>
    <w:locked/>
    <w:uiPriority w:val="0"/>
    <w:rPr>
      <w:rFonts w:eastAsia="宋体"/>
      <w:b/>
      <w:kern w:val="2"/>
      <w:sz w:val="24"/>
      <w:lang w:val="en-US" w:eastAsia="zh-CN"/>
    </w:rPr>
  </w:style>
  <w:style w:type="character" w:customStyle="1" w:styleId="585">
    <w:name w:val="批注文字 Char1"/>
    <w:qFormat/>
    <w:uiPriority w:val="0"/>
    <w:rPr>
      <w:rFonts w:eastAsia="宋体" w:cs="Times New Roman"/>
      <w:kern w:val="2"/>
      <w:sz w:val="24"/>
      <w:szCs w:val="24"/>
      <w:lang w:val="en-US" w:eastAsia="zh-CN" w:bidi="ar-SA"/>
    </w:rPr>
  </w:style>
  <w:style w:type="character" w:customStyle="1" w:styleId="586">
    <w:name w:val="正文首行缩进 Char2"/>
    <w:qFormat/>
    <w:uiPriority w:val="0"/>
    <w:rPr>
      <w:rFonts w:ascii="楷体_GB2312" w:hAnsi="Times New Roman" w:eastAsia="楷体_GB2312"/>
      <w:kern w:val="2"/>
      <w:sz w:val="21"/>
    </w:rPr>
  </w:style>
  <w:style w:type="character" w:customStyle="1" w:styleId="587">
    <w:name w:val="Date Char1"/>
    <w:qFormat/>
    <w:locked/>
    <w:uiPriority w:val="0"/>
    <w:rPr>
      <w:rFonts w:ascii="仿宋_GB2312" w:eastAsia="仿宋_GB2312"/>
      <w:sz w:val="28"/>
      <w:lang w:val="en-US" w:eastAsia="zh-CN" w:bidi="ar-SA"/>
    </w:rPr>
  </w:style>
  <w:style w:type="character" w:customStyle="1" w:styleId="588">
    <w:name w:val="尾注文本 Char1"/>
    <w:qFormat/>
    <w:uiPriority w:val="0"/>
    <w:rPr>
      <w:sz w:val="21"/>
    </w:rPr>
  </w:style>
  <w:style w:type="character" w:customStyle="1" w:styleId="589">
    <w:name w:val="ca-181"/>
    <w:qFormat/>
    <w:uiPriority w:val="0"/>
    <w:rPr>
      <w:rFonts w:ascii="宋体" w:hAnsi="宋体" w:eastAsia="宋体" w:cs="Times New Roman"/>
      <w:color w:val="000000"/>
      <w:sz w:val="18"/>
      <w:szCs w:val="18"/>
    </w:rPr>
  </w:style>
  <w:style w:type="character" w:customStyle="1" w:styleId="590">
    <w:name w:val="Char Char1"/>
    <w:qFormat/>
    <w:uiPriority w:val="0"/>
    <w:rPr>
      <w:rFonts w:ascii="宋体" w:hAnsi="Courier New" w:eastAsia="宋体" w:cs="Courier New"/>
      <w:kern w:val="2"/>
      <w:sz w:val="21"/>
      <w:szCs w:val="21"/>
      <w:lang w:val="en-US" w:eastAsia="zh-CN" w:bidi="ar-SA"/>
    </w:rPr>
  </w:style>
  <w:style w:type="character" w:customStyle="1" w:styleId="591">
    <w:name w:val="Char Char2"/>
    <w:qFormat/>
    <w:uiPriority w:val="0"/>
    <w:rPr>
      <w:rFonts w:eastAsia="宋体" w:cs="Times New Roman"/>
      <w:kern w:val="2"/>
      <w:sz w:val="24"/>
      <w:szCs w:val="24"/>
      <w:lang w:val="en-US" w:eastAsia="zh-CN" w:bidi="ar-SA"/>
    </w:rPr>
  </w:style>
  <w:style w:type="character" w:customStyle="1" w:styleId="592">
    <w:name w:val="style13"/>
    <w:basedOn w:val="56"/>
    <w:qFormat/>
    <w:uiPriority w:val="0"/>
  </w:style>
  <w:style w:type="character" w:customStyle="1" w:styleId="593">
    <w:name w:val="Body Text Indent Char"/>
    <w:qFormat/>
    <w:locked/>
    <w:uiPriority w:val="0"/>
    <w:rPr>
      <w:rFonts w:ascii="宋体" w:hAnsi="宋体" w:eastAsia="宋体" w:cs="Times New Roman"/>
      <w:kern w:val="2"/>
      <w:sz w:val="24"/>
      <w:szCs w:val="24"/>
      <w:lang w:val="en-US" w:eastAsia="zh-CN" w:bidi="ar-SA"/>
    </w:rPr>
  </w:style>
  <w:style w:type="character" w:customStyle="1" w:styleId="594">
    <w:name w:val="ca-81"/>
    <w:qFormat/>
    <w:uiPriority w:val="0"/>
    <w:rPr>
      <w:rFonts w:ascii="宋体" w:hAnsi="宋体" w:eastAsia="宋体" w:cs="Times New Roman"/>
      <w:color w:val="000000"/>
      <w:sz w:val="28"/>
      <w:szCs w:val="28"/>
    </w:rPr>
  </w:style>
  <w:style w:type="character" w:customStyle="1" w:styleId="595">
    <w:name w:val="Heading 1 Char"/>
    <w:qFormat/>
    <w:locked/>
    <w:uiPriority w:val="0"/>
    <w:rPr>
      <w:rFonts w:cs="Times New Roman"/>
      <w:b/>
      <w:bCs/>
      <w:kern w:val="44"/>
      <w:sz w:val="44"/>
      <w:szCs w:val="44"/>
    </w:rPr>
  </w:style>
  <w:style w:type="character" w:customStyle="1" w:styleId="596">
    <w:name w:val="图表标题 Char"/>
    <w:qFormat/>
    <w:uiPriority w:val="0"/>
    <w:rPr>
      <w:rFonts w:ascii="宋体" w:eastAsia="宋体"/>
      <w:snapToGrid w:val="0"/>
      <w:color w:val="000000"/>
      <w:kern w:val="28"/>
      <w:sz w:val="28"/>
      <w:lang w:val="en-US" w:eastAsia="zh-CN" w:bidi="ar-SA"/>
    </w:rPr>
  </w:style>
  <w:style w:type="character" w:customStyle="1" w:styleId="597">
    <w:name w:val="标题 3 Char Char Char Char Char Char Char Char Char Char Char"/>
    <w:qFormat/>
    <w:uiPriority w:val="0"/>
    <w:rPr>
      <w:rFonts w:cs="Times New Roman"/>
      <w:b/>
      <w:bCs/>
      <w:sz w:val="32"/>
      <w:szCs w:val="32"/>
    </w:rPr>
  </w:style>
  <w:style w:type="character" w:customStyle="1" w:styleId="598">
    <w:name w:val="hover10"/>
    <w:qFormat/>
    <w:uiPriority w:val="0"/>
    <w:rPr>
      <w:shd w:val="clear" w:color="auto" w:fill="EEEEEE"/>
    </w:rPr>
  </w:style>
  <w:style w:type="character" w:customStyle="1" w:styleId="599">
    <w:name w:val="正文文字4 Char Char"/>
    <w:qFormat/>
    <w:uiPriority w:val="0"/>
    <w:rPr>
      <w:rFonts w:eastAsia="宋体" w:cs="Times New Roman"/>
      <w:kern w:val="2"/>
      <w:sz w:val="24"/>
      <w:szCs w:val="24"/>
      <w:lang w:val="en-US" w:eastAsia="zh-CN" w:bidi="ar-SA"/>
    </w:rPr>
  </w:style>
  <w:style w:type="character" w:customStyle="1" w:styleId="600">
    <w:name w:val="Footer Char1"/>
    <w:qFormat/>
    <w:locked/>
    <w:uiPriority w:val="0"/>
    <w:rPr>
      <w:rFonts w:eastAsia="宋体" w:cs="Times New Roman"/>
      <w:kern w:val="2"/>
      <w:sz w:val="18"/>
      <w:szCs w:val="18"/>
      <w:lang w:val="en-US" w:eastAsia="zh-CN" w:bidi="ar-SA"/>
    </w:rPr>
  </w:style>
  <w:style w:type="character" w:customStyle="1" w:styleId="601">
    <w:name w:val="Char Char9"/>
    <w:qFormat/>
    <w:uiPriority w:val="0"/>
    <w:rPr>
      <w:rFonts w:ascii="Times New Roman" w:hAnsi="Times New Roman"/>
      <w:b/>
      <w:bCs/>
      <w:sz w:val="32"/>
      <w:szCs w:val="32"/>
    </w:rPr>
  </w:style>
  <w:style w:type="character" w:customStyle="1" w:styleId="602">
    <w:name w:val="批注文字 Char2"/>
    <w:qFormat/>
    <w:uiPriority w:val="0"/>
    <w:rPr>
      <w:rFonts w:eastAsia="宋体" w:cs="Times New Roman"/>
      <w:kern w:val="2"/>
      <w:sz w:val="24"/>
      <w:szCs w:val="24"/>
      <w:lang w:val="en-US" w:eastAsia="zh-CN" w:bidi="ar-SA"/>
    </w:rPr>
  </w:style>
  <w:style w:type="character" w:customStyle="1" w:styleId="603">
    <w:name w:val="grame"/>
    <w:qFormat/>
    <w:uiPriority w:val="0"/>
  </w:style>
  <w:style w:type="character" w:customStyle="1" w:styleId="604">
    <w:name w:val="ca-531"/>
    <w:qFormat/>
    <w:uiPriority w:val="0"/>
    <w:rPr>
      <w:rFonts w:ascii="Times New Roman" w:hAnsi="Times New Roman" w:cs="Times New Roman"/>
      <w:b/>
      <w:bCs/>
      <w:spacing w:val="-20"/>
      <w:sz w:val="36"/>
      <w:szCs w:val="36"/>
    </w:rPr>
  </w:style>
  <w:style w:type="character" w:customStyle="1" w:styleId="605">
    <w:name w:val="font11"/>
    <w:qFormat/>
    <w:uiPriority w:val="0"/>
    <w:rPr>
      <w:rFonts w:hint="default" w:ascii="Calibri" w:hAnsi="Calibri" w:cs="Calibri"/>
      <w:color w:val="000000"/>
      <w:sz w:val="21"/>
      <w:szCs w:val="21"/>
      <w:u w:val="none"/>
    </w:rPr>
  </w:style>
  <w:style w:type="character" w:customStyle="1" w:styleId="606">
    <w:name w:val="ca-491"/>
    <w:qFormat/>
    <w:uiPriority w:val="0"/>
    <w:rPr>
      <w:rFonts w:ascii="宋体" w:hAnsi="宋体" w:eastAsia="宋体" w:cs="Times New Roman"/>
      <w:spacing w:val="0"/>
      <w:sz w:val="32"/>
      <w:szCs w:val="32"/>
    </w:rPr>
  </w:style>
  <w:style w:type="character" w:customStyle="1" w:styleId="607">
    <w:name w:val="Heading 9 Char"/>
    <w:qFormat/>
    <w:locked/>
    <w:uiPriority w:val="0"/>
    <w:rPr>
      <w:rFonts w:ascii="Arial" w:hAnsi="Arial" w:eastAsia="黑体"/>
      <w:sz w:val="21"/>
      <w:lang w:val="en-US" w:eastAsia="zh-CN"/>
    </w:rPr>
  </w:style>
  <w:style w:type="character" w:customStyle="1" w:styleId="608">
    <w:name w:val="Char Char7"/>
    <w:qFormat/>
    <w:uiPriority w:val="0"/>
    <w:rPr>
      <w:rFonts w:ascii="Arial" w:hAnsi="Arial" w:eastAsia="黑体" w:cs="Times New Roman"/>
      <w:b/>
      <w:bCs/>
      <w:kern w:val="2"/>
      <w:sz w:val="32"/>
      <w:szCs w:val="32"/>
      <w:lang w:val="en-US" w:eastAsia="zh-CN" w:bidi="ar-SA"/>
    </w:rPr>
  </w:style>
  <w:style w:type="character" w:customStyle="1" w:styleId="609">
    <w:name w:val="批注主题 Char Char Char"/>
    <w:qFormat/>
    <w:uiPriority w:val="0"/>
    <w:rPr>
      <w:b/>
      <w:bCs/>
      <w:kern w:val="2"/>
      <w:sz w:val="21"/>
      <w:szCs w:val="24"/>
    </w:rPr>
  </w:style>
  <w:style w:type="character" w:customStyle="1" w:styleId="610">
    <w:name w:val="Heading 4 Char"/>
    <w:qFormat/>
    <w:locked/>
    <w:uiPriority w:val="0"/>
    <w:rPr>
      <w:rFonts w:ascii="Arial" w:hAnsi="Arial" w:eastAsia="黑体"/>
      <w:b/>
      <w:kern w:val="2"/>
      <w:sz w:val="28"/>
      <w:lang w:val="en-US" w:eastAsia="zh-CN"/>
    </w:rPr>
  </w:style>
  <w:style w:type="character" w:customStyle="1" w:styleId="611">
    <w:name w:val="ca-111"/>
    <w:qFormat/>
    <w:uiPriority w:val="0"/>
    <w:rPr>
      <w:rFonts w:ascii="Times New Roman" w:hAnsi="Times New Roman" w:cs="Times New Roman"/>
      <w:color w:val="000000"/>
      <w:sz w:val="30"/>
      <w:szCs w:val="30"/>
    </w:rPr>
  </w:style>
  <w:style w:type="character" w:customStyle="1" w:styleId="612">
    <w:name w:val="ca-301"/>
    <w:qFormat/>
    <w:uiPriority w:val="0"/>
    <w:rPr>
      <w:rFonts w:ascii="??" w:hAnsi="??" w:cs="Times New Roman"/>
      <w:color w:val="002060"/>
      <w:sz w:val="21"/>
      <w:szCs w:val="21"/>
    </w:rPr>
  </w:style>
  <w:style w:type="character" w:customStyle="1" w:styleId="613">
    <w:name w:val="op-map-singlepoint-info-right"/>
    <w:qFormat/>
    <w:uiPriority w:val="0"/>
    <w:rPr>
      <w:rFonts w:cs="Times New Roman"/>
    </w:rPr>
  </w:style>
  <w:style w:type="character" w:customStyle="1" w:styleId="614">
    <w:name w:val="ca-501"/>
    <w:qFormat/>
    <w:uiPriority w:val="0"/>
    <w:rPr>
      <w:rFonts w:ascii="宋体" w:hAnsi="宋体" w:eastAsia="宋体" w:cs="Times New Roman"/>
      <w:spacing w:val="0"/>
      <w:sz w:val="24"/>
      <w:szCs w:val="24"/>
    </w:rPr>
  </w:style>
  <w:style w:type="character" w:customStyle="1" w:styleId="615">
    <w:name w:val="普通文字 Char1"/>
    <w:qFormat/>
    <w:uiPriority w:val="0"/>
    <w:rPr>
      <w:rFonts w:ascii="宋体" w:hAnsi="Courier New" w:eastAsia="宋体"/>
      <w:kern w:val="2"/>
      <w:sz w:val="21"/>
      <w:lang w:val="en-US" w:eastAsia="zh-CN" w:bidi="ar-SA"/>
    </w:rPr>
  </w:style>
  <w:style w:type="character" w:customStyle="1" w:styleId="616">
    <w:name w:val="Subtle Emphasis1"/>
    <w:qFormat/>
    <w:uiPriority w:val="0"/>
    <w:rPr>
      <w:i/>
      <w:color w:val="808080"/>
    </w:rPr>
  </w:style>
  <w:style w:type="character" w:customStyle="1" w:styleId="617">
    <w:name w:val="批注主题 Char1"/>
    <w:qFormat/>
    <w:uiPriority w:val="0"/>
    <w:rPr>
      <w:b/>
      <w:kern w:val="2"/>
      <w:sz w:val="22"/>
    </w:rPr>
  </w:style>
  <w:style w:type="character" w:customStyle="1" w:styleId="618">
    <w:name w:val="标题 1 Char1"/>
    <w:qFormat/>
    <w:uiPriority w:val="0"/>
    <w:rPr>
      <w:rFonts w:eastAsia="宋体" w:cs="Times New Roman"/>
      <w:b/>
      <w:bCs/>
      <w:kern w:val="44"/>
      <w:sz w:val="44"/>
      <w:szCs w:val="44"/>
      <w:lang w:val="en-US" w:eastAsia="zh-CN" w:bidi="ar-SA"/>
    </w:rPr>
  </w:style>
  <w:style w:type="character" w:customStyle="1" w:styleId="619">
    <w:name w:val="Intense Emphasis1"/>
    <w:qFormat/>
    <w:uiPriority w:val="0"/>
    <w:rPr>
      <w:b/>
      <w:i/>
      <w:color w:val="4F81BD"/>
    </w:rPr>
  </w:style>
  <w:style w:type="character" w:customStyle="1" w:styleId="620">
    <w:name w:val="正文文本 3 Char1"/>
    <w:qFormat/>
    <w:uiPriority w:val="0"/>
    <w:rPr>
      <w:sz w:val="16"/>
      <w:szCs w:val="16"/>
    </w:rPr>
  </w:style>
  <w:style w:type="character" w:customStyle="1" w:styleId="621">
    <w:name w:val="textcontents"/>
    <w:qFormat/>
    <w:uiPriority w:val="0"/>
  </w:style>
  <w:style w:type="character" w:customStyle="1" w:styleId="622">
    <w:name w:val="style11"/>
    <w:qFormat/>
    <w:uiPriority w:val="0"/>
    <w:rPr>
      <w:rFonts w:cs="Times New Roman"/>
      <w:sz w:val="27"/>
      <w:szCs w:val="27"/>
    </w:rPr>
  </w:style>
  <w:style w:type="character" w:customStyle="1" w:styleId="623">
    <w:name w:val="ca-371"/>
    <w:qFormat/>
    <w:uiPriority w:val="0"/>
    <w:rPr>
      <w:rFonts w:ascii="宋体" w:hAnsi="宋体" w:eastAsia="宋体" w:cs="Times New Roman"/>
      <w:color w:val="000000"/>
      <w:spacing w:val="0"/>
      <w:sz w:val="21"/>
      <w:szCs w:val="21"/>
    </w:rPr>
  </w:style>
  <w:style w:type="character" w:customStyle="1" w:styleId="624">
    <w:name w:val="正文（首行缩进两字） Char"/>
    <w:qFormat/>
    <w:uiPriority w:val="0"/>
    <w:rPr>
      <w:rFonts w:eastAsia="宋体" w:cs="Times New Roman"/>
      <w:spacing w:val="14"/>
      <w:kern w:val="24"/>
      <w:sz w:val="24"/>
      <w:lang w:val="en-US" w:eastAsia="zh-CN" w:bidi="ar-SA"/>
    </w:rPr>
  </w:style>
  <w:style w:type="character" w:customStyle="1" w:styleId="625">
    <w:name w:val="ca-291"/>
    <w:qFormat/>
    <w:uiPriority w:val="0"/>
    <w:rPr>
      <w:rFonts w:ascii="宋体" w:hAnsi="宋体" w:eastAsia="宋体" w:cs="Times New Roman"/>
      <w:color w:val="7030A0"/>
      <w:sz w:val="21"/>
      <w:szCs w:val="21"/>
    </w:rPr>
  </w:style>
  <w:style w:type="character" w:customStyle="1" w:styleId="626">
    <w:name w:val="hover9"/>
    <w:qFormat/>
    <w:uiPriority w:val="0"/>
    <w:rPr>
      <w:shd w:val="clear" w:color="auto" w:fill="EEEEEE"/>
    </w:rPr>
  </w:style>
  <w:style w:type="character" w:customStyle="1" w:styleId="627">
    <w:name w:val="ca-311"/>
    <w:qFormat/>
    <w:uiPriority w:val="0"/>
    <w:rPr>
      <w:rFonts w:ascii="??" w:hAnsi="??" w:cs="Times New Roman"/>
      <w:color w:val="000000"/>
      <w:sz w:val="21"/>
      <w:szCs w:val="21"/>
    </w:rPr>
  </w:style>
  <w:style w:type="character" w:customStyle="1" w:styleId="628">
    <w:name w:val="Heading 8 Char"/>
    <w:qFormat/>
    <w:locked/>
    <w:uiPriority w:val="0"/>
    <w:rPr>
      <w:rFonts w:ascii="Arial" w:hAnsi="Arial" w:eastAsia="黑体"/>
      <w:sz w:val="24"/>
      <w:lang w:val="en-US" w:eastAsia="zh-CN"/>
    </w:rPr>
  </w:style>
  <w:style w:type="character" w:customStyle="1" w:styleId="629">
    <w:name w:val="Char Char91"/>
    <w:qFormat/>
    <w:uiPriority w:val="0"/>
    <w:rPr>
      <w:rFonts w:eastAsia="宋体" w:cs="Times New Roman"/>
      <w:color w:val="000000"/>
      <w:kern w:val="2"/>
      <w:sz w:val="24"/>
      <w:lang w:val="en-US" w:eastAsia="zh-CN" w:bidi="ar-SA"/>
    </w:rPr>
  </w:style>
  <w:style w:type="character" w:customStyle="1" w:styleId="630">
    <w:name w:val="ca-261"/>
    <w:qFormat/>
    <w:uiPriority w:val="0"/>
    <w:rPr>
      <w:rFonts w:ascii="宋体" w:hAnsi="宋体" w:eastAsia="宋体" w:cs="Times New Roman"/>
      <w:color w:val="002060"/>
      <w:sz w:val="21"/>
      <w:szCs w:val="21"/>
    </w:rPr>
  </w:style>
  <w:style w:type="character" w:customStyle="1" w:styleId="631">
    <w:name w:val="font21"/>
    <w:qFormat/>
    <w:uiPriority w:val="0"/>
    <w:rPr>
      <w:rFonts w:hint="eastAsia" w:ascii="宋体" w:hAnsi="宋体" w:eastAsia="宋体" w:cs="宋体"/>
      <w:color w:val="000000"/>
      <w:sz w:val="16"/>
      <w:szCs w:val="16"/>
      <w:u w:val="none"/>
    </w:rPr>
  </w:style>
  <w:style w:type="character" w:customStyle="1" w:styleId="632">
    <w:name w:val="ca-141"/>
    <w:qFormat/>
    <w:uiPriority w:val="0"/>
    <w:rPr>
      <w:rFonts w:ascii="Times New Roman" w:hAnsi="Times New Roman" w:cs="Times New Roman"/>
      <w:color w:val="000000"/>
      <w:sz w:val="24"/>
      <w:szCs w:val="24"/>
    </w:rPr>
  </w:style>
  <w:style w:type="character" w:customStyle="1" w:styleId="633">
    <w:name w:val="font01"/>
    <w:qFormat/>
    <w:uiPriority w:val="0"/>
    <w:rPr>
      <w:rFonts w:ascii="Calibri" w:hAnsi="Calibri" w:cs="Calibri"/>
      <w:color w:val="000000"/>
      <w:sz w:val="22"/>
      <w:szCs w:val="22"/>
      <w:u w:val="none"/>
    </w:rPr>
  </w:style>
  <w:style w:type="character" w:customStyle="1" w:styleId="634">
    <w:name w:val="日期 Char3"/>
    <w:qFormat/>
    <w:uiPriority w:val="0"/>
    <w:rPr>
      <w:rFonts w:eastAsia="仿宋_GB2312" w:cs="Times New Roman"/>
      <w:kern w:val="2"/>
      <w:sz w:val="28"/>
      <w:lang w:val="en-US" w:eastAsia="zh-CN" w:bidi="ar-SA"/>
    </w:rPr>
  </w:style>
  <w:style w:type="character" w:customStyle="1" w:styleId="635">
    <w:name w:val="DeltaView Insertion"/>
    <w:qFormat/>
    <w:uiPriority w:val="0"/>
  </w:style>
  <w:style w:type="character" w:customStyle="1" w:styleId="636">
    <w:name w:val="标题 Char2"/>
    <w:qFormat/>
    <w:uiPriority w:val="0"/>
    <w:rPr>
      <w:rFonts w:ascii="Arial" w:hAnsi="Arial" w:eastAsia="宋体" w:cs="Times New Roman"/>
      <w:b/>
      <w:sz w:val="32"/>
      <w:lang w:val="en-US" w:eastAsia="zh-CN" w:bidi="ar-SA"/>
    </w:rPr>
  </w:style>
  <w:style w:type="character" w:customStyle="1" w:styleId="637">
    <w:name w:val="font41"/>
    <w:qFormat/>
    <w:uiPriority w:val="0"/>
    <w:rPr>
      <w:rFonts w:hint="eastAsia" w:ascii="宋体" w:hAnsi="宋体" w:eastAsia="宋体" w:cs="宋体"/>
      <w:color w:val="000000"/>
      <w:sz w:val="21"/>
      <w:szCs w:val="21"/>
      <w:u w:val="none"/>
    </w:rPr>
  </w:style>
  <w:style w:type="character" w:customStyle="1" w:styleId="638">
    <w:name w:val="ca-271"/>
    <w:qFormat/>
    <w:uiPriority w:val="0"/>
    <w:rPr>
      <w:rFonts w:ascii="宋体" w:hAnsi="宋体" w:eastAsia="宋体" w:cs="Times New Roman"/>
      <w:b/>
      <w:bCs/>
      <w:color w:val="002060"/>
      <w:spacing w:val="-20"/>
      <w:sz w:val="21"/>
      <w:szCs w:val="21"/>
    </w:rPr>
  </w:style>
  <w:style w:type="character" w:customStyle="1" w:styleId="639">
    <w:name w:val="locality"/>
    <w:qFormat/>
    <w:uiPriority w:val="0"/>
    <w:rPr>
      <w:rFonts w:cs="Times New Roman"/>
    </w:rPr>
  </w:style>
  <w:style w:type="character" w:customStyle="1" w:styleId="640">
    <w:name w:val="Char Char12"/>
    <w:qFormat/>
    <w:uiPriority w:val="0"/>
    <w:rPr>
      <w:rFonts w:ascii="Courier New" w:hAnsi="Courier New" w:eastAsia="宋体" w:cs="Times New Roman"/>
      <w:kern w:val="2"/>
      <w:sz w:val="21"/>
      <w:lang w:val="en-US" w:eastAsia="zh-CN" w:bidi="ar-SA"/>
    </w:rPr>
  </w:style>
  <w:style w:type="character" w:customStyle="1" w:styleId="641">
    <w:name w:val="ca-451"/>
    <w:qFormat/>
    <w:uiPriority w:val="0"/>
    <w:rPr>
      <w:rFonts w:ascii="宋体" w:hAnsi="宋体" w:eastAsia="宋体" w:cs="Times New Roman"/>
      <w:color w:val="000000"/>
      <w:sz w:val="72"/>
      <w:szCs w:val="72"/>
    </w:rPr>
  </w:style>
  <w:style w:type="character" w:customStyle="1" w:styleId="642">
    <w:name w:val="chs1"/>
    <w:qFormat/>
    <w:uiPriority w:val="0"/>
    <w:rPr>
      <w:rFonts w:hint="default" w:ascii="_x000B__x000C_" w:hAnsi="_x000B__x000C_"/>
      <w:sz w:val="18"/>
      <w:szCs w:val="18"/>
    </w:rPr>
  </w:style>
  <w:style w:type="character" w:customStyle="1" w:styleId="643">
    <w:name w:val="Heading 7 Char"/>
    <w:qFormat/>
    <w:locked/>
    <w:uiPriority w:val="0"/>
    <w:rPr>
      <w:rFonts w:eastAsia="宋体"/>
      <w:b/>
      <w:sz w:val="24"/>
      <w:lang w:val="en-US" w:eastAsia="zh-CN"/>
    </w:rPr>
  </w:style>
  <w:style w:type="character" w:customStyle="1" w:styleId="644">
    <w:name w:val="font161"/>
    <w:qFormat/>
    <w:uiPriority w:val="0"/>
    <w:rPr>
      <w:rFonts w:cs="Times New Roman"/>
      <w:b/>
      <w:bCs/>
      <w:sz w:val="32"/>
      <w:szCs w:val="32"/>
    </w:rPr>
  </w:style>
  <w:style w:type="character" w:customStyle="1" w:styleId="645">
    <w:name w:val="ca-391"/>
    <w:qFormat/>
    <w:uiPriority w:val="0"/>
    <w:rPr>
      <w:rFonts w:ascii="宋体" w:hAnsi="宋体" w:eastAsia="宋体" w:cs="Times New Roman"/>
      <w:b/>
      <w:bCs/>
      <w:color w:val="000000"/>
      <w:spacing w:val="-20"/>
      <w:sz w:val="28"/>
      <w:szCs w:val="28"/>
    </w:rPr>
  </w:style>
  <w:style w:type="character" w:customStyle="1" w:styleId="646">
    <w:name w:val="日期 Char2"/>
    <w:qFormat/>
    <w:uiPriority w:val="0"/>
    <w:rPr>
      <w:rFonts w:ascii="宋体"/>
      <w:kern w:val="2"/>
      <w:sz w:val="28"/>
    </w:rPr>
  </w:style>
  <w:style w:type="character" w:customStyle="1" w:styleId="647">
    <w:name w:val="副标题 Char2"/>
    <w:qFormat/>
    <w:uiPriority w:val="0"/>
    <w:rPr>
      <w:rFonts w:ascii="Cambria" w:hAnsi="Cambria" w:cs="Times New Roman"/>
      <w:b/>
      <w:bCs/>
      <w:kern w:val="28"/>
      <w:sz w:val="32"/>
      <w:szCs w:val="32"/>
    </w:rPr>
  </w:style>
  <w:style w:type="character" w:customStyle="1" w:styleId="648">
    <w:name w:val="ca-310"/>
    <w:qFormat/>
    <w:uiPriority w:val="0"/>
    <w:rPr>
      <w:rFonts w:ascii="Times New Roman" w:hAnsi="Times New Roman" w:cs="Times New Roman"/>
      <w:b/>
      <w:bCs/>
      <w:color w:val="000000"/>
      <w:spacing w:val="-20"/>
      <w:sz w:val="48"/>
      <w:szCs w:val="48"/>
    </w:rPr>
  </w:style>
  <w:style w:type="character" w:customStyle="1" w:styleId="649">
    <w:name w:val="ca-481"/>
    <w:qFormat/>
    <w:uiPriority w:val="0"/>
    <w:rPr>
      <w:rFonts w:ascii="宋体" w:hAnsi="宋体" w:eastAsia="宋体" w:cs="Times New Roman"/>
      <w:color w:val="000000"/>
      <w:sz w:val="26"/>
      <w:szCs w:val="26"/>
    </w:rPr>
  </w:style>
  <w:style w:type="character" w:customStyle="1" w:styleId="650">
    <w:name w:val="页眉 Char2"/>
    <w:qFormat/>
    <w:uiPriority w:val="0"/>
    <w:rPr>
      <w:rFonts w:eastAsia="宋体" w:cs="Times New Roman"/>
      <w:kern w:val="2"/>
      <w:sz w:val="18"/>
      <w:szCs w:val="18"/>
      <w:lang w:val="en-US" w:eastAsia="zh-CN" w:bidi="ar-SA"/>
    </w:rPr>
  </w:style>
  <w:style w:type="character" w:customStyle="1" w:styleId="651">
    <w:name w:val="文档结构图 Char1"/>
    <w:qFormat/>
    <w:uiPriority w:val="0"/>
    <w:rPr>
      <w:rFonts w:ascii="宋体"/>
      <w:kern w:val="2"/>
      <w:sz w:val="18"/>
    </w:rPr>
  </w:style>
  <w:style w:type="character" w:customStyle="1" w:styleId="652">
    <w:name w:val="正文文本 Char1"/>
    <w:qFormat/>
    <w:uiPriority w:val="0"/>
    <w:rPr>
      <w:kern w:val="2"/>
      <w:sz w:val="22"/>
    </w:rPr>
  </w:style>
  <w:style w:type="character" w:customStyle="1" w:styleId="653">
    <w:name w:val="个人答复风格"/>
    <w:qFormat/>
    <w:uiPriority w:val="0"/>
    <w:rPr>
      <w:rFonts w:ascii="Arial" w:hAnsi="Arial" w:eastAsia="宋体" w:cs="Arial"/>
      <w:color w:val="auto"/>
      <w:sz w:val="20"/>
    </w:rPr>
  </w:style>
  <w:style w:type="character" w:customStyle="1" w:styleId="654">
    <w:name w:val="ca-401"/>
    <w:qFormat/>
    <w:uiPriority w:val="0"/>
    <w:rPr>
      <w:rFonts w:ascii="Times New Roman" w:hAnsi="Times New Roman" w:cs="Times New Roman"/>
      <w:sz w:val="20"/>
      <w:szCs w:val="20"/>
    </w:rPr>
  </w:style>
  <w:style w:type="character" w:customStyle="1" w:styleId="655">
    <w:name w:val="ca-341"/>
    <w:qFormat/>
    <w:uiPriority w:val="0"/>
    <w:rPr>
      <w:rFonts w:ascii="宋体" w:hAnsi="宋体" w:eastAsia="宋体" w:cs="Times New Roman"/>
      <w:color w:val="000000"/>
      <w:sz w:val="20"/>
      <w:szCs w:val="20"/>
    </w:rPr>
  </w:style>
  <w:style w:type="character" w:customStyle="1" w:styleId="656">
    <w:name w:val="普通文字 Char Char1"/>
    <w:qFormat/>
    <w:uiPriority w:val="0"/>
    <w:rPr>
      <w:rFonts w:ascii="宋体" w:hAnsi="Courier New" w:eastAsia="宋体" w:cs="Times New Roman"/>
      <w:kern w:val="2"/>
      <w:sz w:val="21"/>
      <w:lang w:val="en-US" w:eastAsia="zh-CN" w:bidi="ar-SA"/>
    </w:rPr>
  </w:style>
  <w:style w:type="character" w:customStyle="1" w:styleId="657">
    <w:name w:val="ca-91"/>
    <w:qFormat/>
    <w:uiPriority w:val="0"/>
    <w:rPr>
      <w:rFonts w:ascii="楷体_GB2312" w:eastAsia="楷体_GB2312" w:cs="Times New Roman"/>
      <w:color w:val="000000"/>
      <w:spacing w:val="20"/>
      <w:sz w:val="96"/>
      <w:szCs w:val="96"/>
    </w:rPr>
  </w:style>
  <w:style w:type="character" w:customStyle="1" w:styleId="658">
    <w:name w:val="ca-231"/>
    <w:qFormat/>
    <w:uiPriority w:val="0"/>
    <w:rPr>
      <w:rFonts w:ascii="Times New Roman" w:hAnsi="Times New Roman" w:cs="Times New Roman"/>
      <w:sz w:val="21"/>
      <w:szCs w:val="21"/>
    </w:rPr>
  </w:style>
  <w:style w:type="character" w:customStyle="1" w:styleId="659">
    <w:name w:val="by jerry Char Char"/>
    <w:qFormat/>
    <w:uiPriority w:val="0"/>
    <w:rPr>
      <w:rFonts w:eastAsia="宋体" w:cs="Times New Roman"/>
      <w:b/>
      <w:bCs/>
      <w:kern w:val="44"/>
      <w:sz w:val="44"/>
      <w:szCs w:val="44"/>
      <w:lang w:val="en-US" w:eastAsia="zh-CN" w:bidi="ar-SA"/>
    </w:rPr>
  </w:style>
  <w:style w:type="character" w:customStyle="1" w:styleId="660">
    <w:name w:val="批注主题 Char2"/>
    <w:qFormat/>
    <w:uiPriority w:val="0"/>
    <w:rPr>
      <w:rFonts w:ascii="宋体" w:hAnsi="宋体" w:eastAsia="宋体"/>
      <w:b/>
      <w:kern w:val="2"/>
      <w:sz w:val="24"/>
      <w:lang w:val="en-US" w:eastAsia="zh-CN"/>
    </w:rPr>
  </w:style>
  <w:style w:type="character" w:customStyle="1" w:styleId="661">
    <w:name w:val="hour_pm"/>
    <w:basedOn w:val="56"/>
    <w:qFormat/>
    <w:uiPriority w:val="0"/>
  </w:style>
  <w:style w:type="character" w:customStyle="1" w:styleId="662">
    <w:name w:val="ca-71"/>
    <w:qFormat/>
    <w:uiPriority w:val="0"/>
    <w:rPr>
      <w:rFonts w:ascii="Times New Roman" w:hAnsi="Times New Roman" w:cs="Times New Roman"/>
      <w:color w:val="000000"/>
      <w:sz w:val="28"/>
      <w:szCs w:val="28"/>
    </w:rPr>
  </w:style>
  <w:style w:type="character" w:customStyle="1" w:styleId="663">
    <w:name w:val="Char Char8"/>
    <w:qFormat/>
    <w:uiPriority w:val="0"/>
    <w:rPr>
      <w:rFonts w:ascii="Arial" w:hAnsi="Arial" w:eastAsia="黑体" w:cs="Times New Roman"/>
      <w:b/>
      <w:bCs/>
      <w:kern w:val="2"/>
      <w:sz w:val="32"/>
      <w:szCs w:val="32"/>
      <w:lang w:val="en-US" w:eastAsia="zh-CN" w:bidi="ar-SA"/>
    </w:rPr>
  </w:style>
  <w:style w:type="character" w:customStyle="1" w:styleId="664">
    <w:name w:val="Heading 3 Char"/>
    <w:qFormat/>
    <w:locked/>
    <w:uiPriority w:val="0"/>
    <w:rPr>
      <w:rFonts w:eastAsia="宋体"/>
      <w:b/>
      <w:kern w:val="2"/>
      <w:sz w:val="32"/>
      <w:lang w:val="en-US" w:eastAsia="zh-CN"/>
    </w:rPr>
  </w:style>
  <w:style w:type="character" w:customStyle="1" w:styleId="665">
    <w:name w:val="ca-131"/>
    <w:qFormat/>
    <w:uiPriority w:val="0"/>
    <w:rPr>
      <w:rFonts w:ascii="宋体" w:hAnsi="宋体" w:eastAsia="宋体" w:cs="Times New Roman"/>
      <w:color w:val="000000"/>
      <w:sz w:val="32"/>
      <w:szCs w:val="32"/>
    </w:rPr>
  </w:style>
  <w:style w:type="character" w:customStyle="1" w:styleId="666">
    <w:name w:val="Char Char121"/>
    <w:qFormat/>
    <w:uiPriority w:val="0"/>
    <w:rPr>
      <w:rFonts w:ascii="Arial" w:hAnsi="Arial" w:eastAsia="宋体" w:cs="Times New Roman"/>
      <w:b/>
      <w:sz w:val="32"/>
      <w:lang w:val="en-US" w:eastAsia="zh-CN" w:bidi="ar-SA"/>
    </w:rPr>
  </w:style>
  <w:style w:type="character" w:customStyle="1" w:styleId="667">
    <w:name w:val="ca-61"/>
    <w:qFormat/>
    <w:uiPriority w:val="0"/>
    <w:rPr>
      <w:rFonts w:ascii="宋体" w:hAnsi="宋体" w:eastAsia="宋体" w:cs="Times New Roman"/>
      <w:color w:val="000000"/>
      <w:sz w:val="30"/>
      <w:szCs w:val="30"/>
    </w:rPr>
  </w:style>
  <w:style w:type="character" w:customStyle="1" w:styleId="668">
    <w:name w:val="ca-241"/>
    <w:qFormat/>
    <w:uiPriority w:val="0"/>
    <w:rPr>
      <w:rFonts w:ascii="宋体" w:hAnsi="宋体" w:eastAsia="宋体" w:cs="Times New Roman"/>
      <w:sz w:val="24"/>
      <w:szCs w:val="24"/>
    </w:rPr>
  </w:style>
  <w:style w:type="character" w:customStyle="1" w:styleId="669">
    <w:name w:val="Heading 6 Char"/>
    <w:qFormat/>
    <w:locked/>
    <w:uiPriority w:val="0"/>
    <w:rPr>
      <w:rFonts w:ascii="Arial" w:hAnsi="Arial" w:eastAsia="黑体"/>
      <w:b/>
      <w:sz w:val="24"/>
      <w:lang w:val="en-US" w:eastAsia="zh-CN"/>
    </w:rPr>
  </w:style>
  <w:style w:type="character" w:customStyle="1" w:styleId="670">
    <w:name w:val="ca-351"/>
    <w:qFormat/>
    <w:uiPriority w:val="0"/>
    <w:rPr>
      <w:rFonts w:ascii="Times New Roman" w:hAnsi="Times New Roman" w:cs="Times New Roman"/>
      <w:sz w:val="10"/>
      <w:szCs w:val="10"/>
    </w:rPr>
  </w:style>
  <w:style w:type="character" w:customStyle="1" w:styleId="671">
    <w:name w:val="ca-251"/>
    <w:qFormat/>
    <w:uiPriority w:val="0"/>
    <w:rPr>
      <w:rFonts w:ascii="Times New Roman" w:hAnsi="Times New Roman" w:cs="Times New Roman"/>
      <w:sz w:val="21"/>
      <w:szCs w:val="21"/>
    </w:rPr>
  </w:style>
  <w:style w:type="character" w:customStyle="1" w:styleId="672">
    <w:name w:val="hour_am"/>
    <w:basedOn w:val="56"/>
    <w:qFormat/>
    <w:uiPriority w:val="0"/>
  </w:style>
  <w:style w:type="character" w:customStyle="1" w:styleId="673">
    <w:name w:val="标题 Char1"/>
    <w:qFormat/>
    <w:uiPriority w:val="0"/>
    <w:rPr>
      <w:rFonts w:ascii="Arial" w:hAnsi="Arial" w:eastAsia="宋体" w:cs="Times New Roman"/>
      <w:b/>
      <w:sz w:val="32"/>
      <w:lang w:val="en-US" w:eastAsia="zh-CN" w:bidi="ar-SA"/>
    </w:rPr>
  </w:style>
  <w:style w:type="character" w:customStyle="1" w:styleId="674">
    <w:name w:val="署名 Char"/>
    <w:qFormat/>
    <w:uiPriority w:val="0"/>
    <w:rPr>
      <w:rFonts w:ascii="宋体" w:eastAsia="宋体" w:cs="Times New Roman"/>
      <w:snapToGrid w:val="0"/>
      <w:color w:val="000000"/>
      <w:kern w:val="28"/>
      <w:sz w:val="28"/>
      <w:lang w:val="en-US" w:eastAsia="zh-CN" w:bidi="ar-SA"/>
    </w:rPr>
  </w:style>
  <w:style w:type="character" w:customStyle="1" w:styleId="675">
    <w:name w:val="样式 正文缩进正文（首行缩进两字）特点ALT+Z表正文正文非缩进四号段1Normal Indent Char2... Char"/>
    <w:qFormat/>
    <w:uiPriority w:val="0"/>
    <w:rPr>
      <w:rFonts w:ascii="Arial" w:hAnsi="Arial" w:eastAsia="宋体"/>
      <w:b/>
      <w:bCs/>
      <w:kern w:val="2"/>
      <w:sz w:val="32"/>
      <w:szCs w:val="32"/>
      <w:lang w:val="en-US" w:eastAsia="zh-CN" w:bidi="ar-SA"/>
    </w:rPr>
  </w:style>
  <w:style w:type="character" w:customStyle="1" w:styleId="676">
    <w:name w:val="明显引用 Char1"/>
    <w:qFormat/>
    <w:uiPriority w:val="0"/>
    <w:rPr>
      <w:rFonts w:cs="Times New Roman"/>
      <w:b/>
      <w:bCs/>
      <w:i/>
      <w:iCs/>
      <w:color w:val="4F81BD"/>
      <w:kern w:val="2"/>
      <w:sz w:val="24"/>
      <w:szCs w:val="24"/>
    </w:rPr>
  </w:style>
  <w:style w:type="character" w:customStyle="1" w:styleId="677">
    <w:name w:val="apple-style-span"/>
    <w:qFormat/>
    <w:uiPriority w:val="0"/>
    <w:rPr>
      <w:rFonts w:cs="Times New Roman"/>
    </w:rPr>
  </w:style>
  <w:style w:type="character" w:customStyle="1" w:styleId="678">
    <w:name w:val="标书1 Char"/>
    <w:qFormat/>
    <w:uiPriority w:val="0"/>
    <w:rPr>
      <w:rFonts w:ascii="宋体" w:hAnsi="Times New Roman" w:eastAsia="宋体" w:cs="Times New Roman"/>
      <w:b/>
      <w:kern w:val="44"/>
      <w:sz w:val="24"/>
      <w:szCs w:val="20"/>
    </w:rPr>
  </w:style>
  <w:style w:type="character" w:customStyle="1" w:styleId="679">
    <w:name w:val="ca-171"/>
    <w:qFormat/>
    <w:uiPriority w:val="0"/>
    <w:rPr>
      <w:rFonts w:ascii="Times New Roman" w:hAnsi="Times New Roman" w:cs="Times New Roman"/>
      <w:b/>
      <w:bCs/>
      <w:spacing w:val="-20"/>
      <w:sz w:val="24"/>
      <w:szCs w:val="24"/>
    </w:rPr>
  </w:style>
  <w:style w:type="character" w:customStyle="1" w:styleId="680">
    <w:name w:val="手改 Char Char"/>
    <w:qFormat/>
    <w:uiPriority w:val="0"/>
    <w:rPr>
      <w:rFonts w:eastAsia="宋体" w:cs="Times New Roman"/>
      <w:kern w:val="2"/>
      <w:sz w:val="24"/>
      <w:szCs w:val="24"/>
      <w:lang w:val="en-US" w:eastAsia="zh-CN" w:bidi="ar-SA"/>
    </w:rPr>
  </w:style>
  <w:style w:type="character" w:customStyle="1" w:styleId="681">
    <w:name w:val="Footer-Even Char"/>
    <w:qFormat/>
    <w:uiPriority w:val="0"/>
    <w:rPr>
      <w:rFonts w:eastAsia="宋体" w:cs="Times New Roman"/>
      <w:kern w:val="2"/>
      <w:sz w:val="18"/>
      <w:szCs w:val="18"/>
      <w:lang w:val="en-US" w:eastAsia="zh-CN" w:bidi="ar-SA"/>
    </w:rPr>
  </w:style>
  <w:style w:type="character" w:customStyle="1" w:styleId="682">
    <w:name w:val="ca-151"/>
    <w:qFormat/>
    <w:uiPriority w:val="0"/>
    <w:rPr>
      <w:rFonts w:ascii="宋体" w:hAnsi="宋体" w:eastAsia="宋体" w:cs="Times New Roman"/>
      <w:caps/>
      <w:color w:val="000000"/>
      <w:sz w:val="24"/>
      <w:szCs w:val="24"/>
    </w:rPr>
  </w:style>
  <w:style w:type="character" w:customStyle="1" w:styleId="683">
    <w:name w:val="Char Char"/>
    <w:qFormat/>
    <w:uiPriority w:val="0"/>
    <w:rPr>
      <w:rFonts w:ascii="楷体_GB2312" w:hAnsi="Times New Roman" w:eastAsia="楷体_GB2312"/>
      <w:kern w:val="2"/>
      <w:sz w:val="32"/>
    </w:rPr>
  </w:style>
  <w:style w:type="character" w:customStyle="1" w:styleId="684">
    <w:name w:val="标题 Char3"/>
    <w:qFormat/>
    <w:uiPriority w:val="0"/>
    <w:rPr>
      <w:rFonts w:ascii="Cambria" w:hAnsi="Cambria" w:cs="Times New Roman"/>
      <w:b/>
      <w:bCs/>
      <w:sz w:val="32"/>
      <w:szCs w:val="32"/>
    </w:rPr>
  </w:style>
  <w:style w:type="character" w:customStyle="1" w:styleId="685">
    <w:name w:val="Book Title1"/>
    <w:qFormat/>
    <w:uiPriority w:val="0"/>
    <w:rPr>
      <w:b/>
      <w:smallCaps/>
      <w:spacing w:val="5"/>
    </w:rPr>
  </w:style>
  <w:style w:type="character" w:customStyle="1" w:styleId="686">
    <w:name w:val="ca-101"/>
    <w:qFormat/>
    <w:uiPriority w:val="0"/>
    <w:rPr>
      <w:rFonts w:ascii="Times New Roman" w:hAnsi="Times New Roman" w:cs="Times New Roman"/>
      <w:color w:val="000000"/>
      <w:sz w:val="52"/>
      <w:szCs w:val="52"/>
    </w:rPr>
  </w:style>
  <w:style w:type="character" w:customStyle="1" w:styleId="687">
    <w:name w:val="Header Char1"/>
    <w:qFormat/>
    <w:locked/>
    <w:uiPriority w:val="0"/>
    <w:rPr>
      <w:rFonts w:eastAsia="宋体" w:cs="Times New Roman"/>
      <w:kern w:val="2"/>
      <w:sz w:val="18"/>
      <w:szCs w:val="18"/>
      <w:lang w:val="en-US" w:eastAsia="zh-CN" w:bidi="ar-SA"/>
    </w:rPr>
  </w:style>
  <w:style w:type="character" w:customStyle="1" w:styleId="688">
    <w:name w:val="正文文本缩进 2 Char"/>
    <w:qFormat/>
    <w:uiPriority w:val="0"/>
    <w:rPr>
      <w:sz w:val="21"/>
    </w:rPr>
  </w:style>
  <w:style w:type="character" w:customStyle="1" w:styleId="689">
    <w:name w:val="ca-54"/>
    <w:qFormat/>
    <w:uiPriority w:val="0"/>
    <w:rPr>
      <w:rFonts w:ascii="宋体" w:hAnsi="宋体" w:eastAsia="宋体" w:cs="Times New Roman"/>
      <w:b/>
      <w:bCs/>
      <w:color w:val="000000"/>
      <w:spacing w:val="40"/>
      <w:sz w:val="48"/>
      <w:szCs w:val="48"/>
    </w:rPr>
  </w:style>
  <w:style w:type="character" w:customStyle="1" w:styleId="690">
    <w:name w:val="h Char Char"/>
    <w:qFormat/>
    <w:uiPriority w:val="0"/>
    <w:rPr>
      <w:rFonts w:eastAsia="宋体"/>
      <w:kern w:val="2"/>
      <w:sz w:val="18"/>
      <w:szCs w:val="18"/>
      <w:lang w:val="en-US" w:eastAsia="zh-CN" w:bidi="ar-SA"/>
    </w:rPr>
  </w:style>
  <w:style w:type="character" w:customStyle="1" w:styleId="691">
    <w:name w:val="ca-121"/>
    <w:qFormat/>
    <w:uiPriority w:val="0"/>
    <w:rPr>
      <w:rFonts w:ascii="Times New Roman" w:hAnsi="Times New Roman" w:cs="Times New Roman"/>
      <w:color w:val="000000"/>
      <w:sz w:val="32"/>
      <w:szCs w:val="32"/>
    </w:rPr>
  </w:style>
  <w:style w:type="character" w:customStyle="1" w:styleId="692">
    <w:name w:val="font51"/>
    <w:qFormat/>
    <w:uiPriority w:val="0"/>
    <w:rPr>
      <w:rFonts w:hint="eastAsia" w:ascii="宋体" w:hAnsi="宋体" w:eastAsia="宋体" w:cs="宋体"/>
      <w:color w:val="000000"/>
      <w:sz w:val="22"/>
      <w:szCs w:val="22"/>
      <w:u w:val="none"/>
    </w:rPr>
  </w:style>
  <w:style w:type="character" w:customStyle="1" w:styleId="693">
    <w:name w:val="Heading 7 Char1"/>
    <w:qFormat/>
    <w:locked/>
    <w:uiPriority w:val="0"/>
    <w:rPr>
      <w:rFonts w:cs="Times New Roman"/>
      <w:b/>
      <w:bCs/>
      <w:kern w:val="2"/>
      <w:sz w:val="24"/>
      <w:szCs w:val="24"/>
    </w:rPr>
  </w:style>
  <w:style w:type="character" w:customStyle="1" w:styleId="694">
    <w:name w:val="批注文字 Char Char"/>
    <w:qFormat/>
    <w:uiPriority w:val="0"/>
    <w:rPr>
      <w:rFonts w:ascii="宋体" w:hAnsi="Times New Roman" w:eastAsia="宋体"/>
      <w:sz w:val="20"/>
    </w:rPr>
  </w:style>
  <w:style w:type="character" w:customStyle="1" w:styleId="695">
    <w:name w:val="Balloon Text Char"/>
    <w:qFormat/>
    <w:locked/>
    <w:uiPriority w:val="0"/>
    <w:rPr>
      <w:rFonts w:eastAsia="宋体"/>
      <w:kern w:val="2"/>
      <w:sz w:val="18"/>
      <w:lang w:val="en-US" w:eastAsia="zh-CN"/>
    </w:rPr>
  </w:style>
  <w:style w:type="character" w:customStyle="1" w:styleId="696">
    <w:name w:val="Document Map Char"/>
    <w:qFormat/>
    <w:locked/>
    <w:uiPriority w:val="0"/>
    <w:rPr>
      <w:rFonts w:eastAsia="宋体"/>
      <w:kern w:val="2"/>
      <w:sz w:val="24"/>
      <w:lang w:val="en-US" w:eastAsia="zh-CN"/>
    </w:rPr>
  </w:style>
  <w:style w:type="character" w:customStyle="1" w:styleId="697">
    <w:name w:val="ca-471"/>
    <w:qFormat/>
    <w:uiPriority w:val="0"/>
    <w:rPr>
      <w:rFonts w:ascii="宋体" w:hAnsi="宋体" w:eastAsia="宋体" w:cs="Times New Roman"/>
      <w:b/>
      <w:bCs/>
      <w:color w:val="000000"/>
      <w:spacing w:val="-20"/>
      <w:sz w:val="24"/>
      <w:szCs w:val="24"/>
    </w:rPr>
  </w:style>
  <w:style w:type="character" w:customStyle="1" w:styleId="698">
    <w:name w:val="ca-410"/>
    <w:qFormat/>
    <w:uiPriority w:val="0"/>
    <w:rPr>
      <w:rFonts w:ascii="宋体" w:hAnsi="宋体" w:eastAsia="宋体" w:cs="Times New Roman"/>
      <w:b/>
      <w:bCs/>
      <w:color w:val="000000"/>
      <w:spacing w:val="-20"/>
      <w:sz w:val="48"/>
      <w:szCs w:val="48"/>
    </w:rPr>
  </w:style>
  <w:style w:type="character" w:customStyle="1" w:styleId="699">
    <w:name w:val="ca-441"/>
    <w:qFormat/>
    <w:uiPriority w:val="0"/>
    <w:rPr>
      <w:rFonts w:ascii="宋体" w:hAnsi="宋体" w:eastAsia="宋体" w:cs="Times New Roman"/>
      <w:color w:val="000000"/>
      <w:sz w:val="52"/>
      <w:szCs w:val="52"/>
    </w:rPr>
  </w:style>
  <w:style w:type="character" w:customStyle="1" w:styleId="700">
    <w:name w:val="个人撰写风格"/>
    <w:qFormat/>
    <w:uiPriority w:val="0"/>
    <w:rPr>
      <w:rFonts w:ascii="Arial" w:hAnsi="Arial" w:eastAsia="宋体" w:cs="Arial"/>
      <w:color w:val="auto"/>
      <w:sz w:val="20"/>
    </w:rPr>
  </w:style>
  <w:style w:type="character" w:customStyle="1" w:styleId="701">
    <w:name w:val="ca-281"/>
    <w:qFormat/>
    <w:uiPriority w:val="0"/>
    <w:rPr>
      <w:rFonts w:ascii="宋体" w:hAnsi="宋体" w:eastAsia="宋体" w:cs="Times New Roman"/>
      <w:color w:val="FF0000"/>
      <w:sz w:val="21"/>
      <w:szCs w:val="21"/>
    </w:rPr>
  </w:style>
  <w:style w:type="character" w:customStyle="1" w:styleId="702">
    <w:name w:val="Plain Text Char"/>
    <w:qFormat/>
    <w:locked/>
    <w:uiPriority w:val="0"/>
    <w:rPr>
      <w:rFonts w:ascii="宋体" w:hAnsi="Courier New" w:eastAsia="宋体" w:cs="Times New Roman"/>
      <w:kern w:val="2"/>
      <w:sz w:val="21"/>
      <w:lang w:val="en-US" w:eastAsia="zh-CN" w:bidi="ar-SA"/>
    </w:rPr>
  </w:style>
  <w:style w:type="character" w:customStyle="1" w:styleId="703">
    <w:name w:val="Body Text Char"/>
    <w:qFormat/>
    <w:locked/>
    <w:uiPriority w:val="0"/>
    <w:rPr>
      <w:rFonts w:eastAsia="宋体"/>
      <w:kern w:val="2"/>
      <w:sz w:val="24"/>
      <w:lang w:val="en-US" w:eastAsia="zh-CN"/>
    </w:rPr>
  </w:style>
  <w:style w:type="character" w:customStyle="1" w:styleId="704">
    <w:name w:val="Date Char"/>
    <w:qFormat/>
    <w:locked/>
    <w:uiPriority w:val="0"/>
    <w:rPr>
      <w:rFonts w:eastAsia="宋体"/>
      <w:kern w:val="2"/>
      <w:sz w:val="24"/>
      <w:lang w:val="en-US" w:eastAsia="zh-CN"/>
    </w:rPr>
  </w:style>
  <w:style w:type="character" w:customStyle="1" w:styleId="705">
    <w:name w:val="Footer Char"/>
    <w:qFormat/>
    <w:locked/>
    <w:uiPriority w:val="0"/>
    <w:rPr>
      <w:rFonts w:eastAsia="宋体"/>
      <w:kern w:val="2"/>
      <w:sz w:val="18"/>
      <w:lang w:val="en-US" w:eastAsia="zh-CN"/>
    </w:rPr>
  </w:style>
  <w:style w:type="character" w:customStyle="1" w:styleId="706">
    <w:name w:val="ca-331"/>
    <w:qFormat/>
    <w:uiPriority w:val="0"/>
    <w:rPr>
      <w:rFonts w:ascii="宋体" w:hAnsi="宋体" w:eastAsia="宋体" w:cs="Times New Roman"/>
      <w:b/>
      <w:bCs/>
      <w:color w:val="002060"/>
      <w:spacing w:val="-20"/>
      <w:sz w:val="20"/>
      <w:szCs w:val="20"/>
    </w:rPr>
  </w:style>
  <w:style w:type="character" w:customStyle="1" w:styleId="707">
    <w:name w:val="Char Char3"/>
    <w:qFormat/>
    <w:uiPriority w:val="0"/>
    <w:rPr>
      <w:rFonts w:ascii="Arial" w:hAnsi="Arial" w:eastAsia="黑体" w:cs="Times New Roman"/>
      <w:b/>
      <w:bCs/>
      <w:kern w:val="2"/>
      <w:sz w:val="32"/>
      <w:szCs w:val="32"/>
      <w:lang w:val="en-US" w:eastAsia="zh-CN" w:bidi="ar-SA"/>
    </w:rPr>
  </w:style>
  <w:style w:type="character" w:customStyle="1" w:styleId="708">
    <w:name w:val="Subtle Reference1"/>
    <w:qFormat/>
    <w:uiPriority w:val="0"/>
    <w:rPr>
      <w:smallCaps/>
      <w:color w:val="C0504D"/>
      <w:u w:val="single"/>
    </w:rPr>
  </w:style>
  <w:style w:type="character" w:customStyle="1" w:styleId="709">
    <w:name w:val="样式 正文（首行缩进两字） + 宋体 Char"/>
    <w:qFormat/>
    <w:uiPriority w:val="0"/>
    <w:rPr>
      <w:rFonts w:ascii="宋体" w:hAnsi="宋体" w:eastAsia="宋体" w:cs="Times New Roman"/>
      <w:spacing w:val="6"/>
      <w:kern w:val="24"/>
      <w:sz w:val="24"/>
      <w:szCs w:val="24"/>
      <w:lang w:val="en-US" w:eastAsia="zh-CN" w:bidi="ar-SA"/>
    </w:rPr>
  </w:style>
  <w:style w:type="character" w:customStyle="1" w:styleId="710">
    <w:name w:val="ca-221"/>
    <w:qFormat/>
    <w:uiPriority w:val="0"/>
    <w:rPr>
      <w:rFonts w:ascii="宋体" w:hAnsi="宋体" w:eastAsia="宋体" w:cs="Times New Roman"/>
      <w:sz w:val="21"/>
      <w:szCs w:val="21"/>
    </w:rPr>
  </w:style>
  <w:style w:type="character" w:customStyle="1" w:styleId="711">
    <w:name w:val="Heading 3 - old Char"/>
    <w:qFormat/>
    <w:uiPriority w:val="0"/>
    <w:rPr>
      <w:rFonts w:eastAsia="宋体" w:cs="Times New Roman"/>
      <w:b/>
      <w:bCs/>
      <w:kern w:val="2"/>
      <w:sz w:val="32"/>
      <w:szCs w:val="32"/>
      <w:lang w:val="en-US" w:eastAsia="zh-CN" w:bidi="ar-SA"/>
    </w:rPr>
  </w:style>
  <w:style w:type="character" w:customStyle="1" w:styleId="712">
    <w:name w:val="样式 标题 4 + 非加粗 Char"/>
    <w:qFormat/>
    <w:uiPriority w:val="0"/>
    <w:rPr>
      <w:rFonts w:ascii="Arial" w:hAnsi="Arial" w:eastAsia="宋体" w:cs="Times New Roman"/>
      <w:b/>
      <w:bCs/>
      <w:spacing w:val="4"/>
      <w:kern w:val="2"/>
      <w:sz w:val="24"/>
      <w:szCs w:val="24"/>
      <w:lang w:val="en-US" w:eastAsia="zh-CN" w:bidi="ar-SA"/>
    </w:rPr>
  </w:style>
  <w:style w:type="character" w:customStyle="1" w:styleId="713">
    <w:name w:val="country-name"/>
    <w:qFormat/>
    <w:uiPriority w:val="0"/>
    <w:rPr>
      <w:rFonts w:cs="Times New Roman"/>
    </w:rPr>
  </w:style>
  <w:style w:type="character" w:customStyle="1" w:styleId="714">
    <w:name w:val="street-address"/>
    <w:qFormat/>
    <w:uiPriority w:val="0"/>
    <w:rPr>
      <w:rFonts w:cs="Times New Roman"/>
    </w:rPr>
  </w:style>
  <w:style w:type="character" w:customStyle="1" w:styleId="715">
    <w:name w:val="批注框文本 Char1"/>
    <w:qFormat/>
    <w:uiPriority w:val="0"/>
    <w:rPr>
      <w:kern w:val="2"/>
      <w:sz w:val="18"/>
    </w:rPr>
  </w:style>
  <w:style w:type="character" w:customStyle="1" w:styleId="716">
    <w:name w:val="表正文 Char1"/>
    <w:qFormat/>
    <w:uiPriority w:val="0"/>
    <w:rPr>
      <w:rFonts w:eastAsia="宋体" w:cs="Times New Roman"/>
      <w:kern w:val="2"/>
      <w:sz w:val="24"/>
      <w:szCs w:val="24"/>
      <w:lang w:val="en-US" w:eastAsia="zh-CN" w:bidi="ar-SA"/>
    </w:rPr>
  </w:style>
  <w:style w:type="character" w:customStyle="1" w:styleId="717">
    <w:name w:val="ca-411"/>
    <w:qFormat/>
    <w:uiPriority w:val="0"/>
    <w:rPr>
      <w:rFonts w:ascii="宋体" w:hAnsi="宋体" w:eastAsia="宋体" w:cs="Times New Roman"/>
      <w:b/>
      <w:bCs/>
      <w:color w:val="000000"/>
      <w:spacing w:val="-20"/>
      <w:sz w:val="32"/>
      <w:szCs w:val="32"/>
    </w:rPr>
  </w:style>
  <w:style w:type="character" w:customStyle="1" w:styleId="718">
    <w:name w:val="ca-461"/>
    <w:qFormat/>
    <w:uiPriority w:val="0"/>
    <w:rPr>
      <w:rFonts w:ascii="宋体" w:hAnsi="宋体" w:eastAsia="宋体" w:cs="Times New Roman"/>
      <w:color w:val="000000"/>
      <w:spacing w:val="-20"/>
      <w:sz w:val="28"/>
      <w:szCs w:val="28"/>
    </w:rPr>
  </w:style>
  <w:style w:type="character" w:customStyle="1" w:styleId="719">
    <w:name w:val="font31"/>
    <w:qFormat/>
    <w:uiPriority w:val="0"/>
    <w:rPr>
      <w:rFonts w:hint="default" w:ascii="Times New Roman" w:hAnsi="Times New Roman" w:cs="Times New Roman"/>
      <w:color w:val="000000"/>
      <w:sz w:val="21"/>
      <w:szCs w:val="21"/>
      <w:u w:val="none"/>
    </w:rPr>
  </w:style>
  <w:style w:type="character" w:customStyle="1" w:styleId="720">
    <w:name w:val="ca-521"/>
    <w:qFormat/>
    <w:uiPriority w:val="0"/>
    <w:rPr>
      <w:rFonts w:ascii="宋体" w:hAnsi="宋体" w:eastAsia="宋体" w:cs="Times New Roman"/>
      <w:b/>
      <w:bCs/>
      <w:spacing w:val="-20"/>
      <w:sz w:val="36"/>
      <w:szCs w:val="36"/>
    </w:rPr>
  </w:style>
  <w:style w:type="character" w:customStyle="1" w:styleId="721">
    <w:name w:val="正文首行缩进 Char"/>
    <w:qFormat/>
    <w:uiPriority w:val="0"/>
    <w:rPr>
      <w:rFonts w:ascii="宋体" w:eastAsia="宋体" w:cs="Times New Roman"/>
      <w:kern w:val="2"/>
      <w:sz w:val="24"/>
      <w:szCs w:val="24"/>
      <w:lang w:val="zh-CN" w:eastAsia="zh-CN" w:bidi="ar-SA"/>
    </w:rPr>
  </w:style>
  <w:style w:type="character" w:customStyle="1" w:styleId="722">
    <w:name w:val="Intense Reference1"/>
    <w:qFormat/>
    <w:uiPriority w:val="0"/>
    <w:rPr>
      <w:b/>
      <w:smallCaps/>
      <w:color w:val="C0504D"/>
      <w:spacing w:val="5"/>
      <w:u w:val="single"/>
    </w:rPr>
  </w:style>
  <w:style w:type="character" w:customStyle="1" w:styleId="723">
    <w:name w:val="old"/>
    <w:qFormat/>
    <w:uiPriority w:val="0"/>
    <w:rPr>
      <w:color w:val="999999"/>
    </w:rPr>
  </w:style>
  <w:style w:type="character" w:customStyle="1" w:styleId="724">
    <w:name w:val="批注框文本 Char2"/>
    <w:qFormat/>
    <w:uiPriority w:val="0"/>
    <w:rPr>
      <w:rFonts w:ascii="宋体"/>
      <w:kern w:val="2"/>
      <w:sz w:val="18"/>
    </w:rPr>
  </w:style>
  <w:style w:type="character" w:customStyle="1" w:styleId="725">
    <w:name w:val="页眉 Char1"/>
    <w:qFormat/>
    <w:uiPriority w:val="0"/>
    <w:rPr>
      <w:rFonts w:eastAsia="宋体" w:cs="Times New Roman"/>
      <w:kern w:val="2"/>
      <w:sz w:val="18"/>
      <w:szCs w:val="18"/>
      <w:lang w:val="en-US" w:eastAsia="zh-CN" w:bidi="ar-SA"/>
    </w:rPr>
  </w:style>
  <w:style w:type="character" w:customStyle="1" w:styleId="726">
    <w:name w:val="Normal Indent Char"/>
    <w:qFormat/>
    <w:locked/>
    <w:uiPriority w:val="0"/>
    <w:rPr>
      <w:rFonts w:ascii="宋体" w:eastAsia="宋体" w:cs="Times New Roman"/>
      <w:snapToGrid w:val="0"/>
      <w:color w:val="000000"/>
      <w:kern w:val="28"/>
      <w:sz w:val="28"/>
      <w:lang w:val="en-US" w:eastAsia="zh-CN" w:bidi="ar-SA"/>
    </w:rPr>
  </w:style>
  <w:style w:type="character" w:customStyle="1" w:styleId="727">
    <w:name w:val="ca-431"/>
    <w:qFormat/>
    <w:uiPriority w:val="0"/>
    <w:rPr>
      <w:rFonts w:ascii="宋体" w:hAnsi="宋体" w:eastAsia="宋体" w:cs="Times New Roman"/>
      <w:color w:val="000000"/>
      <w:sz w:val="44"/>
      <w:szCs w:val="44"/>
    </w:rPr>
  </w:style>
  <w:style w:type="character" w:customStyle="1" w:styleId="728">
    <w:name w:val="日期 Char1"/>
    <w:qFormat/>
    <w:uiPriority w:val="0"/>
    <w:rPr>
      <w:kern w:val="2"/>
      <w:sz w:val="22"/>
    </w:rPr>
  </w:style>
  <w:style w:type="character" w:customStyle="1" w:styleId="729">
    <w:name w:val="ca-201"/>
    <w:qFormat/>
    <w:uiPriority w:val="0"/>
    <w:rPr>
      <w:rFonts w:ascii="??" w:hAnsi="??" w:cs="Times New Roman"/>
      <w:color w:val="000000"/>
      <w:sz w:val="18"/>
      <w:szCs w:val="18"/>
    </w:rPr>
  </w:style>
  <w:style w:type="character" w:customStyle="1" w:styleId="730">
    <w:name w:val="引用 Char1"/>
    <w:qFormat/>
    <w:uiPriority w:val="0"/>
    <w:rPr>
      <w:rFonts w:cs="Times New Roman"/>
      <w:i/>
      <w:iCs/>
      <w:color w:val="000000"/>
      <w:kern w:val="2"/>
      <w:sz w:val="24"/>
      <w:szCs w:val="24"/>
    </w:rPr>
  </w:style>
  <w:style w:type="character" w:customStyle="1" w:styleId="731">
    <w:name w:val="纯文本 字符1"/>
    <w:qFormat/>
    <w:uiPriority w:val="99"/>
    <w:rPr>
      <w:rFonts w:ascii="宋体" w:hAnsi="Courier New" w:eastAsia="宋体"/>
      <w:kern w:val="2"/>
      <w:sz w:val="24"/>
      <w:szCs w:val="24"/>
      <w:lang w:val="en-US" w:eastAsia="zh-CN" w:bidi="ar-SA"/>
    </w:rPr>
  </w:style>
  <w:style w:type="character" w:customStyle="1" w:styleId="732">
    <w:name w:val="标题 2 Char1"/>
    <w:qFormat/>
    <w:uiPriority w:val="0"/>
    <w:rPr>
      <w:rFonts w:ascii="仿宋_GB2312" w:eastAsia="仿宋_GB2312"/>
      <w:b/>
      <w:sz w:val="36"/>
      <w:lang w:val="en-US" w:eastAsia="zh-CN" w:bidi="ar-SA"/>
    </w:rPr>
  </w:style>
  <w:style w:type="character" w:customStyle="1" w:styleId="733">
    <w:name w:val="正文文本缩进 Char1"/>
    <w:qFormat/>
    <w:uiPriority w:val="0"/>
    <w:rPr>
      <w:rFonts w:ascii="宋体" w:hAnsi="Courier New" w:eastAsia="宋体"/>
      <w:spacing w:val="-4"/>
      <w:kern w:val="2"/>
      <w:sz w:val="18"/>
      <w:lang w:val="en-US" w:eastAsia="zh-CN" w:bidi="ar-SA"/>
    </w:rPr>
  </w:style>
  <w:style w:type="character" w:customStyle="1" w:styleId="734">
    <w:name w:val="正文缩进 Char1"/>
    <w:qFormat/>
    <w:uiPriority w:val="0"/>
    <w:rPr>
      <w:rFonts w:eastAsia="宋体"/>
      <w:kern w:val="2"/>
      <w:sz w:val="21"/>
      <w:lang w:val="en-US" w:eastAsia="zh-CN" w:bidi="ar-SA"/>
    </w:rPr>
  </w:style>
  <w:style w:type="character" w:customStyle="1" w:styleId="735">
    <w:name w:val="正文文本缩进 字符"/>
    <w:qFormat/>
    <w:uiPriority w:val="0"/>
    <w:rPr>
      <w:rFonts w:ascii="宋体" w:hAnsi="Courier New" w:eastAsia="宋体"/>
      <w:spacing w:val="-4"/>
      <w:kern w:val="2"/>
      <w:sz w:val="18"/>
      <w:lang w:val="en-US" w:eastAsia="zh-CN" w:bidi="ar-SA"/>
    </w:rPr>
  </w:style>
  <w:style w:type="character" w:customStyle="1" w:styleId="736">
    <w:name w:val="纯文本 字符2"/>
    <w:qFormat/>
    <w:uiPriority w:val="0"/>
    <w:rPr>
      <w:rFonts w:ascii="宋体" w:hAnsi="Courier New" w:eastAsia="宋体"/>
      <w:kern w:val="2"/>
      <w:sz w:val="24"/>
      <w:szCs w:val="24"/>
      <w:lang w:val="en-US" w:eastAsia="zh-CN" w:bidi="ar-SA"/>
    </w:rPr>
  </w:style>
  <w:style w:type="character" w:customStyle="1" w:styleId="737">
    <w:name w:val="纯文本 字符"/>
    <w:qFormat/>
    <w:uiPriority w:val="0"/>
    <w:rPr>
      <w:rFonts w:ascii="宋体" w:hAnsi="Courier New" w:eastAsia="宋体"/>
      <w:kern w:val="2"/>
      <w:sz w:val="21"/>
      <w:lang w:val="en-US" w:eastAsia="zh-CN" w:bidi="ar-SA"/>
    </w:rPr>
  </w:style>
  <w:style w:type="character" w:customStyle="1" w:styleId="738">
    <w:name w:val="标题 2 Char"/>
    <w:qFormat/>
    <w:uiPriority w:val="9"/>
    <w:rPr>
      <w:rFonts w:ascii="Cambria" w:hAnsi="Cambria" w:eastAsia="宋体" w:cs="Times New Roman"/>
      <w:b/>
      <w:bCs/>
      <w:sz w:val="32"/>
      <w:szCs w:val="32"/>
    </w:rPr>
  </w:style>
  <w:style w:type="character" w:customStyle="1" w:styleId="739">
    <w:name w:val="批注文字 Char"/>
    <w:qFormat/>
    <w:uiPriority w:val="0"/>
    <w:rPr>
      <w:rFonts w:ascii="Calibri" w:hAnsi="Calibri"/>
      <w:kern w:val="2"/>
      <w:sz w:val="21"/>
      <w:szCs w:val="22"/>
    </w:rPr>
  </w:style>
  <w:style w:type="character" w:customStyle="1" w:styleId="740">
    <w:name w:val="slider_ctrl_con"/>
    <w:qFormat/>
    <w:uiPriority w:val="99"/>
    <w:rPr>
      <w:shd w:val="clear" w:color="auto" w:fill="666666"/>
    </w:rPr>
  </w:style>
  <w:style w:type="character" w:customStyle="1" w:styleId="741">
    <w:name w:val="current"/>
    <w:qFormat/>
    <w:uiPriority w:val="99"/>
    <w:rPr>
      <w:shd w:val="clear" w:color="auto" w:fill="A00303"/>
    </w:rPr>
  </w:style>
  <w:style w:type="character" w:customStyle="1" w:styleId="742">
    <w:name w:val="textcolor1"/>
    <w:qFormat/>
    <w:uiPriority w:val="99"/>
    <w:rPr>
      <w:color w:val="FF6600"/>
    </w:rPr>
  </w:style>
  <w:style w:type="character" w:customStyle="1" w:styleId="743">
    <w:name w:val="纯文本 Char2"/>
    <w:qFormat/>
    <w:uiPriority w:val="99"/>
    <w:rPr>
      <w:rFonts w:ascii="宋体" w:hAnsi="Courier New" w:eastAsia="宋体"/>
      <w:kern w:val="2"/>
      <w:sz w:val="20"/>
      <w:lang w:val="en-US" w:eastAsia="zh-CN"/>
    </w:rPr>
  </w:style>
  <w:style w:type="character" w:customStyle="1" w:styleId="744">
    <w:name w:val="标题 2 字符"/>
    <w:semiHidden/>
    <w:qFormat/>
    <w:uiPriority w:val="9"/>
    <w:rPr>
      <w:rFonts w:ascii="等线 Light" w:hAnsi="等线 Light" w:eastAsia="等线 Light" w:cs="Times New Roman"/>
      <w:b/>
      <w:bCs/>
      <w:sz w:val="32"/>
      <w:szCs w:val="32"/>
    </w:rPr>
  </w:style>
  <w:style w:type="character" w:customStyle="1" w:styleId="745">
    <w:name w:val="列出段落 Char1"/>
    <w:qFormat/>
    <w:uiPriority w:val="34"/>
    <w:rPr>
      <w:rFonts w:ascii="Calibri" w:hAnsi="Calibri"/>
      <w:kern w:val="2"/>
      <w:sz w:val="24"/>
      <w:szCs w:val="22"/>
    </w:rPr>
  </w:style>
  <w:style w:type="character" w:customStyle="1" w:styleId="746">
    <w:name w:val="纯文本 Char4"/>
    <w:qFormat/>
    <w:uiPriority w:val="0"/>
    <w:rPr>
      <w:rFonts w:ascii="宋体" w:hAnsi="Courier New" w:eastAsia="宋体"/>
      <w:kern w:val="2"/>
      <w:sz w:val="24"/>
      <w:szCs w:val="24"/>
      <w:lang w:val="en-US" w:eastAsia="zh-CN" w:bidi="ar-SA"/>
    </w:rPr>
  </w:style>
  <w:style w:type="paragraph" w:customStyle="1" w:styleId="747">
    <w:name w:val="修订1"/>
    <w:hidden/>
    <w:semiHidden/>
    <w:qFormat/>
    <w:uiPriority w:val="99"/>
    <w:rPr>
      <w:rFonts w:ascii="Times New Roman" w:hAnsi="Times New Roman" w:eastAsia="宋体" w:cs="Times New Roman"/>
      <w:sz w:val="21"/>
      <w:lang w:val="en-US" w:eastAsia="zh-CN" w:bidi="ar-SA"/>
    </w:rPr>
  </w:style>
  <w:style w:type="character" w:customStyle="1" w:styleId="748">
    <w:name w:val="NormalCharacter"/>
    <w:qFormat/>
    <w:uiPriority w:val="0"/>
  </w:style>
  <w:style w:type="character" w:customStyle="1" w:styleId="749">
    <w:name w:val="纯文本 Char5"/>
    <w:qFormat/>
    <w:uiPriority w:val="0"/>
    <w:rPr>
      <w:rFonts w:ascii="宋体" w:hAnsi="Courier New" w:eastAsia="宋体"/>
      <w:sz w:val="24"/>
      <w:szCs w:val="24"/>
    </w:rPr>
  </w:style>
  <w:style w:type="paragraph" w:customStyle="1" w:styleId="750">
    <w:name w:val="表格文字2"/>
    <w:basedOn w:val="1"/>
    <w:qFormat/>
    <w:uiPriority w:val="0"/>
    <w:pPr>
      <w:widowControl w:val="0"/>
      <w:spacing w:beforeLines="50" w:afterLines="50" w:line="360" w:lineRule="auto"/>
      <w:jc w:val="both"/>
    </w:pPr>
    <w:rPr>
      <w:rFonts w:ascii="宋体" w:hAnsi="宋体"/>
      <w:kern w:val="2"/>
      <w:sz w:val="24"/>
      <w:szCs w:val="21"/>
    </w:rPr>
  </w:style>
  <w:style w:type="character" w:customStyle="1" w:styleId="751">
    <w:name w:val="UserStyle_117"/>
    <w:link w:val="752"/>
    <w:qFormat/>
    <w:locked/>
    <w:uiPriority w:val="0"/>
    <w:rPr>
      <w:rFonts w:ascii="宋体" w:hAnsi="Courier New"/>
      <w:sz w:val="24"/>
      <w:szCs w:val="24"/>
    </w:rPr>
  </w:style>
  <w:style w:type="paragraph" w:customStyle="1" w:styleId="752">
    <w:name w:val="PlainText"/>
    <w:basedOn w:val="1"/>
    <w:link w:val="751"/>
    <w:qFormat/>
    <w:uiPriority w:val="0"/>
    <w:pPr>
      <w:spacing w:before="156" w:after="156" w:line="400" w:lineRule="exact"/>
      <w:jc w:val="both"/>
    </w:pPr>
    <w:rPr>
      <w:rFonts w:ascii="宋体" w:hAnsi="Courier New"/>
      <w:sz w:val="24"/>
      <w:szCs w:val="24"/>
    </w:rPr>
  </w:style>
  <w:style w:type="character" w:customStyle="1" w:styleId="753">
    <w:name w:val="UserStyle_20"/>
    <w:link w:val="754"/>
    <w:qFormat/>
    <w:locked/>
    <w:uiPriority w:val="0"/>
    <w:rPr>
      <w:rFonts w:ascii="宋体" w:hAnsi="宋体" w:eastAsia="仿宋_GB2312"/>
      <w:b/>
      <w:bCs/>
      <w:sz w:val="24"/>
    </w:rPr>
  </w:style>
  <w:style w:type="paragraph" w:customStyle="1" w:styleId="754">
    <w:name w:val="BodyText3"/>
    <w:basedOn w:val="1"/>
    <w:link w:val="753"/>
    <w:qFormat/>
    <w:uiPriority w:val="0"/>
    <w:pPr>
      <w:snapToGrid w:val="0"/>
      <w:spacing w:before="50" w:after="50"/>
      <w:jc w:val="both"/>
    </w:pPr>
    <w:rPr>
      <w:rFonts w:ascii="宋体" w:hAnsi="宋体" w:eastAsia="仿宋_GB2312"/>
      <w:b/>
      <w:bCs/>
      <w:sz w:val="24"/>
    </w:rPr>
  </w:style>
  <w:style w:type="paragraph" w:customStyle="1" w:styleId="755">
    <w:name w:val="UserStyle_260"/>
    <w:basedOn w:val="1"/>
    <w:qFormat/>
    <w:uiPriority w:val="0"/>
    <w:pPr>
      <w:jc w:val="both"/>
    </w:pPr>
    <w:rPr>
      <w:rFonts w:ascii="宋体" w:hAnsi="Courier New" w:eastAsia="楷体_GB2312"/>
      <w:kern w:val="2"/>
      <w:sz w:val="26"/>
    </w:rPr>
  </w:style>
  <w:style w:type="paragraph" w:customStyle="1" w:styleId="756">
    <w:name w:val="列出段落3"/>
    <w:basedOn w:val="1"/>
    <w:qFormat/>
    <w:uiPriority w:val="0"/>
    <w:pPr>
      <w:ind w:firstLine="420" w:firstLineChars="200"/>
    </w:pPr>
    <w:rPr>
      <w:sz w:val="24"/>
    </w:rPr>
  </w:style>
  <w:style w:type="paragraph" w:customStyle="1" w:styleId="757">
    <w:name w:val="列表段落2"/>
    <w:basedOn w:val="1"/>
    <w:qFormat/>
    <w:uiPriority w:val="99"/>
    <w:pPr>
      <w:widowControl w:val="0"/>
      <w:spacing w:beforeLines="50" w:afterLines="50" w:line="288" w:lineRule="auto"/>
      <w:ind w:firstLine="420" w:firstLineChars="200"/>
      <w:jc w:val="both"/>
    </w:pPr>
    <w:rPr>
      <w:rFonts w:eastAsia="方正兰亭黑简体" w:cstheme="minorBidi"/>
      <w:kern w:val="2"/>
      <w:szCs w:val="24"/>
    </w:rPr>
  </w:style>
  <w:style w:type="paragraph" w:customStyle="1" w:styleId="758">
    <w:name w:val="正文缩近"/>
    <w:basedOn w:val="1"/>
    <w:qFormat/>
    <w:uiPriority w:val="0"/>
    <w:pPr>
      <w:widowControl w:val="0"/>
      <w:spacing w:line="360" w:lineRule="auto"/>
      <w:ind w:firstLine="200" w:firstLineChars="200"/>
      <w:jc w:val="both"/>
    </w:pPr>
    <w:rPr>
      <w:rFonts w:ascii="Calibri" w:hAnsi="Calibri"/>
      <w:kern w:val="2"/>
      <w:sz w:val="24"/>
      <w:szCs w:val="24"/>
    </w:rPr>
  </w:style>
  <w:style w:type="paragraph" w:customStyle="1" w:styleId="759">
    <w:name w:val="列表内容"/>
    <w:basedOn w:val="1"/>
    <w:next w:val="1"/>
    <w:qFormat/>
    <w:uiPriority w:val="0"/>
    <w:pPr>
      <w:numPr>
        <w:ilvl w:val="0"/>
        <w:numId w:val="2"/>
      </w:numPr>
      <w:tabs>
        <w:tab w:val="left" w:pos="840"/>
      </w:tabs>
    </w:pPr>
    <w:rPr>
      <w:sz w:val="18"/>
    </w:rPr>
  </w:style>
  <w:style w:type="paragraph" w:customStyle="1" w:styleId="760">
    <w:name w:val="正文360首行缩进"/>
    <w:basedOn w:val="1"/>
    <w:link w:val="761"/>
    <w:qFormat/>
    <w:uiPriority w:val="0"/>
    <w:pPr>
      <w:spacing w:before="120" w:line="300" w:lineRule="auto"/>
      <w:ind w:firstLine="200" w:firstLineChars="200"/>
    </w:pPr>
    <w:rPr>
      <w:kern w:val="2"/>
      <w:sz w:val="24"/>
    </w:rPr>
  </w:style>
  <w:style w:type="character" w:customStyle="1" w:styleId="761">
    <w:name w:val="正文360首行缩进 Char"/>
    <w:basedOn w:val="56"/>
    <w:link w:val="760"/>
    <w:qFormat/>
    <w:uiPriority w:val="0"/>
    <w:rPr>
      <w:rFonts w:ascii="Times New Roman" w:hAnsi="Times New Roman"/>
      <w:kern w:val="2"/>
      <w:sz w:val="24"/>
    </w:rPr>
  </w:style>
  <w:style w:type="paragraph" w:customStyle="1" w:styleId="762">
    <w:name w:val="强调文字"/>
    <w:basedOn w:val="126"/>
    <w:link w:val="763"/>
    <w:qFormat/>
    <w:uiPriority w:val="0"/>
    <w:pPr>
      <w:numPr>
        <w:ilvl w:val="0"/>
        <w:numId w:val="3"/>
      </w:numPr>
      <w:spacing w:before="120" w:line="300" w:lineRule="auto"/>
      <w:ind w:firstLine="0" w:firstLineChars="0"/>
    </w:pPr>
    <w:rPr>
      <w:kern w:val="2"/>
      <w:sz w:val="24"/>
    </w:rPr>
  </w:style>
  <w:style w:type="character" w:customStyle="1" w:styleId="763">
    <w:name w:val="强调文字 Char"/>
    <w:basedOn w:val="56"/>
    <w:link w:val="762"/>
    <w:qFormat/>
    <w:uiPriority w:val="0"/>
    <w:rPr>
      <w:rFonts w:ascii="Times New Roman" w:hAnsi="Times New Roman"/>
      <w:kern w:val="2"/>
      <w:sz w:val="24"/>
    </w:rPr>
  </w:style>
  <w:style w:type="character" w:customStyle="1" w:styleId="764">
    <w:name w:val="UserStyle_2"/>
    <w:qFormat/>
    <w:uiPriority w:val="0"/>
    <w:rPr>
      <w:rFonts w:ascii="宋体" w:hAnsi="宋体" w:eastAsia="宋体" w:cs="Times New Roman"/>
      <w:b/>
      <w:bCs/>
      <w:color w:val="000000"/>
      <w:spacing w:val="-20"/>
      <w:sz w:val="24"/>
      <w:szCs w:val="24"/>
    </w:rPr>
  </w:style>
  <w:style w:type="character" w:customStyle="1" w:styleId="765">
    <w:name w:val="纯文本 Char6"/>
    <w:qFormat/>
    <w:uiPriority w:val="0"/>
    <w:rPr>
      <w:rFonts w:ascii="宋体" w:hAnsi="Courier New" w:eastAsia="宋体"/>
      <w:sz w:val="24"/>
      <w:szCs w:val="24"/>
    </w:rPr>
  </w:style>
  <w:style w:type="character" w:customStyle="1" w:styleId="766">
    <w:name w:val="正文文本缩进 Char3"/>
    <w:basedOn w:val="56"/>
    <w:qFormat/>
    <w:uiPriority w:val="0"/>
    <w:rPr>
      <w:rFonts w:ascii="Calibri" w:hAnsi="Calibri" w:eastAsia="宋体" w:cs="Times New Roman"/>
      <w:szCs w:val="24"/>
    </w:rPr>
  </w:style>
  <w:style w:type="character" w:customStyle="1" w:styleId="767">
    <w:name w:val="正文首行缩进 2 字符"/>
    <w:basedOn w:val="88"/>
    <w:link w:val="53"/>
    <w:qFormat/>
    <w:uiPriority w:val="99"/>
    <w:rPr>
      <w:rFonts w:ascii="Times New Roman" w:hAnsi="Times New Roman" w:cs="宋体"/>
      <w:sz w:val="21"/>
      <w:szCs w:val="21"/>
    </w:rPr>
  </w:style>
  <w:style w:type="table" w:customStyle="1" w:styleId="7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65</Pages>
  <Words>24369</Words>
  <Characters>26236</Characters>
  <Lines>197</Lines>
  <Paragraphs>55</Paragraphs>
  <TotalTime>3</TotalTime>
  <ScaleCrop>false</ScaleCrop>
  <LinksUpToDate>false</LinksUpToDate>
  <CharactersWithSpaces>27943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2024-02-04T06:21:00Z</dcterms:created>
  <dc:creator>zgcc</dc:creator>
  <cp:lastModifiedBy>Administrator</cp:lastModifiedBy>
  <cp:lastPrinted>2020-12-11T06:05:00Z</cp:lastPrinted>
  <dcterms:modified xsi:type="dcterms:W3CDTF">2025-06-26T04:45:48Z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2052-12.1.0.21541</vt:lpwstr>
  </property>
  <property fmtid="{D5CDD505-2E9C-101B-9397-08002B2CF9AE}" pid="4" name="ICV">
    <vt:lpwstr>CA3C4B53A75649F1B3D176E201B6A29F</vt:lpwstr>
  </property>
  <property fmtid="{D5CDD505-2E9C-101B-9397-08002B2CF9AE}" pid="5" name="KSOTemplateDocerSaveRecord">
    <vt:lpwstr>eyJoZGlkIjoiMTEwODkzNmVkZjA0NzNkZjdlZDQ2MGMwMTI4NmU4ODgiLCJ1c2VySWQiOiI2MDUwODE0MjYifQ==</vt:lpwstr>
  </property>
</Properties>
</file>