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仿宋" w:hAnsi="仿宋" w:eastAsia="仿宋" w:cs="仿宋_GB2312"/>
          <w:b/>
          <w:sz w:val="24"/>
          <w:highlight w:val="none"/>
        </w:rPr>
      </w:pPr>
    </w:p>
    <w:p>
      <w:pPr>
        <w:spacing w:line="1160" w:lineRule="exact"/>
        <w:jc w:val="center"/>
        <w:rPr>
          <w:rFonts w:hint="eastAsia" w:ascii="宋体" w:hAnsi="宋体" w:eastAsia="宋体"/>
          <w:b/>
          <w:sz w:val="56"/>
          <w:szCs w:val="56"/>
          <w:highlight w:val="none"/>
          <w:lang w:eastAsia="zh-CN"/>
        </w:rPr>
      </w:pPr>
      <w:bookmarkStart w:id="0" w:name="_Hlt67893495"/>
      <w:bookmarkEnd w:id="0"/>
      <w:r>
        <w:rPr>
          <w:rFonts w:hint="eastAsia" w:ascii="宋体" w:hAnsi="宋体"/>
          <w:b/>
          <w:sz w:val="56"/>
          <w:szCs w:val="56"/>
          <w:highlight w:val="none"/>
          <w:lang w:eastAsia="zh-CN"/>
        </w:rPr>
        <w:t>嘉善县商务局防汛排涝车采购项目</w:t>
      </w:r>
    </w:p>
    <w:p>
      <w:pPr>
        <w:spacing w:before="120" w:beforeLines="50"/>
        <w:rPr>
          <w:rFonts w:ascii="宋体" w:hAnsi="宋体"/>
          <w:sz w:val="72"/>
          <w:szCs w:val="72"/>
          <w:highlight w:val="none"/>
        </w:rPr>
      </w:pPr>
    </w:p>
    <w:p>
      <w:pPr>
        <w:spacing w:before="120" w:beforeLines="50"/>
        <w:rPr>
          <w:rFonts w:hint="eastAsia" w:ascii="宋体" w:hAnsi="宋体"/>
          <w:sz w:val="72"/>
          <w:szCs w:val="72"/>
          <w:highlight w:val="none"/>
        </w:rPr>
      </w:pPr>
    </w:p>
    <w:p>
      <w:pPr>
        <w:spacing w:before="120" w:beforeLines="50"/>
        <w:jc w:val="center"/>
        <w:rPr>
          <w:rFonts w:hint="eastAsia" w:ascii="宋体" w:hAnsi="宋体"/>
          <w:sz w:val="72"/>
          <w:szCs w:val="72"/>
          <w:highlight w:val="none"/>
        </w:rPr>
      </w:pPr>
    </w:p>
    <w:p>
      <w:pPr>
        <w:spacing w:before="120" w:beforeLines="50"/>
        <w:jc w:val="center"/>
        <w:rPr>
          <w:rFonts w:hint="eastAsia" w:ascii="宋体" w:hAnsi="宋体"/>
          <w:sz w:val="72"/>
          <w:szCs w:val="72"/>
          <w:highlight w:val="none"/>
        </w:rPr>
      </w:pPr>
    </w:p>
    <w:p>
      <w:pPr>
        <w:spacing w:before="120" w:beforeLines="50"/>
        <w:jc w:val="center"/>
        <w:rPr>
          <w:rFonts w:ascii="宋体" w:hAnsi="宋体"/>
          <w:sz w:val="72"/>
          <w:szCs w:val="72"/>
          <w:highlight w:val="none"/>
        </w:rPr>
      </w:pPr>
      <w:r>
        <w:rPr>
          <w:rFonts w:hint="eastAsia" w:ascii="宋体" w:hAnsi="宋体"/>
          <w:sz w:val="72"/>
          <w:szCs w:val="72"/>
          <w:highlight w:val="none"/>
        </w:rPr>
        <w:t>公开招标文件</w:t>
      </w:r>
    </w:p>
    <w:p>
      <w:pPr>
        <w:pStyle w:val="3"/>
        <w:rPr>
          <w:highlight w:val="none"/>
        </w:rPr>
      </w:pPr>
    </w:p>
    <w:p>
      <w:pPr>
        <w:snapToGrid w:val="0"/>
        <w:spacing w:before="120" w:beforeLines="50" w:line="360" w:lineRule="auto"/>
        <w:jc w:val="center"/>
        <w:rPr>
          <w:rFonts w:ascii="宋体" w:hAnsi="宋体"/>
          <w:sz w:val="30"/>
          <w:szCs w:val="72"/>
          <w:highlight w:val="none"/>
        </w:rPr>
      </w:pPr>
    </w:p>
    <w:p>
      <w:pPr>
        <w:snapToGrid w:val="0"/>
        <w:spacing w:before="120" w:beforeLines="50" w:line="360" w:lineRule="auto"/>
        <w:rPr>
          <w:rFonts w:ascii="宋体" w:hAnsi="宋体"/>
          <w:sz w:val="30"/>
          <w:szCs w:val="72"/>
          <w:highlight w:val="none"/>
        </w:rPr>
      </w:pPr>
    </w:p>
    <w:p>
      <w:pPr>
        <w:pStyle w:val="33"/>
        <w:snapToGrid w:val="0"/>
        <w:spacing w:before="120" w:after="120" w:line="360" w:lineRule="auto"/>
        <w:rPr>
          <w:b/>
          <w:sz w:val="30"/>
          <w:szCs w:val="30"/>
          <w:highlight w:val="none"/>
        </w:rPr>
      </w:pPr>
    </w:p>
    <w:p>
      <w:pPr>
        <w:pStyle w:val="33"/>
        <w:snapToGrid w:val="0"/>
        <w:spacing w:before="120" w:after="120" w:line="360" w:lineRule="auto"/>
        <w:jc w:val="left"/>
        <w:rPr>
          <w:b/>
          <w:sz w:val="30"/>
          <w:szCs w:val="30"/>
          <w:highlight w:val="none"/>
        </w:rPr>
      </w:pPr>
    </w:p>
    <w:p>
      <w:pPr>
        <w:pStyle w:val="33"/>
        <w:snapToGrid w:val="0"/>
        <w:spacing w:before="120" w:after="120" w:line="360" w:lineRule="auto"/>
        <w:jc w:val="left"/>
        <w:rPr>
          <w:b/>
          <w:sz w:val="30"/>
          <w:szCs w:val="30"/>
          <w:highlight w:val="none"/>
        </w:rPr>
      </w:pPr>
    </w:p>
    <w:p>
      <w:pPr>
        <w:pStyle w:val="33"/>
        <w:snapToGrid w:val="0"/>
        <w:spacing w:before="120" w:after="120" w:line="360" w:lineRule="auto"/>
        <w:jc w:val="left"/>
        <w:rPr>
          <w:b/>
          <w:sz w:val="30"/>
          <w:szCs w:val="30"/>
          <w:highlight w:val="none"/>
        </w:rPr>
      </w:pPr>
      <w:r>
        <w:rPr>
          <w:b/>
          <w:sz w:val="30"/>
          <w:szCs w:val="30"/>
          <w:highlight w:val="none"/>
        </w:rPr>
        <w:t>项目编号：</w:t>
      </w:r>
      <w:r>
        <w:rPr>
          <w:rFonts w:hint="eastAsia" w:hAnsi="宋体"/>
          <w:b/>
          <w:sz w:val="30"/>
          <w:szCs w:val="48"/>
          <w:highlight w:val="none"/>
          <w:lang w:eastAsia="zh-CN"/>
        </w:rPr>
        <w:t>JXYJ</w:t>
      </w:r>
      <w:bookmarkStart w:id="36" w:name="_GoBack"/>
      <w:bookmarkEnd w:id="36"/>
      <w:r>
        <w:rPr>
          <w:rFonts w:hint="eastAsia" w:hAnsi="宋体"/>
          <w:b/>
          <w:sz w:val="30"/>
          <w:szCs w:val="48"/>
          <w:highlight w:val="none"/>
          <w:lang w:eastAsia="zh-CN"/>
        </w:rPr>
        <w:t>2022021</w:t>
      </w:r>
      <w:r>
        <w:rPr>
          <w:rFonts w:hint="eastAsia" w:hAnsi="宋体"/>
          <w:b/>
          <w:sz w:val="30"/>
          <w:szCs w:val="48"/>
          <w:highlight w:val="none"/>
        </w:rPr>
        <w:t>(G)</w:t>
      </w:r>
    </w:p>
    <w:p>
      <w:pPr>
        <w:pStyle w:val="33"/>
        <w:snapToGrid w:val="0"/>
        <w:spacing w:before="120" w:after="120" w:line="360" w:lineRule="auto"/>
        <w:jc w:val="left"/>
        <w:rPr>
          <w:rFonts w:hint="eastAsia" w:eastAsia="宋体"/>
          <w:b/>
          <w:sz w:val="30"/>
          <w:szCs w:val="30"/>
          <w:highlight w:val="none"/>
          <w:lang w:eastAsia="zh-CN"/>
        </w:rPr>
      </w:pPr>
      <w:r>
        <w:rPr>
          <w:rFonts w:hint="eastAsia"/>
          <w:b/>
          <w:sz w:val="30"/>
          <w:szCs w:val="30"/>
          <w:highlight w:val="none"/>
        </w:rPr>
        <w:t>项目名称：</w:t>
      </w:r>
      <w:r>
        <w:rPr>
          <w:rFonts w:hint="eastAsia"/>
          <w:b/>
          <w:sz w:val="30"/>
          <w:szCs w:val="30"/>
          <w:highlight w:val="none"/>
          <w:lang w:eastAsia="zh-CN"/>
        </w:rPr>
        <w:t>嘉善县商务局防汛排涝车采购项目</w:t>
      </w:r>
    </w:p>
    <w:p>
      <w:pPr>
        <w:pStyle w:val="33"/>
        <w:snapToGrid w:val="0"/>
        <w:spacing w:before="120" w:after="120" w:line="360" w:lineRule="auto"/>
        <w:jc w:val="left"/>
        <w:rPr>
          <w:rFonts w:hint="eastAsia" w:hAnsi="宋体" w:eastAsia="宋体"/>
          <w:b/>
          <w:sz w:val="30"/>
          <w:szCs w:val="30"/>
          <w:highlight w:val="none"/>
          <w:lang w:eastAsia="zh-CN"/>
        </w:rPr>
      </w:pPr>
      <w:r>
        <w:rPr>
          <w:b/>
          <w:sz w:val="30"/>
          <w:szCs w:val="30"/>
          <w:highlight w:val="none"/>
        </w:rPr>
        <w:t>采购</w:t>
      </w:r>
      <w:r>
        <w:rPr>
          <w:rFonts w:hint="eastAsia"/>
          <w:b/>
          <w:sz w:val="30"/>
          <w:szCs w:val="30"/>
          <w:highlight w:val="none"/>
        </w:rPr>
        <w:t>单位</w:t>
      </w:r>
      <w:r>
        <w:rPr>
          <w:b/>
          <w:sz w:val="30"/>
          <w:szCs w:val="30"/>
          <w:highlight w:val="none"/>
        </w:rPr>
        <w:t>：</w:t>
      </w:r>
      <w:r>
        <w:rPr>
          <w:rFonts w:hint="eastAsia"/>
          <w:b/>
          <w:sz w:val="30"/>
          <w:szCs w:val="30"/>
          <w:highlight w:val="none"/>
          <w:lang w:eastAsia="zh-CN"/>
        </w:rPr>
        <w:t>嘉善县商务局</w:t>
      </w:r>
    </w:p>
    <w:p>
      <w:pPr>
        <w:pStyle w:val="33"/>
        <w:snapToGrid w:val="0"/>
        <w:spacing w:before="120" w:after="120" w:line="360" w:lineRule="auto"/>
        <w:jc w:val="left"/>
        <w:rPr>
          <w:rFonts w:hAnsi="宋体"/>
          <w:b/>
          <w:bCs/>
          <w:sz w:val="30"/>
          <w:szCs w:val="30"/>
          <w:highlight w:val="none"/>
        </w:rPr>
      </w:pPr>
      <w:r>
        <w:rPr>
          <w:rFonts w:hint="eastAsia"/>
          <w:b/>
          <w:sz w:val="30"/>
          <w:szCs w:val="30"/>
          <w:highlight w:val="none"/>
        </w:rPr>
        <w:t>采购代理机构</w:t>
      </w:r>
      <w:r>
        <w:rPr>
          <w:b/>
          <w:sz w:val="30"/>
          <w:szCs w:val="30"/>
          <w:highlight w:val="none"/>
        </w:rPr>
        <w:t>：</w:t>
      </w:r>
      <w:r>
        <w:rPr>
          <w:rFonts w:hint="eastAsia"/>
          <w:b/>
          <w:sz w:val="30"/>
          <w:szCs w:val="30"/>
          <w:highlight w:val="none"/>
        </w:rPr>
        <w:t>嘉兴市银建工程咨询评估有限公司</w:t>
      </w:r>
    </w:p>
    <w:p>
      <w:pPr>
        <w:spacing w:line="360" w:lineRule="auto"/>
        <w:jc w:val="center"/>
        <w:rPr>
          <w:rFonts w:hint="eastAsia" w:ascii="仿宋" w:hAnsi="仿宋" w:eastAsia="仿宋" w:cs="仿宋_GB2312"/>
          <w:sz w:val="24"/>
          <w:highlight w:val="none"/>
        </w:rPr>
      </w:pPr>
      <w:r>
        <w:rPr>
          <w:rFonts w:hint="eastAsia" w:ascii="宋体" w:hAnsi="宋体"/>
          <w:b/>
          <w:bCs/>
          <w:w w:val="95"/>
          <w:sz w:val="30"/>
          <w:szCs w:val="30"/>
          <w:highlight w:val="none"/>
        </w:rPr>
        <w:t>2022年</w:t>
      </w:r>
      <w:r>
        <w:rPr>
          <w:rFonts w:hint="eastAsia" w:ascii="宋体" w:hAnsi="宋体"/>
          <w:b/>
          <w:bCs/>
          <w:w w:val="95"/>
          <w:sz w:val="30"/>
          <w:szCs w:val="30"/>
          <w:highlight w:val="none"/>
          <w:lang w:val="en-US" w:eastAsia="zh-CN"/>
        </w:rPr>
        <w:t>6</w:t>
      </w:r>
      <w:r>
        <w:rPr>
          <w:rFonts w:hint="eastAsia" w:ascii="宋体" w:hAnsi="宋体"/>
          <w:b/>
          <w:bCs/>
          <w:w w:val="95"/>
          <w:sz w:val="30"/>
          <w:szCs w:val="30"/>
          <w:highlight w:val="none"/>
        </w:rPr>
        <w:t>月</w:t>
      </w: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5"/>
        <w:rPr>
          <w:highlight w:val="none"/>
        </w:rPr>
      </w:pPr>
    </w:p>
    <w:p>
      <w:pPr>
        <w:pStyle w:val="3"/>
        <w:rPr>
          <w:rFonts w:ascii="仿宋" w:hAnsi="仿宋" w:eastAsia="仿宋" w:cs="仿宋_GB2312"/>
          <w:highlight w:val="none"/>
        </w:rPr>
      </w:pPr>
    </w:p>
    <w:p>
      <w:pPr>
        <w:rPr>
          <w:rFonts w:ascii="仿宋" w:hAnsi="仿宋" w:eastAsia="仿宋" w:cs="仿宋_GB2312"/>
          <w:sz w:val="24"/>
          <w:highlight w:val="none"/>
        </w:rPr>
      </w:pPr>
    </w:p>
    <w:p>
      <w:pPr>
        <w:pStyle w:val="33"/>
        <w:spacing w:before="120" w:after="120" w:line="600" w:lineRule="exact"/>
        <w:rPr>
          <w:rFonts w:ascii="创艺简标宋" w:hAnsi="宋体" w:eastAsia="创艺简标宋"/>
          <w:b/>
          <w:sz w:val="44"/>
          <w:szCs w:val="44"/>
          <w:highlight w:val="none"/>
        </w:rPr>
      </w:pPr>
      <w:bookmarkStart w:id="1" w:name="_Hlt91233176"/>
      <w:bookmarkEnd w:id="1"/>
      <w:bookmarkStart w:id="2" w:name="_Toc91899869"/>
    </w:p>
    <w:p>
      <w:pPr>
        <w:pStyle w:val="33"/>
        <w:spacing w:before="120" w:after="120" w:line="600" w:lineRule="exact"/>
        <w:jc w:val="center"/>
        <w:rPr>
          <w:rFonts w:ascii="创艺简标宋" w:hAnsi="宋体" w:eastAsia="创艺简标宋"/>
          <w:b/>
          <w:sz w:val="44"/>
          <w:szCs w:val="44"/>
          <w:highlight w:val="none"/>
        </w:rPr>
      </w:pPr>
      <w:r>
        <w:rPr>
          <w:rFonts w:hint="eastAsia" w:ascii="创艺简标宋" w:hAnsi="宋体" w:eastAsia="创艺简标宋"/>
          <w:b/>
          <w:sz w:val="44"/>
          <w:szCs w:val="44"/>
          <w:highlight w:val="none"/>
        </w:rPr>
        <w:t>目    录</w:t>
      </w:r>
    </w:p>
    <w:p>
      <w:pPr>
        <w:pStyle w:val="33"/>
        <w:tabs>
          <w:tab w:val="left" w:pos="6645"/>
        </w:tabs>
        <w:spacing w:before="120" w:after="120" w:line="600" w:lineRule="exact"/>
        <w:jc w:val="left"/>
        <w:rPr>
          <w:rFonts w:ascii="创艺简标宋" w:hAnsi="宋体" w:eastAsia="创艺简标宋"/>
          <w:b/>
          <w:sz w:val="44"/>
          <w:szCs w:val="44"/>
          <w:highlight w:val="none"/>
        </w:rPr>
      </w:pPr>
      <w:r>
        <w:rPr>
          <w:rFonts w:ascii="创艺简标宋" w:hAnsi="宋体" w:eastAsia="创艺简标宋"/>
          <w:b/>
          <w:sz w:val="44"/>
          <w:szCs w:val="44"/>
          <w:highlight w:val="none"/>
        </w:rPr>
        <w:tab/>
      </w:r>
    </w:p>
    <w:p>
      <w:pPr>
        <w:pStyle w:val="45"/>
        <w:tabs>
          <w:tab w:val="right" w:leader="dot" w:pos="8834"/>
        </w:tabs>
        <w:spacing w:line="480" w:lineRule="auto"/>
        <w:rPr>
          <w:b/>
          <w:sz w:val="32"/>
          <w:szCs w:val="32"/>
          <w:highlight w:val="none"/>
        </w:rPr>
      </w:pPr>
      <w:r>
        <w:rPr>
          <w:b/>
          <w:sz w:val="32"/>
          <w:szCs w:val="32"/>
          <w:highlight w:val="none"/>
        </w:rPr>
        <w:fldChar w:fldCharType="begin"/>
      </w:r>
      <w:r>
        <w:rPr>
          <w:b/>
          <w:sz w:val="32"/>
          <w:szCs w:val="32"/>
          <w:highlight w:val="none"/>
        </w:rPr>
        <w:instrText xml:space="preserve"> TOC \o "1-1" \h \z \u </w:instrText>
      </w:r>
      <w:r>
        <w:rPr>
          <w:b/>
          <w:sz w:val="32"/>
          <w:szCs w:val="32"/>
          <w:highlight w:val="none"/>
        </w:rPr>
        <w:fldChar w:fldCharType="separate"/>
      </w:r>
      <w:r>
        <w:rPr>
          <w:highlight w:val="none"/>
        </w:rPr>
        <w:fldChar w:fldCharType="begin"/>
      </w:r>
      <w:r>
        <w:rPr>
          <w:highlight w:val="none"/>
        </w:rPr>
        <w:instrText xml:space="preserve"> HYPERLINK \l "_Toc406402981" </w:instrText>
      </w:r>
      <w:r>
        <w:rPr>
          <w:highlight w:val="none"/>
        </w:rPr>
        <w:fldChar w:fldCharType="separate"/>
      </w:r>
      <w:r>
        <w:rPr>
          <w:rStyle w:val="77"/>
          <w:rFonts w:hint="eastAsia"/>
          <w:b/>
          <w:color w:val="auto"/>
          <w:sz w:val="32"/>
          <w:szCs w:val="32"/>
          <w:highlight w:val="none"/>
        </w:rPr>
        <w:t>第一章</w:t>
      </w:r>
      <w:r>
        <w:rPr>
          <w:rStyle w:val="77"/>
          <w:b/>
          <w:color w:val="auto"/>
          <w:sz w:val="32"/>
          <w:szCs w:val="32"/>
          <w:highlight w:val="none"/>
        </w:rPr>
        <w:t xml:space="preserve">  </w:t>
      </w:r>
      <w:r>
        <w:rPr>
          <w:rStyle w:val="77"/>
          <w:rFonts w:hint="eastAsia"/>
          <w:b/>
          <w:color w:val="auto"/>
          <w:sz w:val="32"/>
          <w:szCs w:val="32"/>
          <w:highlight w:val="none"/>
        </w:rPr>
        <w:t>公开招标采购公告</w:t>
      </w:r>
      <w:r>
        <w:rPr>
          <w:b/>
          <w:sz w:val="32"/>
          <w:szCs w:val="32"/>
          <w:highlight w:val="none"/>
        </w:rPr>
        <w:tab/>
      </w:r>
      <w:r>
        <w:rPr>
          <w:rFonts w:hint="eastAsia"/>
          <w:b/>
          <w:sz w:val="32"/>
          <w:szCs w:val="32"/>
          <w:highlight w:val="none"/>
        </w:rPr>
        <w:t>3</w:t>
      </w:r>
      <w:r>
        <w:rPr>
          <w:rFonts w:hint="eastAsia"/>
          <w:b/>
          <w:sz w:val="32"/>
          <w:szCs w:val="32"/>
          <w:highlight w:val="none"/>
        </w:rPr>
        <w:fldChar w:fldCharType="end"/>
      </w:r>
    </w:p>
    <w:p>
      <w:pPr>
        <w:pStyle w:val="45"/>
        <w:tabs>
          <w:tab w:val="right" w:leader="dot" w:pos="8834"/>
        </w:tabs>
        <w:spacing w:line="480" w:lineRule="auto"/>
        <w:rPr>
          <w:b/>
          <w:sz w:val="32"/>
          <w:szCs w:val="32"/>
          <w:highlight w:val="none"/>
        </w:rPr>
      </w:pPr>
      <w:r>
        <w:rPr>
          <w:highlight w:val="none"/>
        </w:rPr>
        <w:fldChar w:fldCharType="begin"/>
      </w:r>
      <w:r>
        <w:rPr>
          <w:highlight w:val="none"/>
        </w:rPr>
        <w:instrText xml:space="preserve"> HYPERLINK \l "_Toc406402982" </w:instrText>
      </w:r>
      <w:r>
        <w:rPr>
          <w:highlight w:val="none"/>
        </w:rPr>
        <w:fldChar w:fldCharType="separate"/>
      </w:r>
      <w:r>
        <w:rPr>
          <w:rStyle w:val="77"/>
          <w:rFonts w:hint="eastAsia"/>
          <w:b/>
          <w:color w:val="auto"/>
          <w:sz w:val="32"/>
          <w:szCs w:val="32"/>
          <w:highlight w:val="none"/>
        </w:rPr>
        <w:t>第二章</w:t>
      </w:r>
      <w:r>
        <w:rPr>
          <w:rStyle w:val="77"/>
          <w:b/>
          <w:color w:val="auto"/>
          <w:sz w:val="32"/>
          <w:szCs w:val="32"/>
          <w:highlight w:val="none"/>
        </w:rPr>
        <w:t xml:space="preserve">  </w:t>
      </w:r>
      <w:r>
        <w:rPr>
          <w:rStyle w:val="77"/>
          <w:rFonts w:hint="eastAsia"/>
          <w:b/>
          <w:color w:val="auto"/>
          <w:sz w:val="32"/>
          <w:szCs w:val="32"/>
          <w:highlight w:val="none"/>
        </w:rPr>
        <w:t>招标需求</w:t>
      </w:r>
      <w:r>
        <w:rPr>
          <w:b/>
          <w:sz w:val="32"/>
          <w:szCs w:val="32"/>
          <w:highlight w:val="none"/>
        </w:rPr>
        <w:tab/>
      </w:r>
      <w:r>
        <w:rPr>
          <w:rFonts w:hint="eastAsia"/>
          <w:b/>
          <w:sz w:val="32"/>
          <w:szCs w:val="32"/>
          <w:highlight w:val="none"/>
        </w:rPr>
        <w:t>7</w:t>
      </w:r>
      <w:r>
        <w:rPr>
          <w:rFonts w:hint="eastAsia"/>
          <w:b/>
          <w:sz w:val="32"/>
          <w:szCs w:val="32"/>
          <w:highlight w:val="none"/>
        </w:rPr>
        <w:fldChar w:fldCharType="end"/>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"_Toc406402986" </w:instrText>
      </w:r>
      <w:r>
        <w:rPr>
          <w:highlight w:val="none"/>
        </w:rPr>
        <w:fldChar w:fldCharType="separate"/>
      </w:r>
      <w:r>
        <w:rPr>
          <w:rStyle w:val="77"/>
          <w:rFonts w:hint="eastAsia"/>
          <w:b/>
          <w:color w:val="auto"/>
          <w:sz w:val="32"/>
          <w:szCs w:val="32"/>
          <w:highlight w:val="none"/>
        </w:rPr>
        <w:t>第三章</w:t>
      </w:r>
      <w:r>
        <w:rPr>
          <w:rStyle w:val="77"/>
          <w:b/>
          <w:color w:val="auto"/>
          <w:sz w:val="32"/>
          <w:szCs w:val="32"/>
          <w:highlight w:val="none"/>
        </w:rPr>
        <w:t xml:space="preserve">  </w:t>
      </w:r>
      <w:r>
        <w:rPr>
          <w:rStyle w:val="77"/>
          <w:rFonts w:hint="eastAsia"/>
          <w:b/>
          <w:color w:val="auto"/>
          <w:sz w:val="32"/>
          <w:szCs w:val="32"/>
          <w:highlight w:val="none"/>
        </w:rPr>
        <w:t>投标人须知</w:t>
      </w:r>
      <w:r>
        <w:rPr>
          <w:b/>
          <w:sz w:val="32"/>
          <w:szCs w:val="32"/>
          <w:highlight w:val="none"/>
        </w:rPr>
        <w:tab/>
      </w:r>
      <w:r>
        <w:rPr>
          <w:rFonts w:hint="eastAsia"/>
          <w:b/>
          <w:sz w:val="32"/>
          <w:szCs w:val="32"/>
          <w:highlight w:val="none"/>
          <w:lang w:val="en-US" w:eastAsia="zh-CN"/>
        </w:rPr>
        <w:t>1</w:t>
      </w:r>
      <w:r>
        <w:rPr>
          <w:rFonts w:hint="eastAsia"/>
          <w:b/>
          <w:sz w:val="32"/>
          <w:szCs w:val="32"/>
          <w:highlight w:val="none"/>
        </w:rPr>
        <w:fldChar w:fldCharType="end"/>
      </w:r>
      <w:r>
        <w:rPr>
          <w:rFonts w:hint="eastAsia"/>
          <w:b/>
          <w:sz w:val="32"/>
          <w:szCs w:val="32"/>
          <w:highlight w:val="none"/>
          <w:lang w:val="en-US" w:eastAsia="zh-CN"/>
        </w:rPr>
        <w:t>5</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"_Toc406402996" </w:instrText>
      </w:r>
      <w:r>
        <w:rPr>
          <w:highlight w:val="none"/>
        </w:rPr>
        <w:fldChar w:fldCharType="separate"/>
      </w:r>
      <w:r>
        <w:rPr>
          <w:rStyle w:val="77"/>
          <w:rFonts w:hint="eastAsia"/>
          <w:b/>
          <w:color w:val="auto"/>
          <w:sz w:val="32"/>
          <w:szCs w:val="32"/>
          <w:highlight w:val="none"/>
        </w:rPr>
        <w:t xml:space="preserve">第四章 </w:t>
      </w:r>
      <w:r>
        <w:rPr>
          <w:rStyle w:val="77"/>
          <w:b/>
          <w:color w:val="auto"/>
          <w:sz w:val="32"/>
          <w:szCs w:val="32"/>
          <w:highlight w:val="none"/>
        </w:rPr>
        <w:t xml:space="preserve"> </w:t>
      </w:r>
      <w:r>
        <w:rPr>
          <w:rStyle w:val="77"/>
          <w:rFonts w:hint="eastAsia"/>
          <w:b/>
          <w:color w:val="auto"/>
          <w:sz w:val="32"/>
          <w:szCs w:val="32"/>
          <w:highlight w:val="none"/>
        </w:rPr>
        <w:t>评标办法及评分标准</w:t>
      </w:r>
      <w:r>
        <w:rPr>
          <w:b/>
          <w:sz w:val="32"/>
          <w:szCs w:val="32"/>
          <w:highlight w:val="none"/>
        </w:rPr>
        <w:tab/>
      </w:r>
      <w:r>
        <w:rPr>
          <w:rFonts w:hint="eastAsia"/>
          <w:b/>
          <w:sz w:val="32"/>
          <w:szCs w:val="32"/>
          <w:highlight w:val="none"/>
          <w:lang w:val="en-US" w:eastAsia="zh-CN"/>
        </w:rPr>
        <w:t>3</w:t>
      </w:r>
      <w:r>
        <w:rPr>
          <w:rFonts w:hint="eastAsia"/>
          <w:b/>
          <w:sz w:val="32"/>
          <w:szCs w:val="32"/>
          <w:highlight w:val="none"/>
        </w:rPr>
        <w:fldChar w:fldCharType="end"/>
      </w:r>
      <w:r>
        <w:rPr>
          <w:rFonts w:hint="eastAsia"/>
          <w:b/>
          <w:sz w:val="32"/>
          <w:szCs w:val="32"/>
          <w:highlight w:val="none"/>
          <w:lang w:val="en-US" w:eastAsia="zh-CN"/>
        </w:rPr>
        <w:t>3</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"_Toc406402998" </w:instrText>
      </w:r>
      <w:r>
        <w:rPr>
          <w:highlight w:val="none"/>
        </w:rPr>
        <w:fldChar w:fldCharType="separate"/>
      </w:r>
      <w:r>
        <w:rPr>
          <w:rStyle w:val="77"/>
          <w:rFonts w:hint="eastAsia"/>
          <w:b/>
          <w:color w:val="auto"/>
          <w:sz w:val="32"/>
          <w:szCs w:val="32"/>
          <w:highlight w:val="none"/>
        </w:rPr>
        <w:t>第五章</w:t>
      </w:r>
      <w:r>
        <w:rPr>
          <w:rStyle w:val="77"/>
          <w:b/>
          <w:color w:val="auto"/>
          <w:sz w:val="32"/>
          <w:szCs w:val="32"/>
          <w:highlight w:val="none"/>
        </w:rPr>
        <w:t xml:space="preserve">  </w:t>
      </w:r>
      <w:r>
        <w:rPr>
          <w:rStyle w:val="77"/>
          <w:rFonts w:hint="eastAsia"/>
          <w:b/>
          <w:color w:val="auto"/>
          <w:sz w:val="32"/>
          <w:szCs w:val="32"/>
          <w:highlight w:val="none"/>
        </w:rPr>
        <w:t>嘉善县政府采购合同（</w:t>
      </w:r>
      <w:bookmarkStart w:id="3" w:name="_Hlt497308216"/>
      <w:r>
        <w:rPr>
          <w:rStyle w:val="77"/>
          <w:rFonts w:hint="eastAsia"/>
          <w:b/>
          <w:color w:val="auto"/>
          <w:sz w:val="32"/>
          <w:szCs w:val="32"/>
          <w:highlight w:val="none"/>
        </w:rPr>
        <w:t>指</w:t>
      </w:r>
      <w:bookmarkEnd w:id="3"/>
      <w:bookmarkStart w:id="4" w:name="_Hlt497308220"/>
      <w:r>
        <w:rPr>
          <w:rStyle w:val="77"/>
          <w:rFonts w:hint="eastAsia"/>
          <w:b/>
          <w:color w:val="auto"/>
          <w:sz w:val="32"/>
          <w:szCs w:val="32"/>
          <w:highlight w:val="none"/>
        </w:rPr>
        <w:t>引</w:t>
      </w:r>
      <w:bookmarkEnd w:id="4"/>
      <w:r>
        <w:rPr>
          <w:rStyle w:val="77"/>
          <w:rFonts w:hint="eastAsia"/>
          <w:b/>
          <w:color w:val="auto"/>
          <w:sz w:val="32"/>
          <w:szCs w:val="32"/>
          <w:highlight w:val="none"/>
        </w:rPr>
        <w:t>）</w:t>
      </w:r>
      <w:bookmarkStart w:id="5" w:name="_Hlt497308212"/>
      <w:bookmarkStart w:id="6" w:name="_Hlt497308213"/>
      <w:r>
        <w:rPr>
          <w:b/>
          <w:sz w:val="32"/>
          <w:szCs w:val="32"/>
          <w:highlight w:val="none"/>
        </w:rPr>
        <w:tab/>
      </w:r>
      <w:bookmarkEnd w:id="5"/>
      <w:bookmarkEnd w:id="6"/>
      <w:r>
        <w:rPr>
          <w:rFonts w:hint="eastAsia"/>
          <w:b/>
          <w:sz w:val="32"/>
          <w:szCs w:val="32"/>
          <w:highlight w:val="none"/>
          <w:lang w:val="en-US" w:eastAsia="zh-CN"/>
        </w:rPr>
        <w:t>3</w:t>
      </w:r>
      <w:r>
        <w:rPr>
          <w:rFonts w:hint="eastAsia"/>
          <w:b/>
          <w:sz w:val="32"/>
          <w:szCs w:val="32"/>
          <w:highlight w:val="none"/>
        </w:rPr>
        <w:fldChar w:fldCharType="end"/>
      </w:r>
      <w:r>
        <w:rPr>
          <w:rFonts w:hint="eastAsia"/>
          <w:b/>
          <w:sz w:val="32"/>
          <w:szCs w:val="32"/>
          <w:highlight w:val="none"/>
          <w:lang w:val="en-US" w:eastAsia="zh-CN"/>
        </w:rPr>
        <w:t>6</w:t>
      </w:r>
    </w:p>
    <w:p>
      <w:pPr>
        <w:pStyle w:val="45"/>
        <w:tabs>
          <w:tab w:val="right" w:leader="dot" w:pos="8834"/>
        </w:tabs>
        <w:spacing w:line="480" w:lineRule="auto"/>
        <w:rPr>
          <w:rFonts w:hint="default" w:eastAsia="宋体"/>
          <w:b/>
          <w:sz w:val="32"/>
          <w:szCs w:val="32"/>
          <w:highlight w:val="none"/>
          <w:lang w:val="en-US" w:eastAsia="zh-CN"/>
        </w:rPr>
      </w:pPr>
      <w:r>
        <w:rPr>
          <w:highlight w:val="none"/>
        </w:rPr>
        <w:fldChar w:fldCharType="begin"/>
      </w:r>
      <w:r>
        <w:rPr>
          <w:highlight w:val="none"/>
        </w:rPr>
        <w:instrText xml:space="preserve"> HYPERLINK \l "_Toc406403000" </w:instrText>
      </w:r>
      <w:r>
        <w:rPr>
          <w:highlight w:val="none"/>
        </w:rPr>
        <w:fldChar w:fldCharType="separate"/>
      </w:r>
      <w:r>
        <w:rPr>
          <w:rStyle w:val="77"/>
          <w:rFonts w:hint="eastAsia"/>
          <w:b/>
          <w:color w:val="auto"/>
          <w:sz w:val="32"/>
          <w:szCs w:val="32"/>
          <w:highlight w:val="none"/>
        </w:rPr>
        <w:t>第六章　投标文件格式</w:t>
      </w:r>
      <w:r>
        <w:rPr>
          <w:b/>
          <w:sz w:val="32"/>
          <w:szCs w:val="32"/>
          <w:highlight w:val="none"/>
        </w:rPr>
        <w:tab/>
      </w:r>
      <w:r>
        <w:rPr>
          <w:b/>
          <w:sz w:val="32"/>
          <w:szCs w:val="32"/>
          <w:highlight w:val="none"/>
        </w:rPr>
        <w:fldChar w:fldCharType="end"/>
      </w:r>
      <w:r>
        <w:rPr>
          <w:rFonts w:hint="eastAsia"/>
          <w:b/>
          <w:sz w:val="32"/>
          <w:szCs w:val="32"/>
          <w:highlight w:val="none"/>
          <w:lang w:val="en-US" w:eastAsia="zh-CN"/>
        </w:rPr>
        <w:t>41</w:t>
      </w: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spacing w:line="360" w:lineRule="auto"/>
        <w:ind w:firstLine="480" w:firstLineChars="229"/>
        <w:rPr>
          <w:rFonts w:ascii="仿宋" w:hAnsi="仿宋" w:eastAsia="仿宋" w:cs="仿宋_GB2312"/>
          <w:sz w:val="24"/>
          <w:highlight w:val="none"/>
        </w:rPr>
      </w:pPr>
      <w:r>
        <w:rPr>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ascii="仿宋_GB2312" w:hAnsi="仿宋" w:eastAsia="仿宋_GB2312" w:cs="仿宋_GB2312"/>
          <w:b/>
          <w:sz w:val="36"/>
          <w:szCs w:val="20"/>
          <w:highlight w:val="none"/>
        </w:rPr>
      </w:pPr>
      <w:bookmarkStart w:id="7" w:name="_Hlt74729822"/>
      <w:bookmarkEnd w:id="7"/>
      <w:bookmarkStart w:id="8" w:name="_Hlt74728647"/>
      <w:bookmarkEnd w:id="8"/>
      <w:bookmarkStart w:id="9" w:name="_Hlt74649545"/>
      <w:bookmarkEnd w:id="9"/>
      <w:bookmarkStart w:id="10" w:name="_Hlt74707423"/>
      <w:bookmarkEnd w:id="10"/>
      <w:bookmarkStart w:id="11" w:name="第二部分"/>
      <w:bookmarkStart w:id="12" w:name="_Toc91899870"/>
      <w:bookmarkStart w:id="13" w:name="_Toc91899871"/>
      <w:r>
        <w:rPr>
          <w:rFonts w:hint="eastAsia" w:ascii="仿宋" w:hAnsi="仿宋" w:eastAsia="仿宋" w:cs="仿宋_GB2312"/>
          <w:b/>
          <w:sz w:val="36"/>
          <w:szCs w:val="20"/>
          <w:highlight w:val="none"/>
        </w:rPr>
        <w:t>第一章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u w:val="single"/>
          <w:lang w:eastAsia="zh-CN"/>
        </w:rPr>
        <w:t>嘉善县商务局防汛排涝车采购项目</w:t>
      </w:r>
      <w:r>
        <w:rPr>
          <w:rFonts w:hint="eastAsia" w:ascii="仿宋_GB2312" w:hAnsi="仿宋" w:eastAsia="仿宋_GB2312" w:cs="仿宋_GB2312"/>
          <w:sz w:val="24"/>
          <w:highlight w:val="none"/>
          <w:u w:val="single"/>
        </w:rPr>
        <w:t>）</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7月15日14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JXYJ2022021</w:t>
      </w:r>
      <w:r>
        <w:rPr>
          <w:rFonts w:hint="eastAsia" w:ascii="仿宋_GB2312" w:hAnsi="仿宋" w:eastAsia="仿宋_GB2312"/>
          <w:b/>
          <w:sz w:val="24"/>
          <w:highlight w:val="none"/>
        </w:rPr>
        <w:t>(G)</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lang w:eastAsia="zh-CN"/>
        </w:rPr>
        <w:t>嘉善县商务局防汛排涝车采购项目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rPr>
        <w:t>2890000</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最高限价（元）：2890000</w:t>
      </w:r>
      <w:r>
        <w:rPr>
          <w:rFonts w:hint="eastAsia" w:ascii="仿宋_GB2312" w:hAnsi="仿宋" w:eastAsia="仿宋_GB2312"/>
          <w:sz w:val="24"/>
          <w:highlight w:val="none"/>
        </w:rPr>
        <w:t xml:space="preserve"> </w:t>
      </w:r>
    </w:p>
    <w:p>
      <w:pPr>
        <w:pStyle w:val="7"/>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7"/>
        <w:spacing w:line="360" w:lineRule="auto"/>
        <w:ind w:firstLine="480"/>
        <w:rPr>
          <w:rFonts w:hint="default" w:ascii="仿宋_GB2312" w:hAnsi="仿宋" w:eastAsia="仿宋_GB2312"/>
          <w:highlight w:val="none"/>
          <w:lang w:val="en-US" w:eastAsia="zh-CN"/>
        </w:rPr>
      </w:pPr>
      <w:r>
        <w:rPr>
          <w:rFonts w:hint="eastAsia" w:ascii="仿宋_GB2312" w:hAnsi="仿宋" w:eastAsia="仿宋_GB2312"/>
          <w:b/>
          <w:sz w:val="24"/>
          <w:szCs w:val="18"/>
          <w:highlight w:val="none"/>
        </w:rPr>
        <w:t>合同履约期限</w:t>
      </w:r>
      <w:r>
        <w:rPr>
          <w:rFonts w:hint="eastAsia" w:ascii="仿宋_GB2312" w:hAnsi="仿宋" w:eastAsia="仿宋_GB2312"/>
          <w:b/>
          <w:highlight w:val="none"/>
        </w:rPr>
        <w:t>：</w:t>
      </w:r>
      <w:r>
        <w:rPr>
          <w:rFonts w:hint="eastAsia" w:ascii="仿宋" w:hAnsi="仿宋" w:eastAsia="仿宋" w:cs="仿宋_GB2312"/>
          <w:snapToGrid w:val="0"/>
          <w:color w:val="auto"/>
          <w:kern w:val="28"/>
          <w:sz w:val="24"/>
          <w:szCs w:val="20"/>
          <w:highlight w:val="none"/>
          <w:lang w:val="en-US" w:eastAsia="zh-CN" w:bidi="ar-SA"/>
        </w:rPr>
        <w:t>自合同签订之日起10日内完成所有货物的供货、安装、调试。</w:t>
      </w:r>
    </w:p>
    <w:p>
      <w:pPr>
        <w:pStyle w:val="7"/>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512" w:firstLineChars="200"/>
        <w:rPr>
          <w:rFonts w:ascii="仿宋_GB2312" w:hAnsi="仿宋" w:eastAsia="仿宋_GB2312" w:cs="仿宋_GB2312"/>
          <w:sz w:val="24"/>
          <w:highlight w:val="none"/>
        </w:rPr>
      </w:pPr>
      <w:r>
        <w:rPr>
          <w:rFonts w:hint="eastAsia" w:ascii="仿宋" w:hAnsi="仿宋" w:eastAsia="仿宋" w:cs="宋体"/>
          <w:spacing w:val="8"/>
          <w:kern w:val="0"/>
          <w:sz w:val="24"/>
          <w:highlight w:val="none"/>
        </w:rPr>
        <w:t>3.本项目的特定资格要求：</w:t>
      </w:r>
      <w:r>
        <w:rPr>
          <w:rFonts w:hint="eastAsia" w:ascii="仿宋" w:hAnsi="仿宋" w:eastAsia="仿宋" w:cs="宋体"/>
          <w:spacing w:val="8"/>
          <w:kern w:val="0"/>
          <w:sz w:val="24"/>
          <w:highlight w:val="none"/>
          <w:lang w:eastAsia="zh-CN"/>
        </w:rPr>
        <w:t>无</w:t>
      </w:r>
      <w:r>
        <w:rPr>
          <w:rFonts w:ascii="仿宋_GB2312" w:hAnsi="仿宋" w:eastAsia="仿宋_GB2312" w:cs="仿宋_GB2312"/>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7月15日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7月15日14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7月15日14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4.其他事项：</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sz w:val="24"/>
          <w:highlight w:val="none"/>
        </w:rPr>
        <w:t>【地址：</w:t>
      </w:r>
      <w:r>
        <w:rPr>
          <w:rFonts w:hint="eastAsia" w:ascii="仿宋_GB2312" w:hAnsi="仿宋" w:eastAsia="仿宋_GB2312"/>
          <w:sz w:val="24"/>
          <w:highlight w:val="none"/>
        </w:rPr>
        <w:t>嘉善县阳光东路185号善商大厦1号（东）楼21层嘉兴市银建工程咨询评估有限公司招标代理部</w:t>
      </w:r>
      <w:r>
        <w:rPr>
          <w:rFonts w:hint="eastAsia" w:ascii="仿宋_GB2312" w:hAnsi="仿宋" w:eastAsia="仿宋_GB2312" w:cs="仿宋_GB2312"/>
          <w:sz w:val="24"/>
          <w:highlight w:val="none"/>
        </w:rPr>
        <w:t>；收件人：王佳浩；电话：</w:t>
      </w:r>
      <w:r>
        <w:rPr>
          <w:rFonts w:hint="eastAsia" w:ascii="仿宋_GB2312" w:hAnsi="仿宋" w:eastAsia="仿宋_GB2312" w:cs="仿宋_GB2312"/>
          <w:sz w:val="24"/>
          <w:highlight w:val="none"/>
          <w:lang w:eastAsia="zh-CN"/>
        </w:rPr>
        <w:t>0573-84211066</w:t>
      </w:r>
      <w:r>
        <w:rPr>
          <w:rFonts w:hint="eastAsia" w:ascii="仿宋_GB2312" w:hAnsi="仿宋" w:eastAsia="仿宋_GB2312" w:cs="仿宋_GB2312"/>
          <w:sz w:val="24"/>
          <w:highlight w:val="none"/>
        </w:rPr>
        <w:t>；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sz w:val="24"/>
          <w:highlight w:val="none"/>
        </w:rPr>
        <w:t>备份投标文件的制作、存储、密封详见招标文件第</w:t>
      </w:r>
      <w:r>
        <w:rPr>
          <w:rFonts w:hint="eastAsia" w:ascii="仿宋_GB2312" w:hAnsi="仿宋" w:eastAsia="仿宋_GB2312" w:cs="仿宋_GB2312"/>
          <w:sz w:val="24"/>
          <w:highlight w:val="none"/>
        </w:rPr>
        <w:t>三章</w:t>
      </w:r>
      <w:r>
        <w:rPr>
          <w:rFonts w:ascii="仿宋_GB2312" w:hAnsi="仿宋" w:eastAsia="仿宋_GB2312" w:cs="仿宋_GB2312"/>
          <w:sz w:val="24"/>
          <w:highlight w:val="none"/>
        </w:rPr>
        <w:t>—“备份投标文件”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七、对本次招标提出询问，请按以下方式联系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eastAsia="zh-CN"/>
        </w:rPr>
        <w:t>嘉善县商务局</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浙江省嘉兴市嘉善县嘉善大道1589号</w:t>
      </w:r>
      <w:r>
        <w:rPr>
          <w:rFonts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传</w:t>
      </w:r>
      <w:r>
        <w:rPr>
          <w:rFonts w:ascii="仿宋_GB2312" w:hAnsi="仿宋" w:eastAsia="仿宋_GB2312"/>
          <w:sz w:val="24"/>
          <w:highlight w:val="none"/>
        </w:rPr>
        <w:t xml:space="preserve">    真： </w:t>
      </w:r>
      <w:r>
        <w:rPr>
          <w:rFonts w:ascii="仿宋" w:hAnsi="仿宋" w:eastAsia="仿宋"/>
          <w:sz w:val="24"/>
          <w:highlight w:val="none"/>
        </w:rPr>
        <w:t>/</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项目联系人（询问）：毛</w:t>
      </w:r>
      <w:r>
        <w:rPr>
          <w:rFonts w:hint="eastAsia" w:ascii="仿宋_GB2312" w:hAnsi="仿宋" w:eastAsia="仿宋_GB2312"/>
          <w:sz w:val="24"/>
          <w:highlight w:val="none"/>
          <w:lang w:val="en-US" w:eastAsia="zh-CN"/>
        </w:rPr>
        <w:t>先生</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0573-84252265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秦</w:t>
      </w:r>
      <w:r>
        <w:rPr>
          <w:rFonts w:hint="eastAsia" w:ascii="仿宋_GB2312" w:hAnsi="仿宋" w:eastAsia="仿宋_GB2312"/>
          <w:sz w:val="24"/>
          <w:highlight w:val="none"/>
          <w:lang w:val="en-US" w:eastAsia="zh-CN"/>
        </w:rPr>
        <w:t>先生</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0573-84252265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lang w:eastAsia="zh-CN"/>
        </w:rPr>
        <w:t>0573-84211066</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lang w:val="en-US" w:eastAsia="zh-CN"/>
        </w:rPr>
        <w:t>俞鸿婷</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w:t>
      </w:r>
      <w:r>
        <w:rPr>
          <w:rFonts w:hint="eastAsia" w:ascii="仿宋_GB2312" w:hAnsi="仿宋" w:eastAsia="仿宋_GB2312"/>
          <w:sz w:val="24"/>
          <w:highlight w:val="none"/>
          <w:lang w:eastAsia="zh-CN"/>
        </w:rPr>
        <w:t>842110</w:t>
      </w:r>
      <w:r>
        <w:rPr>
          <w:rFonts w:hint="eastAsia" w:ascii="仿宋_GB2312" w:hAnsi="仿宋" w:eastAsia="仿宋_GB2312"/>
          <w:sz w:val="24"/>
          <w:highlight w:val="none"/>
          <w:lang w:val="en-US" w:eastAsia="zh-CN"/>
        </w:rPr>
        <w:t>99</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0573-84122528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fmt="decimal"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60" w:lineRule="auto"/>
        <w:jc w:val="center"/>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招标需求</w:t>
      </w: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pacing w:val="-6"/>
          <w:sz w:val="21"/>
          <w:szCs w:val="21"/>
          <w:highlight w:val="none"/>
        </w:rPr>
      </w:pPr>
      <w:r>
        <w:rPr>
          <w:rFonts w:hAnsi="宋体" w:cs="宋体"/>
          <w:b/>
          <w:bCs/>
          <w:sz w:val="21"/>
          <w:szCs w:val="21"/>
          <w:highlight w:val="none"/>
        </w:rPr>
        <w:t>6</w:t>
      </w:r>
      <w:r>
        <w:rPr>
          <w:rFonts w:hint="eastAsia" w:hAnsi="宋体" w:cs="宋体"/>
          <w:b/>
          <w:bCs/>
          <w:sz w:val="21"/>
          <w:szCs w:val="21"/>
          <w:highlight w:val="none"/>
        </w:rPr>
        <w:t>00 m</w:t>
      </w:r>
      <w:r>
        <w:rPr>
          <w:rFonts w:hint="eastAsia" w:hAnsi="宋体" w:cs="宋体"/>
          <w:b/>
          <w:bCs/>
          <w:sz w:val="21"/>
          <w:szCs w:val="21"/>
          <w:highlight w:val="none"/>
          <w:vertAlign w:val="superscript"/>
        </w:rPr>
        <w:t>3</w:t>
      </w:r>
      <w:r>
        <w:rPr>
          <w:rFonts w:hint="eastAsia" w:hAnsi="宋体" w:cs="宋体"/>
          <w:b/>
          <w:bCs/>
          <w:sz w:val="21"/>
          <w:szCs w:val="21"/>
          <w:highlight w:val="none"/>
        </w:rPr>
        <w:t>/h  应急排涝车（扬程8米）</w:t>
      </w:r>
      <w:r>
        <w:rPr>
          <w:rFonts w:hAnsi="宋体" w:cs="宋体"/>
          <w:b/>
          <w:bCs/>
          <w:spacing w:val="-6"/>
          <w:sz w:val="21"/>
          <w:szCs w:val="21"/>
          <w:highlight w:val="none"/>
        </w:rPr>
        <w:t>1</w:t>
      </w:r>
      <w:r>
        <w:rPr>
          <w:rFonts w:hint="eastAsia" w:hAnsi="宋体" w:cs="宋体"/>
          <w:b/>
          <w:bCs/>
          <w:spacing w:val="-6"/>
          <w:sz w:val="21"/>
          <w:szCs w:val="21"/>
          <w:highlight w:val="none"/>
        </w:rPr>
        <w:t>辆技术要求编号：1</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099"/>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32" w:type="pct"/>
            <w:gridSpan w:val="2"/>
            <w:noWrap/>
          </w:tcPr>
          <w:p>
            <w:pPr>
              <w:pStyle w:val="25"/>
              <w:spacing w:line="240" w:lineRule="auto"/>
              <w:ind w:firstLine="594" w:firstLineChars="300"/>
              <w:rPr>
                <w:rFonts w:hint="default" w:hAnsi="宋体" w:cs="宋体"/>
                <w:spacing w:val="-6"/>
                <w:sz w:val="21"/>
                <w:szCs w:val="21"/>
                <w:highlight w:val="none"/>
              </w:rPr>
            </w:pPr>
            <w:r>
              <w:rPr>
                <w:rFonts w:hAnsi="宋体" w:cs="宋体"/>
                <w:spacing w:val="-6"/>
                <w:sz w:val="21"/>
                <w:szCs w:val="21"/>
                <w:highlight w:val="none"/>
              </w:rPr>
              <w:t>名称</w:t>
            </w:r>
          </w:p>
        </w:tc>
        <w:tc>
          <w:tcPr>
            <w:tcW w:w="3468" w:type="pct"/>
            <w:noWrap/>
            <w:vAlign w:val="center"/>
          </w:tcPr>
          <w:p>
            <w:pPr>
              <w:pStyle w:val="25"/>
              <w:spacing w:line="240" w:lineRule="auto"/>
              <w:ind w:firstLine="0"/>
              <w:jc w:val="center"/>
              <w:rPr>
                <w:rFonts w:hint="default" w:hAnsi="宋体" w:cs="宋体"/>
                <w:sz w:val="21"/>
                <w:szCs w:val="21"/>
                <w:highlight w:val="none"/>
              </w:rPr>
            </w:pPr>
            <w:r>
              <w:rPr>
                <w:rFonts w:hAnsi="宋体" w:cs="宋体"/>
                <w:spacing w:val="-6"/>
                <w:sz w:val="21"/>
                <w:szCs w:val="21"/>
                <w:highlight w:val="none"/>
              </w:rPr>
              <w:t>技术与规格要求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55"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车辆配置</w:t>
            </w:r>
          </w:p>
        </w:tc>
        <w:tc>
          <w:tcPr>
            <w:tcW w:w="1077" w:type="pct"/>
            <w:noWrap/>
            <w:vAlign w:val="center"/>
          </w:tcPr>
          <w:p>
            <w:pPr>
              <w:pStyle w:val="25"/>
              <w:spacing w:line="240" w:lineRule="auto"/>
              <w:ind w:left="0" w:leftChars="0" w:firstLine="0" w:firstLineChars="0"/>
              <w:jc w:val="center"/>
              <w:rPr>
                <w:rFonts w:hint="default" w:hAnsi="宋体" w:cs="宋体"/>
                <w:b/>
                <w:bCs/>
                <w:sz w:val="21"/>
                <w:szCs w:val="21"/>
                <w:highlight w:val="none"/>
              </w:rPr>
            </w:pPr>
            <w:r>
              <w:rPr>
                <w:rFonts w:hAnsi="宋体" w:cs="宋体"/>
                <w:spacing w:val="-6"/>
                <w:sz w:val="21"/>
                <w:szCs w:val="21"/>
                <w:highlight w:val="none"/>
              </w:rPr>
              <w:t>▲车辆排放</w:t>
            </w:r>
          </w:p>
        </w:tc>
        <w:tc>
          <w:tcPr>
            <w:tcW w:w="3468" w:type="pct"/>
            <w:noWrap/>
            <w:vAlign w:val="center"/>
          </w:tcPr>
          <w:p>
            <w:pPr>
              <w:tabs>
                <w:tab w:val="left" w:pos="420"/>
              </w:tabs>
              <w:rPr>
                <w:rFonts w:hint="eastAsia" w:eastAsia="宋体"/>
                <w:lang w:val="en-US" w:eastAsia="zh-CN"/>
              </w:rPr>
            </w:pPr>
            <w:r>
              <w:rPr>
                <w:rFonts w:hint="eastAsia"/>
              </w:rPr>
              <w:t>符合国六排放标准，2</w:t>
            </w:r>
            <w:r>
              <w:t>018</w:t>
            </w:r>
            <w:r>
              <w:rPr>
                <w:rFonts w:hint="eastAsia"/>
              </w:rPr>
              <w:t>及以后新款，并提供证明文件车辆具有工信部公告、有3C认证证书，报价包括设备购置费、运输费、安装调试费、代办车辆上牌服务费、售后服务费、培训费、有关部门的验收费、政策性文件规定及合同包含的所有风险、责任等各项全部费用。（包含车辆保险费用，交强险、第三者险：不低于200万）</w:t>
            </w:r>
            <w:r>
              <w:rPr>
                <w:rFonts w:hint="eastAsia" w:hAnsi="宋体" w:cs="宋体"/>
                <w:color w:val="auto"/>
                <w:sz w:val="21"/>
                <w:szCs w:val="21"/>
                <w:highlight w:val="yellow"/>
                <w:lang w:val="en-US" w:eastAsia="zh-CN"/>
              </w:rPr>
              <w:t>符合专项作业车改装要求，可在采购地合法上牌，投标文件中须附工业和信息化部装备工业发展中心道路机动车辆生产企业及产品信息查询系统（http://app.miit-eidc.org.cn/miitxxgk/gonggao_xxgk/index.html）中的公告截图，包括改装成品车的图片及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55" w:type="pct"/>
            <w:vMerge w:val="continue"/>
            <w:noWrap/>
          </w:tcPr>
          <w:p>
            <w:pPr>
              <w:pStyle w:val="25"/>
              <w:spacing w:line="240" w:lineRule="auto"/>
              <w:ind w:firstLine="0"/>
              <w:jc w:val="center"/>
              <w:rPr>
                <w:rFonts w:hint="default" w:hAnsi="宋体" w:cs="宋体"/>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z w:val="21"/>
                <w:szCs w:val="21"/>
                <w:highlight w:val="none"/>
              </w:rPr>
            </w:pPr>
            <w:r>
              <w:rPr>
                <w:rFonts w:hAnsi="宋体" w:cs="宋体"/>
                <w:sz w:val="21"/>
                <w:szCs w:val="21"/>
                <w:highlight w:val="none"/>
              </w:rPr>
              <w:t>燃油类型</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整车尺寸</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pacing w:val="-2"/>
                <w:kern w:val="10"/>
                <w:sz w:val="21"/>
                <w:szCs w:val="21"/>
                <w:highlight w:val="none"/>
              </w:rPr>
              <w:t>≥566</w:t>
            </w:r>
            <w:r>
              <w:rPr>
                <w:rFonts w:hint="eastAsia" w:ascii="宋体" w:hAnsi="宋体" w:cs="宋体"/>
                <w:sz w:val="21"/>
                <w:szCs w:val="21"/>
                <w:highlight w:val="none"/>
              </w:rPr>
              <w:t>0mm</w:t>
            </w:r>
            <w:r>
              <w:rPr>
                <w:rFonts w:hint="eastAsia" w:ascii="宋体" w:hAnsi="宋体" w:cs="宋体"/>
                <w:kern w:val="0"/>
                <w:sz w:val="21"/>
                <w:szCs w:val="21"/>
                <w:highlight w:val="none"/>
              </w:rPr>
              <w:t>×</w:t>
            </w:r>
            <w:r>
              <w:rPr>
                <w:rFonts w:hint="eastAsia" w:ascii="宋体" w:hAnsi="宋体" w:cs="宋体"/>
                <w:sz w:val="21"/>
                <w:szCs w:val="21"/>
                <w:highlight w:val="none"/>
              </w:rPr>
              <w:t>1850mm</w:t>
            </w:r>
            <w:r>
              <w:rPr>
                <w:rFonts w:hint="eastAsia" w:ascii="宋体" w:hAnsi="宋体" w:cs="宋体"/>
                <w:kern w:val="0"/>
                <w:sz w:val="21"/>
                <w:szCs w:val="21"/>
                <w:highlight w:val="none"/>
              </w:rPr>
              <w:t>×</w:t>
            </w:r>
            <w:r>
              <w:rPr>
                <w:rFonts w:hint="eastAsia" w:ascii="宋体" w:hAnsi="宋体" w:cs="宋体"/>
                <w:sz w:val="21"/>
                <w:szCs w:val="21"/>
                <w:highlight w:val="none"/>
              </w:rPr>
              <w:t>2150mm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198" w:firstLineChars="100"/>
              <w:jc w:val="both"/>
              <w:rPr>
                <w:rFonts w:hint="default" w:hAnsi="宋体" w:cs="宋体"/>
                <w:spacing w:val="-6"/>
                <w:sz w:val="21"/>
                <w:szCs w:val="21"/>
                <w:highlight w:val="none"/>
              </w:rPr>
            </w:pPr>
            <w:r>
              <w:rPr>
                <w:rFonts w:hAnsi="宋体" w:cs="宋体"/>
                <w:spacing w:val="-6"/>
                <w:sz w:val="21"/>
                <w:szCs w:val="21"/>
                <w:highlight w:val="none"/>
              </w:rPr>
              <w:t>轴距</w:t>
            </w:r>
          </w:p>
        </w:tc>
        <w:tc>
          <w:tcPr>
            <w:tcW w:w="3468" w:type="pct"/>
            <w:noWrap/>
            <w:vAlign w:val="center"/>
          </w:tcPr>
          <w:p>
            <w:pPr>
              <w:tabs>
                <w:tab w:val="left" w:pos="420"/>
              </w:tabs>
              <w:rPr>
                <w:rFonts w:ascii="宋体" w:hAnsi="宋体" w:cs="宋体"/>
                <w:spacing w:val="-2"/>
                <w:kern w:val="10"/>
                <w:sz w:val="21"/>
                <w:szCs w:val="21"/>
                <w:highlight w:val="none"/>
              </w:rPr>
            </w:pPr>
            <w:r>
              <w:rPr>
                <w:rFonts w:hint="eastAsia" w:ascii="宋体" w:hAnsi="宋体" w:cs="宋体"/>
                <w:sz w:val="21"/>
                <w:szCs w:val="21"/>
                <w:highlight w:val="none"/>
              </w:rPr>
              <w:t>≥3400mm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车辆发动机最大输出功率</w:t>
            </w:r>
          </w:p>
        </w:tc>
        <w:tc>
          <w:tcPr>
            <w:tcW w:w="3468" w:type="pct"/>
            <w:noWrap/>
            <w:vAlign w:val="center"/>
          </w:tcPr>
          <w:p>
            <w:pPr>
              <w:tabs>
                <w:tab w:val="left" w:pos="420"/>
              </w:tabs>
              <w:rPr>
                <w:rFonts w:ascii="宋体" w:hAnsi="宋体" w:cs="宋体"/>
                <w:spacing w:val="-2"/>
                <w:kern w:val="10"/>
                <w:sz w:val="21"/>
                <w:szCs w:val="21"/>
                <w:highlight w:val="none"/>
              </w:rPr>
            </w:pPr>
            <w:r>
              <w:rPr>
                <w:rFonts w:hint="eastAsia" w:ascii="宋体" w:hAnsi="宋体" w:cs="宋体"/>
                <w:sz w:val="21"/>
                <w:szCs w:val="21"/>
                <w:highlight w:val="none"/>
              </w:rPr>
              <w:t>≥105Kw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yellow"/>
              </w:rPr>
            </w:pPr>
            <w:r>
              <w:rPr>
                <w:rFonts w:hAnsi="宋体" w:cs="宋体"/>
                <w:spacing w:val="-6"/>
                <w:sz w:val="21"/>
                <w:szCs w:val="21"/>
                <w:highlight w:val="yellow"/>
              </w:rPr>
              <w:t>车辆底盘</w:t>
            </w:r>
          </w:p>
        </w:tc>
        <w:tc>
          <w:tcPr>
            <w:tcW w:w="3468" w:type="pct"/>
            <w:noWrap/>
            <w:vAlign w:val="center"/>
          </w:tcPr>
          <w:p>
            <w:pPr>
              <w:tabs>
                <w:tab w:val="left" w:pos="420"/>
              </w:tabs>
              <w:rPr>
                <w:rFonts w:ascii="宋体" w:hAnsi="宋体" w:cs="宋体"/>
                <w:sz w:val="21"/>
                <w:szCs w:val="21"/>
                <w:highlight w:val="yellow"/>
              </w:rPr>
            </w:pPr>
            <w:r>
              <w:rPr>
                <w:rFonts w:hint="eastAsia" w:ascii="宋体" w:hAnsi="宋体" w:cs="宋体"/>
                <w:sz w:val="21"/>
                <w:szCs w:val="21"/>
                <w:highlight w:val="yellow"/>
              </w:rPr>
              <w:t>相当于或优于庆铃、尼桑、江铃福特、上汽大通等品牌；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最高车速</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yellow"/>
              </w:rPr>
              <w:t>▲</w:t>
            </w:r>
            <w:r>
              <w:rPr>
                <w:rFonts w:hAnsi="宋体" w:cs="宋体"/>
                <w:spacing w:val="-6"/>
                <w:sz w:val="21"/>
                <w:szCs w:val="21"/>
                <w:highlight w:val="none"/>
              </w:rPr>
              <w:t>汽车总质量</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≥3.25t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z w:val="21"/>
                <w:szCs w:val="21"/>
                <w:highlight w:val="none"/>
              </w:rPr>
            </w:pPr>
            <w:r>
              <w:rPr>
                <w:rFonts w:hAnsi="宋体" w:cs="宋体"/>
                <w:spacing w:val="-6"/>
                <w:sz w:val="21"/>
                <w:szCs w:val="21"/>
                <w:highlight w:val="yellow"/>
              </w:rPr>
              <w:t>▲</w:t>
            </w:r>
            <w:r>
              <w:rPr>
                <w:rFonts w:hAnsi="宋体" w:cs="宋体"/>
                <w:sz w:val="21"/>
                <w:szCs w:val="21"/>
                <w:highlight w:val="none"/>
              </w:rPr>
              <w:t>发动机排量</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≥2999ml发动机品牌与底盘一致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准乘人数</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▲驱动形式</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轮胎规格</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245/70R17LT 10PR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警示装置</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车辆外部按照国家标准配备标志灯和反光标志等；配备无死角倒车雷达影像，高清夜视；车顶安装长牌工程警灯并带送话器。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车辆其他配置</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车辆玻璃具备一键升降功能、车辆玻璃贴膜，车辆前后排安装全包围脚垫。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55"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 载 发 电 机组</w:t>
            </w:r>
          </w:p>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发电机组品牌</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▲1、发动机相当于或优于康明斯、沃尔沃、玉柴、MTU；</w:t>
            </w:r>
          </w:p>
          <w:p>
            <w:pPr>
              <w:tabs>
                <w:tab w:val="left" w:pos="420"/>
              </w:tabs>
              <w:rPr>
                <w:rFonts w:ascii="宋体" w:hAnsi="宋体" w:cs="宋体"/>
                <w:sz w:val="21"/>
                <w:szCs w:val="21"/>
                <w:highlight w:val="none"/>
              </w:rPr>
            </w:pPr>
            <w:r>
              <w:rPr>
                <w:rFonts w:hint="eastAsia" w:ascii="宋体" w:hAnsi="宋体" w:cs="宋体"/>
                <w:sz w:val="21"/>
                <w:szCs w:val="21"/>
                <w:highlight w:val="none"/>
              </w:rPr>
              <w:t>发电机相当于或优于威曼、斯坦福、雅柯斯等品牌。满足国三排放标准，（且满足国家现阶段环保排放标准）</w:t>
            </w:r>
            <w:r>
              <w:rPr>
                <w:rFonts w:hint="eastAsia" w:ascii="宋体" w:hAnsi="宋体" w:cs="宋体"/>
                <w:szCs w:val="21"/>
                <w:highlight w:val="yellow"/>
              </w:rPr>
              <w:t>（应为独立的柴油发动机、发电机）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冷却方式</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封闭式冷却系统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额定输出功率</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≥30Kw，三相四线制 另设接地保护线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z w:val="21"/>
                <w:szCs w:val="21"/>
                <w:highlight w:val="none"/>
              </w:rPr>
            </w:pPr>
            <w:r>
              <w:rPr>
                <w:rFonts w:hAnsi="宋体" w:cs="宋体"/>
                <w:sz w:val="21"/>
                <w:szCs w:val="21"/>
                <w:highlight w:val="none"/>
              </w:rPr>
              <w:t>备用功率</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w:t>
            </w:r>
            <w:r>
              <w:rPr>
                <w:rFonts w:ascii="宋体" w:hAnsi="宋体" w:cs="宋体"/>
                <w:sz w:val="21"/>
                <w:szCs w:val="21"/>
                <w:highlight w:val="none"/>
              </w:rPr>
              <w:t>3</w:t>
            </w:r>
            <w:r>
              <w:rPr>
                <w:rFonts w:hint="eastAsia" w:ascii="宋体" w:hAnsi="宋体" w:cs="宋体"/>
                <w:sz w:val="21"/>
                <w:szCs w:val="21"/>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z w:val="21"/>
                <w:szCs w:val="21"/>
                <w:highlight w:val="none"/>
              </w:rPr>
            </w:pPr>
            <w:r>
              <w:rPr>
                <w:rFonts w:hAnsi="宋体" w:cs="宋体"/>
                <w:sz w:val="21"/>
                <w:szCs w:val="21"/>
                <w:highlight w:val="none"/>
              </w:rPr>
              <w:t>额定容量/备用容量(KVA)</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≥37.5/41.25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自动调速</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配备自动调速功能，稳定输出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油箱容积</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最大排水量工况下，连续工作时间≥8小时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55"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水泵及配套设施</w:t>
            </w: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总排水能力</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单泵≥600m</w:t>
            </w:r>
            <w:r>
              <w:rPr>
                <w:rFonts w:hint="eastAsia" w:ascii="宋体" w:hAnsi="宋体" w:cs="宋体"/>
                <w:sz w:val="21"/>
                <w:szCs w:val="21"/>
                <w:highlight w:val="none"/>
                <w:vertAlign w:val="superscript"/>
              </w:rPr>
              <w:t>3</w:t>
            </w:r>
            <w:r>
              <w:rPr>
                <w:rFonts w:hint="eastAsia" w:ascii="宋体" w:hAnsi="宋体" w:cs="宋体"/>
                <w:sz w:val="21"/>
                <w:szCs w:val="21"/>
                <w:highlight w:val="none"/>
              </w:rPr>
              <w:t xml:space="preserve">/h （在扬程8米时，流量不低于600立方每小时）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tabs>
                <w:tab w:val="left" w:pos="420"/>
              </w:tabs>
              <w:jc w:val="both"/>
              <w:rPr>
                <w:rFonts w:ascii="宋体" w:hAnsi="宋体" w:cs="宋体"/>
                <w:sz w:val="21"/>
                <w:szCs w:val="21"/>
                <w:highlight w:val="none"/>
              </w:rPr>
            </w:pPr>
            <w:r>
              <w:rPr>
                <w:rFonts w:hAnsi="宋体" w:cs="宋体"/>
                <w:sz w:val="21"/>
                <w:szCs w:val="21"/>
                <w:highlight w:val="none"/>
              </w:rPr>
              <w:t>▲</w:t>
            </w:r>
            <w:r>
              <w:rPr>
                <w:rFonts w:hint="eastAsia" w:ascii="宋体" w:hAnsi="宋体" w:cs="宋体"/>
                <w:sz w:val="21"/>
                <w:szCs w:val="21"/>
                <w:highlight w:val="none"/>
              </w:rPr>
              <w:t>水泵功率</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≥20 kw水泵防护等级≥</w:t>
            </w:r>
            <w:r>
              <w:rPr>
                <w:rFonts w:ascii="宋体" w:hAnsi="宋体" w:cs="宋体"/>
                <w:sz w:val="21"/>
                <w:szCs w:val="21"/>
                <w:highlight w:val="none"/>
              </w:rPr>
              <w:t>IP68</w:t>
            </w:r>
            <w:r>
              <w:rPr>
                <w:rFonts w:hint="eastAsia" w:ascii="宋体" w:hAnsi="宋体" w:cs="宋体"/>
                <w:sz w:val="21"/>
                <w:szCs w:val="21"/>
                <w:highlight w:val="none"/>
              </w:rPr>
              <w:t>（须提供国家认可的相应资质的检测机构出具的检测报告）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水泵配置数量</w:t>
            </w:r>
          </w:p>
        </w:tc>
        <w:tc>
          <w:tcPr>
            <w:tcW w:w="3468" w:type="pct"/>
            <w:noWrap/>
            <w:vAlign w:val="center"/>
          </w:tcPr>
          <w:p>
            <w:pPr>
              <w:tabs>
                <w:tab w:val="left" w:pos="420"/>
              </w:tabs>
              <w:rPr>
                <w:rFonts w:ascii="宋体" w:hAnsi="宋体" w:cs="宋体"/>
                <w:sz w:val="21"/>
                <w:szCs w:val="21"/>
                <w:highlight w:val="none"/>
              </w:rPr>
            </w:pPr>
            <w:r>
              <w:rPr>
                <w:rFonts w:ascii="宋体" w:hAnsi="宋体" w:cs="宋体"/>
                <w:sz w:val="21"/>
                <w:szCs w:val="21"/>
                <w:highlight w:val="none"/>
              </w:rPr>
              <w:t>1</w:t>
            </w:r>
            <w:r>
              <w:rPr>
                <w:rFonts w:hint="eastAsia" w:ascii="宋体" w:hAnsi="宋体" w:cs="宋体"/>
                <w:sz w:val="21"/>
                <w:szCs w:val="21"/>
                <w:highlight w:val="none"/>
              </w:rPr>
              <w:t>台轻型潜水泵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单泵标点流量扬程</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≥8m时满足流量不低于</w:t>
            </w:r>
            <w:r>
              <w:rPr>
                <w:rFonts w:ascii="宋体" w:hAnsi="宋体" w:cs="宋体"/>
                <w:sz w:val="21"/>
                <w:szCs w:val="21"/>
                <w:highlight w:val="none"/>
              </w:rPr>
              <w:t>6</w:t>
            </w:r>
            <w:r>
              <w:rPr>
                <w:rFonts w:hint="eastAsia" w:ascii="宋体" w:hAnsi="宋体" w:cs="宋体"/>
                <w:sz w:val="21"/>
                <w:szCs w:val="21"/>
                <w:highlight w:val="none"/>
              </w:rPr>
              <w:t>00m³/h，（同时满足扬程≥10米时，流量不低于500 m³/h）（检测报告中未体现视为不满足要求）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单泵重量</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z w:val="21"/>
                <w:szCs w:val="21"/>
                <w:highlight w:val="none"/>
              </w:rPr>
            </w:pPr>
            <w:r>
              <w:rPr>
                <w:rFonts w:hAnsi="宋体" w:cs="宋体"/>
                <w:sz w:val="21"/>
                <w:szCs w:val="21"/>
                <w:highlight w:val="none"/>
              </w:rPr>
              <w:t>水泵出水口径</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水泵材质</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1、滤网及叶轮均采用304不锈钢，泵体采用轻质铝合金。</w:t>
            </w:r>
          </w:p>
          <w:p>
            <w:pPr>
              <w:tabs>
                <w:tab w:val="left" w:pos="420"/>
              </w:tabs>
              <w:rPr>
                <w:rFonts w:ascii="宋体" w:hAnsi="宋体" w:cs="宋体"/>
                <w:sz w:val="21"/>
                <w:szCs w:val="21"/>
                <w:highlight w:val="none"/>
              </w:rPr>
            </w:pPr>
            <w:r>
              <w:rPr>
                <w:rFonts w:hint="eastAsia" w:ascii="宋体" w:hAnsi="宋体" w:cs="宋体"/>
                <w:sz w:val="21"/>
                <w:szCs w:val="21"/>
                <w:highlight w:val="none"/>
              </w:rPr>
              <w:t>2、叶轮一体成型。需采用2Cr13或者不锈钢耐磨材质，表面进行耐磨硬质涂层处理，达到维氏硬度（HV）1000度以上。 须提供国家认可的相应资质的检测机构出具的检测报告。提供检验报告复印件。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水泵控制柜</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1、控制系统有可视化操作界面，实时监测运行参数，带有漏电、电流过载、缺相、过压、欠压、过频、欠频、电机过热等保护；控制系统采用变频器控制，转速可调。</w:t>
            </w:r>
          </w:p>
          <w:p>
            <w:pPr>
              <w:tabs>
                <w:tab w:val="left" w:pos="420"/>
              </w:tabs>
              <w:rPr>
                <w:rFonts w:ascii="宋体" w:hAnsi="宋体" w:cs="宋体"/>
                <w:sz w:val="21"/>
                <w:szCs w:val="21"/>
                <w:highlight w:val="none"/>
              </w:rPr>
            </w:pPr>
            <w:r>
              <w:rPr>
                <w:rFonts w:hint="eastAsia" w:ascii="宋体" w:hAnsi="宋体" w:cs="宋体"/>
                <w:sz w:val="21"/>
                <w:szCs w:val="21"/>
                <w:highlight w:val="none"/>
              </w:rPr>
              <w:t>2、车辆控制系统紧急时可拆卸，控制系统防护等级≥IP44（须提供国家认可的相应资质的检测机构出具的检测报告）。</w:t>
            </w:r>
          </w:p>
          <w:p>
            <w:pPr>
              <w:tabs>
                <w:tab w:val="left" w:pos="420"/>
              </w:tabs>
              <w:rPr>
                <w:rFonts w:ascii="宋体" w:hAnsi="宋体" w:cs="宋体"/>
                <w:sz w:val="21"/>
                <w:szCs w:val="21"/>
                <w:highlight w:val="none"/>
              </w:rPr>
            </w:pPr>
            <w:r>
              <w:rPr>
                <w:rFonts w:hint="eastAsia" w:ascii="宋体" w:hAnsi="宋体" w:cs="宋体"/>
                <w:sz w:val="21"/>
                <w:szCs w:val="21"/>
                <w:highlight w:val="none"/>
              </w:rPr>
              <w:t>3、提供</w:t>
            </w:r>
            <w:r>
              <w:rPr>
                <w:rFonts w:ascii="宋体" w:hAnsi="宋体" w:cs="宋体"/>
                <w:sz w:val="21"/>
                <w:szCs w:val="21"/>
                <w:highlight w:val="none"/>
              </w:rPr>
              <w:t>1</w:t>
            </w:r>
            <w:r>
              <w:rPr>
                <w:rFonts w:hint="eastAsia" w:ascii="宋体" w:hAnsi="宋体" w:cs="宋体"/>
                <w:sz w:val="21"/>
                <w:szCs w:val="21"/>
                <w:highlight w:val="none"/>
              </w:rPr>
              <w:t>套控制系统，与水泵相匹配。</w:t>
            </w:r>
          </w:p>
          <w:p>
            <w:pPr>
              <w:pStyle w:val="45"/>
              <w:rPr>
                <w:rFonts w:hint="eastAsia" w:eastAsia="宋体"/>
                <w:sz w:val="21"/>
                <w:highlight w:val="none"/>
                <w:lang w:eastAsia="zh-CN"/>
              </w:rPr>
            </w:pPr>
            <w:r>
              <w:rPr>
                <w:rFonts w:hint="eastAsia" w:eastAsia="宋体"/>
                <w:sz w:val="21"/>
                <w:highlight w:val="none"/>
                <w:lang w:eastAsia="zh-CN"/>
              </w:rPr>
              <w:t>4、水泵变频器选用品牌：A</w:t>
            </w:r>
            <w:r>
              <w:rPr>
                <w:rFonts w:eastAsia="宋体"/>
                <w:sz w:val="21"/>
                <w:highlight w:val="none"/>
                <w:lang w:eastAsia="zh-CN"/>
              </w:rPr>
              <w:t>BB</w:t>
            </w:r>
            <w:r>
              <w:rPr>
                <w:rFonts w:hint="eastAsia" w:eastAsia="宋体"/>
                <w:sz w:val="21"/>
                <w:highlight w:val="none"/>
                <w:lang w:eastAsia="zh-CN"/>
              </w:rPr>
              <w:t>、施耐德、三菱、西门子。</w:t>
            </w:r>
          </w:p>
          <w:p>
            <w:pPr>
              <w:pStyle w:val="45"/>
              <w:rPr>
                <w:rFonts w:hint="eastAsia" w:eastAsia="宋体"/>
                <w:sz w:val="21"/>
                <w:highlight w:val="yellow"/>
                <w:lang w:eastAsia="zh-CN"/>
              </w:rPr>
            </w:pPr>
            <w:r>
              <w:rPr>
                <w:rFonts w:hint="eastAsia"/>
                <w:sz w:val="21"/>
                <w:highlight w:val="yellow"/>
                <w:lang w:val="en-US" w:eastAsia="zh-CN"/>
              </w:rPr>
              <w:t>5、</w:t>
            </w:r>
            <w:r>
              <w:rPr>
                <w:rFonts w:hint="eastAsia" w:eastAsia="宋体"/>
                <w:sz w:val="21"/>
                <w:highlight w:val="yellow"/>
                <w:lang w:eastAsia="zh-CN"/>
              </w:rPr>
              <w:t>控制柜应配置完善的防雷系统，控制柜与动力电缆之间采用快速防水接头。</w:t>
            </w:r>
          </w:p>
          <w:p>
            <w:pPr>
              <w:pStyle w:val="45"/>
              <w:rPr>
                <w:highlight w:val="none"/>
                <w:lang w:eastAsia="zh-CN"/>
              </w:rPr>
            </w:pPr>
            <w:r>
              <w:rPr>
                <w:rFonts w:hint="eastAsia" w:eastAsia="宋体"/>
                <w:sz w:val="21"/>
                <w:highlight w:val="yellow"/>
                <w:lang w:eastAsia="zh-CN"/>
              </w:rPr>
              <w:t>控制柜内应配置2路单相插座（需配漏电开关），1路15A三相四线插座（需配漏电开关）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配套电缆</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单泵电缆长度≥</w:t>
            </w:r>
            <w:r>
              <w:rPr>
                <w:rFonts w:ascii="宋体" w:hAnsi="宋体" w:cs="宋体"/>
                <w:sz w:val="21"/>
                <w:szCs w:val="21"/>
                <w:highlight w:val="none"/>
              </w:rPr>
              <w:t>80</w:t>
            </w:r>
            <w:r>
              <w:rPr>
                <w:rFonts w:hint="eastAsia" w:ascii="宋体" w:hAnsi="宋体" w:cs="宋体"/>
                <w:sz w:val="21"/>
                <w:szCs w:val="21"/>
                <w:highlight w:val="none"/>
              </w:rPr>
              <w:t>m，分四段，采用防水快速接头，接头防护等级≥IP67 （须提供国家认可的相应资质的检测机构出具的检测报告）。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配套水带</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单泵配备水带长度≥</w:t>
            </w:r>
            <w:r>
              <w:rPr>
                <w:rFonts w:ascii="宋体" w:hAnsi="宋体" w:cs="宋体"/>
                <w:sz w:val="21"/>
                <w:szCs w:val="21"/>
                <w:highlight w:val="none"/>
              </w:rPr>
              <w:t>100</w:t>
            </w:r>
            <w:r>
              <w:rPr>
                <w:rFonts w:hint="eastAsia" w:ascii="宋体" w:hAnsi="宋体" w:cs="宋体"/>
                <w:sz w:val="21"/>
                <w:szCs w:val="21"/>
                <w:highlight w:val="none"/>
              </w:rPr>
              <w:t>m，分四段，材质耐压、耐腐蚀、防穿刺，采用不锈钢快速接头，2</w:t>
            </w:r>
            <w:r>
              <w:rPr>
                <w:rFonts w:ascii="宋体" w:hAnsi="宋体" w:cs="宋体"/>
                <w:sz w:val="21"/>
                <w:szCs w:val="21"/>
                <w:highlight w:val="none"/>
              </w:rPr>
              <w:t>5</w:t>
            </w:r>
            <w:r>
              <w:rPr>
                <w:rFonts w:hint="eastAsia" w:ascii="宋体" w:hAnsi="宋体" w:cs="宋体"/>
                <w:sz w:val="21"/>
                <w:szCs w:val="21"/>
                <w:highlight w:val="none"/>
              </w:rPr>
              <w:t>米/根。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198" w:firstLineChars="100"/>
              <w:jc w:val="both"/>
              <w:rPr>
                <w:rFonts w:hint="default" w:hAnsi="宋体" w:cs="宋体"/>
                <w:spacing w:val="-6"/>
                <w:sz w:val="21"/>
                <w:szCs w:val="21"/>
                <w:highlight w:val="none"/>
              </w:rPr>
            </w:pPr>
            <w:r>
              <w:rPr>
                <w:rFonts w:hAnsi="宋体" w:cs="宋体"/>
                <w:spacing w:val="-6"/>
                <w:sz w:val="21"/>
                <w:szCs w:val="21"/>
                <w:highlight w:val="none"/>
              </w:rPr>
              <w:t>浮圈</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配</w:t>
            </w:r>
            <w:r>
              <w:rPr>
                <w:rFonts w:ascii="宋体" w:hAnsi="宋体" w:cs="宋体"/>
                <w:sz w:val="21"/>
                <w:szCs w:val="21"/>
                <w:highlight w:val="none"/>
              </w:rPr>
              <w:t>2</w:t>
            </w:r>
            <w:r>
              <w:rPr>
                <w:rFonts w:hint="eastAsia" w:ascii="宋体" w:hAnsi="宋体" w:cs="宋体"/>
                <w:sz w:val="21"/>
                <w:szCs w:val="21"/>
                <w:highlight w:val="none"/>
              </w:rPr>
              <w:t>只浮圈，聚胺脂高强度浮圈，浮圈一体成型,具卡口吊环连接软性固定吊索，满足水泵浮力要求。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55" w:type="pct"/>
            <w:vMerge w:val="continue"/>
            <w:noWrap/>
          </w:tcPr>
          <w:p>
            <w:pPr>
              <w:pStyle w:val="25"/>
              <w:spacing w:line="240" w:lineRule="auto"/>
              <w:ind w:firstLine="0"/>
              <w:jc w:val="center"/>
              <w:rPr>
                <w:rFonts w:hint="default" w:hAnsi="宋体" w:cs="宋体"/>
                <w:spacing w:val="-6"/>
                <w:sz w:val="21"/>
                <w:szCs w:val="21"/>
                <w:highlight w:val="none"/>
              </w:rPr>
            </w:pP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检测报告</w:t>
            </w:r>
          </w:p>
        </w:tc>
        <w:tc>
          <w:tcPr>
            <w:tcW w:w="3468"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提供CMA和CNAS认证的省级及以上检验机构出具的检验报告，检验报告中体现性能试验记录数据，流量、扬程、水泵重量、功率。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55" w:type="pct"/>
            <w:vMerge w:val="restart"/>
            <w:noWrap/>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其他配置</w:t>
            </w:r>
          </w:p>
        </w:tc>
        <w:tc>
          <w:tcPr>
            <w:tcW w:w="1077" w:type="pct"/>
            <w:noWrap/>
            <w:vAlign w:val="center"/>
          </w:tcPr>
          <w:p>
            <w:pPr>
              <w:pStyle w:val="25"/>
              <w:spacing w:line="240" w:lineRule="auto"/>
              <w:ind w:left="0" w:leftChars="0" w:firstLine="0" w:firstLineChars="0"/>
              <w:jc w:val="both"/>
              <w:rPr>
                <w:rFonts w:hint="default" w:hAnsi="宋体" w:cs="宋体"/>
                <w:spacing w:val="-6"/>
                <w:sz w:val="21"/>
                <w:szCs w:val="21"/>
                <w:highlight w:val="none"/>
              </w:rPr>
            </w:pPr>
            <w:r>
              <w:rPr>
                <w:rFonts w:hAnsi="宋体" w:cs="宋体"/>
                <w:spacing w:val="-6"/>
                <w:sz w:val="21"/>
                <w:szCs w:val="21"/>
                <w:highlight w:val="none"/>
              </w:rPr>
              <w:t>应急照明</w:t>
            </w:r>
          </w:p>
        </w:tc>
        <w:tc>
          <w:tcPr>
            <w:tcW w:w="3468" w:type="pct"/>
            <w:noWrap/>
            <w:vAlign w:val="center"/>
          </w:tcPr>
          <w:p>
            <w:pPr>
              <w:pStyle w:val="25"/>
              <w:spacing w:line="240" w:lineRule="auto"/>
              <w:ind w:firstLine="0"/>
              <w:jc w:val="left"/>
              <w:rPr>
                <w:rFonts w:hint="default" w:hAnsi="宋体" w:cs="宋体"/>
                <w:spacing w:val="-6"/>
                <w:sz w:val="21"/>
                <w:szCs w:val="21"/>
                <w:highlight w:val="none"/>
              </w:rPr>
            </w:pPr>
            <w:r>
              <w:rPr>
                <w:rFonts w:hAnsi="宋体" w:cs="宋体"/>
                <w:spacing w:val="-6"/>
                <w:sz w:val="21"/>
                <w:szCs w:val="21"/>
                <w:highlight w:val="none"/>
              </w:rPr>
              <w:t>车厢顶部（提供图片）安装高杆升降照明灯，可遥控和线控，升降高度1</w:t>
            </w:r>
            <w:r>
              <w:rPr>
                <w:rFonts w:hint="default" w:hAnsi="宋体" w:cs="宋体"/>
                <w:spacing w:val="-6"/>
                <w:sz w:val="21"/>
                <w:szCs w:val="21"/>
                <w:highlight w:val="none"/>
              </w:rPr>
              <w:t>.2</w:t>
            </w:r>
            <w:r>
              <w:rPr>
                <w:rFonts w:hAnsi="宋体" w:cs="宋体"/>
                <w:spacing w:val="-6"/>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55" w:type="pct"/>
            <w:vMerge w:val="continue"/>
            <w:noWrap/>
          </w:tcPr>
          <w:p>
            <w:pPr>
              <w:pStyle w:val="25"/>
              <w:spacing w:line="240" w:lineRule="auto"/>
              <w:ind w:firstLine="0"/>
              <w:rPr>
                <w:rFonts w:hint="default" w:hAnsi="宋体" w:cs="宋体"/>
                <w:spacing w:val="-6"/>
                <w:sz w:val="21"/>
                <w:szCs w:val="21"/>
                <w:highlight w:val="none"/>
              </w:rPr>
            </w:pPr>
          </w:p>
        </w:tc>
        <w:tc>
          <w:tcPr>
            <w:tcW w:w="1077" w:type="pct"/>
            <w:noWrap/>
            <w:vAlign w:val="center"/>
          </w:tcPr>
          <w:p>
            <w:pPr>
              <w:tabs>
                <w:tab w:val="left" w:pos="420"/>
              </w:tabs>
              <w:jc w:val="center"/>
              <w:rPr>
                <w:rFonts w:ascii="宋体" w:hAnsi="宋体" w:cs="宋体"/>
                <w:spacing w:val="-6"/>
                <w:sz w:val="21"/>
                <w:szCs w:val="21"/>
                <w:highlight w:val="none"/>
              </w:rPr>
            </w:pPr>
            <w:r>
              <w:rPr>
                <w:rFonts w:hint="eastAsia" w:ascii="宋体" w:hAnsi="宋体" w:cs="宋体"/>
                <w:spacing w:val="-6"/>
                <w:sz w:val="21"/>
                <w:szCs w:val="21"/>
                <w:highlight w:val="none"/>
              </w:rPr>
              <w:t>车辆配备智能指挥调度及设备运行维护系统</w:t>
            </w:r>
          </w:p>
          <w:p>
            <w:pPr>
              <w:pStyle w:val="25"/>
              <w:spacing w:line="240" w:lineRule="auto"/>
              <w:ind w:firstLine="0"/>
              <w:jc w:val="center"/>
              <w:rPr>
                <w:rFonts w:hint="default" w:hAnsi="宋体" w:cs="宋体"/>
                <w:spacing w:val="-6"/>
                <w:sz w:val="21"/>
                <w:szCs w:val="21"/>
                <w:highlight w:val="none"/>
              </w:rPr>
            </w:pPr>
          </w:p>
        </w:tc>
        <w:tc>
          <w:tcPr>
            <w:tcW w:w="3468" w:type="pct"/>
            <w:noWrap/>
            <w:vAlign w:val="center"/>
          </w:tcPr>
          <w:p>
            <w:pPr>
              <w:tabs>
                <w:tab w:val="left" w:pos="420"/>
              </w:tabs>
              <w:rPr>
                <w:rFonts w:ascii="宋体" w:hAnsi="宋体" w:cs="宋体"/>
                <w:spacing w:val="-6"/>
                <w:sz w:val="21"/>
                <w:szCs w:val="21"/>
                <w:highlight w:val="none"/>
              </w:rPr>
            </w:pPr>
            <w:r>
              <w:rPr>
                <w:rFonts w:hint="eastAsia" w:ascii="宋体" w:hAnsi="宋体" w:cs="宋体"/>
                <w:spacing w:val="-6"/>
                <w:sz w:val="21"/>
                <w:szCs w:val="21"/>
                <w:highlight w:val="none"/>
              </w:rPr>
              <w:t>1、提供及传输作业车辆路径及GPS实时定位。</w:t>
            </w:r>
          </w:p>
          <w:p>
            <w:pPr>
              <w:pStyle w:val="25"/>
              <w:spacing w:line="240" w:lineRule="auto"/>
              <w:ind w:left="0" w:leftChars="0" w:firstLine="0" w:firstLineChars="0"/>
              <w:jc w:val="left"/>
              <w:rPr>
                <w:rFonts w:hint="default" w:hAnsi="宋体" w:cs="宋体"/>
                <w:spacing w:val="-6"/>
                <w:sz w:val="21"/>
                <w:szCs w:val="21"/>
                <w:highlight w:val="none"/>
              </w:rPr>
            </w:pPr>
            <w:r>
              <w:rPr>
                <w:rFonts w:hAnsi="宋体" w:cs="宋体"/>
                <w:spacing w:val="-6"/>
                <w:sz w:val="21"/>
                <w:szCs w:val="21"/>
                <w:highlight w:val="none"/>
              </w:rPr>
              <w:t>2、数据采集：能实时显示和监测发电机组重要参数（发电机电压、电流、频率、功率、转速、油压、水温、电池电压、燃油液位、有功电度、无功电度、运行时间、启动次数等）和排水泵重要参数（转速、频率、电流、转矩百分比、功率、水泵流量、整车实时流量、整车本次排水量等）；具备故障报警提示。</w:t>
            </w:r>
          </w:p>
        </w:tc>
      </w:tr>
    </w:tbl>
    <w:p>
      <w:pPr>
        <w:rPr>
          <w:highlight w:val="none"/>
        </w:rPr>
      </w:pPr>
    </w:p>
    <w:p>
      <w:pPr>
        <w:pStyle w:val="45"/>
        <w:rPr>
          <w:highlight w:val="none"/>
          <w:lang w:eastAsia="zh-CN"/>
        </w:rPr>
      </w:pP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z w:val="21"/>
          <w:szCs w:val="21"/>
          <w:highlight w:val="none"/>
        </w:rPr>
      </w:pPr>
    </w:p>
    <w:p>
      <w:pPr>
        <w:pStyle w:val="33"/>
        <w:snapToGrid w:val="0"/>
        <w:spacing w:beforeLines="0" w:afterLines="0" w:line="288" w:lineRule="auto"/>
        <w:ind w:firstLine="211" w:firstLineChars="100"/>
        <w:jc w:val="left"/>
        <w:outlineLvl w:val="0"/>
        <w:rPr>
          <w:rFonts w:hAnsi="宋体" w:cs="宋体"/>
          <w:b/>
          <w:bCs/>
          <w:spacing w:val="-6"/>
          <w:sz w:val="21"/>
          <w:szCs w:val="21"/>
          <w:highlight w:val="none"/>
        </w:rPr>
      </w:pPr>
      <w:r>
        <w:rPr>
          <w:rFonts w:hAnsi="宋体" w:cs="宋体"/>
          <w:b/>
          <w:bCs/>
          <w:sz w:val="21"/>
          <w:szCs w:val="21"/>
          <w:highlight w:val="none"/>
        </w:rPr>
        <w:t>6</w:t>
      </w:r>
      <w:r>
        <w:rPr>
          <w:rFonts w:hint="eastAsia" w:hAnsi="宋体" w:cs="宋体"/>
          <w:b/>
          <w:bCs/>
          <w:sz w:val="21"/>
          <w:szCs w:val="21"/>
          <w:highlight w:val="none"/>
        </w:rPr>
        <w:t>00 m</w:t>
      </w:r>
      <w:r>
        <w:rPr>
          <w:rFonts w:hint="eastAsia" w:hAnsi="宋体" w:cs="宋体"/>
          <w:b/>
          <w:bCs/>
          <w:sz w:val="21"/>
          <w:szCs w:val="21"/>
          <w:highlight w:val="none"/>
          <w:vertAlign w:val="superscript"/>
        </w:rPr>
        <w:t>3</w:t>
      </w:r>
      <w:r>
        <w:rPr>
          <w:rFonts w:hint="eastAsia" w:hAnsi="宋体" w:cs="宋体"/>
          <w:b/>
          <w:bCs/>
          <w:sz w:val="21"/>
          <w:szCs w:val="21"/>
          <w:highlight w:val="none"/>
        </w:rPr>
        <w:t>/h  应急排涝车（扬程1</w:t>
      </w:r>
      <w:r>
        <w:rPr>
          <w:rFonts w:hAnsi="宋体" w:cs="宋体"/>
          <w:b/>
          <w:bCs/>
          <w:sz w:val="21"/>
          <w:szCs w:val="21"/>
          <w:highlight w:val="none"/>
        </w:rPr>
        <w:t>0</w:t>
      </w:r>
      <w:r>
        <w:rPr>
          <w:rFonts w:hint="eastAsia" w:hAnsi="宋体" w:cs="宋体"/>
          <w:b/>
          <w:bCs/>
          <w:sz w:val="21"/>
          <w:szCs w:val="21"/>
          <w:highlight w:val="none"/>
        </w:rPr>
        <w:t>米）</w:t>
      </w:r>
      <w:r>
        <w:rPr>
          <w:rFonts w:hAnsi="宋体" w:cs="宋体"/>
          <w:b/>
          <w:bCs/>
          <w:sz w:val="21"/>
          <w:szCs w:val="21"/>
          <w:highlight w:val="none"/>
        </w:rPr>
        <w:t xml:space="preserve">     2</w:t>
      </w:r>
      <w:r>
        <w:rPr>
          <w:rFonts w:hint="eastAsia" w:hAnsi="宋体" w:cs="宋体"/>
          <w:b/>
          <w:bCs/>
          <w:sz w:val="21"/>
          <w:szCs w:val="21"/>
          <w:highlight w:val="none"/>
        </w:rPr>
        <w:t>辆</w:t>
      </w:r>
      <w:r>
        <w:rPr>
          <w:rFonts w:hint="eastAsia" w:hAnsi="宋体" w:cs="宋体"/>
          <w:b/>
          <w:bCs/>
          <w:spacing w:val="-6"/>
          <w:sz w:val="21"/>
          <w:szCs w:val="21"/>
          <w:highlight w:val="none"/>
        </w:rPr>
        <w:t>技术要求  编号2</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83"/>
        <w:gridCol w:w="7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79" w:type="pct"/>
            <w:gridSpan w:val="2"/>
            <w:noWrap/>
          </w:tcPr>
          <w:p>
            <w:pPr>
              <w:pStyle w:val="25"/>
              <w:spacing w:line="240" w:lineRule="auto"/>
              <w:ind w:firstLine="594" w:firstLineChars="300"/>
              <w:rPr>
                <w:rFonts w:hint="default" w:hAnsi="宋体" w:cs="宋体"/>
                <w:spacing w:val="-6"/>
                <w:sz w:val="21"/>
                <w:szCs w:val="21"/>
                <w:highlight w:val="none"/>
              </w:rPr>
            </w:pPr>
            <w:r>
              <w:rPr>
                <w:rFonts w:hAnsi="宋体" w:cs="宋体"/>
                <w:spacing w:val="-6"/>
                <w:sz w:val="21"/>
                <w:szCs w:val="21"/>
                <w:highlight w:val="none"/>
              </w:rPr>
              <w:t>名称</w:t>
            </w:r>
          </w:p>
        </w:tc>
        <w:tc>
          <w:tcPr>
            <w:tcW w:w="4020" w:type="pct"/>
            <w:noWrap/>
            <w:vAlign w:val="center"/>
          </w:tcPr>
          <w:p>
            <w:pPr>
              <w:pStyle w:val="25"/>
              <w:spacing w:line="240" w:lineRule="auto"/>
              <w:ind w:firstLine="0"/>
              <w:jc w:val="center"/>
              <w:rPr>
                <w:rFonts w:hint="default" w:hAnsi="宋体" w:cs="宋体"/>
                <w:sz w:val="21"/>
                <w:szCs w:val="21"/>
                <w:highlight w:val="none"/>
              </w:rPr>
            </w:pPr>
            <w:r>
              <w:rPr>
                <w:rFonts w:hAnsi="宋体" w:cs="宋体"/>
                <w:spacing w:val="-6"/>
                <w:sz w:val="21"/>
                <w:szCs w:val="21"/>
                <w:highlight w:val="none"/>
              </w:rPr>
              <w:t>技术与规格要求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96"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车辆配置</w:t>
            </w:r>
          </w:p>
        </w:tc>
        <w:tc>
          <w:tcPr>
            <w:tcW w:w="583" w:type="pct"/>
            <w:noWrap/>
            <w:vAlign w:val="center"/>
          </w:tcPr>
          <w:p>
            <w:pPr>
              <w:pStyle w:val="25"/>
              <w:spacing w:line="240" w:lineRule="auto"/>
              <w:ind w:left="0" w:leftChars="0" w:firstLine="0" w:firstLineChars="0"/>
              <w:jc w:val="center"/>
              <w:rPr>
                <w:rFonts w:hint="default" w:hAnsi="宋体" w:cs="宋体"/>
                <w:b/>
                <w:bCs/>
                <w:sz w:val="21"/>
                <w:szCs w:val="21"/>
                <w:highlight w:val="none"/>
              </w:rPr>
            </w:pPr>
            <w:r>
              <w:rPr>
                <w:rFonts w:hAnsi="宋体" w:cs="宋体"/>
                <w:spacing w:val="-6"/>
                <w:sz w:val="21"/>
                <w:szCs w:val="21"/>
                <w:highlight w:val="none"/>
              </w:rPr>
              <w:t>▲车辆排放</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符合国六排放标准，2</w:t>
            </w:r>
            <w:r>
              <w:rPr>
                <w:rFonts w:ascii="宋体" w:hAnsi="宋体" w:cs="宋体"/>
                <w:sz w:val="21"/>
                <w:szCs w:val="21"/>
                <w:highlight w:val="none"/>
              </w:rPr>
              <w:t>018</w:t>
            </w:r>
            <w:r>
              <w:rPr>
                <w:rFonts w:hint="eastAsia" w:ascii="宋体" w:hAnsi="宋体" w:cs="宋体"/>
                <w:sz w:val="21"/>
                <w:szCs w:val="21"/>
                <w:highlight w:val="none"/>
              </w:rPr>
              <w:t>及以后新款，并提供证明文件车辆具有工信部公告、有3C认证证书，报价包括设备购置费、运输费、安装调试费、代办车辆上牌服务费、售后服务费、培训费、有关部门的验收费、政策性文件规定及合同包含的所有风险、责任等各项全部费用。（包含车辆保险费用，交强险、第三者险：不低于200万）</w:t>
            </w:r>
            <w:r>
              <w:rPr>
                <w:rFonts w:hint="eastAsia" w:hAnsi="宋体" w:cs="宋体"/>
                <w:color w:val="auto"/>
                <w:sz w:val="21"/>
                <w:szCs w:val="21"/>
                <w:highlight w:val="yellow"/>
                <w:lang w:val="en-US" w:eastAsia="zh-CN"/>
              </w:rPr>
              <w:t>符合专项作业车改装要求，可在采购地合法上牌，投标文件中须附工业和信息化部装备工业发展中心道路机动车辆生产企业及产品信息查询系统（http://app.miit-eidc.org.cn/miitxxgk/gonggao_xxgk/index.html）中的公告截图，包括改装成品车的图片及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96" w:type="pct"/>
            <w:vMerge w:val="continue"/>
            <w:noWrap/>
          </w:tcPr>
          <w:p>
            <w:pPr>
              <w:pStyle w:val="25"/>
              <w:spacing w:line="240" w:lineRule="auto"/>
              <w:ind w:firstLine="0"/>
              <w:jc w:val="center"/>
              <w:rPr>
                <w:rFonts w:hint="default" w:hAnsi="宋体" w:cs="宋体"/>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z w:val="21"/>
                <w:szCs w:val="21"/>
                <w:highlight w:val="none"/>
              </w:rPr>
            </w:pPr>
            <w:r>
              <w:rPr>
                <w:rFonts w:hAnsi="宋体" w:cs="宋体"/>
                <w:sz w:val="21"/>
                <w:szCs w:val="21"/>
                <w:highlight w:val="none"/>
              </w:rPr>
              <w:t>燃油类型</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整车尺寸</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pacing w:val="-2"/>
                <w:kern w:val="10"/>
                <w:sz w:val="21"/>
                <w:szCs w:val="21"/>
                <w:highlight w:val="none"/>
              </w:rPr>
              <w:t>≥566</w:t>
            </w:r>
            <w:r>
              <w:rPr>
                <w:rFonts w:hint="eastAsia" w:ascii="宋体" w:hAnsi="宋体" w:cs="宋体"/>
                <w:sz w:val="21"/>
                <w:szCs w:val="21"/>
                <w:highlight w:val="none"/>
              </w:rPr>
              <w:t>0mm</w:t>
            </w:r>
            <w:r>
              <w:rPr>
                <w:rFonts w:hint="eastAsia" w:ascii="宋体" w:hAnsi="宋体" w:cs="宋体"/>
                <w:kern w:val="0"/>
                <w:sz w:val="21"/>
                <w:szCs w:val="21"/>
                <w:highlight w:val="none"/>
              </w:rPr>
              <w:t>×</w:t>
            </w:r>
            <w:r>
              <w:rPr>
                <w:rFonts w:hint="eastAsia" w:ascii="宋体" w:hAnsi="宋体" w:cs="宋体"/>
                <w:sz w:val="21"/>
                <w:szCs w:val="21"/>
                <w:highlight w:val="none"/>
              </w:rPr>
              <w:t>1850mm</w:t>
            </w:r>
            <w:r>
              <w:rPr>
                <w:rFonts w:hint="eastAsia" w:ascii="宋体" w:hAnsi="宋体" w:cs="宋体"/>
                <w:kern w:val="0"/>
                <w:sz w:val="21"/>
                <w:szCs w:val="21"/>
                <w:highlight w:val="none"/>
              </w:rPr>
              <w:t>×</w:t>
            </w:r>
            <w:r>
              <w:rPr>
                <w:rFonts w:hint="eastAsia" w:ascii="宋体" w:hAnsi="宋体" w:cs="宋体"/>
                <w:sz w:val="21"/>
                <w:szCs w:val="21"/>
                <w:highlight w:val="none"/>
              </w:rPr>
              <w:t>2150mm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198" w:firstLineChars="100"/>
              <w:jc w:val="center"/>
              <w:rPr>
                <w:rFonts w:hint="default" w:hAnsi="宋体" w:cs="宋体"/>
                <w:spacing w:val="-6"/>
                <w:sz w:val="21"/>
                <w:szCs w:val="21"/>
                <w:highlight w:val="none"/>
              </w:rPr>
            </w:pPr>
            <w:r>
              <w:rPr>
                <w:rFonts w:hAnsi="宋体" w:cs="宋体"/>
                <w:spacing w:val="-6"/>
                <w:sz w:val="21"/>
                <w:szCs w:val="21"/>
                <w:highlight w:val="none"/>
              </w:rPr>
              <w:t>轴距</w:t>
            </w:r>
          </w:p>
        </w:tc>
        <w:tc>
          <w:tcPr>
            <w:tcW w:w="4020" w:type="pct"/>
            <w:noWrap/>
            <w:vAlign w:val="center"/>
          </w:tcPr>
          <w:p>
            <w:pPr>
              <w:tabs>
                <w:tab w:val="left" w:pos="420"/>
              </w:tabs>
              <w:rPr>
                <w:rFonts w:ascii="宋体" w:hAnsi="宋体" w:cs="宋体"/>
                <w:spacing w:val="-2"/>
                <w:kern w:val="10"/>
                <w:sz w:val="21"/>
                <w:szCs w:val="21"/>
                <w:highlight w:val="none"/>
              </w:rPr>
            </w:pPr>
            <w:r>
              <w:rPr>
                <w:rFonts w:hint="eastAsia" w:ascii="宋体" w:hAnsi="宋体" w:cs="宋体"/>
                <w:sz w:val="21"/>
                <w:szCs w:val="21"/>
                <w:highlight w:val="none"/>
              </w:rPr>
              <w:t>≥3400mm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车辆发动机最大输出功率</w:t>
            </w:r>
          </w:p>
        </w:tc>
        <w:tc>
          <w:tcPr>
            <w:tcW w:w="4020" w:type="pct"/>
            <w:noWrap/>
            <w:vAlign w:val="center"/>
          </w:tcPr>
          <w:p>
            <w:pPr>
              <w:tabs>
                <w:tab w:val="left" w:pos="420"/>
              </w:tabs>
              <w:rPr>
                <w:rFonts w:ascii="宋体" w:hAnsi="宋体" w:cs="宋体"/>
                <w:spacing w:val="-2"/>
                <w:kern w:val="10"/>
                <w:sz w:val="21"/>
                <w:szCs w:val="21"/>
                <w:highlight w:val="none"/>
              </w:rPr>
            </w:pPr>
            <w:r>
              <w:rPr>
                <w:rFonts w:hint="eastAsia" w:ascii="宋体" w:hAnsi="宋体" w:cs="宋体"/>
                <w:sz w:val="21"/>
                <w:szCs w:val="21"/>
                <w:highlight w:val="none"/>
              </w:rPr>
              <w:t>≥105Kw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yellow"/>
              </w:rPr>
            </w:pPr>
            <w:r>
              <w:rPr>
                <w:rFonts w:hAnsi="宋体" w:cs="宋体"/>
                <w:spacing w:val="-6"/>
                <w:sz w:val="21"/>
                <w:szCs w:val="21"/>
                <w:highlight w:val="yellow"/>
              </w:rPr>
              <w:t>车辆底盘</w:t>
            </w:r>
          </w:p>
        </w:tc>
        <w:tc>
          <w:tcPr>
            <w:tcW w:w="4020" w:type="pct"/>
            <w:noWrap/>
            <w:vAlign w:val="center"/>
          </w:tcPr>
          <w:p>
            <w:pPr>
              <w:tabs>
                <w:tab w:val="left" w:pos="420"/>
              </w:tabs>
              <w:rPr>
                <w:rFonts w:ascii="宋体" w:hAnsi="宋体" w:cs="宋体"/>
                <w:sz w:val="21"/>
                <w:szCs w:val="21"/>
                <w:highlight w:val="yellow"/>
              </w:rPr>
            </w:pPr>
            <w:r>
              <w:rPr>
                <w:rFonts w:hint="eastAsia" w:ascii="宋体" w:hAnsi="宋体" w:cs="宋体"/>
                <w:sz w:val="21"/>
                <w:szCs w:val="21"/>
                <w:highlight w:val="yellow"/>
              </w:rPr>
              <w:t>相当于或优于庆铃、尼桑、江铃福特、上汽大通等品牌；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最高车速</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yellow"/>
              </w:rPr>
              <w:t>▲</w:t>
            </w:r>
            <w:r>
              <w:rPr>
                <w:rFonts w:hAnsi="宋体" w:cs="宋体"/>
                <w:spacing w:val="-6"/>
                <w:sz w:val="21"/>
                <w:szCs w:val="21"/>
                <w:highlight w:val="none"/>
              </w:rPr>
              <w:t>汽车总质量</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≥3.25t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z w:val="21"/>
                <w:szCs w:val="21"/>
                <w:highlight w:val="none"/>
              </w:rPr>
            </w:pPr>
            <w:r>
              <w:rPr>
                <w:rFonts w:hAnsi="宋体" w:cs="宋体"/>
                <w:spacing w:val="-6"/>
                <w:sz w:val="21"/>
                <w:szCs w:val="21"/>
                <w:highlight w:val="yellow"/>
              </w:rPr>
              <w:t>▲</w:t>
            </w:r>
            <w:r>
              <w:rPr>
                <w:rFonts w:hAnsi="宋体" w:cs="宋体"/>
                <w:sz w:val="21"/>
                <w:szCs w:val="21"/>
                <w:highlight w:val="none"/>
              </w:rPr>
              <w:t>发动机排量</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≥2999ml发动机品牌与底盘一致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准乘人数</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▲驱动形式</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轮胎规格</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245/70R17LT 10PR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警示装置</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车辆外部按照国家标准配备标志灯和反光标志等；配备无死角倒车雷达影像，高清夜视；车顶安装长牌工程警灯并带送话器。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车辆其他配置</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车辆玻璃具备一键升降功能、车辆玻璃贴膜，车辆前后排安装全包围脚垫。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6"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车载 发电 机组</w:t>
            </w:r>
          </w:p>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发电机组品牌</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▲1、发动机相当于或优于康明斯、沃尔沃、玉柴、MTU；</w:t>
            </w:r>
          </w:p>
          <w:p>
            <w:pPr>
              <w:tabs>
                <w:tab w:val="left" w:pos="420"/>
              </w:tabs>
              <w:rPr>
                <w:rFonts w:ascii="宋体" w:hAnsi="宋体" w:cs="宋体"/>
                <w:sz w:val="21"/>
                <w:szCs w:val="21"/>
                <w:highlight w:val="none"/>
              </w:rPr>
            </w:pPr>
            <w:r>
              <w:rPr>
                <w:rFonts w:hint="eastAsia" w:ascii="宋体" w:hAnsi="宋体" w:cs="宋体"/>
                <w:sz w:val="21"/>
                <w:szCs w:val="21"/>
                <w:highlight w:val="none"/>
              </w:rPr>
              <w:t>发电机相当于或优于威曼、斯坦福、雅柯斯等品牌。满足国三排放标准（且满足国家现阶段环保排放标准）</w:t>
            </w:r>
            <w:r>
              <w:rPr>
                <w:rFonts w:hint="eastAsia" w:ascii="宋体" w:hAnsi="宋体" w:cs="宋体"/>
                <w:szCs w:val="21"/>
                <w:highlight w:val="yellow"/>
              </w:rPr>
              <w:t>（应为独立的柴油发动机、发电机）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冷却方式</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封闭式冷却系统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额定输出功率</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≥30Kw，三相四线制 另设接地保护线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z w:val="21"/>
                <w:szCs w:val="21"/>
                <w:highlight w:val="none"/>
              </w:rPr>
            </w:pPr>
            <w:r>
              <w:rPr>
                <w:rFonts w:hAnsi="宋体" w:cs="宋体"/>
                <w:sz w:val="21"/>
                <w:szCs w:val="21"/>
                <w:highlight w:val="none"/>
              </w:rPr>
              <w:t>备用功率</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w:t>
            </w:r>
            <w:r>
              <w:rPr>
                <w:rFonts w:ascii="宋体" w:hAnsi="宋体" w:cs="宋体"/>
                <w:sz w:val="21"/>
                <w:szCs w:val="21"/>
                <w:highlight w:val="none"/>
              </w:rPr>
              <w:t>3</w:t>
            </w:r>
            <w:r>
              <w:rPr>
                <w:rFonts w:hint="eastAsia" w:ascii="宋体" w:hAnsi="宋体" w:cs="宋体"/>
                <w:sz w:val="21"/>
                <w:szCs w:val="21"/>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z w:val="21"/>
                <w:szCs w:val="21"/>
                <w:highlight w:val="none"/>
              </w:rPr>
            </w:pPr>
            <w:r>
              <w:rPr>
                <w:rFonts w:hAnsi="宋体" w:cs="宋体"/>
                <w:sz w:val="21"/>
                <w:szCs w:val="21"/>
                <w:highlight w:val="none"/>
              </w:rPr>
              <w:t>额定容量/备用容量(KVA)</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≥37.5/41.25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自动调速</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配备自动调速功能，稳定输出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油箱容积</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最大排水量工况下，连续工作时间≥8小时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6"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水泵及配套设施</w:t>
            </w: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总排水能力</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单泵≥600m</w:t>
            </w:r>
            <w:r>
              <w:rPr>
                <w:rFonts w:hint="eastAsia" w:ascii="宋体" w:hAnsi="宋体" w:cs="宋体"/>
                <w:sz w:val="21"/>
                <w:szCs w:val="21"/>
                <w:highlight w:val="none"/>
                <w:vertAlign w:val="superscript"/>
              </w:rPr>
              <w:t>3</w:t>
            </w:r>
            <w:r>
              <w:rPr>
                <w:rFonts w:hint="eastAsia" w:ascii="宋体" w:hAnsi="宋体" w:cs="宋体"/>
                <w:sz w:val="21"/>
                <w:szCs w:val="21"/>
                <w:highlight w:val="none"/>
              </w:rPr>
              <w:t>/h （在扬程</w:t>
            </w:r>
            <w:r>
              <w:rPr>
                <w:rFonts w:ascii="宋体" w:hAnsi="宋体" w:cs="宋体"/>
                <w:sz w:val="21"/>
                <w:szCs w:val="21"/>
                <w:highlight w:val="none"/>
              </w:rPr>
              <w:t>10</w:t>
            </w:r>
            <w:r>
              <w:rPr>
                <w:rFonts w:hint="eastAsia" w:ascii="宋体" w:hAnsi="宋体" w:cs="宋体"/>
                <w:sz w:val="21"/>
                <w:szCs w:val="21"/>
                <w:highlight w:val="none"/>
              </w:rPr>
              <w:t xml:space="preserve">米时，流量不低于600立方每小时）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tabs>
                <w:tab w:val="left" w:pos="420"/>
              </w:tabs>
              <w:jc w:val="center"/>
              <w:rPr>
                <w:rFonts w:ascii="宋体" w:hAnsi="宋体" w:cs="宋体"/>
                <w:sz w:val="21"/>
                <w:szCs w:val="21"/>
                <w:highlight w:val="none"/>
              </w:rPr>
            </w:pPr>
            <w:r>
              <w:rPr>
                <w:rFonts w:hAnsi="宋体" w:cs="宋体"/>
                <w:sz w:val="21"/>
                <w:szCs w:val="21"/>
                <w:highlight w:val="none"/>
              </w:rPr>
              <w:t>▲</w:t>
            </w:r>
            <w:r>
              <w:rPr>
                <w:rFonts w:hint="eastAsia" w:ascii="宋体" w:hAnsi="宋体" w:cs="宋体"/>
                <w:sz w:val="21"/>
                <w:szCs w:val="21"/>
                <w:highlight w:val="none"/>
              </w:rPr>
              <w:t>水泵功率</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≥20 kw水泵防护等级≥</w:t>
            </w:r>
            <w:r>
              <w:rPr>
                <w:rFonts w:ascii="宋体" w:hAnsi="宋体" w:cs="宋体"/>
                <w:sz w:val="21"/>
                <w:szCs w:val="21"/>
                <w:highlight w:val="none"/>
              </w:rPr>
              <w:t>IP68</w:t>
            </w:r>
            <w:r>
              <w:rPr>
                <w:rFonts w:hint="eastAsia" w:ascii="宋体" w:hAnsi="宋体" w:cs="宋体"/>
                <w:sz w:val="21"/>
                <w:szCs w:val="21"/>
                <w:highlight w:val="none"/>
              </w:rPr>
              <w:t>（须提供国家认可的相应资质的检测机构出具的检测报告）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水泵配置数量</w:t>
            </w:r>
          </w:p>
        </w:tc>
        <w:tc>
          <w:tcPr>
            <w:tcW w:w="4020" w:type="pct"/>
            <w:noWrap/>
            <w:vAlign w:val="center"/>
          </w:tcPr>
          <w:p>
            <w:pPr>
              <w:tabs>
                <w:tab w:val="left" w:pos="420"/>
              </w:tabs>
              <w:rPr>
                <w:rFonts w:ascii="宋体" w:hAnsi="宋体" w:cs="宋体"/>
                <w:sz w:val="21"/>
                <w:szCs w:val="21"/>
                <w:highlight w:val="none"/>
              </w:rPr>
            </w:pPr>
            <w:r>
              <w:rPr>
                <w:rFonts w:ascii="宋体" w:hAnsi="宋体" w:cs="宋体"/>
                <w:sz w:val="21"/>
                <w:szCs w:val="21"/>
                <w:highlight w:val="none"/>
              </w:rPr>
              <w:t>1</w:t>
            </w:r>
            <w:r>
              <w:rPr>
                <w:rFonts w:hint="eastAsia" w:ascii="宋体" w:hAnsi="宋体" w:cs="宋体"/>
                <w:sz w:val="21"/>
                <w:szCs w:val="21"/>
                <w:highlight w:val="none"/>
              </w:rPr>
              <w:t>台轻型潜水泵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单泵标点流量扬程</w:t>
            </w:r>
          </w:p>
        </w:tc>
        <w:tc>
          <w:tcPr>
            <w:tcW w:w="4020" w:type="pct"/>
            <w:noWrap/>
            <w:vAlign w:val="center"/>
          </w:tcPr>
          <w:p>
            <w:pPr>
              <w:tabs>
                <w:tab w:val="left" w:pos="420"/>
              </w:tabs>
              <w:rPr>
                <w:rFonts w:ascii="宋体" w:hAnsi="宋体" w:cs="宋体"/>
                <w:sz w:val="21"/>
                <w:szCs w:val="21"/>
                <w:highlight w:val="none"/>
              </w:rPr>
            </w:pPr>
            <w:r>
              <w:rPr>
                <w:rFonts w:hAnsi="宋体" w:cs="宋体"/>
                <w:spacing w:val="-6"/>
                <w:sz w:val="21"/>
                <w:szCs w:val="21"/>
                <w:highlight w:val="none"/>
              </w:rPr>
              <w:t>扬程</w:t>
            </w:r>
            <w:r>
              <w:rPr>
                <w:rFonts w:hint="eastAsia" w:ascii="宋体" w:hAnsi="宋体" w:cs="宋体"/>
                <w:sz w:val="21"/>
                <w:szCs w:val="21"/>
                <w:highlight w:val="none"/>
              </w:rPr>
              <w:t>≥</w:t>
            </w:r>
            <w:r>
              <w:rPr>
                <w:rFonts w:ascii="宋体" w:hAnsi="宋体" w:cs="宋体"/>
                <w:sz w:val="21"/>
                <w:szCs w:val="21"/>
                <w:highlight w:val="none"/>
              </w:rPr>
              <w:t>10</w:t>
            </w:r>
            <w:r>
              <w:rPr>
                <w:rFonts w:hint="eastAsia" w:ascii="宋体" w:hAnsi="宋体" w:cs="宋体"/>
                <w:sz w:val="21"/>
                <w:szCs w:val="21"/>
                <w:highlight w:val="none"/>
              </w:rPr>
              <w:t>m时满足流量不低于600m³/h，（同时满足扬程≥15米时流量不低于400 m³/h）（检测报告中未体现视为不满足要求）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单泵重量</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≤3</w:t>
            </w:r>
            <w:r>
              <w:rPr>
                <w:rFonts w:ascii="宋体" w:hAnsi="宋体" w:cs="宋体"/>
                <w:sz w:val="21"/>
                <w:szCs w:val="21"/>
                <w:highlight w:val="none"/>
              </w:rPr>
              <w:t>2</w:t>
            </w:r>
            <w:r>
              <w:rPr>
                <w:rFonts w:hint="eastAsia" w:ascii="宋体" w:hAnsi="宋体" w:cs="宋体"/>
                <w:sz w:val="21"/>
                <w:szCs w:val="21"/>
                <w:highlight w:val="none"/>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z w:val="21"/>
                <w:szCs w:val="21"/>
                <w:highlight w:val="none"/>
              </w:rPr>
            </w:pPr>
            <w:r>
              <w:rPr>
                <w:rFonts w:hAnsi="宋体" w:cs="宋体"/>
                <w:sz w:val="21"/>
                <w:szCs w:val="21"/>
                <w:highlight w:val="none"/>
              </w:rPr>
              <w:t>水泵出水口径</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≥2</w:t>
            </w:r>
            <w:r>
              <w:rPr>
                <w:rFonts w:ascii="宋体" w:hAnsi="宋体" w:cs="宋体"/>
                <w:sz w:val="21"/>
                <w:szCs w:val="21"/>
                <w:highlight w:val="none"/>
              </w:rPr>
              <w:t>5</w:t>
            </w:r>
            <w:r>
              <w:rPr>
                <w:rFonts w:hint="eastAsia" w:ascii="宋体" w:hAnsi="宋体" w:cs="宋体"/>
                <w:sz w:val="21"/>
                <w:szCs w:val="21"/>
                <w:highlight w:val="none"/>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水泵材质</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1、滤网及叶轮均采用304不锈钢，泵体采用轻质铝合金。</w:t>
            </w:r>
          </w:p>
          <w:p>
            <w:pPr>
              <w:tabs>
                <w:tab w:val="left" w:pos="420"/>
              </w:tabs>
              <w:rPr>
                <w:rFonts w:ascii="宋体" w:hAnsi="宋体" w:cs="宋体"/>
                <w:sz w:val="21"/>
                <w:szCs w:val="21"/>
                <w:highlight w:val="none"/>
              </w:rPr>
            </w:pPr>
            <w:r>
              <w:rPr>
                <w:rFonts w:hint="eastAsia" w:ascii="宋体" w:hAnsi="宋体" w:cs="宋体"/>
                <w:sz w:val="21"/>
                <w:szCs w:val="21"/>
                <w:highlight w:val="none"/>
              </w:rPr>
              <w:t>2、叶轮一体成型。需采用2Cr13或者不锈钢耐磨材质，表面进行耐磨硬质涂层处理，达到维氏硬度（HV）1000度以上。 须提供国家认可的相应资质的检测机构出具的检测报告。提供检验报告复印件。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水泵控制柜</w:t>
            </w:r>
          </w:p>
        </w:tc>
        <w:tc>
          <w:tcPr>
            <w:tcW w:w="4020" w:type="pct"/>
            <w:noWrap/>
            <w:vAlign w:val="center"/>
          </w:tcPr>
          <w:p>
            <w:pPr>
              <w:tabs>
                <w:tab w:val="left" w:pos="420"/>
              </w:tabs>
            </w:pPr>
            <w:r>
              <w:rPr>
                <w:rFonts w:hint="eastAsia"/>
              </w:rPr>
              <w:t>1、控制系统有可视化操作界面，实时监测运行参数，带有漏电、电流过载、缺相、过压、欠压、过频、欠频、电机过热等保护；控制系统采用变频器控制，转速可调。</w:t>
            </w:r>
          </w:p>
          <w:p>
            <w:pPr>
              <w:tabs>
                <w:tab w:val="left" w:pos="420"/>
              </w:tabs>
            </w:pPr>
            <w:r>
              <w:rPr>
                <w:rFonts w:hint="eastAsia"/>
              </w:rPr>
              <w:t>2、车辆控制系统紧急时可拆卸，控制系统防护等级≥IP44（须提供国家认可的相应资质的检测机构出具的检测报告）。</w:t>
            </w:r>
          </w:p>
          <w:p>
            <w:pPr>
              <w:tabs>
                <w:tab w:val="left" w:pos="420"/>
              </w:tabs>
            </w:pPr>
            <w:r>
              <w:rPr>
                <w:rFonts w:hint="eastAsia"/>
              </w:rPr>
              <w:t>3、提供</w:t>
            </w:r>
            <w:r>
              <w:t>1</w:t>
            </w:r>
            <w:r>
              <w:rPr>
                <w:rFonts w:hint="eastAsia"/>
              </w:rPr>
              <w:t>套控制系统，与水泵相匹配。</w:t>
            </w:r>
          </w:p>
          <w:p>
            <w:pPr>
              <w:pStyle w:val="45"/>
              <w:rPr>
                <w:rFonts w:hint="eastAsia"/>
                <w:lang w:eastAsia="zh-CN"/>
              </w:rPr>
            </w:pPr>
            <w:r>
              <w:rPr>
                <w:rFonts w:hint="eastAsia"/>
                <w:lang w:eastAsia="zh-CN"/>
              </w:rPr>
              <w:t>4、水泵变频器选用品牌：A</w:t>
            </w:r>
            <w:r>
              <w:rPr>
                <w:lang w:eastAsia="zh-CN"/>
              </w:rPr>
              <w:t>BB</w:t>
            </w:r>
            <w:r>
              <w:rPr>
                <w:rFonts w:hint="eastAsia"/>
                <w:lang w:eastAsia="zh-CN"/>
              </w:rPr>
              <w:t>、施耐德、三菱、西门子。</w:t>
            </w:r>
          </w:p>
          <w:p>
            <w:pPr>
              <w:pStyle w:val="45"/>
              <w:rPr>
                <w:rFonts w:hint="eastAsia" w:eastAsia="宋体"/>
                <w:sz w:val="21"/>
                <w:highlight w:val="yellow"/>
                <w:lang w:eastAsia="zh-CN"/>
              </w:rPr>
            </w:pPr>
            <w:r>
              <w:rPr>
                <w:rFonts w:hint="eastAsia"/>
                <w:sz w:val="21"/>
                <w:highlight w:val="none"/>
                <w:lang w:val="en-US" w:eastAsia="zh-CN"/>
              </w:rPr>
              <w:t>5、</w:t>
            </w:r>
            <w:r>
              <w:rPr>
                <w:rFonts w:hint="eastAsia" w:eastAsia="宋体"/>
                <w:sz w:val="21"/>
                <w:highlight w:val="yellow"/>
                <w:lang w:eastAsia="zh-CN"/>
              </w:rPr>
              <w:t>控制柜应配置完善的防雷系统，控制柜与动力电缆之间采用快速防水接头。</w:t>
            </w:r>
          </w:p>
          <w:p>
            <w:pPr>
              <w:rPr>
                <w:rFonts w:hint="default"/>
                <w:lang w:val="en-US" w:eastAsia="zh-CN"/>
              </w:rPr>
            </w:pPr>
            <w:r>
              <w:rPr>
                <w:rFonts w:hint="eastAsia" w:eastAsia="宋体"/>
                <w:sz w:val="21"/>
                <w:highlight w:val="yellow"/>
                <w:lang w:eastAsia="zh-CN"/>
              </w:rPr>
              <w:t>控制柜内应配置2路单相插座（需配漏电开关），1路15A三相四线插座（需配漏电开关）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配套电缆</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单泵电缆长度≥</w:t>
            </w:r>
            <w:r>
              <w:rPr>
                <w:rFonts w:ascii="宋体" w:hAnsi="宋体" w:cs="宋体"/>
                <w:sz w:val="21"/>
                <w:szCs w:val="21"/>
                <w:highlight w:val="none"/>
              </w:rPr>
              <w:t>80</w:t>
            </w:r>
            <w:r>
              <w:rPr>
                <w:rFonts w:hint="eastAsia" w:ascii="宋体" w:hAnsi="宋体" w:cs="宋体"/>
                <w:sz w:val="21"/>
                <w:szCs w:val="21"/>
                <w:highlight w:val="none"/>
              </w:rPr>
              <w:t>m，分四段，采用防水快速接头，接头防护等级≥IP67 （须提供国家认可的相应资质的检测机构出具的检测报告）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配套水带</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单泵配备水带长度≥</w:t>
            </w:r>
            <w:r>
              <w:rPr>
                <w:rFonts w:ascii="宋体" w:hAnsi="宋体" w:cs="宋体"/>
                <w:sz w:val="21"/>
                <w:szCs w:val="21"/>
                <w:highlight w:val="none"/>
              </w:rPr>
              <w:t>100</w:t>
            </w:r>
            <w:r>
              <w:rPr>
                <w:rFonts w:hint="eastAsia" w:ascii="宋体" w:hAnsi="宋体" w:cs="宋体"/>
                <w:sz w:val="21"/>
                <w:szCs w:val="21"/>
                <w:highlight w:val="none"/>
              </w:rPr>
              <w:t>m，分五段，材质耐压、耐腐蚀、防穿刺，采用不锈钢快速接头，20米/根。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浮圈</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配</w:t>
            </w:r>
            <w:r>
              <w:rPr>
                <w:rFonts w:ascii="宋体" w:hAnsi="宋体" w:cs="宋体"/>
                <w:sz w:val="21"/>
                <w:szCs w:val="21"/>
                <w:highlight w:val="none"/>
              </w:rPr>
              <w:t>2</w:t>
            </w:r>
            <w:r>
              <w:rPr>
                <w:rFonts w:hint="eastAsia" w:ascii="宋体" w:hAnsi="宋体" w:cs="宋体"/>
                <w:sz w:val="21"/>
                <w:szCs w:val="21"/>
                <w:highlight w:val="none"/>
              </w:rPr>
              <w:t>只浮圈，聚胺脂高强度浮圈，浮圈一体成型,具卡口吊环连接软性固定吊索，满足水泵浮力要求。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z w:val="21"/>
                <w:szCs w:val="21"/>
                <w:highlight w:val="none"/>
              </w:rPr>
              <w:t>▲</w:t>
            </w:r>
            <w:r>
              <w:rPr>
                <w:rFonts w:hAnsi="宋体" w:cs="宋体"/>
                <w:spacing w:val="-6"/>
                <w:sz w:val="21"/>
                <w:szCs w:val="21"/>
                <w:highlight w:val="none"/>
              </w:rPr>
              <w:t>检测报告</w:t>
            </w:r>
          </w:p>
        </w:tc>
        <w:tc>
          <w:tcPr>
            <w:tcW w:w="4020" w:type="pct"/>
            <w:noWrap/>
            <w:vAlign w:val="center"/>
          </w:tcPr>
          <w:p>
            <w:pPr>
              <w:tabs>
                <w:tab w:val="left" w:pos="420"/>
              </w:tabs>
              <w:rPr>
                <w:rFonts w:ascii="宋体" w:hAnsi="宋体" w:cs="宋体"/>
                <w:sz w:val="21"/>
                <w:szCs w:val="21"/>
                <w:highlight w:val="none"/>
              </w:rPr>
            </w:pPr>
            <w:r>
              <w:rPr>
                <w:rFonts w:hint="eastAsia" w:ascii="宋体" w:hAnsi="宋体" w:cs="宋体"/>
                <w:sz w:val="21"/>
                <w:szCs w:val="21"/>
                <w:highlight w:val="none"/>
              </w:rPr>
              <w:t>提供CMA认证的省级及以上检验机构出具的检验报告，检验报告中体现性能试验记录数据，流量、扬程、水泵重量、功率。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96" w:type="pct"/>
            <w:vMerge w:val="restart"/>
            <w:noWrap/>
          </w:tcPr>
          <w:p>
            <w:pPr>
              <w:pStyle w:val="25"/>
              <w:spacing w:line="240" w:lineRule="auto"/>
              <w:ind w:firstLine="0"/>
              <w:jc w:val="center"/>
              <w:rPr>
                <w:rFonts w:hint="default" w:hAnsi="宋体" w:cs="宋体"/>
                <w:spacing w:val="-6"/>
                <w:sz w:val="21"/>
                <w:szCs w:val="21"/>
                <w:highlight w:val="none"/>
              </w:rPr>
            </w:pPr>
          </w:p>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其他配置</w:t>
            </w:r>
          </w:p>
        </w:tc>
        <w:tc>
          <w:tcPr>
            <w:tcW w:w="583" w:type="pct"/>
            <w:noWrap/>
            <w:vAlign w:val="center"/>
          </w:tcPr>
          <w:p>
            <w:pPr>
              <w:pStyle w:val="25"/>
              <w:spacing w:line="240" w:lineRule="auto"/>
              <w:ind w:left="0" w:leftChars="0" w:firstLine="0" w:firstLineChars="0"/>
              <w:jc w:val="center"/>
              <w:rPr>
                <w:rFonts w:hint="default" w:hAnsi="宋体" w:cs="宋体"/>
                <w:spacing w:val="-6"/>
                <w:sz w:val="21"/>
                <w:szCs w:val="21"/>
                <w:highlight w:val="none"/>
              </w:rPr>
            </w:pPr>
            <w:r>
              <w:rPr>
                <w:rFonts w:hAnsi="宋体" w:cs="宋体"/>
                <w:spacing w:val="-6"/>
                <w:sz w:val="21"/>
                <w:szCs w:val="21"/>
                <w:highlight w:val="none"/>
              </w:rPr>
              <w:t>应急照明</w:t>
            </w:r>
          </w:p>
        </w:tc>
        <w:tc>
          <w:tcPr>
            <w:tcW w:w="4020" w:type="pct"/>
            <w:noWrap/>
            <w:vAlign w:val="center"/>
          </w:tcPr>
          <w:p>
            <w:pPr>
              <w:pStyle w:val="25"/>
              <w:spacing w:line="240" w:lineRule="auto"/>
              <w:ind w:firstLine="0"/>
              <w:jc w:val="left"/>
              <w:rPr>
                <w:rFonts w:hint="default" w:hAnsi="宋体" w:cs="宋体"/>
                <w:spacing w:val="-6"/>
                <w:sz w:val="21"/>
                <w:szCs w:val="21"/>
                <w:highlight w:val="none"/>
              </w:rPr>
            </w:pPr>
            <w:r>
              <w:rPr>
                <w:rFonts w:hAnsi="宋体" w:cs="宋体"/>
                <w:spacing w:val="-6"/>
                <w:sz w:val="21"/>
                <w:szCs w:val="21"/>
                <w:highlight w:val="none"/>
              </w:rPr>
              <w:t>车厢顶部（提供图片）安装高杆升降照明灯，可遥控和线控，升降高度1</w:t>
            </w:r>
            <w:r>
              <w:rPr>
                <w:rFonts w:hint="default" w:hAnsi="宋体" w:cs="宋体"/>
                <w:spacing w:val="-6"/>
                <w:sz w:val="21"/>
                <w:szCs w:val="21"/>
                <w:highlight w:val="none"/>
              </w:rPr>
              <w:t>.2</w:t>
            </w:r>
            <w:r>
              <w:rPr>
                <w:rFonts w:hAnsi="宋体" w:cs="宋体"/>
                <w:spacing w:val="-6"/>
                <w:sz w:val="21"/>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96" w:type="pct"/>
            <w:vMerge w:val="continue"/>
            <w:noWrap/>
          </w:tcPr>
          <w:p>
            <w:pPr>
              <w:pStyle w:val="25"/>
              <w:spacing w:line="240" w:lineRule="auto"/>
              <w:ind w:firstLine="0"/>
              <w:jc w:val="center"/>
              <w:rPr>
                <w:rFonts w:hint="default" w:hAnsi="宋体" w:cs="宋体"/>
                <w:spacing w:val="-6"/>
                <w:sz w:val="21"/>
                <w:szCs w:val="21"/>
                <w:highlight w:val="none"/>
              </w:rPr>
            </w:pPr>
          </w:p>
        </w:tc>
        <w:tc>
          <w:tcPr>
            <w:tcW w:w="583" w:type="pct"/>
            <w:noWrap/>
            <w:vAlign w:val="center"/>
          </w:tcPr>
          <w:p>
            <w:pPr>
              <w:tabs>
                <w:tab w:val="left" w:pos="420"/>
              </w:tabs>
              <w:jc w:val="center"/>
              <w:rPr>
                <w:rFonts w:ascii="宋体" w:hAnsi="宋体" w:cs="宋体"/>
                <w:spacing w:val="-6"/>
                <w:sz w:val="21"/>
                <w:szCs w:val="21"/>
                <w:highlight w:val="none"/>
              </w:rPr>
            </w:pPr>
            <w:r>
              <w:rPr>
                <w:rFonts w:hint="eastAsia" w:ascii="宋体" w:hAnsi="宋体" w:cs="宋体"/>
                <w:spacing w:val="-6"/>
                <w:sz w:val="21"/>
                <w:szCs w:val="21"/>
                <w:highlight w:val="none"/>
              </w:rPr>
              <w:t>车辆配备智能指挥调度及设备运行维护系统</w:t>
            </w:r>
          </w:p>
          <w:p>
            <w:pPr>
              <w:pStyle w:val="25"/>
              <w:spacing w:line="240" w:lineRule="auto"/>
              <w:ind w:firstLine="0"/>
              <w:jc w:val="center"/>
              <w:rPr>
                <w:rFonts w:hint="default" w:hAnsi="宋体" w:cs="宋体"/>
                <w:spacing w:val="-6"/>
                <w:sz w:val="21"/>
                <w:szCs w:val="21"/>
                <w:highlight w:val="none"/>
              </w:rPr>
            </w:pPr>
          </w:p>
        </w:tc>
        <w:tc>
          <w:tcPr>
            <w:tcW w:w="4020" w:type="pct"/>
            <w:noWrap/>
            <w:vAlign w:val="center"/>
          </w:tcPr>
          <w:p>
            <w:pPr>
              <w:tabs>
                <w:tab w:val="left" w:pos="420"/>
              </w:tabs>
              <w:rPr>
                <w:rFonts w:ascii="宋体" w:hAnsi="宋体" w:cs="宋体"/>
                <w:spacing w:val="-6"/>
                <w:sz w:val="21"/>
                <w:szCs w:val="21"/>
                <w:highlight w:val="none"/>
              </w:rPr>
            </w:pPr>
            <w:r>
              <w:rPr>
                <w:rFonts w:hint="eastAsia" w:ascii="宋体" w:hAnsi="宋体" w:cs="宋体"/>
                <w:spacing w:val="-6"/>
                <w:sz w:val="21"/>
                <w:szCs w:val="21"/>
                <w:highlight w:val="none"/>
              </w:rPr>
              <w:t>1、提供及传输作业车辆路径及GPS实时定位。</w:t>
            </w:r>
          </w:p>
          <w:p>
            <w:pPr>
              <w:tabs>
                <w:tab w:val="left" w:pos="420"/>
              </w:tabs>
              <w:rPr>
                <w:rFonts w:ascii="宋体" w:hAnsi="宋体" w:cs="宋体"/>
                <w:spacing w:val="-6"/>
                <w:sz w:val="21"/>
                <w:szCs w:val="21"/>
                <w:highlight w:val="none"/>
              </w:rPr>
            </w:pPr>
            <w:r>
              <w:rPr>
                <w:rFonts w:hint="eastAsia" w:ascii="宋体" w:hAnsi="宋体" w:cs="宋体"/>
                <w:spacing w:val="-6"/>
                <w:sz w:val="21"/>
                <w:szCs w:val="21"/>
                <w:highlight w:val="none"/>
              </w:rPr>
              <w:t>2、数据采集：能实时显示和监测发电机组重要参数（发电机电压、电流、频率、功率、转速、油压、水温、电池电压、燃油液位、有功电度、无功电度、运行时间、启动次数等）和排水泵重要参数（转速、频率、电流、转矩百分比、功率、水泵流量、整车实时流量、整车本次排水量等）；具备故障报警提示。</w:t>
            </w:r>
          </w:p>
        </w:tc>
      </w:tr>
    </w:tbl>
    <w:p>
      <w:pPr>
        <w:pStyle w:val="33"/>
        <w:snapToGrid w:val="0"/>
        <w:spacing w:before="156" w:after="156" w:line="288" w:lineRule="auto"/>
        <w:jc w:val="left"/>
        <w:outlineLvl w:val="0"/>
        <w:rPr>
          <w:b/>
          <w:spacing w:val="-6"/>
          <w:highlight w:val="none"/>
        </w:rPr>
      </w:pPr>
    </w:p>
    <w:p>
      <w:pPr>
        <w:pStyle w:val="33"/>
        <w:snapToGrid w:val="0"/>
        <w:spacing w:before="156" w:after="156" w:line="288" w:lineRule="auto"/>
        <w:jc w:val="left"/>
        <w:outlineLvl w:val="0"/>
        <w:rPr>
          <w:rFonts w:hint="eastAsia"/>
          <w:b/>
          <w:spacing w:val="-6"/>
          <w:highlight w:val="none"/>
        </w:rPr>
      </w:pPr>
    </w:p>
    <w:p>
      <w:pPr>
        <w:pStyle w:val="33"/>
        <w:snapToGrid w:val="0"/>
        <w:spacing w:before="156" w:after="156" w:line="288" w:lineRule="auto"/>
        <w:jc w:val="left"/>
        <w:outlineLvl w:val="0"/>
        <w:rPr>
          <w:rFonts w:hint="eastAsia"/>
          <w:b/>
          <w:spacing w:val="-6"/>
          <w:highlight w:val="none"/>
        </w:rPr>
      </w:pPr>
    </w:p>
    <w:p>
      <w:pPr>
        <w:pStyle w:val="33"/>
        <w:snapToGrid w:val="0"/>
        <w:spacing w:before="156" w:after="156" w:line="288" w:lineRule="auto"/>
        <w:jc w:val="left"/>
        <w:outlineLvl w:val="0"/>
        <w:rPr>
          <w:rFonts w:hint="eastAsia"/>
          <w:b/>
          <w:spacing w:val="-6"/>
          <w:highlight w:val="none"/>
        </w:rPr>
      </w:pPr>
    </w:p>
    <w:p>
      <w:pPr>
        <w:pStyle w:val="33"/>
        <w:snapToGrid w:val="0"/>
        <w:spacing w:before="156" w:after="156" w:line="288" w:lineRule="auto"/>
        <w:jc w:val="left"/>
        <w:outlineLvl w:val="0"/>
        <w:rPr>
          <w:rFonts w:hint="eastAsia"/>
          <w:b/>
          <w:spacing w:val="-6"/>
          <w:highlight w:val="none"/>
        </w:rPr>
      </w:pPr>
    </w:p>
    <w:p>
      <w:pPr>
        <w:pStyle w:val="33"/>
        <w:snapToGrid w:val="0"/>
        <w:spacing w:before="156" w:after="156" w:line="288" w:lineRule="auto"/>
        <w:jc w:val="left"/>
        <w:outlineLvl w:val="0"/>
        <w:rPr>
          <w:rFonts w:hint="eastAsia"/>
          <w:b/>
          <w:spacing w:val="-6"/>
          <w:highlight w:val="none"/>
        </w:rPr>
      </w:pPr>
    </w:p>
    <w:p>
      <w:pPr>
        <w:pStyle w:val="33"/>
        <w:snapToGrid w:val="0"/>
        <w:spacing w:before="156" w:after="156" w:line="288" w:lineRule="auto"/>
        <w:jc w:val="left"/>
        <w:outlineLvl w:val="0"/>
        <w:rPr>
          <w:rFonts w:hAnsi="宋体"/>
          <w:b/>
          <w:spacing w:val="-6"/>
          <w:highlight w:val="none"/>
        </w:rPr>
      </w:pPr>
      <w:r>
        <w:rPr>
          <w:rFonts w:hint="eastAsia"/>
          <w:b/>
          <w:spacing w:val="-6"/>
          <w:highlight w:val="none"/>
        </w:rPr>
        <w:t>2400型大流量排水抢险车：</w:t>
      </w:r>
      <w:r>
        <w:rPr>
          <w:rFonts w:hint="eastAsia" w:hAnsi="宋体"/>
          <w:b/>
          <w:spacing w:val="-6"/>
          <w:highlight w:val="none"/>
        </w:rPr>
        <w:t>技术要求编号3</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495"/>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63" w:type="pct"/>
            <w:gridSpan w:val="2"/>
            <w:tcBorders>
              <w:top w:val="single" w:color="auto" w:sz="4" w:space="0"/>
              <w:left w:val="single" w:color="auto" w:sz="4" w:space="0"/>
              <w:bottom w:val="single" w:color="auto" w:sz="4" w:space="0"/>
              <w:right w:val="single" w:color="auto" w:sz="4" w:space="0"/>
            </w:tcBorders>
          </w:tcPr>
          <w:p>
            <w:pPr>
              <w:tabs>
                <w:tab w:val="left" w:pos="420"/>
              </w:tabs>
              <w:rPr>
                <w:rFonts w:ascii="宋体" w:hAnsi="宋体" w:cs="宋体"/>
                <w:szCs w:val="21"/>
                <w:highlight w:val="none"/>
              </w:rPr>
            </w:pPr>
            <w:r>
              <w:rPr>
                <w:rFonts w:hint="eastAsia" w:ascii="宋体" w:hAnsi="宋体" w:cs="宋体"/>
                <w:szCs w:val="21"/>
                <w:highlight w:val="none"/>
              </w:rPr>
              <w:t>名称</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jc w:val="center"/>
              <w:rPr>
                <w:rFonts w:ascii="宋体" w:hAnsi="宋体" w:cs="宋体"/>
                <w:szCs w:val="21"/>
                <w:highlight w:val="none"/>
              </w:rPr>
            </w:pPr>
            <w:r>
              <w:rPr>
                <w:rFonts w:hint="eastAsia" w:ascii="宋体" w:hAnsi="宋体" w:cs="宋体"/>
                <w:szCs w:val="21"/>
                <w:highlight w:val="none"/>
              </w:rPr>
              <w:t>技术与规格要求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58" w:type="pct"/>
            <w:vMerge w:val="restart"/>
            <w:tcBorders>
              <w:top w:val="single" w:color="auto" w:sz="4" w:space="0"/>
              <w:left w:val="single" w:color="auto" w:sz="4" w:space="0"/>
              <w:bottom w:val="single" w:color="auto" w:sz="4" w:space="0"/>
              <w:right w:val="single" w:color="auto" w:sz="4" w:space="0"/>
            </w:tcBorders>
          </w:tcPr>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r>
              <w:rPr>
                <w:rFonts w:hint="eastAsia" w:ascii="宋体" w:hAnsi="宋体" w:cs="宋体"/>
                <w:szCs w:val="21"/>
                <w:highlight w:val="none"/>
              </w:rPr>
              <w:t>车辆配置</w:t>
            </w: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▲车辆排放</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jc w:val="left"/>
              <w:rPr>
                <w:rFonts w:ascii="宋体" w:hAnsi="宋体" w:cs="宋体"/>
                <w:szCs w:val="21"/>
                <w:highlight w:val="none"/>
              </w:rPr>
            </w:pPr>
            <w:r>
              <w:rPr>
                <w:rFonts w:hint="eastAsia" w:ascii="宋体" w:hAnsi="宋体" w:cs="宋体"/>
                <w:sz w:val="21"/>
                <w:szCs w:val="21"/>
                <w:highlight w:val="none"/>
              </w:rPr>
              <w:t>符合国六排放标准，2</w:t>
            </w:r>
            <w:r>
              <w:rPr>
                <w:rFonts w:ascii="宋体" w:hAnsi="宋体" w:cs="宋体"/>
                <w:sz w:val="21"/>
                <w:szCs w:val="21"/>
                <w:highlight w:val="none"/>
              </w:rPr>
              <w:t>018</w:t>
            </w:r>
            <w:r>
              <w:rPr>
                <w:rFonts w:hint="eastAsia" w:ascii="宋体" w:hAnsi="宋体" w:cs="宋体"/>
                <w:sz w:val="21"/>
                <w:szCs w:val="21"/>
                <w:highlight w:val="none"/>
              </w:rPr>
              <w:t>及以后新款，并提供证明文件车辆具有工信部公告、有3C认证证书，报价包括设备购置费、运输费、安装调试费、代办车辆上牌服务费、售后服务费、培训费、有关部门的验收费、政策性文件规定及合同包含的所有风险、责任等各项全部费用。（包含车辆保险费用，交强险、第三者险：不低于200万）</w:t>
            </w:r>
            <w:r>
              <w:rPr>
                <w:rFonts w:hint="eastAsia" w:hAnsi="宋体" w:cs="宋体"/>
                <w:color w:val="auto"/>
                <w:sz w:val="21"/>
                <w:szCs w:val="21"/>
                <w:highlight w:val="yellow"/>
                <w:lang w:val="en-US" w:eastAsia="zh-CN"/>
              </w:rPr>
              <w:t>符合专项作业车改装要求，可在采购地合法上牌，投标文件中须附工业和信息化部装备工业发展中心道路机动车辆生产企业及产品信息查询系统（http://app.miit-eidc.org.cn/miitxxgk/gonggao_xxgk/index.html）中的公告截图，包括改装成品车的图片及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燃油类型</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Ansi="宋体" w:cs="宋体"/>
                <w:spacing w:val="-6"/>
                <w:sz w:val="21"/>
                <w:szCs w:val="21"/>
                <w:highlight w:val="yellow"/>
              </w:rPr>
              <w:t>▲</w:t>
            </w:r>
            <w:r>
              <w:rPr>
                <w:rFonts w:hint="eastAsia" w:ascii="宋体" w:hAnsi="宋体" w:cs="宋体"/>
                <w:szCs w:val="21"/>
                <w:highlight w:val="none"/>
              </w:rPr>
              <w:t>排量</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≥7000ml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整车尺寸</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长≥9700mm宽≥2500mm高≥3700mm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轴距</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≥5600mm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车辆发动机最大输出功率</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≥250Kw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▲车辆底盘</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重汽豪沃、重汽汕德卡、沃尔沃、奔驰品牌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涉水深度</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汽车总质量</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≤18t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乘员数</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最高车速</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≥110km/h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转向装置</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配备液压助力转向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▲制动系统</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车辆配有ABS系统，EBS（电子制动系统），ESC（车身电子稳定控制系统）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color w:val="auto"/>
                <w:szCs w:val="21"/>
                <w:highlight w:val="none"/>
              </w:rPr>
            </w:pPr>
            <w:r>
              <w:rPr>
                <w:rFonts w:hint="eastAsia" w:ascii="宋体" w:hAnsi="宋体" w:cs="宋体"/>
                <w:color w:val="auto"/>
                <w:szCs w:val="21"/>
                <w:highlight w:val="none"/>
              </w:rPr>
              <w:t>其他配置</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color w:val="auto"/>
                <w:szCs w:val="21"/>
                <w:highlight w:val="none"/>
              </w:rPr>
            </w:pPr>
            <w:r>
              <w:rPr>
                <w:rFonts w:hint="eastAsia" w:ascii="宋体" w:hAnsi="宋体" w:cs="宋体"/>
                <w:color w:val="auto"/>
                <w:kern w:val="0"/>
                <w:szCs w:val="21"/>
                <w:highlight w:val="none"/>
              </w:rPr>
              <w:t>车辆颜色为消防红，</w:t>
            </w:r>
            <w:r>
              <w:rPr>
                <w:rFonts w:hint="eastAsia" w:ascii="宋体" w:hAnsi="宋体" w:cs="宋体"/>
                <w:color w:val="auto"/>
                <w:szCs w:val="21"/>
                <w:highlight w:val="none"/>
              </w:rPr>
              <w:t>车辆安装7寸彩色显示屏，配有倒车影像；车辆；配有行车记录仪，记录仪有32G内存，记录卡录满后自行删除最早记录，车辆玻璃具备一键升降功能、车辆玻璃贴膜，车辆前后排安装全包围脚垫。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警示装置</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车辆外部按照国家标准配备标志灯或反光标志等；配备无死角倒车雷达影像，高清夜视；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58" w:type="pct"/>
            <w:vMerge w:val="restart"/>
            <w:tcBorders>
              <w:top w:val="single" w:color="auto" w:sz="4" w:space="0"/>
              <w:left w:val="single" w:color="auto" w:sz="4" w:space="0"/>
              <w:bottom w:val="single" w:color="auto" w:sz="4" w:space="0"/>
              <w:right w:val="single" w:color="auto" w:sz="4" w:space="0"/>
            </w:tcBorders>
          </w:tcPr>
          <w:p>
            <w:pPr>
              <w:tabs>
                <w:tab w:val="left" w:pos="420"/>
              </w:tabs>
              <w:jc w:val="center"/>
              <w:rPr>
                <w:rFonts w:ascii="宋体" w:hAnsi="宋体" w:cs="宋体"/>
                <w:szCs w:val="21"/>
                <w:highlight w:val="none"/>
              </w:rPr>
            </w:pPr>
            <w:r>
              <w:rPr>
                <w:rFonts w:hint="eastAsia" w:ascii="宋体" w:hAnsi="宋体" w:cs="宋体"/>
                <w:szCs w:val="21"/>
                <w:highlight w:val="none"/>
              </w:rPr>
              <w:t>车载发电机组</w:t>
            </w: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▲发电机组品牌</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道依茨发电机组、沃尔沃发电机组、康明斯或帕金斯发电机组（应为独立的柴油发动机、发电机）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冷却方式</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封闭式冷却系统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▲额定输出功率</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≥248Kw，三相四线制（国三及以上排放标准）（且满足国家现阶段环保排放标准）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自动调速</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配备自动调速功能，稳定输出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油箱容积</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发电机组油箱容积≥580L，机组额定功率下油耗为≤58L/h ,因此在最大排水量的工况下，可以连续工作8小时；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58" w:type="pct"/>
            <w:vMerge w:val="restart"/>
            <w:tcBorders>
              <w:top w:val="single" w:color="auto" w:sz="4" w:space="0"/>
              <w:left w:val="single" w:color="auto" w:sz="4" w:space="0"/>
              <w:bottom w:val="single" w:color="auto" w:sz="4" w:space="0"/>
              <w:right w:val="single" w:color="auto" w:sz="4" w:space="0"/>
            </w:tcBorders>
          </w:tcPr>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r>
              <w:rPr>
                <w:rFonts w:hint="eastAsia" w:ascii="宋体" w:hAnsi="宋体" w:cs="宋体"/>
                <w:szCs w:val="21"/>
                <w:highlight w:val="none"/>
              </w:rPr>
              <w:t>水泵及配套设施</w:t>
            </w: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总排水能力</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≥2400m3/h时，扬程≥10米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▲水泵配置数量</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4台大流量便携式潜水泵（同时预留2台水泵放置位置）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▲水泵重量</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≤32kg（水泵检测报告中未体现视为不满足要求）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▲水泵流量扬程</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扬程≥10m时，单泵流量不低于600m³/h 、车辆总流量不低于2400m³/h（水泵检测报告中未体现视为不满足要求）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单泵功率</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≥30kw（水泵检测报告中未体现视为不满足要求）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yellow"/>
              </w:rPr>
              <w:t>▲水泵材质</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yellow"/>
              </w:rPr>
              <w:t>1、滤网及叶轮均采用304不锈钢，泵体采用轻质铝合金。</w:t>
            </w:r>
          </w:p>
          <w:p>
            <w:pPr>
              <w:tabs>
                <w:tab w:val="left" w:pos="420"/>
              </w:tabs>
              <w:rPr>
                <w:rFonts w:ascii="宋体" w:hAnsi="宋体" w:cs="宋体"/>
                <w:szCs w:val="21"/>
                <w:highlight w:val="yellow"/>
              </w:rPr>
            </w:pPr>
            <w:r>
              <w:rPr>
                <w:rFonts w:hint="eastAsia" w:ascii="宋体" w:hAnsi="宋体" w:cs="宋体"/>
                <w:szCs w:val="21"/>
                <w:highlight w:val="yellow"/>
              </w:rPr>
              <w:t>2、叶轮一体成型。需采用2Cr13或者不锈钢耐磨材质，表面进行耐磨硬质涂层处理，达到维氏硬度（HV）1000度以上。 须提供国家认可的相应资质的检测机构出具的检测报告。提供检验报告复印件。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水泵控制柜</w:t>
            </w:r>
          </w:p>
          <w:p>
            <w:pPr>
              <w:tabs>
                <w:tab w:val="left" w:pos="420"/>
              </w:tabs>
              <w:rPr>
                <w:rFonts w:ascii="宋体" w:hAnsi="宋体" w:cs="宋体"/>
                <w:szCs w:val="21"/>
                <w:highlight w:val="none"/>
              </w:rPr>
            </w:pP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pPr>
            <w:r>
              <w:rPr>
                <w:rFonts w:hint="eastAsia"/>
              </w:rPr>
              <w:t>▲排水单元控制系统采用采用ABB、西门子、施耐德或三菱变频器</w:t>
            </w:r>
          </w:p>
          <w:p>
            <w:pPr>
              <w:tabs>
                <w:tab w:val="left" w:pos="420"/>
              </w:tabs>
            </w:pPr>
            <w:r>
              <w:rPr>
                <w:rFonts w:hint="eastAsia"/>
              </w:rPr>
              <w:t>2、控制系统有可视化操作界面，实时监测运行参数，带有漏电、电流过载、缺相、过压、欠压、过频、欠频、电机过热等保护；控制系统采用变频器控制，转速可调。（提供5套控制系统，水泵控制方式：一控一）</w:t>
            </w:r>
          </w:p>
          <w:p>
            <w:pPr>
              <w:tabs>
                <w:tab w:val="left" w:pos="420"/>
              </w:tabs>
              <w:rPr>
                <w:rFonts w:hint="eastAsia"/>
              </w:rPr>
            </w:pPr>
            <w:r>
              <w:rPr>
                <w:rFonts w:hint="eastAsia"/>
              </w:rPr>
              <w:t>3、车辆控制系统紧急时可拆卸，控制系统防护等级≥IP44（提供控制柜防护等级第三方认证材料或测试报告）</w:t>
            </w:r>
          </w:p>
          <w:p>
            <w:pPr>
              <w:pStyle w:val="45"/>
              <w:rPr>
                <w:rFonts w:hint="eastAsia" w:eastAsia="宋体"/>
                <w:lang w:val="en-US" w:eastAsia="zh-CN"/>
              </w:rPr>
            </w:pPr>
            <w:r>
              <w:rPr>
                <w:rFonts w:hint="eastAsia" w:hAnsi="宋体" w:cs="宋体"/>
                <w:szCs w:val="21"/>
                <w:highlight w:val="none"/>
                <w:lang w:val="en-US" w:eastAsia="zh-CN"/>
              </w:rPr>
              <w:t>4、</w:t>
            </w:r>
            <w:r>
              <w:rPr>
                <w:rFonts w:hint="eastAsia" w:eastAsia="宋体"/>
                <w:sz w:val="21"/>
                <w:highlight w:val="yellow"/>
                <w:lang w:eastAsia="zh-CN"/>
              </w:rPr>
              <w:t>控制柜应配置完善的防雷系统，控制柜与动力电缆之间采用快速防水接头。控制柜内应配置2路单相插座（需配漏电开关），1路15A三相四线插座（需配漏电开关）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水泵配套水带</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单泵配备水带长度≥</w:t>
            </w:r>
            <w:r>
              <w:rPr>
                <w:rFonts w:ascii="宋体" w:hAnsi="宋体" w:cs="宋体"/>
                <w:szCs w:val="21"/>
                <w:highlight w:val="none"/>
              </w:rPr>
              <w:t>10</w:t>
            </w:r>
            <w:r>
              <w:rPr>
                <w:rFonts w:hint="eastAsia" w:ascii="宋体" w:hAnsi="宋体" w:cs="宋体"/>
                <w:szCs w:val="21"/>
                <w:highlight w:val="none"/>
              </w:rPr>
              <w:t>0m，材质耐压、耐腐蚀、防穿刺，采用不锈钢快速接头，20米/根，口径250mm（聚氨酯消防水带，提供水带国检报告，水带延伸率≤1.5%，膨胀率≤3%、爆破压力Mpa≥3%）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水泵配套电缆</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单泵电缆长度≥</w:t>
            </w:r>
            <w:r>
              <w:rPr>
                <w:rFonts w:ascii="宋体" w:hAnsi="宋体" w:cs="宋体"/>
                <w:szCs w:val="21"/>
                <w:highlight w:val="none"/>
              </w:rPr>
              <w:t>80</w:t>
            </w:r>
            <w:r>
              <w:rPr>
                <w:rFonts w:hint="eastAsia" w:ascii="宋体" w:hAnsi="宋体" w:cs="宋体"/>
                <w:szCs w:val="21"/>
                <w:highlight w:val="none"/>
              </w:rPr>
              <w:t>m，分四段，采用防水快速接头，接头防护等级≥IP67 （须提供国家认可的相应资质的检测机构出具的检测报告）。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水泵浮圈</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聚胺脂高强度浮圈，浮圈一体成型，满足水泵浮力要求。配6个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yellow"/>
              </w:rPr>
              <w:t>▲水泵检验报告</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none"/>
              </w:rPr>
              <w:t>提供省级及以上检验机构出具的检验报告，检验报告中体现性能试验记录数据，流量、扬程、水泵重量、功率、曲线、电泵效率、水泵转速。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58" w:type="pct"/>
            <w:vMerge w:val="restart"/>
            <w:tcBorders>
              <w:top w:val="single" w:color="auto" w:sz="4" w:space="0"/>
              <w:left w:val="single" w:color="auto" w:sz="4" w:space="0"/>
              <w:bottom w:val="single" w:color="auto" w:sz="4" w:space="0"/>
              <w:right w:val="single" w:color="auto" w:sz="4" w:space="0"/>
            </w:tcBorders>
          </w:tcPr>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p>
          <w:p>
            <w:pPr>
              <w:tabs>
                <w:tab w:val="left" w:pos="420"/>
              </w:tabs>
              <w:jc w:val="center"/>
              <w:rPr>
                <w:rFonts w:ascii="宋体" w:hAnsi="宋体" w:cs="宋体"/>
                <w:szCs w:val="21"/>
                <w:highlight w:val="none"/>
              </w:rPr>
            </w:pPr>
            <w:r>
              <w:rPr>
                <w:rFonts w:hint="eastAsia" w:ascii="宋体" w:hAnsi="宋体" w:cs="宋体"/>
                <w:szCs w:val="21"/>
                <w:highlight w:val="none"/>
              </w:rPr>
              <w:t>车厢</w:t>
            </w: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外形及材质</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防腐蚀、耐火材料制作，一体式全封闭车厢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降噪效果</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车辆车厢采用一体式封闭车厢，车厢内做有隔音处理，具备隔音、降噪功能；车厢两侧配有电动侧开门，用于检修柴油发电机组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水泵及水带安放</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车厢裙边配备有液压取泵机构，机构翻转下降后离地小于400mm，液压翻转机构故障不影响人工取泵（提供实车图片）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yellow"/>
              </w:rPr>
              <w:t>车辆液压尾板</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yellow"/>
              </w:rPr>
            </w:pPr>
            <w:r>
              <w:rPr>
                <w:rFonts w:hint="eastAsia" w:ascii="宋体" w:hAnsi="宋体" w:cs="宋体"/>
                <w:szCs w:val="21"/>
                <w:highlight w:val="yellow"/>
              </w:rPr>
              <w:t>车辆尾部配有液压尾板，尾部可承载1500kg,可用于其它排水抢险设备快速取放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jc w:val="center"/>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车辆配备智能指挥调度及设备运行维护系统</w:t>
            </w:r>
          </w:p>
          <w:p>
            <w:pPr>
              <w:tabs>
                <w:tab w:val="left" w:pos="420"/>
              </w:tabs>
              <w:rPr>
                <w:rFonts w:ascii="宋体" w:hAnsi="宋体" w:cs="宋体"/>
                <w:szCs w:val="21"/>
                <w:highlight w:val="none"/>
              </w:rPr>
            </w:pP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1、提供及传输作业车辆路径及GPS实时定位。</w:t>
            </w:r>
          </w:p>
          <w:p>
            <w:pPr>
              <w:tabs>
                <w:tab w:val="left" w:pos="420"/>
              </w:tabs>
              <w:rPr>
                <w:rFonts w:ascii="宋体" w:hAnsi="宋体" w:cs="宋体"/>
                <w:szCs w:val="21"/>
                <w:highlight w:val="none"/>
              </w:rPr>
            </w:pPr>
            <w:r>
              <w:rPr>
                <w:rFonts w:hint="eastAsia" w:ascii="宋体" w:hAnsi="宋体" w:cs="宋体"/>
                <w:szCs w:val="21"/>
                <w:highlight w:val="none"/>
              </w:rPr>
              <w:t>2、数据采集：能实时显示和监测发电机组重要参数（发电机电压、电流、频率、功率、转速、油压、水温、电池电压、燃油液位、有功电度、无功电度、运行时间、启动次数等）和排水泵重要参数（转速、频率、电流、转矩百分比、功率、水泵流量、整车实时流量、整车本次排水量等）；具备故障报警提示。</w:t>
            </w:r>
          </w:p>
          <w:p>
            <w:pPr>
              <w:tabs>
                <w:tab w:val="left" w:pos="420"/>
              </w:tabs>
              <w:rPr>
                <w:rFonts w:ascii="宋体" w:hAnsi="宋体" w:cs="宋体"/>
                <w:szCs w:val="21"/>
                <w:highlight w:val="none"/>
              </w:rPr>
            </w:pPr>
            <w:r>
              <w:rPr>
                <w:rFonts w:hint="eastAsia" w:ascii="宋体" w:hAnsi="宋体" w:cs="宋体"/>
                <w:szCs w:val="21"/>
                <w:highlight w:val="none"/>
              </w:rPr>
              <w:t>（提供智能排水系统介绍及手机APP截图介绍。）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58" w:type="pct"/>
            <w:vMerge w:val="restart"/>
            <w:tcBorders>
              <w:top w:val="single" w:color="auto" w:sz="4" w:space="0"/>
              <w:left w:val="single" w:color="auto" w:sz="4" w:space="0"/>
              <w:bottom w:val="single" w:color="auto" w:sz="4" w:space="0"/>
              <w:right w:val="single" w:color="auto" w:sz="4" w:space="0"/>
            </w:tcBorders>
          </w:tcPr>
          <w:p>
            <w:pPr>
              <w:tabs>
                <w:tab w:val="left" w:pos="420"/>
              </w:tabs>
              <w:jc w:val="center"/>
              <w:rPr>
                <w:rFonts w:ascii="宋体" w:hAnsi="宋体" w:cs="宋体"/>
                <w:szCs w:val="21"/>
                <w:highlight w:val="none"/>
              </w:rPr>
            </w:pPr>
            <w:r>
              <w:rPr>
                <w:rFonts w:hint="eastAsia" w:ascii="宋体" w:hAnsi="宋体" w:cs="宋体"/>
                <w:szCs w:val="21"/>
                <w:highlight w:val="none"/>
              </w:rPr>
              <w:t>其他配置</w:t>
            </w: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应急照明</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车辆配有高杆升降照明灯，升降灯可通过无线和有线遥控两种方式控制，遥控操作距离大于25米；升降灯升降高度为7.5米，可水平旋转360°，垂直旋转180°，旋转速度为4r/min；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探照灯</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驾驶室顶部安装2个探照灯，能为救险行动提供方向引导作用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液压支腿</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一套共四个，单个承重10T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58" w:type="pct"/>
            <w:vMerge w:val="continue"/>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p>
        </w:tc>
        <w:tc>
          <w:tcPr>
            <w:tcW w:w="804"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电动绞盘</w:t>
            </w:r>
          </w:p>
        </w:tc>
        <w:tc>
          <w:tcPr>
            <w:tcW w:w="3636" w:type="pct"/>
            <w:tcBorders>
              <w:top w:val="single" w:color="auto" w:sz="4" w:space="0"/>
              <w:left w:val="single" w:color="auto" w:sz="4" w:space="0"/>
              <w:bottom w:val="single" w:color="auto" w:sz="4" w:space="0"/>
              <w:right w:val="single" w:color="auto" w:sz="4" w:space="0"/>
            </w:tcBorders>
            <w:vAlign w:val="center"/>
          </w:tcPr>
          <w:p>
            <w:pPr>
              <w:tabs>
                <w:tab w:val="left" w:pos="420"/>
              </w:tabs>
              <w:rPr>
                <w:rFonts w:ascii="宋体" w:hAnsi="宋体" w:cs="宋体"/>
                <w:szCs w:val="21"/>
                <w:highlight w:val="none"/>
              </w:rPr>
            </w:pPr>
            <w:r>
              <w:rPr>
                <w:rFonts w:hint="eastAsia" w:ascii="宋体" w:hAnsi="宋体" w:cs="宋体"/>
                <w:szCs w:val="21"/>
                <w:highlight w:val="none"/>
              </w:rPr>
              <w:t>车辆尾部配有电动绞盘，当车辆打滑或陷于泥泞中可实现自救，亦可用于救援其他车辆</w:t>
            </w:r>
          </w:p>
        </w:tc>
      </w:tr>
    </w:tbl>
    <w:p>
      <w:pPr>
        <w:rPr>
          <w:rFonts w:hint="eastAsia"/>
          <w:highlight w:val="none"/>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eastAsia="宋体"/>
          <w:sz w:val="22"/>
          <w:szCs w:val="28"/>
          <w:highlight w:val="none"/>
          <w:lang w:eastAsia="zh-CN"/>
        </w:rPr>
      </w:pPr>
      <w:r>
        <w:rPr>
          <w:rFonts w:hint="eastAsia"/>
          <w:sz w:val="22"/>
          <w:szCs w:val="28"/>
          <w:highlight w:val="none"/>
        </w:rPr>
        <w:t>注：除采购文件明确的品牌外，欢迎其他能满足本项目技术需求且性能与所明确品牌相当的产品参加</w:t>
      </w:r>
      <w:r>
        <w:rPr>
          <w:rFonts w:hint="eastAsia"/>
          <w:sz w:val="22"/>
          <w:szCs w:val="28"/>
          <w:highlight w:val="none"/>
          <w:lang w:eastAsia="zh-CN"/>
        </w:rPr>
        <w:t>。</w:t>
      </w:r>
    </w:p>
    <w:p>
      <w:pPr>
        <w:keepNext w:val="0"/>
        <w:keepLines w:val="0"/>
        <w:pageBreakBefore w:val="0"/>
        <w:widowControl w:val="0"/>
        <w:suppressAutoHyphens/>
        <w:kinsoku/>
        <w:wordWrap/>
        <w:overflowPunct/>
        <w:topLinePunct w:val="0"/>
        <w:autoSpaceDE/>
        <w:autoSpaceDN/>
        <w:bidi w:val="0"/>
        <w:adjustRightInd w:val="0"/>
        <w:snapToGrid/>
        <w:spacing w:line="360" w:lineRule="auto"/>
        <w:textAlignment w:val="auto"/>
        <w:rPr>
          <w:rFonts w:hint="eastAsia" w:hAnsi="宋体" w:cs="宋体"/>
          <w:color w:val="000000"/>
          <w:sz w:val="32"/>
          <w:szCs w:val="32"/>
          <w:highlight w:val="none"/>
          <w:lang w:eastAsia="zh-CN"/>
        </w:rPr>
      </w:pPr>
      <w:r>
        <w:rPr>
          <w:rFonts w:hint="eastAsia" w:hAnsi="宋体" w:cs="宋体"/>
          <w:color w:val="000000"/>
          <w:sz w:val="32"/>
          <w:szCs w:val="32"/>
          <w:highlight w:val="none"/>
          <w:lang w:eastAsia="zh-CN"/>
        </w:rPr>
        <w:t>商务要求：</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1.保质期</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1.1.自采购设备验收合格之日起提供采购设备</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年质保期，供应商承诺超过本要求的，以优惠者为准。</w:t>
      </w:r>
    </w:p>
    <w:p>
      <w:pPr>
        <w:suppressAutoHyphens/>
        <w:spacing w:line="360" w:lineRule="auto"/>
        <w:rPr>
          <w:rFonts w:hint="eastAsia" w:ascii="宋体" w:hAnsi="宋体" w:cs="宋体"/>
          <w:color w:val="000000"/>
          <w:sz w:val="24"/>
          <w:szCs w:val="24"/>
          <w:highlight w:val="none"/>
        </w:rPr>
      </w:pPr>
      <w:r>
        <w:rPr>
          <w:rFonts w:hint="eastAsia" w:ascii="宋体" w:hAnsi="宋体" w:cs="宋体"/>
          <w:bCs/>
          <w:color w:val="000000"/>
          <w:sz w:val="24"/>
          <w:szCs w:val="24"/>
          <w:highlight w:val="none"/>
        </w:rPr>
        <w:t>1.2</w:t>
      </w:r>
      <w:r>
        <w:rPr>
          <w:rFonts w:hint="eastAsia" w:ascii="宋体" w:hAnsi="宋体" w:cs="宋体"/>
          <w:color w:val="000000"/>
          <w:sz w:val="24"/>
          <w:szCs w:val="24"/>
          <w:highlight w:val="none"/>
        </w:rPr>
        <w:t>在保质期满后，供应商对</w:t>
      </w:r>
      <w:r>
        <w:rPr>
          <w:rFonts w:hint="eastAsia" w:ascii="宋体" w:hAnsi="宋体" w:cs="宋体"/>
          <w:color w:val="000000"/>
          <w:sz w:val="24"/>
          <w:szCs w:val="24"/>
          <w:highlight w:val="none"/>
          <w:lang w:eastAsia="zh-CN"/>
        </w:rPr>
        <w:t>设备</w:t>
      </w:r>
      <w:r>
        <w:rPr>
          <w:rFonts w:hint="eastAsia" w:ascii="宋体" w:hAnsi="宋体" w:cs="宋体"/>
          <w:color w:val="000000"/>
          <w:sz w:val="24"/>
          <w:szCs w:val="24"/>
          <w:highlight w:val="none"/>
        </w:rPr>
        <w:t>应提供终身维修，仅收取零件更换费用，免收任何人工费用</w:t>
      </w:r>
      <w:r>
        <w:rPr>
          <w:rFonts w:hint="eastAsia" w:ascii="宋体" w:hAnsi="宋体" w:cs="宋体"/>
          <w:bCs/>
          <w:color w:val="000000"/>
          <w:sz w:val="24"/>
          <w:szCs w:val="24"/>
          <w:highlight w:val="none"/>
        </w:rPr>
        <w:t>。</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1.3.每年保质期内故障率不得超过14天，每超过一天质保期相应延长10天。保质期内因设备本身缺陷造成各种故障应由卖方免费技术服务和维修。</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2.付款方式</w:t>
      </w:r>
    </w:p>
    <w:p>
      <w:pPr>
        <w:tabs>
          <w:tab w:val="left" w:pos="567"/>
        </w:tabs>
        <w:autoSpaceDE w:val="0"/>
        <w:autoSpaceDN w:val="0"/>
        <w:spacing w:line="360" w:lineRule="auto"/>
        <w:textAlignment w:val="bottom"/>
        <w:rPr>
          <w:rFonts w:hint="eastAsia" w:ascii="宋体" w:hAnsi="宋体" w:cs="宋体"/>
          <w:bCs/>
          <w:color w:val="000000"/>
          <w:sz w:val="24"/>
          <w:szCs w:val="24"/>
          <w:highlight w:val="none"/>
        </w:rPr>
      </w:pPr>
      <w:r>
        <w:rPr>
          <w:rFonts w:hint="eastAsia" w:ascii="宋体" w:hAnsi="宋体" w:cs="宋体"/>
          <w:color w:val="000000"/>
          <w:sz w:val="24"/>
          <w:szCs w:val="24"/>
          <w:highlight w:val="none"/>
        </w:rPr>
        <w:t>2.1 付款方式：合同签订后支付合同价的40%，完成设备供货、安装、调试工作且通过验收</w:t>
      </w:r>
      <w:r>
        <w:rPr>
          <w:rFonts w:hint="eastAsia" w:cs="Arial"/>
          <w:kern w:val="0"/>
          <w:sz w:val="24"/>
          <w:highlight w:val="none"/>
        </w:rPr>
        <w:t>（即上牌通过）</w:t>
      </w:r>
      <w:r>
        <w:rPr>
          <w:rFonts w:hint="eastAsia" w:ascii="宋体" w:hAnsi="宋体" w:cs="宋体"/>
          <w:color w:val="000000"/>
          <w:sz w:val="24"/>
          <w:szCs w:val="24"/>
          <w:highlight w:val="none"/>
        </w:rPr>
        <w:t>后支付合同价的60%。（注：中标供应商根据采购人每期的支付金额提供正规税务发票）。</w:t>
      </w:r>
    </w:p>
    <w:p>
      <w:pPr>
        <w:tabs>
          <w:tab w:val="left" w:pos="567"/>
        </w:tabs>
        <w:suppressAutoHyphens/>
        <w:autoSpaceDE w:val="0"/>
        <w:autoSpaceDN w:val="0"/>
        <w:spacing w:line="360" w:lineRule="auto"/>
        <w:textAlignment w:val="bottom"/>
        <w:rPr>
          <w:rFonts w:hint="eastAsia" w:ascii="宋体" w:hAnsi="宋体" w:cs="宋体"/>
          <w:color w:val="000000"/>
          <w:sz w:val="24"/>
          <w:szCs w:val="24"/>
          <w:highlight w:val="none"/>
        </w:rPr>
      </w:pPr>
      <w:r>
        <w:rPr>
          <w:rFonts w:hint="eastAsia" w:ascii="宋体" w:hAnsi="宋体" w:cs="宋体"/>
          <w:color w:val="000000"/>
          <w:sz w:val="24"/>
          <w:szCs w:val="24"/>
          <w:highlight w:val="none"/>
        </w:rPr>
        <w:t>3.售后服务</w:t>
      </w:r>
    </w:p>
    <w:p>
      <w:pPr>
        <w:adjustRightInd w:val="0"/>
        <w:snapToGrid w:val="0"/>
        <w:spacing w:line="360" w:lineRule="auto"/>
        <w:rPr>
          <w:rFonts w:hint="eastAsia" w:ascii="宋体" w:hAnsi="宋体" w:cs="宋体"/>
          <w:color w:val="000000"/>
          <w:sz w:val="24"/>
          <w:szCs w:val="24"/>
          <w:highlight w:val="yellow"/>
        </w:rPr>
      </w:pPr>
      <w:r>
        <w:rPr>
          <w:rFonts w:hint="eastAsia" w:ascii="宋体" w:hAnsi="宋体" w:cs="宋体"/>
          <w:color w:val="000000"/>
          <w:sz w:val="24"/>
          <w:szCs w:val="24"/>
          <w:highlight w:val="yellow"/>
        </w:rPr>
        <w:t>3.1</w:t>
      </w:r>
      <w:r>
        <w:rPr>
          <w:rFonts w:hint="eastAsia" w:ascii="宋体" w:hAnsi="宋体"/>
          <w:sz w:val="24"/>
          <w:highlight w:val="yellow"/>
        </w:rPr>
        <w:t>维修响应时间：接到故障报修通知后，中标供应商回应时间小于3小时，并应在12小时内到达故障现场。因货物本身问题，自接到采购人通知后48小时之内仍不能排除的故障，应提供与原货物相同或不低于原货物性能的备用货物。</w:t>
      </w:r>
    </w:p>
    <w:p>
      <w:pPr>
        <w:adjustRightInd w:val="0"/>
        <w:snapToGrid w:val="0"/>
        <w:spacing w:line="360" w:lineRule="auto"/>
        <w:rPr>
          <w:rFonts w:ascii="宋体" w:hAnsi="宋体" w:cs="宋体"/>
          <w:color w:val="000000"/>
          <w:sz w:val="24"/>
          <w:szCs w:val="24"/>
          <w:highlight w:val="none"/>
        </w:rPr>
      </w:pPr>
      <w:r>
        <w:rPr>
          <w:rFonts w:hint="eastAsia" w:ascii="宋体" w:hAnsi="宋体" w:cs="宋体"/>
          <w:color w:val="000000"/>
          <w:sz w:val="24"/>
          <w:szCs w:val="24"/>
          <w:highlight w:val="none"/>
        </w:rPr>
        <w:t>3.2零配件在该设备停产后仍需保证十年的供应，提供</w:t>
      </w:r>
      <w:r>
        <w:rPr>
          <w:rFonts w:hint="eastAsia" w:hAnsi="宋体"/>
          <w:color w:val="000000"/>
          <w:sz w:val="24"/>
          <w:szCs w:val="24"/>
          <w:highlight w:val="none"/>
        </w:rPr>
        <w:t>售后服务机构备品备件储备情况及</w:t>
      </w:r>
      <w:r>
        <w:rPr>
          <w:rFonts w:hint="eastAsia" w:ascii="宋体" w:hAnsi="宋体" w:cs="宋体"/>
          <w:color w:val="000000"/>
          <w:sz w:val="24"/>
          <w:szCs w:val="24"/>
          <w:highlight w:val="none"/>
        </w:rPr>
        <w:t>配件清单和价格。</w:t>
      </w:r>
    </w:p>
    <w:p>
      <w:pPr>
        <w:adjustRightInd w:val="0"/>
        <w:snapToGrid w:val="0"/>
        <w:spacing w:line="360" w:lineRule="auto"/>
        <w:rPr>
          <w:rFonts w:hint="eastAsia" w:ascii="宋体" w:hAnsi="宋体"/>
          <w:color w:val="00000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提供售后服务机构技术服务人员情况，提供姓名、工作经验、资质证书情况等。</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.培训</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.1.卖方应对采购人的维修人员提供培训，使其能对设备进行日常的维护保养及能对一般故障进行维修，并向培训人员提供维修图纸及维修手册、维修密码及软件备份。</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.2.卖方应对采购人的操作人员进行操作培训，使其能对设备进行熟练的操作。</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.3.上述二种培训的培训方式、地点、</w:t>
      </w:r>
      <w:r>
        <w:rPr>
          <w:rFonts w:hint="eastAsia"/>
          <w:color w:val="000000"/>
          <w:sz w:val="24"/>
          <w:szCs w:val="24"/>
          <w:highlight w:val="none"/>
        </w:rPr>
        <w:t>课时安排、师资力量安排等</w:t>
      </w:r>
      <w:r>
        <w:rPr>
          <w:rFonts w:hint="eastAsia" w:ascii="宋体" w:hAnsi="宋体" w:cs="宋体"/>
          <w:color w:val="000000"/>
          <w:sz w:val="24"/>
          <w:szCs w:val="24"/>
          <w:highlight w:val="none"/>
        </w:rPr>
        <w:t>（包含在响应总价中）供应商应在响应文件中详细说明。</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.验收</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1.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w:t>
      </w:r>
      <w:r>
        <w:rPr>
          <w:rFonts w:hint="eastAsia" w:ascii="宋体" w:hAnsi="宋体" w:cs="宋体"/>
          <w:color w:val="000000"/>
          <w:sz w:val="24"/>
          <w:szCs w:val="24"/>
          <w:highlight w:val="none"/>
          <w:lang w:eastAsia="zh-CN"/>
        </w:rPr>
        <w:t>采购人</w:t>
      </w:r>
      <w:r>
        <w:rPr>
          <w:rFonts w:hint="eastAsia" w:ascii="宋体" w:hAnsi="宋体" w:cs="宋体"/>
          <w:color w:val="000000"/>
          <w:sz w:val="24"/>
          <w:szCs w:val="24"/>
          <w:highlight w:val="none"/>
        </w:rPr>
        <w:t>造成的损失。</w:t>
      </w:r>
      <w:r>
        <w:rPr>
          <w:rFonts w:hint="eastAsia" w:ascii="宋体" w:hAnsi="宋体" w:cs="宋体"/>
          <w:bCs/>
          <w:color w:val="000000"/>
          <w:sz w:val="24"/>
          <w:szCs w:val="24"/>
          <w:highlight w:val="none"/>
        </w:rPr>
        <w:t>强制计量的设备验收前需经当地计量部门计量检定，费用由中标方负责。</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.2.提供的产品原始技术资料，符合我国有关技术规范和标准。</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.验收费用由产品供应商负担。</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.交货</w:t>
      </w:r>
    </w:p>
    <w:p>
      <w:pPr>
        <w:suppressAutoHyphens/>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.1.交货期：</w:t>
      </w:r>
      <w:r>
        <w:rPr>
          <w:rFonts w:hint="eastAsia" w:ascii="宋体" w:hAnsi="宋体" w:cs="宋体"/>
          <w:color w:val="000000"/>
          <w:sz w:val="24"/>
          <w:szCs w:val="24"/>
          <w:highlight w:val="none"/>
          <w:lang w:val="en-US" w:eastAsia="zh-CN"/>
        </w:rPr>
        <w:t>自合同签订之日起10日内完成所有货物的供货、安装、调试，如在规定的时间内由于卖方的原因不能完成货物的供货、安装、调试，供应商应承担由此给采购人造成的损失</w:t>
      </w:r>
    </w:p>
    <w:p>
      <w:pPr>
        <w:suppressAutoHyphens/>
        <w:spacing w:line="360" w:lineRule="auto"/>
        <w:rPr>
          <w:rFonts w:hint="eastAsia" w:ascii="宋体" w:hAnsi="宋体" w:eastAsia="宋体" w:cs="宋体"/>
          <w:color w:val="000000"/>
          <w:szCs w:val="21"/>
          <w:highlight w:val="none"/>
          <w:lang w:eastAsia="zh-CN"/>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.2.交货地点：</w:t>
      </w:r>
      <w:r>
        <w:rPr>
          <w:rFonts w:hint="eastAsia" w:ascii="宋体" w:hAnsi="宋体" w:cs="宋体"/>
          <w:color w:val="000000"/>
          <w:sz w:val="24"/>
          <w:szCs w:val="24"/>
          <w:highlight w:val="none"/>
          <w:lang w:eastAsia="zh-CN"/>
        </w:rPr>
        <w:t>采购人指定地点</w:t>
      </w:r>
    </w:p>
    <w:p>
      <w:pPr>
        <w:suppressAutoHyphens/>
        <w:spacing w:line="360" w:lineRule="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7.样品要求：</w:t>
      </w:r>
    </w:p>
    <w:p>
      <w:pPr>
        <w:pStyle w:val="2"/>
        <w:keepNext w:val="0"/>
        <w:keepLines w:val="0"/>
        <w:pageBreakBefore w:val="0"/>
        <w:widowControl w:val="0"/>
        <w:kinsoku/>
        <w:wordWrap/>
        <w:overflowPunct/>
        <w:topLinePunct w:val="0"/>
        <w:bidi w:val="0"/>
        <w:adjustRightInd w:val="0"/>
        <w:spacing w:line="360" w:lineRule="auto"/>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7.1.</w:t>
      </w:r>
      <w:r>
        <w:rPr>
          <w:rFonts w:hint="eastAsia" w:ascii="宋体" w:hAnsi="宋体" w:eastAsia="宋体" w:cs="宋体"/>
          <w:b/>
          <w:bCs/>
          <w:snapToGrid/>
          <w:color w:val="000000"/>
          <w:kern w:val="2"/>
          <w:sz w:val="24"/>
          <w:szCs w:val="24"/>
          <w:highlight w:val="none"/>
          <w:lang w:val="en-US" w:eastAsia="zh-CN" w:bidi="ar-SA"/>
        </w:rPr>
        <w:t>提供</w:t>
      </w:r>
      <w:r>
        <w:rPr>
          <w:rFonts w:hint="eastAsia" w:ascii="宋体" w:hAnsi="宋体" w:eastAsia="宋体" w:cs="宋体"/>
          <w:snapToGrid/>
          <w:color w:val="000000"/>
          <w:kern w:val="2"/>
          <w:sz w:val="24"/>
          <w:szCs w:val="24"/>
          <w:highlight w:val="none"/>
          <w:lang w:val="en-US" w:eastAsia="zh-CN" w:bidi="ar-SA"/>
        </w:rPr>
        <w:t>：</w:t>
      </w:r>
      <w:r>
        <w:rPr>
          <w:rFonts w:hint="default" w:ascii="宋体" w:hAnsi="宋体" w:eastAsia="宋体" w:cs="宋体"/>
          <w:snapToGrid/>
          <w:color w:val="000000"/>
          <w:kern w:val="2"/>
          <w:sz w:val="24"/>
          <w:szCs w:val="24"/>
          <w:highlight w:val="none"/>
          <w:lang w:val="en-US" w:eastAsia="zh-CN" w:bidi="ar-SA"/>
        </w:rPr>
        <w:t>1、600m3/h应急排涝车的一台水泵，技术规格为：扬程≥8米时流量≥600m3/h，重量≤25kg。2、2400型大流量排水抢险车的一台水泵，技术规格为：扬程≥10米时流量≥600m3/h，重量≤32kg。及两台水泵自带电缆、含水带接合器的整套水带（长度≥0.5米）</w:t>
      </w:r>
      <w:r>
        <w:rPr>
          <w:rFonts w:hint="eastAsia" w:hAnsi="宋体" w:cs="宋体"/>
          <w:snapToGrid/>
          <w:color w:val="000000"/>
          <w:kern w:val="2"/>
          <w:sz w:val="24"/>
          <w:szCs w:val="24"/>
          <w:highlight w:val="none"/>
          <w:lang w:val="en-US" w:eastAsia="zh-CN" w:bidi="ar-SA"/>
        </w:rPr>
        <w:t>作为样品。</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7.2.采购人要求投标人在样品上统一标明投标人信息并做好相应的保密处理（用不透明的纸覆盖信息并四周封贴）。样品附上详细技术规格或功能，所送样品的相关参数必须与投标文件中所述完全一致，否则样品分可能会认定为零分。</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7.3.中标样品由采购人封存，用于合同验收。未中标供应商的投标样品评审结束后退回。</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7.4.投标样品需标注名称、清单等信息，否则因此出现漏评、错评而产生的后果由投标供应商自行负责。投标供应商应将投标样品妥善包装，否则一切损失由投标供应商自行承担。</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7.5.样品送达时间：2022年</w:t>
      </w:r>
      <w:r>
        <w:rPr>
          <w:rFonts w:hint="eastAsia" w:hAnsi="宋体" w:cs="宋体"/>
          <w:snapToGrid/>
          <w:color w:val="000000"/>
          <w:kern w:val="2"/>
          <w:sz w:val="24"/>
          <w:szCs w:val="24"/>
          <w:highlight w:val="none"/>
          <w:lang w:val="en-US" w:eastAsia="zh-CN" w:bidi="ar-SA"/>
        </w:rPr>
        <w:t>7月15日14</w:t>
      </w:r>
      <w:r>
        <w:rPr>
          <w:rFonts w:hint="eastAsia" w:ascii="宋体" w:hAnsi="宋体" w:eastAsia="宋体" w:cs="宋体"/>
          <w:snapToGrid/>
          <w:color w:val="000000"/>
          <w:kern w:val="2"/>
          <w:sz w:val="24"/>
          <w:szCs w:val="24"/>
          <w:highlight w:val="none"/>
          <w:lang w:val="en-US" w:eastAsia="zh-CN" w:bidi="ar-SA"/>
        </w:rPr>
        <w:t>时30分开标前送达</w:t>
      </w:r>
      <w:r>
        <w:rPr>
          <w:rFonts w:hint="eastAsia" w:hAnsi="宋体" w:cs="宋体"/>
          <w:snapToGrid/>
          <w:color w:val="000000"/>
          <w:kern w:val="2"/>
          <w:sz w:val="24"/>
          <w:szCs w:val="24"/>
          <w:highlight w:val="none"/>
          <w:lang w:val="en-US" w:eastAsia="zh-CN" w:bidi="ar-SA"/>
        </w:rPr>
        <w:t>且完成</w:t>
      </w:r>
      <w:r>
        <w:rPr>
          <w:rFonts w:hint="eastAsia" w:ascii="宋体" w:hAnsi="宋体" w:eastAsia="宋体" w:cs="宋体"/>
          <w:snapToGrid/>
          <w:color w:val="000000"/>
          <w:kern w:val="2"/>
          <w:sz w:val="24"/>
          <w:szCs w:val="24"/>
          <w:highlight w:val="none"/>
          <w:lang w:val="en-US" w:eastAsia="zh-CN" w:bidi="ar-SA"/>
        </w:rPr>
        <w:t>安装。</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default"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样品运至地点：嘉善县阳光东路185号善商大厦1号（东）楼21层嘉兴市银建工程咨询评估有限公司招标代理部。</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7.6.样品取回时间：未中标的投标人样品于评标结束后3个工作日内取回，逾期不予保管，中标人的样品需在评标结束后送达采购人指定地点保存，待供货完毕，使用方无异议后招标人通知中标人取回。</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eastAsia" w:ascii="宋体" w:hAnsi="宋体" w:eastAsia="宋体" w:cs="宋体"/>
          <w:snapToGrid/>
          <w:color w:val="000000"/>
          <w:kern w:val="2"/>
          <w:sz w:val="24"/>
          <w:szCs w:val="24"/>
          <w:highlight w:val="none"/>
          <w:lang w:val="en-US" w:eastAsia="zh-CN" w:bidi="ar-SA"/>
        </w:rPr>
      </w:pPr>
      <w:r>
        <w:rPr>
          <w:rFonts w:hint="eastAsia" w:ascii="宋体" w:hAnsi="宋体" w:eastAsia="宋体" w:cs="宋体"/>
          <w:snapToGrid/>
          <w:color w:val="000000"/>
          <w:kern w:val="2"/>
          <w:sz w:val="24"/>
          <w:szCs w:val="24"/>
          <w:highlight w:val="none"/>
          <w:lang w:val="en-US" w:eastAsia="zh-CN" w:bidi="ar-SA"/>
        </w:rPr>
        <w:t>注：要求提供样品。未递交样品的或样品数量不全，样品分为零分。</w:t>
      </w:r>
    </w:p>
    <w:p>
      <w:pPr>
        <w:pStyle w:val="33"/>
        <w:keepNext w:val="0"/>
        <w:keepLines w:val="0"/>
        <w:pageBreakBefore w:val="0"/>
        <w:widowControl w:val="0"/>
        <w:kinsoku/>
        <w:wordWrap/>
        <w:overflowPunct/>
        <w:topLinePunct w:val="0"/>
        <w:bidi w:val="0"/>
        <w:adjustRightInd w:val="0"/>
        <w:snapToGrid w:val="0"/>
        <w:spacing w:before="0" w:after="0" w:line="360" w:lineRule="auto"/>
        <w:jc w:val="left"/>
        <w:textAlignment w:val="auto"/>
        <w:rPr>
          <w:rFonts w:hint="default" w:ascii="宋体" w:hAnsi="宋体" w:eastAsia="宋体" w:cs="宋体"/>
          <w:snapToGrid/>
          <w:color w:val="000000"/>
          <w:kern w:val="2"/>
          <w:sz w:val="24"/>
          <w:szCs w:val="24"/>
          <w:highlight w:val="yellow"/>
          <w:lang w:val="en-US" w:eastAsia="zh-CN" w:bidi="ar-SA"/>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hAnsi="宋体" w:cs="宋体"/>
          <w:snapToGrid/>
          <w:color w:val="000000"/>
          <w:kern w:val="2"/>
          <w:sz w:val="24"/>
          <w:szCs w:val="24"/>
          <w:highlight w:val="yellow"/>
          <w:lang w:val="en-US" w:eastAsia="zh-CN" w:bidi="ar-SA"/>
        </w:rPr>
        <w:t>8.其他：中标人如承诺在与采购人签订合同达成合作后，质保期内，当采购人遇到强台风、暴雨袭击时，中标人应采购人邀请，可紧急派出电源排水车辆进行排水救援的，如中标后不履约，每年度每次扣25000元/辆，依次类推。投标文件中须附承诺书（格式自拟），中标后合同中也须体现承诺，且甲方不提供另外费用。</w:t>
      </w:r>
    </w:p>
    <w:p>
      <w:pPr>
        <w:jc w:val="center"/>
        <w:rPr>
          <w:rFonts w:hint="eastAsia" w:ascii="仿宋" w:hAnsi="仿宋" w:eastAsia="仿宋" w:cs="仿宋_GB2312"/>
          <w:b/>
          <w:sz w:val="36"/>
          <w:szCs w:val="20"/>
          <w:highlight w:val="none"/>
        </w:r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rPr>
        <w:t>三章</w:t>
      </w:r>
      <w:r>
        <w:rPr>
          <w:rFonts w:ascii="仿宋" w:hAnsi="仿宋" w:eastAsia="仿宋" w:cs="仿宋_GB2312"/>
          <w:b/>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sz w:val="28"/>
          <w:szCs w:val="28"/>
          <w:highlight w:val="none"/>
        </w:rPr>
      </w:pPr>
      <w:bookmarkStart w:id="14" w:name="_Toc91899903"/>
      <w:bookmarkStart w:id="15" w:name="第三部分"/>
      <w:bookmarkStart w:id="16" w:name="_Toc164416483"/>
      <w:r>
        <w:rPr>
          <w:rFonts w:hint="eastAsia" w:ascii="宋体" w:hAnsi="宋体" w:cs="宋体"/>
          <w:b/>
          <w:bCs/>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sz w:val="24"/>
          <w:highlight w:val="none"/>
          <w:shd w:val="clear" w:color="auto" w:fill="FFFFFF"/>
        </w:rPr>
      </w:pPr>
      <w:r>
        <w:rPr>
          <w:rFonts w:hint="eastAsia" w:ascii="宋体" w:hAnsi="宋体" w:cs="宋体"/>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sz w:val="24"/>
          <w:highlight w:val="none"/>
        </w:rPr>
      </w:pPr>
      <w:r>
        <w:rPr>
          <w:rFonts w:hint="eastAsia" w:ascii="宋体" w:hAnsi="宋体" w:cs="宋体"/>
          <w:sz w:val="24"/>
          <w:highlight w:val="none"/>
        </w:rPr>
        <w:t>　1.采购代理机构按照招标文件规定的时间通过电子交易平台组织开标、开启投标文件，所有供应商均应当准时在线参加，直至评审结束。</w:t>
      </w:r>
    </w:p>
    <w:p>
      <w:pPr>
        <w:pStyle w:val="59"/>
        <w:widowControl w:val="0"/>
        <w:wordWrap w:val="0"/>
        <w:overflowPunct w:val="0"/>
        <w:autoSpaceDE w:val="0"/>
        <w:autoSpaceDN w:val="0"/>
        <w:adjustRightInd/>
        <w:spacing w:before="0" w:beforeAutospacing="0" w:after="0" w:afterAutospacing="0" w:line="400" w:lineRule="exact"/>
        <w:ind w:firstLine="240" w:firstLineChars="100"/>
        <w:rPr>
          <w:rFonts w:cs="宋体"/>
          <w:kern w:val="2"/>
          <w:highlight w:val="none"/>
        </w:rPr>
      </w:pPr>
      <w:r>
        <w:rPr>
          <w:rFonts w:hint="eastAsia" w:cs="宋体"/>
          <w:kern w:val="2"/>
          <w:highlight w:val="none"/>
        </w:rPr>
        <w:t>　2.采购过程中出现以下情形，导致电子交易平台无法正常运行，或者无法保证电子交易的公平、公正和安全时，采购代理机构可中止电子交易活动：</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（一）电子交易平台发生故障而无法登录访问的； </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（二）电子交易平台应用或数据库出现错误，不能进行正常操作的；</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（三）电子交易平台发现严重安全漏洞，有潜在泄密危险的；</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（四）病毒发作导致不能进行正常操作的； </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（五）其他无法保证电子交易的公平、公正和安全的情况。</w:t>
      </w:r>
    </w:p>
    <w:p>
      <w:pPr>
        <w:pStyle w:val="59"/>
        <w:widowControl w:val="0"/>
        <w:wordWrap w:val="0"/>
        <w:overflowPunct w:val="0"/>
        <w:autoSpaceDE w:val="0"/>
        <w:autoSpaceDN w:val="0"/>
        <w:adjustRightInd/>
        <w:spacing w:before="0" w:beforeAutospacing="0" w:after="0" w:afterAutospacing="0" w:line="400" w:lineRule="exact"/>
        <w:ind w:firstLine="480"/>
        <w:rPr>
          <w:rFonts w:cs="宋体"/>
          <w:kern w:val="2"/>
          <w:highlight w:val="none"/>
        </w:rPr>
      </w:pPr>
      <w:r>
        <w:rPr>
          <w:rFonts w:hint="eastAsia" w:cs="宋体"/>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59"/>
        <w:widowControl w:val="0"/>
        <w:wordWrap w:val="0"/>
        <w:overflowPunct w:val="0"/>
        <w:autoSpaceDE w:val="0"/>
        <w:autoSpaceDN w:val="0"/>
        <w:adjustRightInd/>
        <w:spacing w:before="0" w:beforeAutospacing="0" w:after="0" w:afterAutospacing="0" w:line="400" w:lineRule="exact"/>
        <w:ind w:firstLine="480"/>
        <w:rPr>
          <w:rFonts w:cs="宋体"/>
          <w:highlight w:val="none"/>
          <w:shd w:val="clear" w:color="auto" w:fill="FFFFFF"/>
        </w:rPr>
      </w:pPr>
      <w:r>
        <w:rPr>
          <w:rFonts w:hint="eastAsia" w:cs="宋体"/>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3"/>
        <w:wordWrap w:val="0"/>
        <w:overflowPunct w:val="0"/>
        <w:adjustRightInd/>
        <w:spacing w:line="400" w:lineRule="exact"/>
        <w:ind w:firstLine="487"/>
        <w:rPr>
          <w:rFonts w:hAnsi="宋体" w:cs="宋体"/>
          <w:kern w:val="0"/>
          <w:highlight w:val="none"/>
          <w:shd w:val="clear" w:color="auto" w:fill="FFFFFF"/>
        </w:rPr>
      </w:pPr>
      <w:r>
        <w:rPr>
          <w:rFonts w:hint="eastAsia" w:hAnsi="宋体" w:cs="宋体"/>
          <w:kern w:val="0"/>
          <w:szCs w:val="24"/>
          <w:highlight w:val="none"/>
          <w:shd w:val="clear" w:color="auto" w:fill="FFFFFF"/>
          <w:lang w:val="en-US"/>
        </w:rPr>
        <w:t>4</w:t>
      </w:r>
      <w:r>
        <w:rPr>
          <w:rFonts w:hint="eastAsia" w:hAnsi="宋体" w:cs="宋体"/>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kern w:val="0"/>
          <w:szCs w:val="24"/>
          <w:highlight w:val="none"/>
          <w:shd w:val="clear" w:color="auto" w:fill="FFFFFF"/>
          <w:lang w:val="en-US"/>
        </w:rPr>
        <w:t>CA</w:t>
      </w:r>
      <w:r>
        <w:rPr>
          <w:rFonts w:hint="eastAsia" w:hAnsi="宋体" w:cs="宋体"/>
          <w:kern w:val="0"/>
          <w:szCs w:val="24"/>
          <w:highlight w:val="none"/>
          <w:shd w:val="clear" w:color="auto" w:fill="FFFFFF"/>
        </w:rPr>
        <w:t>进行回复。未按要求回复的，视为放弃澄清。</w:t>
      </w:r>
      <w:r>
        <w:rPr>
          <w:rFonts w:hint="eastAsia" w:hAnsi="宋体" w:cs="宋体"/>
          <w:kern w:val="0"/>
          <w:highlight w:val="none"/>
          <w:shd w:val="clear" w:color="auto" w:fill="FFFFFF"/>
        </w:rPr>
        <w:br w:type="textWrapping"/>
      </w:r>
    </w:p>
    <w:p>
      <w:pPr>
        <w:pStyle w:val="3"/>
        <w:wordWrap w:val="0"/>
        <w:overflowPunct w:val="0"/>
        <w:adjustRightInd/>
        <w:spacing w:before="24" w:beforeLines="10"/>
        <w:ind w:firstLine="487"/>
        <w:rPr>
          <w:rFonts w:hAnsi="宋体" w:cs="宋体"/>
          <w:kern w:val="0"/>
          <w:highlight w:val="none"/>
          <w:shd w:val="clear" w:color="auto" w:fill="FFFFFF"/>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hint="eastAsia" w:ascii="宋体" w:hAnsi="宋体" w:cs="宋体"/>
          <w:b/>
          <w:bCs/>
          <w:sz w:val="28"/>
          <w:highlight w:val="none"/>
        </w:rPr>
      </w:pPr>
    </w:p>
    <w:p>
      <w:pPr>
        <w:wordWrap w:val="0"/>
        <w:overflowPunct w:val="0"/>
        <w:autoSpaceDE w:val="0"/>
        <w:autoSpaceDN w:val="0"/>
        <w:snapToGrid w:val="0"/>
        <w:spacing w:line="360" w:lineRule="auto"/>
        <w:jc w:val="center"/>
        <w:rPr>
          <w:rFonts w:ascii="宋体" w:hAnsi="宋体" w:cs="宋体"/>
          <w:b/>
          <w:bCs/>
          <w:sz w:val="28"/>
          <w:highlight w:val="none"/>
        </w:rPr>
      </w:pPr>
      <w:r>
        <w:rPr>
          <w:rFonts w:hint="eastAsia" w:ascii="宋体" w:hAnsi="宋体" w:cs="宋体"/>
          <w:b/>
          <w:bCs/>
          <w:sz w:val="28"/>
          <w:highlight w:val="none"/>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3"/>
              <w:wordWrap w:val="0"/>
              <w:overflowPunct w:val="0"/>
              <w:autoSpaceDE w:val="0"/>
              <w:autoSpaceDN w:val="0"/>
              <w:adjustRightInd/>
              <w:snapToGrid w:val="0"/>
              <w:spacing w:before="24" w:beforeLines="10" w:after="24" w:afterLines="10" w:line="400" w:lineRule="exact"/>
              <w:rPr>
                <w:rFonts w:hint="eastAsia" w:hAnsi="宋体" w:eastAsia="宋体" w:cs="宋体"/>
                <w:sz w:val="24"/>
                <w:szCs w:val="24"/>
                <w:highlight w:val="none"/>
                <w:lang w:eastAsia="zh-CN"/>
              </w:rPr>
            </w:pPr>
            <w:r>
              <w:rPr>
                <w:rFonts w:hint="eastAsia" w:hAnsi="宋体" w:cs="宋体"/>
                <w:sz w:val="24"/>
                <w:szCs w:val="24"/>
                <w:highlight w:val="none"/>
              </w:rPr>
              <w:t xml:space="preserve">    项目名称：</w:t>
            </w:r>
            <w:r>
              <w:rPr>
                <w:rFonts w:hint="eastAsia" w:hAnsi="宋体" w:cs="宋体"/>
                <w:sz w:val="24"/>
                <w:szCs w:val="24"/>
                <w:highlight w:val="none"/>
                <w:lang w:eastAsia="zh-CN"/>
              </w:rPr>
              <w:t>嘉善县商务局防汛排涝车采购项目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59"/>
              <w:widowControl w:val="0"/>
              <w:overflowPunct w:val="0"/>
              <w:topLinePunct/>
              <w:autoSpaceDE w:val="0"/>
              <w:autoSpaceDN w:val="0"/>
              <w:spacing w:before="24" w:beforeLines="10" w:beforeAutospacing="0" w:after="24" w:afterLines="10" w:afterAutospacing="0" w:line="400" w:lineRule="exact"/>
              <w:ind w:firstLine="480" w:firstLineChars="200"/>
              <w:rPr>
                <w:rFonts w:cs="宋体"/>
                <w:highlight w:val="none"/>
              </w:rPr>
            </w:pPr>
            <w:r>
              <w:rPr>
                <w:rFonts w:hint="eastAsia" w:cs="宋体"/>
                <w:highlight w:val="none"/>
              </w:rPr>
              <w:t>项目预算：</w:t>
            </w:r>
            <w:r>
              <w:rPr>
                <w:rFonts w:hint="eastAsia" w:cs="宋体"/>
                <w:highlight w:val="none"/>
                <w:u w:val="single"/>
              </w:rPr>
              <w:t>289.00万元</w:t>
            </w:r>
            <w:r>
              <w:rPr>
                <w:rFonts w:hint="eastAsia" w:cs="宋体"/>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Cs/>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kern w:val="0"/>
                <w:sz w:val="24"/>
                <w:highlight w:val="none"/>
              </w:rPr>
            </w:pPr>
            <w:r>
              <w:rPr>
                <w:rFonts w:hint="eastAsia" w:ascii="宋体" w:hAnsi="宋体" w:cs="宋体"/>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7月15日14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
                <w:bCs/>
                <w:kern w:val="0"/>
                <w:sz w:val="24"/>
                <w:highlight w:val="none"/>
              </w:rPr>
              <w:t xml:space="preserve">    </w:t>
            </w:r>
            <w:r>
              <w:rPr>
                <w:rFonts w:hint="eastAsia" w:ascii="宋体" w:hAnsi="宋体" w:cs="宋体"/>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7月15日14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shd w:val="clear" w:color="auto" w:fill="FFFFFF"/>
              </w:rPr>
            </w:pPr>
            <w:r>
              <w:rPr>
                <w:rFonts w:hint="eastAsia" w:ascii="宋体" w:hAnsi="宋体" w:cs="宋体"/>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sz w:val="24"/>
                <w:highlight w:val="none"/>
              </w:rPr>
            </w:pPr>
            <w:r>
              <w:rPr>
                <w:rFonts w:hint="eastAsia" w:ascii="宋体" w:hAnsi="宋体" w:cs="宋体"/>
                <w:b/>
                <w:bCs/>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履约保证金:签订合同前中标人应向采购人交纳合同金额的2.5%作为履约保证金，履约保证金在合同履行完毕后一个月内无息退还。</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color w:val="000000"/>
                <w:sz w:val="24"/>
                <w:szCs w:val="24"/>
                <w:highlight w:val="none"/>
              </w:rPr>
              <w:t>合同签订后支付合同价的40%，完成设备供货、安装、调试工作且通过验收</w:t>
            </w:r>
            <w:r>
              <w:rPr>
                <w:rFonts w:hint="eastAsia" w:cs="Arial"/>
                <w:kern w:val="0"/>
                <w:sz w:val="24"/>
                <w:highlight w:val="none"/>
              </w:rPr>
              <w:t>（即上牌通过）</w:t>
            </w:r>
            <w:r>
              <w:rPr>
                <w:rFonts w:hint="eastAsia" w:ascii="宋体" w:hAnsi="宋体" w:cs="宋体"/>
                <w:color w:val="000000"/>
                <w:sz w:val="24"/>
                <w:szCs w:val="24"/>
                <w:highlight w:val="none"/>
              </w:rPr>
              <w:t>后支付合同价的60%。（注：中标供应商根据采购人每期的支付金额提供正规税务发票）</w:t>
            </w:r>
            <w:r>
              <w:rPr>
                <w:rFonts w:hint="eastAsia" w:ascii="宋体" w:hAnsi="宋体" w:cs="宋体"/>
                <w:sz w:val="24"/>
                <w:highlight w:val="none"/>
              </w:rPr>
              <w:t>。</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投标文件有效期：</w:t>
            </w:r>
            <w:r>
              <w:rPr>
                <w:rFonts w:hint="eastAsia" w:ascii="宋体" w:hAnsi="宋体" w:cs="宋体"/>
                <w:sz w:val="24"/>
                <w:highlight w:val="none"/>
                <w:u w:val="single"/>
              </w:rPr>
              <w:t xml:space="preserve"> 90 </w:t>
            </w:r>
            <w:r>
              <w:rPr>
                <w:rFonts w:hint="eastAsia" w:ascii="宋体" w:hAnsi="宋体" w:cs="宋体"/>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3"/>
              <w:wordWrap w:val="0"/>
              <w:overflowPunct w:val="0"/>
              <w:autoSpaceDE w:val="0"/>
              <w:autoSpaceDN w:val="0"/>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解释：本招标文件的解释权属于采购单位和嘉兴市银建工程咨询评估有限公司。</w:t>
            </w:r>
          </w:p>
        </w:tc>
      </w:tr>
    </w:tbl>
    <w:p>
      <w:pPr>
        <w:pStyle w:val="33"/>
        <w:wordWrap w:val="0"/>
        <w:overflowPunct w:val="0"/>
        <w:autoSpaceDE w:val="0"/>
        <w:autoSpaceDN w:val="0"/>
        <w:snapToGrid w:val="0"/>
        <w:spacing w:line="400" w:lineRule="exact"/>
        <w:outlineLvl w:val="0"/>
        <w:rPr>
          <w:rFonts w:hAnsi="宋体" w:cs="宋体"/>
          <w:b/>
          <w:sz w:val="24"/>
          <w:szCs w:val="24"/>
          <w:highlight w:val="none"/>
        </w:rPr>
      </w:pPr>
    </w:p>
    <w:p>
      <w:pPr>
        <w:pStyle w:val="34"/>
        <w:rPr>
          <w:rFonts w:hAnsi="宋体" w:cs="宋体"/>
          <w:b/>
          <w:sz w:val="24"/>
          <w:szCs w:val="24"/>
          <w:highlight w:val="none"/>
        </w:rPr>
      </w:pPr>
    </w:p>
    <w:p>
      <w:pPr>
        <w:rPr>
          <w:rFonts w:hAnsi="宋体" w:cs="宋体"/>
          <w:b/>
          <w:sz w:val="24"/>
          <w:szCs w:val="24"/>
          <w:highlight w:val="none"/>
        </w:rPr>
      </w:pPr>
    </w:p>
    <w:p>
      <w:pPr>
        <w:pStyle w:val="2"/>
        <w:rPr>
          <w:rFonts w:hAnsi="宋体" w:cs="宋体"/>
          <w:b/>
          <w:sz w:val="24"/>
          <w:szCs w:val="24"/>
          <w:highlight w:val="none"/>
        </w:rPr>
      </w:pPr>
    </w:p>
    <w:p>
      <w:pPr>
        <w:pStyle w:val="3"/>
      </w:pPr>
    </w:p>
    <w:p>
      <w:pPr>
        <w:pStyle w:val="33"/>
        <w:numPr>
          <w:ilvl w:val="0"/>
          <w:numId w:val="2"/>
        </w:numPr>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总  则</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本招标文件适用于本项目的招标、投标、评标、定标、验收、合同履约、付款等行为（法律、法规另有规定的，从其规定）。</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8.“★”系指核心产品。</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本次招标采用公开招标方式进行。</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（四）投标委托</w:t>
      </w:r>
    </w:p>
    <w:p>
      <w:pPr>
        <w:pStyle w:val="25"/>
        <w:wordWrap w:val="0"/>
        <w:overflowPunct w:val="0"/>
        <w:autoSpaceDE w:val="0"/>
        <w:autoSpaceDN w:val="0"/>
        <w:snapToGrid w:val="0"/>
        <w:spacing w:line="360" w:lineRule="auto"/>
        <w:jc w:val="left"/>
        <w:rPr>
          <w:rFonts w:cs="宋体"/>
          <w:highlight w:val="none"/>
        </w:rPr>
      </w:pPr>
      <w:r>
        <w:rPr>
          <w:rFonts w:hint="eastAsia" w:cs="宋体"/>
          <w:highlight w:val="none"/>
        </w:rPr>
        <w:t>供应商无需到开标现场，但须准时在线参加，直至评审结束。</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不论投标结果如何，投标人均应自行承担所有与投标有关的全部费用（招标文件有相反规定除外）。</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本项目不接受联合体投标。</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2.本项目不可以分包。</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本项目不允许采购进口产品。</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hint="eastAsia" w:ascii="宋体" w:hAnsi="宋体" w:eastAsia="宋体" w:cs="宋体"/>
          <w:sz w:val="24"/>
          <w:highlight w:val="none"/>
          <w:lang w:val="en-US" w:eastAsia="zh-CN"/>
        </w:rPr>
      </w:pPr>
      <w:r>
        <w:rPr>
          <w:rFonts w:hint="eastAsia" w:ascii="宋体" w:hAnsi="宋体" w:cs="宋体"/>
          <w:sz w:val="24"/>
          <w:highlight w:val="none"/>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cs="宋体"/>
          <w:sz w:val="24"/>
          <w:highlight w:val="none"/>
          <w:lang w:eastAsia="zh-CN"/>
        </w:rPr>
        <w:t>。</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hint="default" w:hAnsi="宋体" w:eastAsia="宋体" w:cs="宋体"/>
          <w:b w:val="0"/>
          <w:bCs w:val="0"/>
          <w:sz w:val="24"/>
          <w:szCs w:val="24"/>
          <w:highlight w:val="none"/>
          <w:lang w:val="en-US" w:eastAsia="zh-CN"/>
        </w:rPr>
      </w:pPr>
      <w:r>
        <w:rPr>
          <w:rFonts w:hint="eastAsia" w:ascii="宋体" w:hAnsi="宋体" w:cs="宋体"/>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8.在线或者邮寄政府采购投诉材料当日下班时间点后收到的视为下一个工作日收到。</w:t>
      </w:r>
    </w:p>
    <w:p>
      <w:pPr>
        <w:pStyle w:val="33"/>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二、招标文件</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7.本项目招标文件的澄清、答复、修改、补充的内容</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（二）投标人的风险</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投标人没有按照招标文件要求提供全部资料，或者投标人没有对招标文件在各方面作出实质性响应是投标人的风险，并可能导致其投标为无效标。</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（三）招标文件的澄清与修改 </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4.招标文件的澄清、答复、修改或补充都应该通过本代理机构以法定形式发布，采购人非通过本机构，不得擅自澄清、答复、修改或补充招标文件。</w:t>
      </w:r>
    </w:p>
    <w:p>
      <w:pPr>
        <w:pStyle w:val="33"/>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三、投标文件的编制</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(一)总体要求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3.投标文件的形式：投标文件为电子加密投标文件，按“政府采购项目电子交易管理操作指南-供应商”及本招标文件要求制作、加密并递交。</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（二）投标文件的组成</w:t>
      </w:r>
    </w:p>
    <w:p>
      <w:pPr>
        <w:pStyle w:val="33"/>
        <w:wordWrap w:val="0"/>
        <w:overflowPunct w:val="0"/>
        <w:autoSpaceDE w:val="0"/>
        <w:autoSpaceDN w:val="0"/>
        <w:snapToGrid w:val="0"/>
        <w:spacing w:line="360" w:lineRule="auto"/>
        <w:ind w:firstLine="482" w:firstLineChars="200"/>
        <w:outlineLvl w:val="0"/>
        <w:rPr>
          <w:rFonts w:hAnsi="宋体" w:cs="宋体"/>
          <w:b/>
          <w:sz w:val="24"/>
          <w:szCs w:val="24"/>
          <w:highlight w:val="none"/>
        </w:rPr>
      </w:pPr>
      <w:r>
        <w:rPr>
          <w:rFonts w:hint="eastAsia" w:hAnsi="宋体" w:cs="宋体"/>
          <w:b/>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3"/>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投标文件由资格文件、商务技术文件、报价文件三部分组成。</w:t>
      </w:r>
    </w:p>
    <w:p>
      <w:pPr>
        <w:pStyle w:val="33"/>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1.资格文件</w:t>
      </w:r>
      <w:r>
        <w:rPr>
          <w:rFonts w:hint="eastAsia" w:hAnsi="宋体" w:cs="宋体"/>
          <w:b/>
          <w:bCs/>
          <w:sz w:val="24"/>
          <w:szCs w:val="24"/>
          <w:highlight w:val="none"/>
          <w:lang w:eastAsia="zh-CN"/>
        </w:rPr>
        <w:t>（</w:t>
      </w:r>
      <w:r>
        <w:rPr>
          <w:rFonts w:hint="eastAsia" w:hAnsi="宋体" w:cs="宋体"/>
          <w:b/>
          <w:bCs/>
          <w:color w:val="FF0000"/>
          <w:sz w:val="24"/>
          <w:szCs w:val="24"/>
          <w:highlight w:val="none"/>
          <w:lang w:val="en-US" w:eastAsia="zh-CN"/>
        </w:rPr>
        <w:t>资格文件所需的证明材料</w:t>
      </w:r>
      <w:r>
        <w:rPr>
          <w:rFonts w:hint="eastAsia" w:hAnsi="宋体" w:cs="宋体"/>
          <w:b/>
          <w:bCs/>
          <w:color w:val="FF0000"/>
          <w:sz w:val="24"/>
          <w:szCs w:val="24"/>
          <w:highlight w:val="none"/>
          <w:lang w:eastAsia="zh-CN"/>
        </w:rPr>
        <w:t>均需加盖供应商公章</w:t>
      </w:r>
      <w:r>
        <w:rPr>
          <w:rFonts w:hint="eastAsia" w:hAnsi="宋体" w:cs="宋体"/>
          <w:b/>
          <w:bCs/>
          <w:sz w:val="24"/>
          <w:szCs w:val="24"/>
          <w:highlight w:val="none"/>
          <w:lang w:eastAsia="zh-CN"/>
        </w:rPr>
        <w:t>）</w:t>
      </w:r>
      <w:r>
        <w:rPr>
          <w:rFonts w:hint="eastAsia" w:hAnsi="宋体" w:cs="宋体"/>
          <w:b/>
          <w:bCs/>
          <w:sz w:val="24"/>
          <w:szCs w:val="24"/>
          <w:highlight w:val="none"/>
        </w:rPr>
        <w:t>：</w:t>
      </w:r>
    </w:p>
    <w:p>
      <w:pPr>
        <w:pStyle w:val="59"/>
        <w:widowControl w:val="0"/>
        <w:overflowPunct w:val="0"/>
        <w:topLinePunct/>
        <w:autoSpaceDE w:val="0"/>
        <w:autoSpaceDN w:val="0"/>
        <w:adjustRightInd/>
        <w:spacing w:before="0" w:beforeAutospacing="0" w:after="0" w:afterAutospacing="0" w:line="360" w:lineRule="auto"/>
        <w:ind w:firstLine="481"/>
        <w:rPr>
          <w:rFonts w:hint="eastAsia" w:eastAsia="宋体" w:cs="宋体"/>
          <w:highlight w:val="none"/>
          <w:lang w:eastAsia="zh-CN"/>
        </w:rPr>
      </w:pPr>
      <w:r>
        <w:rPr>
          <w:rFonts w:hint="eastAsia" w:cs="宋体"/>
          <w:highlight w:val="none"/>
        </w:rPr>
        <w:t>1.1营业执照</w:t>
      </w:r>
      <w:r>
        <w:rPr>
          <w:rFonts w:hint="eastAsia" w:cs="宋体"/>
          <w:highlight w:val="none"/>
          <w:lang w:eastAsia="zh-CN"/>
        </w:rPr>
        <w:t>、法定代表人身份证</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1.22021年度财务报告或开标截止期前半年内任意一个月的资产负债表</w:t>
      </w:r>
      <w:r>
        <w:rPr>
          <w:rFonts w:hint="eastAsia" w:cs="宋体"/>
          <w:highlight w:val="none"/>
          <w:lang w:eastAsia="zh-CN"/>
        </w:rPr>
        <w:t>及</w:t>
      </w:r>
      <w:r>
        <w:rPr>
          <w:rFonts w:hint="eastAsia" w:cs="宋体"/>
          <w:highlight w:val="none"/>
        </w:rPr>
        <w:t>利润表</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1.3具有履行合同所必需的设备和专业技术能力</w:t>
      </w:r>
      <w:r>
        <w:rPr>
          <w:rFonts w:hint="eastAsia" w:cs="宋体"/>
          <w:color w:val="auto"/>
          <w:sz w:val="24"/>
          <w:highlight w:val="none"/>
          <w:lang w:eastAsia="zh-CN"/>
        </w:rPr>
        <w:t>（</w:t>
      </w:r>
      <w:r>
        <w:rPr>
          <w:rFonts w:hint="eastAsia" w:ascii="宋体" w:hAnsi="宋体" w:cs="宋体"/>
          <w:sz w:val="24"/>
          <w:highlight w:val="none"/>
        </w:rPr>
        <w:t>出具具有履行合同所必需的设备和专业技术能力的《承诺函》；（内容根据项目情况由投标人自定）</w:t>
      </w:r>
      <w:r>
        <w:rPr>
          <w:rFonts w:hint="eastAsia" w:cs="宋体"/>
          <w:color w:val="auto"/>
          <w:sz w:val="24"/>
          <w:highlight w:val="none"/>
          <w:lang w:eastAsia="zh-CN"/>
        </w:rPr>
        <w:t>）</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1.4开标截止期前半年内任意一个月的税收缴纳证明(税费凭证或完税证明或依法免缴税费的证明或银行出具缴费凭证)</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1.5开标截止期前半年内任意一个月的社会保障缴纳证明(例如单位专用参保证明或银行出具缴费凭证等)</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1.6未被“信用中国”（www.creditchina.gov.cn）、中国政府采购网（www.ccgp.gov.cn/search/cr/）列入失信被执行人、重大税收违法案件当事人名单、政府采购严重违法失信行为记录名单（以资格审核人员当日查询为准）</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FF0000"/>
          <w:highlight w:val="none"/>
          <w:lang w:val="en-US" w:eastAsia="zh-CN"/>
        </w:rPr>
      </w:pPr>
      <w:r>
        <w:rPr>
          <w:rFonts w:hint="eastAsia" w:cs="宋体"/>
          <w:color w:val="FF0000"/>
          <w:highlight w:val="none"/>
          <w:lang w:val="en-US" w:eastAsia="zh-CN"/>
        </w:rPr>
        <w:t>1.7中小企业声明函或监狱和戒毒企业企业证明材料或残疾人福利性单位声明函（格式见第六章）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2.商务技术文件</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2.1自评表（格式见第六章）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2.2投标声明书（格式见第六章）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2.3法定代表人授权委托书（格式见第六章）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2.4诚信承诺书（格式见第六章）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2.5投标人基本情况表（格式见第六章）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hint="default" w:cs="宋体"/>
          <w:color w:val="auto"/>
          <w:highlight w:val="none"/>
          <w:lang w:val="en-US" w:eastAsia="zh-CN"/>
        </w:rPr>
      </w:pPr>
      <w:r>
        <w:rPr>
          <w:rFonts w:hint="eastAsia" w:cs="宋体"/>
          <w:color w:val="auto"/>
          <w:highlight w:val="none"/>
          <w:lang w:val="en-US" w:eastAsia="zh-CN"/>
        </w:rPr>
        <w:t>2.6</w:t>
      </w:r>
      <w:r>
        <w:rPr>
          <w:rFonts w:hint="eastAsia" w:cs="宋体"/>
          <w:color w:val="auto"/>
          <w:highlight w:val="none"/>
        </w:rPr>
        <w:t>项目实施人员表（格式见第六章）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2.7商务响应（偏离）表</w:t>
      </w:r>
      <w:r>
        <w:rPr>
          <w:rFonts w:hint="eastAsia" w:cs="宋体"/>
          <w:color w:val="auto"/>
          <w:highlight w:val="none"/>
        </w:rPr>
        <w:t>（格式见第六章）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w:t>
      </w:r>
      <w:r>
        <w:rPr>
          <w:rFonts w:hint="eastAsia" w:cs="宋体"/>
          <w:color w:val="auto"/>
          <w:highlight w:val="none"/>
          <w:lang w:val="en-US" w:eastAsia="zh-CN"/>
        </w:rPr>
        <w:t>8</w:t>
      </w:r>
      <w:r>
        <w:rPr>
          <w:rFonts w:hint="eastAsia" w:cs="宋体"/>
          <w:color w:val="auto"/>
          <w:highlight w:val="none"/>
        </w:rPr>
        <w:t>诚信分</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rPr>
        <w:t>2.</w:t>
      </w:r>
      <w:r>
        <w:rPr>
          <w:rFonts w:hint="eastAsia" w:cs="宋体"/>
          <w:color w:val="auto"/>
          <w:highlight w:val="none"/>
          <w:lang w:val="en-US" w:eastAsia="zh-CN"/>
        </w:rPr>
        <w:t>9</w:t>
      </w:r>
      <w:r>
        <w:rPr>
          <w:rFonts w:hint="eastAsia" w:cs="宋体"/>
          <w:color w:val="auto"/>
          <w:highlight w:val="none"/>
        </w:rPr>
        <w:t>能力或业绩要求（格式见第六章同类业绩一览表）</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w:t>
      </w:r>
      <w:r>
        <w:rPr>
          <w:rFonts w:hint="eastAsia" w:cs="宋体"/>
          <w:color w:val="auto"/>
          <w:highlight w:val="none"/>
          <w:lang w:val="en-US" w:eastAsia="zh-CN"/>
        </w:rPr>
        <w:t>0环境标志产品、节能产品</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w:t>
      </w:r>
      <w:r>
        <w:rPr>
          <w:rFonts w:hint="eastAsia" w:cs="宋体"/>
          <w:color w:val="auto"/>
          <w:highlight w:val="none"/>
          <w:lang w:val="en-US" w:eastAsia="zh-CN"/>
        </w:rPr>
        <w:t>1技术规格偏离情况</w:t>
      </w:r>
      <w:r>
        <w:rPr>
          <w:rFonts w:hint="eastAsia" w:cs="宋体"/>
          <w:color w:val="auto"/>
          <w:highlight w:val="none"/>
        </w:rPr>
        <w:t>（格式见第六章技术响应（偏离）表）</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w:t>
      </w:r>
      <w:r>
        <w:rPr>
          <w:rFonts w:hint="eastAsia" w:cs="宋体"/>
          <w:color w:val="auto"/>
          <w:highlight w:val="none"/>
          <w:lang w:val="en-US" w:eastAsia="zh-CN"/>
        </w:rPr>
        <w:t>2交货期</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2.13</w:t>
      </w:r>
      <w:r>
        <w:rPr>
          <w:rFonts w:hint="eastAsia" w:ascii="宋体" w:hAnsi="宋体"/>
          <w:sz w:val="24"/>
          <w:highlight w:val="none"/>
          <w:lang w:val="en-US" w:eastAsia="zh-CN"/>
        </w:rPr>
        <w:t>实施方案</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2.14应急情况</w:t>
      </w:r>
    </w:p>
    <w:p>
      <w:pPr>
        <w:pStyle w:val="59"/>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2.1</w:t>
      </w:r>
      <w:r>
        <w:rPr>
          <w:rFonts w:hint="eastAsia" w:cs="宋体"/>
          <w:color w:val="auto"/>
          <w:highlight w:val="none"/>
          <w:lang w:val="en-US" w:eastAsia="zh-CN"/>
        </w:rPr>
        <w:t>5</w:t>
      </w:r>
      <w:r>
        <w:rPr>
          <w:rFonts w:hint="eastAsia" w:ascii="宋体" w:hAnsi="宋体"/>
          <w:color w:val="auto"/>
          <w:sz w:val="24"/>
          <w:highlight w:val="none"/>
          <w:lang w:val="en-US" w:eastAsia="zh-CN"/>
        </w:rPr>
        <w:t>培训方案</w:t>
      </w:r>
    </w:p>
    <w:p>
      <w:pPr>
        <w:pStyle w:val="59"/>
        <w:widowControl w:val="0"/>
        <w:overflowPunct w:val="0"/>
        <w:topLinePunct/>
        <w:autoSpaceDE w:val="0"/>
        <w:autoSpaceDN w:val="0"/>
        <w:adjustRightInd/>
        <w:spacing w:before="0" w:beforeAutospacing="0" w:after="0" w:afterAutospacing="0" w:line="360" w:lineRule="auto"/>
        <w:ind w:firstLine="481"/>
        <w:rPr>
          <w:rFonts w:hint="default" w:cs="宋体"/>
          <w:color w:val="auto"/>
          <w:highlight w:val="none"/>
          <w:lang w:val="en-US" w:eastAsia="zh-CN"/>
        </w:rPr>
      </w:pPr>
      <w:r>
        <w:rPr>
          <w:rFonts w:hint="eastAsia" w:cs="宋体"/>
          <w:color w:val="auto"/>
          <w:highlight w:val="none"/>
          <w:lang w:val="en-US" w:eastAsia="zh-CN"/>
        </w:rPr>
        <w:t>2.16</w:t>
      </w:r>
      <w:r>
        <w:rPr>
          <w:rFonts w:hint="eastAsia" w:ascii="宋体" w:hAnsi="宋体" w:eastAsia="宋体" w:cs="宋体"/>
          <w:kern w:val="0"/>
          <w:sz w:val="24"/>
          <w:szCs w:val="24"/>
          <w:highlight w:val="none"/>
          <w:lang w:val="en-US" w:eastAsia="zh-CN"/>
        </w:rPr>
        <w:t>投标产品样品</w:t>
      </w:r>
    </w:p>
    <w:p>
      <w:pPr>
        <w:pStyle w:val="59"/>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2.17售后服务方案</w:t>
      </w:r>
    </w:p>
    <w:p>
      <w:pPr>
        <w:pStyle w:val="59"/>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ascii="宋体" w:hAnsi="宋体" w:eastAsia="宋体" w:cs="宋体"/>
          <w:kern w:val="0"/>
          <w:sz w:val="24"/>
          <w:szCs w:val="24"/>
          <w:highlight w:val="none"/>
          <w:lang w:val="en-US" w:eastAsia="zh-CN"/>
        </w:rPr>
        <w:t>2.</w:t>
      </w:r>
      <w:r>
        <w:rPr>
          <w:rFonts w:hint="eastAsia" w:cs="宋体"/>
          <w:kern w:val="0"/>
          <w:sz w:val="24"/>
          <w:szCs w:val="24"/>
          <w:highlight w:val="none"/>
          <w:lang w:val="en-US" w:eastAsia="zh-CN"/>
        </w:rPr>
        <w:t>18</w:t>
      </w:r>
      <w:r>
        <w:rPr>
          <w:rFonts w:hint="eastAsia" w:ascii="宋体" w:hAnsi="宋体" w:eastAsia="宋体" w:cs="宋体"/>
          <w:kern w:val="0"/>
          <w:sz w:val="24"/>
          <w:szCs w:val="24"/>
          <w:highlight w:val="none"/>
          <w:lang w:val="en-US" w:eastAsia="zh-CN"/>
        </w:rPr>
        <w:t>投标人根据评标办法及采购需求需要提供的其他资料（如有</w:t>
      </w:r>
      <w:r>
        <w:rPr>
          <w:rFonts w:hint="eastAsia" w:cs="宋体"/>
          <w:color w:val="auto"/>
          <w:highlight w:val="none"/>
        </w:rPr>
        <w:t>）</w:t>
      </w:r>
    </w:p>
    <w:p>
      <w:pPr>
        <w:pStyle w:val="33"/>
        <w:wordWrap w:val="0"/>
        <w:overflowPunct w:val="0"/>
        <w:autoSpaceDE w:val="0"/>
        <w:autoSpaceDN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3.报价文件：</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3"/>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highlight w:val="none"/>
        </w:rPr>
      </w:pPr>
      <w:r>
        <w:rPr>
          <w:rFonts w:hint="eastAsia" w:ascii="宋体" w:hAnsi="宋体" w:cs="宋体"/>
          <w:sz w:val="24"/>
          <w:highlight w:val="none"/>
        </w:rPr>
        <w:t>3.</w:t>
      </w:r>
      <w:r>
        <w:rPr>
          <w:rFonts w:hint="eastAsia" w:ascii="宋体" w:hAnsi="宋体" w:cs="宋体"/>
          <w:sz w:val="24"/>
          <w:highlight w:val="none"/>
          <w:lang w:val="en-US" w:eastAsia="zh-CN"/>
        </w:rPr>
        <w:t>4</w:t>
      </w:r>
      <w:r>
        <w:rPr>
          <w:rFonts w:hint="eastAsia" w:ascii="宋体" w:hAnsi="宋体" w:cs="宋体"/>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b/>
          <w:bCs/>
          <w:sz w:val="24"/>
          <w:highlight w:val="none"/>
        </w:rPr>
        <w:t xml:space="preserve">  </w:t>
      </w:r>
      <w:r>
        <w:rPr>
          <w:rFonts w:hint="eastAsia" w:ascii="宋体" w:hAnsi="宋体" w:cs="宋体"/>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sz w:val="24"/>
          <w:highlight w:val="none"/>
        </w:rPr>
      </w:pPr>
      <w:r>
        <w:rPr>
          <w:rFonts w:hint="eastAsia" w:ascii="宋体" w:hAnsi="宋体" w:cs="宋体"/>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sz w:val="24"/>
          <w:highlight w:val="none"/>
        </w:rPr>
      </w:pPr>
      <w:r>
        <w:rPr>
          <w:rFonts w:hint="eastAsia" w:ascii="宋体" w:hAnsi="宋体" w:cs="宋体"/>
          <w:sz w:val="24"/>
          <w:highlight w:val="none"/>
        </w:rPr>
        <w:t xml:space="preserve">    （8）由于字迹模糊或表达不清引起的后果由供应商负责。</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sz w:val="24"/>
          <w:highlight w:val="none"/>
        </w:rPr>
        <w:t>▲2.投</w:t>
      </w:r>
      <w:r>
        <w:rPr>
          <w:rFonts w:hint="eastAsia" w:ascii="宋体" w:hAnsi="宋体" w:eastAsia="宋体" w:cs="宋体"/>
          <w:color w:val="auto"/>
          <w:sz w:val="24"/>
          <w:szCs w:val="24"/>
          <w:highlight w:val="none"/>
        </w:rPr>
        <w:t>标报价是履行合同的最终价格，应包括设备购置费、运输费、安装调试费、代办车辆上牌服务费、售后服务费、培训费、有关部门的验收费、政策性文件规定及合同包含的所有风险。</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▲3.投标文件只允许有一个报价，有选择的或有条件的报价将不予接受。</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（五）投标文件的有效期</w:t>
      </w:r>
    </w:p>
    <w:p>
      <w:pPr>
        <w:pStyle w:val="17"/>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▲1.自投标截止日起</w:t>
      </w:r>
      <w:r>
        <w:rPr>
          <w:rFonts w:hint="eastAsia" w:ascii="宋体" w:hAnsi="宋体" w:cs="宋体"/>
          <w:szCs w:val="24"/>
          <w:highlight w:val="none"/>
          <w:u w:val="single"/>
        </w:rPr>
        <w:t xml:space="preserve"> 90</w:t>
      </w:r>
      <w:r>
        <w:rPr>
          <w:rFonts w:hint="eastAsia" w:ascii="宋体" w:hAnsi="宋体" w:cs="宋体"/>
          <w:szCs w:val="24"/>
          <w:highlight w:val="none"/>
        </w:rPr>
        <w:t>天投标文件应保持有效。有效期不足的投标文件将被拒绝。</w:t>
      </w:r>
    </w:p>
    <w:p>
      <w:pPr>
        <w:pStyle w:val="17"/>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sz w:val="24"/>
          <w:highlight w:val="none"/>
        </w:rPr>
      </w:pPr>
      <w:r>
        <w:rPr>
          <w:rFonts w:hint="eastAsia" w:ascii="宋体" w:hAnsi="宋体" w:cs="宋体"/>
          <w:sz w:val="24"/>
          <w:highlight w:val="none"/>
        </w:rPr>
        <w:t>3.中标人的投标文件自开标之日起至合同履行完毕止均应保持有效。</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（六）投标保证金：无</w:t>
      </w:r>
    </w:p>
    <w:p>
      <w:pPr>
        <w:pStyle w:val="33"/>
        <w:wordWrap w:val="0"/>
        <w:overflowPunct w:val="0"/>
        <w:autoSpaceDE w:val="0"/>
        <w:autoSpaceDN w:val="0"/>
        <w:snapToGrid w:val="0"/>
        <w:spacing w:line="360" w:lineRule="auto"/>
        <w:outlineLvl w:val="0"/>
        <w:rPr>
          <w:rFonts w:hAnsi="宋体" w:cs="宋体"/>
          <w:b/>
          <w:sz w:val="24"/>
          <w:szCs w:val="24"/>
          <w:highlight w:val="none"/>
        </w:rPr>
      </w:pPr>
      <w:bookmarkStart w:id="17" w:name="_Toc359856802"/>
      <w:r>
        <w:rPr>
          <w:rFonts w:hint="eastAsia" w:hAnsi="宋体" w:cs="宋体"/>
          <w:b/>
          <w:sz w:val="24"/>
          <w:szCs w:val="24"/>
          <w:highlight w:val="none"/>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宋体" w:hAnsi="宋体" w:cs="宋体"/>
          <w:bCs/>
          <w:sz w:val="24"/>
          <w:highlight w:val="none"/>
        </w:rPr>
      </w:pPr>
      <w:r>
        <w:rPr>
          <w:rFonts w:hint="eastAsia" w:ascii="宋体" w:hAnsi="宋体" w:cs="宋体"/>
          <w:bCs/>
          <w:sz w:val="24"/>
          <w:highlight w:val="none"/>
        </w:rPr>
        <w:t>电子投标文件按政采云平台供应商项目采购-电子招投标操作指南（网址：</w:t>
      </w:r>
      <w:r>
        <w:rPr>
          <w:highlight w:val="none"/>
        </w:rPr>
        <w:fldChar w:fldCharType="begin"/>
      </w:r>
      <w:r>
        <w:rPr>
          <w:highlight w:val="none"/>
        </w:rPr>
        <w:instrText xml:space="preserve"> HYPERLINK "https://help.zcy.gov.cn/web/site_2/2018/12-28/2573.html）及本招标文件规定的格式和顺序编制电子投标文件并进行关联定位。" </w:instrText>
      </w:r>
      <w:r>
        <w:rPr>
          <w:highlight w:val="none"/>
        </w:rPr>
        <w:fldChar w:fldCharType="separate"/>
      </w:r>
      <w:r>
        <w:rPr>
          <w:rFonts w:hint="eastAsia" w:ascii="宋体" w:hAnsi="宋体" w:cs="宋体"/>
          <w:bCs/>
          <w:sz w:val="24"/>
          <w:highlight w:val="none"/>
        </w:rPr>
        <w:t>https://service.zcygov.cn/#/knowledges/CW1EtGwBFdiHxlNd6I3m/6IMVAG0BFdiHxlNdQ8Na?keyword</w:t>
      </w:r>
      <w:r>
        <w:rPr>
          <w:rStyle w:val="77"/>
          <w:rFonts w:hint="eastAsia" w:ascii="宋体" w:hAnsi="宋体" w:eastAsia="宋体" w:cs="宋体"/>
          <w:bCs/>
          <w:color w:val="auto"/>
          <w:sz w:val="24"/>
          <w:szCs w:val="24"/>
          <w:highlight w:val="none"/>
        </w:rPr>
        <w:t>）及本招标文件规定的格式和顺序编制电子投标文件并进行关联定位。</w:t>
      </w:r>
      <w:r>
        <w:rPr>
          <w:rStyle w:val="77"/>
          <w:rFonts w:hint="eastAsia" w:ascii="宋体" w:hAnsi="宋体" w:eastAsia="宋体" w:cs="宋体"/>
          <w:bCs/>
          <w:color w:val="auto"/>
          <w:sz w:val="24"/>
          <w:szCs w:val="24"/>
          <w:highlight w:val="none"/>
        </w:rPr>
        <w:fldChar w:fldCharType="end"/>
      </w:r>
    </w:p>
    <w:p>
      <w:pPr>
        <w:pStyle w:val="33"/>
        <w:wordWrap w:val="0"/>
        <w:overflowPunct w:val="0"/>
        <w:autoSpaceDE w:val="0"/>
        <w:autoSpaceDN w:val="0"/>
        <w:snapToGrid w:val="0"/>
        <w:spacing w:line="360" w:lineRule="auto"/>
        <w:outlineLvl w:val="0"/>
        <w:rPr>
          <w:rFonts w:hAnsi="宋体" w:cs="宋体"/>
          <w:b/>
          <w:sz w:val="24"/>
          <w:szCs w:val="24"/>
          <w:highlight w:val="none"/>
        </w:rPr>
      </w:pPr>
      <w:bookmarkStart w:id="18" w:name="_Toc356371437"/>
      <w:bookmarkStart w:id="19" w:name="_Toc359856803"/>
      <w:r>
        <w:rPr>
          <w:rFonts w:hint="eastAsia" w:hAnsi="宋体" w:cs="宋体"/>
          <w:b/>
          <w:sz w:val="24"/>
          <w:szCs w:val="24"/>
          <w:highlight w:val="none"/>
        </w:rPr>
        <w:t>（八）投标文件的递交</w:t>
      </w:r>
      <w:bookmarkEnd w:id="18"/>
      <w:bookmarkEnd w:id="19"/>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（2）</w:t>
      </w:r>
      <w:r>
        <w:rPr>
          <w:rFonts w:hint="eastAsia" w:ascii="宋体" w:hAnsi="宋体" w:cs="宋体"/>
          <w:sz w:val="24"/>
          <w:highlight w:val="none"/>
        </w:rPr>
        <w:t>备份投标文件须在“政采云投标客户端”制作生成，并储存在</w:t>
      </w:r>
      <w:r>
        <w:rPr>
          <w:rFonts w:hint="eastAsia" w:ascii="宋体" w:hAnsi="宋体" w:cs="宋体"/>
          <w:b/>
          <w:bCs/>
          <w:sz w:val="24"/>
          <w:highlight w:val="none"/>
        </w:rPr>
        <w:t>（U盘）</w:t>
      </w:r>
      <w:r>
        <w:rPr>
          <w:rFonts w:hint="eastAsia" w:ascii="宋体" w:hAnsi="宋体" w:cs="宋体"/>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（3）</w:t>
      </w:r>
      <w:r>
        <w:rPr>
          <w:rFonts w:hint="eastAsia" w:ascii="宋体" w:hAnsi="宋体" w:cs="宋体"/>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（5）</w:t>
      </w:r>
      <w:r>
        <w:rPr>
          <w:rFonts w:hint="eastAsia" w:ascii="宋体" w:hAnsi="宋体" w:cs="宋体"/>
          <w:sz w:val="24"/>
          <w:highlight w:val="none"/>
        </w:rPr>
        <w:t>投标人仅提交备份投标文件，没有在电子交易平台传输递交投标文件的，投标无效。</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3"/>
        </w:numPr>
        <w:wordWrap w:val="0"/>
        <w:overflowPunct w:val="0"/>
        <w:autoSpaceDE w:val="0"/>
        <w:autoSpaceDN w:val="0"/>
        <w:snapToGrid w:val="0"/>
        <w:spacing w:line="360" w:lineRule="auto"/>
        <w:ind w:firstLine="466" w:firstLineChars="200"/>
        <w:jc w:val="left"/>
        <w:rPr>
          <w:rFonts w:ascii="宋体" w:hAnsi="宋体" w:cs="宋体"/>
          <w:b/>
          <w:bCs/>
          <w:sz w:val="24"/>
          <w:highlight w:val="none"/>
        </w:rPr>
      </w:pPr>
      <w:r>
        <w:rPr>
          <w:rFonts w:hint="eastAsia" w:ascii="宋体" w:hAnsi="宋体" w:cs="宋体"/>
          <w:b/>
          <w:bCs/>
          <w:spacing w:val="-4"/>
          <w:sz w:val="24"/>
          <w:highlight w:val="none"/>
        </w:rPr>
        <w:t>电</w:t>
      </w:r>
      <w:r>
        <w:rPr>
          <w:rFonts w:hint="eastAsia" w:ascii="宋体" w:hAnsi="宋体" w:cs="宋体"/>
          <w:b/>
          <w:bCs/>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sz w:val="24"/>
          <w:highlight w:val="none"/>
        </w:rPr>
      </w:pPr>
      <w:r>
        <w:rPr>
          <w:rFonts w:hint="eastAsia" w:ascii="宋体" w:hAnsi="宋体" w:cs="宋体"/>
          <w:b/>
          <w:bCs/>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（4）投标文件无法定代表人签字（或盖章）</w:t>
      </w:r>
      <w:r>
        <w:rPr>
          <w:rFonts w:hint="eastAsia" w:ascii="宋体" w:hAnsi="宋体"/>
          <w:sz w:val="24"/>
          <w:highlight w:val="none"/>
        </w:rPr>
        <w:t>或被授权人（签字或盖章）</w:t>
      </w:r>
      <w:r>
        <w:rPr>
          <w:rFonts w:hint="eastAsia" w:ascii="宋体" w:hAnsi="宋体" w:cs="宋体"/>
          <w:sz w:val="24"/>
          <w:highlight w:val="none"/>
        </w:rPr>
        <w:t>,或未</w:t>
      </w:r>
      <w:r>
        <w:rPr>
          <w:rFonts w:hint="eastAsia" w:ascii="宋体" w:hAnsi="宋体" w:cs="宋体"/>
          <w:bCs/>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kern w:val="0"/>
          <w:sz w:val="24"/>
          <w:highlight w:val="none"/>
        </w:rPr>
      </w:pPr>
      <w:r>
        <w:rPr>
          <w:rFonts w:hint="eastAsia" w:ascii="宋体" w:hAnsi="宋体" w:cs="宋体"/>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（6）投标文件项目不齐全或者内容虚假的；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7）</w:t>
      </w:r>
      <w:r>
        <w:rPr>
          <w:rFonts w:hint="eastAsia" w:cs="宋体"/>
          <w:highlight w:val="none"/>
        </w:rPr>
        <w:t>投标文件的实质性内容未使用中文表述、意思表述不明确、前后矛盾或者使用计量单位不符合招标文件要求的（经评标委员会认定并允许其当场更正的笔误除外）；</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（8）</w:t>
      </w:r>
      <w:r>
        <w:rPr>
          <w:rFonts w:hint="eastAsia" w:cs="宋体"/>
          <w:snapToGrid w:val="0"/>
          <w:highlight w:val="none"/>
        </w:rPr>
        <w:t>投标有效期、</w:t>
      </w:r>
      <w:r>
        <w:rPr>
          <w:rFonts w:hint="eastAsia" w:cs="宋体"/>
          <w:snapToGrid w:val="0"/>
          <w:highlight w:val="none"/>
          <w:lang w:val="en-US" w:eastAsia="zh-CN"/>
        </w:rPr>
        <w:t>交货期</w:t>
      </w:r>
      <w:r>
        <w:rPr>
          <w:rFonts w:hint="eastAsia" w:cs="宋体"/>
          <w:snapToGrid w:val="0"/>
          <w:highlight w:val="none"/>
          <w:lang w:eastAsia="zh-CN"/>
        </w:rPr>
        <w:t>、质保期</w:t>
      </w:r>
      <w:r>
        <w:rPr>
          <w:rFonts w:hint="eastAsia" w:cs="宋体"/>
          <w:snapToGrid w:val="0"/>
          <w:highlight w:val="none"/>
          <w:lang w:val="en-US" w:eastAsia="zh-CN"/>
        </w:rPr>
        <w:t>等</w:t>
      </w:r>
      <w:r>
        <w:rPr>
          <w:rFonts w:hint="eastAsia" w:cs="宋体"/>
          <w:snapToGrid w:val="0"/>
          <w:highlight w:val="none"/>
        </w:rPr>
        <w:t>不能满足招标文件要求的；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9）</w:t>
      </w:r>
      <w:r>
        <w:rPr>
          <w:rFonts w:hint="eastAsia" w:cs="宋体"/>
          <w:highlight w:val="none"/>
        </w:rPr>
        <w:t>未实质性响应招标文件要求或者投标文件有招标方不能接受的附加条件的</w:t>
      </w:r>
      <w:r>
        <w:rPr>
          <w:rFonts w:hint="eastAsia" w:cs="宋体"/>
          <w:snapToGrid w:val="0"/>
          <w:highlight w:val="none"/>
        </w:rPr>
        <w:t>；</w:t>
      </w:r>
    </w:p>
    <w:p>
      <w:pPr>
        <w:pStyle w:val="25"/>
        <w:wordWrap w:val="0"/>
        <w:overflowPunct w:val="0"/>
        <w:autoSpaceDE w:val="0"/>
        <w:autoSpaceDN w:val="0"/>
        <w:snapToGrid w:val="0"/>
        <w:spacing w:line="360" w:lineRule="auto"/>
        <w:rPr>
          <w:rFonts w:cs="宋体"/>
          <w:highlight w:val="none"/>
        </w:rPr>
      </w:pPr>
      <w:r>
        <w:rPr>
          <w:rFonts w:hint="eastAsia" w:cs="宋体"/>
          <w:highlight w:val="none"/>
        </w:rPr>
        <w:t>（10）不符合本采购文件中的实质性要求条款</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4.在技术评审时，如发现下列情形之一的，投标文件将被视为无效：</w:t>
      </w:r>
    </w:p>
    <w:p>
      <w:pPr>
        <w:pStyle w:val="25"/>
        <w:snapToGrid w:val="0"/>
        <w:spacing w:line="360" w:lineRule="auto"/>
        <w:ind w:firstLine="470" w:firstLineChars="196"/>
        <w:rPr>
          <w:rFonts w:cs="宋体"/>
          <w:highlight w:val="none"/>
        </w:rPr>
      </w:pPr>
      <w:r>
        <w:rPr>
          <w:rFonts w:hint="eastAsia" w:cs="宋体"/>
          <w:highlight w:val="none"/>
        </w:rPr>
        <w:t>（1）投标文件标明的响应或偏离与事实不符或虚假投标的；</w:t>
      </w:r>
    </w:p>
    <w:p>
      <w:pPr>
        <w:pStyle w:val="25"/>
        <w:snapToGrid w:val="0"/>
        <w:spacing w:line="360" w:lineRule="auto"/>
        <w:ind w:firstLine="470" w:firstLineChars="196"/>
        <w:rPr>
          <w:rFonts w:cs="宋体"/>
          <w:highlight w:val="none"/>
        </w:rPr>
      </w:pPr>
      <w:r>
        <w:rPr>
          <w:rFonts w:hint="eastAsia" w:cs="宋体"/>
          <w:highlight w:val="none"/>
        </w:rPr>
        <w:t>（2）明显不符合采购文件要求的服务内容，或者与采购文件中标“▲”的服务需求、主要功能项目发生实质性偏离的；</w:t>
      </w:r>
    </w:p>
    <w:p>
      <w:pPr>
        <w:pStyle w:val="25"/>
        <w:snapToGrid w:val="0"/>
        <w:spacing w:line="360" w:lineRule="auto"/>
        <w:ind w:firstLine="470" w:firstLineChars="196"/>
        <w:rPr>
          <w:rFonts w:cs="宋体"/>
          <w:highlight w:val="none"/>
        </w:rPr>
      </w:pPr>
      <w:r>
        <w:rPr>
          <w:rFonts w:hint="eastAsia" w:cs="宋体"/>
          <w:highlight w:val="none"/>
        </w:rPr>
        <w:t>（3）投标技术方案不明确，存在一个或一个以上备选（替代）投标方案的；</w:t>
      </w:r>
    </w:p>
    <w:p>
      <w:pPr>
        <w:pStyle w:val="25"/>
        <w:snapToGrid w:val="0"/>
        <w:spacing w:line="360" w:lineRule="auto"/>
        <w:ind w:firstLine="470" w:firstLineChars="196"/>
        <w:rPr>
          <w:highlight w:val="none"/>
        </w:rPr>
      </w:pPr>
      <w:r>
        <w:rPr>
          <w:rFonts w:hint="eastAsia" w:cs="宋体"/>
          <w:highlight w:val="none"/>
        </w:rPr>
        <w:t>（4）与其他参加本次投标供应商的投标文件（技术文件）的文字表述内容相同连续20行以上或者差错相同2处以上的</w:t>
      </w:r>
      <w:r>
        <w:rPr>
          <w:rFonts w:hint="eastAsia"/>
          <w:highlight w:val="none"/>
        </w:rPr>
        <w:t>。</w:t>
      </w:r>
    </w:p>
    <w:p>
      <w:pPr>
        <w:pStyle w:val="25"/>
        <w:wordWrap w:val="0"/>
        <w:overflowPunct w:val="0"/>
        <w:autoSpaceDE w:val="0"/>
        <w:autoSpaceDN w:val="0"/>
        <w:snapToGrid w:val="0"/>
        <w:spacing w:line="360" w:lineRule="auto"/>
        <w:rPr>
          <w:rFonts w:cs="宋体"/>
          <w:highlight w:val="none"/>
        </w:rPr>
      </w:pPr>
      <w:r>
        <w:rPr>
          <w:rFonts w:hint="eastAsia"/>
          <w:highlight w:val="none"/>
        </w:rPr>
        <w:t>（5）不符合本采购文件中的实质性要求条款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5.在报价评审时，如发现下列情形之一的，投标文件将被视为无效：</w:t>
      </w:r>
    </w:p>
    <w:p>
      <w:pPr>
        <w:pStyle w:val="25"/>
        <w:snapToGrid w:val="0"/>
        <w:spacing w:line="360" w:lineRule="auto"/>
        <w:rPr>
          <w:highlight w:val="none"/>
        </w:rPr>
      </w:pPr>
      <w:r>
        <w:rPr>
          <w:rFonts w:hint="eastAsia"/>
          <w:highlight w:val="none"/>
        </w:rPr>
        <w:t>（1）未采用人民币报价或者未按照采购文件标明的币种报价的；</w:t>
      </w:r>
    </w:p>
    <w:p>
      <w:pPr>
        <w:pStyle w:val="25"/>
        <w:snapToGrid w:val="0"/>
        <w:spacing w:line="360" w:lineRule="auto"/>
        <w:rPr>
          <w:highlight w:val="none"/>
        </w:rPr>
      </w:pPr>
      <w:r>
        <w:rPr>
          <w:rFonts w:hint="eastAsia"/>
          <w:highlight w:val="none"/>
        </w:rPr>
        <w:t>（2）投标报价具有选择性，或者开标价格与投标文件承诺的优惠（折扣）价格不一致的；</w:t>
      </w:r>
    </w:p>
    <w:p>
      <w:pPr>
        <w:pStyle w:val="25"/>
        <w:snapToGrid w:val="0"/>
        <w:spacing w:line="360" w:lineRule="auto"/>
        <w:rPr>
          <w:highlight w:val="none"/>
        </w:rPr>
      </w:pPr>
      <w:r>
        <w:rPr>
          <w:rFonts w:hint="eastAsia"/>
          <w:highlight w:val="none"/>
        </w:rPr>
        <w:t>（3）报价文件内容与商务、技术文件内容严重不一致，评标委员会无法评审的；</w:t>
      </w:r>
    </w:p>
    <w:p>
      <w:pPr>
        <w:pStyle w:val="25"/>
        <w:snapToGrid w:val="0"/>
        <w:spacing w:line="360" w:lineRule="auto"/>
        <w:rPr>
          <w:highlight w:val="none"/>
        </w:rPr>
      </w:pPr>
      <w:r>
        <w:rPr>
          <w:rFonts w:hint="eastAsia"/>
          <w:highlight w:val="none"/>
        </w:rPr>
        <w:t>（4）评标委员会认定属投标人自身原因有重大漏项的。</w:t>
      </w:r>
    </w:p>
    <w:p>
      <w:pPr>
        <w:pStyle w:val="25"/>
        <w:snapToGrid w:val="0"/>
        <w:spacing w:line="360" w:lineRule="auto"/>
        <w:rPr>
          <w:highlight w:val="none"/>
        </w:rPr>
      </w:pPr>
      <w:r>
        <w:rPr>
          <w:rFonts w:hint="eastAsia"/>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snapToGrid w:val="0"/>
        <w:spacing w:line="360" w:lineRule="auto"/>
        <w:rPr>
          <w:highlight w:val="none"/>
        </w:rPr>
      </w:pPr>
      <w:r>
        <w:rPr>
          <w:rFonts w:hint="eastAsia"/>
          <w:highlight w:val="none"/>
        </w:rPr>
        <w:t>（6）报价超过采购文件中规定的预算金额或者最高限价的。</w:t>
      </w:r>
    </w:p>
    <w:p>
      <w:pPr>
        <w:pStyle w:val="25"/>
        <w:snapToGrid w:val="0"/>
        <w:spacing w:line="360" w:lineRule="auto"/>
        <w:rPr>
          <w:highlight w:val="none"/>
        </w:rPr>
      </w:pPr>
      <w:r>
        <w:rPr>
          <w:rFonts w:hint="eastAsia"/>
          <w:highlight w:val="none"/>
        </w:rPr>
        <w:t>（7）报价文件无法定代表人或授权代表签字（或盖章）的；</w:t>
      </w:r>
    </w:p>
    <w:p>
      <w:pPr>
        <w:pStyle w:val="25"/>
        <w:snapToGrid w:val="0"/>
        <w:spacing w:line="360" w:lineRule="auto"/>
        <w:rPr>
          <w:highlight w:val="none"/>
        </w:rPr>
      </w:pPr>
      <w:r>
        <w:rPr>
          <w:rFonts w:hint="eastAsia"/>
          <w:highlight w:val="none"/>
        </w:rPr>
        <w:t>（8）报价文件格式不规范、项目不齐全或者内容虚假的；</w:t>
      </w:r>
    </w:p>
    <w:p>
      <w:pPr>
        <w:pStyle w:val="25"/>
        <w:snapToGrid w:val="0"/>
        <w:spacing w:line="360" w:lineRule="auto"/>
        <w:rPr>
          <w:highlight w:val="none"/>
        </w:rPr>
      </w:pPr>
      <w:r>
        <w:rPr>
          <w:rFonts w:hint="eastAsia"/>
          <w:highlight w:val="none"/>
        </w:rPr>
        <w:t>（9）报价文件的实质性内容未使用中文表述、意思表述不明确、前后矛盾或者使用计量单位不符合招标文件要求的（经评标委员会认定并允许其当场更正的笔误除外）；</w:t>
      </w:r>
    </w:p>
    <w:p>
      <w:pPr>
        <w:pStyle w:val="25"/>
        <w:snapToGrid w:val="0"/>
        <w:spacing w:line="360" w:lineRule="auto"/>
        <w:rPr>
          <w:highlight w:val="none"/>
        </w:rPr>
      </w:pPr>
      <w:r>
        <w:rPr>
          <w:rFonts w:hint="eastAsia"/>
          <w:highlight w:val="none"/>
        </w:rPr>
        <w:t>（10）未实质性响应采购文件要求或者投标文件有采购方不能接受的附加条件的。</w:t>
      </w:r>
    </w:p>
    <w:p>
      <w:pPr>
        <w:pStyle w:val="25"/>
        <w:wordWrap w:val="0"/>
        <w:overflowPunct w:val="0"/>
        <w:autoSpaceDE w:val="0"/>
        <w:autoSpaceDN w:val="0"/>
        <w:snapToGrid w:val="0"/>
        <w:spacing w:line="360" w:lineRule="auto"/>
        <w:rPr>
          <w:rFonts w:cs="宋体"/>
          <w:highlight w:val="none"/>
        </w:rPr>
      </w:pPr>
      <w:r>
        <w:rPr>
          <w:rFonts w:hint="eastAsia"/>
          <w:highlight w:val="none"/>
        </w:rPr>
        <w:t>（11）不符合本采购文件中的实质性要求条款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6.被拒绝的投标文件为无效；</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7.存在带“▲”条款的负偏离的；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8.本招标文件其他部分已规定为无效标的情形；</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9.评标专家认定的其他必须按无效标处理的。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（十）出现以下情形，导致电子交易平台无法正常运行，或者无法保证电子交易的公平、公正和安全时，中止电子交易活动：</w:t>
      </w:r>
    </w:p>
    <w:p>
      <w:pPr>
        <w:pStyle w:val="25"/>
        <w:wordWrap w:val="0"/>
        <w:overflowPunct w:val="0"/>
        <w:autoSpaceDE w:val="0"/>
        <w:autoSpaceDN w:val="0"/>
        <w:snapToGrid w:val="0"/>
        <w:spacing w:line="360" w:lineRule="auto"/>
        <w:rPr>
          <w:rFonts w:cs="宋体"/>
          <w:highlight w:val="none"/>
        </w:rPr>
      </w:pPr>
      <w:r>
        <w:rPr>
          <w:rFonts w:hint="eastAsia" w:cs="宋体"/>
          <w:highlight w:val="none"/>
        </w:rPr>
        <w:t>1.电子交易平台发生故障而无法登录访问的；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2.电子交易平台应用或数据库出现错误，不能进行正常操作的；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3.电子交易平台发现严重安全漏洞，有潜在泄密危险的；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4.病毒发作导致不能进行正常操作的；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5.其他无法保证电子交易的公平、公正和安全的情况。</w:t>
      </w:r>
    </w:p>
    <w:p>
      <w:pPr>
        <w:pStyle w:val="25"/>
        <w:wordWrap w:val="0"/>
        <w:overflowPunct w:val="0"/>
        <w:autoSpaceDE w:val="0"/>
        <w:autoSpaceDN w:val="0"/>
        <w:snapToGrid w:val="0"/>
        <w:spacing w:line="360" w:lineRule="auto"/>
        <w:rPr>
          <w:rFonts w:cs="宋体"/>
          <w:highlight w:val="none"/>
        </w:rPr>
      </w:pPr>
      <w:r>
        <w:rPr>
          <w:rFonts w:hint="eastAsia" w:cs="宋体"/>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3"/>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四、开标</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kern w:val="0"/>
          <w:sz w:val="24"/>
          <w:highlight w:val="none"/>
        </w:rPr>
      </w:pPr>
      <w:r>
        <w:rPr>
          <w:rFonts w:hint="eastAsia" w:ascii="宋体" w:hAnsi="宋体" w:cs="宋体"/>
          <w:b/>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2.宣布评标纪律；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10.处理与评标有关的其他事项。</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（三）开标程序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4.电子投标文件开标:</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（4）在系统上公开报价开标情况；</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（5）评标委员会对报价情况进行评审；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特别说明：政采云公司如对电子化开标及评审程序有调整的，按调整后的程序操作。</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五、评标</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w:t>
      </w:r>
      <w:r>
        <w:rPr>
          <w:rFonts w:hint="eastAsia" w:hAnsi="宋体" w:cs="宋体"/>
          <w:b/>
          <w:bCs/>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本项目评标委员会由采购人代表和相关专业专家组成</w:t>
      </w:r>
      <w:r>
        <w:rPr>
          <w:rFonts w:hint="eastAsia" w:ascii="宋体" w:hAnsi="宋体" w:cs="宋体"/>
          <w:sz w:val="24"/>
          <w:highlight w:val="none"/>
          <w:lang w:val="en-US" w:eastAsia="zh-CN"/>
        </w:rPr>
        <w:t>，采购人代表1名，专家评委4名，</w:t>
      </w:r>
      <w:r>
        <w:rPr>
          <w:rFonts w:hint="eastAsia" w:ascii="宋体" w:hAnsi="宋体" w:cs="宋体"/>
          <w:sz w:val="24"/>
          <w:highlight w:val="none"/>
        </w:rPr>
        <w:t>评标委员会负责具体评标事务，并独立履行下列职责：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sz w:val="24"/>
          <w:highlight w:val="none"/>
          <w:u w:val="single"/>
        </w:rPr>
      </w:pPr>
      <w:r>
        <w:rPr>
          <w:rFonts w:hint="eastAsia" w:ascii="宋体" w:hAnsi="宋体" w:cs="宋体"/>
          <w:b/>
          <w:sz w:val="24"/>
          <w:highlight w:val="none"/>
          <w:u w:val="single"/>
        </w:rPr>
        <w:t>除采购人代表、评标现场组织人员外，采购人的其他工作人员以及与评标工作无关的人员不得进入评标现场。</w:t>
      </w:r>
    </w:p>
    <w:p>
      <w:pPr>
        <w:pStyle w:val="33"/>
        <w:wordWrap w:val="0"/>
        <w:overflowPunct w:val="0"/>
        <w:autoSpaceDE w:val="0"/>
        <w:autoSpaceDN w:val="0"/>
        <w:snapToGrid w:val="0"/>
        <w:spacing w:line="360" w:lineRule="auto"/>
        <w:rPr>
          <w:rFonts w:hAnsi="宋体" w:cs="宋体"/>
          <w:b/>
          <w:bCs/>
          <w:sz w:val="24"/>
          <w:szCs w:val="24"/>
          <w:highlight w:val="none"/>
        </w:rPr>
      </w:pPr>
      <w:r>
        <w:rPr>
          <w:rFonts w:hint="eastAsia" w:hAnsi="宋体" w:cs="宋体"/>
          <w:b/>
          <w:sz w:val="24"/>
          <w:szCs w:val="24"/>
          <w:highlight w:val="none"/>
        </w:rPr>
        <w:t>（二）</w:t>
      </w:r>
      <w:r>
        <w:rPr>
          <w:rFonts w:hint="eastAsia" w:hAnsi="宋体" w:cs="宋体"/>
          <w:b/>
          <w:bCs/>
          <w:sz w:val="24"/>
          <w:szCs w:val="24"/>
          <w:highlight w:val="none"/>
        </w:rPr>
        <w:t>评标的方式</w:t>
      </w:r>
    </w:p>
    <w:p>
      <w:pPr>
        <w:pStyle w:val="33"/>
        <w:wordWrap w:val="0"/>
        <w:overflowPunct w:val="0"/>
        <w:autoSpaceDE w:val="0"/>
        <w:autoSpaceDN w:val="0"/>
        <w:snapToGrid w:val="0"/>
        <w:spacing w:line="360" w:lineRule="auto"/>
        <w:rPr>
          <w:rFonts w:hAnsi="宋体" w:cs="宋体"/>
          <w:sz w:val="24"/>
          <w:szCs w:val="24"/>
          <w:highlight w:val="none"/>
        </w:rPr>
      </w:pPr>
      <w:r>
        <w:rPr>
          <w:rFonts w:hint="eastAsia" w:hAnsi="宋体" w:cs="宋体"/>
          <w:sz w:val="24"/>
          <w:szCs w:val="24"/>
          <w:highlight w:val="none"/>
        </w:rPr>
        <w:t xml:space="preserve">     本项目采用不公开方式评标，评标的依据为招标文件和投标文件。</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sz w:val="24"/>
          <w:highlight w:val="none"/>
        </w:rPr>
      </w:pPr>
      <w:r>
        <w:rPr>
          <w:rFonts w:hint="eastAsia" w:ascii="宋体" w:hAnsi="宋体" w:cs="宋体"/>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（5）评标委员会完成评标后,评委对各部分得分汇总,计算出本项目最终得分、性价比、评标价等。评标委员会按评标原则推荐中标候选人同时起草评标报告。</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2.如果供应商代表拒绝或未按评标委员会要求在“政采云”平台作出在线回复且无其他有效回复方式的，评标委员会可以对其作出无效标处理。</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（五）</w:t>
      </w:r>
      <w:r>
        <w:rPr>
          <w:rFonts w:hint="eastAsia" w:hAnsi="宋体" w:cs="宋体"/>
          <w:b/>
          <w:bCs/>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5.电子投标流程中，客户端填写的报价与以pdf格式上传文件中的报价不一致的，应以Pdf格式上传文件中的报价为准。</w:t>
      </w:r>
    </w:p>
    <w:p>
      <w:pPr>
        <w:pStyle w:val="33"/>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（六）</w:t>
      </w:r>
      <w:r>
        <w:rPr>
          <w:rFonts w:hint="eastAsia" w:hAnsi="宋体" w:cs="宋体"/>
          <w:b/>
          <w:bCs/>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2.评标办法。本项目评标办法是</w:t>
      </w:r>
      <w:r>
        <w:rPr>
          <w:rFonts w:hint="eastAsia" w:ascii="宋体" w:hAnsi="宋体" w:cs="宋体"/>
          <w:sz w:val="24"/>
          <w:highlight w:val="none"/>
          <w:u w:val="single"/>
        </w:rPr>
        <w:t xml:space="preserve"> 综合评分法 </w:t>
      </w:r>
      <w:r>
        <w:rPr>
          <w:rFonts w:hint="eastAsia" w:ascii="宋体" w:hAnsi="宋体" w:cs="宋体"/>
          <w:sz w:val="24"/>
          <w:highlight w:val="none"/>
        </w:rPr>
        <w:t>，具体评标内容及评分标准等详见《第四章：评标办法及评分标准》。</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（七）</w:t>
      </w:r>
      <w:r>
        <w:rPr>
          <w:rFonts w:hint="eastAsia" w:hAnsi="宋体" w:cs="宋体"/>
          <w:b/>
          <w:bCs/>
          <w:sz w:val="24"/>
          <w:szCs w:val="24"/>
          <w:highlight w:val="none"/>
        </w:rPr>
        <w:t>评标过程的监控</w:t>
      </w:r>
    </w:p>
    <w:p>
      <w:pPr>
        <w:pStyle w:val="33"/>
        <w:wordWrap w:val="0"/>
        <w:overflowPunct w:val="0"/>
        <w:autoSpaceDE w:val="0"/>
        <w:autoSpaceDN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3.采购人依法确定中标人后2个工作日内，采购代理机构以书面形式发出《中标通知书》,并同时在相关网站上发布中标公告。</w:t>
      </w:r>
    </w:p>
    <w:p>
      <w:pPr>
        <w:pStyle w:val="33"/>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七、合同授予</w:t>
      </w:r>
    </w:p>
    <w:p>
      <w:pPr>
        <w:pStyle w:val="33"/>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（一）签订合同</w:t>
      </w:r>
    </w:p>
    <w:p>
      <w:pPr>
        <w:keepNext w:val="0"/>
        <w:keepLines w:val="0"/>
        <w:pageBreakBefore w:val="0"/>
        <w:kinsoku/>
        <w:wordWrap w:val="0"/>
        <w:overflowPunct w:val="0"/>
        <w:topLinePunct w:val="0"/>
        <w:autoSpaceDE w:val="0"/>
        <w:autoSpaceDN w:val="0"/>
        <w:bidi w:val="0"/>
        <w:adjustRightInd w:val="0"/>
        <w:snapToGrid w:val="0"/>
        <w:spacing w:line="348" w:lineRule="auto"/>
        <w:ind w:firstLine="480" w:firstLineChars="200"/>
        <w:rPr>
          <w:rFonts w:ascii="宋体" w:hAnsi="宋体" w:cs="宋体"/>
          <w:sz w:val="24"/>
          <w:highlight w:val="none"/>
        </w:rPr>
      </w:pPr>
      <w:r>
        <w:rPr>
          <w:rFonts w:hint="eastAsia" w:ascii="宋体" w:hAnsi="宋体" w:cs="宋体"/>
          <w:sz w:val="24"/>
          <w:highlight w:val="none"/>
        </w:rPr>
        <w:t>1.采购人与中标人应当在《中标通知书》发出之日起</w:t>
      </w:r>
      <w:r>
        <w:rPr>
          <w:rFonts w:hint="eastAsia" w:ascii="宋体" w:hAnsi="宋体" w:cs="宋体"/>
          <w:sz w:val="24"/>
          <w:highlight w:val="none"/>
          <w:lang w:val="en-US" w:eastAsia="zh-CN"/>
        </w:rPr>
        <w:t>15</w:t>
      </w:r>
      <w:r>
        <w:rPr>
          <w:rFonts w:hint="eastAsia" w:ascii="宋体" w:hAnsi="宋体" w:cs="宋体"/>
          <w:sz w:val="24"/>
          <w:highlight w:val="none"/>
        </w:rPr>
        <w:t>日内签订政府采购合同。同时，采购代理机构对合同内容进行审查，如发现与采购结果和投标承诺内容不一致的，将予以纠正。</w:t>
      </w:r>
    </w:p>
    <w:p>
      <w:pPr>
        <w:keepNext w:val="0"/>
        <w:keepLines w:val="0"/>
        <w:pageBreakBefore w:val="0"/>
        <w:kinsoku/>
        <w:wordWrap w:val="0"/>
        <w:overflowPunct w:val="0"/>
        <w:topLinePunct w:val="0"/>
        <w:autoSpaceDE w:val="0"/>
        <w:autoSpaceDN w:val="0"/>
        <w:bidi w:val="0"/>
        <w:adjustRightInd w:val="0"/>
        <w:snapToGrid w:val="0"/>
        <w:spacing w:line="348" w:lineRule="auto"/>
        <w:ind w:firstLine="480" w:firstLineChars="200"/>
        <w:rPr>
          <w:rFonts w:ascii="宋体" w:hAnsi="宋体" w:cs="宋体"/>
          <w:sz w:val="24"/>
          <w:highlight w:val="none"/>
        </w:rPr>
      </w:pPr>
      <w:r>
        <w:rPr>
          <w:rFonts w:hint="eastAsia" w:ascii="宋体" w:hAnsi="宋体" w:cs="宋体"/>
          <w:sz w:val="24"/>
          <w:highlight w:val="none"/>
        </w:rPr>
        <w:t>2.中标人拖延、拒签合同的,将被列入不良行为记录或黑名单，由此产生的一切不利后果由中标人自行承担。</w:t>
      </w:r>
    </w:p>
    <w:p>
      <w:pPr>
        <w:pStyle w:val="33"/>
        <w:keepNext w:val="0"/>
        <w:keepLines w:val="0"/>
        <w:pageBreakBefore w:val="0"/>
        <w:kinsoku/>
        <w:wordWrap w:val="0"/>
        <w:overflowPunct w:val="0"/>
        <w:topLinePunct w:val="0"/>
        <w:autoSpaceDE w:val="0"/>
        <w:autoSpaceDN w:val="0"/>
        <w:bidi w:val="0"/>
        <w:adjustRightInd w:val="0"/>
        <w:snapToGrid w:val="0"/>
        <w:spacing w:line="348" w:lineRule="auto"/>
        <w:rPr>
          <w:rFonts w:hAnsi="宋体" w:cs="宋体"/>
          <w:b/>
          <w:sz w:val="24"/>
          <w:szCs w:val="24"/>
          <w:highlight w:val="none"/>
        </w:rPr>
      </w:pPr>
      <w:r>
        <w:rPr>
          <w:rFonts w:hint="eastAsia" w:hAnsi="宋体" w:cs="宋体"/>
          <w:b/>
          <w:sz w:val="24"/>
          <w:szCs w:val="24"/>
          <w:highlight w:val="none"/>
        </w:rPr>
        <w:t>（二）履约保证金</w:t>
      </w:r>
    </w:p>
    <w:p>
      <w:pPr>
        <w:keepNext w:val="0"/>
        <w:keepLines w:val="0"/>
        <w:pageBreakBefore w:val="0"/>
        <w:kinsoku/>
        <w:wordWrap w:val="0"/>
        <w:overflowPunct w:val="0"/>
        <w:topLinePunct w:val="0"/>
        <w:autoSpaceDE w:val="0"/>
        <w:autoSpaceDN w:val="0"/>
        <w:bidi w:val="0"/>
        <w:adjustRightInd w:val="0"/>
        <w:snapToGrid w:val="0"/>
        <w:spacing w:line="348" w:lineRule="auto"/>
        <w:ind w:firstLine="480" w:firstLineChars="200"/>
        <w:rPr>
          <w:rFonts w:ascii="宋体" w:hAnsi="宋体" w:cs="宋体"/>
          <w:sz w:val="24"/>
          <w:highlight w:val="none"/>
        </w:rPr>
      </w:pPr>
      <w:r>
        <w:rPr>
          <w:rFonts w:hint="eastAsia" w:ascii="宋体" w:hAnsi="宋体" w:cs="宋体"/>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3"/>
        <w:keepNext w:val="0"/>
        <w:keepLines w:val="0"/>
        <w:pageBreakBefore w:val="0"/>
        <w:kinsoku/>
        <w:topLinePunct w:val="0"/>
        <w:bidi w:val="0"/>
        <w:adjustRightInd w:val="0"/>
        <w:snapToGrid w:val="0"/>
        <w:spacing w:line="348" w:lineRule="auto"/>
        <w:ind w:firstLine="480" w:firstLineChars="200"/>
        <w:rPr>
          <w:rFonts w:hAnsi="宋体" w:cs="宋体"/>
          <w:sz w:val="24"/>
          <w:szCs w:val="24"/>
          <w:highlight w:val="none"/>
        </w:rPr>
      </w:pPr>
      <w:r>
        <w:rPr>
          <w:rFonts w:hint="eastAsia" w:hAnsi="宋体" w:cs="宋体"/>
          <w:sz w:val="24"/>
          <w:szCs w:val="24"/>
          <w:highlight w:val="none"/>
        </w:rPr>
        <w:t>2.签订合同后，如中标人不按双方合同约定履约，则没收其全部履约保证金，履约保证金不足以赔偿损失的，按实际损失赔偿。</w:t>
      </w:r>
    </w:p>
    <w:p>
      <w:pPr>
        <w:pStyle w:val="33"/>
        <w:keepNext w:val="0"/>
        <w:keepLines w:val="0"/>
        <w:pageBreakBefore w:val="0"/>
        <w:kinsoku/>
        <w:topLinePunct w:val="0"/>
        <w:bidi w:val="0"/>
        <w:adjustRightInd w:val="0"/>
        <w:snapToGrid w:val="0"/>
        <w:spacing w:line="348" w:lineRule="auto"/>
        <w:rPr>
          <w:rFonts w:hAnsi="宋体" w:cs="宋体"/>
          <w:b/>
          <w:sz w:val="24"/>
          <w:szCs w:val="24"/>
          <w:highlight w:val="none"/>
        </w:rPr>
      </w:pPr>
      <w:r>
        <w:rPr>
          <w:rFonts w:hint="eastAsia" w:hAnsi="宋体" w:cs="宋体"/>
          <w:b/>
          <w:sz w:val="24"/>
          <w:szCs w:val="24"/>
          <w:highlight w:val="none"/>
        </w:rPr>
        <w:t>八、终止招标</w:t>
      </w:r>
    </w:p>
    <w:p>
      <w:pPr>
        <w:pStyle w:val="33"/>
        <w:keepNext w:val="0"/>
        <w:keepLines w:val="0"/>
        <w:pageBreakBefore w:val="0"/>
        <w:kinsoku/>
        <w:topLinePunct w:val="0"/>
        <w:bidi w:val="0"/>
        <w:adjustRightInd w:val="0"/>
        <w:snapToGrid w:val="0"/>
        <w:spacing w:line="348" w:lineRule="auto"/>
        <w:ind w:firstLine="480" w:firstLineChars="200"/>
        <w:rPr>
          <w:rFonts w:hAnsi="宋体" w:cs="宋体"/>
          <w:b/>
          <w:sz w:val="28"/>
          <w:szCs w:val="28"/>
          <w:highlight w:val="none"/>
        </w:rPr>
      </w:pPr>
      <w:r>
        <w:rPr>
          <w:rFonts w:hint="eastAsia" w:hAnsi="宋体" w:cs="宋体"/>
          <w:sz w:val="24"/>
          <w:szCs w:val="24"/>
          <w:highlight w:val="none"/>
        </w:rPr>
        <w:t>终止招标的，采购人或者采购代理机构应当及时在原公告发布媒体上发布终止公告，并将项目实施情况和采购任务取消原因报告本级财政部门。</w:t>
      </w:r>
      <w:bookmarkStart w:id="20" w:name="_Toc2572"/>
    </w:p>
    <w:p>
      <w:pPr>
        <w:pStyle w:val="33"/>
        <w:keepNext w:val="0"/>
        <w:keepLines w:val="0"/>
        <w:pageBreakBefore w:val="0"/>
        <w:kinsoku/>
        <w:topLinePunct w:val="0"/>
        <w:bidi w:val="0"/>
        <w:adjustRightInd w:val="0"/>
        <w:snapToGrid w:val="0"/>
        <w:spacing w:line="348" w:lineRule="auto"/>
        <w:rPr>
          <w:rFonts w:hAnsi="宋体" w:cs="宋体"/>
          <w:b/>
          <w:sz w:val="24"/>
          <w:szCs w:val="24"/>
          <w:highlight w:val="none"/>
        </w:rPr>
      </w:pPr>
      <w:r>
        <w:rPr>
          <w:rFonts w:hint="eastAsia" w:hAnsi="宋体" w:cs="宋体"/>
          <w:b/>
          <w:sz w:val="24"/>
          <w:szCs w:val="24"/>
          <w:highlight w:val="none"/>
        </w:rPr>
        <w:t>九、招标代理费</w:t>
      </w:r>
      <w:bookmarkEnd w:id="20"/>
    </w:p>
    <w:p>
      <w:pPr>
        <w:keepNext w:val="0"/>
        <w:keepLines w:val="0"/>
        <w:pageBreakBefore w:val="0"/>
        <w:kinsoku/>
        <w:topLinePunct w:val="0"/>
        <w:bidi w:val="0"/>
        <w:adjustRightInd w:val="0"/>
        <w:snapToGrid w:val="0"/>
        <w:spacing w:line="348" w:lineRule="auto"/>
        <w:ind w:firstLine="480" w:firstLineChars="200"/>
        <w:jc w:val="left"/>
        <w:rPr>
          <w:rFonts w:ascii="宋体" w:hAnsi="宋体"/>
          <w:color w:val="0000FF"/>
          <w:sz w:val="24"/>
          <w:highlight w:val="none"/>
        </w:rPr>
      </w:pPr>
      <w:r>
        <w:rPr>
          <w:rFonts w:hint="eastAsia" w:ascii="宋体" w:hAnsi="宋体"/>
          <w:color w:val="0000FF"/>
          <w:sz w:val="24"/>
          <w:highlight w:val="none"/>
        </w:rPr>
        <w:t>1、根据“国家发展和改革委员会办公厅《关于招标代理服务收费有关问题的通知》（发改办价格【2003】857号）”规定，招标代理机构向中标人收取招标代理服务费。</w:t>
      </w:r>
    </w:p>
    <w:p>
      <w:pPr>
        <w:keepNext w:val="0"/>
        <w:keepLines w:val="0"/>
        <w:pageBreakBefore w:val="0"/>
        <w:kinsoku/>
        <w:topLinePunct w:val="0"/>
        <w:bidi w:val="0"/>
        <w:adjustRightInd w:val="0"/>
        <w:snapToGrid w:val="0"/>
        <w:spacing w:line="348" w:lineRule="auto"/>
        <w:ind w:firstLine="480" w:firstLineChars="200"/>
        <w:jc w:val="left"/>
        <w:rPr>
          <w:rFonts w:ascii="宋体" w:hAnsi="宋体"/>
          <w:color w:val="0000FF"/>
          <w:sz w:val="24"/>
          <w:highlight w:val="none"/>
        </w:rPr>
      </w:pPr>
      <w:r>
        <w:rPr>
          <w:rFonts w:hint="eastAsia" w:ascii="宋体" w:hAnsi="宋体"/>
          <w:color w:val="0000FF"/>
          <w:sz w:val="24"/>
          <w:highlight w:val="none"/>
        </w:rPr>
        <w:t>2、中标人应在收取《中标通知书》时向采购代理机构交纳招标代理服务费，服务费的收费标准按国家计委(计价格[2011]534号)文规定计算:</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keepNext w:val="0"/>
              <w:keepLines w:val="0"/>
              <w:pageBreakBefore w:val="0"/>
              <w:kinsoku/>
              <w:topLinePunct w:val="0"/>
              <w:bidi w:val="0"/>
              <w:adjustRightInd w:val="0"/>
              <w:spacing w:line="348" w:lineRule="auto"/>
              <w:jc w:val="center"/>
              <w:rPr>
                <w:rFonts w:ascii="宋体" w:hAnsi="宋体"/>
                <w:b/>
                <w:color w:val="0000FF"/>
                <w:sz w:val="24"/>
                <w:highlight w:val="none"/>
              </w:rPr>
            </w:pPr>
            <w:r>
              <w:rPr>
                <w:rFonts w:hint="eastAsia" w:ascii="宋体" w:hAnsi="宋体"/>
                <w:b/>
                <w:color w:val="0000FF"/>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keepNext w:val="0"/>
              <w:keepLines w:val="0"/>
              <w:pageBreakBefore w:val="0"/>
              <w:kinsoku/>
              <w:topLinePunct w:val="0"/>
              <w:bidi w:val="0"/>
              <w:adjustRightInd w:val="0"/>
              <w:spacing w:line="348" w:lineRule="auto"/>
              <w:jc w:val="center"/>
              <w:rPr>
                <w:rFonts w:ascii="宋体" w:hAnsi="宋体"/>
                <w:b/>
                <w:color w:val="0000FF"/>
                <w:sz w:val="24"/>
                <w:highlight w:val="none"/>
              </w:rPr>
            </w:pPr>
            <w:r>
              <w:rPr>
                <w:rFonts w:hint="eastAsia" w:ascii="宋体" w:hAnsi="宋体"/>
                <w:b/>
                <w:color w:val="0000FF"/>
                <w:sz w:val="24"/>
                <w:highlight w:val="none"/>
                <w:lang w:eastAsia="zh-CN"/>
              </w:rPr>
              <w:t>货物</w:t>
            </w:r>
            <w:r>
              <w:rPr>
                <w:rFonts w:hint="eastAsia" w:ascii="宋体" w:hAnsi="宋体"/>
                <w:b/>
                <w:color w:val="0000FF"/>
                <w:sz w:val="24"/>
                <w:highlight w:val="none"/>
              </w:rPr>
              <w:t>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topLinePunct w:val="0"/>
              <w:bidi w:val="0"/>
              <w:adjustRightInd w:val="0"/>
              <w:spacing w:line="348" w:lineRule="auto"/>
              <w:jc w:val="center"/>
              <w:rPr>
                <w:rFonts w:ascii="宋体" w:hAnsi="宋体"/>
                <w:b/>
                <w:color w:val="0000FF"/>
                <w:sz w:val="24"/>
                <w:highlight w:val="none"/>
              </w:rPr>
            </w:pPr>
            <w:r>
              <w:rPr>
                <w:rFonts w:hint="eastAsia" w:ascii="宋体" w:hAnsi="宋体"/>
                <w:b/>
                <w:color w:val="0000FF"/>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topLinePunct w:val="0"/>
              <w:bidi w:val="0"/>
              <w:adjustRightInd w:val="0"/>
              <w:spacing w:line="348" w:lineRule="auto"/>
              <w:jc w:val="center"/>
              <w:rPr>
                <w:rFonts w:ascii="宋体" w:hAnsi="宋体"/>
                <w:b/>
                <w:color w:val="0000FF"/>
                <w:sz w:val="24"/>
                <w:highlight w:val="none"/>
              </w:rPr>
            </w:pPr>
            <w:r>
              <w:rPr>
                <w:rFonts w:hint="eastAsia" w:ascii="宋体" w:hAnsi="宋体"/>
                <w:b/>
                <w:color w:val="0000FF"/>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topLinePunct w:val="0"/>
              <w:bidi w:val="0"/>
              <w:adjustRightInd w:val="0"/>
              <w:snapToGrid w:val="0"/>
              <w:spacing w:before="0" w:beforeAutospacing="0" w:after="0" w:afterAutospacing="0" w:line="360" w:lineRule="auto"/>
              <w:jc w:val="center"/>
              <w:textAlignment w:val="baseline"/>
              <w:rPr>
                <w:rFonts w:hint="eastAsia" w:ascii="宋体" w:hAnsi="宋体"/>
                <w:b/>
                <w:color w:val="0000FF"/>
                <w:sz w:val="24"/>
                <w:highlight w:val="none"/>
              </w:rPr>
            </w:pPr>
            <w:r>
              <w:rPr>
                <w:rStyle w:val="968"/>
                <w:rFonts w:ascii="宋体" w:hAnsi="宋体" w:eastAsia="宋体"/>
                <w:b/>
                <w:i w:val="0"/>
                <w:caps w:val="0"/>
                <w:color w:val="0000FF"/>
                <w:spacing w:val="0"/>
                <w:w w:val="100"/>
                <w:kern w:val="2"/>
                <w:sz w:val="24"/>
                <w:szCs w:val="24"/>
                <w:highlight w:val="none"/>
                <w:lang w:val="en-US" w:eastAsia="zh-CN" w:bidi="ar-SA"/>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topLinePunct w:val="0"/>
              <w:bidi w:val="0"/>
              <w:adjustRightInd w:val="0"/>
              <w:snapToGrid w:val="0"/>
              <w:spacing w:before="0" w:beforeAutospacing="0" w:after="0" w:afterAutospacing="0" w:line="360" w:lineRule="auto"/>
              <w:jc w:val="center"/>
              <w:textAlignment w:val="baseline"/>
              <w:rPr>
                <w:rFonts w:hint="eastAsia" w:ascii="宋体" w:hAnsi="宋体"/>
                <w:b/>
                <w:color w:val="0000FF"/>
                <w:sz w:val="24"/>
                <w:highlight w:val="none"/>
              </w:rPr>
            </w:pPr>
            <w:r>
              <w:rPr>
                <w:rStyle w:val="968"/>
                <w:rFonts w:hint="eastAsia" w:ascii="宋体" w:hAnsi="宋体"/>
                <w:b/>
                <w:i w:val="0"/>
                <w:caps w:val="0"/>
                <w:color w:val="0000FF"/>
                <w:spacing w:val="0"/>
                <w:w w:val="100"/>
                <w:kern w:val="2"/>
                <w:sz w:val="24"/>
                <w:szCs w:val="24"/>
                <w:highlight w:val="none"/>
                <w:lang w:val="en-US" w:eastAsia="zh-CN" w:bidi="ar-SA"/>
              </w:rPr>
              <w:t>1</w:t>
            </w:r>
            <w:r>
              <w:rPr>
                <w:rStyle w:val="968"/>
                <w:rFonts w:ascii="宋体" w:hAnsi="宋体" w:eastAsia="宋体"/>
                <w:b/>
                <w:i w:val="0"/>
                <w:caps w:val="0"/>
                <w:color w:val="0000FF"/>
                <w:spacing w:val="0"/>
                <w:w w:val="100"/>
                <w:kern w:val="2"/>
                <w:sz w:val="24"/>
                <w:szCs w:val="24"/>
                <w:highlight w:val="none"/>
                <w:lang w:val="en-US" w:eastAsia="zh-CN" w:bidi="ar-SA"/>
              </w:rPr>
              <w:t>.</w:t>
            </w:r>
            <w:r>
              <w:rPr>
                <w:rStyle w:val="968"/>
                <w:rFonts w:hint="eastAsia" w:ascii="宋体" w:hAnsi="宋体"/>
                <w:b/>
                <w:i w:val="0"/>
                <w:caps w:val="0"/>
                <w:color w:val="0000FF"/>
                <w:spacing w:val="0"/>
                <w:w w:val="100"/>
                <w:kern w:val="2"/>
                <w:sz w:val="24"/>
                <w:szCs w:val="24"/>
                <w:highlight w:val="none"/>
                <w:lang w:val="en-US" w:eastAsia="zh-CN" w:bidi="ar-SA"/>
              </w:rPr>
              <w:t>1</w:t>
            </w:r>
            <w:r>
              <w:rPr>
                <w:rStyle w:val="968"/>
                <w:rFonts w:ascii="宋体" w:hAnsi="宋体" w:eastAsia="宋体"/>
                <w:b/>
                <w:i w:val="0"/>
                <w:caps w:val="0"/>
                <w:color w:val="0000FF"/>
                <w:spacing w:val="0"/>
                <w:w w:val="100"/>
                <w:kern w:val="2"/>
                <w:sz w:val="24"/>
                <w:szCs w:val="24"/>
                <w:highlight w:val="none"/>
                <w:lang w:val="en-US" w:eastAsia="zh-CN" w:bidi="ar-SA"/>
              </w:rPr>
              <w:t>0%</w:t>
            </w:r>
          </w:p>
        </w:tc>
      </w:tr>
    </w:tbl>
    <w:p>
      <w:pPr>
        <w:keepNext w:val="0"/>
        <w:keepLines w:val="0"/>
        <w:pageBreakBefore w:val="0"/>
        <w:kinsoku/>
        <w:topLinePunct w:val="0"/>
        <w:bidi w:val="0"/>
        <w:adjustRightInd w:val="0"/>
        <w:snapToGrid w:val="0"/>
        <w:spacing w:line="348" w:lineRule="auto"/>
        <w:ind w:firstLine="420"/>
        <w:jc w:val="left"/>
        <w:rPr>
          <w:rFonts w:ascii="宋体" w:hAnsi="宋体"/>
          <w:color w:val="0000FF"/>
          <w:sz w:val="24"/>
          <w:highlight w:val="none"/>
        </w:rPr>
      </w:pPr>
      <w:r>
        <w:rPr>
          <w:rFonts w:hint="eastAsia" w:ascii="宋体" w:hAnsi="宋体"/>
          <w:color w:val="0000FF"/>
          <w:sz w:val="24"/>
          <w:highlight w:val="none"/>
        </w:rPr>
        <w:t>例如：某项目</w:t>
      </w:r>
      <w:r>
        <w:rPr>
          <w:rFonts w:hint="eastAsia" w:ascii="宋体" w:hAnsi="宋体"/>
          <w:color w:val="0000FF"/>
          <w:sz w:val="24"/>
          <w:highlight w:val="none"/>
          <w:lang w:eastAsia="zh-CN"/>
        </w:rPr>
        <w:t>货物</w:t>
      </w:r>
      <w:r>
        <w:rPr>
          <w:rFonts w:hint="eastAsia" w:ascii="宋体" w:hAnsi="宋体"/>
          <w:color w:val="0000FF"/>
          <w:sz w:val="24"/>
          <w:highlight w:val="none"/>
        </w:rPr>
        <w:t>类招标代理业务中标金额为</w:t>
      </w:r>
      <w:r>
        <w:rPr>
          <w:rFonts w:hint="eastAsia" w:ascii="宋体" w:hAnsi="宋体"/>
          <w:color w:val="0000FF"/>
          <w:sz w:val="24"/>
          <w:highlight w:val="none"/>
          <w:lang w:val="en-US" w:eastAsia="zh-CN"/>
        </w:rPr>
        <w:t>300</w:t>
      </w:r>
      <w:r>
        <w:rPr>
          <w:rFonts w:hint="eastAsia" w:ascii="宋体" w:hAnsi="宋体"/>
          <w:color w:val="0000FF"/>
          <w:sz w:val="24"/>
          <w:highlight w:val="none"/>
        </w:rPr>
        <w:t>万元，计算中标服务费收费额如下：</w:t>
      </w:r>
    </w:p>
    <w:p>
      <w:pPr>
        <w:keepNext w:val="0"/>
        <w:keepLines w:val="0"/>
        <w:pageBreakBefore w:val="0"/>
        <w:kinsoku/>
        <w:topLinePunct w:val="0"/>
        <w:bidi w:val="0"/>
        <w:adjustRightInd w:val="0"/>
        <w:snapToGrid w:val="0"/>
        <w:spacing w:line="348" w:lineRule="auto"/>
        <w:ind w:firstLine="960" w:firstLineChars="400"/>
        <w:jc w:val="left"/>
        <w:textAlignment w:val="baseline"/>
        <w:rPr>
          <w:rStyle w:val="968"/>
          <w:rFonts w:ascii="宋体" w:hAnsi="宋体"/>
          <w:color w:val="0000FF"/>
          <w:sz w:val="24"/>
          <w:highlight w:val="none"/>
        </w:rPr>
      </w:pPr>
      <w:r>
        <w:rPr>
          <w:rStyle w:val="967"/>
          <w:rFonts w:ascii="宋体" w:hAnsi="宋体"/>
          <w:b w:val="0"/>
          <w:i w:val="0"/>
          <w:caps w:val="0"/>
          <w:color w:val="0000FF"/>
          <w:spacing w:val="0"/>
          <w:w w:val="100"/>
          <w:kern w:val="2"/>
          <w:sz w:val="24"/>
          <w:szCs w:val="24"/>
          <w:highlight w:val="none"/>
          <w:lang w:val="en-US" w:eastAsia="zh-CN" w:bidi="ar-SA"/>
        </w:rPr>
        <w:t>100万元×1.5%+</w:t>
      </w:r>
      <w:r>
        <w:rPr>
          <w:rStyle w:val="967"/>
          <w:rFonts w:hint="eastAsia" w:ascii="宋体" w:hAnsi="宋体"/>
          <w:b w:val="0"/>
          <w:i w:val="0"/>
          <w:caps w:val="0"/>
          <w:color w:val="0000FF"/>
          <w:spacing w:val="0"/>
          <w:w w:val="100"/>
          <w:kern w:val="2"/>
          <w:sz w:val="24"/>
          <w:szCs w:val="24"/>
          <w:highlight w:val="none"/>
          <w:lang w:val="en-US" w:eastAsia="zh-CN" w:bidi="ar-SA"/>
        </w:rPr>
        <w:t>200</w:t>
      </w:r>
      <w:r>
        <w:rPr>
          <w:rStyle w:val="967"/>
          <w:rFonts w:ascii="宋体" w:hAnsi="宋体"/>
          <w:b w:val="0"/>
          <w:i w:val="0"/>
          <w:caps w:val="0"/>
          <w:color w:val="0000FF"/>
          <w:spacing w:val="0"/>
          <w:w w:val="100"/>
          <w:kern w:val="2"/>
          <w:sz w:val="24"/>
          <w:szCs w:val="24"/>
          <w:highlight w:val="none"/>
          <w:lang w:val="en-US" w:eastAsia="zh-CN" w:bidi="ar-SA"/>
        </w:rPr>
        <w:t>万元×</w:t>
      </w:r>
      <w:r>
        <w:rPr>
          <w:rStyle w:val="967"/>
          <w:rFonts w:hint="eastAsia" w:ascii="宋体" w:hAnsi="宋体"/>
          <w:b w:val="0"/>
          <w:i w:val="0"/>
          <w:caps w:val="0"/>
          <w:color w:val="0000FF"/>
          <w:spacing w:val="0"/>
          <w:w w:val="100"/>
          <w:kern w:val="2"/>
          <w:sz w:val="24"/>
          <w:szCs w:val="24"/>
          <w:highlight w:val="none"/>
          <w:lang w:val="en-US" w:eastAsia="zh-CN" w:bidi="ar-SA"/>
        </w:rPr>
        <w:t>1.10</w:t>
      </w:r>
      <w:r>
        <w:rPr>
          <w:rStyle w:val="967"/>
          <w:rFonts w:ascii="宋体" w:hAnsi="宋体"/>
          <w:b w:val="0"/>
          <w:i w:val="0"/>
          <w:caps w:val="0"/>
          <w:color w:val="0000FF"/>
          <w:spacing w:val="0"/>
          <w:w w:val="100"/>
          <w:kern w:val="2"/>
          <w:sz w:val="24"/>
          <w:szCs w:val="24"/>
          <w:highlight w:val="none"/>
          <w:lang w:val="en-US" w:eastAsia="zh-CN" w:bidi="ar-SA"/>
        </w:rPr>
        <w:t>%=</w:t>
      </w:r>
      <w:r>
        <w:rPr>
          <w:rStyle w:val="967"/>
          <w:rFonts w:hint="eastAsia" w:ascii="宋体" w:hAnsi="宋体"/>
          <w:b w:val="0"/>
          <w:i w:val="0"/>
          <w:caps w:val="0"/>
          <w:color w:val="0000FF"/>
          <w:spacing w:val="0"/>
          <w:w w:val="100"/>
          <w:kern w:val="2"/>
          <w:sz w:val="24"/>
          <w:szCs w:val="24"/>
          <w:highlight w:val="none"/>
          <w:lang w:val="en-US" w:eastAsia="zh-CN" w:bidi="ar-SA"/>
        </w:rPr>
        <w:t>37000</w:t>
      </w:r>
      <w:r>
        <w:rPr>
          <w:rStyle w:val="967"/>
          <w:rFonts w:ascii="宋体" w:hAnsi="宋体"/>
          <w:b w:val="0"/>
          <w:i w:val="0"/>
          <w:caps w:val="0"/>
          <w:color w:val="0000FF"/>
          <w:spacing w:val="0"/>
          <w:w w:val="100"/>
          <w:kern w:val="2"/>
          <w:sz w:val="24"/>
          <w:szCs w:val="24"/>
          <w:highlight w:val="none"/>
          <w:lang w:val="en-US" w:eastAsia="zh-CN" w:bidi="ar-SA"/>
        </w:rPr>
        <w:t>元</w:t>
      </w:r>
    </w:p>
    <w:p>
      <w:pPr>
        <w:keepNext w:val="0"/>
        <w:keepLines w:val="0"/>
        <w:pageBreakBefore w:val="0"/>
        <w:kinsoku/>
        <w:topLinePunct w:val="0"/>
        <w:bidi w:val="0"/>
        <w:adjustRightInd w:val="0"/>
        <w:snapToGrid w:val="0"/>
        <w:spacing w:line="348" w:lineRule="auto"/>
        <w:ind w:firstLine="600" w:firstLineChars="250"/>
        <w:jc w:val="left"/>
        <w:rPr>
          <w:rFonts w:ascii="宋体" w:hAnsi="宋体"/>
          <w:bCs/>
          <w:color w:val="0000FF"/>
          <w:sz w:val="24"/>
          <w:highlight w:val="none"/>
          <w:lang w:val="zh-CN"/>
        </w:rPr>
      </w:pPr>
      <w:r>
        <w:rPr>
          <w:rFonts w:hint="eastAsia" w:ascii="宋体" w:hAnsi="宋体"/>
          <w:color w:val="0000FF"/>
          <w:sz w:val="24"/>
          <w:highlight w:val="none"/>
        </w:rPr>
        <w:t>3、本项目以</w:t>
      </w:r>
      <w:r>
        <w:rPr>
          <w:rFonts w:hint="eastAsia" w:ascii="宋体" w:hAnsi="宋体"/>
          <w:color w:val="0000FF"/>
          <w:sz w:val="24"/>
          <w:highlight w:val="none"/>
          <w:lang w:eastAsia="zh-CN"/>
        </w:rPr>
        <w:t>货物</w:t>
      </w:r>
      <w:r>
        <w:rPr>
          <w:rFonts w:hint="eastAsia" w:ascii="宋体" w:hAnsi="宋体"/>
          <w:color w:val="0000FF"/>
          <w:sz w:val="24"/>
          <w:highlight w:val="none"/>
        </w:rPr>
        <w:t>招标收费标准的68%收取中标服务费</w:t>
      </w:r>
      <w:r>
        <w:rPr>
          <w:rFonts w:hint="eastAsia" w:ascii="宋体" w:hAnsi="宋体"/>
          <w:bCs/>
          <w:color w:val="0000FF"/>
          <w:sz w:val="24"/>
          <w:highlight w:val="none"/>
          <w:lang w:val="zh-CN"/>
        </w:rPr>
        <w:t>。</w:t>
      </w:r>
    </w:p>
    <w:p>
      <w:pPr>
        <w:keepNext w:val="0"/>
        <w:keepLines w:val="0"/>
        <w:pageBreakBefore w:val="0"/>
        <w:tabs>
          <w:tab w:val="left" w:pos="1862"/>
        </w:tabs>
        <w:kinsoku/>
        <w:topLinePunct w:val="0"/>
        <w:bidi w:val="0"/>
        <w:adjustRightInd w:val="0"/>
        <w:snapToGrid w:val="0"/>
        <w:spacing w:line="348" w:lineRule="auto"/>
        <w:ind w:firstLine="1080" w:firstLineChars="450"/>
        <w:jc w:val="left"/>
        <w:rPr>
          <w:rFonts w:ascii="宋体" w:hAnsi="宋体"/>
          <w:color w:val="0000FF"/>
          <w:sz w:val="24"/>
          <w:highlight w:val="none"/>
        </w:rPr>
      </w:pPr>
      <w:r>
        <w:rPr>
          <w:rFonts w:hint="eastAsia" w:ascii="宋体" w:hAnsi="宋体"/>
          <w:color w:val="0000FF"/>
          <w:sz w:val="24"/>
          <w:highlight w:val="none"/>
        </w:rPr>
        <w:t xml:space="preserve">计收费 = </w:t>
      </w:r>
      <w:r>
        <w:rPr>
          <w:rFonts w:hint="eastAsia" w:ascii="宋体" w:hAnsi="宋体"/>
          <w:color w:val="0000FF"/>
          <w:sz w:val="24"/>
          <w:highlight w:val="none"/>
          <w:lang w:val="en-US" w:eastAsia="zh-CN"/>
        </w:rPr>
        <w:t>37000</w:t>
      </w:r>
      <w:r>
        <w:rPr>
          <w:rFonts w:hint="eastAsia" w:ascii="宋体" w:hAnsi="宋体"/>
          <w:color w:val="0000FF"/>
          <w:sz w:val="24"/>
          <w:highlight w:val="none"/>
        </w:rPr>
        <w:t>元×68%=</w:t>
      </w:r>
      <w:r>
        <w:rPr>
          <w:rFonts w:hint="eastAsia" w:ascii="宋体" w:hAnsi="宋体"/>
          <w:color w:val="0000FF"/>
          <w:sz w:val="24"/>
          <w:highlight w:val="none"/>
          <w:lang w:val="en-US" w:eastAsia="zh-CN"/>
        </w:rPr>
        <w:t>25160</w:t>
      </w:r>
      <w:r>
        <w:rPr>
          <w:rFonts w:hint="eastAsia" w:ascii="宋体" w:hAnsi="宋体"/>
          <w:color w:val="0000FF"/>
          <w:sz w:val="24"/>
          <w:highlight w:val="none"/>
        </w:rPr>
        <w:t>元</w:t>
      </w:r>
    </w:p>
    <w:p>
      <w:pPr>
        <w:keepNext w:val="0"/>
        <w:keepLines w:val="0"/>
        <w:pageBreakBefore w:val="0"/>
        <w:kinsoku/>
        <w:topLinePunct w:val="0"/>
        <w:bidi w:val="0"/>
        <w:adjustRightInd w:val="0"/>
        <w:snapToGrid w:val="0"/>
        <w:spacing w:line="348" w:lineRule="auto"/>
        <w:ind w:firstLine="600" w:firstLineChars="250"/>
        <w:jc w:val="left"/>
        <w:rPr>
          <w:rFonts w:ascii="宋体" w:hAnsi="宋体"/>
          <w:color w:val="0000FF"/>
          <w:sz w:val="24"/>
          <w:highlight w:val="none"/>
        </w:rPr>
      </w:pPr>
      <w:r>
        <w:rPr>
          <w:rFonts w:hint="eastAsia" w:ascii="宋体" w:hAnsi="宋体"/>
          <w:color w:val="0000FF"/>
          <w:sz w:val="24"/>
          <w:highlight w:val="none"/>
        </w:rPr>
        <w:t>4、服务费的货币为人民币。</w:t>
      </w:r>
    </w:p>
    <w:p>
      <w:pPr>
        <w:keepNext w:val="0"/>
        <w:keepLines w:val="0"/>
        <w:pageBreakBefore w:val="0"/>
        <w:kinsoku/>
        <w:topLinePunct w:val="0"/>
        <w:bidi w:val="0"/>
        <w:adjustRightInd w:val="0"/>
        <w:snapToGrid w:val="0"/>
        <w:spacing w:line="348" w:lineRule="auto"/>
        <w:ind w:firstLine="600" w:firstLineChars="250"/>
        <w:jc w:val="left"/>
        <w:rPr>
          <w:rFonts w:ascii="宋体" w:hAnsi="宋体"/>
          <w:color w:val="0000FF"/>
          <w:sz w:val="24"/>
          <w:highlight w:val="none"/>
        </w:rPr>
      </w:pPr>
      <w:r>
        <w:rPr>
          <w:rFonts w:hint="eastAsia" w:ascii="宋体" w:hAnsi="宋体"/>
          <w:color w:val="0000FF"/>
          <w:sz w:val="24"/>
          <w:highlight w:val="none"/>
        </w:rPr>
        <w:t>5、服务费支付方式：一次性以银行划账、电汇、汇票或支票的形式支付。</w:t>
      </w:r>
    </w:p>
    <w:p>
      <w:pPr>
        <w:keepNext w:val="0"/>
        <w:keepLines w:val="0"/>
        <w:pageBreakBefore w:val="0"/>
        <w:kinsoku/>
        <w:topLinePunct w:val="0"/>
        <w:bidi w:val="0"/>
        <w:adjustRightInd w:val="0"/>
        <w:snapToGrid w:val="0"/>
        <w:spacing w:line="348" w:lineRule="auto"/>
        <w:ind w:firstLine="600" w:firstLineChars="250"/>
        <w:jc w:val="left"/>
        <w:rPr>
          <w:rFonts w:ascii="宋体" w:hAnsi="宋体"/>
          <w:color w:val="0000FF"/>
          <w:sz w:val="24"/>
          <w:highlight w:val="none"/>
        </w:rPr>
      </w:pPr>
      <w:r>
        <w:rPr>
          <w:rFonts w:hint="eastAsia" w:ascii="宋体" w:hAnsi="宋体"/>
          <w:color w:val="0000FF"/>
          <w:sz w:val="24"/>
          <w:highlight w:val="none"/>
        </w:rPr>
        <w:t>6、服务费以银行划账方式按下列要求提交：</w:t>
      </w:r>
    </w:p>
    <w:p>
      <w:pPr>
        <w:keepNext w:val="0"/>
        <w:keepLines w:val="0"/>
        <w:pageBreakBefore w:val="0"/>
        <w:widowControl/>
        <w:kinsoku/>
        <w:topLinePunct w:val="0"/>
        <w:bidi w:val="0"/>
        <w:adjustRightInd w:val="0"/>
        <w:snapToGrid w:val="0"/>
        <w:spacing w:line="348" w:lineRule="auto"/>
        <w:ind w:firstLine="1080" w:firstLineChars="450"/>
        <w:jc w:val="left"/>
        <w:rPr>
          <w:rFonts w:ascii="宋体" w:hAnsi="宋体"/>
          <w:color w:val="0000FF"/>
          <w:sz w:val="24"/>
          <w:highlight w:val="none"/>
        </w:rPr>
      </w:pPr>
      <w:r>
        <w:rPr>
          <w:rFonts w:hint="eastAsia" w:ascii="宋体" w:hAnsi="宋体"/>
          <w:color w:val="0000FF"/>
          <w:sz w:val="24"/>
          <w:highlight w:val="none"/>
        </w:rPr>
        <w:t>嘉兴银行股份有限公司长三角一体化示范区(浙江嘉善)支行</w:t>
      </w:r>
    </w:p>
    <w:p>
      <w:pPr>
        <w:keepNext w:val="0"/>
        <w:keepLines w:val="0"/>
        <w:pageBreakBefore w:val="0"/>
        <w:widowControl/>
        <w:kinsoku/>
        <w:topLinePunct w:val="0"/>
        <w:bidi w:val="0"/>
        <w:adjustRightInd w:val="0"/>
        <w:snapToGrid w:val="0"/>
        <w:spacing w:line="348" w:lineRule="auto"/>
        <w:ind w:firstLine="1080" w:firstLineChars="450"/>
        <w:jc w:val="left"/>
        <w:rPr>
          <w:rFonts w:ascii="宋体" w:hAnsi="宋体"/>
          <w:color w:val="0000FF"/>
          <w:sz w:val="24"/>
          <w:highlight w:val="none"/>
        </w:rPr>
      </w:pPr>
      <w:r>
        <w:rPr>
          <w:rFonts w:hint="eastAsia" w:ascii="宋体" w:hAnsi="宋体"/>
          <w:color w:val="0000FF"/>
          <w:sz w:val="24"/>
          <w:highlight w:val="none"/>
        </w:rPr>
        <w:t>开户行：嘉兴银行股份有限公司嘉善支行</w:t>
      </w:r>
    </w:p>
    <w:p>
      <w:pPr>
        <w:keepNext w:val="0"/>
        <w:keepLines w:val="0"/>
        <w:pageBreakBefore w:val="0"/>
        <w:tabs>
          <w:tab w:val="left" w:pos="0"/>
        </w:tabs>
        <w:kinsoku/>
        <w:topLinePunct w:val="0"/>
        <w:bidi w:val="0"/>
        <w:adjustRightInd w:val="0"/>
        <w:spacing w:line="348" w:lineRule="auto"/>
        <w:ind w:firstLine="1200" w:firstLineChars="500"/>
        <w:rPr>
          <w:rFonts w:ascii="仿宋_GB2312" w:hAnsi="仿宋" w:eastAsia="仿宋_GB2312" w:cs="仿宋_GB2312"/>
          <w:sz w:val="18"/>
          <w:szCs w:val="18"/>
          <w:highlight w:val="none"/>
        </w:rPr>
      </w:pPr>
      <w:r>
        <w:rPr>
          <w:rFonts w:hint="eastAsia" w:ascii="宋体" w:hAnsi="宋体"/>
          <w:color w:val="0000FF"/>
          <w:sz w:val="24"/>
          <w:highlight w:val="none"/>
        </w:rPr>
        <w:t>账号：905101201900074615</w:t>
      </w:r>
    </w:p>
    <w:bookmarkEnd w:id="14"/>
    <w:p>
      <w:pPr>
        <w:tabs>
          <w:tab w:val="left" w:pos="0"/>
        </w:tabs>
        <w:spacing w:line="360" w:lineRule="auto"/>
        <w:ind w:firstLine="480"/>
        <w:rPr>
          <w:rFonts w:ascii="仿宋_GB2312" w:hAnsi="仿宋" w:eastAsia="仿宋_GB2312" w:cs="Helvetica"/>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21" w:name="_Hlt75236011"/>
      <w:bookmarkEnd w:id="21"/>
      <w:bookmarkStart w:id="22" w:name="_Hlt74714665"/>
      <w:bookmarkEnd w:id="22"/>
      <w:bookmarkStart w:id="23" w:name="_Hlt74729768"/>
      <w:bookmarkEnd w:id="23"/>
      <w:bookmarkStart w:id="24" w:name="_Hlt75236101"/>
      <w:bookmarkEnd w:id="24"/>
      <w:bookmarkStart w:id="25" w:name="_Hlt68072998"/>
      <w:bookmarkEnd w:id="25"/>
      <w:bookmarkStart w:id="26" w:name="_Hlt74730295"/>
      <w:bookmarkEnd w:id="26"/>
      <w:bookmarkStart w:id="27" w:name="_Hlt68073093"/>
      <w:bookmarkEnd w:id="27"/>
      <w:bookmarkStart w:id="28" w:name="_Hlt68072990"/>
      <w:bookmarkEnd w:id="28"/>
      <w:bookmarkStart w:id="29" w:name="_Hlt75236290"/>
      <w:bookmarkEnd w:id="29"/>
      <w:bookmarkStart w:id="30" w:name="_Hlt74707468"/>
      <w:bookmarkEnd w:id="30"/>
      <w:bookmarkStart w:id="31" w:name="_Hlt68403820"/>
      <w:bookmarkEnd w:id="31"/>
      <w:bookmarkStart w:id="32" w:name="_Hlt68057669"/>
      <w:bookmarkEnd w:id="32"/>
    </w:p>
    <w:bookmarkEnd w:id="15"/>
    <w:bookmarkEnd w:id="16"/>
    <w:p>
      <w:pPr>
        <w:snapToGrid w:val="0"/>
        <w:spacing w:line="360" w:lineRule="auto"/>
        <w:jc w:val="center"/>
        <w:rPr>
          <w:rFonts w:ascii="仿宋" w:hAnsi="仿宋" w:eastAsia="仿宋" w:cs="仿宋_GB2312"/>
          <w:b/>
          <w:sz w:val="36"/>
          <w:szCs w:val="36"/>
          <w:highlight w:val="none"/>
        </w:rPr>
      </w:pPr>
      <w:bookmarkStart w:id="33" w:name="第四部分"/>
      <w:r>
        <w:rPr>
          <w:rFonts w:hint="eastAsia" w:ascii="仿宋" w:hAnsi="仿宋" w:eastAsia="仿宋" w:cs="仿宋_GB2312"/>
          <w:b/>
          <w:sz w:val="36"/>
          <w:szCs w:val="36"/>
          <w:highlight w:val="none"/>
        </w:rPr>
        <w:t>第四章 评标办法及评分标准</w:t>
      </w:r>
    </w:p>
    <w:bookmarkEnd w:id="33"/>
    <w:p>
      <w:pPr>
        <w:spacing w:line="480" w:lineRule="exact"/>
        <w:ind w:firstLine="420"/>
        <w:rPr>
          <w:rFonts w:ascii="宋体" w:hAnsi="宋体" w:cs="宋体"/>
          <w:sz w:val="24"/>
          <w:highlight w:val="none"/>
        </w:rPr>
      </w:pPr>
      <w:bookmarkStart w:id="34" w:name="_Toc406403000"/>
      <w:r>
        <w:rPr>
          <w:rFonts w:hint="eastAsia" w:ascii="宋体" w:hAnsi="宋体" w:cs="宋体"/>
          <w:sz w:val="24"/>
          <w:highlight w:val="none"/>
        </w:rPr>
        <w:t>为公正、公平、科学地选择中标人，根据《中华人民共和国政府采购法》等有关法律法规的规定，并结合本项目的实际，制定本办法。</w:t>
      </w:r>
    </w:p>
    <w:p>
      <w:pPr>
        <w:pStyle w:val="34"/>
        <w:spacing w:line="480" w:lineRule="exact"/>
        <w:rPr>
          <w:rFonts w:ascii="宋体" w:hAnsi="宋体" w:cs="宋体"/>
          <w:sz w:val="24"/>
          <w:highlight w:val="none"/>
        </w:rPr>
      </w:pPr>
      <w:r>
        <w:rPr>
          <w:rFonts w:hint="eastAsia" w:ascii="宋体" w:hAnsi="宋体" w:cs="宋体"/>
          <w:sz w:val="24"/>
          <w:highlight w:val="none"/>
        </w:rPr>
        <w:t>本办法适用于</w:t>
      </w:r>
      <w:r>
        <w:rPr>
          <w:rFonts w:hint="eastAsia" w:ascii="宋体" w:hAnsi="宋体" w:cs="宋体"/>
          <w:sz w:val="24"/>
          <w:highlight w:val="none"/>
          <w:lang w:eastAsia="zh-CN"/>
        </w:rPr>
        <w:t>嘉善县商务局防汛排涝车采购项目</w:t>
      </w:r>
      <w:r>
        <w:rPr>
          <w:rFonts w:hint="eastAsia" w:ascii="宋体" w:hAnsi="宋体" w:cs="宋体"/>
          <w:sz w:val="24"/>
          <w:highlight w:val="none"/>
        </w:rPr>
        <w:t>的评标。</w:t>
      </w:r>
    </w:p>
    <w:p>
      <w:pPr>
        <w:spacing w:line="480" w:lineRule="exact"/>
        <w:rPr>
          <w:rFonts w:ascii="宋体" w:hAnsi="宋体" w:cs="宋体"/>
          <w:b/>
          <w:sz w:val="24"/>
          <w:highlight w:val="none"/>
        </w:rPr>
      </w:pPr>
      <w:r>
        <w:rPr>
          <w:rFonts w:hint="eastAsia" w:ascii="宋体" w:hAnsi="宋体" w:cs="宋体"/>
          <w:b/>
          <w:sz w:val="24"/>
          <w:highlight w:val="none"/>
        </w:rPr>
        <w:t>一 、总则</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本次评标采用综合评分法，总分为100分，其中价格分</w:t>
      </w:r>
      <w:r>
        <w:rPr>
          <w:rFonts w:hint="eastAsia" w:ascii="宋体" w:hAnsi="宋体"/>
          <w:sz w:val="24"/>
          <w:highlight w:val="none"/>
          <w:lang w:val="en-US" w:eastAsia="zh-CN"/>
        </w:rPr>
        <w:t>30</w:t>
      </w:r>
      <w:r>
        <w:rPr>
          <w:rFonts w:hint="eastAsia" w:ascii="宋体" w:hAnsi="宋体"/>
          <w:sz w:val="24"/>
          <w:highlight w:val="none"/>
        </w:rPr>
        <w:t>分、商务技术</w:t>
      </w:r>
      <w:r>
        <w:rPr>
          <w:rFonts w:hint="eastAsia" w:ascii="宋体" w:hAnsi="宋体"/>
          <w:sz w:val="24"/>
          <w:highlight w:val="none"/>
          <w:lang w:val="en-US" w:eastAsia="zh-CN"/>
        </w:rPr>
        <w:t>70</w:t>
      </w:r>
      <w:r>
        <w:rPr>
          <w:rFonts w:hint="eastAsia" w:ascii="宋体" w:hAnsi="宋体"/>
          <w:sz w:val="24"/>
          <w:highlight w:val="none"/>
        </w:rPr>
        <w:t>分（其中：商务资信分</w:t>
      </w:r>
      <w:r>
        <w:rPr>
          <w:rFonts w:hint="eastAsia" w:ascii="宋体" w:hAnsi="宋体"/>
          <w:sz w:val="24"/>
          <w:highlight w:val="none"/>
          <w:lang w:val="en-US" w:eastAsia="zh-CN"/>
        </w:rPr>
        <w:t>7</w:t>
      </w:r>
      <w:r>
        <w:rPr>
          <w:rFonts w:hint="eastAsia" w:ascii="宋体" w:hAnsi="宋体"/>
          <w:sz w:val="24"/>
          <w:highlight w:val="none"/>
        </w:rPr>
        <w:t>分，技术分</w:t>
      </w:r>
      <w:r>
        <w:rPr>
          <w:rFonts w:hint="eastAsia" w:ascii="宋体" w:hAnsi="宋体"/>
          <w:sz w:val="24"/>
          <w:highlight w:val="none"/>
          <w:lang w:val="en-US" w:eastAsia="zh-CN"/>
        </w:rPr>
        <w:t>63</w:t>
      </w:r>
      <w:r>
        <w:rPr>
          <w:rFonts w:hint="eastAsia" w:ascii="宋体" w:hAnsi="宋体"/>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评分过程中采用四舍五入法，并保留小数 2 位。</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投标人评标综合得分=价格分+商务技术分</w:t>
      </w:r>
    </w:p>
    <w:p>
      <w:pPr>
        <w:spacing w:line="480" w:lineRule="exact"/>
        <w:rPr>
          <w:rFonts w:ascii="宋体" w:hAnsi="宋体"/>
          <w:b/>
          <w:sz w:val="24"/>
          <w:highlight w:val="none"/>
        </w:rPr>
      </w:pPr>
      <w:r>
        <w:rPr>
          <w:rFonts w:hint="eastAsia" w:ascii="宋体" w:hAnsi="宋体"/>
          <w:b/>
          <w:sz w:val="24"/>
          <w:highlight w:val="none"/>
        </w:rPr>
        <w:t>二</w:t>
      </w:r>
      <w:r>
        <w:rPr>
          <w:rFonts w:ascii="宋体" w:hAnsi="宋体"/>
          <w:b/>
          <w:sz w:val="24"/>
          <w:highlight w:val="none"/>
        </w:rPr>
        <w:t xml:space="preserve"> </w:t>
      </w:r>
      <w:r>
        <w:rPr>
          <w:rFonts w:hint="eastAsia" w:ascii="宋体" w:hAnsi="宋体"/>
          <w:b/>
          <w:sz w:val="24"/>
          <w:highlight w:val="none"/>
        </w:rPr>
        <w:t>、评标内容及标准</w:t>
      </w:r>
    </w:p>
    <w:p>
      <w:pPr>
        <w:pStyle w:val="25"/>
        <w:ind w:firstLine="482"/>
        <w:rPr>
          <w:b/>
          <w:bCs/>
          <w:highlight w:val="none"/>
        </w:rPr>
      </w:pPr>
      <w:r>
        <w:rPr>
          <w:b/>
          <w:highlight w:val="none"/>
        </w:rPr>
        <w:t>（一）</w:t>
      </w:r>
      <w:r>
        <w:rPr>
          <w:b/>
          <w:bCs/>
          <w:highlight w:val="none"/>
        </w:rPr>
        <w:t>价格分（</w:t>
      </w:r>
      <w:r>
        <w:rPr>
          <w:rFonts w:hint="eastAsia"/>
          <w:b/>
          <w:bCs/>
          <w:highlight w:val="none"/>
          <w:lang w:val="en-US" w:eastAsia="zh-CN"/>
        </w:rPr>
        <w:t>30</w:t>
      </w:r>
      <w:r>
        <w:rPr>
          <w:rFonts w:hint="eastAsia"/>
          <w:b/>
          <w:bCs/>
          <w:highlight w:val="none"/>
        </w:rPr>
        <w:t>分）</w:t>
      </w:r>
    </w:p>
    <w:p>
      <w:pPr>
        <w:pStyle w:val="25"/>
        <w:rPr>
          <w:highlight w:val="none"/>
        </w:rPr>
      </w:pPr>
      <w:r>
        <w:rPr>
          <w:rFonts w:hint="eastAsia"/>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sz w:val="24"/>
          <w:highlight w:val="none"/>
        </w:rPr>
      </w:pPr>
      <w:r>
        <w:rPr>
          <w:rFonts w:hint="eastAsia" w:ascii="宋体" w:hAnsi="宋体"/>
          <w:sz w:val="24"/>
          <w:highlight w:val="none"/>
        </w:rPr>
        <w:t>价格分=（评标基准价/投标报价）×</w:t>
      </w:r>
      <w:r>
        <w:rPr>
          <w:rFonts w:hint="eastAsia" w:ascii="宋体" w:hAnsi="宋体"/>
          <w:sz w:val="24"/>
          <w:highlight w:val="none"/>
          <w:lang w:val="en-US" w:eastAsia="zh-CN"/>
        </w:rPr>
        <w:t>30</w:t>
      </w:r>
      <w:r>
        <w:rPr>
          <w:rFonts w:hint="eastAsia" w:ascii="宋体" w:hAnsi="宋体"/>
          <w:sz w:val="24"/>
          <w:highlight w:val="none"/>
        </w:rPr>
        <w:t>%×100</w:t>
      </w:r>
    </w:p>
    <w:p>
      <w:pPr>
        <w:spacing w:line="480" w:lineRule="exact"/>
        <w:ind w:firstLine="480" w:firstLineChars="200"/>
        <w:rPr>
          <w:rFonts w:hAnsi="宋体"/>
          <w:bCs/>
          <w:sz w:val="24"/>
          <w:highlight w:val="none"/>
        </w:rPr>
      </w:pPr>
      <w:r>
        <w:rPr>
          <w:rFonts w:hint="eastAsia" w:hAnsi="宋体"/>
          <w:bCs/>
          <w:sz w:val="24"/>
          <w:highlight w:val="none"/>
          <w:lang w:val="en-US" w:eastAsia="zh-CN"/>
        </w:rPr>
        <w:t>2</w:t>
      </w:r>
      <w:r>
        <w:rPr>
          <w:rFonts w:hint="eastAsia" w:hAnsi="宋体"/>
          <w:bCs/>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spacing w:before="120" w:beforeLines="50" w:after="120" w:afterLines="50" w:line="360" w:lineRule="auto"/>
        <w:ind w:firstLine="482"/>
        <w:rPr>
          <w:rFonts w:cs="宋体"/>
          <w:b/>
          <w:highlight w:val="none"/>
        </w:rPr>
      </w:pPr>
      <w:r>
        <w:rPr>
          <w:rFonts w:hint="eastAsia" w:cs="宋体"/>
          <w:b/>
          <w:highlight w:val="none"/>
        </w:rPr>
        <w:t>（二）商务资信分（</w:t>
      </w:r>
      <w:r>
        <w:rPr>
          <w:rFonts w:hint="eastAsia" w:cs="宋体"/>
          <w:b/>
          <w:highlight w:val="none"/>
          <w:lang w:val="en-US" w:eastAsia="zh-CN"/>
        </w:rPr>
        <w:t>7</w:t>
      </w:r>
      <w:r>
        <w:rPr>
          <w:rFonts w:hint="eastAsia" w:cs="宋体"/>
          <w:b/>
          <w:highlight w:val="none"/>
        </w:rPr>
        <w:t>分）</w:t>
      </w:r>
    </w:p>
    <w:tbl>
      <w:tblPr>
        <w:tblStyle w:val="63"/>
        <w:tblW w:w="8588" w:type="dxa"/>
        <w:jc w:val="center"/>
        <w:tblLayout w:type="fixed"/>
        <w:tblCellMar>
          <w:top w:w="0" w:type="dxa"/>
          <w:left w:w="108" w:type="dxa"/>
          <w:bottom w:w="0" w:type="dxa"/>
          <w:right w:w="108" w:type="dxa"/>
        </w:tblCellMar>
      </w:tblPr>
      <w:tblGrid>
        <w:gridCol w:w="516"/>
        <w:gridCol w:w="982"/>
        <w:gridCol w:w="6068"/>
        <w:gridCol w:w="1022"/>
      </w:tblGrid>
      <w:tr>
        <w:tblPrEx>
          <w:tblCellMar>
            <w:top w:w="0" w:type="dxa"/>
            <w:left w:w="108" w:type="dxa"/>
            <w:bottom w:w="0" w:type="dxa"/>
            <w:right w:w="108" w:type="dxa"/>
          </w:tblCellMar>
        </w:tblPrEx>
        <w:trPr>
          <w:trHeight w:val="2503" w:hRule="exact"/>
          <w:jc w:val="center"/>
        </w:trPr>
        <w:tc>
          <w:tcPr>
            <w:tcW w:w="516" w:type="dxa"/>
            <w:vMerge w:val="restart"/>
            <w:tcBorders>
              <w:top w:val="single" w:color="auto" w:sz="4" w:space="0"/>
              <w:left w:val="single" w:color="auto" w:sz="4" w:space="0"/>
              <w:right w:val="single" w:color="auto" w:sz="4" w:space="0"/>
            </w:tcBorders>
            <w:noWrap w:val="0"/>
            <w:vAlign w:val="center"/>
          </w:tcPr>
          <w:p>
            <w:pPr>
              <w:pStyle w:val="839"/>
              <w:widowControl/>
              <w:tabs>
                <w:tab w:val="left" w:pos="0"/>
                <w:tab w:val="clear" w:pos="8268"/>
              </w:tabs>
              <w:spacing w:line="400" w:lineRule="atLeast"/>
              <w:ind w:firstLine="0" w:firstLineChars="0"/>
              <w:rPr>
                <w:rFonts w:ascii="宋体" w:hAnsi="宋体" w:eastAsia="宋体" w:cs="宋体"/>
                <w:kern w:val="0"/>
                <w:sz w:val="21"/>
                <w:szCs w:val="21"/>
                <w:highlight w:val="none"/>
              </w:rPr>
            </w:pPr>
            <w:r>
              <w:rPr>
                <w:rFonts w:hint="eastAsia" w:ascii="宋体" w:hAnsi="宋体" w:eastAsia="宋体" w:cs="宋体"/>
                <w:kern w:val="0"/>
                <w:highlight w:val="none"/>
              </w:rPr>
              <w:t>商资信分</w:t>
            </w:r>
            <w:r>
              <w:rPr>
                <w:rFonts w:hint="eastAsia" w:ascii="宋体" w:hAnsi="宋体" w:eastAsia="宋体" w:cs="宋体"/>
                <w:kern w:val="0"/>
                <w:highlight w:val="none"/>
                <w:lang w:val="en-US" w:eastAsia="zh-CN"/>
              </w:rPr>
              <w:t>7</w:t>
            </w:r>
            <w:r>
              <w:rPr>
                <w:rFonts w:hint="eastAsia" w:ascii="宋体" w:hAnsi="宋体" w:eastAsia="宋体" w:cs="宋体"/>
                <w:kern w:val="0"/>
                <w:highlight w:val="none"/>
              </w:rPr>
              <w:t>分</w:t>
            </w:r>
          </w:p>
          <w:p>
            <w:pPr>
              <w:pStyle w:val="839"/>
              <w:tabs>
                <w:tab w:val="left" w:pos="0"/>
                <w:tab w:val="clear" w:pos="8268"/>
              </w:tabs>
              <w:spacing w:line="302" w:lineRule="auto"/>
              <w:ind w:firstLine="420"/>
              <w:jc w:val="center"/>
              <w:rPr>
                <w:rFonts w:ascii="宋体" w:hAnsi="宋体" w:eastAsia="宋体" w:cs="宋体"/>
                <w:kern w:val="0"/>
                <w:sz w:val="21"/>
                <w:szCs w:val="21"/>
                <w:highlight w:val="none"/>
              </w:rPr>
            </w:pPr>
          </w:p>
          <w:p>
            <w:pPr>
              <w:pStyle w:val="839"/>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962"/>
              <w:snapToGrid w:val="0"/>
              <w:spacing w:line="360" w:lineRule="auto"/>
              <w:jc w:val="left"/>
              <w:rPr>
                <w:rFonts w:hint="default" w:ascii="宋体" w:hAnsi="宋体" w:cs="宋体"/>
                <w:kern w:val="0"/>
                <w:szCs w:val="21"/>
                <w:highlight w:val="none"/>
              </w:rPr>
            </w:pPr>
            <w:r>
              <w:rPr>
                <w:rFonts w:ascii="宋体" w:hAnsi="宋体" w:cs="宋体"/>
                <w:kern w:val="0"/>
                <w:sz w:val="24"/>
                <w:highlight w:val="none"/>
              </w:rPr>
              <w:t>诚信分</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cs="宋体"/>
                <w:kern w:val="0"/>
                <w:szCs w:val="21"/>
                <w:highlight w:val="none"/>
              </w:rPr>
            </w:pPr>
            <w:r>
              <w:rPr>
                <w:rFonts w:hint="eastAsia" w:ascii="宋体" w:hAnsi="宋体" w:cs="宋体"/>
                <w:kern w:val="0"/>
                <w:sz w:val="24"/>
                <w:highlight w:val="none"/>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highlight w:val="none"/>
              </w:rPr>
            </w:pPr>
            <w:r>
              <w:rPr>
                <w:rFonts w:hint="eastAsia" w:ascii="宋体" w:hAnsi="宋体" w:cs="宋体"/>
                <w:sz w:val="24"/>
                <w:highlight w:val="none"/>
              </w:rPr>
              <w:t>3分</w:t>
            </w:r>
          </w:p>
        </w:tc>
      </w:tr>
      <w:tr>
        <w:tblPrEx>
          <w:tblCellMar>
            <w:top w:w="0" w:type="dxa"/>
            <w:left w:w="108" w:type="dxa"/>
            <w:bottom w:w="0" w:type="dxa"/>
            <w:right w:w="108" w:type="dxa"/>
          </w:tblCellMar>
        </w:tblPrEx>
        <w:trPr>
          <w:trHeight w:val="2109" w:hRule="exact"/>
          <w:jc w:val="center"/>
        </w:trPr>
        <w:tc>
          <w:tcPr>
            <w:tcW w:w="516" w:type="dxa"/>
            <w:vMerge w:val="continue"/>
            <w:tcBorders>
              <w:left w:val="single" w:color="auto" w:sz="4" w:space="0"/>
              <w:right w:val="single" w:color="auto" w:sz="4" w:space="0"/>
            </w:tcBorders>
            <w:noWrap w:val="0"/>
            <w:vAlign w:val="center"/>
          </w:tcPr>
          <w:p>
            <w:pPr>
              <w:pStyle w:val="839"/>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highlight w:val="none"/>
              </w:rPr>
            </w:pPr>
            <w:r>
              <w:rPr>
                <w:rFonts w:hint="eastAsia" w:ascii="宋体" w:hAnsi="宋体" w:cs="宋体"/>
                <w:bCs/>
                <w:kern w:val="0"/>
                <w:sz w:val="24"/>
                <w:highlight w:val="none"/>
                <w:lang w:bidi="ar"/>
              </w:rPr>
              <w:t>能力或业绩要求</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highlight w:val="none"/>
              </w:rPr>
            </w:pPr>
            <w:r>
              <w:rPr>
                <w:rFonts w:hint="eastAsia" w:ascii="宋体" w:hAnsi="宋体" w:eastAsia="宋体" w:cs="宋体"/>
                <w:b w:val="0"/>
                <w:bCs/>
                <w:snapToGrid/>
                <w:color w:val="auto"/>
                <w:kern w:val="0"/>
                <w:sz w:val="24"/>
                <w:szCs w:val="24"/>
                <w:highlight w:val="none"/>
                <w:lang w:val="en-US" w:eastAsia="zh-CN" w:bidi="ar"/>
              </w:rPr>
              <w:t>近三年（自投标截止日起往前追溯3年，以合同签订时间</w:t>
            </w:r>
            <w:r>
              <w:rPr>
                <w:rFonts w:hint="eastAsia" w:ascii="宋体" w:hAnsi="宋体" w:cs="宋体"/>
                <w:kern w:val="0"/>
                <w:sz w:val="24"/>
                <w:highlight w:val="none"/>
              </w:rPr>
              <w:t>或中标通知书发出之日为准</w:t>
            </w:r>
            <w:r>
              <w:rPr>
                <w:rFonts w:hint="eastAsia" w:ascii="宋体" w:hAnsi="宋体" w:eastAsia="宋体" w:cs="宋体"/>
                <w:b w:val="0"/>
                <w:bCs/>
                <w:snapToGrid/>
                <w:color w:val="auto"/>
                <w:kern w:val="0"/>
                <w:sz w:val="24"/>
                <w:szCs w:val="24"/>
                <w:highlight w:val="none"/>
                <w:lang w:val="en-US" w:eastAsia="zh-CN" w:bidi="ar"/>
              </w:rPr>
              <w:t>为准）以来</w:t>
            </w:r>
            <w:r>
              <w:rPr>
                <w:rFonts w:hint="eastAsia" w:ascii="宋体" w:hAnsi="宋体" w:cs="宋体"/>
                <w:kern w:val="0"/>
                <w:sz w:val="24"/>
                <w:highlight w:val="none"/>
              </w:rPr>
              <w:t>投标人本次所投车辆品牌同类产品业绩由评委进行打分，每提供一个同类项目业绩得</w:t>
            </w:r>
            <w:r>
              <w:rPr>
                <w:rFonts w:hint="eastAsia" w:ascii="宋体" w:hAnsi="宋体" w:cs="宋体"/>
                <w:kern w:val="0"/>
                <w:sz w:val="24"/>
                <w:highlight w:val="none"/>
                <w:lang w:val="en-US" w:eastAsia="zh-CN"/>
              </w:rPr>
              <w:t>1</w:t>
            </w:r>
            <w:r>
              <w:rPr>
                <w:rFonts w:hint="eastAsia" w:ascii="宋体" w:hAnsi="宋体" w:cs="宋体"/>
                <w:kern w:val="0"/>
                <w:sz w:val="24"/>
                <w:highlight w:val="none"/>
              </w:rPr>
              <w:t>分，最高得</w:t>
            </w:r>
            <w:r>
              <w:rPr>
                <w:rFonts w:hint="eastAsia" w:ascii="宋体" w:hAnsi="宋体" w:cs="宋体"/>
                <w:kern w:val="0"/>
                <w:sz w:val="24"/>
                <w:highlight w:val="none"/>
                <w:lang w:val="en-US" w:eastAsia="zh-CN"/>
              </w:rPr>
              <w:t>3</w:t>
            </w:r>
            <w:r>
              <w:rPr>
                <w:rFonts w:hint="eastAsia" w:ascii="宋体" w:hAnsi="宋体" w:cs="宋体"/>
                <w:kern w:val="0"/>
                <w:sz w:val="24"/>
                <w:highlight w:val="none"/>
              </w:rPr>
              <w:t>分。</w:t>
            </w:r>
            <w:r>
              <w:rPr>
                <w:rFonts w:hint="eastAsia" w:ascii="宋体" w:hAnsi="宋体" w:cs="宋体"/>
                <w:kern w:val="0"/>
                <w:sz w:val="24"/>
                <w:highlight w:val="none"/>
                <w:lang w:eastAsia="zh-CN"/>
              </w:rPr>
              <w:t>（</w:t>
            </w:r>
            <w:r>
              <w:rPr>
                <w:rFonts w:hint="eastAsia" w:ascii="宋体" w:hAnsi="宋体" w:cs="宋体"/>
                <w:kern w:val="0"/>
                <w:sz w:val="24"/>
                <w:highlight w:val="none"/>
              </w:rPr>
              <w:t>需提供中标通知书、合同及项目验收报告扫描件并CA签章</w:t>
            </w:r>
            <w:r>
              <w:rPr>
                <w:rFonts w:hint="eastAsia" w:ascii="宋体" w:hAnsi="宋体" w:cs="宋体"/>
                <w:kern w:val="0"/>
                <w:sz w:val="24"/>
                <w:highlight w:val="none"/>
                <w:lang w:eastAsia="zh-CN"/>
              </w:rPr>
              <w:t>，</w:t>
            </w:r>
            <w:r>
              <w:rPr>
                <w:rFonts w:hint="eastAsia" w:ascii="宋体" w:hAnsi="宋体" w:cs="宋体"/>
                <w:kern w:val="0"/>
                <w:sz w:val="24"/>
                <w:highlight w:val="none"/>
              </w:rPr>
              <w:t>三者缺一不可</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否则不得分）</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Cs w:val="21"/>
                <w:highlight w:val="none"/>
              </w:rPr>
            </w:pPr>
            <w:r>
              <w:rPr>
                <w:rFonts w:hint="eastAsia" w:ascii="宋体" w:hAnsi="宋体" w:cs="宋体"/>
                <w:bCs/>
                <w:color w:val="auto"/>
                <w:kern w:val="0"/>
                <w:sz w:val="24"/>
                <w:highlight w:val="none"/>
                <w:lang w:val="en-US" w:eastAsia="zh-CN" w:bidi="ar"/>
              </w:rPr>
              <w:t>3</w:t>
            </w:r>
            <w:r>
              <w:rPr>
                <w:rFonts w:hint="eastAsia" w:ascii="宋体" w:hAnsi="宋体" w:cs="宋体"/>
                <w:bCs/>
                <w:color w:val="auto"/>
                <w:kern w:val="0"/>
                <w:sz w:val="24"/>
                <w:highlight w:val="none"/>
                <w:lang w:bidi="ar"/>
              </w:rPr>
              <w:t>分</w:t>
            </w:r>
          </w:p>
        </w:tc>
      </w:tr>
      <w:tr>
        <w:tblPrEx>
          <w:tblCellMar>
            <w:top w:w="0" w:type="dxa"/>
            <w:left w:w="108" w:type="dxa"/>
            <w:bottom w:w="0" w:type="dxa"/>
            <w:right w:w="108" w:type="dxa"/>
          </w:tblCellMar>
        </w:tblPrEx>
        <w:trPr>
          <w:trHeight w:val="3222" w:hRule="exact"/>
          <w:jc w:val="center"/>
        </w:trPr>
        <w:tc>
          <w:tcPr>
            <w:tcW w:w="516" w:type="dxa"/>
            <w:vMerge w:val="continue"/>
            <w:tcBorders>
              <w:left w:val="single" w:color="auto" w:sz="4" w:space="0"/>
              <w:bottom w:val="single" w:color="auto" w:sz="4" w:space="0"/>
              <w:right w:val="single" w:color="auto" w:sz="4" w:space="0"/>
            </w:tcBorders>
            <w:noWrap w:val="0"/>
            <w:vAlign w:val="center"/>
          </w:tcPr>
          <w:p>
            <w:pPr>
              <w:pStyle w:val="839"/>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Cs/>
                <w:kern w:val="0"/>
                <w:sz w:val="24"/>
                <w:highlight w:val="none"/>
                <w:lang w:val="en-US" w:eastAsia="zh-CN" w:bidi="ar"/>
              </w:rPr>
            </w:pPr>
            <w:r>
              <w:rPr>
                <w:rFonts w:hint="default" w:ascii="宋体" w:hAnsi="宋体" w:eastAsia="宋体" w:cs="宋体"/>
                <w:bCs/>
                <w:kern w:val="0"/>
                <w:sz w:val="24"/>
                <w:highlight w:val="none"/>
                <w:lang w:val="en-US" w:eastAsia="zh-CN" w:bidi="ar"/>
              </w:rPr>
              <w:t>环境标志产品、节能产品</w:t>
            </w:r>
          </w:p>
        </w:tc>
        <w:tc>
          <w:tcPr>
            <w:tcW w:w="606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4"/>
                <w:highlight w:val="none"/>
              </w:rPr>
            </w:pPr>
            <w:r>
              <w:rPr>
                <w:rFonts w:hint="eastAsia" w:ascii="宋体" w:hAnsi="宋体"/>
                <w:sz w:val="24"/>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ascii="宋体" w:hAnsi="宋体"/>
                <w:sz w:val="24"/>
                <w:highlight w:val="none"/>
                <w:lang w:val="en-US" w:eastAsia="zh-CN"/>
              </w:rPr>
              <w:t>0.5</w:t>
            </w:r>
            <w:r>
              <w:rPr>
                <w:rFonts w:hint="eastAsia" w:ascii="宋体" w:hAnsi="宋体"/>
                <w:sz w:val="24"/>
                <w:highlight w:val="none"/>
              </w:rPr>
              <w:t>分。</w:t>
            </w:r>
          </w:p>
          <w:p>
            <w:pPr>
              <w:jc w:val="left"/>
              <w:rPr>
                <w:rFonts w:hint="eastAsia" w:ascii="宋体" w:hAnsi="宋体" w:eastAsia="宋体" w:cs="宋体"/>
                <w:b w:val="0"/>
                <w:bCs/>
                <w:snapToGrid/>
                <w:color w:val="auto"/>
                <w:kern w:val="0"/>
                <w:sz w:val="24"/>
                <w:szCs w:val="24"/>
                <w:highlight w:val="none"/>
                <w:lang w:val="en-US" w:eastAsia="zh-CN" w:bidi="ar"/>
              </w:rPr>
            </w:pPr>
            <w:r>
              <w:rPr>
                <w:rFonts w:hint="eastAsia" w:ascii="宋体" w:hAnsi="宋体"/>
                <w:sz w:val="24"/>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sz w:val="24"/>
                <w:highlight w:val="none"/>
                <w:lang w:val="en-US" w:eastAsia="zh-CN"/>
              </w:rPr>
              <w:t>0.5</w:t>
            </w:r>
            <w:r>
              <w:rPr>
                <w:rFonts w:hint="eastAsia" w:ascii="宋体" w:hAnsi="宋体"/>
                <w:sz w:val="24"/>
                <w:highlight w:val="none"/>
              </w:rPr>
              <w:t>分</w:t>
            </w:r>
            <w:r>
              <w:rPr>
                <w:rFonts w:hint="eastAsia" w:ascii="宋体" w:hAnsi="宋体"/>
                <w:sz w:val="24"/>
                <w:highlight w:val="none"/>
                <w:lang w:eastAsia="zh-CN"/>
              </w:rPr>
              <w:t>。</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bCs/>
                <w:color w:val="auto"/>
                <w:kern w:val="0"/>
                <w:sz w:val="24"/>
                <w:highlight w:val="none"/>
                <w:lang w:val="en-US" w:eastAsia="zh-CN" w:bidi="ar"/>
              </w:rPr>
            </w:pPr>
            <w:r>
              <w:rPr>
                <w:rFonts w:hint="eastAsia" w:ascii="宋体" w:hAnsi="宋体" w:cs="宋体"/>
                <w:bCs/>
                <w:color w:val="auto"/>
                <w:kern w:val="0"/>
                <w:sz w:val="24"/>
                <w:highlight w:val="none"/>
                <w:lang w:val="en-US" w:eastAsia="zh-CN" w:bidi="ar"/>
              </w:rPr>
              <w:t>1分</w:t>
            </w:r>
          </w:p>
        </w:tc>
      </w:tr>
    </w:tbl>
    <w:p>
      <w:pPr>
        <w:snapToGrid w:val="0"/>
        <w:spacing w:before="72" w:beforeLines="30" w:line="400" w:lineRule="exact"/>
        <w:jc w:val="left"/>
        <w:outlineLvl w:val="1"/>
        <w:rPr>
          <w:rFonts w:ascii="宋体" w:hAnsi="宋体"/>
          <w:b/>
          <w:sz w:val="24"/>
          <w:highlight w:val="none"/>
        </w:rPr>
      </w:pPr>
    </w:p>
    <w:p>
      <w:pPr>
        <w:snapToGrid w:val="0"/>
        <w:spacing w:before="72" w:beforeLines="30" w:line="400" w:lineRule="exact"/>
        <w:jc w:val="left"/>
        <w:outlineLvl w:val="1"/>
        <w:rPr>
          <w:rFonts w:ascii="宋体" w:hAnsi="宋体" w:cs="宋体"/>
          <w:b/>
          <w:sz w:val="24"/>
          <w:highlight w:val="none"/>
        </w:rPr>
      </w:pPr>
      <w:r>
        <w:rPr>
          <w:rFonts w:hint="eastAsia" w:ascii="宋体" w:hAnsi="宋体"/>
          <w:b/>
          <w:sz w:val="24"/>
          <w:highlight w:val="none"/>
        </w:rPr>
        <w:t>（</w:t>
      </w:r>
      <w:r>
        <w:rPr>
          <w:rFonts w:ascii="宋体" w:hAnsi="宋体"/>
          <w:b/>
          <w:sz w:val="24"/>
          <w:highlight w:val="none"/>
        </w:rPr>
        <w:t>三</w:t>
      </w:r>
      <w:r>
        <w:rPr>
          <w:rFonts w:hint="eastAsia" w:ascii="宋体" w:hAnsi="宋体"/>
          <w:b/>
          <w:sz w:val="24"/>
          <w:highlight w:val="none"/>
        </w:rPr>
        <w:t>）技术分</w:t>
      </w:r>
      <w:r>
        <w:rPr>
          <w:rFonts w:hint="eastAsia" w:ascii="宋体" w:hAnsi="宋体" w:cs="宋体"/>
          <w:b/>
          <w:sz w:val="24"/>
          <w:highlight w:val="none"/>
        </w:rPr>
        <w:t>（</w:t>
      </w:r>
      <w:r>
        <w:rPr>
          <w:rFonts w:hint="eastAsia" w:ascii="宋体" w:hAnsi="宋体" w:cs="宋体"/>
          <w:b/>
          <w:sz w:val="24"/>
          <w:highlight w:val="none"/>
          <w:lang w:val="en-US" w:eastAsia="zh-CN"/>
        </w:rPr>
        <w:t>63</w:t>
      </w:r>
      <w:r>
        <w:rPr>
          <w:rFonts w:hint="eastAsia" w:ascii="宋体" w:hAnsi="宋体" w:cs="宋体"/>
          <w:b/>
          <w:sz w:val="24"/>
          <w:highlight w:val="none"/>
        </w:rPr>
        <w:t>分）</w:t>
      </w:r>
    </w:p>
    <w:tbl>
      <w:tblPr>
        <w:tblStyle w:val="6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75"/>
        <w:gridCol w:w="607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17" w:type="dxa"/>
            <w:vMerge w:val="restart"/>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r>
              <w:rPr>
                <w:rFonts w:hint="eastAsia" w:ascii="宋体" w:hAnsi="宋体"/>
                <w:b w:val="0"/>
                <w:bCs/>
                <w:sz w:val="24"/>
                <w:highlight w:val="none"/>
              </w:rPr>
              <w:t>技</w:t>
            </w:r>
            <w:r>
              <w:rPr>
                <w:rFonts w:hint="eastAsia" w:ascii="宋体" w:hAnsi="宋体"/>
                <w:b w:val="0"/>
                <w:bCs/>
                <w:sz w:val="24"/>
                <w:highlight w:val="none"/>
                <w:lang w:val="en-US" w:eastAsia="zh-CN"/>
              </w:rPr>
              <w:t>技</w:t>
            </w:r>
            <w:r>
              <w:rPr>
                <w:rFonts w:hint="eastAsia" w:ascii="宋体" w:hAnsi="宋体"/>
                <w:b w:val="0"/>
                <w:bCs/>
                <w:sz w:val="24"/>
                <w:highlight w:val="none"/>
              </w:rPr>
              <w:t>术分</w:t>
            </w:r>
            <w:r>
              <w:rPr>
                <w:rFonts w:hint="eastAsia" w:ascii="宋体" w:hAnsi="宋体" w:cs="宋体"/>
                <w:b w:val="0"/>
                <w:bCs/>
                <w:sz w:val="24"/>
                <w:highlight w:val="none"/>
                <w:lang w:val="en-US" w:eastAsia="zh-CN"/>
              </w:rPr>
              <w:t>63</w:t>
            </w:r>
            <w:r>
              <w:rPr>
                <w:rFonts w:hint="eastAsia" w:ascii="宋体" w:hAnsi="宋体" w:cs="宋体"/>
                <w:b w:val="0"/>
                <w:bCs/>
                <w:sz w:val="24"/>
                <w:highlight w:val="none"/>
              </w:rPr>
              <w:t>分</w:t>
            </w:r>
          </w:p>
        </w:tc>
        <w:tc>
          <w:tcPr>
            <w:tcW w:w="975" w:type="dxa"/>
            <w:tcBorders>
              <w:tl2br w:val="nil"/>
              <w:tr2bl w:val="nil"/>
            </w:tcBorders>
            <w:noWrap w:val="0"/>
            <w:vAlign w:val="center"/>
          </w:tcPr>
          <w:p>
            <w:pPr>
              <w:adjustRightInd w:val="0"/>
              <w:spacing w:line="280" w:lineRule="exact"/>
              <w:jc w:val="center"/>
              <w:rPr>
                <w:rFonts w:hint="eastAsia" w:ascii="宋体" w:hAnsi="宋体" w:cs="宋体"/>
                <w:kern w:val="0"/>
                <w:sz w:val="24"/>
                <w:highlight w:val="none"/>
              </w:rPr>
            </w:pPr>
            <w:r>
              <w:rPr>
                <w:rFonts w:hint="eastAsia" w:ascii="宋体" w:hAnsi="宋体" w:cs="宋体"/>
                <w:kern w:val="0"/>
                <w:sz w:val="24"/>
                <w:highlight w:val="none"/>
              </w:rPr>
              <w:t>技术规格偏离情况</w:t>
            </w:r>
          </w:p>
        </w:tc>
        <w:tc>
          <w:tcPr>
            <w:tcW w:w="6075" w:type="dxa"/>
            <w:tcBorders>
              <w:tl2br w:val="nil"/>
              <w:tr2bl w:val="nil"/>
            </w:tcBorders>
            <w:noWrap w:val="0"/>
            <w:vAlign w:val="center"/>
          </w:tcPr>
          <w:p>
            <w:pPr>
              <w:adjustRightInd w:val="0"/>
              <w:spacing w:line="280" w:lineRule="exact"/>
              <w:rPr>
                <w:rFonts w:hint="eastAsia" w:ascii="宋体" w:hAnsi="宋体" w:eastAsia="宋体" w:cs="宋体"/>
                <w:kern w:val="0"/>
                <w:sz w:val="24"/>
                <w:highlight w:val="none"/>
                <w:lang w:val="en-US" w:eastAsia="zh-CN"/>
              </w:rPr>
            </w:pPr>
            <w:r>
              <w:rPr>
                <w:rFonts w:hint="eastAsia" w:ascii="宋体" w:hAnsi="宋体" w:cs="宋体"/>
                <w:kern w:val="0"/>
                <w:sz w:val="24"/>
                <w:highlight w:val="none"/>
              </w:rPr>
              <w:t>对应于采购文件第二章“</w:t>
            </w:r>
            <w:r>
              <w:rPr>
                <w:rFonts w:hint="eastAsia" w:ascii="宋体" w:hAnsi="宋体" w:cs="宋体"/>
                <w:kern w:val="0"/>
                <w:sz w:val="24"/>
                <w:highlight w:val="none"/>
                <w:lang w:val="en-US" w:eastAsia="zh-CN"/>
              </w:rPr>
              <w:t>招标需求</w:t>
            </w:r>
            <w:r>
              <w:rPr>
                <w:rFonts w:hint="eastAsia" w:ascii="宋体" w:hAnsi="宋体" w:cs="宋体"/>
                <w:kern w:val="0"/>
                <w:sz w:val="24"/>
                <w:highlight w:val="none"/>
              </w:rPr>
              <w:t>”中“技术与规格要求”符合度，完全满足得</w:t>
            </w:r>
            <w:r>
              <w:rPr>
                <w:rFonts w:hint="eastAsia" w:ascii="宋体" w:hAnsi="宋体" w:cs="宋体"/>
                <w:kern w:val="0"/>
                <w:sz w:val="24"/>
                <w:highlight w:val="yellow"/>
                <w:lang w:val="en-US" w:eastAsia="zh-CN"/>
              </w:rPr>
              <w:t>43</w:t>
            </w:r>
            <w:r>
              <w:rPr>
                <w:rFonts w:hint="eastAsia" w:ascii="宋体" w:hAnsi="宋体" w:cs="宋体"/>
                <w:kern w:val="0"/>
                <w:sz w:val="24"/>
                <w:highlight w:val="yellow"/>
              </w:rPr>
              <w:t>分</w:t>
            </w:r>
            <w:r>
              <w:rPr>
                <w:rFonts w:hint="eastAsia" w:ascii="宋体" w:hAnsi="宋体" w:cs="宋体"/>
                <w:kern w:val="0"/>
                <w:sz w:val="24"/>
                <w:highlight w:val="none"/>
                <w:lang w:val="en-US" w:eastAsia="zh-CN"/>
              </w:rPr>
              <w:t>,</w:t>
            </w:r>
            <w:r>
              <w:rPr>
                <w:rFonts w:hint="eastAsia" w:ascii="宋体" w:hAnsi="宋体" w:cs="宋体"/>
                <w:kern w:val="0"/>
                <w:sz w:val="24"/>
                <w:highlight w:val="none"/>
              </w:rPr>
              <w:t>每一条非“▲”标记的技术指标不满足</w:t>
            </w:r>
            <w:r>
              <w:rPr>
                <w:rFonts w:hint="eastAsia" w:ascii="宋体" w:hAnsi="宋体" w:cs="宋体"/>
                <w:kern w:val="0"/>
                <w:sz w:val="24"/>
                <w:highlight w:val="none"/>
                <w:lang w:val="en-US" w:eastAsia="zh-CN"/>
              </w:rPr>
              <w:t>采购</w:t>
            </w:r>
            <w:r>
              <w:rPr>
                <w:rFonts w:hint="eastAsia" w:ascii="宋体" w:hAnsi="宋体" w:cs="宋体"/>
                <w:kern w:val="0"/>
                <w:sz w:val="24"/>
                <w:highlight w:val="none"/>
              </w:rPr>
              <w:t>文件要求的（负偏离）或相关的证明材料未提供的，每项扣</w:t>
            </w:r>
            <w:r>
              <w:rPr>
                <w:rFonts w:hint="eastAsia" w:ascii="宋体" w:hAnsi="宋体" w:cs="宋体"/>
                <w:kern w:val="0"/>
                <w:sz w:val="24"/>
                <w:highlight w:val="none"/>
                <w:lang w:val="en-US" w:eastAsia="zh-CN"/>
              </w:rPr>
              <w:t>0.5</w:t>
            </w:r>
            <w:r>
              <w:rPr>
                <w:rFonts w:hint="eastAsia" w:ascii="宋体" w:hAnsi="宋体" w:cs="宋体"/>
                <w:kern w:val="0"/>
                <w:sz w:val="24"/>
                <w:highlight w:val="none"/>
              </w:rPr>
              <w:t>分，扣完为止</w:t>
            </w:r>
            <w:r>
              <w:rPr>
                <w:rFonts w:hint="eastAsia" w:ascii="宋体" w:hAnsi="宋体" w:cs="宋体"/>
                <w:kern w:val="0"/>
                <w:sz w:val="24"/>
                <w:highlight w:val="none"/>
                <w:lang w:eastAsia="zh-CN"/>
              </w:rPr>
              <w:t>。</w:t>
            </w:r>
          </w:p>
        </w:tc>
        <w:tc>
          <w:tcPr>
            <w:tcW w:w="937" w:type="dxa"/>
            <w:tcBorders>
              <w:tl2br w:val="nil"/>
              <w:tr2bl w:val="nil"/>
            </w:tcBorders>
            <w:noWrap w:val="0"/>
            <w:vAlign w:val="center"/>
          </w:tcPr>
          <w:p>
            <w:pPr>
              <w:adjustRightInd w:val="0"/>
              <w:spacing w:line="360" w:lineRule="exact"/>
              <w:jc w:val="center"/>
              <w:rPr>
                <w:rFonts w:hint="default" w:ascii="宋体" w:hAnsi="宋体" w:cs="宋体"/>
                <w:kern w:val="0"/>
                <w:sz w:val="24"/>
                <w:highlight w:val="none"/>
                <w:lang w:val="en-US" w:eastAsia="zh-CN"/>
              </w:rPr>
            </w:pPr>
            <w:r>
              <w:rPr>
                <w:rFonts w:hint="eastAsia" w:ascii="宋体" w:hAnsi="宋体" w:cs="宋体"/>
                <w:kern w:val="0"/>
                <w:sz w:val="24"/>
                <w:highlight w:val="yellow"/>
                <w:lang w:val="en-US" w:eastAsia="zh-CN"/>
              </w:rPr>
              <w:t>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tcBorders>
              <w:tl2br w:val="nil"/>
              <w:tr2bl w:val="nil"/>
            </w:tcBorders>
            <w:noWrap w:val="0"/>
            <w:vAlign w:val="center"/>
          </w:tcPr>
          <w:p>
            <w:pPr>
              <w:adjustRightInd w:val="0"/>
              <w:spacing w:line="28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交货期</w:t>
            </w:r>
          </w:p>
        </w:tc>
        <w:tc>
          <w:tcPr>
            <w:tcW w:w="6075" w:type="dxa"/>
            <w:tcBorders>
              <w:tl2br w:val="nil"/>
              <w:tr2bl w:val="nil"/>
            </w:tcBorders>
            <w:noWrap w:val="0"/>
            <w:vAlign w:val="center"/>
          </w:tcPr>
          <w:p>
            <w:pPr>
              <w:adjustRightInd w:val="0"/>
              <w:spacing w:line="280" w:lineRule="exact"/>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投标人承诺交货期为自合同签订之日起9日内的得1分；承诺交货期为自合同签订之日起</w:t>
            </w:r>
            <w:r>
              <w:rPr>
                <w:rFonts w:hint="eastAsia" w:ascii="宋体" w:hAnsi="宋体" w:cs="宋体"/>
                <w:kern w:val="0"/>
                <w:sz w:val="24"/>
                <w:highlight w:val="yellow"/>
                <w:lang w:val="en-US" w:eastAsia="zh-CN"/>
              </w:rPr>
              <w:t>7日</w:t>
            </w:r>
            <w:r>
              <w:rPr>
                <w:rFonts w:hint="eastAsia" w:ascii="宋体" w:hAnsi="宋体" w:cs="宋体"/>
                <w:kern w:val="0"/>
                <w:sz w:val="24"/>
                <w:highlight w:val="none"/>
                <w:lang w:val="en-US" w:eastAsia="zh-CN"/>
              </w:rPr>
              <w:t>内的得2分；</w:t>
            </w:r>
          </w:p>
        </w:tc>
        <w:tc>
          <w:tcPr>
            <w:tcW w:w="937" w:type="dxa"/>
            <w:tcBorders>
              <w:tl2br w:val="nil"/>
              <w:tr2bl w:val="nil"/>
            </w:tcBorders>
            <w:noWrap w:val="0"/>
            <w:vAlign w:val="center"/>
          </w:tcPr>
          <w:p>
            <w:pPr>
              <w:adjustRightInd w:val="0"/>
              <w:spacing w:line="360" w:lineRule="exact"/>
              <w:jc w:val="center"/>
              <w:rPr>
                <w:rFonts w:hint="default" w:ascii="宋体" w:hAnsi="宋体" w:cs="宋体"/>
                <w:kern w:val="0"/>
                <w:sz w:val="24"/>
                <w:highlight w:val="none"/>
                <w:lang w:val="en-US" w:eastAsia="zh-CN"/>
              </w:rPr>
            </w:pPr>
            <w:r>
              <w:rPr>
                <w:rFonts w:hint="eastAsia" w:ascii="宋体" w:hAnsi="宋体" w:cs="宋体"/>
                <w:kern w:val="0"/>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tcBorders>
              <w:tl2br w:val="nil"/>
              <w:tr2bl w:val="nil"/>
            </w:tcBorders>
            <w:noWrap w:val="0"/>
            <w:vAlign w:val="center"/>
          </w:tcPr>
          <w:p>
            <w:pPr>
              <w:widowControl/>
              <w:spacing w:line="280" w:lineRule="exact"/>
              <w:jc w:val="center"/>
              <w:rPr>
                <w:rFonts w:hint="eastAsia" w:ascii="宋体" w:hAnsi="宋体"/>
                <w:sz w:val="24"/>
                <w:highlight w:val="none"/>
                <w:lang w:val="en-US" w:eastAsia="zh-CN"/>
              </w:rPr>
            </w:pPr>
            <w:r>
              <w:rPr>
                <w:rFonts w:hint="eastAsia" w:ascii="宋体" w:hAnsi="宋体"/>
                <w:sz w:val="24"/>
                <w:highlight w:val="none"/>
                <w:lang w:val="en-US" w:eastAsia="zh-CN"/>
              </w:rPr>
              <w:t>实施方案</w:t>
            </w:r>
          </w:p>
        </w:tc>
        <w:tc>
          <w:tcPr>
            <w:tcW w:w="6075" w:type="dxa"/>
            <w:tcBorders>
              <w:tl2br w:val="nil"/>
              <w:tr2bl w:val="nil"/>
            </w:tcBorders>
            <w:noWrap w:val="0"/>
            <w:vAlign w:val="center"/>
          </w:tcPr>
          <w:p>
            <w:pPr>
              <w:widowControl/>
              <w:spacing w:line="280" w:lineRule="exact"/>
              <w:rPr>
                <w:rFonts w:hint="eastAsia" w:ascii="仿宋" w:hAnsi="仿宋" w:cs="仿宋"/>
                <w:sz w:val="24"/>
                <w:highlight w:val="none"/>
                <w:lang w:val="en-US" w:eastAsia="zh-CN"/>
              </w:rPr>
            </w:pPr>
            <w:r>
              <w:rPr>
                <w:rFonts w:hint="eastAsia" w:ascii="仿宋" w:hAnsi="仿宋" w:cs="仿宋"/>
                <w:sz w:val="24"/>
                <w:highlight w:val="none"/>
                <w:lang w:val="en-US" w:eastAsia="zh-CN"/>
              </w:rPr>
              <w:t>投标人提供的本项目</w:t>
            </w:r>
            <w:r>
              <w:rPr>
                <w:rFonts w:hint="eastAsia" w:ascii="宋体" w:hAnsi="宋体" w:cs="宋体"/>
                <w:kern w:val="0"/>
                <w:sz w:val="24"/>
                <w:highlight w:val="none"/>
              </w:rPr>
              <w:t>实施方案</w:t>
            </w:r>
            <w:r>
              <w:rPr>
                <w:rFonts w:hint="eastAsia" w:ascii="仿宋" w:hAnsi="仿宋" w:cs="仿宋"/>
                <w:sz w:val="24"/>
                <w:highlight w:val="none"/>
                <w:lang w:val="en-US" w:eastAsia="zh-CN"/>
              </w:rPr>
              <w:t>包含了设备的</w:t>
            </w:r>
            <w:r>
              <w:rPr>
                <w:rFonts w:hint="eastAsia" w:ascii="宋体" w:hAnsi="宋体" w:cs="宋体"/>
                <w:sz w:val="24"/>
                <w:highlight w:val="none"/>
              </w:rPr>
              <w:t>运输</w:t>
            </w:r>
            <w:r>
              <w:rPr>
                <w:rFonts w:hint="eastAsia" w:ascii="仿宋" w:hAnsi="仿宋" w:cs="仿宋"/>
                <w:sz w:val="24"/>
                <w:highlight w:val="none"/>
                <w:lang w:val="en-US" w:eastAsia="zh-CN"/>
              </w:rPr>
              <w:t>、安装调试、试运行、验收方案的每个子项的0.5分，最多得2分</w:t>
            </w:r>
          </w:p>
        </w:tc>
        <w:tc>
          <w:tcPr>
            <w:tcW w:w="937" w:type="dxa"/>
            <w:tcBorders>
              <w:tl2br w:val="nil"/>
              <w:tr2bl w:val="nil"/>
            </w:tcBorders>
            <w:noWrap w:val="0"/>
            <w:vAlign w:val="center"/>
          </w:tcPr>
          <w:p>
            <w:pPr>
              <w:widowControl/>
              <w:spacing w:line="280" w:lineRule="exact"/>
              <w:jc w:val="center"/>
              <w:rPr>
                <w:rFonts w:hint="default" w:ascii="宋体" w:hAnsi="宋体" w:eastAsia="宋体"/>
                <w:sz w:val="24"/>
                <w:highlight w:val="none"/>
                <w:lang w:val="en-US" w:eastAsia="zh-CN"/>
              </w:rPr>
            </w:pPr>
            <w:r>
              <w:rPr>
                <w:rFonts w:hint="eastAsia" w:ascii="宋体" w:hAnsi="宋体"/>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sz w:val="24"/>
                <w:highlight w:val="none"/>
                <w:lang w:val="en-US" w:eastAsia="zh-CN"/>
              </w:rPr>
            </w:pPr>
            <w:r>
              <w:rPr>
                <w:rFonts w:hint="eastAsia" w:ascii="宋体" w:hAnsi="宋体"/>
                <w:sz w:val="24"/>
                <w:highlight w:val="none"/>
                <w:lang w:val="en-US" w:eastAsia="zh-CN"/>
              </w:rPr>
              <w:t>应急情况</w:t>
            </w:r>
          </w:p>
        </w:tc>
        <w:tc>
          <w:tcPr>
            <w:tcW w:w="6075" w:type="dxa"/>
            <w:tcBorders>
              <w:tl2br w:val="nil"/>
              <w:tr2bl w:val="nil"/>
            </w:tcBorders>
            <w:noWrap w:val="0"/>
            <w:vAlign w:val="center"/>
          </w:tcPr>
          <w:p>
            <w:pPr>
              <w:snapToGrid w:val="0"/>
              <w:jc w:val="left"/>
              <w:rPr>
                <w:rFonts w:hint="eastAsia" w:ascii="仿宋" w:hAnsi="仿宋" w:cs="仿宋"/>
                <w:sz w:val="24"/>
                <w:highlight w:val="none"/>
                <w:lang w:val="en-US" w:eastAsia="zh-CN"/>
              </w:rPr>
            </w:pPr>
            <w:r>
              <w:rPr>
                <w:rFonts w:hint="eastAsia" w:ascii="宋体" w:hAnsi="宋体" w:cs="宋体"/>
                <w:kern w:val="0"/>
                <w:sz w:val="24"/>
                <w:highlight w:val="none"/>
              </w:rPr>
              <w:t>中标人承诺在与采购人签订合同达成合作后，质保期内，当采购人遇到强台风、暴雨袭击时，中标人应采购人邀请，可紧急派出电源排水车辆进行排水救援。</w:t>
            </w:r>
            <w:r>
              <w:rPr>
                <w:rFonts w:hint="eastAsia" w:ascii="宋体" w:hAnsi="宋体" w:cs="宋体"/>
                <w:kern w:val="0"/>
                <w:sz w:val="24"/>
                <w:highlight w:val="yellow"/>
              </w:rPr>
              <w:t>提供1台车辆得</w:t>
            </w:r>
            <w:r>
              <w:rPr>
                <w:rFonts w:hint="eastAsia" w:ascii="宋体" w:hAnsi="宋体" w:cs="宋体"/>
                <w:kern w:val="0"/>
                <w:sz w:val="24"/>
                <w:highlight w:val="yellow"/>
                <w:lang w:val="en-US" w:eastAsia="zh-CN"/>
              </w:rPr>
              <w:t>1</w:t>
            </w:r>
            <w:r>
              <w:rPr>
                <w:rFonts w:hint="eastAsia" w:ascii="宋体" w:hAnsi="宋体" w:cs="宋体"/>
                <w:kern w:val="0"/>
                <w:sz w:val="24"/>
                <w:highlight w:val="yellow"/>
              </w:rPr>
              <w:t>分，2台车辆得</w:t>
            </w:r>
            <w:r>
              <w:rPr>
                <w:rFonts w:hint="eastAsia" w:ascii="宋体" w:hAnsi="宋体" w:cs="宋体"/>
                <w:kern w:val="0"/>
                <w:sz w:val="24"/>
                <w:highlight w:val="yellow"/>
                <w:lang w:val="en-US" w:eastAsia="zh-CN"/>
              </w:rPr>
              <w:t>2</w:t>
            </w:r>
            <w:r>
              <w:rPr>
                <w:rFonts w:hint="eastAsia" w:ascii="宋体" w:hAnsi="宋体" w:cs="宋体"/>
                <w:kern w:val="0"/>
                <w:sz w:val="24"/>
                <w:highlight w:val="yellow"/>
              </w:rPr>
              <w:t>分，3台车辆得</w:t>
            </w:r>
            <w:r>
              <w:rPr>
                <w:rFonts w:hint="eastAsia" w:ascii="宋体" w:hAnsi="宋体" w:cs="宋体"/>
                <w:kern w:val="0"/>
                <w:sz w:val="24"/>
                <w:highlight w:val="yellow"/>
                <w:lang w:val="en-US" w:eastAsia="zh-CN"/>
              </w:rPr>
              <w:t>3</w:t>
            </w:r>
            <w:r>
              <w:rPr>
                <w:rFonts w:hint="eastAsia" w:ascii="宋体" w:hAnsi="宋体" w:cs="宋体"/>
                <w:kern w:val="0"/>
                <w:sz w:val="24"/>
                <w:highlight w:val="yellow"/>
              </w:rPr>
              <w:t>分，4台车辆得</w:t>
            </w:r>
            <w:r>
              <w:rPr>
                <w:rFonts w:hint="eastAsia" w:ascii="宋体" w:hAnsi="宋体" w:cs="宋体"/>
                <w:kern w:val="0"/>
                <w:sz w:val="24"/>
                <w:highlight w:val="yellow"/>
                <w:lang w:val="en-US" w:eastAsia="zh-CN"/>
              </w:rPr>
              <w:t>4</w:t>
            </w:r>
            <w:r>
              <w:rPr>
                <w:rFonts w:hint="eastAsia" w:ascii="宋体" w:hAnsi="宋体" w:cs="宋体"/>
                <w:kern w:val="0"/>
                <w:sz w:val="24"/>
                <w:highlight w:val="yellow"/>
              </w:rPr>
              <w:t>分。</w:t>
            </w:r>
            <w:r>
              <w:rPr>
                <w:rFonts w:hint="eastAsia" w:ascii="宋体" w:hAnsi="宋体" w:cs="宋体"/>
                <w:b/>
                <w:bCs/>
                <w:kern w:val="0"/>
                <w:sz w:val="24"/>
                <w:highlight w:val="none"/>
              </w:rPr>
              <w:t>（投标单位必须提供目前企业名下已有</w:t>
            </w:r>
            <w:r>
              <w:rPr>
                <w:rFonts w:hint="eastAsia" w:ascii="宋体" w:hAnsi="宋体" w:cs="宋体"/>
                <w:b/>
                <w:bCs/>
                <w:kern w:val="0"/>
                <w:sz w:val="24"/>
                <w:highlight w:val="yellow"/>
                <w:lang w:eastAsia="zh-CN"/>
              </w:rPr>
              <w:t>自</w:t>
            </w:r>
            <w:r>
              <w:rPr>
                <w:rFonts w:hint="eastAsia" w:ascii="宋体" w:hAnsi="宋体" w:cs="宋体"/>
                <w:b/>
                <w:bCs/>
                <w:kern w:val="0"/>
                <w:sz w:val="24"/>
                <w:highlight w:val="yellow"/>
              </w:rPr>
              <w:t>带</w:t>
            </w:r>
            <w:r>
              <w:rPr>
                <w:rFonts w:hint="eastAsia" w:ascii="宋体" w:hAnsi="宋体" w:cs="宋体"/>
                <w:b/>
                <w:bCs/>
                <w:kern w:val="0"/>
                <w:sz w:val="24"/>
                <w:highlight w:val="none"/>
              </w:rPr>
              <w:t>电源排水车行驶证扫描件及行驶证所对应的实车车牌及车身图片，以证明投标人名下确实有可随时调配</w:t>
            </w:r>
            <w:r>
              <w:rPr>
                <w:rFonts w:hint="eastAsia" w:ascii="宋体" w:hAnsi="宋体" w:cs="宋体"/>
                <w:b/>
                <w:bCs/>
                <w:kern w:val="0"/>
                <w:sz w:val="24"/>
                <w:highlight w:val="yellow"/>
                <w:lang w:eastAsia="zh-CN"/>
              </w:rPr>
              <w:t>自带</w:t>
            </w:r>
            <w:r>
              <w:rPr>
                <w:rFonts w:hint="eastAsia" w:ascii="宋体" w:hAnsi="宋体" w:cs="宋体"/>
                <w:b/>
                <w:bCs/>
                <w:kern w:val="0"/>
                <w:sz w:val="24"/>
                <w:highlight w:val="none"/>
              </w:rPr>
              <w:t>电源排水车辆，提供原件扫描件并加盖单位公章，否则不得分）</w:t>
            </w:r>
            <w:r>
              <w:rPr>
                <w:rFonts w:hint="eastAsia" w:hAnsi="宋体" w:cs="宋体"/>
                <w:snapToGrid/>
                <w:color w:val="000000"/>
                <w:kern w:val="2"/>
                <w:sz w:val="24"/>
                <w:szCs w:val="24"/>
                <w:highlight w:val="yellow"/>
                <w:lang w:val="en-US" w:eastAsia="zh-CN" w:bidi="ar-SA"/>
              </w:rPr>
              <w:t>如中标后不履约，每年度每次扣25000元/辆，依次类推。投标文件中须附承诺书对以上内容进行承诺（格式自拟），中标后合同中也须体现承诺，且甲方不提供另外费用。</w:t>
            </w:r>
          </w:p>
        </w:tc>
        <w:tc>
          <w:tcPr>
            <w:tcW w:w="937" w:type="dxa"/>
            <w:tcBorders>
              <w:tl2br w:val="nil"/>
              <w:tr2bl w:val="nil"/>
            </w:tcBorders>
            <w:noWrap w:val="0"/>
            <w:vAlign w:val="center"/>
          </w:tcPr>
          <w:p>
            <w:pPr>
              <w:widowControl/>
              <w:spacing w:line="280" w:lineRule="exact"/>
              <w:jc w:val="center"/>
              <w:rPr>
                <w:rFonts w:hint="default" w:ascii="宋体" w:hAnsi="宋体"/>
                <w:sz w:val="24"/>
                <w:highlight w:val="none"/>
                <w:lang w:val="en-US" w:eastAsia="zh-CN"/>
              </w:rPr>
            </w:pPr>
            <w:r>
              <w:rPr>
                <w:rFonts w:hint="eastAsia" w:ascii="宋体" w:hAnsi="宋体"/>
                <w:sz w:val="24"/>
                <w:highlight w:val="yellow"/>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tcBorders>
              <w:tl2br w:val="nil"/>
              <w:tr2bl w:val="nil"/>
            </w:tcBorders>
            <w:noWrap w:val="0"/>
            <w:vAlign w:val="center"/>
          </w:tcPr>
          <w:p>
            <w:pPr>
              <w:widowControl/>
              <w:spacing w:line="28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培训方案</w:t>
            </w:r>
          </w:p>
        </w:tc>
        <w:tc>
          <w:tcPr>
            <w:tcW w:w="6075" w:type="dxa"/>
            <w:tcBorders>
              <w:tl2br w:val="nil"/>
              <w:tr2bl w:val="nil"/>
            </w:tcBorders>
            <w:noWrap w:val="0"/>
            <w:vAlign w:val="center"/>
          </w:tcPr>
          <w:p>
            <w:pPr>
              <w:widowControl/>
              <w:spacing w:line="28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投标人提供的</w:t>
            </w:r>
            <w:r>
              <w:rPr>
                <w:rFonts w:hint="eastAsia" w:ascii="宋体" w:hAnsi="宋体" w:cs="宋体"/>
                <w:color w:val="auto"/>
                <w:sz w:val="24"/>
                <w:szCs w:val="24"/>
                <w:highlight w:val="none"/>
                <w:lang w:val="en-US" w:eastAsia="zh-CN"/>
              </w:rPr>
              <w:t>培训</w:t>
            </w:r>
            <w:r>
              <w:rPr>
                <w:rFonts w:hint="eastAsia" w:ascii="宋体" w:hAnsi="宋体" w:eastAsia="宋体" w:cs="宋体"/>
                <w:color w:val="auto"/>
                <w:sz w:val="24"/>
                <w:szCs w:val="24"/>
                <w:highlight w:val="none"/>
                <w:lang w:val="en-US" w:eastAsia="zh-CN"/>
              </w:rPr>
              <w:t>方案</w:t>
            </w:r>
            <w:r>
              <w:rPr>
                <w:rFonts w:hint="eastAsia" w:ascii="宋体" w:hAnsi="宋体" w:cs="宋体"/>
                <w:color w:val="auto"/>
                <w:sz w:val="24"/>
                <w:szCs w:val="24"/>
                <w:highlight w:val="none"/>
                <w:lang w:val="en-US" w:eastAsia="zh-CN"/>
              </w:rPr>
              <w:t>包含了</w:t>
            </w:r>
            <w:r>
              <w:rPr>
                <w:rFonts w:hint="eastAsia" w:ascii="宋体" w:hAnsi="宋体" w:eastAsia="宋体" w:cs="宋体"/>
                <w:color w:val="auto"/>
                <w:sz w:val="24"/>
                <w:szCs w:val="24"/>
                <w:highlight w:val="none"/>
                <w:lang w:val="en-US" w:eastAsia="zh-CN"/>
              </w:rPr>
              <w:t>针对采购人操作人员的使用及维护且培训次数不少于</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次且培训人员不少于</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人次的得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p>
          <w:p>
            <w:pPr>
              <w:widowControl/>
              <w:spacing w:line="28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包含了</w:t>
            </w:r>
            <w:r>
              <w:rPr>
                <w:rFonts w:hint="eastAsia" w:ascii="宋体" w:hAnsi="宋体" w:eastAsia="宋体" w:cs="宋体"/>
                <w:color w:val="auto"/>
                <w:sz w:val="24"/>
                <w:szCs w:val="24"/>
                <w:highlight w:val="none"/>
                <w:lang w:val="en-US" w:eastAsia="zh-CN"/>
              </w:rPr>
              <w:t>针对采购人操作人员的使用及维护培训计划，但培训次数和人数不能达到上述要求的得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p>
          <w:p>
            <w:pPr>
              <w:widowControl/>
              <w:spacing w:line="280" w:lineRule="exact"/>
              <w:rPr>
                <w:rFonts w:hint="default"/>
                <w:highlight w:val="none"/>
                <w:lang w:val="en-US" w:eastAsia="zh-CN"/>
              </w:rPr>
            </w:pPr>
            <w:r>
              <w:rPr>
                <w:rFonts w:hint="eastAsia" w:ascii="宋体" w:hAnsi="宋体" w:eastAsia="宋体" w:cs="宋体"/>
                <w:color w:val="auto"/>
                <w:sz w:val="24"/>
                <w:szCs w:val="24"/>
                <w:highlight w:val="none"/>
                <w:lang w:val="en-US" w:eastAsia="zh-CN"/>
              </w:rPr>
              <w:t>没有针对采购人操作人员的使用及维护培训计划的不得分。</w:t>
            </w:r>
          </w:p>
        </w:tc>
        <w:tc>
          <w:tcPr>
            <w:tcW w:w="937" w:type="dxa"/>
            <w:tcBorders>
              <w:tl2br w:val="nil"/>
              <w:tr2bl w:val="nil"/>
            </w:tcBorders>
            <w:noWrap w:val="0"/>
            <w:vAlign w:val="center"/>
          </w:tcPr>
          <w:p>
            <w:pPr>
              <w:widowControl/>
              <w:spacing w:line="280" w:lineRule="exact"/>
              <w:jc w:val="center"/>
              <w:rPr>
                <w:rFonts w:hint="default"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tcBorders>
              <w:tl2br w:val="nil"/>
              <w:tr2bl w:val="nil"/>
            </w:tcBorders>
            <w:noWrap w:val="0"/>
            <w:vAlign w:val="center"/>
          </w:tcPr>
          <w:p>
            <w:pPr>
              <w:snapToGrid w:val="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投标产品样品</w:t>
            </w:r>
          </w:p>
        </w:tc>
        <w:tc>
          <w:tcPr>
            <w:tcW w:w="6075" w:type="dxa"/>
            <w:tcBorders>
              <w:tl2br w:val="nil"/>
              <w:tr2bl w:val="nil"/>
            </w:tcBorders>
            <w:noWrap w:val="0"/>
            <w:vAlign w:val="center"/>
          </w:tcPr>
          <w:p>
            <w:pPr>
              <w:snapToGrid w:val="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eastAsia="zh-CN"/>
              </w:rPr>
              <w:t>根据样品的技术满足情况、质量、材质等总体情况进行打分。（</w:t>
            </w:r>
            <w:r>
              <w:rPr>
                <w:rFonts w:hint="eastAsia" w:ascii="宋体" w:hAnsi="宋体" w:eastAsia="宋体" w:cs="宋体"/>
                <w:b/>
                <w:bCs/>
                <w:kern w:val="0"/>
                <w:sz w:val="24"/>
                <w:szCs w:val="24"/>
                <w:highlight w:val="none"/>
                <w:lang w:eastAsia="zh-CN"/>
              </w:rPr>
              <w:t>注：样品上贴上标签注明样品名称和生产厂家。投标人不提供样品、样品提供不全、外观尺寸不符合招标文件要求的则样品分为0分</w:t>
            </w:r>
            <w:r>
              <w:rPr>
                <w:rFonts w:hint="eastAsia" w:ascii="宋体" w:hAnsi="宋体" w:eastAsia="宋体" w:cs="宋体"/>
                <w:kern w:val="0"/>
                <w:sz w:val="24"/>
                <w:szCs w:val="24"/>
                <w:highlight w:val="none"/>
                <w:lang w:eastAsia="zh-CN"/>
              </w:rPr>
              <w:t>）</w:t>
            </w:r>
          </w:p>
        </w:tc>
        <w:tc>
          <w:tcPr>
            <w:tcW w:w="937" w:type="dxa"/>
            <w:tcBorders>
              <w:tl2br w:val="nil"/>
              <w:tr2bl w:val="nil"/>
            </w:tcBorders>
            <w:noWrap w:val="0"/>
            <w:vAlign w:val="center"/>
          </w:tcPr>
          <w:p>
            <w:pPr>
              <w:snapToGrid w:val="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vMerge w:val="restart"/>
            <w:tcBorders>
              <w:tl2br w:val="nil"/>
              <w:tr2bl w:val="nil"/>
            </w:tcBorders>
            <w:noWrap w:val="0"/>
            <w:vAlign w:val="center"/>
          </w:tcPr>
          <w:p>
            <w:pPr>
              <w:widowControl/>
              <w:spacing w:line="280" w:lineRule="exact"/>
              <w:jc w:val="center"/>
              <w:rPr>
                <w:rFonts w:hint="eastAsia" w:ascii="宋体" w:hAnsi="宋体" w:cs="宋体"/>
                <w:sz w:val="24"/>
                <w:highlight w:val="none"/>
              </w:rPr>
            </w:pPr>
            <w:r>
              <w:rPr>
                <w:rFonts w:hint="eastAsia" w:ascii="宋体" w:hAnsi="宋体"/>
                <w:color w:val="auto"/>
                <w:sz w:val="24"/>
                <w:highlight w:val="none"/>
                <w:lang w:val="en-US" w:eastAsia="zh-CN"/>
              </w:rPr>
              <w:t>售后服务方案</w:t>
            </w:r>
          </w:p>
        </w:tc>
        <w:tc>
          <w:tcPr>
            <w:tcW w:w="6075" w:type="dxa"/>
            <w:tcBorders>
              <w:tl2br w:val="nil"/>
              <w:tr2bl w:val="nil"/>
            </w:tcBorders>
            <w:noWrap w:val="0"/>
            <w:vAlign w:val="center"/>
          </w:tcPr>
          <w:p>
            <w:pPr>
              <w:widowControl/>
              <w:spacing w:line="28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投标人承诺</w:t>
            </w:r>
            <w:r>
              <w:rPr>
                <w:rFonts w:hint="default" w:ascii="宋体" w:hAnsi="宋体" w:eastAsia="宋体" w:cs="宋体"/>
                <w:color w:val="auto"/>
                <w:sz w:val="24"/>
                <w:szCs w:val="24"/>
                <w:highlight w:val="none"/>
                <w:lang w:val="en-US" w:eastAsia="zh-CN"/>
              </w:rPr>
              <w:t>质保期在满足招标文件质保期基础上,</w:t>
            </w:r>
            <w:r>
              <w:rPr>
                <w:rFonts w:hint="eastAsia" w:ascii="宋体" w:hAnsi="宋体" w:eastAsia="宋体" w:cs="宋体"/>
                <w:b w:val="0"/>
                <w:bCs/>
                <w:snapToGrid/>
                <w:color w:val="auto"/>
                <w:kern w:val="0"/>
                <w:sz w:val="24"/>
                <w:szCs w:val="24"/>
                <w:highlight w:val="none"/>
                <w:lang w:val="en-US" w:eastAsia="zh-CN" w:bidi="ar"/>
              </w:rPr>
              <w:t>每延长质保期1年的得</w:t>
            </w:r>
            <w:r>
              <w:rPr>
                <w:rFonts w:hint="eastAsia" w:ascii="宋体" w:hAnsi="宋体" w:cs="宋体"/>
                <w:b w:val="0"/>
                <w:bCs/>
                <w:snapToGrid/>
                <w:color w:val="auto"/>
                <w:kern w:val="0"/>
                <w:sz w:val="24"/>
                <w:szCs w:val="24"/>
                <w:highlight w:val="none"/>
                <w:lang w:val="en-US" w:eastAsia="zh-CN" w:bidi="ar"/>
              </w:rPr>
              <w:t>1</w:t>
            </w:r>
            <w:r>
              <w:rPr>
                <w:rFonts w:hint="eastAsia" w:ascii="宋体" w:hAnsi="宋体" w:eastAsia="宋体" w:cs="宋体"/>
                <w:b w:val="0"/>
                <w:bCs/>
                <w:snapToGrid/>
                <w:color w:val="auto"/>
                <w:kern w:val="0"/>
                <w:sz w:val="24"/>
                <w:szCs w:val="24"/>
                <w:highlight w:val="none"/>
                <w:lang w:val="en-US" w:eastAsia="zh-CN" w:bidi="ar"/>
              </w:rPr>
              <w:t>分，最高得</w:t>
            </w:r>
            <w:r>
              <w:rPr>
                <w:rFonts w:hint="eastAsia" w:ascii="宋体" w:hAnsi="宋体" w:cs="宋体"/>
                <w:b w:val="0"/>
                <w:bCs/>
                <w:snapToGrid/>
                <w:color w:val="auto"/>
                <w:kern w:val="0"/>
                <w:sz w:val="24"/>
                <w:szCs w:val="24"/>
                <w:highlight w:val="none"/>
                <w:lang w:val="en-US" w:eastAsia="zh-CN" w:bidi="ar"/>
              </w:rPr>
              <w:t>2</w:t>
            </w:r>
            <w:r>
              <w:rPr>
                <w:rFonts w:hint="eastAsia" w:ascii="宋体" w:hAnsi="宋体" w:eastAsia="宋体" w:cs="宋体"/>
                <w:b w:val="0"/>
                <w:bCs/>
                <w:snapToGrid/>
                <w:color w:val="auto"/>
                <w:kern w:val="0"/>
                <w:sz w:val="24"/>
                <w:szCs w:val="24"/>
                <w:highlight w:val="none"/>
                <w:lang w:val="en-US" w:eastAsia="zh-CN" w:bidi="ar"/>
              </w:rPr>
              <w:t>分。（投标人须在投标文件中做出相应承诺，无承诺不得分）</w:t>
            </w:r>
          </w:p>
        </w:tc>
        <w:tc>
          <w:tcPr>
            <w:tcW w:w="937" w:type="dxa"/>
            <w:tcBorders>
              <w:tl2br w:val="nil"/>
              <w:tr2bl w:val="nil"/>
            </w:tcBorders>
            <w:noWrap w:val="0"/>
            <w:vAlign w:val="center"/>
          </w:tcPr>
          <w:p>
            <w:pPr>
              <w:widowControl/>
              <w:spacing w:line="280" w:lineRule="exact"/>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517" w:type="dxa"/>
            <w:vMerge w:val="continue"/>
            <w:tcBorders>
              <w:tl2br w:val="nil"/>
              <w:tr2bl w:val="nil"/>
            </w:tcBorders>
            <w:noWrap w:val="0"/>
            <w:vAlign w:val="center"/>
          </w:tcPr>
          <w:p>
            <w:pPr>
              <w:pStyle w:val="839"/>
              <w:widowControl/>
              <w:tabs>
                <w:tab w:val="left" w:pos="0"/>
                <w:tab w:val="clear" w:pos="8268"/>
              </w:tabs>
              <w:spacing w:line="360" w:lineRule="atLeast"/>
              <w:jc w:val="center"/>
              <w:rPr>
                <w:rFonts w:ascii="宋体" w:hAnsi="宋体" w:eastAsia="宋体" w:cs="宋体"/>
                <w:highlight w:val="none"/>
              </w:rPr>
            </w:pPr>
          </w:p>
        </w:tc>
        <w:tc>
          <w:tcPr>
            <w:tcW w:w="975" w:type="dxa"/>
            <w:vMerge w:val="continue"/>
            <w:tcBorders>
              <w:tl2br w:val="nil"/>
              <w:tr2bl w:val="nil"/>
            </w:tcBorders>
            <w:noWrap w:val="0"/>
            <w:vAlign w:val="center"/>
          </w:tcPr>
          <w:p>
            <w:pPr>
              <w:widowControl/>
              <w:spacing w:line="280" w:lineRule="exact"/>
              <w:jc w:val="center"/>
              <w:rPr>
                <w:rFonts w:hint="eastAsia" w:ascii="宋体" w:hAnsi="宋体" w:cs="宋体"/>
                <w:sz w:val="24"/>
                <w:highlight w:val="none"/>
              </w:rPr>
            </w:pPr>
          </w:p>
        </w:tc>
        <w:tc>
          <w:tcPr>
            <w:tcW w:w="6075" w:type="dxa"/>
            <w:tcBorders>
              <w:tl2br w:val="nil"/>
              <w:tr2bl w:val="nil"/>
            </w:tcBorders>
            <w:noWrap w:val="0"/>
            <w:vAlign w:val="center"/>
          </w:tcPr>
          <w:p>
            <w:pPr>
              <w:widowControl/>
              <w:spacing w:line="280" w:lineRule="exact"/>
              <w:jc w:val="left"/>
              <w:rPr>
                <w:rFonts w:hint="default" w:ascii="宋体" w:hAnsi="宋体" w:cs="宋体"/>
                <w:color w:val="auto"/>
                <w:sz w:val="24"/>
                <w:szCs w:val="24"/>
                <w:highlight w:val="none"/>
                <w:lang w:val="en-US" w:eastAsia="zh-CN"/>
              </w:rPr>
            </w:pPr>
            <w:r>
              <w:rPr>
                <w:rFonts w:hint="eastAsia" w:ascii="宋体" w:hAnsi="宋体"/>
                <w:sz w:val="24"/>
                <w:highlight w:val="yellow"/>
                <w:lang w:eastAsia="zh-CN"/>
              </w:rPr>
              <w:t>维修响应时间：</w:t>
            </w:r>
            <w:r>
              <w:rPr>
                <w:rFonts w:hint="eastAsia" w:ascii="宋体" w:hAnsi="宋体"/>
                <w:sz w:val="24"/>
                <w:highlight w:val="yellow"/>
              </w:rPr>
              <w:t>接到故障报修通知后，</w:t>
            </w:r>
            <w:r>
              <w:rPr>
                <w:rFonts w:hint="eastAsia" w:ascii="宋体" w:hAnsi="宋体"/>
                <w:sz w:val="24"/>
                <w:highlight w:val="yellow"/>
                <w:lang w:eastAsia="zh-CN"/>
              </w:rPr>
              <w:t>承诺</w:t>
            </w:r>
            <w:r>
              <w:rPr>
                <w:rFonts w:hint="eastAsia" w:ascii="宋体" w:hAnsi="宋体"/>
                <w:sz w:val="24"/>
                <w:highlight w:val="yellow"/>
              </w:rPr>
              <w:t>回应时间小于</w:t>
            </w:r>
            <w:r>
              <w:rPr>
                <w:rFonts w:hint="eastAsia" w:ascii="宋体" w:hAnsi="宋体"/>
                <w:sz w:val="24"/>
                <w:highlight w:val="yellow"/>
                <w:lang w:val="en-US" w:eastAsia="zh-CN"/>
              </w:rPr>
              <w:t>2</w:t>
            </w:r>
            <w:r>
              <w:rPr>
                <w:rFonts w:hint="eastAsia" w:ascii="宋体" w:hAnsi="宋体"/>
                <w:sz w:val="24"/>
                <w:highlight w:val="yellow"/>
              </w:rPr>
              <w:t>小时</w:t>
            </w:r>
            <w:r>
              <w:rPr>
                <w:rFonts w:hint="eastAsia" w:ascii="宋体" w:hAnsi="宋体"/>
                <w:sz w:val="24"/>
                <w:highlight w:val="yellow"/>
                <w:lang w:eastAsia="zh-CN"/>
              </w:rPr>
              <w:t>的得</w:t>
            </w:r>
            <w:r>
              <w:rPr>
                <w:rFonts w:hint="eastAsia" w:ascii="宋体" w:hAnsi="宋体"/>
                <w:sz w:val="24"/>
                <w:highlight w:val="yellow"/>
                <w:lang w:val="en-US" w:eastAsia="zh-CN"/>
              </w:rPr>
              <w:t>1分；承诺8</w:t>
            </w:r>
            <w:r>
              <w:rPr>
                <w:rFonts w:hint="eastAsia" w:ascii="宋体" w:hAnsi="宋体"/>
                <w:sz w:val="24"/>
                <w:highlight w:val="yellow"/>
              </w:rPr>
              <w:t>小时</w:t>
            </w:r>
            <w:r>
              <w:rPr>
                <w:rFonts w:hint="eastAsia" w:ascii="宋体" w:hAnsi="宋体"/>
                <w:sz w:val="24"/>
                <w:highlight w:val="yellow"/>
                <w:lang w:eastAsia="zh-CN"/>
              </w:rPr>
              <w:t>内</w:t>
            </w:r>
            <w:r>
              <w:rPr>
                <w:rFonts w:hint="eastAsia" w:ascii="宋体" w:hAnsi="宋体"/>
                <w:sz w:val="24"/>
                <w:highlight w:val="yellow"/>
              </w:rPr>
              <w:t>到达故障现场</w:t>
            </w:r>
            <w:r>
              <w:rPr>
                <w:rFonts w:hint="eastAsia" w:ascii="宋体" w:hAnsi="宋体"/>
                <w:sz w:val="24"/>
                <w:highlight w:val="yellow"/>
                <w:lang w:eastAsia="zh-CN"/>
              </w:rPr>
              <w:t>的得</w:t>
            </w:r>
            <w:r>
              <w:rPr>
                <w:rFonts w:hint="eastAsia" w:ascii="宋体" w:hAnsi="宋体"/>
                <w:sz w:val="24"/>
                <w:highlight w:val="yellow"/>
                <w:lang w:val="en-US" w:eastAsia="zh-CN"/>
              </w:rPr>
              <w:t>1分</w:t>
            </w:r>
            <w:r>
              <w:rPr>
                <w:rFonts w:hint="eastAsia" w:ascii="宋体" w:hAnsi="宋体"/>
                <w:sz w:val="24"/>
                <w:highlight w:val="yellow"/>
                <w:lang w:eastAsia="zh-CN"/>
              </w:rPr>
              <w:t>；承诺</w:t>
            </w:r>
            <w:r>
              <w:rPr>
                <w:rFonts w:hint="eastAsia" w:ascii="宋体" w:hAnsi="宋体"/>
                <w:sz w:val="24"/>
                <w:highlight w:val="yellow"/>
              </w:rPr>
              <w:t>因货物本身问题，自接到采购人通知后</w:t>
            </w:r>
            <w:r>
              <w:rPr>
                <w:rFonts w:hint="eastAsia" w:ascii="宋体" w:hAnsi="宋体"/>
                <w:sz w:val="24"/>
                <w:highlight w:val="yellow"/>
                <w:lang w:val="en-US" w:eastAsia="zh-CN"/>
              </w:rPr>
              <w:t>36</w:t>
            </w:r>
            <w:r>
              <w:rPr>
                <w:rFonts w:hint="eastAsia" w:ascii="宋体" w:hAnsi="宋体"/>
                <w:sz w:val="24"/>
                <w:highlight w:val="yellow"/>
              </w:rPr>
              <w:t>小时之内仍不能排除的故障，应提供与原货物相同或不低于原货物性能的备用货物</w:t>
            </w:r>
            <w:r>
              <w:rPr>
                <w:rFonts w:hint="eastAsia" w:ascii="宋体" w:hAnsi="宋体"/>
                <w:sz w:val="24"/>
                <w:highlight w:val="yellow"/>
                <w:lang w:eastAsia="zh-CN"/>
              </w:rPr>
              <w:t>的得</w:t>
            </w:r>
            <w:r>
              <w:rPr>
                <w:rFonts w:hint="eastAsia" w:ascii="宋体" w:hAnsi="宋体"/>
                <w:sz w:val="24"/>
                <w:highlight w:val="yellow"/>
                <w:lang w:val="en-US" w:eastAsia="zh-CN"/>
              </w:rPr>
              <w:t>1分。（提供承诺书，承诺书格式自拟）</w:t>
            </w:r>
          </w:p>
        </w:tc>
        <w:tc>
          <w:tcPr>
            <w:tcW w:w="937" w:type="dxa"/>
            <w:tcBorders>
              <w:tl2br w:val="nil"/>
              <w:tr2bl w:val="nil"/>
            </w:tcBorders>
            <w:noWrap w:val="0"/>
            <w:vAlign w:val="center"/>
          </w:tcPr>
          <w:p>
            <w:pPr>
              <w:widowControl/>
              <w:spacing w:line="280" w:lineRule="exact"/>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3分</w:t>
            </w:r>
          </w:p>
        </w:tc>
      </w:tr>
    </w:tbl>
    <w:p>
      <w:pPr>
        <w:pStyle w:val="5"/>
        <w:spacing w:line="480" w:lineRule="exact"/>
        <w:rPr>
          <w:sz w:val="24"/>
          <w:szCs w:val="24"/>
          <w:highlight w:val="none"/>
        </w:rPr>
      </w:pPr>
      <w:r>
        <w:rPr>
          <w:rFonts w:hint="eastAsia"/>
          <w:sz w:val="24"/>
          <w:szCs w:val="24"/>
          <w:highlight w:val="none"/>
        </w:rPr>
        <w:t>注：以上项目若缺项，则该项得0分。</w:t>
      </w: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8"/>
          <w:szCs w:val="28"/>
          <w:highlight w:val="none"/>
        </w:rPr>
      </w:pPr>
      <w:r>
        <w:rPr>
          <w:rFonts w:hint="eastAsia" w:ascii="宋体" w:hAnsi="宋体" w:cs="宋体"/>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政府采购计划（预算）确认书编号：</w:t>
      </w:r>
      <w:r>
        <w:rPr>
          <w:rFonts w:hint="eastAsia" w:ascii="宋体" w:hAnsi="宋体" w:cs="Arial"/>
          <w:kern w:val="0"/>
          <w:sz w:val="24"/>
          <w:highlight w:val="none"/>
        </w:rPr>
        <w:t>善财采确[2022]2094号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预算金额：</w:t>
      </w:r>
      <w:r>
        <w:rPr>
          <w:rFonts w:hint="eastAsia" w:ascii="宋体" w:hAnsi="宋体" w:cs="Arial"/>
          <w:kern w:val="0"/>
          <w:sz w:val="24"/>
          <w:highlight w:val="none"/>
          <w:lang w:val="en-US" w:eastAsia="zh-CN"/>
        </w:rPr>
        <w:t>289</w:t>
      </w:r>
      <w:r>
        <w:rPr>
          <w:rFonts w:hint="eastAsia" w:ascii="宋体" w:hAnsi="宋体" w:cs="Arial"/>
          <w:kern w:val="0"/>
          <w:sz w:val="24"/>
          <w:highlight w:val="none"/>
        </w:rPr>
        <w:t>.00万元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采购人（以下称甲方）：</w:t>
      </w:r>
      <w:r>
        <w:rPr>
          <w:rFonts w:hint="eastAsia" w:ascii="宋体" w:hAnsi="宋体" w:cs="宋体"/>
          <w:kern w:val="0"/>
          <w:sz w:val="24"/>
          <w:highlight w:val="none"/>
          <w:lang w:eastAsia="zh-CN"/>
        </w:rPr>
        <w:t>嘉善县商务局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采购文件编号：</w:t>
      </w:r>
      <w:r>
        <w:rPr>
          <w:rFonts w:hint="eastAsia" w:ascii="宋体" w:hAnsi="宋体" w:cs="宋体"/>
          <w:kern w:val="0"/>
          <w:sz w:val="24"/>
          <w:highlight w:val="none"/>
          <w:lang w:eastAsia="zh-CN"/>
        </w:rPr>
        <w:t>JXYJ2022021</w:t>
      </w:r>
      <w:r>
        <w:rPr>
          <w:rFonts w:hint="eastAsia" w:ascii="宋体" w:hAnsi="宋体" w:cs="宋体"/>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根据《中华人民共和国政府采购法》、《中华人民共和国民法典》等法律法规的规定，甲乙双方按照</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嘉善县商务局防汛排涝车采购项目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1、本次采购的是</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lang w:eastAsia="zh-CN"/>
        </w:rPr>
        <w:t>嘉善县商务局防汛排涝车采购项目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1、本合同项下总价款为人民币（大写）</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highlight w:val="none"/>
        </w:rPr>
      </w:pPr>
      <w:r>
        <w:rPr>
          <w:rFonts w:hint="eastAsia" w:ascii="宋体" w:hAnsi="宋体" w:cs="宋体"/>
          <w:kern w:val="0"/>
          <w:sz w:val="24"/>
          <w:highlight w:val="none"/>
        </w:rPr>
        <w:t>2、本合同总价款含所有税费(包括设备购置费、运输费、安装调试费、代办车辆上牌服务费、售后服务费、培训费、有关部门的验收费、政策性文件规定及合同包含的所有风险</w:t>
      </w:r>
      <w:r>
        <w:rPr>
          <w:rFonts w:hint="eastAsia" w:ascii="宋体" w:hAnsi="宋体" w:cs="Arial"/>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3、本项目资金来源性质为以下第</w:t>
      </w:r>
      <w:r>
        <w:rPr>
          <w:rFonts w:hint="eastAsia" w:ascii="宋体" w:hAnsi="宋体" w:cs="宋体"/>
          <w:kern w:val="0"/>
          <w:sz w:val="24"/>
          <w:highlight w:val="none"/>
          <w:u w:val="single"/>
        </w:rPr>
        <w:t xml:space="preserve">    </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4、本合同付款方式为以下第</w:t>
      </w:r>
      <w:r>
        <w:rPr>
          <w:rFonts w:hint="eastAsia" w:ascii="宋体" w:hAnsi="宋体" w:cs="宋体"/>
          <w:kern w:val="0"/>
          <w:sz w:val="24"/>
          <w:highlight w:val="none"/>
          <w:u w:val="single"/>
        </w:rPr>
        <w:t xml:space="preserve">    （1）</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（1）本合同项下的采购资金系甲方自行支付，付款程序为</w:t>
      </w:r>
      <w:r>
        <w:rPr>
          <w:rFonts w:hint="eastAsia" w:ascii="宋体" w:hAnsi="宋体" w:cs="Arial"/>
          <w:kern w:val="0"/>
          <w:sz w:val="24"/>
          <w:highlight w:val="none"/>
          <w:u w:val="single"/>
        </w:rPr>
        <w:t>甲方根据年初预算申请生成用款计划，凭确认书、合同、发票进行审核支付</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（2）本合同项下的采购资金须财政直接支付，付款程序为</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5、本合同项下的采购资金付款进度按采购文件与投标文件（或采购响应文件）规定，未规定时按以下第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（1）一次性付款：乙方合同履行达到</w:t>
      </w:r>
      <w:r>
        <w:rPr>
          <w:rFonts w:hint="eastAsia" w:ascii="宋体" w:hAnsi="宋体" w:cs="宋体"/>
          <w:kern w:val="0"/>
          <w:sz w:val="24"/>
          <w:highlight w:val="none"/>
          <w:u w:val="single"/>
        </w:rPr>
        <w:t xml:space="preserve">         </w:t>
      </w:r>
      <w:r>
        <w:rPr>
          <w:rFonts w:hint="eastAsia" w:ascii="宋体" w:hAnsi="宋体" w:cs="宋体"/>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color w:val="000000"/>
          <w:sz w:val="24"/>
          <w:szCs w:val="24"/>
          <w:highlight w:val="none"/>
        </w:rPr>
        <w:t>合同签订后支付合同价的40%，完成设备供货、安装、调试工作且通过验收</w:t>
      </w:r>
      <w:r>
        <w:rPr>
          <w:rFonts w:hint="eastAsia" w:cs="Arial"/>
          <w:kern w:val="0"/>
          <w:sz w:val="24"/>
          <w:highlight w:val="none"/>
        </w:rPr>
        <w:t>（即上牌通过）</w:t>
      </w:r>
      <w:r>
        <w:rPr>
          <w:rFonts w:hint="eastAsia" w:ascii="宋体" w:hAnsi="宋体" w:cs="宋体"/>
          <w:color w:val="000000"/>
          <w:sz w:val="24"/>
          <w:szCs w:val="24"/>
          <w:highlight w:val="none"/>
        </w:rPr>
        <w:t>后支付合同价的60%。（注：中标供应商根据采购人每期的支付金额提供正规税务发票）</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按以下第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1、本项目设置履约保证金，</w:t>
      </w:r>
      <w:r>
        <w:rPr>
          <w:rFonts w:hint="eastAsia" w:ascii="宋体" w:hAnsi="宋体" w:cs="宋体"/>
          <w:sz w:val="24"/>
          <w:highlight w:val="none"/>
        </w:rPr>
        <w:t>签订合同前中标人应向采购人交纳合同金额的2.5%作为履约保证金，履约保证金在合同履行完毕后一个月内无息退还</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本项目不允许转包和分包</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因履行本合同引起的或与本合同有关的争议，甲、乙双方应首先通过友好协商解决，如果协商不能解决争议，则采取以下第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（2）向</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rPr>
        <w:t>嘉善县</w:t>
      </w:r>
      <w:r>
        <w:rPr>
          <w:rFonts w:hint="eastAsia" w:ascii="宋体" w:hAnsi="宋体" w:cs="宋体"/>
          <w:kern w:val="0"/>
          <w:sz w:val="24"/>
          <w:highlight w:val="none"/>
          <w:u w:val="single"/>
        </w:rPr>
        <w:t xml:space="preserve">    </w:t>
      </w:r>
      <w:r>
        <w:rPr>
          <w:rFonts w:hint="eastAsia" w:ascii="宋体" w:hAnsi="宋体" w:cs="宋体"/>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本合同一式五份，甲乙双方各2份，招标代理机构各持一份</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r>
        <w:rPr>
          <w:rFonts w:hint="eastAsia" w:ascii="宋体" w:hAnsi="宋体" w:cs="宋体"/>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spacing w:line="480" w:lineRule="exact"/>
        <w:rPr>
          <w:rFonts w:ascii="宋体" w:hAnsi="宋体" w:cs="宋体"/>
          <w:b/>
          <w:sz w:val="24"/>
          <w:highlight w:val="none"/>
        </w:rPr>
      </w:pPr>
      <w:r>
        <w:rPr>
          <w:rFonts w:hint="eastAsia" w:ascii="宋体" w:hAnsi="宋体" w:cs="宋体"/>
          <w:b/>
          <w:sz w:val="24"/>
          <w:highlight w:val="none"/>
        </w:rPr>
        <w:t>采购人（甲方公章）                    供应商（乙方公章）：</w:t>
      </w:r>
    </w:p>
    <w:p>
      <w:pPr>
        <w:spacing w:line="480" w:lineRule="exact"/>
        <w:rPr>
          <w:rFonts w:ascii="宋体" w:hAnsi="宋体" w:cs="宋体"/>
          <w:b/>
          <w:sz w:val="24"/>
          <w:highlight w:val="none"/>
        </w:rPr>
      </w:pPr>
      <w:r>
        <w:rPr>
          <w:rFonts w:hint="eastAsia" w:ascii="宋体" w:hAnsi="宋体" w:cs="宋体"/>
          <w:b/>
          <w:sz w:val="24"/>
          <w:highlight w:val="none"/>
        </w:rPr>
        <w:t>法定代表人                            法定代表人</w:t>
      </w:r>
    </w:p>
    <w:p>
      <w:pPr>
        <w:spacing w:line="480" w:lineRule="exact"/>
        <w:rPr>
          <w:rFonts w:ascii="宋体" w:hAnsi="宋体" w:cs="宋体"/>
          <w:b/>
          <w:sz w:val="24"/>
          <w:highlight w:val="none"/>
        </w:rPr>
      </w:pPr>
      <w:r>
        <w:rPr>
          <w:rFonts w:hint="eastAsia" w:ascii="宋体" w:hAnsi="宋体" w:cs="宋体"/>
          <w:b/>
          <w:sz w:val="24"/>
          <w:highlight w:val="none"/>
        </w:rPr>
        <w:t xml:space="preserve">或被授权人（签字）：                   或被授权人（签字）：     </w:t>
      </w:r>
    </w:p>
    <w:p>
      <w:pPr>
        <w:spacing w:line="480" w:lineRule="exact"/>
        <w:rPr>
          <w:rFonts w:ascii="宋体" w:hAnsi="宋体" w:cs="宋体"/>
          <w:b/>
          <w:sz w:val="24"/>
          <w:highlight w:val="none"/>
        </w:rPr>
      </w:pPr>
      <w:r>
        <w:rPr>
          <w:rFonts w:hint="eastAsia" w:ascii="宋体" w:hAnsi="宋体" w:cs="宋体"/>
          <w:b/>
          <w:sz w:val="24"/>
          <w:highlight w:val="none"/>
        </w:rPr>
        <w:t xml:space="preserve">电话：                                电话：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kern w:val="0"/>
          <w:sz w:val="24"/>
          <w:highlight w:val="none"/>
        </w:rPr>
      </w:pPr>
      <w:r>
        <w:rPr>
          <w:rFonts w:hint="eastAsia" w:ascii="宋体" w:hAnsi="宋体" w:cs="宋体"/>
          <w:sz w:val="24"/>
          <w:highlight w:val="none"/>
        </w:rPr>
        <w:t xml:space="preserve">               </w:t>
      </w:r>
    </w:p>
    <w:tbl>
      <w:tblPr>
        <w:tblStyle w:val="6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3"/>
        <w:spacing w:before="120" w:after="120" w:line="420" w:lineRule="exact"/>
        <w:rPr>
          <w:rFonts w:hAnsi="宋体"/>
          <w:bCs/>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jc w:val="center"/>
        <w:rPr>
          <w:rFonts w:ascii="宋体" w:hAnsi="宋体" w:cs="宋体"/>
          <w:sz w:val="28"/>
          <w:szCs w:val="28"/>
          <w:highlight w:val="none"/>
        </w:rPr>
      </w:pPr>
      <w:r>
        <w:rPr>
          <w:rFonts w:hint="eastAsia" w:ascii="宋体" w:hAnsi="宋体" w:cs="宋体"/>
          <w:sz w:val="28"/>
          <w:szCs w:val="28"/>
          <w:highlight w:val="none"/>
          <w:lang w:eastAsia="zh-CN"/>
        </w:rPr>
        <w:t>嘉善县商务局防汛排涝车采购项目</w:t>
      </w:r>
      <w:r>
        <w:rPr>
          <w:rFonts w:hint="eastAsia" w:ascii="宋体" w:hAnsi="宋体" w:cs="宋体"/>
          <w:sz w:val="28"/>
          <w:szCs w:val="28"/>
          <w:highlight w:val="none"/>
        </w:rPr>
        <w:t xml:space="preserve"> 验收报告</w:t>
      </w:r>
    </w:p>
    <w:p>
      <w:pPr>
        <w:jc w:val="center"/>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rPr>
          <w:highlight w:val="none"/>
        </w:rPr>
        <w:sectPr>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sz w:val="28"/>
          <w:szCs w:val="28"/>
          <w:highlight w:val="none"/>
        </w:rPr>
        <w:t>验收小组签字：（3人以上）</w:t>
      </w:r>
    </w:p>
    <w:p>
      <w:pPr>
        <w:pStyle w:val="4"/>
        <w:pageBreakBefore w:val="0"/>
        <w:widowControl w:val="0"/>
        <w:numPr>
          <w:ilvl w:val="0"/>
          <w:numId w:val="4"/>
        </w:numPr>
        <w:kinsoku/>
        <w:wordWrap/>
        <w:overflowPunct/>
        <w:topLinePunct w:val="0"/>
        <w:autoSpaceDE/>
        <w:autoSpaceDN/>
        <w:bidi w:val="0"/>
        <w:adjustRightInd w:val="0"/>
        <w:snapToGrid/>
        <w:spacing w:before="0" w:after="0" w:line="360" w:lineRule="auto"/>
        <w:ind w:left="0" w:firstLine="0"/>
        <w:jc w:val="center"/>
        <w:textAlignment w:val="auto"/>
        <w:rPr>
          <w:rFonts w:ascii="仿宋" w:hAnsi="仿宋" w:eastAsia="仿宋" w:cs="仿宋_GB2312"/>
          <w:bCs w:val="0"/>
          <w:kern w:val="2"/>
          <w:sz w:val="36"/>
          <w:szCs w:val="36"/>
          <w:highlight w:val="none"/>
        </w:rPr>
      </w:pPr>
      <w:r>
        <w:rPr>
          <w:rFonts w:hint="eastAsia" w:ascii="仿宋" w:hAnsi="仿宋" w:eastAsia="仿宋" w:cs="仿宋_GB2312"/>
          <w:bCs w:val="0"/>
          <w:kern w:val="2"/>
          <w:sz w:val="36"/>
          <w:szCs w:val="36"/>
          <w:highlight w:val="none"/>
        </w:rPr>
        <w:t>投标文件格式</w:t>
      </w:r>
      <w:bookmarkEnd w:id="34"/>
    </w:p>
    <w:p>
      <w:pPr>
        <w:snapToGrid w:val="0"/>
        <w:jc w:val="center"/>
        <w:rPr>
          <w:rFonts w:hint="eastAsia" w:ascii="宋体" w:hAnsi="宋体"/>
          <w:b/>
          <w:sz w:val="24"/>
          <w:highlight w:val="none"/>
        </w:rPr>
      </w:pPr>
      <w:r>
        <w:rPr>
          <w:rFonts w:hint="eastAsia" w:hAnsi="宋体" w:cs="宋体"/>
          <w:color w:val="000000"/>
          <w:highlight w:val="none"/>
        </w:rPr>
        <w:t xml:space="preserve"> </w:t>
      </w:r>
      <w:r>
        <w:rPr>
          <w:rFonts w:hint="eastAsia" w:ascii="宋体" w:hAnsi="宋体"/>
          <w:b/>
          <w:sz w:val="24"/>
          <w:highlight w:val="none"/>
        </w:rPr>
        <w:t>中小企业声明函（货物）</w:t>
      </w:r>
    </w:p>
    <w:p>
      <w:pPr>
        <w:pStyle w:val="964"/>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本公司</w:t>
      </w:r>
      <w:r>
        <w:rPr>
          <w:rFonts w:hint="eastAsia" w:ascii="宋体" w:eastAsia="宋体"/>
          <w:bCs/>
          <w:sz w:val="24"/>
          <w:szCs w:val="24"/>
          <w:highlight w:val="none"/>
          <w:lang w:eastAsia="zh-CN"/>
        </w:rPr>
        <w:t>（联合体）</w:t>
      </w:r>
      <w:r>
        <w:rPr>
          <w:rFonts w:hint="eastAsia" w:ascii="宋体" w:eastAsia="宋体"/>
          <w:bCs/>
          <w:sz w:val="24"/>
          <w:szCs w:val="24"/>
          <w:highlight w:val="none"/>
        </w:rPr>
        <w:t>郑重声明，根据《政府采购促进中小企业发展管理办法》（财库﹝2020﹞46 号）的规定，本公司</w:t>
      </w:r>
      <w:r>
        <w:rPr>
          <w:rFonts w:hint="eastAsia" w:ascii="宋体" w:eastAsia="宋体"/>
          <w:bCs/>
          <w:sz w:val="24"/>
          <w:szCs w:val="24"/>
          <w:highlight w:val="none"/>
          <w:lang w:eastAsia="zh-CN"/>
        </w:rPr>
        <w:t>（联合体）</w:t>
      </w:r>
      <w:r>
        <w:rPr>
          <w:rFonts w:hint="eastAsia" w:ascii="宋体" w:eastAsia="宋体"/>
          <w:bCs/>
          <w:sz w:val="24"/>
          <w:szCs w:val="24"/>
          <w:highlight w:val="none"/>
        </w:rPr>
        <w:t>参加</w:t>
      </w:r>
      <w:r>
        <w:rPr>
          <w:rFonts w:hint="eastAsia" w:ascii="宋体" w:eastAsia="宋体"/>
          <w:bCs/>
          <w:sz w:val="24"/>
          <w:szCs w:val="24"/>
          <w:highlight w:val="none"/>
          <w:u w:val="single"/>
          <w:lang w:val="en-US" w:eastAsia="zh-CN"/>
        </w:rPr>
        <w:t xml:space="preserve">  </w:t>
      </w:r>
      <w:r>
        <w:rPr>
          <w:rFonts w:hint="eastAsia" w:ascii="宋体" w:eastAsia="宋体"/>
          <w:bCs/>
          <w:sz w:val="24"/>
          <w:szCs w:val="24"/>
          <w:highlight w:val="none"/>
          <w:u w:val="single"/>
          <w:lang w:eastAsia="zh-CN"/>
        </w:rPr>
        <w:t>（单位名称）</w:t>
      </w:r>
      <w:r>
        <w:rPr>
          <w:rFonts w:hint="eastAsia" w:ascii="宋体" w:eastAsia="宋体"/>
          <w:bCs/>
          <w:sz w:val="24"/>
          <w:szCs w:val="24"/>
          <w:highlight w:val="none"/>
          <w:u w:val="single"/>
          <w:lang w:val="en-US" w:eastAsia="zh-CN"/>
        </w:rPr>
        <w:t xml:space="preserve">  </w:t>
      </w:r>
      <w:r>
        <w:rPr>
          <w:rFonts w:hint="eastAsia" w:ascii="宋体" w:eastAsia="宋体"/>
          <w:bCs/>
          <w:sz w:val="24"/>
          <w:szCs w:val="24"/>
          <w:highlight w:val="none"/>
          <w:lang w:eastAsia="zh-CN"/>
        </w:rPr>
        <w:t>的</w:t>
      </w:r>
      <w:r>
        <w:rPr>
          <w:rFonts w:hint="eastAsia" w:ascii="宋体" w:eastAsia="宋体"/>
          <w:bCs/>
          <w:sz w:val="24"/>
          <w:szCs w:val="24"/>
          <w:highlight w:val="none"/>
          <w:u w:val="single"/>
        </w:rPr>
        <w:t xml:space="preserve">  （项目名称） </w:t>
      </w:r>
      <w:r>
        <w:rPr>
          <w:rFonts w:hint="eastAsia" w:ascii="宋体" w:eastAsia="宋体"/>
          <w:bCs/>
          <w:sz w:val="24"/>
          <w:szCs w:val="24"/>
          <w:highlight w:val="none"/>
        </w:rPr>
        <w:t>采购活动，提供的货物</w:t>
      </w:r>
      <w:r>
        <w:rPr>
          <w:rFonts w:hint="eastAsia" w:ascii="宋体" w:eastAsia="宋体"/>
          <w:bCs/>
          <w:sz w:val="24"/>
          <w:szCs w:val="24"/>
          <w:highlight w:val="none"/>
          <w:lang w:val="en-US" w:eastAsia="zh-CN"/>
        </w:rPr>
        <w:t>全部</w:t>
      </w:r>
      <w:r>
        <w:rPr>
          <w:rFonts w:hint="eastAsia" w:ascii="宋体" w:eastAsia="宋体"/>
          <w:bCs/>
          <w:sz w:val="24"/>
          <w:szCs w:val="24"/>
          <w:highlight w:val="none"/>
        </w:rPr>
        <w:t>由符合政策要求的中小企业制造。相关企业</w:t>
      </w:r>
      <w:r>
        <w:rPr>
          <w:rFonts w:hint="eastAsia" w:ascii="宋体" w:eastAsia="宋体"/>
          <w:bCs/>
          <w:sz w:val="24"/>
          <w:szCs w:val="24"/>
          <w:highlight w:val="none"/>
          <w:lang w:eastAsia="zh-CN"/>
        </w:rPr>
        <w:t>（含联合体中的中小企业、签订分包意向协议的中小企业）</w:t>
      </w:r>
      <w:r>
        <w:rPr>
          <w:rFonts w:hint="eastAsia" w:ascii="宋体" w:eastAsia="宋体"/>
          <w:bCs/>
          <w:sz w:val="24"/>
          <w:szCs w:val="24"/>
          <w:highlight w:val="none"/>
        </w:rPr>
        <w:t>的具体情况如下：</w:t>
      </w:r>
    </w:p>
    <w:p>
      <w:pPr>
        <w:pStyle w:val="964"/>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 xml:space="preserve">1. </w:t>
      </w:r>
      <w:r>
        <w:rPr>
          <w:rFonts w:hint="eastAsia" w:ascii="宋体" w:eastAsia="宋体"/>
          <w:bCs/>
          <w:sz w:val="24"/>
          <w:szCs w:val="24"/>
          <w:highlight w:val="none"/>
          <w:u w:val="single"/>
        </w:rPr>
        <w:t>（标的名称）</w:t>
      </w:r>
      <w:r>
        <w:rPr>
          <w:rFonts w:hint="eastAsia" w:ascii="宋体" w:eastAsia="宋体"/>
          <w:bCs/>
          <w:sz w:val="24"/>
          <w:szCs w:val="24"/>
          <w:highlight w:val="none"/>
        </w:rPr>
        <w:t xml:space="preserve"> ，属于</w:t>
      </w:r>
      <w:r>
        <w:rPr>
          <w:rFonts w:hint="eastAsia" w:ascii="宋体" w:eastAsia="宋体"/>
          <w:bCs/>
          <w:sz w:val="24"/>
          <w:szCs w:val="24"/>
          <w:highlight w:val="none"/>
          <w:u w:val="single"/>
        </w:rPr>
        <w:t xml:space="preserve"> （采购文件中明确的所属行业）</w:t>
      </w:r>
      <w:r>
        <w:rPr>
          <w:rFonts w:hint="eastAsia" w:ascii="宋体" w:eastAsia="宋体"/>
          <w:bCs/>
          <w:sz w:val="24"/>
          <w:szCs w:val="24"/>
          <w:highlight w:val="none"/>
        </w:rPr>
        <w:t xml:space="preserve">行业 ；制造商为 </w:t>
      </w:r>
      <w:r>
        <w:rPr>
          <w:rFonts w:hint="eastAsia" w:ascii="宋体" w:eastAsia="宋体"/>
          <w:bCs/>
          <w:sz w:val="24"/>
          <w:szCs w:val="24"/>
          <w:highlight w:val="none"/>
          <w:u w:val="single"/>
        </w:rPr>
        <w:t>（企业名称）</w:t>
      </w:r>
      <w:r>
        <w:rPr>
          <w:rFonts w:hint="eastAsia" w:ascii="宋体" w:eastAsia="宋体"/>
          <w:bCs/>
          <w:sz w:val="24"/>
          <w:szCs w:val="24"/>
          <w:highlight w:val="none"/>
        </w:rPr>
        <w:t xml:space="preserve"> ，从业人员</w:t>
      </w:r>
      <w:r>
        <w:rPr>
          <w:rFonts w:hint="eastAsia" w:ascii="宋体" w:eastAsia="宋体"/>
          <w:bCs/>
          <w:sz w:val="24"/>
          <w:szCs w:val="24"/>
          <w:highlight w:val="none"/>
          <w:u w:val="single"/>
        </w:rPr>
        <w:t xml:space="preserve">     </w:t>
      </w:r>
      <w:r>
        <w:rPr>
          <w:rFonts w:hint="eastAsia" w:ascii="宋体" w:eastAsia="宋体"/>
          <w:bCs/>
          <w:sz w:val="24"/>
          <w:szCs w:val="24"/>
          <w:highlight w:val="none"/>
        </w:rPr>
        <w:t xml:space="preserve"> 人，营业收入为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万元，资产总额为</w:t>
      </w:r>
      <w:r>
        <w:rPr>
          <w:rFonts w:hint="eastAsia" w:ascii="宋体" w:eastAsia="宋体"/>
          <w:bCs/>
          <w:sz w:val="24"/>
          <w:szCs w:val="24"/>
          <w:highlight w:val="none"/>
          <w:u w:val="single"/>
        </w:rPr>
        <w:t xml:space="preserve">          </w:t>
      </w:r>
      <w:r>
        <w:rPr>
          <w:rFonts w:hint="eastAsia" w:ascii="宋体" w:eastAsia="宋体"/>
          <w:bCs/>
          <w:sz w:val="24"/>
          <w:szCs w:val="24"/>
          <w:highlight w:val="none"/>
        </w:rPr>
        <w:t xml:space="preserve">万元，属于 </w:t>
      </w:r>
      <w:r>
        <w:rPr>
          <w:rFonts w:hint="eastAsia" w:ascii="宋体" w:eastAsia="宋体"/>
          <w:bCs/>
          <w:sz w:val="24"/>
          <w:szCs w:val="24"/>
          <w:highlight w:val="none"/>
          <w:u w:val="single"/>
        </w:rPr>
        <w:t>（中型企业、小型企业、微型企业）</w:t>
      </w:r>
      <w:r>
        <w:rPr>
          <w:rFonts w:hint="eastAsia" w:ascii="宋体" w:eastAsia="宋体"/>
          <w:bCs/>
          <w:sz w:val="24"/>
          <w:szCs w:val="24"/>
          <w:highlight w:val="none"/>
        </w:rPr>
        <w:t xml:space="preserve"> ；</w:t>
      </w:r>
    </w:p>
    <w:p>
      <w:pPr>
        <w:pStyle w:val="964"/>
        <w:snapToGrid w:val="0"/>
        <w:spacing w:line="480" w:lineRule="exact"/>
        <w:ind w:firstLine="494"/>
        <w:rPr>
          <w:rFonts w:hint="eastAsia" w:ascii="宋体" w:eastAsia="宋体"/>
          <w:bCs/>
          <w:sz w:val="24"/>
          <w:szCs w:val="24"/>
          <w:highlight w:val="none"/>
          <w:u w:val="single"/>
        </w:rPr>
      </w:pPr>
      <w:r>
        <w:rPr>
          <w:rFonts w:hint="eastAsia" w:ascii="宋体" w:eastAsia="宋体"/>
          <w:bCs/>
          <w:sz w:val="24"/>
          <w:szCs w:val="24"/>
          <w:highlight w:val="none"/>
        </w:rPr>
        <w:t xml:space="preserve">2. </w:t>
      </w:r>
      <w:r>
        <w:rPr>
          <w:rFonts w:hint="eastAsia" w:ascii="宋体" w:eastAsia="宋体"/>
          <w:bCs/>
          <w:sz w:val="24"/>
          <w:szCs w:val="24"/>
          <w:highlight w:val="none"/>
          <w:u w:val="single"/>
        </w:rPr>
        <w:t xml:space="preserve">（标的名称） </w:t>
      </w:r>
      <w:r>
        <w:rPr>
          <w:rFonts w:hint="eastAsia" w:ascii="宋体" w:eastAsia="宋体"/>
          <w:bCs/>
          <w:sz w:val="24"/>
          <w:szCs w:val="24"/>
          <w:highlight w:val="none"/>
        </w:rPr>
        <w:t>，属于</w:t>
      </w:r>
      <w:r>
        <w:rPr>
          <w:rFonts w:hint="eastAsia" w:ascii="宋体" w:eastAsia="宋体"/>
          <w:bCs/>
          <w:sz w:val="24"/>
          <w:szCs w:val="24"/>
          <w:highlight w:val="none"/>
          <w:u w:val="single"/>
        </w:rPr>
        <w:t xml:space="preserve"> （采购文件中明确的所属行业）</w:t>
      </w:r>
      <w:r>
        <w:rPr>
          <w:rFonts w:hint="eastAsia" w:ascii="宋体" w:eastAsia="宋体"/>
          <w:bCs/>
          <w:sz w:val="24"/>
          <w:szCs w:val="24"/>
          <w:highlight w:val="none"/>
        </w:rPr>
        <w:t xml:space="preserve">行业 ；制造商为 </w:t>
      </w:r>
      <w:r>
        <w:rPr>
          <w:rFonts w:hint="eastAsia" w:ascii="宋体" w:eastAsia="宋体"/>
          <w:bCs/>
          <w:sz w:val="24"/>
          <w:szCs w:val="24"/>
          <w:highlight w:val="none"/>
          <w:u w:val="single"/>
        </w:rPr>
        <w:t xml:space="preserve">（企业名称） </w:t>
      </w:r>
      <w:r>
        <w:rPr>
          <w:rFonts w:hint="eastAsia" w:ascii="宋体" w:eastAsia="宋体"/>
          <w:bCs/>
          <w:sz w:val="24"/>
          <w:szCs w:val="24"/>
          <w:highlight w:val="none"/>
        </w:rPr>
        <w:t>，从业人员</w:t>
      </w:r>
      <w:r>
        <w:rPr>
          <w:rFonts w:hint="eastAsia" w:ascii="宋体" w:eastAsia="宋体"/>
          <w:bCs/>
          <w:sz w:val="24"/>
          <w:szCs w:val="24"/>
          <w:highlight w:val="none"/>
          <w:u w:val="single"/>
        </w:rPr>
        <w:t xml:space="preserve">          </w:t>
      </w:r>
      <w:r>
        <w:rPr>
          <w:rFonts w:hint="eastAsia" w:ascii="宋体" w:eastAsia="宋体"/>
          <w:bCs/>
          <w:sz w:val="24"/>
          <w:szCs w:val="24"/>
          <w:highlight w:val="none"/>
        </w:rPr>
        <w:t>人，营业收入为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万元，资产总额为</w:t>
      </w:r>
      <w:r>
        <w:rPr>
          <w:rFonts w:hint="eastAsia" w:ascii="宋体" w:eastAsia="宋体"/>
          <w:bCs/>
          <w:sz w:val="24"/>
          <w:szCs w:val="24"/>
          <w:highlight w:val="none"/>
          <w:u w:val="single"/>
        </w:rPr>
        <w:t xml:space="preserve">          </w:t>
      </w:r>
      <w:r>
        <w:rPr>
          <w:rFonts w:hint="eastAsia" w:ascii="宋体" w:eastAsia="宋体"/>
          <w:bCs/>
          <w:sz w:val="24"/>
          <w:szCs w:val="24"/>
          <w:highlight w:val="none"/>
        </w:rPr>
        <w:t>万元，属于</w:t>
      </w:r>
      <w:r>
        <w:rPr>
          <w:rFonts w:hint="eastAsia" w:ascii="宋体" w:eastAsia="宋体"/>
          <w:bCs/>
          <w:sz w:val="24"/>
          <w:szCs w:val="24"/>
          <w:highlight w:val="none"/>
          <w:u w:val="single"/>
        </w:rPr>
        <w:t xml:space="preserve"> （中型企业、小型企业、微型企业）</w:t>
      </w:r>
      <w:r>
        <w:rPr>
          <w:rFonts w:hint="eastAsia" w:ascii="宋体" w:eastAsia="宋体"/>
          <w:bCs/>
          <w:sz w:val="24"/>
          <w:szCs w:val="24"/>
          <w:highlight w:val="none"/>
        </w:rPr>
        <w:t xml:space="preserve"> ；</w:t>
      </w:r>
    </w:p>
    <w:p>
      <w:pPr>
        <w:pStyle w:val="964"/>
        <w:snapToGrid w:val="0"/>
        <w:spacing w:line="480" w:lineRule="exact"/>
        <w:ind w:firstLine="494"/>
        <w:rPr>
          <w:rFonts w:ascii="宋体" w:eastAsia="宋体"/>
          <w:bCs/>
          <w:sz w:val="24"/>
          <w:szCs w:val="24"/>
          <w:highlight w:val="none"/>
        </w:rPr>
      </w:pPr>
      <w:r>
        <w:rPr>
          <w:rFonts w:hint="eastAsia" w:ascii="宋体" w:eastAsia="宋体"/>
          <w:bCs/>
          <w:sz w:val="24"/>
          <w:szCs w:val="24"/>
          <w:highlight w:val="none"/>
        </w:rPr>
        <w:t>……</w:t>
      </w:r>
    </w:p>
    <w:p>
      <w:pPr>
        <w:pStyle w:val="964"/>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以上企业，不属于大企业的分支机构，不存在控股股东为大企业的情形，也不存在与大企业的负责人为同一人的情形。</w:t>
      </w:r>
    </w:p>
    <w:p>
      <w:pPr>
        <w:pStyle w:val="964"/>
        <w:snapToGrid w:val="0"/>
        <w:spacing w:line="480" w:lineRule="exact"/>
        <w:ind w:firstLine="494"/>
        <w:rPr>
          <w:rFonts w:hint="eastAsia" w:ascii="宋体" w:eastAsia="宋体"/>
          <w:bCs/>
          <w:sz w:val="24"/>
          <w:szCs w:val="24"/>
          <w:highlight w:val="none"/>
        </w:rPr>
      </w:pPr>
      <w:r>
        <w:rPr>
          <w:rFonts w:hint="eastAsia" w:ascii="宋体" w:eastAsia="宋体"/>
          <w:bCs/>
          <w:sz w:val="24"/>
          <w:szCs w:val="24"/>
          <w:highlight w:val="none"/>
        </w:rPr>
        <w:t>本企业对上述声明内容的真实性负责。如有虚假，将依法承担相应责任。</w:t>
      </w:r>
    </w:p>
    <w:p>
      <w:pPr>
        <w:pStyle w:val="964"/>
        <w:snapToGrid w:val="0"/>
        <w:ind w:firstLine="494"/>
        <w:rPr>
          <w:rFonts w:hint="eastAsia" w:ascii="宋体" w:eastAsia="宋体"/>
          <w:bCs/>
          <w:sz w:val="24"/>
          <w:szCs w:val="24"/>
          <w:highlight w:val="none"/>
        </w:rPr>
      </w:pPr>
    </w:p>
    <w:p>
      <w:pPr>
        <w:pStyle w:val="964"/>
        <w:snapToGrid w:val="0"/>
        <w:ind w:firstLine="4809" w:firstLineChars="2004"/>
        <w:rPr>
          <w:rFonts w:hint="eastAsia" w:ascii="宋体" w:eastAsia="宋体"/>
          <w:bCs/>
          <w:sz w:val="24"/>
          <w:szCs w:val="24"/>
          <w:highlight w:val="none"/>
        </w:rPr>
      </w:pPr>
      <w:r>
        <w:rPr>
          <w:rFonts w:hint="eastAsia" w:ascii="宋体" w:eastAsia="宋体"/>
          <w:bCs/>
          <w:sz w:val="24"/>
          <w:szCs w:val="24"/>
          <w:highlight w:val="none"/>
        </w:rPr>
        <w:t>投标人名称（盖章）：</w:t>
      </w:r>
    </w:p>
    <w:p>
      <w:pPr>
        <w:pStyle w:val="964"/>
        <w:snapToGrid w:val="0"/>
        <w:ind w:firstLine="4809" w:firstLineChars="2004"/>
        <w:rPr>
          <w:rFonts w:hint="eastAsia" w:ascii="宋体" w:eastAsia="宋体"/>
          <w:bCs/>
          <w:color w:val="auto"/>
          <w:sz w:val="24"/>
          <w:szCs w:val="24"/>
          <w:highlight w:val="none"/>
        </w:rPr>
      </w:pPr>
      <w:r>
        <w:rPr>
          <w:rFonts w:hint="eastAsia" w:ascii="宋体" w:eastAsia="宋体"/>
          <w:bCs/>
          <w:sz w:val="24"/>
          <w:szCs w:val="24"/>
          <w:highlight w:val="none"/>
        </w:rPr>
        <w:t>日 期：</w:t>
      </w:r>
      <w:r>
        <w:rPr>
          <w:rFonts w:hint="eastAsia" w:ascii="宋体" w:eastAsia="宋体"/>
          <w:sz w:val="24"/>
          <w:szCs w:val="24"/>
          <w:highlight w:val="none"/>
          <w:u w:val="single"/>
        </w:rPr>
        <w:t xml:space="preserve">     </w:t>
      </w:r>
      <w:r>
        <w:rPr>
          <w:rFonts w:hint="eastAsia" w:ascii="宋体" w:eastAsia="宋体"/>
          <w:sz w:val="24"/>
          <w:szCs w:val="24"/>
          <w:highlight w:val="none"/>
        </w:rPr>
        <w:t>年</w:t>
      </w:r>
      <w:r>
        <w:rPr>
          <w:rFonts w:hint="eastAsia" w:ascii="宋体" w:eastAsia="宋体"/>
          <w:sz w:val="24"/>
          <w:szCs w:val="24"/>
          <w:highlight w:val="none"/>
          <w:u w:val="single"/>
        </w:rPr>
        <w:t xml:space="preserve">   </w:t>
      </w:r>
      <w:r>
        <w:rPr>
          <w:rFonts w:hint="eastAsia" w:ascii="宋体" w:eastAsia="宋体"/>
          <w:sz w:val="24"/>
          <w:szCs w:val="24"/>
          <w:highlight w:val="none"/>
        </w:rPr>
        <w:t>月</w:t>
      </w:r>
      <w:r>
        <w:rPr>
          <w:rFonts w:hint="eastAsia" w:ascii="宋体" w:eastAsia="宋体"/>
          <w:sz w:val="24"/>
          <w:szCs w:val="24"/>
          <w:highlight w:val="none"/>
          <w:u w:val="single"/>
        </w:rPr>
        <w:t xml:space="preserve">   </w:t>
      </w:r>
      <w:r>
        <w:rPr>
          <w:rFonts w:hint="eastAsia" w:ascii="宋体" w:eastAsia="宋体"/>
          <w:sz w:val="24"/>
          <w:szCs w:val="24"/>
          <w:highlight w:val="none"/>
        </w:rPr>
        <w:t>日</w:t>
      </w:r>
    </w:p>
    <w:p>
      <w:pPr>
        <w:pStyle w:val="964"/>
        <w:snapToGrid w:val="0"/>
        <w:spacing w:line="240" w:lineRule="auto"/>
        <w:ind w:firstLine="0" w:firstLineChars="0"/>
        <w:rPr>
          <w:rFonts w:hint="eastAsia" w:ascii="宋体" w:eastAsia="宋体"/>
          <w:bCs/>
          <w:color w:val="auto"/>
          <w:sz w:val="24"/>
          <w:szCs w:val="24"/>
          <w:highlight w:val="none"/>
        </w:rPr>
      </w:pPr>
    </w:p>
    <w:p>
      <w:pPr>
        <w:pStyle w:val="964"/>
        <w:snapToGrid w:val="0"/>
        <w:spacing w:line="240" w:lineRule="auto"/>
        <w:ind w:firstLine="0" w:firstLineChars="0"/>
        <w:rPr>
          <w:rFonts w:hint="eastAsia" w:ascii="宋体" w:eastAsia="宋体"/>
          <w:bCs/>
          <w:color w:val="auto"/>
          <w:sz w:val="24"/>
          <w:szCs w:val="24"/>
          <w:highlight w:val="none"/>
        </w:rPr>
      </w:pPr>
      <w:r>
        <w:rPr>
          <w:rFonts w:hint="eastAsia" w:ascii="宋体" w:eastAsia="宋体"/>
          <w:bCs/>
          <w:color w:val="auto"/>
          <w:sz w:val="24"/>
          <w:szCs w:val="24"/>
          <w:highlight w:val="none"/>
        </w:rPr>
        <w:t>注：</w:t>
      </w:r>
    </w:p>
    <w:p>
      <w:pPr>
        <w:pStyle w:val="964"/>
        <w:snapToGrid w:val="0"/>
        <w:spacing w:line="240" w:lineRule="auto"/>
        <w:ind w:firstLine="0" w:firstLineChars="0"/>
        <w:rPr>
          <w:rFonts w:hint="eastAsia" w:ascii="宋体" w:eastAsia="宋体"/>
          <w:bCs/>
          <w:color w:val="auto"/>
          <w:sz w:val="24"/>
          <w:szCs w:val="24"/>
          <w:highlight w:val="none"/>
          <w:lang w:eastAsia="zh-CN"/>
        </w:rPr>
      </w:pPr>
      <w:r>
        <w:rPr>
          <w:rFonts w:hint="eastAsia" w:ascii="宋体" w:eastAsia="宋体"/>
          <w:bCs/>
          <w:color w:val="auto"/>
          <w:sz w:val="24"/>
          <w:szCs w:val="24"/>
          <w:highlight w:val="none"/>
        </w:rPr>
        <w:t>1.从业人员、营业收入、资产总额填报上一年度数据，无上一年度数据的新成立企业可不填报</w:t>
      </w:r>
      <w:r>
        <w:rPr>
          <w:rFonts w:hint="eastAsia" w:ascii="宋体" w:eastAsia="宋体"/>
          <w:bCs/>
          <w:color w:val="auto"/>
          <w:sz w:val="24"/>
          <w:szCs w:val="24"/>
          <w:highlight w:val="none"/>
          <w:lang w:eastAsia="zh-CN"/>
        </w:rPr>
        <w:t>；</w:t>
      </w:r>
    </w:p>
    <w:p>
      <w:pPr>
        <w:pStyle w:val="964"/>
        <w:snapToGrid w:val="0"/>
        <w:spacing w:line="240" w:lineRule="auto"/>
        <w:ind w:firstLine="0" w:firstLineChars="0"/>
        <w:rPr>
          <w:rFonts w:hint="eastAsia" w:ascii="宋体" w:eastAsia="宋体" w:cs="Times New Roman"/>
          <w:bCs/>
          <w:color w:val="auto"/>
          <w:sz w:val="24"/>
          <w:szCs w:val="24"/>
          <w:highlight w:val="none"/>
          <w:lang w:eastAsia="zh-CN"/>
        </w:rPr>
      </w:pPr>
      <w:r>
        <w:rPr>
          <w:rFonts w:hint="eastAsia" w:ascii="宋体" w:eastAsia="宋体" w:cs="Times New Roman"/>
          <w:bCs/>
          <w:color w:val="auto"/>
          <w:sz w:val="24"/>
          <w:szCs w:val="24"/>
          <w:highlight w:val="none"/>
        </w:rPr>
        <w:t>2.本项目中小企业政策所属行业为</w:t>
      </w:r>
      <w:r>
        <w:rPr>
          <w:rFonts w:hint="eastAsia" w:ascii="宋体" w:eastAsia="宋体" w:cs="Times New Roman"/>
          <w:b/>
          <w:bCs w:val="0"/>
          <w:color w:val="FF0000"/>
          <w:sz w:val="24"/>
          <w:szCs w:val="24"/>
          <w:highlight w:val="none"/>
        </w:rPr>
        <w:t>工业</w:t>
      </w:r>
      <w:r>
        <w:rPr>
          <w:rFonts w:hint="eastAsia" w:ascii="宋体" w:eastAsia="宋体" w:cs="Times New Roman"/>
          <w:b/>
          <w:bCs w:val="0"/>
          <w:color w:val="FF0000"/>
          <w:sz w:val="24"/>
          <w:szCs w:val="24"/>
          <w:highlight w:val="none"/>
          <w:lang w:eastAsia="zh-CN"/>
        </w:rPr>
        <w:t>（制造业）</w:t>
      </w:r>
      <w:r>
        <w:rPr>
          <w:rFonts w:hint="eastAsia" w:ascii="宋体" w:eastAsia="宋体" w:cs="Times New Roman"/>
          <w:bCs/>
          <w:color w:val="auto"/>
          <w:sz w:val="24"/>
          <w:szCs w:val="24"/>
          <w:highlight w:val="none"/>
          <w:lang w:eastAsia="zh-CN"/>
        </w:rPr>
        <w:t>；</w:t>
      </w:r>
    </w:p>
    <w:p>
      <w:pPr>
        <w:pStyle w:val="964"/>
        <w:snapToGrid w:val="0"/>
        <w:spacing w:line="240" w:lineRule="auto"/>
        <w:ind w:firstLine="0" w:firstLineChars="0"/>
        <w:rPr>
          <w:rFonts w:hint="eastAsia" w:ascii="宋体" w:eastAsia="宋体" w:cs="Times New Roman"/>
          <w:bCs/>
          <w:color w:val="auto"/>
          <w:sz w:val="24"/>
          <w:szCs w:val="24"/>
          <w:highlight w:val="none"/>
          <w:lang w:val="en-US" w:eastAsia="zh-CN"/>
        </w:rPr>
      </w:pPr>
      <w:r>
        <w:rPr>
          <w:rFonts w:hint="eastAsia" w:ascii="宋体" w:eastAsia="宋体" w:cs="Times New Roman"/>
          <w:bCs/>
          <w:color w:val="auto"/>
          <w:sz w:val="24"/>
          <w:szCs w:val="24"/>
          <w:highlight w:val="none"/>
          <w:lang w:val="en-US" w:eastAsia="zh-CN"/>
        </w:rPr>
        <w:t>3.符合《关于促进残疾人就业政府采购政策的通知》（财库〔2017〕141号）规定的条件并提供《残疾人福利性单位声明函》的残疾人福利性单位视同小型、微型企业；</w:t>
      </w:r>
    </w:p>
    <w:p>
      <w:pPr>
        <w:pStyle w:val="964"/>
        <w:snapToGrid w:val="0"/>
        <w:spacing w:line="240" w:lineRule="auto"/>
        <w:ind w:firstLine="0" w:firstLineChars="0"/>
        <w:rPr>
          <w:rFonts w:ascii="宋体" w:eastAsia="宋体"/>
          <w:bCs/>
          <w:sz w:val="24"/>
          <w:szCs w:val="24"/>
          <w:highlight w:val="none"/>
        </w:rPr>
      </w:pPr>
      <w:r>
        <w:rPr>
          <w:rFonts w:hint="eastAsia" w:ascii="宋体" w:eastAsia="宋体" w:cs="Times New Roman"/>
          <w:bCs/>
          <w:color w:val="auto"/>
          <w:sz w:val="24"/>
          <w:szCs w:val="24"/>
          <w:highlight w:val="none"/>
          <w:lang w:val="en-US" w:eastAsia="zh-CN"/>
        </w:rPr>
        <w:t>4.根据《关于政府采购支持监狱企业发展有关问题的通知》（财库[2014]68号）的规定，投标人提供由省级以上监狱管理局、戒毒管理局（含新疆生产建设兵团）出具的属于监狱企业证明文件的，视同为小型和微型企业</w:t>
      </w:r>
      <w:r>
        <w:rPr>
          <w:rFonts w:hint="eastAsia" w:ascii="宋体" w:eastAsia="宋体"/>
          <w:bCs/>
          <w:sz w:val="24"/>
          <w:szCs w:val="24"/>
          <w:highlight w:val="none"/>
        </w:rPr>
        <w:t>。</w:t>
      </w: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r>
        <w:rPr>
          <w:rFonts w:hint="eastAsia" w:ascii="宋体" w:hAnsi="宋体"/>
          <w:b/>
          <w:bCs/>
          <w:sz w:val="24"/>
          <w:highlight w:val="none"/>
        </w:rPr>
        <w:t>监狱和戒毒企业证明材料</w:t>
      </w:r>
    </w:p>
    <w:p>
      <w:pPr>
        <w:pStyle w:val="965"/>
        <w:snapToGrid w:val="0"/>
        <w:jc w:val="center"/>
        <w:rPr>
          <w:rFonts w:ascii="宋体" w:hAnsi="宋体"/>
          <w:b/>
          <w:sz w:val="24"/>
          <w:highlight w:val="none"/>
          <w:lang w:val="en-GB"/>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jc w:val="center"/>
        <w:rPr>
          <w:rFonts w:ascii="宋体" w:hAnsi="宋体"/>
          <w:b/>
          <w:spacing w:val="6"/>
          <w:sz w:val="24"/>
          <w:highlight w:val="none"/>
        </w:rPr>
      </w:pPr>
    </w:p>
    <w:p>
      <w:pPr>
        <w:snapToGrid w:val="0"/>
        <w:jc w:val="center"/>
        <w:rPr>
          <w:rFonts w:ascii="宋体" w:hAnsi="宋体"/>
          <w:b/>
          <w:bCs/>
          <w:sz w:val="24"/>
          <w:highlight w:val="none"/>
        </w:rPr>
      </w:pPr>
      <w:r>
        <w:rPr>
          <w:rFonts w:hint="eastAsia" w:ascii="宋体" w:hAnsi="宋体"/>
          <w:b/>
          <w:bCs/>
          <w:sz w:val="24"/>
          <w:highlight w:val="none"/>
        </w:rPr>
        <w:t>残疾人福利性单位声明函</w:t>
      </w:r>
    </w:p>
    <w:p>
      <w:pPr>
        <w:snapToGrid w:val="0"/>
        <w:rPr>
          <w:rFonts w:ascii="宋体" w:hAnsi="宋体"/>
          <w:b/>
          <w:spacing w:val="6"/>
          <w:sz w:val="24"/>
          <w:highlight w:val="none"/>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napToGrid w:val="0"/>
        <w:spacing w:line="480" w:lineRule="exact"/>
        <w:rPr>
          <w:rFonts w:ascii="宋体" w:hAnsi="宋体"/>
          <w:sz w:val="24"/>
          <w:highlight w:val="none"/>
        </w:rPr>
      </w:pPr>
    </w:p>
    <w:p>
      <w:pPr>
        <w:snapToGrid w:val="0"/>
        <w:rPr>
          <w:rFonts w:ascii="宋体" w:hAnsi="宋体"/>
          <w:sz w:val="24"/>
          <w:highlight w:val="none"/>
        </w:rPr>
      </w:pPr>
    </w:p>
    <w:p>
      <w:pPr>
        <w:snapToGrid w:val="0"/>
        <w:ind w:firstLine="5520" w:firstLineChars="2300"/>
        <w:rPr>
          <w:rFonts w:ascii="宋体" w:hAnsi="宋体"/>
          <w:sz w:val="24"/>
          <w:highlight w:val="none"/>
        </w:rPr>
      </w:pPr>
      <w:r>
        <w:rPr>
          <w:rFonts w:hint="eastAsia" w:ascii="宋体" w:hAnsi="宋体"/>
          <w:sz w:val="24"/>
          <w:highlight w:val="none"/>
        </w:rPr>
        <w:t>投标人（盖章）：</w:t>
      </w:r>
    </w:p>
    <w:p>
      <w:pPr>
        <w:snapToGrid w:val="0"/>
        <w:rPr>
          <w:rFonts w:ascii="宋体" w:hAnsi="宋体"/>
          <w:sz w:val="24"/>
          <w:highlight w:val="none"/>
        </w:rPr>
      </w:pPr>
      <w:r>
        <w:rPr>
          <w:rFonts w:hint="eastAsia" w:ascii="宋体" w:hAnsi="宋体"/>
          <w:sz w:val="24"/>
          <w:highlight w:val="none"/>
        </w:rPr>
        <w:t xml:space="preserve">   </w:t>
      </w:r>
    </w:p>
    <w:p>
      <w:pPr>
        <w:snapToGrid w:val="0"/>
        <w:rPr>
          <w:rFonts w:ascii="宋体" w:hAnsi="宋体"/>
          <w:sz w:val="24"/>
          <w:highlight w:val="none"/>
        </w:rPr>
      </w:pPr>
    </w:p>
    <w:p>
      <w:pPr>
        <w:snapToGrid w:val="0"/>
        <w:ind w:firstLine="5520" w:firstLineChars="2300"/>
        <w:outlineLvl w:val="0"/>
        <w:rPr>
          <w:rFonts w:ascii="宋体" w:hAnsi="宋体"/>
          <w:sz w:val="24"/>
          <w:highlight w:val="none"/>
        </w:rPr>
      </w:pP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33"/>
        <w:snapToGrid w:val="0"/>
        <w:spacing w:before="24" w:beforeLines="10" w:after="24" w:afterLines="10"/>
        <w:rPr>
          <w:rFonts w:ascii="仿宋" w:hAnsi="仿宋" w:eastAsia="仿宋" w:cs="仿宋"/>
          <w:b/>
          <w:bCs/>
          <w:sz w:val="44"/>
          <w:szCs w:val="44"/>
          <w:highlight w:val="none"/>
        </w:rPr>
      </w:pPr>
    </w:p>
    <w:p>
      <w:pPr>
        <w:pStyle w:val="33"/>
        <w:snapToGrid w:val="0"/>
        <w:spacing w:before="24" w:beforeLines="10" w:after="24" w:afterLines="10"/>
        <w:rPr>
          <w:rFonts w:ascii="仿宋" w:hAnsi="仿宋" w:eastAsia="仿宋" w:cs="仿宋"/>
          <w:b/>
          <w:bCs/>
          <w:sz w:val="44"/>
          <w:szCs w:val="44"/>
          <w:highlight w:val="none"/>
        </w:rPr>
      </w:pPr>
    </w:p>
    <w:p>
      <w:pPr>
        <w:rPr>
          <w:rFonts w:ascii="仿宋" w:hAnsi="仿宋" w:eastAsia="仿宋" w:cs="仿宋"/>
          <w:b/>
          <w:bCs/>
          <w:sz w:val="44"/>
          <w:szCs w:val="44"/>
          <w:highlight w:val="none"/>
        </w:rPr>
      </w:pPr>
    </w:p>
    <w:p>
      <w:pPr>
        <w:spacing w:line="360" w:lineRule="auto"/>
        <w:ind w:right="420"/>
        <w:rPr>
          <w:highlight w:val="none"/>
        </w:rPr>
      </w:pPr>
    </w:p>
    <w:p>
      <w:pPr>
        <w:spacing w:line="360" w:lineRule="auto"/>
        <w:rPr>
          <w:rFonts w:ascii="仿宋" w:hAnsi="仿宋" w:eastAsia="仿宋"/>
          <w:bCs/>
          <w:sz w:val="24"/>
          <w:highlight w:val="none"/>
        </w:rPr>
      </w:pPr>
    </w:p>
    <w:p>
      <w:pPr>
        <w:snapToGrid w:val="0"/>
        <w:spacing w:before="120" w:beforeLines="50" w:after="50"/>
        <w:rPr>
          <w:rFonts w:hint="eastAsia"/>
          <w:b/>
          <w:sz w:val="24"/>
          <w:highlight w:val="none"/>
        </w:rPr>
      </w:pPr>
      <w:bookmarkStart w:id="35" w:name="_Toc219619166"/>
    </w:p>
    <w:p>
      <w:pPr>
        <w:snapToGrid w:val="0"/>
        <w:spacing w:before="120" w:beforeLines="50" w:after="50"/>
        <w:rPr>
          <w:b/>
          <w:bCs/>
          <w:sz w:val="32"/>
          <w:szCs w:val="20"/>
          <w:highlight w:val="none"/>
        </w:rPr>
      </w:pPr>
      <w:r>
        <w:rPr>
          <w:rFonts w:hint="eastAsia"/>
          <w:b/>
          <w:sz w:val="24"/>
          <w:highlight w:val="none"/>
        </w:rPr>
        <w:t>商务技术响应文件封面格式：</w:t>
      </w:r>
      <w:r>
        <w:rPr>
          <w:sz w:val="24"/>
          <w:highlight w:val="none"/>
        </w:rPr>
        <w:t xml:space="preserve">                                               </w:t>
      </w: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r>
        <w:rPr>
          <w:rFonts w:hint="eastAsia"/>
          <w:b/>
          <w:bCs/>
          <w:sz w:val="32"/>
          <w:szCs w:val="32"/>
          <w:highlight w:val="none"/>
        </w:rPr>
        <w:t>商务技术文件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（公章）</w:t>
      </w:r>
    </w:p>
    <w:p>
      <w:pPr>
        <w:pStyle w:val="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sz w:val="24"/>
          <w:szCs w:val="20"/>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before="120" w:beforeLines="50" w:after="50"/>
        <w:jc w:val="center"/>
        <w:rPr>
          <w:rFonts w:ascii="宋体" w:hAnsi="宋体" w:cs="宋体"/>
          <w:b/>
          <w:sz w:val="32"/>
          <w:szCs w:val="32"/>
          <w:highlight w:val="none"/>
        </w:rPr>
      </w:pPr>
    </w:p>
    <w:p>
      <w:pPr>
        <w:pStyle w:val="4"/>
        <w:rPr>
          <w:rFonts w:ascii="宋体" w:hAnsi="宋体" w:cs="宋体"/>
          <w:b w:val="0"/>
          <w:szCs w:val="32"/>
          <w:highlight w:val="none"/>
        </w:rPr>
      </w:pPr>
    </w:p>
    <w:p>
      <w:pPr>
        <w:rPr>
          <w:highlight w:val="none"/>
        </w:rPr>
      </w:pPr>
    </w:p>
    <w:p>
      <w:pPr>
        <w:rPr>
          <w:highlight w:val="none"/>
        </w:rPr>
      </w:pPr>
    </w:p>
    <w:p>
      <w:pPr>
        <w:snapToGrid w:val="0"/>
        <w:spacing w:before="120" w:beforeLines="50" w:after="50"/>
        <w:rPr>
          <w:sz w:val="24"/>
          <w:szCs w:val="20"/>
          <w:highlight w:val="none"/>
        </w:rPr>
      </w:pPr>
      <w:r>
        <w:rPr>
          <w:rFonts w:hint="eastAsia"/>
          <w:b/>
          <w:sz w:val="24"/>
          <w:highlight w:val="none"/>
        </w:rPr>
        <w:t>报价文件响应封面格式：</w:t>
      </w:r>
      <w:r>
        <w:rPr>
          <w:b/>
          <w:sz w:val="24"/>
          <w:highlight w:val="none"/>
        </w:rPr>
        <w:t xml:space="preserve"> </w:t>
      </w:r>
    </w:p>
    <w:p>
      <w:pPr>
        <w:snapToGrid w:val="0"/>
        <w:spacing w:before="120" w:beforeLines="50" w:after="50"/>
        <w:rPr>
          <w:b/>
          <w:bCs/>
          <w:sz w:val="32"/>
          <w:szCs w:val="20"/>
          <w:highlight w:val="none"/>
        </w:rPr>
      </w:pPr>
      <w:r>
        <w:rPr>
          <w:sz w:val="24"/>
          <w:highlight w:val="none"/>
        </w:rPr>
        <w:t xml:space="preserve">                                                    </w:t>
      </w:r>
    </w:p>
    <w:p>
      <w:pPr>
        <w:snapToGrid w:val="0"/>
        <w:spacing w:before="120" w:beforeLines="50" w:after="50"/>
        <w:jc w:val="center"/>
        <w:rPr>
          <w:b/>
          <w:bCs/>
          <w:sz w:val="32"/>
          <w:szCs w:val="32"/>
          <w:highlight w:val="none"/>
        </w:rPr>
      </w:pPr>
      <w:r>
        <w:rPr>
          <w:rFonts w:hint="eastAsia"/>
          <w:b/>
          <w:bCs/>
          <w:sz w:val="32"/>
          <w:szCs w:val="32"/>
          <w:highlight w:val="none"/>
        </w:rPr>
        <w:t>报  价</w:t>
      </w:r>
      <w:r>
        <w:rPr>
          <w:b/>
          <w:bCs/>
          <w:sz w:val="32"/>
          <w:szCs w:val="32"/>
          <w:highlight w:val="none"/>
        </w:rPr>
        <w:t xml:space="preserve"> </w:t>
      </w:r>
      <w:r>
        <w:rPr>
          <w:rFonts w:hint="eastAsia"/>
          <w:b/>
          <w:bCs/>
          <w:sz w:val="32"/>
          <w:szCs w:val="32"/>
          <w:highlight w:val="none"/>
        </w:rPr>
        <w:t>文</w:t>
      </w:r>
      <w:r>
        <w:rPr>
          <w:b/>
          <w:bCs/>
          <w:sz w:val="32"/>
          <w:szCs w:val="32"/>
          <w:highlight w:val="none"/>
        </w:rPr>
        <w:t xml:space="preserve"> </w:t>
      </w:r>
      <w:r>
        <w:rPr>
          <w:rFonts w:hint="eastAsia"/>
          <w:b/>
          <w:bCs/>
          <w:sz w:val="32"/>
          <w:szCs w:val="32"/>
          <w:highlight w:val="none"/>
        </w:rPr>
        <w:t>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（公章）</w:t>
      </w:r>
    </w:p>
    <w:p>
      <w:pPr>
        <w:pStyle w:val="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jc w:val="center"/>
        <w:rPr>
          <w:rFonts w:hint="eastAsia" w:ascii="宋体" w:hAnsi="宋体" w:eastAsia="宋体" w:cs="宋体"/>
          <w:b/>
          <w:sz w:val="24"/>
          <w:highlight w:val="none"/>
          <w:lang w:val="en-US" w:eastAsia="zh-CN"/>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lang w:val="en-US" w:eastAsia="zh-CN"/>
        </w:rPr>
        <w:t>日</w:t>
      </w:r>
    </w:p>
    <w:p>
      <w:pPr>
        <w:spacing w:line="360" w:lineRule="auto"/>
        <w:jc w:val="center"/>
        <w:rPr>
          <w:rFonts w:hint="eastAsia"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ascii="宋体" w:hAnsi="宋体" w:cs="宋体"/>
          <w:b/>
          <w:bCs/>
          <w:sz w:val="24"/>
          <w:highlight w:val="none"/>
        </w:rPr>
      </w:pPr>
      <w:r>
        <w:rPr>
          <w:rFonts w:hint="eastAsia" w:ascii="宋体" w:hAnsi="宋体" w:cs="宋体"/>
          <w:b/>
          <w:sz w:val="24"/>
          <w:highlight w:val="none"/>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评标内容及分值</w:t>
            </w:r>
          </w:p>
        </w:tc>
        <w:tc>
          <w:tcPr>
            <w:tcW w:w="4254" w:type="dxa"/>
            <w:gridSpan w:val="2"/>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jc w:val="center"/>
        </w:trPr>
        <w:tc>
          <w:tcPr>
            <w:tcW w:w="4510" w:type="dxa"/>
            <w:gridSpan w:val="2"/>
            <w:vMerge w:val="continue"/>
            <w:vAlign w:val="center"/>
          </w:tcPr>
          <w:p>
            <w:pPr>
              <w:spacing w:line="360" w:lineRule="auto"/>
              <w:jc w:val="center"/>
              <w:rPr>
                <w:rFonts w:ascii="宋体" w:hAnsi="宋体" w:cs="宋体"/>
                <w:b/>
                <w:bCs/>
                <w:sz w:val="24"/>
                <w:highlight w:val="none"/>
              </w:rPr>
            </w:pPr>
          </w:p>
        </w:tc>
        <w:tc>
          <w:tcPr>
            <w:tcW w:w="2145"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自评分</w:t>
            </w:r>
          </w:p>
        </w:tc>
        <w:tc>
          <w:tcPr>
            <w:tcW w:w="2109"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技术分（X分）</w:t>
            </w: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sz w:val="24"/>
                <w:highlight w:val="none"/>
              </w:rPr>
            </w:pPr>
            <w:r>
              <w:rPr>
                <w:rFonts w:hint="eastAsia" w:ascii="宋体" w:hAnsi="宋体" w:cs="宋体"/>
                <w:bCs/>
                <w:sz w:val="24"/>
                <w:highlight w:val="none"/>
              </w:rPr>
              <w:t>合计（满分X分）</w:t>
            </w:r>
          </w:p>
        </w:tc>
        <w:tc>
          <w:tcPr>
            <w:tcW w:w="4254" w:type="dxa"/>
            <w:gridSpan w:val="2"/>
            <w:vAlign w:val="center"/>
          </w:tcPr>
          <w:p>
            <w:pPr>
              <w:spacing w:line="360" w:lineRule="auto"/>
              <w:jc w:val="center"/>
              <w:rPr>
                <w:rFonts w:ascii="宋体" w:hAnsi="宋体" w:cs="宋体"/>
                <w:b/>
                <w:bCs/>
                <w:sz w:val="24"/>
                <w:highlight w:val="none"/>
              </w:rPr>
            </w:pPr>
          </w:p>
        </w:tc>
      </w:tr>
    </w:tbl>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pStyle w:val="5"/>
        <w:ind w:left="0" w:leftChars="0" w:firstLine="0" w:firstLineChars="0"/>
        <w:rPr>
          <w:highlight w:val="none"/>
        </w:rPr>
      </w:pPr>
    </w:p>
    <w:p>
      <w:pPr>
        <w:rPr>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投标声明书</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致 </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u w:val="single"/>
        </w:rPr>
        <w:t xml:space="preserve">               </w:t>
      </w:r>
      <w:r>
        <w:rPr>
          <w:rFonts w:hint="eastAsia" w:ascii="宋体" w:hAnsi="宋体" w:cs="宋体"/>
          <w:sz w:val="24"/>
          <w:highlight w:val="none"/>
        </w:rPr>
        <w:t>（投标人名称）系中华人民共和国合法企业，经营地址</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after="50" w:line="360" w:lineRule="auto"/>
        <w:ind w:firstLine="645"/>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（投标人名称）的法定代表人，我方愿意参加贵方组织的</w:t>
      </w:r>
      <w:r>
        <w:rPr>
          <w:rFonts w:hint="eastAsia" w:ascii="宋体" w:hAnsi="宋体" w:cs="宋体"/>
          <w:sz w:val="24"/>
          <w:highlight w:val="none"/>
          <w:u w:val="single"/>
        </w:rPr>
        <w:t xml:space="preserve">                    </w:t>
      </w:r>
      <w:r>
        <w:rPr>
          <w:rFonts w:hint="eastAsia" w:ascii="宋体" w:hAnsi="宋体" w:cs="宋体"/>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3、我方此次向贵方提供的服务名称为：</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pStyle w:val="25"/>
        <w:snapToGrid w:val="0"/>
        <w:spacing w:line="360" w:lineRule="auto"/>
        <w:rPr>
          <w:rFonts w:cs="宋体"/>
          <w:highlight w:val="none"/>
        </w:rPr>
      </w:pPr>
      <w:r>
        <w:rPr>
          <w:rFonts w:hint="eastAsia" w:cs="宋体"/>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6.以上事项如有虚假或隐瞒，我方愿意承担一切后果，并不再寻求任何旨在减轻或免除法律责任的辩解。</w:t>
      </w:r>
    </w:p>
    <w:p>
      <w:pPr>
        <w:pStyle w:val="27"/>
        <w:tabs>
          <w:tab w:val="left" w:pos="939"/>
        </w:tabs>
        <w:snapToGrid w:val="0"/>
        <w:spacing w:line="400" w:lineRule="exact"/>
        <w:ind w:left="773" w:leftChars="150" w:hanging="458" w:hangingChars="191"/>
        <w:rPr>
          <w:rFonts w:ascii="宋体" w:hAnsi="宋体" w:cs="宋体"/>
          <w:sz w:val="24"/>
          <w:highlight w:val="none"/>
        </w:rPr>
      </w:pPr>
    </w:p>
    <w:p>
      <w:pPr>
        <w:snapToGrid w:val="0"/>
        <w:spacing w:before="120" w:beforeLines="50" w:line="400" w:lineRule="exact"/>
        <w:ind w:firstLine="200"/>
        <w:rPr>
          <w:rFonts w:ascii="宋体" w:hAnsi="宋体" w:cs="宋体"/>
          <w:sz w:val="24"/>
          <w:szCs w:val="20"/>
          <w:highlight w:val="none"/>
          <w:u w:val="single"/>
        </w:rPr>
      </w:pPr>
      <w:r>
        <w:rPr>
          <w:rFonts w:hint="eastAsia" w:ascii="宋体" w:hAnsi="宋体"/>
          <w:sz w:val="24"/>
          <w:highlight w:val="none"/>
        </w:rPr>
        <w:t>法定代表人签字（或盖章）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snapToGrid w:val="0"/>
        <w:spacing w:before="120" w:beforeLines="50" w:after="50" w:line="400" w:lineRule="exact"/>
        <w:ind w:firstLine="240" w:firstLineChars="100"/>
        <w:rPr>
          <w:rFonts w:ascii="宋体" w:hAnsi="宋体" w:cs="宋体"/>
          <w:sz w:val="24"/>
          <w:highlight w:val="none"/>
        </w:rPr>
      </w:pPr>
      <w:r>
        <w:rPr>
          <w:rFonts w:hint="eastAsia" w:ascii="宋体" w:hAnsi="宋体" w:cs="宋体"/>
          <w:sz w:val="24"/>
          <w:highlight w:val="none"/>
        </w:rPr>
        <w:t>投标人公章：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before="120" w:beforeLines="50" w:after="50" w:line="400" w:lineRule="exact"/>
        <w:ind w:firstLine="240" w:firstLineChars="100"/>
        <w:rPr>
          <w:rFonts w:ascii="宋体" w:hAnsi="宋体" w:cs="宋体"/>
          <w:b/>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r>
        <w:rPr>
          <w:rFonts w:ascii="宋体" w:hAnsi="宋体" w:cs="宋体"/>
          <w:b/>
          <w:sz w:val="24"/>
          <w:highlight w:val="none"/>
        </w:rPr>
        <w:br w:type="page"/>
      </w:r>
    </w:p>
    <w:p>
      <w:pPr>
        <w:snapToGrid w:val="0"/>
        <w:spacing w:before="120" w:beforeLines="50" w:after="50" w:line="360" w:lineRule="auto"/>
        <w:jc w:val="center"/>
        <w:rPr>
          <w:rFonts w:ascii="宋体" w:hAnsi="宋体" w:cs="宋体"/>
          <w:b/>
          <w:sz w:val="32"/>
          <w:szCs w:val="32"/>
          <w:highlight w:val="none"/>
        </w:rPr>
      </w:pPr>
      <w:r>
        <w:rPr>
          <w:rFonts w:hint="eastAsia" w:ascii="宋体" w:hAnsi="宋体" w:cs="宋体"/>
          <w:b/>
          <w:sz w:val="32"/>
          <w:szCs w:val="32"/>
          <w:highlight w:val="none"/>
        </w:rPr>
        <w:t>法定代表人授权委托书</w:t>
      </w:r>
    </w:p>
    <w:p>
      <w:pPr>
        <w:snapToGrid w:val="0"/>
        <w:spacing w:before="120" w:beforeLines="50" w:after="50" w:line="360" w:lineRule="auto"/>
        <w:rPr>
          <w:rFonts w:ascii="宋体" w:hAnsi="宋体" w:cs="宋体"/>
          <w:b/>
          <w:bCs/>
          <w:sz w:val="24"/>
          <w:szCs w:val="20"/>
          <w:highlight w:val="none"/>
        </w:rPr>
      </w:pPr>
      <w:r>
        <w:rPr>
          <w:rFonts w:hint="eastAsia" w:ascii="宋体" w:hAnsi="宋体" w:cs="宋体"/>
          <w:bCs/>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（投标人名称）的法定代表人，现授权委托</w:t>
      </w:r>
      <w:r>
        <w:rPr>
          <w:rFonts w:hint="eastAsia" w:ascii="宋体" w:hAnsi="宋体" w:cs="宋体"/>
          <w:sz w:val="24"/>
          <w:highlight w:val="none"/>
          <w:u w:val="single"/>
        </w:rPr>
        <w:t xml:space="preserve">             </w:t>
      </w:r>
      <w:r>
        <w:rPr>
          <w:rFonts w:hint="eastAsia" w:ascii="宋体" w:hAnsi="宋体" w:cs="宋体"/>
          <w:sz w:val="24"/>
          <w:highlight w:val="none"/>
        </w:rPr>
        <w:t>（姓名）以我方的名义参加</w:t>
      </w:r>
      <w:r>
        <w:rPr>
          <w:rFonts w:hint="eastAsia" w:ascii="宋体" w:hAnsi="宋体" w:cs="宋体"/>
          <w:sz w:val="24"/>
          <w:highlight w:val="none"/>
          <w:u w:val="single"/>
        </w:rPr>
        <w:t xml:space="preserve">              政府采购项目</w:t>
      </w:r>
      <w:r>
        <w:rPr>
          <w:rFonts w:hint="eastAsia" w:ascii="宋体" w:hAnsi="宋体" w:cs="宋体"/>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    我方对被授权人的签字事项负全部责任。</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rPr>
        <w:t>被授权人无转委托权，特此委托。</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u w:val="single"/>
        </w:rPr>
      </w:pPr>
      <w:r>
        <w:rPr>
          <w:rFonts w:hint="eastAsia" w:ascii="宋体" w:hAnsi="宋体" w:cs="宋体"/>
          <w:sz w:val="24"/>
          <w:highlight w:val="none"/>
        </w:rPr>
        <w:t>法定代表人签字（或盖章）：</w:t>
      </w:r>
      <w:r>
        <w:rPr>
          <w:rFonts w:hint="eastAsia" w:ascii="宋体" w:hAnsi="宋体" w:cs="宋体"/>
          <w:sz w:val="24"/>
          <w:highlight w:val="none"/>
          <w:u w:val="single"/>
        </w:rPr>
        <w:t xml:space="preserve">          </w:t>
      </w:r>
      <w:r>
        <w:rPr>
          <w:rFonts w:hint="eastAsia" w:ascii="宋体" w:hAnsi="宋体" w:cs="宋体"/>
          <w:sz w:val="24"/>
          <w:highlight w:val="none"/>
        </w:rPr>
        <w:t xml:space="preserve">  被授权人签字（或盖章）：</w:t>
      </w:r>
      <w:r>
        <w:rPr>
          <w:rFonts w:hint="eastAsia" w:ascii="宋体" w:hAnsi="宋体" w:cs="宋体"/>
          <w:sz w:val="24"/>
          <w:highlight w:val="none"/>
          <w:u w:val="single"/>
        </w:rPr>
        <w:t xml:space="preserve">          </w:t>
      </w:r>
    </w:p>
    <w:p>
      <w:pPr>
        <w:snapToGrid w:val="0"/>
        <w:spacing w:before="120" w:beforeLines="50" w:after="50" w:line="360" w:lineRule="auto"/>
        <w:ind w:firstLine="960" w:firstLineChars="400"/>
        <w:rPr>
          <w:rFonts w:ascii="宋体" w:hAnsi="宋体" w:cs="宋体"/>
          <w:sz w:val="24"/>
          <w:highlight w:val="none"/>
          <w:u w:val="single"/>
        </w:rPr>
      </w:pPr>
      <w:r>
        <w:rPr>
          <w:rFonts w:hint="eastAsia" w:ascii="宋体" w:hAnsi="宋体" w:cs="宋体"/>
          <w:sz w:val="24"/>
          <w:highlight w:val="none"/>
        </w:rPr>
        <w:t>职务：</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法定代表人身份证粘贴处（正反面）       被授权人身份证粘贴处（正反面）</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投标人公章：</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rPr>
      </w:pPr>
    </w:p>
    <w:p>
      <w:pPr>
        <w:snapToGrid w:val="0"/>
        <w:spacing w:before="120" w:beforeLines="50" w:after="50"/>
        <w:jc w:val="right"/>
        <w:rPr>
          <w:rFonts w:ascii="宋体" w:hAnsi="宋体" w:cs="宋体"/>
          <w:sz w:val="24"/>
          <w:highlight w:val="none"/>
        </w:rPr>
      </w:pPr>
      <w:r>
        <w:rPr>
          <w:rFonts w:hint="eastAsia" w:ascii="宋体" w:hAnsi="宋体" w:cs="宋体"/>
          <w:sz w:val="24"/>
          <w:highlight w:val="none"/>
        </w:rPr>
        <w:t xml:space="preserve">                                        年    月    日</w:t>
      </w:r>
    </w:p>
    <w:p>
      <w:pPr>
        <w:pStyle w:val="963"/>
        <w:spacing w:line="360" w:lineRule="auto"/>
        <w:rPr>
          <w:rFonts w:hAnsi="宋体" w:eastAsia="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b/>
          <w:sz w:val="28"/>
          <w:szCs w:val="28"/>
          <w:highlight w:val="none"/>
        </w:rPr>
        <w:t>注：此表请放一页，如要放2页及以上请在每页上都加盖公章。</w:t>
      </w:r>
    </w:p>
    <w:p>
      <w:pPr>
        <w:spacing w:line="360" w:lineRule="auto"/>
        <w:jc w:val="left"/>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诚信承诺书</w:t>
      </w:r>
    </w:p>
    <w:p>
      <w:pPr>
        <w:spacing w:line="360" w:lineRule="auto"/>
        <w:rPr>
          <w:rFonts w:ascii="宋体" w:hAnsi="宋体" w:cs="宋体"/>
          <w:sz w:val="24"/>
          <w:highlight w:val="none"/>
        </w:rPr>
      </w:pPr>
      <w:r>
        <w:rPr>
          <w:rFonts w:hint="eastAsia" w:ascii="宋体" w:hAnsi="宋体" w:cs="宋体"/>
          <w:sz w:val="24"/>
          <w:highlight w:val="none"/>
          <w:u w:val="single"/>
        </w:rPr>
        <w:t xml:space="preserve">（采购人或招标组织机构）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我方在参加贵单位的</w:t>
      </w:r>
      <w:r>
        <w:rPr>
          <w:rFonts w:hint="eastAsia" w:ascii="宋体" w:hAnsi="宋体" w:cs="宋体"/>
          <w:sz w:val="24"/>
          <w:highlight w:val="none"/>
          <w:u w:val="single"/>
        </w:rPr>
        <w:t xml:space="preserve">                   </w:t>
      </w:r>
      <w:r>
        <w:rPr>
          <w:rFonts w:hint="eastAsia" w:ascii="宋体" w:hAnsi="宋体" w:cs="宋体"/>
          <w:sz w:val="24"/>
          <w:highlight w:val="none"/>
        </w:rPr>
        <w:t>政府采购项目的招投标活动中，郑重承诺如下：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1、我方申报的所有资料都是真实、准确、完整的；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2、我方无资质挂靠情形，保证不参与串标、围标及抬标；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3、我方未处于被各级行政主管部门做出停止市场行为处罚的期限内；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4、我方参加本项目政府采购活动前3年内在经营活动中没有重大违法记录；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5、若我方中标，将严格按照规定及时与采购人签订合同；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投标人（加盖公章）：</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sz w:val="24"/>
          <w:highlight w:val="none"/>
        </w:rPr>
      </w:pPr>
    </w:p>
    <w:p>
      <w:pPr>
        <w:pStyle w:val="963"/>
        <w:spacing w:line="360" w:lineRule="auto"/>
        <w:rPr>
          <w:rFonts w:hAnsi="宋体" w:eastAsia="宋体" w:cs="宋体"/>
          <w:b/>
          <w:sz w:val="24"/>
          <w:szCs w:val="24"/>
          <w:highlight w:val="none"/>
        </w:rPr>
      </w:pPr>
    </w:p>
    <w:p>
      <w:pPr>
        <w:wordWrap w:val="0"/>
        <w:spacing w:before="120" w:beforeLines="50" w:line="360" w:lineRule="auto"/>
        <w:ind w:firstLine="562"/>
        <w:jc w:val="center"/>
        <w:rPr>
          <w:rFonts w:ascii="宋体" w:hAnsi="宋体" w:cs="宋体"/>
          <w:b/>
          <w:sz w:val="28"/>
          <w:szCs w:val="30"/>
          <w:highlight w:val="none"/>
        </w:rPr>
      </w:pPr>
      <w:r>
        <w:rPr>
          <w:rFonts w:hint="eastAsia" w:ascii="宋体" w:hAnsi="宋体" w:cs="宋体"/>
          <w:b/>
          <w:sz w:val="28"/>
          <w:szCs w:val="30"/>
          <w:highlight w:val="none"/>
        </w:rPr>
        <w:t>投标人基本情况表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vAlign w:val="center"/>
          </w:tcPr>
          <w:p>
            <w:pPr>
              <w:rPr>
                <w:rFonts w:ascii="宋体" w:hAnsi="宋体" w:cs="宋体"/>
                <w:color w:val="000000"/>
                <w:sz w:val="22"/>
                <w:szCs w:val="28"/>
                <w:highlight w:val="none"/>
              </w:rPr>
            </w:pPr>
          </w:p>
        </w:tc>
        <w:tc>
          <w:tcPr>
            <w:tcW w:w="1980" w:type="dxa"/>
            <w:vAlign w:val="center"/>
          </w:tcPr>
          <w:p>
            <w:pPr>
              <w:jc w:val="center"/>
              <w:rPr>
                <w:rFonts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vAlign w:val="center"/>
          </w:tcPr>
          <w:p>
            <w:pPr>
              <w:jc w:val="left"/>
              <w:rPr>
                <w:rFonts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地址：</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人员状况：</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联系方式：</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before="120" w:beforeLines="50"/>
        <w:rPr>
          <w:rFonts w:ascii="宋体" w:hAnsi="宋体" w:cs="宋体"/>
          <w:b/>
          <w:bCs/>
          <w:sz w:val="24"/>
          <w:highlight w:val="none"/>
          <w:lang w:bidi="ar"/>
        </w:rPr>
      </w:pPr>
    </w:p>
    <w:p>
      <w:pPr>
        <w:wordWrap w:val="0"/>
        <w:spacing w:line="360" w:lineRule="auto"/>
        <w:ind w:firstLine="480"/>
        <w:jc w:val="right"/>
        <w:rPr>
          <w:rFonts w:ascii="宋体" w:hAnsi="宋体" w:cs="宋体"/>
          <w:sz w:val="24"/>
          <w:highlight w:val="none"/>
          <w:lang w:bidi="ar"/>
        </w:rPr>
      </w:pPr>
    </w:p>
    <w:p>
      <w:pPr>
        <w:spacing w:line="360" w:lineRule="auto"/>
        <w:jc w:val="left"/>
        <w:rPr>
          <w:rFonts w:ascii="宋体" w:hAnsi="宋体" w:cs="宋体"/>
          <w:sz w:val="24"/>
          <w:highlight w:val="none"/>
          <w:u w:val="single"/>
          <w:lang w:bidi="ar"/>
        </w:rPr>
      </w:pPr>
      <w:r>
        <w:rPr>
          <w:rFonts w:hint="eastAsia" w:ascii="宋体" w:hAnsi="宋体" w:cs="宋体"/>
          <w:sz w:val="24"/>
          <w:highlight w:val="none"/>
          <w:lang w:bidi="ar"/>
        </w:rPr>
        <w:t>投标人名称（公章）：</w:t>
      </w:r>
      <w:r>
        <w:rPr>
          <w:rFonts w:hint="eastAsia" w:ascii="宋体" w:hAnsi="宋体" w:cs="宋体"/>
          <w:sz w:val="24"/>
          <w:highlight w:val="none"/>
          <w:u w:val="single"/>
          <w:lang w:bidi="ar"/>
        </w:rPr>
        <w:t xml:space="preserve">                  </w:t>
      </w:r>
    </w:p>
    <w:p>
      <w:pPr>
        <w:spacing w:line="360" w:lineRule="auto"/>
        <w:jc w:val="left"/>
        <w:rPr>
          <w:rFonts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963"/>
        <w:spacing w:line="360" w:lineRule="auto"/>
        <w:jc w:val="left"/>
        <w:rPr>
          <w:rFonts w:hAnsi="宋体" w:eastAsia="宋体" w:cs="宋体"/>
          <w:sz w:val="24"/>
          <w:szCs w:val="24"/>
          <w:highlight w:val="none"/>
          <w:lang w:bidi="ar"/>
        </w:rPr>
      </w:pPr>
      <w:r>
        <w:rPr>
          <w:rFonts w:hint="eastAsia" w:hAnsi="宋体" w:eastAsia="宋体" w:cs="宋体"/>
          <w:sz w:val="24"/>
          <w:szCs w:val="24"/>
          <w:highlight w:val="none"/>
          <w:lang w:bidi="ar"/>
        </w:rPr>
        <w:t>日期：_____年____月____日</w:t>
      </w:r>
    </w:p>
    <w:p>
      <w:pPr>
        <w:pStyle w:val="963"/>
        <w:spacing w:line="360" w:lineRule="auto"/>
        <w:jc w:val="center"/>
        <w:rPr>
          <w:rFonts w:hAnsi="宋体" w:eastAsia="宋体" w:cs="宋体"/>
          <w:b/>
          <w:sz w:val="24"/>
          <w:szCs w:val="24"/>
          <w:highlight w:val="none"/>
        </w:rPr>
      </w:pPr>
    </w:p>
    <w:p>
      <w:pPr>
        <w:pStyle w:val="963"/>
        <w:spacing w:line="360" w:lineRule="auto"/>
        <w:jc w:val="center"/>
        <w:rPr>
          <w:rFonts w:hAnsi="宋体" w:eastAsia="宋体" w:cs="宋体"/>
          <w:b/>
          <w:sz w:val="24"/>
          <w:szCs w:val="24"/>
          <w:highlight w:val="none"/>
        </w:rPr>
      </w:pPr>
    </w:p>
    <w:p>
      <w:pPr>
        <w:pStyle w:val="963"/>
        <w:spacing w:line="360" w:lineRule="auto"/>
        <w:jc w:val="center"/>
        <w:rPr>
          <w:rFonts w:hAnsi="宋体" w:eastAsia="宋体" w:cs="宋体"/>
          <w:b/>
          <w:sz w:val="24"/>
          <w:szCs w:val="24"/>
          <w:highlight w:val="none"/>
        </w:rPr>
      </w:pPr>
    </w:p>
    <w:p>
      <w:pPr>
        <w:pStyle w:val="963"/>
        <w:spacing w:line="360" w:lineRule="auto"/>
        <w:jc w:val="center"/>
        <w:rPr>
          <w:rFonts w:hAnsi="宋体" w:eastAsia="宋体" w:cs="宋体"/>
          <w:b/>
          <w:sz w:val="24"/>
          <w:szCs w:val="24"/>
          <w:highlight w:val="none"/>
        </w:rPr>
      </w:pPr>
    </w:p>
    <w:p>
      <w:pPr>
        <w:pStyle w:val="963"/>
        <w:spacing w:line="360" w:lineRule="auto"/>
        <w:jc w:val="center"/>
        <w:rPr>
          <w:rFonts w:hAnsi="宋体" w:eastAsia="宋体" w:cs="宋体"/>
          <w:b/>
          <w:sz w:val="24"/>
          <w:szCs w:val="24"/>
          <w:highlight w:val="none"/>
        </w:rPr>
      </w:pPr>
    </w:p>
    <w:p>
      <w:pPr>
        <w:pStyle w:val="963"/>
        <w:spacing w:line="360" w:lineRule="auto"/>
        <w:rPr>
          <w:rFonts w:hAnsi="宋体" w:eastAsia="宋体" w:cs="宋体"/>
          <w:b/>
          <w:sz w:val="24"/>
          <w:szCs w:val="24"/>
          <w:highlight w:val="none"/>
        </w:rPr>
      </w:pPr>
    </w:p>
    <w:p>
      <w:pPr>
        <w:pStyle w:val="963"/>
        <w:spacing w:line="360" w:lineRule="auto"/>
        <w:jc w:val="center"/>
        <w:rPr>
          <w:rFonts w:hAnsi="宋体" w:eastAsia="宋体" w:cs="宋体"/>
          <w:b/>
          <w:sz w:val="24"/>
          <w:szCs w:val="24"/>
          <w:highlight w:val="none"/>
        </w:rPr>
      </w:pPr>
      <w:r>
        <w:rPr>
          <w:rFonts w:hint="eastAsia" w:hAnsi="宋体" w:eastAsia="宋体" w:cs="宋体"/>
          <w:b/>
          <w:sz w:val="24"/>
          <w:szCs w:val="24"/>
          <w:highlight w:val="none"/>
        </w:rPr>
        <w:t>同类业绩一览表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noWrap w:val="0"/>
            <w:vAlign w:val="center"/>
          </w:tcPr>
          <w:p>
            <w:pPr>
              <w:jc w:val="center"/>
              <w:rPr>
                <w:rFonts w:hint="eastAsia" w:ascii="宋体" w:hAnsi="宋体"/>
                <w:b/>
                <w:szCs w:val="21"/>
                <w:highlight w:val="none"/>
              </w:rPr>
            </w:pPr>
            <w:r>
              <w:rPr>
                <w:rFonts w:hint="eastAsia" w:ascii="宋体" w:hAnsi="宋体"/>
                <w:b/>
                <w:szCs w:val="21"/>
                <w:highlight w:val="none"/>
              </w:rPr>
              <w:t>序号</w:t>
            </w:r>
          </w:p>
        </w:tc>
        <w:tc>
          <w:tcPr>
            <w:tcW w:w="1330" w:type="dxa"/>
            <w:noWrap w:val="0"/>
            <w:vAlign w:val="center"/>
          </w:tcPr>
          <w:p>
            <w:pPr>
              <w:jc w:val="center"/>
              <w:rPr>
                <w:rFonts w:hint="eastAsia" w:ascii="宋体" w:hAnsi="宋体"/>
                <w:b/>
                <w:szCs w:val="21"/>
                <w:highlight w:val="none"/>
              </w:rPr>
            </w:pPr>
            <w:r>
              <w:rPr>
                <w:rFonts w:hint="eastAsia" w:ascii="宋体" w:hAnsi="宋体"/>
                <w:b/>
                <w:szCs w:val="21"/>
                <w:highlight w:val="none"/>
              </w:rPr>
              <w:t>采购人</w:t>
            </w:r>
            <w:r>
              <w:rPr>
                <w:rFonts w:ascii="宋体" w:hAnsi="宋体"/>
                <w:b/>
                <w:szCs w:val="21"/>
                <w:highlight w:val="none"/>
              </w:rPr>
              <w:br w:type="textWrapping"/>
            </w:r>
            <w:r>
              <w:rPr>
                <w:rFonts w:hint="eastAsia" w:ascii="宋体" w:hAnsi="宋体"/>
                <w:b/>
                <w:szCs w:val="21"/>
                <w:highlight w:val="none"/>
              </w:rPr>
              <w:t>名   称</w:t>
            </w:r>
          </w:p>
        </w:tc>
        <w:tc>
          <w:tcPr>
            <w:tcW w:w="1511"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项目起止时间</w:t>
            </w:r>
          </w:p>
        </w:tc>
        <w:tc>
          <w:tcPr>
            <w:tcW w:w="1259"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设备或项目名称</w:t>
            </w:r>
          </w:p>
        </w:tc>
        <w:tc>
          <w:tcPr>
            <w:tcW w:w="943"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采购</w:t>
            </w:r>
            <w:r>
              <w:rPr>
                <w:rFonts w:ascii="宋体" w:hAnsi="宋体"/>
                <w:b/>
                <w:szCs w:val="21"/>
                <w:highlight w:val="none"/>
              </w:rPr>
              <w:br w:type="textWrapping"/>
            </w:r>
            <w:r>
              <w:rPr>
                <w:rFonts w:hint="eastAsia" w:ascii="宋体" w:hAnsi="宋体"/>
                <w:b/>
                <w:szCs w:val="21"/>
                <w:highlight w:val="none"/>
              </w:rPr>
              <w:t>数量</w:t>
            </w:r>
          </w:p>
        </w:tc>
        <w:tc>
          <w:tcPr>
            <w:tcW w:w="818"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单价</w:t>
            </w:r>
          </w:p>
        </w:tc>
        <w:tc>
          <w:tcPr>
            <w:tcW w:w="1331"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合同金额</w:t>
            </w:r>
          </w:p>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（万元）</w:t>
            </w:r>
          </w:p>
        </w:tc>
        <w:tc>
          <w:tcPr>
            <w:tcW w:w="1850" w:type="dxa"/>
            <w:noWrap w:val="0"/>
            <w:vAlign w:val="center"/>
          </w:tcPr>
          <w:p>
            <w:pPr>
              <w:tabs>
                <w:tab w:val="left" w:pos="6252"/>
              </w:tabs>
              <w:spacing w:line="360" w:lineRule="auto"/>
              <w:jc w:val="center"/>
              <w:rPr>
                <w:rFonts w:hint="eastAsia" w:ascii="宋体" w:hAnsi="宋体"/>
                <w:b/>
                <w:szCs w:val="21"/>
                <w:highlight w:val="none"/>
              </w:rPr>
            </w:pPr>
            <w:r>
              <w:rPr>
                <w:rFonts w:hint="eastAsia" w:ascii="宋体" w:hAnsi="宋体"/>
                <w:b/>
                <w:szCs w:val="21"/>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1</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2</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3</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noWrap w:val="0"/>
            <w:vAlign w:val="center"/>
          </w:tcPr>
          <w:p>
            <w:pPr>
              <w:jc w:val="center"/>
              <w:rPr>
                <w:rFonts w:hint="eastAsia" w:ascii="宋体" w:hAnsi="宋体"/>
                <w:szCs w:val="21"/>
                <w:highlight w:val="none"/>
              </w:rPr>
            </w:pPr>
            <w:r>
              <w:rPr>
                <w:rFonts w:hint="eastAsia" w:ascii="宋体" w:hAnsi="宋体"/>
                <w:szCs w:val="21"/>
                <w:highlight w:val="none"/>
              </w:rPr>
              <w:t>……</w:t>
            </w:r>
          </w:p>
        </w:tc>
        <w:tc>
          <w:tcPr>
            <w:tcW w:w="1330" w:type="dxa"/>
            <w:noWrap w:val="0"/>
            <w:vAlign w:val="center"/>
          </w:tcPr>
          <w:p>
            <w:pPr>
              <w:jc w:val="center"/>
              <w:rPr>
                <w:rFonts w:hint="eastAsia" w:ascii="宋体" w:hAnsi="宋体"/>
                <w:szCs w:val="21"/>
                <w:highlight w:val="none"/>
              </w:rPr>
            </w:pPr>
          </w:p>
        </w:tc>
        <w:tc>
          <w:tcPr>
            <w:tcW w:w="1511" w:type="dxa"/>
            <w:noWrap w:val="0"/>
            <w:vAlign w:val="top"/>
          </w:tcPr>
          <w:p>
            <w:pPr>
              <w:jc w:val="center"/>
              <w:rPr>
                <w:rFonts w:hint="eastAsia" w:ascii="宋体" w:hAnsi="宋体"/>
                <w:szCs w:val="21"/>
                <w:highlight w:val="none"/>
              </w:rPr>
            </w:pPr>
          </w:p>
        </w:tc>
        <w:tc>
          <w:tcPr>
            <w:tcW w:w="1259" w:type="dxa"/>
            <w:noWrap w:val="0"/>
            <w:vAlign w:val="top"/>
          </w:tcPr>
          <w:p>
            <w:pPr>
              <w:jc w:val="center"/>
              <w:rPr>
                <w:rFonts w:hint="eastAsia" w:ascii="宋体" w:hAnsi="宋体"/>
                <w:szCs w:val="21"/>
                <w:highlight w:val="none"/>
              </w:rPr>
            </w:pPr>
          </w:p>
        </w:tc>
        <w:tc>
          <w:tcPr>
            <w:tcW w:w="943" w:type="dxa"/>
            <w:noWrap w:val="0"/>
            <w:vAlign w:val="top"/>
          </w:tcPr>
          <w:p>
            <w:pPr>
              <w:jc w:val="center"/>
              <w:rPr>
                <w:rFonts w:hint="eastAsia" w:ascii="宋体" w:hAnsi="宋体"/>
                <w:szCs w:val="21"/>
                <w:highlight w:val="none"/>
              </w:rPr>
            </w:pPr>
          </w:p>
        </w:tc>
        <w:tc>
          <w:tcPr>
            <w:tcW w:w="818" w:type="dxa"/>
            <w:noWrap w:val="0"/>
            <w:vAlign w:val="top"/>
          </w:tcPr>
          <w:p>
            <w:pPr>
              <w:jc w:val="center"/>
              <w:rPr>
                <w:rFonts w:hint="eastAsia" w:ascii="宋体" w:hAnsi="宋体"/>
                <w:szCs w:val="21"/>
                <w:highlight w:val="none"/>
              </w:rPr>
            </w:pPr>
          </w:p>
        </w:tc>
        <w:tc>
          <w:tcPr>
            <w:tcW w:w="1331" w:type="dxa"/>
            <w:noWrap w:val="0"/>
            <w:vAlign w:val="center"/>
          </w:tcPr>
          <w:p>
            <w:pPr>
              <w:jc w:val="center"/>
              <w:rPr>
                <w:rFonts w:hint="eastAsia" w:ascii="宋体" w:hAnsi="宋体"/>
                <w:szCs w:val="21"/>
                <w:highlight w:val="none"/>
              </w:rPr>
            </w:pPr>
          </w:p>
        </w:tc>
        <w:tc>
          <w:tcPr>
            <w:tcW w:w="1850" w:type="dxa"/>
            <w:noWrap w:val="0"/>
            <w:vAlign w:val="center"/>
          </w:tcPr>
          <w:p>
            <w:pPr>
              <w:jc w:val="center"/>
              <w:rPr>
                <w:rFonts w:hint="eastAsia" w:ascii="宋体" w:hAnsi="宋体"/>
                <w:szCs w:val="21"/>
                <w:highlight w:val="none"/>
              </w:rPr>
            </w:pPr>
          </w:p>
        </w:tc>
      </w:tr>
    </w:tbl>
    <w:p>
      <w:pPr>
        <w:pStyle w:val="963"/>
        <w:spacing w:line="360" w:lineRule="auto"/>
        <w:rPr>
          <w:rFonts w:hint="eastAsia" w:hAnsi="宋体" w:eastAsia="宋体"/>
          <w:b/>
          <w:sz w:val="21"/>
          <w:szCs w:val="21"/>
          <w:highlight w:val="none"/>
        </w:rPr>
      </w:pPr>
    </w:p>
    <w:p>
      <w:pPr>
        <w:pStyle w:val="963"/>
        <w:spacing w:line="360" w:lineRule="auto"/>
        <w:rPr>
          <w:rFonts w:hAnsi="宋体" w:eastAsia="宋体"/>
          <w:b/>
          <w:sz w:val="21"/>
          <w:szCs w:val="21"/>
          <w:highlight w:val="none"/>
        </w:rPr>
      </w:pPr>
      <w:r>
        <w:rPr>
          <w:rFonts w:hint="eastAsia" w:hAnsi="宋体" w:eastAsia="宋体"/>
          <w:b/>
          <w:sz w:val="21"/>
          <w:szCs w:val="21"/>
          <w:highlight w:val="none"/>
        </w:rPr>
        <w:t>注：</w:t>
      </w:r>
      <w:r>
        <w:rPr>
          <w:rFonts w:hint="eastAsia" w:hAnsi="宋体" w:eastAsia="宋体"/>
          <w:b/>
          <w:sz w:val="21"/>
          <w:szCs w:val="21"/>
          <w:highlight w:val="none"/>
          <w:lang w:val="en-US" w:eastAsia="zh-CN"/>
        </w:rPr>
        <w:t>1、</w:t>
      </w:r>
      <w:r>
        <w:rPr>
          <w:rFonts w:hint="eastAsia" w:hAnsi="宋体" w:eastAsia="宋体"/>
          <w:b/>
          <w:sz w:val="21"/>
          <w:szCs w:val="21"/>
          <w:highlight w:val="none"/>
        </w:rPr>
        <w:t>投标人同类项目得分以本表为准，后附相关证明材料，所需的证明材料要求详见评标办法。</w:t>
      </w:r>
    </w:p>
    <w:p>
      <w:pPr>
        <w:keepNext w:val="0"/>
        <w:keepLines w:val="0"/>
        <w:pageBreakBefore w:val="0"/>
        <w:widowControl w:val="0"/>
        <w:kinsoku/>
        <w:wordWrap/>
        <w:overflowPunct/>
        <w:topLinePunct w:val="0"/>
        <w:autoSpaceDE/>
        <w:autoSpaceDN/>
        <w:bidi w:val="0"/>
        <w:adjustRightInd w:val="0"/>
        <w:snapToGrid w:val="0"/>
        <w:spacing w:before="120" w:beforeLines="50" w:line="360" w:lineRule="auto"/>
        <w:rPr>
          <w:rFonts w:hint="eastAsia" w:ascii="宋体" w:hAnsi="宋体" w:eastAsia="宋体" w:cs="宋体"/>
          <w:color w:val="auto"/>
          <w:sz w:val="24"/>
          <w:highlight w:val="none"/>
          <w:lang w:eastAsia="zh-CN"/>
        </w:rPr>
      </w:pPr>
      <w:r>
        <w:rPr>
          <w:rFonts w:hint="eastAsia" w:ascii="宋体" w:hAnsi="宋体"/>
          <w:b/>
          <w:szCs w:val="21"/>
          <w:highlight w:val="none"/>
          <w:lang w:val="en-US" w:eastAsia="zh-CN"/>
        </w:rPr>
        <w:t>2</w:t>
      </w:r>
      <w:r>
        <w:rPr>
          <w:rFonts w:hint="eastAsia" w:ascii="宋体" w:hAnsi="宋体"/>
          <w:b/>
          <w:szCs w:val="21"/>
          <w:highlight w:val="none"/>
        </w:rPr>
        <w:t>、表格不够填写可添加</w:t>
      </w:r>
      <w:r>
        <w:rPr>
          <w:rFonts w:hint="eastAsia" w:ascii="宋体" w:hAnsi="宋体"/>
          <w:b/>
          <w:szCs w:val="21"/>
          <w:highlight w:val="none"/>
          <w:lang w:eastAsia="zh-CN"/>
        </w:rPr>
        <w:t>。</w:t>
      </w:r>
    </w:p>
    <w:p>
      <w:pPr>
        <w:pStyle w:val="963"/>
        <w:spacing w:line="360" w:lineRule="auto"/>
        <w:rPr>
          <w:rFonts w:hAnsi="宋体" w:eastAsia="宋体"/>
          <w:b/>
          <w:sz w:val="24"/>
          <w:szCs w:val="24"/>
          <w:highlight w:val="none"/>
        </w:rPr>
      </w:pPr>
    </w:p>
    <w:p>
      <w:pPr>
        <w:pStyle w:val="963"/>
        <w:spacing w:line="360" w:lineRule="auto"/>
        <w:rPr>
          <w:rFonts w:hAnsi="宋体" w:eastAsia="宋体"/>
          <w:b/>
          <w:sz w:val="24"/>
          <w:szCs w:val="24"/>
          <w:highlight w:val="none"/>
        </w:rPr>
      </w:pPr>
    </w:p>
    <w:p>
      <w:pPr>
        <w:snapToGrid w:val="0"/>
        <w:spacing w:before="120" w:beforeLines="50" w:line="400" w:lineRule="exact"/>
        <w:rPr>
          <w:rFonts w:ascii="宋体" w:hAnsi="宋体" w:cs="宋体"/>
          <w:sz w:val="24"/>
          <w:szCs w:val="20"/>
          <w:highlight w:val="none"/>
          <w:u w:val="single"/>
        </w:rPr>
      </w:pPr>
      <w:r>
        <w:rPr>
          <w:rFonts w:hint="eastAsia" w:ascii="宋体" w:hAnsi="宋体" w:cs="宋体"/>
          <w:sz w:val="24"/>
          <w:highlight w:val="none"/>
        </w:rPr>
        <w:t>法定代表人或被授权人签字（或盖章）：</w:t>
      </w:r>
      <w:r>
        <w:rPr>
          <w:rFonts w:hint="eastAsia" w:ascii="宋体" w:hAnsi="宋体" w:cs="宋体"/>
          <w:sz w:val="24"/>
          <w:highlight w:val="none"/>
          <w:u w:val="single"/>
        </w:rPr>
        <w:t xml:space="preserve">             </w:t>
      </w:r>
    </w:p>
    <w:p>
      <w:pPr>
        <w:snapToGrid w:val="0"/>
        <w:spacing w:before="120" w:beforeLines="50" w:after="50" w:line="400" w:lineRule="exact"/>
        <w:rPr>
          <w:rFonts w:ascii="宋体" w:hAnsi="宋体" w:cs="宋体"/>
          <w:sz w:val="24"/>
          <w:highlight w:val="none"/>
        </w:rPr>
      </w:pPr>
      <w:r>
        <w:rPr>
          <w:rFonts w:hint="eastAsia" w:ascii="宋体" w:hAnsi="宋体" w:cs="宋体"/>
          <w:sz w:val="24"/>
          <w:highlight w:val="none"/>
        </w:rPr>
        <w:t>投标人公章：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480" w:lineRule="exact"/>
        <w:rPr>
          <w:rFonts w:ascii="宋体" w:hAnsi="宋体"/>
          <w:b/>
          <w:color w:val="000000"/>
          <w:sz w:val="22"/>
          <w:szCs w:val="22"/>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 w:val="24"/>
          <w:highlight w:val="none"/>
        </w:rPr>
      </w:pPr>
    </w:p>
    <w:p>
      <w:pPr>
        <w:pStyle w:val="5"/>
        <w:rPr>
          <w:rFonts w:ascii="宋体" w:hAnsi="宋体" w:cs="宋体"/>
          <w:sz w:val="24"/>
          <w:highlight w:val="none"/>
        </w:rPr>
      </w:pPr>
    </w:p>
    <w:p>
      <w:pPr>
        <w:pStyle w:val="81"/>
        <w:ind w:left="420" w:firstLine="480"/>
        <w:rPr>
          <w:highlight w:val="none"/>
        </w:rPr>
      </w:pPr>
    </w:p>
    <w:p>
      <w:pPr>
        <w:pStyle w:val="963"/>
        <w:spacing w:line="360" w:lineRule="auto"/>
        <w:jc w:val="center"/>
        <w:rPr>
          <w:rFonts w:hAnsi="宋体" w:eastAsia="宋体"/>
          <w:b/>
          <w:sz w:val="28"/>
          <w:szCs w:val="28"/>
          <w:highlight w:val="none"/>
        </w:rPr>
      </w:pPr>
    </w:p>
    <w:p>
      <w:pPr>
        <w:pStyle w:val="33"/>
        <w:spacing w:before="120" w:after="120" w:line="360" w:lineRule="auto"/>
        <w:jc w:val="center"/>
        <w:textAlignment w:val="baseline"/>
        <w:rPr>
          <w:rFonts w:hAnsi="宋体"/>
          <w:b/>
          <w:sz w:val="28"/>
          <w:szCs w:val="28"/>
          <w:highlight w:val="none"/>
        </w:rPr>
      </w:pPr>
    </w:p>
    <w:p>
      <w:pPr>
        <w:pStyle w:val="33"/>
        <w:spacing w:before="120" w:after="120" w:line="360" w:lineRule="auto"/>
        <w:jc w:val="center"/>
        <w:textAlignment w:val="baseline"/>
        <w:rPr>
          <w:rFonts w:hint="eastAsia" w:hAnsi="宋体"/>
          <w:b/>
          <w:sz w:val="28"/>
          <w:szCs w:val="28"/>
          <w:highlight w:val="none"/>
        </w:rPr>
      </w:pPr>
    </w:p>
    <w:p>
      <w:pPr>
        <w:pStyle w:val="33"/>
        <w:spacing w:before="120" w:after="120" w:line="360" w:lineRule="auto"/>
        <w:jc w:val="center"/>
        <w:textAlignment w:val="baseline"/>
        <w:rPr>
          <w:rFonts w:hint="eastAsia" w:hAnsi="宋体"/>
          <w:b/>
          <w:sz w:val="28"/>
          <w:szCs w:val="28"/>
          <w:highlight w:val="none"/>
        </w:rPr>
      </w:pPr>
    </w:p>
    <w:p>
      <w:pPr>
        <w:pStyle w:val="33"/>
        <w:spacing w:before="120" w:after="120" w:line="360" w:lineRule="auto"/>
        <w:jc w:val="center"/>
        <w:textAlignment w:val="baseline"/>
        <w:rPr>
          <w:rFonts w:hint="eastAsia" w:hAnsi="宋体"/>
          <w:b/>
          <w:sz w:val="28"/>
          <w:szCs w:val="28"/>
          <w:highlight w:val="none"/>
        </w:rPr>
      </w:pPr>
    </w:p>
    <w:p>
      <w:pPr>
        <w:pStyle w:val="33"/>
        <w:spacing w:before="120" w:after="120" w:line="360" w:lineRule="auto"/>
        <w:jc w:val="center"/>
        <w:textAlignment w:val="baseline"/>
        <w:rPr>
          <w:rFonts w:hint="eastAsia" w:hAnsi="宋体"/>
          <w:b/>
          <w:sz w:val="28"/>
          <w:szCs w:val="28"/>
          <w:highlight w:val="none"/>
        </w:rPr>
      </w:pPr>
    </w:p>
    <w:p>
      <w:pPr>
        <w:pStyle w:val="33"/>
        <w:spacing w:before="120" w:after="120" w:line="360" w:lineRule="auto"/>
        <w:jc w:val="center"/>
        <w:textAlignment w:val="baseline"/>
        <w:rPr>
          <w:rFonts w:hint="eastAsia" w:hAnsi="宋体"/>
          <w:b/>
          <w:sz w:val="28"/>
          <w:szCs w:val="28"/>
          <w:highlight w:val="none"/>
        </w:rPr>
      </w:pPr>
    </w:p>
    <w:p>
      <w:pPr>
        <w:pStyle w:val="33"/>
        <w:spacing w:before="120" w:after="120" w:line="360" w:lineRule="auto"/>
        <w:jc w:val="center"/>
        <w:textAlignment w:val="baseline"/>
        <w:rPr>
          <w:rFonts w:hAnsi="宋体"/>
          <w:sz w:val="28"/>
          <w:szCs w:val="28"/>
          <w:highlight w:val="none"/>
        </w:rPr>
      </w:pPr>
      <w:r>
        <w:rPr>
          <w:rFonts w:hint="eastAsia" w:hAnsi="宋体"/>
          <w:b/>
          <w:sz w:val="28"/>
          <w:szCs w:val="28"/>
          <w:highlight w:val="none"/>
        </w:rPr>
        <w:t>项目实施人员表</w:t>
      </w:r>
    </w:p>
    <w:tbl>
      <w:tblPr>
        <w:tblStyle w:val="63"/>
        <w:tblW w:w="8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1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证书</w:t>
            </w:r>
          </w:p>
        </w:tc>
        <w:tc>
          <w:tcPr>
            <w:tcW w:w="199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99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spacing w:line="360" w:lineRule="auto"/>
        <w:ind w:firstLine="422" w:firstLineChars="200"/>
        <w:rPr>
          <w:rFonts w:ascii="宋体" w:hAnsi="宋体"/>
          <w:b/>
          <w:szCs w:val="21"/>
          <w:highlight w:val="none"/>
        </w:rPr>
      </w:pPr>
      <w:r>
        <w:rPr>
          <w:rFonts w:hint="eastAsia" w:ascii="宋体" w:hAnsi="宋体"/>
          <w:b/>
          <w:szCs w:val="21"/>
          <w:highlight w:val="none"/>
        </w:rPr>
        <w:t>注：1、表格不够填写可添加。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1"/>
        <w:ind w:left="0" w:leftChars="0" w:firstLine="0" w:firstLineChars="0"/>
        <w:rPr>
          <w:rFonts w:hAnsi="宋体"/>
          <w:highlight w:val="none"/>
        </w:rPr>
      </w:pPr>
      <w:r>
        <w:rPr>
          <w:rFonts w:hint="eastAsia" w:hAnsi="宋体"/>
          <w:highlight w:val="none"/>
        </w:rPr>
        <w:t>投标人名称(公章)</w:t>
      </w:r>
      <w:r>
        <w:rPr>
          <w:rFonts w:hint="eastAsia" w:hAnsi="宋体"/>
          <w:highlight w:val="none"/>
          <w:u w:val="single"/>
        </w:rPr>
        <w:t>：</w:t>
      </w:r>
      <w:r>
        <w:rPr>
          <w:rFonts w:hAnsi="宋体"/>
          <w:highlight w:val="none"/>
          <w:u w:val="single"/>
        </w:rPr>
        <w:t xml:space="preserve">                  </w:t>
      </w:r>
      <w:r>
        <w:rPr>
          <w:rFonts w:hAnsi="宋体"/>
          <w:highlight w:val="none"/>
        </w:rPr>
        <w:t xml:space="preserve">        </w:t>
      </w:r>
      <w:r>
        <w:rPr>
          <w:rFonts w:hint="eastAsia" w:hAnsi="宋体"/>
          <w:highlight w:val="none"/>
        </w:rPr>
        <w:t xml:space="preserve">    </w:t>
      </w:r>
    </w:p>
    <w:p>
      <w:pPr>
        <w:pStyle w:val="81"/>
        <w:ind w:left="0" w:leftChars="0" w:firstLine="0" w:firstLineChars="0"/>
        <w:rPr>
          <w:rFonts w:ascii="宋体" w:hAnsi="宋体"/>
          <w:b/>
          <w:sz w:val="28"/>
          <w:szCs w:val="28"/>
          <w:highlight w:val="none"/>
        </w:rPr>
      </w:pPr>
      <w:r>
        <w:rPr>
          <w:rFonts w:hint="eastAsia" w:hAnsi="宋体" w:cs="宋体"/>
          <w:highlight w:val="none"/>
        </w:rPr>
        <w:t>日期：_____年____月____日</w:t>
      </w:r>
    </w:p>
    <w:p>
      <w:pPr>
        <w:pStyle w:val="81"/>
        <w:ind w:left="420" w:firstLine="0" w:firstLineChars="0"/>
        <w:rPr>
          <w:rFonts w:ascii="宋体" w:hAnsi="宋体"/>
          <w:b/>
          <w:sz w:val="28"/>
          <w:szCs w:val="28"/>
          <w:highlight w:val="none"/>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spacing w:line="480" w:lineRule="exact"/>
        <w:jc w:val="both"/>
        <w:rPr>
          <w:rFonts w:hint="eastAsia"/>
          <w:b/>
          <w:sz w:val="28"/>
          <w:highlight w:val="none"/>
        </w:rPr>
      </w:pPr>
    </w:p>
    <w:p>
      <w:pPr>
        <w:spacing w:line="480" w:lineRule="exact"/>
        <w:jc w:val="center"/>
        <w:rPr>
          <w:rFonts w:hint="eastAsia"/>
          <w:b/>
          <w:sz w:val="28"/>
          <w:highlight w:val="none"/>
        </w:rPr>
      </w:pPr>
    </w:p>
    <w:p>
      <w:pPr>
        <w:spacing w:line="480" w:lineRule="exact"/>
        <w:jc w:val="center"/>
        <w:rPr>
          <w:rFonts w:ascii="宋体" w:hAnsi="宋体"/>
          <w:b/>
          <w:color w:val="000000"/>
          <w:sz w:val="28"/>
          <w:szCs w:val="28"/>
          <w:highlight w:val="none"/>
        </w:rPr>
      </w:pPr>
      <w:r>
        <w:rPr>
          <w:rFonts w:hint="eastAsia"/>
          <w:b/>
          <w:sz w:val="28"/>
          <w:highlight w:val="none"/>
        </w:rPr>
        <w:t>技术响应（偏离）表</w:t>
      </w:r>
    </w:p>
    <w:tbl>
      <w:tblPr>
        <w:tblStyle w:val="63"/>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jc w:val="center"/>
              <w:rPr>
                <w:rFonts w:hint="eastAsia" w:hAnsi="宋体" w:cs="宋体"/>
                <w:b/>
                <w:bCs/>
                <w:highlight w:val="none"/>
              </w:rPr>
            </w:pPr>
            <w:r>
              <w:rPr>
                <w:rFonts w:hint="eastAsia" w:hAnsi="宋体" w:cs="宋体"/>
                <w:b/>
                <w:bCs/>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ind w:firstLine="732" w:firstLineChars="347"/>
              <w:jc w:val="both"/>
              <w:rPr>
                <w:rFonts w:hint="eastAsia" w:hAnsi="宋体" w:cs="宋体"/>
                <w:b/>
                <w:bCs/>
                <w:highlight w:val="none"/>
              </w:rPr>
            </w:pPr>
            <w:r>
              <w:rPr>
                <w:rFonts w:hint="eastAsia" w:hAnsi="宋体" w:cs="宋体"/>
                <w:b/>
                <w:bCs/>
                <w:highlight w:val="none"/>
              </w:rPr>
              <w:t>招标文件需求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ind w:firstLine="480"/>
              <w:jc w:val="center"/>
              <w:rPr>
                <w:rFonts w:hint="eastAsia" w:ascii="宋体" w:hAnsi="宋体" w:cs="宋体"/>
                <w:b/>
                <w:bCs/>
                <w:sz w:val="24"/>
                <w:highlight w:val="none"/>
              </w:rPr>
            </w:pPr>
            <w:r>
              <w:rPr>
                <w:rFonts w:hint="eastAsia" w:ascii="宋体" w:hAnsi="宋体" w:cs="宋体"/>
                <w:b/>
                <w:bCs/>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ordWrap w:val="0"/>
              <w:spacing w:line="440" w:lineRule="exact"/>
              <w:ind w:firstLine="480"/>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kern w:val="0"/>
                <w:sz w:val="24"/>
                <w:highlight w:val="none"/>
              </w:rPr>
              <w:t>产品名称</w:t>
            </w:r>
          </w:p>
        </w:tc>
        <w:tc>
          <w:tcPr>
            <w:tcW w:w="1757"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pStyle w:val="33"/>
              <w:wordWrap w:val="0"/>
              <w:spacing w:before="120" w:after="120" w:line="440" w:lineRule="exact"/>
              <w:rPr>
                <w:rFonts w:hint="eastAsia" w:hAnsi="宋体" w:cs="宋体"/>
                <w:b/>
                <w:bCs/>
                <w:highlight w:val="none"/>
              </w:rPr>
            </w:pPr>
            <w:r>
              <w:rPr>
                <w:rFonts w:hint="eastAsia" w:hAnsi="宋体" w:cs="宋体"/>
                <w:b/>
                <w:bCs/>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kern w:val="0"/>
                <w:sz w:val="24"/>
                <w:highlight w:val="none"/>
              </w:rPr>
              <w:t>产品名称</w:t>
            </w:r>
          </w:p>
        </w:tc>
        <w:tc>
          <w:tcPr>
            <w:tcW w:w="199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jc w:val="center"/>
              <w:rPr>
                <w:rFonts w:hint="eastAsia" w:ascii="宋体" w:hAnsi="宋体" w:cs="宋体"/>
                <w:b/>
                <w:bCs/>
                <w:sz w:val="24"/>
                <w:highlight w:val="none"/>
              </w:rPr>
            </w:pPr>
            <w:r>
              <w:rPr>
                <w:rFonts w:hint="eastAsia" w:ascii="宋体" w:hAnsi="宋体" w:cs="宋体"/>
                <w:b/>
                <w:bCs/>
                <w:sz w:val="24"/>
                <w:highlight w:val="none"/>
              </w:rPr>
              <w:t>品牌及型号</w:t>
            </w:r>
          </w:p>
        </w:tc>
        <w:tc>
          <w:tcPr>
            <w:tcW w:w="204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wordWrap w:val="0"/>
              <w:spacing w:line="440" w:lineRule="exact"/>
              <w:jc w:val="center"/>
              <w:rPr>
                <w:rFonts w:hint="eastAsia" w:ascii="宋体" w:hAnsi="宋体" w:cs="宋体"/>
                <w:b/>
                <w:bCs/>
                <w:sz w:val="24"/>
                <w:highlight w:val="none"/>
              </w:rPr>
            </w:pPr>
            <w:r>
              <w:rPr>
                <w:rFonts w:hint="eastAsia" w:ascii="宋体" w:hAnsi="宋体" w:cs="宋体"/>
                <w:b/>
                <w:bCs/>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ordWrap w:val="0"/>
              <w:spacing w:line="440" w:lineRule="exact"/>
              <w:ind w:firstLine="48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noWrap w:val="0"/>
            <w:vAlign w:val="center"/>
          </w:tcPr>
          <w:p>
            <w:pPr>
              <w:pStyle w:val="3"/>
              <w:ind w:firstLine="210"/>
              <w:rPr>
                <w:rFonts w:hint="eastAsia" w:ascii="宋体"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highlight w:val="none"/>
              </w:rPr>
            </w:pPr>
            <w:r>
              <w:rPr>
                <w:rFonts w:hint="eastAsia" w:ascii="宋体" w:hAnsi="宋体" w:cs="宋体"/>
                <w:sz w:val="24"/>
                <w:highlight w:val="none"/>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highlight w:val="none"/>
              </w:rPr>
            </w:pPr>
            <w:r>
              <w:rPr>
                <w:rFonts w:hint="eastAsia" w:ascii="宋体" w:hAnsi="宋体" w:cs="宋体"/>
                <w:sz w:val="24"/>
                <w:highlight w:val="none"/>
              </w:rPr>
              <w:t>.....</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pStyle w:val="3"/>
              <w:ind w:firstLine="210"/>
              <w:rPr>
                <w:rFonts w:ascii="宋体"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33"/>
              <w:wordWrap w:val="0"/>
              <w:spacing w:before="120" w:after="120" w:line="440" w:lineRule="exact"/>
              <w:ind w:firstLine="520"/>
              <w:jc w:val="center"/>
              <w:rPr>
                <w:rFonts w:hint="eastAsia" w:hAnsi="宋体" w:cs="宋体"/>
                <w:highlight w:val="none"/>
              </w:rPr>
            </w:pPr>
          </w:p>
        </w:tc>
      </w:tr>
    </w:tbl>
    <w:p>
      <w:pPr>
        <w:spacing w:line="360" w:lineRule="auto"/>
        <w:rPr>
          <w:rFonts w:hint="eastAsia" w:ascii="宋体" w:hAnsi="宋体"/>
          <w:color w:val="000000"/>
          <w:szCs w:val="21"/>
          <w:highlight w:val="none"/>
        </w:rPr>
      </w:pPr>
    </w:p>
    <w:p>
      <w:pPr>
        <w:spacing w:line="360" w:lineRule="auto"/>
        <w:rPr>
          <w:rFonts w:hint="eastAsia" w:ascii="宋体" w:hAnsi="宋体" w:eastAsia="宋体"/>
          <w:color w:val="000000"/>
          <w:szCs w:val="21"/>
          <w:highlight w:val="none"/>
        </w:rPr>
      </w:pPr>
      <w:r>
        <w:rPr>
          <w:rFonts w:hint="eastAsia" w:ascii="宋体" w:hAnsi="宋体" w:eastAsia="宋体"/>
          <w:color w:val="000000"/>
          <w:szCs w:val="21"/>
          <w:highlight w:val="none"/>
        </w:rPr>
        <w:t>注：1、投标人应根据投标产品的技术指标、对照招标文件要求一一对应如实填写技术响应表，在“偏离情况”栏注明“正偏离”、“负偏离”或“无偏离”。未按要求填写的，有可能作负偏离处理</w:t>
      </w:r>
    </w:p>
    <w:p>
      <w:pPr>
        <w:spacing w:line="360" w:lineRule="auto"/>
        <w:rPr>
          <w:rFonts w:hint="eastAsia" w:ascii="宋体" w:hAnsi="宋体" w:eastAsia="宋体"/>
          <w:color w:val="000000"/>
          <w:szCs w:val="21"/>
          <w:highlight w:val="none"/>
          <w:lang w:val="en-US" w:eastAsia="zh-CN"/>
        </w:rPr>
      </w:pPr>
      <w:r>
        <w:rPr>
          <w:rFonts w:hint="eastAsia" w:ascii="宋体" w:hAnsi="宋体" w:eastAsia="宋体"/>
          <w:color w:val="000000"/>
          <w:szCs w:val="21"/>
          <w:highlight w:val="none"/>
        </w:rPr>
        <w:t>2、</w:t>
      </w:r>
      <w:r>
        <w:rPr>
          <w:rFonts w:hint="eastAsia" w:ascii="宋体" w:hAnsi="宋体" w:eastAsia="宋体"/>
          <w:color w:val="000000"/>
          <w:szCs w:val="21"/>
          <w:highlight w:val="none"/>
          <w:lang w:val="zh-CN"/>
        </w:rPr>
        <w:t>如果供应商在技术偏离表中注明无偏离，评标结束后、签订招标合同前又认为其实际产品与投标技术需求不一致的，视为供应商在投标有效期内对其投标文件进行了实质性修改，其投标将被追认为无效</w:t>
      </w:r>
      <w:r>
        <w:rPr>
          <w:rFonts w:hint="eastAsia" w:ascii="宋体" w:hAnsi="宋体" w:eastAsia="宋体"/>
          <w:color w:val="000000"/>
          <w:szCs w:val="21"/>
          <w:highlight w:val="none"/>
          <w:lang w:val="zh-CN" w:eastAsia="zh-CN"/>
        </w:rPr>
        <w:t>。</w:t>
      </w:r>
    </w:p>
    <w:p>
      <w:pPr>
        <w:spacing w:line="360" w:lineRule="auto"/>
        <w:rPr>
          <w:rFonts w:hint="eastAsia" w:ascii="宋体" w:hAnsi="宋体" w:eastAsia="宋体"/>
          <w:color w:val="000000"/>
          <w:szCs w:val="21"/>
          <w:highlight w:val="none"/>
        </w:rPr>
      </w:pPr>
      <w:r>
        <w:rPr>
          <w:rFonts w:hint="eastAsia" w:ascii="宋体" w:hAnsi="宋体" w:eastAsia="宋体"/>
          <w:color w:val="000000"/>
          <w:szCs w:val="21"/>
          <w:highlight w:val="none"/>
        </w:rPr>
        <w:t>3、标“▲”系实质性要求条款，不满足实质性要求条款的投标文件无效。</w:t>
      </w:r>
    </w:p>
    <w:p>
      <w:pPr>
        <w:spacing w:line="360" w:lineRule="auto"/>
        <w:rPr>
          <w:rFonts w:hint="eastAsia" w:ascii="宋体" w:hAnsi="宋体" w:eastAsia="宋体"/>
          <w:color w:val="000000"/>
          <w:szCs w:val="21"/>
          <w:highlight w:val="none"/>
        </w:rPr>
      </w:pPr>
      <w:r>
        <w:rPr>
          <w:rFonts w:hint="eastAsia" w:ascii="宋体" w:hAnsi="宋体"/>
          <w:color w:val="000000"/>
          <w:szCs w:val="21"/>
          <w:highlight w:val="none"/>
          <w:lang w:val="en-US" w:eastAsia="zh-CN"/>
        </w:rPr>
        <w:t>4</w:t>
      </w:r>
      <w:r>
        <w:rPr>
          <w:rFonts w:hint="eastAsia" w:ascii="宋体" w:hAnsi="宋体" w:eastAsia="宋体"/>
          <w:color w:val="000000"/>
          <w:szCs w:val="21"/>
          <w:highlight w:val="none"/>
        </w:rPr>
        <w:t>.“★”系指核心产品。</w:t>
      </w:r>
    </w:p>
    <w:p>
      <w:pPr>
        <w:spacing w:line="360" w:lineRule="auto"/>
        <w:rPr>
          <w:rFonts w:hint="eastAsia" w:ascii="宋体" w:hAnsi="宋体" w:eastAsia="宋体"/>
          <w:color w:val="000000"/>
          <w:szCs w:val="21"/>
          <w:highlight w:val="none"/>
        </w:rPr>
      </w:pPr>
      <w:r>
        <w:rPr>
          <w:rFonts w:hint="eastAsia" w:ascii="宋体" w:hAnsi="宋体"/>
          <w:color w:val="000000"/>
          <w:szCs w:val="21"/>
          <w:highlight w:val="none"/>
          <w:lang w:val="en-US" w:eastAsia="zh-CN"/>
        </w:rPr>
        <w:t>5</w:t>
      </w:r>
      <w:r>
        <w:rPr>
          <w:rFonts w:hint="eastAsia" w:ascii="宋体" w:hAnsi="宋体" w:eastAsia="宋体"/>
          <w:color w:val="000000"/>
          <w:szCs w:val="21"/>
          <w:highlight w:val="none"/>
        </w:rPr>
        <w:t>、上表中行数不够可自行添加。</w:t>
      </w:r>
    </w:p>
    <w:p>
      <w:pPr>
        <w:adjustRightInd/>
        <w:spacing w:line="360" w:lineRule="auto"/>
        <w:rPr>
          <w:rFonts w:ascii="宋体" w:hAnsi="宋体"/>
          <w:color w:val="000000"/>
          <w:highlight w:val="none"/>
        </w:rPr>
      </w:pPr>
    </w:p>
    <w:p>
      <w:pPr>
        <w:rPr>
          <w:rFonts w:ascii="宋体" w:hAnsi="宋体"/>
          <w:color w:val="000000"/>
          <w:highlight w:val="none"/>
          <w:lang w:val="zh-CN"/>
        </w:rPr>
      </w:pPr>
    </w:p>
    <w:p>
      <w:pPr>
        <w:rPr>
          <w:rFonts w:ascii="宋体" w:hAnsi="宋体"/>
          <w:color w:val="000000"/>
          <w:highlight w:val="none"/>
          <w:lang w:val="zh-CN"/>
        </w:rPr>
      </w:pPr>
    </w:p>
    <w:p>
      <w:pPr>
        <w:rPr>
          <w:rFonts w:ascii="宋体" w:hAnsi="宋体"/>
          <w:color w:val="000000"/>
          <w:highlight w:val="none"/>
          <w:lang w:val="zh-CN"/>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3"/>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3"/>
        <w:spacing w:line="360" w:lineRule="auto"/>
        <w:ind w:right="480"/>
        <w:rPr>
          <w:rFonts w:hAnsi="宋体" w:eastAsia="宋体" w:cs="宋体"/>
          <w:sz w:val="24"/>
          <w:szCs w:val="24"/>
          <w:highlight w:val="none"/>
        </w:rPr>
      </w:pPr>
      <w:r>
        <w:rPr>
          <w:rFonts w:hint="eastAsia" w:hAnsi="宋体" w:eastAsia="宋体" w:cs="宋体"/>
          <w:sz w:val="24"/>
          <w:szCs w:val="24"/>
          <w:highlight w:val="none"/>
        </w:rPr>
        <w:t>日期：_____年____月____日</w:t>
      </w:r>
    </w:p>
    <w:p>
      <w:pPr>
        <w:pStyle w:val="963"/>
        <w:spacing w:line="360" w:lineRule="auto"/>
        <w:rPr>
          <w:rFonts w:hAnsi="宋体" w:eastAsia="宋体"/>
          <w:b/>
          <w:sz w:val="24"/>
          <w:highlight w:val="none"/>
        </w:rPr>
      </w:pPr>
    </w:p>
    <w:p>
      <w:pPr>
        <w:pStyle w:val="963"/>
        <w:spacing w:line="360" w:lineRule="auto"/>
        <w:ind w:right="480"/>
        <w:rPr>
          <w:rFonts w:hAnsi="宋体" w:eastAsia="宋体"/>
          <w:sz w:val="24"/>
          <w:szCs w:val="24"/>
          <w:highlight w:val="none"/>
        </w:rPr>
      </w:pPr>
    </w:p>
    <w:p>
      <w:pPr>
        <w:pStyle w:val="963"/>
        <w:spacing w:line="360" w:lineRule="auto"/>
        <w:ind w:right="480"/>
        <w:rPr>
          <w:rFonts w:hAnsi="宋体" w:eastAsia="宋体" w:cs="宋体"/>
          <w:sz w:val="24"/>
          <w:szCs w:val="24"/>
          <w:highlight w:val="none"/>
        </w:rPr>
      </w:pPr>
    </w:p>
    <w:p>
      <w:pPr>
        <w:pStyle w:val="969"/>
        <w:pageBreakBefore w:val="0"/>
        <w:widowControl w:val="0"/>
        <w:topLinePunct w:val="0"/>
        <w:bidi w:val="0"/>
        <w:spacing w:line="276"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商务响应（偏离）表</w:t>
      </w:r>
    </w:p>
    <w:tbl>
      <w:tblPr>
        <w:tblStyle w:val="63"/>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noWrap w:val="0"/>
            <w:vAlign w:val="top"/>
          </w:tcPr>
          <w:p>
            <w:pPr>
              <w:pageBreakBefore w:val="0"/>
              <w:widowControl w:val="0"/>
              <w:topLinePunct w:val="0"/>
              <w:bidi w:val="0"/>
              <w:spacing w:before="240" w:after="24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采购文件的规定</w:t>
            </w:r>
          </w:p>
        </w:tc>
        <w:tc>
          <w:tcPr>
            <w:tcW w:w="3086"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投标</w:t>
            </w:r>
            <w:r>
              <w:rPr>
                <w:rFonts w:hint="eastAsia" w:ascii="宋体" w:hAnsi="宋体" w:eastAsia="宋体" w:cs="宋体"/>
                <w:b/>
                <w:bCs/>
                <w:color w:val="auto"/>
                <w:sz w:val="24"/>
                <w:highlight w:val="none"/>
              </w:rPr>
              <w:t>文件的响应</w:t>
            </w:r>
          </w:p>
        </w:tc>
        <w:tc>
          <w:tcPr>
            <w:tcW w:w="2107" w:type="dxa"/>
            <w:tcBorders>
              <w:tl2br w:val="nil"/>
              <w:tr2bl w:val="nil"/>
            </w:tcBorders>
            <w:noWrap w:val="0"/>
            <w:vAlign w:val="top"/>
          </w:tcPr>
          <w:p>
            <w:pPr>
              <w:pageBreakBefore w:val="0"/>
              <w:widowControl w:val="0"/>
              <w:topLinePunct w:val="0"/>
              <w:bidi w:val="0"/>
              <w:spacing w:before="240" w:after="2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086" w:type="dxa"/>
            <w:tcBorders>
              <w:tl2br w:val="nil"/>
              <w:tr2bl w:val="nil"/>
            </w:tcBorders>
            <w:noWrap w:val="0"/>
            <w:vAlign w:val="center"/>
          </w:tcPr>
          <w:p>
            <w:pPr>
              <w:pageBreakBefore w:val="0"/>
              <w:widowControl w:val="0"/>
              <w:topLinePunct w:val="0"/>
              <w:bidi w:val="0"/>
              <w:spacing w:before="156" w:beforeLines="50" w:after="156" w:afterLines="50" w:line="300" w:lineRule="auto"/>
              <w:jc w:val="center"/>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3086"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c>
          <w:tcPr>
            <w:tcW w:w="2107" w:type="dxa"/>
            <w:tcBorders>
              <w:tl2br w:val="nil"/>
              <w:tr2bl w:val="nil"/>
            </w:tcBorders>
            <w:noWrap w:val="0"/>
            <w:vAlign w:val="top"/>
          </w:tcPr>
          <w:p>
            <w:pPr>
              <w:pageBreakBefore w:val="0"/>
              <w:widowControl w:val="0"/>
              <w:topLinePunct w:val="0"/>
              <w:bidi w:val="0"/>
              <w:spacing w:before="156" w:beforeLines="50" w:after="156" w:afterLines="50" w:line="276" w:lineRule="auto"/>
              <w:ind w:firstLine="48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noWrap w:val="0"/>
            <w:vAlign w:val="center"/>
          </w:tcPr>
          <w:p>
            <w:pPr>
              <w:pageBreakBefore w:val="0"/>
              <w:widowControl w:val="0"/>
              <w:topLinePunct w:val="0"/>
              <w:bidi w:val="0"/>
              <w:spacing w:before="156" w:beforeLines="50" w:after="156" w:afterLines="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3086"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c>
          <w:tcPr>
            <w:tcW w:w="2107" w:type="dxa"/>
            <w:tcBorders>
              <w:tl2br w:val="nil"/>
              <w:tr2bl w:val="nil"/>
            </w:tcBorders>
            <w:noWrap w:val="0"/>
            <w:vAlign w:val="center"/>
          </w:tcPr>
          <w:p>
            <w:pPr>
              <w:pageBreakBefore w:val="0"/>
              <w:widowControl w:val="0"/>
              <w:topLinePunct w:val="0"/>
              <w:bidi w:val="0"/>
              <w:spacing w:before="156" w:beforeLines="50" w:after="156" w:afterLines="50"/>
              <w:jc w:val="center"/>
              <w:rPr>
                <w:rFonts w:hint="eastAsia" w:ascii="宋体" w:hAnsi="宋体" w:eastAsia="宋体" w:cs="宋体"/>
                <w:color w:val="auto"/>
                <w:highlight w:val="none"/>
              </w:rPr>
            </w:pPr>
            <w:r>
              <w:rPr>
                <w:rFonts w:hint="eastAsia" w:ascii="宋体" w:hAnsi="宋体" w:eastAsia="宋体" w:cs="宋体"/>
                <w:color w:val="auto"/>
                <w:sz w:val="24"/>
                <w:highlight w:val="none"/>
              </w:rPr>
              <w:t>…</w:t>
            </w:r>
          </w:p>
        </w:tc>
      </w:tr>
    </w:tbl>
    <w:p>
      <w:pPr>
        <w:keepNext w:val="0"/>
        <w:keepLines w:val="0"/>
        <w:pageBreakBefore w:val="0"/>
        <w:widowControl w:val="0"/>
        <w:kinsoku/>
        <w:wordWrap/>
        <w:overflowPunct/>
        <w:topLinePunct w:val="0"/>
        <w:autoSpaceDE/>
        <w:autoSpaceDN/>
        <w:bidi w:val="0"/>
        <w:adjustRightInd w:val="0"/>
        <w:spacing w:line="360" w:lineRule="auto"/>
        <w:ind w:firstLine="482"/>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供应商的响应文件（除技术规格部分）与采购文件之规定存在偏离的，应在此表中如实说明。未在上表中说明的，将被认为完全响应采购文件的规定。</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20" w:beforeLines="50" w:after="50" w:line="360" w:lineRule="auto"/>
        <w:jc w:val="both"/>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上表中行数不够可自行添加</w:t>
      </w:r>
    </w:p>
    <w:p>
      <w:pPr>
        <w:snapToGrid w:val="0"/>
        <w:spacing w:before="50" w:after="50" w:line="360" w:lineRule="auto"/>
        <w:rPr>
          <w:rFonts w:hint="eastAsia" w:ascii="宋体" w:hAnsi="宋体"/>
          <w:sz w:val="24"/>
          <w:highlight w:val="none"/>
        </w:rPr>
      </w:pPr>
    </w:p>
    <w:p>
      <w:pPr>
        <w:snapToGrid w:val="0"/>
        <w:spacing w:before="50" w:after="50" w:line="360" w:lineRule="auto"/>
        <w:rPr>
          <w:rFonts w:hint="eastAsia" w:ascii="宋体" w:hAnsi="宋体"/>
          <w:sz w:val="24"/>
          <w:highlight w:val="none"/>
        </w:rPr>
      </w:pPr>
    </w:p>
    <w:p>
      <w:pPr>
        <w:snapToGrid w:val="0"/>
        <w:spacing w:before="50" w:after="50" w:line="360" w:lineRule="auto"/>
        <w:rPr>
          <w:rFonts w:hint="eastAsia"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9"/>
        <w:spacing w:line="360" w:lineRule="auto"/>
        <w:ind w:right="480"/>
        <w:rPr>
          <w:rFonts w:hint="eastAsia"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5"/>
        <w:keepNext/>
        <w:keepLines/>
        <w:widowControl w:val="0"/>
        <w:numPr>
          <w:ilvl w:val="0"/>
          <w:numId w:val="0"/>
        </w:numPr>
        <w:adjustRightInd/>
        <w:spacing w:line="360" w:lineRule="auto"/>
        <w:jc w:val="left"/>
        <w:outlineLvl w:val="1"/>
        <w:rPr>
          <w:rFonts w:hint="eastAsia" w:ascii="宋体" w:hAnsi="宋体" w:eastAsia="宋体" w:cs="Times New Roman"/>
          <w:b w:val="0"/>
          <w:bCs w:val="0"/>
          <w:kern w:val="2"/>
          <w:sz w:val="24"/>
          <w:szCs w:val="24"/>
          <w:highlight w:val="none"/>
          <w:lang w:val="en-US" w:eastAsia="zh-CN" w:bidi="ar-SA"/>
        </w:rPr>
      </w:pPr>
      <w:r>
        <w:rPr>
          <w:rFonts w:hint="eastAsia" w:ascii="宋体" w:hAnsi="宋体" w:eastAsia="宋体" w:cs="Times New Roman"/>
          <w:b w:val="0"/>
          <w:bCs w:val="0"/>
          <w:kern w:val="2"/>
          <w:sz w:val="24"/>
          <w:szCs w:val="24"/>
          <w:highlight w:val="none"/>
          <w:lang w:val="en-US" w:eastAsia="zh-CN" w:bidi="ar-SA"/>
        </w:rPr>
        <w:t>日期：_____年____月____日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both"/>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投标函</w:t>
      </w:r>
    </w:p>
    <w:p>
      <w:pPr>
        <w:snapToGrid w:val="0"/>
        <w:spacing w:line="360" w:lineRule="auto"/>
        <w:rPr>
          <w:rFonts w:ascii="宋体" w:hAnsi="宋体" w:cs="宋体"/>
          <w:sz w:val="24"/>
          <w:szCs w:val="20"/>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 xml:space="preserve">（采购人）：  </w:t>
      </w:r>
    </w:p>
    <w:p>
      <w:pPr>
        <w:snapToGrid w:val="0"/>
        <w:spacing w:before="120" w:beforeLines="50" w:after="50" w:line="360" w:lineRule="auto"/>
        <w:ind w:firstLine="480" w:firstLineChars="200"/>
        <w:rPr>
          <w:rFonts w:ascii="宋体" w:hAnsi="宋体" w:cs="宋体"/>
          <w:bCs/>
          <w:sz w:val="24"/>
          <w:szCs w:val="20"/>
          <w:highlight w:val="none"/>
        </w:rPr>
      </w:pPr>
      <w:r>
        <w:rPr>
          <w:rFonts w:hint="eastAsia" w:ascii="宋体" w:hAnsi="宋体" w:cs="宋体"/>
          <w:sz w:val="24"/>
          <w:highlight w:val="none"/>
        </w:rPr>
        <w:t>根据贵方为</w:t>
      </w:r>
      <w:r>
        <w:rPr>
          <w:rFonts w:hint="eastAsia" w:ascii="宋体" w:hAnsi="宋体" w:cs="宋体"/>
          <w:bCs/>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的招标公告（项目编号：</w:t>
      </w:r>
      <w:r>
        <w:rPr>
          <w:rFonts w:hint="eastAsia" w:ascii="宋体" w:hAnsi="宋体" w:cs="宋体"/>
          <w:sz w:val="24"/>
          <w:highlight w:val="none"/>
          <w:u w:val="single"/>
        </w:rPr>
        <w:t xml:space="preserve">               </w:t>
      </w:r>
      <w:r>
        <w:rPr>
          <w:rFonts w:hint="eastAsia" w:ascii="宋体" w:hAnsi="宋体" w:cs="宋体"/>
          <w:sz w:val="24"/>
          <w:highlight w:val="none"/>
        </w:rPr>
        <w:t>），签字代表</w:t>
      </w:r>
      <w:r>
        <w:rPr>
          <w:rFonts w:hint="eastAsia" w:ascii="宋体" w:hAnsi="宋体" w:cs="宋体"/>
          <w:sz w:val="24"/>
          <w:highlight w:val="none"/>
          <w:u w:val="single"/>
        </w:rPr>
        <w:t xml:space="preserve">               </w:t>
      </w:r>
      <w:r>
        <w:rPr>
          <w:rFonts w:hint="eastAsia" w:ascii="宋体" w:hAnsi="宋体" w:cs="宋体"/>
          <w:sz w:val="24"/>
          <w:highlight w:val="none"/>
        </w:rPr>
        <w:t>（全名）经正式授权并代表投标人_</w:t>
      </w:r>
      <w:r>
        <w:rPr>
          <w:rFonts w:hint="eastAsia" w:ascii="宋体" w:hAnsi="宋体" w:cs="宋体"/>
          <w:sz w:val="24"/>
          <w:highlight w:val="none"/>
          <w:u w:val="single"/>
        </w:rPr>
        <w:t xml:space="preserve">                      </w:t>
      </w:r>
      <w:r>
        <w:rPr>
          <w:rFonts w:hint="eastAsia" w:ascii="宋体" w:hAnsi="宋体" w:cs="宋体"/>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据此函，签字代表宣布同意如下：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3.本投标有效期自开标日起 ______个日。</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5.投标人同意按照贵方要求提供与投标有关的一切数据或资料。</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6.与本投标有关的一切正式往来信函请寄：</w:t>
      </w:r>
    </w:p>
    <w:p>
      <w:pPr>
        <w:snapToGrid w:val="0"/>
        <w:spacing w:line="360" w:lineRule="auto"/>
        <w:rPr>
          <w:rFonts w:ascii="宋体" w:hAnsi="宋体" w:cs="宋体"/>
          <w:sz w:val="24"/>
          <w:szCs w:val="20"/>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邮编：__________  电话：_____________</w:t>
      </w:r>
    </w:p>
    <w:p>
      <w:pPr>
        <w:snapToGrid w:val="0"/>
        <w:spacing w:line="360" w:lineRule="auto"/>
        <w:rPr>
          <w:rFonts w:ascii="宋体" w:hAnsi="宋体" w:cs="宋体"/>
          <w:sz w:val="24"/>
          <w:highlight w:val="none"/>
          <w:u w:val="single"/>
        </w:rPr>
      </w:pPr>
      <w:r>
        <w:rPr>
          <w:rFonts w:hint="eastAsia" w:ascii="宋体" w:hAnsi="宋体" w:cs="宋体"/>
          <w:sz w:val="24"/>
          <w:highlight w:val="none"/>
        </w:rPr>
        <w:t>传真：______________投标人代表姓名：__________  职务：</w:t>
      </w:r>
      <w:r>
        <w:rPr>
          <w:rFonts w:hint="eastAsia" w:ascii="宋体" w:hAnsi="宋体" w:cs="宋体"/>
          <w:sz w:val="24"/>
          <w:highlight w:val="none"/>
          <w:u w:val="single"/>
        </w:rPr>
        <w:t xml:space="preserve">               </w:t>
      </w:r>
    </w:p>
    <w:p>
      <w:pPr>
        <w:snapToGrid w:val="0"/>
        <w:spacing w:line="360" w:lineRule="auto"/>
        <w:rPr>
          <w:rFonts w:ascii="宋体" w:hAnsi="宋体" w:cs="宋体"/>
          <w:sz w:val="24"/>
          <w:szCs w:val="20"/>
          <w:highlight w:val="none"/>
        </w:rPr>
      </w:pPr>
      <w:r>
        <w:rPr>
          <w:rFonts w:hint="eastAsia" w:ascii="宋体" w:hAnsi="宋体" w:cs="宋体"/>
          <w:sz w:val="24"/>
          <w:highlight w:val="none"/>
        </w:rPr>
        <w:t>投标人名称(公章):___________________</w:t>
      </w:r>
    </w:p>
    <w:p>
      <w:pPr>
        <w:snapToGrid w:val="0"/>
        <w:spacing w:line="360" w:lineRule="auto"/>
        <w:rPr>
          <w:rFonts w:ascii="宋体" w:hAnsi="宋体" w:cs="宋体"/>
          <w:sz w:val="24"/>
          <w:szCs w:val="20"/>
          <w:highlight w:val="none"/>
        </w:rPr>
      </w:pPr>
      <w:r>
        <w:rPr>
          <w:rFonts w:hint="eastAsia" w:ascii="宋体" w:hAnsi="宋体" w:cs="宋体"/>
          <w:sz w:val="24"/>
          <w:highlight w:val="none"/>
        </w:rPr>
        <w:t>开户银行：</w:t>
      </w:r>
      <w:r>
        <w:rPr>
          <w:rFonts w:hint="eastAsia" w:ascii="宋体" w:hAnsi="宋体" w:cs="宋体"/>
          <w:sz w:val="24"/>
          <w:highlight w:val="none"/>
          <w:u w:val="single"/>
        </w:rPr>
        <w:t xml:space="preserve">                      </w:t>
      </w:r>
      <w:r>
        <w:rPr>
          <w:rFonts w:hint="eastAsia" w:ascii="宋体" w:hAnsi="宋体" w:cs="宋体"/>
          <w:sz w:val="24"/>
          <w:highlight w:val="none"/>
        </w:rPr>
        <w:t xml:space="preserve">   银行帐号：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line="360" w:lineRule="auto"/>
        <w:rPr>
          <w:rFonts w:hint="eastAsia" w:ascii="宋体" w:hAnsi="宋体" w:cs="宋体"/>
          <w:sz w:val="24"/>
          <w:highlight w:val="none"/>
        </w:rPr>
      </w:pPr>
      <w:r>
        <w:rPr>
          <w:rFonts w:hint="eastAsia" w:ascii="宋体" w:hAnsi="宋体" w:cs="宋体"/>
          <w:sz w:val="24"/>
          <w:highlight w:val="none"/>
        </w:rPr>
        <w:t xml:space="preserve">法定代表人或授权委托人（签名）：            </w:t>
      </w:r>
    </w:p>
    <w:p>
      <w:pPr>
        <w:snapToGrid w:val="0"/>
        <w:spacing w:line="360" w:lineRule="auto"/>
        <w:jc w:val="center"/>
        <w:rPr>
          <w:rFonts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投标人（加盖公章）：          </w:t>
      </w:r>
    </w:p>
    <w:p>
      <w:pPr>
        <w:snapToGrid w:val="0"/>
        <w:spacing w:line="360" w:lineRule="auto"/>
        <w:ind w:firstLine="5040" w:firstLineChars="2100"/>
        <w:rPr>
          <w:rFonts w:ascii="宋体" w:hAnsi="宋体" w:cs="宋体"/>
          <w:sz w:val="24"/>
          <w:highlight w:val="none"/>
        </w:rPr>
      </w:pPr>
    </w:p>
    <w:p>
      <w:pPr>
        <w:snapToGrid w:val="0"/>
        <w:spacing w:line="360" w:lineRule="auto"/>
        <w:ind w:firstLine="5040" w:firstLineChars="2100"/>
        <w:rPr>
          <w:rFonts w:ascii="宋体" w:hAnsi="宋体" w:cs="宋体"/>
          <w:sz w:val="24"/>
          <w:highlight w:val="none"/>
        </w:rPr>
      </w:pPr>
      <w:r>
        <w:rPr>
          <w:rFonts w:hint="eastAsia" w:ascii="宋体" w:hAnsi="宋体" w:cs="宋体"/>
          <w:sz w:val="24"/>
          <w:highlight w:val="none"/>
        </w:rPr>
        <w:t>日期:_____年___月___日</w:t>
      </w: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pStyle w:val="2"/>
        <w:rPr>
          <w:rFonts w:hAnsi="宋体" w:cs="宋体"/>
          <w:highlight w:val="none"/>
        </w:rPr>
      </w:pPr>
    </w:p>
    <w:p>
      <w:pPr>
        <w:pStyle w:val="2"/>
        <w:rPr>
          <w:rFonts w:hAnsi="宋体" w:cs="宋体"/>
          <w:highlight w:val="none"/>
        </w:rPr>
      </w:pPr>
    </w:p>
    <w:bookmarkEnd w:id="35"/>
    <w:p>
      <w:pPr>
        <w:snapToGrid w:val="0"/>
        <w:spacing w:before="50" w:after="50"/>
        <w:jc w:val="center"/>
        <w:rPr>
          <w:rFonts w:ascii="宋体" w:hAnsi="宋体" w:cs="宋体"/>
          <w:b/>
          <w:sz w:val="24"/>
          <w:highlight w:val="none"/>
        </w:rPr>
      </w:pPr>
      <w:r>
        <w:rPr>
          <w:rFonts w:hint="eastAsia" w:ascii="宋体" w:hAnsi="宋体" w:cs="宋体"/>
          <w:b/>
          <w:sz w:val="24"/>
          <w:highlight w:val="none"/>
        </w:rPr>
        <w:t>开标一览表</w:t>
      </w:r>
    </w:p>
    <w:p>
      <w:pPr>
        <w:snapToGrid w:val="0"/>
        <w:spacing w:before="50" w:after="50"/>
        <w:jc w:val="center"/>
        <w:rPr>
          <w:rFonts w:ascii="宋体" w:hAnsi="宋体" w:cs="宋体"/>
          <w:b/>
          <w:sz w:val="24"/>
          <w:szCs w:val="20"/>
          <w:highlight w:val="none"/>
        </w:rPr>
      </w:pPr>
    </w:p>
    <w:p>
      <w:pPr>
        <w:snapToGrid w:val="0"/>
        <w:spacing w:before="50" w:after="50"/>
        <w:ind w:right="480"/>
        <w:rPr>
          <w:rFonts w:ascii="宋体" w:hAnsi="宋体" w:cs="宋体"/>
          <w:sz w:val="24"/>
          <w:highlight w:val="none"/>
          <w:u w:val="single"/>
        </w:rPr>
      </w:pP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 xml:space="preserve">                      单位：</w:t>
      </w:r>
      <w:r>
        <w:rPr>
          <w:rFonts w:hint="eastAsia" w:ascii="宋体" w:hAnsi="宋体"/>
          <w:sz w:val="24"/>
          <w:highlight w:val="none"/>
        </w:rPr>
        <w:t>人民币</w:t>
      </w:r>
      <w:r>
        <w:rPr>
          <w:rFonts w:hint="eastAsia" w:ascii="宋体" w:hAnsi="宋体" w:cs="宋体"/>
          <w:sz w:val="24"/>
          <w:highlight w:val="none"/>
        </w:rPr>
        <w:t>元</w:t>
      </w:r>
    </w:p>
    <w:p>
      <w:pPr>
        <w:snapToGrid w:val="0"/>
        <w:spacing w:before="50" w:after="50"/>
        <w:ind w:right="480"/>
        <w:jc w:val="right"/>
        <w:rPr>
          <w:rFonts w:ascii="宋体" w:hAnsi="宋体" w:cs="宋体"/>
          <w:sz w:val="24"/>
          <w:highlight w:val="none"/>
        </w:rPr>
      </w:pPr>
      <w:r>
        <w:rPr>
          <w:rFonts w:hint="eastAsia" w:ascii="宋体" w:hAnsi="宋体" w:cs="宋体"/>
          <w:sz w:val="24"/>
          <w:highlight w:val="none"/>
        </w:rP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szCs w:val="21"/>
                <w:highlight w:val="none"/>
              </w:rPr>
            </w:pPr>
            <w:r>
              <w:rPr>
                <w:rFonts w:hint="eastAsia"/>
                <w:b/>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5"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服务期限</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hint="eastAsia" w:eastAsia="宋体"/>
                <w:szCs w:val="21"/>
                <w:highlight w:val="none"/>
                <w:lang w:val="en-US" w:eastAsia="zh-CN"/>
              </w:rPr>
            </w:pPr>
            <w:r>
              <w:rPr>
                <w:rFonts w:hint="eastAsia" w:eastAsia="宋体"/>
                <w:szCs w:val="21"/>
                <w:highlight w:val="none"/>
                <w:lang w:val="en-US" w:eastAsia="zh-CN"/>
              </w:rPr>
              <w:t>自合同签订之日起</w:t>
            </w:r>
            <w:r>
              <w:rPr>
                <w:rFonts w:hint="eastAsia"/>
                <w:szCs w:val="21"/>
                <w:highlight w:val="none"/>
                <w:u w:val="single"/>
                <w:lang w:val="en-US" w:eastAsia="zh-CN"/>
              </w:rPr>
              <w:t xml:space="preserve">     </w:t>
            </w:r>
            <w:r>
              <w:rPr>
                <w:rFonts w:hint="eastAsia"/>
                <w:szCs w:val="21"/>
                <w:highlight w:val="none"/>
                <w:u w:val="none"/>
                <w:lang w:val="en-US" w:eastAsia="zh-CN"/>
              </w:rPr>
              <w:t>日</w:t>
            </w:r>
            <w:r>
              <w:rPr>
                <w:rFonts w:hint="eastAsia" w:eastAsia="宋体"/>
                <w:szCs w:val="21"/>
                <w:highlight w:val="none"/>
                <w:u w:val="none"/>
                <w:lang w:val="en-US" w:eastAsia="zh-CN"/>
              </w:rPr>
              <w:t>内完</w:t>
            </w:r>
            <w:r>
              <w:rPr>
                <w:rFonts w:hint="eastAsia" w:eastAsia="宋体"/>
                <w:szCs w:val="21"/>
                <w:highlight w:val="none"/>
                <w:lang w:val="en-US" w:eastAsia="zh-CN"/>
              </w:rPr>
              <w:t>成所有货物的供货、安装、调试</w:t>
            </w:r>
          </w:p>
        </w:tc>
      </w:tr>
    </w:tbl>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注: 1、报价一经涂改，应在涂改处加盖单位公章或者由法定代表人或被授权人签字或盖章，否则其投标作无效标处理。</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2、本页后附投标报价明细表。</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3、以上报价应与“投标</w:t>
      </w:r>
      <w:r>
        <w:rPr>
          <w:rFonts w:hint="eastAsia" w:ascii="宋体" w:hAnsi="宋体" w:cs="宋体"/>
          <w:sz w:val="22"/>
          <w:szCs w:val="28"/>
          <w:highlight w:val="none"/>
        </w:rPr>
        <w:t>报价</w:t>
      </w:r>
      <w:r>
        <w:rPr>
          <w:rFonts w:hint="eastAsia" w:ascii="宋体" w:hAnsi="宋体" w:cs="宋体"/>
          <w:sz w:val="22"/>
          <w:szCs w:val="22"/>
          <w:highlight w:val="none"/>
        </w:rPr>
        <w:t>明细表”中的“投标总价”数相一致。</w:t>
      </w:r>
    </w:p>
    <w:p>
      <w:pPr>
        <w:snapToGrid w:val="0"/>
        <w:spacing w:line="480" w:lineRule="exact"/>
        <w:ind w:left="-3" w:leftChars="-72" w:right="-817" w:rightChars="-389" w:hanging="148" w:hangingChars="62"/>
        <w:rPr>
          <w:rFonts w:ascii="宋体" w:hAnsi="宋体" w:cs="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3"/>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3"/>
        <w:spacing w:line="360" w:lineRule="auto"/>
        <w:ind w:right="480"/>
        <w:rPr>
          <w:rFonts w:hAnsi="宋体" w:eastAsia="宋体" w:cs="宋体"/>
          <w:sz w:val="24"/>
          <w:szCs w:val="24"/>
          <w:highlight w:val="none"/>
        </w:rPr>
      </w:pPr>
      <w:r>
        <w:rPr>
          <w:rFonts w:hint="eastAsia" w:hAnsi="宋体" w:eastAsia="宋体" w:cs="宋体"/>
          <w:sz w:val="24"/>
          <w:szCs w:val="24"/>
          <w:highlight w:val="none"/>
        </w:rPr>
        <w:t>日期：_____年____月____日</w:t>
      </w:r>
    </w:p>
    <w:p>
      <w:pPr>
        <w:snapToGrid w:val="0"/>
        <w:spacing w:before="50" w:after="50"/>
        <w:ind w:left="-2" w:leftChars="-1" w:right="-817" w:rightChars="-389" w:firstLine="4800" w:firstLineChars="2000"/>
        <w:rPr>
          <w:rFonts w:ascii="宋体" w:hAnsi="宋体" w:cs="宋体"/>
          <w:sz w:val="24"/>
          <w:szCs w:val="20"/>
          <w:highlight w:val="none"/>
        </w:rPr>
      </w:pPr>
    </w:p>
    <w:p>
      <w:pPr>
        <w:widowControl/>
        <w:spacing w:line="360" w:lineRule="auto"/>
        <w:ind w:left="212" w:hanging="572"/>
        <w:rPr>
          <w:rFonts w:ascii="宋体" w:hAnsi="宋体" w:cs="宋体"/>
          <w:b/>
          <w:highlight w:val="none"/>
        </w:rPr>
        <w:sectPr>
          <w:pgSz w:w="11906" w:h="16838"/>
          <w:pgMar w:top="1440" w:right="1797" w:bottom="1440"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widowControl/>
        <w:spacing w:line="360" w:lineRule="auto"/>
        <w:ind w:left="212" w:hanging="572"/>
        <w:jc w:val="center"/>
        <w:rPr>
          <w:rFonts w:ascii="宋体" w:hAnsi="宋体"/>
          <w:b/>
          <w:sz w:val="28"/>
          <w:szCs w:val="28"/>
          <w:highlight w:val="none"/>
        </w:rPr>
      </w:pPr>
      <w:r>
        <w:rPr>
          <w:rFonts w:hint="eastAsia" w:ascii="宋体" w:hAnsi="宋体"/>
          <w:b/>
          <w:sz w:val="28"/>
          <w:szCs w:val="28"/>
          <w:highlight w:val="none"/>
        </w:rPr>
        <w:t>投标报价明细表</w:t>
      </w:r>
    </w:p>
    <w:p>
      <w:pPr>
        <w:snapToGrid w:val="0"/>
        <w:spacing w:before="120" w:after="120"/>
        <w:rPr>
          <w:rFonts w:ascii="宋体" w:hAnsi="宋体"/>
          <w:sz w:val="24"/>
          <w:highlight w:val="none"/>
        </w:rPr>
      </w:pPr>
    </w:p>
    <w:p>
      <w:pPr>
        <w:snapToGrid w:val="0"/>
        <w:spacing w:before="120" w:after="120"/>
        <w:rPr>
          <w:rFonts w:ascii="宋体" w:hAnsi="宋体"/>
          <w:bCs/>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bCs/>
          <w:sz w:val="24"/>
          <w:highlight w:val="none"/>
        </w:rPr>
        <w:t xml:space="preserve">                                  单位：人民币元</w:t>
      </w:r>
    </w:p>
    <w:tbl>
      <w:tblPr>
        <w:tblStyle w:val="63"/>
        <w:tblW w:w="9321" w:type="dxa"/>
        <w:tblInd w:w="-4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2"/>
        <w:gridCol w:w="991"/>
        <w:gridCol w:w="970"/>
        <w:gridCol w:w="1234"/>
        <w:gridCol w:w="1200"/>
        <w:gridCol w:w="1742"/>
        <w:gridCol w:w="1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522"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货物</w:t>
            </w:r>
          </w:p>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名称</w:t>
            </w:r>
          </w:p>
        </w:tc>
        <w:tc>
          <w:tcPr>
            <w:tcW w:w="99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品牌</w:t>
            </w:r>
          </w:p>
        </w:tc>
        <w:tc>
          <w:tcPr>
            <w:tcW w:w="970"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产地</w:t>
            </w:r>
          </w:p>
        </w:tc>
        <w:tc>
          <w:tcPr>
            <w:tcW w:w="1234"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规格</w:t>
            </w:r>
          </w:p>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型号</w:t>
            </w:r>
          </w:p>
        </w:tc>
        <w:tc>
          <w:tcPr>
            <w:tcW w:w="1200"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rPr>
              <w:t>数量</w:t>
            </w:r>
            <w:r>
              <w:rPr>
                <w:rFonts w:hint="eastAsia" w:ascii="宋体" w:hAnsi="宋体" w:cs="宋体"/>
                <w:bCs/>
                <w:color w:val="auto"/>
                <w:sz w:val="24"/>
                <w:highlight w:val="none"/>
                <w:lang w:eastAsia="zh-CN"/>
              </w:rPr>
              <w:t>（单位）</w:t>
            </w:r>
          </w:p>
        </w:tc>
        <w:tc>
          <w:tcPr>
            <w:tcW w:w="1742" w:type="dxa"/>
            <w:vMerge w:val="restart"/>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rPr>
              <w:t>单价（元）</w:t>
            </w:r>
          </w:p>
        </w:tc>
        <w:tc>
          <w:tcPr>
            <w:tcW w:w="1662" w:type="dxa"/>
            <w:vMerge w:val="restart"/>
            <w:tcBorders>
              <w:top w:val="single" w:color="auto" w:sz="4" w:space="0"/>
              <w:left w:val="single" w:color="auto" w:sz="4" w:space="0"/>
              <w:bottom w:val="nil"/>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合</w:t>
            </w:r>
            <w:r>
              <w:rPr>
                <w:rFonts w:hint="eastAsia" w:ascii="宋体" w:hAnsi="宋体" w:cs="宋体"/>
                <w:bCs/>
                <w:color w:val="auto"/>
                <w:sz w:val="24"/>
                <w:highlight w:val="none"/>
              </w:rPr>
              <w:t>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52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991"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970"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234"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200"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74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c>
          <w:tcPr>
            <w:tcW w:w="1662" w:type="dxa"/>
            <w:vMerge w:val="continue"/>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lang w:val="en-US" w:eastAsia="zh-CN"/>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color w:val="auto"/>
                <w:sz w:val="24"/>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eastAsia="宋体" w:cs="宋体"/>
                <w:bCs/>
                <w:color w:val="auto"/>
                <w:sz w:val="24"/>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center"/>
              <w:rPr>
                <w:rFonts w:hint="eastAsia"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932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jc w:val="both"/>
              <w:rPr>
                <w:rFonts w:hint="eastAsia" w:ascii="宋体" w:hAnsi="宋体" w:cs="宋体"/>
                <w:bCs/>
                <w:color w:val="auto"/>
                <w:sz w:val="24"/>
                <w:highlight w:val="none"/>
              </w:rPr>
            </w:pPr>
            <w:r>
              <w:rPr>
                <w:rFonts w:hint="eastAsia" w:ascii="宋体" w:hAnsi="宋体" w:cs="宋体"/>
                <w:bCs/>
                <w:color w:val="auto"/>
                <w:sz w:val="24"/>
                <w:highlight w:val="none"/>
              </w:rPr>
              <w:t xml:space="preserve">投标总价金额大写：                               小写：￥             </w:t>
            </w:r>
          </w:p>
        </w:tc>
      </w:tr>
    </w:tbl>
    <w:p>
      <w:pPr>
        <w:spacing w:line="400" w:lineRule="exact"/>
        <w:rPr>
          <w:rFonts w:ascii="仿宋" w:hAnsi="仿宋" w:eastAsia="仿宋"/>
          <w:sz w:val="24"/>
          <w:highlight w:val="none"/>
        </w:rPr>
      </w:pPr>
      <w:r>
        <w:rPr>
          <w:rFonts w:hint="eastAsia" w:hAnsi="宋体" w:eastAsia="宋体" w:cs="宋体"/>
          <w:sz w:val="24"/>
          <w:szCs w:val="24"/>
          <w:highlight w:val="none"/>
          <w:lang w:val="en-US" w:eastAsia="zh-CN"/>
        </w:rPr>
        <w:t>注：上表中行数不够可自行添加</w:t>
      </w:r>
      <w:r>
        <w:rPr>
          <w:rFonts w:hint="eastAsia" w:hAnsi="宋体" w:cs="宋体"/>
          <w:sz w:val="24"/>
          <w:szCs w:val="24"/>
          <w:highlight w:val="none"/>
          <w:lang w:val="en-US" w:eastAsia="zh-CN"/>
        </w:rPr>
        <w:t>。</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3"/>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3"/>
        <w:spacing w:line="360" w:lineRule="auto"/>
        <w:ind w:right="480"/>
        <w:rPr>
          <w:rFonts w:hAnsi="宋体" w:eastAsia="宋体" w:cs="宋体"/>
          <w:sz w:val="24"/>
          <w:szCs w:val="24"/>
          <w:highlight w:val="none"/>
        </w:rPr>
      </w:pPr>
      <w:r>
        <w:rPr>
          <w:rFonts w:hint="eastAsia" w:hAnsi="宋体" w:eastAsia="宋体" w:cs="宋体"/>
          <w:sz w:val="24"/>
          <w:szCs w:val="24"/>
          <w:highlight w:val="none"/>
        </w:rPr>
        <w:t>日期：_____年____月____日</w:t>
      </w:r>
    </w:p>
    <w:p>
      <w:pPr>
        <w:pStyle w:val="5"/>
        <w:rPr>
          <w:rFonts w:ascii="仿宋" w:eastAsia="仿宋"/>
          <w:sz w:val="24"/>
          <w:highlight w:val="none"/>
        </w:rPr>
      </w:pPr>
    </w:p>
    <w:p>
      <w:pPr>
        <w:rPr>
          <w:rFonts w:ascii="仿宋" w:hAnsi="仿宋" w:eastAsia="仿宋"/>
          <w:bCs/>
          <w:sz w:val="24"/>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D09ECA7D"/>
    <w:multiLevelType w:val="singleLevel"/>
    <w:tmpl w:val="D09ECA7D"/>
    <w:lvl w:ilvl="0" w:tentative="0">
      <w:start w:val="2"/>
      <w:numFmt w:val="decimal"/>
      <w:suff w:val="nothing"/>
      <w:lvlText w:val="%1、"/>
      <w:lvlJc w:val="left"/>
    </w:lvl>
  </w:abstractNum>
  <w:abstractNum w:abstractNumId="3">
    <w:nsid w:val="5D804704"/>
    <w:multiLevelType w:val="singleLevel"/>
    <w:tmpl w:val="5D804704"/>
    <w:lvl w:ilvl="0" w:tentative="0">
      <w:start w:val="1"/>
      <w:numFmt w:val="chineseCounting"/>
      <w:suff w:val="nothing"/>
      <w:lvlText w:val="%1、"/>
      <w:lvlJc w:val="left"/>
    </w:lvl>
  </w:abstractNum>
  <w:abstractNum w:abstractNumId="4">
    <w:nsid w:val="5D804826"/>
    <w:multiLevelType w:val="singleLevel"/>
    <w:tmpl w:val="5D804826"/>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mExZmU3OGViM2YxOWQzMWVmYmMyMjQ0MDBhM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D63FC"/>
    <w:rsid w:val="011F6449"/>
    <w:rsid w:val="01236AFB"/>
    <w:rsid w:val="013D1A7E"/>
    <w:rsid w:val="0155173E"/>
    <w:rsid w:val="01910EDE"/>
    <w:rsid w:val="019F7441"/>
    <w:rsid w:val="01A319FB"/>
    <w:rsid w:val="01B37585"/>
    <w:rsid w:val="01BE7266"/>
    <w:rsid w:val="01D55165"/>
    <w:rsid w:val="01DF6BF8"/>
    <w:rsid w:val="01EC2C57"/>
    <w:rsid w:val="01F05F33"/>
    <w:rsid w:val="02151639"/>
    <w:rsid w:val="02575527"/>
    <w:rsid w:val="026B2E25"/>
    <w:rsid w:val="02824D4D"/>
    <w:rsid w:val="02C46BBB"/>
    <w:rsid w:val="02DC4B10"/>
    <w:rsid w:val="02DD76CE"/>
    <w:rsid w:val="02E9212D"/>
    <w:rsid w:val="02F36323"/>
    <w:rsid w:val="02F5619C"/>
    <w:rsid w:val="0326446A"/>
    <w:rsid w:val="032D5555"/>
    <w:rsid w:val="036634D2"/>
    <w:rsid w:val="037B371D"/>
    <w:rsid w:val="03DD35E4"/>
    <w:rsid w:val="04076900"/>
    <w:rsid w:val="041A5A3B"/>
    <w:rsid w:val="042311BA"/>
    <w:rsid w:val="042B157A"/>
    <w:rsid w:val="048F763B"/>
    <w:rsid w:val="049F330E"/>
    <w:rsid w:val="04AA775C"/>
    <w:rsid w:val="04AF1889"/>
    <w:rsid w:val="04F66F48"/>
    <w:rsid w:val="05251E14"/>
    <w:rsid w:val="052C0654"/>
    <w:rsid w:val="054B2EBB"/>
    <w:rsid w:val="05541A7D"/>
    <w:rsid w:val="05A16594"/>
    <w:rsid w:val="05A7762D"/>
    <w:rsid w:val="06011897"/>
    <w:rsid w:val="060253CB"/>
    <w:rsid w:val="060B4A3D"/>
    <w:rsid w:val="060E5941"/>
    <w:rsid w:val="06110FAF"/>
    <w:rsid w:val="06493CA7"/>
    <w:rsid w:val="065A6178"/>
    <w:rsid w:val="066F1CF3"/>
    <w:rsid w:val="06930BB8"/>
    <w:rsid w:val="06B733D2"/>
    <w:rsid w:val="07245D42"/>
    <w:rsid w:val="07264C62"/>
    <w:rsid w:val="075D5951"/>
    <w:rsid w:val="077855B9"/>
    <w:rsid w:val="0779354C"/>
    <w:rsid w:val="079F6195"/>
    <w:rsid w:val="07B811A3"/>
    <w:rsid w:val="07D15156"/>
    <w:rsid w:val="08061376"/>
    <w:rsid w:val="080D354F"/>
    <w:rsid w:val="08452D77"/>
    <w:rsid w:val="086401F8"/>
    <w:rsid w:val="08751CAA"/>
    <w:rsid w:val="087E4C40"/>
    <w:rsid w:val="08AA4CC9"/>
    <w:rsid w:val="08D66AD6"/>
    <w:rsid w:val="08DA33A3"/>
    <w:rsid w:val="08E80F13"/>
    <w:rsid w:val="09236F3B"/>
    <w:rsid w:val="092B34F0"/>
    <w:rsid w:val="09335624"/>
    <w:rsid w:val="0944690F"/>
    <w:rsid w:val="09535675"/>
    <w:rsid w:val="095F057D"/>
    <w:rsid w:val="09642282"/>
    <w:rsid w:val="09733572"/>
    <w:rsid w:val="09772C16"/>
    <w:rsid w:val="098353B5"/>
    <w:rsid w:val="09A92330"/>
    <w:rsid w:val="09B06B87"/>
    <w:rsid w:val="09C13146"/>
    <w:rsid w:val="09E04166"/>
    <w:rsid w:val="09F16729"/>
    <w:rsid w:val="0A1C0718"/>
    <w:rsid w:val="0A2E2D1E"/>
    <w:rsid w:val="0A3E7710"/>
    <w:rsid w:val="0A5B7E63"/>
    <w:rsid w:val="0A5C3149"/>
    <w:rsid w:val="0AA374A5"/>
    <w:rsid w:val="0AA51080"/>
    <w:rsid w:val="0AA7271D"/>
    <w:rsid w:val="0AAB7649"/>
    <w:rsid w:val="0AAD1462"/>
    <w:rsid w:val="0ABC5606"/>
    <w:rsid w:val="0AE012BD"/>
    <w:rsid w:val="0B012ED1"/>
    <w:rsid w:val="0B181821"/>
    <w:rsid w:val="0B2E376B"/>
    <w:rsid w:val="0B30404E"/>
    <w:rsid w:val="0B4C6C14"/>
    <w:rsid w:val="0B631A88"/>
    <w:rsid w:val="0B683D45"/>
    <w:rsid w:val="0B7F3F11"/>
    <w:rsid w:val="0B884417"/>
    <w:rsid w:val="0B973B9D"/>
    <w:rsid w:val="0BB158C5"/>
    <w:rsid w:val="0BF6188C"/>
    <w:rsid w:val="0BF64210"/>
    <w:rsid w:val="0BF73C91"/>
    <w:rsid w:val="0C170175"/>
    <w:rsid w:val="0C571A41"/>
    <w:rsid w:val="0C5C1171"/>
    <w:rsid w:val="0C5E1CBC"/>
    <w:rsid w:val="0C615B50"/>
    <w:rsid w:val="0C8445DA"/>
    <w:rsid w:val="0C87121B"/>
    <w:rsid w:val="0CC007F7"/>
    <w:rsid w:val="0CD60B29"/>
    <w:rsid w:val="0CFE707A"/>
    <w:rsid w:val="0D063BDA"/>
    <w:rsid w:val="0D08375F"/>
    <w:rsid w:val="0D184CFB"/>
    <w:rsid w:val="0D1E7791"/>
    <w:rsid w:val="0D333A50"/>
    <w:rsid w:val="0D4A7419"/>
    <w:rsid w:val="0D4E7760"/>
    <w:rsid w:val="0D827401"/>
    <w:rsid w:val="0D84094E"/>
    <w:rsid w:val="0D88326A"/>
    <w:rsid w:val="0D8A00E9"/>
    <w:rsid w:val="0D8D589E"/>
    <w:rsid w:val="0DA01C73"/>
    <w:rsid w:val="0DD63300"/>
    <w:rsid w:val="0DF50604"/>
    <w:rsid w:val="0DF702FE"/>
    <w:rsid w:val="0E060E51"/>
    <w:rsid w:val="0E550E35"/>
    <w:rsid w:val="0E5604B2"/>
    <w:rsid w:val="0E6D5D79"/>
    <w:rsid w:val="0E9D0089"/>
    <w:rsid w:val="0EB803EE"/>
    <w:rsid w:val="0EF94D4B"/>
    <w:rsid w:val="0F4958DC"/>
    <w:rsid w:val="0F515DF7"/>
    <w:rsid w:val="0F596BA8"/>
    <w:rsid w:val="0F6248D2"/>
    <w:rsid w:val="0F693536"/>
    <w:rsid w:val="0F7554C5"/>
    <w:rsid w:val="0F7B0511"/>
    <w:rsid w:val="0F7B76D9"/>
    <w:rsid w:val="0F816ACD"/>
    <w:rsid w:val="0F9832DB"/>
    <w:rsid w:val="0FBF3FD2"/>
    <w:rsid w:val="0FBF7FF3"/>
    <w:rsid w:val="0FC5238B"/>
    <w:rsid w:val="0FCB205C"/>
    <w:rsid w:val="0FE73EE9"/>
    <w:rsid w:val="10043AE6"/>
    <w:rsid w:val="101E0502"/>
    <w:rsid w:val="10646583"/>
    <w:rsid w:val="107D4B15"/>
    <w:rsid w:val="107D65A4"/>
    <w:rsid w:val="108A3C80"/>
    <w:rsid w:val="10AA73F0"/>
    <w:rsid w:val="10C26171"/>
    <w:rsid w:val="10F33360"/>
    <w:rsid w:val="10FC16EA"/>
    <w:rsid w:val="110F1D40"/>
    <w:rsid w:val="11266F33"/>
    <w:rsid w:val="11507B96"/>
    <w:rsid w:val="11525A28"/>
    <w:rsid w:val="115343AE"/>
    <w:rsid w:val="118963A1"/>
    <w:rsid w:val="11A8771C"/>
    <w:rsid w:val="11C032B1"/>
    <w:rsid w:val="11C6522A"/>
    <w:rsid w:val="11DC71F8"/>
    <w:rsid w:val="11E104CC"/>
    <w:rsid w:val="11E20309"/>
    <w:rsid w:val="12255233"/>
    <w:rsid w:val="12530213"/>
    <w:rsid w:val="127723A9"/>
    <w:rsid w:val="12862074"/>
    <w:rsid w:val="12883966"/>
    <w:rsid w:val="129E45B4"/>
    <w:rsid w:val="12D81596"/>
    <w:rsid w:val="12FD6C49"/>
    <w:rsid w:val="13072A44"/>
    <w:rsid w:val="135F4BE2"/>
    <w:rsid w:val="139B1A0A"/>
    <w:rsid w:val="139D25C7"/>
    <w:rsid w:val="13BF3CE4"/>
    <w:rsid w:val="13E34051"/>
    <w:rsid w:val="141008D8"/>
    <w:rsid w:val="14125FE6"/>
    <w:rsid w:val="14165B51"/>
    <w:rsid w:val="14294892"/>
    <w:rsid w:val="1460555D"/>
    <w:rsid w:val="146D271E"/>
    <w:rsid w:val="14982588"/>
    <w:rsid w:val="14991C55"/>
    <w:rsid w:val="149A5AD9"/>
    <w:rsid w:val="14A7619D"/>
    <w:rsid w:val="14EA71B5"/>
    <w:rsid w:val="14F06FC3"/>
    <w:rsid w:val="150536C3"/>
    <w:rsid w:val="150C1963"/>
    <w:rsid w:val="151447A0"/>
    <w:rsid w:val="154A6454"/>
    <w:rsid w:val="15536FEE"/>
    <w:rsid w:val="15702C71"/>
    <w:rsid w:val="15762120"/>
    <w:rsid w:val="166A18FC"/>
    <w:rsid w:val="169F2681"/>
    <w:rsid w:val="16A33C80"/>
    <w:rsid w:val="16A8729C"/>
    <w:rsid w:val="16B33777"/>
    <w:rsid w:val="16BC70A7"/>
    <w:rsid w:val="16C6339E"/>
    <w:rsid w:val="172F2D79"/>
    <w:rsid w:val="174C6A5A"/>
    <w:rsid w:val="17557BEF"/>
    <w:rsid w:val="17984446"/>
    <w:rsid w:val="17D349C1"/>
    <w:rsid w:val="1830729E"/>
    <w:rsid w:val="1870062C"/>
    <w:rsid w:val="187F5606"/>
    <w:rsid w:val="18817102"/>
    <w:rsid w:val="18830A15"/>
    <w:rsid w:val="18852B28"/>
    <w:rsid w:val="188B5321"/>
    <w:rsid w:val="18AD308A"/>
    <w:rsid w:val="19137AFC"/>
    <w:rsid w:val="192460C7"/>
    <w:rsid w:val="19932372"/>
    <w:rsid w:val="199B1288"/>
    <w:rsid w:val="19A20DD5"/>
    <w:rsid w:val="19AE03F1"/>
    <w:rsid w:val="19F64004"/>
    <w:rsid w:val="1A071A03"/>
    <w:rsid w:val="1A1F16AE"/>
    <w:rsid w:val="1A3B5C77"/>
    <w:rsid w:val="1A4062D0"/>
    <w:rsid w:val="1A984BAD"/>
    <w:rsid w:val="1AAC1FB7"/>
    <w:rsid w:val="1AB8220E"/>
    <w:rsid w:val="1AE4166C"/>
    <w:rsid w:val="1AF06CFB"/>
    <w:rsid w:val="1AF11B8D"/>
    <w:rsid w:val="1B11359C"/>
    <w:rsid w:val="1B2A271F"/>
    <w:rsid w:val="1B530544"/>
    <w:rsid w:val="1B713184"/>
    <w:rsid w:val="1B8E54AA"/>
    <w:rsid w:val="1BA209CF"/>
    <w:rsid w:val="1BB4777D"/>
    <w:rsid w:val="1BD63614"/>
    <w:rsid w:val="1BD75AB8"/>
    <w:rsid w:val="1C0459C2"/>
    <w:rsid w:val="1C1B3B4A"/>
    <w:rsid w:val="1C88086E"/>
    <w:rsid w:val="1CBB0B53"/>
    <w:rsid w:val="1CFC0CDD"/>
    <w:rsid w:val="1D266CE1"/>
    <w:rsid w:val="1D35410F"/>
    <w:rsid w:val="1D3963AF"/>
    <w:rsid w:val="1D6A673C"/>
    <w:rsid w:val="1D9247AE"/>
    <w:rsid w:val="1DB567EC"/>
    <w:rsid w:val="1DC57B03"/>
    <w:rsid w:val="1DF51A98"/>
    <w:rsid w:val="1DFE0D7B"/>
    <w:rsid w:val="1E3D060F"/>
    <w:rsid w:val="1E3F7D2E"/>
    <w:rsid w:val="1E4134E4"/>
    <w:rsid w:val="1E496E74"/>
    <w:rsid w:val="1E5062B3"/>
    <w:rsid w:val="1E523514"/>
    <w:rsid w:val="1E714A66"/>
    <w:rsid w:val="1E802593"/>
    <w:rsid w:val="1EA703CC"/>
    <w:rsid w:val="1EB7330C"/>
    <w:rsid w:val="1F0A0FF3"/>
    <w:rsid w:val="1F5771FF"/>
    <w:rsid w:val="1FE868A9"/>
    <w:rsid w:val="20034907"/>
    <w:rsid w:val="20173E4B"/>
    <w:rsid w:val="20181590"/>
    <w:rsid w:val="204E48BC"/>
    <w:rsid w:val="20631369"/>
    <w:rsid w:val="208921B3"/>
    <w:rsid w:val="20973DEB"/>
    <w:rsid w:val="20B26522"/>
    <w:rsid w:val="20B44310"/>
    <w:rsid w:val="211116EB"/>
    <w:rsid w:val="21372017"/>
    <w:rsid w:val="213B4148"/>
    <w:rsid w:val="216133FC"/>
    <w:rsid w:val="2161415A"/>
    <w:rsid w:val="21BC2207"/>
    <w:rsid w:val="21D56769"/>
    <w:rsid w:val="21E3052B"/>
    <w:rsid w:val="21E46E83"/>
    <w:rsid w:val="21E52EF3"/>
    <w:rsid w:val="21FB5D7B"/>
    <w:rsid w:val="220B1C3D"/>
    <w:rsid w:val="221D1D20"/>
    <w:rsid w:val="22334A87"/>
    <w:rsid w:val="224418CA"/>
    <w:rsid w:val="22483506"/>
    <w:rsid w:val="225B4B09"/>
    <w:rsid w:val="22BE6801"/>
    <w:rsid w:val="233500BF"/>
    <w:rsid w:val="23377FF7"/>
    <w:rsid w:val="235002B4"/>
    <w:rsid w:val="236B425F"/>
    <w:rsid w:val="23836192"/>
    <w:rsid w:val="23901F29"/>
    <w:rsid w:val="239C0061"/>
    <w:rsid w:val="23B74B40"/>
    <w:rsid w:val="23B908A4"/>
    <w:rsid w:val="23E95BEF"/>
    <w:rsid w:val="23FD0064"/>
    <w:rsid w:val="245375B0"/>
    <w:rsid w:val="24642C0A"/>
    <w:rsid w:val="246D0A09"/>
    <w:rsid w:val="24B22173"/>
    <w:rsid w:val="24B95AD9"/>
    <w:rsid w:val="24BE24DA"/>
    <w:rsid w:val="24CF5825"/>
    <w:rsid w:val="24D34D10"/>
    <w:rsid w:val="24D663E6"/>
    <w:rsid w:val="24D77F2B"/>
    <w:rsid w:val="24DE5462"/>
    <w:rsid w:val="250B639C"/>
    <w:rsid w:val="25530F16"/>
    <w:rsid w:val="258B00E2"/>
    <w:rsid w:val="25A917A6"/>
    <w:rsid w:val="25BE27CC"/>
    <w:rsid w:val="25F74A5C"/>
    <w:rsid w:val="260673B9"/>
    <w:rsid w:val="261C6242"/>
    <w:rsid w:val="2628662C"/>
    <w:rsid w:val="262D45DE"/>
    <w:rsid w:val="2662090A"/>
    <w:rsid w:val="267C72D2"/>
    <w:rsid w:val="26A53EF9"/>
    <w:rsid w:val="26A94201"/>
    <w:rsid w:val="26AC274F"/>
    <w:rsid w:val="26AC50C2"/>
    <w:rsid w:val="27044A29"/>
    <w:rsid w:val="27056071"/>
    <w:rsid w:val="271D34C8"/>
    <w:rsid w:val="276142BF"/>
    <w:rsid w:val="27783712"/>
    <w:rsid w:val="27907362"/>
    <w:rsid w:val="27C879AF"/>
    <w:rsid w:val="27E965F8"/>
    <w:rsid w:val="28333E1D"/>
    <w:rsid w:val="283C6C0F"/>
    <w:rsid w:val="28454BD6"/>
    <w:rsid w:val="28455253"/>
    <w:rsid w:val="28551971"/>
    <w:rsid w:val="285B1C53"/>
    <w:rsid w:val="2895356C"/>
    <w:rsid w:val="289E2045"/>
    <w:rsid w:val="289F7086"/>
    <w:rsid w:val="28C32028"/>
    <w:rsid w:val="28CC490F"/>
    <w:rsid w:val="28DE40AA"/>
    <w:rsid w:val="28F26F85"/>
    <w:rsid w:val="29345E77"/>
    <w:rsid w:val="294C65AD"/>
    <w:rsid w:val="29806583"/>
    <w:rsid w:val="298B3C4C"/>
    <w:rsid w:val="29F26D24"/>
    <w:rsid w:val="2A15033F"/>
    <w:rsid w:val="2A1662C1"/>
    <w:rsid w:val="2A1C7367"/>
    <w:rsid w:val="2A2815FA"/>
    <w:rsid w:val="2A2E4EA4"/>
    <w:rsid w:val="2A321D92"/>
    <w:rsid w:val="2A6D6092"/>
    <w:rsid w:val="2A7D76B4"/>
    <w:rsid w:val="2ACF4481"/>
    <w:rsid w:val="2AD04149"/>
    <w:rsid w:val="2B437463"/>
    <w:rsid w:val="2B7807EE"/>
    <w:rsid w:val="2B784F96"/>
    <w:rsid w:val="2BB5494B"/>
    <w:rsid w:val="2BBF00EC"/>
    <w:rsid w:val="2BC37CFD"/>
    <w:rsid w:val="2BD5237F"/>
    <w:rsid w:val="2BE536CE"/>
    <w:rsid w:val="2BE758D9"/>
    <w:rsid w:val="2BE772F2"/>
    <w:rsid w:val="2C09049E"/>
    <w:rsid w:val="2C0A653C"/>
    <w:rsid w:val="2C191F85"/>
    <w:rsid w:val="2C874F6F"/>
    <w:rsid w:val="2C8C39F6"/>
    <w:rsid w:val="2CA32A1F"/>
    <w:rsid w:val="2CD46C8B"/>
    <w:rsid w:val="2CE82D6F"/>
    <w:rsid w:val="2D343236"/>
    <w:rsid w:val="2D823314"/>
    <w:rsid w:val="2D9078D1"/>
    <w:rsid w:val="2D9214E0"/>
    <w:rsid w:val="2DD15014"/>
    <w:rsid w:val="2DF72DE4"/>
    <w:rsid w:val="2E0220AF"/>
    <w:rsid w:val="2E081BBE"/>
    <w:rsid w:val="2E0E6DB8"/>
    <w:rsid w:val="2E4B082A"/>
    <w:rsid w:val="2E5D4E86"/>
    <w:rsid w:val="2E5D790B"/>
    <w:rsid w:val="2E9A3C18"/>
    <w:rsid w:val="2EBB0FEE"/>
    <w:rsid w:val="2EC63002"/>
    <w:rsid w:val="2F0A6B38"/>
    <w:rsid w:val="2F0F3235"/>
    <w:rsid w:val="2F6F7335"/>
    <w:rsid w:val="2F93773A"/>
    <w:rsid w:val="2F946CCB"/>
    <w:rsid w:val="2FA41520"/>
    <w:rsid w:val="2FD25781"/>
    <w:rsid w:val="2FDB0057"/>
    <w:rsid w:val="2FFD5044"/>
    <w:rsid w:val="2FFD7934"/>
    <w:rsid w:val="30733ACD"/>
    <w:rsid w:val="3075311F"/>
    <w:rsid w:val="308C3862"/>
    <w:rsid w:val="309379D8"/>
    <w:rsid w:val="30A270F7"/>
    <w:rsid w:val="30DF1478"/>
    <w:rsid w:val="30EC586F"/>
    <w:rsid w:val="311213ED"/>
    <w:rsid w:val="311F6D65"/>
    <w:rsid w:val="314131F4"/>
    <w:rsid w:val="319C6071"/>
    <w:rsid w:val="31AC537E"/>
    <w:rsid w:val="31D6105E"/>
    <w:rsid w:val="31E3679B"/>
    <w:rsid w:val="31E732FD"/>
    <w:rsid w:val="32517576"/>
    <w:rsid w:val="32BE5C2C"/>
    <w:rsid w:val="32ED07A3"/>
    <w:rsid w:val="32FB6478"/>
    <w:rsid w:val="33263B3F"/>
    <w:rsid w:val="336963EB"/>
    <w:rsid w:val="33816EEB"/>
    <w:rsid w:val="338F52EF"/>
    <w:rsid w:val="33CC1351"/>
    <w:rsid w:val="33CE6B58"/>
    <w:rsid w:val="33D20888"/>
    <w:rsid w:val="33EB55CD"/>
    <w:rsid w:val="33EC4C02"/>
    <w:rsid w:val="340D2360"/>
    <w:rsid w:val="3410665D"/>
    <w:rsid w:val="34211214"/>
    <w:rsid w:val="342E63AB"/>
    <w:rsid w:val="346D235F"/>
    <w:rsid w:val="34711E4F"/>
    <w:rsid w:val="34915D87"/>
    <w:rsid w:val="34950E68"/>
    <w:rsid w:val="34986E94"/>
    <w:rsid w:val="34AF62C9"/>
    <w:rsid w:val="34CB4388"/>
    <w:rsid w:val="34EC1DFA"/>
    <w:rsid w:val="34FA6E12"/>
    <w:rsid w:val="358D5588"/>
    <w:rsid w:val="35C05806"/>
    <w:rsid w:val="35C42453"/>
    <w:rsid w:val="3626340C"/>
    <w:rsid w:val="363A3B40"/>
    <w:rsid w:val="365302AE"/>
    <w:rsid w:val="36607A0A"/>
    <w:rsid w:val="366E227C"/>
    <w:rsid w:val="366F2E0D"/>
    <w:rsid w:val="36735F09"/>
    <w:rsid w:val="367B6A5C"/>
    <w:rsid w:val="368C6E74"/>
    <w:rsid w:val="36A52284"/>
    <w:rsid w:val="36A74ADA"/>
    <w:rsid w:val="36AD60D5"/>
    <w:rsid w:val="36B224F9"/>
    <w:rsid w:val="36EC0CC9"/>
    <w:rsid w:val="373F410B"/>
    <w:rsid w:val="37912219"/>
    <w:rsid w:val="37E900DD"/>
    <w:rsid w:val="37EC5CD5"/>
    <w:rsid w:val="37EE7094"/>
    <w:rsid w:val="38243E0A"/>
    <w:rsid w:val="38296C89"/>
    <w:rsid w:val="382E6819"/>
    <w:rsid w:val="383002EB"/>
    <w:rsid w:val="38481119"/>
    <w:rsid w:val="38586797"/>
    <w:rsid w:val="38797966"/>
    <w:rsid w:val="388801F5"/>
    <w:rsid w:val="3894610C"/>
    <w:rsid w:val="38A2142F"/>
    <w:rsid w:val="38BC0149"/>
    <w:rsid w:val="38D87D1C"/>
    <w:rsid w:val="38E22CFA"/>
    <w:rsid w:val="39636459"/>
    <w:rsid w:val="39697527"/>
    <w:rsid w:val="396B7F6C"/>
    <w:rsid w:val="39724A47"/>
    <w:rsid w:val="39B417A9"/>
    <w:rsid w:val="39F94929"/>
    <w:rsid w:val="39FC5695"/>
    <w:rsid w:val="3A006D8E"/>
    <w:rsid w:val="3A3651E5"/>
    <w:rsid w:val="3A6B67E3"/>
    <w:rsid w:val="3A744481"/>
    <w:rsid w:val="3A8C7BEF"/>
    <w:rsid w:val="3A906246"/>
    <w:rsid w:val="3AEA3A10"/>
    <w:rsid w:val="3B185238"/>
    <w:rsid w:val="3B2349B7"/>
    <w:rsid w:val="3B3C7E67"/>
    <w:rsid w:val="3B616CFF"/>
    <w:rsid w:val="3B6259F6"/>
    <w:rsid w:val="3B976654"/>
    <w:rsid w:val="3BC01EFC"/>
    <w:rsid w:val="3BCA786A"/>
    <w:rsid w:val="3BD117F8"/>
    <w:rsid w:val="3BD31E2F"/>
    <w:rsid w:val="3BF15831"/>
    <w:rsid w:val="3C105946"/>
    <w:rsid w:val="3C471448"/>
    <w:rsid w:val="3C5F759A"/>
    <w:rsid w:val="3C6C525A"/>
    <w:rsid w:val="3CAD649B"/>
    <w:rsid w:val="3CC33275"/>
    <w:rsid w:val="3CC34D87"/>
    <w:rsid w:val="3CCE23CB"/>
    <w:rsid w:val="3CD17D17"/>
    <w:rsid w:val="3D095B46"/>
    <w:rsid w:val="3D3C7F39"/>
    <w:rsid w:val="3D440F09"/>
    <w:rsid w:val="3D4504A0"/>
    <w:rsid w:val="3D8734BB"/>
    <w:rsid w:val="3D9A11D4"/>
    <w:rsid w:val="3DA16D89"/>
    <w:rsid w:val="3DA364BE"/>
    <w:rsid w:val="3DE041CB"/>
    <w:rsid w:val="3DF524AD"/>
    <w:rsid w:val="3E0D48F6"/>
    <w:rsid w:val="3E177E4E"/>
    <w:rsid w:val="3E1868B4"/>
    <w:rsid w:val="3E377251"/>
    <w:rsid w:val="3E3C0321"/>
    <w:rsid w:val="3E42664B"/>
    <w:rsid w:val="3E5661DC"/>
    <w:rsid w:val="3E5A7334"/>
    <w:rsid w:val="3E7B5D6B"/>
    <w:rsid w:val="3E843E66"/>
    <w:rsid w:val="3E8F51FE"/>
    <w:rsid w:val="3E926F87"/>
    <w:rsid w:val="3E9A59DE"/>
    <w:rsid w:val="3EAF4836"/>
    <w:rsid w:val="3EC33DFA"/>
    <w:rsid w:val="3EC84D62"/>
    <w:rsid w:val="3EE85404"/>
    <w:rsid w:val="3EF47A8D"/>
    <w:rsid w:val="3F060E16"/>
    <w:rsid w:val="3F1D1096"/>
    <w:rsid w:val="3F2F0234"/>
    <w:rsid w:val="3F485DF7"/>
    <w:rsid w:val="3F6363FE"/>
    <w:rsid w:val="3F756B8F"/>
    <w:rsid w:val="3F8F60F8"/>
    <w:rsid w:val="3F95482B"/>
    <w:rsid w:val="3FA57E6B"/>
    <w:rsid w:val="3FF86EA0"/>
    <w:rsid w:val="40075938"/>
    <w:rsid w:val="4019356B"/>
    <w:rsid w:val="4046605F"/>
    <w:rsid w:val="40592157"/>
    <w:rsid w:val="406E1CAE"/>
    <w:rsid w:val="407A39D5"/>
    <w:rsid w:val="40817E61"/>
    <w:rsid w:val="40A0133A"/>
    <w:rsid w:val="40A26527"/>
    <w:rsid w:val="40C31A53"/>
    <w:rsid w:val="40FF545D"/>
    <w:rsid w:val="410067C8"/>
    <w:rsid w:val="41193901"/>
    <w:rsid w:val="418F0D2A"/>
    <w:rsid w:val="41D01505"/>
    <w:rsid w:val="41E9396D"/>
    <w:rsid w:val="42474939"/>
    <w:rsid w:val="424C3C57"/>
    <w:rsid w:val="425E08E8"/>
    <w:rsid w:val="42613FF3"/>
    <w:rsid w:val="42660D96"/>
    <w:rsid w:val="428667D2"/>
    <w:rsid w:val="429A368A"/>
    <w:rsid w:val="42CD1CE0"/>
    <w:rsid w:val="42E1381E"/>
    <w:rsid w:val="42ED6459"/>
    <w:rsid w:val="42F16C31"/>
    <w:rsid w:val="42F56341"/>
    <w:rsid w:val="42FE58DD"/>
    <w:rsid w:val="43174B3D"/>
    <w:rsid w:val="431C3DDE"/>
    <w:rsid w:val="43354997"/>
    <w:rsid w:val="434B790E"/>
    <w:rsid w:val="4360274F"/>
    <w:rsid w:val="43977AB6"/>
    <w:rsid w:val="43A3342B"/>
    <w:rsid w:val="43C77C27"/>
    <w:rsid w:val="43DE09EE"/>
    <w:rsid w:val="44002FAD"/>
    <w:rsid w:val="44620D36"/>
    <w:rsid w:val="44657104"/>
    <w:rsid w:val="449101DD"/>
    <w:rsid w:val="44A95031"/>
    <w:rsid w:val="44DE1391"/>
    <w:rsid w:val="451B225C"/>
    <w:rsid w:val="452410C9"/>
    <w:rsid w:val="45317DFB"/>
    <w:rsid w:val="456D3CE4"/>
    <w:rsid w:val="4579042C"/>
    <w:rsid w:val="457F0571"/>
    <w:rsid w:val="45851176"/>
    <w:rsid w:val="45883496"/>
    <w:rsid w:val="45A0393F"/>
    <w:rsid w:val="45C63B94"/>
    <w:rsid w:val="45DC3173"/>
    <w:rsid w:val="460A332B"/>
    <w:rsid w:val="460E7DA5"/>
    <w:rsid w:val="46402205"/>
    <w:rsid w:val="46422483"/>
    <w:rsid w:val="4659254A"/>
    <w:rsid w:val="465B0637"/>
    <w:rsid w:val="465E3F0D"/>
    <w:rsid w:val="466A16E6"/>
    <w:rsid w:val="4672311A"/>
    <w:rsid w:val="46893F2B"/>
    <w:rsid w:val="46C4686E"/>
    <w:rsid w:val="46E0282E"/>
    <w:rsid w:val="47133B1E"/>
    <w:rsid w:val="477B778F"/>
    <w:rsid w:val="477F61D9"/>
    <w:rsid w:val="478203EC"/>
    <w:rsid w:val="479B74B7"/>
    <w:rsid w:val="47B025FA"/>
    <w:rsid w:val="47FE483C"/>
    <w:rsid w:val="4809698F"/>
    <w:rsid w:val="4811697D"/>
    <w:rsid w:val="48186074"/>
    <w:rsid w:val="487A3E25"/>
    <w:rsid w:val="488B5503"/>
    <w:rsid w:val="48937E21"/>
    <w:rsid w:val="489A0361"/>
    <w:rsid w:val="48AC3C9B"/>
    <w:rsid w:val="48AD6A8D"/>
    <w:rsid w:val="48B94FF3"/>
    <w:rsid w:val="48E37AAB"/>
    <w:rsid w:val="48FD4B4C"/>
    <w:rsid w:val="490A68E0"/>
    <w:rsid w:val="491055FE"/>
    <w:rsid w:val="495A44E3"/>
    <w:rsid w:val="495F5B3E"/>
    <w:rsid w:val="496F77D7"/>
    <w:rsid w:val="497654FD"/>
    <w:rsid w:val="49B64211"/>
    <w:rsid w:val="49F6167F"/>
    <w:rsid w:val="4A064FA0"/>
    <w:rsid w:val="4A0909A1"/>
    <w:rsid w:val="4A0A4387"/>
    <w:rsid w:val="4A0F2FE8"/>
    <w:rsid w:val="4A16615C"/>
    <w:rsid w:val="4A4424D7"/>
    <w:rsid w:val="4A7F4B48"/>
    <w:rsid w:val="4AB82D0F"/>
    <w:rsid w:val="4AEB7664"/>
    <w:rsid w:val="4AFD7C19"/>
    <w:rsid w:val="4B0567D1"/>
    <w:rsid w:val="4B1C363A"/>
    <w:rsid w:val="4B236AAE"/>
    <w:rsid w:val="4B6422B6"/>
    <w:rsid w:val="4B707271"/>
    <w:rsid w:val="4B9739F7"/>
    <w:rsid w:val="4BA56D6E"/>
    <w:rsid w:val="4BEE2503"/>
    <w:rsid w:val="4C245A30"/>
    <w:rsid w:val="4C7C718B"/>
    <w:rsid w:val="4C997315"/>
    <w:rsid w:val="4C9A4AA6"/>
    <w:rsid w:val="4CB6685F"/>
    <w:rsid w:val="4CC367FE"/>
    <w:rsid w:val="4D077F3C"/>
    <w:rsid w:val="4D123355"/>
    <w:rsid w:val="4D2A3B31"/>
    <w:rsid w:val="4D312C52"/>
    <w:rsid w:val="4D73233C"/>
    <w:rsid w:val="4D844549"/>
    <w:rsid w:val="4D905305"/>
    <w:rsid w:val="4D964A72"/>
    <w:rsid w:val="4D9C1254"/>
    <w:rsid w:val="4DAD55E9"/>
    <w:rsid w:val="4DC36632"/>
    <w:rsid w:val="4DD015D9"/>
    <w:rsid w:val="4E016FBE"/>
    <w:rsid w:val="4E465C3F"/>
    <w:rsid w:val="4E793892"/>
    <w:rsid w:val="4E800872"/>
    <w:rsid w:val="4EC569ED"/>
    <w:rsid w:val="4ED50EA1"/>
    <w:rsid w:val="4EEC050C"/>
    <w:rsid w:val="4F104EC3"/>
    <w:rsid w:val="4F2C625F"/>
    <w:rsid w:val="4F47354A"/>
    <w:rsid w:val="4F911C54"/>
    <w:rsid w:val="4FB76C13"/>
    <w:rsid w:val="4FE625E0"/>
    <w:rsid w:val="5021480F"/>
    <w:rsid w:val="506932DB"/>
    <w:rsid w:val="50962ECB"/>
    <w:rsid w:val="50A42E38"/>
    <w:rsid w:val="50A4577F"/>
    <w:rsid w:val="50B34B66"/>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1E40EDB"/>
    <w:rsid w:val="522E4CC3"/>
    <w:rsid w:val="5244713B"/>
    <w:rsid w:val="52615633"/>
    <w:rsid w:val="52977FD4"/>
    <w:rsid w:val="52A25790"/>
    <w:rsid w:val="52A96B6F"/>
    <w:rsid w:val="52B45975"/>
    <w:rsid w:val="52D94AA4"/>
    <w:rsid w:val="52EA3A62"/>
    <w:rsid w:val="52F50BB8"/>
    <w:rsid w:val="53097272"/>
    <w:rsid w:val="53544462"/>
    <w:rsid w:val="53946913"/>
    <w:rsid w:val="5397158E"/>
    <w:rsid w:val="53EB3ED9"/>
    <w:rsid w:val="54013861"/>
    <w:rsid w:val="541B18DE"/>
    <w:rsid w:val="54487265"/>
    <w:rsid w:val="544D6070"/>
    <w:rsid w:val="54605E1E"/>
    <w:rsid w:val="54B3506A"/>
    <w:rsid w:val="54CA0D16"/>
    <w:rsid w:val="54DD4057"/>
    <w:rsid w:val="54E7490F"/>
    <w:rsid w:val="550764A4"/>
    <w:rsid w:val="550B2BF6"/>
    <w:rsid w:val="55214EB5"/>
    <w:rsid w:val="552571F1"/>
    <w:rsid w:val="55364EFD"/>
    <w:rsid w:val="553C4426"/>
    <w:rsid w:val="55442B59"/>
    <w:rsid w:val="555D4828"/>
    <w:rsid w:val="557A4C8B"/>
    <w:rsid w:val="558931E1"/>
    <w:rsid w:val="55923347"/>
    <w:rsid w:val="55925180"/>
    <w:rsid w:val="55983B1B"/>
    <w:rsid w:val="55A8376B"/>
    <w:rsid w:val="55DC29B6"/>
    <w:rsid w:val="55DD4241"/>
    <w:rsid w:val="56435DC2"/>
    <w:rsid w:val="566B6D1E"/>
    <w:rsid w:val="569F6AC7"/>
    <w:rsid w:val="56B47687"/>
    <w:rsid w:val="56CA440E"/>
    <w:rsid w:val="56E9199E"/>
    <w:rsid w:val="57032A2C"/>
    <w:rsid w:val="570F5219"/>
    <w:rsid w:val="57351B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A58F1"/>
    <w:rsid w:val="5857118F"/>
    <w:rsid w:val="58601334"/>
    <w:rsid w:val="58917D2F"/>
    <w:rsid w:val="5894085C"/>
    <w:rsid w:val="58AE4F0C"/>
    <w:rsid w:val="58B85899"/>
    <w:rsid w:val="58E363A9"/>
    <w:rsid w:val="590E29AC"/>
    <w:rsid w:val="595E1678"/>
    <w:rsid w:val="596D5BD4"/>
    <w:rsid w:val="597E3DD8"/>
    <w:rsid w:val="59D634DF"/>
    <w:rsid w:val="59F80043"/>
    <w:rsid w:val="5A09252F"/>
    <w:rsid w:val="5A0B2778"/>
    <w:rsid w:val="5A2A7C7B"/>
    <w:rsid w:val="5A3E2560"/>
    <w:rsid w:val="5A5D3B6E"/>
    <w:rsid w:val="5A637A76"/>
    <w:rsid w:val="5A6D33BA"/>
    <w:rsid w:val="5A792B1F"/>
    <w:rsid w:val="5A874767"/>
    <w:rsid w:val="5A8C7BCC"/>
    <w:rsid w:val="5A8D7133"/>
    <w:rsid w:val="5AAD6F28"/>
    <w:rsid w:val="5AD63A24"/>
    <w:rsid w:val="5AEA62E5"/>
    <w:rsid w:val="5AEC66F7"/>
    <w:rsid w:val="5AFF3461"/>
    <w:rsid w:val="5B1511F3"/>
    <w:rsid w:val="5B2E1A1D"/>
    <w:rsid w:val="5B317CC1"/>
    <w:rsid w:val="5B6400E2"/>
    <w:rsid w:val="5B6B0A58"/>
    <w:rsid w:val="5B843A1C"/>
    <w:rsid w:val="5B873E3F"/>
    <w:rsid w:val="5B897053"/>
    <w:rsid w:val="5BD303EE"/>
    <w:rsid w:val="5C02690E"/>
    <w:rsid w:val="5C196DA7"/>
    <w:rsid w:val="5C1D0043"/>
    <w:rsid w:val="5C2A048C"/>
    <w:rsid w:val="5C80234E"/>
    <w:rsid w:val="5C8A680C"/>
    <w:rsid w:val="5CA644DC"/>
    <w:rsid w:val="5CBC75D6"/>
    <w:rsid w:val="5D0C4701"/>
    <w:rsid w:val="5D0D1A80"/>
    <w:rsid w:val="5D0F0395"/>
    <w:rsid w:val="5D221076"/>
    <w:rsid w:val="5D397964"/>
    <w:rsid w:val="5D3D3DCD"/>
    <w:rsid w:val="5D5A391C"/>
    <w:rsid w:val="5D5F10C0"/>
    <w:rsid w:val="5D891B7B"/>
    <w:rsid w:val="5DAD38EE"/>
    <w:rsid w:val="5DC87082"/>
    <w:rsid w:val="5E006862"/>
    <w:rsid w:val="5E0207B9"/>
    <w:rsid w:val="5E0B0AD6"/>
    <w:rsid w:val="5E0D6143"/>
    <w:rsid w:val="5E1834A1"/>
    <w:rsid w:val="5E261785"/>
    <w:rsid w:val="5E4A7017"/>
    <w:rsid w:val="5E4F2952"/>
    <w:rsid w:val="5E552BBA"/>
    <w:rsid w:val="5E5B35D0"/>
    <w:rsid w:val="5E610D01"/>
    <w:rsid w:val="5E611C10"/>
    <w:rsid w:val="5E655CD1"/>
    <w:rsid w:val="5EF645C7"/>
    <w:rsid w:val="5EFC7377"/>
    <w:rsid w:val="5F06174D"/>
    <w:rsid w:val="5F3A3602"/>
    <w:rsid w:val="5F6277C6"/>
    <w:rsid w:val="5F6D0B1D"/>
    <w:rsid w:val="5F8D0B82"/>
    <w:rsid w:val="5FCC5339"/>
    <w:rsid w:val="5FE34A5B"/>
    <w:rsid w:val="5FFE1E36"/>
    <w:rsid w:val="60232584"/>
    <w:rsid w:val="607330CE"/>
    <w:rsid w:val="60825176"/>
    <w:rsid w:val="60940525"/>
    <w:rsid w:val="609F2AC4"/>
    <w:rsid w:val="60D51100"/>
    <w:rsid w:val="60FA2EE8"/>
    <w:rsid w:val="61054A27"/>
    <w:rsid w:val="610A52BC"/>
    <w:rsid w:val="611D2366"/>
    <w:rsid w:val="61421856"/>
    <w:rsid w:val="615227C4"/>
    <w:rsid w:val="61654E3F"/>
    <w:rsid w:val="617C0DC9"/>
    <w:rsid w:val="6182292A"/>
    <w:rsid w:val="618D5C6B"/>
    <w:rsid w:val="619F7F92"/>
    <w:rsid w:val="61B60EF8"/>
    <w:rsid w:val="61F80CAC"/>
    <w:rsid w:val="61F94C26"/>
    <w:rsid w:val="62000E56"/>
    <w:rsid w:val="620A1913"/>
    <w:rsid w:val="62330149"/>
    <w:rsid w:val="624713D6"/>
    <w:rsid w:val="62493FC3"/>
    <w:rsid w:val="624E346D"/>
    <w:rsid w:val="624F3E49"/>
    <w:rsid w:val="62632286"/>
    <w:rsid w:val="62885958"/>
    <w:rsid w:val="62F40B65"/>
    <w:rsid w:val="62FC2CFE"/>
    <w:rsid w:val="63024505"/>
    <w:rsid w:val="633D721D"/>
    <w:rsid w:val="6355254F"/>
    <w:rsid w:val="635B1DB5"/>
    <w:rsid w:val="63667650"/>
    <w:rsid w:val="63711FED"/>
    <w:rsid w:val="63847849"/>
    <w:rsid w:val="63880DDC"/>
    <w:rsid w:val="638D750D"/>
    <w:rsid w:val="63AC6CC0"/>
    <w:rsid w:val="64055776"/>
    <w:rsid w:val="640C0875"/>
    <w:rsid w:val="64240056"/>
    <w:rsid w:val="643E143A"/>
    <w:rsid w:val="648B6EEF"/>
    <w:rsid w:val="648C1B70"/>
    <w:rsid w:val="64996EDD"/>
    <w:rsid w:val="64C158BF"/>
    <w:rsid w:val="64CE2EAA"/>
    <w:rsid w:val="64D66A7C"/>
    <w:rsid w:val="653C3090"/>
    <w:rsid w:val="65405CCA"/>
    <w:rsid w:val="655A3BEA"/>
    <w:rsid w:val="65854376"/>
    <w:rsid w:val="658767BE"/>
    <w:rsid w:val="65892531"/>
    <w:rsid w:val="65A4692C"/>
    <w:rsid w:val="66195831"/>
    <w:rsid w:val="662B5A52"/>
    <w:rsid w:val="662D6DA8"/>
    <w:rsid w:val="662E75B1"/>
    <w:rsid w:val="66342C2E"/>
    <w:rsid w:val="663E784C"/>
    <w:rsid w:val="667A09B7"/>
    <w:rsid w:val="668B6A45"/>
    <w:rsid w:val="66A45BDC"/>
    <w:rsid w:val="66E0147E"/>
    <w:rsid w:val="66FE3669"/>
    <w:rsid w:val="672F3F24"/>
    <w:rsid w:val="673E055F"/>
    <w:rsid w:val="67551CE3"/>
    <w:rsid w:val="679413D5"/>
    <w:rsid w:val="67A22552"/>
    <w:rsid w:val="67AA2A89"/>
    <w:rsid w:val="67B22DCC"/>
    <w:rsid w:val="67BE71AA"/>
    <w:rsid w:val="67D90273"/>
    <w:rsid w:val="67DE5875"/>
    <w:rsid w:val="67E55852"/>
    <w:rsid w:val="67EB1AB4"/>
    <w:rsid w:val="67FA1285"/>
    <w:rsid w:val="680846A1"/>
    <w:rsid w:val="68551F4F"/>
    <w:rsid w:val="685847A6"/>
    <w:rsid w:val="687C10C9"/>
    <w:rsid w:val="68840C16"/>
    <w:rsid w:val="68876EFB"/>
    <w:rsid w:val="68884654"/>
    <w:rsid w:val="689F444F"/>
    <w:rsid w:val="68B96DBB"/>
    <w:rsid w:val="68CA2805"/>
    <w:rsid w:val="68DA5DB9"/>
    <w:rsid w:val="68E937A3"/>
    <w:rsid w:val="691756A7"/>
    <w:rsid w:val="69196B57"/>
    <w:rsid w:val="693E15D3"/>
    <w:rsid w:val="694E7060"/>
    <w:rsid w:val="695B03FD"/>
    <w:rsid w:val="69627681"/>
    <w:rsid w:val="69701FBE"/>
    <w:rsid w:val="6977531D"/>
    <w:rsid w:val="69A17B1C"/>
    <w:rsid w:val="69CC2BFF"/>
    <w:rsid w:val="69D1452C"/>
    <w:rsid w:val="69EA2D36"/>
    <w:rsid w:val="69FD55B8"/>
    <w:rsid w:val="6A0B1C62"/>
    <w:rsid w:val="6A2406C8"/>
    <w:rsid w:val="6A2C3AC3"/>
    <w:rsid w:val="6A9A6657"/>
    <w:rsid w:val="6ADE0BD1"/>
    <w:rsid w:val="6AE96859"/>
    <w:rsid w:val="6B147746"/>
    <w:rsid w:val="6B1D005F"/>
    <w:rsid w:val="6B24787C"/>
    <w:rsid w:val="6B573233"/>
    <w:rsid w:val="6B5B6274"/>
    <w:rsid w:val="6B935D53"/>
    <w:rsid w:val="6B986475"/>
    <w:rsid w:val="6C196F71"/>
    <w:rsid w:val="6C226FCB"/>
    <w:rsid w:val="6C31226F"/>
    <w:rsid w:val="6C41398E"/>
    <w:rsid w:val="6C514E57"/>
    <w:rsid w:val="6C552F0B"/>
    <w:rsid w:val="6C8C67B7"/>
    <w:rsid w:val="6C9D744C"/>
    <w:rsid w:val="6D167928"/>
    <w:rsid w:val="6D26299B"/>
    <w:rsid w:val="6D4772EC"/>
    <w:rsid w:val="6D9078AF"/>
    <w:rsid w:val="6DAA3FEF"/>
    <w:rsid w:val="6DBF2DB2"/>
    <w:rsid w:val="6DC0172B"/>
    <w:rsid w:val="6DCB690C"/>
    <w:rsid w:val="6DD41A5B"/>
    <w:rsid w:val="6DF43C2E"/>
    <w:rsid w:val="6DF51CA3"/>
    <w:rsid w:val="6E0863D3"/>
    <w:rsid w:val="6E331948"/>
    <w:rsid w:val="6E8335BD"/>
    <w:rsid w:val="6E8E12EF"/>
    <w:rsid w:val="6E972936"/>
    <w:rsid w:val="6ED446C5"/>
    <w:rsid w:val="6F2A7D94"/>
    <w:rsid w:val="6F730377"/>
    <w:rsid w:val="6F8331F1"/>
    <w:rsid w:val="6F8A0F8C"/>
    <w:rsid w:val="6FAE1A09"/>
    <w:rsid w:val="6FD44A65"/>
    <w:rsid w:val="6FD75BF8"/>
    <w:rsid w:val="6FE02A5C"/>
    <w:rsid w:val="70206492"/>
    <w:rsid w:val="707723D0"/>
    <w:rsid w:val="70E445F0"/>
    <w:rsid w:val="70F5661B"/>
    <w:rsid w:val="710E183A"/>
    <w:rsid w:val="71360107"/>
    <w:rsid w:val="713B688E"/>
    <w:rsid w:val="71B56C3E"/>
    <w:rsid w:val="71D43752"/>
    <w:rsid w:val="71F1796A"/>
    <w:rsid w:val="72154626"/>
    <w:rsid w:val="721E6DAF"/>
    <w:rsid w:val="72262B5D"/>
    <w:rsid w:val="72283FF7"/>
    <w:rsid w:val="722E7212"/>
    <w:rsid w:val="723A0474"/>
    <w:rsid w:val="725923E4"/>
    <w:rsid w:val="72777EDD"/>
    <w:rsid w:val="72864BF7"/>
    <w:rsid w:val="729023FC"/>
    <w:rsid w:val="72B62B48"/>
    <w:rsid w:val="72CE1FD6"/>
    <w:rsid w:val="72FB03C5"/>
    <w:rsid w:val="738C0572"/>
    <w:rsid w:val="73B95C72"/>
    <w:rsid w:val="73C0646E"/>
    <w:rsid w:val="73D96AEE"/>
    <w:rsid w:val="73E6120B"/>
    <w:rsid w:val="742222F5"/>
    <w:rsid w:val="74476126"/>
    <w:rsid w:val="7463243A"/>
    <w:rsid w:val="74706664"/>
    <w:rsid w:val="747F3682"/>
    <w:rsid w:val="749C4185"/>
    <w:rsid w:val="75067759"/>
    <w:rsid w:val="752E6DCD"/>
    <w:rsid w:val="754405BD"/>
    <w:rsid w:val="754537B3"/>
    <w:rsid w:val="7551380D"/>
    <w:rsid w:val="75600BE5"/>
    <w:rsid w:val="7564475C"/>
    <w:rsid w:val="7583797F"/>
    <w:rsid w:val="75D20F1D"/>
    <w:rsid w:val="75DA2C18"/>
    <w:rsid w:val="75F54412"/>
    <w:rsid w:val="761D08E0"/>
    <w:rsid w:val="761F3827"/>
    <w:rsid w:val="7626613B"/>
    <w:rsid w:val="763A5CD8"/>
    <w:rsid w:val="765D347C"/>
    <w:rsid w:val="76826699"/>
    <w:rsid w:val="76C87133"/>
    <w:rsid w:val="76CD08D5"/>
    <w:rsid w:val="76DB4B92"/>
    <w:rsid w:val="76E7717F"/>
    <w:rsid w:val="77052AA4"/>
    <w:rsid w:val="77136511"/>
    <w:rsid w:val="77340A39"/>
    <w:rsid w:val="77351FD0"/>
    <w:rsid w:val="77472422"/>
    <w:rsid w:val="7777710C"/>
    <w:rsid w:val="777F31F2"/>
    <w:rsid w:val="779C6247"/>
    <w:rsid w:val="77D1700D"/>
    <w:rsid w:val="77EC04CC"/>
    <w:rsid w:val="77ED2B68"/>
    <w:rsid w:val="781A0520"/>
    <w:rsid w:val="78775729"/>
    <w:rsid w:val="78A42DB0"/>
    <w:rsid w:val="78A656AB"/>
    <w:rsid w:val="78B2245C"/>
    <w:rsid w:val="78E172CC"/>
    <w:rsid w:val="78E201F2"/>
    <w:rsid w:val="78EA1D1F"/>
    <w:rsid w:val="7904172F"/>
    <w:rsid w:val="790F7E27"/>
    <w:rsid w:val="792A231A"/>
    <w:rsid w:val="79316829"/>
    <w:rsid w:val="79441066"/>
    <w:rsid w:val="79475498"/>
    <w:rsid w:val="797E66A9"/>
    <w:rsid w:val="79A97383"/>
    <w:rsid w:val="79B7342D"/>
    <w:rsid w:val="79D35D8D"/>
    <w:rsid w:val="79E27E8B"/>
    <w:rsid w:val="79F850CE"/>
    <w:rsid w:val="79FD443C"/>
    <w:rsid w:val="7A11280D"/>
    <w:rsid w:val="7A1D1975"/>
    <w:rsid w:val="7A3E5150"/>
    <w:rsid w:val="7A4670D6"/>
    <w:rsid w:val="7A534B63"/>
    <w:rsid w:val="7A615382"/>
    <w:rsid w:val="7A67303B"/>
    <w:rsid w:val="7AAB1D04"/>
    <w:rsid w:val="7ABA4368"/>
    <w:rsid w:val="7AD05746"/>
    <w:rsid w:val="7B2173E8"/>
    <w:rsid w:val="7B257FFD"/>
    <w:rsid w:val="7B2F2290"/>
    <w:rsid w:val="7B343476"/>
    <w:rsid w:val="7B5A2978"/>
    <w:rsid w:val="7B5A7E4C"/>
    <w:rsid w:val="7B667AF9"/>
    <w:rsid w:val="7B7468F8"/>
    <w:rsid w:val="7B7C1ABA"/>
    <w:rsid w:val="7BEE0103"/>
    <w:rsid w:val="7C0A0FE4"/>
    <w:rsid w:val="7C254906"/>
    <w:rsid w:val="7C30396B"/>
    <w:rsid w:val="7C590818"/>
    <w:rsid w:val="7C7C10F6"/>
    <w:rsid w:val="7C853BEA"/>
    <w:rsid w:val="7C881368"/>
    <w:rsid w:val="7CD81DDE"/>
    <w:rsid w:val="7CE27788"/>
    <w:rsid w:val="7CF11A67"/>
    <w:rsid w:val="7D0C32F1"/>
    <w:rsid w:val="7D0F408D"/>
    <w:rsid w:val="7D491C6C"/>
    <w:rsid w:val="7D5429C0"/>
    <w:rsid w:val="7D6E6D43"/>
    <w:rsid w:val="7DB05A4F"/>
    <w:rsid w:val="7DB57A34"/>
    <w:rsid w:val="7DE60973"/>
    <w:rsid w:val="7DEF0916"/>
    <w:rsid w:val="7E1E5218"/>
    <w:rsid w:val="7E290672"/>
    <w:rsid w:val="7E561E5A"/>
    <w:rsid w:val="7E8D00FD"/>
    <w:rsid w:val="7E9A4E1F"/>
    <w:rsid w:val="7EA7723A"/>
    <w:rsid w:val="7ED02A96"/>
    <w:rsid w:val="7EF56FBB"/>
    <w:rsid w:val="7F0768EB"/>
    <w:rsid w:val="7F143BEC"/>
    <w:rsid w:val="7F1C7836"/>
    <w:rsid w:val="7F715AF2"/>
    <w:rsid w:val="7F886E69"/>
    <w:rsid w:val="7FC6342E"/>
    <w:rsid w:val="7FE754F1"/>
    <w:rsid w:val="7FFA4FF3"/>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21"/>
    <w:qFormat/>
    <w:uiPriority w:val="0"/>
    <w:pPr>
      <w:ind w:firstLine="420"/>
    </w:pPr>
    <w:rPr>
      <w:rFonts w:hAnsi="Calibri" w:cs="Times New Roman"/>
      <w:snapToGrid/>
      <w:szCs w:val="20"/>
    </w:rPr>
  </w:style>
  <w:style w:type="paragraph" w:styleId="7">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2"/>
    <w:qFormat/>
    <w:uiPriority w:val="0"/>
    <w:pPr>
      <w:shd w:val="clear" w:color="auto" w:fill="000080"/>
    </w:pPr>
  </w:style>
  <w:style w:type="paragraph" w:styleId="21">
    <w:name w:val="annotation text"/>
    <w:basedOn w:val="1"/>
    <w:link w:val="344"/>
    <w:qFormat/>
    <w:uiPriority w:val="99"/>
    <w:pPr>
      <w:jc w:val="left"/>
    </w:pPr>
  </w:style>
  <w:style w:type="paragraph" w:styleId="22">
    <w:name w:val="Salutation"/>
    <w:basedOn w:val="1"/>
    <w:next w:val="1"/>
    <w:link w:val="298"/>
    <w:qFormat/>
    <w:uiPriority w:val="0"/>
    <w:rPr>
      <w:rFonts w:ascii="仿宋_GB2312" w:eastAsia="仿宋_GB2312"/>
      <w:sz w:val="28"/>
      <w:szCs w:val="20"/>
    </w:rPr>
  </w:style>
  <w:style w:type="paragraph" w:styleId="23">
    <w:name w:val="Body Text 3"/>
    <w:basedOn w:val="1"/>
    <w:link w:val="33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7"/>
    <w:link w:val="265"/>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5"/>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cs="Arial"/>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5"/>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next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6"/>
    <w:qFormat/>
    <w:uiPriority w:val="0"/>
    <w:rPr>
      <w:b/>
      <w:bCs/>
    </w:rPr>
  </w:style>
  <w:style w:type="paragraph" w:styleId="62">
    <w:name w:val="Body Text First Indent 2"/>
    <w:basedOn w:val="25"/>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样式3"/>
    <w:basedOn w:val="33"/>
    <w:qFormat/>
    <w:uiPriority w:val="0"/>
    <w:pPr>
      <w:tabs>
        <w:tab w:val="left" w:pos="2790"/>
        <w:tab w:val="left" w:pos="4230"/>
      </w:tabs>
      <w:spacing w:before="312" w:beforeLines="100"/>
      <w:jc w:val="left"/>
    </w:pPr>
  </w:style>
  <w:style w:type="paragraph" w:customStyle="1" w:styleId="81">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字符"/>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10"/>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5"/>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7"/>
    <w:qFormat/>
    <w:uiPriority w:val="0"/>
    <w:rPr>
      <w:rFonts w:ascii="宋体"/>
      <w:kern w:val="2"/>
      <w:sz w:val="24"/>
      <w:szCs w:val="21"/>
      <w:lang w:val="zh-CN"/>
    </w:rPr>
  </w:style>
  <w:style w:type="character" w:customStyle="1" w:styleId="182">
    <w:name w:val="标题 9 字符"/>
    <w:link w:val="13"/>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7"/>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20"/>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30"/>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8"/>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字符1"/>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字符1"/>
    <w:link w:val="4"/>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9"/>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2"/>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8"/>
    <w:qFormat/>
    <w:uiPriority w:val="0"/>
    <w:rPr>
      <w:rFonts w:ascii="黑体" w:hAnsi="Courier New" w:eastAsia="黑体"/>
    </w:rPr>
  </w:style>
  <w:style w:type="character" w:customStyle="1" w:styleId="302">
    <w:name w:val="正文文本 2 字符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8"/>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11"/>
    <w:qFormat/>
    <w:uiPriority w:val="0"/>
    <w:rPr>
      <w:b/>
      <w:bCs/>
      <w:kern w:val="2"/>
      <w:sz w:val="24"/>
      <w:szCs w:val="24"/>
    </w:rPr>
  </w:style>
  <w:style w:type="character" w:customStyle="1" w:styleId="308">
    <w:name w:val="正文文本缩进 2 字符"/>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字符"/>
    <w:link w:val="3"/>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8"/>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3"/>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1"/>
    <w:qFormat/>
    <w:uiPriority w:val="0"/>
    <w:rPr>
      <w:kern w:val="2"/>
      <w:sz w:val="21"/>
      <w:szCs w:val="24"/>
    </w:rPr>
  </w:style>
  <w:style w:type="character" w:customStyle="1" w:styleId="345">
    <w:name w:val="签名 字符"/>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2"/>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5"/>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7"/>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8"/>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3">
    <w:name w:val="纯文本3"/>
    <w:basedOn w:val="1"/>
    <w:qFormat/>
    <w:uiPriority w:val="0"/>
    <w:pPr>
      <w:textAlignment w:val="baseline"/>
    </w:pPr>
    <w:rPr>
      <w:rFonts w:ascii="宋体" w:hAnsi="Courier New" w:eastAsia="楷体_GB2312"/>
      <w:sz w:val="26"/>
      <w:szCs w:val="20"/>
    </w:rPr>
  </w:style>
  <w:style w:type="paragraph" w:customStyle="1" w:styleId="96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6">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67">
    <w:name w:val="NormalCharacter"/>
    <w:qFormat/>
    <w:uiPriority w:val="0"/>
    <w:rPr>
      <w:kern w:val="2"/>
      <w:sz w:val="21"/>
      <w:szCs w:val="24"/>
      <w:lang w:val="en-US" w:eastAsia="zh-CN" w:bidi="ar-SA"/>
    </w:rPr>
  </w:style>
  <w:style w:type="character" w:customStyle="1" w:styleId="968">
    <w:name w:val="UserStyle_12"/>
    <w:qFormat/>
    <w:uiPriority w:val="0"/>
    <w:rPr>
      <w:kern w:val="2"/>
      <w:sz w:val="21"/>
      <w:szCs w:val="24"/>
      <w:lang w:val="en-US" w:eastAsia="zh-CN" w:bidi="ar-SA"/>
    </w:rPr>
  </w:style>
  <w:style w:type="paragraph" w:customStyle="1" w:styleId="969">
    <w:name w:val="Plain Text"/>
    <w:basedOn w:val="1"/>
    <w:qFormat/>
    <w:uiPriority w:val="0"/>
    <w:pPr>
      <w:adjustRightInd w:val="0"/>
      <w:textAlignment w:val="baseline"/>
    </w:pPr>
    <w:rPr>
      <w:rFonts w:ascii="宋体" w:hAnsi="Courier New" w:eastAsia="楷体_GB2312"/>
      <w:sz w:val="26"/>
      <w:szCs w:val="20"/>
    </w:rPr>
  </w:style>
  <w:style w:type="paragraph" w:customStyle="1" w:styleId="970">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b/>
      <w:bCs/>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926D6-55AD-4B97-870F-BC37DA0ECD69}">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56</Pages>
  <Words>30537</Words>
  <Characters>32845</Characters>
  <Lines>260</Lines>
  <Paragraphs>73</Paragraphs>
  <TotalTime>11</TotalTime>
  <ScaleCrop>false</ScaleCrop>
  <LinksUpToDate>false</LinksUpToDate>
  <CharactersWithSpaces>35474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2022-04-01T06:08:00Z</cp:lastPrinted>
  <dcterms:modified xsi:type="dcterms:W3CDTF">2022-06-29T08:06:34Z</dcterms:modified>
  <dc:title>杭州市市民卡扩大发卡工程</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