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hint="eastAsia" w:ascii="仿宋" w:hAnsi="仿宋" w:eastAsia="仿宋" w:cs="仿宋_GB2312"/>
          <w:b/>
          <w:color w:val="auto"/>
          <w:sz w:val="24"/>
          <w:highlight w:val="none"/>
        </w:rPr>
      </w:pPr>
    </w:p>
    <w:p>
      <w:pPr>
        <w:spacing w:line="1160" w:lineRule="exact"/>
        <w:jc w:val="center"/>
        <w:rPr>
          <w:rFonts w:hint="eastAsia" w:ascii="宋体" w:hAnsi="宋体" w:eastAsia="宋体"/>
          <w:b/>
          <w:color w:val="auto"/>
          <w:sz w:val="56"/>
          <w:szCs w:val="56"/>
          <w:highlight w:val="none"/>
          <w:lang w:eastAsia="zh-CN"/>
        </w:rPr>
      </w:pPr>
      <w:bookmarkStart w:id="0" w:name="_Hlt67893495"/>
      <w:bookmarkEnd w:id="0"/>
      <w:r>
        <w:rPr>
          <w:rFonts w:hint="eastAsia" w:ascii="宋体" w:hAnsi="宋体"/>
          <w:b/>
          <w:color w:val="auto"/>
          <w:sz w:val="52"/>
          <w:szCs w:val="52"/>
          <w:highlight w:val="none"/>
          <w:lang w:eastAsia="zh-CN"/>
        </w:rPr>
        <w:t>嘉善县急救站第三方劳务派遣服务采购</w:t>
      </w:r>
    </w:p>
    <w:p>
      <w:pPr>
        <w:spacing w:before="120" w:beforeLines="50"/>
        <w:rPr>
          <w:rFonts w:ascii="宋体" w:hAnsi="宋体"/>
          <w:color w:val="auto"/>
          <w:sz w:val="72"/>
          <w:szCs w:val="72"/>
          <w:highlight w:val="none"/>
        </w:rPr>
      </w:pPr>
    </w:p>
    <w:p>
      <w:pPr>
        <w:spacing w:before="120" w:beforeLines="50"/>
        <w:rPr>
          <w:rFonts w:ascii="宋体" w:hAnsi="宋体"/>
          <w:color w:val="auto"/>
          <w:sz w:val="72"/>
          <w:szCs w:val="72"/>
          <w:highlight w:val="none"/>
        </w:rPr>
      </w:pPr>
    </w:p>
    <w:p>
      <w:pPr>
        <w:spacing w:before="120" w:beforeLines="50"/>
        <w:rPr>
          <w:rFonts w:ascii="宋体" w:hAnsi="宋体"/>
          <w:color w:val="auto"/>
          <w:sz w:val="72"/>
          <w:szCs w:val="72"/>
          <w:highlight w:val="none"/>
        </w:rPr>
      </w:pPr>
    </w:p>
    <w:p>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pPr>
        <w:pStyle w:val="25"/>
        <w:rPr>
          <w:color w:val="auto"/>
          <w:highlight w:val="none"/>
        </w:rPr>
      </w:pPr>
    </w:p>
    <w:p>
      <w:pPr>
        <w:snapToGrid w:val="0"/>
        <w:spacing w:before="120" w:beforeLines="50" w:line="360" w:lineRule="auto"/>
        <w:jc w:val="center"/>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34"/>
        <w:snapToGrid w:val="0"/>
        <w:spacing w:before="120" w:after="120" w:line="360" w:lineRule="auto"/>
        <w:rPr>
          <w:b/>
          <w:color w:val="auto"/>
          <w:sz w:val="30"/>
          <w:szCs w:val="30"/>
          <w:highlight w:val="none"/>
        </w:rPr>
      </w:pPr>
    </w:p>
    <w:p>
      <w:pPr>
        <w:pStyle w:val="34"/>
        <w:snapToGrid w:val="0"/>
        <w:spacing w:before="120" w:after="120" w:line="360" w:lineRule="auto"/>
        <w:jc w:val="left"/>
        <w:rPr>
          <w:b/>
          <w:color w:val="auto"/>
          <w:sz w:val="30"/>
          <w:szCs w:val="30"/>
          <w:highlight w:val="none"/>
        </w:rPr>
      </w:pPr>
    </w:p>
    <w:p>
      <w:pPr>
        <w:pStyle w:val="34"/>
        <w:snapToGrid w:val="0"/>
        <w:spacing w:before="120" w:after="120" w:line="360" w:lineRule="auto"/>
        <w:jc w:val="left"/>
        <w:rPr>
          <w:b/>
          <w:color w:val="auto"/>
          <w:sz w:val="30"/>
          <w:szCs w:val="30"/>
          <w:highlight w:val="none"/>
        </w:rPr>
      </w:pPr>
    </w:p>
    <w:p>
      <w:pPr>
        <w:pStyle w:val="34"/>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JXYJ2022048</w:t>
      </w:r>
      <w:r>
        <w:rPr>
          <w:rFonts w:hint="eastAsia" w:hAnsi="宋体"/>
          <w:b/>
          <w:color w:val="auto"/>
          <w:sz w:val="30"/>
          <w:szCs w:val="48"/>
          <w:highlight w:val="none"/>
        </w:rPr>
        <w:t>(G)</w:t>
      </w:r>
    </w:p>
    <w:p>
      <w:pPr>
        <w:pStyle w:val="34"/>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嘉善县急救站第三方劳务派遣服务采购</w:t>
      </w:r>
    </w:p>
    <w:p>
      <w:pPr>
        <w:pStyle w:val="34"/>
        <w:snapToGrid w:val="0"/>
        <w:spacing w:before="120" w:after="120" w:line="360" w:lineRule="auto"/>
        <w:jc w:val="left"/>
        <w:rPr>
          <w:rFonts w:hint="eastAsia" w:hAnsi="宋体" w:eastAsia="宋体"/>
          <w:b/>
          <w:color w:val="auto"/>
          <w:sz w:val="30"/>
          <w:szCs w:val="30"/>
          <w:highlight w:val="none"/>
          <w:lang w:eastAsia="zh-CN"/>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lang w:eastAsia="zh-CN"/>
        </w:rPr>
        <w:t>嘉善县急救站</w:t>
      </w:r>
    </w:p>
    <w:p>
      <w:pPr>
        <w:pStyle w:val="34"/>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rPr>
        <w:t>2022年</w:t>
      </w:r>
      <w:r>
        <w:rPr>
          <w:rFonts w:hint="eastAsia" w:ascii="宋体" w:hAnsi="宋体"/>
          <w:b/>
          <w:bCs/>
          <w:color w:val="auto"/>
          <w:w w:val="95"/>
          <w:sz w:val="30"/>
          <w:szCs w:val="30"/>
          <w:highlight w:val="none"/>
          <w:lang w:val="en-US" w:eastAsia="zh-CN"/>
        </w:rPr>
        <w:t>12</w:t>
      </w:r>
      <w:r>
        <w:rPr>
          <w:rFonts w:hint="eastAsia" w:ascii="宋体" w:hAnsi="宋体"/>
          <w:b/>
          <w:bCs/>
          <w:color w:val="auto"/>
          <w:w w:val="95"/>
          <w:sz w:val="30"/>
          <w:szCs w:val="30"/>
          <w:highlight w:val="none"/>
        </w:rPr>
        <w:t>月</w:t>
      </w:r>
    </w:p>
    <w:p>
      <w:pPr>
        <w:rPr>
          <w:rFonts w:ascii="仿宋" w:hAnsi="仿宋" w:eastAsia="仿宋" w:cs="仿宋_GB2312"/>
          <w:color w:val="auto"/>
          <w:sz w:val="24"/>
          <w:highlight w:val="none"/>
        </w:rPr>
        <w:sectPr>
          <w:headerReference r:id="rId3" w:type="default"/>
          <w:headerReference r:id="rId4" w:type="even"/>
          <w:footerReference r:id="rId5" w:type="even"/>
          <w:pgSz w:w="11906" w:h="16838"/>
          <w:pgMar w:top="680" w:right="1418" w:bottom="471" w:left="1418" w:header="851" w:footer="992" w:gutter="0"/>
          <w:cols w:space="720" w:num="1"/>
          <w:titlePg/>
          <w:docGrid w:linePitch="312" w:charSpace="0"/>
        </w:sectPr>
      </w:pPr>
    </w:p>
    <w:p>
      <w:pPr>
        <w:pStyle w:val="4"/>
        <w:rPr>
          <w:color w:val="auto"/>
          <w:highlight w:val="none"/>
        </w:rPr>
      </w:pPr>
    </w:p>
    <w:p>
      <w:pPr>
        <w:pStyle w:val="25"/>
        <w:rPr>
          <w:rFonts w:ascii="仿宋" w:hAnsi="仿宋" w:eastAsia="仿宋" w:cs="仿宋_GB2312"/>
          <w:color w:val="auto"/>
          <w:highlight w:val="none"/>
        </w:rPr>
      </w:pPr>
    </w:p>
    <w:p>
      <w:pPr>
        <w:rPr>
          <w:rFonts w:ascii="仿宋" w:hAnsi="仿宋" w:eastAsia="仿宋" w:cs="仿宋_GB2312"/>
          <w:color w:val="auto"/>
          <w:sz w:val="24"/>
          <w:highlight w:val="none"/>
        </w:rPr>
      </w:pPr>
    </w:p>
    <w:p>
      <w:pPr>
        <w:pStyle w:val="34"/>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pPr>
        <w:pStyle w:val="34"/>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pPr>
        <w:pStyle w:val="34"/>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pPr>
        <w:pStyle w:val="45"/>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8"/>
          <w:rFonts w:hint="eastAsia"/>
          <w:b/>
          <w:color w:val="auto"/>
          <w:sz w:val="32"/>
          <w:szCs w:val="32"/>
          <w:highlight w:val="none"/>
        </w:rPr>
        <w:t>第一章</w:t>
      </w:r>
      <w:r>
        <w:rPr>
          <w:rStyle w:val="78"/>
          <w:rFonts w:hint="eastAsia"/>
          <w:b/>
          <w:color w:val="auto"/>
          <w:sz w:val="32"/>
          <w:szCs w:val="32"/>
          <w:highlight w:val="none"/>
          <w:lang w:val="en-US"/>
        </w:rPr>
        <w:t xml:space="preserve"> </w:t>
      </w:r>
      <w:r>
        <w:rPr>
          <w:rStyle w:val="78"/>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8"/>
          <w:rFonts w:hint="eastAsia"/>
          <w:b/>
          <w:color w:val="auto"/>
          <w:sz w:val="32"/>
          <w:szCs w:val="32"/>
          <w:highlight w:val="none"/>
        </w:rPr>
        <w:t>第二章</w:t>
      </w:r>
      <w:r>
        <w:rPr>
          <w:rStyle w:val="78"/>
          <w:rFonts w:hint="eastAsia"/>
          <w:b/>
          <w:color w:val="auto"/>
          <w:sz w:val="32"/>
          <w:szCs w:val="32"/>
          <w:highlight w:val="none"/>
          <w:lang w:val="en-US"/>
        </w:rPr>
        <w:t xml:space="preserve"> </w:t>
      </w:r>
      <w:r>
        <w:rPr>
          <w:rStyle w:val="78"/>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lang w:val="en-US" w:eastAsia="zh-CN"/>
        </w:rPr>
        <w:t>7</w:t>
      </w:r>
      <w:r>
        <w:rPr>
          <w:rFonts w:hint="eastAsia"/>
          <w:b/>
          <w:color w:val="auto"/>
          <w:sz w:val="32"/>
          <w:szCs w:val="32"/>
          <w:highlight w:val="none"/>
        </w:rPr>
        <w:fldChar w:fldCharType="end"/>
      </w:r>
    </w:p>
    <w:p>
      <w:pPr>
        <w:pStyle w:val="45"/>
        <w:tabs>
          <w:tab w:val="right" w:leader="dot" w:pos="8834"/>
        </w:tabs>
        <w:spacing w:line="480" w:lineRule="auto"/>
        <w:rPr>
          <w:rFonts w:hint="default" w:eastAsia="宋体"/>
          <w:b/>
          <w:color w:val="auto"/>
          <w:sz w:val="32"/>
          <w:szCs w:val="32"/>
          <w:highlight w:val="none"/>
          <w:lang w:val="en-US"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8"/>
          <w:rFonts w:hint="eastAsia"/>
          <w:b/>
          <w:color w:val="auto"/>
          <w:sz w:val="32"/>
          <w:szCs w:val="32"/>
          <w:highlight w:val="none"/>
        </w:rPr>
        <w:t>第三章</w:t>
      </w:r>
      <w:r>
        <w:rPr>
          <w:rStyle w:val="78"/>
          <w:rFonts w:hint="eastAsia"/>
          <w:b/>
          <w:color w:val="auto"/>
          <w:sz w:val="32"/>
          <w:szCs w:val="32"/>
          <w:highlight w:val="none"/>
          <w:lang w:val="en-US"/>
        </w:rPr>
        <w:t xml:space="preserve"> </w:t>
      </w:r>
      <w:r>
        <w:rPr>
          <w:rStyle w:val="78"/>
          <w:rFonts w:hint="eastAsia"/>
          <w:b/>
          <w:color w:val="auto"/>
          <w:sz w:val="32"/>
          <w:szCs w:val="32"/>
          <w:highlight w:val="none"/>
        </w:rPr>
        <w:t>投标人须知</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10</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8"/>
          <w:rFonts w:hint="eastAsia"/>
          <w:b/>
          <w:color w:val="auto"/>
          <w:sz w:val="32"/>
          <w:szCs w:val="32"/>
          <w:highlight w:val="none"/>
        </w:rPr>
        <w:t>第四章 评标办法及评分标准</w:t>
      </w:r>
      <w:r>
        <w:rPr>
          <w:b/>
          <w:color w:val="auto"/>
          <w:sz w:val="32"/>
          <w:szCs w:val="32"/>
          <w:highlight w:val="none"/>
        </w:rPr>
        <w:tab/>
      </w:r>
      <w:r>
        <w:rPr>
          <w:rFonts w:hint="eastAsia"/>
          <w:b/>
          <w:color w:val="auto"/>
          <w:sz w:val="32"/>
          <w:szCs w:val="32"/>
          <w:highlight w:val="none"/>
          <w:lang w:val="en-US" w:eastAsia="zh-CN"/>
        </w:rPr>
        <w:t>2</w:t>
      </w:r>
      <w:r>
        <w:rPr>
          <w:rFonts w:hint="eastAsia"/>
          <w:b/>
          <w:color w:val="auto"/>
          <w:sz w:val="32"/>
          <w:szCs w:val="32"/>
          <w:highlight w:val="none"/>
        </w:rPr>
        <w:fldChar w:fldCharType="end"/>
      </w:r>
      <w:r>
        <w:rPr>
          <w:rFonts w:hint="eastAsia"/>
          <w:b/>
          <w:color w:val="auto"/>
          <w:sz w:val="32"/>
          <w:szCs w:val="32"/>
          <w:highlight w:val="none"/>
          <w:lang w:val="en-US" w:eastAsia="zh-CN"/>
        </w:rPr>
        <w:t>7</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8"/>
          <w:rFonts w:hint="eastAsia"/>
          <w:b/>
          <w:color w:val="auto"/>
          <w:sz w:val="32"/>
          <w:szCs w:val="32"/>
          <w:highlight w:val="none"/>
        </w:rPr>
        <w:t>第五章</w:t>
      </w:r>
      <w:r>
        <w:rPr>
          <w:rStyle w:val="78"/>
          <w:rFonts w:hint="eastAsia"/>
          <w:b/>
          <w:color w:val="auto"/>
          <w:sz w:val="32"/>
          <w:szCs w:val="32"/>
          <w:highlight w:val="none"/>
          <w:lang w:val="en-US"/>
        </w:rPr>
        <w:t xml:space="preserve"> </w:t>
      </w:r>
      <w:r>
        <w:rPr>
          <w:rStyle w:val="78"/>
          <w:rFonts w:hint="eastAsia"/>
          <w:b/>
          <w:color w:val="auto"/>
          <w:sz w:val="32"/>
          <w:szCs w:val="32"/>
          <w:highlight w:val="none"/>
        </w:rPr>
        <w:t>嘉善县政府采购合同（</w:t>
      </w:r>
      <w:bookmarkStart w:id="3" w:name="_Hlt497308216"/>
      <w:r>
        <w:rPr>
          <w:rStyle w:val="78"/>
          <w:rFonts w:hint="eastAsia"/>
          <w:b/>
          <w:color w:val="auto"/>
          <w:sz w:val="32"/>
          <w:szCs w:val="32"/>
          <w:highlight w:val="none"/>
        </w:rPr>
        <w:t>指</w:t>
      </w:r>
      <w:bookmarkEnd w:id="3"/>
      <w:bookmarkStart w:id="4" w:name="_Hlt497308220"/>
      <w:r>
        <w:rPr>
          <w:rStyle w:val="78"/>
          <w:rFonts w:hint="eastAsia"/>
          <w:b/>
          <w:color w:val="auto"/>
          <w:sz w:val="32"/>
          <w:szCs w:val="32"/>
          <w:highlight w:val="none"/>
        </w:rPr>
        <w:t>引</w:t>
      </w:r>
      <w:bookmarkEnd w:id="4"/>
      <w:r>
        <w:rPr>
          <w:rStyle w:val="78"/>
          <w:rFonts w:hint="eastAsia"/>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0</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8"/>
          <w:rFonts w:hint="eastAsia"/>
          <w:b/>
          <w:color w:val="auto"/>
          <w:sz w:val="32"/>
          <w:szCs w:val="32"/>
          <w:highlight w:val="none"/>
        </w:rPr>
        <w:t>第六章</w:t>
      </w:r>
      <w:r>
        <w:rPr>
          <w:rStyle w:val="78"/>
          <w:rFonts w:hint="eastAsia"/>
          <w:b/>
          <w:color w:val="auto"/>
          <w:sz w:val="32"/>
          <w:szCs w:val="32"/>
          <w:highlight w:val="none"/>
          <w:lang w:val="en-US"/>
        </w:rPr>
        <w:t xml:space="preserve"> </w:t>
      </w:r>
      <w:r>
        <w:rPr>
          <w:rStyle w:val="78"/>
          <w:rFonts w:hint="eastAsia"/>
          <w:b/>
          <w:color w:val="auto"/>
          <w:sz w:val="32"/>
          <w:szCs w:val="32"/>
          <w:highlight w:val="none"/>
        </w:rPr>
        <w:t>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35</w:t>
      </w: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sectPr>
          <w:footerReference r:id="rId7" w:type="first"/>
          <w:footerReference r:id="rId6" w:type="default"/>
          <w:pgSz w:w="11906" w:h="16838"/>
          <w:pgMar w:top="680" w:right="1418" w:bottom="468" w:left="1418" w:header="851" w:footer="992" w:gutter="0"/>
          <w:pgNumType w:fmt="decimal" w:start="2"/>
          <w:cols w:space="720" w:num="1"/>
          <w:titlePg/>
          <w:docGrid w:linePitch="312" w:charSpace="0"/>
        </w:sectPr>
      </w:pPr>
    </w:p>
    <w:bookmarkEnd w:id="2"/>
    <w:p>
      <w:pPr>
        <w:adjustRightInd/>
        <w:spacing w:line="360" w:lineRule="auto"/>
        <w:jc w:val="center"/>
        <w:outlineLvl w:val="0"/>
        <w:rPr>
          <w:rFonts w:ascii="仿宋_GB2312" w:hAnsi="仿宋" w:eastAsia="仿宋_GB2312" w:cs="仿宋_GB2312"/>
          <w:b/>
          <w:color w:val="auto"/>
          <w:sz w:val="36"/>
          <w:szCs w:val="20"/>
          <w:highlight w:val="none"/>
        </w:rPr>
      </w:pPr>
      <w:bookmarkStart w:id="7" w:name="_Hlt74649545"/>
      <w:bookmarkEnd w:id="7"/>
      <w:bookmarkStart w:id="8" w:name="_Hlt74707423"/>
      <w:bookmarkEnd w:id="8"/>
      <w:bookmarkStart w:id="9" w:name="_Hlt74729822"/>
      <w:bookmarkEnd w:id="9"/>
      <w:bookmarkStart w:id="10" w:name="_Hlt74728647"/>
      <w:bookmarkEnd w:id="10"/>
      <w:bookmarkStart w:id="11" w:name="第二部分"/>
      <w:bookmarkStart w:id="12" w:name="_Toc91899870"/>
      <w:bookmarkStart w:id="13" w:name="_Toc91899871"/>
      <w:r>
        <w:rPr>
          <w:rFonts w:hint="eastAsia" w:ascii="仿宋" w:hAnsi="仿宋" w:eastAsia="仿宋" w:cs="仿宋_GB2312"/>
          <w:b/>
          <w:color w:val="auto"/>
          <w:sz w:val="36"/>
          <w:szCs w:val="20"/>
          <w:highlight w:val="none"/>
        </w:rPr>
        <w:t>第一章公开招标采购公告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嘉善县急救站第三方劳务派遣服务采购</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ascii="仿宋_GB2312" w:hAnsi="仿宋" w:eastAsia="仿宋_GB2312"/>
          <w:color w:val="auto"/>
          <w:sz w:val="24"/>
          <w:highlight w:val="none"/>
        </w:rPr>
        <w:t>https://www.zcygov.cn/）获取（下载）招标文件，并于</w:t>
      </w:r>
      <w:r>
        <w:rPr>
          <w:rFonts w:hint="eastAsia" w:ascii="仿宋_GB2312" w:hAnsi="仿宋" w:eastAsia="仿宋_GB2312"/>
          <w:color w:val="0000FF"/>
          <w:sz w:val="24"/>
          <w:highlight w:val="none"/>
          <w:u w:val="single"/>
          <w:lang w:eastAsia="zh-CN"/>
        </w:rPr>
        <w:t>2023年1月3日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r>
        <w:rPr>
          <w:rFonts w:hint="eastAsia" w:ascii="仿宋_GB2312" w:hAnsi="仿宋" w:eastAsia="仿宋_GB2312"/>
          <w:bCs/>
          <w:color w:val="0000FF"/>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JXYJ2022048</w:t>
      </w:r>
      <w:r>
        <w:rPr>
          <w:rFonts w:hint="eastAsia" w:ascii="仿宋_GB2312" w:hAnsi="仿宋" w:eastAsia="仿宋_GB2312"/>
          <w:b/>
          <w:color w:val="auto"/>
          <w:sz w:val="24"/>
          <w:highlight w:val="none"/>
        </w:rPr>
        <w:t>(G)</w:t>
      </w:r>
    </w:p>
    <w:p>
      <w:pPr>
        <w:spacing w:line="360" w:lineRule="auto"/>
        <w:ind w:firstLine="482" w:firstLineChars="200"/>
        <w:rPr>
          <w:rFonts w:hint="eastAsia" w:ascii="仿宋_GB2312" w:hAnsi="仿宋" w:eastAsia="仿宋_GB2312"/>
          <w:color w:val="auto"/>
          <w:sz w:val="24"/>
          <w:highlight w:val="none"/>
          <w:lang w:eastAsia="zh-CN"/>
        </w:rPr>
      </w:pPr>
      <w:r>
        <w:rPr>
          <w:rFonts w:ascii="仿宋_GB2312" w:hAnsi="仿宋" w:eastAsia="仿宋_GB2312"/>
          <w:b/>
          <w:color w:val="auto"/>
          <w:sz w:val="24"/>
          <w:highlight w:val="none"/>
        </w:rPr>
        <w:t>项目名称：</w:t>
      </w:r>
      <w:r>
        <w:rPr>
          <w:rFonts w:hint="eastAsia" w:ascii="仿宋_GB2312" w:hAnsi="仿宋" w:eastAsia="仿宋_GB2312"/>
          <w:b/>
          <w:color w:val="auto"/>
          <w:sz w:val="24"/>
          <w:highlight w:val="none"/>
          <w:lang w:eastAsia="zh-CN"/>
        </w:rPr>
        <w:t>嘉善县急救站第三方劳务派遣服务采购</w:t>
      </w:r>
    </w:p>
    <w:p>
      <w:pPr>
        <w:spacing w:line="360" w:lineRule="auto"/>
        <w:ind w:firstLine="482" w:firstLineChars="200"/>
        <w:rPr>
          <w:rFonts w:hint="eastAsia" w:ascii="仿宋_GB2312" w:hAnsi="仿宋" w:eastAsia="仿宋_GB2312"/>
          <w:b/>
          <w:color w:val="auto"/>
          <w:sz w:val="24"/>
          <w:highlight w:val="none"/>
          <w:lang w:eastAsia="zh-CN"/>
        </w:rPr>
      </w:pPr>
      <w:r>
        <w:rPr>
          <w:rFonts w:ascii="仿宋_GB2312" w:hAnsi="仿宋" w:eastAsia="仿宋_GB2312"/>
          <w:b/>
          <w:color w:val="auto"/>
          <w:sz w:val="24"/>
          <w:highlight w:val="none"/>
        </w:rPr>
        <w:t>预算金额（元）：</w:t>
      </w:r>
      <w:r>
        <w:rPr>
          <w:rFonts w:hint="eastAsia" w:ascii="仿宋_GB2312" w:hAnsi="仿宋" w:eastAsia="仿宋_GB2312"/>
          <w:b/>
          <w:color w:val="auto"/>
          <w:sz w:val="24"/>
          <w:highlight w:val="none"/>
          <w:lang w:eastAsia="zh-CN"/>
        </w:rPr>
        <w:t>6900000</w:t>
      </w:r>
    </w:p>
    <w:p>
      <w:pPr>
        <w:spacing w:line="360" w:lineRule="auto"/>
        <w:ind w:firstLine="482" w:firstLineChars="200"/>
        <w:rPr>
          <w:rFonts w:hint="default" w:ascii="仿宋_GB2312" w:hAnsi="仿宋" w:eastAsia="仿宋_GB2312"/>
          <w:color w:val="auto"/>
          <w:sz w:val="24"/>
          <w:highlight w:val="none"/>
          <w:lang w:val="en-US"/>
        </w:rPr>
      </w:pPr>
      <w:r>
        <w:rPr>
          <w:rFonts w:hint="eastAsia" w:ascii="仿宋_GB2312" w:hAnsi="仿宋" w:eastAsia="仿宋_GB2312"/>
          <w:b/>
          <w:color w:val="auto"/>
          <w:sz w:val="24"/>
          <w:highlight w:val="none"/>
        </w:rPr>
        <w:t>管理费最高限价：</w:t>
      </w:r>
      <w:bookmarkStart w:id="37" w:name="_GoBack"/>
      <w:r>
        <w:rPr>
          <w:rFonts w:hint="eastAsia" w:ascii="仿宋_GB2312" w:hAnsi="仿宋" w:eastAsia="仿宋_GB2312"/>
          <w:b/>
          <w:color w:val="0000FF"/>
          <w:sz w:val="24"/>
          <w:highlight w:val="none"/>
        </w:rPr>
        <w:t>急救车驾驶员</w:t>
      </w:r>
      <w:r>
        <w:rPr>
          <w:rFonts w:hint="eastAsia" w:ascii="仿宋_GB2312" w:hAnsi="仿宋" w:eastAsia="仿宋_GB2312"/>
          <w:b/>
          <w:color w:val="0000FF"/>
          <w:sz w:val="24"/>
          <w:highlight w:val="none"/>
          <w:lang w:eastAsia="zh-CN"/>
        </w:rPr>
        <w:t>及担架工</w:t>
      </w:r>
      <w:r>
        <w:rPr>
          <w:rFonts w:hint="eastAsia" w:ascii="仿宋_GB2312" w:hAnsi="仿宋" w:eastAsia="仿宋_GB2312"/>
          <w:b/>
          <w:color w:val="0000FF"/>
          <w:sz w:val="24"/>
          <w:highlight w:val="none"/>
          <w:lang w:val="en-US" w:eastAsia="zh-CN"/>
        </w:rPr>
        <w:t>530元/月/人，调度员150元/月/人</w:t>
      </w:r>
      <w:bookmarkEnd w:id="37"/>
    </w:p>
    <w:p>
      <w:pPr>
        <w:pStyle w:val="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val="0"/>
          <w:bCs/>
          <w:color w:val="auto"/>
          <w:sz w:val="24"/>
          <w:highlight w:val="none"/>
        </w:rPr>
        <w:t>详见招标文件第二章招标需求</w:t>
      </w:r>
    </w:p>
    <w:p>
      <w:pPr>
        <w:pStyle w:val="6"/>
        <w:spacing w:line="360" w:lineRule="auto"/>
        <w:ind w:firstLine="480"/>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cs="Times New Roman"/>
          <w:b w:val="0"/>
          <w:bCs/>
          <w:color w:val="auto"/>
          <w:sz w:val="24"/>
          <w:highlight w:val="none"/>
        </w:rPr>
        <w:t>自合同签订之日起一年。</w:t>
      </w:r>
    </w:p>
    <w:p>
      <w:pPr>
        <w:pStyle w:val="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2"/>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6"/>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7"/>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8"/>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napToGrid w:val="0"/>
        <w:spacing w:line="360" w:lineRule="auto"/>
        <w:ind w:firstLine="512" w:firstLineChars="200"/>
        <w:rPr>
          <w:rFonts w:ascii="仿宋_GB2312" w:hAnsi="仿宋" w:eastAsia="仿宋" w:cs="仿宋_GB2312"/>
          <w:color w:val="auto"/>
          <w:sz w:val="24"/>
          <w:highlight w:val="none"/>
        </w:rPr>
      </w:pPr>
      <w:r>
        <w:rPr>
          <w:rFonts w:hint="eastAsia" w:ascii="仿宋" w:hAnsi="仿宋" w:eastAsia="仿宋" w:cs="宋体"/>
          <w:color w:val="auto"/>
          <w:spacing w:val="8"/>
          <w:kern w:val="0"/>
          <w:sz w:val="24"/>
          <w:highlight w:val="none"/>
        </w:rPr>
        <w:t>3.本项目的特定资格要求：无</w:t>
      </w:r>
    </w:p>
    <w:p>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0000FF"/>
          <w:sz w:val="24"/>
          <w:highlight w:val="none"/>
          <w:u w:val="single"/>
          <w:lang w:eastAsia="zh-CN"/>
        </w:rPr>
        <w:t>2023年1月3日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0000FF"/>
          <w:sz w:val="24"/>
          <w:highlight w:val="none"/>
          <w:u w:val="single"/>
          <w:lang w:eastAsia="zh-CN"/>
        </w:rPr>
        <w:t>2023年1月3日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0000FF"/>
          <w:sz w:val="24"/>
          <w:highlight w:val="none"/>
          <w:u w:val="single"/>
          <w:lang w:eastAsia="zh-CN"/>
        </w:rPr>
        <w:t>2023年1月3日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-84211066；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嘉善县急救站</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嘉善县体育南路988号</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eastAsia="zh-CN"/>
        </w:rPr>
        <w:t>计先生</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0573-84235051</w:t>
      </w:r>
    </w:p>
    <w:p>
      <w:pPr>
        <w:spacing w:line="360" w:lineRule="auto"/>
        <w:rPr>
          <w:rFonts w:hint="eastAsia" w:ascii="仿宋" w:hAnsi="仿宋" w:eastAsia="仿宋_GB2312"/>
          <w:color w:val="auto"/>
          <w:sz w:val="24"/>
          <w:highlight w:val="none"/>
          <w:lang w:eastAsia="zh-CN"/>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周</w:t>
      </w:r>
      <w:r>
        <w:rPr>
          <w:rFonts w:hint="eastAsia" w:ascii="仿宋_GB2312" w:hAnsi="仿宋" w:eastAsia="仿宋_GB2312"/>
          <w:color w:val="auto"/>
          <w:sz w:val="24"/>
          <w:highlight w:val="none"/>
          <w:lang w:eastAsia="zh-CN"/>
        </w:rPr>
        <w:t>先生</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0573-84013370</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名称：嘉兴市银建工程咨询评估有限公司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地址：嘉善县阳光东路185号善商大厦1号（东）楼21层</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0573-84971199</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0573-84211066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0573-84211099</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0573-84122528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sectPr>
          <w:footerReference r:id="rId9" w:type="first"/>
          <w:footerReference r:id="rId8" w:type="default"/>
          <w:pgSz w:w="11906" w:h="16838"/>
          <w:pgMar w:top="680" w:right="1418" w:bottom="468" w:left="1418" w:header="851" w:footer="992" w:gutter="0"/>
          <w:pgNumType w:fmt="decimal"/>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一、采购内容</w:t>
      </w:r>
    </w:p>
    <w:p>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jc w:val="left"/>
        <w:textAlignment w:val="auto"/>
        <w:rPr>
          <w:rFonts w:hint="eastAsia" w:ascii="宋体" w:hAnsi="宋体" w:eastAsia="宋体" w:cs="宋体"/>
          <w:b/>
          <w:color w:val="auto"/>
          <w:sz w:val="24"/>
          <w:szCs w:val="24"/>
          <w:highlight w:val="none"/>
        </w:rPr>
      </w:pPr>
      <w:bookmarkStart w:id="14" w:name="_Hlk20660231"/>
      <w:r>
        <w:rPr>
          <w:rFonts w:hint="eastAsia" w:ascii="宋体" w:hAnsi="宋体" w:eastAsia="宋体" w:cs="宋体"/>
          <w:color w:val="auto"/>
          <w:sz w:val="24"/>
          <w:szCs w:val="24"/>
          <w:highlight w:val="none"/>
        </w:rPr>
        <w:t>嘉善县急救站</w:t>
      </w:r>
      <w:bookmarkEnd w:id="14"/>
      <w:r>
        <w:rPr>
          <w:rFonts w:hint="eastAsia" w:ascii="宋体" w:hAnsi="宋体" w:eastAsia="宋体" w:cs="宋体"/>
          <w:color w:val="auto"/>
          <w:sz w:val="24"/>
          <w:szCs w:val="24"/>
          <w:highlight w:val="none"/>
        </w:rPr>
        <w:t>通过招标产生外包公司一家</w:t>
      </w:r>
      <w:r>
        <w:rPr>
          <w:rFonts w:hint="eastAsia" w:hAnsi="宋体" w:cs="宋体"/>
          <w:color w:val="auto"/>
          <w:sz w:val="24"/>
          <w:szCs w:val="24"/>
          <w:highlight w:val="none"/>
          <w:lang w:eastAsia="zh-CN"/>
        </w:rPr>
        <w:t>为</w:t>
      </w:r>
      <w:r>
        <w:rPr>
          <w:rFonts w:hint="eastAsia" w:ascii="宋体" w:hAnsi="宋体" w:eastAsia="宋体" w:cs="宋体"/>
          <w:color w:val="auto"/>
          <w:sz w:val="24"/>
          <w:szCs w:val="24"/>
          <w:highlight w:val="none"/>
        </w:rPr>
        <w:t>嘉善县急救站提供</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名服务人员。</w:t>
      </w:r>
    </w:p>
    <w:p>
      <w:pPr>
        <w:pStyle w:val="34"/>
        <w:keepNext w:val="0"/>
        <w:keepLines w:val="0"/>
        <w:pageBreakBefore w:val="0"/>
        <w:widowControl w:val="0"/>
        <w:numPr>
          <w:ilvl w:val="0"/>
          <w:numId w:val="2"/>
        </w:numPr>
        <w:tabs>
          <w:tab w:val="left" w:pos="256"/>
        </w:tabs>
        <w:kinsoku/>
        <w:wordWrap/>
        <w:overflowPunct/>
        <w:topLinePunct w:val="0"/>
        <w:autoSpaceDE/>
        <w:autoSpaceDN/>
        <w:bidi w:val="0"/>
        <w:adjustRightInd/>
        <w:snapToGrid w:val="0"/>
        <w:spacing w:before="0" w:beforeLines="0" w:after="0" w:afterLines="0"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主要服务内容</w:t>
      </w:r>
    </w:p>
    <w:p>
      <w:pPr>
        <w:pStyle w:val="975"/>
        <w:keepNext w:val="0"/>
        <w:keepLines w:val="0"/>
        <w:pageBreakBefore w:val="0"/>
        <w:widowControl w:val="0"/>
        <w:kinsoku/>
        <w:wordWrap/>
        <w:overflowPunct/>
        <w:topLinePunct w:val="0"/>
        <w:autoSpaceDE/>
        <w:autoSpaceDN/>
        <w:bidi w:val="0"/>
        <w:adjustRightInd/>
        <w:ind w:firstLine="48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在采购单位指导下，承担嘉善县急救站等服务。</w:t>
      </w:r>
    </w:p>
    <w:p>
      <w:pPr>
        <w:pStyle w:val="34"/>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36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服务期限</w:t>
      </w:r>
    </w:p>
    <w:p>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自合同签订之日起一年，</w:t>
      </w:r>
      <w:r>
        <w:rPr>
          <w:rFonts w:hint="eastAsia" w:ascii="宋体" w:hAnsi="宋体" w:eastAsia="宋体" w:cs="宋体"/>
          <w:color w:val="auto"/>
          <w:sz w:val="24"/>
          <w:szCs w:val="24"/>
          <w:highlight w:val="none"/>
          <w:lang w:eastAsia="zh-CN"/>
        </w:rPr>
        <w:t>若</w:t>
      </w:r>
      <w:r>
        <w:rPr>
          <w:rFonts w:hint="eastAsia" w:ascii="宋体" w:hAnsi="宋体" w:eastAsia="宋体" w:cs="宋体"/>
          <w:color w:val="auto"/>
          <w:sz w:val="24"/>
          <w:szCs w:val="24"/>
          <w:highlight w:val="none"/>
        </w:rPr>
        <w:t>运营期满双方合作较满意的且无书面异议提出，经嘉善县财政局同意，可将合同有效期延长一年。</w:t>
      </w:r>
    </w:p>
    <w:p>
      <w:pPr>
        <w:pStyle w:val="34"/>
        <w:keepNext w:val="0"/>
        <w:keepLines w:val="0"/>
        <w:pageBreakBefore w:val="0"/>
        <w:widowControl w:val="0"/>
        <w:numPr>
          <w:ilvl w:val="0"/>
          <w:numId w:val="2"/>
        </w:numPr>
        <w:tabs>
          <w:tab w:val="left" w:pos="436"/>
        </w:tabs>
        <w:kinsoku/>
        <w:wordWrap/>
        <w:overflowPunct/>
        <w:topLinePunct w:val="0"/>
        <w:autoSpaceDE/>
        <w:autoSpaceDN/>
        <w:bidi w:val="0"/>
        <w:adjustRightInd/>
        <w:snapToGrid w:val="0"/>
        <w:spacing w:before="0" w:beforeLines="0" w:after="0" w:afterLines="0"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其他要求</w:t>
      </w:r>
    </w:p>
    <w:p>
      <w:pPr>
        <w:pStyle w:val="260"/>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应根据采购单位服务岗位的要求提供服务人员，身体健康，品德端正、遵章守纪，无违法违纪行为，工作细致，有耐心、服务态度亲切，服务意识强，有责任心，善于沟通，服从管理，具有良好的团队合作精神。服务人员基本培训由中标单位负责实施，业务培训由采购单位统一实施。</w:t>
      </w:r>
    </w:p>
    <w:p>
      <w:pPr>
        <w:pStyle w:val="34"/>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岗位人数及要求</w:t>
      </w:r>
    </w:p>
    <w:p>
      <w:pPr>
        <w:pStyle w:val="975"/>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嘉善县急救站服务岗位人数及要求</w:t>
      </w:r>
    </w:p>
    <w:tbl>
      <w:tblPr>
        <w:tblStyle w:val="64"/>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216"/>
        <w:gridCol w:w="3467"/>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1"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岗位</w:t>
            </w:r>
          </w:p>
        </w:tc>
        <w:tc>
          <w:tcPr>
            <w:tcW w:w="1216"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招聘人数</w:t>
            </w:r>
          </w:p>
        </w:tc>
        <w:tc>
          <w:tcPr>
            <w:tcW w:w="3467"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招聘要求</w:t>
            </w:r>
          </w:p>
        </w:tc>
        <w:tc>
          <w:tcPr>
            <w:tcW w:w="3719"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131"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急救车驾驶员</w:t>
            </w:r>
          </w:p>
        </w:tc>
        <w:tc>
          <w:tcPr>
            <w:tcW w:w="1216" w:type="dxa"/>
            <w:noWrap w:val="0"/>
            <w:vAlign w:val="center"/>
          </w:tcPr>
          <w:p>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w:t>
            </w:r>
          </w:p>
        </w:tc>
        <w:tc>
          <w:tcPr>
            <w:tcW w:w="3467"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年龄25-45周岁（具体按实际需求），高中及以上学历，驾驶证等级 B1及以上，善于沟通交流，热爱公益文化。</w:t>
            </w:r>
          </w:p>
        </w:tc>
        <w:tc>
          <w:tcPr>
            <w:tcW w:w="3719" w:type="dxa"/>
            <w:noWrap w:val="0"/>
            <w:vAlign w:val="center"/>
          </w:tcPr>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1、负责急救车辆的维护和检修保养，以保证车辆安全行驶。2、服从120调度指挥，密切配合、协助急救医师，安全完成急救任务。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131"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担架工</w:t>
            </w:r>
          </w:p>
        </w:tc>
        <w:tc>
          <w:tcPr>
            <w:tcW w:w="1216" w:type="dxa"/>
            <w:noWrap w:val="0"/>
            <w:vAlign w:val="center"/>
          </w:tcPr>
          <w:p>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3467"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年龄20-4</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周岁（具体按实际需求），高中及以上学历，善于沟通交流，热爱公益文化。</w:t>
            </w:r>
          </w:p>
        </w:tc>
        <w:tc>
          <w:tcPr>
            <w:tcW w:w="3719" w:type="dxa"/>
            <w:noWrap w:val="0"/>
            <w:vAlign w:val="center"/>
          </w:tcPr>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1、负责病人的担架抬送服务。2、服从120调度指挥，密切配合、协助急救医师，安全完成急救任务。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131" w:type="dxa"/>
            <w:noWrap w:val="0"/>
            <w:vAlign w:val="center"/>
          </w:tcPr>
          <w:p>
            <w:pPr>
              <w:spacing w:line="360" w:lineRule="auto"/>
              <w:jc w:val="center"/>
              <w:rPr>
                <w:rFonts w:hint="eastAsia" w:ascii="宋体" w:hAnsi="宋体" w:eastAsia="宋体" w:cs="宋体"/>
                <w:color w:val="0000FF"/>
                <w:kern w:val="0"/>
                <w:sz w:val="24"/>
                <w:szCs w:val="24"/>
                <w:highlight w:val="none"/>
                <w:lang w:val="en-US" w:eastAsia="zh-CN"/>
              </w:rPr>
            </w:pPr>
            <w:r>
              <w:rPr>
                <w:rFonts w:hint="eastAsia" w:ascii="宋体" w:hAnsi="宋体" w:cs="宋体"/>
                <w:color w:val="0000FF"/>
                <w:kern w:val="0"/>
                <w:sz w:val="24"/>
                <w:szCs w:val="24"/>
                <w:highlight w:val="none"/>
                <w:lang w:val="en-US" w:eastAsia="zh-CN"/>
              </w:rPr>
              <w:t>调度员</w:t>
            </w:r>
          </w:p>
        </w:tc>
        <w:tc>
          <w:tcPr>
            <w:tcW w:w="1216" w:type="dxa"/>
            <w:noWrap w:val="0"/>
            <w:vAlign w:val="center"/>
          </w:tcPr>
          <w:p>
            <w:pPr>
              <w:spacing w:line="360" w:lineRule="auto"/>
              <w:jc w:val="center"/>
              <w:rPr>
                <w:rFonts w:hint="default" w:ascii="宋体" w:hAnsi="宋体" w:eastAsia="宋体" w:cs="宋体"/>
                <w:color w:val="0000FF"/>
                <w:kern w:val="0"/>
                <w:sz w:val="24"/>
                <w:szCs w:val="24"/>
                <w:highlight w:val="none"/>
                <w:lang w:val="en-US" w:eastAsia="zh-CN"/>
              </w:rPr>
            </w:pPr>
            <w:r>
              <w:rPr>
                <w:rFonts w:hint="eastAsia" w:ascii="宋体" w:hAnsi="宋体" w:cs="宋体"/>
                <w:color w:val="0000FF"/>
                <w:kern w:val="0"/>
                <w:sz w:val="24"/>
                <w:szCs w:val="24"/>
                <w:highlight w:val="none"/>
                <w:lang w:val="en-US" w:eastAsia="zh-CN"/>
              </w:rPr>
              <w:t>14</w:t>
            </w:r>
          </w:p>
        </w:tc>
        <w:tc>
          <w:tcPr>
            <w:tcW w:w="3467" w:type="dxa"/>
            <w:noWrap w:val="0"/>
            <w:vAlign w:val="center"/>
          </w:tcPr>
          <w:p>
            <w:pPr>
              <w:spacing w:line="360" w:lineRule="auto"/>
              <w:rPr>
                <w:rFonts w:hint="default" w:ascii="宋体" w:hAnsi="宋体" w:eastAsia="宋体" w:cs="宋体"/>
                <w:color w:val="0000FF"/>
                <w:kern w:val="0"/>
                <w:sz w:val="24"/>
                <w:szCs w:val="24"/>
                <w:highlight w:val="none"/>
                <w:lang w:val="en-US" w:eastAsia="zh-CN"/>
              </w:rPr>
            </w:pPr>
            <w:r>
              <w:rPr>
                <w:rFonts w:hint="eastAsia" w:ascii="宋体" w:hAnsi="宋体" w:cs="宋体"/>
                <w:color w:val="0000FF"/>
                <w:kern w:val="0"/>
                <w:sz w:val="24"/>
                <w:szCs w:val="24"/>
                <w:highlight w:val="none"/>
                <w:lang w:eastAsia="zh-CN"/>
              </w:rPr>
              <w:t>年龄</w:t>
            </w:r>
            <w:r>
              <w:rPr>
                <w:rFonts w:hint="eastAsia" w:ascii="宋体" w:hAnsi="宋体" w:cs="宋体"/>
                <w:color w:val="0000FF"/>
                <w:kern w:val="0"/>
                <w:sz w:val="24"/>
                <w:szCs w:val="24"/>
                <w:highlight w:val="none"/>
                <w:lang w:val="en-US" w:eastAsia="zh-CN"/>
              </w:rPr>
              <w:t>35周岁及以下，大专及以上学历，善于沟通交流，热爱公益文化。</w:t>
            </w:r>
          </w:p>
        </w:tc>
        <w:tc>
          <w:tcPr>
            <w:tcW w:w="3719" w:type="dxa"/>
            <w:noWrap w:val="0"/>
            <w:vAlign w:val="center"/>
          </w:tcPr>
          <w:p>
            <w:pPr>
              <w:spacing w:line="360" w:lineRule="auto"/>
              <w:jc w:val="left"/>
              <w:rPr>
                <w:rFonts w:hint="default" w:ascii="宋体" w:hAnsi="宋体" w:eastAsia="宋体" w:cs="宋体"/>
                <w:color w:val="0000FF"/>
                <w:kern w:val="0"/>
                <w:sz w:val="24"/>
                <w:szCs w:val="24"/>
                <w:highlight w:val="none"/>
                <w:lang w:val="en-US" w:eastAsia="zh-CN"/>
              </w:rPr>
            </w:pPr>
            <w:r>
              <w:rPr>
                <w:rFonts w:hint="eastAsia" w:ascii="宋体" w:hAnsi="宋体" w:cs="宋体"/>
                <w:color w:val="0000FF"/>
                <w:kern w:val="0"/>
                <w:sz w:val="24"/>
                <w:szCs w:val="24"/>
                <w:highlight w:val="none"/>
                <w:lang w:val="en-US" w:eastAsia="zh-CN"/>
              </w:rPr>
              <w:t>1、岗位需要从事夜班工作，主要负责全县120急救电话接听和急救车调度工作。</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注：以上岗位招聘人数只是</w:t>
      </w: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时暂定的数量，实际需求数量与</w:t>
      </w:r>
      <w:r>
        <w:rPr>
          <w:rFonts w:hint="eastAsia" w:ascii="宋体" w:hAnsi="宋体" w:cs="宋体"/>
          <w:b/>
          <w:bCs/>
          <w:color w:val="auto"/>
          <w:sz w:val="24"/>
          <w:szCs w:val="24"/>
          <w:highlight w:val="none"/>
          <w:lang w:val="en-US" w:eastAsia="zh-CN"/>
        </w:rPr>
        <w:t>采购时</w:t>
      </w:r>
      <w:r>
        <w:rPr>
          <w:rFonts w:hint="eastAsia" w:ascii="宋体" w:hAnsi="宋体" w:eastAsia="宋体" w:cs="宋体"/>
          <w:b/>
          <w:bCs/>
          <w:color w:val="auto"/>
          <w:sz w:val="24"/>
          <w:szCs w:val="24"/>
          <w:highlight w:val="none"/>
        </w:rPr>
        <w:t>要求数量有可能发生变化，变化大小也无法估计，</w:t>
      </w: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人有权按实际需要进行调整，最终以</w:t>
      </w: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人实际需求为准，结算以实际人数为准，请投标人在投标时把此因素考虑在投标报价中</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考核事项，根据采购单位提出的需求制定考核需求，由中标单位制定具体考核办法，并组织实施。采购单位应将服务人员日常工作表现定期反馈中标单位。服务人员应遵守采购单位各项工作制度，对违反工作制度引起的后果承担责任。采购单位根据服务人员工作表现，可以向中标单位提出更换服务人员要求，中标单位应要求安排符合上岗条件的人员接替；如中标单位需要变动人员的，须提前一个月告知采购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待遇，中标单位按《中华人民共和国劳动法》等相关规定给派遣人员交纳五险一金并按月发放工资，工资标准不低于《嘉兴市人民政府关于调整全市最低工资标准的通知》［嘉政发〔2021〕22号］文件。中标单位必须根据采购单位每月考核结果全额发放派遣人员的劳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由中标供应商负责派遣人员的招聘、体检、入离职管理、生育、工伤的申报申领、劳动仲裁、诉讼等事宜；由中标供应商负责与派遣的员工签订劳动合同，确定劳动关系；由中标供应商负责派遣员工的档案管理、党员组织关系管理以及专业技术人员的职称申报、评定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.中标单位服务人员在采购单位服务期间的劳动管理、劳动争议等事项由中标单位依据《中华人民共和国劳动法》和《中华人民共和国</w:t>
      </w:r>
      <w:r>
        <w:rPr>
          <w:rFonts w:hint="eastAsia" w:ascii="宋体" w:hAnsi="宋体" w:cs="宋体"/>
          <w:color w:val="auto"/>
          <w:sz w:val="24"/>
          <w:szCs w:val="24"/>
          <w:highlight w:val="none"/>
          <w:lang w:eastAsia="zh-CN"/>
        </w:rPr>
        <w:t>民法典</w:t>
      </w:r>
      <w:r>
        <w:rPr>
          <w:rFonts w:hint="eastAsia" w:ascii="宋体" w:hAnsi="宋体" w:eastAsia="宋体" w:cs="宋体"/>
          <w:color w:val="auto"/>
          <w:sz w:val="24"/>
          <w:szCs w:val="24"/>
          <w:highlight w:val="none"/>
        </w:rPr>
        <w:t>》处理。中标单位服务人员与中标单位发生的劳动争议一律与采购单位无关。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5.每年为所有派遣人员（</w:t>
      </w:r>
      <w:r>
        <w:rPr>
          <w:rFonts w:hint="eastAsia" w:ascii="宋体" w:hAnsi="宋体" w:cs="宋体"/>
          <w:b w:val="0"/>
          <w:bCs w:val="0"/>
          <w:color w:val="0000FF"/>
          <w:sz w:val="24"/>
          <w:szCs w:val="24"/>
          <w:highlight w:val="none"/>
          <w:lang w:val="en-US" w:eastAsia="zh-CN"/>
        </w:rPr>
        <w:t>不包括调度员</w:t>
      </w:r>
      <w:r>
        <w:rPr>
          <w:rFonts w:hint="eastAsia" w:ascii="宋体" w:hAnsi="宋体" w:cs="宋体"/>
          <w:b w:val="0"/>
          <w:bCs w:val="0"/>
          <w:color w:val="auto"/>
          <w:sz w:val="24"/>
          <w:szCs w:val="24"/>
          <w:highlight w:val="none"/>
          <w:lang w:val="en-US" w:eastAsia="zh-CN"/>
        </w:rPr>
        <w:t>）提供一次健康体检，体检医院须选择嘉善县内公立医院，体检项目包括但不限于以下项目：内外科、血压、血常规、尿常规、肝功能十三项、肾功能三项、血脂四项、电解质、心肌酶谱、同型半光氨酸、肿瘤五项（AFP、CEA、CA199、SCC、CYFRA211）、空腹血糖、糖化血红蛋白、甲状腺功能五项、甲状腺抗体两项、肝胆胰脾双肾彩超、甲状腺彩超、前列腺彩超项目、心电图、胸部CT、C14呼气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6.需派1人作为团队专职管理人员驻场（驻场地点由招标人指定，费用包含在管理费中），主要负责派遣人员的日常管理。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注：上述1－</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条的所有要求，各投标单位必须在招标文件中予以承诺，承诺格式自拟，不承诺将被视为不响应本次招标，作无效标处理。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七、质量保证及售后服务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在合同履行期间，服务人员单方面与中标单位解除合同的，中标单位应提前15日告知采购单位，并在上述人员离岗前予以补充。采购单位按规定要求中标单位调换进驻人员的，中标单位应在30日内安排符合原招聘要求的人员进行补充，中标单位新招用人员应通过采购单位考核后方可上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单位服务人员在服务过程中发生违章、违纪、不服从管理等情形的，采购单位应在绩效考核中予以反映，中标单位应按考核结果给予扣发奖金等相应处罚，情节严重的，采购单位有权要求中标单位调换人员。</w:t>
      </w:r>
    </w:p>
    <w:p>
      <w:pPr>
        <w:spacing w:line="560" w:lineRule="exact"/>
        <w:ind w:firstLine="480" w:firstLineChars="200"/>
        <w:rPr>
          <w:rFonts w:hint="eastAsia" w:ascii="宋体" w:hAnsi="宋体" w:eastAsia="宋体" w:cs="宋体"/>
          <w:color w:val="auto"/>
          <w:sz w:val="24"/>
          <w:szCs w:val="24"/>
          <w:highlight w:val="none"/>
          <w:lang w:val="zh-CN"/>
        </w:rPr>
        <w:sectPr>
          <w:footerReference r:id="rId10" w:type="default"/>
          <w:pgSz w:w="11906" w:h="16838"/>
          <w:pgMar w:top="680" w:right="1418" w:bottom="468" w:left="1418" w:header="851" w:footer="992" w:gutter="0"/>
          <w:pgNumType w:fmt="decimal"/>
          <w:cols w:space="720" w:num="1"/>
          <w:titlePg/>
          <w:docGrid w:linePitch="312" w:charSpace="0"/>
        </w:sectPr>
      </w:pPr>
    </w:p>
    <w:p>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5" w:name="_Toc91899903"/>
      <w:bookmarkStart w:id="16" w:name="_Toc164416483"/>
      <w:bookmarkStart w:id="17" w:name="第三部分"/>
      <w:r>
        <w:rPr>
          <w:rFonts w:hint="eastAsia" w:ascii="宋体" w:hAnsi="宋体" w:cs="宋体"/>
          <w:b/>
          <w:bCs/>
          <w:color w:val="auto"/>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pPr>
        <w:pStyle w:val="60"/>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pPr>
        <w:pStyle w:val="60"/>
        <w:widowControl w:val="0"/>
        <w:wordWrap w:val="0"/>
        <w:overflowPunct w:val="0"/>
        <w:autoSpaceDE w:val="0"/>
        <w:autoSpaceDN w:val="0"/>
        <w:adjustRightInd/>
        <w:spacing w:before="0" w:beforeAutospacing="0" w:after="0" w:afterAutospacing="0" w:line="400" w:lineRule="exact"/>
        <w:ind w:firstLine="645"/>
        <w:rPr>
          <w:rFonts w:hint="eastAsia"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60"/>
        <w:widowControl w:val="0"/>
        <w:wordWrap w:val="0"/>
        <w:overflowPunct w:val="0"/>
        <w:autoSpaceDE w:val="0"/>
        <w:autoSpaceDN w:val="0"/>
        <w:adjustRightInd/>
        <w:spacing w:before="0" w:beforeAutospacing="0" w:after="0" w:afterAutospacing="0" w:line="400" w:lineRule="exact"/>
        <w:ind w:firstLine="645"/>
        <w:rPr>
          <w:rFonts w:hint="eastAsia" w:cs="宋体"/>
          <w:color w:val="auto"/>
          <w:kern w:val="2"/>
          <w:highlight w:val="none"/>
        </w:rPr>
      </w:pPr>
      <w:r>
        <w:rPr>
          <w:rFonts w:hint="eastAsia" w:cs="宋体"/>
          <w:color w:val="auto"/>
          <w:kern w:val="2"/>
          <w:highlight w:val="none"/>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60"/>
        <w:widowControl w:val="0"/>
        <w:wordWrap w:val="0"/>
        <w:overflowPunct w:val="0"/>
        <w:autoSpaceDE w:val="0"/>
        <w:autoSpaceDN w:val="0"/>
        <w:adjustRightInd/>
        <w:spacing w:before="0" w:beforeAutospacing="0" w:after="0" w:afterAutospacing="0" w:line="400" w:lineRule="exact"/>
        <w:ind w:firstLine="645"/>
        <w:rPr>
          <w:rFonts w:hint="eastAsia" w:cs="宋体"/>
          <w:color w:val="auto"/>
          <w:kern w:val="2"/>
          <w:highlight w:val="none"/>
        </w:rPr>
      </w:pPr>
      <w:r>
        <w:rPr>
          <w:rFonts w:hint="eastAsia" w:cs="宋体"/>
          <w:color w:val="auto"/>
          <w:kern w:val="2"/>
          <w:highlight w:val="none"/>
          <w:lang w:val="en-US"/>
        </w:rPr>
        <w:t>4</w:t>
      </w:r>
      <w:r>
        <w:rPr>
          <w:rFonts w:hint="eastAsia" w:cs="宋体"/>
          <w:color w:val="auto"/>
          <w:kern w:val="2"/>
          <w:highlight w:val="none"/>
        </w:rPr>
        <w:t>.供应商须在采购代理机构宣布评审结束、产生中标候选人前时刻关注，配合专家组工作，如有询标（澄清、质疑），在约定时间内（具体时间以询标函上规定的时间为准备）通过</w:t>
      </w:r>
      <w:r>
        <w:rPr>
          <w:rFonts w:hint="eastAsia" w:cs="宋体"/>
          <w:color w:val="auto"/>
          <w:kern w:val="2"/>
          <w:highlight w:val="none"/>
          <w:lang w:val="en-US"/>
        </w:rPr>
        <w:t>CA</w:t>
      </w:r>
      <w:r>
        <w:rPr>
          <w:rFonts w:hint="eastAsia" w:cs="宋体"/>
          <w:color w:val="auto"/>
          <w:kern w:val="2"/>
          <w:highlight w:val="none"/>
        </w:rPr>
        <w:t>进行回复。未按要求回复的，视为放弃澄清。</w:t>
      </w:r>
    </w:p>
    <w:p>
      <w:pPr>
        <w:rPr>
          <w:color w:val="auto"/>
          <w:highlight w:val="none"/>
        </w:rPr>
      </w:pPr>
    </w:p>
    <w:p>
      <w:pPr>
        <w:pStyle w:val="25"/>
        <w:wordWrap w:val="0"/>
        <w:overflowPunct w:val="0"/>
        <w:adjustRightInd/>
        <w:spacing w:before="24" w:beforeLines="10"/>
        <w:ind w:firstLine="487"/>
        <w:rPr>
          <w:rFonts w:hAnsi="宋体" w:cs="宋体"/>
          <w:color w:val="auto"/>
          <w:kern w:val="0"/>
          <w:highlight w:val="none"/>
          <w:shd w:val="clear" w:color="auto" w:fill="FFFFFF"/>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4"/>
        <w:tblW w:w="9143" w:type="dxa"/>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嘉善县急救站第三方劳务派遣服务采购</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60"/>
              <w:widowControl w:val="0"/>
              <w:overflowPunct w:val="0"/>
              <w:topLinePunct/>
              <w:autoSpaceDE w:val="0"/>
              <w:autoSpaceDN w:val="0"/>
              <w:spacing w:before="24" w:beforeLines="10" w:beforeAutospacing="0" w:after="24" w:afterLines="10" w:afterAutospacing="0" w:line="400" w:lineRule="exact"/>
              <w:ind w:firstLine="480" w:firstLineChars="200"/>
              <w:rPr>
                <w:rFonts w:hint="eastAsia" w:eastAsia="宋体" w:cs="宋体"/>
                <w:color w:val="auto"/>
                <w:highlight w:val="none"/>
                <w:lang w:eastAsia="zh-CN"/>
              </w:rPr>
            </w:pPr>
            <w:r>
              <w:rPr>
                <w:rFonts w:hint="eastAsia" w:cs="宋体"/>
                <w:color w:val="auto"/>
                <w:highlight w:val="none"/>
              </w:rPr>
              <w:t>项目预算：</w:t>
            </w:r>
            <w:r>
              <w:rPr>
                <w:rFonts w:hint="eastAsia" w:cs="宋体"/>
                <w:color w:val="auto"/>
                <w:highlight w:val="none"/>
                <w:u w:val="single"/>
                <w:lang w:eastAsia="zh-CN"/>
              </w:rPr>
              <w:t>690</w:t>
            </w:r>
            <w:r>
              <w:rPr>
                <w:rFonts w:hint="eastAsia" w:cs="宋体"/>
                <w:color w:val="auto"/>
                <w:highlight w:val="none"/>
                <w:u w:val="single"/>
              </w:rPr>
              <w:t>.00万元</w:t>
            </w:r>
            <w:r>
              <w:rPr>
                <w:rFonts w:hint="eastAsia" w:cs="宋体"/>
                <w:color w:val="auto"/>
                <w:highlight w:val="none"/>
              </w:rPr>
              <w:t>。</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管理费最高限价</w:t>
            </w:r>
            <w:r>
              <w:rPr>
                <w:rFonts w:hint="eastAsia" w:ascii="宋体" w:hAnsi="宋体" w:cs="宋体"/>
                <w:color w:val="auto"/>
                <w:sz w:val="24"/>
                <w:highlight w:val="none"/>
                <w:lang w:eastAsia="zh-CN"/>
              </w:rPr>
              <w:t>：</w:t>
            </w:r>
            <w:r>
              <w:rPr>
                <w:rFonts w:hint="eastAsia" w:ascii="宋体" w:hAnsi="宋体" w:cs="宋体"/>
                <w:color w:val="0000FF"/>
                <w:sz w:val="24"/>
                <w:highlight w:val="none"/>
                <w:lang w:eastAsia="zh-CN"/>
              </w:rPr>
              <w:t>急救车驾驶员及担架工530元/月/人，调度员150元/月/人</w:t>
            </w:r>
            <w:r>
              <w:rPr>
                <w:rFonts w:hint="eastAsia" w:ascii="宋体" w:hAnsi="宋体" w:cs="宋体"/>
                <w:color w:val="auto"/>
                <w:sz w:val="24"/>
                <w:highlight w:val="none"/>
              </w:rPr>
              <w:t>，超管理费最高限价的投标文件无效。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0000FF"/>
                <w:sz w:val="24"/>
                <w:highlight w:val="none"/>
                <w:u w:val="single"/>
                <w:lang w:eastAsia="zh-CN"/>
              </w:rPr>
              <w:t>2023年1月3日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0000FF"/>
                <w:sz w:val="24"/>
                <w:highlight w:val="none"/>
                <w:u w:val="single"/>
                <w:lang w:eastAsia="zh-CN"/>
              </w:rPr>
              <w:t>2023年1月3日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履约保证金:签订合同前中标人应向采购人交纳合同金额的1%作为履约保证金，履约保证金在合同履行完毕后一个月内无息退还。</w:t>
            </w:r>
          </w:p>
        </w:tc>
      </w:tr>
      <w:tr>
        <w:tblPrEx>
          <w:tblCellMar>
            <w:top w:w="0" w:type="dxa"/>
            <w:left w:w="108" w:type="dxa"/>
            <w:bottom w:w="0" w:type="dxa"/>
            <w:right w:w="108" w:type="dxa"/>
          </w:tblCellMar>
        </w:tblPrEx>
        <w:trPr>
          <w:trHeight w:val="1042"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20"/>
              <w:rPr>
                <w:rFonts w:hint="default" w:ascii="宋体" w:hAnsi="宋体" w:cs="宋体"/>
                <w:color w:val="auto"/>
                <w:sz w:val="24"/>
                <w:highlight w:val="none"/>
                <w:lang w:val="en-US"/>
              </w:rPr>
            </w:pPr>
            <w:r>
              <w:rPr>
                <w:rFonts w:hint="eastAsia" w:ascii="宋体" w:hAnsi="宋体" w:cs="宋体"/>
                <w:color w:val="auto"/>
                <w:sz w:val="24"/>
                <w:highlight w:val="none"/>
              </w:rPr>
              <w:t>付款方式：结算付款必须按照医院支付管理办法及相关规定执行，依据《考核标准》对服务提供商进行考核结算，原则上以一个月为结算单位</w:t>
            </w:r>
            <w:r>
              <w:rPr>
                <w:rFonts w:hint="eastAsia" w:ascii="宋体" w:hAnsi="宋体" w:cs="宋体"/>
                <w:color w:val="auto"/>
                <w:sz w:val="24"/>
                <w:highlight w:val="none"/>
                <w:lang w:val="en-US" w:eastAsia="zh-CN"/>
              </w:rPr>
              <w:t>支付前一个月的员工工资及管理费。（付款前中标单位应按规定向采购人开具正规发票，</w:t>
            </w:r>
            <w:r>
              <w:rPr>
                <w:rFonts w:hint="eastAsia" w:ascii="宋体" w:hAnsi="宋体" w:eastAsia="宋体" w:cs="宋体"/>
                <w:color w:val="auto"/>
                <w:sz w:val="24"/>
                <w:highlight w:val="none"/>
                <w:lang w:val="en-US" w:eastAsia="zh-CN"/>
              </w:rPr>
              <w:t>并承担开票产生的所有税收费）</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pPr>
        <w:pStyle w:val="26"/>
        <w:ind w:left="0" w:leftChars="0" w:firstLine="0" w:firstLineChars="0"/>
        <w:rPr>
          <w:color w:val="auto"/>
          <w:highlight w:val="none"/>
        </w:rPr>
      </w:pPr>
    </w:p>
    <w:p>
      <w:pPr>
        <w:pStyle w:val="34"/>
        <w:numPr>
          <w:ilvl w:val="0"/>
          <w:numId w:val="3"/>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1.招标采购单位系指组织本次招标的代理机构（“招标人”）和采购单位。</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8.“★”系指核心产品。</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pPr>
        <w:pStyle w:val="26"/>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2.本项目不可以分包。</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pPr>
        <w:pStyle w:val="34"/>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1.1营业执照</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1.2符合参加政府采购活动应当具备的一般条件的承诺函（格式见第六章）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1.3中小企业声明函或监狱和戒毒企业企业证明材料或残疾人福利性单位声明函（格式见第六章）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2.1自评表（格式见第六章）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2.2投标声明书（格式见第六章）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2.3法定代表人授权委托书（格式见第六章）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2.4诚信承诺书（格式见第六章）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2.5投标人基本情况表（格式见第六章）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w:t>
      </w:r>
      <w:r>
        <w:rPr>
          <w:rFonts w:hint="eastAsia" w:cs="宋体"/>
          <w:color w:val="auto"/>
          <w:highlight w:val="none"/>
          <w:lang w:val="en-US" w:eastAsia="zh-CN"/>
        </w:rPr>
        <w:t>6</w:t>
      </w:r>
      <w:r>
        <w:rPr>
          <w:rFonts w:hint="eastAsia" w:cs="宋体"/>
          <w:color w:val="auto"/>
          <w:highlight w:val="none"/>
        </w:rPr>
        <w:t>同类业绩（格式见第六章同类业绩一览表）</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lang w:val="en-US" w:eastAsia="zh-CN"/>
        </w:rPr>
      </w:pPr>
      <w:r>
        <w:rPr>
          <w:rFonts w:hint="eastAsia" w:cs="宋体"/>
          <w:color w:val="auto"/>
          <w:highlight w:val="none"/>
        </w:rPr>
        <w:t>2.</w:t>
      </w:r>
      <w:r>
        <w:rPr>
          <w:rFonts w:hint="eastAsia" w:cs="宋体"/>
          <w:color w:val="auto"/>
          <w:highlight w:val="none"/>
          <w:lang w:val="en-US" w:eastAsia="zh-CN"/>
        </w:rPr>
        <w:t>7相关认证</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lang w:val="en-US" w:eastAsia="zh-CN"/>
        </w:rPr>
        <w:t>2.8</w:t>
      </w:r>
      <w:r>
        <w:rPr>
          <w:rFonts w:hint="eastAsia" w:cs="宋体"/>
          <w:color w:val="auto"/>
          <w:highlight w:val="none"/>
        </w:rPr>
        <w:t>优惠条件</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w:t>
      </w:r>
      <w:r>
        <w:rPr>
          <w:rFonts w:hint="eastAsia" w:cs="宋体"/>
          <w:color w:val="auto"/>
          <w:highlight w:val="none"/>
          <w:lang w:val="en-US" w:eastAsia="zh-CN"/>
        </w:rPr>
        <w:t>9总体服务方案</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0本项目重点、难点分析</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1劳务派遣方案</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2管理制度</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3投诉处理方案</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4培训方案</w:t>
      </w:r>
    </w:p>
    <w:p>
      <w:pPr>
        <w:pStyle w:val="60"/>
        <w:widowControl w:val="0"/>
        <w:overflowPunct w:val="0"/>
        <w:topLinePunct/>
        <w:autoSpaceDE w:val="0"/>
        <w:autoSpaceDN w:val="0"/>
        <w:adjustRightInd/>
        <w:spacing w:before="0" w:beforeAutospacing="0" w:after="0" w:afterAutospacing="0" w:line="360" w:lineRule="auto"/>
        <w:ind w:firstLine="481"/>
        <w:rPr>
          <w:rFonts w:hint="default" w:eastAsia="宋体" w:cs="宋体"/>
          <w:color w:val="auto"/>
          <w:highlight w:val="none"/>
          <w:lang w:val="en-US" w:eastAsia="zh-CN"/>
        </w:rPr>
      </w:pPr>
      <w:r>
        <w:rPr>
          <w:rFonts w:hint="eastAsia" w:cs="宋体"/>
          <w:color w:val="auto"/>
          <w:highlight w:val="none"/>
          <w:lang w:val="en-US" w:eastAsia="zh-CN"/>
        </w:rPr>
        <w:t>2.15稳定员工队伍方案</w:t>
      </w:r>
    </w:p>
    <w:p>
      <w:pPr>
        <w:pStyle w:val="60"/>
        <w:widowControl w:val="0"/>
        <w:overflowPunct w:val="0"/>
        <w:topLinePunct/>
        <w:autoSpaceDE w:val="0"/>
        <w:autoSpaceDN w:val="0"/>
        <w:adjustRightInd/>
        <w:spacing w:before="0" w:beforeAutospacing="0" w:after="0" w:afterAutospacing="0" w:line="360" w:lineRule="auto"/>
        <w:ind w:firstLine="481"/>
        <w:rPr>
          <w:rFonts w:hint="default" w:eastAsia="宋体" w:cs="宋体"/>
          <w:color w:val="auto"/>
          <w:highlight w:val="none"/>
          <w:lang w:val="en-US" w:eastAsia="zh-CN"/>
        </w:rPr>
      </w:pPr>
      <w:r>
        <w:rPr>
          <w:rFonts w:hint="eastAsia" w:cs="宋体"/>
          <w:color w:val="auto"/>
          <w:highlight w:val="none"/>
          <w:lang w:val="en-US" w:eastAsia="zh-CN"/>
        </w:rPr>
        <w:t>2.16投入本项目人员</w:t>
      </w:r>
      <w:r>
        <w:rPr>
          <w:rFonts w:hint="eastAsia" w:cs="宋体"/>
          <w:color w:val="auto"/>
          <w:highlight w:val="none"/>
        </w:rPr>
        <w:t>（格式见第六章项目实施人员表）</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7处理过劳资纠纷</w:t>
      </w:r>
    </w:p>
    <w:p>
      <w:pPr>
        <w:pStyle w:val="60"/>
        <w:widowControl w:val="0"/>
        <w:overflowPunct w:val="0"/>
        <w:topLinePunct/>
        <w:autoSpaceDE w:val="0"/>
        <w:autoSpaceDN w:val="0"/>
        <w:adjustRightInd/>
        <w:spacing w:before="0" w:beforeAutospacing="0" w:after="0" w:afterAutospacing="0" w:line="360" w:lineRule="auto"/>
        <w:ind w:firstLine="481"/>
        <w:rPr>
          <w:rFonts w:hint="default" w:cs="宋体"/>
          <w:color w:val="auto"/>
          <w:highlight w:val="none"/>
          <w:lang w:val="en-US" w:eastAsia="zh-CN"/>
        </w:rPr>
      </w:pPr>
      <w:r>
        <w:rPr>
          <w:rFonts w:hint="eastAsia" w:cs="宋体"/>
          <w:color w:val="auto"/>
          <w:highlight w:val="none"/>
          <w:lang w:val="en-US" w:eastAsia="zh-CN"/>
        </w:rPr>
        <w:t>2.18应急方案及措施</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lang w:val="en-US" w:eastAsia="zh-CN"/>
        </w:rPr>
        <w:t>2.19投标人根据评标办法及采购需求需要提供的其他资料（如有</w:t>
      </w:r>
      <w:r>
        <w:rPr>
          <w:rFonts w:hint="eastAsia" w:cs="宋体"/>
          <w:color w:val="auto"/>
          <w:highlight w:val="none"/>
        </w:rPr>
        <w:t>）</w:t>
      </w:r>
    </w:p>
    <w:p>
      <w:pPr>
        <w:pStyle w:val="34"/>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pPr>
        <w:pStyle w:val="34"/>
        <w:wordWrap w:val="0"/>
        <w:overflowPunct w:val="0"/>
        <w:autoSpaceDE w:val="0"/>
        <w:autoSpaceDN w:val="0"/>
        <w:adjustRightInd/>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3.1投标函（格式见第六章）</w:t>
      </w:r>
    </w:p>
    <w:p>
      <w:pPr>
        <w:pStyle w:val="34"/>
        <w:wordWrap w:val="0"/>
        <w:overflowPunct w:val="0"/>
        <w:autoSpaceDE w:val="0"/>
        <w:autoSpaceDN w:val="0"/>
        <w:adjustRightInd/>
        <w:spacing w:line="360" w:lineRule="auto"/>
        <w:ind w:firstLine="480" w:firstLineChars="200"/>
        <w:rPr>
          <w:rFonts w:ascii="宋体" w:hAnsi="宋体" w:cs="宋体"/>
          <w:color w:val="auto"/>
          <w:sz w:val="24"/>
          <w:highlight w:val="none"/>
        </w:rPr>
      </w:pPr>
      <w:r>
        <w:rPr>
          <w:rFonts w:hint="eastAsia" w:hAnsi="宋体" w:cs="宋体"/>
          <w:snapToGrid/>
          <w:color w:val="auto"/>
          <w:sz w:val="24"/>
          <w:szCs w:val="24"/>
          <w:highlight w:val="none"/>
        </w:rPr>
        <w:t>3.2开标一览表（格式见第六章）</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3.3投标报价明细表</w:t>
      </w:r>
      <w:r>
        <w:rPr>
          <w:rFonts w:hint="eastAsia" w:hAnsi="宋体" w:cs="宋体"/>
          <w:snapToGrid/>
          <w:color w:val="auto"/>
          <w:sz w:val="24"/>
          <w:szCs w:val="24"/>
          <w:highlight w:val="none"/>
        </w:rPr>
        <w:t>（格式见第六章）</w:t>
      </w:r>
    </w:p>
    <w:p>
      <w:pPr>
        <w:spacing w:line="360" w:lineRule="auto"/>
        <w:ind w:firstLine="480" w:firstLineChars="200"/>
        <w:rPr>
          <w:color w:val="auto"/>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投标人针对报价需要说明的其他文件和说明（如有）</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4.投标文件内容填写说明 </w:t>
      </w:r>
    </w:p>
    <w:p>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（3）投标人必须保证投标文件所提供的全部资料真实可靠，并接受招标人对其中任何资料进一步审查的要求。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▲2.投标报价是履行合同的最终价格，投标报价应包括服务所需缴纳的所有税费和一切费用。</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pPr>
        <w:pStyle w:val="16"/>
        <w:widowControl w:val="0"/>
        <w:tabs>
          <w:tab w:val="left" w:pos="720"/>
          <w:tab w:val="clear" w:pos="390"/>
        </w:tabs>
        <w:wordWrap w:val="0"/>
        <w:overflowPunct w:val="0"/>
        <w:autoSpaceDE w:val="0"/>
        <w:autoSpaceDN w:val="0"/>
        <w:snapToGrid w:val="0"/>
        <w:spacing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pPr>
        <w:pStyle w:val="16"/>
        <w:widowControl w:val="0"/>
        <w:tabs>
          <w:tab w:val="left" w:pos="720"/>
          <w:tab w:val="clear" w:pos="390"/>
        </w:tabs>
        <w:wordWrap w:val="0"/>
        <w:overflowPunct w:val="0"/>
        <w:autoSpaceDE w:val="0"/>
        <w:autoSpaceDN w:val="0"/>
        <w:snapToGrid w:val="0"/>
        <w:spacing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2.在特殊情况下，招标人可与投标人协商延长投标书的有效期，这种要求和答复均以书面形式进行。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9856802"/>
      <w:r>
        <w:rPr>
          <w:rFonts w:hint="eastAsia" w:hAnsi="宋体" w:cs="宋体"/>
          <w:b/>
          <w:color w:val="auto"/>
          <w:sz w:val="24"/>
          <w:szCs w:val="24"/>
          <w:highlight w:val="none"/>
        </w:rPr>
        <w:t>（七）投标文件的签署及规定</w:t>
      </w:r>
      <w:bookmarkEnd w:id="18"/>
    </w:p>
    <w:p>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8"/>
          <w:rFonts w:hint="eastAsia" w:ascii="宋体" w:hAnsi="宋体" w:cs="宋体"/>
          <w:bCs/>
          <w:color w:val="auto"/>
          <w:sz w:val="24"/>
          <w:highlight w:val="none"/>
        </w:rPr>
        <w:t>）及本招标文件规定的格式和顺序编制电子投标文件并进行关联定位。</w:t>
      </w:r>
      <w:r>
        <w:rPr>
          <w:rStyle w:val="78"/>
          <w:rFonts w:hint="eastAsia" w:ascii="宋体" w:hAnsi="宋体" w:cs="宋体"/>
          <w:bCs/>
          <w:color w:val="auto"/>
          <w:sz w:val="24"/>
          <w:highlight w:val="none"/>
        </w:rPr>
        <w:fldChar w:fldCharType="end"/>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bookmarkStart w:id="19" w:name="_Toc359856803"/>
      <w:bookmarkStart w:id="20" w:name="_Toc356371437"/>
      <w:r>
        <w:rPr>
          <w:rFonts w:hint="eastAsia" w:hAnsi="宋体" w:cs="宋体"/>
          <w:b/>
          <w:color w:val="auto"/>
          <w:sz w:val="24"/>
          <w:szCs w:val="24"/>
          <w:highlight w:val="none"/>
        </w:rPr>
        <w:t>（八）投标文件的递交</w:t>
      </w:r>
      <w:bookmarkEnd w:id="19"/>
      <w:bookmarkEnd w:id="20"/>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4"/>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2.没有通过资格审查的，投标文件将被视为无效。</w:t>
      </w:r>
    </w:p>
    <w:p>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（3）资格证明文件不全的，或者不符合招标文件标明的资格要求的；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（5）投标代表人未能出具身份证明或与法定代表人授权委托人身份不符的；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（6）投标文件项目不齐全或者内容虚假的；</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7）</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（8）</w:t>
      </w:r>
      <w:r>
        <w:rPr>
          <w:rFonts w:hint="eastAsia" w:cs="宋体"/>
          <w:snapToGrid w:val="0"/>
          <w:color w:val="auto"/>
          <w:highlight w:val="none"/>
        </w:rPr>
        <w:t>投标有效期、服务期等商务条款不能满足招标文件要求的；</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9）</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（10）不符合本采购文件中的实质性要求条款</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pPr>
        <w:pStyle w:val="26"/>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pPr>
        <w:pStyle w:val="26"/>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pPr>
        <w:pStyle w:val="26"/>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pPr>
        <w:pStyle w:val="26"/>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pPr>
        <w:pStyle w:val="26"/>
        <w:wordWrap w:val="0"/>
        <w:overflowPunct w:val="0"/>
        <w:autoSpaceDE w:val="0"/>
        <w:autoSpaceDN w:val="0"/>
        <w:snapToGrid w:val="0"/>
        <w:spacing w:line="360" w:lineRule="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pPr>
        <w:pStyle w:val="26"/>
        <w:snapToGrid w:val="0"/>
        <w:spacing w:line="360" w:lineRule="auto"/>
        <w:rPr>
          <w:color w:val="auto"/>
          <w:highlight w:val="none"/>
        </w:rPr>
      </w:pPr>
      <w:r>
        <w:rPr>
          <w:rFonts w:hint="eastAsia"/>
          <w:color w:val="auto"/>
          <w:highlight w:val="none"/>
        </w:rPr>
        <w:t>（1）未采用人民币报价或者未按照采购文件标明的币种报价的；</w:t>
      </w:r>
    </w:p>
    <w:p>
      <w:pPr>
        <w:pStyle w:val="26"/>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pPr>
        <w:pStyle w:val="26"/>
        <w:snapToGrid w:val="0"/>
        <w:spacing w:line="360" w:lineRule="auto"/>
        <w:rPr>
          <w:color w:val="auto"/>
          <w:highlight w:val="none"/>
        </w:rPr>
      </w:pPr>
      <w:r>
        <w:rPr>
          <w:rFonts w:hint="eastAsia"/>
          <w:color w:val="auto"/>
          <w:highlight w:val="none"/>
        </w:rPr>
        <w:t>（3）报价文件内容与商务、技术文件内容严重不一致，评标委员会无法评审的；</w:t>
      </w:r>
    </w:p>
    <w:p>
      <w:pPr>
        <w:pStyle w:val="26"/>
        <w:snapToGrid w:val="0"/>
        <w:spacing w:line="360" w:lineRule="auto"/>
        <w:rPr>
          <w:color w:val="auto"/>
          <w:highlight w:val="none"/>
        </w:rPr>
      </w:pPr>
      <w:r>
        <w:rPr>
          <w:rFonts w:hint="eastAsia"/>
          <w:color w:val="auto"/>
          <w:highlight w:val="none"/>
        </w:rPr>
        <w:t>（4）评标委员会认定属投标人自身原因有重大漏项的。</w:t>
      </w:r>
    </w:p>
    <w:p>
      <w:pPr>
        <w:pStyle w:val="26"/>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6"/>
        <w:snapToGrid w:val="0"/>
        <w:spacing w:line="360" w:lineRule="auto"/>
        <w:rPr>
          <w:color w:val="auto"/>
          <w:highlight w:val="none"/>
        </w:rPr>
      </w:pPr>
      <w:r>
        <w:rPr>
          <w:rFonts w:hint="eastAsia"/>
          <w:color w:val="auto"/>
          <w:highlight w:val="none"/>
        </w:rPr>
        <w:t>（6）报价超过采购文件中规定的预算金额或者最高限价的。</w:t>
      </w:r>
    </w:p>
    <w:p>
      <w:pPr>
        <w:pStyle w:val="26"/>
        <w:snapToGrid w:val="0"/>
        <w:spacing w:line="360" w:lineRule="auto"/>
        <w:rPr>
          <w:color w:val="auto"/>
          <w:highlight w:val="none"/>
        </w:rPr>
      </w:pPr>
      <w:r>
        <w:rPr>
          <w:rFonts w:hint="eastAsia"/>
          <w:color w:val="auto"/>
          <w:highlight w:val="none"/>
        </w:rPr>
        <w:t>（7）报价文件无法定代表人或授权代表签字（或盖章）的；</w:t>
      </w:r>
    </w:p>
    <w:p>
      <w:pPr>
        <w:pStyle w:val="26"/>
        <w:snapToGrid w:val="0"/>
        <w:spacing w:line="360" w:lineRule="auto"/>
        <w:rPr>
          <w:color w:val="auto"/>
          <w:highlight w:val="none"/>
        </w:rPr>
      </w:pPr>
      <w:r>
        <w:rPr>
          <w:rFonts w:hint="eastAsia"/>
          <w:color w:val="auto"/>
          <w:highlight w:val="none"/>
        </w:rPr>
        <w:t>（8）报价文件格式不规范、项目不齐全或者内容虚假的；</w:t>
      </w:r>
    </w:p>
    <w:p>
      <w:pPr>
        <w:pStyle w:val="26"/>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pPr>
        <w:pStyle w:val="26"/>
        <w:snapToGrid w:val="0"/>
        <w:spacing w:line="360" w:lineRule="auto"/>
        <w:rPr>
          <w:color w:val="auto"/>
          <w:highlight w:val="none"/>
        </w:rPr>
      </w:pPr>
      <w:r>
        <w:rPr>
          <w:rFonts w:hint="eastAsia"/>
          <w:color w:val="auto"/>
          <w:highlight w:val="none"/>
        </w:rPr>
        <w:t>（10）未实质性响应采购文件要求或者投标文件有采购方不能接受的附加条件的。</w:t>
      </w:r>
    </w:p>
    <w:p>
      <w:pPr>
        <w:pStyle w:val="26"/>
        <w:wordWrap w:val="0"/>
        <w:overflowPunct w:val="0"/>
        <w:autoSpaceDE w:val="0"/>
        <w:autoSpaceDN w:val="0"/>
        <w:snapToGrid w:val="0"/>
        <w:spacing w:line="360" w:lineRule="auto"/>
        <w:rPr>
          <w:rFonts w:cs="宋体"/>
          <w:color w:val="auto"/>
          <w:highlight w:val="none"/>
        </w:rPr>
      </w:pPr>
      <w:r>
        <w:rPr>
          <w:rFonts w:hint="eastAsia"/>
          <w:color w:val="auto"/>
          <w:highlight w:val="none"/>
        </w:rPr>
        <w:t>（11）不符合本采购文件中的实质性要求条款</w:t>
      </w:r>
      <w:r>
        <w:rPr>
          <w:rFonts w:hint="eastAsia" w:cs="宋体"/>
          <w:color w:val="auto"/>
          <w:highlight w:val="none"/>
        </w:rPr>
        <w:t>；</w:t>
      </w:r>
    </w:p>
    <w:p>
      <w:pPr>
        <w:pStyle w:val="26"/>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pPr>
        <w:pStyle w:val="26"/>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pPr>
        <w:pStyle w:val="34"/>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pPr>
        <w:pStyle w:val="34"/>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pPr>
        <w:pStyle w:val="34"/>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3.采购人依法确定中标人后2个工作日内，采购代理机构以书面形式发出《中标通知书》,并同时在相关网站上发布中标公告。</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（二）履约保证金</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pStyle w:val="34"/>
        <w:snapToGrid w:val="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2.签订合同后，如中标人不按双方合同约定履约，则没收其全部履约保证金，履约保证金不足以赔偿损失的，按实际损失赔偿</w:t>
      </w:r>
    </w:p>
    <w:p>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pPr>
        <w:pStyle w:val="34"/>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1" w:name="_Toc2572"/>
    </w:p>
    <w:p>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九、招标代理费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2、中标人应在收取《中标通知书》时向采购代理机构交纳招标代理服务费，服务费的收费标准按国家计委(计价格[2011]534号)文规定计算:</w:t>
      </w:r>
    </w:p>
    <w:tbl>
      <w:tblPr>
        <w:tblStyle w:val="64"/>
        <w:tblW w:w="43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服务招标收费费率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hint="eastAsia" w:ascii="宋体" w:hAnsi="宋体"/>
                <w:b/>
                <w:color w:val="auto"/>
                <w:sz w:val="24"/>
                <w:highlight w:val="none"/>
              </w:rPr>
            </w:pPr>
            <w:r>
              <w:rPr>
                <w:rStyle w:val="970"/>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hint="eastAsia" w:ascii="宋体" w:hAnsi="宋体"/>
                <w:b/>
                <w:color w:val="auto"/>
                <w:sz w:val="24"/>
                <w:highlight w:val="none"/>
              </w:rPr>
            </w:pPr>
            <w:r>
              <w:rPr>
                <w:rStyle w:val="970"/>
                <w:rFonts w:ascii="宋体" w:hAnsi="宋体"/>
                <w:b/>
                <w:color w:val="auto"/>
                <w:sz w:val="24"/>
                <w:highlight w:val="none"/>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hint="eastAsia" w:ascii="宋体" w:hAnsi="宋体"/>
                <w:b/>
                <w:color w:val="auto"/>
                <w:sz w:val="24"/>
                <w:highlight w:val="none"/>
              </w:rPr>
            </w:pPr>
            <w:r>
              <w:rPr>
                <w:rStyle w:val="970"/>
                <w:rFonts w:hint="eastAsia" w:ascii="宋体" w:hAnsi="宋体"/>
                <w:b/>
                <w:color w:val="auto"/>
                <w:sz w:val="24"/>
                <w:highlight w:val="none"/>
                <w:lang w:val="en-US"/>
              </w:rPr>
              <w:t>500-1000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hint="eastAsia" w:ascii="宋体" w:hAnsi="宋体"/>
                <w:b/>
                <w:color w:val="auto"/>
                <w:sz w:val="24"/>
                <w:highlight w:val="none"/>
              </w:rPr>
            </w:pPr>
            <w:r>
              <w:rPr>
                <w:rStyle w:val="970"/>
                <w:rFonts w:hint="eastAsia" w:ascii="宋体" w:hAnsi="宋体"/>
                <w:b/>
                <w:color w:val="auto"/>
                <w:sz w:val="24"/>
                <w:highlight w:val="none"/>
                <w:lang w:val="en-US"/>
              </w:rPr>
              <w:t>0.45%</w:t>
            </w:r>
          </w:p>
        </w:tc>
      </w:tr>
    </w:tbl>
    <w:p>
      <w:pPr>
        <w:keepNext w:val="0"/>
        <w:keepLines w:val="0"/>
        <w:pageBreakBefore w:val="0"/>
        <w:kinsoku/>
        <w:wordWrap/>
        <w:overflowPunct/>
        <w:topLinePunct w:val="0"/>
        <w:autoSpaceDE/>
        <w:autoSpaceDN/>
        <w:bidi w:val="0"/>
        <w:adjustRightInd w:val="0"/>
        <w:snapToGrid w:val="0"/>
        <w:spacing w:line="312" w:lineRule="auto"/>
        <w:ind w:firstLine="420"/>
        <w:jc w:val="left"/>
        <w:rPr>
          <w:rFonts w:ascii="宋体" w:hAnsi="宋体"/>
          <w:color w:val="auto"/>
          <w:sz w:val="24"/>
          <w:highlight w:val="none"/>
        </w:rPr>
      </w:pPr>
      <w:r>
        <w:rPr>
          <w:rFonts w:hint="eastAsia" w:ascii="宋体" w:hAnsi="宋体"/>
          <w:color w:val="auto"/>
          <w:sz w:val="24"/>
          <w:highlight w:val="none"/>
        </w:rPr>
        <w:t>例如：某项目服务类招标代理业务中标金额为</w:t>
      </w:r>
      <w:r>
        <w:rPr>
          <w:rFonts w:hint="eastAsia" w:ascii="宋体" w:hAnsi="宋体"/>
          <w:color w:val="auto"/>
          <w:sz w:val="24"/>
          <w:highlight w:val="none"/>
          <w:lang w:val="en-US" w:eastAsia="zh-CN"/>
        </w:rPr>
        <w:t>600</w:t>
      </w:r>
      <w:r>
        <w:rPr>
          <w:rFonts w:hint="eastAsia" w:ascii="宋体" w:hAnsi="宋体"/>
          <w:color w:val="auto"/>
          <w:sz w:val="24"/>
          <w:highlight w:val="none"/>
        </w:rPr>
        <w:t>万元，计算中标服务费收费额如下：</w:t>
      </w:r>
    </w:p>
    <w:p>
      <w:pPr>
        <w:keepNext w:val="0"/>
        <w:keepLines w:val="0"/>
        <w:pageBreakBefore w:val="0"/>
        <w:kinsoku/>
        <w:wordWrap/>
        <w:overflowPunct/>
        <w:topLinePunct w:val="0"/>
        <w:autoSpaceDE/>
        <w:autoSpaceDN/>
        <w:bidi w:val="0"/>
        <w:adjustRightInd w:val="0"/>
        <w:snapToGrid w:val="0"/>
        <w:spacing w:line="312" w:lineRule="auto"/>
        <w:ind w:firstLine="960" w:firstLineChars="400"/>
        <w:jc w:val="left"/>
        <w:textAlignment w:val="baseline"/>
        <w:rPr>
          <w:rStyle w:val="970"/>
          <w:rFonts w:ascii="宋体" w:hAnsi="宋体"/>
          <w:color w:val="auto"/>
          <w:sz w:val="24"/>
          <w:highlight w:val="none"/>
        </w:rPr>
      </w:pPr>
      <w:r>
        <w:rPr>
          <w:rStyle w:val="969"/>
          <w:rFonts w:ascii="宋体" w:hAnsi="宋体"/>
          <w:color w:val="auto"/>
          <w:sz w:val="24"/>
          <w:highlight w:val="none"/>
        </w:rPr>
        <w:t>100万元×1.5%+</w:t>
      </w:r>
      <w:r>
        <w:rPr>
          <w:rStyle w:val="969"/>
          <w:rFonts w:hint="eastAsia" w:ascii="宋体" w:hAnsi="宋体"/>
          <w:color w:val="auto"/>
          <w:sz w:val="24"/>
          <w:highlight w:val="none"/>
          <w:lang w:val="en-US"/>
        </w:rPr>
        <w:t>4</w:t>
      </w:r>
      <w:r>
        <w:rPr>
          <w:rStyle w:val="969"/>
          <w:rFonts w:hint="eastAsia" w:ascii="宋体" w:hAnsi="宋体"/>
          <w:color w:val="auto"/>
          <w:sz w:val="24"/>
          <w:highlight w:val="none"/>
        </w:rPr>
        <w:t>00</w:t>
      </w:r>
      <w:r>
        <w:rPr>
          <w:rStyle w:val="969"/>
          <w:rFonts w:ascii="宋体" w:hAnsi="宋体"/>
          <w:color w:val="auto"/>
          <w:sz w:val="24"/>
          <w:highlight w:val="none"/>
        </w:rPr>
        <w:t>万元×0.80%+</w:t>
      </w:r>
      <w:r>
        <w:rPr>
          <w:rStyle w:val="969"/>
          <w:rFonts w:hint="eastAsia" w:ascii="宋体" w:hAnsi="宋体"/>
          <w:color w:val="auto"/>
          <w:sz w:val="24"/>
          <w:highlight w:val="none"/>
          <w:lang w:val="en-US"/>
        </w:rPr>
        <w:t>100</w:t>
      </w:r>
      <w:r>
        <w:rPr>
          <w:rStyle w:val="969"/>
          <w:rFonts w:ascii="宋体" w:hAnsi="宋体"/>
          <w:color w:val="auto"/>
          <w:sz w:val="24"/>
          <w:highlight w:val="none"/>
        </w:rPr>
        <w:t>万元×0.</w:t>
      </w:r>
      <w:r>
        <w:rPr>
          <w:rStyle w:val="969"/>
          <w:rFonts w:hint="eastAsia" w:ascii="宋体" w:hAnsi="宋体"/>
          <w:color w:val="auto"/>
          <w:sz w:val="24"/>
          <w:highlight w:val="none"/>
          <w:lang w:val="en-US"/>
        </w:rPr>
        <w:t>45</w:t>
      </w:r>
      <w:r>
        <w:rPr>
          <w:rStyle w:val="969"/>
          <w:rFonts w:ascii="宋体" w:hAnsi="宋体"/>
          <w:color w:val="auto"/>
          <w:sz w:val="24"/>
          <w:highlight w:val="none"/>
        </w:rPr>
        <w:t>%=</w:t>
      </w:r>
      <w:r>
        <w:rPr>
          <w:rStyle w:val="969"/>
          <w:rFonts w:hint="eastAsia" w:ascii="宋体" w:hAnsi="宋体"/>
          <w:color w:val="auto"/>
          <w:sz w:val="24"/>
          <w:highlight w:val="none"/>
          <w:lang w:val="en-US"/>
        </w:rPr>
        <w:t>51500</w:t>
      </w:r>
      <w:r>
        <w:rPr>
          <w:rStyle w:val="969"/>
          <w:rFonts w:ascii="宋体" w:hAnsi="宋体"/>
          <w:color w:val="auto"/>
          <w:sz w:val="24"/>
          <w:highlight w:val="none"/>
        </w:rPr>
        <w:t>元</w:t>
      </w:r>
    </w:p>
    <w:p>
      <w:pPr>
        <w:keepNext w:val="0"/>
        <w:keepLines w:val="0"/>
        <w:pageBreakBefore w:val="0"/>
        <w:kinsoku/>
        <w:wordWrap/>
        <w:overflowPunct/>
        <w:topLinePunct w:val="0"/>
        <w:autoSpaceDE/>
        <w:autoSpaceDN/>
        <w:bidi w:val="0"/>
        <w:adjustRightInd w:val="0"/>
        <w:snapToGrid w:val="0"/>
        <w:spacing w:line="312" w:lineRule="auto"/>
        <w:ind w:firstLine="600" w:firstLineChars="250"/>
        <w:jc w:val="left"/>
        <w:rPr>
          <w:rFonts w:ascii="宋体" w:hAnsi="宋体"/>
          <w:bCs/>
          <w:color w:val="auto"/>
          <w:sz w:val="24"/>
          <w:highlight w:val="none"/>
          <w:lang w:val="zh-CN"/>
        </w:rPr>
      </w:pPr>
      <w:r>
        <w:rPr>
          <w:rFonts w:hint="eastAsia" w:ascii="宋体" w:hAnsi="宋体"/>
          <w:color w:val="auto"/>
          <w:sz w:val="24"/>
          <w:highlight w:val="none"/>
        </w:rPr>
        <w:t>3、本项目以服务招标收费标准的68%收取中标服务费</w:t>
      </w:r>
      <w:r>
        <w:rPr>
          <w:rFonts w:hint="eastAsia" w:ascii="宋体" w:hAnsi="宋体"/>
          <w:bCs/>
          <w:color w:val="auto"/>
          <w:sz w:val="24"/>
          <w:highlight w:val="none"/>
          <w:lang w:val="zh-CN"/>
        </w:rPr>
        <w:t>。</w:t>
      </w:r>
    </w:p>
    <w:p>
      <w:pPr>
        <w:keepNext w:val="0"/>
        <w:keepLines w:val="0"/>
        <w:pageBreakBefore w:val="0"/>
        <w:tabs>
          <w:tab w:val="left" w:pos="1862"/>
        </w:tabs>
        <w:kinsoku/>
        <w:wordWrap/>
        <w:overflowPunct/>
        <w:topLinePunct w:val="0"/>
        <w:autoSpaceDE/>
        <w:autoSpaceDN/>
        <w:bidi w:val="0"/>
        <w:adjustRightInd w:val="0"/>
        <w:snapToGrid w:val="0"/>
        <w:spacing w:line="312" w:lineRule="auto"/>
        <w:ind w:firstLine="1080" w:firstLineChars="450"/>
        <w:jc w:val="left"/>
        <w:rPr>
          <w:rFonts w:ascii="宋体" w:hAnsi="宋体"/>
          <w:color w:val="auto"/>
          <w:sz w:val="24"/>
          <w:highlight w:val="none"/>
        </w:rPr>
      </w:pPr>
      <w:r>
        <w:rPr>
          <w:rFonts w:hint="eastAsia" w:ascii="宋体" w:hAnsi="宋体"/>
          <w:color w:val="auto"/>
          <w:sz w:val="24"/>
          <w:highlight w:val="none"/>
        </w:rPr>
        <w:t>计收费 =</w:t>
      </w:r>
      <w:r>
        <w:rPr>
          <w:rFonts w:hint="eastAsia" w:ascii="宋体" w:hAnsi="宋体"/>
          <w:color w:val="auto"/>
          <w:sz w:val="24"/>
          <w:highlight w:val="none"/>
          <w:lang w:val="en-US" w:eastAsia="zh-CN"/>
        </w:rPr>
        <w:t>51500</w:t>
      </w:r>
      <w:r>
        <w:rPr>
          <w:rFonts w:hint="eastAsia" w:ascii="宋体" w:hAnsi="宋体"/>
          <w:color w:val="auto"/>
          <w:sz w:val="24"/>
          <w:highlight w:val="none"/>
        </w:rPr>
        <w:t>元×68%=35020元</w:t>
      </w:r>
    </w:p>
    <w:p>
      <w:pPr>
        <w:keepNext w:val="0"/>
        <w:keepLines w:val="0"/>
        <w:pageBreakBefore w:val="0"/>
        <w:kinsoku/>
        <w:wordWrap/>
        <w:overflowPunct/>
        <w:topLinePunct w:val="0"/>
        <w:autoSpaceDE/>
        <w:autoSpaceDN/>
        <w:bidi w:val="0"/>
        <w:adjustRightInd w:val="0"/>
        <w:snapToGrid w:val="0"/>
        <w:spacing w:line="312" w:lineRule="auto"/>
        <w:ind w:firstLine="600" w:firstLineChars="250"/>
        <w:jc w:val="left"/>
        <w:rPr>
          <w:rFonts w:ascii="宋体" w:hAnsi="宋体"/>
          <w:color w:val="auto"/>
          <w:sz w:val="24"/>
          <w:highlight w:val="none"/>
        </w:rPr>
      </w:pPr>
      <w:r>
        <w:rPr>
          <w:rFonts w:hint="eastAsia" w:ascii="宋体" w:hAnsi="宋体"/>
          <w:color w:val="auto"/>
          <w:sz w:val="24"/>
          <w:highlight w:val="none"/>
        </w:rPr>
        <w:t>4、服务费的货币为人民币。</w:t>
      </w:r>
    </w:p>
    <w:p>
      <w:pPr>
        <w:keepNext w:val="0"/>
        <w:keepLines w:val="0"/>
        <w:pageBreakBefore w:val="0"/>
        <w:kinsoku/>
        <w:wordWrap/>
        <w:overflowPunct/>
        <w:topLinePunct w:val="0"/>
        <w:autoSpaceDE/>
        <w:autoSpaceDN/>
        <w:bidi w:val="0"/>
        <w:adjustRightInd w:val="0"/>
        <w:snapToGrid w:val="0"/>
        <w:spacing w:line="312" w:lineRule="auto"/>
        <w:ind w:firstLine="600" w:firstLineChars="250"/>
        <w:jc w:val="left"/>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pPr>
        <w:keepNext w:val="0"/>
        <w:keepLines w:val="0"/>
        <w:pageBreakBefore w:val="0"/>
        <w:kinsoku/>
        <w:wordWrap/>
        <w:overflowPunct/>
        <w:topLinePunct w:val="0"/>
        <w:autoSpaceDE/>
        <w:autoSpaceDN/>
        <w:bidi w:val="0"/>
        <w:adjustRightInd w:val="0"/>
        <w:snapToGrid w:val="0"/>
        <w:spacing w:line="312" w:lineRule="auto"/>
        <w:ind w:firstLine="600" w:firstLineChars="250"/>
        <w:jc w:val="left"/>
        <w:rPr>
          <w:rFonts w:ascii="宋体" w:hAnsi="宋体"/>
          <w:color w:val="auto"/>
          <w:sz w:val="24"/>
          <w:highlight w:val="none"/>
        </w:rPr>
      </w:pPr>
      <w:r>
        <w:rPr>
          <w:rFonts w:hint="eastAsia" w:ascii="宋体" w:hAnsi="宋体"/>
          <w:color w:val="auto"/>
          <w:sz w:val="24"/>
          <w:highlight w:val="none"/>
        </w:rPr>
        <w:t>6、服务费以银行划账方式按下列要求提交：</w:t>
      </w:r>
    </w:p>
    <w:p>
      <w:pPr>
        <w:keepNext w:val="0"/>
        <w:keepLines w:val="0"/>
        <w:pageBreakBefore w:val="0"/>
        <w:widowControl/>
        <w:kinsoku/>
        <w:wordWrap/>
        <w:overflowPunct/>
        <w:topLinePunct w:val="0"/>
        <w:autoSpaceDE/>
        <w:autoSpaceDN/>
        <w:bidi w:val="0"/>
        <w:adjustRightInd w:val="0"/>
        <w:snapToGrid w:val="0"/>
        <w:spacing w:line="312" w:lineRule="auto"/>
        <w:ind w:firstLine="1080" w:firstLineChars="450"/>
        <w:jc w:val="left"/>
        <w:rPr>
          <w:rFonts w:ascii="宋体" w:hAnsi="宋体"/>
          <w:color w:val="auto"/>
          <w:sz w:val="24"/>
          <w:highlight w:val="none"/>
        </w:rPr>
      </w:pPr>
      <w:r>
        <w:rPr>
          <w:rFonts w:hint="eastAsia" w:ascii="宋体" w:hAnsi="宋体"/>
          <w:color w:val="auto"/>
          <w:sz w:val="24"/>
          <w:highlight w:val="none"/>
        </w:rPr>
        <w:t>收款人：嘉兴市银建工程咨询评估有限公司嘉善魏塘分公司</w:t>
      </w:r>
    </w:p>
    <w:p>
      <w:pPr>
        <w:keepNext w:val="0"/>
        <w:keepLines w:val="0"/>
        <w:pageBreakBefore w:val="0"/>
        <w:widowControl/>
        <w:kinsoku/>
        <w:wordWrap/>
        <w:overflowPunct/>
        <w:topLinePunct w:val="0"/>
        <w:autoSpaceDE/>
        <w:autoSpaceDN/>
        <w:bidi w:val="0"/>
        <w:adjustRightInd w:val="0"/>
        <w:snapToGrid w:val="0"/>
        <w:spacing w:line="312" w:lineRule="auto"/>
        <w:ind w:firstLine="1080" w:firstLineChars="450"/>
        <w:jc w:val="left"/>
        <w:rPr>
          <w:rFonts w:ascii="宋体" w:hAnsi="宋体"/>
          <w:color w:val="auto"/>
          <w:sz w:val="24"/>
          <w:highlight w:val="none"/>
        </w:rPr>
      </w:pPr>
      <w:r>
        <w:rPr>
          <w:rFonts w:hint="eastAsia" w:ascii="宋体" w:hAnsi="宋体"/>
          <w:color w:val="auto"/>
          <w:sz w:val="24"/>
          <w:highlight w:val="none"/>
        </w:rPr>
        <w:t>开户行：嘉兴银行股份有限公司长三角一体化示范区(浙江嘉善)支行</w:t>
      </w:r>
    </w:p>
    <w:p>
      <w:pPr>
        <w:keepNext w:val="0"/>
        <w:keepLines w:val="0"/>
        <w:pageBreakBefore w:val="0"/>
        <w:tabs>
          <w:tab w:val="left" w:pos="0"/>
        </w:tabs>
        <w:kinsoku/>
        <w:wordWrap/>
        <w:overflowPunct/>
        <w:topLinePunct w:val="0"/>
        <w:autoSpaceDE/>
        <w:autoSpaceDN/>
        <w:bidi w:val="0"/>
        <w:adjustRightInd w:val="0"/>
        <w:spacing w:line="312" w:lineRule="auto"/>
        <w:ind w:firstLine="1024" w:firstLineChars="427"/>
        <w:rPr>
          <w:rFonts w:ascii="仿宋_GB2312" w:hAnsi="仿宋" w:eastAsia="仿宋_GB2312" w:cs="Helvetica"/>
          <w:color w:val="auto"/>
          <w:kern w:val="0"/>
          <w:sz w:val="24"/>
          <w:highlight w:val="none"/>
        </w:rPr>
        <w:sectPr>
          <w:pgSz w:w="11906" w:h="16838"/>
          <w:pgMar w:top="680" w:right="1418" w:bottom="468" w:left="1418" w:header="851" w:footer="992" w:gutter="0"/>
          <w:pgNumType w:fmt="decimal"/>
          <w:cols w:space="720" w:num="1"/>
          <w:titlePg/>
          <w:docGrid w:linePitch="312" w:charSpace="0"/>
        </w:sectPr>
      </w:pPr>
      <w:r>
        <w:rPr>
          <w:rFonts w:hint="eastAsia" w:ascii="宋体" w:hAnsi="宋体"/>
          <w:color w:val="auto"/>
          <w:sz w:val="24"/>
          <w:highlight w:val="none"/>
        </w:rPr>
        <w:t>账号：905101201900074615</w:t>
      </w:r>
      <w:bookmarkEnd w:id="15"/>
      <w:bookmarkEnd w:id="21"/>
      <w:bookmarkStart w:id="22" w:name="_Hlt68072998"/>
      <w:bookmarkEnd w:id="22"/>
      <w:bookmarkStart w:id="23" w:name="_Hlt74729768"/>
      <w:bookmarkEnd w:id="23"/>
      <w:bookmarkStart w:id="24" w:name="_Hlt68072990"/>
      <w:bookmarkEnd w:id="24"/>
      <w:bookmarkStart w:id="25" w:name="_Hlt75236101"/>
      <w:bookmarkEnd w:id="25"/>
      <w:bookmarkStart w:id="26" w:name="_Hlt68057669"/>
      <w:bookmarkEnd w:id="26"/>
      <w:bookmarkStart w:id="27" w:name="_Hlt68073093"/>
      <w:bookmarkEnd w:id="27"/>
      <w:bookmarkStart w:id="28" w:name="_Hlt68403820"/>
      <w:bookmarkEnd w:id="28"/>
      <w:bookmarkStart w:id="29" w:name="_Hlt75236290"/>
      <w:bookmarkEnd w:id="29"/>
      <w:bookmarkStart w:id="30" w:name="_Hlt74730295"/>
      <w:bookmarkEnd w:id="30"/>
      <w:bookmarkStart w:id="31" w:name="_Hlt74707468"/>
      <w:bookmarkEnd w:id="31"/>
      <w:bookmarkStart w:id="32" w:name="_Hlt75236011"/>
      <w:bookmarkEnd w:id="32"/>
      <w:bookmarkStart w:id="33" w:name="_Hlt74714665"/>
      <w:bookmarkEnd w:id="33"/>
    </w:p>
    <w:bookmarkEnd w:id="16"/>
    <w:bookmarkEnd w:id="17"/>
    <w:p>
      <w:pPr>
        <w:snapToGrid w:val="0"/>
        <w:spacing w:line="360" w:lineRule="auto"/>
        <w:jc w:val="center"/>
        <w:rPr>
          <w:rFonts w:ascii="仿宋" w:hAnsi="仿宋" w:eastAsia="仿宋" w:cs="仿宋_GB2312"/>
          <w:b/>
          <w:color w:val="auto"/>
          <w:sz w:val="36"/>
          <w:szCs w:val="36"/>
          <w:highlight w:val="none"/>
        </w:rPr>
      </w:pPr>
      <w:bookmarkStart w:id="34" w:name="第四部分"/>
      <w:r>
        <w:rPr>
          <w:rFonts w:hint="eastAsia" w:ascii="仿宋" w:hAnsi="仿宋" w:eastAsia="仿宋" w:cs="仿宋_GB2312"/>
          <w:b/>
          <w:color w:val="auto"/>
          <w:sz w:val="36"/>
          <w:szCs w:val="36"/>
          <w:highlight w:val="none"/>
        </w:rPr>
        <w:t>第四章 评标办法及评分标准</w:t>
      </w:r>
    </w:p>
    <w:bookmarkEnd w:id="34"/>
    <w:p>
      <w:pPr>
        <w:spacing w:line="480" w:lineRule="exact"/>
        <w:ind w:firstLine="420"/>
        <w:rPr>
          <w:rFonts w:ascii="宋体" w:hAnsi="宋体" w:cs="宋体"/>
          <w:color w:val="auto"/>
          <w:sz w:val="24"/>
          <w:highlight w:val="none"/>
        </w:rPr>
      </w:pPr>
      <w:bookmarkStart w:id="35"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pPr>
        <w:pStyle w:val="56"/>
        <w:spacing w:line="480" w:lineRule="exac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嘉善县急救站第三方劳务派遣服务采购</w:t>
      </w:r>
      <w:r>
        <w:rPr>
          <w:rFonts w:hint="eastAsia" w:ascii="宋体" w:hAnsi="宋体" w:cs="宋体"/>
          <w:color w:val="auto"/>
          <w:sz w:val="24"/>
          <w:highlight w:val="none"/>
        </w:rPr>
        <w:t>的评标。</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30</w:t>
      </w:r>
      <w:r>
        <w:rPr>
          <w:rFonts w:hint="eastAsia" w:ascii="宋体" w:hAnsi="宋体"/>
          <w:color w:val="auto"/>
          <w:sz w:val="24"/>
          <w:highlight w:val="none"/>
        </w:rPr>
        <w:t>分、商务技术</w:t>
      </w:r>
      <w:r>
        <w:rPr>
          <w:rFonts w:hint="eastAsia" w:ascii="宋体" w:hAnsi="宋体"/>
          <w:color w:val="auto"/>
          <w:sz w:val="24"/>
          <w:highlight w:val="none"/>
          <w:lang w:val="en-US" w:eastAsia="zh-CN"/>
        </w:rPr>
        <w:t>70</w:t>
      </w:r>
      <w:r>
        <w:rPr>
          <w:rFonts w:hint="eastAsia" w:ascii="宋体" w:hAnsi="宋体"/>
          <w:color w:val="auto"/>
          <w:sz w:val="24"/>
          <w:highlight w:val="none"/>
        </w:rPr>
        <w:t>分（其中：商务资信分</w:t>
      </w:r>
      <w:r>
        <w:rPr>
          <w:rFonts w:hint="eastAsia" w:ascii="宋体" w:hAnsi="宋体"/>
          <w:color w:val="auto"/>
          <w:sz w:val="24"/>
          <w:highlight w:val="none"/>
          <w:lang w:val="en-US" w:eastAsia="zh-CN"/>
        </w:rPr>
        <w:t>8</w:t>
      </w:r>
      <w:r>
        <w:rPr>
          <w:rFonts w:hint="eastAsia" w:ascii="宋体" w:hAnsi="宋体"/>
          <w:color w:val="auto"/>
          <w:sz w:val="24"/>
          <w:highlight w:val="none"/>
        </w:rPr>
        <w:t>分，技术分</w:t>
      </w:r>
      <w:r>
        <w:rPr>
          <w:rFonts w:hint="eastAsia" w:ascii="宋体" w:hAnsi="宋体"/>
          <w:color w:val="auto"/>
          <w:sz w:val="24"/>
          <w:highlight w:val="none"/>
          <w:lang w:val="en-US" w:eastAsia="zh-CN"/>
        </w:rPr>
        <w:t>62</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pPr>
        <w:spacing w:line="480" w:lineRule="exact"/>
        <w:rPr>
          <w:rFonts w:ascii="宋体" w:hAnsi="宋体"/>
          <w:b/>
          <w:color w:val="auto"/>
          <w:sz w:val="24"/>
          <w:highlight w:val="none"/>
        </w:rPr>
      </w:pPr>
      <w:r>
        <w:rPr>
          <w:rFonts w:hint="eastAsia" w:ascii="宋体" w:hAnsi="宋体"/>
          <w:b/>
          <w:color w:val="auto"/>
          <w:sz w:val="24"/>
          <w:highlight w:val="none"/>
        </w:rPr>
        <w:t>二、评标内容及标准</w:t>
      </w:r>
    </w:p>
    <w:p>
      <w:pPr>
        <w:pStyle w:val="26"/>
        <w:ind w:firstLine="482"/>
        <w:rPr>
          <w:b/>
          <w:bCs/>
          <w:color w:val="auto"/>
          <w:highlight w:val="none"/>
        </w:rPr>
      </w:pPr>
      <w:r>
        <w:rPr>
          <w:b/>
          <w:color w:val="auto"/>
          <w:highlight w:val="none"/>
        </w:rPr>
        <w:t>（一）</w:t>
      </w:r>
      <w:r>
        <w:rPr>
          <w:b/>
          <w:bCs/>
          <w:color w:val="auto"/>
          <w:highlight w:val="none"/>
        </w:rPr>
        <w:t>价格分（</w:t>
      </w:r>
      <w:r>
        <w:rPr>
          <w:rFonts w:hint="eastAsia"/>
          <w:b/>
          <w:bCs/>
          <w:color w:val="auto"/>
          <w:highlight w:val="none"/>
          <w:lang w:val="en-US" w:eastAsia="zh-CN"/>
        </w:rPr>
        <w:t>30</w:t>
      </w:r>
      <w:r>
        <w:rPr>
          <w:rFonts w:hint="eastAsia"/>
          <w:b/>
          <w:bCs/>
          <w:color w:val="auto"/>
          <w:highlight w:val="none"/>
        </w:rPr>
        <w:t>分）</w:t>
      </w:r>
    </w:p>
    <w:p>
      <w:pPr>
        <w:pStyle w:val="26"/>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30</w:t>
      </w:r>
      <w:r>
        <w:rPr>
          <w:rFonts w:hint="eastAsia" w:ascii="宋体" w:hAnsi="宋体"/>
          <w:color w:val="auto"/>
          <w:sz w:val="24"/>
          <w:highlight w:val="none"/>
        </w:rPr>
        <w:t>%×100</w:t>
      </w:r>
    </w:p>
    <w:p>
      <w:pPr>
        <w:spacing w:line="480" w:lineRule="exact"/>
        <w:ind w:firstLine="480" w:firstLineChars="200"/>
        <w:rPr>
          <w:rFonts w:hAnsi="宋体"/>
          <w:bCs/>
          <w:color w:val="auto"/>
          <w:sz w:val="24"/>
          <w:highlight w:val="none"/>
        </w:rPr>
      </w:pPr>
      <w:r>
        <w:rPr>
          <w:rFonts w:hint="eastAsia" w:hAnsi="宋体"/>
          <w:bCs/>
          <w:color w:val="auto"/>
          <w:sz w:val="24"/>
          <w:highlight w:val="none"/>
        </w:rPr>
        <w:t>2.投标人的投标报价超过采购人设定的最高限价及单价上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spacing w:before="120" w:beforeLines="50" w:after="120" w:afterLines="50" w:line="360" w:lineRule="auto"/>
        <w:ind w:firstLine="482"/>
        <w:rPr>
          <w:rFonts w:cs="宋体"/>
          <w:b/>
          <w:color w:val="auto"/>
          <w:highlight w:val="none"/>
        </w:rPr>
      </w:pPr>
      <w:r>
        <w:rPr>
          <w:rFonts w:hint="eastAsia" w:cs="宋体"/>
          <w:b/>
          <w:color w:val="auto"/>
          <w:highlight w:val="none"/>
        </w:rPr>
        <w:t>（二）商务资信分（</w:t>
      </w:r>
      <w:r>
        <w:rPr>
          <w:rFonts w:hint="eastAsia" w:cs="宋体"/>
          <w:b/>
          <w:color w:val="auto"/>
          <w:highlight w:val="none"/>
          <w:lang w:val="en-US" w:eastAsia="zh-CN"/>
        </w:rPr>
        <w:t>8</w:t>
      </w:r>
      <w:r>
        <w:rPr>
          <w:rFonts w:hint="eastAsia" w:cs="宋体"/>
          <w:b/>
          <w:color w:val="auto"/>
          <w:highlight w:val="none"/>
        </w:rPr>
        <w:t>分）</w:t>
      </w:r>
    </w:p>
    <w:tbl>
      <w:tblPr>
        <w:tblStyle w:val="64"/>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25"/>
        <w:gridCol w:w="6862"/>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652" w:type="dxa"/>
            <w:vMerge w:val="restart"/>
            <w:vAlign w:val="center"/>
          </w:tcPr>
          <w:p>
            <w:pPr>
              <w:widowControl/>
              <w:snapToGrid w:val="0"/>
              <w:jc w:val="center"/>
              <w:rPr>
                <w:rFonts w:ascii="宋体" w:hAnsi="宋体" w:cs="宋体"/>
                <w:bCs/>
                <w:color w:val="auto"/>
                <w:sz w:val="22"/>
                <w:szCs w:val="22"/>
                <w:highlight w:val="none"/>
              </w:rPr>
            </w:pPr>
            <w:r>
              <w:rPr>
                <w:rFonts w:hint="eastAsia" w:ascii="宋体" w:hAnsi="宋体" w:cs="宋体"/>
                <w:bCs/>
                <w:color w:val="auto"/>
                <w:sz w:val="22"/>
                <w:szCs w:val="22"/>
                <w:highlight w:val="none"/>
              </w:rPr>
              <w:t>资信</w:t>
            </w:r>
            <w:r>
              <w:rPr>
                <w:rFonts w:hint="eastAsia" w:ascii="宋体" w:hAnsi="宋体" w:cs="宋体"/>
                <w:color w:val="auto"/>
                <w:sz w:val="22"/>
                <w:szCs w:val="22"/>
                <w:highlight w:val="none"/>
              </w:rPr>
              <w:t>商务</w:t>
            </w:r>
          </w:p>
          <w:p>
            <w:pPr>
              <w:widowControl/>
              <w:snapToGrid w:val="0"/>
              <w:jc w:val="center"/>
              <w:rPr>
                <w:rFonts w:ascii="宋体" w:hAnsi="宋体" w:cs="宋体"/>
                <w:bCs/>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p>
        </w:tc>
        <w:tc>
          <w:tcPr>
            <w:tcW w:w="925" w:type="dxa"/>
            <w:vAlign w:val="center"/>
          </w:tcPr>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同类业绩</w:t>
            </w:r>
          </w:p>
        </w:tc>
        <w:tc>
          <w:tcPr>
            <w:tcW w:w="6862" w:type="dxa"/>
            <w:vAlign w:val="center"/>
          </w:tcPr>
          <w:p>
            <w:pPr>
              <w:snapToGrid w:val="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投标人</w:t>
            </w:r>
            <w:r>
              <w:rPr>
                <w:rFonts w:hint="eastAsia" w:ascii="宋体" w:hAnsi="宋体" w:cs="宋体"/>
                <w:color w:val="auto"/>
                <w:kern w:val="0"/>
                <w:sz w:val="22"/>
                <w:szCs w:val="22"/>
                <w:highlight w:val="none"/>
              </w:rPr>
              <w:t>近三年（自投标截止日起往前追溯3年，以合同签订时间为准）以来具有同类项目业绩的，每提供一份得</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分，最高得</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分；（提供合同复印件并加盖公章，要求清晰可辨，否则不得分）</w:t>
            </w:r>
          </w:p>
        </w:tc>
        <w:tc>
          <w:tcPr>
            <w:tcW w:w="927" w:type="dxa"/>
            <w:vAlign w:val="center"/>
          </w:tcPr>
          <w:p>
            <w:pPr>
              <w:snapToGrid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52" w:type="dxa"/>
            <w:vMerge w:val="continue"/>
            <w:vAlign w:val="center"/>
          </w:tcPr>
          <w:p>
            <w:pPr>
              <w:widowControl/>
              <w:snapToGrid w:val="0"/>
              <w:jc w:val="center"/>
              <w:rPr>
                <w:rFonts w:ascii="宋体" w:hAnsi="宋体" w:cs="宋体"/>
                <w:bCs/>
                <w:color w:val="auto"/>
                <w:sz w:val="22"/>
                <w:szCs w:val="22"/>
                <w:highlight w:val="none"/>
              </w:rPr>
            </w:pPr>
          </w:p>
        </w:tc>
        <w:tc>
          <w:tcPr>
            <w:tcW w:w="925" w:type="dxa"/>
            <w:vAlign w:val="center"/>
          </w:tcPr>
          <w:p>
            <w:pPr>
              <w:snapToGrid w:val="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相关认证</w:t>
            </w:r>
          </w:p>
        </w:tc>
        <w:tc>
          <w:tcPr>
            <w:tcW w:w="6862" w:type="dxa"/>
            <w:vAlign w:val="center"/>
          </w:tcPr>
          <w:p>
            <w:pPr>
              <w:snapToGrid w:val="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供应商具备有效的质量管理体系认证、环境管理体系认证、职业健康安全管理体系认证，每</w:t>
            </w:r>
            <w:r>
              <w:rPr>
                <w:rFonts w:hint="eastAsia" w:ascii="宋体" w:hAnsi="宋体" w:cs="宋体"/>
                <w:color w:val="auto"/>
                <w:kern w:val="0"/>
                <w:sz w:val="22"/>
                <w:szCs w:val="22"/>
                <w:highlight w:val="none"/>
                <w:lang w:eastAsia="zh-CN"/>
              </w:rPr>
              <w:t>提供一</w:t>
            </w:r>
            <w:r>
              <w:rPr>
                <w:rFonts w:hint="eastAsia" w:ascii="宋体" w:hAnsi="宋体" w:cs="宋体"/>
                <w:color w:val="auto"/>
                <w:kern w:val="0"/>
                <w:sz w:val="22"/>
                <w:szCs w:val="22"/>
                <w:highlight w:val="none"/>
              </w:rPr>
              <w:t>个证书得</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分，最高得</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分。提供证书复印件</w:t>
            </w:r>
            <w:r>
              <w:rPr>
                <w:rFonts w:hint="eastAsia" w:ascii="宋体" w:hAnsi="宋体" w:cs="宋体"/>
                <w:color w:val="auto"/>
                <w:kern w:val="0"/>
                <w:sz w:val="22"/>
                <w:szCs w:val="22"/>
                <w:highlight w:val="none"/>
                <w:lang w:eastAsia="zh-CN"/>
              </w:rPr>
              <w:t>并加盖公章</w:t>
            </w:r>
            <w:r>
              <w:rPr>
                <w:rFonts w:hint="eastAsia" w:ascii="宋体" w:hAnsi="宋体" w:cs="宋体"/>
                <w:color w:val="auto"/>
                <w:kern w:val="0"/>
                <w:sz w:val="22"/>
                <w:szCs w:val="22"/>
                <w:highlight w:val="none"/>
              </w:rPr>
              <w:t>，否则不得分</w:t>
            </w:r>
          </w:p>
        </w:tc>
        <w:tc>
          <w:tcPr>
            <w:tcW w:w="927" w:type="dxa"/>
            <w:vAlign w:val="center"/>
          </w:tcPr>
          <w:p>
            <w:pPr>
              <w:snapToGrid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52" w:type="dxa"/>
            <w:vMerge w:val="continue"/>
            <w:vAlign w:val="center"/>
          </w:tcPr>
          <w:p>
            <w:pPr>
              <w:widowControl/>
              <w:snapToGrid w:val="0"/>
              <w:jc w:val="center"/>
              <w:rPr>
                <w:rFonts w:ascii="宋体" w:hAnsi="宋体" w:cs="宋体"/>
                <w:bCs/>
                <w:color w:val="auto"/>
                <w:sz w:val="22"/>
                <w:szCs w:val="22"/>
                <w:highlight w:val="none"/>
              </w:rPr>
            </w:pPr>
          </w:p>
        </w:tc>
        <w:tc>
          <w:tcPr>
            <w:tcW w:w="925" w:type="dxa"/>
            <w:vAlign w:val="center"/>
          </w:tcPr>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优惠条件</w:t>
            </w:r>
          </w:p>
        </w:tc>
        <w:tc>
          <w:tcPr>
            <w:tcW w:w="6862" w:type="dxa"/>
            <w:vAlign w:val="center"/>
          </w:tcPr>
          <w:p>
            <w:pPr>
              <w:snapToGrid w:val="0"/>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本次投标单位对最终用户的实质性优惠条件（以投标书内文字明确为准），每有1条得</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本项最多得2分。</w:t>
            </w:r>
          </w:p>
        </w:tc>
        <w:tc>
          <w:tcPr>
            <w:tcW w:w="927" w:type="dxa"/>
            <w:vAlign w:val="center"/>
          </w:tcPr>
          <w:p>
            <w:pPr>
              <w:snapToGrid w:val="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2分</w:t>
            </w:r>
          </w:p>
        </w:tc>
      </w:tr>
    </w:tbl>
    <w:p>
      <w:pPr>
        <w:pStyle w:val="25"/>
        <w:ind w:left="0" w:leftChars="0" w:firstLine="0" w:firstLineChars="0"/>
        <w:rPr>
          <w:color w:val="auto"/>
          <w:highlight w:val="none"/>
        </w:rPr>
      </w:pPr>
    </w:p>
    <w:p>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62</w:t>
      </w:r>
      <w:r>
        <w:rPr>
          <w:rFonts w:hint="eastAsia" w:ascii="宋体" w:hAnsi="宋体" w:cs="宋体"/>
          <w:b/>
          <w:color w:val="auto"/>
          <w:sz w:val="24"/>
          <w:highlight w:val="none"/>
        </w:rPr>
        <w:t>分）</w:t>
      </w:r>
    </w:p>
    <w:tbl>
      <w:tblPr>
        <w:tblStyle w:val="64"/>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12"/>
        <w:gridCol w:w="6888"/>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Merge w:val="restart"/>
            <w:vAlign w:val="center"/>
          </w:tcPr>
          <w:p>
            <w:pPr>
              <w:snapToGri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技术</w:t>
            </w:r>
            <w:r>
              <w:rPr>
                <w:rFonts w:hint="eastAsia" w:ascii="宋体" w:hAnsi="宋体" w:cs="宋体"/>
                <w:color w:val="auto"/>
                <w:kern w:val="0"/>
                <w:sz w:val="22"/>
                <w:szCs w:val="22"/>
                <w:highlight w:val="none"/>
                <w:lang w:val="en-US" w:eastAsia="zh-CN"/>
              </w:rPr>
              <w:t>62</w:t>
            </w:r>
            <w:r>
              <w:rPr>
                <w:rFonts w:hint="eastAsia" w:ascii="宋体" w:hAnsi="宋体" w:eastAsia="宋体" w:cs="宋体"/>
                <w:color w:val="auto"/>
                <w:kern w:val="0"/>
                <w:sz w:val="22"/>
                <w:szCs w:val="22"/>
                <w:highlight w:val="none"/>
              </w:rPr>
              <w:t>分</w:t>
            </w:r>
          </w:p>
        </w:tc>
        <w:tc>
          <w:tcPr>
            <w:tcW w:w="912" w:type="dxa"/>
            <w:vAlign w:val="center"/>
          </w:tcPr>
          <w:p>
            <w:pPr>
              <w:widowControl/>
              <w:spacing w:line="320" w:lineRule="exact"/>
              <w:jc w:val="center"/>
              <w:textAlignment w:val="center"/>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总体服务方案</w:t>
            </w:r>
          </w:p>
        </w:tc>
        <w:tc>
          <w:tcPr>
            <w:tcW w:w="6888" w:type="dxa"/>
            <w:vAlign w:val="center"/>
          </w:tcPr>
          <w:p>
            <w:pPr>
              <w:jc w:val="left"/>
              <w:rPr>
                <w:rFonts w:hint="default" w:ascii="宋体" w:hAnsi="宋体" w:cs="宋体" w:eastAsiaTheme="minorEastAsia"/>
                <w:color w:val="auto"/>
                <w:kern w:val="0"/>
                <w:sz w:val="22"/>
                <w:szCs w:val="22"/>
                <w:highlight w:val="none"/>
                <w:lang w:val="en-US" w:eastAsia="zh-CN"/>
              </w:rPr>
            </w:pPr>
            <w:r>
              <w:rPr>
                <w:rFonts w:hint="default" w:ascii="宋体" w:hAnsi="宋体" w:cs="宋体" w:eastAsiaTheme="minorEastAsia"/>
                <w:color w:val="auto"/>
                <w:kern w:val="0"/>
                <w:sz w:val="22"/>
                <w:szCs w:val="22"/>
                <w:highlight w:val="none"/>
                <w:lang w:val="en-US" w:eastAsia="zh-CN"/>
              </w:rPr>
              <w:t>总体服务方案完整，无缺漏项，充分考虑用户需求，方案具备高度针对性及可行性得</w:t>
            </w:r>
            <w:r>
              <w:rPr>
                <w:rFonts w:hint="eastAsia" w:ascii="宋体" w:hAnsi="宋体" w:cs="宋体" w:eastAsiaTheme="minorEastAsia"/>
                <w:color w:val="auto"/>
                <w:kern w:val="0"/>
                <w:sz w:val="22"/>
                <w:szCs w:val="22"/>
                <w:highlight w:val="none"/>
                <w:lang w:val="en-US" w:eastAsia="zh-CN"/>
              </w:rPr>
              <w:t>8</w:t>
            </w:r>
            <w:r>
              <w:rPr>
                <w:rFonts w:hint="default" w:ascii="宋体" w:hAnsi="宋体" w:cs="宋体" w:eastAsiaTheme="minorEastAsia"/>
                <w:color w:val="auto"/>
                <w:kern w:val="0"/>
                <w:sz w:val="22"/>
                <w:szCs w:val="22"/>
                <w:highlight w:val="none"/>
                <w:lang w:val="en-US" w:eastAsia="zh-CN"/>
              </w:rPr>
              <w:t>分；总体服务方案较详细全面，充分考虑用户需求，方案具有一定的针对性及可行性较可行性，能够满足采购需求得</w:t>
            </w:r>
            <w:r>
              <w:rPr>
                <w:rFonts w:hint="eastAsia" w:ascii="宋体" w:hAnsi="宋体" w:cs="宋体" w:eastAsiaTheme="minorEastAsia"/>
                <w:color w:val="auto"/>
                <w:kern w:val="0"/>
                <w:sz w:val="22"/>
                <w:szCs w:val="22"/>
                <w:highlight w:val="none"/>
                <w:lang w:val="en-US" w:eastAsia="zh-CN"/>
              </w:rPr>
              <w:t>7</w:t>
            </w:r>
            <w:r>
              <w:rPr>
                <w:rFonts w:hint="default" w:ascii="宋体" w:hAnsi="宋体" w:cs="宋体" w:eastAsiaTheme="minorEastAsia"/>
                <w:color w:val="auto"/>
                <w:kern w:val="0"/>
                <w:sz w:val="22"/>
                <w:szCs w:val="22"/>
                <w:highlight w:val="none"/>
                <w:lang w:val="en-US" w:eastAsia="zh-CN"/>
              </w:rPr>
              <w:t>分；总体服务方案比较完整，方案具有一定的针对性及可行性，基本能满足采购需求得</w:t>
            </w:r>
            <w:r>
              <w:rPr>
                <w:rFonts w:hint="eastAsia" w:ascii="宋体" w:hAnsi="宋体" w:cs="宋体" w:eastAsiaTheme="minorEastAsia"/>
                <w:color w:val="auto"/>
                <w:kern w:val="0"/>
                <w:sz w:val="22"/>
                <w:szCs w:val="22"/>
                <w:highlight w:val="none"/>
                <w:lang w:val="en-US" w:eastAsia="zh-CN"/>
              </w:rPr>
              <w:t>6</w:t>
            </w:r>
            <w:r>
              <w:rPr>
                <w:rFonts w:hint="default" w:ascii="宋体" w:hAnsi="宋体" w:cs="宋体" w:eastAsiaTheme="minorEastAsia"/>
                <w:color w:val="auto"/>
                <w:kern w:val="0"/>
                <w:sz w:val="22"/>
                <w:szCs w:val="22"/>
                <w:highlight w:val="none"/>
                <w:lang w:val="en-US" w:eastAsia="zh-CN"/>
              </w:rPr>
              <w:t>分；总体服务方案不够完整，有缺漏项，针对性不强，不能完全满足采购需求得</w:t>
            </w:r>
            <w:r>
              <w:rPr>
                <w:rFonts w:hint="eastAsia" w:ascii="宋体" w:hAnsi="宋体" w:cs="宋体" w:eastAsiaTheme="minorEastAsia"/>
                <w:color w:val="auto"/>
                <w:kern w:val="0"/>
                <w:sz w:val="22"/>
                <w:szCs w:val="22"/>
                <w:highlight w:val="none"/>
                <w:lang w:val="en-US" w:eastAsia="zh-CN"/>
              </w:rPr>
              <w:t>5</w:t>
            </w:r>
            <w:r>
              <w:rPr>
                <w:rFonts w:hint="default" w:ascii="宋体" w:hAnsi="宋体" w:cs="宋体" w:eastAsiaTheme="minorEastAsia"/>
                <w:color w:val="auto"/>
                <w:kern w:val="0"/>
                <w:sz w:val="22"/>
                <w:szCs w:val="22"/>
                <w:highlight w:val="none"/>
                <w:lang w:val="en-US" w:eastAsia="zh-CN"/>
              </w:rPr>
              <w:t>分；总体服务方案有瑕疵，存在较多不满足采购需求得</w:t>
            </w:r>
            <w:r>
              <w:rPr>
                <w:rFonts w:hint="eastAsia" w:ascii="宋体" w:hAnsi="宋体" w:cs="宋体" w:eastAsiaTheme="minorEastAsia"/>
                <w:color w:val="auto"/>
                <w:kern w:val="0"/>
                <w:sz w:val="22"/>
                <w:szCs w:val="22"/>
                <w:highlight w:val="none"/>
                <w:lang w:val="en-US" w:eastAsia="zh-CN"/>
              </w:rPr>
              <w:t>4</w:t>
            </w:r>
            <w:r>
              <w:rPr>
                <w:rFonts w:hint="default" w:ascii="宋体" w:hAnsi="宋体" w:cs="宋体" w:eastAsiaTheme="minorEastAsia"/>
                <w:color w:val="auto"/>
                <w:kern w:val="0"/>
                <w:sz w:val="22"/>
                <w:szCs w:val="22"/>
                <w:highlight w:val="none"/>
                <w:lang w:val="en-US" w:eastAsia="zh-CN"/>
              </w:rPr>
              <w:t>分；未提供方案不得分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本项目重点、难点分析</w:t>
            </w:r>
          </w:p>
        </w:tc>
        <w:tc>
          <w:tcPr>
            <w:tcW w:w="6888" w:type="dxa"/>
            <w:vAlign w:val="center"/>
          </w:tcPr>
          <w:p>
            <w:pPr>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投标人对项目现状、存在的问题和服务的难点、要点等问题进行调查剖析，评委根据投标人的提出克服难点和要点技术措施进行给分，技术重点、难点分析到位，应对措施合理可行的得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分；技术重点、难点分析较到位，应对措施较合理可行的得</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分；技术重点、难点分析一般，应对措施较有欠缺的得</w:t>
            </w: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en-US" w:eastAsia="zh-CN"/>
              </w:rPr>
              <w:t>分；技术重点、难点分析一般，应对措施匹配性差的得</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分；技术重点、难点分析针对性差，应对措施匹配性差的得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分；方案内容缺失严重或与项目不匹配的不得分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劳务派遣方案</w:t>
            </w:r>
          </w:p>
        </w:tc>
        <w:tc>
          <w:tcPr>
            <w:tcW w:w="6888" w:type="dxa"/>
            <w:vAlign w:val="center"/>
          </w:tcPr>
          <w:p>
            <w:pPr>
              <w:jc w:val="left"/>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根据劳务派遣方案（包括服务内容、工作流程、详细的服务标准及实施方案等）的内容的完整性、方案的可行性以及重点是否突出进行评审。方案考虑周全、内容全面可行、重点突出的得</w:t>
            </w:r>
            <w:r>
              <w:rPr>
                <w:rFonts w:hint="eastAsia" w:ascii="宋体"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lang w:val="en-US"/>
              </w:rPr>
              <w:t>分；方案合理、可行得</w:t>
            </w:r>
            <w:r>
              <w:rPr>
                <w:rFonts w:hint="eastAsia" w:ascii="宋体" w:hAnsi="宋体" w:cs="宋体"/>
                <w:bCs/>
                <w:color w:val="auto"/>
                <w:sz w:val="22"/>
                <w:szCs w:val="22"/>
                <w:highlight w:val="none"/>
                <w:lang w:val="en-US" w:eastAsia="zh-CN"/>
              </w:rPr>
              <w:t>7</w:t>
            </w:r>
            <w:r>
              <w:rPr>
                <w:rFonts w:hint="eastAsia" w:ascii="宋体" w:hAnsi="宋体" w:eastAsia="宋体" w:cs="宋体"/>
                <w:bCs/>
                <w:color w:val="auto"/>
                <w:sz w:val="22"/>
                <w:szCs w:val="22"/>
                <w:highlight w:val="none"/>
                <w:lang w:val="en-US"/>
              </w:rPr>
              <w:t>分；方案基本合理得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rPr>
              <w:t>分；方案描述笼统不清晰得</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rPr>
              <w:t>分；方案内容不全得</w:t>
            </w: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en-US"/>
              </w:rPr>
              <w:t>分；未提供方案不得分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管理制度</w:t>
            </w:r>
          </w:p>
        </w:tc>
        <w:tc>
          <w:tcPr>
            <w:tcW w:w="6888" w:type="dxa"/>
            <w:vAlign w:val="center"/>
          </w:tcPr>
          <w:p>
            <w:pPr>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投标人具备完善的企业管理制度的得</w:t>
            </w:r>
            <w:r>
              <w:rPr>
                <w:rFonts w:hint="eastAsia" w:ascii="宋体" w:hAnsi="宋体" w:cs="宋体"/>
                <w:bCs/>
                <w:color w:val="auto"/>
                <w:sz w:val="22"/>
                <w:szCs w:val="22"/>
                <w:highlight w:val="none"/>
                <w:lang w:val="en-US" w:eastAsia="zh-CN"/>
              </w:rPr>
              <w:t>1.5</w:t>
            </w:r>
            <w:r>
              <w:rPr>
                <w:rFonts w:hint="eastAsia" w:ascii="宋体" w:hAnsi="宋体" w:eastAsia="宋体" w:cs="宋体"/>
                <w:bCs/>
                <w:color w:val="auto"/>
                <w:sz w:val="22"/>
                <w:szCs w:val="22"/>
                <w:highlight w:val="none"/>
                <w:lang w:val="en-US" w:eastAsia="zh-CN"/>
              </w:rPr>
              <w:t>分、工作人员管理制度的得</w:t>
            </w:r>
            <w:r>
              <w:rPr>
                <w:rFonts w:hint="eastAsia" w:ascii="宋体" w:hAnsi="宋体" w:cs="宋体"/>
                <w:bCs/>
                <w:color w:val="auto"/>
                <w:sz w:val="22"/>
                <w:szCs w:val="22"/>
                <w:highlight w:val="none"/>
                <w:lang w:val="en-US" w:eastAsia="zh-CN"/>
              </w:rPr>
              <w:t>1.5</w:t>
            </w:r>
            <w:r>
              <w:rPr>
                <w:rFonts w:hint="eastAsia" w:ascii="宋体" w:hAnsi="宋体" w:eastAsia="宋体" w:cs="宋体"/>
                <w:bCs/>
                <w:color w:val="auto"/>
                <w:sz w:val="22"/>
                <w:szCs w:val="22"/>
                <w:highlight w:val="none"/>
                <w:lang w:val="en-US" w:eastAsia="zh-CN"/>
              </w:rPr>
              <w:t>分、岗位职责分工明确的得</w:t>
            </w:r>
            <w:r>
              <w:rPr>
                <w:rFonts w:hint="eastAsia" w:ascii="宋体" w:hAnsi="宋体" w:cs="宋体"/>
                <w:bCs/>
                <w:color w:val="auto"/>
                <w:sz w:val="22"/>
                <w:szCs w:val="22"/>
                <w:highlight w:val="none"/>
                <w:lang w:val="en-US" w:eastAsia="zh-CN"/>
              </w:rPr>
              <w:t>1.5</w:t>
            </w:r>
            <w:r>
              <w:rPr>
                <w:rFonts w:hint="eastAsia" w:ascii="宋体" w:hAnsi="宋体" w:eastAsia="宋体" w:cs="宋体"/>
                <w:bCs/>
                <w:color w:val="auto"/>
                <w:sz w:val="22"/>
                <w:szCs w:val="22"/>
                <w:highlight w:val="none"/>
                <w:lang w:val="en-US" w:eastAsia="zh-CN"/>
              </w:rPr>
              <w:t>分、具备质量考核办法的得</w:t>
            </w:r>
            <w:r>
              <w:rPr>
                <w:rFonts w:hint="eastAsia" w:ascii="宋体" w:hAnsi="宋体" w:cs="宋体"/>
                <w:bCs/>
                <w:color w:val="auto"/>
                <w:sz w:val="22"/>
                <w:szCs w:val="22"/>
                <w:highlight w:val="none"/>
                <w:lang w:val="en-US" w:eastAsia="zh-CN"/>
              </w:rPr>
              <w:t>1.5</w:t>
            </w:r>
            <w:r>
              <w:rPr>
                <w:rFonts w:hint="eastAsia" w:ascii="宋体" w:hAnsi="宋体" w:eastAsia="宋体" w:cs="宋体"/>
                <w:bCs/>
                <w:color w:val="auto"/>
                <w:sz w:val="22"/>
                <w:szCs w:val="22"/>
                <w:highlight w:val="none"/>
                <w:lang w:val="en-US" w:eastAsia="zh-CN"/>
              </w:rPr>
              <w:t>分，投标文件未体现相关内容的不得分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投诉处理方案</w:t>
            </w:r>
          </w:p>
        </w:tc>
        <w:tc>
          <w:tcPr>
            <w:tcW w:w="6888" w:type="dxa"/>
            <w:vAlign w:val="center"/>
          </w:tcPr>
          <w:p>
            <w:pPr>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根据投诉处理方案内容的完整性、方案的可行性以及重点是否突出进行评审。方案考虑周全、内容全面可行、重点突出的得5分；方案合理、可行得4分</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lang w:val="en-US" w:eastAsia="zh-CN"/>
              </w:rPr>
              <w:t>方案描述笼统不清晰得</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分；方案内容不全得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分；未提供方案不得分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widowControl/>
              <w:spacing w:line="320" w:lineRule="exact"/>
              <w:jc w:val="center"/>
              <w:textAlignment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培训方案</w:t>
            </w:r>
          </w:p>
        </w:tc>
        <w:tc>
          <w:tcPr>
            <w:tcW w:w="6888" w:type="dxa"/>
            <w:vAlign w:val="center"/>
          </w:tcPr>
          <w:p>
            <w:pPr>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根据投标人提供的培训方案（包括但不限于培训计划、培训对象、培训内容）内容的完整性、时间的合理性及人员安排的可行性进行评审。培训内容完整、培训时间合理、人员安排可行的，得</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分；培训内容较完整、培训时间较合理、人员安排较可行得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分；培训方案安排笼统不清晰</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lang w:val="en-US" w:eastAsia="zh-CN"/>
              </w:rPr>
              <w:t>内容不全得</w:t>
            </w: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en-US" w:eastAsia="zh-CN"/>
              </w:rPr>
              <w:t>分；未提供方案不得分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spacing w:line="32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稳定员工队伍</w:t>
            </w:r>
            <w:r>
              <w:rPr>
                <w:rFonts w:hint="eastAsia" w:ascii="宋体" w:hAnsi="宋体" w:cs="宋体"/>
                <w:color w:val="auto"/>
                <w:kern w:val="0"/>
                <w:sz w:val="22"/>
                <w:szCs w:val="22"/>
                <w:highlight w:val="none"/>
                <w:lang w:val="zh-CN"/>
              </w:rPr>
              <w:t>方案</w:t>
            </w:r>
          </w:p>
        </w:tc>
        <w:tc>
          <w:tcPr>
            <w:tcW w:w="6888" w:type="dxa"/>
            <w:vAlign w:val="center"/>
          </w:tcPr>
          <w:p>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根据投标人稳定员工队伍解决方案（提升员工福利待遇方案和激励方案）进行评审。方案考虑周全、内容全面可行、重点突出的得</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分；方案合理、可行得</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分；方案基本合理得</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分；方案描述笼统不清晰</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内容不全得</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分；未提供方案不得分。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autoSpaceDE w:val="0"/>
              <w:autoSpaceDN w:val="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投入本项目人员</w:t>
            </w:r>
          </w:p>
        </w:tc>
        <w:tc>
          <w:tcPr>
            <w:tcW w:w="6888"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投标人拟派本项目人员需具备同类工作经验，可解决不同类型以及高难度的问题（提供人员资历、类似任职经历的证明材料）。人员配备完全满足采购需求得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分；人员配备基本满足需求得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分；人员配备部分满足需求得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分；人员配备满足程度较差得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分；无人员配备得0分（以上人员提供在投标单位近三个月内任一时间的社保缴纳证明，否则该项不得分）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处理过劳资纠纷</w:t>
            </w:r>
          </w:p>
        </w:tc>
        <w:tc>
          <w:tcPr>
            <w:tcW w:w="6888"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根据投标人处理劳资纠纷防范措施进行评审。措施考虑周全、内容全面可行、重点突出的得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分；措施合理、可行得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分；措施基本合理得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分；措施笼统不清晰</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内容不全得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分；未提供方案不得分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restart"/>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应急方案及措施</w:t>
            </w:r>
          </w:p>
        </w:tc>
        <w:tc>
          <w:tcPr>
            <w:tcW w:w="6888" w:type="dxa"/>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对突发事件（包括发生台风、暴雨等灾害性天气及其他突发事件）的应急预案及相应的措施进行评分。内容完整、合理、规范且可行的得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分；内容较完整、较合理、较规范且较可行的得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分；内容普通存在瑕疵的得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分；内容存在较多瑕疵不明确、多处不足的得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分；未提供得0分</w:t>
            </w:r>
          </w:p>
        </w:tc>
        <w:tc>
          <w:tcPr>
            <w:tcW w:w="914" w:type="dxa"/>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jc w:val="center"/>
              <w:rPr>
                <w:rFonts w:hint="eastAsia" w:ascii="宋体" w:hAnsi="宋体" w:eastAsia="宋体" w:cs="宋体"/>
                <w:color w:val="auto"/>
                <w:sz w:val="22"/>
                <w:szCs w:val="22"/>
                <w:highlight w:val="none"/>
              </w:rPr>
            </w:pPr>
          </w:p>
        </w:tc>
        <w:tc>
          <w:tcPr>
            <w:tcW w:w="6888" w:type="dxa"/>
            <w:vAlign w:val="center"/>
          </w:tcPr>
          <w:p>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对突发性公告卫生事件（如针对疫情防控）的应急预案进行评分。内容完整、合理、规范且可行的得4分；内容较完整、较合理、较规范且较可行的得3分；内容普通存在瑕疵的得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分；内容存在较多瑕疵不明确、多处不足的得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分；未提供得0分</w:t>
            </w:r>
          </w:p>
        </w:tc>
        <w:tc>
          <w:tcPr>
            <w:tcW w:w="914" w:type="dxa"/>
            <w:vAlign w:val="center"/>
          </w:tcPr>
          <w:p>
            <w:pPr>
              <w:widowControl/>
              <w:spacing w:line="38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652" w:type="dxa"/>
            <w:vMerge w:val="continue"/>
            <w:vAlign w:val="center"/>
          </w:tcPr>
          <w:p>
            <w:pPr>
              <w:snapToGrid w:val="0"/>
              <w:jc w:val="center"/>
              <w:rPr>
                <w:rFonts w:hint="eastAsia" w:ascii="宋体" w:hAnsi="宋体" w:eastAsia="宋体" w:cs="宋体"/>
                <w:color w:val="auto"/>
                <w:kern w:val="0"/>
                <w:sz w:val="22"/>
                <w:szCs w:val="22"/>
                <w:highlight w:val="none"/>
              </w:rPr>
            </w:pPr>
          </w:p>
        </w:tc>
        <w:tc>
          <w:tcPr>
            <w:tcW w:w="912" w:type="dxa"/>
            <w:vMerge w:val="continue"/>
            <w:vAlign w:val="center"/>
          </w:tcPr>
          <w:p>
            <w:pPr>
              <w:widowControl/>
              <w:spacing w:line="320" w:lineRule="exact"/>
              <w:jc w:val="center"/>
              <w:textAlignment w:val="center"/>
              <w:rPr>
                <w:rFonts w:hint="default" w:ascii="宋体" w:hAnsi="宋体" w:eastAsia="宋体" w:cs="宋体"/>
                <w:color w:val="auto"/>
                <w:sz w:val="22"/>
                <w:szCs w:val="22"/>
                <w:highlight w:val="none"/>
                <w:lang w:val="en-US" w:eastAsia="zh-CN"/>
              </w:rPr>
            </w:pPr>
          </w:p>
        </w:tc>
        <w:tc>
          <w:tcPr>
            <w:tcW w:w="6888" w:type="dxa"/>
            <w:vAlign w:val="center"/>
          </w:tcPr>
          <w:p>
            <w:pPr>
              <w:widowControl/>
              <w:numPr>
                <w:ilvl w:val="0"/>
                <w:numId w:val="0"/>
              </w:numPr>
              <w:tabs>
                <w:tab w:val="left" w:pos="101"/>
                <w:tab w:val="left" w:pos="242"/>
                <w:tab w:val="left" w:pos="526"/>
              </w:tabs>
              <w:snapToGrid w:val="0"/>
              <w:spacing w:line="320" w:lineRule="exact"/>
              <w:ind w:leftChars="0"/>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春节员工缺岗解决方案的可行性、可操作性及针对性进行评分。内容完整、合理、规范且可行的得3分；内容较完整、较合理、较规范且较可行的得2分；内容存在瑕疵不明确、多处不足的得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分；未提供得0分</w:t>
            </w:r>
          </w:p>
        </w:tc>
        <w:tc>
          <w:tcPr>
            <w:tcW w:w="914" w:type="dxa"/>
            <w:vAlign w:val="center"/>
          </w:tcPr>
          <w:p>
            <w:pPr>
              <w:snapToGrid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r>
    </w:tbl>
    <w:p>
      <w:pPr>
        <w:rPr>
          <w:color w:val="auto"/>
          <w:sz w:val="24"/>
          <w:highlight w:val="none"/>
        </w:rPr>
      </w:pPr>
    </w:p>
    <w:p>
      <w:pPr>
        <w:rPr>
          <w:rFonts w:ascii="仿宋" w:hAnsi="仿宋" w:eastAsia="仿宋" w:cs="仿宋_GB2312"/>
          <w:b/>
          <w:bCs/>
          <w:color w:val="auto"/>
          <w:sz w:val="36"/>
          <w:szCs w:val="36"/>
          <w:highlight w:val="none"/>
        </w:rPr>
      </w:pPr>
      <w:r>
        <w:rPr>
          <w:rFonts w:hint="eastAsia"/>
          <w:b/>
          <w:bCs/>
          <w:color w:val="auto"/>
          <w:sz w:val="24"/>
          <w:highlight w:val="none"/>
        </w:rPr>
        <w:t>注：以上项目若缺项，则该项得0分</w:t>
      </w: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both"/>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善财采确临[2022]</w:t>
      </w:r>
      <w:r>
        <w:rPr>
          <w:rFonts w:hint="eastAsia" w:ascii="宋体" w:hAnsi="宋体" w:cs="Arial"/>
          <w:color w:val="auto"/>
          <w:kern w:val="0"/>
          <w:sz w:val="24"/>
          <w:highlight w:val="none"/>
          <w:lang w:val="en-US" w:eastAsia="zh-CN"/>
        </w:rPr>
        <w:t>7036</w:t>
      </w:r>
      <w:r>
        <w:rPr>
          <w:rFonts w:hint="eastAsia" w:ascii="宋体" w:hAnsi="宋体" w:cs="Arial"/>
          <w:color w:val="auto"/>
          <w:kern w:val="0"/>
          <w:sz w:val="24"/>
          <w:highlight w:val="none"/>
        </w:rPr>
        <w:t>号</w:t>
      </w:r>
    </w:p>
    <w:p>
      <w:pPr>
        <w:tabs>
          <w:tab w:val="left" w:pos="916"/>
          <w:tab w:val="left" w:pos="1832"/>
          <w:tab w:val="left" w:pos="3664"/>
          <w:tab w:val="left" w:pos="5496"/>
          <w:tab w:val="left" w:pos="6301"/>
          <w:tab w:val="left" w:pos="7328"/>
          <w:tab w:val="left" w:pos="9160"/>
          <w:tab w:val="left" w:pos="10992"/>
          <w:tab w:val="left" w:pos="12824"/>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预算金额：690</w:t>
      </w:r>
      <w:r>
        <w:rPr>
          <w:rFonts w:hint="eastAsia" w:ascii="宋体" w:hAnsi="宋体" w:cs="Arial"/>
          <w:color w:val="auto"/>
          <w:kern w:val="0"/>
          <w:sz w:val="24"/>
          <w:highlight w:val="none"/>
        </w:rPr>
        <w:t>.00万元</w:t>
      </w:r>
      <w:r>
        <w:rPr>
          <w:rFonts w:hint="eastAsia" w:ascii="宋体" w:hAnsi="宋体" w:cs="Arial"/>
          <w:color w:val="auto"/>
          <w:kern w:val="0"/>
          <w:sz w:val="24"/>
          <w:highlight w:val="none"/>
          <w:lang w:eastAsia="zh-CN"/>
        </w:rPr>
        <w:tab/>
      </w:r>
      <w:r>
        <w:rPr>
          <w:rFonts w:hint="eastAsia" w:ascii="宋体" w:hAnsi="宋体" w:cs="Arial"/>
          <w:color w:val="auto"/>
          <w:kern w:val="0"/>
          <w:sz w:val="24"/>
          <w:highlight w:val="none"/>
          <w:lang w:eastAsia="zh-CN"/>
        </w:rPr>
        <w:tab/>
      </w:r>
      <w:r>
        <w:rPr>
          <w:rFonts w:hint="eastAsia" w:ascii="宋体" w:hAnsi="宋体" w:cs="Arial"/>
          <w:color w:val="auto"/>
          <w:kern w:val="0"/>
          <w:sz w:val="24"/>
          <w:highlight w:val="none"/>
          <w:lang w:eastAsia="zh-CN"/>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lang w:eastAsia="zh-CN"/>
        </w:rPr>
        <w:t>嘉善县急救站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JXYJ2022048</w:t>
      </w:r>
      <w:r>
        <w:rPr>
          <w:rFonts w:hint="eastAsia" w:ascii="宋体" w:hAnsi="宋体" w:cs="宋体"/>
          <w:color w:val="auto"/>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嘉善县急救站第三方劳务派遣服务采购</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Arial"/>
          <w:color w:val="auto"/>
          <w:kern w:val="0"/>
          <w:sz w:val="24"/>
          <w:highlight w:val="none"/>
          <w:u w:val="single"/>
          <w:lang w:eastAsia="zh-CN"/>
        </w:rPr>
        <w:t>嘉善县急救站第三方劳务派遣服务采购</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w:t>
      </w:r>
      <w:r>
        <w:rPr>
          <w:rFonts w:hint="eastAsia" w:ascii="宋体" w:hAnsi="宋体" w:cs="宋体"/>
          <w:color w:val="auto"/>
          <w:sz w:val="24"/>
          <w:highlight w:val="none"/>
        </w:rPr>
        <w:t>包括服务所需缴纳的所有税费和一切费用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（1）一般预算；（2）政府基金；（3）专户核拨的预算外资金；（4）其他财政资金；（5）其他资金。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Arial"/>
          <w:color w:val="auto"/>
          <w:kern w:val="0"/>
          <w:sz w:val="24"/>
          <w:highlight w:val="none"/>
          <w:u w:val="single"/>
        </w:rPr>
        <w:t>甲方根据年初预算申请生成用款计划，再在支付管理系统中发起授权支付申请，付款单位凭中标通知书、用款计划书、合同、验收单、发票、采购备案表进行审核支付</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结算付款必须按照医院支付管理办法及相关规定执行，依据《考核标准》对服务提供商进行考核结算，原则上以一个月为结算单位</w:t>
      </w:r>
      <w:r>
        <w:rPr>
          <w:rFonts w:hint="eastAsia" w:ascii="宋体" w:hAnsi="宋体" w:cs="宋体"/>
          <w:color w:val="auto"/>
          <w:sz w:val="24"/>
          <w:highlight w:val="none"/>
          <w:lang w:val="en-US" w:eastAsia="zh-CN"/>
        </w:rPr>
        <w:t>支付前一个月的员工工资及管理费。（付款前中标单位应按规定向采购人开具正规发票，</w:t>
      </w:r>
      <w:r>
        <w:rPr>
          <w:rFonts w:hint="eastAsia" w:ascii="宋体" w:hAnsi="宋体" w:eastAsia="宋体" w:cs="宋体"/>
          <w:color w:val="auto"/>
          <w:sz w:val="24"/>
          <w:highlight w:val="none"/>
          <w:lang w:val="en-US" w:eastAsia="zh-CN"/>
        </w:rPr>
        <w:t>并承担开票产生的所有税收费）</w:t>
      </w:r>
      <w:r>
        <w:rPr>
          <w:rFonts w:hint="eastAsia" w:ascii="宋体" w:hAnsi="宋体" w:cs="宋体"/>
          <w:color w:val="auto"/>
          <w:sz w:val="24"/>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1、本项目设置履约保证金</w:t>
      </w:r>
      <w:r>
        <w:rPr>
          <w:rFonts w:hint="eastAsia" w:ascii="宋体" w:hAnsi="宋体" w:cs="宋体"/>
          <w:color w:val="auto"/>
          <w:kern w:val="0"/>
          <w:sz w:val="24"/>
          <w:highlight w:val="none"/>
          <w:lang w:eastAsia="zh-CN"/>
        </w:rPr>
        <w:t>，签订合同前中标人应向采购人交纳合同金额的1%作为履约保证金，履约保证金在合同履行完毕后一个月内无息退还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Arial"/>
          <w:color w:val="auto"/>
          <w:kern w:val="0"/>
          <w:sz w:val="24"/>
          <w:highlight w:val="none"/>
          <w:u w:val="single"/>
          <w:lang w:eastAsia="zh-CN"/>
        </w:rPr>
        <w:t>项目所在地</w:t>
      </w:r>
      <w:r>
        <w:rPr>
          <w:rFonts w:hint="eastAsia" w:ascii="宋体" w:hAnsi="宋体" w:cs="宋体"/>
          <w:color w:val="auto"/>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本合同一式五份，甲乙双方各2份，招标代理机构各持一份</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color w:val="auto"/>
          <w:highlight w:val="none"/>
        </w:rPr>
      </w:pPr>
    </w:p>
    <w:p>
      <w:pPr>
        <w:pStyle w:val="26"/>
        <w:rPr>
          <w:color w:val="auto"/>
          <w:highlight w:val="none"/>
        </w:rPr>
      </w:pPr>
    </w:p>
    <w:p>
      <w:pPr>
        <w:rPr>
          <w:color w:val="auto"/>
          <w:highlight w:val="none"/>
        </w:rPr>
      </w:pPr>
    </w:p>
    <w:p>
      <w:pPr>
        <w:rPr>
          <w:color w:val="auto"/>
          <w:highlight w:val="none"/>
        </w:rPr>
      </w:pPr>
    </w:p>
    <w:p>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pPr>
        <w:spacing w:line="480" w:lineRule="exact"/>
        <w:ind w:right="480" w:firstLine="2160" w:firstLineChars="900"/>
        <w:jc w:val="center"/>
        <w:rPr>
          <w:rFonts w:ascii="宋体" w:hAnsi="宋体" w:cs="宋体"/>
          <w:color w:val="auto"/>
          <w:sz w:val="24"/>
          <w:highlight w:val="none"/>
        </w:rPr>
      </w:pPr>
    </w:p>
    <w:p>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签约地点：</w:t>
      </w:r>
    </w:p>
    <w:p>
      <w:pPr>
        <w:spacing w:line="460" w:lineRule="exact"/>
        <w:rPr>
          <w:rFonts w:hint="eastAsia" w:ascii="宋体" w:hAnsi="宋体" w:cs="Tahoma"/>
          <w:color w:val="auto"/>
          <w:kern w:val="0"/>
          <w:sz w:val="24"/>
          <w:highlight w:val="none"/>
        </w:rPr>
        <w:sectPr>
          <w:footerReference r:id="rId11" w:type="default"/>
          <w:pgSz w:w="11906" w:h="16838"/>
          <w:pgMar w:top="1134" w:right="1134" w:bottom="1417" w:left="1134" w:header="851" w:footer="851" w:gutter="0"/>
          <w:pgNumType w:fmt="decimal"/>
          <w:cols w:space="720" w:num="1"/>
          <w:docGrid w:linePitch="312" w:charSpace="0"/>
        </w:sectPr>
      </w:pPr>
    </w:p>
    <w:p>
      <w:pPr>
        <w:spacing w:line="460" w:lineRule="exact"/>
        <w:rPr>
          <w:rFonts w:ascii="宋体" w:hAnsi="宋体"/>
          <w:color w:val="auto"/>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hAnsi="宋体" w:cs="宋体"/>
          <w:color w:val="auto"/>
          <w:kern w:val="0"/>
          <w:sz w:val="24"/>
          <w:highlight w:val="none"/>
        </w:rPr>
      </w:pPr>
    </w:p>
    <w:tbl>
      <w:tblPr>
        <w:tblStyle w:val="64"/>
        <w:tblW w:w="14436" w:type="dxa"/>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color w:val="auto"/>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pPr>
        <w:pStyle w:val="34"/>
        <w:spacing w:before="120" w:after="120" w:line="420" w:lineRule="exact"/>
        <w:rPr>
          <w:rFonts w:hAnsi="宋体"/>
          <w:bCs/>
          <w:color w:val="auto"/>
          <w:highlight w:val="none"/>
        </w:rPr>
        <w:sectPr>
          <w:pgSz w:w="16838" w:h="11906" w:orient="landscape"/>
          <w:pgMar w:top="1134" w:right="1134" w:bottom="1134" w:left="1417" w:header="851" w:footer="851" w:gutter="0"/>
          <w:pgNumType w:fmt="decimal"/>
          <w:cols w:space="720" w:num="1"/>
          <w:docGrid w:linePitch="312" w:charSpace="0"/>
        </w:sect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嘉善县急救站第三方劳务派遣服务采购</w:t>
      </w:r>
      <w:r>
        <w:rPr>
          <w:rFonts w:hint="eastAsia" w:ascii="宋体" w:hAnsi="宋体" w:cs="宋体"/>
          <w:color w:val="auto"/>
          <w:sz w:val="28"/>
          <w:szCs w:val="28"/>
          <w:highlight w:val="none"/>
        </w:rPr>
        <w:t xml:space="preserve"> 验收报告</w:t>
      </w:r>
    </w:p>
    <w:p>
      <w:pPr>
        <w:jc w:val="center"/>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rPr>
          <w:color w:val="auto"/>
          <w:highlight w:val="none"/>
        </w:rPr>
        <w:sectPr>
          <w:pgSz w:w="11906" w:h="16838"/>
          <w:pgMar w:top="1440" w:right="1797" w:bottom="1440" w:left="1797" w:header="851" w:footer="851" w:gutter="0"/>
          <w:pgNumType w:fmt="decimal"/>
          <w:cols w:space="720" w:num="1"/>
          <w:docGrid w:linePitch="312" w:charSpace="0"/>
        </w:sectPr>
      </w:pPr>
      <w:r>
        <w:rPr>
          <w:rFonts w:hint="eastAsia" w:ascii="宋体" w:hAnsi="宋体" w:cs="宋体"/>
          <w:color w:val="auto"/>
          <w:sz w:val="28"/>
          <w:szCs w:val="28"/>
          <w:highlight w:val="none"/>
        </w:rPr>
        <w:t>验收小组签字：（3人以上）</w:t>
      </w:r>
    </w:p>
    <w:p>
      <w:pPr>
        <w:pStyle w:val="3"/>
        <w:numPr>
          <w:ilvl w:val="0"/>
          <w:numId w:val="5"/>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5"/>
    </w:p>
    <w:p>
      <w:pPr>
        <w:spacing w:line="300" w:lineRule="auto"/>
        <w:ind w:firstLine="205" w:firstLineChars="98"/>
        <w:jc w:val="center"/>
        <w:rPr>
          <w:rFonts w:hAnsi="宋体" w:cs="宋体"/>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color w:val="auto"/>
          <w:kern w:val="0"/>
          <w:sz w:val="24"/>
          <w:highlight w:val="none"/>
          <w:lang w:val="zh-CN"/>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color w:val="auto"/>
          <w:sz w:val="22"/>
          <w:szCs w:val="22"/>
          <w:highlight w:val="none"/>
        </w:rPr>
      </w:pPr>
      <w:r>
        <w:rPr>
          <w:rFonts w:hint="eastAsia" w:ascii="宋体" w:hAnsi="宋体" w:cs="宋体"/>
          <w:b/>
          <w:bCs/>
          <w:color w:val="auto"/>
          <w:sz w:val="28"/>
          <w:szCs w:val="28"/>
          <w:highlight w:val="none"/>
        </w:rPr>
        <w:t>中小企业声明函（服务）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本公司（联合体）郑重声明，根据《政府采购促进中小企业发展管理办法》（财库﹝2020﹞46号）的规定，本公司（联合体）参加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hint="eastAsia" w:ascii="宋体" w:hAnsi="宋体" w:cs="宋体"/>
          <w:color w:val="auto"/>
          <w:sz w:val="24"/>
          <w:highlight w:val="none"/>
          <w:u w:val="single"/>
          <w:lang w:eastAsia="zh-CN"/>
        </w:rPr>
        <w:t>嘉善县急救站第三方劳务派遣服务采购</w:t>
      </w:r>
      <w:r>
        <w:rPr>
          <w:rFonts w:ascii="宋体" w:hAnsi="宋体" w:cs="宋体"/>
          <w:color w:val="auto"/>
          <w:sz w:val="24"/>
          <w:highlight w:val="none"/>
        </w:rPr>
        <w:t>采购活动，</w:t>
      </w:r>
      <w:r>
        <w:rPr>
          <w:rFonts w:hint="eastAsia" w:ascii="宋体" w:hAnsi="宋体" w:cs="宋体"/>
          <w:color w:val="auto"/>
          <w:sz w:val="24"/>
          <w:highlight w:val="none"/>
        </w:rPr>
        <w:t>服务全部由符合政策要求的中小企业承接</w:t>
      </w:r>
      <w:r>
        <w:rPr>
          <w:rFonts w:ascii="宋体" w:hAnsi="宋体" w:cs="宋体"/>
          <w:color w:val="auto"/>
          <w:sz w:val="24"/>
          <w:highlight w:val="none"/>
        </w:rPr>
        <w:t xml:space="preserve">。相关企业（含联合体中的中小企业、签订分包意向协议的中小企业）的具体情况如下： </w:t>
      </w:r>
    </w:p>
    <w:p>
      <w:pPr>
        <w:numPr>
          <w:ilvl w:val="0"/>
          <w:numId w:val="6"/>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嘉善县急救站第三方劳务派遣服务采购</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 ，属于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pPr>
        <w:pStyle w:val="966"/>
        <w:snapToGrid w:val="0"/>
        <w:spacing w:line="360" w:lineRule="auto"/>
        <w:ind w:firstLine="494"/>
        <w:rPr>
          <w:rFonts w:ascii="宋体" w:eastAsia="宋体"/>
          <w:bCs/>
          <w:color w:val="auto"/>
          <w:sz w:val="24"/>
          <w:szCs w:val="24"/>
          <w:highlight w:val="none"/>
        </w:rPr>
      </w:pPr>
    </w:p>
    <w:p>
      <w:pPr>
        <w:pStyle w:val="966"/>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pPr>
        <w:pStyle w:val="966"/>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pPr>
        <w:pStyle w:val="966"/>
        <w:snapToGrid w:val="0"/>
        <w:ind w:firstLine="4809" w:firstLineChars="2004"/>
        <w:rPr>
          <w:rFonts w:ascii="宋体" w:eastAsia="宋体"/>
          <w:bCs/>
          <w:color w:val="auto"/>
          <w:sz w:val="24"/>
          <w:szCs w:val="24"/>
          <w:highlight w:val="none"/>
        </w:rPr>
      </w:pPr>
    </w:p>
    <w:p>
      <w:pPr>
        <w:pStyle w:val="966"/>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pPr>
        <w:pStyle w:val="966"/>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rPr>
        <w:t>年月日</w:t>
      </w:r>
    </w:p>
    <w:p>
      <w:pPr>
        <w:pStyle w:val="966"/>
        <w:snapToGrid w:val="0"/>
        <w:spacing w:line="240" w:lineRule="auto"/>
        <w:ind w:firstLine="0" w:firstLineChars="0"/>
        <w:rPr>
          <w:rFonts w:ascii="宋体" w:eastAsia="宋体"/>
          <w:bCs/>
          <w:color w:val="auto"/>
          <w:sz w:val="24"/>
          <w:szCs w:val="24"/>
          <w:highlight w:val="none"/>
        </w:rPr>
      </w:pPr>
    </w:p>
    <w:p>
      <w:pPr>
        <w:pStyle w:val="966"/>
        <w:snapToGrid w:val="0"/>
        <w:spacing w:line="240" w:lineRule="auto"/>
        <w:ind w:firstLine="0" w:firstLineChars="0"/>
        <w:rPr>
          <w:rFonts w:ascii="宋体" w:eastAsia="宋体"/>
          <w:bCs/>
          <w:color w:val="auto"/>
          <w:sz w:val="24"/>
          <w:szCs w:val="24"/>
          <w:highlight w:val="none"/>
        </w:rPr>
      </w:pPr>
    </w:p>
    <w:p>
      <w:pPr>
        <w:pStyle w:val="966"/>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pPr>
        <w:pStyle w:val="966"/>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pPr>
        <w:pStyle w:val="966"/>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bCs w:val="0"/>
          <w:color w:val="auto"/>
          <w:sz w:val="24"/>
          <w:szCs w:val="24"/>
          <w:highlight w:val="none"/>
        </w:rPr>
        <w:t>租赁和商务服务业</w:t>
      </w:r>
      <w:r>
        <w:rPr>
          <w:rFonts w:hint="eastAsia" w:ascii="宋体" w:eastAsia="宋体"/>
          <w:bCs/>
          <w:color w:val="auto"/>
          <w:sz w:val="24"/>
          <w:szCs w:val="24"/>
          <w:highlight w:val="none"/>
        </w:rPr>
        <w:t>；</w:t>
      </w:r>
    </w:p>
    <w:p>
      <w:pPr>
        <w:pStyle w:val="966"/>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pPr>
        <w:pStyle w:val="966"/>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pPr>
        <w:pStyle w:val="967"/>
        <w:snapToGrid w:val="0"/>
        <w:jc w:val="center"/>
        <w:rPr>
          <w:rFonts w:ascii="宋体" w:hAnsi="宋体"/>
          <w:b/>
          <w:color w:val="auto"/>
          <w:sz w:val="24"/>
          <w:highlight w:val="none"/>
          <w:lang w:val="en-GB"/>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jc w:val="center"/>
        <w:rPr>
          <w:rFonts w:ascii="宋体" w:hAnsi="宋体"/>
          <w:b/>
          <w:color w:val="auto"/>
          <w:spacing w:val="6"/>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pPr>
        <w:snapToGrid w:val="0"/>
        <w:rPr>
          <w:rFonts w:ascii="宋体" w:hAnsi="宋体"/>
          <w:b/>
          <w:color w:val="auto"/>
          <w:spacing w:val="6"/>
          <w:sz w:val="24"/>
          <w:highlight w:val="none"/>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napToGrid w:val="0"/>
        <w:spacing w:line="480" w:lineRule="exact"/>
        <w:rPr>
          <w:rFonts w:ascii="宋体" w:hAnsi="宋体"/>
          <w:color w:val="auto"/>
          <w:sz w:val="24"/>
          <w:highlight w:val="none"/>
        </w:rPr>
      </w:pPr>
    </w:p>
    <w:p>
      <w:pPr>
        <w:snapToGrid w:val="0"/>
        <w:rPr>
          <w:rFonts w:ascii="宋体" w:hAnsi="宋体"/>
          <w:color w:val="auto"/>
          <w:sz w:val="24"/>
          <w:highlight w:val="none"/>
        </w:rPr>
      </w:pPr>
    </w:p>
    <w:p>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ind w:firstLine="5520" w:firstLineChars="2300"/>
        <w:outlineLvl w:val="0"/>
        <w:rPr>
          <w:rFonts w:ascii="宋体" w:hAnsi="宋体"/>
          <w:color w:val="auto"/>
          <w:sz w:val="24"/>
          <w:highlight w:val="none"/>
        </w:rPr>
      </w:pPr>
      <w:r>
        <w:rPr>
          <w:rFonts w:hint="eastAsia" w:ascii="宋体" w:hAnsi="宋体"/>
          <w:color w:val="auto"/>
          <w:sz w:val="24"/>
          <w:highlight w:val="none"/>
        </w:rPr>
        <w:t>日期：年月日</w:t>
      </w:r>
    </w:p>
    <w:p>
      <w:pPr>
        <w:pStyle w:val="34"/>
        <w:snapToGrid w:val="0"/>
        <w:spacing w:before="24" w:beforeLines="10" w:after="24" w:afterLines="10"/>
        <w:rPr>
          <w:rFonts w:ascii="仿宋" w:hAnsi="仿宋" w:eastAsia="仿宋" w:cs="仿宋"/>
          <w:b/>
          <w:bCs/>
          <w:color w:val="auto"/>
          <w:sz w:val="44"/>
          <w:szCs w:val="44"/>
          <w:highlight w:val="none"/>
        </w:rPr>
      </w:pPr>
    </w:p>
    <w:p>
      <w:pPr>
        <w:pStyle w:val="34"/>
        <w:snapToGrid w:val="0"/>
        <w:spacing w:before="24" w:beforeLines="10" w:after="24" w:afterLines="10"/>
        <w:rPr>
          <w:rFonts w:ascii="仿宋" w:hAnsi="仿宋" w:eastAsia="仿宋" w:cs="仿宋"/>
          <w:b/>
          <w:bCs/>
          <w:color w:val="auto"/>
          <w:sz w:val="44"/>
          <w:szCs w:val="44"/>
          <w:highlight w:val="none"/>
        </w:rPr>
      </w:pPr>
    </w:p>
    <w:p>
      <w:pPr>
        <w:rPr>
          <w:rFonts w:ascii="仿宋" w:hAnsi="仿宋" w:eastAsia="仿宋" w:cs="仿宋"/>
          <w:b/>
          <w:bCs/>
          <w:color w:val="auto"/>
          <w:sz w:val="44"/>
          <w:szCs w:val="44"/>
          <w:highlight w:val="none"/>
        </w:rPr>
      </w:pPr>
    </w:p>
    <w:p>
      <w:pPr>
        <w:snapToGrid w:val="0"/>
        <w:spacing w:before="120" w:beforeLines="50" w:after="50"/>
        <w:rPr>
          <w:b/>
          <w:color w:val="auto"/>
          <w:sz w:val="24"/>
          <w:highlight w:val="none"/>
        </w:rPr>
      </w:pPr>
    </w:p>
    <w:p>
      <w:pPr>
        <w:snapToGrid w:val="0"/>
        <w:spacing w:before="120" w:beforeLines="50" w:after="50"/>
        <w:rPr>
          <w:b/>
          <w:color w:val="auto"/>
          <w:sz w:val="24"/>
          <w:highlight w:val="none"/>
        </w:rPr>
      </w:pPr>
    </w:p>
    <w:p>
      <w:pPr>
        <w:snapToGrid w:val="0"/>
        <w:spacing w:before="120" w:beforeLines="50" w:after="50"/>
        <w:rPr>
          <w:b/>
          <w:color w:val="auto"/>
          <w:sz w:val="24"/>
          <w:highlight w:val="none"/>
        </w:rPr>
      </w:pPr>
    </w:p>
    <w:p>
      <w:pPr>
        <w:snapToGrid w:val="0"/>
        <w:spacing w:before="120" w:beforeLines="50" w:after="50"/>
        <w:rPr>
          <w:b/>
          <w:color w:val="auto"/>
          <w:sz w:val="24"/>
          <w:highlight w:val="none"/>
        </w:rPr>
      </w:pPr>
    </w:p>
    <w:p>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napToGrid w:val="0"/>
        <w:spacing w:before="120" w:beforeLines="50" w:after="50"/>
        <w:jc w:val="center"/>
        <w:rPr>
          <w:rFonts w:ascii="宋体" w:hAnsi="宋体" w:cs="宋体"/>
          <w:b/>
          <w:color w:val="auto"/>
          <w:sz w:val="32"/>
          <w:szCs w:val="32"/>
          <w:highlight w:val="none"/>
        </w:rPr>
      </w:pPr>
    </w:p>
    <w:p>
      <w:pPr>
        <w:pStyle w:val="3"/>
        <w:rPr>
          <w:rFonts w:ascii="宋体" w:hAnsi="宋体" w:cs="宋体"/>
          <w:b w:val="0"/>
          <w:color w:val="auto"/>
          <w:szCs w:val="32"/>
          <w:highlight w:val="none"/>
        </w:rPr>
      </w:pPr>
    </w:p>
    <w:p>
      <w:pPr>
        <w:rPr>
          <w:color w:val="auto"/>
          <w:highlight w:val="none"/>
        </w:rPr>
      </w:pPr>
    </w:p>
    <w:p>
      <w:pPr>
        <w:rPr>
          <w:color w:val="auto"/>
          <w:highlight w:val="none"/>
        </w:rPr>
      </w:pPr>
    </w:p>
    <w:p>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pPr>
        <w:snapToGrid w:val="0"/>
        <w:spacing w:before="120" w:beforeLines="50" w:after="50"/>
        <w:rPr>
          <w:b/>
          <w:bCs/>
          <w:color w:val="auto"/>
          <w:sz w:val="32"/>
          <w:szCs w:val="20"/>
          <w:highlight w:val="none"/>
        </w:rPr>
      </w:pPr>
      <w:r>
        <w:rPr>
          <w:color w:val="auto"/>
          <w:sz w:val="24"/>
          <w:highlight w:val="none"/>
        </w:rPr>
        <w:t xml:space="preserve">                                                    </w:t>
      </w:r>
    </w:p>
    <w:p>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pacing w:line="360" w:lineRule="auto"/>
        <w:ind w:right="420"/>
        <w:rPr>
          <w:color w:val="auto"/>
          <w:highlight w:val="none"/>
        </w:rPr>
      </w:pPr>
    </w:p>
    <w:p>
      <w:pPr>
        <w:spacing w:line="360" w:lineRule="auto"/>
        <w:rPr>
          <w:rFonts w:ascii="仿宋" w:hAnsi="仿宋" w:eastAsia="仿宋"/>
          <w:bCs/>
          <w:color w:val="auto"/>
          <w:sz w:val="24"/>
          <w:highlight w:val="none"/>
        </w:rPr>
      </w:pPr>
    </w:p>
    <w:p>
      <w:pPr>
        <w:spacing w:line="360" w:lineRule="auto"/>
        <w:jc w:val="center"/>
        <w:rPr>
          <w:rFonts w:ascii="宋体" w:hAnsi="宋体" w:cs="宋体"/>
          <w:b/>
          <w:color w:val="auto"/>
          <w:sz w:val="24"/>
          <w:highlight w:val="none"/>
        </w:rPr>
      </w:pPr>
      <w:bookmarkStart w:id="36" w:name="_Toc219619166"/>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4"/>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color w:val="auto"/>
                <w:sz w:val="24"/>
                <w:highlight w:val="none"/>
              </w:rPr>
            </w:pPr>
          </w:p>
        </w:tc>
        <w:tc>
          <w:tcPr>
            <w:tcW w:w="2145"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pPr>
              <w:spacing w:line="360" w:lineRule="auto"/>
              <w:jc w:val="center"/>
              <w:rPr>
                <w:rFonts w:ascii="宋体" w:hAnsi="宋体" w:cs="宋体"/>
                <w:b/>
                <w:bCs/>
                <w:color w:val="auto"/>
                <w:sz w:val="24"/>
                <w:highlight w:val="none"/>
              </w:rPr>
            </w:pPr>
          </w:p>
        </w:tc>
      </w:tr>
    </w:tbl>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pStyle w:val="26"/>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pPr>
        <w:pStyle w:val="28"/>
        <w:tabs>
          <w:tab w:val="left" w:pos="939"/>
        </w:tabs>
        <w:snapToGrid w:val="0"/>
        <w:spacing w:line="400" w:lineRule="exact"/>
        <w:ind w:left="773" w:leftChars="150" w:hanging="458" w:hangingChars="191"/>
        <w:rPr>
          <w:rFonts w:ascii="宋体" w:hAnsi="宋体" w:cs="宋体"/>
          <w:color w:val="auto"/>
          <w:sz w:val="24"/>
          <w:highlight w:val="none"/>
        </w:rPr>
      </w:pPr>
    </w:p>
    <w:p>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965"/>
        <w:spacing w:line="360" w:lineRule="auto"/>
        <w:rPr>
          <w:rFonts w:hAnsi="宋体" w:eastAsia="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pPr>
        <w:spacing w:line="360" w:lineRule="auto"/>
        <w:jc w:val="left"/>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pStyle w:val="965"/>
        <w:spacing w:line="360" w:lineRule="auto"/>
        <w:rPr>
          <w:rFonts w:hAnsi="宋体" w:eastAsia="宋体" w:cs="宋体"/>
          <w:color w:val="auto"/>
          <w:sz w:val="24"/>
          <w:highlight w:val="none"/>
        </w:rPr>
      </w:pPr>
    </w:p>
    <w:p>
      <w:pPr>
        <w:wordWrap w:val="0"/>
        <w:spacing w:before="120" w:beforeLines="50" w:line="360" w:lineRule="auto"/>
        <w:rPr>
          <w:rFonts w:ascii="宋体" w:hAnsi="宋体" w:cs="宋体"/>
          <w:b/>
          <w:color w:val="auto"/>
          <w:sz w:val="28"/>
          <w:szCs w:val="30"/>
          <w:highlight w:val="none"/>
        </w:rPr>
      </w:pPr>
    </w:p>
    <w:p>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4"/>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pPr>
              <w:ind w:firstLine="480"/>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pPr>
              <w:ind w:firstLine="480"/>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pPr>
              <w:rPr>
                <w:rFonts w:ascii="宋体" w:hAnsi="宋体" w:cs="宋体"/>
                <w:color w:val="auto"/>
                <w:sz w:val="22"/>
                <w:szCs w:val="28"/>
                <w:highlight w:val="none"/>
              </w:rPr>
            </w:pPr>
          </w:p>
        </w:tc>
        <w:tc>
          <w:tcPr>
            <w:tcW w:w="1980" w:type="dxa"/>
            <w:vAlign w:val="center"/>
          </w:tcPr>
          <w:p>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pPr>
        <w:wordWrap w:val="0"/>
        <w:spacing w:before="120" w:beforeLines="50"/>
        <w:rPr>
          <w:rFonts w:ascii="宋体" w:hAnsi="宋体" w:cs="宋体"/>
          <w:b/>
          <w:bCs/>
          <w:color w:val="auto"/>
          <w:sz w:val="24"/>
          <w:highlight w:val="none"/>
        </w:rPr>
      </w:pPr>
    </w:p>
    <w:p>
      <w:pPr>
        <w:wordWrap w:val="0"/>
        <w:spacing w:line="360" w:lineRule="auto"/>
        <w:ind w:firstLine="480"/>
        <w:jc w:val="right"/>
        <w:rPr>
          <w:rFonts w:ascii="宋体" w:hAnsi="宋体" w:cs="宋体"/>
          <w:color w:val="auto"/>
          <w:sz w:val="24"/>
          <w:highlight w:val="none"/>
        </w:rPr>
      </w:pPr>
    </w:p>
    <w:p>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965"/>
        <w:spacing w:line="360" w:lineRule="auto"/>
        <w:jc w:val="left"/>
        <w:rPr>
          <w:rFonts w:hAnsi="宋体" w:eastAsia="宋体" w:cs="宋体"/>
          <w:color w:val="auto"/>
          <w:sz w:val="24"/>
          <w:szCs w:val="24"/>
          <w:highlight w:val="none"/>
        </w:rPr>
      </w:pPr>
      <w:r>
        <w:rPr>
          <w:rFonts w:hint="eastAsia" w:hAnsi="宋体" w:eastAsia="宋体" w:cs="宋体"/>
          <w:color w:val="auto"/>
          <w:sz w:val="24"/>
          <w:szCs w:val="24"/>
          <w:highlight w:val="none"/>
          <w:lang w:bidi="ar"/>
        </w:rPr>
        <w:t>日期：_____年____月____日</w:t>
      </w:r>
    </w:p>
    <w:p>
      <w:pPr>
        <w:pStyle w:val="965"/>
        <w:spacing w:line="360" w:lineRule="auto"/>
        <w:jc w:val="center"/>
        <w:rPr>
          <w:rFonts w:hAnsi="宋体" w:eastAsia="宋体" w:cs="宋体"/>
          <w:b/>
          <w:color w:val="auto"/>
          <w:sz w:val="24"/>
          <w:szCs w:val="24"/>
          <w:highlight w:val="none"/>
        </w:rPr>
      </w:pPr>
    </w:p>
    <w:p>
      <w:pPr>
        <w:pStyle w:val="965"/>
        <w:spacing w:line="360" w:lineRule="auto"/>
        <w:jc w:val="center"/>
        <w:rPr>
          <w:rFonts w:hAnsi="宋体" w:eastAsia="宋体" w:cs="宋体"/>
          <w:b/>
          <w:color w:val="auto"/>
          <w:sz w:val="24"/>
          <w:szCs w:val="24"/>
          <w:highlight w:val="none"/>
        </w:rPr>
      </w:pPr>
    </w:p>
    <w:p>
      <w:pPr>
        <w:pStyle w:val="965"/>
        <w:spacing w:line="360" w:lineRule="auto"/>
        <w:jc w:val="center"/>
        <w:rPr>
          <w:rFonts w:hAnsi="宋体" w:eastAsia="宋体" w:cs="宋体"/>
          <w:b/>
          <w:color w:val="auto"/>
          <w:sz w:val="24"/>
          <w:szCs w:val="24"/>
          <w:highlight w:val="none"/>
        </w:rPr>
      </w:pPr>
    </w:p>
    <w:p>
      <w:pPr>
        <w:pStyle w:val="965"/>
        <w:spacing w:line="360" w:lineRule="auto"/>
        <w:jc w:val="center"/>
        <w:rPr>
          <w:rFonts w:hAnsi="宋体" w:eastAsia="宋体" w:cs="宋体"/>
          <w:b/>
          <w:color w:val="auto"/>
          <w:sz w:val="24"/>
          <w:szCs w:val="24"/>
          <w:highlight w:val="none"/>
        </w:rPr>
      </w:pPr>
    </w:p>
    <w:p>
      <w:pPr>
        <w:pStyle w:val="965"/>
        <w:spacing w:line="360" w:lineRule="auto"/>
        <w:jc w:val="center"/>
        <w:rPr>
          <w:rFonts w:hAnsi="宋体" w:eastAsia="宋体" w:cs="宋体"/>
          <w:b/>
          <w:color w:val="auto"/>
          <w:sz w:val="24"/>
          <w:szCs w:val="24"/>
          <w:highlight w:val="none"/>
        </w:rPr>
      </w:pPr>
    </w:p>
    <w:p>
      <w:pPr>
        <w:pStyle w:val="965"/>
        <w:spacing w:line="360" w:lineRule="auto"/>
        <w:jc w:val="center"/>
        <w:rPr>
          <w:rFonts w:hAnsi="宋体" w:eastAsia="宋体" w:cs="宋体"/>
          <w:b/>
          <w:color w:val="auto"/>
          <w:sz w:val="24"/>
          <w:szCs w:val="24"/>
          <w:highlight w:val="none"/>
        </w:rPr>
      </w:pPr>
    </w:p>
    <w:p>
      <w:pPr>
        <w:pStyle w:val="965"/>
        <w:spacing w:line="360" w:lineRule="auto"/>
        <w:rPr>
          <w:rFonts w:hAnsi="宋体" w:eastAsia="宋体" w:cs="宋体"/>
          <w:b/>
          <w:color w:val="auto"/>
          <w:sz w:val="24"/>
          <w:szCs w:val="24"/>
          <w:highlight w:val="none"/>
        </w:rPr>
      </w:pPr>
    </w:p>
    <w:p>
      <w:pPr>
        <w:pStyle w:val="965"/>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同类业绩一览表</w:t>
      </w:r>
    </w:p>
    <w:tbl>
      <w:tblPr>
        <w:tblStyle w:val="64"/>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pPr>
              <w:tabs>
                <w:tab w:val="left" w:pos="6252"/>
              </w:tabs>
              <w:jc w:val="center"/>
              <w:rPr>
                <w:rFonts w:ascii="宋体" w:hAnsi="宋体"/>
                <w:bCs/>
                <w:color w:val="auto"/>
                <w:szCs w:val="21"/>
                <w:highlight w:val="none"/>
              </w:rPr>
            </w:pPr>
            <w:r>
              <w:rPr>
                <w:rFonts w:hint="eastAsia"/>
                <w:bCs/>
                <w:color w:val="auto"/>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bl>
    <w:p>
      <w:pPr>
        <w:pStyle w:val="965"/>
        <w:spacing w:line="360" w:lineRule="auto"/>
        <w:rPr>
          <w:rFonts w:hAnsi="宋体" w:eastAsia="宋体"/>
          <w:b/>
          <w:color w:val="auto"/>
          <w:sz w:val="21"/>
          <w:szCs w:val="21"/>
          <w:highlight w:val="none"/>
        </w:rPr>
      </w:pPr>
      <w:r>
        <w:rPr>
          <w:rFonts w:hint="eastAsia" w:hAnsi="宋体" w:eastAsia="宋体"/>
          <w:b/>
          <w:color w:val="auto"/>
          <w:sz w:val="21"/>
          <w:szCs w:val="21"/>
          <w:highlight w:val="none"/>
        </w:rPr>
        <w:t>注：投标人同类项目</w:t>
      </w:r>
      <w:r>
        <w:rPr>
          <w:rFonts w:hint="eastAsia" w:hAnsi="宋体" w:eastAsia="宋体"/>
          <w:b/>
          <w:color w:val="auto"/>
          <w:sz w:val="21"/>
          <w:szCs w:val="21"/>
          <w:highlight w:val="none"/>
          <w:lang w:val="en-US" w:eastAsia="zh-CN"/>
        </w:rPr>
        <w:t>业绩</w:t>
      </w:r>
      <w:r>
        <w:rPr>
          <w:rFonts w:hint="eastAsia" w:hAnsi="宋体" w:eastAsia="宋体"/>
          <w:b/>
          <w:color w:val="auto"/>
          <w:sz w:val="21"/>
          <w:szCs w:val="21"/>
          <w:highlight w:val="none"/>
        </w:rPr>
        <w:t>得分以本表为准，后附相关证明材料，所需的证明材料要求详见评标办法。</w:t>
      </w:r>
    </w:p>
    <w:p>
      <w:pPr>
        <w:pStyle w:val="965"/>
        <w:spacing w:line="360" w:lineRule="auto"/>
        <w:rPr>
          <w:rFonts w:hAnsi="宋体" w:eastAsia="宋体"/>
          <w:b/>
          <w:color w:val="auto"/>
          <w:sz w:val="24"/>
          <w:szCs w:val="24"/>
          <w:highlight w:val="none"/>
        </w:rPr>
      </w:pPr>
    </w:p>
    <w:p>
      <w:pPr>
        <w:pStyle w:val="965"/>
        <w:spacing w:line="360" w:lineRule="auto"/>
        <w:rPr>
          <w:rFonts w:hAnsi="宋体" w:eastAsia="宋体"/>
          <w:b/>
          <w:color w:val="auto"/>
          <w:sz w:val="24"/>
          <w:szCs w:val="24"/>
          <w:highlight w:val="none"/>
        </w:rPr>
      </w:pPr>
    </w:p>
    <w:p>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color w:val="auto"/>
          <w:sz w:val="24"/>
          <w:highlight w:val="none"/>
        </w:rPr>
      </w:pPr>
    </w:p>
    <w:p>
      <w:pPr>
        <w:pStyle w:val="4"/>
        <w:rPr>
          <w:rFonts w:ascii="宋体" w:hAnsi="宋体" w:cs="宋体"/>
          <w:color w:val="auto"/>
          <w:sz w:val="24"/>
          <w:highlight w:val="none"/>
        </w:rPr>
      </w:pPr>
    </w:p>
    <w:p>
      <w:pPr>
        <w:rPr>
          <w:color w:val="auto"/>
          <w:highlight w:val="none"/>
        </w:rPr>
      </w:pPr>
    </w:p>
    <w:p>
      <w:pPr>
        <w:pStyle w:val="84"/>
        <w:ind w:left="420" w:firstLine="480"/>
        <w:rPr>
          <w:color w:val="auto"/>
          <w:highlight w:val="none"/>
        </w:rPr>
      </w:pPr>
    </w:p>
    <w:p>
      <w:pPr>
        <w:pStyle w:val="965"/>
        <w:spacing w:line="360" w:lineRule="auto"/>
        <w:jc w:val="center"/>
        <w:rPr>
          <w:rFonts w:hAnsi="宋体" w:eastAsia="宋体"/>
          <w:b/>
          <w:color w:val="auto"/>
          <w:sz w:val="28"/>
          <w:szCs w:val="28"/>
          <w:highlight w:val="none"/>
        </w:rPr>
      </w:pPr>
    </w:p>
    <w:p>
      <w:pPr>
        <w:pStyle w:val="34"/>
        <w:spacing w:before="120" w:after="120" w:line="360" w:lineRule="auto"/>
        <w:jc w:val="center"/>
        <w:textAlignment w:val="baseline"/>
        <w:rPr>
          <w:rFonts w:hAnsi="宋体"/>
          <w:b/>
          <w:color w:val="auto"/>
          <w:sz w:val="28"/>
          <w:szCs w:val="28"/>
          <w:highlight w:val="none"/>
        </w:rPr>
      </w:pPr>
    </w:p>
    <w:p>
      <w:pPr>
        <w:pStyle w:val="34"/>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4"/>
        <w:tblW w:w="91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912"/>
        <w:gridCol w:w="970"/>
        <w:gridCol w:w="709"/>
        <w:gridCol w:w="1254"/>
        <w:gridCol w:w="1557"/>
        <w:gridCol w:w="1350"/>
        <w:gridCol w:w="16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91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姓名</w:t>
            </w:r>
          </w:p>
        </w:tc>
        <w:tc>
          <w:tcPr>
            <w:tcW w:w="97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拟从事本项目岗位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年龄</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性别</w:t>
            </w:r>
          </w:p>
        </w:tc>
        <w:tc>
          <w:tcPr>
            <w:tcW w:w="1557"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职称/职务</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b w:val="0"/>
                <w:bCs w:val="0"/>
                <w:color w:val="auto"/>
                <w:highlight w:val="none"/>
              </w:rPr>
            </w:pPr>
            <w:r>
              <w:rPr>
                <w:rFonts w:hint="eastAsia"/>
                <w:b w:val="0"/>
                <w:bCs w:val="0"/>
                <w:color w:val="auto"/>
                <w:highlight w:val="none"/>
              </w:rPr>
              <w:t>专业/</w:t>
            </w:r>
          </w:p>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年限</w:t>
            </w:r>
          </w:p>
        </w:tc>
        <w:tc>
          <w:tcPr>
            <w:tcW w:w="1638"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b w:val="0"/>
                <w:bCs w:val="0"/>
                <w:color w:val="auto"/>
                <w:sz w:val="21"/>
                <w:szCs w:val="21"/>
                <w:highlight w:val="none"/>
              </w:rPr>
            </w:pPr>
            <w:r>
              <w:rPr>
                <w:rFonts w:hint="eastAsia"/>
                <w:b w:val="0"/>
                <w:bCs w:val="0"/>
                <w:color w:val="auto"/>
                <w:highlight w:val="none"/>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912"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912"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912"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912"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912"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w:t>
            </w:r>
          </w:p>
        </w:tc>
        <w:tc>
          <w:tcPr>
            <w:tcW w:w="91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63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37"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一旦我单位中标，我方保证并配备上述项目服务人员。上述填报内容真实，若不真实，愿按有关规定接受处理。</w:t>
            </w:r>
          </w:p>
        </w:tc>
      </w:tr>
    </w:tbl>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注：1、相关证明材料附后，所需的证明材料要求详见评标办法。</w:t>
      </w:r>
    </w:p>
    <w:p>
      <w:pPr>
        <w:spacing w:line="360" w:lineRule="auto"/>
        <w:ind w:firstLine="422" w:firstLineChars="200"/>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2、列入本表人员如要更换，需经招标人同意；擅自更换或不到位属违约行为</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、表格不够填写可添加。</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84"/>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pPr>
        <w:pStyle w:val="84"/>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pPr>
        <w:pStyle w:val="84"/>
        <w:ind w:left="420" w:firstLine="0" w:firstLineChars="0"/>
        <w:rPr>
          <w:rFonts w:ascii="宋体" w:hAnsi="宋体"/>
          <w:b/>
          <w:color w:val="auto"/>
          <w:sz w:val="28"/>
          <w:szCs w:val="28"/>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pStyle w:val="26"/>
        <w:ind w:left="0" w:leftChars="0" w:firstLine="0" w:firstLineChars="0"/>
        <w:rPr>
          <w:color w:val="auto"/>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pPr>
        <w:snapToGrid w:val="0"/>
        <w:spacing w:line="360" w:lineRule="auto"/>
        <w:ind w:firstLine="5040" w:firstLineChars="2100"/>
        <w:rPr>
          <w:rFonts w:ascii="宋体" w:hAnsi="宋体" w:cs="宋体"/>
          <w:color w:val="auto"/>
          <w:sz w:val="24"/>
          <w:highlight w:val="none"/>
        </w:rPr>
      </w:pPr>
    </w:p>
    <w:p>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pStyle w:val="24"/>
        <w:rPr>
          <w:rFonts w:hAnsi="宋体" w:cs="宋体"/>
          <w:color w:val="auto"/>
          <w:highlight w:val="none"/>
        </w:rPr>
      </w:pPr>
    </w:p>
    <w:p>
      <w:pPr>
        <w:pStyle w:val="24"/>
        <w:rPr>
          <w:rFonts w:hAnsi="宋体" w:cs="宋体"/>
          <w:color w:val="auto"/>
          <w:highlight w:val="none"/>
        </w:rPr>
      </w:pPr>
    </w:p>
    <w:bookmarkEnd w:id="36"/>
    <w:p>
      <w:pPr>
        <w:snapToGrid w:val="0"/>
        <w:spacing w:before="50" w:after="50"/>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pPr>
        <w:snapToGrid w:val="0"/>
        <w:spacing w:before="50" w:after="50"/>
        <w:jc w:val="center"/>
        <w:rPr>
          <w:rFonts w:ascii="宋体" w:hAnsi="宋体" w:cs="宋体"/>
          <w:b/>
          <w:color w:val="auto"/>
          <w:sz w:val="24"/>
          <w:szCs w:val="20"/>
          <w:highlight w:val="none"/>
        </w:rPr>
      </w:pPr>
    </w:p>
    <w:p>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pPr>
        <w:snapToGrid w:val="0"/>
        <w:spacing w:before="50" w:after="50"/>
        <w:ind w:right="480"/>
        <w:jc w:val="right"/>
        <w:rPr>
          <w:rFonts w:ascii="宋体" w:hAnsi="宋体" w:cs="宋体"/>
          <w:color w:val="auto"/>
          <w:sz w:val="24"/>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pPr>
              <w:snapToGrid w:val="0"/>
              <w:spacing w:before="100" w:beforeAutospacing="1" w:after="100" w:afterAutospacing="1" w:line="276" w:lineRule="auto"/>
              <w:jc w:val="center"/>
              <w:rPr>
                <w:b/>
                <w:color w:val="auto"/>
                <w:szCs w:val="21"/>
                <w:highlight w:val="none"/>
              </w:rPr>
            </w:pPr>
            <w:r>
              <w:rPr>
                <w:rFonts w:hint="eastAsia"/>
                <w:b/>
                <w:color w:val="auto"/>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b/>
                <w:color w:val="auto"/>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小写</w:t>
            </w:r>
          </w:p>
        </w:tc>
      </w:tr>
    </w:tbl>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pPr>
        <w:snapToGrid w:val="0"/>
        <w:spacing w:line="480" w:lineRule="exact"/>
        <w:ind w:firstLine="440" w:firstLineChars="200"/>
        <w:jc w:val="left"/>
        <w:rPr>
          <w:rFonts w:ascii="宋体" w:hAnsi="宋体" w:cs="宋体"/>
          <w:color w:val="auto"/>
          <w:sz w:val="22"/>
          <w:szCs w:val="22"/>
          <w:highlight w:val="none"/>
        </w:rPr>
      </w:pPr>
    </w:p>
    <w:p>
      <w:pPr>
        <w:snapToGrid w:val="0"/>
        <w:spacing w:line="480" w:lineRule="exact"/>
        <w:ind w:firstLine="440" w:firstLineChars="200"/>
        <w:jc w:val="left"/>
        <w:rPr>
          <w:rFonts w:ascii="宋体" w:hAnsi="宋体" w:cs="宋体"/>
          <w:color w:val="auto"/>
          <w:sz w:val="22"/>
          <w:szCs w:val="22"/>
          <w:highlight w:val="none"/>
        </w:rPr>
      </w:pPr>
    </w:p>
    <w:p>
      <w:pPr>
        <w:snapToGrid w:val="0"/>
        <w:spacing w:line="480" w:lineRule="exact"/>
        <w:ind w:left="-3" w:leftChars="-72" w:right="-817" w:rightChars="-389" w:hanging="148" w:hangingChars="62"/>
        <w:rPr>
          <w:rFonts w:ascii="宋体" w:hAnsi="宋体" w:cs="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5"/>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hAnsi="宋体" w:cs="宋体"/>
          <w:color w:val="auto"/>
          <w:sz w:val="24"/>
          <w:highlight w:val="none"/>
        </w:rPr>
      </w:pPr>
      <w:r>
        <w:rPr>
          <w:rFonts w:hint="eastAsia" w:hAnsi="宋体" w:cs="宋体"/>
          <w:color w:val="auto"/>
          <w:sz w:val="24"/>
          <w:highlight w:val="none"/>
        </w:rPr>
        <w:t>日期：_____年____月____日</w:t>
      </w:r>
    </w:p>
    <w:p>
      <w:pPr>
        <w:pStyle w:val="24"/>
        <w:rPr>
          <w:rFonts w:ascii="宋体" w:hAnsi="宋体" w:cs="宋体"/>
          <w:color w:val="auto"/>
          <w:sz w:val="24"/>
          <w:highlight w:val="none"/>
        </w:rPr>
      </w:pPr>
    </w:p>
    <w:p>
      <w:pPr>
        <w:pStyle w:val="25"/>
        <w:rPr>
          <w:rFonts w:ascii="宋体" w:hAnsi="宋体" w:cs="宋体"/>
          <w:color w:val="auto"/>
          <w:sz w:val="24"/>
          <w:highlight w:val="none"/>
        </w:rPr>
      </w:pPr>
    </w:p>
    <w:p>
      <w:pPr>
        <w:rPr>
          <w:rFonts w:ascii="宋体" w:hAnsi="宋体" w:cs="宋体"/>
          <w:color w:val="auto"/>
          <w:sz w:val="24"/>
          <w:highlight w:val="none"/>
        </w:rPr>
      </w:pPr>
    </w:p>
    <w:p>
      <w:pPr>
        <w:pStyle w:val="24"/>
        <w:rPr>
          <w:rFonts w:ascii="宋体" w:hAnsi="宋体" w:cs="宋体"/>
          <w:color w:val="auto"/>
          <w:sz w:val="24"/>
          <w:highlight w:val="none"/>
        </w:rPr>
      </w:pPr>
    </w:p>
    <w:p>
      <w:pPr>
        <w:pStyle w:val="25"/>
        <w:rPr>
          <w:rFonts w:ascii="宋体" w:hAnsi="宋体" w:cs="宋体"/>
          <w:color w:val="auto"/>
          <w:sz w:val="24"/>
          <w:highlight w:val="none"/>
        </w:rPr>
      </w:pPr>
    </w:p>
    <w:p>
      <w:pPr>
        <w:rPr>
          <w:rFonts w:ascii="宋体" w:hAnsi="宋体" w:cs="宋体"/>
          <w:color w:val="auto"/>
          <w:sz w:val="24"/>
          <w:highlight w:val="none"/>
        </w:rPr>
      </w:pPr>
    </w:p>
    <w:p>
      <w:pPr>
        <w:pStyle w:val="24"/>
        <w:rPr>
          <w:rFonts w:ascii="宋体" w:hAnsi="宋体" w:cs="宋体"/>
          <w:color w:val="auto"/>
          <w:sz w:val="24"/>
          <w:highlight w:val="none"/>
        </w:rPr>
      </w:pPr>
    </w:p>
    <w:p>
      <w:pPr>
        <w:pStyle w:val="25"/>
        <w:rPr>
          <w:color w:val="auto"/>
          <w:highlight w:val="none"/>
        </w:rPr>
      </w:pPr>
    </w:p>
    <w:p>
      <w:pPr>
        <w:rPr>
          <w:color w:val="auto"/>
          <w:highlight w:val="none"/>
        </w:rPr>
      </w:pPr>
    </w:p>
    <w:p>
      <w:pPr>
        <w:pStyle w:val="2"/>
        <w:rPr>
          <w:color w:val="auto"/>
          <w:highlight w:val="none"/>
        </w:rPr>
      </w:pPr>
    </w:p>
    <w:p>
      <w:pPr>
        <w:pStyle w:val="2"/>
        <w:rPr>
          <w:color w:val="auto"/>
          <w:highlight w:val="none"/>
        </w:rPr>
      </w:pPr>
    </w:p>
    <w:p>
      <w:pPr>
        <w:widowControl/>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投标报价明细表</w:t>
      </w:r>
    </w:p>
    <w:p>
      <w:pPr>
        <w:pStyle w:val="2"/>
        <w:ind w:left="0" w:leftChars="0" w:firstLine="0" w:firstLineChars="0"/>
        <w:rPr>
          <w:color w:val="auto"/>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bCs/>
          <w:color w:val="auto"/>
          <w:sz w:val="24"/>
          <w:highlight w:val="none"/>
        </w:rPr>
        <w:t xml:space="preserve">                                  单位：人民币元</w:t>
      </w:r>
    </w:p>
    <w:tbl>
      <w:tblPr>
        <w:tblStyle w:val="64"/>
        <w:tblpPr w:leftFromText="180" w:rightFromText="180" w:vertAnchor="text" w:horzAnchor="margin" w:tblpY="55"/>
        <w:tblW w:w="94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410"/>
        <w:gridCol w:w="626"/>
        <w:gridCol w:w="785"/>
        <w:gridCol w:w="1406"/>
        <w:gridCol w:w="1207"/>
        <w:gridCol w:w="1418"/>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trPr>
        <w:tc>
          <w:tcPr>
            <w:tcW w:w="817" w:type="dxa"/>
            <w:vAlign w:val="center"/>
          </w:tcPr>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序号</w:t>
            </w:r>
          </w:p>
        </w:tc>
        <w:tc>
          <w:tcPr>
            <w:tcW w:w="2410" w:type="dxa"/>
            <w:vAlign w:val="center"/>
          </w:tcPr>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名 称</w:t>
            </w:r>
          </w:p>
        </w:tc>
        <w:tc>
          <w:tcPr>
            <w:tcW w:w="626" w:type="dxa"/>
            <w:vAlign w:val="center"/>
          </w:tcPr>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单位</w:t>
            </w:r>
          </w:p>
        </w:tc>
        <w:tc>
          <w:tcPr>
            <w:tcW w:w="785" w:type="dxa"/>
            <w:vAlign w:val="center"/>
          </w:tcPr>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数量</w:t>
            </w:r>
          </w:p>
        </w:tc>
        <w:tc>
          <w:tcPr>
            <w:tcW w:w="1406" w:type="dxa"/>
            <w:vAlign w:val="center"/>
          </w:tcPr>
          <w:p>
            <w:pPr>
              <w:widowControl w:val="0"/>
              <w:spacing w:line="300" w:lineRule="exact"/>
              <w:jc w:val="center"/>
              <w:rPr>
                <w:rFonts w:hint="eastAsia" w:ascii="宋体" w:eastAsia="宋体"/>
                <w:color w:val="auto"/>
                <w:kern w:val="2"/>
                <w:sz w:val="21"/>
                <w:szCs w:val="21"/>
                <w:highlight w:val="none"/>
                <w:lang w:eastAsia="zh-CN"/>
              </w:rPr>
            </w:pPr>
            <w:r>
              <w:rPr>
                <w:rFonts w:hint="eastAsia" w:ascii="宋体"/>
                <w:color w:val="auto"/>
                <w:kern w:val="2"/>
                <w:sz w:val="21"/>
                <w:szCs w:val="21"/>
                <w:highlight w:val="none"/>
                <w:lang w:eastAsia="zh-CN"/>
              </w:rPr>
              <w:t>员工工资（万元</w:t>
            </w:r>
            <w:r>
              <w:rPr>
                <w:rFonts w:hint="eastAsia" w:ascii="宋体"/>
                <w:color w:val="auto"/>
                <w:kern w:val="2"/>
                <w:sz w:val="21"/>
                <w:szCs w:val="21"/>
                <w:highlight w:val="none"/>
                <w:lang w:val="en-US" w:eastAsia="zh-CN"/>
              </w:rPr>
              <w:t>/年/人</w:t>
            </w:r>
            <w:r>
              <w:rPr>
                <w:rFonts w:hint="eastAsia" w:ascii="宋体"/>
                <w:color w:val="auto"/>
                <w:kern w:val="2"/>
                <w:sz w:val="21"/>
                <w:szCs w:val="21"/>
                <w:highlight w:val="none"/>
                <w:lang w:eastAsia="zh-CN"/>
              </w:rPr>
              <w:t>）</w:t>
            </w:r>
          </w:p>
        </w:tc>
        <w:tc>
          <w:tcPr>
            <w:tcW w:w="1207" w:type="dxa"/>
            <w:vAlign w:val="center"/>
          </w:tcPr>
          <w:p>
            <w:pPr>
              <w:widowControl w:val="0"/>
              <w:spacing w:line="300" w:lineRule="exact"/>
              <w:jc w:val="center"/>
              <w:rPr>
                <w:rFonts w:hint="eastAsia" w:ascii="宋体" w:eastAsia="宋体"/>
                <w:color w:val="auto"/>
                <w:kern w:val="2"/>
                <w:sz w:val="21"/>
                <w:szCs w:val="21"/>
                <w:highlight w:val="none"/>
                <w:lang w:eastAsia="zh-CN"/>
              </w:rPr>
            </w:pPr>
            <w:r>
              <w:rPr>
                <w:rFonts w:ascii="宋体"/>
                <w:color w:val="auto"/>
                <w:kern w:val="2"/>
                <w:sz w:val="21"/>
                <w:szCs w:val="21"/>
                <w:highlight w:val="none"/>
              </w:rPr>
              <w:t>管</w:t>
            </w:r>
            <w:r>
              <w:rPr>
                <w:rFonts w:hint="eastAsia" w:ascii="宋体"/>
                <w:color w:val="auto"/>
                <w:kern w:val="2"/>
                <w:sz w:val="21"/>
                <w:szCs w:val="21"/>
                <w:highlight w:val="none"/>
              </w:rPr>
              <w:t>理</w:t>
            </w:r>
            <w:r>
              <w:rPr>
                <w:rFonts w:ascii="宋体"/>
                <w:color w:val="auto"/>
                <w:kern w:val="2"/>
                <w:sz w:val="21"/>
                <w:szCs w:val="21"/>
                <w:highlight w:val="none"/>
              </w:rPr>
              <w:t>费</w:t>
            </w:r>
            <w:r>
              <w:rPr>
                <w:rFonts w:hint="eastAsia" w:ascii="宋体"/>
                <w:color w:val="auto"/>
                <w:kern w:val="2"/>
                <w:sz w:val="21"/>
                <w:szCs w:val="21"/>
                <w:highlight w:val="none"/>
                <w:lang w:eastAsia="zh-CN"/>
              </w:rPr>
              <w:t>（元</w:t>
            </w:r>
            <w:r>
              <w:rPr>
                <w:rFonts w:hint="eastAsia" w:ascii="宋体"/>
                <w:color w:val="auto"/>
                <w:kern w:val="2"/>
                <w:sz w:val="21"/>
                <w:szCs w:val="21"/>
                <w:highlight w:val="none"/>
                <w:lang w:val="en-US" w:eastAsia="zh-CN"/>
              </w:rPr>
              <w:t>/月/人</w:t>
            </w:r>
            <w:r>
              <w:rPr>
                <w:rFonts w:hint="eastAsia" w:ascii="宋体"/>
                <w:color w:val="auto"/>
                <w:kern w:val="2"/>
                <w:sz w:val="21"/>
                <w:szCs w:val="21"/>
                <w:highlight w:val="none"/>
                <w:lang w:eastAsia="zh-CN"/>
              </w:rPr>
              <w:t>）</w:t>
            </w:r>
          </w:p>
        </w:tc>
        <w:tc>
          <w:tcPr>
            <w:tcW w:w="1418" w:type="dxa"/>
            <w:vAlign w:val="center"/>
          </w:tcPr>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年</w:t>
            </w:r>
            <w:r>
              <w:rPr>
                <w:rFonts w:hint="eastAsia" w:ascii="宋体"/>
                <w:color w:val="auto"/>
                <w:kern w:val="2"/>
                <w:sz w:val="21"/>
                <w:szCs w:val="21"/>
                <w:highlight w:val="none"/>
              </w:rPr>
              <w:t>度</w:t>
            </w:r>
            <w:r>
              <w:rPr>
                <w:rFonts w:ascii="宋体"/>
                <w:color w:val="auto"/>
                <w:kern w:val="2"/>
                <w:sz w:val="21"/>
                <w:szCs w:val="21"/>
                <w:highlight w:val="none"/>
              </w:rPr>
              <w:t>金额小计</w:t>
            </w:r>
          </w:p>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（元）</w:t>
            </w:r>
          </w:p>
        </w:tc>
        <w:tc>
          <w:tcPr>
            <w:tcW w:w="799" w:type="dxa"/>
            <w:vAlign w:val="center"/>
          </w:tcPr>
          <w:p>
            <w:pPr>
              <w:widowControl w:val="0"/>
              <w:spacing w:line="300" w:lineRule="exact"/>
              <w:jc w:val="center"/>
              <w:rPr>
                <w:rFonts w:ascii="宋体"/>
                <w:color w:val="auto"/>
                <w:kern w:val="2"/>
                <w:sz w:val="21"/>
                <w:szCs w:val="21"/>
                <w:highlight w:val="none"/>
              </w:rPr>
            </w:pPr>
            <w:r>
              <w:rPr>
                <w:rFonts w:ascii="宋体"/>
                <w:color w:val="auto"/>
                <w:kern w:val="2"/>
                <w:sz w:val="21"/>
                <w:szCs w:val="21"/>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817" w:type="dxa"/>
            <w:vAlign w:val="center"/>
          </w:tcPr>
          <w:p>
            <w:pP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p>
        </w:tc>
        <w:tc>
          <w:tcPr>
            <w:tcW w:w="2410" w:type="dxa"/>
            <w:vAlign w:val="center"/>
          </w:tcPr>
          <w:p>
            <w:pPr>
              <w:jc w:val="center"/>
              <w:textAlignment w:val="center"/>
              <w:rPr>
                <w:rFonts w:hAnsi="宋体"/>
                <w:color w:val="auto"/>
                <w:sz w:val="32"/>
                <w:szCs w:val="32"/>
                <w:highlight w:val="none"/>
              </w:rPr>
            </w:pPr>
            <w:r>
              <w:rPr>
                <w:rFonts w:hint="eastAsia" w:hAnsi="宋体"/>
                <w:color w:val="auto"/>
                <w:sz w:val="24"/>
                <w:szCs w:val="24"/>
                <w:highlight w:val="none"/>
              </w:rPr>
              <w:t>急救车驾驶员</w:t>
            </w:r>
          </w:p>
        </w:tc>
        <w:tc>
          <w:tcPr>
            <w:tcW w:w="626" w:type="dxa"/>
            <w:vAlign w:val="center"/>
          </w:tcPr>
          <w:p>
            <w:pP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人</w:t>
            </w:r>
          </w:p>
        </w:tc>
        <w:tc>
          <w:tcPr>
            <w:tcW w:w="785" w:type="dxa"/>
            <w:vAlign w:val="center"/>
          </w:tcPr>
          <w:p>
            <w:pPr>
              <w:jc w:val="center"/>
              <w:textAlignment w:val="center"/>
              <w:rPr>
                <w:rFonts w:hint="default" w:eastAsia="宋体" w:asciiTheme="minorEastAsia" w:hAnsiTheme="minorEastAsia"/>
                <w:color w:val="auto"/>
                <w:sz w:val="21"/>
                <w:szCs w:val="32"/>
                <w:highlight w:val="none"/>
                <w:lang w:val="en-US" w:eastAsia="zh-CN"/>
              </w:rPr>
            </w:pPr>
            <w:r>
              <w:rPr>
                <w:rFonts w:hint="eastAsia" w:ascii="宋体" w:hAnsi="宋体" w:cs="宋体"/>
                <w:color w:val="auto"/>
                <w:sz w:val="21"/>
                <w:szCs w:val="22"/>
                <w:highlight w:val="none"/>
                <w:lang w:val="en-US" w:eastAsia="zh-CN"/>
              </w:rPr>
              <w:t>35</w:t>
            </w:r>
          </w:p>
        </w:tc>
        <w:tc>
          <w:tcPr>
            <w:tcW w:w="1406" w:type="dxa"/>
            <w:vAlign w:val="center"/>
          </w:tcPr>
          <w:p>
            <w:pPr>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10</w:t>
            </w:r>
          </w:p>
        </w:tc>
        <w:tc>
          <w:tcPr>
            <w:tcW w:w="1207" w:type="dxa"/>
            <w:vAlign w:val="center"/>
          </w:tcPr>
          <w:p>
            <w:pPr>
              <w:jc w:val="center"/>
              <w:rPr>
                <w:rFonts w:asciiTheme="minorEastAsia" w:hAnsiTheme="minorEastAsia" w:eastAsiaTheme="minorEastAsia"/>
                <w:color w:val="auto"/>
                <w:sz w:val="21"/>
                <w:szCs w:val="21"/>
                <w:highlight w:val="none"/>
              </w:rPr>
            </w:pPr>
          </w:p>
        </w:tc>
        <w:tc>
          <w:tcPr>
            <w:tcW w:w="1418" w:type="dxa"/>
            <w:vAlign w:val="center"/>
          </w:tcPr>
          <w:p>
            <w:pPr>
              <w:jc w:val="center"/>
              <w:rPr>
                <w:rFonts w:hint="default" w:asciiTheme="minorEastAsia" w:hAnsiTheme="minorEastAsia" w:eastAsiaTheme="minorEastAsia"/>
                <w:color w:val="auto"/>
                <w:sz w:val="21"/>
                <w:szCs w:val="21"/>
                <w:highlight w:val="none"/>
                <w:lang w:val="en-US" w:eastAsia="zh-CN"/>
              </w:rPr>
            </w:pPr>
          </w:p>
        </w:tc>
        <w:tc>
          <w:tcPr>
            <w:tcW w:w="799" w:type="dxa"/>
            <w:vAlign w:val="center"/>
          </w:tcPr>
          <w:p>
            <w:pPr>
              <w:jc w:val="center"/>
              <w:rPr>
                <w:rFonts w:asciiTheme="minorEastAsia" w:hAnsiTheme="minorEastAsia" w:eastAsia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817" w:type="dxa"/>
            <w:vAlign w:val="center"/>
          </w:tcPr>
          <w:p>
            <w:pP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p>
        </w:tc>
        <w:tc>
          <w:tcPr>
            <w:tcW w:w="2410" w:type="dxa"/>
            <w:vAlign w:val="center"/>
          </w:tcPr>
          <w:p>
            <w:pPr>
              <w:jc w:val="center"/>
              <w:textAlignment w:val="center"/>
              <w:rPr>
                <w:rFonts w:hAnsi="宋体"/>
                <w:color w:val="auto"/>
                <w:sz w:val="32"/>
                <w:szCs w:val="32"/>
                <w:highlight w:val="none"/>
              </w:rPr>
            </w:pPr>
            <w:r>
              <w:rPr>
                <w:rFonts w:hint="eastAsia" w:hAnsi="宋体"/>
                <w:color w:val="auto"/>
                <w:sz w:val="24"/>
                <w:szCs w:val="24"/>
                <w:highlight w:val="none"/>
              </w:rPr>
              <w:t>担架工</w:t>
            </w:r>
          </w:p>
        </w:tc>
        <w:tc>
          <w:tcPr>
            <w:tcW w:w="626" w:type="dxa"/>
            <w:vAlign w:val="center"/>
          </w:tcPr>
          <w:p>
            <w:pP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人</w:t>
            </w:r>
          </w:p>
        </w:tc>
        <w:tc>
          <w:tcPr>
            <w:tcW w:w="785" w:type="dxa"/>
            <w:vAlign w:val="center"/>
          </w:tcPr>
          <w:p>
            <w:pPr>
              <w:jc w:val="center"/>
              <w:textAlignment w:val="center"/>
              <w:rPr>
                <w:rFonts w:hint="default" w:eastAsia="宋体" w:asciiTheme="minorEastAsia" w:hAnsiTheme="minorEastAsia"/>
                <w:color w:val="auto"/>
                <w:sz w:val="21"/>
                <w:szCs w:val="32"/>
                <w:highlight w:val="none"/>
                <w:lang w:val="en-US" w:eastAsia="zh-CN"/>
              </w:rPr>
            </w:pPr>
            <w:r>
              <w:rPr>
                <w:rFonts w:hint="eastAsia" w:ascii="宋体" w:hAnsi="宋体" w:cs="宋体"/>
                <w:color w:val="auto"/>
                <w:sz w:val="21"/>
                <w:szCs w:val="22"/>
                <w:highlight w:val="none"/>
                <w:lang w:val="en-US" w:eastAsia="zh-CN"/>
              </w:rPr>
              <w:t>30</w:t>
            </w:r>
          </w:p>
        </w:tc>
        <w:tc>
          <w:tcPr>
            <w:tcW w:w="1406" w:type="dxa"/>
            <w:vAlign w:val="center"/>
          </w:tcPr>
          <w:p>
            <w:pPr>
              <w:jc w:val="cente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8</w:t>
            </w:r>
          </w:p>
        </w:tc>
        <w:tc>
          <w:tcPr>
            <w:tcW w:w="1207" w:type="dxa"/>
            <w:vAlign w:val="center"/>
          </w:tcPr>
          <w:p>
            <w:pPr>
              <w:jc w:val="center"/>
              <w:rPr>
                <w:rFonts w:hint="default" w:asciiTheme="minorEastAsia" w:hAnsiTheme="minorEastAsia" w:eastAsiaTheme="minorEastAsia"/>
                <w:color w:val="auto"/>
                <w:sz w:val="21"/>
                <w:szCs w:val="21"/>
                <w:highlight w:val="none"/>
                <w:lang w:val="en-US" w:eastAsia="zh-CN"/>
              </w:rPr>
            </w:pPr>
          </w:p>
        </w:tc>
        <w:tc>
          <w:tcPr>
            <w:tcW w:w="1418" w:type="dxa"/>
            <w:vAlign w:val="center"/>
          </w:tcPr>
          <w:p>
            <w:pPr>
              <w:jc w:val="center"/>
              <w:rPr>
                <w:rFonts w:hint="default" w:asciiTheme="minorEastAsia" w:hAnsiTheme="minorEastAsia" w:eastAsiaTheme="minorEastAsia"/>
                <w:color w:val="auto"/>
                <w:sz w:val="21"/>
                <w:szCs w:val="21"/>
                <w:highlight w:val="none"/>
                <w:lang w:val="en-US" w:eastAsia="zh-CN"/>
              </w:rPr>
            </w:pPr>
          </w:p>
        </w:tc>
        <w:tc>
          <w:tcPr>
            <w:tcW w:w="799" w:type="dxa"/>
            <w:vAlign w:val="center"/>
          </w:tcPr>
          <w:p>
            <w:pPr>
              <w:jc w:val="center"/>
              <w:rPr>
                <w:rFonts w:asciiTheme="minorEastAsia" w:hAnsiTheme="minorEastAsia" w:eastAsia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817" w:type="dxa"/>
            <w:vAlign w:val="center"/>
          </w:tcPr>
          <w:p>
            <w:pPr>
              <w:jc w:val="center"/>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w:t>
            </w:r>
          </w:p>
        </w:tc>
        <w:tc>
          <w:tcPr>
            <w:tcW w:w="2410" w:type="dxa"/>
            <w:vAlign w:val="center"/>
          </w:tcPr>
          <w:p>
            <w:pPr>
              <w:jc w:val="center"/>
              <w:textAlignment w:val="center"/>
              <w:rPr>
                <w:rFonts w:hint="eastAsia" w:hAnsi="宋体" w:eastAsia="宋体"/>
                <w:color w:val="0000FF"/>
                <w:sz w:val="24"/>
                <w:szCs w:val="24"/>
                <w:highlight w:val="none"/>
                <w:lang w:eastAsia="zh-CN"/>
              </w:rPr>
            </w:pPr>
            <w:r>
              <w:rPr>
                <w:rFonts w:hint="eastAsia" w:hAnsi="宋体"/>
                <w:color w:val="0000FF"/>
                <w:sz w:val="24"/>
                <w:szCs w:val="24"/>
                <w:highlight w:val="none"/>
              </w:rPr>
              <w:t>调度</w:t>
            </w:r>
            <w:r>
              <w:rPr>
                <w:rFonts w:hint="eastAsia" w:hAnsi="宋体"/>
                <w:color w:val="0000FF"/>
                <w:sz w:val="24"/>
                <w:szCs w:val="24"/>
                <w:highlight w:val="none"/>
                <w:lang w:eastAsia="zh-CN"/>
              </w:rPr>
              <w:t>员</w:t>
            </w:r>
          </w:p>
        </w:tc>
        <w:tc>
          <w:tcPr>
            <w:tcW w:w="626" w:type="dxa"/>
            <w:vAlign w:val="center"/>
          </w:tcPr>
          <w:p>
            <w:pPr>
              <w:jc w:val="center"/>
              <w:rPr>
                <w:rFonts w:asciiTheme="minorEastAsia" w:hAnsiTheme="minorEastAsia" w:eastAsiaTheme="minorEastAsia"/>
                <w:color w:val="0000FF"/>
                <w:sz w:val="21"/>
                <w:szCs w:val="21"/>
                <w:highlight w:val="none"/>
              </w:rPr>
            </w:pPr>
            <w:r>
              <w:rPr>
                <w:rFonts w:asciiTheme="minorEastAsia" w:hAnsiTheme="minorEastAsia" w:eastAsiaTheme="minorEastAsia"/>
                <w:color w:val="0000FF"/>
                <w:sz w:val="21"/>
                <w:szCs w:val="21"/>
                <w:highlight w:val="none"/>
              </w:rPr>
              <w:t>人</w:t>
            </w:r>
          </w:p>
        </w:tc>
        <w:tc>
          <w:tcPr>
            <w:tcW w:w="785" w:type="dxa"/>
            <w:vAlign w:val="center"/>
          </w:tcPr>
          <w:p>
            <w:pPr>
              <w:jc w:val="center"/>
              <w:textAlignment w:val="center"/>
              <w:rPr>
                <w:rFonts w:hint="default" w:ascii="宋体" w:hAnsi="宋体" w:cs="宋体"/>
                <w:color w:val="0000FF"/>
                <w:sz w:val="21"/>
                <w:szCs w:val="22"/>
                <w:highlight w:val="none"/>
                <w:lang w:val="en-US" w:eastAsia="zh-CN"/>
              </w:rPr>
            </w:pPr>
            <w:r>
              <w:rPr>
                <w:rFonts w:hint="eastAsia" w:ascii="宋体" w:hAnsi="宋体" w:cs="宋体"/>
                <w:color w:val="0000FF"/>
                <w:sz w:val="21"/>
                <w:szCs w:val="22"/>
                <w:highlight w:val="none"/>
                <w:lang w:val="en-US" w:eastAsia="zh-CN"/>
              </w:rPr>
              <w:t>14</w:t>
            </w:r>
          </w:p>
        </w:tc>
        <w:tc>
          <w:tcPr>
            <w:tcW w:w="1406" w:type="dxa"/>
            <w:vAlign w:val="center"/>
          </w:tcPr>
          <w:p>
            <w:pPr>
              <w:jc w:val="center"/>
              <w:rPr>
                <w:rFonts w:hint="default" w:asciiTheme="minorEastAsia" w:hAnsiTheme="minorEastAsia" w:eastAsiaTheme="minorEastAsia"/>
                <w:color w:val="0000FF"/>
                <w:sz w:val="21"/>
                <w:szCs w:val="21"/>
                <w:highlight w:val="none"/>
                <w:lang w:val="en-US" w:eastAsia="zh-CN"/>
              </w:rPr>
            </w:pPr>
            <w:r>
              <w:rPr>
                <w:rFonts w:hint="eastAsia" w:asciiTheme="minorEastAsia" w:hAnsiTheme="minorEastAsia" w:eastAsiaTheme="minorEastAsia"/>
                <w:color w:val="0000FF"/>
                <w:sz w:val="21"/>
                <w:szCs w:val="21"/>
                <w:highlight w:val="none"/>
                <w:lang w:val="en-US" w:eastAsia="zh-CN"/>
              </w:rPr>
              <w:t>4</w:t>
            </w:r>
          </w:p>
        </w:tc>
        <w:tc>
          <w:tcPr>
            <w:tcW w:w="1207" w:type="dxa"/>
            <w:vAlign w:val="center"/>
          </w:tcPr>
          <w:p>
            <w:pPr>
              <w:jc w:val="center"/>
              <w:rPr>
                <w:rFonts w:hint="default" w:asciiTheme="minorEastAsia" w:hAnsiTheme="minorEastAsia" w:eastAsiaTheme="minorEastAsia"/>
                <w:color w:val="auto"/>
                <w:sz w:val="21"/>
                <w:szCs w:val="21"/>
                <w:highlight w:val="none"/>
                <w:lang w:val="en-US" w:eastAsia="zh-CN"/>
              </w:rPr>
            </w:pPr>
          </w:p>
        </w:tc>
        <w:tc>
          <w:tcPr>
            <w:tcW w:w="1418" w:type="dxa"/>
            <w:vAlign w:val="center"/>
          </w:tcPr>
          <w:p>
            <w:pPr>
              <w:jc w:val="center"/>
              <w:rPr>
                <w:rFonts w:asciiTheme="minorEastAsia" w:hAnsiTheme="minorEastAsia" w:eastAsiaTheme="minorEastAsia"/>
                <w:color w:val="auto"/>
                <w:sz w:val="21"/>
                <w:szCs w:val="21"/>
                <w:highlight w:val="none"/>
              </w:rPr>
            </w:pPr>
          </w:p>
        </w:tc>
        <w:tc>
          <w:tcPr>
            <w:tcW w:w="799" w:type="dxa"/>
            <w:vAlign w:val="center"/>
          </w:tcPr>
          <w:p>
            <w:pPr>
              <w:jc w:val="center"/>
              <w:rPr>
                <w:rFonts w:asciiTheme="minorEastAsia" w:hAnsiTheme="minorEastAsia" w:eastAsia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227" w:type="dxa"/>
            <w:gridSpan w:val="2"/>
            <w:vAlign w:val="center"/>
          </w:tcPr>
          <w:p>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投标总价（</w:t>
            </w:r>
            <w:r>
              <w:rPr>
                <w:color w:val="auto"/>
                <w:sz w:val="21"/>
                <w:szCs w:val="21"/>
                <w:highlight w:val="none"/>
              </w:rPr>
              <w:t>合计</w:t>
            </w:r>
            <w:r>
              <w:rPr>
                <w:rFonts w:hint="eastAsia"/>
                <w:color w:val="auto"/>
                <w:sz w:val="21"/>
                <w:szCs w:val="21"/>
                <w:highlight w:val="none"/>
                <w:lang w:eastAsia="zh-CN"/>
              </w:rPr>
              <w:t>）</w:t>
            </w:r>
          </w:p>
        </w:tc>
        <w:tc>
          <w:tcPr>
            <w:tcW w:w="6241" w:type="dxa"/>
            <w:gridSpan w:val="6"/>
            <w:vAlign w:val="center"/>
          </w:tcPr>
          <w:p>
            <w:pPr>
              <w:rPr>
                <w:color w:val="auto"/>
                <w:sz w:val="21"/>
                <w:szCs w:val="21"/>
                <w:highlight w:val="none"/>
              </w:rPr>
            </w:pPr>
            <w:r>
              <w:rPr>
                <w:rFonts w:hint="eastAsia"/>
                <w:color w:val="auto"/>
                <w:sz w:val="21"/>
                <w:szCs w:val="21"/>
                <w:highlight w:val="none"/>
              </w:rPr>
              <w:t>大写：                          元整（¥：         元）</w:t>
            </w:r>
          </w:p>
        </w:tc>
      </w:tr>
    </w:tbl>
    <w:p>
      <w:pPr>
        <w:snapToGrid w:val="0"/>
        <w:spacing w:line="480" w:lineRule="exact"/>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val="en-US" w:eastAsia="zh-CN"/>
        </w:rPr>
        <w:t>1、本次招标急救车驾驶员工资暂按人民币：10万元/年/人报价，担架工工资暂按人民币：8万元/年/人报价，</w:t>
      </w:r>
      <w:r>
        <w:rPr>
          <w:rFonts w:hint="eastAsia" w:ascii="宋体" w:hAnsi="宋体" w:cs="宋体"/>
          <w:color w:val="0000FF"/>
          <w:sz w:val="22"/>
          <w:szCs w:val="22"/>
          <w:highlight w:val="none"/>
          <w:lang w:val="en-US" w:eastAsia="zh-CN"/>
        </w:rPr>
        <w:t>调度员工资暂按人民币：4万元/年/人报价</w:t>
      </w:r>
      <w:r>
        <w:rPr>
          <w:rFonts w:hint="eastAsia" w:ascii="宋体" w:hAnsi="宋体" w:cs="宋体"/>
          <w:color w:val="auto"/>
          <w:sz w:val="22"/>
          <w:szCs w:val="22"/>
          <w:highlight w:val="none"/>
          <w:lang w:val="en-US" w:eastAsia="zh-CN"/>
        </w:rPr>
        <w:t>,投标时该部分报价不得上下浮动，否则作无效标处理，具体工资发放标准每月根据采购人书面通知，采购人将该月所有派遣人员工资支付给中标人，再由中标人向各派遣员工发放。以上派遣员工工资包含人员基本工资、个人及企业承担的社会保险费、餐补、考核奖、高温费、加班费、福利、人员保险（人身意外伤害险等）等费用。</w:t>
      </w:r>
    </w:p>
    <w:p>
      <w:pPr>
        <w:snapToGrid w:val="0"/>
        <w:spacing w:line="480" w:lineRule="exact"/>
        <w:ind w:firstLine="440" w:firstLineChars="20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2、中标人的管理费另行报价，最终按每月实际派遣人员数量按实结算。管理费用中包含企业的管理服务费、本项目全部的税收费、企业风险费及利润等</w:t>
      </w:r>
    </w:p>
    <w:p>
      <w:pPr>
        <w:snapToGrid w:val="0"/>
        <w:spacing w:before="50" w:after="50" w:line="360" w:lineRule="auto"/>
        <w:ind w:firstLine="440" w:firstLineChars="200"/>
        <w:rPr>
          <w:rFonts w:hint="eastAsia" w:ascii="宋体" w:hAnsi="宋体" w:eastAsia="宋体"/>
          <w:color w:val="auto"/>
          <w:sz w:val="24"/>
          <w:highlight w:val="none"/>
          <w:lang w:val="en-US" w:eastAsia="zh-CN"/>
        </w:rPr>
      </w:pPr>
      <w:r>
        <w:rPr>
          <w:rFonts w:hint="eastAsia" w:ascii="宋体" w:hAnsi="宋体" w:cs="宋体"/>
          <w:color w:val="auto"/>
          <w:sz w:val="22"/>
          <w:szCs w:val="22"/>
          <w:highlight w:val="none"/>
        </w:rPr>
        <w:t>3、以上</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投标总价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应与“开标一览表”中的“总报价”数相一致。</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5"/>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hAnsi="宋体" w:cs="宋体"/>
          <w:color w:val="auto"/>
          <w:sz w:val="24"/>
          <w:szCs w:val="24"/>
          <w:highlight w:val="none"/>
        </w:rPr>
      </w:pPr>
      <w:r>
        <w:rPr>
          <w:rFonts w:hint="eastAsia" w:hAnsi="宋体" w:cs="宋体"/>
          <w:color w:val="auto"/>
          <w:sz w:val="24"/>
          <w:highlight w:val="none"/>
        </w:rPr>
        <w:t>日期：_____年____月____日</w:t>
      </w:r>
    </w:p>
    <w:p>
      <w:pPr>
        <w:widowControl/>
        <w:spacing w:line="360" w:lineRule="auto"/>
        <w:jc w:val="center"/>
        <w:rPr>
          <w:rFonts w:ascii="宋体" w:hAnsi="宋体"/>
          <w:b/>
          <w:color w:val="auto"/>
          <w:sz w:val="28"/>
          <w:szCs w:val="28"/>
          <w:highlight w:val="none"/>
        </w:rPr>
      </w:pPr>
    </w:p>
    <w:p>
      <w:pPr>
        <w:widowControl/>
        <w:spacing w:line="360" w:lineRule="auto"/>
        <w:jc w:val="center"/>
        <w:rPr>
          <w:rFonts w:hint="eastAsia" w:ascii="宋体" w:hAnsi="宋体"/>
          <w:b/>
          <w:color w:val="auto"/>
          <w:sz w:val="28"/>
          <w:szCs w:val="28"/>
          <w:highlight w:val="none"/>
        </w:rPr>
      </w:pPr>
    </w:p>
    <w:p>
      <w:pPr>
        <w:widowControl/>
        <w:spacing w:line="360" w:lineRule="auto"/>
        <w:jc w:val="center"/>
        <w:rPr>
          <w:rFonts w:hint="eastAsia" w:ascii="宋体" w:hAnsi="宋体"/>
          <w:b/>
          <w:color w:val="auto"/>
          <w:sz w:val="28"/>
          <w:szCs w:val="28"/>
          <w:highlight w:val="none"/>
        </w:rPr>
      </w:pPr>
    </w:p>
    <w:p>
      <w:pPr>
        <w:rPr>
          <w:color w:val="auto"/>
          <w:highlight w:val="none"/>
        </w:rPr>
      </w:pPr>
    </w:p>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ageBreakBefore/>
      <w:rPr>
        <w:rFonts w:ascii="仿宋_GB2312" w:eastAsia="仿宋_GB2312"/>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ageBreakBefore/>
      <w:rPr>
        <w:rFonts w:ascii="仿宋_GB2312" w:eastAsia="仿宋_GB2312"/>
      </w:rPr>
    </w:pPr>
    <w:r>
      <w:rPr>
        <w:sz w:val="18"/>
      </w:rP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p>
    <w:pPr>
      <w:pStyle w:val="4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w:pict>
        <v:shape id="_x0000_s4104" o:spid="_x0000_s410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w:pict>
        <v:shape id="_x0000_s4103" o:spid="_x0000_s410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clear" w:pos="4153"/>
        <w:tab w:val="clear" w:pos="8306"/>
      </w:tabs>
      <w:jc w:val="both"/>
      <w:rPr>
        <w:rFonts w:ascii="仿宋_GB2312" w:eastAsia="仿宋_GB2312"/>
        <w:b/>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12973361"/>
    <w:multiLevelType w:val="singleLevel"/>
    <w:tmpl w:val="12973361"/>
    <w:lvl w:ilvl="0" w:tentative="0">
      <w:start w:val="1"/>
      <w:numFmt w:val="decimal"/>
      <w:suff w:val="space"/>
      <w:lvlText w:val="%1."/>
      <w:lvlJc w:val="left"/>
    </w:lvl>
  </w:abstractNum>
  <w:abstractNum w:abstractNumId="3">
    <w:nsid w:val="5D804704"/>
    <w:multiLevelType w:val="singleLevel"/>
    <w:tmpl w:val="5D804704"/>
    <w:lvl w:ilvl="0" w:tentative="0">
      <w:start w:val="1"/>
      <w:numFmt w:val="chineseCounting"/>
      <w:suff w:val="nothing"/>
      <w:lvlText w:val="%1、"/>
      <w:lvlJc w:val="left"/>
    </w:lvl>
  </w:abstractNum>
  <w:abstractNum w:abstractNumId="4">
    <w:nsid w:val="5D804826"/>
    <w:multiLevelType w:val="singleLevel"/>
    <w:tmpl w:val="5D804826"/>
    <w:lvl w:ilvl="0" w:tentative="0">
      <w:start w:val="1"/>
      <w:numFmt w:val="decimal"/>
      <w:suff w:val="nothing"/>
      <w:lvlText w:val="%1."/>
      <w:lvlJc w:val="left"/>
    </w:lvl>
  </w:abstractNum>
  <w:abstractNum w:abstractNumId="5">
    <w:nsid w:val="7F0239FA"/>
    <w:multiLevelType w:val="singleLevel"/>
    <w:tmpl w:val="7F0239FA"/>
    <w:lvl w:ilvl="0" w:tentative="0">
      <w:start w:val="2"/>
      <w:numFmt w:val="chineseCounting"/>
      <w:suff w:val="nothing"/>
      <w:lvlText w:val="%1、"/>
      <w:lvlJc w:val="left"/>
      <w:rPr>
        <w:rFonts w:hint="eastAsia"/>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isplayBackgroundShape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312"/>
    <w:rsid w:val="00075B15"/>
    <w:rsid w:val="00075D0E"/>
    <w:rsid w:val="00075F6A"/>
    <w:rsid w:val="00076159"/>
    <w:rsid w:val="0007616C"/>
    <w:rsid w:val="000763B5"/>
    <w:rsid w:val="000763F3"/>
    <w:rsid w:val="000766D2"/>
    <w:rsid w:val="00076801"/>
    <w:rsid w:val="00077577"/>
    <w:rsid w:val="00077607"/>
    <w:rsid w:val="00077756"/>
    <w:rsid w:val="00077B7F"/>
    <w:rsid w:val="000800CB"/>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8AB"/>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0ED"/>
    <w:rsid w:val="00173631"/>
    <w:rsid w:val="0017372D"/>
    <w:rsid w:val="00173826"/>
    <w:rsid w:val="00173C58"/>
    <w:rsid w:val="00173E59"/>
    <w:rsid w:val="001741DC"/>
    <w:rsid w:val="00174C4F"/>
    <w:rsid w:val="00174F57"/>
    <w:rsid w:val="00175078"/>
    <w:rsid w:val="001755DC"/>
    <w:rsid w:val="0017601E"/>
    <w:rsid w:val="00176AA6"/>
    <w:rsid w:val="00177063"/>
    <w:rsid w:val="001777D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2C4"/>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169"/>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F68"/>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800"/>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39C"/>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BDF"/>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C24"/>
    <w:rsid w:val="00266DE1"/>
    <w:rsid w:val="00267A92"/>
    <w:rsid w:val="00267E43"/>
    <w:rsid w:val="00270282"/>
    <w:rsid w:val="00270780"/>
    <w:rsid w:val="00270CF6"/>
    <w:rsid w:val="00271097"/>
    <w:rsid w:val="00271C53"/>
    <w:rsid w:val="0027244F"/>
    <w:rsid w:val="00273052"/>
    <w:rsid w:val="00273574"/>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FAF"/>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9B9"/>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108"/>
    <w:rsid w:val="002F647C"/>
    <w:rsid w:val="002F6C6B"/>
    <w:rsid w:val="002F6CB0"/>
    <w:rsid w:val="002F6EFF"/>
    <w:rsid w:val="002F7DF0"/>
    <w:rsid w:val="002F7FAF"/>
    <w:rsid w:val="00300573"/>
    <w:rsid w:val="003025FE"/>
    <w:rsid w:val="00302A27"/>
    <w:rsid w:val="00303AB6"/>
    <w:rsid w:val="00304640"/>
    <w:rsid w:val="00304AC1"/>
    <w:rsid w:val="00305090"/>
    <w:rsid w:val="00305445"/>
    <w:rsid w:val="00305454"/>
    <w:rsid w:val="00305B9F"/>
    <w:rsid w:val="00305E21"/>
    <w:rsid w:val="003066C6"/>
    <w:rsid w:val="003066FA"/>
    <w:rsid w:val="0030691D"/>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164"/>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5BF"/>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408"/>
    <w:rsid w:val="003F42FF"/>
    <w:rsid w:val="003F4B48"/>
    <w:rsid w:val="003F4DDC"/>
    <w:rsid w:val="003F56B8"/>
    <w:rsid w:val="003F5F1A"/>
    <w:rsid w:val="003F6327"/>
    <w:rsid w:val="003F7425"/>
    <w:rsid w:val="003F765B"/>
    <w:rsid w:val="003F7CB8"/>
    <w:rsid w:val="00400CB4"/>
    <w:rsid w:val="00401386"/>
    <w:rsid w:val="004013E6"/>
    <w:rsid w:val="00401E31"/>
    <w:rsid w:val="0040254B"/>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D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BBF"/>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357"/>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6E48"/>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6A2"/>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951"/>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2EC8"/>
    <w:rsid w:val="0064330A"/>
    <w:rsid w:val="00643F89"/>
    <w:rsid w:val="00644334"/>
    <w:rsid w:val="0064487C"/>
    <w:rsid w:val="00644BED"/>
    <w:rsid w:val="00644E2E"/>
    <w:rsid w:val="00645A3A"/>
    <w:rsid w:val="00645B87"/>
    <w:rsid w:val="00645CB4"/>
    <w:rsid w:val="00646084"/>
    <w:rsid w:val="006468ED"/>
    <w:rsid w:val="00646C4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AAF"/>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313"/>
    <w:rsid w:val="006C6A51"/>
    <w:rsid w:val="006C6EBD"/>
    <w:rsid w:val="006C7341"/>
    <w:rsid w:val="006C7E04"/>
    <w:rsid w:val="006C7F79"/>
    <w:rsid w:val="006D0004"/>
    <w:rsid w:val="006D015F"/>
    <w:rsid w:val="006D060E"/>
    <w:rsid w:val="006D0681"/>
    <w:rsid w:val="006D0A80"/>
    <w:rsid w:val="006D0AE8"/>
    <w:rsid w:val="006D135C"/>
    <w:rsid w:val="006D1B7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14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0E8"/>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B73"/>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9FF"/>
    <w:rsid w:val="00797D73"/>
    <w:rsid w:val="007A006C"/>
    <w:rsid w:val="007A0789"/>
    <w:rsid w:val="007A130E"/>
    <w:rsid w:val="007A18B1"/>
    <w:rsid w:val="007A1BBD"/>
    <w:rsid w:val="007A1F08"/>
    <w:rsid w:val="007A2555"/>
    <w:rsid w:val="007A25FA"/>
    <w:rsid w:val="007A2C3E"/>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8AC"/>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FA5"/>
    <w:rsid w:val="007E53D5"/>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A41"/>
    <w:rsid w:val="008320D2"/>
    <w:rsid w:val="008321CE"/>
    <w:rsid w:val="0083257C"/>
    <w:rsid w:val="0083261B"/>
    <w:rsid w:val="00832B44"/>
    <w:rsid w:val="00832EC9"/>
    <w:rsid w:val="00833307"/>
    <w:rsid w:val="00833583"/>
    <w:rsid w:val="00833B5B"/>
    <w:rsid w:val="00833E9A"/>
    <w:rsid w:val="00834FEF"/>
    <w:rsid w:val="00836323"/>
    <w:rsid w:val="008379B6"/>
    <w:rsid w:val="00837D3D"/>
    <w:rsid w:val="00837E9B"/>
    <w:rsid w:val="008404AA"/>
    <w:rsid w:val="008406D7"/>
    <w:rsid w:val="0084074F"/>
    <w:rsid w:val="008407BA"/>
    <w:rsid w:val="00840AA3"/>
    <w:rsid w:val="00840AAC"/>
    <w:rsid w:val="0084101C"/>
    <w:rsid w:val="0084159B"/>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0DC"/>
    <w:rsid w:val="00853F7D"/>
    <w:rsid w:val="0085517F"/>
    <w:rsid w:val="0085562D"/>
    <w:rsid w:val="00855A78"/>
    <w:rsid w:val="008560E1"/>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C19"/>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6EA"/>
    <w:rsid w:val="00931AB8"/>
    <w:rsid w:val="00931C19"/>
    <w:rsid w:val="00931C63"/>
    <w:rsid w:val="00931D10"/>
    <w:rsid w:val="0093218A"/>
    <w:rsid w:val="009334CE"/>
    <w:rsid w:val="0093386D"/>
    <w:rsid w:val="00934C8E"/>
    <w:rsid w:val="00934DD7"/>
    <w:rsid w:val="00935194"/>
    <w:rsid w:val="00936935"/>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2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46F"/>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DA"/>
    <w:rsid w:val="00A526CE"/>
    <w:rsid w:val="00A53CE6"/>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D91"/>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AB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E37"/>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1A"/>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AF"/>
    <w:rsid w:val="00B56ECA"/>
    <w:rsid w:val="00B57093"/>
    <w:rsid w:val="00B57B5D"/>
    <w:rsid w:val="00B60613"/>
    <w:rsid w:val="00B61AEC"/>
    <w:rsid w:val="00B622A8"/>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6FDB"/>
    <w:rsid w:val="00B9789D"/>
    <w:rsid w:val="00B97A4C"/>
    <w:rsid w:val="00BA050E"/>
    <w:rsid w:val="00BA1289"/>
    <w:rsid w:val="00BA14B2"/>
    <w:rsid w:val="00BA15DC"/>
    <w:rsid w:val="00BA1E2F"/>
    <w:rsid w:val="00BA1EB8"/>
    <w:rsid w:val="00BA2C82"/>
    <w:rsid w:val="00BA30F1"/>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E6"/>
    <w:rsid w:val="00BB47A3"/>
    <w:rsid w:val="00BB481E"/>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353"/>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33"/>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0FF9"/>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32"/>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9"/>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787"/>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B7C"/>
    <w:rsid w:val="00DA0175"/>
    <w:rsid w:val="00DA099C"/>
    <w:rsid w:val="00DA0F18"/>
    <w:rsid w:val="00DA2125"/>
    <w:rsid w:val="00DA21EC"/>
    <w:rsid w:val="00DA24DE"/>
    <w:rsid w:val="00DA270C"/>
    <w:rsid w:val="00DA281F"/>
    <w:rsid w:val="00DA3C5B"/>
    <w:rsid w:val="00DA3D23"/>
    <w:rsid w:val="00DA4A61"/>
    <w:rsid w:val="00DA53CC"/>
    <w:rsid w:val="00DA5AFE"/>
    <w:rsid w:val="00DA61AB"/>
    <w:rsid w:val="00DA61CD"/>
    <w:rsid w:val="00DA6EE2"/>
    <w:rsid w:val="00DA718A"/>
    <w:rsid w:val="00DA78CF"/>
    <w:rsid w:val="00DA78D5"/>
    <w:rsid w:val="00DA7A89"/>
    <w:rsid w:val="00DA7BF4"/>
    <w:rsid w:val="00DB052F"/>
    <w:rsid w:val="00DB14D3"/>
    <w:rsid w:val="00DB154B"/>
    <w:rsid w:val="00DB1969"/>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1E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239"/>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8CF"/>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E91"/>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F85"/>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C4C9F"/>
    <w:rsid w:val="013D1A7E"/>
    <w:rsid w:val="0155173E"/>
    <w:rsid w:val="019F7441"/>
    <w:rsid w:val="01A319FB"/>
    <w:rsid w:val="01B37585"/>
    <w:rsid w:val="01D55165"/>
    <w:rsid w:val="01DF6BF8"/>
    <w:rsid w:val="01EC2C57"/>
    <w:rsid w:val="02151639"/>
    <w:rsid w:val="026B2E25"/>
    <w:rsid w:val="02824D4D"/>
    <w:rsid w:val="02C46BBB"/>
    <w:rsid w:val="02CE3442"/>
    <w:rsid w:val="02D23086"/>
    <w:rsid w:val="02DC4B10"/>
    <w:rsid w:val="02DD76CE"/>
    <w:rsid w:val="02F36323"/>
    <w:rsid w:val="02F5619C"/>
    <w:rsid w:val="0326446A"/>
    <w:rsid w:val="032D5555"/>
    <w:rsid w:val="036634D2"/>
    <w:rsid w:val="037B371D"/>
    <w:rsid w:val="037B41DE"/>
    <w:rsid w:val="03B77F2C"/>
    <w:rsid w:val="03DD35E4"/>
    <w:rsid w:val="04076900"/>
    <w:rsid w:val="041A5A3B"/>
    <w:rsid w:val="042311BA"/>
    <w:rsid w:val="042B157A"/>
    <w:rsid w:val="043164D2"/>
    <w:rsid w:val="048F763B"/>
    <w:rsid w:val="049F330E"/>
    <w:rsid w:val="04AA775C"/>
    <w:rsid w:val="04AF1889"/>
    <w:rsid w:val="04CA06D2"/>
    <w:rsid w:val="04F66F48"/>
    <w:rsid w:val="05251E14"/>
    <w:rsid w:val="0533087A"/>
    <w:rsid w:val="054B2EBB"/>
    <w:rsid w:val="05541A7D"/>
    <w:rsid w:val="055D43D2"/>
    <w:rsid w:val="05A16594"/>
    <w:rsid w:val="05A7762D"/>
    <w:rsid w:val="06011897"/>
    <w:rsid w:val="060E5941"/>
    <w:rsid w:val="06110FAF"/>
    <w:rsid w:val="06493CA7"/>
    <w:rsid w:val="064D357B"/>
    <w:rsid w:val="065A6178"/>
    <w:rsid w:val="066F1CF3"/>
    <w:rsid w:val="06930BB8"/>
    <w:rsid w:val="06DC1F3F"/>
    <w:rsid w:val="07022415"/>
    <w:rsid w:val="07245D42"/>
    <w:rsid w:val="07264C62"/>
    <w:rsid w:val="075D5951"/>
    <w:rsid w:val="077855B9"/>
    <w:rsid w:val="0779354C"/>
    <w:rsid w:val="079F6195"/>
    <w:rsid w:val="07D15156"/>
    <w:rsid w:val="08061376"/>
    <w:rsid w:val="080D354F"/>
    <w:rsid w:val="082A6473"/>
    <w:rsid w:val="08452D77"/>
    <w:rsid w:val="086401F8"/>
    <w:rsid w:val="08751CAA"/>
    <w:rsid w:val="087E4C40"/>
    <w:rsid w:val="088274F0"/>
    <w:rsid w:val="08AA4CC9"/>
    <w:rsid w:val="08D66AD6"/>
    <w:rsid w:val="08DA33A3"/>
    <w:rsid w:val="08E80F13"/>
    <w:rsid w:val="092B34F0"/>
    <w:rsid w:val="09335624"/>
    <w:rsid w:val="0944690F"/>
    <w:rsid w:val="09505E60"/>
    <w:rsid w:val="09535675"/>
    <w:rsid w:val="095D7CBE"/>
    <w:rsid w:val="095F057D"/>
    <w:rsid w:val="09642282"/>
    <w:rsid w:val="09733572"/>
    <w:rsid w:val="09772C16"/>
    <w:rsid w:val="098353B5"/>
    <w:rsid w:val="09A92330"/>
    <w:rsid w:val="09B06B87"/>
    <w:rsid w:val="09C13146"/>
    <w:rsid w:val="09E04166"/>
    <w:rsid w:val="0A022E04"/>
    <w:rsid w:val="0A1C0718"/>
    <w:rsid w:val="0A2E2D1E"/>
    <w:rsid w:val="0A3E7710"/>
    <w:rsid w:val="0A5B7E63"/>
    <w:rsid w:val="0A5C3149"/>
    <w:rsid w:val="0A8A7C8B"/>
    <w:rsid w:val="0AA374A5"/>
    <w:rsid w:val="0AA51080"/>
    <w:rsid w:val="0AAB7649"/>
    <w:rsid w:val="0ABC5606"/>
    <w:rsid w:val="0AE012BD"/>
    <w:rsid w:val="0B012ED1"/>
    <w:rsid w:val="0B2E376B"/>
    <w:rsid w:val="0B30404E"/>
    <w:rsid w:val="0B4C6C14"/>
    <w:rsid w:val="0B631A88"/>
    <w:rsid w:val="0B683D45"/>
    <w:rsid w:val="0B7F3F11"/>
    <w:rsid w:val="0B7F3FC7"/>
    <w:rsid w:val="0B884417"/>
    <w:rsid w:val="0B973B9D"/>
    <w:rsid w:val="0BDE0321"/>
    <w:rsid w:val="0BF6188C"/>
    <w:rsid w:val="0BF64210"/>
    <w:rsid w:val="0BF73C91"/>
    <w:rsid w:val="0C0E5D5C"/>
    <w:rsid w:val="0C170175"/>
    <w:rsid w:val="0C5433A9"/>
    <w:rsid w:val="0C571A41"/>
    <w:rsid w:val="0C5C1171"/>
    <w:rsid w:val="0C5E1CBC"/>
    <w:rsid w:val="0C615B50"/>
    <w:rsid w:val="0C8445DA"/>
    <w:rsid w:val="0C87121B"/>
    <w:rsid w:val="0CBA4FBD"/>
    <w:rsid w:val="0CBC43C2"/>
    <w:rsid w:val="0CC007F7"/>
    <w:rsid w:val="0CD60B29"/>
    <w:rsid w:val="0CDA49FC"/>
    <w:rsid w:val="0CFE707A"/>
    <w:rsid w:val="0D063BDA"/>
    <w:rsid w:val="0D08375F"/>
    <w:rsid w:val="0D184CFB"/>
    <w:rsid w:val="0D1E7791"/>
    <w:rsid w:val="0D3C404F"/>
    <w:rsid w:val="0D4A7419"/>
    <w:rsid w:val="0D827401"/>
    <w:rsid w:val="0D84094E"/>
    <w:rsid w:val="0D8A00E9"/>
    <w:rsid w:val="0D8D589E"/>
    <w:rsid w:val="0DA01C73"/>
    <w:rsid w:val="0DD63300"/>
    <w:rsid w:val="0DF50604"/>
    <w:rsid w:val="0DF702FE"/>
    <w:rsid w:val="0E060E51"/>
    <w:rsid w:val="0E550E35"/>
    <w:rsid w:val="0E5604B2"/>
    <w:rsid w:val="0E5E6115"/>
    <w:rsid w:val="0E6D5D79"/>
    <w:rsid w:val="0E841B78"/>
    <w:rsid w:val="0E9D0089"/>
    <w:rsid w:val="0EB803EE"/>
    <w:rsid w:val="0EF94D4B"/>
    <w:rsid w:val="0F1152ED"/>
    <w:rsid w:val="0F285729"/>
    <w:rsid w:val="0F4958DC"/>
    <w:rsid w:val="0F4B0B32"/>
    <w:rsid w:val="0F515DF7"/>
    <w:rsid w:val="0F596BA8"/>
    <w:rsid w:val="0F622BA6"/>
    <w:rsid w:val="0F6248D2"/>
    <w:rsid w:val="0F693536"/>
    <w:rsid w:val="0F7554C5"/>
    <w:rsid w:val="0F7B0511"/>
    <w:rsid w:val="0F7B76D9"/>
    <w:rsid w:val="0F816ACD"/>
    <w:rsid w:val="0F9832DB"/>
    <w:rsid w:val="0FBF3FD2"/>
    <w:rsid w:val="0FBF7FF3"/>
    <w:rsid w:val="0FE73920"/>
    <w:rsid w:val="0FE73EE9"/>
    <w:rsid w:val="10043AE6"/>
    <w:rsid w:val="103F4D41"/>
    <w:rsid w:val="10646583"/>
    <w:rsid w:val="107D4B15"/>
    <w:rsid w:val="107D65A4"/>
    <w:rsid w:val="108A3C80"/>
    <w:rsid w:val="10AA73F0"/>
    <w:rsid w:val="10C26171"/>
    <w:rsid w:val="10F33360"/>
    <w:rsid w:val="10FC16EA"/>
    <w:rsid w:val="110F1D40"/>
    <w:rsid w:val="11266F33"/>
    <w:rsid w:val="1134112C"/>
    <w:rsid w:val="11507B96"/>
    <w:rsid w:val="11525A28"/>
    <w:rsid w:val="115343AE"/>
    <w:rsid w:val="117D384D"/>
    <w:rsid w:val="118963A1"/>
    <w:rsid w:val="11C6522A"/>
    <w:rsid w:val="11DC71F8"/>
    <w:rsid w:val="11E104CC"/>
    <w:rsid w:val="11E20309"/>
    <w:rsid w:val="12255233"/>
    <w:rsid w:val="122816D4"/>
    <w:rsid w:val="122D69F6"/>
    <w:rsid w:val="12530213"/>
    <w:rsid w:val="127723A9"/>
    <w:rsid w:val="12862074"/>
    <w:rsid w:val="12883966"/>
    <w:rsid w:val="128C2C5C"/>
    <w:rsid w:val="129E45B4"/>
    <w:rsid w:val="12AA761C"/>
    <w:rsid w:val="12D81596"/>
    <w:rsid w:val="13072A44"/>
    <w:rsid w:val="130F424C"/>
    <w:rsid w:val="135F4BE2"/>
    <w:rsid w:val="139B1A0A"/>
    <w:rsid w:val="139D25C7"/>
    <w:rsid w:val="13BF3CE4"/>
    <w:rsid w:val="13E23345"/>
    <w:rsid w:val="13E34051"/>
    <w:rsid w:val="14043309"/>
    <w:rsid w:val="141008D8"/>
    <w:rsid w:val="14125FE6"/>
    <w:rsid w:val="14165B51"/>
    <w:rsid w:val="14602DFB"/>
    <w:rsid w:val="146D271E"/>
    <w:rsid w:val="148E5707"/>
    <w:rsid w:val="14982588"/>
    <w:rsid w:val="14991C55"/>
    <w:rsid w:val="149A5AD9"/>
    <w:rsid w:val="14A7619D"/>
    <w:rsid w:val="14BE3364"/>
    <w:rsid w:val="14EA71B5"/>
    <w:rsid w:val="14F06FC3"/>
    <w:rsid w:val="150536C3"/>
    <w:rsid w:val="150C1963"/>
    <w:rsid w:val="151447A0"/>
    <w:rsid w:val="154A6454"/>
    <w:rsid w:val="15762120"/>
    <w:rsid w:val="163E55E1"/>
    <w:rsid w:val="166A18FC"/>
    <w:rsid w:val="169F2681"/>
    <w:rsid w:val="16A8729C"/>
    <w:rsid w:val="16B33777"/>
    <w:rsid w:val="16BC70A7"/>
    <w:rsid w:val="16C6339E"/>
    <w:rsid w:val="16EF3B2B"/>
    <w:rsid w:val="1723320B"/>
    <w:rsid w:val="172F2D79"/>
    <w:rsid w:val="17557BEF"/>
    <w:rsid w:val="17984446"/>
    <w:rsid w:val="17D349C1"/>
    <w:rsid w:val="1830729E"/>
    <w:rsid w:val="186E4F56"/>
    <w:rsid w:val="186E53E9"/>
    <w:rsid w:val="1870062C"/>
    <w:rsid w:val="187F5606"/>
    <w:rsid w:val="18817102"/>
    <w:rsid w:val="18830A15"/>
    <w:rsid w:val="18852B28"/>
    <w:rsid w:val="188B5321"/>
    <w:rsid w:val="18A94431"/>
    <w:rsid w:val="18AD308A"/>
    <w:rsid w:val="18C33745"/>
    <w:rsid w:val="18D1331B"/>
    <w:rsid w:val="18DF7E53"/>
    <w:rsid w:val="19137AFC"/>
    <w:rsid w:val="19297FBA"/>
    <w:rsid w:val="1963776C"/>
    <w:rsid w:val="19654E72"/>
    <w:rsid w:val="19932372"/>
    <w:rsid w:val="199B1288"/>
    <w:rsid w:val="19A20DD5"/>
    <w:rsid w:val="19AE03F1"/>
    <w:rsid w:val="19BE1321"/>
    <w:rsid w:val="19C914F1"/>
    <w:rsid w:val="1A071A03"/>
    <w:rsid w:val="1A1F16AE"/>
    <w:rsid w:val="1A3B5C77"/>
    <w:rsid w:val="1A4062D0"/>
    <w:rsid w:val="1A984BAD"/>
    <w:rsid w:val="1AAC1FB7"/>
    <w:rsid w:val="1AB8220E"/>
    <w:rsid w:val="1AE4166C"/>
    <w:rsid w:val="1AF06CFB"/>
    <w:rsid w:val="1AF11B8D"/>
    <w:rsid w:val="1B11359C"/>
    <w:rsid w:val="1B2A271F"/>
    <w:rsid w:val="1B530544"/>
    <w:rsid w:val="1B591FEF"/>
    <w:rsid w:val="1B713184"/>
    <w:rsid w:val="1B7D5CFD"/>
    <w:rsid w:val="1BA209CF"/>
    <w:rsid w:val="1BB20793"/>
    <w:rsid w:val="1BB4777D"/>
    <w:rsid w:val="1BD75AB8"/>
    <w:rsid w:val="1C0459C2"/>
    <w:rsid w:val="1C1B3B4A"/>
    <w:rsid w:val="1C88086E"/>
    <w:rsid w:val="1CDF3BC1"/>
    <w:rsid w:val="1D266CE1"/>
    <w:rsid w:val="1D2D2E8B"/>
    <w:rsid w:val="1D3963AF"/>
    <w:rsid w:val="1D396C3A"/>
    <w:rsid w:val="1D6A673C"/>
    <w:rsid w:val="1D9247AE"/>
    <w:rsid w:val="1DA33CD3"/>
    <w:rsid w:val="1DB567EC"/>
    <w:rsid w:val="1DC57B03"/>
    <w:rsid w:val="1DCA47FF"/>
    <w:rsid w:val="1DF51A98"/>
    <w:rsid w:val="1DFE0D7B"/>
    <w:rsid w:val="1E3D060F"/>
    <w:rsid w:val="1E3F7D2E"/>
    <w:rsid w:val="1E4134E4"/>
    <w:rsid w:val="1E5062B3"/>
    <w:rsid w:val="1E523514"/>
    <w:rsid w:val="1E686B46"/>
    <w:rsid w:val="1E714A66"/>
    <w:rsid w:val="1E735F33"/>
    <w:rsid w:val="1E802593"/>
    <w:rsid w:val="1EA703CC"/>
    <w:rsid w:val="1EB7330C"/>
    <w:rsid w:val="1EF93289"/>
    <w:rsid w:val="1F0A0FF3"/>
    <w:rsid w:val="1F2E17AC"/>
    <w:rsid w:val="1F5771FF"/>
    <w:rsid w:val="1F745498"/>
    <w:rsid w:val="1FD75D28"/>
    <w:rsid w:val="1FE868A9"/>
    <w:rsid w:val="20034907"/>
    <w:rsid w:val="20173E4B"/>
    <w:rsid w:val="20181590"/>
    <w:rsid w:val="201E6DFF"/>
    <w:rsid w:val="20380D25"/>
    <w:rsid w:val="204E48BC"/>
    <w:rsid w:val="20631369"/>
    <w:rsid w:val="207E2E19"/>
    <w:rsid w:val="208921B3"/>
    <w:rsid w:val="20973DEB"/>
    <w:rsid w:val="20B26522"/>
    <w:rsid w:val="20B44310"/>
    <w:rsid w:val="20E86114"/>
    <w:rsid w:val="211116EB"/>
    <w:rsid w:val="21431023"/>
    <w:rsid w:val="216133FC"/>
    <w:rsid w:val="2161415A"/>
    <w:rsid w:val="21BC2207"/>
    <w:rsid w:val="21D56769"/>
    <w:rsid w:val="21E52EF3"/>
    <w:rsid w:val="21FB5D7B"/>
    <w:rsid w:val="220B1C3D"/>
    <w:rsid w:val="221D1D20"/>
    <w:rsid w:val="22334A87"/>
    <w:rsid w:val="22357EE6"/>
    <w:rsid w:val="22430860"/>
    <w:rsid w:val="224654C1"/>
    <w:rsid w:val="22BE6801"/>
    <w:rsid w:val="22C26C62"/>
    <w:rsid w:val="22DF450F"/>
    <w:rsid w:val="22EC428E"/>
    <w:rsid w:val="233500BF"/>
    <w:rsid w:val="23377FF7"/>
    <w:rsid w:val="236B425F"/>
    <w:rsid w:val="23836192"/>
    <w:rsid w:val="23901F29"/>
    <w:rsid w:val="239C0061"/>
    <w:rsid w:val="23A91BB2"/>
    <w:rsid w:val="23B908A4"/>
    <w:rsid w:val="23E95BEF"/>
    <w:rsid w:val="23FD0064"/>
    <w:rsid w:val="245375B0"/>
    <w:rsid w:val="24642C0A"/>
    <w:rsid w:val="246D0A09"/>
    <w:rsid w:val="24B22173"/>
    <w:rsid w:val="24B95AD9"/>
    <w:rsid w:val="24BE24DA"/>
    <w:rsid w:val="24CF5825"/>
    <w:rsid w:val="24D34D10"/>
    <w:rsid w:val="24D663E6"/>
    <w:rsid w:val="24D77F2B"/>
    <w:rsid w:val="24DE5462"/>
    <w:rsid w:val="24E16027"/>
    <w:rsid w:val="25205589"/>
    <w:rsid w:val="25530F16"/>
    <w:rsid w:val="258B00E2"/>
    <w:rsid w:val="25A917A6"/>
    <w:rsid w:val="25AA793A"/>
    <w:rsid w:val="25BE27CC"/>
    <w:rsid w:val="25F74A5C"/>
    <w:rsid w:val="261C6242"/>
    <w:rsid w:val="2628662C"/>
    <w:rsid w:val="262D45DE"/>
    <w:rsid w:val="264A0EBF"/>
    <w:rsid w:val="264A61BF"/>
    <w:rsid w:val="2662090A"/>
    <w:rsid w:val="26A53EF9"/>
    <w:rsid w:val="26A94201"/>
    <w:rsid w:val="26AC274F"/>
    <w:rsid w:val="27044A29"/>
    <w:rsid w:val="27056071"/>
    <w:rsid w:val="2708260B"/>
    <w:rsid w:val="271D34C8"/>
    <w:rsid w:val="275029D6"/>
    <w:rsid w:val="276142BF"/>
    <w:rsid w:val="27783712"/>
    <w:rsid w:val="27907362"/>
    <w:rsid w:val="27B41A90"/>
    <w:rsid w:val="27E965F8"/>
    <w:rsid w:val="27EE00B2"/>
    <w:rsid w:val="28333E1D"/>
    <w:rsid w:val="283C6C0F"/>
    <w:rsid w:val="28454BD6"/>
    <w:rsid w:val="28455253"/>
    <w:rsid w:val="28527841"/>
    <w:rsid w:val="28551971"/>
    <w:rsid w:val="285B1C53"/>
    <w:rsid w:val="287750D2"/>
    <w:rsid w:val="2895356C"/>
    <w:rsid w:val="289F7086"/>
    <w:rsid w:val="28C32028"/>
    <w:rsid w:val="28CC490F"/>
    <w:rsid w:val="28DE40AA"/>
    <w:rsid w:val="291A5C26"/>
    <w:rsid w:val="291D5E98"/>
    <w:rsid w:val="29345E77"/>
    <w:rsid w:val="294B0DAC"/>
    <w:rsid w:val="294C65AD"/>
    <w:rsid w:val="29806583"/>
    <w:rsid w:val="298B3C4C"/>
    <w:rsid w:val="29A61752"/>
    <w:rsid w:val="29ED5BA4"/>
    <w:rsid w:val="29F26D24"/>
    <w:rsid w:val="2A15033F"/>
    <w:rsid w:val="2A1662C1"/>
    <w:rsid w:val="2A18617C"/>
    <w:rsid w:val="2A1C7367"/>
    <w:rsid w:val="2A2815FA"/>
    <w:rsid w:val="2A6D6092"/>
    <w:rsid w:val="2A7204D1"/>
    <w:rsid w:val="2A7711EF"/>
    <w:rsid w:val="2A7D76B4"/>
    <w:rsid w:val="2B437463"/>
    <w:rsid w:val="2B751F10"/>
    <w:rsid w:val="2B7807EE"/>
    <w:rsid w:val="2B945009"/>
    <w:rsid w:val="2BBF00EC"/>
    <w:rsid w:val="2BC37CFD"/>
    <w:rsid w:val="2BC902B3"/>
    <w:rsid w:val="2BD12DED"/>
    <w:rsid w:val="2BD5237F"/>
    <w:rsid w:val="2BE536CE"/>
    <w:rsid w:val="2BE758D9"/>
    <w:rsid w:val="2BE772F2"/>
    <w:rsid w:val="2C09049E"/>
    <w:rsid w:val="2C0A653C"/>
    <w:rsid w:val="2C191F85"/>
    <w:rsid w:val="2C4712C3"/>
    <w:rsid w:val="2C5646F4"/>
    <w:rsid w:val="2C874F6F"/>
    <w:rsid w:val="2CA32A1F"/>
    <w:rsid w:val="2CC2499E"/>
    <w:rsid w:val="2CE82D6F"/>
    <w:rsid w:val="2D343236"/>
    <w:rsid w:val="2D5C086B"/>
    <w:rsid w:val="2D823314"/>
    <w:rsid w:val="2D9078D1"/>
    <w:rsid w:val="2D9214E0"/>
    <w:rsid w:val="2DD15014"/>
    <w:rsid w:val="2DF50400"/>
    <w:rsid w:val="2DF72DE4"/>
    <w:rsid w:val="2E0220AF"/>
    <w:rsid w:val="2E0E6DB8"/>
    <w:rsid w:val="2E100380"/>
    <w:rsid w:val="2E3A0AC8"/>
    <w:rsid w:val="2E455766"/>
    <w:rsid w:val="2E4B082A"/>
    <w:rsid w:val="2E5D4E86"/>
    <w:rsid w:val="2E5D790B"/>
    <w:rsid w:val="2E9A3C18"/>
    <w:rsid w:val="2EBB0FEE"/>
    <w:rsid w:val="2EC22DD3"/>
    <w:rsid w:val="2EC63002"/>
    <w:rsid w:val="2EE364E6"/>
    <w:rsid w:val="2EFD2AE1"/>
    <w:rsid w:val="2F0A6B38"/>
    <w:rsid w:val="2F3B2DD2"/>
    <w:rsid w:val="2F6F7335"/>
    <w:rsid w:val="2F93773A"/>
    <w:rsid w:val="2F946CCB"/>
    <w:rsid w:val="2FD25781"/>
    <w:rsid w:val="2FDB0057"/>
    <w:rsid w:val="2FDC2C0E"/>
    <w:rsid w:val="2FFD5044"/>
    <w:rsid w:val="2FFD7934"/>
    <w:rsid w:val="300F2890"/>
    <w:rsid w:val="30733ACD"/>
    <w:rsid w:val="3075311F"/>
    <w:rsid w:val="308C3862"/>
    <w:rsid w:val="309379D8"/>
    <w:rsid w:val="30942ED7"/>
    <w:rsid w:val="30A270F7"/>
    <w:rsid w:val="30DF1478"/>
    <w:rsid w:val="30EC586F"/>
    <w:rsid w:val="311213ED"/>
    <w:rsid w:val="31294542"/>
    <w:rsid w:val="31392E33"/>
    <w:rsid w:val="31692393"/>
    <w:rsid w:val="319C6071"/>
    <w:rsid w:val="31A863E0"/>
    <w:rsid w:val="31AC537E"/>
    <w:rsid w:val="31E3679B"/>
    <w:rsid w:val="31E732FD"/>
    <w:rsid w:val="32162851"/>
    <w:rsid w:val="32517576"/>
    <w:rsid w:val="32970153"/>
    <w:rsid w:val="32B16170"/>
    <w:rsid w:val="32BE5C2C"/>
    <w:rsid w:val="32ED07A3"/>
    <w:rsid w:val="32FB6478"/>
    <w:rsid w:val="330E2F43"/>
    <w:rsid w:val="33263B3F"/>
    <w:rsid w:val="3330481B"/>
    <w:rsid w:val="336963EB"/>
    <w:rsid w:val="33816EEB"/>
    <w:rsid w:val="33854E0E"/>
    <w:rsid w:val="338F52EF"/>
    <w:rsid w:val="33A27B7A"/>
    <w:rsid w:val="33C85258"/>
    <w:rsid w:val="33EB55CD"/>
    <w:rsid w:val="33EC4C02"/>
    <w:rsid w:val="340D2360"/>
    <w:rsid w:val="3410665D"/>
    <w:rsid w:val="34211214"/>
    <w:rsid w:val="342E63AB"/>
    <w:rsid w:val="34711E4F"/>
    <w:rsid w:val="34915D87"/>
    <w:rsid w:val="34950E68"/>
    <w:rsid w:val="34986E94"/>
    <w:rsid w:val="34AF62C9"/>
    <w:rsid w:val="34CB4388"/>
    <w:rsid w:val="34FA6E12"/>
    <w:rsid w:val="34FE01D5"/>
    <w:rsid w:val="35397FFA"/>
    <w:rsid w:val="35772B1A"/>
    <w:rsid w:val="358D5588"/>
    <w:rsid w:val="35C05806"/>
    <w:rsid w:val="35C42453"/>
    <w:rsid w:val="361B3215"/>
    <w:rsid w:val="363A3B40"/>
    <w:rsid w:val="365302AE"/>
    <w:rsid w:val="36607A0A"/>
    <w:rsid w:val="366529DF"/>
    <w:rsid w:val="366E227C"/>
    <w:rsid w:val="366F2E0D"/>
    <w:rsid w:val="36735F09"/>
    <w:rsid w:val="367B6A5C"/>
    <w:rsid w:val="36A52284"/>
    <w:rsid w:val="36A74ADA"/>
    <w:rsid w:val="36AD60D5"/>
    <w:rsid w:val="36B224F9"/>
    <w:rsid w:val="36C3116B"/>
    <w:rsid w:val="36EC0CC9"/>
    <w:rsid w:val="372C6501"/>
    <w:rsid w:val="3734210D"/>
    <w:rsid w:val="373F410B"/>
    <w:rsid w:val="37EE7094"/>
    <w:rsid w:val="380E0217"/>
    <w:rsid w:val="38296C89"/>
    <w:rsid w:val="383002EB"/>
    <w:rsid w:val="38586797"/>
    <w:rsid w:val="38797966"/>
    <w:rsid w:val="387D48E7"/>
    <w:rsid w:val="388243AC"/>
    <w:rsid w:val="38855EC9"/>
    <w:rsid w:val="388801F5"/>
    <w:rsid w:val="388D77A1"/>
    <w:rsid w:val="3894610C"/>
    <w:rsid w:val="38B113F5"/>
    <w:rsid w:val="38BC0149"/>
    <w:rsid w:val="38D87D1C"/>
    <w:rsid w:val="38E22CFA"/>
    <w:rsid w:val="39165BBB"/>
    <w:rsid w:val="39565BF3"/>
    <w:rsid w:val="39636459"/>
    <w:rsid w:val="396B7F6C"/>
    <w:rsid w:val="39A46430"/>
    <w:rsid w:val="39AC0A66"/>
    <w:rsid w:val="39B417A9"/>
    <w:rsid w:val="39F94929"/>
    <w:rsid w:val="39FC5695"/>
    <w:rsid w:val="3A006D8E"/>
    <w:rsid w:val="3A3651E5"/>
    <w:rsid w:val="3A6B67E3"/>
    <w:rsid w:val="3A744481"/>
    <w:rsid w:val="3A8C7BEF"/>
    <w:rsid w:val="3A906246"/>
    <w:rsid w:val="3AA83519"/>
    <w:rsid w:val="3ABE6841"/>
    <w:rsid w:val="3AE004A0"/>
    <w:rsid w:val="3B2349B7"/>
    <w:rsid w:val="3B3C7E67"/>
    <w:rsid w:val="3B3FC59C"/>
    <w:rsid w:val="3B616CFF"/>
    <w:rsid w:val="3B6259F6"/>
    <w:rsid w:val="3B720C0D"/>
    <w:rsid w:val="3B976654"/>
    <w:rsid w:val="3BAF42E8"/>
    <w:rsid w:val="3BB6355F"/>
    <w:rsid w:val="3BC01EFC"/>
    <w:rsid w:val="3BCA786A"/>
    <w:rsid w:val="3BD31E2F"/>
    <w:rsid w:val="3BF15831"/>
    <w:rsid w:val="3C105946"/>
    <w:rsid w:val="3C471448"/>
    <w:rsid w:val="3C5F759A"/>
    <w:rsid w:val="3C62784F"/>
    <w:rsid w:val="3C6C525A"/>
    <w:rsid w:val="3CAD649B"/>
    <w:rsid w:val="3CC33275"/>
    <w:rsid w:val="3CC34D87"/>
    <w:rsid w:val="3CCB5CFD"/>
    <w:rsid w:val="3CCE23CB"/>
    <w:rsid w:val="3CD17D17"/>
    <w:rsid w:val="3CE90B95"/>
    <w:rsid w:val="3D095B46"/>
    <w:rsid w:val="3D0C108D"/>
    <w:rsid w:val="3D130D7B"/>
    <w:rsid w:val="3D380D30"/>
    <w:rsid w:val="3D3C7F39"/>
    <w:rsid w:val="3D440F09"/>
    <w:rsid w:val="3D4504A0"/>
    <w:rsid w:val="3D6F6425"/>
    <w:rsid w:val="3D8734BB"/>
    <w:rsid w:val="3D9A11D4"/>
    <w:rsid w:val="3DA16D89"/>
    <w:rsid w:val="3DA364BE"/>
    <w:rsid w:val="3DDB7149"/>
    <w:rsid w:val="3DE041CB"/>
    <w:rsid w:val="3E0D48F6"/>
    <w:rsid w:val="3E1868B4"/>
    <w:rsid w:val="3E377251"/>
    <w:rsid w:val="3E42664B"/>
    <w:rsid w:val="3E4B4F87"/>
    <w:rsid w:val="3E5661DC"/>
    <w:rsid w:val="3E5A7334"/>
    <w:rsid w:val="3E7B5D6B"/>
    <w:rsid w:val="3E843E66"/>
    <w:rsid w:val="3E8F51FE"/>
    <w:rsid w:val="3E926F87"/>
    <w:rsid w:val="3E9A59DE"/>
    <w:rsid w:val="3EAF4836"/>
    <w:rsid w:val="3EC33DFA"/>
    <w:rsid w:val="3EC84D62"/>
    <w:rsid w:val="3EE85404"/>
    <w:rsid w:val="3F060E16"/>
    <w:rsid w:val="3F173D18"/>
    <w:rsid w:val="3F1C4A39"/>
    <w:rsid w:val="3F1D1096"/>
    <w:rsid w:val="3F2F0234"/>
    <w:rsid w:val="3F3C11D9"/>
    <w:rsid w:val="3F485DF7"/>
    <w:rsid w:val="3F6363FE"/>
    <w:rsid w:val="3F756B8F"/>
    <w:rsid w:val="3F8F60F8"/>
    <w:rsid w:val="3F95482B"/>
    <w:rsid w:val="3FA46AC7"/>
    <w:rsid w:val="3FA57E6B"/>
    <w:rsid w:val="3FBA4D6C"/>
    <w:rsid w:val="4019356B"/>
    <w:rsid w:val="40275AB8"/>
    <w:rsid w:val="4046605F"/>
    <w:rsid w:val="40592157"/>
    <w:rsid w:val="40674A44"/>
    <w:rsid w:val="406E1CAE"/>
    <w:rsid w:val="407A39D5"/>
    <w:rsid w:val="40817E61"/>
    <w:rsid w:val="40A0133A"/>
    <w:rsid w:val="40C31A53"/>
    <w:rsid w:val="40FF545D"/>
    <w:rsid w:val="410067C8"/>
    <w:rsid w:val="41193901"/>
    <w:rsid w:val="41543C14"/>
    <w:rsid w:val="41836C1F"/>
    <w:rsid w:val="418F0D2A"/>
    <w:rsid w:val="419929E5"/>
    <w:rsid w:val="41D01505"/>
    <w:rsid w:val="41E9396D"/>
    <w:rsid w:val="42474939"/>
    <w:rsid w:val="424C3C57"/>
    <w:rsid w:val="42613FF3"/>
    <w:rsid w:val="42654F91"/>
    <w:rsid w:val="42660D96"/>
    <w:rsid w:val="428667D2"/>
    <w:rsid w:val="429A368A"/>
    <w:rsid w:val="42CD1CE0"/>
    <w:rsid w:val="42E1381E"/>
    <w:rsid w:val="42ED6459"/>
    <w:rsid w:val="42F16C31"/>
    <w:rsid w:val="42FE58DD"/>
    <w:rsid w:val="43004C12"/>
    <w:rsid w:val="43174B3D"/>
    <w:rsid w:val="431C3DDE"/>
    <w:rsid w:val="43354997"/>
    <w:rsid w:val="434B790E"/>
    <w:rsid w:val="4360274F"/>
    <w:rsid w:val="43977AB6"/>
    <w:rsid w:val="43A3342B"/>
    <w:rsid w:val="43C77C27"/>
    <w:rsid w:val="43DE09EE"/>
    <w:rsid w:val="44002FAD"/>
    <w:rsid w:val="44594351"/>
    <w:rsid w:val="44657104"/>
    <w:rsid w:val="449101DD"/>
    <w:rsid w:val="44BA722D"/>
    <w:rsid w:val="44DE1391"/>
    <w:rsid w:val="44F96CD2"/>
    <w:rsid w:val="45106B70"/>
    <w:rsid w:val="451B225C"/>
    <w:rsid w:val="452410C9"/>
    <w:rsid w:val="45317DFB"/>
    <w:rsid w:val="456D3CE4"/>
    <w:rsid w:val="4579042C"/>
    <w:rsid w:val="457F0571"/>
    <w:rsid w:val="45851176"/>
    <w:rsid w:val="45883496"/>
    <w:rsid w:val="45C63B94"/>
    <w:rsid w:val="45D74E30"/>
    <w:rsid w:val="460A332B"/>
    <w:rsid w:val="460E7DA5"/>
    <w:rsid w:val="46402205"/>
    <w:rsid w:val="46422483"/>
    <w:rsid w:val="465040A8"/>
    <w:rsid w:val="4659254A"/>
    <w:rsid w:val="465B0637"/>
    <w:rsid w:val="465E3F0D"/>
    <w:rsid w:val="466A16E6"/>
    <w:rsid w:val="466A3861"/>
    <w:rsid w:val="467B69ED"/>
    <w:rsid w:val="46893F2B"/>
    <w:rsid w:val="46A74EE1"/>
    <w:rsid w:val="46C4686E"/>
    <w:rsid w:val="46CF35FA"/>
    <w:rsid w:val="46D060FC"/>
    <w:rsid w:val="46D2790F"/>
    <w:rsid w:val="46D85D5E"/>
    <w:rsid w:val="46DA136D"/>
    <w:rsid w:val="474178A8"/>
    <w:rsid w:val="477B778F"/>
    <w:rsid w:val="477F61D9"/>
    <w:rsid w:val="478203EC"/>
    <w:rsid w:val="47941752"/>
    <w:rsid w:val="47B025FA"/>
    <w:rsid w:val="47FE483C"/>
    <w:rsid w:val="4809698F"/>
    <w:rsid w:val="4811697D"/>
    <w:rsid w:val="487A3E25"/>
    <w:rsid w:val="488B5503"/>
    <w:rsid w:val="48937E21"/>
    <w:rsid w:val="489A0361"/>
    <w:rsid w:val="48AD6A8D"/>
    <w:rsid w:val="48B94FF3"/>
    <w:rsid w:val="48E37AAB"/>
    <w:rsid w:val="48FD4B4C"/>
    <w:rsid w:val="49061243"/>
    <w:rsid w:val="490A68E0"/>
    <w:rsid w:val="491055FE"/>
    <w:rsid w:val="495A44E3"/>
    <w:rsid w:val="495F5B3E"/>
    <w:rsid w:val="496D7CED"/>
    <w:rsid w:val="496F77D7"/>
    <w:rsid w:val="497654FD"/>
    <w:rsid w:val="499765ED"/>
    <w:rsid w:val="49B64211"/>
    <w:rsid w:val="49F6167F"/>
    <w:rsid w:val="4A064FA0"/>
    <w:rsid w:val="4A0909A1"/>
    <w:rsid w:val="4A16615C"/>
    <w:rsid w:val="4A4424D7"/>
    <w:rsid w:val="4A5939C6"/>
    <w:rsid w:val="4AB82D0F"/>
    <w:rsid w:val="4ABB17CB"/>
    <w:rsid w:val="4AEB7664"/>
    <w:rsid w:val="4AF13892"/>
    <w:rsid w:val="4AFD7C19"/>
    <w:rsid w:val="4B0567D1"/>
    <w:rsid w:val="4B1C363A"/>
    <w:rsid w:val="4B236AAE"/>
    <w:rsid w:val="4B707271"/>
    <w:rsid w:val="4B9739F7"/>
    <w:rsid w:val="4BEE2503"/>
    <w:rsid w:val="4BEF5BF8"/>
    <w:rsid w:val="4C245A30"/>
    <w:rsid w:val="4C2D6C98"/>
    <w:rsid w:val="4C503B9A"/>
    <w:rsid w:val="4C736329"/>
    <w:rsid w:val="4C77015F"/>
    <w:rsid w:val="4C7C718B"/>
    <w:rsid w:val="4C9A4AA6"/>
    <w:rsid w:val="4CAD4F46"/>
    <w:rsid w:val="4CB6685F"/>
    <w:rsid w:val="4CC367FE"/>
    <w:rsid w:val="4CD670E4"/>
    <w:rsid w:val="4D077F3C"/>
    <w:rsid w:val="4D123355"/>
    <w:rsid w:val="4D2A3B31"/>
    <w:rsid w:val="4D312C52"/>
    <w:rsid w:val="4D4B5445"/>
    <w:rsid w:val="4D73233C"/>
    <w:rsid w:val="4D844549"/>
    <w:rsid w:val="4D905305"/>
    <w:rsid w:val="4D964A72"/>
    <w:rsid w:val="4D9C1254"/>
    <w:rsid w:val="4DC36632"/>
    <w:rsid w:val="4DF55F07"/>
    <w:rsid w:val="4DFC0584"/>
    <w:rsid w:val="4E6544E7"/>
    <w:rsid w:val="4E793892"/>
    <w:rsid w:val="4E800872"/>
    <w:rsid w:val="4EB63AF8"/>
    <w:rsid w:val="4EC569ED"/>
    <w:rsid w:val="4ED50EA1"/>
    <w:rsid w:val="4EDF24BE"/>
    <w:rsid w:val="4EE259CC"/>
    <w:rsid w:val="4EEC050C"/>
    <w:rsid w:val="4F104EC3"/>
    <w:rsid w:val="4F2C625F"/>
    <w:rsid w:val="4F47354A"/>
    <w:rsid w:val="4F710CA8"/>
    <w:rsid w:val="4F911C54"/>
    <w:rsid w:val="4FD45CB9"/>
    <w:rsid w:val="4FE625E0"/>
    <w:rsid w:val="4FE94F10"/>
    <w:rsid w:val="5019644A"/>
    <w:rsid w:val="5021480F"/>
    <w:rsid w:val="502D0EC8"/>
    <w:rsid w:val="50466676"/>
    <w:rsid w:val="505A2E5A"/>
    <w:rsid w:val="506932DB"/>
    <w:rsid w:val="50962ECB"/>
    <w:rsid w:val="50A42E38"/>
    <w:rsid w:val="50A4577F"/>
    <w:rsid w:val="50B73D1F"/>
    <w:rsid w:val="50BD5BC9"/>
    <w:rsid w:val="50C11EEE"/>
    <w:rsid w:val="50E97CFC"/>
    <w:rsid w:val="50FA4028"/>
    <w:rsid w:val="510D65B7"/>
    <w:rsid w:val="511157AB"/>
    <w:rsid w:val="51363DAD"/>
    <w:rsid w:val="5142540C"/>
    <w:rsid w:val="515B7CB7"/>
    <w:rsid w:val="517A1653"/>
    <w:rsid w:val="518832C8"/>
    <w:rsid w:val="51A0432A"/>
    <w:rsid w:val="51A86090"/>
    <w:rsid w:val="51AC406F"/>
    <w:rsid w:val="51B278FC"/>
    <w:rsid w:val="51B7396D"/>
    <w:rsid w:val="520E2446"/>
    <w:rsid w:val="522E4CC3"/>
    <w:rsid w:val="5244713B"/>
    <w:rsid w:val="52615633"/>
    <w:rsid w:val="52977FD4"/>
    <w:rsid w:val="52A25790"/>
    <w:rsid w:val="52A96B6F"/>
    <w:rsid w:val="52B45975"/>
    <w:rsid w:val="52D94AA4"/>
    <w:rsid w:val="52EA3A62"/>
    <w:rsid w:val="52F004D9"/>
    <w:rsid w:val="52F50BB8"/>
    <w:rsid w:val="53097272"/>
    <w:rsid w:val="53395B77"/>
    <w:rsid w:val="53513CED"/>
    <w:rsid w:val="53544462"/>
    <w:rsid w:val="53554555"/>
    <w:rsid w:val="53946913"/>
    <w:rsid w:val="5397158E"/>
    <w:rsid w:val="53AB34E5"/>
    <w:rsid w:val="53CC11E3"/>
    <w:rsid w:val="53EF7A35"/>
    <w:rsid w:val="54013861"/>
    <w:rsid w:val="54487265"/>
    <w:rsid w:val="544D6070"/>
    <w:rsid w:val="54605E1E"/>
    <w:rsid w:val="54680954"/>
    <w:rsid w:val="54A169A9"/>
    <w:rsid w:val="54B3506A"/>
    <w:rsid w:val="54B4570E"/>
    <w:rsid w:val="54CA0D16"/>
    <w:rsid w:val="54DD4057"/>
    <w:rsid w:val="54E7490F"/>
    <w:rsid w:val="54F47F43"/>
    <w:rsid w:val="550764A4"/>
    <w:rsid w:val="550B2BF6"/>
    <w:rsid w:val="55214EB5"/>
    <w:rsid w:val="55364EFD"/>
    <w:rsid w:val="555D4828"/>
    <w:rsid w:val="557A4C8B"/>
    <w:rsid w:val="558931E1"/>
    <w:rsid w:val="55923347"/>
    <w:rsid w:val="55925180"/>
    <w:rsid w:val="55983B1B"/>
    <w:rsid w:val="55A8376B"/>
    <w:rsid w:val="55DC29B6"/>
    <w:rsid w:val="55DD4241"/>
    <w:rsid w:val="560862DF"/>
    <w:rsid w:val="566B6D1E"/>
    <w:rsid w:val="569F6AC7"/>
    <w:rsid w:val="56D13209"/>
    <w:rsid w:val="57032A2C"/>
    <w:rsid w:val="570D3399"/>
    <w:rsid w:val="570F5219"/>
    <w:rsid w:val="575D12B5"/>
    <w:rsid w:val="57610A87"/>
    <w:rsid w:val="5772374D"/>
    <w:rsid w:val="577B1140"/>
    <w:rsid w:val="577B7F21"/>
    <w:rsid w:val="577F181B"/>
    <w:rsid w:val="57921984"/>
    <w:rsid w:val="579737F0"/>
    <w:rsid w:val="57AB7B30"/>
    <w:rsid w:val="57AF5251"/>
    <w:rsid w:val="57B26373"/>
    <w:rsid w:val="57B63F04"/>
    <w:rsid w:val="57CD20C2"/>
    <w:rsid w:val="57D675AB"/>
    <w:rsid w:val="57D95FDD"/>
    <w:rsid w:val="57DA5A98"/>
    <w:rsid w:val="57EA58F1"/>
    <w:rsid w:val="584A29BD"/>
    <w:rsid w:val="58917D2F"/>
    <w:rsid w:val="5894085C"/>
    <w:rsid w:val="58AE4F0C"/>
    <w:rsid w:val="58B85899"/>
    <w:rsid w:val="58E363A9"/>
    <w:rsid w:val="590E29AC"/>
    <w:rsid w:val="595E1678"/>
    <w:rsid w:val="596D5BD4"/>
    <w:rsid w:val="597E3DD8"/>
    <w:rsid w:val="59A269BC"/>
    <w:rsid w:val="59D634DF"/>
    <w:rsid w:val="59F11E5C"/>
    <w:rsid w:val="59F80043"/>
    <w:rsid w:val="5A0904C1"/>
    <w:rsid w:val="5A09252F"/>
    <w:rsid w:val="5A0B2778"/>
    <w:rsid w:val="5A133E67"/>
    <w:rsid w:val="5A2A7C7B"/>
    <w:rsid w:val="5A3E2560"/>
    <w:rsid w:val="5A5D3B6E"/>
    <w:rsid w:val="5A637A76"/>
    <w:rsid w:val="5A6D33BA"/>
    <w:rsid w:val="5A792B1F"/>
    <w:rsid w:val="5A7D5519"/>
    <w:rsid w:val="5A874767"/>
    <w:rsid w:val="5A8C7BCC"/>
    <w:rsid w:val="5A8D7133"/>
    <w:rsid w:val="5A944CE3"/>
    <w:rsid w:val="5AAD6F28"/>
    <w:rsid w:val="5AD63A24"/>
    <w:rsid w:val="5AEA5EB6"/>
    <w:rsid w:val="5AEA62E5"/>
    <w:rsid w:val="5AFF3461"/>
    <w:rsid w:val="5B1511F3"/>
    <w:rsid w:val="5B167F88"/>
    <w:rsid w:val="5B2E1A1D"/>
    <w:rsid w:val="5B317CC1"/>
    <w:rsid w:val="5B6B0A58"/>
    <w:rsid w:val="5B843A1C"/>
    <w:rsid w:val="5B873E3F"/>
    <w:rsid w:val="5B897053"/>
    <w:rsid w:val="5BA83A02"/>
    <w:rsid w:val="5C02690E"/>
    <w:rsid w:val="5C196DA7"/>
    <w:rsid w:val="5C1D0043"/>
    <w:rsid w:val="5C2A048C"/>
    <w:rsid w:val="5C80234E"/>
    <w:rsid w:val="5C8A680C"/>
    <w:rsid w:val="5CA644DC"/>
    <w:rsid w:val="5CE01922"/>
    <w:rsid w:val="5D0C4701"/>
    <w:rsid w:val="5D0F0395"/>
    <w:rsid w:val="5D221076"/>
    <w:rsid w:val="5D397964"/>
    <w:rsid w:val="5D5A391C"/>
    <w:rsid w:val="5D5F10C0"/>
    <w:rsid w:val="5D891B7B"/>
    <w:rsid w:val="5DA35AD2"/>
    <w:rsid w:val="5DAA5DD8"/>
    <w:rsid w:val="5DAD38EE"/>
    <w:rsid w:val="5DCE5EE9"/>
    <w:rsid w:val="5E006862"/>
    <w:rsid w:val="5E0207B9"/>
    <w:rsid w:val="5E0B0AD6"/>
    <w:rsid w:val="5E176F9E"/>
    <w:rsid w:val="5E1834A1"/>
    <w:rsid w:val="5E261785"/>
    <w:rsid w:val="5E4A7017"/>
    <w:rsid w:val="5E4F2952"/>
    <w:rsid w:val="5E552BBA"/>
    <w:rsid w:val="5E610D01"/>
    <w:rsid w:val="5E611C10"/>
    <w:rsid w:val="5E655CD1"/>
    <w:rsid w:val="5EA31D4C"/>
    <w:rsid w:val="5EFC7377"/>
    <w:rsid w:val="5F06174D"/>
    <w:rsid w:val="5F3A3602"/>
    <w:rsid w:val="5F6277C6"/>
    <w:rsid w:val="5F6D0B1D"/>
    <w:rsid w:val="5F6FF5AD"/>
    <w:rsid w:val="5F8D0B82"/>
    <w:rsid w:val="5FAC7CA9"/>
    <w:rsid w:val="5FBC4C67"/>
    <w:rsid w:val="5FCC5339"/>
    <w:rsid w:val="5FE34A5B"/>
    <w:rsid w:val="5FFE1E36"/>
    <w:rsid w:val="600502B2"/>
    <w:rsid w:val="60232584"/>
    <w:rsid w:val="602C4E9D"/>
    <w:rsid w:val="6060009F"/>
    <w:rsid w:val="607330CE"/>
    <w:rsid w:val="60825176"/>
    <w:rsid w:val="609F2AC4"/>
    <w:rsid w:val="60E824C6"/>
    <w:rsid w:val="60ED3E90"/>
    <w:rsid w:val="60FA2EE8"/>
    <w:rsid w:val="61054A27"/>
    <w:rsid w:val="610A52BC"/>
    <w:rsid w:val="611D2366"/>
    <w:rsid w:val="61401BAF"/>
    <w:rsid w:val="61421856"/>
    <w:rsid w:val="614F0BA7"/>
    <w:rsid w:val="615227C4"/>
    <w:rsid w:val="615F4C5A"/>
    <w:rsid w:val="61654E3F"/>
    <w:rsid w:val="61721216"/>
    <w:rsid w:val="6182292A"/>
    <w:rsid w:val="618D5C6B"/>
    <w:rsid w:val="619F7F92"/>
    <w:rsid w:val="61B60EF8"/>
    <w:rsid w:val="61F94C26"/>
    <w:rsid w:val="62000E56"/>
    <w:rsid w:val="620A1913"/>
    <w:rsid w:val="62330149"/>
    <w:rsid w:val="624E346D"/>
    <w:rsid w:val="624F3E49"/>
    <w:rsid w:val="62632286"/>
    <w:rsid w:val="62885958"/>
    <w:rsid w:val="628E759D"/>
    <w:rsid w:val="62B674A5"/>
    <w:rsid w:val="62F40B65"/>
    <w:rsid w:val="62FC2CFE"/>
    <w:rsid w:val="63024505"/>
    <w:rsid w:val="632C6FB1"/>
    <w:rsid w:val="633D721D"/>
    <w:rsid w:val="635B1DB5"/>
    <w:rsid w:val="636B0439"/>
    <w:rsid w:val="63711FED"/>
    <w:rsid w:val="63831DEB"/>
    <w:rsid w:val="63880DDC"/>
    <w:rsid w:val="638D750D"/>
    <w:rsid w:val="63AC6CC0"/>
    <w:rsid w:val="63D066D2"/>
    <w:rsid w:val="64055776"/>
    <w:rsid w:val="640C0875"/>
    <w:rsid w:val="64240056"/>
    <w:rsid w:val="643E143A"/>
    <w:rsid w:val="646C4E42"/>
    <w:rsid w:val="648B6EEF"/>
    <w:rsid w:val="648C1B70"/>
    <w:rsid w:val="64C158BF"/>
    <w:rsid w:val="64C27B00"/>
    <w:rsid w:val="64CE2EAA"/>
    <w:rsid w:val="64D66A7C"/>
    <w:rsid w:val="64FA277A"/>
    <w:rsid w:val="653C3090"/>
    <w:rsid w:val="65405CCA"/>
    <w:rsid w:val="654A7E87"/>
    <w:rsid w:val="655A3BEA"/>
    <w:rsid w:val="65854376"/>
    <w:rsid w:val="658767BE"/>
    <w:rsid w:val="65892531"/>
    <w:rsid w:val="65BA52F7"/>
    <w:rsid w:val="66097CE7"/>
    <w:rsid w:val="66195831"/>
    <w:rsid w:val="662B5A52"/>
    <w:rsid w:val="662D6DA8"/>
    <w:rsid w:val="662E75B1"/>
    <w:rsid w:val="66342C2E"/>
    <w:rsid w:val="663E784C"/>
    <w:rsid w:val="667A09B7"/>
    <w:rsid w:val="668B6A45"/>
    <w:rsid w:val="66A45BDC"/>
    <w:rsid w:val="66C74351"/>
    <w:rsid w:val="672F3F24"/>
    <w:rsid w:val="673E055F"/>
    <w:rsid w:val="67551CE3"/>
    <w:rsid w:val="67837EB7"/>
    <w:rsid w:val="679413D5"/>
    <w:rsid w:val="679B2025"/>
    <w:rsid w:val="67A22552"/>
    <w:rsid w:val="67B22DCC"/>
    <w:rsid w:val="67BE71AA"/>
    <w:rsid w:val="67D90273"/>
    <w:rsid w:val="67DE5875"/>
    <w:rsid w:val="67E55852"/>
    <w:rsid w:val="67EB1AB4"/>
    <w:rsid w:val="67FA1285"/>
    <w:rsid w:val="68134F6C"/>
    <w:rsid w:val="68551F4F"/>
    <w:rsid w:val="685847A6"/>
    <w:rsid w:val="687C10C9"/>
    <w:rsid w:val="68840C16"/>
    <w:rsid w:val="68876EFB"/>
    <w:rsid w:val="68884654"/>
    <w:rsid w:val="689F444F"/>
    <w:rsid w:val="68B96DBB"/>
    <w:rsid w:val="68BB37A7"/>
    <w:rsid w:val="68CA2805"/>
    <w:rsid w:val="68E937A3"/>
    <w:rsid w:val="68FC4E55"/>
    <w:rsid w:val="69196B57"/>
    <w:rsid w:val="693E15D3"/>
    <w:rsid w:val="694E7060"/>
    <w:rsid w:val="69627681"/>
    <w:rsid w:val="69701FBE"/>
    <w:rsid w:val="6977531D"/>
    <w:rsid w:val="697B1F3A"/>
    <w:rsid w:val="69A53598"/>
    <w:rsid w:val="69CC2BFF"/>
    <w:rsid w:val="69D97139"/>
    <w:rsid w:val="69FD55B8"/>
    <w:rsid w:val="6A0B1C62"/>
    <w:rsid w:val="6A2406C8"/>
    <w:rsid w:val="6A2C3AC3"/>
    <w:rsid w:val="6A4B7311"/>
    <w:rsid w:val="6A8453C5"/>
    <w:rsid w:val="6A9A6657"/>
    <w:rsid w:val="6ADE0BD1"/>
    <w:rsid w:val="6AE96859"/>
    <w:rsid w:val="6B147746"/>
    <w:rsid w:val="6B24787C"/>
    <w:rsid w:val="6B2B7FBB"/>
    <w:rsid w:val="6B380B3D"/>
    <w:rsid w:val="6B532C57"/>
    <w:rsid w:val="6B573233"/>
    <w:rsid w:val="6B5B6274"/>
    <w:rsid w:val="6B935D53"/>
    <w:rsid w:val="6C045D31"/>
    <w:rsid w:val="6C133194"/>
    <w:rsid w:val="6C196F71"/>
    <w:rsid w:val="6C226FCB"/>
    <w:rsid w:val="6C31226F"/>
    <w:rsid w:val="6C4455E8"/>
    <w:rsid w:val="6C514E57"/>
    <w:rsid w:val="6C552F0B"/>
    <w:rsid w:val="6C8C67B7"/>
    <w:rsid w:val="6C9D744C"/>
    <w:rsid w:val="6CC03428"/>
    <w:rsid w:val="6D167928"/>
    <w:rsid w:val="6D26299B"/>
    <w:rsid w:val="6D4772EC"/>
    <w:rsid w:val="6D9078AF"/>
    <w:rsid w:val="6DA12D43"/>
    <w:rsid w:val="6DAA3FEF"/>
    <w:rsid w:val="6DBF2DB2"/>
    <w:rsid w:val="6DC0172B"/>
    <w:rsid w:val="6DCB690C"/>
    <w:rsid w:val="6DD41A5B"/>
    <w:rsid w:val="6DF43C2E"/>
    <w:rsid w:val="6DF51CA3"/>
    <w:rsid w:val="6E0863D3"/>
    <w:rsid w:val="6E8335BD"/>
    <w:rsid w:val="6E8E12EF"/>
    <w:rsid w:val="6E972936"/>
    <w:rsid w:val="6ED446C5"/>
    <w:rsid w:val="6F0C3442"/>
    <w:rsid w:val="6F2A7D94"/>
    <w:rsid w:val="6F730377"/>
    <w:rsid w:val="6F8331F1"/>
    <w:rsid w:val="6F8A0F8C"/>
    <w:rsid w:val="6FAE1A09"/>
    <w:rsid w:val="6FD44A65"/>
    <w:rsid w:val="6FD75BF8"/>
    <w:rsid w:val="70206492"/>
    <w:rsid w:val="707723D0"/>
    <w:rsid w:val="70BF3010"/>
    <w:rsid w:val="70E5507E"/>
    <w:rsid w:val="70ED6641"/>
    <w:rsid w:val="70F5661B"/>
    <w:rsid w:val="71084023"/>
    <w:rsid w:val="710E183A"/>
    <w:rsid w:val="71360107"/>
    <w:rsid w:val="71396E6E"/>
    <w:rsid w:val="713B688E"/>
    <w:rsid w:val="7151750C"/>
    <w:rsid w:val="71A265F4"/>
    <w:rsid w:val="71B675CD"/>
    <w:rsid w:val="71D43752"/>
    <w:rsid w:val="71F1796A"/>
    <w:rsid w:val="720C45CB"/>
    <w:rsid w:val="72132D4D"/>
    <w:rsid w:val="72154626"/>
    <w:rsid w:val="72262B5D"/>
    <w:rsid w:val="72283FF7"/>
    <w:rsid w:val="722E7212"/>
    <w:rsid w:val="723A0474"/>
    <w:rsid w:val="725923E4"/>
    <w:rsid w:val="72777EDD"/>
    <w:rsid w:val="72864BF7"/>
    <w:rsid w:val="729023FC"/>
    <w:rsid w:val="72B62B48"/>
    <w:rsid w:val="72CE1FD6"/>
    <w:rsid w:val="73286404"/>
    <w:rsid w:val="73460898"/>
    <w:rsid w:val="73B95C72"/>
    <w:rsid w:val="73C0646E"/>
    <w:rsid w:val="73D239B1"/>
    <w:rsid w:val="73D96AEE"/>
    <w:rsid w:val="73E6120B"/>
    <w:rsid w:val="740F0CE2"/>
    <w:rsid w:val="742222F5"/>
    <w:rsid w:val="74271D8C"/>
    <w:rsid w:val="74476126"/>
    <w:rsid w:val="744A77F6"/>
    <w:rsid w:val="7463243A"/>
    <w:rsid w:val="74706664"/>
    <w:rsid w:val="747C795C"/>
    <w:rsid w:val="747F3682"/>
    <w:rsid w:val="749C4185"/>
    <w:rsid w:val="75067759"/>
    <w:rsid w:val="752E6DCD"/>
    <w:rsid w:val="754405BD"/>
    <w:rsid w:val="754F2B6C"/>
    <w:rsid w:val="7551380D"/>
    <w:rsid w:val="75600BE5"/>
    <w:rsid w:val="7564475C"/>
    <w:rsid w:val="7583797F"/>
    <w:rsid w:val="75CD5DE4"/>
    <w:rsid w:val="75D20F1D"/>
    <w:rsid w:val="75DA2C18"/>
    <w:rsid w:val="75F54412"/>
    <w:rsid w:val="761D08E0"/>
    <w:rsid w:val="763A5CD8"/>
    <w:rsid w:val="765D347C"/>
    <w:rsid w:val="76826699"/>
    <w:rsid w:val="76C87133"/>
    <w:rsid w:val="76CD08D5"/>
    <w:rsid w:val="76DB4B92"/>
    <w:rsid w:val="77052AA4"/>
    <w:rsid w:val="77136511"/>
    <w:rsid w:val="77315B09"/>
    <w:rsid w:val="77340A39"/>
    <w:rsid w:val="77351FD0"/>
    <w:rsid w:val="77472422"/>
    <w:rsid w:val="777F31F2"/>
    <w:rsid w:val="778F3C27"/>
    <w:rsid w:val="779C6247"/>
    <w:rsid w:val="77D1700D"/>
    <w:rsid w:val="77DF044B"/>
    <w:rsid w:val="77EC04CC"/>
    <w:rsid w:val="77ED2B68"/>
    <w:rsid w:val="77FDDB5F"/>
    <w:rsid w:val="78063EE4"/>
    <w:rsid w:val="781A0520"/>
    <w:rsid w:val="78775729"/>
    <w:rsid w:val="78A42DB0"/>
    <w:rsid w:val="78A656AB"/>
    <w:rsid w:val="78B2245C"/>
    <w:rsid w:val="78C51ED0"/>
    <w:rsid w:val="78E172CC"/>
    <w:rsid w:val="78E201F2"/>
    <w:rsid w:val="78EA1D1F"/>
    <w:rsid w:val="7904172F"/>
    <w:rsid w:val="790F7E27"/>
    <w:rsid w:val="792A231A"/>
    <w:rsid w:val="79316829"/>
    <w:rsid w:val="79475498"/>
    <w:rsid w:val="79720531"/>
    <w:rsid w:val="797E66A9"/>
    <w:rsid w:val="79A97383"/>
    <w:rsid w:val="79B7342D"/>
    <w:rsid w:val="79D35D8D"/>
    <w:rsid w:val="79E27E8B"/>
    <w:rsid w:val="79F850CE"/>
    <w:rsid w:val="79FD443C"/>
    <w:rsid w:val="7A1D1975"/>
    <w:rsid w:val="7A307068"/>
    <w:rsid w:val="7A3E5150"/>
    <w:rsid w:val="7A4670D6"/>
    <w:rsid w:val="7A534B63"/>
    <w:rsid w:val="7A615382"/>
    <w:rsid w:val="7A67303B"/>
    <w:rsid w:val="7AAB1D04"/>
    <w:rsid w:val="7ABA4368"/>
    <w:rsid w:val="7AD05746"/>
    <w:rsid w:val="7B080600"/>
    <w:rsid w:val="7B200376"/>
    <w:rsid w:val="7B2173E8"/>
    <w:rsid w:val="7B257FFD"/>
    <w:rsid w:val="7B343476"/>
    <w:rsid w:val="7B5A2978"/>
    <w:rsid w:val="7B5A7E4C"/>
    <w:rsid w:val="7B667AF9"/>
    <w:rsid w:val="7B7468F8"/>
    <w:rsid w:val="7B7C1ABA"/>
    <w:rsid w:val="7BC30888"/>
    <w:rsid w:val="7BEE0103"/>
    <w:rsid w:val="7BF56183"/>
    <w:rsid w:val="7C0A0FE4"/>
    <w:rsid w:val="7C1A1F01"/>
    <w:rsid w:val="7C254906"/>
    <w:rsid w:val="7C30396B"/>
    <w:rsid w:val="7C590818"/>
    <w:rsid w:val="7C6FCA9D"/>
    <w:rsid w:val="7C7C10F6"/>
    <w:rsid w:val="7C853BEA"/>
    <w:rsid w:val="7C881368"/>
    <w:rsid w:val="7CE27788"/>
    <w:rsid w:val="7CE5569E"/>
    <w:rsid w:val="7CF22EFB"/>
    <w:rsid w:val="7D0C32F1"/>
    <w:rsid w:val="7D0F408D"/>
    <w:rsid w:val="7D491C6C"/>
    <w:rsid w:val="7D5429C0"/>
    <w:rsid w:val="7D6E6D43"/>
    <w:rsid w:val="7D7E1AD8"/>
    <w:rsid w:val="7DB57A34"/>
    <w:rsid w:val="7DE60973"/>
    <w:rsid w:val="7DEF0916"/>
    <w:rsid w:val="7DF74B1D"/>
    <w:rsid w:val="7E1E5218"/>
    <w:rsid w:val="7E290672"/>
    <w:rsid w:val="7E532133"/>
    <w:rsid w:val="7E662156"/>
    <w:rsid w:val="7E8D00FD"/>
    <w:rsid w:val="7E924985"/>
    <w:rsid w:val="7E9A4E1F"/>
    <w:rsid w:val="7EA7723A"/>
    <w:rsid w:val="7ED02A96"/>
    <w:rsid w:val="7EF56FBB"/>
    <w:rsid w:val="7F0768EB"/>
    <w:rsid w:val="7F143BEC"/>
    <w:rsid w:val="7F28097A"/>
    <w:rsid w:val="7F5A23C9"/>
    <w:rsid w:val="7F715AF2"/>
    <w:rsid w:val="7F886E69"/>
    <w:rsid w:val="7FFA4FF3"/>
    <w:rsid w:val="BB7FA927"/>
    <w:rsid w:val="DEFFAD92"/>
    <w:rsid w:val="DF8B5375"/>
    <w:rsid w:val="F5FFD31F"/>
    <w:rsid w:val="FA47BF2E"/>
    <w:rsid w:val="FA7DB66F"/>
    <w:rsid w:val="FEEF3596"/>
    <w:rsid w:val="FFF7D9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styleId="6">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3"/>
    <w:qFormat/>
    <w:uiPriority w:val="0"/>
    <w:pPr>
      <w:ind w:firstLine="420"/>
    </w:pPr>
    <w:rPr>
      <w:rFonts w:hAnsi="Calibri" w:cs="Times New Roman"/>
      <w:snapToGrid/>
      <w:szCs w:val="20"/>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cs="Arial"/>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9"/>
    <w:qFormat/>
    <w:uiPriority w:val="0"/>
    <w:rPr>
      <w:b/>
      <w:bCs/>
    </w:rPr>
  </w:style>
  <w:style w:type="paragraph" w:styleId="63">
    <w:name w:val="Body Text First Indent 2"/>
    <w:basedOn w:val="26"/>
    <w:next w:val="1"/>
    <w:link w:val="12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Times New Roman" w:hAnsi="Times New Roman" w:eastAsia="宋体" w:cs="Times New Roman"/>
      <w:kern w:val="2"/>
      <w:sz w:val="21"/>
      <w:szCs w:val="24"/>
      <w:lang w:val="en-US" w:eastAsia="zh-CN" w:bidi="ar-SA"/>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2"/>
    <w:basedOn w:val="1"/>
    <w:qFormat/>
    <w:uiPriority w:val="0"/>
    <w:pPr>
      <w:ind w:firstLine="200" w:firstLineChars="200"/>
    </w:pPr>
    <w:rPr>
      <w:rFonts w:ascii="Calibri" w:hAnsi="Calibri"/>
      <w:sz w:val="28"/>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99"/>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0"/>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5">
    <w:name w:val="纯文本3"/>
    <w:basedOn w:val="1"/>
    <w:qFormat/>
    <w:uiPriority w:val="0"/>
    <w:pPr>
      <w:textAlignment w:val="baseline"/>
    </w:pPr>
    <w:rPr>
      <w:rFonts w:ascii="宋体" w:hAnsi="Courier New" w:eastAsia="楷体_GB2312"/>
      <w:sz w:val="26"/>
      <w:szCs w:val="20"/>
    </w:rPr>
  </w:style>
  <w:style w:type="paragraph" w:customStyle="1" w:styleId="96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8">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69">
    <w:name w:val="NormalCharacter"/>
    <w:qFormat/>
    <w:uiPriority w:val="0"/>
    <w:rPr>
      <w:kern w:val="2"/>
      <w:sz w:val="21"/>
      <w:szCs w:val="24"/>
      <w:lang w:val="en-US" w:eastAsia="zh-CN" w:bidi="ar-SA"/>
    </w:rPr>
  </w:style>
  <w:style w:type="character" w:customStyle="1" w:styleId="970">
    <w:name w:val="UserStyle_12"/>
    <w:qFormat/>
    <w:uiPriority w:val="0"/>
    <w:rPr>
      <w:kern w:val="2"/>
      <w:sz w:val="21"/>
      <w:szCs w:val="24"/>
      <w:lang w:val="en-US" w:eastAsia="zh-CN" w:bidi="ar-SA"/>
    </w:rPr>
  </w:style>
  <w:style w:type="paragraph" w:customStyle="1" w:styleId="971">
    <w:name w:val="BodyText"/>
    <w:basedOn w:val="1"/>
    <w:next w:val="972"/>
    <w:qFormat/>
    <w:uiPriority w:val="0"/>
    <w:pPr>
      <w:spacing w:after="120"/>
      <w:textAlignment w:val="baseline"/>
    </w:pPr>
    <w:rPr>
      <w:rFonts w:ascii="Calibri" w:hAnsi="Calibri"/>
    </w:rPr>
  </w:style>
  <w:style w:type="paragraph" w:customStyle="1" w:styleId="972">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styleId="973">
    <w:name w:val="No Spacing"/>
    <w:basedOn w:val="1"/>
    <w:qFormat/>
    <w:uiPriority w:val="1"/>
    <w:rPr>
      <w:szCs w:val="22"/>
    </w:rPr>
  </w:style>
  <w:style w:type="paragraph" w:customStyle="1" w:styleId="974">
    <w:name w:val="Plain Text"/>
    <w:basedOn w:val="1"/>
    <w:qFormat/>
    <w:uiPriority w:val="0"/>
    <w:pPr>
      <w:adjustRightInd w:val="0"/>
      <w:textAlignment w:val="baseline"/>
    </w:pPr>
    <w:rPr>
      <w:rFonts w:ascii="宋体" w:hAnsi="Courier New" w:eastAsia="楷体_GB2312"/>
      <w:sz w:val="26"/>
      <w:szCs w:val="20"/>
    </w:rPr>
  </w:style>
  <w:style w:type="paragraph" w:customStyle="1" w:styleId="975">
    <w:name w:val="List Paragraph"/>
    <w:basedOn w:val="1"/>
    <w:qFormat/>
    <w:uiPriority w:val="0"/>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1"/>
    <customShpInfo spid="_x0000_s4102"/>
    <customShpInfo spid="_x0000_s4104"/>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49</Pages>
  <Words>26188</Words>
  <Characters>27747</Characters>
  <Lines>124</Lines>
  <Paragraphs>136</Paragraphs>
  <TotalTime>3</TotalTime>
  <ScaleCrop>false</ScaleCrop>
  <LinksUpToDate>false</LinksUpToDate>
  <CharactersWithSpaces>29777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9</cp:lastModifiedBy>
  <cp:lastPrinted>2022-12-06T07:26:00Z</cp:lastPrinted>
  <dcterms:modified xsi:type="dcterms:W3CDTF">2022-12-16T07:35:27Z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ies>
</file>