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line="700" w:lineRule="exact"/>
        <w:jc w:val="center"/>
        <w:rPr>
          <w:rFonts w:hint="eastAsia" w:eastAsia="宋体"/>
          <w:b/>
          <w:bCs/>
          <w:sz w:val="56"/>
          <w:szCs w:val="56"/>
          <w:highlight w:val="none"/>
          <w:lang w:eastAsia="zh-CN"/>
        </w:rPr>
      </w:pPr>
      <w:r>
        <w:rPr>
          <w:rFonts w:hint="eastAsia"/>
          <w:b/>
          <w:bCs/>
          <w:sz w:val="56"/>
          <w:szCs w:val="56"/>
          <w:highlight w:val="none"/>
          <w:lang w:eastAsia="zh-CN"/>
        </w:rPr>
        <w:t>海盐县人民法院涉案财物管理项目</w:t>
      </w:r>
    </w:p>
    <w:p>
      <w:pPr>
        <w:adjustRightInd w:val="0"/>
        <w:snapToGrid w:val="0"/>
        <w:spacing w:line="700" w:lineRule="exact"/>
        <w:jc w:val="center"/>
        <w:rPr>
          <w:b/>
          <w:snapToGrid w:val="0"/>
          <w:sz w:val="84"/>
          <w:szCs w:val="84"/>
          <w:highlight w:val="none"/>
        </w:rPr>
      </w:pPr>
    </w:p>
    <w:p>
      <w:pPr>
        <w:adjustRightInd w:val="0"/>
        <w:snapToGrid w:val="0"/>
        <w:spacing w:line="600" w:lineRule="exact"/>
        <w:rPr>
          <w:b/>
          <w:snapToGrid w:val="0"/>
          <w:sz w:val="84"/>
          <w:szCs w:val="84"/>
          <w:highlight w:val="none"/>
        </w:rPr>
      </w:pPr>
    </w:p>
    <w:p>
      <w:pPr>
        <w:adjustRightInd w:val="0"/>
        <w:snapToGrid w:val="0"/>
        <w:spacing w:line="600" w:lineRule="exact"/>
        <w:rPr>
          <w:b/>
          <w:snapToGrid w:val="0"/>
          <w:sz w:val="84"/>
          <w:szCs w:val="84"/>
          <w:highlight w:val="none"/>
        </w:rPr>
      </w:pPr>
    </w:p>
    <w:p>
      <w:pPr>
        <w:pStyle w:val="15"/>
        <w:ind w:left="480"/>
        <w:rPr>
          <w:highlight w:val="none"/>
        </w:rPr>
      </w:pPr>
    </w:p>
    <w:p>
      <w:pPr>
        <w:adjustRightInd w:val="0"/>
        <w:snapToGrid w:val="0"/>
        <w:spacing w:line="600" w:lineRule="exact"/>
        <w:rPr>
          <w:b/>
          <w:snapToGrid w:val="0"/>
          <w:sz w:val="84"/>
          <w:szCs w:val="84"/>
          <w:highlight w:val="none"/>
        </w:rPr>
      </w:pPr>
    </w:p>
    <w:p>
      <w:pPr>
        <w:adjustRightInd w:val="0"/>
        <w:snapToGrid w:val="0"/>
        <w:spacing w:line="800" w:lineRule="atLeast"/>
        <w:jc w:val="center"/>
        <w:rPr>
          <w:b/>
          <w:snapToGrid w:val="0"/>
          <w:sz w:val="72"/>
          <w:szCs w:val="72"/>
          <w:highlight w:val="none"/>
        </w:rPr>
      </w:pPr>
      <w:r>
        <w:rPr>
          <w:rFonts w:hint="eastAsia"/>
          <w:b/>
          <w:snapToGrid w:val="0"/>
          <w:sz w:val="72"/>
          <w:szCs w:val="72"/>
          <w:highlight w:val="none"/>
        </w:rPr>
        <w:t xml:space="preserve">竞争性磋商采购文件 </w:t>
      </w:r>
    </w:p>
    <w:p>
      <w:pPr>
        <w:adjustRightInd w:val="0"/>
        <w:snapToGrid w:val="0"/>
        <w:spacing w:line="500" w:lineRule="exact"/>
        <w:jc w:val="center"/>
        <w:rPr>
          <w:bCs/>
          <w:snapToGrid w:val="0"/>
          <w:sz w:val="44"/>
          <w:szCs w:val="44"/>
          <w:highlight w:val="none"/>
        </w:rPr>
      </w:pPr>
    </w:p>
    <w:p>
      <w:pPr>
        <w:adjustRightInd w:val="0"/>
        <w:snapToGrid w:val="0"/>
        <w:spacing w:line="500" w:lineRule="exact"/>
        <w:jc w:val="center"/>
        <w:rPr>
          <w:bCs/>
          <w:snapToGrid w:val="0"/>
          <w:sz w:val="44"/>
          <w:szCs w:val="44"/>
          <w:highlight w:val="none"/>
        </w:rPr>
      </w:pPr>
    </w:p>
    <w:p>
      <w:pPr>
        <w:adjustRightInd w:val="0"/>
        <w:snapToGrid w:val="0"/>
        <w:spacing w:line="500" w:lineRule="exact"/>
        <w:rPr>
          <w:bCs/>
          <w:snapToGrid w:val="0"/>
          <w:sz w:val="32"/>
          <w:highlight w:val="none"/>
        </w:rPr>
      </w:pPr>
    </w:p>
    <w:p>
      <w:pPr>
        <w:rPr>
          <w:bCs/>
          <w:snapToGrid w:val="0"/>
          <w:highlight w:val="none"/>
        </w:rPr>
      </w:pPr>
    </w:p>
    <w:p>
      <w:pPr>
        <w:pStyle w:val="9"/>
        <w:rPr>
          <w:highlight w:val="none"/>
        </w:rPr>
      </w:pPr>
    </w:p>
    <w:p>
      <w:pPr>
        <w:rPr>
          <w:highlight w:val="none"/>
        </w:rPr>
      </w:pPr>
    </w:p>
    <w:p>
      <w:pPr>
        <w:adjustRightInd w:val="0"/>
        <w:snapToGrid w:val="0"/>
        <w:spacing w:line="500" w:lineRule="exact"/>
        <w:rPr>
          <w:bCs/>
          <w:snapToGrid w:val="0"/>
          <w:color w:val="0000FF"/>
          <w:sz w:val="32"/>
          <w:highlight w:val="none"/>
        </w:rPr>
      </w:pPr>
    </w:p>
    <w:p>
      <w:pPr>
        <w:adjustRightInd w:val="0"/>
        <w:snapToGrid w:val="0"/>
        <w:spacing w:line="480" w:lineRule="auto"/>
        <w:ind w:firstLine="297" w:firstLineChars="99"/>
        <w:rPr>
          <w:snapToGrid w:val="0"/>
          <w:sz w:val="30"/>
          <w:szCs w:val="30"/>
          <w:highlight w:val="none"/>
        </w:rPr>
      </w:pPr>
    </w:p>
    <w:p>
      <w:pPr>
        <w:adjustRightInd w:val="0"/>
        <w:snapToGrid w:val="0"/>
        <w:spacing w:line="480" w:lineRule="auto"/>
        <w:ind w:firstLine="297" w:firstLineChars="99"/>
        <w:rPr>
          <w:snapToGrid w:val="0"/>
          <w:sz w:val="30"/>
          <w:szCs w:val="30"/>
          <w:highlight w:val="none"/>
          <w:u w:val="single"/>
        </w:rPr>
      </w:pPr>
      <w:r>
        <w:rPr>
          <w:rFonts w:hint="eastAsia"/>
          <w:snapToGrid w:val="0"/>
          <w:sz w:val="30"/>
          <w:szCs w:val="30"/>
          <w:highlight w:val="none"/>
        </w:rPr>
        <w:t>项目编号：</w:t>
      </w:r>
      <w:r>
        <w:rPr>
          <w:rFonts w:hint="eastAsia"/>
          <w:snapToGrid w:val="0"/>
          <w:sz w:val="30"/>
          <w:szCs w:val="30"/>
          <w:highlight w:val="none"/>
          <w:u w:val="single"/>
        </w:rPr>
        <w:t>嘉建咨Y采[2022]</w:t>
      </w:r>
      <w:r>
        <w:rPr>
          <w:rFonts w:hint="eastAsia"/>
          <w:snapToGrid w:val="0"/>
          <w:sz w:val="30"/>
          <w:szCs w:val="30"/>
          <w:highlight w:val="none"/>
          <w:u w:val="single"/>
          <w:lang w:val="en-US" w:eastAsia="zh-CN"/>
        </w:rPr>
        <w:t>76</w:t>
      </w:r>
      <w:r>
        <w:rPr>
          <w:rFonts w:hint="eastAsia"/>
          <w:snapToGrid w:val="0"/>
          <w:sz w:val="30"/>
          <w:szCs w:val="30"/>
          <w:highlight w:val="none"/>
          <w:u w:val="single"/>
        </w:rPr>
        <w:t>号</w:t>
      </w:r>
    </w:p>
    <w:p>
      <w:pPr>
        <w:adjustRightInd w:val="0"/>
        <w:snapToGrid w:val="0"/>
        <w:spacing w:line="480" w:lineRule="auto"/>
        <w:ind w:firstLine="300" w:firstLineChars="100"/>
        <w:rPr>
          <w:rFonts w:hint="eastAsia" w:eastAsia="宋体"/>
          <w:highlight w:val="none"/>
          <w:lang w:eastAsia="zh-CN"/>
        </w:rPr>
      </w:pPr>
      <w:r>
        <w:rPr>
          <w:rFonts w:hint="eastAsia"/>
          <w:snapToGrid w:val="0"/>
          <w:sz w:val="30"/>
          <w:szCs w:val="30"/>
          <w:highlight w:val="none"/>
        </w:rPr>
        <w:t>项目名称：</w:t>
      </w:r>
      <w:r>
        <w:rPr>
          <w:rFonts w:hint="eastAsia"/>
          <w:snapToGrid w:val="0"/>
          <w:sz w:val="30"/>
          <w:szCs w:val="30"/>
          <w:highlight w:val="none"/>
          <w:u w:val="single"/>
          <w:lang w:eastAsia="zh-CN"/>
        </w:rPr>
        <w:t>海盐县人民法院涉案财物管理项目</w:t>
      </w:r>
    </w:p>
    <w:p>
      <w:pPr>
        <w:adjustRightInd w:val="0"/>
        <w:snapToGrid w:val="0"/>
        <w:spacing w:line="480" w:lineRule="auto"/>
        <w:ind w:left="1735" w:leftChars="98" w:hanging="1500" w:hangingChars="500"/>
        <w:rPr>
          <w:snapToGrid w:val="0"/>
          <w:sz w:val="30"/>
          <w:szCs w:val="30"/>
          <w:highlight w:val="none"/>
          <w:u w:val="single"/>
        </w:rPr>
      </w:pPr>
      <w:r>
        <w:rPr>
          <w:rFonts w:hint="eastAsia"/>
          <w:snapToGrid w:val="0"/>
          <w:sz w:val="30"/>
          <w:szCs w:val="30"/>
          <w:highlight w:val="none"/>
        </w:rPr>
        <w:t>采 购 人：</w:t>
      </w:r>
      <w:r>
        <w:rPr>
          <w:rFonts w:hint="eastAsia" w:cs="Arial"/>
          <w:sz w:val="30"/>
          <w:szCs w:val="30"/>
          <w:highlight w:val="none"/>
          <w:u w:val="single"/>
          <w:lang w:eastAsia="zh-CN"/>
        </w:rPr>
        <w:t>海盐县人民法院</w:t>
      </w:r>
      <w:r>
        <w:rPr>
          <w:rFonts w:hint="eastAsia"/>
          <w:snapToGrid w:val="0"/>
          <w:sz w:val="30"/>
          <w:szCs w:val="30"/>
          <w:highlight w:val="none"/>
          <w:u w:val="single"/>
        </w:rPr>
        <w:t>（盖章）</w:t>
      </w:r>
    </w:p>
    <w:p>
      <w:pPr>
        <w:adjustRightInd w:val="0"/>
        <w:snapToGrid w:val="0"/>
        <w:spacing w:line="480" w:lineRule="auto"/>
        <w:ind w:left="1735" w:leftChars="98" w:hanging="1500" w:hangingChars="500"/>
        <w:rPr>
          <w:snapToGrid w:val="0"/>
          <w:sz w:val="30"/>
          <w:szCs w:val="30"/>
          <w:highlight w:val="none"/>
        </w:rPr>
      </w:pPr>
      <w:r>
        <w:rPr>
          <w:rFonts w:hint="eastAsia"/>
          <w:snapToGrid w:val="0"/>
          <w:sz w:val="30"/>
          <w:szCs w:val="30"/>
          <w:highlight w:val="none"/>
        </w:rPr>
        <w:t>代理机构：</w:t>
      </w:r>
      <w:r>
        <w:rPr>
          <w:rFonts w:hint="eastAsia"/>
          <w:snapToGrid w:val="0"/>
          <w:sz w:val="30"/>
          <w:szCs w:val="30"/>
          <w:highlight w:val="none"/>
          <w:u w:val="single"/>
        </w:rPr>
        <w:t>嘉兴市建新工程造价咨询事务所有限公司（盖章）</w:t>
      </w:r>
    </w:p>
    <w:p>
      <w:pPr>
        <w:adjustRightInd w:val="0"/>
        <w:snapToGrid w:val="0"/>
        <w:spacing w:line="480" w:lineRule="auto"/>
        <w:jc w:val="center"/>
        <w:rPr>
          <w:sz w:val="44"/>
          <w:szCs w:val="44"/>
          <w:highlight w:val="none"/>
        </w:rPr>
      </w:pPr>
      <w:r>
        <w:rPr>
          <w:rFonts w:hint="eastAsia"/>
          <w:snapToGrid w:val="0"/>
          <w:sz w:val="30"/>
          <w:szCs w:val="30"/>
          <w:highlight w:val="none"/>
        </w:rPr>
        <w:t>2022年</w:t>
      </w:r>
      <w:r>
        <w:rPr>
          <w:rFonts w:hint="eastAsia"/>
          <w:snapToGrid w:val="0"/>
          <w:sz w:val="30"/>
          <w:szCs w:val="30"/>
          <w:highlight w:val="none"/>
          <w:lang w:val="en-US" w:eastAsia="zh-CN"/>
        </w:rPr>
        <w:t>11</w:t>
      </w:r>
      <w:r>
        <w:rPr>
          <w:rFonts w:hint="eastAsia"/>
          <w:snapToGrid w:val="0"/>
          <w:sz w:val="30"/>
          <w:szCs w:val="30"/>
          <w:highlight w:val="none"/>
        </w:rPr>
        <w:t>月</w:t>
      </w:r>
    </w:p>
    <w:p>
      <w:pPr>
        <w:jc w:val="center"/>
        <w:rPr>
          <w:b/>
          <w:sz w:val="44"/>
          <w:szCs w:val="44"/>
          <w:highlight w:val="none"/>
        </w:rPr>
        <w:sectPr>
          <w:headerReference r:id="rId4" w:type="default"/>
          <w:footerReference r:id="rId5" w:type="default"/>
          <w:pgSz w:w="11906" w:h="16838"/>
          <w:pgMar w:top="1440" w:right="1684" w:bottom="1440" w:left="1684" w:header="851" w:footer="851" w:gutter="0"/>
          <w:cols w:space="720" w:num="1"/>
          <w:docGrid w:linePitch="312" w:charSpace="0"/>
        </w:sectPr>
      </w:pPr>
    </w:p>
    <w:p>
      <w:pPr>
        <w:pStyle w:val="23"/>
        <w:rPr>
          <w:highlight w:val="none"/>
        </w:rPr>
      </w:pPr>
    </w:p>
    <w:p>
      <w:pPr>
        <w:jc w:val="center"/>
        <w:rPr>
          <w:highlight w:val="none"/>
        </w:rPr>
      </w:pPr>
      <w:r>
        <w:rPr>
          <w:rFonts w:hint="eastAsia"/>
          <w:b/>
          <w:sz w:val="44"/>
          <w:szCs w:val="44"/>
          <w:highlight w:val="none"/>
        </w:rPr>
        <w:t>目  录</w:t>
      </w:r>
    </w:p>
    <w:p>
      <w:pPr>
        <w:adjustRightInd w:val="0"/>
        <w:snapToGrid w:val="0"/>
        <w:spacing w:line="360" w:lineRule="auto"/>
        <w:rPr>
          <w:sz w:val="30"/>
          <w:szCs w:val="30"/>
          <w:highlight w:val="none"/>
        </w:rPr>
      </w:pPr>
    </w:p>
    <w:p>
      <w:pPr>
        <w:rPr>
          <w:highlight w:val="none"/>
        </w:rPr>
      </w:pPr>
    </w:p>
    <w:p>
      <w:pPr>
        <w:pStyle w:val="20"/>
        <w:tabs>
          <w:tab w:val="right" w:leader="dot" w:pos="9070"/>
        </w:tabs>
        <w:spacing w:line="480" w:lineRule="auto"/>
        <w:rPr>
          <w:sz w:val="30"/>
          <w:szCs w:val="30"/>
          <w:highlight w:val="none"/>
        </w:rPr>
      </w:pPr>
      <w:r>
        <w:rPr>
          <w:sz w:val="30"/>
          <w:szCs w:val="30"/>
          <w:highlight w:val="none"/>
        </w:rPr>
        <w:fldChar w:fldCharType="begin"/>
      </w:r>
      <w:r>
        <w:rPr>
          <w:sz w:val="30"/>
          <w:szCs w:val="30"/>
          <w:highlight w:val="none"/>
        </w:rPr>
        <w:instrText xml:space="preserve">TOC \o "1-1" \h \u </w:instrText>
      </w:r>
      <w:r>
        <w:rPr>
          <w:sz w:val="30"/>
          <w:szCs w:val="30"/>
          <w:highlight w:val="none"/>
        </w:rPr>
        <w:fldChar w:fldCharType="separate"/>
      </w:r>
      <w:r>
        <w:rPr>
          <w:highlight w:val="none"/>
        </w:rPr>
        <w:fldChar w:fldCharType="begin"/>
      </w:r>
      <w:r>
        <w:rPr>
          <w:highlight w:val="none"/>
        </w:rPr>
        <w:instrText xml:space="preserve"> HYPERLINK \l "_Toc1400" </w:instrText>
      </w:r>
      <w:r>
        <w:rPr>
          <w:highlight w:val="none"/>
        </w:rPr>
        <w:fldChar w:fldCharType="separate"/>
      </w:r>
      <w:r>
        <w:rPr>
          <w:rFonts w:hint="eastAsia"/>
          <w:sz w:val="30"/>
          <w:szCs w:val="30"/>
          <w:highlight w:val="none"/>
        </w:rPr>
        <w:t>第一章  竞争性磋商公告</w:t>
      </w:r>
      <w:r>
        <w:rPr>
          <w:sz w:val="30"/>
          <w:szCs w:val="30"/>
          <w:highlight w:val="none"/>
        </w:rPr>
        <w:tab/>
      </w:r>
      <w:r>
        <w:rPr>
          <w:sz w:val="30"/>
          <w:szCs w:val="30"/>
          <w:highlight w:val="none"/>
        </w:rPr>
        <w:fldChar w:fldCharType="begin"/>
      </w:r>
      <w:r>
        <w:rPr>
          <w:sz w:val="30"/>
          <w:szCs w:val="30"/>
          <w:highlight w:val="none"/>
        </w:rPr>
        <w:instrText xml:space="preserve"> PAGEREF _Toc1400 </w:instrText>
      </w:r>
      <w:r>
        <w:rPr>
          <w:sz w:val="30"/>
          <w:szCs w:val="30"/>
          <w:highlight w:val="none"/>
        </w:rPr>
        <w:fldChar w:fldCharType="separate"/>
      </w:r>
      <w:r>
        <w:rPr>
          <w:sz w:val="30"/>
          <w:szCs w:val="30"/>
          <w:highlight w:val="none"/>
        </w:rPr>
        <w:t>3</w:t>
      </w:r>
      <w:r>
        <w:rPr>
          <w:sz w:val="30"/>
          <w:szCs w:val="30"/>
          <w:highlight w:val="none"/>
        </w:rPr>
        <w:fldChar w:fldCharType="end"/>
      </w:r>
      <w:r>
        <w:rPr>
          <w:sz w:val="30"/>
          <w:szCs w:val="30"/>
          <w:highlight w:val="none"/>
        </w:rPr>
        <w:fldChar w:fldCharType="end"/>
      </w:r>
    </w:p>
    <w:p>
      <w:pPr>
        <w:pStyle w:val="20"/>
        <w:tabs>
          <w:tab w:val="right" w:leader="dot" w:pos="9070"/>
        </w:tabs>
        <w:spacing w:line="480" w:lineRule="auto"/>
        <w:rPr>
          <w:sz w:val="30"/>
          <w:szCs w:val="30"/>
          <w:highlight w:val="none"/>
        </w:rPr>
      </w:pPr>
      <w:r>
        <w:rPr>
          <w:highlight w:val="none"/>
        </w:rPr>
        <w:fldChar w:fldCharType="begin"/>
      </w:r>
      <w:r>
        <w:rPr>
          <w:highlight w:val="none"/>
        </w:rPr>
        <w:instrText xml:space="preserve"> HYPERLINK \l "_Toc16205" </w:instrText>
      </w:r>
      <w:r>
        <w:rPr>
          <w:highlight w:val="none"/>
        </w:rPr>
        <w:fldChar w:fldCharType="separate"/>
      </w:r>
      <w:r>
        <w:rPr>
          <w:rFonts w:hint="eastAsia"/>
          <w:sz w:val="30"/>
          <w:szCs w:val="30"/>
          <w:highlight w:val="none"/>
        </w:rPr>
        <w:t>第二章  采购需求</w:t>
      </w:r>
      <w:r>
        <w:rPr>
          <w:sz w:val="30"/>
          <w:szCs w:val="30"/>
          <w:highlight w:val="none"/>
        </w:rPr>
        <w:tab/>
      </w:r>
      <w:r>
        <w:rPr>
          <w:sz w:val="30"/>
          <w:szCs w:val="30"/>
          <w:highlight w:val="none"/>
        </w:rPr>
        <w:fldChar w:fldCharType="begin"/>
      </w:r>
      <w:r>
        <w:rPr>
          <w:sz w:val="30"/>
          <w:szCs w:val="30"/>
          <w:highlight w:val="none"/>
        </w:rPr>
        <w:instrText xml:space="preserve"> PAGEREF _Toc16205 </w:instrText>
      </w:r>
      <w:r>
        <w:rPr>
          <w:sz w:val="30"/>
          <w:szCs w:val="30"/>
          <w:highlight w:val="none"/>
        </w:rPr>
        <w:fldChar w:fldCharType="separate"/>
      </w:r>
      <w:r>
        <w:rPr>
          <w:sz w:val="30"/>
          <w:szCs w:val="30"/>
          <w:highlight w:val="none"/>
        </w:rPr>
        <w:t>7</w:t>
      </w:r>
      <w:r>
        <w:rPr>
          <w:sz w:val="30"/>
          <w:szCs w:val="30"/>
          <w:highlight w:val="none"/>
        </w:rPr>
        <w:fldChar w:fldCharType="end"/>
      </w:r>
      <w:r>
        <w:rPr>
          <w:sz w:val="30"/>
          <w:szCs w:val="30"/>
          <w:highlight w:val="none"/>
        </w:rPr>
        <w:fldChar w:fldCharType="end"/>
      </w:r>
    </w:p>
    <w:p>
      <w:pPr>
        <w:pStyle w:val="20"/>
        <w:tabs>
          <w:tab w:val="right" w:leader="dot" w:pos="9070"/>
        </w:tabs>
        <w:spacing w:line="480" w:lineRule="auto"/>
        <w:rPr>
          <w:sz w:val="30"/>
          <w:szCs w:val="30"/>
          <w:highlight w:val="none"/>
        </w:rPr>
      </w:pPr>
      <w:r>
        <w:rPr>
          <w:highlight w:val="none"/>
        </w:rPr>
        <w:fldChar w:fldCharType="begin"/>
      </w:r>
      <w:r>
        <w:rPr>
          <w:highlight w:val="none"/>
        </w:rPr>
        <w:instrText xml:space="preserve"> HYPERLINK \l "_Toc18149" </w:instrText>
      </w:r>
      <w:r>
        <w:rPr>
          <w:highlight w:val="none"/>
        </w:rPr>
        <w:fldChar w:fldCharType="separate"/>
      </w:r>
      <w:r>
        <w:rPr>
          <w:rFonts w:hint="eastAsia"/>
          <w:sz w:val="30"/>
          <w:szCs w:val="30"/>
          <w:highlight w:val="none"/>
        </w:rPr>
        <w:t>第三章  供应商须知</w:t>
      </w:r>
      <w:r>
        <w:rPr>
          <w:sz w:val="30"/>
          <w:szCs w:val="30"/>
          <w:highlight w:val="none"/>
        </w:rPr>
        <w:tab/>
      </w:r>
      <w:r>
        <w:rPr>
          <w:rFonts w:hint="eastAsia"/>
          <w:sz w:val="30"/>
          <w:szCs w:val="30"/>
          <w:highlight w:val="none"/>
        </w:rPr>
        <w:t>7</w:t>
      </w:r>
      <w:r>
        <w:rPr>
          <w:rFonts w:hint="eastAsia"/>
          <w:sz w:val="30"/>
          <w:szCs w:val="30"/>
          <w:highlight w:val="none"/>
        </w:rPr>
        <w:fldChar w:fldCharType="end"/>
      </w:r>
    </w:p>
    <w:p>
      <w:pPr>
        <w:pStyle w:val="20"/>
        <w:tabs>
          <w:tab w:val="right" w:leader="dot" w:pos="9070"/>
        </w:tabs>
        <w:spacing w:line="480" w:lineRule="auto"/>
        <w:rPr>
          <w:sz w:val="30"/>
          <w:szCs w:val="30"/>
          <w:highlight w:val="none"/>
        </w:rPr>
      </w:pPr>
      <w:r>
        <w:rPr>
          <w:highlight w:val="none"/>
        </w:rPr>
        <w:fldChar w:fldCharType="begin"/>
      </w:r>
      <w:r>
        <w:rPr>
          <w:highlight w:val="none"/>
        </w:rPr>
        <w:instrText xml:space="preserve"> HYPERLINK \l "_Toc27309" </w:instrText>
      </w:r>
      <w:r>
        <w:rPr>
          <w:highlight w:val="none"/>
        </w:rPr>
        <w:fldChar w:fldCharType="separate"/>
      </w:r>
      <w:r>
        <w:rPr>
          <w:rFonts w:hint="eastAsia"/>
          <w:sz w:val="30"/>
          <w:szCs w:val="30"/>
          <w:highlight w:val="none"/>
        </w:rPr>
        <w:t>第四章  评标办法及评分标准</w:t>
      </w:r>
      <w:r>
        <w:rPr>
          <w:sz w:val="30"/>
          <w:szCs w:val="30"/>
          <w:highlight w:val="none"/>
        </w:rPr>
        <w:tab/>
      </w:r>
      <w:r>
        <w:rPr>
          <w:rFonts w:hint="eastAsia"/>
          <w:sz w:val="30"/>
          <w:szCs w:val="30"/>
          <w:highlight w:val="none"/>
        </w:rPr>
        <w:t>1</w:t>
      </w:r>
      <w:r>
        <w:rPr>
          <w:rFonts w:hint="eastAsia"/>
          <w:sz w:val="30"/>
          <w:szCs w:val="30"/>
          <w:highlight w:val="none"/>
        </w:rPr>
        <w:fldChar w:fldCharType="end"/>
      </w:r>
      <w:r>
        <w:rPr>
          <w:rFonts w:hint="eastAsia"/>
          <w:sz w:val="30"/>
          <w:szCs w:val="30"/>
          <w:highlight w:val="none"/>
        </w:rPr>
        <w:t>9</w:t>
      </w:r>
    </w:p>
    <w:p>
      <w:pPr>
        <w:pStyle w:val="20"/>
        <w:tabs>
          <w:tab w:val="right" w:leader="dot" w:pos="9070"/>
        </w:tabs>
        <w:spacing w:line="480" w:lineRule="auto"/>
        <w:rPr>
          <w:sz w:val="30"/>
          <w:szCs w:val="30"/>
          <w:highlight w:val="none"/>
        </w:rPr>
      </w:pPr>
      <w:r>
        <w:rPr>
          <w:highlight w:val="none"/>
        </w:rPr>
        <w:fldChar w:fldCharType="begin"/>
      </w:r>
      <w:r>
        <w:rPr>
          <w:highlight w:val="none"/>
        </w:rPr>
        <w:instrText xml:space="preserve"> HYPERLINK \l "_Toc6501" </w:instrText>
      </w:r>
      <w:r>
        <w:rPr>
          <w:highlight w:val="none"/>
        </w:rPr>
        <w:fldChar w:fldCharType="separate"/>
      </w:r>
      <w:r>
        <w:rPr>
          <w:rFonts w:hint="eastAsia"/>
          <w:sz w:val="30"/>
          <w:szCs w:val="30"/>
          <w:highlight w:val="none"/>
        </w:rPr>
        <w:t>第五章  合同主要条款</w:t>
      </w:r>
      <w:r>
        <w:rPr>
          <w:sz w:val="30"/>
          <w:szCs w:val="30"/>
          <w:highlight w:val="none"/>
        </w:rPr>
        <w:tab/>
      </w:r>
      <w:r>
        <w:rPr>
          <w:rFonts w:hint="eastAsia"/>
          <w:sz w:val="30"/>
          <w:szCs w:val="30"/>
          <w:highlight w:val="none"/>
        </w:rPr>
        <w:t>2</w:t>
      </w:r>
      <w:r>
        <w:rPr>
          <w:rFonts w:hint="eastAsia"/>
          <w:sz w:val="30"/>
          <w:szCs w:val="30"/>
          <w:highlight w:val="none"/>
        </w:rPr>
        <w:fldChar w:fldCharType="end"/>
      </w:r>
      <w:r>
        <w:rPr>
          <w:rFonts w:hint="eastAsia"/>
          <w:sz w:val="30"/>
          <w:szCs w:val="30"/>
          <w:highlight w:val="none"/>
        </w:rPr>
        <w:t>2</w:t>
      </w:r>
    </w:p>
    <w:p>
      <w:pPr>
        <w:pStyle w:val="20"/>
        <w:tabs>
          <w:tab w:val="right" w:leader="dot" w:pos="9070"/>
        </w:tabs>
        <w:spacing w:line="480" w:lineRule="auto"/>
        <w:rPr>
          <w:sz w:val="30"/>
          <w:szCs w:val="30"/>
          <w:highlight w:val="none"/>
        </w:rPr>
      </w:pPr>
      <w:r>
        <w:rPr>
          <w:highlight w:val="none"/>
        </w:rPr>
        <w:fldChar w:fldCharType="begin"/>
      </w:r>
      <w:r>
        <w:rPr>
          <w:highlight w:val="none"/>
        </w:rPr>
        <w:instrText xml:space="preserve"> HYPERLINK \l "_Toc13514" </w:instrText>
      </w:r>
      <w:r>
        <w:rPr>
          <w:highlight w:val="none"/>
        </w:rPr>
        <w:fldChar w:fldCharType="separate"/>
      </w:r>
      <w:r>
        <w:rPr>
          <w:rFonts w:hint="eastAsia"/>
          <w:sz w:val="30"/>
          <w:szCs w:val="30"/>
          <w:highlight w:val="none"/>
        </w:rPr>
        <w:t>第六章　投标文件格式</w:t>
      </w:r>
      <w:r>
        <w:rPr>
          <w:sz w:val="30"/>
          <w:szCs w:val="30"/>
          <w:highlight w:val="none"/>
        </w:rPr>
        <w:tab/>
      </w:r>
      <w:r>
        <w:rPr>
          <w:rFonts w:hint="eastAsia"/>
          <w:sz w:val="30"/>
          <w:szCs w:val="30"/>
          <w:highlight w:val="none"/>
        </w:rPr>
        <w:t>2</w:t>
      </w:r>
      <w:r>
        <w:rPr>
          <w:rFonts w:hint="eastAsia"/>
          <w:sz w:val="30"/>
          <w:szCs w:val="30"/>
          <w:highlight w:val="none"/>
        </w:rPr>
        <w:fldChar w:fldCharType="end"/>
      </w:r>
      <w:r>
        <w:rPr>
          <w:rFonts w:hint="eastAsia"/>
          <w:sz w:val="30"/>
          <w:szCs w:val="30"/>
          <w:highlight w:val="none"/>
        </w:rPr>
        <w:t>7</w:t>
      </w:r>
    </w:p>
    <w:p>
      <w:pPr>
        <w:spacing w:line="480" w:lineRule="auto"/>
        <w:rPr>
          <w:highlight w:val="none"/>
        </w:rPr>
      </w:pPr>
      <w:r>
        <w:rPr>
          <w:sz w:val="30"/>
          <w:szCs w:val="30"/>
          <w:highlight w:val="none"/>
        </w:rPr>
        <w:fldChar w:fldCharType="end"/>
      </w:r>
    </w:p>
    <w:p>
      <w:pPr>
        <w:spacing w:line="480" w:lineRule="exact"/>
        <w:jc w:val="center"/>
        <w:outlineLvl w:val="0"/>
        <w:rPr>
          <w:b/>
          <w:sz w:val="36"/>
          <w:szCs w:val="36"/>
          <w:highlight w:val="none"/>
        </w:rPr>
      </w:pPr>
      <w:r>
        <w:rPr>
          <w:b/>
          <w:sz w:val="36"/>
          <w:szCs w:val="36"/>
          <w:highlight w:val="none"/>
        </w:rPr>
        <w:br w:type="page"/>
      </w:r>
      <w:bookmarkStart w:id="0" w:name="_Toc1400"/>
      <w:bookmarkStart w:id="1" w:name="_Toc8164"/>
      <w:bookmarkStart w:id="2" w:name="_Toc30914"/>
      <w:r>
        <w:rPr>
          <w:rFonts w:hint="eastAsia"/>
          <w:b/>
          <w:sz w:val="36"/>
          <w:szCs w:val="36"/>
          <w:highlight w:val="none"/>
        </w:rPr>
        <w:t>第一章  竞争性磋商公告</w:t>
      </w:r>
      <w:bookmarkEnd w:id="0"/>
      <w:bookmarkEnd w:id="1"/>
      <w:bookmarkEnd w:id="2"/>
    </w:p>
    <w:p>
      <w:pPr>
        <w:spacing w:line="360" w:lineRule="auto"/>
        <w:ind w:left="50" w:leftChars="21" w:right="62" w:firstLine="480" w:firstLineChars="200"/>
        <w:rPr>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6" w:type="dxa"/>
            <w:noWrap w:val="0"/>
            <w:vAlign w:val="top"/>
          </w:tcPr>
          <w:p>
            <w:pPr>
              <w:keepNext w:val="0"/>
              <w:keepLines w:val="0"/>
              <w:kinsoku/>
              <w:overflowPunct/>
              <w:topLinePunct w:val="0"/>
              <w:autoSpaceDE/>
              <w:autoSpaceDN/>
              <w:bidi w:val="0"/>
              <w:spacing w:line="400" w:lineRule="exact"/>
              <w:textAlignment w:val="auto"/>
              <w:rPr>
                <w:rFonts w:ascii="宋体" w:hAnsi="宋体" w:cs="Arial"/>
                <w:color w:val="auto"/>
                <w:szCs w:val="21"/>
                <w:highlight w:val="none"/>
              </w:rPr>
            </w:pPr>
            <w:r>
              <w:rPr>
                <w:rFonts w:ascii="宋体" w:hAnsi="宋体" w:cs="Arial"/>
                <w:color w:val="auto"/>
                <w:szCs w:val="21"/>
                <w:highlight w:val="none"/>
              </w:rPr>
              <w:t>项目概况</w:t>
            </w:r>
          </w:p>
          <w:p>
            <w:pPr>
              <w:keepNext w:val="0"/>
              <w:keepLines w:val="0"/>
              <w:kinsoku/>
              <w:overflowPunct/>
              <w:topLinePunct w:val="0"/>
              <w:autoSpaceDE/>
              <w:autoSpaceDN/>
              <w:bidi w:val="0"/>
              <w:spacing w:line="400" w:lineRule="exact"/>
              <w:ind w:firstLine="480" w:firstLineChars="200"/>
              <w:textAlignment w:val="auto"/>
              <w:rPr>
                <w:rFonts w:ascii="宋体" w:hAnsi="宋体"/>
                <w:color w:val="auto"/>
                <w:szCs w:val="21"/>
                <w:highlight w:val="none"/>
              </w:rPr>
            </w:pPr>
            <w:r>
              <w:rPr>
                <w:rFonts w:hint="eastAsia"/>
                <w:kern w:val="2"/>
                <w:szCs w:val="21"/>
                <w:highlight w:val="none"/>
                <w:lang w:eastAsia="zh-CN"/>
              </w:rPr>
              <w:t>海盐县人民法院涉案财物管理项目</w:t>
            </w:r>
            <w:r>
              <w:rPr>
                <w:rFonts w:ascii="宋体" w:hAnsi="宋体" w:cs="Arial"/>
                <w:color w:val="auto"/>
                <w:szCs w:val="21"/>
                <w:highlight w:val="none"/>
              </w:rPr>
              <w:t>招标项目的潜在供应商应在</w:t>
            </w:r>
            <w:r>
              <w:rPr>
                <w:rFonts w:ascii="宋体" w:hAnsi="宋体" w:cs="Arial"/>
                <w:color w:val="auto"/>
                <w:szCs w:val="21"/>
                <w:highlight w:val="none"/>
                <w:u w:val="single"/>
              </w:rPr>
              <w:t>浙江政府采购网http://zfcg.czt.zj.gov.cn</w:t>
            </w:r>
            <w:r>
              <w:rPr>
                <w:rFonts w:ascii="宋体" w:hAnsi="宋体" w:cs="Arial"/>
                <w:color w:val="auto"/>
                <w:szCs w:val="21"/>
                <w:highlight w:val="none"/>
              </w:rPr>
              <w:t>获取（下载）招标文件，并于</w:t>
            </w:r>
            <w:r>
              <w:rPr>
                <w:rFonts w:hint="eastAsia" w:ascii="宋体" w:hAnsi="宋体" w:cs="Arial"/>
                <w:color w:val="auto"/>
                <w:szCs w:val="21"/>
                <w:highlight w:val="none"/>
                <w:u w:val="single"/>
                <w:lang w:eastAsia="zh-CN"/>
              </w:rPr>
              <w:t>2022年</w:t>
            </w:r>
            <w:r>
              <w:rPr>
                <w:rFonts w:hint="eastAsia" w:cs="Arial"/>
                <w:color w:val="auto"/>
                <w:szCs w:val="21"/>
                <w:highlight w:val="none"/>
                <w:u w:val="single"/>
                <w:lang w:val="en-US" w:eastAsia="zh-CN"/>
              </w:rPr>
              <w:t>11</w:t>
            </w:r>
            <w:r>
              <w:rPr>
                <w:rFonts w:hint="eastAsia" w:ascii="宋体" w:hAnsi="宋体" w:cs="Arial"/>
                <w:color w:val="auto"/>
                <w:szCs w:val="21"/>
                <w:highlight w:val="none"/>
                <w:u w:val="single"/>
                <w:lang w:val="en-US" w:eastAsia="zh-CN"/>
              </w:rPr>
              <w:t>月</w:t>
            </w:r>
            <w:r>
              <w:rPr>
                <w:rFonts w:hint="eastAsia" w:cs="Arial"/>
                <w:color w:val="auto"/>
                <w:szCs w:val="21"/>
                <w:highlight w:val="none"/>
                <w:u w:val="single"/>
                <w:lang w:val="en-US" w:eastAsia="zh-CN"/>
              </w:rPr>
              <w:t>17</w:t>
            </w:r>
            <w:r>
              <w:rPr>
                <w:rFonts w:hint="eastAsia" w:ascii="宋体" w:hAnsi="宋体" w:cs="Arial"/>
                <w:color w:val="auto"/>
                <w:szCs w:val="21"/>
                <w:highlight w:val="none"/>
                <w:u w:val="single"/>
                <w:lang w:val="en-US" w:eastAsia="zh-CN"/>
              </w:rPr>
              <w:t>日</w:t>
            </w:r>
            <w:r>
              <w:rPr>
                <w:rFonts w:hint="eastAsia" w:cs="Arial"/>
                <w:color w:val="auto"/>
                <w:szCs w:val="21"/>
                <w:highlight w:val="none"/>
                <w:u w:val="single"/>
                <w:lang w:val="en-US" w:eastAsia="zh-CN"/>
              </w:rPr>
              <w:t>14</w:t>
            </w:r>
            <w:r>
              <w:rPr>
                <w:rFonts w:hint="eastAsia" w:ascii="宋体" w:hAnsi="宋体" w:cs="Arial"/>
                <w:color w:val="auto"/>
                <w:szCs w:val="21"/>
                <w:highlight w:val="none"/>
                <w:u w:val="single"/>
                <w:lang w:val="en-US" w:eastAsia="zh-CN"/>
              </w:rPr>
              <w:t>:00时</w:t>
            </w:r>
            <w:r>
              <w:rPr>
                <w:rFonts w:ascii="宋体" w:hAnsi="宋体" w:cs="Arial"/>
                <w:color w:val="auto"/>
                <w:szCs w:val="21"/>
                <w:highlight w:val="none"/>
              </w:rPr>
              <w:t>（北京时间）前上传投标（</w:t>
            </w:r>
            <w:r>
              <w:rPr>
                <w:rFonts w:hint="eastAsia" w:ascii="宋体" w:hAnsi="宋体" w:cs="Arial"/>
                <w:color w:val="auto"/>
                <w:szCs w:val="21"/>
                <w:highlight w:val="none"/>
              </w:rPr>
              <w:t>响应</w:t>
            </w:r>
            <w:r>
              <w:rPr>
                <w:rFonts w:ascii="宋体" w:hAnsi="宋体" w:cs="Arial"/>
                <w:color w:val="auto"/>
                <w:szCs w:val="21"/>
                <w:highlight w:val="none"/>
              </w:rPr>
              <w:t>）文件。</w:t>
            </w:r>
          </w:p>
        </w:tc>
      </w:tr>
    </w:tbl>
    <w:p>
      <w:pPr>
        <w:spacing w:line="360" w:lineRule="auto"/>
        <w:ind w:left="50" w:leftChars="21" w:right="62" w:firstLine="472" w:firstLineChars="196"/>
        <w:rPr>
          <w:highlight w:val="none"/>
        </w:rPr>
      </w:pPr>
      <w:r>
        <w:rPr>
          <w:rFonts w:hint="eastAsia"/>
          <w:b/>
          <w:highlight w:val="none"/>
        </w:rPr>
        <w:t>一、项目编号</w:t>
      </w:r>
      <w:r>
        <w:rPr>
          <w:rFonts w:hint="eastAsia"/>
          <w:highlight w:val="none"/>
        </w:rPr>
        <w:t>：嘉建咨Y采[2022]</w:t>
      </w:r>
      <w:r>
        <w:rPr>
          <w:rFonts w:hint="eastAsia"/>
          <w:highlight w:val="none"/>
          <w:lang w:val="en-US" w:eastAsia="zh-CN"/>
        </w:rPr>
        <w:t>76</w:t>
      </w:r>
      <w:r>
        <w:rPr>
          <w:rFonts w:hint="eastAsia"/>
          <w:highlight w:val="none"/>
        </w:rPr>
        <w:t>号</w:t>
      </w:r>
      <w:bookmarkStart w:id="134" w:name="_GoBack"/>
      <w:bookmarkEnd w:id="134"/>
    </w:p>
    <w:p>
      <w:pPr>
        <w:spacing w:line="360" w:lineRule="auto"/>
        <w:ind w:left="50" w:leftChars="21" w:right="62" w:firstLine="472" w:firstLineChars="196"/>
        <w:rPr>
          <w:highlight w:val="none"/>
        </w:rPr>
      </w:pPr>
      <w:r>
        <w:rPr>
          <w:rFonts w:hint="eastAsia"/>
          <w:b/>
          <w:highlight w:val="none"/>
        </w:rPr>
        <w:t>二、采购组织类型</w:t>
      </w:r>
      <w:r>
        <w:rPr>
          <w:rFonts w:hint="eastAsia"/>
          <w:highlight w:val="none"/>
        </w:rPr>
        <w:t>：分散采购委托代理</w:t>
      </w:r>
    </w:p>
    <w:p>
      <w:pPr>
        <w:spacing w:line="360" w:lineRule="auto"/>
        <w:ind w:left="50" w:leftChars="21" w:right="62" w:firstLine="472" w:firstLineChars="196"/>
        <w:rPr>
          <w:highlight w:val="none"/>
        </w:rPr>
      </w:pPr>
      <w:r>
        <w:rPr>
          <w:rFonts w:hint="eastAsia"/>
          <w:b/>
          <w:highlight w:val="none"/>
        </w:rPr>
        <w:t>三、采购方式</w:t>
      </w:r>
      <w:r>
        <w:rPr>
          <w:rFonts w:hint="eastAsia"/>
          <w:highlight w:val="none"/>
        </w:rPr>
        <w:t>：竞争性磋商</w:t>
      </w:r>
    </w:p>
    <w:p>
      <w:pPr>
        <w:spacing w:line="360" w:lineRule="auto"/>
        <w:ind w:firstLine="472" w:firstLineChars="196"/>
        <w:rPr>
          <w:highlight w:val="none"/>
        </w:rPr>
      </w:pPr>
      <w:r>
        <w:rPr>
          <w:rFonts w:hint="eastAsia"/>
          <w:b/>
          <w:highlight w:val="none"/>
        </w:rPr>
        <w:t>四、招标项目概况（内容、用途、数量、简要技术要求等）</w:t>
      </w:r>
      <w:r>
        <w:rPr>
          <w:rFonts w:hint="eastAsia"/>
          <w:highlight w:val="none"/>
        </w:rPr>
        <w:t>:</w:t>
      </w:r>
    </w:p>
    <w:tbl>
      <w:tblPr>
        <w:tblStyle w:val="24"/>
        <w:tblpPr w:leftFromText="180" w:rightFromText="180" w:vertAnchor="text" w:horzAnchor="page" w:tblpX="1736" w:tblpY="382"/>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163"/>
        <w:gridCol w:w="645"/>
        <w:gridCol w:w="810"/>
        <w:gridCol w:w="1230"/>
        <w:gridCol w:w="177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01" w:type="dxa"/>
            <w:vAlign w:val="center"/>
          </w:tcPr>
          <w:p>
            <w:pPr>
              <w:jc w:val="center"/>
              <w:rPr>
                <w:kern w:val="2"/>
                <w:szCs w:val="21"/>
                <w:highlight w:val="none"/>
              </w:rPr>
            </w:pPr>
            <w:r>
              <w:rPr>
                <w:rFonts w:hint="eastAsia"/>
                <w:kern w:val="2"/>
                <w:szCs w:val="21"/>
                <w:highlight w:val="none"/>
              </w:rPr>
              <w:t>序号</w:t>
            </w:r>
          </w:p>
        </w:tc>
        <w:tc>
          <w:tcPr>
            <w:tcW w:w="3163" w:type="dxa"/>
            <w:vAlign w:val="center"/>
          </w:tcPr>
          <w:p>
            <w:pPr>
              <w:jc w:val="center"/>
              <w:rPr>
                <w:kern w:val="2"/>
                <w:szCs w:val="21"/>
                <w:highlight w:val="none"/>
              </w:rPr>
            </w:pPr>
            <w:r>
              <w:rPr>
                <w:rFonts w:hint="eastAsia"/>
                <w:kern w:val="2"/>
                <w:szCs w:val="21"/>
                <w:highlight w:val="none"/>
              </w:rPr>
              <w:t>货物名称</w:t>
            </w:r>
          </w:p>
        </w:tc>
        <w:tc>
          <w:tcPr>
            <w:tcW w:w="645" w:type="dxa"/>
            <w:vAlign w:val="center"/>
          </w:tcPr>
          <w:p>
            <w:pPr>
              <w:jc w:val="center"/>
              <w:rPr>
                <w:kern w:val="2"/>
                <w:szCs w:val="21"/>
                <w:highlight w:val="none"/>
              </w:rPr>
            </w:pPr>
            <w:r>
              <w:rPr>
                <w:rFonts w:hint="eastAsia"/>
                <w:kern w:val="2"/>
                <w:szCs w:val="21"/>
                <w:highlight w:val="none"/>
              </w:rPr>
              <w:t>数量</w:t>
            </w:r>
          </w:p>
        </w:tc>
        <w:tc>
          <w:tcPr>
            <w:tcW w:w="810" w:type="dxa"/>
            <w:vAlign w:val="center"/>
          </w:tcPr>
          <w:p>
            <w:pPr>
              <w:jc w:val="center"/>
              <w:rPr>
                <w:kern w:val="2"/>
                <w:szCs w:val="21"/>
                <w:highlight w:val="none"/>
              </w:rPr>
            </w:pPr>
            <w:r>
              <w:rPr>
                <w:rFonts w:hint="eastAsia"/>
                <w:kern w:val="2"/>
                <w:szCs w:val="21"/>
                <w:highlight w:val="none"/>
              </w:rPr>
              <w:t>单位</w:t>
            </w:r>
          </w:p>
        </w:tc>
        <w:tc>
          <w:tcPr>
            <w:tcW w:w="1230" w:type="dxa"/>
            <w:vAlign w:val="center"/>
          </w:tcPr>
          <w:p>
            <w:pPr>
              <w:jc w:val="center"/>
              <w:rPr>
                <w:kern w:val="2"/>
                <w:szCs w:val="21"/>
                <w:highlight w:val="none"/>
              </w:rPr>
            </w:pPr>
            <w:r>
              <w:rPr>
                <w:rFonts w:hint="eastAsia"/>
                <w:kern w:val="2"/>
                <w:szCs w:val="21"/>
                <w:highlight w:val="none"/>
              </w:rPr>
              <w:t>预算金额</w:t>
            </w:r>
          </w:p>
        </w:tc>
        <w:tc>
          <w:tcPr>
            <w:tcW w:w="1770" w:type="dxa"/>
            <w:vAlign w:val="center"/>
          </w:tcPr>
          <w:p>
            <w:pPr>
              <w:jc w:val="center"/>
              <w:rPr>
                <w:kern w:val="2"/>
                <w:szCs w:val="21"/>
                <w:highlight w:val="none"/>
              </w:rPr>
            </w:pPr>
            <w:r>
              <w:rPr>
                <w:rFonts w:hint="eastAsia"/>
                <w:kern w:val="2"/>
                <w:szCs w:val="21"/>
                <w:highlight w:val="none"/>
              </w:rPr>
              <w:t>简要技术要求、用途</w:t>
            </w:r>
          </w:p>
        </w:tc>
        <w:tc>
          <w:tcPr>
            <w:tcW w:w="746" w:type="dxa"/>
            <w:vAlign w:val="center"/>
          </w:tcPr>
          <w:p>
            <w:pPr>
              <w:jc w:val="center"/>
              <w:rPr>
                <w:kern w:val="2"/>
                <w:szCs w:val="21"/>
                <w:highlight w:val="none"/>
              </w:rPr>
            </w:pPr>
            <w:r>
              <w:rPr>
                <w:rFonts w:hint="eastAsia"/>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1" w:type="dxa"/>
            <w:vAlign w:val="center"/>
          </w:tcPr>
          <w:p>
            <w:pPr>
              <w:jc w:val="center"/>
              <w:rPr>
                <w:kern w:val="2"/>
                <w:szCs w:val="21"/>
                <w:highlight w:val="none"/>
              </w:rPr>
            </w:pPr>
            <w:r>
              <w:rPr>
                <w:rFonts w:hint="eastAsia"/>
                <w:kern w:val="2"/>
                <w:szCs w:val="21"/>
                <w:highlight w:val="none"/>
              </w:rPr>
              <w:t>1</w:t>
            </w:r>
          </w:p>
        </w:tc>
        <w:tc>
          <w:tcPr>
            <w:tcW w:w="3163" w:type="dxa"/>
            <w:vAlign w:val="center"/>
          </w:tcPr>
          <w:p>
            <w:pPr>
              <w:jc w:val="center"/>
              <w:rPr>
                <w:rFonts w:hint="eastAsia" w:eastAsia="宋体"/>
                <w:kern w:val="2"/>
                <w:szCs w:val="21"/>
                <w:highlight w:val="none"/>
                <w:lang w:eastAsia="zh-CN"/>
              </w:rPr>
            </w:pPr>
            <w:r>
              <w:rPr>
                <w:rFonts w:hint="eastAsia"/>
                <w:kern w:val="2"/>
                <w:szCs w:val="21"/>
                <w:highlight w:val="none"/>
              </w:rPr>
              <w:t xml:space="preserve"> </w:t>
            </w:r>
            <w:r>
              <w:rPr>
                <w:rFonts w:hint="eastAsia"/>
                <w:kern w:val="2"/>
                <w:szCs w:val="21"/>
                <w:highlight w:val="none"/>
                <w:lang w:eastAsia="zh-CN"/>
              </w:rPr>
              <w:t>海盐县人民法院涉案财物管理项目</w:t>
            </w:r>
          </w:p>
        </w:tc>
        <w:tc>
          <w:tcPr>
            <w:tcW w:w="645" w:type="dxa"/>
            <w:vAlign w:val="center"/>
          </w:tcPr>
          <w:p>
            <w:pPr>
              <w:jc w:val="center"/>
              <w:rPr>
                <w:kern w:val="2"/>
                <w:szCs w:val="21"/>
                <w:highlight w:val="none"/>
              </w:rPr>
            </w:pPr>
            <w:r>
              <w:rPr>
                <w:rFonts w:hint="eastAsia"/>
                <w:kern w:val="2"/>
                <w:szCs w:val="21"/>
                <w:highlight w:val="none"/>
              </w:rPr>
              <w:t>1</w:t>
            </w:r>
          </w:p>
        </w:tc>
        <w:tc>
          <w:tcPr>
            <w:tcW w:w="810" w:type="dxa"/>
            <w:vAlign w:val="center"/>
          </w:tcPr>
          <w:p>
            <w:pPr>
              <w:jc w:val="center"/>
              <w:rPr>
                <w:kern w:val="2"/>
                <w:szCs w:val="21"/>
                <w:highlight w:val="none"/>
              </w:rPr>
            </w:pPr>
            <w:r>
              <w:rPr>
                <w:rFonts w:hint="eastAsia"/>
                <w:kern w:val="2"/>
                <w:szCs w:val="21"/>
                <w:highlight w:val="none"/>
              </w:rPr>
              <w:t>项</w:t>
            </w:r>
          </w:p>
        </w:tc>
        <w:tc>
          <w:tcPr>
            <w:tcW w:w="1230" w:type="dxa"/>
            <w:vAlign w:val="center"/>
          </w:tcPr>
          <w:p>
            <w:pPr>
              <w:jc w:val="center"/>
              <w:rPr>
                <w:kern w:val="2"/>
                <w:szCs w:val="21"/>
                <w:highlight w:val="none"/>
              </w:rPr>
            </w:pPr>
            <w:r>
              <w:rPr>
                <w:rFonts w:hint="eastAsia"/>
                <w:kern w:val="2"/>
                <w:szCs w:val="21"/>
                <w:highlight w:val="none"/>
                <w:lang w:val="en-US" w:eastAsia="zh-CN"/>
              </w:rPr>
              <w:t>50</w:t>
            </w:r>
            <w:r>
              <w:rPr>
                <w:rFonts w:hint="eastAsia"/>
                <w:kern w:val="2"/>
                <w:szCs w:val="21"/>
                <w:highlight w:val="none"/>
              </w:rPr>
              <w:t>万元</w:t>
            </w:r>
          </w:p>
        </w:tc>
        <w:tc>
          <w:tcPr>
            <w:tcW w:w="1770" w:type="dxa"/>
            <w:vAlign w:val="center"/>
          </w:tcPr>
          <w:p>
            <w:pPr>
              <w:jc w:val="center"/>
              <w:rPr>
                <w:kern w:val="2"/>
                <w:szCs w:val="21"/>
                <w:highlight w:val="none"/>
              </w:rPr>
            </w:pPr>
            <w:r>
              <w:rPr>
                <w:rFonts w:hint="eastAsia"/>
                <w:kern w:val="2"/>
                <w:szCs w:val="21"/>
                <w:highlight w:val="none"/>
              </w:rPr>
              <w:t>详见采购需求</w:t>
            </w:r>
          </w:p>
        </w:tc>
        <w:tc>
          <w:tcPr>
            <w:tcW w:w="746" w:type="dxa"/>
            <w:vAlign w:val="center"/>
          </w:tcPr>
          <w:p>
            <w:pPr>
              <w:pStyle w:val="9"/>
              <w:spacing w:after="0"/>
              <w:jc w:val="center"/>
              <w:rPr>
                <w:kern w:val="2"/>
                <w:szCs w:val="21"/>
                <w:highlight w:val="none"/>
              </w:rPr>
            </w:pPr>
            <w:r>
              <w:rPr>
                <w:rFonts w:hint="eastAsia"/>
                <w:bCs/>
                <w:kern w:val="44"/>
                <w:sz w:val="22"/>
                <w:szCs w:val="22"/>
                <w:highlight w:val="none"/>
              </w:rPr>
              <w:t>/</w:t>
            </w:r>
          </w:p>
        </w:tc>
      </w:tr>
    </w:tbl>
    <w:p>
      <w:pPr>
        <w:spacing w:line="480" w:lineRule="exact"/>
        <w:ind w:firstLine="472" w:firstLineChars="196"/>
        <w:rPr>
          <w:highlight w:val="none"/>
        </w:rPr>
      </w:pPr>
      <w:r>
        <w:rPr>
          <w:rFonts w:hint="eastAsia"/>
          <w:b/>
          <w:highlight w:val="none"/>
        </w:rPr>
        <w:t>五、申请人的资格要求</w:t>
      </w:r>
      <w:r>
        <w:rPr>
          <w:rFonts w:hint="eastAsia"/>
          <w:highlight w:val="none"/>
        </w:rPr>
        <w:t>:</w:t>
      </w:r>
    </w:p>
    <w:p>
      <w:pPr>
        <w:spacing w:line="360" w:lineRule="auto"/>
        <w:ind w:left="50" w:leftChars="21" w:right="60" w:firstLine="480" w:firstLineChars="200"/>
        <w:rPr>
          <w:highlight w:val="none"/>
        </w:rPr>
      </w:pPr>
      <w:r>
        <w:rPr>
          <w:rFonts w:hint="eastAsia"/>
          <w:highlight w:val="none"/>
        </w:rPr>
        <w:t xml:space="preserve">1.符合《中华人民共和国政府采购法》第二十二条规定的资格条件： </w:t>
      </w:r>
    </w:p>
    <w:p>
      <w:pPr>
        <w:spacing w:line="360" w:lineRule="auto"/>
        <w:ind w:left="50" w:leftChars="21" w:right="60" w:firstLine="480" w:firstLineChars="200"/>
        <w:rPr>
          <w:highlight w:val="none"/>
        </w:rPr>
      </w:pPr>
      <w:r>
        <w:rPr>
          <w:rFonts w:hint="eastAsia"/>
          <w:highlight w:val="none"/>
        </w:rPr>
        <w:t>（1）具有独立承担民事责任的能力；</w:t>
      </w:r>
    </w:p>
    <w:p>
      <w:pPr>
        <w:spacing w:line="360" w:lineRule="auto"/>
        <w:ind w:left="50" w:leftChars="21" w:right="60" w:firstLine="480" w:firstLineChars="200"/>
        <w:rPr>
          <w:highlight w:val="none"/>
        </w:rPr>
      </w:pPr>
      <w:r>
        <w:rPr>
          <w:rFonts w:hint="eastAsia"/>
          <w:highlight w:val="none"/>
        </w:rPr>
        <w:t>（2）具有良好的商业信誉和健全的财务会计制度；</w:t>
      </w:r>
    </w:p>
    <w:p>
      <w:pPr>
        <w:spacing w:line="360" w:lineRule="auto"/>
        <w:ind w:left="50" w:leftChars="21" w:right="60" w:firstLine="480" w:firstLineChars="200"/>
        <w:rPr>
          <w:highlight w:val="none"/>
        </w:rPr>
      </w:pPr>
      <w:r>
        <w:rPr>
          <w:rFonts w:hint="eastAsia"/>
          <w:highlight w:val="none"/>
        </w:rPr>
        <w:t>（3）具有履行合同所必需的设备和专业技术能力；</w:t>
      </w:r>
    </w:p>
    <w:p>
      <w:pPr>
        <w:spacing w:line="360" w:lineRule="auto"/>
        <w:ind w:left="50" w:leftChars="21" w:right="60" w:firstLine="480" w:firstLineChars="200"/>
        <w:rPr>
          <w:highlight w:val="none"/>
        </w:rPr>
      </w:pPr>
      <w:r>
        <w:rPr>
          <w:rFonts w:hint="eastAsia"/>
          <w:highlight w:val="none"/>
        </w:rPr>
        <w:t>（4）有依法缴纳税收和社会保障资金的良好记录；</w:t>
      </w:r>
    </w:p>
    <w:p>
      <w:pPr>
        <w:spacing w:line="360" w:lineRule="auto"/>
        <w:ind w:left="50" w:leftChars="21" w:right="60" w:firstLine="480" w:firstLineChars="200"/>
        <w:rPr>
          <w:highlight w:val="none"/>
        </w:rPr>
      </w:pPr>
      <w:r>
        <w:rPr>
          <w:rFonts w:hint="eastAsia"/>
          <w:highlight w:val="none"/>
        </w:rPr>
        <w:t>（5）参加政府采购活动近三年内，在经营活动中没有重大违法记录；</w:t>
      </w:r>
    </w:p>
    <w:p>
      <w:pPr>
        <w:spacing w:line="360" w:lineRule="auto"/>
        <w:ind w:left="50" w:leftChars="21" w:right="60" w:firstLine="480" w:firstLineChars="200"/>
        <w:rPr>
          <w:highlight w:val="none"/>
        </w:rPr>
      </w:pPr>
      <w:r>
        <w:rPr>
          <w:rFonts w:hint="eastAsia"/>
          <w:highlight w:val="none"/>
        </w:rPr>
        <w:t>（6）法律、行政法规规定的其他条件。</w:t>
      </w:r>
    </w:p>
    <w:p>
      <w:pPr>
        <w:spacing w:line="360" w:lineRule="auto"/>
        <w:ind w:left="50" w:leftChars="21" w:right="60" w:firstLine="480" w:firstLineChars="200"/>
        <w:rPr>
          <w:highlight w:val="none"/>
        </w:rPr>
      </w:pPr>
      <w:r>
        <w:rPr>
          <w:rFonts w:hint="eastAsia"/>
          <w:highlight w:val="none"/>
        </w:rPr>
        <w:t xml:space="preserve"> 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360" w:lineRule="auto"/>
        <w:ind w:firstLine="420"/>
        <w:rPr>
          <w:szCs w:val="21"/>
          <w:highlight w:val="none"/>
        </w:rPr>
      </w:pPr>
      <w:r>
        <w:rPr>
          <w:rFonts w:hint="eastAsia"/>
          <w:szCs w:val="21"/>
          <w:highlight w:val="none"/>
        </w:rPr>
        <w:t xml:space="preserve"> 3.单位负责人为同一人或者存在直接控股、管理关系的不同供应商，不得参加同一合同项下的政府采购活动。</w:t>
      </w:r>
    </w:p>
    <w:p>
      <w:pPr>
        <w:spacing w:line="360" w:lineRule="auto"/>
        <w:ind w:firstLine="420"/>
        <w:rPr>
          <w:rFonts w:hint="eastAsia"/>
          <w:szCs w:val="21"/>
          <w:highlight w:val="none"/>
        </w:rPr>
      </w:pPr>
      <w:r>
        <w:rPr>
          <w:rFonts w:hint="eastAsia"/>
          <w:szCs w:val="21"/>
          <w:highlight w:val="none"/>
        </w:rPr>
        <w:t xml:space="preserve"> 4.除单一来源采购项目外，为采购项目提供整体设计、规范编制或者项目管理、监理、检测等服务的供应商，不得再参加该采购项目投标。</w:t>
      </w:r>
    </w:p>
    <w:p>
      <w:pPr>
        <w:spacing w:line="360" w:lineRule="auto"/>
        <w:ind w:firstLine="420"/>
        <w:rPr>
          <w:rFonts w:hint="eastAsia"/>
          <w:szCs w:val="21"/>
          <w:highlight w:val="none"/>
        </w:rPr>
      </w:pPr>
      <w:r>
        <w:rPr>
          <w:rFonts w:hint="eastAsia"/>
          <w:szCs w:val="21"/>
          <w:highlight w:val="none"/>
          <w:lang w:val="en-US" w:eastAsia="zh-CN"/>
        </w:rPr>
        <w:t>5</w:t>
      </w:r>
      <w:r>
        <w:rPr>
          <w:rFonts w:hint="eastAsia"/>
          <w:szCs w:val="21"/>
          <w:highlight w:val="none"/>
        </w:rPr>
        <w:t>.落实政府采购政策需满足的资格要求：</w:t>
      </w:r>
      <w:r>
        <w:rPr>
          <w:rFonts w:hint="eastAsia"/>
          <w:szCs w:val="21"/>
          <w:highlight w:val="none"/>
          <w:lang w:val="en-US" w:eastAsia="zh-CN"/>
        </w:rPr>
        <w:t>/</w:t>
      </w:r>
      <w:r>
        <w:rPr>
          <w:rFonts w:hint="eastAsia"/>
          <w:szCs w:val="21"/>
          <w:highlight w:val="none"/>
        </w:rPr>
        <w:t>。</w:t>
      </w:r>
    </w:p>
    <w:p>
      <w:pPr>
        <w:spacing w:line="360" w:lineRule="auto"/>
        <w:ind w:firstLine="420"/>
        <w:rPr>
          <w:rFonts w:hint="eastAsia"/>
          <w:szCs w:val="21"/>
          <w:highlight w:val="none"/>
        </w:rPr>
      </w:pPr>
      <w:r>
        <w:rPr>
          <w:rFonts w:hint="eastAsia"/>
          <w:szCs w:val="21"/>
          <w:highlight w:val="none"/>
          <w:lang w:val="en-US" w:eastAsia="zh-CN"/>
        </w:rPr>
        <w:t>6</w:t>
      </w:r>
      <w:r>
        <w:rPr>
          <w:rFonts w:hint="eastAsia"/>
          <w:szCs w:val="21"/>
          <w:highlight w:val="none"/>
        </w:rPr>
        <w:t>.本项目的特定资格要求：</w:t>
      </w:r>
      <w:r>
        <w:rPr>
          <w:rFonts w:hint="eastAsia"/>
          <w:szCs w:val="21"/>
          <w:highlight w:val="none"/>
          <w:lang w:val="en-US" w:eastAsia="zh-CN"/>
        </w:rPr>
        <w:t>/</w:t>
      </w:r>
    </w:p>
    <w:p>
      <w:pPr>
        <w:spacing w:line="360" w:lineRule="auto"/>
        <w:ind w:firstLine="420"/>
        <w:rPr>
          <w:rFonts w:hint="eastAsia"/>
          <w:szCs w:val="21"/>
          <w:highlight w:val="none"/>
        </w:rPr>
      </w:pPr>
      <w:r>
        <w:rPr>
          <w:rFonts w:hint="eastAsia"/>
          <w:szCs w:val="21"/>
          <w:highlight w:val="none"/>
          <w:lang w:val="en-US" w:eastAsia="zh-CN"/>
        </w:rPr>
        <w:t>7</w:t>
      </w:r>
      <w:r>
        <w:rPr>
          <w:rFonts w:hint="eastAsia"/>
          <w:szCs w:val="21"/>
          <w:highlight w:val="none"/>
        </w:rPr>
        <w:t>.不允许联合体参与磋商。</w:t>
      </w:r>
    </w:p>
    <w:p>
      <w:pPr>
        <w:spacing w:line="360" w:lineRule="auto"/>
        <w:ind w:left="50" w:leftChars="21" w:right="60" w:firstLine="480" w:firstLineChars="200"/>
        <w:rPr>
          <w:highlight w:val="none"/>
        </w:rPr>
      </w:pPr>
      <w:r>
        <w:rPr>
          <w:rFonts w:hint="eastAsia"/>
          <w:highlight w:val="none"/>
        </w:rPr>
        <w:t>注：本采购项目，成交供应商与采购单位签订的政府采购合同适用于嘉兴市政府采购贷款政策，简称“政采贷”，具体内容可参阅政府采购贷款流程：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"http://www.jxzbtb.gov.cn/jxcms/jxztb/category/zcd/zcd_zxqyrzwj/list.html" </w:instrText>
      </w:r>
      <w:r>
        <w:rPr>
          <w:highlight w:val="none"/>
        </w:rPr>
        <w:fldChar w:fldCharType="separate"/>
      </w:r>
      <w:r>
        <w:rPr>
          <w:rFonts w:hint="eastAsia"/>
          <w:highlight w:val="none"/>
        </w:rPr>
        <w:t>http://www.jxzbtb.gov.cn/jxcms/jxztb/category/zcd/zcd_zxqyrzwj/list.html</w:t>
      </w:r>
      <w:r>
        <w:rPr>
          <w:rFonts w:hint="eastAsia"/>
          <w:highlight w:val="none"/>
        </w:rPr>
        <w:fldChar w:fldCharType="end"/>
      </w:r>
      <w:r>
        <w:rPr>
          <w:rFonts w:hint="eastAsia"/>
          <w:highlight w:val="none"/>
        </w:rPr>
        <w:t>。</w:t>
      </w:r>
    </w:p>
    <w:p>
      <w:pPr>
        <w:spacing w:line="360" w:lineRule="auto"/>
        <w:ind w:firstLine="236" w:firstLineChars="98"/>
        <w:rPr>
          <w:rFonts w:cs="Arial"/>
          <w:szCs w:val="21"/>
          <w:highlight w:val="none"/>
        </w:rPr>
      </w:pPr>
      <w:r>
        <w:rPr>
          <w:rFonts w:hint="eastAsia" w:cs="Arial"/>
          <w:b/>
          <w:bCs/>
          <w:highlight w:val="none"/>
        </w:rPr>
        <w:t>六</w:t>
      </w:r>
      <w:r>
        <w:rPr>
          <w:rFonts w:hint="eastAsia" w:cs="Arial"/>
          <w:b/>
          <w:szCs w:val="21"/>
          <w:highlight w:val="none"/>
        </w:rPr>
        <w:t>、</w:t>
      </w:r>
      <w:r>
        <w:rPr>
          <w:rFonts w:cs="Arial"/>
          <w:b/>
          <w:bCs/>
          <w:szCs w:val="21"/>
          <w:highlight w:val="none"/>
        </w:rPr>
        <w:t>采购</w:t>
      </w:r>
      <w:r>
        <w:rPr>
          <w:rFonts w:hint="eastAsia" w:cs="Arial"/>
          <w:b/>
          <w:bCs/>
          <w:szCs w:val="21"/>
          <w:highlight w:val="none"/>
        </w:rPr>
        <w:t>公告期限、发布</w:t>
      </w:r>
      <w:r>
        <w:rPr>
          <w:rFonts w:cs="Arial"/>
          <w:b/>
          <w:bCs/>
          <w:szCs w:val="21"/>
          <w:highlight w:val="none"/>
        </w:rPr>
        <w:t>时间、</w:t>
      </w:r>
      <w:r>
        <w:rPr>
          <w:rFonts w:hint="eastAsia" w:cs="Arial"/>
          <w:b/>
          <w:bCs/>
          <w:szCs w:val="21"/>
          <w:highlight w:val="none"/>
        </w:rPr>
        <w:t>发布网址</w:t>
      </w:r>
      <w:r>
        <w:rPr>
          <w:rFonts w:cs="Arial"/>
          <w:b/>
          <w:bCs/>
          <w:szCs w:val="21"/>
          <w:highlight w:val="none"/>
        </w:rPr>
        <w:t>、方式、售价：</w:t>
      </w:r>
    </w:p>
    <w:p>
      <w:pPr>
        <w:pStyle w:val="13"/>
        <w:spacing w:line="360" w:lineRule="auto"/>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、采购公告期限</w:t>
      </w:r>
      <w:r>
        <w:rPr>
          <w:rFonts w:hAnsi="宋体"/>
          <w:sz w:val="24"/>
          <w:szCs w:val="24"/>
          <w:highlight w:val="none"/>
        </w:rPr>
        <w:t>：</w:t>
      </w:r>
      <w:r>
        <w:rPr>
          <w:rFonts w:hint="eastAsia" w:hAnsi="宋体"/>
          <w:sz w:val="24"/>
          <w:szCs w:val="24"/>
          <w:highlight w:val="none"/>
        </w:rPr>
        <w:t>自采购公告发布之日起3个工作日；</w:t>
      </w:r>
    </w:p>
    <w:p>
      <w:pPr>
        <w:pStyle w:val="13"/>
        <w:spacing w:line="360" w:lineRule="auto"/>
        <w:ind w:firstLine="480" w:firstLineChars="200"/>
        <w:rPr>
          <w:rFonts w:hAnsi="宋体"/>
          <w:sz w:val="24"/>
          <w:szCs w:val="24"/>
          <w:highlight w:val="none"/>
        </w:rPr>
      </w:pPr>
      <w:r>
        <w:rPr>
          <w:rFonts w:hint="eastAsia" w:hAnsi="宋体"/>
          <w:sz w:val="24"/>
          <w:szCs w:val="24"/>
          <w:highlight w:val="none"/>
        </w:rPr>
        <w:t>2、招标文件获取时间：采购公告发布之日起至投标截止时间；</w:t>
      </w:r>
    </w:p>
    <w:p>
      <w:pPr>
        <w:pStyle w:val="13"/>
        <w:spacing w:line="360" w:lineRule="auto"/>
        <w:ind w:firstLine="480" w:firstLineChars="200"/>
        <w:rPr>
          <w:rFonts w:hAnsi="宋体"/>
          <w:sz w:val="24"/>
          <w:szCs w:val="24"/>
          <w:highlight w:val="none"/>
        </w:rPr>
      </w:pPr>
      <w:r>
        <w:rPr>
          <w:rFonts w:hint="eastAsia" w:hAnsi="宋体"/>
          <w:sz w:val="24"/>
          <w:szCs w:val="24"/>
          <w:highlight w:val="none"/>
        </w:rPr>
        <w:t>3、发布网址</w:t>
      </w:r>
      <w:r>
        <w:rPr>
          <w:rFonts w:hAnsi="宋体"/>
          <w:sz w:val="24"/>
          <w:szCs w:val="24"/>
          <w:highlight w:val="none"/>
        </w:rPr>
        <w:t>：</w:t>
      </w:r>
      <w:r>
        <w:rPr>
          <w:rFonts w:hint="eastAsia" w:hAnsi="宋体"/>
          <w:sz w:val="24"/>
          <w:szCs w:val="24"/>
          <w:highlight w:val="none"/>
        </w:rPr>
        <w:t>浙江政府采购网（http://zfcg.czt.zj.gov.cn）；</w:t>
      </w:r>
    </w:p>
    <w:p>
      <w:pPr>
        <w:pStyle w:val="13"/>
        <w:spacing w:line="360" w:lineRule="auto"/>
        <w:ind w:firstLine="480" w:firstLineChars="200"/>
        <w:rPr>
          <w:rFonts w:hAnsi="宋体"/>
          <w:sz w:val="24"/>
          <w:szCs w:val="24"/>
          <w:highlight w:val="none"/>
        </w:rPr>
      </w:pPr>
      <w:r>
        <w:rPr>
          <w:rFonts w:hint="eastAsia" w:hAnsi="宋体"/>
          <w:sz w:val="24"/>
          <w:szCs w:val="24"/>
          <w:highlight w:val="none"/>
        </w:rPr>
        <w:t>4、</w:t>
      </w:r>
      <w:r>
        <w:rPr>
          <w:rFonts w:hAnsi="宋体"/>
          <w:sz w:val="24"/>
          <w:szCs w:val="24"/>
          <w:highlight w:val="none"/>
        </w:rPr>
        <w:t>售价：</w:t>
      </w:r>
      <w:r>
        <w:rPr>
          <w:rFonts w:hint="eastAsia" w:hAnsi="宋体"/>
          <w:sz w:val="24"/>
          <w:szCs w:val="24"/>
          <w:highlight w:val="none"/>
        </w:rPr>
        <w:t>免费下载</w:t>
      </w:r>
      <w:r>
        <w:rPr>
          <w:rFonts w:hAnsi="宋体"/>
          <w:sz w:val="24"/>
          <w:szCs w:val="24"/>
          <w:highlight w:val="none"/>
        </w:rPr>
        <w:t>。</w:t>
      </w:r>
    </w:p>
    <w:p>
      <w:pPr>
        <w:pStyle w:val="13"/>
        <w:spacing w:line="360" w:lineRule="auto"/>
        <w:ind w:firstLine="480" w:firstLineChars="200"/>
        <w:rPr>
          <w:rFonts w:hAnsi="宋体"/>
          <w:sz w:val="24"/>
          <w:szCs w:val="24"/>
          <w:highlight w:val="none"/>
        </w:rPr>
      </w:pPr>
      <w:r>
        <w:rPr>
          <w:rFonts w:hint="eastAsia" w:hAnsi="宋体"/>
          <w:sz w:val="24"/>
          <w:szCs w:val="24"/>
          <w:highlight w:val="none"/>
        </w:rPr>
        <w:t>5、 报名方式：本项目实行网上报名，不接受现场报名。供应商登录浙江政府采购网进行报名。《供应商网上报名操作指南》位置：“首页-办事指南-省采中心-网上报名”；</w:t>
      </w:r>
    </w:p>
    <w:p>
      <w:pPr>
        <w:pStyle w:val="13"/>
        <w:spacing w:line="360" w:lineRule="auto"/>
        <w:ind w:firstLine="480" w:firstLineChars="200"/>
        <w:rPr>
          <w:rFonts w:hAnsi="宋体"/>
          <w:sz w:val="24"/>
          <w:szCs w:val="24"/>
          <w:highlight w:val="none"/>
        </w:rPr>
      </w:pPr>
      <w:r>
        <w:rPr>
          <w:rFonts w:hint="eastAsia" w:hAnsi="宋体"/>
          <w:sz w:val="24"/>
          <w:szCs w:val="24"/>
          <w:highlight w:val="none"/>
        </w:rPr>
        <w:t>提示：</w:t>
      </w:r>
    </w:p>
    <w:p>
      <w:pPr>
        <w:pStyle w:val="13"/>
        <w:spacing w:line="360" w:lineRule="auto"/>
        <w:ind w:firstLine="480" w:firstLineChars="200"/>
        <w:rPr>
          <w:rFonts w:hAnsi="宋体"/>
          <w:sz w:val="24"/>
          <w:szCs w:val="24"/>
          <w:highlight w:val="none"/>
        </w:rPr>
      </w:pPr>
      <w:r>
        <w:rPr>
          <w:rFonts w:hint="eastAsia" w:hAnsi="宋体"/>
          <w:sz w:val="24"/>
          <w:szCs w:val="24"/>
          <w:highlight w:val="none"/>
        </w:rPr>
        <w:t>（1）采购代理机构将拒绝接受非报名供应商的采购文件。</w:t>
      </w:r>
    </w:p>
    <w:p>
      <w:pPr>
        <w:pStyle w:val="13"/>
        <w:spacing w:line="360" w:lineRule="auto"/>
        <w:ind w:firstLine="480" w:firstLineChars="200"/>
        <w:rPr>
          <w:rFonts w:hAnsi="宋体"/>
          <w:sz w:val="24"/>
          <w:szCs w:val="24"/>
          <w:highlight w:val="none"/>
        </w:rPr>
      </w:pPr>
      <w:r>
        <w:rPr>
          <w:rFonts w:hint="eastAsia" w:hAnsi="宋体"/>
          <w:sz w:val="24"/>
          <w:szCs w:val="24"/>
          <w:highlight w:val="none"/>
        </w:rPr>
        <w:t>（2）如供应商如对采购文件有异议的，应于采购公告有效期过后七个工作日内以书面形式向采购代理机构提出。</w:t>
      </w:r>
    </w:p>
    <w:p>
      <w:pPr>
        <w:spacing w:line="360" w:lineRule="auto"/>
        <w:rPr>
          <w:b/>
          <w:highlight w:val="none"/>
        </w:rPr>
      </w:pPr>
      <w:r>
        <w:rPr>
          <w:highlight w:val="none"/>
        </w:rPr>
        <w:t>  </w:t>
      </w:r>
      <w:r>
        <w:rPr>
          <w:rFonts w:hint="eastAsia"/>
          <w:b/>
          <w:bCs/>
          <w:highlight w:val="none"/>
        </w:rPr>
        <w:t>七</w:t>
      </w:r>
      <w:r>
        <w:rPr>
          <w:b/>
          <w:bCs/>
          <w:highlight w:val="none"/>
        </w:rPr>
        <w:t>、</w:t>
      </w:r>
      <w:r>
        <w:rPr>
          <w:rFonts w:hint="eastAsia"/>
          <w:b/>
          <w:bCs/>
          <w:highlight w:val="none"/>
        </w:rPr>
        <w:t>投标截止时间：</w:t>
      </w:r>
      <w:r>
        <w:rPr>
          <w:rFonts w:hint="eastAsia"/>
          <w:b/>
          <w:highlight w:val="none"/>
        </w:rPr>
        <w:t>2022年</w:t>
      </w:r>
      <w:r>
        <w:rPr>
          <w:rFonts w:hint="eastAsia"/>
          <w:b/>
          <w:highlight w:val="none"/>
          <w:lang w:val="en-US" w:eastAsia="zh-CN"/>
        </w:rPr>
        <w:t>11</w:t>
      </w:r>
      <w:r>
        <w:rPr>
          <w:rFonts w:hint="eastAsia"/>
          <w:b/>
          <w:highlight w:val="none"/>
        </w:rPr>
        <w:t>月</w:t>
      </w:r>
      <w:r>
        <w:rPr>
          <w:rFonts w:hint="eastAsia"/>
          <w:b/>
          <w:highlight w:val="none"/>
          <w:lang w:val="en-US" w:eastAsia="zh-CN"/>
        </w:rPr>
        <w:t>17</w:t>
      </w:r>
      <w:r>
        <w:rPr>
          <w:rFonts w:hint="eastAsia"/>
          <w:b/>
          <w:highlight w:val="none"/>
        </w:rPr>
        <w:t>日</w:t>
      </w:r>
      <w:r>
        <w:rPr>
          <w:rFonts w:hint="eastAsia"/>
          <w:b/>
          <w:highlight w:val="none"/>
          <w:lang w:val="en-US" w:eastAsia="zh-CN"/>
        </w:rPr>
        <w:t>14</w:t>
      </w:r>
      <w:r>
        <w:rPr>
          <w:rFonts w:hint="eastAsia"/>
          <w:b/>
          <w:highlight w:val="none"/>
        </w:rPr>
        <w:t>时</w:t>
      </w:r>
      <w:r>
        <w:rPr>
          <w:rFonts w:hint="eastAsia"/>
          <w:b/>
          <w:highlight w:val="none"/>
          <w:lang w:val="en-US" w:eastAsia="zh-CN"/>
        </w:rPr>
        <w:t>00</w:t>
      </w:r>
      <w:r>
        <w:rPr>
          <w:rFonts w:hint="eastAsia"/>
          <w:b/>
          <w:highlight w:val="none"/>
        </w:rPr>
        <w:t>分</w:t>
      </w:r>
    </w:p>
    <w:p>
      <w:pPr>
        <w:wordWrap w:val="0"/>
        <w:spacing w:line="360" w:lineRule="auto"/>
        <w:ind w:firstLine="482" w:firstLineChars="200"/>
        <w:rPr>
          <w:bCs/>
          <w:highlight w:val="none"/>
        </w:rPr>
      </w:pPr>
      <w:r>
        <w:rPr>
          <w:rFonts w:hint="eastAsia"/>
          <w:b/>
          <w:bCs/>
          <w:highlight w:val="none"/>
        </w:rPr>
        <w:t>八、投标地点：</w:t>
      </w:r>
      <w:r>
        <w:rPr>
          <w:rFonts w:hint="eastAsia" w:cs="Arial"/>
          <w:szCs w:val="21"/>
          <w:highlight w:val="none"/>
        </w:rPr>
        <w:t>在线投标（投标截止时间前将加密标书上传至政采云系统并打印回执即可）。</w:t>
      </w:r>
    </w:p>
    <w:p>
      <w:pPr>
        <w:spacing w:line="360" w:lineRule="auto"/>
        <w:ind w:firstLine="482" w:firstLineChars="200"/>
        <w:rPr>
          <w:b/>
          <w:highlight w:val="none"/>
        </w:rPr>
      </w:pPr>
      <w:r>
        <w:rPr>
          <w:rFonts w:hint="eastAsia"/>
          <w:b/>
          <w:bCs/>
          <w:highlight w:val="none"/>
        </w:rPr>
        <w:t>九、开标时间：</w:t>
      </w:r>
      <w:r>
        <w:rPr>
          <w:rFonts w:hint="eastAsia"/>
          <w:b/>
          <w:highlight w:val="none"/>
        </w:rPr>
        <w:t>2022年</w:t>
      </w:r>
      <w:r>
        <w:rPr>
          <w:rFonts w:hint="eastAsia"/>
          <w:b/>
          <w:highlight w:val="none"/>
          <w:lang w:val="en-US" w:eastAsia="zh-CN"/>
        </w:rPr>
        <w:t>11</w:t>
      </w:r>
      <w:r>
        <w:rPr>
          <w:rFonts w:hint="eastAsia"/>
          <w:b/>
          <w:highlight w:val="none"/>
        </w:rPr>
        <w:t>月</w:t>
      </w:r>
      <w:r>
        <w:rPr>
          <w:rFonts w:hint="eastAsia"/>
          <w:b/>
          <w:highlight w:val="none"/>
          <w:lang w:val="en-US" w:eastAsia="zh-CN"/>
        </w:rPr>
        <w:t>17</w:t>
      </w:r>
      <w:r>
        <w:rPr>
          <w:rFonts w:hint="eastAsia"/>
          <w:b/>
          <w:highlight w:val="none"/>
        </w:rPr>
        <w:t>日</w:t>
      </w:r>
      <w:r>
        <w:rPr>
          <w:rFonts w:hint="eastAsia"/>
          <w:b/>
          <w:highlight w:val="none"/>
          <w:lang w:val="en-US" w:eastAsia="zh-CN"/>
        </w:rPr>
        <w:t>14</w:t>
      </w:r>
      <w:r>
        <w:rPr>
          <w:rFonts w:hint="eastAsia"/>
          <w:b/>
          <w:highlight w:val="none"/>
        </w:rPr>
        <w:t>时</w:t>
      </w:r>
      <w:r>
        <w:rPr>
          <w:rFonts w:hint="eastAsia"/>
          <w:b/>
          <w:highlight w:val="none"/>
          <w:lang w:val="en-US" w:eastAsia="zh-CN"/>
        </w:rPr>
        <w:t>00</w:t>
      </w:r>
      <w:r>
        <w:rPr>
          <w:rFonts w:hint="eastAsia"/>
          <w:b/>
          <w:highlight w:val="none"/>
        </w:rPr>
        <w:t>分</w:t>
      </w:r>
    </w:p>
    <w:p>
      <w:pPr>
        <w:wordWrap w:val="0"/>
        <w:spacing w:line="360" w:lineRule="auto"/>
        <w:ind w:firstLine="482" w:firstLineChars="200"/>
        <w:rPr>
          <w:bCs/>
          <w:highlight w:val="none"/>
        </w:rPr>
      </w:pPr>
      <w:r>
        <w:rPr>
          <w:rFonts w:hint="eastAsia"/>
          <w:b/>
          <w:highlight w:val="none"/>
        </w:rPr>
        <w:t>十、开标地点：</w:t>
      </w:r>
      <w:r>
        <w:rPr>
          <w:rFonts w:hint="eastAsia"/>
          <w:szCs w:val="21"/>
          <w:highlight w:val="none"/>
        </w:rPr>
        <w:t>嘉兴市建新工程造价咨询事务所有限公司四楼会议室（海盐县武原街道秀水路193号）</w:t>
      </w:r>
      <w:r>
        <w:rPr>
          <w:rFonts w:hint="eastAsia" w:cs="Arial"/>
          <w:szCs w:val="21"/>
          <w:highlight w:val="none"/>
        </w:rPr>
        <w:t>。</w:t>
      </w:r>
    </w:p>
    <w:p>
      <w:pPr>
        <w:snapToGrid w:val="0"/>
        <w:spacing w:line="360" w:lineRule="auto"/>
        <w:ind w:firstLine="482" w:firstLineChars="200"/>
        <w:rPr>
          <w:highlight w:val="none"/>
        </w:rPr>
      </w:pPr>
      <w:r>
        <w:rPr>
          <w:rFonts w:hint="eastAsia"/>
          <w:b/>
          <w:bCs/>
          <w:highlight w:val="none"/>
        </w:rPr>
        <w:t>十一</w:t>
      </w:r>
      <w:r>
        <w:rPr>
          <w:b/>
          <w:bCs/>
          <w:highlight w:val="none"/>
        </w:rPr>
        <w:t>、</w:t>
      </w:r>
      <w:r>
        <w:rPr>
          <w:rFonts w:hint="eastAsia"/>
          <w:b/>
          <w:bCs/>
          <w:highlight w:val="none"/>
        </w:rPr>
        <w:t>其他事项</w:t>
      </w:r>
      <w:r>
        <w:rPr>
          <w:highlight w:val="none"/>
        </w:rPr>
        <w:t>：</w:t>
      </w:r>
    </w:p>
    <w:p>
      <w:pPr>
        <w:snapToGrid w:val="0"/>
        <w:spacing w:line="360" w:lineRule="auto"/>
        <w:ind w:firstLine="600" w:firstLineChars="250"/>
        <w:rPr>
          <w:rFonts w:cs="Arial"/>
          <w:highlight w:val="none"/>
        </w:rPr>
      </w:pPr>
      <w:r>
        <w:rPr>
          <w:rFonts w:hint="eastAsia" w:cs="Arial"/>
          <w:highlight w:val="none"/>
        </w:rPr>
        <w:t>1、本采购公告发布于浙江政府采购网(</w:t>
      </w:r>
      <w:r>
        <w:rPr>
          <w:highlight w:val="none"/>
        </w:rPr>
        <w:fldChar w:fldCharType="begin"/>
      </w:r>
      <w:r>
        <w:rPr>
          <w:highlight w:val="none"/>
        </w:rPr>
        <w:instrText xml:space="preserve"> HYPERLINK "http://www.zjzfcg.gov.cn" </w:instrText>
      </w:r>
      <w:r>
        <w:rPr>
          <w:highlight w:val="none"/>
        </w:rPr>
        <w:fldChar w:fldCharType="separate"/>
      </w:r>
      <w:r>
        <w:rPr>
          <w:rFonts w:hint="eastAsia"/>
          <w:highlight w:val="none"/>
        </w:rPr>
        <w:t>http://zfcg.czt.zj.gov.cn</w:t>
      </w:r>
      <w:r>
        <w:rPr>
          <w:rFonts w:hint="eastAsia"/>
          <w:highlight w:val="none"/>
        </w:rPr>
        <w:fldChar w:fldCharType="end"/>
      </w:r>
      <w:r>
        <w:rPr>
          <w:rFonts w:hint="eastAsia" w:cs="Arial"/>
          <w:highlight w:val="none"/>
        </w:rPr>
        <w:t>)</w:t>
      </w:r>
    </w:p>
    <w:p>
      <w:pPr>
        <w:pStyle w:val="13"/>
        <w:spacing w:line="360" w:lineRule="auto"/>
        <w:ind w:firstLine="600" w:firstLineChars="250"/>
        <w:rPr>
          <w:rFonts w:hAnsi="宋体" w:cs="Arial"/>
          <w:sz w:val="24"/>
          <w:szCs w:val="24"/>
          <w:highlight w:val="none"/>
        </w:rPr>
      </w:pPr>
      <w:r>
        <w:rPr>
          <w:rFonts w:hint="eastAsia" w:hAnsi="宋体" w:cs="Arial"/>
          <w:sz w:val="24"/>
          <w:szCs w:val="24"/>
          <w:highlight w:val="none"/>
        </w:rPr>
        <w:t>2、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6"/>
        <w:tabs>
          <w:tab w:val="left" w:pos="900"/>
        </w:tabs>
        <w:rPr>
          <w:rFonts w:cs="Arial"/>
          <w:szCs w:val="21"/>
          <w:highlight w:val="none"/>
        </w:rPr>
      </w:pPr>
      <w:r>
        <w:rPr>
          <w:rFonts w:hint="eastAsia" w:cs="Arial"/>
          <w:szCs w:val="21"/>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600" w:firstLineChars="250"/>
        <w:rPr>
          <w:rFonts w:cs="Arial"/>
          <w:szCs w:val="21"/>
          <w:highlight w:val="none"/>
        </w:rPr>
      </w:pPr>
      <w:r>
        <w:rPr>
          <w:rFonts w:hint="eastAsia" w:cs="Arial"/>
          <w:szCs w:val="21"/>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602" w:firstLineChars="250"/>
        <w:rPr>
          <w:rFonts w:cs="Arial"/>
          <w:b/>
          <w:highlight w:val="none"/>
        </w:rPr>
      </w:pPr>
      <w:r>
        <w:rPr>
          <w:rFonts w:hint="eastAsia" w:cs="Arial"/>
          <w:b/>
          <w:highlight w:val="none"/>
        </w:rPr>
        <w:t>5、本项目实行电子投标，应按照本项目采购文件和政采云平台的要求编制、加密并递交投标响应文件。供应商在使用系统进行投标的过程中遇到涉及平台使用的任何问题，可致电政采云平台技术支持热线咨询，联系方式：</w:t>
      </w:r>
      <w:r>
        <w:rPr>
          <w:rFonts w:cs="Arial"/>
          <w:b/>
          <w:highlight w:val="none"/>
        </w:rPr>
        <w:t>400-881-7190</w:t>
      </w:r>
      <w:r>
        <w:rPr>
          <w:rFonts w:hint="eastAsia" w:cs="Arial"/>
          <w:b/>
          <w:highlight w:val="none"/>
        </w:rPr>
        <w:t>，</w:t>
      </w:r>
      <w:r>
        <w:rPr>
          <w:rFonts w:cs="Arial"/>
          <w:b/>
          <w:highlight w:val="none"/>
        </w:rPr>
        <w:t>400-837-1020</w:t>
      </w:r>
      <w:r>
        <w:rPr>
          <w:rFonts w:hint="eastAsia" w:cs="Arial"/>
          <w:b/>
          <w:highlight w:val="none"/>
        </w:rPr>
        <w:t>。</w:t>
      </w:r>
    </w:p>
    <w:p>
      <w:pPr>
        <w:autoSpaceDE w:val="0"/>
        <w:autoSpaceDN w:val="0"/>
        <w:snapToGrid w:val="0"/>
        <w:spacing w:line="360" w:lineRule="auto"/>
        <w:ind w:firstLine="482" w:firstLineChars="200"/>
        <w:rPr>
          <w:b/>
          <w:highlight w:val="none"/>
        </w:rPr>
      </w:pPr>
      <w:r>
        <w:rPr>
          <w:rFonts w:hint="eastAsia"/>
          <w:b/>
          <w:highlight w:val="none"/>
        </w:rPr>
        <w:t>6、因疫情影响，尽量做到“不碰面，少接触”的原则，要求投标供应商在线解密，电话磋商，开标结果将在浙江政府采购网进行公告。</w:t>
      </w:r>
    </w:p>
    <w:p>
      <w:pPr>
        <w:snapToGrid w:val="0"/>
        <w:spacing w:line="360" w:lineRule="auto"/>
        <w:ind w:firstLine="600" w:firstLineChars="250"/>
        <w:rPr>
          <w:rFonts w:cs="Arial"/>
          <w:highlight w:val="none"/>
        </w:rPr>
      </w:pPr>
      <w:r>
        <w:rPr>
          <w:rFonts w:hint="eastAsia" w:cs="Arial"/>
          <w:highlight w:val="none"/>
        </w:rPr>
        <w:t>7、投标供应商应在开标前完成</w:t>
      </w:r>
      <w:r>
        <w:rPr>
          <w:rFonts w:cs="Arial"/>
          <w:highlight w:val="none"/>
        </w:rPr>
        <w:t>CA</w:t>
      </w:r>
      <w:r>
        <w:rPr>
          <w:rFonts w:hint="eastAsia" w:cs="Arial"/>
          <w:highlight w:val="none"/>
        </w:rPr>
        <w:t>数字证书办理。（办理流程详见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cs="Arial"/>
          <w:highlight w:val="none"/>
        </w:rPr>
        <w:t>http://zfcg.czt.zj.gov.cn/bidClientTemplate/2020-05-27/12945.html</w:t>
      </w:r>
      <w:r>
        <w:rPr>
          <w:rFonts w:cs="Arial"/>
          <w:highlight w:val="none"/>
        </w:rPr>
        <w:fldChar w:fldCharType="end"/>
      </w:r>
      <w:r>
        <w:rPr>
          <w:rFonts w:hint="eastAsia" w:cs="Arial"/>
          <w:highlight w:val="none"/>
        </w:rPr>
        <w:t>）。</w:t>
      </w:r>
    </w:p>
    <w:p>
      <w:pPr>
        <w:snapToGrid w:val="0"/>
        <w:spacing w:line="360" w:lineRule="auto"/>
        <w:ind w:firstLine="600" w:firstLineChars="250"/>
        <w:rPr>
          <w:rFonts w:cs="Arial"/>
          <w:szCs w:val="21"/>
          <w:highlight w:val="none"/>
        </w:rPr>
      </w:pPr>
      <w:r>
        <w:rPr>
          <w:rFonts w:hint="eastAsia" w:cs="Arial"/>
          <w:highlight w:val="none"/>
        </w:rPr>
        <w:t>8、投标供应商通过政采云平台电子投标工具制作投标响应文件，电子投标工具请供应商自行前往浙江政府采购网下载并安</w:t>
      </w:r>
      <w:r>
        <w:rPr>
          <w:rFonts w:hint="eastAsia" w:cs="Arial"/>
          <w:szCs w:val="21"/>
          <w:highlight w:val="none"/>
        </w:rPr>
        <w:t>装，（下载网址：</w:t>
      </w:r>
      <w:r>
        <w:rPr>
          <w:highlight w:val="none"/>
        </w:rPr>
        <w:fldChar w:fldCharType="begin"/>
      </w:r>
      <w:r>
        <w:rPr>
          <w:highlight w:val="none"/>
        </w:rPr>
        <w:instrText xml:space="preserve"> HYPERLINK "http://zfcg.czt.zj.gov.cn/bidClientTemplate/2019-05-27/12946.html" </w:instrText>
      </w:r>
      <w:r>
        <w:rPr>
          <w:highlight w:val="none"/>
        </w:rPr>
        <w:fldChar w:fldCharType="separate"/>
      </w:r>
      <w:r>
        <w:rPr>
          <w:rFonts w:cs="Arial"/>
          <w:szCs w:val="21"/>
          <w:highlight w:val="none"/>
        </w:rPr>
        <w:t>http://zfcg.czt.zj.gov.cn/bidClientTemplate/2020-05-27/12946.html</w:t>
      </w:r>
      <w:r>
        <w:rPr>
          <w:rFonts w:cs="Arial"/>
          <w:szCs w:val="21"/>
          <w:highlight w:val="none"/>
        </w:rPr>
        <w:fldChar w:fldCharType="end"/>
      </w:r>
      <w:r>
        <w:rPr>
          <w:rFonts w:hint="eastAsia" w:cs="Arial"/>
          <w:szCs w:val="21"/>
          <w:highlight w:val="none"/>
        </w:rPr>
        <w:t>），电子投标具体流程详见本采购公告附件：</w:t>
      </w:r>
      <w:r>
        <w:rPr>
          <w:rFonts w:cs="Arial"/>
          <w:szCs w:val="21"/>
          <w:highlight w:val="none"/>
        </w:rPr>
        <w:t>“</w:t>
      </w:r>
      <w:r>
        <w:rPr>
          <w:highlight w:val="none"/>
        </w:rPr>
        <w:fldChar w:fldCharType="begin"/>
      </w:r>
      <w:r>
        <w:rPr>
          <w:highlight w:val="none"/>
        </w:rPr>
        <w:instrText xml:space="preserve"> HYPERLINK "file:///F:\\Gao\\Documents\\WeChat%20Files\\hawer122\\FileStorage\\File\\2019-06\\%E7%94%B5%E5%AD%90%E5%8C%96%E6%8A%95%E6%A0%87%E6%93%8D%E4%BD%9C%E6%8C%87%E5%8D%97.pdf" </w:instrText>
      </w:r>
      <w:r>
        <w:rPr>
          <w:highlight w:val="none"/>
        </w:rPr>
        <w:fldChar w:fldCharType="separate"/>
      </w:r>
      <w:r>
        <w:rPr>
          <w:rFonts w:cs="Arial"/>
          <w:szCs w:val="21"/>
          <w:highlight w:val="none"/>
        </w:rPr>
        <w:t>政采云供应商项目采购-电子招投标操作指南.pdf</w:t>
      </w:r>
      <w:r>
        <w:rPr>
          <w:rFonts w:cs="Arial"/>
          <w:szCs w:val="21"/>
          <w:highlight w:val="none"/>
        </w:rPr>
        <w:fldChar w:fldCharType="end"/>
      </w:r>
      <w:r>
        <w:rPr>
          <w:rFonts w:cs="Arial"/>
          <w:szCs w:val="21"/>
          <w:highlight w:val="none"/>
        </w:rPr>
        <w:t>”</w:t>
      </w:r>
      <w:r>
        <w:rPr>
          <w:rFonts w:hint="eastAsia" w:cs="Arial"/>
          <w:szCs w:val="21"/>
          <w:highlight w:val="none"/>
        </w:rPr>
        <w:t>。</w:t>
      </w:r>
    </w:p>
    <w:p>
      <w:pPr>
        <w:spacing w:line="360" w:lineRule="auto"/>
        <w:ind w:firstLine="600" w:firstLineChars="249"/>
        <w:rPr>
          <w:b/>
          <w:szCs w:val="21"/>
          <w:highlight w:val="none"/>
        </w:rPr>
      </w:pPr>
      <w:r>
        <w:rPr>
          <w:rFonts w:hint="eastAsia"/>
          <w:b/>
          <w:szCs w:val="21"/>
          <w:highlight w:val="none"/>
        </w:rPr>
        <w:t>十二、</w:t>
      </w:r>
      <w:r>
        <w:rPr>
          <w:b/>
          <w:szCs w:val="21"/>
          <w:highlight w:val="none"/>
        </w:rPr>
        <w:t>联系方式：</w:t>
      </w:r>
    </w:p>
    <w:p>
      <w:pPr>
        <w:spacing w:line="360" w:lineRule="auto"/>
        <w:ind w:firstLine="480" w:firstLineChars="200"/>
        <w:rPr>
          <w:szCs w:val="21"/>
          <w:highlight w:val="none"/>
        </w:rPr>
      </w:pPr>
      <w:r>
        <w:rPr>
          <w:rFonts w:hint="eastAsia"/>
          <w:szCs w:val="21"/>
          <w:highlight w:val="none"/>
        </w:rPr>
        <w:t>采购代理机构名称：嘉兴市建新工程造价咨询事务所有限公司</w:t>
      </w:r>
    </w:p>
    <w:p>
      <w:pPr>
        <w:spacing w:line="360" w:lineRule="auto"/>
        <w:ind w:firstLine="480" w:firstLineChars="200"/>
        <w:rPr>
          <w:szCs w:val="21"/>
          <w:highlight w:val="none"/>
        </w:rPr>
      </w:pPr>
      <w:r>
        <w:rPr>
          <w:rFonts w:hint="eastAsia"/>
          <w:szCs w:val="21"/>
          <w:highlight w:val="none"/>
        </w:rPr>
        <w:t>联系人：张云伟</w:t>
      </w:r>
      <w:r>
        <w:rPr>
          <w:szCs w:val="21"/>
          <w:highlight w:val="none"/>
        </w:rPr>
        <w:t xml:space="preserve">       </w:t>
      </w:r>
      <w:r>
        <w:rPr>
          <w:rFonts w:hint="eastAsia"/>
          <w:szCs w:val="21"/>
          <w:highlight w:val="none"/>
        </w:rPr>
        <w:t>联系电话：</w:t>
      </w:r>
      <w:bookmarkStart w:id="3" w:name="B42_联系电话"/>
      <w:r>
        <w:rPr>
          <w:szCs w:val="21"/>
          <w:highlight w:val="none"/>
        </w:rPr>
        <w:t>0573-</w:t>
      </w:r>
      <w:bookmarkEnd w:id="3"/>
      <w:r>
        <w:rPr>
          <w:szCs w:val="21"/>
          <w:highlight w:val="none"/>
        </w:rPr>
        <w:t>86</w:t>
      </w:r>
      <w:r>
        <w:rPr>
          <w:rFonts w:hint="eastAsia"/>
          <w:szCs w:val="21"/>
          <w:highlight w:val="none"/>
        </w:rPr>
        <w:t>120371；传真：</w:t>
      </w:r>
      <w:r>
        <w:rPr>
          <w:szCs w:val="21"/>
          <w:highlight w:val="none"/>
        </w:rPr>
        <w:t>0573-86</w:t>
      </w:r>
      <w:r>
        <w:rPr>
          <w:rFonts w:hint="eastAsia"/>
          <w:szCs w:val="21"/>
          <w:highlight w:val="none"/>
        </w:rPr>
        <w:t>120311</w:t>
      </w:r>
    </w:p>
    <w:p>
      <w:pPr>
        <w:spacing w:line="360" w:lineRule="auto"/>
        <w:ind w:firstLine="480" w:firstLineChars="200"/>
        <w:rPr>
          <w:szCs w:val="21"/>
          <w:highlight w:val="none"/>
        </w:rPr>
      </w:pPr>
      <w:r>
        <w:rPr>
          <w:rFonts w:hint="eastAsia"/>
          <w:szCs w:val="21"/>
          <w:highlight w:val="none"/>
        </w:rPr>
        <w:t>地址：海盐县武原街道秀水路193号</w:t>
      </w:r>
    </w:p>
    <w:p>
      <w:pPr>
        <w:spacing w:line="360" w:lineRule="auto"/>
        <w:ind w:firstLine="480" w:firstLineChars="200"/>
        <w:rPr>
          <w:rFonts w:hint="eastAsia" w:eastAsia="宋体"/>
          <w:highlight w:val="none"/>
          <w:lang w:eastAsia="zh-CN"/>
        </w:rPr>
      </w:pPr>
      <w:r>
        <w:rPr>
          <w:rFonts w:hint="eastAsia"/>
          <w:szCs w:val="21"/>
          <w:highlight w:val="none"/>
        </w:rPr>
        <w:t>采购单位：</w:t>
      </w:r>
      <w:r>
        <w:rPr>
          <w:rFonts w:hint="eastAsia"/>
          <w:highlight w:val="none"/>
          <w:lang w:eastAsia="zh-CN"/>
        </w:rPr>
        <w:t>海盐县人民法院</w:t>
      </w:r>
    </w:p>
    <w:p>
      <w:pPr>
        <w:spacing w:line="360" w:lineRule="auto"/>
        <w:ind w:firstLine="480" w:firstLineChars="200"/>
        <w:rPr>
          <w:szCs w:val="21"/>
          <w:highlight w:val="none"/>
        </w:rPr>
      </w:pPr>
      <w:r>
        <w:rPr>
          <w:rFonts w:hint="eastAsia"/>
          <w:szCs w:val="21"/>
          <w:highlight w:val="none"/>
        </w:rPr>
        <w:t>联系人：</w:t>
      </w:r>
      <w:r>
        <w:rPr>
          <w:rFonts w:hint="eastAsia"/>
          <w:szCs w:val="21"/>
          <w:highlight w:val="none"/>
          <w:lang w:val="en-US" w:eastAsia="zh-CN"/>
        </w:rPr>
        <w:t>汤奕波</w:t>
      </w:r>
      <w:r>
        <w:rPr>
          <w:szCs w:val="21"/>
          <w:highlight w:val="none"/>
        </w:rPr>
        <w:t xml:space="preserve">  </w:t>
      </w:r>
      <w:r>
        <w:rPr>
          <w:rFonts w:hint="eastAsia"/>
          <w:szCs w:val="21"/>
          <w:highlight w:val="none"/>
        </w:rPr>
        <w:t>联系电话：0573-86025271</w:t>
      </w:r>
    </w:p>
    <w:p>
      <w:pPr>
        <w:spacing w:line="360" w:lineRule="auto"/>
        <w:ind w:firstLine="480" w:firstLineChars="200"/>
        <w:rPr>
          <w:szCs w:val="21"/>
          <w:highlight w:val="none"/>
        </w:rPr>
      </w:pPr>
      <w:r>
        <w:rPr>
          <w:rFonts w:hint="eastAsia"/>
          <w:szCs w:val="21"/>
          <w:highlight w:val="none"/>
        </w:rPr>
        <w:t>地点：海盐县武原街道海丰西路633号</w:t>
      </w:r>
    </w:p>
    <w:p>
      <w:pPr>
        <w:spacing w:line="360" w:lineRule="auto"/>
        <w:ind w:firstLine="480" w:firstLineChars="200"/>
        <w:rPr>
          <w:szCs w:val="21"/>
          <w:highlight w:val="none"/>
        </w:rPr>
      </w:pPr>
      <w:r>
        <w:rPr>
          <w:rFonts w:hint="eastAsia"/>
          <w:szCs w:val="21"/>
          <w:highlight w:val="none"/>
        </w:rPr>
        <w:t>政府采购监管管理部门：海盐县财政局政府采购监管科</w:t>
      </w:r>
    </w:p>
    <w:p>
      <w:pPr>
        <w:spacing w:line="360" w:lineRule="auto"/>
        <w:ind w:firstLine="480" w:firstLineChars="200"/>
        <w:rPr>
          <w:szCs w:val="21"/>
          <w:highlight w:val="none"/>
        </w:rPr>
      </w:pPr>
      <w:r>
        <w:rPr>
          <w:rFonts w:hint="eastAsia"/>
          <w:szCs w:val="21"/>
          <w:highlight w:val="none"/>
        </w:rPr>
        <w:t>联系人：</w:t>
      </w:r>
      <w:r>
        <w:rPr>
          <w:rFonts w:hint="eastAsia"/>
          <w:szCs w:val="21"/>
          <w:highlight w:val="none"/>
          <w:lang w:val="en-US" w:eastAsia="zh-CN"/>
        </w:rPr>
        <w:t>张科、郭科</w:t>
      </w:r>
      <w:r>
        <w:rPr>
          <w:rFonts w:hint="eastAsia"/>
          <w:szCs w:val="21"/>
          <w:highlight w:val="none"/>
        </w:rPr>
        <w:t xml:space="preserve">          监督投诉电话：0573-86122512</w:t>
      </w:r>
    </w:p>
    <w:p>
      <w:pPr>
        <w:spacing w:line="360" w:lineRule="auto"/>
        <w:ind w:firstLine="480" w:firstLineChars="200"/>
        <w:rPr>
          <w:szCs w:val="21"/>
          <w:highlight w:val="none"/>
        </w:rPr>
      </w:pPr>
      <w:r>
        <w:rPr>
          <w:rFonts w:hint="eastAsia"/>
          <w:szCs w:val="21"/>
          <w:highlight w:val="none"/>
        </w:rPr>
        <w:t>地址:海盐县武原街道新桥北路168号</w:t>
      </w:r>
    </w:p>
    <w:p>
      <w:pPr>
        <w:spacing w:line="480" w:lineRule="exact"/>
        <w:ind w:right="118"/>
        <w:jc w:val="center"/>
        <w:rPr>
          <w:highlight w:val="none"/>
        </w:rPr>
      </w:pPr>
      <w:r>
        <w:rPr>
          <w:rFonts w:hint="eastAsia" w:cs="Arial"/>
          <w:highlight w:val="none"/>
        </w:rPr>
        <w:t xml:space="preserve">                                     </w:t>
      </w:r>
    </w:p>
    <w:p>
      <w:pPr>
        <w:spacing w:line="480" w:lineRule="exact"/>
        <w:ind w:right="720" w:firstLine="240" w:firstLineChars="100"/>
        <w:jc w:val="right"/>
        <w:rPr>
          <w:highlight w:val="none"/>
        </w:rPr>
      </w:pPr>
      <w:r>
        <w:rPr>
          <w:rFonts w:hint="eastAsia"/>
          <w:highlight w:val="none"/>
        </w:rPr>
        <w:t xml:space="preserve"> 2022年</w:t>
      </w:r>
      <w:r>
        <w:rPr>
          <w:rFonts w:hint="eastAsia"/>
          <w:highlight w:val="none"/>
          <w:lang w:val="en-US" w:eastAsia="zh-CN"/>
        </w:rPr>
        <w:t>11</w:t>
      </w:r>
      <w:r>
        <w:rPr>
          <w:rFonts w:hint="eastAsia"/>
          <w:highlight w:val="none"/>
        </w:rPr>
        <w:t>月</w:t>
      </w:r>
      <w:r>
        <w:rPr>
          <w:rFonts w:hint="eastAsia"/>
          <w:highlight w:val="none"/>
          <w:lang w:val="en-US" w:eastAsia="zh-CN"/>
        </w:rPr>
        <w:t>7</w:t>
      </w:r>
      <w:r>
        <w:rPr>
          <w:rFonts w:hint="eastAsia"/>
          <w:highlight w:val="none"/>
        </w:rPr>
        <w:t>日</w:t>
      </w:r>
    </w:p>
    <w:p>
      <w:pPr>
        <w:spacing w:line="450" w:lineRule="exact"/>
        <w:jc w:val="center"/>
        <w:outlineLvl w:val="0"/>
        <w:rPr>
          <w:sz w:val="36"/>
          <w:szCs w:val="36"/>
          <w:highlight w:val="none"/>
        </w:rPr>
      </w:pPr>
      <w:r>
        <w:rPr>
          <w:b/>
          <w:highlight w:val="none"/>
        </w:rPr>
        <w:br w:type="page"/>
      </w:r>
      <w:bookmarkStart w:id="4" w:name="_Toc19454"/>
      <w:bookmarkStart w:id="5" w:name="_Toc16205"/>
      <w:bookmarkStart w:id="6" w:name="_Toc10950"/>
      <w:r>
        <w:rPr>
          <w:rFonts w:hint="eastAsia"/>
          <w:b/>
          <w:sz w:val="36"/>
          <w:szCs w:val="36"/>
          <w:highlight w:val="none"/>
        </w:rPr>
        <w:t>第二章  采购需求</w:t>
      </w:r>
      <w:bookmarkEnd w:id="4"/>
      <w:bookmarkEnd w:id="5"/>
      <w:bookmarkEnd w:id="6"/>
    </w:p>
    <w:p>
      <w:pPr>
        <w:pStyle w:val="2"/>
        <w:spacing w:line="26" w:lineRule="atLeast"/>
        <w:rPr>
          <w:highlight w:val="none"/>
        </w:rPr>
      </w:pPr>
      <w:bookmarkStart w:id="7" w:name="_Toc18149"/>
      <w:bookmarkStart w:id="8" w:name="_Toc5245"/>
      <w:bookmarkStart w:id="9" w:name="_Toc8420"/>
      <w:r>
        <w:rPr>
          <w:rFonts w:hint="eastAsia"/>
          <w:highlight w:val="none"/>
        </w:rPr>
        <w:t>建设背景</w:t>
      </w:r>
    </w:p>
    <w:p>
      <w:pPr>
        <w:ind w:firstLine="420" w:firstLineChars="0"/>
        <w:rPr>
          <w:highlight w:val="none"/>
        </w:rPr>
      </w:pPr>
      <w:r>
        <w:rPr>
          <w:rFonts w:hint="eastAsia"/>
          <w:highlight w:val="none"/>
        </w:rPr>
        <w:t>2</w:t>
      </w:r>
      <w:r>
        <w:rPr>
          <w:highlight w:val="none"/>
        </w:rPr>
        <w:t>015</w:t>
      </w:r>
      <w:r>
        <w:rPr>
          <w:rFonts w:hint="eastAsia"/>
          <w:highlight w:val="none"/>
        </w:rPr>
        <w:t>年，中共中央办公厅、国务院办公厅印发《关于进一步规范刑事诉讼涉案财物处置工作的意见》，要求坚持公正与效率相统一、改革创新与于法有据相统一、保障当事人合法权益与适应司法办案需要相统一的原则，健全处置涉案财物的程序、制度和机制。</w:t>
      </w:r>
    </w:p>
    <w:p>
      <w:pPr>
        <w:ind w:firstLine="420" w:firstLineChars="0"/>
        <w:rPr>
          <w:highlight w:val="none"/>
        </w:rPr>
      </w:pPr>
      <w:r>
        <w:rPr>
          <w:rFonts w:hint="eastAsia"/>
          <w:highlight w:val="none"/>
        </w:rPr>
        <w:t>2016年11月4日，中共中央、国务院下发《关于完善产权保护制度依法保护产权的意见》。11月10日，最高人民法院召开学习贯彻《意见》专题会议，要求深入贯彻落实《意见》精神，充分发挥人民法院审判职能作用，依法保护各种所有制经济组织和公民财产权，不断推进产权保护法治化，为经济社会发展提供有力司法保障。</w:t>
      </w:r>
    </w:p>
    <w:p>
      <w:pPr>
        <w:ind w:firstLine="420" w:firstLineChars="0"/>
        <w:rPr>
          <w:highlight w:val="none"/>
        </w:rPr>
      </w:pPr>
      <w:r>
        <w:rPr>
          <w:rFonts w:hint="eastAsia"/>
          <w:highlight w:val="none"/>
        </w:rPr>
        <w:t>2</w:t>
      </w:r>
      <w:r>
        <w:rPr>
          <w:highlight w:val="none"/>
        </w:rPr>
        <w:t>017</w:t>
      </w:r>
      <w:r>
        <w:rPr>
          <w:rFonts w:hint="eastAsia"/>
          <w:highlight w:val="none"/>
        </w:rPr>
        <w:t>年，为规范人民法院对执行款物的管理工作，维护当事人的合法权益，最高人民法院对2006年5月18日发布施行的《关于执行款物管理工作的规定（试行）》（法发〔2006〕11号）进行了修订。</w:t>
      </w:r>
    </w:p>
    <w:p>
      <w:pPr>
        <w:ind w:firstLine="420" w:firstLineChars="0"/>
        <w:rPr>
          <w:highlight w:val="none"/>
        </w:rPr>
      </w:pPr>
      <w:r>
        <w:rPr>
          <w:rFonts w:hint="eastAsia"/>
          <w:highlight w:val="none"/>
        </w:rPr>
        <w:t>2018年3月开始实施的《中华人民共和国监察法》，文件针对涉案财物的冻结、查封、扣押、调取等措施作出了明确规定。同年，浙江省高级人民法院、浙江省人民检察院、浙江省公安厅、浙江省财政厅联合出台了《浙江省刑事诉讼涉案财物跨部门管理和处置工作机制建设的指导意见》，明确要求按照集中管理、信息共享、相互配合、及时处置的原则，建立全省刑事诉讼涉案财物跨部门管理和处置工作机制。</w:t>
      </w:r>
    </w:p>
    <w:p>
      <w:pPr>
        <w:ind w:firstLine="420" w:firstLineChars="0"/>
        <w:rPr>
          <w:highlight w:val="none"/>
        </w:rPr>
      </w:pPr>
      <w:r>
        <w:rPr>
          <w:rFonts w:hint="eastAsia"/>
          <w:highlight w:val="none"/>
        </w:rPr>
        <w:t>2019年，以刑事案件为涉案财物管理主要突破口，浙江省打在涉案财物管理应用，全面实现刑事诉讼涉案财物“一体化”管理、“换押式”移交、“规范化”处置的新型管理和处置。</w:t>
      </w:r>
    </w:p>
    <w:p>
      <w:pPr>
        <w:ind w:firstLine="420" w:firstLineChars="0"/>
        <w:rPr>
          <w:highlight w:val="none"/>
        </w:rPr>
      </w:pPr>
      <w:r>
        <w:rPr>
          <w:rFonts w:hint="eastAsia"/>
          <w:highlight w:val="none"/>
        </w:rPr>
        <w:t>2020年10月，嘉兴中院首创3D+AI+区块链“云上物证室”，有效解决法院物证存储难的痛点</w:t>
      </w:r>
    </w:p>
    <w:p>
      <w:pPr>
        <w:ind w:firstLine="420" w:firstLineChars="0"/>
        <w:rPr>
          <w:highlight w:val="none"/>
        </w:rPr>
      </w:pPr>
      <w:bookmarkStart w:id="10" w:name="_Hlk85556419"/>
      <w:r>
        <w:rPr>
          <w:rFonts w:hint="eastAsia"/>
          <w:highlight w:val="none"/>
        </w:rPr>
        <w:t>2021年3月，中共浙江省委全面深化改革委员会在下发《浙江省数字化改革总体方案》文件中指出，以数字化改革撬动各领域各方面改革，聚焦“七个关键”，突出一体化、全方位、制度重塑、数字赋能和现代化，以重大任务和年度目标为切入点，以破解问题为工作导向，建设跨部门多场景协同应用，是本次数字化改革的主要目标。</w:t>
      </w:r>
    </w:p>
    <w:p>
      <w:pPr>
        <w:ind w:firstLine="420" w:firstLineChars="0"/>
        <w:rPr>
          <w:highlight w:val="none"/>
        </w:rPr>
      </w:pPr>
      <w:r>
        <w:rPr>
          <w:rFonts w:hint="eastAsia"/>
          <w:highlight w:val="none"/>
        </w:rPr>
        <w:t>同期，浙江省高级人民法院也下发了《关于推进建设“浙江全域数字法院”重大改革的实施方案》文件，要求落实省委数字化改革部署要求，以技术变革推动业务流程再造、组织架构重塑和诉讼制度变革，建设全域化、一体化、智能化的全域数字法院，推动法院系统进行跨区域、跨部门、跨层级的体制机制改革，形成全业务平台通办、全时空泛在服务、全流程智能辅助、全省域资源整合、全方位制度重塑的司法运行、组织和管理新形态以及完备的全域数字法院理论体系和规范体系，有力助推省域治理体系和治理能力现代化。</w:t>
      </w:r>
    </w:p>
    <w:p>
      <w:pPr>
        <w:ind w:firstLine="420" w:firstLineChars="0"/>
        <w:rPr>
          <w:highlight w:val="none"/>
        </w:rPr>
      </w:pPr>
      <w:r>
        <w:rPr>
          <w:rFonts w:hint="eastAsia"/>
          <w:highlight w:val="none"/>
        </w:rPr>
        <w:t>今年4月，浙江省高级人民法院下发了《关于确定“浙江全域数字法院”改革2022 年重点任务与试点单位的通知》，指定海盐县人民法院为涉案财物智能管理场景的试点法院，要求规范有序推进项目建设，突出实战实效，加快打造全域数字法院改革的“硬核成果”，形成“一地创新、全省共享”的良好氛围。</w:t>
      </w:r>
    </w:p>
    <w:p>
      <w:pPr>
        <w:rPr>
          <w:highlight w:val="none"/>
        </w:rPr>
      </w:pPr>
      <w:r>
        <w:rPr>
          <w:rFonts w:hint="eastAsia"/>
          <w:highlight w:val="none"/>
        </w:rPr>
        <w:t>本项目针对刑事、民事、行政条线的涉案财物进行建设，打造涉案财物接收、调用、归还、出库以及文书入卷一系列线上管理流程，使得财物管理更加简单方便，为全域数字化改革作出贡献。</w:t>
      </w:r>
    </w:p>
    <w:bookmarkEnd w:id="10"/>
    <w:p>
      <w:pPr>
        <w:pStyle w:val="2"/>
        <w:spacing w:line="26" w:lineRule="atLeast"/>
        <w:rPr>
          <w:highlight w:val="none"/>
        </w:rPr>
      </w:pPr>
      <w:r>
        <w:rPr>
          <w:rFonts w:hint="eastAsia"/>
          <w:highlight w:val="none"/>
        </w:rPr>
        <w:t>建设目标</w:t>
      </w:r>
    </w:p>
    <w:p>
      <w:pPr>
        <w:spacing w:line="26" w:lineRule="atLeast"/>
        <w:ind w:firstLine="482"/>
        <w:rPr>
          <w:highlight w:val="none"/>
        </w:rPr>
      </w:pPr>
      <w:r>
        <w:rPr>
          <w:rFonts w:hint="eastAsia"/>
          <w:highlight w:val="none"/>
        </w:rPr>
        <w:t>按照涉案财物相关政策法规要求以及省高院关于建设“全域数字法院”的战略部署要求，涉案财物管理项目建设主要是为了实现以下三个方面的目标：</w:t>
      </w:r>
    </w:p>
    <w:p>
      <w:pPr>
        <w:spacing w:line="26" w:lineRule="atLeast"/>
        <w:ind w:firstLine="482"/>
        <w:rPr>
          <w:highlight w:val="none"/>
        </w:rPr>
      </w:pPr>
      <w:r>
        <w:rPr>
          <w:rFonts w:hint="eastAsia"/>
          <w:highlight w:val="none"/>
        </w:rPr>
        <w:t>（一）统一规范。涉案财物管理实行分类分区集中保管，实现“一物一码一档”全流程智能化管理，全程留痕，确保涉案财物收取、保管、流转、处置规范有序。</w:t>
      </w:r>
    </w:p>
    <w:p>
      <w:pPr>
        <w:spacing w:line="26" w:lineRule="atLeast"/>
        <w:ind w:firstLine="482"/>
        <w:rPr>
          <w:highlight w:val="none"/>
        </w:rPr>
      </w:pPr>
      <w:r>
        <w:rPr>
          <w:rFonts w:hint="eastAsia"/>
          <w:highlight w:val="none"/>
        </w:rPr>
        <w:t>（二）利民高效。坚持以人民为中心，建立系统集成、操作简便、运行高效的涉案财物管理机制，切实保障公民、法人和其他组织的合法权益。</w:t>
      </w:r>
    </w:p>
    <w:p>
      <w:pPr>
        <w:spacing w:line="26" w:lineRule="atLeast"/>
        <w:ind w:firstLine="482"/>
        <w:rPr>
          <w:rFonts w:ascii="宋体" w:hAnsi="宋体"/>
          <w:highlight w:val="none"/>
        </w:rPr>
      </w:pPr>
      <w:r>
        <w:rPr>
          <w:rFonts w:hint="eastAsia"/>
          <w:highlight w:val="none"/>
        </w:rPr>
        <w:t>（三）互联共享。依托浙江法院办案办公平台（以下简称“平台”），构建政法一体化涉案财物管理体系，实现涉案财物跨层级、跨地域、跨部门、跨业务数据共享</w:t>
      </w:r>
      <w:r>
        <w:rPr>
          <w:rFonts w:hint="eastAsia" w:ascii="宋体" w:hAnsi="宋体"/>
          <w:highlight w:val="none"/>
        </w:rPr>
        <w:t>。</w:t>
      </w:r>
    </w:p>
    <w:p>
      <w:pPr>
        <w:pStyle w:val="2"/>
        <w:spacing w:line="26" w:lineRule="atLeast"/>
        <w:rPr>
          <w:highlight w:val="none"/>
        </w:rPr>
      </w:pPr>
      <w:r>
        <w:rPr>
          <w:rFonts w:hint="eastAsia"/>
          <w:highlight w:val="none"/>
        </w:rPr>
        <w:t>采购需求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78"/>
        <w:gridCol w:w="762"/>
        <w:gridCol w:w="2096"/>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47" w:type="pct"/>
            <w:shd w:val="clear" w:color="000000" w:fill="FFFFFF"/>
            <w:vAlign w:val="center"/>
          </w:tcPr>
          <w:p>
            <w:pPr>
              <w:jc w:val="center"/>
              <w:rPr>
                <w:rFonts w:ascii="黑体" w:hAnsi="黑体" w:eastAsia="黑体" w:cs="宋体"/>
                <w:b/>
                <w:bCs/>
                <w:color w:val="000000"/>
                <w:szCs w:val="24"/>
                <w:highlight w:val="none"/>
              </w:rPr>
            </w:pPr>
            <w:r>
              <w:rPr>
                <w:rFonts w:hint="eastAsia" w:ascii="黑体" w:hAnsi="黑体" w:eastAsia="黑体" w:cs="宋体"/>
                <w:b/>
                <w:bCs/>
                <w:color w:val="000000"/>
                <w:szCs w:val="24"/>
                <w:highlight w:val="none"/>
              </w:rPr>
              <w:t>序号</w:t>
            </w:r>
          </w:p>
        </w:tc>
        <w:tc>
          <w:tcPr>
            <w:tcW w:w="456" w:type="pct"/>
            <w:shd w:val="clear" w:color="000000" w:fill="FFFFFF"/>
            <w:vAlign w:val="center"/>
          </w:tcPr>
          <w:p>
            <w:pPr>
              <w:jc w:val="center"/>
              <w:rPr>
                <w:rFonts w:hint="eastAsia" w:ascii="黑体" w:hAnsi="黑体" w:eastAsia="黑体" w:cs="宋体"/>
                <w:b/>
                <w:bCs/>
                <w:color w:val="000000"/>
                <w:szCs w:val="24"/>
                <w:highlight w:val="none"/>
              </w:rPr>
            </w:pPr>
            <w:r>
              <w:rPr>
                <w:rFonts w:hint="eastAsia" w:ascii="黑体" w:hAnsi="黑体" w:eastAsia="黑体" w:cs="宋体"/>
                <w:b/>
                <w:bCs/>
                <w:color w:val="000000"/>
                <w:szCs w:val="24"/>
                <w:highlight w:val="none"/>
              </w:rPr>
              <w:t>应用</w:t>
            </w:r>
          </w:p>
        </w:tc>
        <w:tc>
          <w:tcPr>
            <w:tcW w:w="447" w:type="pct"/>
            <w:shd w:val="clear" w:color="000000" w:fill="FFFFFF"/>
            <w:vAlign w:val="center"/>
          </w:tcPr>
          <w:p>
            <w:pPr>
              <w:jc w:val="center"/>
              <w:rPr>
                <w:rFonts w:hint="eastAsia" w:ascii="黑体" w:hAnsi="黑体" w:eastAsia="黑体" w:cs="宋体"/>
                <w:b/>
                <w:bCs/>
                <w:color w:val="000000"/>
                <w:szCs w:val="24"/>
                <w:highlight w:val="none"/>
              </w:rPr>
            </w:pPr>
            <w:r>
              <w:rPr>
                <w:rFonts w:hint="eastAsia" w:ascii="黑体" w:hAnsi="黑体" w:eastAsia="黑体" w:cs="宋体"/>
                <w:b/>
                <w:bCs/>
                <w:color w:val="000000"/>
                <w:szCs w:val="24"/>
                <w:highlight w:val="none"/>
              </w:rPr>
              <w:t>场景</w:t>
            </w:r>
          </w:p>
        </w:tc>
        <w:tc>
          <w:tcPr>
            <w:tcW w:w="1229" w:type="pct"/>
            <w:shd w:val="clear" w:color="000000" w:fill="FFFFFF"/>
            <w:vAlign w:val="center"/>
          </w:tcPr>
          <w:p>
            <w:pPr>
              <w:jc w:val="center"/>
              <w:rPr>
                <w:rFonts w:hint="eastAsia" w:ascii="黑体" w:hAnsi="黑体" w:eastAsia="黑体" w:cs="宋体"/>
                <w:b/>
                <w:bCs/>
                <w:color w:val="000000"/>
                <w:szCs w:val="24"/>
                <w:highlight w:val="none"/>
              </w:rPr>
            </w:pPr>
            <w:r>
              <w:rPr>
                <w:rFonts w:hint="eastAsia" w:ascii="黑体" w:hAnsi="黑体" w:eastAsia="黑体" w:cs="宋体"/>
                <w:b/>
                <w:bCs/>
                <w:color w:val="000000"/>
                <w:szCs w:val="24"/>
                <w:highlight w:val="none"/>
              </w:rPr>
              <w:t>一级功能</w:t>
            </w:r>
          </w:p>
        </w:tc>
        <w:tc>
          <w:tcPr>
            <w:tcW w:w="2421" w:type="pct"/>
            <w:shd w:val="clear" w:color="000000" w:fill="FFFFFF"/>
            <w:vAlign w:val="center"/>
          </w:tcPr>
          <w:p>
            <w:pPr>
              <w:jc w:val="center"/>
              <w:rPr>
                <w:rFonts w:hint="eastAsia" w:ascii="黑体" w:hAnsi="黑体" w:eastAsia="黑体" w:cs="宋体"/>
                <w:b/>
                <w:bCs/>
                <w:color w:val="000000"/>
                <w:szCs w:val="24"/>
                <w:highlight w:val="none"/>
              </w:rPr>
            </w:pPr>
            <w:r>
              <w:rPr>
                <w:rFonts w:hint="eastAsia" w:ascii="黑体" w:hAnsi="黑体" w:eastAsia="黑体" w:cs="宋体"/>
                <w:b/>
                <w:bCs/>
                <w:color w:val="000000"/>
                <w:szCs w:val="24"/>
                <w:highlight w:val="none"/>
              </w:rPr>
              <w:t>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1</w:t>
            </w:r>
          </w:p>
        </w:tc>
        <w:tc>
          <w:tcPr>
            <w:tcW w:w="456" w:type="pct"/>
            <w:vMerge w:val="restar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涉案财物管理应用</w:t>
            </w:r>
          </w:p>
        </w:tc>
        <w:tc>
          <w:tcPr>
            <w:tcW w:w="447" w:type="pct"/>
            <w:vMerge w:val="restar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刑事涉案财物</w:t>
            </w:r>
          </w:p>
        </w:tc>
        <w:tc>
          <w:tcPr>
            <w:tcW w:w="1229"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设置涉案财物退回功能</w:t>
            </w:r>
          </w:p>
        </w:tc>
        <w:tc>
          <w:tcPr>
            <w:tcW w:w="2421" w:type="pct"/>
            <w:shd w:val="clear" w:color="000000" w:fill="FFFFFF"/>
            <w:vAlign w:val="center"/>
          </w:tcPr>
          <w:p>
            <w:pPr>
              <w:rPr>
                <w:rFonts w:hint="eastAsia" w:ascii="等线" w:hAnsi="等线" w:eastAsia="等线" w:cs="宋体"/>
                <w:sz w:val="22"/>
                <w:szCs w:val="22"/>
                <w:highlight w:val="none"/>
              </w:rPr>
            </w:pPr>
            <w:r>
              <w:rPr>
                <w:rFonts w:hint="eastAsia" w:ascii="等线" w:hAnsi="等线" w:eastAsia="等线" w:cs="宋体"/>
                <w:sz w:val="22"/>
                <w:szCs w:val="22"/>
                <w:highlight w:val="none"/>
              </w:rPr>
              <w:t>针对信息录入不全、逾期查冻扣等不符合接收条件的涉案财物，法院可在系统中进行退回操作。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2</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设置录入功能和主动发起处置信息推送功能</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现要实现涉案财物信息录入全覆盖，针对公诉机关未通过一体化推送至法院的涉案财物，如查封的房产，以及监委所办理案件等线下移送涉案财物纸质材料的涉案财物，或者法院查冻扣的涉案财物，开通法院自行录入信息功能，并打通与物管中心通道，在案件生效后将处置信息推送至物管中心、检察院和公安局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3</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设置处置信息撤回功能及重新推送功能</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xml:space="preserve"> 如发现涉案财物处置信息错误且已发送，可申请撤回并重新发送。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4</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设置调用及出库审批</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涉案财物出库需经承办人及部门负责人审批，审批后方可出库。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5</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涉案财物的保管</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涉案财物具有长期保存必要的，案件承办人应明确保管期限，保管部门按要求保管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6</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restar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涉案财物移送执行</w:t>
            </w:r>
          </w:p>
        </w:tc>
        <w:tc>
          <w:tcPr>
            <w:tcW w:w="1229" w:type="pct"/>
            <w:vMerge w:val="restar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执行立案阶段</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刑事财产刑案件财产信息有选择推送至执行案件。刑事审判庭需要移送执行的涉案财物，可以通过系统生成刑事财产刑移送执行申请表。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7</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vMerge w:val="continue"/>
            <w:vAlign w:val="center"/>
          </w:tcPr>
          <w:p>
            <w:pPr>
              <w:rPr>
                <w:rFonts w:ascii="等线" w:hAnsi="等线" w:eastAsia="等线" w:cs="宋体"/>
                <w:color w:val="000000"/>
                <w:sz w:val="22"/>
                <w:szCs w:val="22"/>
                <w:highlight w:val="none"/>
              </w:rPr>
            </w:pP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支持刑事财产案件执行立案后执行应用能接收推送的财产信息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8</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noWrap/>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财产移交</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拍卖的财产移交买受人或者承受人后，财产在财产库的状态变更为处置完毕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9</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noWrap/>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处置结果同步</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财产处置结果同步至涉案财物管理应用，支持执行人员将处置结果作为处置意见发送公安等机关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shd w:val="clear" w:color="000000" w:fill="FFFFFF"/>
            <w:noWrap/>
            <w:vAlign w:val="center"/>
          </w:tcPr>
          <w:p>
            <w:pPr>
              <w:jc w:val="cente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10</w:t>
            </w:r>
          </w:p>
        </w:tc>
        <w:tc>
          <w:tcPr>
            <w:tcW w:w="456" w:type="pct"/>
            <w:vMerge w:val="continue"/>
            <w:vAlign w:val="center"/>
          </w:tcPr>
          <w:p>
            <w:pPr>
              <w:rPr>
                <w:rFonts w:ascii="等线" w:hAnsi="等线" w:eastAsia="等线" w:cs="宋体"/>
                <w:color w:val="000000"/>
                <w:sz w:val="22"/>
                <w:szCs w:val="22"/>
                <w:highlight w:val="none"/>
              </w:rPr>
            </w:pPr>
          </w:p>
        </w:tc>
        <w:tc>
          <w:tcPr>
            <w:tcW w:w="447" w:type="pct"/>
            <w:vMerge w:val="continue"/>
            <w:vAlign w:val="center"/>
          </w:tcPr>
          <w:p>
            <w:pPr>
              <w:rPr>
                <w:rFonts w:ascii="等线" w:hAnsi="等线" w:eastAsia="等线" w:cs="宋体"/>
                <w:color w:val="000000"/>
                <w:sz w:val="22"/>
                <w:szCs w:val="22"/>
                <w:highlight w:val="none"/>
              </w:rPr>
            </w:pPr>
          </w:p>
        </w:tc>
        <w:tc>
          <w:tcPr>
            <w:tcW w:w="1229" w:type="pct"/>
            <w:shd w:val="clear" w:color="000000" w:fill="FFFFFF"/>
            <w:noWrap/>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财物发放审批</w:t>
            </w:r>
          </w:p>
        </w:tc>
        <w:tc>
          <w:tcPr>
            <w:tcW w:w="2421" w:type="pct"/>
            <w:shd w:val="clear" w:color="000000" w:fill="FFFFFF"/>
            <w:vAlign w:val="center"/>
          </w:tcPr>
          <w:p>
            <w:pPr>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支持承办人在涉案财物管理应用中发起涉案财物发放审批，需经承办人、执行局长两级审批</w:t>
            </w:r>
          </w:p>
        </w:tc>
      </w:tr>
    </w:tbl>
    <w:p>
      <w:pPr>
        <w:spacing w:line="26" w:lineRule="atLeast"/>
        <w:ind w:firstLine="480" w:firstLineChars="200"/>
        <w:rPr>
          <w:rFonts w:ascii="宋体" w:hAnsi="宋体" w:cs="仿宋"/>
          <w:highlight w:val="none"/>
        </w:rPr>
      </w:pPr>
      <w:r>
        <w:rPr>
          <w:rFonts w:hint="eastAsia" w:ascii="宋体" w:hAnsi="宋体" w:cs="仿宋_GB2312"/>
          <w:highlight w:val="none"/>
        </w:rPr>
        <w:t xml:space="preserve"> </w:t>
      </w:r>
      <w:r>
        <w:rPr>
          <w:rFonts w:hint="eastAsia" w:cs="宋体"/>
          <w:color w:val="000000"/>
          <w:sz w:val="22"/>
          <w:szCs w:val="22"/>
          <w:highlight w:val="none"/>
          <w:lang w:eastAsia="zh-CN"/>
        </w:rPr>
        <w:t>▲</w:t>
      </w:r>
      <w:r>
        <w:rPr>
          <w:rFonts w:hint="eastAsia" w:ascii="宋体" w:hAnsi="宋体" w:cs="仿宋"/>
          <w:bCs/>
          <w:szCs w:val="24"/>
          <w:highlight w:val="none"/>
          <w:lang w:val="zh-CN"/>
        </w:rPr>
        <w:t>与原有系统的无缝对接：因本项目中涉及原有浙江省法院案款应用、执行应用、办案办公平台“平台+智能”化建设等系统的延续性开发，需由中标人协调原有系统开发商的研发人员进行处理，或派遣自有研发人员处理，在保证所开发的功能能够与原有系统无缝衔接的前提下，完成招标需求要求的功能实现。协调原厂开发商处理问题的所有费用由中标人提供，甲方不再提供任何费用。</w:t>
      </w:r>
    </w:p>
    <w:p>
      <w:pPr>
        <w:spacing w:line="26" w:lineRule="atLeast"/>
        <w:ind w:firstLine="440" w:firstLineChars="200"/>
        <w:rPr>
          <w:rFonts w:hint="eastAsia" w:ascii="宋体" w:hAnsi="宋体" w:cs="仿宋"/>
          <w:bCs/>
          <w:szCs w:val="24"/>
          <w:highlight w:val="none"/>
          <w:lang w:val="zh-CN"/>
        </w:rPr>
      </w:pPr>
      <w:r>
        <w:rPr>
          <w:rFonts w:hint="eastAsia" w:cs="宋体"/>
          <w:color w:val="000000"/>
          <w:sz w:val="22"/>
          <w:szCs w:val="22"/>
          <w:highlight w:val="none"/>
          <w:lang w:eastAsia="zh-CN"/>
        </w:rPr>
        <w:t>▲</w:t>
      </w:r>
      <w:r>
        <w:rPr>
          <w:rFonts w:hint="eastAsia" w:ascii="宋体" w:hAnsi="宋体" w:cs="仿宋"/>
          <w:szCs w:val="24"/>
          <w:highlight w:val="none"/>
        </w:rPr>
        <w:t>为了保障系统的开发进度，</w:t>
      </w:r>
      <w:r>
        <w:rPr>
          <w:rFonts w:hint="eastAsia" w:ascii="宋体" w:hAnsi="宋体" w:cs="仿宋"/>
          <w:highlight w:val="none"/>
        </w:rPr>
        <w:t>投标人需在投标文件中承诺在中标后</w:t>
      </w:r>
      <w:r>
        <w:rPr>
          <w:rFonts w:ascii="宋体" w:hAnsi="宋体" w:cs="仿宋"/>
          <w:highlight w:val="none"/>
        </w:rPr>
        <w:t>7</w:t>
      </w:r>
      <w:r>
        <w:rPr>
          <w:rFonts w:hint="eastAsia" w:ascii="宋体" w:hAnsi="宋体" w:cs="仿宋"/>
          <w:highlight w:val="none"/>
        </w:rPr>
        <w:t>日历天内提供省高院案款应用、执行应用原厂开发商及办案办公平台“平台+智能”</w:t>
      </w:r>
      <w:r>
        <w:rPr>
          <w:rFonts w:hint="eastAsia" w:ascii="宋体" w:hAnsi="宋体" w:cs="仿宋"/>
          <w:bCs/>
          <w:szCs w:val="24"/>
          <w:highlight w:val="none"/>
          <w:lang w:val="zh-CN"/>
        </w:rPr>
        <w:t>化建设的原厂开发商出具的对接承诺函，如在中标后7日历天内未出具原厂开发商对接承诺函，按虚假应标处理。</w:t>
      </w:r>
    </w:p>
    <w:p>
      <w:pPr>
        <w:spacing w:line="26" w:lineRule="atLeast"/>
        <w:ind w:firstLine="480" w:firstLineChars="200"/>
        <w:rPr>
          <w:rFonts w:hint="default" w:ascii="宋体" w:hAnsi="宋体" w:cs="仿宋"/>
          <w:bCs/>
          <w:szCs w:val="24"/>
          <w:highlight w:val="none"/>
          <w:lang w:val="en-US" w:eastAsia="zh-CN"/>
        </w:rPr>
      </w:pPr>
      <w:r>
        <w:rPr>
          <w:rFonts w:hint="eastAsia" w:ascii="宋体" w:hAnsi="宋体" w:cs="仿宋"/>
          <w:bCs/>
          <w:szCs w:val="24"/>
          <w:highlight w:val="none"/>
          <w:lang w:val="en-US" w:eastAsia="zh-CN"/>
        </w:rPr>
        <w:t>▲</w:t>
      </w:r>
      <w:r>
        <w:rPr>
          <w:rFonts w:hint="eastAsia" w:cs="仿宋"/>
          <w:bCs/>
          <w:szCs w:val="24"/>
          <w:highlight w:val="none"/>
          <w:lang w:val="en-US" w:eastAsia="zh-CN"/>
        </w:rPr>
        <w:t>如</w:t>
      </w:r>
      <w:r>
        <w:rPr>
          <w:rFonts w:hint="eastAsia" w:ascii="宋体" w:hAnsi="宋体" w:cs="仿宋"/>
          <w:bCs/>
          <w:szCs w:val="24"/>
          <w:highlight w:val="none"/>
          <w:lang w:val="en-US" w:eastAsia="zh-CN"/>
        </w:rPr>
        <w:t>上级法院</w:t>
      </w:r>
      <w:r>
        <w:rPr>
          <w:rFonts w:hint="eastAsia" w:cs="仿宋"/>
          <w:bCs/>
          <w:szCs w:val="24"/>
          <w:highlight w:val="none"/>
          <w:lang w:val="en-US" w:eastAsia="zh-CN"/>
        </w:rPr>
        <w:t>有最新规定，投标人须按照最新方案进行调整。</w:t>
      </w:r>
    </w:p>
    <w:p>
      <w:pPr>
        <w:spacing w:line="26" w:lineRule="atLeast"/>
        <w:ind w:firstLine="480" w:firstLineChars="200"/>
        <w:rPr>
          <w:rFonts w:ascii="宋体" w:hAnsi="宋体" w:cs="仿宋"/>
          <w:bCs/>
          <w:szCs w:val="24"/>
          <w:highlight w:val="none"/>
          <w:lang w:val="zh-CN"/>
        </w:rPr>
      </w:pPr>
      <w:r>
        <w:rPr>
          <w:rFonts w:hint="eastAsia" w:ascii="宋体" w:hAnsi="宋体" w:cs="仿宋_GB2312"/>
          <w:highlight w:val="none"/>
        </w:rPr>
        <w:t>“</w:t>
      </w:r>
      <w:r>
        <w:rPr>
          <w:rFonts w:hint="eastAsia" w:cs="宋体"/>
          <w:color w:val="000000"/>
          <w:sz w:val="22"/>
          <w:szCs w:val="22"/>
          <w:highlight w:val="none"/>
          <w:lang w:eastAsia="zh-CN"/>
        </w:rPr>
        <w:t>▲</w:t>
      </w:r>
      <w:r>
        <w:rPr>
          <w:rFonts w:hint="eastAsia" w:ascii="宋体" w:hAnsi="宋体" w:cs="仿宋_GB2312"/>
          <w:highlight w:val="none"/>
        </w:rPr>
        <w:t>”系指实质性要求条款。</w:t>
      </w:r>
    </w:p>
    <w:p>
      <w:pPr>
        <w:pStyle w:val="2"/>
        <w:rPr>
          <w:highlight w:val="none"/>
        </w:rPr>
      </w:pPr>
      <w:r>
        <w:rPr>
          <w:rFonts w:hint="eastAsia"/>
          <w:highlight w:val="none"/>
        </w:rPr>
        <w:t>服务期限</w:t>
      </w:r>
    </w:p>
    <w:p>
      <w:pPr>
        <w:spacing w:line="26" w:lineRule="atLeast"/>
        <w:ind w:firstLine="480" w:firstLineChars="200"/>
        <w:rPr>
          <w:rFonts w:ascii="宋体" w:hAnsi="宋体" w:cs="仿宋"/>
          <w:bCs/>
          <w:szCs w:val="24"/>
          <w:highlight w:val="none"/>
          <w:lang w:val="zh-CN"/>
        </w:rPr>
      </w:pPr>
      <w:r>
        <w:rPr>
          <w:rFonts w:hint="eastAsia" w:cs="仿宋"/>
          <w:bCs/>
          <w:szCs w:val="24"/>
          <w:highlight w:val="none"/>
          <w:lang w:val="zh-CN"/>
        </w:rPr>
        <w:t>合同签订后30天内完成项目建设。</w:t>
      </w:r>
    </w:p>
    <w:p>
      <w:pPr>
        <w:pStyle w:val="2"/>
        <w:pageBreakBefore w:val="0"/>
        <w:kinsoku/>
        <w:wordWrap/>
        <w:overflowPunct/>
        <w:topLinePunct w:val="0"/>
        <w:autoSpaceDE/>
        <w:autoSpaceDN/>
        <w:bidi w:val="0"/>
        <w:spacing w:line="240" w:lineRule="auto"/>
        <w:textAlignment w:val="auto"/>
        <w:rPr>
          <w:rFonts w:hint="eastAsia"/>
          <w:highlight w:val="none"/>
        </w:rPr>
      </w:pPr>
      <w:r>
        <w:rPr>
          <w:rFonts w:hint="eastAsia"/>
          <w:highlight w:val="none"/>
        </w:rPr>
        <w:t>付款方式</w:t>
      </w:r>
    </w:p>
    <w:p>
      <w:pPr>
        <w:pageBreakBefore w:val="0"/>
        <w:widowControl w:val="0"/>
        <w:kinsoku/>
        <w:wordWrap/>
        <w:overflowPunct/>
        <w:topLinePunct w:val="0"/>
        <w:autoSpaceDE/>
        <w:autoSpaceDN/>
        <w:bidi w:val="0"/>
        <w:adjustRightInd w:val="0"/>
        <w:snapToGrid w:val="0"/>
        <w:spacing w:line="240" w:lineRule="auto"/>
        <w:ind w:firstLine="640"/>
        <w:jc w:val="both"/>
        <w:textAlignment w:val="auto"/>
        <w:rPr>
          <w:highlight w:val="none"/>
        </w:rPr>
      </w:pPr>
      <w:r>
        <w:rPr>
          <w:rFonts w:hint="eastAsia"/>
          <w:highlight w:val="none"/>
        </w:rPr>
        <w:t>签订合同后7个工作日内支付合同金额的50%作为预付款，项目建设完成并通过验收后支付至合同金额的100%.</w:t>
      </w:r>
    </w:p>
    <w:p>
      <w:pPr>
        <w:pageBreakBefore w:val="0"/>
        <w:widowControl w:val="0"/>
        <w:kinsoku/>
        <w:wordWrap/>
        <w:overflowPunct/>
        <w:topLinePunct w:val="0"/>
        <w:autoSpaceDE/>
        <w:autoSpaceDN/>
        <w:bidi w:val="0"/>
        <w:adjustRightInd w:val="0"/>
        <w:snapToGrid w:val="0"/>
        <w:spacing w:line="240" w:lineRule="auto"/>
        <w:ind w:firstLine="640"/>
        <w:jc w:val="both"/>
        <w:textAlignment w:val="auto"/>
        <w:rPr>
          <w:highlight w:val="none"/>
        </w:rPr>
      </w:pPr>
      <w:r>
        <w:rPr>
          <w:rFonts w:hint="eastAsia"/>
          <w:highlight w:val="none"/>
        </w:rPr>
        <w:t>本项目设置履约保证金，为中标价的</w:t>
      </w:r>
      <w:r>
        <w:rPr>
          <w:rFonts w:hint="eastAsia"/>
          <w:highlight w:val="none"/>
          <w:lang w:val="en-US" w:eastAsia="zh-CN"/>
        </w:rPr>
        <w:t>1</w:t>
      </w:r>
      <w:r>
        <w:rPr>
          <w:rFonts w:hint="eastAsia"/>
          <w:highlight w:val="none"/>
        </w:rPr>
        <w:t>%。完成项目内容建设验收通过后7个工作日内一次性无息返还。</w:t>
      </w:r>
    </w:p>
    <w:p>
      <w:pPr>
        <w:pStyle w:val="2"/>
        <w:pageBreakBefore w:val="0"/>
        <w:kinsoku/>
        <w:wordWrap/>
        <w:overflowPunct/>
        <w:topLinePunct w:val="0"/>
        <w:autoSpaceDE/>
        <w:autoSpaceDN/>
        <w:bidi w:val="0"/>
        <w:spacing w:line="240" w:lineRule="auto"/>
        <w:textAlignment w:val="auto"/>
        <w:rPr>
          <w:rFonts w:hint="eastAsia"/>
          <w:highlight w:val="none"/>
        </w:rPr>
      </w:pPr>
      <w:r>
        <w:rPr>
          <w:rFonts w:hint="eastAsia"/>
          <w:highlight w:val="none"/>
        </w:rPr>
        <w:t>其他</w:t>
      </w:r>
    </w:p>
    <w:p>
      <w:pPr>
        <w:pageBreakBefore w:val="0"/>
        <w:widowControl w:val="0"/>
        <w:kinsoku/>
        <w:wordWrap/>
        <w:overflowPunct/>
        <w:topLinePunct w:val="0"/>
        <w:autoSpaceDE/>
        <w:autoSpaceDN/>
        <w:bidi w:val="0"/>
        <w:adjustRightInd w:val="0"/>
        <w:snapToGrid w:val="0"/>
        <w:spacing w:line="240" w:lineRule="auto"/>
        <w:ind w:firstLine="420"/>
        <w:jc w:val="both"/>
        <w:textAlignment w:val="auto"/>
        <w:rPr>
          <w:highlight w:val="none"/>
        </w:rPr>
      </w:pPr>
      <w:r>
        <w:rPr>
          <w:rFonts w:hint="eastAsia"/>
          <w:highlight w:val="none"/>
        </w:rPr>
        <w:t>根据《政府采购促进中小企业发展管理办法》（财库〔2020〕46号）及《中小企业划型标准规定》（工信部联企业〔2011〕300号），本采购标的对应的中小企业划分标准所属行业为：</w:t>
      </w:r>
      <w:r>
        <w:rPr>
          <w:rFonts w:hint="eastAsia"/>
          <w:b/>
          <w:szCs w:val="21"/>
          <w:highlight w:val="none"/>
        </w:rPr>
        <w:t>软件和信息技术服务业</w:t>
      </w:r>
      <w:r>
        <w:rPr>
          <w:rFonts w:hint="eastAsia"/>
          <w:highlight w:val="none"/>
        </w:rPr>
        <w:t>。</w:t>
      </w:r>
    </w:p>
    <w:p>
      <w:pPr>
        <w:pageBreakBefore w:val="0"/>
        <w:widowControl w:val="0"/>
        <w:kinsoku/>
        <w:wordWrap/>
        <w:overflowPunct/>
        <w:topLinePunct w:val="0"/>
        <w:autoSpaceDE/>
        <w:autoSpaceDN/>
        <w:bidi w:val="0"/>
        <w:adjustRightInd w:val="0"/>
        <w:snapToGrid w:val="0"/>
        <w:spacing w:line="360" w:lineRule="auto"/>
        <w:ind w:firstLine="640"/>
        <w:jc w:val="both"/>
        <w:textAlignment w:val="auto"/>
        <w:rPr>
          <w:highlight w:val="none"/>
        </w:rPr>
      </w:pPr>
    </w:p>
    <w:p>
      <w:pPr>
        <w:spacing w:line="360" w:lineRule="auto"/>
        <w:rPr>
          <w:szCs w:val="21"/>
          <w:highlight w:val="none"/>
        </w:rPr>
      </w:pPr>
    </w:p>
    <w:p>
      <w:pPr>
        <w:spacing w:line="400" w:lineRule="exact"/>
        <w:jc w:val="center"/>
        <w:outlineLvl w:val="0"/>
        <w:rPr>
          <w:b/>
          <w:sz w:val="36"/>
          <w:szCs w:val="36"/>
          <w:highlight w:val="none"/>
        </w:rPr>
      </w:pPr>
      <w:r>
        <w:rPr>
          <w:rFonts w:hint="eastAsia"/>
          <w:b/>
          <w:sz w:val="36"/>
          <w:szCs w:val="36"/>
          <w:highlight w:val="none"/>
        </w:rPr>
        <w:t>第三章  供应商须知</w:t>
      </w:r>
      <w:bookmarkEnd w:id="7"/>
      <w:bookmarkEnd w:id="8"/>
      <w:bookmarkEnd w:id="9"/>
    </w:p>
    <w:p>
      <w:pPr>
        <w:spacing w:line="380" w:lineRule="exact"/>
        <w:jc w:val="center"/>
        <w:rPr>
          <w:b/>
          <w:sz w:val="30"/>
          <w:szCs w:val="30"/>
          <w:highlight w:val="none"/>
        </w:rPr>
      </w:pPr>
    </w:p>
    <w:p>
      <w:pPr>
        <w:spacing w:line="380" w:lineRule="exact"/>
        <w:jc w:val="center"/>
        <w:rPr>
          <w:b/>
          <w:sz w:val="30"/>
          <w:szCs w:val="30"/>
          <w:highlight w:val="none"/>
        </w:rPr>
      </w:pPr>
      <w:r>
        <w:rPr>
          <w:rFonts w:hint="eastAsia"/>
          <w:b/>
          <w:sz w:val="30"/>
          <w:szCs w:val="30"/>
          <w:highlight w:val="none"/>
        </w:rPr>
        <w:t>前附表</w:t>
      </w:r>
    </w:p>
    <w:tbl>
      <w:tblPr>
        <w:tblStyle w:val="24"/>
        <w:tblW w:w="86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80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序号</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eastAsia="宋体"/>
                <w:kern w:val="2"/>
                <w:sz w:val="21"/>
                <w:szCs w:val="21"/>
                <w:highlight w:val="none"/>
                <w:lang w:eastAsia="zh-CN"/>
              </w:rPr>
            </w:pPr>
            <w:r>
              <w:rPr>
                <w:rFonts w:hint="eastAsia"/>
                <w:kern w:val="2"/>
                <w:sz w:val="21"/>
                <w:szCs w:val="21"/>
                <w:highlight w:val="none"/>
              </w:rPr>
              <w:t>项目名称：</w:t>
            </w:r>
            <w:r>
              <w:rPr>
                <w:rFonts w:hint="eastAsia"/>
                <w:kern w:val="2"/>
                <w:sz w:val="21"/>
                <w:szCs w:val="21"/>
                <w:highlight w:val="none"/>
                <w:lang w:eastAsia="zh-CN"/>
              </w:rPr>
              <w:t>海盐县人民法院涉案财物管理项目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2</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kern w:val="2"/>
                <w:sz w:val="21"/>
                <w:szCs w:val="21"/>
                <w:highlight w:val="none"/>
              </w:rPr>
            </w:pPr>
            <w:r>
              <w:rPr>
                <w:rFonts w:hint="eastAsia"/>
                <w:kern w:val="2"/>
                <w:sz w:val="21"/>
                <w:szCs w:val="21"/>
                <w:highlight w:val="none"/>
              </w:rPr>
              <w:t>采购内容：</w:t>
            </w:r>
            <w:r>
              <w:rPr>
                <w:rFonts w:hint="eastAsia"/>
                <w:bCs/>
                <w:kern w:val="2"/>
                <w:sz w:val="21"/>
                <w:szCs w:val="21"/>
                <w:highlight w:val="none"/>
              </w:rPr>
              <w:t>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3</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kern w:val="2"/>
                <w:sz w:val="21"/>
                <w:szCs w:val="21"/>
                <w:highlight w:val="none"/>
              </w:rPr>
            </w:pPr>
            <w:r>
              <w:rPr>
                <w:rFonts w:hint="eastAsia"/>
                <w:kern w:val="2"/>
                <w:sz w:val="21"/>
                <w:szCs w:val="21"/>
                <w:highlight w:val="none"/>
              </w:rPr>
              <w:t>投标报价及费用：1、本项目投标应以人民币报价；2、不论投标结果如何，供应商均应自行承担所有与投标有关的全部费用；3、本项目招标代理服务费由中标供应商支付，请各供应商自行考虑。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4</w:t>
            </w:r>
          </w:p>
        </w:tc>
        <w:tc>
          <w:tcPr>
            <w:tcW w:w="8077" w:type="dxa"/>
            <w:tcBorders>
              <w:top w:val="single" w:color="auto" w:sz="4" w:space="0"/>
              <w:left w:val="single" w:color="auto" w:sz="4" w:space="0"/>
              <w:bottom w:val="single" w:color="auto" w:sz="4" w:space="0"/>
              <w:right w:val="single" w:color="auto" w:sz="4" w:space="0"/>
            </w:tcBorders>
            <w:vAlign w:val="center"/>
          </w:tcPr>
          <w:p>
            <w:pPr>
              <w:rPr>
                <w:kern w:val="2"/>
                <w:sz w:val="21"/>
                <w:szCs w:val="21"/>
                <w:highlight w:val="none"/>
              </w:rPr>
            </w:pPr>
            <w:r>
              <w:rPr>
                <w:rFonts w:hint="eastAsia"/>
                <w:kern w:val="2"/>
                <w:sz w:val="21"/>
                <w:szCs w:val="21"/>
                <w:highlight w:val="none"/>
              </w:rPr>
              <w:t>答疑与澄清：供货商如认为招标文件表述不清晰、存在歧视性或者其他违法内容的，应于采购公告有效期过后七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5</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kern w:val="2"/>
                <w:sz w:val="21"/>
                <w:szCs w:val="21"/>
                <w:highlight w:val="none"/>
              </w:rPr>
            </w:pPr>
            <w:r>
              <w:rPr>
                <w:rFonts w:hint="eastAsia"/>
                <w:kern w:val="2"/>
                <w:sz w:val="21"/>
                <w:szCs w:val="21"/>
                <w:highlight w:val="none"/>
              </w:rPr>
              <w:t>采购预算：</w:t>
            </w:r>
            <w:r>
              <w:rPr>
                <w:rFonts w:hint="eastAsia"/>
                <w:b/>
                <w:kern w:val="2"/>
                <w:sz w:val="21"/>
                <w:szCs w:val="21"/>
                <w:highlight w:val="none"/>
                <w:lang w:val="en-US" w:eastAsia="zh-CN"/>
              </w:rPr>
              <w:t>50</w:t>
            </w:r>
            <w:r>
              <w:rPr>
                <w:rFonts w:hint="eastAsia"/>
                <w:b/>
                <w:kern w:val="2"/>
                <w:sz w:val="21"/>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6</w:t>
            </w:r>
          </w:p>
        </w:tc>
        <w:tc>
          <w:tcPr>
            <w:tcW w:w="8077" w:type="dxa"/>
            <w:tcBorders>
              <w:top w:val="single" w:color="auto" w:sz="4" w:space="0"/>
              <w:left w:val="single" w:color="auto" w:sz="4" w:space="0"/>
              <w:bottom w:val="single" w:color="auto" w:sz="4" w:space="0"/>
              <w:right w:val="single" w:color="auto" w:sz="4" w:space="0"/>
            </w:tcBorders>
            <w:vAlign w:val="center"/>
          </w:tcPr>
          <w:p>
            <w:pPr>
              <w:rPr>
                <w:kern w:val="2"/>
                <w:sz w:val="21"/>
                <w:szCs w:val="21"/>
                <w:highlight w:val="none"/>
              </w:rPr>
            </w:pPr>
            <w:r>
              <w:rPr>
                <w:rFonts w:hint="eastAsia"/>
                <w:kern w:val="2"/>
                <w:sz w:val="21"/>
                <w:szCs w:val="21"/>
                <w:highlight w:val="none"/>
              </w:rPr>
              <w:t>电子投标文件（在投标文件编制完成后会同时生成包括“电子加密投标文件.jmbs”和“备份投标文件.bfbs”），将电子“加密投标文件.jmbs”上传至系统，并打印回执 ；</w:t>
            </w:r>
          </w:p>
          <w:p>
            <w:pPr>
              <w:rPr>
                <w:kern w:val="2"/>
                <w:sz w:val="21"/>
                <w:szCs w:val="21"/>
                <w:highlight w:val="none"/>
              </w:rPr>
            </w:pPr>
            <w:r>
              <w:rPr>
                <w:rFonts w:hint="eastAsia"/>
                <w:kern w:val="2"/>
                <w:sz w:val="21"/>
                <w:szCs w:val="21"/>
                <w:highlight w:val="none"/>
              </w:rPr>
              <w:t>（1）“电子加密投标文件”是指通过“政采云电子交易客户端”完成投标文件编制后生成并加密的数据电文形式的投标文件。</w:t>
            </w:r>
          </w:p>
          <w:p>
            <w:pPr>
              <w:rPr>
                <w:kern w:val="2"/>
                <w:sz w:val="21"/>
                <w:szCs w:val="21"/>
                <w:highlight w:val="none"/>
              </w:rPr>
            </w:pPr>
            <w:r>
              <w:rPr>
                <w:rFonts w:hint="eastAsia"/>
                <w:kern w:val="2"/>
                <w:sz w:val="21"/>
                <w:szCs w:val="21"/>
                <w:highlight w:val="none"/>
              </w:rPr>
              <w:t>（2）“备份投标文件”是指与“电子加密投标文件”同时生成的数据电文形式的电子文件（备份标书），其他方式编制的备份投标文件视为无效备份投标文件。</w:t>
            </w:r>
          </w:p>
          <w:p>
            <w:pPr>
              <w:rPr>
                <w:kern w:val="2"/>
                <w:sz w:val="21"/>
                <w:szCs w:val="21"/>
                <w:highlight w:val="none"/>
              </w:rPr>
            </w:pPr>
            <w:r>
              <w:rPr>
                <w:rFonts w:hint="eastAsia"/>
                <w:kern w:val="2"/>
                <w:sz w:val="21"/>
                <w:szCs w:val="21"/>
                <w:highlight w:val="none"/>
              </w:rPr>
              <w:t>（3）“备份投标文件.bfbs”在投标截止时间前发送至邮箱704880764@qq.com。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7</w:t>
            </w:r>
          </w:p>
        </w:tc>
        <w:tc>
          <w:tcPr>
            <w:tcW w:w="8077" w:type="dxa"/>
            <w:tcBorders>
              <w:top w:val="single" w:color="auto" w:sz="4" w:space="0"/>
              <w:left w:val="single" w:color="auto" w:sz="4" w:space="0"/>
              <w:bottom w:val="single" w:color="auto" w:sz="4" w:space="0"/>
              <w:right w:val="single" w:color="auto" w:sz="4" w:space="0"/>
            </w:tcBorders>
            <w:vAlign w:val="center"/>
          </w:tcPr>
          <w:p>
            <w:pPr>
              <w:rPr>
                <w:kern w:val="2"/>
                <w:sz w:val="21"/>
                <w:szCs w:val="21"/>
                <w:highlight w:val="none"/>
              </w:rPr>
            </w:pPr>
            <w:r>
              <w:rPr>
                <w:rFonts w:hint="eastAsia"/>
                <w:kern w:val="2"/>
                <w:sz w:val="21"/>
                <w:szCs w:val="21"/>
                <w:highlight w:val="none"/>
              </w:rPr>
              <w:t>“电子加密投标文件”的上传、递交：</w:t>
            </w:r>
          </w:p>
          <w:p>
            <w:pPr>
              <w:rPr>
                <w:kern w:val="2"/>
                <w:sz w:val="21"/>
                <w:szCs w:val="21"/>
                <w:highlight w:val="none"/>
              </w:rPr>
            </w:pPr>
            <w:r>
              <w:rPr>
                <w:rFonts w:hint="eastAsia"/>
                <w:kern w:val="2"/>
                <w:sz w:val="21"/>
                <w:szCs w:val="21"/>
                <w:highlight w:val="none"/>
              </w:rPr>
              <w:t>a.投标供应商应在投标截止时间前将“电子加密投标文件”成功上传递交至“政府采购云平台”，否则投标无效。</w:t>
            </w:r>
          </w:p>
          <w:p>
            <w:pPr>
              <w:rPr>
                <w:kern w:val="2"/>
                <w:sz w:val="21"/>
                <w:szCs w:val="21"/>
                <w:highlight w:val="none"/>
              </w:rPr>
            </w:pPr>
            <w:r>
              <w:rPr>
                <w:rFonts w:hint="eastAsia"/>
                <w:kern w:val="2"/>
                <w:sz w:val="21"/>
                <w:szCs w:val="21"/>
                <w:highlight w:val="none"/>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8</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360" w:lineRule="auto"/>
              <w:rPr>
                <w:kern w:val="2"/>
                <w:sz w:val="21"/>
                <w:szCs w:val="21"/>
                <w:highlight w:val="none"/>
              </w:rPr>
            </w:pPr>
            <w:r>
              <w:rPr>
                <w:rFonts w:hint="eastAsia"/>
                <w:kern w:val="2"/>
                <w:sz w:val="21"/>
                <w:szCs w:val="21"/>
                <w:highlight w:val="none"/>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pPr>
              <w:spacing w:line="360" w:lineRule="auto"/>
              <w:rPr>
                <w:kern w:val="2"/>
                <w:sz w:val="21"/>
                <w:szCs w:val="21"/>
                <w:highlight w:val="none"/>
              </w:rPr>
            </w:pPr>
            <w:r>
              <w:rPr>
                <w:rFonts w:hint="eastAsia"/>
                <w:kern w:val="2"/>
                <w:sz w:val="21"/>
                <w:szCs w:val="21"/>
                <w:highlight w:val="none"/>
              </w:rPr>
              <w:t>（3）投标截止时间前，投标供应商仅递交了“备份投标文件”而未将电子加密投标文件上传至“政府采购云平台”的，投标无效。</w:t>
            </w:r>
          </w:p>
          <w:p>
            <w:pPr>
              <w:snapToGrid w:val="0"/>
              <w:spacing w:line="340" w:lineRule="exact"/>
              <w:rPr>
                <w:kern w:val="2"/>
                <w:sz w:val="21"/>
                <w:szCs w:val="21"/>
                <w:highlight w:val="none"/>
              </w:rPr>
            </w:pPr>
            <w:r>
              <w:rPr>
                <w:rFonts w:hint="eastAsia"/>
                <w:kern w:val="2"/>
                <w:sz w:val="21"/>
                <w:szCs w:val="21"/>
                <w:highlight w:val="none"/>
              </w:rPr>
              <w:t>（4）投标截止时间前，投标供应商未递交“备份投标文件”而将电子加密投标文件上传至“政府采购云平台”并成功解密的，投标有效。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9</w:t>
            </w:r>
          </w:p>
        </w:tc>
        <w:tc>
          <w:tcPr>
            <w:tcW w:w="8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kern w:val="2"/>
                <w:sz w:val="21"/>
                <w:szCs w:val="21"/>
                <w:highlight w:val="none"/>
              </w:rPr>
            </w:pPr>
            <w:r>
              <w:rPr>
                <w:rFonts w:hint="eastAsia"/>
                <w:kern w:val="2"/>
                <w:sz w:val="21"/>
                <w:szCs w:val="21"/>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10</w:t>
            </w:r>
          </w:p>
        </w:tc>
        <w:tc>
          <w:tcPr>
            <w:tcW w:w="80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kern w:val="2"/>
                <w:sz w:val="21"/>
                <w:szCs w:val="21"/>
                <w:highlight w:val="none"/>
              </w:rPr>
            </w:pPr>
            <w:r>
              <w:rPr>
                <w:rFonts w:hint="eastAsia"/>
                <w:kern w:val="2"/>
                <w:sz w:val="21"/>
                <w:szCs w:val="21"/>
                <w:highlight w:val="none"/>
              </w:rPr>
              <w:t>评标结果公示：公告期限1个工作日，评标结果公告于：</w:t>
            </w:r>
          </w:p>
          <w:p>
            <w:pPr>
              <w:autoSpaceDE w:val="0"/>
              <w:autoSpaceDN w:val="0"/>
              <w:snapToGrid w:val="0"/>
              <w:spacing w:line="340" w:lineRule="exact"/>
              <w:textAlignment w:val="bottom"/>
              <w:rPr>
                <w:kern w:val="2"/>
                <w:sz w:val="21"/>
                <w:szCs w:val="21"/>
                <w:highlight w:val="none"/>
              </w:rPr>
            </w:pPr>
            <w:r>
              <w:rPr>
                <w:rFonts w:hint="eastAsia"/>
                <w:kern w:val="2"/>
                <w:sz w:val="21"/>
                <w:szCs w:val="21"/>
                <w:highlight w:val="none"/>
              </w:rPr>
              <w:t>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11</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中标通知书：在发布结果公告的同时，向中标供应商发中标通知书。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12</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13</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履约保证金的收取及退还：中标供应商应向采购人提交合同金额</w:t>
            </w:r>
            <w:r>
              <w:rPr>
                <w:rFonts w:hint="eastAsia"/>
                <w:kern w:val="2"/>
                <w:sz w:val="21"/>
                <w:szCs w:val="21"/>
                <w:highlight w:val="none"/>
                <w:lang w:val="en-US" w:eastAsia="zh-CN"/>
              </w:rPr>
              <w:t>1</w:t>
            </w:r>
            <w:r>
              <w:rPr>
                <w:rFonts w:hint="eastAsia"/>
                <w:kern w:val="2"/>
                <w:sz w:val="21"/>
                <w:szCs w:val="21"/>
                <w:highlight w:val="none"/>
              </w:rPr>
              <w:t>%的履约保证金；项目验收通过后7个工作日内一次性无息返还。接受供应商以银行、保险公司出具保函等形式提交的履约保证金。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14</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服务期：</w:t>
            </w:r>
            <w:r>
              <w:rPr>
                <w:rFonts w:hint="eastAsia"/>
                <w:color w:val="0000FF"/>
                <w:sz w:val="21"/>
                <w:szCs w:val="21"/>
                <w:highlight w:val="none"/>
                <w:lang w:val="zh-CN"/>
              </w:rPr>
              <w:t>合同签订后30天内完成项目建设。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15</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 xml:space="preserve">付款方式：签订合同后7个工作日内支付合同金额的50%作为预付款，项目建设完成并通过验收后支付至合同金额的100%.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16</w:t>
            </w:r>
          </w:p>
        </w:tc>
        <w:tc>
          <w:tcPr>
            <w:tcW w:w="8077" w:type="dxa"/>
            <w:tcBorders>
              <w:top w:val="single" w:color="auto" w:sz="4" w:space="0"/>
              <w:left w:val="single" w:color="auto" w:sz="4" w:space="0"/>
              <w:bottom w:val="single" w:color="auto" w:sz="4" w:space="0"/>
              <w:right w:val="single" w:color="auto" w:sz="4" w:space="0"/>
            </w:tcBorders>
            <w:vAlign w:val="center"/>
          </w:tcPr>
          <w:p>
            <w:pPr>
              <w:snapToGrid w:val="0"/>
              <w:rPr>
                <w:kern w:val="2"/>
                <w:sz w:val="21"/>
                <w:szCs w:val="21"/>
                <w:highlight w:val="none"/>
              </w:rPr>
            </w:pPr>
            <w:r>
              <w:rPr>
                <w:rFonts w:hint="eastAsia"/>
                <w:kern w:val="2"/>
                <w:sz w:val="21"/>
                <w:szCs w:val="21"/>
                <w:highlight w:val="none"/>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17</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kern w:val="2"/>
                <w:sz w:val="21"/>
                <w:szCs w:val="21"/>
                <w:highlight w:val="none"/>
              </w:rPr>
            </w:pPr>
            <w:r>
              <w:rPr>
                <w:rFonts w:hint="eastAsia"/>
                <w:kern w:val="2"/>
                <w:sz w:val="21"/>
                <w:szCs w:val="21"/>
                <w:highlight w:val="none"/>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kern w:val="2"/>
                <w:sz w:val="21"/>
                <w:szCs w:val="21"/>
                <w:highlight w:val="none"/>
              </w:rPr>
            </w:pPr>
            <w:r>
              <w:rPr>
                <w:rFonts w:hint="eastAsia"/>
                <w:kern w:val="2"/>
                <w:sz w:val="21"/>
                <w:szCs w:val="21"/>
                <w:highlight w:val="none"/>
              </w:rPr>
              <w:t>18</w:t>
            </w:r>
          </w:p>
        </w:tc>
        <w:tc>
          <w:tcPr>
            <w:tcW w:w="8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招标代理费</w:t>
            </w:r>
            <w:r>
              <w:rPr>
                <w:rFonts w:hint="eastAsia" w:ascii="宋体" w:hAnsi="宋体" w:eastAsia="宋体" w:cs="宋体"/>
                <w:kern w:val="2"/>
                <w:sz w:val="21"/>
                <w:szCs w:val="21"/>
                <w:highlight w:val="none"/>
                <w:lang w:val="en-US" w:eastAsia="zh-CN"/>
              </w:rPr>
              <w:t>为</w:t>
            </w:r>
            <w:r>
              <w:rPr>
                <w:rFonts w:hint="eastAsia" w:cs="宋体"/>
                <w:kern w:val="2"/>
                <w:sz w:val="21"/>
                <w:szCs w:val="21"/>
                <w:highlight w:val="none"/>
                <w:lang w:val="en-US" w:eastAsia="zh-CN"/>
              </w:rPr>
              <w:t>捌</w:t>
            </w:r>
            <w:r>
              <w:rPr>
                <w:rFonts w:hint="eastAsia" w:ascii="宋体" w:hAnsi="宋体" w:eastAsia="宋体" w:cs="宋体"/>
                <w:kern w:val="2"/>
                <w:sz w:val="21"/>
                <w:szCs w:val="21"/>
                <w:highlight w:val="none"/>
                <w:lang w:val="en-US" w:eastAsia="zh-CN"/>
              </w:rPr>
              <w:t>仟元</w:t>
            </w:r>
            <w:r>
              <w:rPr>
                <w:rFonts w:hint="eastAsia" w:ascii="宋体" w:hAnsi="宋体" w:eastAsia="宋体" w:cs="宋体"/>
                <w:kern w:val="2"/>
                <w:sz w:val="21"/>
                <w:szCs w:val="21"/>
                <w:highlight w:val="none"/>
              </w:rPr>
              <w:t>，在领取中标通知书时交纳。</w:t>
            </w:r>
          </w:p>
          <w:p>
            <w:pPr>
              <w:spacing w:line="360" w:lineRule="auto"/>
              <w:rPr>
                <w:rFonts w:hint="eastAsia" w:ascii="宋体" w:hAnsi="宋体" w:eastAsia="宋体" w:cs="宋体"/>
                <w:kern w:val="2"/>
                <w:sz w:val="21"/>
                <w:szCs w:val="21"/>
                <w:highlight w:val="none"/>
                <w:lang w:val="en-US" w:eastAsia="zh-CN"/>
              </w:rPr>
            </w:pPr>
            <w:bookmarkStart w:id="11" w:name="_Toc493511770"/>
            <w:r>
              <w:rPr>
                <w:rFonts w:hint="eastAsia" w:ascii="宋体" w:hAnsi="宋体" w:eastAsia="宋体" w:cs="宋体"/>
                <w:kern w:val="2"/>
                <w:sz w:val="21"/>
                <w:szCs w:val="21"/>
                <w:highlight w:val="none"/>
                <w:lang w:val="en-US" w:eastAsia="zh-CN"/>
              </w:rPr>
              <w:t>收款人：</w:t>
            </w:r>
            <w:bookmarkEnd w:id="11"/>
            <w:r>
              <w:rPr>
                <w:rFonts w:hint="eastAsia" w:ascii="宋体" w:hAnsi="宋体" w:eastAsia="宋体" w:cs="宋体"/>
                <w:kern w:val="2"/>
                <w:sz w:val="21"/>
                <w:szCs w:val="21"/>
                <w:highlight w:val="none"/>
                <w:lang w:val="en-US" w:eastAsia="zh-CN"/>
              </w:rPr>
              <w:t>嘉兴市建新工程造价咨询事务所有限公司海盐分公司</w:t>
            </w:r>
          </w:p>
          <w:p>
            <w:pPr>
              <w:spacing w:line="360" w:lineRule="auto"/>
              <w:rPr>
                <w:rFonts w:hint="eastAsia" w:ascii="宋体" w:hAnsi="宋体" w:eastAsia="宋体" w:cs="宋体"/>
                <w:kern w:val="2"/>
                <w:sz w:val="21"/>
                <w:szCs w:val="21"/>
                <w:highlight w:val="none"/>
                <w:lang w:val="en-US" w:eastAsia="zh-CN"/>
              </w:rPr>
            </w:pPr>
            <w:bookmarkStart w:id="12" w:name="_Toc493511771"/>
            <w:r>
              <w:rPr>
                <w:rFonts w:hint="eastAsia" w:ascii="宋体" w:hAnsi="宋体" w:eastAsia="宋体" w:cs="宋体"/>
                <w:kern w:val="2"/>
                <w:sz w:val="21"/>
                <w:szCs w:val="21"/>
                <w:highlight w:val="none"/>
                <w:lang w:val="en-US" w:eastAsia="zh-CN"/>
              </w:rPr>
              <w:t>户名：</w:t>
            </w:r>
            <w:bookmarkEnd w:id="12"/>
            <w:r>
              <w:rPr>
                <w:rFonts w:hint="eastAsia" w:ascii="宋体" w:hAnsi="宋体" w:eastAsia="宋体" w:cs="宋体"/>
                <w:kern w:val="2"/>
                <w:sz w:val="21"/>
                <w:szCs w:val="21"/>
                <w:highlight w:val="none"/>
                <w:lang w:val="en-US" w:eastAsia="zh-CN"/>
              </w:rPr>
              <w:t>嘉兴市建新工程造价咨询事务所有限公司海盐分公司</w:t>
            </w:r>
          </w:p>
          <w:p>
            <w:pPr>
              <w:spacing w:line="360" w:lineRule="auto"/>
              <w:rPr>
                <w:highlight w:val="none"/>
              </w:rPr>
            </w:pPr>
            <w:bookmarkStart w:id="13" w:name="_Toc493511772"/>
            <w:r>
              <w:rPr>
                <w:rFonts w:hint="eastAsia" w:ascii="宋体" w:hAnsi="宋体" w:eastAsia="宋体" w:cs="宋体"/>
                <w:kern w:val="2"/>
                <w:sz w:val="21"/>
                <w:szCs w:val="21"/>
                <w:highlight w:val="none"/>
                <w:lang w:val="en-US" w:eastAsia="zh-CN"/>
              </w:rPr>
              <w:t>开户银行：</w:t>
            </w:r>
            <w:bookmarkEnd w:id="13"/>
            <w:bookmarkStart w:id="14" w:name="_Toc493511773"/>
            <w:r>
              <w:rPr>
                <w:rFonts w:hint="eastAsia" w:ascii="宋体" w:hAnsi="宋体" w:eastAsia="宋体" w:cs="宋体"/>
                <w:kern w:val="2"/>
                <w:sz w:val="21"/>
                <w:szCs w:val="21"/>
                <w:highlight w:val="none"/>
                <w:lang w:val="en-US" w:eastAsia="zh-CN"/>
              </w:rPr>
              <w:t>工行海盐城北支行 账号：</w:t>
            </w:r>
            <w:bookmarkEnd w:id="14"/>
            <w:r>
              <w:rPr>
                <w:rFonts w:hint="eastAsia" w:ascii="宋体" w:hAnsi="宋体" w:eastAsia="宋体" w:cs="宋体"/>
                <w:kern w:val="2"/>
                <w:sz w:val="21"/>
                <w:szCs w:val="21"/>
                <w:highlight w:val="none"/>
                <w:lang w:val="en-US" w:eastAsia="zh-CN"/>
              </w:rPr>
              <w:t>1204090209048132141</w:t>
            </w:r>
          </w:p>
        </w:tc>
      </w:tr>
    </w:tbl>
    <w:p>
      <w:pPr>
        <w:spacing w:line="440" w:lineRule="exact"/>
        <w:rPr>
          <w:b/>
          <w:highlight w:val="none"/>
        </w:rPr>
      </w:pPr>
    </w:p>
    <w:p>
      <w:pPr>
        <w:pStyle w:val="9"/>
        <w:rPr>
          <w:b/>
          <w:highlight w:val="none"/>
        </w:rPr>
      </w:pPr>
    </w:p>
    <w:p>
      <w:pPr>
        <w:rPr>
          <w:highlight w:val="none"/>
        </w:rPr>
      </w:pPr>
    </w:p>
    <w:p>
      <w:pPr>
        <w:pStyle w:val="30"/>
        <w:rPr>
          <w:highlight w:val="none"/>
        </w:rPr>
      </w:pPr>
    </w:p>
    <w:p>
      <w:pPr>
        <w:pStyle w:val="30"/>
        <w:rPr>
          <w:highlight w:val="none"/>
        </w:rPr>
      </w:pPr>
    </w:p>
    <w:p>
      <w:pPr>
        <w:pStyle w:val="30"/>
        <w:rPr>
          <w:highlight w:val="none"/>
        </w:rPr>
      </w:pPr>
    </w:p>
    <w:p>
      <w:pPr>
        <w:pStyle w:val="30"/>
        <w:rPr>
          <w:highlight w:val="none"/>
        </w:rPr>
      </w:pPr>
    </w:p>
    <w:p>
      <w:pPr>
        <w:pStyle w:val="30"/>
        <w:rPr>
          <w:highlight w:val="none"/>
        </w:rPr>
      </w:pPr>
    </w:p>
    <w:p>
      <w:pPr>
        <w:pStyle w:val="30"/>
        <w:rPr>
          <w:highlight w:val="none"/>
        </w:rPr>
      </w:pPr>
    </w:p>
    <w:p>
      <w:pPr>
        <w:pStyle w:val="9"/>
        <w:rPr>
          <w:highlight w:val="none"/>
        </w:rPr>
      </w:pPr>
    </w:p>
    <w:p>
      <w:pPr>
        <w:pStyle w:val="13"/>
        <w:spacing w:line="360" w:lineRule="auto"/>
        <w:jc w:val="center"/>
        <w:rPr>
          <w:rFonts w:hAnsi="宋体"/>
          <w:b/>
          <w:sz w:val="28"/>
          <w:szCs w:val="28"/>
          <w:highlight w:val="none"/>
        </w:rPr>
      </w:pPr>
      <w:r>
        <w:rPr>
          <w:rFonts w:hint="eastAsia" w:hAnsi="宋体"/>
          <w:b/>
          <w:sz w:val="28"/>
          <w:szCs w:val="28"/>
          <w:highlight w:val="none"/>
        </w:rPr>
        <w:t>一、总</w:t>
      </w:r>
      <w:r>
        <w:rPr>
          <w:rFonts w:hAnsi="宋体"/>
          <w:b/>
          <w:sz w:val="28"/>
          <w:szCs w:val="28"/>
          <w:highlight w:val="none"/>
        </w:rPr>
        <w:t xml:space="preserve">  </w:t>
      </w:r>
      <w:r>
        <w:rPr>
          <w:rFonts w:hint="eastAsia" w:hAnsi="宋体"/>
          <w:b/>
          <w:sz w:val="28"/>
          <w:szCs w:val="28"/>
          <w:highlight w:val="none"/>
        </w:rPr>
        <w:t>则</w:t>
      </w:r>
    </w:p>
    <w:p>
      <w:pPr>
        <w:snapToGrid w:val="0"/>
        <w:spacing w:line="360" w:lineRule="auto"/>
        <w:ind w:firstLine="472" w:firstLineChars="196"/>
        <w:outlineLvl w:val="1"/>
        <w:rPr>
          <w:b/>
          <w:highlight w:val="none"/>
        </w:rPr>
      </w:pPr>
      <w:r>
        <w:rPr>
          <w:rFonts w:hint="eastAsia"/>
          <w:b/>
          <w:highlight w:val="none"/>
        </w:rPr>
        <w:t>（一）</w:t>
      </w:r>
      <w:r>
        <w:rPr>
          <w:b/>
          <w:highlight w:val="none"/>
        </w:rPr>
        <w:t xml:space="preserve"> </w:t>
      </w:r>
      <w:r>
        <w:rPr>
          <w:rFonts w:hint="eastAsia"/>
          <w:b/>
          <w:highlight w:val="none"/>
        </w:rPr>
        <w:t>适用范围</w:t>
      </w:r>
    </w:p>
    <w:p>
      <w:pPr>
        <w:snapToGrid w:val="0"/>
        <w:spacing w:line="360" w:lineRule="auto"/>
        <w:ind w:firstLine="480" w:firstLineChars="200"/>
        <w:rPr>
          <w:highlight w:val="none"/>
        </w:rPr>
      </w:pPr>
      <w:r>
        <w:rPr>
          <w:rFonts w:hint="eastAsia"/>
          <w:highlight w:val="none"/>
        </w:rPr>
        <w:t>本招标文件适用于该项目的招标、投标、评标、定标、验收、合同履约、付款等行为（法律、法规另有规定的，从其规定）。</w:t>
      </w:r>
    </w:p>
    <w:p>
      <w:pPr>
        <w:snapToGrid w:val="0"/>
        <w:spacing w:before="120" w:beforeLines="50" w:line="360" w:lineRule="auto"/>
        <w:ind w:firstLine="354" w:firstLineChars="147"/>
        <w:outlineLvl w:val="1"/>
        <w:rPr>
          <w:b/>
          <w:highlight w:val="none"/>
        </w:rPr>
      </w:pPr>
      <w:r>
        <w:rPr>
          <w:rFonts w:hint="eastAsia"/>
          <w:b/>
          <w:highlight w:val="none"/>
        </w:rPr>
        <w:t>（二）定义</w:t>
      </w:r>
    </w:p>
    <w:p>
      <w:pPr>
        <w:snapToGrid w:val="0"/>
        <w:spacing w:line="360" w:lineRule="auto"/>
        <w:ind w:firstLine="480" w:firstLineChars="200"/>
        <w:rPr>
          <w:highlight w:val="none"/>
        </w:rPr>
      </w:pPr>
      <w:r>
        <w:rPr>
          <w:highlight w:val="none"/>
        </w:rPr>
        <w:t>1.</w:t>
      </w:r>
      <w:r>
        <w:rPr>
          <w:rFonts w:hint="eastAsia"/>
          <w:highlight w:val="none"/>
        </w:rPr>
        <w:t>招标采购单位系指组织本次招标的</w:t>
      </w:r>
      <w:r>
        <w:rPr>
          <w:rFonts w:hint="eastAsia"/>
          <w:highlight w:val="none"/>
          <w:lang w:eastAsia="zh-CN"/>
        </w:rPr>
        <w:t>海盐县人民法院</w:t>
      </w:r>
      <w:r>
        <w:rPr>
          <w:rFonts w:hint="eastAsia"/>
          <w:highlight w:val="none"/>
        </w:rPr>
        <w:t>（“招标人”）和采购人。</w:t>
      </w:r>
    </w:p>
    <w:p>
      <w:pPr>
        <w:snapToGrid w:val="0"/>
        <w:spacing w:line="360" w:lineRule="auto"/>
        <w:ind w:firstLine="480" w:firstLineChars="200"/>
        <w:rPr>
          <w:highlight w:val="none"/>
        </w:rPr>
      </w:pPr>
      <w:r>
        <w:rPr>
          <w:highlight w:val="none"/>
        </w:rPr>
        <w:t>2.</w:t>
      </w:r>
      <w:r>
        <w:rPr>
          <w:rFonts w:hint="eastAsia"/>
          <w:highlight w:val="none"/>
        </w:rPr>
        <w:t>“投标人”系指向招标方提交投标文件的单位或个人。</w:t>
      </w:r>
    </w:p>
    <w:p>
      <w:pPr>
        <w:snapToGrid w:val="0"/>
        <w:spacing w:line="360" w:lineRule="auto"/>
        <w:ind w:firstLine="480" w:firstLineChars="200"/>
        <w:rPr>
          <w:highlight w:val="none"/>
        </w:rPr>
      </w:pPr>
      <w:r>
        <w:rPr>
          <w:highlight w:val="none"/>
        </w:rPr>
        <w:t>3.</w:t>
      </w:r>
      <w:r>
        <w:rPr>
          <w:rFonts w:hint="eastAsia"/>
          <w:highlight w:val="none"/>
        </w:rPr>
        <w:t>“产品”系指供方按招标文件规定，须向采购人提供的一切设备、保险、税金、备品备件、工具、手册及其它有关技术资料和材料。</w:t>
      </w:r>
    </w:p>
    <w:p>
      <w:pPr>
        <w:snapToGrid w:val="0"/>
        <w:spacing w:line="360" w:lineRule="auto"/>
        <w:ind w:firstLine="480" w:firstLineChars="200"/>
        <w:rPr>
          <w:highlight w:val="none"/>
        </w:rPr>
      </w:pPr>
      <w:r>
        <w:rPr>
          <w:highlight w:val="none"/>
        </w:rPr>
        <w:t>4.</w:t>
      </w:r>
      <w:r>
        <w:rPr>
          <w:rFonts w:hint="eastAsia"/>
          <w:highlight w:val="none"/>
        </w:rPr>
        <w:t>“服务”系指招标文件规定投标人须承担的服务以及其他类似的义务。</w:t>
      </w:r>
    </w:p>
    <w:p>
      <w:pPr>
        <w:snapToGrid w:val="0"/>
        <w:spacing w:line="360" w:lineRule="auto"/>
        <w:ind w:firstLine="480" w:firstLineChars="200"/>
        <w:rPr>
          <w:highlight w:val="none"/>
        </w:rPr>
      </w:pPr>
      <w:r>
        <w:rPr>
          <w:highlight w:val="none"/>
        </w:rPr>
        <w:t>5.</w:t>
      </w:r>
      <w:r>
        <w:rPr>
          <w:rFonts w:hint="eastAsia"/>
          <w:highlight w:val="none"/>
        </w:rPr>
        <w:t>“项目”系指投标人按招标文件规定向采购人提供的产品和服务。</w:t>
      </w:r>
    </w:p>
    <w:p>
      <w:pPr>
        <w:snapToGrid w:val="0"/>
        <w:spacing w:line="360" w:lineRule="auto"/>
        <w:ind w:firstLine="480" w:firstLineChars="200"/>
        <w:rPr>
          <w:highlight w:val="none"/>
        </w:rPr>
      </w:pPr>
      <w:r>
        <w:rPr>
          <w:highlight w:val="none"/>
        </w:rPr>
        <w:t>6.</w:t>
      </w:r>
      <w:r>
        <w:rPr>
          <w:rFonts w:hint="eastAsia"/>
          <w:highlight w:val="none"/>
        </w:rPr>
        <w:t>“书面形式”包括信函、传真、电报等。</w:t>
      </w:r>
    </w:p>
    <w:p>
      <w:pPr>
        <w:snapToGrid w:val="0"/>
        <w:spacing w:line="360" w:lineRule="auto"/>
        <w:ind w:firstLine="480" w:firstLineChars="200"/>
        <w:rPr>
          <w:highlight w:val="none"/>
        </w:rPr>
      </w:pPr>
      <w:r>
        <w:rPr>
          <w:highlight w:val="none"/>
        </w:rPr>
        <w:t>7.</w:t>
      </w:r>
      <w:r>
        <w:rPr>
          <w:rFonts w:hint="eastAsia"/>
          <w:highlight w:val="none"/>
        </w:rPr>
        <w:t>“▲”系指实质性要求条款。</w:t>
      </w:r>
    </w:p>
    <w:p>
      <w:pPr>
        <w:snapToGrid w:val="0"/>
        <w:spacing w:before="120" w:beforeLines="50" w:line="360" w:lineRule="auto"/>
        <w:ind w:firstLine="472" w:firstLineChars="196"/>
        <w:outlineLvl w:val="1"/>
        <w:rPr>
          <w:b/>
          <w:highlight w:val="none"/>
        </w:rPr>
      </w:pPr>
      <w:r>
        <w:rPr>
          <w:rFonts w:hint="eastAsia"/>
          <w:b/>
          <w:highlight w:val="none"/>
        </w:rPr>
        <w:t>（三）招标方式</w:t>
      </w:r>
    </w:p>
    <w:p>
      <w:pPr>
        <w:snapToGrid w:val="0"/>
        <w:spacing w:line="360" w:lineRule="auto"/>
        <w:ind w:firstLine="480" w:firstLineChars="200"/>
        <w:rPr>
          <w:highlight w:val="none"/>
        </w:rPr>
      </w:pPr>
      <w:r>
        <w:rPr>
          <w:rFonts w:hint="eastAsia"/>
          <w:highlight w:val="none"/>
        </w:rPr>
        <w:t>本次招标采用竞争性磋商方式进行。</w:t>
      </w:r>
    </w:p>
    <w:p>
      <w:pPr>
        <w:snapToGrid w:val="0"/>
        <w:spacing w:before="120" w:beforeLines="50" w:line="360" w:lineRule="auto"/>
        <w:ind w:firstLine="472" w:firstLineChars="196"/>
        <w:outlineLvl w:val="1"/>
        <w:rPr>
          <w:b/>
          <w:highlight w:val="none"/>
        </w:rPr>
      </w:pPr>
      <w:r>
        <w:rPr>
          <w:rFonts w:hint="eastAsia"/>
          <w:b/>
          <w:highlight w:val="none"/>
        </w:rPr>
        <w:t>（四）投标委托</w:t>
      </w:r>
    </w:p>
    <w:p>
      <w:pPr>
        <w:pStyle w:val="11"/>
        <w:snapToGrid w:val="0"/>
        <w:spacing w:line="360" w:lineRule="auto"/>
        <w:ind w:firstLine="480" w:firstLineChars="200"/>
        <w:rPr>
          <w:szCs w:val="24"/>
          <w:highlight w:val="none"/>
        </w:rPr>
      </w:pPr>
      <w:r>
        <w:rPr>
          <w:rFonts w:hint="eastAsia"/>
          <w:szCs w:val="24"/>
          <w:highlight w:val="none"/>
        </w:rPr>
        <w:t>投标人代表须携带有效身份证件。如投标人代表不是法定代表人，须有法定代表人出具的授权委托书（格式详见第六章）。</w:t>
      </w:r>
    </w:p>
    <w:p>
      <w:pPr>
        <w:snapToGrid w:val="0"/>
        <w:spacing w:before="120" w:beforeLines="50" w:line="360" w:lineRule="auto"/>
        <w:ind w:firstLine="472" w:firstLineChars="196"/>
        <w:outlineLvl w:val="1"/>
        <w:rPr>
          <w:b/>
          <w:highlight w:val="none"/>
        </w:rPr>
      </w:pPr>
      <w:r>
        <w:rPr>
          <w:rFonts w:hint="eastAsia"/>
          <w:b/>
          <w:highlight w:val="none"/>
        </w:rPr>
        <w:t>（五）投标费用</w:t>
      </w:r>
    </w:p>
    <w:p>
      <w:pPr>
        <w:snapToGrid w:val="0"/>
        <w:spacing w:line="360" w:lineRule="auto"/>
        <w:ind w:firstLine="480" w:firstLineChars="200"/>
        <w:rPr>
          <w:highlight w:val="none"/>
        </w:rPr>
      </w:pPr>
      <w:r>
        <w:rPr>
          <w:rFonts w:hint="eastAsia"/>
          <w:highlight w:val="none"/>
        </w:rPr>
        <w:t>不论投标结果如何，投标人均应自行承担所有与投标有关的全部费用（招标文件有相反规定除外）。</w:t>
      </w:r>
    </w:p>
    <w:p>
      <w:pPr>
        <w:snapToGrid w:val="0"/>
        <w:spacing w:before="120" w:beforeLines="50" w:line="360" w:lineRule="auto"/>
        <w:ind w:firstLine="472" w:firstLineChars="196"/>
        <w:rPr>
          <w:b/>
          <w:highlight w:val="none"/>
        </w:rPr>
      </w:pPr>
      <w:r>
        <w:rPr>
          <w:rFonts w:hint="eastAsia"/>
          <w:b/>
          <w:highlight w:val="none"/>
        </w:rPr>
        <w:t>（六）联合体投标</w:t>
      </w:r>
    </w:p>
    <w:p>
      <w:pPr>
        <w:snapToGrid w:val="0"/>
        <w:spacing w:before="120" w:beforeLines="50" w:line="360" w:lineRule="auto"/>
        <w:ind w:firstLine="470" w:firstLineChars="196"/>
        <w:rPr>
          <w:highlight w:val="none"/>
        </w:rPr>
      </w:pPr>
      <w:r>
        <w:rPr>
          <w:rFonts w:hint="eastAsia"/>
          <w:highlight w:val="none"/>
        </w:rPr>
        <w:t>本项目不允许联合体投标。</w:t>
      </w:r>
    </w:p>
    <w:p>
      <w:pPr>
        <w:snapToGrid w:val="0"/>
        <w:spacing w:before="120" w:beforeLines="50" w:line="360" w:lineRule="auto"/>
        <w:ind w:firstLine="472" w:firstLineChars="196"/>
        <w:rPr>
          <w:b/>
          <w:highlight w:val="none"/>
        </w:rPr>
      </w:pPr>
      <w:r>
        <w:rPr>
          <w:rFonts w:hint="eastAsia"/>
          <w:b/>
          <w:highlight w:val="none"/>
        </w:rPr>
        <w:t>（七）转包与分包</w:t>
      </w:r>
    </w:p>
    <w:p>
      <w:pPr>
        <w:snapToGrid w:val="0"/>
        <w:spacing w:line="360" w:lineRule="auto"/>
        <w:ind w:firstLine="480" w:firstLineChars="200"/>
        <w:rPr>
          <w:highlight w:val="none"/>
        </w:rPr>
      </w:pPr>
      <w:r>
        <w:rPr>
          <w:highlight w:val="none"/>
        </w:rPr>
        <w:t>1.</w:t>
      </w:r>
      <w:r>
        <w:rPr>
          <w:rFonts w:hint="eastAsia"/>
          <w:highlight w:val="none"/>
        </w:rPr>
        <w:t>本项目不允许转包。</w:t>
      </w:r>
    </w:p>
    <w:p>
      <w:pPr>
        <w:snapToGrid w:val="0"/>
        <w:spacing w:line="360" w:lineRule="auto"/>
        <w:ind w:firstLine="480" w:firstLineChars="200"/>
        <w:rPr>
          <w:highlight w:val="none"/>
        </w:rPr>
      </w:pPr>
      <w:r>
        <w:rPr>
          <w:highlight w:val="none"/>
        </w:rPr>
        <w:t>2.</w:t>
      </w:r>
      <w:r>
        <w:rPr>
          <w:rFonts w:hint="eastAsia"/>
          <w:highlight w:val="none"/>
        </w:rPr>
        <w:t>本项目不可以分包</w:t>
      </w:r>
    </w:p>
    <w:p>
      <w:pPr>
        <w:snapToGrid w:val="0"/>
        <w:spacing w:before="120" w:beforeLines="50" w:line="360" w:lineRule="auto"/>
        <w:ind w:firstLine="470" w:firstLineChars="196"/>
        <w:outlineLvl w:val="1"/>
        <w:rPr>
          <w:b/>
          <w:highlight w:val="none"/>
        </w:rPr>
      </w:pPr>
      <w:r>
        <w:rPr>
          <w:rFonts w:hint="eastAsia"/>
          <w:highlight w:val="none"/>
        </w:rPr>
        <w:t>▲</w:t>
      </w:r>
      <w:r>
        <w:rPr>
          <w:rFonts w:hint="eastAsia"/>
          <w:b/>
          <w:highlight w:val="none"/>
        </w:rPr>
        <w:t>（八）特别说明：</w:t>
      </w:r>
    </w:p>
    <w:p>
      <w:pPr>
        <w:snapToGrid w:val="0"/>
        <w:spacing w:line="360" w:lineRule="auto"/>
        <w:ind w:firstLine="480" w:firstLineChars="200"/>
        <w:rPr>
          <w:highlight w:val="none"/>
        </w:rPr>
      </w:pPr>
      <w:r>
        <w:rPr>
          <w:rFonts w:hint="eastAsia"/>
          <w:highlight w:val="none"/>
        </w:rPr>
        <w:t>1.投标人投标所使用的资格、信誉、荣誉、业绩与企业认证必须为本法人所拥有。投标人投标所使用的采购项目实施人员必须为本法人员工（或必须为本法人或控股公司正式员工）。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firstLine="480" w:firstLineChars="200"/>
        <w:rPr>
          <w:highlight w:val="none"/>
        </w:rPr>
      </w:pPr>
      <w:r>
        <w:rPr>
          <w:rFonts w:hint="eastAsia"/>
          <w:highlight w:val="none"/>
        </w:rPr>
        <w:t>2.投标人应仔细阅读招标文件的所有内容，按照招标文件的要求提交投标文件，并对所提供的全部资料的真实性承担法律责任。</w:t>
      </w:r>
    </w:p>
    <w:p>
      <w:pPr>
        <w:snapToGrid w:val="0"/>
        <w:spacing w:before="120" w:beforeLines="50" w:line="360" w:lineRule="auto"/>
        <w:ind w:firstLine="470" w:firstLineChars="196"/>
        <w:outlineLvl w:val="1"/>
        <w:rPr>
          <w:b/>
          <w:highlight w:val="none"/>
        </w:rPr>
      </w:pPr>
      <w:r>
        <w:rPr>
          <w:highlight w:val="none"/>
        </w:rPr>
        <w:t>3.</w:t>
      </w:r>
      <w:r>
        <w:rPr>
          <w:rFonts w:hint="eastAsia"/>
          <w:highlight w:val="none"/>
        </w:rPr>
        <w:t>投标人在投标活动中提供任何虚假材料</w:t>
      </w:r>
      <w:r>
        <w:rPr>
          <w:highlight w:val="none"/>
        </w:rPr>
        <w:t>,</w:t>
      </w:r>
      <w:r>
        <w:rPr>
          <w:rFonts w:hint="eastAsia"/>
          <w:highlight w:val="none"/>
        </w:rPr>
        <w:t>其投标无效，并报监管部门查处；中标后发现的</w:t>
      </w:r>
      <w:r>
        <w:rPr>
          <w:highlight w:val="none"/>
        </w:rPr>
        <w:t>,</w:t>
      </w:r>
      <w:r>
        <w:rPr>
          <w:rFonts w:hint="eastAsia"/>
          <w:highlight w:val="none"/>
        </w:rPr>
        <w:t>中标人须依照《中华人民共和国消费者权益保护法》第</w:t>
      </w:r>
      <w:r>
        <w:rPr>
          <w:highlight w:val="none"/>
        </w:rPr>
        <w:t>49</w:t>
      </w:r>
      <w:r>
        <w:rPr>
          <w:rFonts w:hint="eastAsia"/>
          <w:highlight w:val="none"/>
        </w:rPr>
        <w:t>条之规定双倍赔偿采购人，且民事赔偿并不免除违法投标人的行政与刑事责任。</w:t>
      </w:r>
    </w:p>
    <w:p>
      <w:pPr>
        <w:pStyle w:val="13"/>
        <w:spacing w:line="360" w:lineRule="auto"/>
        <w:ind w:firstLine="413" w:firstLineChars="196"/>
        <w:outlineLvl w:val="1"/>
        <w:rPr>
          <w:rFonts w:hAnsi="宋体"/>
          <w:b/>
          <w:bCs/>
          <w:highlight w:val="none"/>
        </w:rPr>
      </w:pPr>
      <w:r>
        <w:rPr>
          <w:rFonts w:hint="eastAsia" w:hAnsi="宋体"/>
          <w:b/>
          <w:bCs/>
          <w:highlight w:val="none"/>
        </w:rPr>
        <w:t>（九）质疑和投诉</w:t>
      </w:r>
    </w:p>
    <w:p>
      <w:pPr>
        <w:snapToGrid w:val="0"/>
        <w:spacing w:line="360" w:lineRule="auto"/>
        <w:ind w:firstLine="480" w:firstLineChars="200"/>
        <w:rPr>
          <w:highlight w:val="none"/>
        </w:rPr>
      </w:pPr>
      <w:r>
        <w:rPr>
          <w:rFonts w:hint="eastAsia"/>
          <w:highlight w:val="none"/>
        </w:rPr>
        <w:t>1.投标人认为招标文件、招标过程或中标结果使自己的合法权益受到损害的，应当在知道或者应知其权益受到损害之日起七个工作日内，以书面形式向采购人、提出质疑。投标人对招标采购单位的质疑答复不满意或者招标采购单位未在规定时间内作出答复的，可以在答复期满后十五个工作日内向同级采购监管部门投诉。</w:t>
      </w:r>
    </w:p>
    <w:p>
      <w:pPr>
        <w:snapToGrid w:val="0"/>
        <w:spacing w:line="360" w:lineRule="auto"/>
        <w:ind w:firstLine="480" w:firstLineChars="200"/>
        <w:rPr>
          <w:highlight w:val="none"/>
        </w:rPr>
      </w:pPr>
      <w:r>
        <w:rPr>
          <w:rFonts w:hint="eastAsia"/>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3"/>
        <w:spacing w:before="120" w:after="120" w:line="360" w:lineRule="auto"/>
        <w:ind w:firstLine="413" w:firstLineChars="196"/>
        <w:jc w:val="center"/>
        <w:rPr>
          <w:rFonts w:hAnsi="宋体"/>
          <w:b/>
          <w:highlight w:val="none"/>
        </w:rPr>
      </w:pPr>
      <w:bookmarkStart w:id="15" w:name="_Toc406402987"/>
      <w:bookmarkStart w:id="16" w:name="_Toc406402943"/>
    </w:p>
    <w:p>
      <w:pPr>
        <w:pStyle w:val="13"/>
        <w:spacing w:before="120" w:after="120" w:line="360" w:lineRule="auto"/>
        <w:ind w:firstLine="551" w:firstLineChars="196"/>
        <w:jc w:val="center"/>
        <w:outlineLvl w:val="0"/>
        <w:rPr>
          <w:rFonts w:hAnsi="宋体"/>
          <w:b/>
          <w:sz w:val="28"/>
          <w:szCs w:val="28"/>
          <w:highlight w:val="none"/>
        </w:rPr>
      </w:pPr>
      <w:bookmarkStart w:id="17" w:name="_Toc11904"/>
      <w:bookmarkStart w:id="18" w:name="_Toc10122"/>
      <w:bookmarkStart w:id="19" w:name="_Toc7556"/>
      <w:r>
        <w:rPr>
          <w:rFonts w:hint="eastAsia" w:hAnsi="宋体"/>
          <w:b/>
          <w:sz w:val="28"/>
          <w:szCs w:val="28"/>
          <w:highlight w:val="none"/>
        </w:rPr>
        <w:t>二、招标文件</w:t>
      </w:r>
      <w:bookmarkEnd w:id="15"/>
      <w:bookmarkEnd w:id="16"/>
      <w:bookmarkEnd w:id="17"/>
      <w:bookmarkEnd w:id="18"/>
      <w:bookmarkEnd w:id="19"/>
    </w:p>
    <w:p>
      <w:pPr>
        <w:snapToGrid w:val="0"/>
        <w:spacing w:line="360" w:lineRule="auto"/>
        <w:ind w:firstLine="472" w:firstLineChars="196"/>
        <w:rPr>
          <w:b/>
          <w:highlight w:val="none"/>
        </w:rPr>
      </w:pPr>
      <w:r>
        <w:rPr>
          <w:rFonts w:hint="eastAsia"/>
          <w:b/>
          <w:highlight w:val="none"/>
        </w:rPr>
        <w:t>（一）招标文件的构成。本招标文件由以下部分组成：</w:t>
      </w:r>
    </w:p>
    <w:p>
      <w:pPr>
        <w:snapToGrid w:val="0"/>
        <w:spacing w:line="360" w:lineRule="auto"/>
        <w:ind w:firstLine="480" w:firstLineChars="200"/>
        <w:rPr>
          <w:highlight w:val="none"/>
        </w:rPr>
      </w:pPr>
      <w:r>
        <w:rPr>
          <w:highlight w:val="none"/>
        </w:rPr>
        <w:t>1.</w:t>
      </w:r>
      <w:r>
        <w:rPr>
          <w:rFonts w:hint="eastAsia"/>
          <w:highlight w:val="none"/>
        </w:rPr>
        <w:t>招标公告</w:t>
      </w:r>
    </w:p>
    <w:p>
      <w:pPr>
        <w:snapToGrid w:val="0"/>
        <w:spacing w:line="360" w:lineRule="auto"/>
        <w:ind w:firstLine="480" w:firstLineChars="200"/>
        <w:rPr>
          <w:highlight w:val="none"/>
        </w:rPr>
      </w:pPr>
      <w:r>
        <w:rPr>
          <w:highlight w:val="none"/>
        </w:rPr>
        <w:t>2.</w:t>
      </w:r>
      <w:r>
        <w:rPr>
          <w:rFonts w:hint="eastAsia"/>
          <w:highlight w:val="none"/>
        </w:rPr>
        <w:t>招标需求</w:t>
      </w:r>
    </w:p>
    <w:p>
      <w:pPr>
        <w:snapToGrid w:val="0"/>
        <w:spacing w:line="360" w:lineRule="auto"/>
        <w:ind w:firstLine="480" w:firstLineChars="200"/>
        <w:rPr>
          <w:highlight w:val="none"/>
        </w:rPr>
      </w:pPr>
      <w:r>
        <w:rPr>
          <w:highlight w:val="none"/>
        </w:rPr>
        <w:t>3.</w:t>
      </w:r>
      <w:r>
        <w:rPr>
          <w:rFonts w:hint="eastAsia"/>
          <w:highlight w:val="none"/>
        </w:rPr>
        <w:t>投标人须知</w:t>
      </w:r>
    </w:p>
    <w:p>
      <w:pPr>
        <w:snapToGrid w:val="0"/>
        <w:spacing w:line="360" w:lineRule="auto"/>
        <w:ind w:firstLine="480" w:firstLineChars="200"/>
        <w:rPr>
          <w:highlight w:val="none"/>
        </w:rPr>
      </w:pPr>
      <w:r>
        <w:rPr>
          <w:highlight w:val="none"/>
        </w:rPr>
        <w:t>4.</w:t>
      </w:r>
      <w:r>
        <w:rPr>
          <w:rFonts w:hint="eastAsia"/>
          <w:highlight w:val="none"/>
        </w:rPr>
        <w:t>评标办法及标准</w:t>
      </w:r>
    </w:p>
    <w:p>
      <w:pPr>
        <w:snapToGrid w:val="0"/>
        <w:spacing w:line="360" w:lineRule="auto"/>
        <w:ind w:firstLine="480" w:firstLineChars="200"/>
        <w:rPr>
          <w:highlight w:val="none"/>
        </w:rPr>
      </w:pPr>
      <w:r>
        <w:rPr>
          <w:highlight w:val="none"/>
        </w:rPr>
        <w:t>5.</w:t>
      </w:r>
      <w:r>
        <w:rPr>
          <w:rFonts w:hint="eastAsia"/>
          <w:highlight w:val="none"/>
        </w:rPr>
        <w:t>合同主要条款</w:t>
      </w:r>
    </w:p>
    <w:p>
      <w:pPr>
        <w:snapToGrid w:val="0"/>
        <w:spacing w:line="360" w:lineRule="auto"/>
        <w:ind w:firstLine="480" w:firstLineChars="200"/>
        <w:rPr>
          <w:highlight w:val="none"/>
        </w:rPr>
      </w:pPr>
      <w:r>
        <w:rPr>
          <w:highlight w:val="none"/>
        </w:rPr>
        <w:t>6.</w:t>
      </w:r>
      <w:r>
        <w:rPr>
          <w:rFonts w:hint="eastAsia"/>
          <w:highlight w:val="none"/>
        </w:rPr>
        <w:t>投标文件格式</w:t>
      </w:r>
    </w:p>
    <w:p>
      <w:pPr>
        <w:snapToGrid w:val="0"/>
        <w:spacing w:line="360" w:lineRule="auto"/>
        <w:ind w:firstLine="480" w:firstLineChars="200"/>
        <w:rPr>
          <w:highlight w:val="none"/>
        </w:rPr>
      </w:pPr>
      <w:r>
        <w:rPr>
          <w:highlight w:val="none"/>
        </w:rPr>
        <w:t>7.</w:t>
      </w:r>
      <w:r>
        <w:rPr>
          <w:rFonts w:hint="eastAsia"/>
          <w:highlight w:val="none"/>
        </w:rPr>
        <w:t>本项目招标文件的澄清、答复、修改、补充的内容</w:t>
      </w:r>
    </w:p>
    <w:p>
      <w:pPr>
        <w:snapToGrid w:val="0"/>
        <w:spacing w:before="120" w:beforeLines="50" w:line="360" w:lineRule="auto"/>
        <w:ind w:firstLine="472" w:firstLineChars="196"/>
        <w:rPr>
          <w:b/>
          <w:highlight w:val="none"/>
        </w:rPr>
      </w:pPr>
      <w:r>
        <w:rPr>
          <w:rFonts w:hint="eastAsia"/>
          <w:b/>
          <w:highlight w:val="none"/>
        </w:rPr>
        <w:t>（二）投标人的风险</w:t>
      </w:r>
    </w:p>
    <w:p>
      <w:pPr>
        <w:snapToGrid w:val="0"/>
        <w:spacing w:line="360" w:lineRule="auto"/>
        <w:ind w:firstLine="480" w:firstLineChars="200"/>
        <w:rPr>
          <w:highlight w:val="none"/>
        </w:rPr>
      </w:pPr>
      <w:r>
        <w:rPr>
          <w:rFonts w:hint="eastAsia"/>
          <w:highlight w:val="none"/>
        </w:rPr>
        <w:t>投标人没有按照招标文件要求提供全部资料，或者投标人没有对招标文件在各方面作出实质性响应是投标人的风险，并可能导致其投标为无效标。</w:t>
      </w:r>
    </w:p>
    <w:p>
      <w:pPr>
        <w:pStyle w:val="4"/>
        <w:widowControl w:val="0"/>
        <w:numPr>
          <w:ilvl w:val="0"/>
          <w:numId w:val="0"/>
        </w:numPr>
        <w:tabs>
          <w:tab w:val="left" w:pos="720"/>
          <w:tab w:val="clear" w:pos="360"/>
        </w:tabs>
        <w:snapToGrid w:val="0"/>
        <w:spacing w:before="120" w:beforeLines="50" w:line="360" w:lineRule="auto"/>
        <w:ind w:left="470" w:leftChars="196"/>
        <w:rPr>
          <w:b/>
          <w:highlight w:val="none"/>
        </w:rPr>
      </w:pPr>
      <w:r>
        <w:rPr>
          <w:rFonts w:hint="eastAsia"/>
          <w:b/>
          <w:highlight w:val="none"/>
        </w:rPr>
        <w:t>（三）招标文件的澄清与修改</w:t>
      </w:r>
      <w:r>
        <w:rPr>
          <w:b/>
          <w:highlight w:val="none"/>
        </w:rPr>
        <w:t xml:space="preserve"> </w:t>
      </w:r>
    </w:p>
    <w:p>
      <w:pPr>
        <w:spacing w:line="440" w:lineRule="exact"/>
        <w:ind w:firstLine="720" w:firstLineChars="300"/>
        <w:rPr>
          <w:kern w:val="2"/>
          <w:highlight w:val="none"/>
        </w:rPr>
      </w:pPr>
      <w:r>
        <w:rPr>
          <w:rFonts w:hint="eastAsia"/>
          <w:kern w:val="2"/>
          <w:highlight w:val="none"/>
        </w:rPr>
        <w:t>1.供应商应认真阅读本招标文件，发现其中有误或有不合理要求的，供应商必须在投标截止七个工作日前以书面形式要求采购人澄清，否则逾期视为默认。采购人对已发出的招标文件进行必要澄清、答复、修改或补充的，应当在招标文件要求提交投标文件截止时间五日前，在财政部门指定的政府采购信息发布媒体上发布更正公告；不足5日的，采购人或者采购代理机构应当顺延提交投标文件的截止时间。</w:t>
      </w:r>
    </w:p>
    <w:p>
      <w:pPr>
        <w:spacing w:line="440" w:lineRule="exact"/>
        <w:ind w:firstLine="720" w:firstLineChars="300"/>
        <w:rPr>
          <w:kern w:val="2"/>
          <w:highlight w:val="none"/>
        </w:rPr>
      </w:pPr>
      <w:r>
        <w:rPr>
          <w:rFonts w:hint="eastAsia"/>
          <w:kern w:val="2"/>
          <w:highlight w:val="none"/>
        </w:rPr>
        <w:t>2.采购人、采购代理机构必须以书面形式答供应商；除书面答复以外的其他澄清方式及澄清内容均无效。</w:t>
      </w:r>
    </w:p>
    <w:p>
      <w:pPr>
        <w:spacing w:line="440" w:lineRule="exact"/>
        <w:ind w:firstLine="720" w:firstLineChars="300"/>
        <w:rPr>
          <w:kern w:val="2"/>
          <w:highlight w:val="none"/>
        </w:rPr>
      </w:pPr>
      <w:r>
        <w:rPr>
          <w:rFonts w:hint="eastAsia"/>
          <w:kern w:val="2"/>
          <w:highlight w:val="none"/>
        </w:rPr>
        <w:t>3.招标文件澄清、答复、修改、补充的内容为招标文件的组成部分。当招标文件与招标文件的答复、澄清、修改、补充通知就同一内容的表述不一致时，以最后发出的书面文件为准。</w:t>
      </w:r>
    </w:p>
    <w:p>
      <w:pPr>
        <w:spacing w:line="440" w:lineRule="exact"/>
        <w:ind w:firstLine="720" w:firstLineChars="300"/>
        <w:rPr>
          <w:kern w:val="2"/>
          <w:highlight w:val="none"/>
        </w:rPr>
      </w:pPr>
      <w:r>
        <w:rPr>
          <w:rFonts w:hint="eastAsia"/>
          <w:kern w:val="2"/>
          <w:highlight w:val="none"/>
        </w:rPr>
        <w:t>4.招标文件的澄清、答复、修改或补充都应该通过本采购代理机构以法定形式发布，采购人非通过本采购代理机构，不得擅自澄清、答复、修改或补充招标文件。</w:t>
      </w:r>
    </w:p>
    <w:p>
      <w:pPr>
        <w:pStyle w:val="13"/>
        <w:spacing w:before="120" w:after="120" w:line="360" w:lineRule="auto"/>
        <w:ind w:firstLine="413" w:firstLineChars="196"/>
        <w:jc w:val="center"/>
        <w:rPr>
          <w:rFonts w:hAnsi="宋体"/>
          <w:b/>
          <w:highlight w:val="none"/>
        </w:rPr>
      </w:pPr>
    </w:p>
    <w:p>
      <w:pPr>
        <w:pStyle w:val="13"/>
        <w:spacing w:before="120" w:after="120" w:line="360" w:lineRule="auto"/>
        <w:ind w:firstLine="551" w:firstLineChars="196"/>
        <w:jc w:val="center"/>
        <w:outlineLvl w:val="1"/>
        <w:rPr>
          <w:rFonts w:hAnsi="宋体"/>
          <w:b/>
          <w:sz w:val="28"/>
          <w:szCs w:val="28"/>
          <w:highlight w:val="none"/>
        </w:rPr>
      </w:pPr>
      <w:r>
        <w:rPr>
          <w:rFonts w:hint="eastAsia" w:hAnsi="宋体"/>
          <w:b/>
          <w:sz w:val="28"/>
          <w:szCs w:val="28"/>
          <w:highlight w:val="none"/>
        </w:rPr>
        <w:t>三、投标文件的编制</w:t>
      </w:r>
    </w:p>
    <w:p>
      <w:pPr>
        <w:pStyle w:val="13"/>
        <w:spacing w:before="120" w:after="120" w:line="360" w:lineRule="auto"/>
        <w:ind w:firstLine="413" w:firstLineChars="196"/>
        <w:outlineLvl w:val="1"/>
        <w:rPr>
          <w:rFonts w:hAnsi="宋体"/>
          <w:b/>
          <w:highlight w:val="none"/>
        </w:rPr>
      </w:pPr>
      <w:r>
        <w:rPr>
          <w:rFonts w:hint="eastAsia" w:hAnsi="宋体"/>
          <w:b/>
          <w:highlight w:val="none"/>
        </w:rPr>
        <w:t>本项目所涉投标文件格式请详见第六章，未给出的格式请自拟。资信商务及技术文件中不得出现报价，否则投标文件将被视为无效。</w:t>
      </w:r>
    </w:p>
    <w:p>
      <w:pPr>
        <w:snapToGrid w:val="0"/>
        <w:spacing w:line="360" w:lineRule="auto"/>
        <w:ind w:firstLine="472" w:firstLineChars="196"/>
        <w:outlineLvl w:val="0"/>
        <w:rPr>
          <w:b/>
          <w:highlight w:val="none"/>
        </w:rPr>
      </w:pPr>
      <w:bookmarkStart w:id="20" w:name="_Toc406402944"/>
      <w:bookmarkStart w:id="21" w:name="_Toc6975"/>
      <w:bookmarkStart w:id="22" w:name="_Toc24800"/>
      <w:bookmarkStart w:id="23" w:name="_Toc6066"/>
      <w:bookmarkStart w:id="24" w:name="_Toc406402988"/>
      <w:r>
        <w:rPr>
          <w:rFonts w:hint="eastAsia"/>
          <w:b/>
          <w:highlight w:val="none"/>
        </w:rPr>
        <w:t>（一）投标文件的组成</w:t>
      </w:r>
      <w:bookmarkEnd w:id="20"/>
      <w:bookmarkEnd w:id="21"/>
      <w:bookmarkEnd w:id="22"/>
      <w:bookmarkEnd w:id="23"/>
      <w:bookmarkEnd w:id="24"/>
    </w:p>
    <w:p>
      <w:pPr>
        <w:snapToGrid w:val="0"/>
        <w:spacing w:line="360" w:lineRule="auto"/>
        <w:ind w:firstLine="480" w:firstLineChars="200"/>
        <w:rPr>
          <w:highlight w:val="none"/>
        </w:rPr>
      </w:pPr>
      <w:r>
        <w:rPr>
          <w:rFonts w:hint="eastAsia"/>
          <w:highlight w:val="none"/>
        </w:rPr>
        <w:t>投标文件由资格文件、商务技术文件、投标报价文件三部份组成。</w:t>
      </w:r>
    </w:p>
    <w:p>
      <w:pPr>
        <w:snapToGrid w:val="0"/>
        <w:spacing w:before="120" w:beforeLines="50" w:line="360" w:lineRule="auto"/>
        <w:rPr>
          <w:b/>
          <w:highlight w:val="none"/>
        </w:rPr>
      </w:pPr>
      <w:r>
        <w:rPr>
          <w:b/>
          <w:highlight w:val="none"/>
        </w:rPr>
        <w:t>1.</w:t>
      </w:r>
      <w:r>
        <w:rPr>
          <w:rFonts w:hint="eastAsia"/>
          <w:b/>
          <w:highlight w:val="none"/>
        </w:rPr>
        <w:t>资格文件：</w:t>
      </w:r>
    </w:p>
    <w:p>
      <w:pPr>
        <w:pStyle w:val="16"/>
        <w:ind w:firstLine="480" w:firstLineChars="200"/>
        <w:rPr>
          <w:rFonts w:hint="eastAsia"/>
          <w:highlight w:val="none"/>
        </w:rPr>
      </w:pPr>
      <w:r>
        <w:rPr>
          <w:rFonts w:hint="eastAsia"/>
          <w:highlight w:val="none"/>
        </w:rPr>
        <w:t>1.1投标声明书；</w:t>
      </w:r>
    </w:p>
    <w:p>
      <w:pPr>
        <w:pStyle w:val="16"/>
        <w:ind w:firstLine="480" w:firstLineChars="200"/>
        <w:rPr>
          <w:rFonts w:hint="eastAsia"/>
          <w:highlight w:val="none"/>
        </w:rPr>
      </w:pPr>
      <w:r>
        <w:rPr>
          <w:rFonts w:hint="eastAsia"/>
          <w:highlight w:val="none"/>
        </w:rPr>
        <w:t>1.2法定代表人授权委托书；</w:t>
      </w:r>
    </w:p>
    <w:p>
      <w:pPr>
        <w:pStyle w:val="16"/>
        <w:ind w:firstLine="480" w:firstLineChars="200"/>
        <w:rPr>
          <w:rFonts w:hint="eastAsia"/>
          <w:highlight w:val="none"/>
        </w:rPr>
      </w:pPr>
      <w:r>
        <w:rPr>
          <w:rFonts w:hint="eastAsia"/>
          <w:highlight w:val="none"/>
        </w:rPr>
        <w:t>1.3 投标人营业执照复印件；</w:t>
      </w:r>
    </w:p>
    <w:p>
      <w:pPr>
        <w:pStyle w:val="16"/>
        <w:ind w:firstLine="480" w:firstLineChars="200"/>
        <w:rPr>
          <w:rFonts w:hint="eastAsia"/>
          <w:highlight w:val="none"/>
        </w:rPr>
      </w:pPr>
      <w:r>
        <w:rPr>
          <w:rFonts w:hint="eastAsia"/>
          <w:highlight w:val="none"/>
        </w:rPr>
        <w:t>1.4符合参加政府采购活动应当具备的一般条件的承诺函；</w:t>
      </w:r>
    </w:p>
    <w:p>
      <w:pPr>
        <w:pStyle w:val="16"/>
        <w:ind w:firstLine="480" w:firstLineChars="200"/>
        <w:rPr>
          <w:rFonts w:hint="eastAsia" w:eastAsia="宋体"/>
          <w:highlight w:val="none"/>
          <w:lang w:eastAsia="zh-CN"/>
        </w:rPr>
      </w:pPr>
      <w:r>
        <w:rPr>
          <w:rFonts w:hint="eastAsia"/>
          <w:highlight w:val="none"/>
        </w:rPr>
        <w:t>1.</w:t>
      </w:r>
      <w:r>
        <w:rPr>
          <w:rFonts w:hint="eastAsia"/>
          <w:highlight w:val="none"/>
          <w:lang w:val="en-US" w:eastAsia="zh-CN"/>
        </w:rPr>
        <w:t>5</w:t>
      </w:r>
      <w:r>
        <w:rPr>
          <w:rFonts w:hint="eastAsia"/>
          <w:highlight w:val="none"/>
        </w:rPr>
        <w:t>中小企业声明函（</w:t>
      </w:r>
      <w:r>
        <w:rPr>
          <w:rFonts w:hint="eastAsia"/>
          <w:highlight w:val="none"/>
          <w:lang w:val="en-US" w:eastAsia="zh-CN"/>
        </w:rPr>
        <w:t>见</w:t>
      </w:r>
      <w:r>
        <w:rPr>
          <w:rFonts w:hint="eastAsia"/>
          <w:highlight w:val="none"/>
        </w:rPr>
        <w:t>附件）</w:t>
      </w:r>
      <w:r>
        <w:rPr>
          <w:rFonts w:hint="eastAsia"/>
          <w:highlight w:val="none"/>
          <w:lang w:eastAsia="zh-CN"/>
        </w:rPr>
        <w:t>；</w:t>
      </w:r>
    </w:p>
    <w:p>
      <w:pPr>
        <w:pStyle w:val="16"/>
        <w:ind w:firstLine="480" w:firstLineChars="200"/>
        <w:rPr>
          <w:rFonts w:hint="eastAsia"/>
          <w:highlight w:val="none"/>
        </w:rPr>
      </w:pPr>
      <w:r>
        <w:rPr>
          <w:rFonts w:hint="eastAsia"/>
          <w:highlight w:val="none"/>
        </w:rPr>
        <w:t>1.</w:t>
      </w:r>
      <w:r>
        <w:rPr>
          <w:rFonts w:hint="eastAsia"/>
          <w:highlight w:val="none"/>
          <w:lang w:val="en-US" w:eastAsia="zh-CN"/>
        </w:rPr>
        <w:t>6</w:t>
      </w:r>
      <w:r>
        <w:rPr>
          <w:rFonts w:hint="eastAsia"/>
          <w:highlight w:val="none"/>
        </w:rPr>
        <w:t>投标人需要说明的其他内容（未尽事宜可按评分细则部分制作）。</w:t>
      </w:r>
    </w:p>
    <w:p>
      <w:pPr>
        <w:snapToGrid w:val="0"/>
        <w:spacing w:before="120" w:beforeLines="50" w:line="360" w:lineRule="auto"/>
        <w:rPr>
          <w:b/>
          <w:highlight w:val="none"/>
        </w:rPr>
      </w:pPr>
      <w:r>
        <w:rPr>
          <w:b/>
          <w:highlight w:val="none"/>
        </w:rPr>
        <w:t>2</w:t>
      </w:r>
      <w:r>
        <w:rPr>
          <w:rFonts w:hint="eastAsia"/>
          <w:b/>
          <w:highlight w:val="none"/>
        </w:rPr>
        <w:t>、商务技术文件：</w:t>
      </w:r>
    </w:p>
    <w:p>
      <w:pPr>
        <w:pStyle w:val="9"/>
        <w:ind w:firstLine="480" w:firstLineChars="200"/>
        <w:rPr>
          <w:highlight w:val="none"/>
        </w:rPr>
      </w:pPr>
      <w:r>
        <w:rPr>
          <w:rFonts w:hint="eastAsia"/>
          <w:highlight w:val="none"/>
        </w:rPr>
        <w:t>2.1针对本项目的技术方案；</w:t>
      </w:r>
    </w:p>
    <w:p>
      <w:pPr>
        <w:pStyle w:val="9"/>
        <w:ind w:firstLine="480" w:firstLineChars="200"/>
        <w:rPr>
          <w:highlight w:val="none"/>
        </w:rPr>
      </w:pPr>
      <w:r>
        <w:rPr>
          <w:rFonts w:hint="eastAsia"/>
          <w:highlight w:val="none"/>
        </w:rPr>
        <w:t>2.2针对本项目的项目组织实施方案；</w:t>
      </w:r>
    </w:p>
    <w:p>
      <w:pPr>
        <w:pStyle w:val="9"/>
        <w:ind w:firstLine="480" w:firstLineChars="200"/>
        <w:rPr>
          <w:highlight w:val="none"/>
        </w:rPr>
      </w:pPr>
      <w:r>
        <w:rPr>
          <w:rFonts w:hint="eastAsia"/>
          <w:highlight w:val="none"/>
        </w:rPr>
        <w:t>2.3针对本项目的</w:t>
      </w:r>
      <w:r>
        <w:rPr>
          <w:rFonts w:hint="eastAsia" w:cs="Calibri"/>
          <w:szCs w:val="21"/>
          <w:highlight w:val="none"/>
          <w:lang w:val="en-US" w:eastAsia="zh-CN"/>
        </w:rPr>
        <w:t>培训</w:t>
      </w:r>
      <w:r>
        <w:rPr>
          <w:rFonts w:hint="eastAsia" w:cs="Calibri"/>
          <w:szCs w:val="21"/>
          <w:highlight w:val="none"/>
        </w:rPr>
        <w:t>方案</w:t>
      </w:r>
      <w:r>
        <w:rPr>
          <w:rFonts w:hint="eastAsia"/>
          <w:highlight w:val="none"/>
        </w:rPr>
        <w:t>；</w:t>
      </w:r>
    </w:p>
    <w:p>
      <w:pPr>
        <w:pStyle w:val="9"/>
        <w:ind w:firstLine="480" w:firstLineChars="200"/>
        <w:rPr>
          <w:highlight w:val="none"/>
        </w:rPr>
      </w:pPr>
      <w:r>
        <w:rPr>
          <w:rFonts w:hint="eastAsia"/>
          <w:highlight w:val="none"/>
        </w:rPr>
        <w:t>2.4投标人保证项目服务质量的</w:t>
      </w:r>
      <w:r>
        <w:rPr>
          <w:rFonts w:hint="eastAsia"/>
          <w:highlight w:val="none"/>
          <w:lang w:val="en-US" w:eastAsia="zh-CN"/>
        </w:rPr>
        <w:t>售后</w:t>
      </w:r>
      <w:r>
        <w:rPr>
          <w:rFonts w:hint="eastAsia"/>
          <w:highlight w:val="none"/>
        </w:rPr>
        <w:t>方案；</w:t>
      </w:r>
    </w:p>
    <w:p>
      <w:pPr>
        <w:pStyle w:val="9"/>
        <w:ind w:firstLine="480" w:firstLineChars="200"/>
        <w:rPr>
          <w:highlight w:val="none"/>
        </w:rPr>
      </w:pPr>
      <w:r>
        <w:rPr>
          <w:rFonts w:hint="eastAsia"/>
          <w:highlight w:val="none"/>
        </w:rPr>
        <w:t>2.</w:t>
      </w:r>
      <w:r>
        <w:rPr>
          <w:rFonts w:hint="eastAsia"/>
          <w:highlight w:val="none"/>
          <w:lang w:val="en-US" w:eastAsia="zh-CN"/>
        </w:rPr>
        <w:t>5项目实施计划</w:t>
      </w:r>
      <w:r>
        <w:rPr>
          <w:rFonts w:hint="eastAsia"/>
          <w:highlight w:val="none"/>
        </w:rPr>
        <w:t>；</w:t>
      </w:r>
    </w:p>
    <w:p>
      <w:pPr>
        <w:pStyle w:val="9"/>
        <w:ind w:firstLine="480" w:firstLineChars="200"/>
        <w:rPr>
          <w:highlight w:val="none"/>
        </w:rPr>
      </w:pPr>
      <w:r>
        <w:rPr>
          <w:rFonts w:hint="eastAsia"/>
          <w:highlight w:val="none"/>
        </w:rPr>
        <w:t>2.</w:t>
      </w:r>
      <w:r>
        <w:rPr>
          <w:rFonts w:hint="eastAsia"/>
          <w:highlight w:val="none"/>
          <w:lang w:val="en-US" w:eastAsia="zh-CN"/>
        </w:rPr>
        <w:t>6</w:t>
      </w:r>
      <w:r>
        <w:rPr>
          <w:rFonts w:hint="eastAsia"/>
          <w:highlight w:val="none"/>
        </w:rPr>
        <w:t>类似案例成功的业绩（中标通知书和合同复印件）；</w:t>
      </w:r>
    </w:p>
    <w:p>
      <w:pPr>
        <w:pStyle w:val="9"/>
        <w:ind w:firstLine="480" w:firstLineChars="200"/>
        <w:rPr>
          <w:highlight w:val="none"/>
        </w:rPr>
      </w:pPr>
      <w:r>
        <w:rPr>
          <w:rFonts w:hint="eastAsia"/>
          <w:highlight w:val="none"/>
        </w:rPr>
        <w:t>2.</w:t>
      </w:r>
      <w:r>
        <w:rPr>
          <w:rFonts w:hint="eastAsia"/>
          <w:highlight w:val="none"/>
          <w:lang w:val="en-US" w:eastAsia="zh-CN"/>
        </w:rPr>
        <w:t>7</w:t>
      </w:r>
      <w:r>
        <w:rPr>
          <w:rFonts w:hint="eastAsia"/>
          <w:highlight w:val="none"/>
        </w:rPr>
        <w:t>与本项目实施相关的投标人各类资质证书。</w:t>
      </w:r>
    </w:p>
    <w:p>
      <w:pPr>
        <w:pStyle w:val="9"/>
        <w:ind w:firstLine="480" w:firstLineChars="200"/>
        <w:rPr>
          <w:highlight w:val="none"/>
        </w:rPr>
      </w:pPr>
      <w:r>
        <w:rPr>
          <w:rFonts w:hint="eastAsia"/>
          <w:highlight w:val="none"/>
        </w:rPr>
        <w:t>2.</w:t>
      </w:r>
      <w:r>
        <w:rPr>
          <w:rFonts w:hint="eastAsia"/>
          <w:highlight w:val="none"/>
          <w:lang w:val="en-US" w:eastAsia="zh-CN"/>
        </w:rPr>
        <w:t>8</w:t>
      </w:r>
      <w:r>
        <w:rPr>
          <w:rFonts w:hint="eastAsia"/>
          <w:highlight w:val="none"/>
        </w:rPr>
        <w:t>企业相关证书；</w:t>
      </w:r>
    </w:p>
    <w:p>
      <w:pPr>
        <w:pStyle w:val="9"/>
        <w:ind w:firstLine="480" w:firstLineChars="200"/>
        <w:rPr>
          <w:highlight w:val="none"/>
        </w:rPr>
      </w:pPr>
      <w:r>
        <w:rPr>
          <w:rFonts w:hint="eastAsia"/>
          <w:highlight w:val="none"/>
        </w:rPr>
        <w:t>2.</w:t>
      </w:r>
      <w:r>
        <w:rPr>
          <w:rFonts w:hint="eastAsia"/>
          <w:highlight w:val="none"/>
          <w:lang w:val="en-US" w:eastAsia="zh-CN"/>
        </w:rPr>
        <w:t>9</w:t>
      </w:r>
      <w:r>
        <w:rPr>
          <w:rFonts w:hint="eastAsia"/>
          <w:highlight w:val="none"/>
        </w:rPr>
        <w:t>投标人需要说明的其他内容（未尽事宜可按评分细则部分制作）。</w:t>
      </w:r>
    </w:p>
    <w:p>
      <w:pPr>
        <w:snapToGrid w:val="0"/>
        <w:spacing w:line="360" w:lineRule="auto"/>
        <w:rPr>
          <w:b/>
          <w:highlight w:val="none"/>
        </w:rPr>
      </w:pPr>
      <w:r>
        <w:rPr>
          <w:b/>
          <w:highlight w:val="none"/>
        </w:rPr>
        <w:t>3</w:t>
      </w:r>
      <w:r>
        <w:rPr>
          <w:rFonts w:hint="eastAsia"/>
          <w:b/>
          <w:highlight w:val="none"/>
        </w:rPr>
        <w:t>、投标报价文件：</w:t>
      </w:r>
    </w:p>
    <w:p>
      <w:pPr>
        <w:tabs>
          <w:tab w:val="left" w:pos="3870"/>
          <w:tab w:val="left" w:pos="4085"/>
        </w:tabs>
        <w:snapToGrid w:val="0"/>
        <w:spacing w:line="360" w:lineRule="auto"/>
        <w:ind w:firstLine="480" w:firstLineChars="200"/>
        <w:rPr>
          <w:highlight w:val="none"/>
        </w:rPr>
      </w:pPr>
      <w:r>
        <w:rPr>
          <w:highlight w:val="none"/>
        </w:rPr>
        <w:t>3.1</w:t>
      </w:r>
      <w:r>
        <w:rPr>
          <w:rFonts w:hint="eastAsia"/>
          <w:highlight w:val="none"/>
        </w:rPr>
        <w:t>投标函；</w:t>
      </w:r>
      <w:r>
        <w:rPr>
          <w:highlight w:val="none"/>
        </w:rPr>
        <w:t xml:space="preserve"> </w:t>
      </w:r>
    </w:p>
    <w:p>
      <w:pPr>
        <w:pStyle w:val="14"/>
        <w:snapToGrid w:val="0"/>
        <w:spacing w:line="360" w:lineRule="auto"/>
        <w:ind w:left="0" w:leftChars="0" w:firstLine="420"/>
        <w:rPr>
          <w:rFonts w:ascii="宋体" w:eastAsia="宋体"/>
          <w:sz w:val="24"/>
          <w:szCs w:val="24"/>
          <w:highlight w:val="none"/>
        </w:rPr>
      </w:pPr>
      <w:r>
        <w:rPr>
          <w:rFonts w:ascii="宋体" w:eastAsia="宋体"/>
          <w:sz w:val="24"/>
          <w:szCs w:val="24"/>
          <w:highlight w:val="none"/>
        </w:rPr>
        <w:t>3.2</w:t>
      </w:r>
      <w:r>
        <w:rPr>
          <w:rFonts w:hint="eastAsia" w:ascii="宋体" w:eastAsia="宋体"/>
          <w:sz w:val="24"/>
          <w:szCs w:val="24"/>
          <w:highlight w:val="none"/>
        </w:rPr>
        <w:t>开标一览表；</w:t>
      </w:r>
      <w:r>
        <w:rPr>
          <w:rFonts w:ascii="宋体" w:eastAsia="宋体"/>
          <w:sz w:val="24"/>
          <w:szCs w:val="24"/>
          <w:highlight w:val="none"/>
        </w:rPr>
        <w:t xml:space="preserve"> </w:t>
      </w:r>
    </w:p>
    <w:p>
      <w:pPr>
        <w:pStyle w:val="14"/>
        <w:snapToGrid w:val="0"/>
        <w:spacing w:line="360" w:lineRule="auto"/>
        <w:ind w:left="0" w:leftChars="0" w:firstLine="420"/>
        <w:rPr>
          <w:rFonts w:ascii="宋体" w:eastAsia="宋体"/>
          <w:sz w:val="24"/>
          <w:szCs w:val="24"/>
          <w:highlight w:val="none"/>
        </w:rPr>
      </w:pPr>
      <w:r>
        <w:rPr>
          <w:rFonts w:ascii="宋体" w:eastAsia="宋体"/>
          <w:sz w:val="24"/>
          <w:szCs w:val="24"/>
          <w:highlight w:val="none"/>
        </w:rPr>
        <w:t>3.3</w:t>
      </w:r>
      <w:r>
        <w:rPr>
          <w:rFonts w:hint="eastAsia" w:ascii="宋体" w:eastAsia="宋体"/>
          <w:sz w:val="24"/>
          <w:szCs w:val="24"/>
          <w:highlight w:val="none"/>
        </w:rPr>
        <w:t>投标报价明细表；</w:t>
      </w:r>
    </w:p>
    <w:p>
      <w:pPr>
        <w:snapToGrid w:val="0"/>
        <w:spacing w:line="360" w:lineRule="auto"/>
        <w:ind w:firstLine="480" w:firstLineChars="200"/>
        <w:rPr>
          <w:highlight w:val="none"/>
        </w:rPr>
      </w:pPr>
      <w:r>
        <w:rPr>
          <w:highlight w:val="none"/>
        </w:rPr>
        <w:t>3.4</w:t>
      </w:r>
      <w:r>
        <w:rPr>
          <w:rFonts w:hint="eastAsia"/>
          <w:highlight w:val="none"/>
        </w:rPr>
        <w:t>投标人针对报价需要说明的其他文件和说明。</w:t>
      </w:r>
    </w:p>
    <w:p>
      <w:pPr>
        <w:snapToGrid w:val="0"/>
        <w:spacing w:before="120" w:beforeLines="50" w:line="360" w:lineRule="auto"/>
        <w:ind w:firstLine="472" w:firstLineChars="196"/>
        <w:outlineLvl w:val="0"/>
        <w:rPr>
          <w:b/>
          <w:bCs/>
          <w:highlight w:val="none"/>
        </w:rPr>
      </w:pPr>
      <w:bookmarkStart w:id="25" w:name="_Toc10628"/>
      <w:bookmarkStart w:id="26" w:name="_Toc406402989"/>
      <w:bookmarkStart w:id="27" w:name="_Toc406402945"/>
      <w:bookmarkStart w:id="28" w:name="_Toc16479"/>
      <w:bookmarkStart w:id="29" w:name="_Toc19298"/>
      <w:r>
        <w:rPr>
          <w:rFonts w:hint="eastAsia"/>
          <w:b/>
          <w:bCs/>
          <w:highlight w:val="none"/>
        </w:rPr>
        <w:t>▲注：法定代表人授权委托书、投标声明书、投标函、开标一览表必须有法定代表人或被授权人签字（或签章）并加盖单位公章。</w:t>
      </w:r>
      <w:bookmarkEnd w:id="25"/>
      <w:bookmarkEnd w:id="26"/>
      <w:bookmarkEnd w:id="27"/>
      <w:bookmarkEnd w:id="28"/>
      <w:bookmarkEnd w:id="29"/>
    </w:p>
    <w:p>
      <w:pPr>
        <w:snapToGrid w:val="0"/>
        <w:spacing w:line="360" w:lineRule="auto"/>
        <w:ind w:firstLine="472" w:firstLineChars="196"/>
        <w:outlineLvl w:val="0"/>
        <w:rPr>
          <w:b/>
          <w:highlight w:val="none"/>
        </w:rPr>
      </w:pPr>
      <w:bookmarkStart w:id="30" w:name="_Toc406402946"/>
      <w:bookmarkStart w:id="31" w:name="_Toc402963117"/>
      <w:bookmarkStart w:id="32" w:name="_Toc402963084"/>
      <w:bookmarkStart w:id="33" w:name="_Toc15294"/>
      <w:bookmarkStart w:id="34" w:name="_Toc7197"/>
      <w:bookmarkStart w:id="35" w:name="_Toc385854146"/>
      <w:bookmarkStart w:id="36" w:name="_Toc385854100"/>
      <w:bookmarkStart w:id="37" w:name="_Toc29863"/>
      <w:bookmarkStart w:id="38" w:name="_Toc406402990"/>
      <w:r>
        <w:rPr>
          <w:rFonts w:hint="eastAsia"/>
          <w:b/>
          <w:highlight w:val="none"/>
        </w:rPr>
        <w:t>（二）投标文件的语言及计量</w:t>
      </w:r>
      <w:bookmarkEnd w:id="30"/>
      <w:bookmarkEnd w:id="31"/>
      <w:bookmarkEnd w:id="32"/>
      <w:bookmarkEnd w:id="33"/>
      <w:bookmarkEnd w:id="34"/>
      <w:bookmarkEnd w:id="35"/>
      <w:bookmarkEnd w:id="36"/>
      <w:bookmarkEnd w:id="37"/>
      <w:bookmarkEnd w:id="38"/>
    </w:p>
    <w:p>
      <w:pPr>
        <w:snapToGrid w:val="0"/>
        <w:spacing w:line="360" w:lineRule="auto"/>
        <w:ind w:firstLine="480" w:firstLineChars="200"/>
        <w:rPr>
          <w:highlight w:val="none"/>
        </w:rPr>
      </w:pPr>
      <w:r>
        <w:rPr>
          <w:rFonts w:hint="eastAsia"/>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rPr>
          <w:highlight w:val="none"/>
        </w:rPr>
      </w:pPr>
      <w:r>
        <w:rPr>
          <w:highlight w:val="none"/>
        </w:rPr>
        <w:t>2</w:t>
      </w:r>
      <w:r>
        <w:rPr>
          <w:rFonts w:hint="eastAsia"/>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outlineLvl w:val="0"/>
        <w:rPr>
          <w:b/>
          <w:highlight w:val="none"/>
        </w:rPr>
      </w:pPr>
      <w:bookmarkStart w:id="39" w:name="_Toc406402947"/>
      <w:bookmarkStart w:id="40" w:name="_Toc4278"/>
      <w:bookmarkStart w:id="41" w:name="_Toc402963118"/>
      <w:bookmarkStart w:id="42" w:name="_Toc385854147"/>
      <w:bookmarkStart w:id="43" w:name="_Toc385854101"/>
      <w:bookmarkStart w:id="44" w:name="_Toc406402991"/>
      <w:bookmarkStart w:id="45" w:name="_Toc31096"/>
      <w:bookmarkStart w:id="46" w:name="_Toc402963085"/>
      <w:bookmarkStart w:id="47" w:name="_Toc17115"/>
      <w:r>
        <w:rPr>
          <w:rFonts w:hint="eastAsia"/>
          <w:b/>
          <w:highlight w:val="none"/>
        </w:rPr>
        <w:t>（三）投标报价</w:t>
      </w:r>
      <w:bookmarkEnd w:id="39"/>
      <w:bookmarkEnd w:id="40"/>
      <w:bookmarkEnd w:id="41"/>
      <w:bookmarkEnd w:id="42"/>
      <w:bookmarkEnd w:id="43"/>
      <w:bookmarkEnd w:id="44"/>
      <w:bookmarkEnd w:id="45"/>
      <w:bookmarkEnd w:id="46"/>
      <w:bookmarkEnd w:id="47"/>
    </w:p>
    <w:p>
      <w:pPr>
        <w:pStyle w:val="13"/>
        <w:spacing w:line="360" w:lineRule="auto"/>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投标报价应按招标文件中相关附表格式填写。</w:t>
      </w:r>
    </w:p>
    <w:p>
      <w:pPr>
        <w:pStyle w:val="13"/>
        <w:spacing w:line="360" w:lineRule="auto"/>
        <w:ind w:firstLine="480" w:firstLineChars="200"/>
        <w:rPr>
          <w:rFonts w:ascii="微软雅黑" w:hAnsi="微软雅黑" w:eastAsia="微软雅黑"/>
          <w:highlight w:val="none"/>
        </w:rPr>
      </w:pPr>
      <w:r>
        <w:rPr>
          <w:rFonts w:hAnsi="宋体"/>
          <w:sz w:val="24"/>
          <w:szCs w:val="24"/>
          <w:highlight w:val="none"/>
        </w:rPr>
        <w:t>2.</w:t>
      </w:r>
      <w:r>
        <w:rPr>
          <w:rFonts w:hint="eastAsia" w:hAnsi="宋体"/>
          <w:sz w:val="24"/>
          <w:szCs w:val="24"/>
          <w:highlight w:val="none"/>
        </w:rPr>
        <w:t>投标报价是履行合同的最终价格，应包括招标文件中所要求的承包服务内的人工、运杂、税金、相关服务承诺等各项可能涉及的费用。以及完成合同所需的一切本身和不可或缺的所有工作开支、政策性文件规定及合同包含的所有风险、责任等各项全部费用并承担一切风险责任。</w:t>
      </w:r>
    </w:p>
    <w:p>
      <w:pPr>
        <w:tabs>
          <w:tab w:val="left" w:pos="525"/>
        </w:tabs>
        <w:snapToGrid w:val="0"/>
        <w:spacing w:line="360" w:lineRule="auto"/>
        <w:ind w:firstLine="420" w:firstLineChars="200"/>
        <w:rPr>
          <w:highlight w:val="none"/>
        </w:rPr>
      </w:pPr>
      <w:r>
        <w:rPr>
          <w:rFonts w:hint="eastAsia" w:ascii="微软雅黑" w:hAnsi="微软雅黑" w:eastAsia="微软雅黑"/>
          <w:sz w:val="21"/>
          <w:szCs w:val="21"/>
          <w:highlight w:val="none"/>
        </w:rPr>
        <w:t xml:space="preserve"> 3、▲</w:t>
      </w:r>
      <w:r>
        <w:rPr>
          <w:rFonts w:hint="eastAsia" w:ascii="微软雅黑" w:hAnsi="微软雅黑" w:eastAsia="微软雅黑"/>
          <w:b/>
          <w:bCs/>
          <w:szCs w:val="21"/>
          <w:highlight w:val="none"/>
        </w:rPr>
        <w:t>在磋商过程中允许再进行最后一次报价，有选择的或有条件的报价将不予接受。</w:t>
      </w:r>
    </w:p>
    <w:p>
      <w:pPr>
        <w:pStyle w:val="4"/>
        <w:widowControl w:val="0"/>
        <w:tabs>
          <w:tab w:val="left" w:pos="720"/>
        </w:tabs>
        <w:snapToGrid w:val="0"/>
        <w:spacing w:before="120" w:beforeLines="50" w:line="360" w:lineRule="auto"/>
        <w:ind w:left="0" w:firstLine="472" w:firstLineChars="196"/>
        <w:rPr>
          <w:b/>
          <w:highlight w:val="none"/>
        </w:rPr>
      </w:pPr>
      <w:r>
        <w:rPr>
          <w:rFonts w:hint="eastAsia"/>
          <w:b/>
          <w:highlight w:val="none"/>
        </w:rPr>
        <w:t>（四）投标文件的有效期</w:t>
      </w:r>
    </w:p>
    <w:p>
      <w:pPr>
        <w:pStyle w:val="4"/>
        <w:widowControl w:val="0"/>
        <w:tabs>
          <w:tab w:val="left" w:pos="720"/>
          <w:tab w:val="left" w:pos="4500"/>
        </w:tabs>
        <w:snapToGrid w:val="0"/>
        <w:spacing w:line="360" w:lineRule="auto"/>
        <w:ind w:left="0" w:firstLine="480" w:firstLineChars="200"/>
        <w:rPr>
          <w:highlight w:val="none"/>
        </w:rPr>
      </w:pPr>
      <w:r>
        <w:rPr>
          <w:highlight w:val="none"/>
        </w:rPr>
        <w:t>1.</w:t>
      </w:r>
      <w:r>
        <w:rPr>
          <w:rFonts w:hint="eastAsia"/>
          <w:highlight w:val="none"/>
        </w:rPr>
        <w:t>自投标截止日起</w:t>
      </w:r>
      <w:r>
        <w:rPr>
          <w:rFonts w:hint="eastAsia"/>
          <w:highlight w:val="none"/>
          <w:u w:val="single"/>
        </w:rPr>
        <w:t>60</w:t>
      </w:r>
      <w:r>
        <w:rPr>
          <w:rFonts w:hint="eastAsia"/>
          <w:highlight w:val="none"/>
        </w:rPr>
        <w:t>天投标文件应保持有效。有效期不足的投标文件将被拒绝。</w:t>
      </w:r>
    </w:p>
    <w:p>
      <w:pPr>
        <w:pStyle w:val="4"/>
        <w:widowControl w:val="0"/>
        <w:tabs>
          <w:tab w:val="left" w:pos="720"/>
        </w:tabs>
        <w:snapToGrid w:val="0"/>
        <w:spacing w:line="360" w:lineRule="auto"/>
        <w:ind w:left="0" w:firstLine="480" w:firstLineChars="200"/>
        <w:rPr>
          <w:highlight w:val="none"/>
        </w:rPr>
      </w:pPr>
      <w:r>
        <w:rPr>
          <w:highlight w:val="none"/>
        </w:rPr>
        <w:t>2.</w:t>
      </w:r>
      <w:r>
        <w:rPr>
          <w:rFonts w:hint="eastAsia"/>
          <w:highlight w:val="none"/>
        </w:rPr>
        <w:t>在特殊情况下，招标人可与投标人协商延长投标书的有效期，这种要求和答复均以书面形式进行。</w:t>
      </w:r>
    </w:p>
    <w:p>
      <w:pPr>
        <w:snapToGrid w:val="0"/>
        <w:spacing w:line="360" w:lineRule="auto"/>
        <w:ind w:firstLine="480" w:firstLineChars="200"/>
        <w:outlineLvl w:val="0"/>
        <w:rPr>
          <w:b/>
          <w:highlight w:val="none"/>
        </w:rPr>
      </w:pPr>
      <w:bookmarkStart w:id="48" w:name="_Toc406402992"/>
      <w:bookmarkStart w:id="49" w:name="_Toc402963119"/>
      <w:bookmarkStart w:id="50" w:name="_Toc402963086"/>
      <w:bookmarkStart w:id="51" w:name="_Toc385854148"/>
      <w:bookmarkStart w:id="52" w:name="_Toc385854102"/>
      <w:bookmarkStart w:id="53" w:name="_Toc406402948"/>
      <w:bookmarkStart w:id="54" w:name="_Toc8211"/>
      <w:bookmarkStart w:id="55" w:name="_Toc30701"/>
      <w:bookmarkStart w:id="56" w:name="_Toc30089"/>
      <w:r>
        <w:rPr>
          <w:highlight w:val="none"/>
        </w:rPr>
        <w:t>3.</w:t>
      </w:r>
      <w:bookmarkEnd w:id="48"/>
      <w:bookmarkEnd w:id="49"/>
      <w:bookmarkEnd w:id="50"/>
      <w:bookmarkEnd w:id="51"/>
      <w:bookmarkEnd w:id="52"/>
      <w:bookmarkEnd w:id="53"/>
      <w:bookmarkStart w:id="57" w:name="_Toc402963120"/>
      <w:bookmarkStart w:id="58" w:name="_Toc385854149"/>
      <w:bookmarkStart w:id="59" w:name="_Toc385854103"/>
      <w:bookmarkStart w:id="60" w:name="_Toc406402993"/>
      <w:bookmarkStart w:id="61" w:name="_Toc402963087"/>
      <w:bookmarkStart w:id="62" w:name="_Toc406402949"/>
      <w:r>
        <w:rPr>
          <w:rFonts w:hint="eastAsia"/>
          <w:highlight w:val="none"/>
        </w:rPr>
        <w:t>中标人的投标文件自开标之日起至合同履行完毕止均应保持有效。</w:t>
      </w:r>
      <w:bookmarkEnd w:id="54"/>
      <w:bookmarkEnd w:id="55"/>
      <w:bookmarkEnd w:id="56"/>
      <w:bookmarkEnd w:id="57"/>
      <w:bookmarkEnd w:id="58"/>
      <w:bookmarkEnd w:id="59"/>
      <w:bookmarkEnd w:id="60"/>
      <w:bookmarkEnd w:id="61"/>
      <w:bookmarkEnd w:id="62"/>
    </w:p>
    <w:p>
      <w:pPr>
        <w:snapToGrid w:val="0"/>
        <w:spacing w:before="120" w:beforeLines="50" w:line="360" w:lineRule="auto"/>
        <w:ind w:firstLine="472" w:firstLineChars="196"/>
        <w:outlineLvl w:val="0"/>
        <w:rPr>
          <w:b/>
          <w:highlight w:val="none"/>
        </w:rPr>
      </w:pPr>
      <w:bookmarkStart w:id="63" w:name="_Toc385854150"/>
      <w:bookmarkStart w:id="64" w:name="_Toc402963121"/>
      <w:bookmarkStart w:id="65" w:name="_Toc406402994"/>
      <w:bookmarkStart w:id="66" w:name="_Toc402963088"/>
      <w:bookmarkStart w:id="67" w:name="_Toc406402950"/>
      <w:bookmarkStart w:id="68" w:name="_Toc385854104"/>
      <w:bookmarkStart w:id="69" w:name="_Toc10317"/>
      <w:bookmarkStart w:id="70" w:name="_Toc13490"/>
      <w:bookmarkStart w:id="71" w:name="_Toc10850"/>
      <w:r>
        <w:rPr>
          <w:rFonts w:hint="eastAsia"/>
          <w:b/>
          <w:highlight w:val="none"/>
        </w:rPr>
        <w:t>（五）投标保证金</w:t>
      </w:r>
      <w:bookmarkEnd w:id="63"/>
      <w:bookmarkEnd w:id="64"/>
      <w:bookmarkEnd w:id="65"/>
      <w:bookmarkEnd w:id="66"/>
      <w:bookmarkEnd w:id="67"/>
      <w:bookmarkEnd w:id="68"/>
      <w:r>
        <w:rPr>
          <w:rFonts w:hint="eastAsia"/>
          <w:b/>
          <w:highlight w:val="none"/>
        </w:rPr>
        <w:t>（本项目不适用）</w:t>
      </w:r>
      <w:bookmarkEnd w:id="69"/>
      <w:bookmarkEnd w:id="70"/>
      <w:bookmarkEnd w:id="71"/>
    </w:p>
    <w:p>
      <w:pPr>
        <w:snapToGrid w:val="0"/>
        <w:spacing w:before="120" w:beforeLines="50" w:line="360" w:lineRule="auto"/>
        <w:ind w:firstLine="472" w:firstLineChars="196"/>
        <w:outlineLvl w:val="0"/>
        <w:rPr>
          <w:b/>
          <w:highlight w:val="none"/>
        </w:rPr>
      </w:pPr>
      <w:bookmarkStart w:id="72" w:name="_Toc385854105"/>
      <w:bookmarkStart w:id="73" w:name="_Toc402963089"/>
      <w:bookmarkStart w:id="74" w:name="_Toc385854151"/>
      <w:bookmarkStart w:id="75" w:name="_Toc402963122"/>
      <w:bookmarkStart w:id="76" w:name="_Toc406402951"/>
      <w:bookmarkStart w:id="77" w:name="_Toc406402995"/>
      <w:bookmarkStart w:id="78" w:name="_Toc2548"/>
      <w:bookmarkStart w:id="79" w:name="_Toc8914"/>
      <w:bookmarkStart w:id="80" w:name="_Toc30303"/>
      <w:r>
        <w:rPr>
          <w:rFonts w:hint="eastAsia"/>
          <w:b/>
          <w:highlight w:val="none"/>
        </w:rPr>
        <w:t>（六）投标文件的</w:t>
      </w:r>
      <w:bookmarkEnd w:id="72"/>
      <w:bookmarkEnd w:id="73"/>
      <w:bookmarkEnd w:id="74"/>
      <w:bookmarkEnd w:id="75"/>
      <w:bookmarkEnd w:id="76"/>
      <w:bookmarkEnd w:id="77"/>
      <w:r>
        <w:rPr>
          <w:rFonts w:hint="eastAsia"/>
          <w:b/>
          <w:highlight w:val="none"/>
        </w:rPr>
        <w:t>编制</w:t>
      </w:r>
      <w:bookmarkEnd w:id="78"/>
      <w:bookmarkEnd w:id="79"/>
      <w:bookmarkEnd w:id="80"/>
    </w:p>
    <w:p>
      <w:pPr>
        <w:snapToGrid w:val="0"/>
        <w:spacing w:line="360" w:lineRule="auto"/>
        <w:ind w:firstLine="480" w:firstLineChars="200"/>
        <w:rPr>
          <w:highlight w:val="none"/>
        </w:rPr>
      </w:pPr>
      <w:r>
        <w:rPr>
          <w:highlight w:val="none"/>
        </w:rPr>
        <w:t>1.</w:t>
      </w:r>
      <w:r>
        <w:rPr>
          <w:rFonts w:hint="eastAsia"/>
          <w:highlight w:val="none"/>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80" w:firstLineChars="200"/>
        <w:rPr>
          <w:highlight w:val="none"/>
        </w:rPr>
      </w:pPr>
      <w:r>
        <w:rPr>
          <w:highlight w:val="none"/>
        </w:rPr>
        <w:t xml:space="preserve">2. </w:t>
      </w:r>
      <w:r>
        <w:rPr>
          <w:rFonts w:hint="eastAsia"/>
          <w:highlight w:val="none"/>
        </w:rPr>
        <w:t>投标人应按资格文件、商务技术文件、投标报价文件的顺序在政采云电子投标客户端上编制投标文件，并上传至政采云系统。</w:t>
      </w:r>
    </w:p>
    <w:p>
      <w:pPr>
        <w:snapToGrid w:val="0"/>
        <w:spacing w:line="360" w:lineRule="auto"/>
        <w:ind w:firstLine="354" w:firstLineChars="147"/>
        <w:rPr>
          <w:b/>
          <w:highlight w:val="none"/>
        </w:rPr>
      </w:pPr>
      <w:r>
        <w:rPr>
          <w:rFonts w:hint="eastAsia"/>
          <w:b/>
          <w:highlight w:val="none"/>
        </w:rPr>
        <w:t>（七）投标文件的修改和撤回</w:t>
      </w:r>
    </w:p>
    <w:p>
      <w:pPr>
        <w:snapToGrid w:val="0"/>
        <w:spacing w:line="360" w:lineRule="auto"/>
        <w:ind w:firstLine="420"/>
        <w:rPr>
          <w:highlight w:val="none"/>
        </w:rPr>
      </w:pPr>
      <w:r>
        <w:rPr>
          <w:rFonts w:hint="eastAsia"/>
          <w:highlight w:val="none"/>
        </w:rPr>
        <w:t>投标人在投标截止时间之前，可以对已提交的投标文件进行修改或撤回，投标截止时间后，投标人不得撤回、修改投标文件。修改后重新递交的投标文件应当按政采云电子投标客户端重新签章。</w:t>
      </w:r>
    </w:p>
    <w:p>
      <w:pPr>
        <w:snapToGrid w:val="0"/>
        <w:spacing w:before="120" w:beforeLines="50" w:line="360" w:lineRule="auto"/>
        <w:ind w:firstLine="472" w:firstLineChars="196"/>
        <w:outlineLvl w:val="2"/>
        <w:rPr>
          <w:b/>
          <w:highlight w:val="none"/>
        </w:rPr>
      </w:pPr>
      <w:r>
        <w:rPr>
          <w:rFonts w:hint="eastAsia"/>
          <w:b/>
          <w:highlight w:val="none"/>
        </w:rPr>
        <w:t>（八）投标无效的情形</w:t>
      </w:r>
    </w:p>
    <w:p>
      <w:pPr>
        <w:snapToGrid w:val="0"/>
        <w:spacing w:line="360" w:lineRule="auto"/>
        <w:ind w:firstLine="480" w:firstLineChars="200"/>
        <w:rPr>
          <w:bCs/>
          <w:highlight w:val="none"/>
        </w:rPr>
      </w:pPr>
      <w:r>
        <w:rPr>
          <w:rFonts w:hint="eastAsia"/>
          <w:bCs/>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b/>
          <w:bCs/>
          <w:highlight w:val="none"/>
        </w:rPr>
      </w:pPr>
      <w:r>
        <w:rPr>
          <w:b/>
          <w:bCs/>
          <w:highlight w:val="none"/>
        </w:rPr>
        <w:t>1.</w:t>
      </w:r>
      <w:r>
        <w:rPr>
          <w:rFonts w:hint="eastAsia"/>
          <w:b/>
          <w:bCs/>
          <w:highlight w:val="none"/>
        </w:rPr>
        <w:t>在符合性审查和商务评审时，如发现下列情形之一的，投标文件将被视为无效：</w:t>
      </w:r>
    </w:p>
    <w:p>
      <w:pPr>
        <w:snapToGrid w:val="0"/>
        <w:spacing w:line="360" w:lineRule="auto"/>
        <w:ind w:firstLine="468" w:firstLineChars="195"/>
        <w:rPr>
          <w:highlight w:val="none"/>
        </w:rPr>
      </w:pPr>
      <w:r>
        <w:rPr>
          <w:rFonts w:hint="eastAsia"/>
          <w:kern w:val="2"/>
          <w:highlight w:val="none"/>
        </w:rPr>
        <w:t>（1）电子磋商响应文件未按规定要求提供电子签章的。</w:t>
      </w:r>
    </w:p>
    <w:p>
      <w:pPr>
        <w:widowControl w:val="0"/>
        <w:snapToGrid w:val="0"/>
        <w:spacing w:line="360" w:lineRule="auto"/>
        <w:ind w:firstLine="468" w:firstLineChars="195"/>
        <w:rPr>
          <w:highlight w:val="none"/>
        </w:rPr>
      </w:pPr>
      <w:r>
        <w:rPr>
          <w:rFonts w:hint="eastAsia"/>
          <w:highlight w:val="none"/>
        </w:rPr>
        <w:t>（2）资格证明文件不全的，或者不符合磋商文件标明的资格要求的；</w:t>
      </w:r>
    </w:p>
    <w:p>
      <w:pPr>
        <w:widowControl w:val="0"/>
        <w:snapToGrid w:val="0"/>
        <w:spacing w:line="360" w:lineRule="auto"/>
        <w:ind w:firstLine="468" w:firstLineChars="195"/>
        <w:rPr>
          <w:bCs/>
          <w:highlight w:val="none"/>
        </w:rPr>
      </w:pPr>
      <w:r>
        <w:rPr>
          <w:rFonts w:hint="eastAsia"/>
          <w:highlight w:val="none"/>
        </w:rPr>
        <w:t>（3）响应文件无法定代表人签字（或盖章）,或未</w:t>
      </w:r>
      <w:r>
        <w:rPr>
          <w:rFonts w:hint="eastAsia"/>
          <w:bCs/>
          <w:highlight w:val="none"/>
        </w:rPr>
        <w:t>提供法定代表人授权委托书、磋商声明书或者填写项目不齐全的；</w:t>
      </w:r>
    </w:p>
    <w:p>
      <w:pPr>
        <w:widowControl w:val="0"/>
        <w:snapToGrid w:val="0"/>
        <w:spacing w:line="360" w:lineRule="auto"/>
        <w:ind w:firstLine="468" w:firstLineChars="195"/>
        <w:rPr>
          <w:highlight w:val="none"/>
        </w:rPr>
      </w:pPr>
      <w:r>
        <w:rPr>
          <w:rFonts w:hint="eastAsia"/>
          <w:highlight w:val="none"/>
        </w:rPr>
        <w:t>（4）供应商代表人未能出具身份证明或与法定代表人授权委托人身份不符的；</w:t>
      </w:r>
    </w:p>
    <w:p>
      <w:pPr>
        <w:pStyle w:val="11"/>
        <w:widowControl w:val="0"/>
        <w:snapToGrid w:val="0"/>
        <w:spacing w:line="360" w:lineRule="auto"/>
        <w:ind w:firstLine="468" w:firstLineChars="195"/>
        <w:rPr>
          <w:snapToGrid w:val="0"/>
          <w:szCs w:val="24"/>
          <w:highlight w:val="none"/>
        </w:rPr>
      </w:pPr>
      <w:r>
        <w:rPr>
          <w:rFonts w:hint="eastAsia"/>
          <w:szCs w:val="24"/>
          <w:highlight w:val="none"/>
        </w:rPr>
        <w:t>（</w:t>
      </w:r>
      <w:r>
        <w:rPr>
          <w:rFonts w:hint="eastAsia"/>
          <w:snapToGrid w:val="0"/>
          <w:szCs w:val="24"/>
          <w:highlight w:val="none"/>
        </w:rPr>
        <w:t>5）</w:t>
      </w:r>
      <w:r>
        <w:rPr>
          <w:rFonts w:hint="eastAsia"/>
          <w:szCs w:val="24"/>
          <w:highlight w:val="none"/>
        </w:rPr>
        <w:t>响应文件格式不规范、项目不齐全或者内容虚假的；</w:t>
      </w:r>
    </w:p>
    <w:p>
      <w:pPr>
        <w:widowControl w:val="0"/>
        <w:snapToGrid w:val="0"/>
        <w:spacing w:line="360" w:lineRule="auto"/>
        <w:ind w:firstLine="468" w:firstLineChars="195"/>
        <w:rPr>
          <w:highlight w:val="none"/>
        </w:rPr>
      </w:pPr>
      <w:r>
        <w:rPr>
          <w:rFonts w:hint="eastAsia"/>
          <w:highlight w:val="none"/>
        </w:rPr>
        <w:t>（6）响应文件实质性内容未使用中文表述、意思表述不明确、前后矛盾或者使用计量单位不符合磋商文件要求的（经磋商小组认定并允许其当场更正的笔误除外）；</w:t>
      </w:r>
    </w:p>
    <w:p>
      <w:pPr>
        <w:pStyle w:val="11"/>
        <w:widowControl w:val="0"/>
        <w:snapToGrid w:val="0"/>
        <w:spacing w:line="360" w:lineRule="auto"/>
        <w:ind w:firstLine="470" w:firstLineChars="196"/>
        <w:rPr>
          <w:szCs w:val="24"/>
          <w:highlight w:val="none"/>
        </w:rPr>
      </w:pPr>
      <w:r>
        <w:rPr>
          <w:rFonts w:hint="eastAsia"/>
          <w:szCs w:val="24"/>
          <w:highlight w:val="none"/>
        </w:rPr>
        <w:t>（</w:t>
      </w:r>
      <w:r>
        <w:rPr>
          <w:rFonts w:hint="eastAsia"/>
          <w:snapToGrid w:val="0"/>
          <w:szCs w:val="24"/>
          <w:highlight w:val="none"/>
        </w:rPr>
        <w:t>7）</w:t>
      </w:r>
      <w:r>
        <w:rPr>
          <w:rFonts w:hint="eastAsia"/>
          <w:szCs w:val="24"/>
          <w:highlight w:val="none"/>
        </w:rPr>
        <w:t>响应文件有效期、服务时间、质保期等商务条款不能满足磋商文件要求的；</w:t>
      </w:r>
    </w:p>
    <w:p>
      <w:pPr>
        <w:pStyle w:val="11"/>
        <w:widowControl w:val="0"/>
        <w:snapToGrid w:val="0"/>
        <w:spacing w:line="360" w:lineRule="auto"/>
        <w:ind w:firstLine="470" w:firstLineChars="196"/>
        <w:rPr>
          <w:szCs w:val="24"/>
          <w:highlight w:val="none"/>
        </w:rPr>
      </w:pPr>
      <w:r>
        <w:rPr>
          <w:rFonts w:hint="eastAsia"/>
          <w:szCs w:val="24"/>
          <w:highlight w:val="none"/>
        </w:rPr>
        <w:t>（8）未实质性响应磋商文件要求或者响应文件有招标方不能接受的附加条件的；</w:t>
      </w:r>
    </w:p>
    <w:p>
      <w:pPr>
        <w:pStyle w:val="11"/>
        <w:widowControl w:val="0"/>
        <w:snapToGrid w:val="0"/>
        <w:spacing w:line="360" w:lineRule="auto"/>
        <w:ind w:firstLine="470" w:firstLineChars="196"/>
        <w:rPr>
          <w:szCs w:val="24"/>
          <w:highlight w:val="none"/>
        </w:rPr>
      </w:pPr>
      <w:r>
        <w:rPr>
          <w:rFonts w:hint="eastAsia"/>
          <w:szCs w:val="24"/>
          <w:highlight w:val="none"/>
        </w:rPr>
        <w:t>（9）不符合本磋商文件中的实质性要求条款。</w:t>
      </w:r>
    </w:p>
    <w:p>
      <w:pPr>
        <w:pStyle w:val="11"/>
        <w:snapToGrid w:val="0"/>
        <w:spacing w:line="360" w:lineRule="auto"/>
        <w:ind w:firstLine="472" w:firstLineChars="196"/>
        <w:rPr>
          <w:b/>
          <w:bCs/>
          <w:szCs w:val="24"/>
          <w:highlight w:val="none"/>
        </w:rPr>
      </w:pPr>
      <w:r>
        <w:rPr>
          <w:b/>
          <w:bCs/>
          <w:szCs w:val="24"/>
          <w:highlight w:val="none"/>
        </w:rPr>
        <w:t>2.</w:t>
      </w:r>
      <w:r>
        <w:rPr>
          <w:rFonts w:hint="eastAsia"/>
          <w:b/>
          <w:bCs/>
          <w:szCs w:val="24"/>
          <w:highlight w:val="none"/>
        </w:rPr>
        <w:t>在技术评审时，如发现下列情形之一的，投标文件将被视为无效：</w:t>
      </w:r>
    </w:p>
    <w:p>
      <w:pPr>
        <w:pStyle w:val="11"/>
        <w:snapToGrid w:val="0"/>
        <w:spacing w:line="360" w:lineRule="auto"/>
        <w:ind w:firstLine="470" w:firstLineChars="196"/>
        <w:rPr>
          <w:szCs w:val="24"/>
          <w:highlight w:val="none"/>
        </w:rPr>
      </w:pPr>
      <w:r>
        <w:rPr>
          <w:rFonts w:hint="eastAsia"/>
          <w:szCs w:val="24"/>
          <w:highlight w:val="none"/>
        </w:rPr>
        <w:t>（</w:t>
      </w:r>
      <w:r>
        <w:rPr>
          <w:szCs w:val="24"/>
          <w:highlight w:val="none"/>
        </w:rPr>
        <w:t>1</w:t>
      </w:r>
      <w:r>
        <w:rPr>
          <w:rFonts w:hint="eastAsia"/>
          <w:szCs w:val="24"/>
          <w:highlight w:val="none"/>
        </w:rPr>
        <w:t>）未提供或未如实提供投标货物的技术参数，或者投标文件标明的响应或偏离与事实不符或虚假投标的；</w:t>
      </w:r>
    </w:p>
    <w:p>
      <w:pPr>
        <w:pStyle w:val="11"/>
        <w:snapToGrid w:val="0"/>
        <w:spacing w:line="360" w:lineRule="auto"/>
        <w:ind w:firstLine="470" w:firstLineChars="196"/>
        <w:rPr>
          <w:szCs w:val="24"/>
          <w:highlight w:val="none"/>
        </w:rPr>
      </w:pPr>
      <w:r>
        <w:rPr>
          <w:rFonts w:hint="eastAsia"/>
          <w:szCs w:val="24"/>
          <w:highlight w:val="none"/>
        </w:rPr>
        <w:t>（</w:t>
      </w:r>
      <w:r>
        <w:rPr>
          <w:szCs w:val="24"/>
          <w:highlight w:val="none"/>
        </w:rPr>
        <w:t>2</w:t>
      </w:r>
      <w:r>
        <w:rPr>
          <w:rFonts w:hint="eastAsia"/>
          <w:szCs w:val="24"/>
          <w:highlight w:val="none"/>
        </w:rPr>
        <w:t>）</w:t>
      </w:r>
      <w:r>
        <w:rPr>
          <w:rFonts w:hint="eastAsia"/>
          <w:snapToGrid w:val="0"/>
          <w:szCs w:val="24"/>
          <w:highlight w:val="none"/>
        </w:rPr>
        <w:t>明显不符合磋商文件要求的规格型号、质量标准，或者与磋商文件中</w:t>
      </w:r>
      <w:r>
        <w:rPr>
          <w:rFonts w:hint="eastAsia"/>
          <w:szCs w:val="24"/>
          <w:highlight w:val="none"/>
        </w:rPr>
        <w:t>主要功能项目发生实质性偏离的；</w:t>
      </w:r>
    </w:p>
    <w:p>
      <w:pPr>
        <w:pStyle w:val="11"/>
        <w:snapToGrid w:val="0"/>
        <w:spacing w:line="360" w:lineRule="auto"/>
        <w:ind w:firstLine="470" w:firstLineChars="196"/>
        <w:rPr>
          <w:szCs w:val="24"/>
          <w:highlight w:val="none"/>
        </w:rPr>
      </w:pPr>
      <w:r>
        <w:rPr>
          <w:rFonts w:hint="eastAsia"/>
          <w:szCs w:val="24"/>
          <w:highlight w:val="none"/>
        </w:rPr>
        <w:t>（</w:t>
      </w:r>
      <w:r>
        <w:rPr>
          <w:szCs w:val="24"/>
          <w:highlight w:val="none"/>
        </w:rPr>
        <w:t>3</w:t>
      </w:r>
      <w:r>
        <w:rPr>
          <w:rFonts w:hint="eastAsia"/>
          <w:szCs w:val="24"/>
          <w:highlight w:val="none"/>
        </w:rPr>
        <w:t>）投标技术方案不明确，存在一个或一个以上备选（替代）投标方案的；</w:t>
      </w:r>
    </w:p>
    <w:p>
      <w:pPr>
        <w:spacing w:line="360" w:lineRule="auto"/>
        <w:ind w:firstLine="480" w:firstLineChars="200"/>
        <w:rPr>
          <w:highlight w:val="none"/>
        </w:rPr>
      </w:pPr>
      <w:r>
        <w:rPr>
          <w:rFonts w:hint="eastAsia"/>
          <w:highlight w:val="none"/>
        </w:rPr>
        <w:t>（4）与其他参加本次磋商的供应商的响应文件（资信商务及技术文件）的文字表述内容相同连续20行以上或者差错相同2处以上的。</w:t>
      </w:r>
    </w:p>
    <w:p>
      <w:pPr>
        <w:pStyle w:val="11"/>
        <w:snapToGrid w:val="0"/>
        <w:spacing w:line="360" w:lineRule="auto"/>
        <w:ind w:firstLine="472" w:firstLineChars="196"/>
        <w:rPr>
          <w:b/>
          <w:bCs/>
          <w:szCs w:val="24"/>
          <w:highlight w:val="none"/>
        </w:rPr>
      </w:pPr>
      <w:r>
        <w:rPr>
          <w:b/>
          <w:bCs/>
          <w:szCs w:val="24"/>
          <w:highlight w:val="none"/>
        </w:rPr>
        <w:t>3.</w:t>
      </w:r>
      <w:r>
        <w:rPr>
          <w:rFonts w:hint="eastAsia"/>
          <w:b/>
          <w:bCs/>
          <w:szCs w:val="24"/>
          <w:highlight w:val="none"/>
        </w:rPr>
        <w:t>在报价评审时，如发现下列情形之一的，投标文件将被视为无效：</w:t>
      </w:r>
    </w:p>
    <w:p>
      <w:pPr>
        <w:pStyle w:val="11"/>
        <w:snapToGrid w:val="0"/>
        <w:spacing w:line="360" w:lineRule="auto"/>
        <w:ind w:firstLine="470" w:firstLineChars="196"/>
        <w:rPr>
          <w:szCs w:val="24"/>
          <w:highlight w:val="none"/>
        </w:rPr>
      </w:pPr>
      <w:r>
        <w:rPr>
          <w:rFonts w:hint="eastAsia"/>
          <w:szCs w:val="24"/>
          <w:highlight w:val="none"/>
        </w:rPr>
        <w:t>（</w:t>
      </w:r>
      <w:r>
        <w:rPr>
          <w:szCs w:val="24"/>
          <w:highlight w:val="none"/>
        </w:rPr>
        <w:t>1</w:t>
      </w:r>
      <w:r>
        <w:rPr>
          <w:rFonts w:hint="eastAsia"/>
          <w:szCs w:val="24"/>
          <w:highlight w:val="none"/>
        </w:rPr>
        <w:t>）未采用人民币报价或者未按照招标文件标明的币种报价的；</w:t>
      </w:r>
    </w:p>
    <w:p>
      <w:pPr>
        <w:pStyle w:val="11"/>
        <w:snapToGrid w:val="0"/>
        <w:spacing w:line="360" w:lineRule="auto"/>
        <w:ind w:firstLine="470" w:firstLineChars="196"/>
        <w:rPr>
          <w:szCs w:val="24"/>
          <w:highlight w:val="none"/>
        </w:rPr>
      </w:pPr>
      <w:r>
        <w:rPr>
          <w:rFonts w:hint="eastAsia"/>
          <w:szCs w:val="24"/>
          <w:highlight w:val="none"/>
        </w:rPr>
        <w:t>（</w:t>
      </w:r>
      <w:r>
        <w:rPr>
          <w:szCs w:val="24"/>
          <w:highlight w:val="none"/>
        </w:rPr>
        <w:t>2</w:t>
      </w:r>
      <w:r>
        <w:rPr>
          <w:rFonts w:hint="eastAsia"/>
          <w:szCs w:val="24"/>
          <w:highlight w:val="none"/>
        </w:rPr>
        <w:t>）报价超出最高限价；</w:t>
      </w:r>
    </w:p>
    <w:p>
      <w:pPr>
        <w:pStyle w:val="11"/>
        <w:snapToGrid w:val="0"/>
        <w:spacing w:line="360" w:lineRule="auto"/>
        <w:ind w:firstLine="480" w:firstLineChars="200"/>
        <w:rPr>
          <w:szCs w:val="24"/>
          <w:highlight w:val="none"/>
        </w:rPr>
      </w:pPr>
      <w:r>
        <w:rPr>
          <w:rFonts w:hint="eastAsia"/>
          <w:szCs w:val="24"/>
          <w:highlight w:val="none"/>
        </w:rPr>
        <w:t>（</w:t>
      </w:r>
      <w:r>
        <w:rPr>
          <w:szCs w:val="24"/>
          <w:highlight w:val="none"/>
        </w:rPr>
        <w:t>3</w:t>
      </w:r>
      <w:r>
        <w:rPr>
          <w:rFonts w:hint="eastAsia"/>
          <w:szCs w:val="24"/>
          <w:highlight w:val="none"/>
        </w:rPr>
        <w:t>）投标报价具有选择性，或者开标价格与投标文件承诺的优惠（折扣）价格不一致的。</w:t>
      </w:r>
    </w:p>
    <w:p>
      <w:pPr>
        <w:pStyle w:val="11"/>
        <w:snapToGrid w:val="0"/>
        <w:spacing w:line="360" w:lineRule="auto"/>
        <w:ind w:firstLine="480" w:firstLineChars="200"/>
        <w:rPr>
          <w:szCs w:val="24"/>
          <w:highlight w:val="none"/>
        </w:rPr>
      </w:pPr>
      <w:r>
        <w:rPr>
          <w:rFonts w:hint="eastAsia"/>
          <w:szCs w:val="24"/>
          <w:highlight w:val="none"/>
        </w:rPr>
        <w:t>（4）磋商报价明细表总额与报价一览表总价不一致，且高于总价5％的；</w:t>
      </w:r>
      <w:r>
        <w:rPr>
          <w:szCs w:val="24"/>
          <w:highlight w:val="none"/>
        </w:rPr>
        <w:t xml:space="preserve">                                                                                       </w:t>
      </w:r>
    </w:p>
    <w:p>
      <w:pPr>
        <w:pStyle w:val="11"/>
        <w:snapToGrid w:val="0"/>
        <w:spacing w:line="360" w:lineRule="auto"/>
        <w:ind w:firstLine="472" w:firstLineChars="196"/>
        <w:rPr>
          <w:b/>
          <w:highlight w:val="none"/>
        </w:rPr>
      </w:pPr>
      <w:r>
        <w:rPr>
          <w:b/>
          <w:szCs w:val="24"/>
          <w:highlight w:val="none"/>
        </w:rPr>
        <w:t>4.</w:t>
      </w:r>
      <w:r>
        <w:rPr>
          <w:rFonts w:hint="eastAsia"/>
          <w:b/>
          <w:szCs w:val="24"/>
          <w:highlight w:val="none"/>
        </w:rPr>
        <w:t>被拒绝的投标文件为无效。</w:t>
      </w:r>
    </w:p>
    <w:p>
      <w:pPr>
        <w:adjustRightInd w:val="0"/>
        <w:snapToGrid w:val="0"/>
        <w:spacing w:line="440" w:lineRule="exact"/>
        <w:ind w:firstLine="480" w:firstLineChars="200"/>
        <w:rPr>
          <w:highlight w:val="none"/>
        </w:rPr>
      </w:pPr>
      <w:bookmarkStart w:id="81" w:name="_Toc497722818"/>
      <w:bookmarkStart w:id="82" w:name="_Toc429468086"/>
      <w:r>
        <w:rPr>
          <w:rFonts w:hint="eastAsia"/>
          <w:highlight w:val="none"/>
        </w:rPr>
        <w:t>四、开标</w:t>
      </w:r>
      <w:bookmarkEnd w:id="81"/>
      <w:bookmarkEnd w:id="82"/>
    </w:p>
    <w:p>
      <w:pPr>
        <w:adjustRightInd w:val="0"/>
        <w:snapToGrid w:val="0"/>
        <w:spacing w:line="440" w:lineRule="exact"/>
        <w:ind w:firstLine="480" w:firstLineChars="200"/>
        <w:rPr>
          <w:highlight w:val="none"/>
        </w:rPr>
      </w:pPr>
      <w:r>
        <w:rPr>
          <w:rFonts w:hint="eastAsia"/>
          <w:highlight w:val="none"/>
        </w:rPr>
        <w:t xml:space="preserve"> 1、开标准备</w:t>
      </w:r>
    </w:p>
    <w:p>
      <w:pPr>
        <w:adjustRightInd w:val="0"/>
        <w:snapToGrid w:val="0"/>
        <w:spacing w:line="440" w:lineRule="exact"/>
        <w:ind w:firstLine="480" w:firstLineChars="200"/>
        <w:rPr>
          <w:highlight w:val="none"/>
        </w:rPr>
      </w:pPr>
      <w:r>
        <w:rPr>
          <w:rFonts w:hint="eastAsia"/>
          <w:highlight w:val="none"/>
        </w:rPr>
        <w:t xml:space="preserve"> 1.1采购代理机构将在规定的时间和地点在线开启磋商响应文件，供应商的法定代表人或其委托代理人应准时在线参加会议。</w:t>
      </w:r>
    </w:p>
    <w:p>
      <w:pPr>
        <w:adjustRightInd w:val="0"/>
        <w:snapToGrid w:val="0"/>
        <w:spacing w:line="440" w:lineRule="exact"/>
        <w:ind w:firstLine="480" w:firstLineChars="200"/>
        <w:rPr>
          <w:highlight w:val="none"/>
        </w:rPr>
      </w:pPr>
      <w:r>
        <w:rPr>
          <w:rFonts w:hint="eastAsia"/>
          <w:highlight w:val="none"/>
        </w:rPr>
        <w:t>1.2在线解密磋商响应文件。</w:t>
      </w:r>
    </w:p>
    <w:p>
      <w:pPr>
        <w:adjustRightInd w:val="0"/>
        <w:snapToGrid w:val="0"/>
        <w:spacing w:line="440" w:lineRule="exact"/>
        <w:ind w:firstLine="480" w:firstLineChars="200"/>
        <w:rPr>
          <w:highlight w:val="none"/>
        </w:rPr>
      </w:pPr>
      <w:r>
        <w:rPr>
          <w:rFonts w:hint="eastAsia"/>
          <w:highlight w:val="none"/>
        </w:rPr>
        <w:t>1.3准备工作程序：</w:t>
      </w:r>
    </w:p>
    <w:p>
      <w:pPr>
        <w:adjustRightInd w:val="0"/>
        <w:snapToGrid w:val="0"/>
        <w:spacing w:line="440" w:lineRule="exact"/>
        <w:ind w:firstLine="480" w:firstLineChars="200"/>
        <w:rPr>
          <w:highlight w:val="none"/>
        </w:rPr>
      </w:pPr>
      <w:r>
        <w:rPr>
          <w:rFonts w:hint="eastAsia"/>
          <w:highlight w:val="none"/>
        </w:rPr>
        <w:t>1.3.1开标的准备工作由采购组织机构负责落实；</w:t>
      </w:r>
    </w:p>
    <w:p>
      <w:pPr>
        <w:adjustRightInd w:val="0"/>
        <w:snapToGrid w:val="0"/>
        <w:spacing w:line="440" w:lineRule="exact"/>
        <w:ind w:firstLine="480" w:firstLineChars="200"/>
        <w:rPr>
          <w:highlight w:val="none"/>
        </w:rPr>
      </w:pPr>
      <w:r>
        <w:rPr>
          <w:rFonts w:hint="eastAsia"/>
          <w:highlight w:val="none"/>
        </w:rPr>
        <w:t>1.3.2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djustRightInd w:val="0"/>
        <w:snapToGrid w:val="0"/>
        <w:spacing w:line="440" w:lineRule="exact"/>
        <w:ind w:firstLine="480" w:firstLineChars="200"/>
        <w:rPr>
          <w:highlight w:val="none"/>
        </w:rPr>
      </w:pPr>
      <w:bookmarkStart w:id="83" w:name="_Toc429468087"/>
      <w:r>
        <w:rPr>
          <w:rFonts w:hint="eastAsia"/>
          <w:highlight w:val="none"/>
        </w:rPr>
        <w:t xml:space="preserve"> </w:t>
      </w:r>
      <w:bookmarkStart w:id="84" w:name="_Toc497722819"/>
      <w:r>
        <w:rPr>
          <w:rFonts w:hint="eastAsia"/>
          <w:highlight w:val="none"/>
        </w:rPr>
        <w:t>五、评标</w:t>
      </w:r>
      <w:bookmarkEnd w:id="83"/>
      <w:bookmarkEnd w:id="84"/>
    </w:p>
    <w:p>
      <w:pPr>
        <w:adjustRightInd w:val="0"/>
        <w:snapToGrid w:val="0"/>
        <w:spacing w:line="440" w:lineRule="exact"/>
        <w:ind w:firstLine="480" w:firstLineChars="200"/>
        <w:rPr>
          <w:highlight w:val="none"/>
        </w:rPr>
      </w:pPr>
      <w:r>
        <w:rPr>
          <w:rFonts w:hint="eastAsia"/>
          <w:highlight w:val="none"/>
        </w:rPr>
        <w:t xml:space="preserve"> 1、评标组织</w:t>
      </w:r>
    </w:p>
    <w:p>
      <w:pPr>
        <w:adjustRightInd w:val="0"/>
        <w:snapToGrid w:val="0"/>
        <w:spacing w:line="440" w:lineRule="exact"/>
        <w:ind w:firstLine="480" w:firstLineChars="200"/>
        <w:rPr>
          <w:highlight w:val="none"/>
        </w:rPr>
      </w:pPr>
      <w:r>
        <w:rPr>
          <w:rFonts w:hint="eastAsia"/>
          <w:highlight w:val="none"/>
        </w:rPr>
        <w:t xml:space="preserve"> 1.1、本项目评标委员会由评审专家和采购人代表，共3人及以上单数组成。</w:t>
      </w:r>
    </w:p>
    <w:p>
      <w:pPr>
        <w:adjustRightInd w:val="0"/>
        <w:snapToGrid w:val="0"/>
        <w:spacing w:line="440" w:lineRule="exact"/>
        <w:ind w:firstLine="480" w:firstLineChars="200"/>
        <w:rPr>
          <w:highlight w:val="none"/>
        </w:rPr>
      </w:pPr>
      <w:r>
        <w:rPr>
          <w:rFonts w:hint="eastAsia"/>
          <w:highlight w:val="none"/>
        </w:rPr>
        <w:t xml:space="preserve"> 2、评标的方式</w:t>
      </w:r>
    </w:p>
    <w:p>
      <w:pPr>
        <w:adjustRightInd w:val="0"/>
        <w:snapToGrid w:val="0"/>
        <w:spacing w:line="440" w:lineRule="exact"/>
        <w:ind w:firstLine="480" w:firstLineChars="200"/>
        <w:rPr>
          <w:highlight w:val="none"/>
        </w:rPr>
      </w:pPr>
      <w:r>
        <w:rPr>
          <w:rFonts w:hint="eastAsia"/>
          <w:highlight w:val="none"/>
        </w:rPr>
        <w:t xml:space="preserve"> 2.1、本采购项目采用不公开方式评标，评标的依据为招标文件和投标文件。</w:t>
      </w:r>
    </w:p>
    <w:p>
      <w:pPr>
        <w:adjustRightInd w:val="0"/>
        <w:snapToGrid w:val="0"/>
        <w:spacing w:line="440" w:lineRule="exact"/>
        <w:ind w:firstLine="480" w:firstLineChars="200"/>
        <w:rPr>
          <w:highlight w:val="none"/>
        </w:rPr>
      </w:pPr>
      <w:r>
        <w:rPr>
          <w:rFonts w:hint="eastAsia"/>
          <w:highlight w:val="none"/>
        </w:rPr>
        <w:t xml:space="preserve"> 3、磋商程序</w:t>
      </w:r>
    </w:p>
    <w:p>
      <w:pPr>
        <w:adjustRightInd w:val="0"/>
        <w:snapToGrid w:val="0"/>
        <w:spacing w:line="440" w:lineRule="exact"/>
        <w:ind w:firstLine="720" w:firstLineChars="300"/>
        <w:rPr>
          <w:highlight w:val="none"/>
        </w:rPr>
      </w:pPr>
      <w:r>
        <w:rPr>
          <w:rFonts w:hint="eastAsia"/>
          <w:highlight w:val="none"/>
        </w:rPr>
        <w:t>3.1.磋商流程</w:t>
      </w:r>
    </w:p>
    <w:p>
      <w:pPr>
        <w:adjustRightInd w:val="0"/>
        <w:snapToGrid w:val="0"/>
        <w:spacing w:line="440" w:lineRule="exact"/>
        <w:ind w:firstLine="480" w:firstLineChars="200"/>
        <w:rPr>
          <w:highlight w:val="none"/>
        </w:rPr>
      </w:pPr>
      <w:r>
        <w:rPr>
          <w:rFonts w:hint="eastAsia"/>
          <w:highlight w:val="none"/>
        </w:rPr>
        <w:t>3.1.1磋商小组讨论、通过磋商工作流程和磋商要点。</w:t>
      </w:r>
    </w:p>
    <w:p>
      <w:pPr>
        <w:adjustRightInd w:val="0"/>
        <w:snapToGrid w:val="0"/>
        <w:spacing w:line="440" w:lineRule="exact"/>
        <w:ind w:firstLine="480" w:firstLineChars="200"/>
        <w:rPr>
          <w:highlight w:val="none"/>
        </w:rPr>
      </w:pPr>
      <w:r>
        <w:rPr>
          <w:rFonts w:hint="eastAsia"/>
          <w:highlight w:val="none"/>
        </w:rPr>
        <w:t>3.1.2.主持人宣布磋商的有关事项；</w:t>
      </w:r>
    </w:p>
    <w:p>
      <w:pPr>
        <w:adjustRightInd w:val="0"/>
        <w:snapToGrid w:val="0"/>
        <w:spacing w:line="440" w:lineRule="exact"/>
        <w:ind w:firstLine="480" w:firstLineChars="200"/>
        <w:rPr>
          <w:highlight w:val="none"/>
        </w:rPr>
      </w:pPr>
      <w:r>
        <w:rPr>
          <w:rFonts w:hint="eastAsia"/>
          <w:highlight w:val="none"/>
        </w:rPr>
        <w:t>3.1.3 采购组织机构将按照招标文件规定的时间通过“政府采购云平台”组织开标、开启投标文件，所有供应商均应当准时在线参加。</w:t>
      </w:r>
    </w:p>
    <w:p>
      <w:pPr>
        <w:adjustRightInd w:val="0"/>
        <w:snapToGrid w:val="0"/>
        <w:spacing w:line="440" w:lineRule="exact"/>
        <w:ind w:firstLine="480" w:firstLineChars="200"/>
        <w:rPr>
          <w:highlight w:val="none"/>
        </w:rPr>
      </w:pPr>
      <w:r>
        <w:rPr>
          <w:rFonts w:hint="eastAsia"/>
          <w:highlight w:val="none"/>
        </w:rPr>
        <w:t>3.2.开标流程（三阶段）</w:t>
      </w:r>
    </w:p>
    <w:p>
      <w:pPr>
        <w:adjustRightInd w:val="0"/>
        <w:snapToGrid w:val="0"/>
        <w:spacing w:line="440" w:lineRule="exact"/>
        <w:ind w:firstLine="480" w:firstLineChars="200"/>
        <w:rPr>
          <w:highlight w:val="none"/>
        </w:rPr>
      </w:pPr>
      <w:r>
        <w:rPr>
          <w:rFonts w:hint="eastAsia"/>
          <w:highlight w:val="none"/>
        </w:rPr>
        <w:t>3.2.1开标第一阶段</w:t>
      </w:r>
    </w:p>
    <w:p>
      <w:pPr>
        <w:adjustRightInd w:val="0"/>
        <w:snapToGrid w:val="0"/>
        <w:spacing w:line="440" w:lineRule="exact"/>
        <w:ind w:firstLine="480" w:firstLineChars="200"/>
        <w:rPr>
          <w:highlight w:val="none"/>
        </w:rPr>
      </w:pPr>
      <w:r>
        <w:rPr>
          <w:rFonts w:hint="eastAsia"/>
          <w:highlight w:val="none"/>
        </w:rPr>
        <w:t>3.2.1.1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440" w:lineRule="exact"/>
        <w:ind w:firstLine="480" w:firstLineChars="200"/>
        <w:rPr>
          <w:highlight w:val="none"/>
        </w:rPr>
      </w:pPr>
      <w:r>
        <w:rPr>
          <w:rFonts w:hint="eastAsia"/>
          <w:highlight w:val="none"/>
        </w:rPr>
        <w:t>3.2.1.2投标文件解密结束；</w:t>
      </w:r>
    </w:p>
    <w:p>
      <w:pPr>
        <w:adjustRightInd w:val="0"/>
        <w:snapToGrid w:val="0"/>
        <w:spacing w:line="440" w:lineRule="exact"/>
        <w:ind w:firstLine="480" w:firstLineChars="200"/>
        <w:rPr>
          <w:highlight w:val="none"/>
        </w:rPr>
      </w:pPr>
      <w:r>
        <w:rPr>
          <w:rFonts w:hint="eastAsia"/>
          <w:highlight w:val="none"/>
        </w:rPr>
        <w:t>3.2.1.3开启投标文件，进入资格审查；</w:t>
      </w:r>
    </w:p>
    <w:p>
      <w:pPr>
        <w:adjustRightInd w:val="0"/>
        <w:snapToGrid w:val="0"/>
        <w:spacing w:line="440" w:lineRule="exact"/>
        <w:ind w:firstLine="480" w:firstLineChars="200"/>
        <w:rPr>
          <w:highlight w:val="none"/>
        </w:rPr>
      </w:pPr>
      <w:r>
        <w:rPr>
          <w:rFonts w:hint="eastAsia"/>
          <w:highlight w:val="none"/>
        </w:rPr>
        <w:t>3.2.1.4开启资格审查通过的投标供应商的资信商务及技术文件进入符合性审查、资信商务技术评审；</w:t>
      </w:r>
    </w:p>
    <w:p>
      <w:pPr>
        <w:adjustRightInd w:val="0"/>
        <w:snapToGrid w:val="0"/>
        <w:spacing w:line="440" w:lineRule="exact"/>
        <w:ind w:firstLine="480" w:firstLineChars="200"/>
        <w:rPr>
          <w:highlight w:val="none"/>
        </w:rPr>
      </w:pPr>
      <w:r>
        <w:rPr>
          <w:rFonts w:hint="eastAsia"/>
          <w:highlight w:val="none"/>
        </w:rPr>
        <w:t>3.2.1.5第一阶段开标结束。</w:t>
      </w:r>
    </w:p>
    <w:p>
      <w:pPr>
        <w:adjustRightInd w:val="0"/>
        <w:snapToGrid w:val="0"/>
        <w:spacing w:line="440" w:lineRule="exact"/>
        <w:ind w:firstLine="480" w:firstLineChars="200"/>
        <w:rPr>
          <w:highlight w:val="none"/>
        </w:rPr>
      </w:pPr>
      <w:r>
        <w:rPr>
          <w:rFonts w:hint="eastAsia"/>
          <w:highlight w:val="none"/>
        </w:rPr>
        <w:t>备注：开标大会的第一阶段结束后，采购人或采购代理机构将对依法对投标供应商的资格进行审查，资格审查结束后进入符合性审查和资信商务技术的评审工作。</w:t>
      </w:r>
    </w:p>
    <w:p>
      <w:pPr>
        <w:adjustRightInd w:val="0"/>
        <w:snapToGrid w:val="0"/>
        <w:spacing w:line="440" w:lineRule="exact"/>
        <w:ind w:firstLine="480" w:firstLineChars="200"/>
        <w:rPr>
          <w:highlight w:val="none"/>
        </w:rPr>
      </w:pPr>
      <w:r>
        <w:rPr>
          <w:rFonts w:hint="eastAsia"/>
          <w:highlight w:val="none"/>
        </w:rPr>
        <w:t>3.2.2开标大会第二阶段</w:t>
      </w:r>
    </w:p>
    <w:p>
      <w:pPr>
        <w:adjustRightInd w:val="0"/>
        <w:snapToGrid w:val="0"/>
        <w:spacing w:line="440" w:lineRule="exact"/>
        <w:ind w:firstLine="480" w:firstLineChars="200"/>
        <w:rPr>
          <w:highlight w:val="none"/>
        </w:rPr>
      </w:pPr>
      <w:r>
        <w:rPr>
          <w:rFonts w:hint="eastAsia"/>
          <w:highlight w:val="none"/>
        </w:rPr>
        <w:t>3.2.2.1符合性审查、资信商务技术评审结束后，举行开标大会第二阶段会议。</w:t>
      </w:r>
    </w:p>
    <w:p>
      <w:pPr>
        <w:adjustRightInd w:val="0"/>
        <w:snapToGrid w:val="0"/>
        <w:spacing w:line="440" w:lineRule="exact"/>
        <w:ind w:firstLine="480" w:firstLineChars="200"/>
        <w:rPr>
          <w:highlight w:val="none"/>
        </w:rPr>
      </w:pPr>
      <w:r>
        <w:rPr>
          <w:rFonts w:hint="eastAsia"/>
          <w:highlight w:val="none"/>
        </w:rPr>
        <w:t>3.2.2.2开启符合性审查、资信商务技术评审有效投标供应商的初次《报价文件》。唱标结束后，由评标委员会对报价的合理性、准确性等进行审查核实。</w:t>
      </w:r>
    </w:p>
    <w:p>
      <w:pPr>
        <w:adjustRightInd w:val="0"/>
        <w:snapToGrid w:val="0"/>
        <w:spacing w:line="440" w:lineRule="exact"/>
        <w:ind w:firstLine="480" w:firstLineChars="200"/>
        <w:rPr>
          <w:highlight w:val="none"/>
        </w:rPr>
      </w:pPr>
      <w:r>
        <w:rPr>
          <w:rFonts w:hint="eastAsia"/>
          <w:highlight w:val="none"/>
        </w:rPr>
        <w:t>3.3开标大会第三阶段（磋商）</w:t>
      </w:r>
    </w:p>
    <w:p>
      <w:pPr>
        <w:adjustRightInd w:val="0"/>
        <w:snapToGrid w:val="0"/>
        <w:spacing w:line="440" w:lineRule="exact"/>
        <w:ind w:firstLine="480" w:firstLineChars="200"/>
        <w:rPr>
          <w:highlight w:val="none"/>
        </w:rPr>
      </w:pPr>
      <w:r>
        <w:rPr>
          <w:rFonts w:hint="eastAsia"/>
          <w:highlight w:val="none"/>
        </w:rPr>
        <w:t>3.3.1磋商小组通过电话等方式在线与各磋商响应方就公司情况、项目需求、服务内容、售后服务、价格构成、项目实施进度、付款方式等要素分别进行磋商。逐家磋商一次为一个轮次，本磋商轮次为一轮。</w:t>
      </w:r>
    </w:p>
    <w:p>
      <w:pPr>
        <w:adjustRightInd w:val="0"/>
        <w:snapToGrid w:val="0"/>
        <w:spacing w:line="440" w:lineRule="exact"/>
        <w:ind w:firstLine="480" w:firstLineChars="200"/>
        <w:rPr>
          <w:highlight w:val="none"/>
        </w:rPr>
      </w:pPr>
      <w:r>
        <w:rPr>
          <w:rFonts w:hint="eastAsia"/>
          <w:highlight w:val="none"/>
        </w:rPr>
        <w:t>3.3.2磋商结束后，主持人宣布本次最终报价的最高限价，并要求各磋商响应方在规定时间内进行最终报价，各磋商响应单位应当在线提交最终报价。在规定时间内（30分钟内）没有提交最终报价的磋商供应商，其磋商响应文件视为无效。</w:t>
      </w:r>
    </w:p>
    <w:p>
      <w:pPr>
        <w:adjustRightInd w:val="0"/>
        <w:snapToGrid w:val="0"/>
        <w:spacing w:line="440" w:lineRule="exact"/>
        <w:ind w:firstLine="480" w:firstLineChars="200"/>
        <w:rPr>
          <w:highlight w:val="none"/>
        </w:rPr>
      </w:pPr>
      <w:r>
        <w:rPr>
          <w:rFonts w:hint="eastAsia"/>
          <w:highlight w:val="none"/>
        </w:rPr>
        <w:t>3.3.3主持人宣布磋商最终报价（价格标）评审的有关事项。</w:t>
      </w:r>
    </w:p>
    <w:p>
      <w:pPr>
        <w:adjustRightInd w:val="0"/>
        <w:snapToGrid w:val="0"/>
        <w:spacing w:line="440" w:lineRule="exact"/>
        <w:ind w:firstLine="480" w:firstLineChars="200"/>
        <w:rPr>
          <w:highlight w:val="none"/>
        </w:rPr>
      </w:pPr>
      <w:r>
        <w:rPr>
          <w:rFonts w:hint="eastAsia"/>
          <w:highlight w:val="none"/>
        </w:rPr>
        <w:t>3.3.4工作人员根据各磋商响应方提交的按规定进入价格标评审的磋商最终报价，并公开宣读最终报价。</w:t>
      </w:r>
    </w:p>
    <w:p>
      <w:pPr>
        <w:adjustRightInd w:val="0"/>
        <w:snapToGrid w:val="0"/>
        <w:spacing w:line="440" w:lineRule="exact"/>
        <w:ind w:firstLine="480" w:firstLineChars="200"/>
        <w:rPr>
          <w:highlight w:val="none"/>
        </w:rPr>
      </w:pPr>
      <w:r>
        <w:rPr>
          <w:rFonts w:hint="eastAsia"/>
          <w:highlight w:val="none"/>
        </w:rPr>
        <w:t>磋商小组对最终报价的合理性进行审核，决定是否结束磋商。若报价合理，磋商小组则根据评审方法计算出总得分并推荐成交供应商；</w:t>
      </w:r>
    </w:p>
    <w:p>
      <w:pPr>
        <w:adjustRightInd w:val="0"/>
        <w:snapToGrid w:val="0"/>
        <w:spacing w:line="440" w:lineRule="exact"/>
        <w:ind w:firstLine="480" w:firstLineChars="200"/>
        <w:rPr>
          <w:highlight w:val="none"/>
        </w:rPr>
      </w:pPr>
      <w:r>
        <w:rPr>
          <w:rFonts w:hint="eastAsia"/>
          <w:highlight w:val="none"/>
        </w:rPr>
        <w:t>3.3.5磋商结束后，主持人公布有效磋商响应方的总得分结果和推荐的成交供应商。</w:t>
      </w:r>
    </w:p>
    <w:p>
      <w:pPr>
        <w:adjustRightInd w:val="0"/>
        <w:snapToGrid w:val="0"/>
        <w:spacing w:line="440" w:lineRule="exact"/>
        <w:ind w:firstLine="480" w:firstLineChars="200"/>
        <w:rPr>
          <w:highlight w:val="none"/>
        </w:rPr>
      </w:pPr>
      <w:r>
        <w:rPr>
          <w:rFonts w:hint="eastAsia"/>
          <w:highlight w:val="none"/>
        </w:rPr>
        <w:t>3.3.6磋商原则：磋商小组必须公平、公正、客观，不带任何倾向性和启发性；不得向外界透露任何与磋商有关的内容；任何单位和个人不得干扰、影响磋商的正常进行；磋商小组及有关工作人员不得私下与磋商响应方接触。</w:t>
      </w:r>
    </w:p>
    <w:p>
      <w:pPr>
        <w:adjustRightInd w:val="0"/>
        <w:snapToGrid w:val="0"/>
        <w:spacing w:line="440" w:lineRule="exact"/>
        <w:ind w:firstLine="482" w:firstLineChars="200"/>
        <w:rPr>
          <w:b/>
          <w:bCs/>
          <w:highlight w:val="none"/>
        </w:rPr>
      </w:pPr>
      <w:r>
        <w:rPr>
          <w:rFonts w:hint="eastAsia"/>
          <w:b/>
          <w:bCs/>
          <w:highlight w:val="none"/>
        </w:rPr>
        <w:t>特别说明：如遇“政府采购云平台”电子化开标或评审程序调整的，按调整后程序执行。</w:t>
      </w:r>
    </w:p>
    <w:p>
      <w:pPr>
        <w:adjustRightInd w:val="0"/>
        <w:snapToGrid w:val="0"/>
        <w:spacing w:line="440" w:lineRule="exact"/>
        <w:ind w:firstLine="480" w:firstLineChars="200"/>
        <w:rPr>
          <w:highlight w:val="none"/>
        </w:rPr>
      </w:pPr>
      <w:bookmarkStart w:id="85" w:name="_Toc332724044"/>
      <w:r>
        <w:rPr>
          <w:rFonts w:hint="eastAsia"/>
          <w:highlight w:val="none"/>
        </w:rPr>
        <w:t>4．磋商供应商不足三家的处理</w:t>
      </w:r>
      <w:bookmarkEnd w:id="85"/>
    </w:p>
    <w:p>
      <w:pPr>
        <w:adjustRightInd w:val="0"/>
        <w:snapToGrid w:val="0"/>
        <w:spacing w:line="440" w:lineRule="exact"/>
        <w:ind w:firstLine="480" w:firstLineChars="200"/>
        <w:rPr>
          <w:highlight w:val="none"/>
        </w:rPr>
      </w:pPr>
      <w:r>
        <w:rPr>
          <w:rFonts w:hint="eastAsia"/>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adjustRightInd w:val="0"/>
        <w:snapToGrid w:val="0"/>
        <w:spacing w:line="440" w:lineRule="exact"/>
        <w:ind w:firstLine="480" w:firstLineChars="200"/>
        <w:rPr>
          <w:highlight w:val="none"/>
        </w:rPr>
      </w:pPr>
      <w:bookmarkStart w:id="86" w:name="_Toc437979788"/>
      <w:bookmarkStart w:id="87" w:name="_Toc332724041"/>
      <w:r>
        <w:rPr>
          <w:rFonts w:hint="eastAsia"/>
          <w:highlight w:val="none"/>
        </w:rPr>
        <w:t>5.磋商响应文件的澄清</w:t>
      </w:r>
      <w:bookmarkEnd w:id="86"/>
      <w:bookmarkEnd w:id="87"/>
    </w:p>
    <w:p>
      <w:pPr>
        <w:adjustRightInd w:val="0"/>
        <w:snapToGrid w:val="0"/>
        <w:spacing w:line="440" w:lineRule="exact"/>
        <w:ind w:firstLine="480" w:firstLineChars="200"/>
        <w:rPr>
          <w:highlight w:val="none"/>
        </w:rPr>
      </w:pPr>
      <w:r>
        <w:rPr>
          <w:rFonts w:hint="eastAsia"/>
          <w:highlight w:val="none"/>
        </w:rPr>
        <w:t>5.l在磋商期间，磋商小组有权要求磋商供应商对其磋商响应文件含义不明确、同类问题表述不一致或者有明显文字和计算错误的内容进行澄清。磋商供应商应派授权代表和技术人员在线接受磋商小组询标。</w:t>
      </w:r>
    </w:p>
    <w:p>
      <w:pPr>
        <w:adjustRightInd w:val="0"/>
        <w:snapToGrid w:val="0"/>
        <w:spacing w:line="440" w:lineRule="exact"/>
        <w:ind w:firstLine="480" w:firstLineChars="200"/>
        <w:rPr>
          <w:highlight w:val="none"/>
        </w:rPr>
      </w:pPr>
      <w:r>
        <w:rPr>
          <w:rFonts w:hint="eastAsia"/>
          <w:highlight w:val="none"/>
        </w:rPr>
        <w:t>5.2磋商小组认为有必要，可要求磋商供应商对某些问题作出必要的澄清、说明和纠正。供应商的澄清、说明或者补正应当采用系统在线文件问答形式，由其授权的代表签字。供应商的书面澄清材料作为磋商响应文件的补充。</w:t>
      </w:r>
    </w:p>
    <w:p>
      <w:pPr>
        <w:adjustRightInd w:val="0"/>
        <w:snapToGrid w:val="0"/>
        <w:spacing w:line="440" w:lineRule="exact"/>
        <w:ind w:firstLine="480" w:firstLineChars="200"/>
        <w:rPr>
          <w:highlight w:val="none"/>
        </w:rPr>
      </w:pPr>
      <w:r>
        <w:rPr>
          <w:rFonts w:hint="eastAsia"/>
          <w:highlight w:val="none"/>
        </w:rPr>
        <w:t>5.3磋商供应商不按磋商小组规定的时间作书面澄清，将视为放弃该权利。</w:t>
      </w:r>
    </w:p>
    <w:p>
      <w:pPr>
        <w:adjustRightInd w:val="0"/>
        <w:snapToGrid w:val="0"/>
        <w:spacing w:line="440" w:lineRule="exact"/>
        <w:ind w:firstLine="480" w:firstLineChars="200"/>
        <w:rPr>
          <w:highlight w:val="none"/>
        </w:rPr>
      </w:pPr>
      <w:r>
        <w:rPr>
          <w:rFonts w:hint="eastAsia"/>
          <w:highlight w:val="none"/>
        </w:rPr>
        <w:t>5.4并非每个磋商供应商都将被询标。</w:t>
      </w:r>
    </w:p>
    <w:p>
      <w:pPr>
        <w:adjustRightInd w:val="0"/>
        <w:snapToGrid w:val="0"/>
        <w:spacing w:line="440" w:lineRule="exact"/>
        <w:ind w:firstLine="480" w:firstLineChars="200"/>
        <w:rPr>
          <w:highlight w:val="none"/>
        </w:rPr>
      </w:pPr>
      <w:bookmarkStart w:id="88" w:name="_Toc437979789"/>
      <w:bookmarkStart w:id="89" w:name="_Toc332724042"/>
      <w:r>
        <w:rPr>
          <w:rFonts w:hint="eastAsia"/>
          <w:highlight w:val="none"/>
        </w:rPr>
        <w:t>6．确定成交供应商</w:t>
      </w:r>
      <w:bookmarkEnd w:id="88"/>
      <w:bookmarkEnd w:id="89"/>
    </w:p>
    <w:p>
      <w:pPr>
        <w:adjustRightInd w:val="0"/>
        <w:snapToGrid w:val="0"/>
        <w:spacing w:line="440" w:lineRule="exact"/>
        <w:ind w:firstLine="480" w:firstLineChars="200"/>
        <w:rPr>
          <w:highlight w:val="none"/>
        </w:rPr>
      </w:pPr>
      <w:r>
        <w:rPr>
          <w:rFonts w:hint="eastAsia"/>
          <w:highlight w:val="none"/>
        </w:rPr>
        <w:t>6.1磋商小组将对通过资格性审查和符合性审查的磋商响应文件进行评价和比较。</w:t>
      </w:r>
    </w:p>
    <w:p>
      <w:pPr>
        <w:adjustRightInd w:val="0"/>
        <w:snapToGrid w:val="0"/>
        <w:spacing w:line="440" w:lineRule="exact"/>
        <w:ind w:firstLine="480" w:firstLineChars="200"/>
        <w:rPr>
          <w:highlight w:val="none"/>
        </w:rPr>
      </w:pPr>
      <w:r>
        <w:rPr>
          <w:rFonts w:hint="eastAsia"/>
          <w:highlight w:val="none"/>
        </w:rPr>
        <w:t>6.2磋商小组按采购文件的评定成交标准对磋商响应文件进行评审，确定成交候选人。最低报价等任何单项因素的最优不能作为成交的保证。</w:t>
      </w:r>
    </w:p>
    <w:p>
      <w:pPr>
        <w:adjustRightInd w:val="0"/>
        <w:snapToGrid w:val="0"/>
        <w:spacing w:line="440" w:lineRule="exact"/>
        <w:ind w:firstLine="480" w:firstLineChars="200"/>
        <w:rPr>
          <w:highlight w:val="none"/>
        </w:rPr>
      </w:pPr>
      <w:bookmarkStart w:id="90" w:name="_Toc332724043"/>
      <w:bookmarkStart w:id="91" w:name="_Toc437979790"/>
      <w:r>
        <w:rPr>
          <w:rFonts w:hint="eastAsia"/>
          <w:highlight w:val="none"/>
        </w:rPr>
        <w:t>7．磋商过程保密</w:t>
      </w:r>
      <w:bookmarkEnd w:id="90"/>
      <w:bookmarkEnd w:id="91"/>
    </w:p>
    <w:p>
      <w:pPr>
        <w:adjustRightInd w:val="0"/>
        <w:snapToGrid w:val="0"/>
        <w:spacing w:line="440" w:lineRule="exact"/>
        <w:ind w:firstLine="480" w:firstLineChars="200"/>
        <w:rPr>
          <w:highlight w:val="none"/>
        </w:rPr>
      </w:pPr>
      <w:r>
        <w:rPr>
          <w:rFonts w:hint="eastAsia"/>
          <w:highlight w:val="none"/>
        </w:rPr>
        <w:t>7.l在宣布成交结果之前，凡属于审查、澄清、评价、比较磋商响应文件等有关信息，相关当事人均不得泄露给任何磋商供应商或与磋商工作无关的人员。</w:t>
      </w:r>
    </w:p>
    <w:p>
      <w:pPr>
        <w:adjustRightInd w:val="0"/>
        <w:snapToGrid w:val="0"/>
        <w:spacing w:line="440" w:lineRule="exact"/>
        <w:ind w:firstLine="480" w:firstLineChars="200"/>
        <w:rPr>
          <w:highlight w:val="none"/>
        </w:rPr>
      </w:pPr>
      <w:r>
        <w:rPr>
          <w:rFonts w:hint="eastAsia"/>
          <w:highlight w:val="none"/>
        </w:rPr>
        <w:t>7.2磋商供应商不得探听上述信息，不得以任何行为影响磋商过程，否则其磋商响应文件将被作为无效磋商响应文件。</w:t>
      </w:r>
    </w:p>
    <w:p>
      <w:pPr>
        <w:adjustRightInd w:val="0"/>
        <w:snapToGrid w:val="0"/>
        <w:spacing w:line="440" w:lineRule="exact"/>
        <w:ind w:firstLine="480" w:firstLineChars="200"/>
        <w:rPr>
          <w:highlight w:val="none"/>
        </w:rPr>
      </w:pPr>
      <w:r>
        <w:rPr>
          <w:rFonts w:hint="eastAsia"/>
          <w:highlight w:val="none"/>
        </w:rPr>
        <w:t>7.3在磋商期间，采购代理机构将有专门人员与磋商供应商进行联络。</w:t>
      </w:r>
    </w:p>
    <w:p>
      <w:pPr>
        <w:adjustRightInd w:val="0"/>
        <w:snapToGrid w:val="0"/>
        <w:spacing w:line="440" w:lineRule="exact"/>
        <w:ind w:firstLine="480" w:firstLineChars="200"/>
        <w:rPr>
          <w:highlight w:val="none"/>
        </w:rPr>
      </w:pPr>
      <w:r>
        <w:rPr>
          <w:rFonts w:hint="eastAsia"/>
          <w:highlight w:val="none"/>
        </w:rPr>
        <w:t>7.4采购代理机构和磋商小组不向未成交的磋商供应商解释未成交原因，也不对磋商过程中的细节问题进行公布。</w:t>
      </w:r>
    </w:p>
    <w:p>
      <w:pPr>
        <w:adjustRightInd w:val="0"/>
        <w:snapToGrid w:val="0"/>
        <w:spacing w:line="440" w:lineRule="exact"/>
        <w:ind w:firstLine="480" w:firstLineChars="200"/>
        <w:rPr>
          <w:highlight w:val="none"/>
        </w:rPr>
      </w:pPr>
      <w:r>
        <w:rPr>
          <w:rFonts w:hint="eastAsia"/>
          <w:highlight w:val="none"/>
        </w:rPr>
        <w:t xml:space="preserve"> 8、错误修正</w:t>
      </w:r>
    </w:p>
    <w:p>
      <w:pPr>
        <w:adjustRightInd w:val="0"/>
        <w:snapToGrid w:val="0"/>
        <w:spacing w:line="440" w:lineRule="exact"/>
        <w:ind w:firstLine="480" w:firstLineChars="200"/>
        <w:rPr>
          <w:highlight w:val="none"/>
        </w:rPr>
      </w:pPr>
      <w:r>
        <w:rPr>
          <w:rFonts w:hint="eastAsia"/>
          <w:highlight w:val="none"/>
        </w:rPr>
        <w:t>投标文件如果出现计算或表达上的错误，修正错误的原则如下：</w:t>
      </w:r>
    </w:p>
    <w:p>
      <w:pPr>
        <w:adjustRightInd w:val="0"/>
        <w:snapToGrid w:val="0"/>
        <w:spacing w:line="440" w:lineRule="exact"/>
        <w:ind w:firstLine="480" w:firstLineChars="200"/>
        <w:rPr>
          <w:highlight w:val="none"/>
        </w:rPr>
      </w:pPr>
      <w:r>
        <w:rPr>
          <w:rFonts w:hint="eastAsia"/>
          <w:highlight w:val="none"/>
        </w:rPr>
        <w:t xml:space="preserve"> 8.1、开标时，投标文件中开标报价一览表内容与投标报价表中明细表内容不一致的，以开标报价一览表为准。</w:t>
      </w:r>
    </w:p>
    <w:p>
      <w:pPr>
        <w:adjustRightInd w:val="0"/>
        <w:snapToGrid w:val="0"/>
        <w:spacing w:line="440" w:lineRule="exact"/>
        <w:ind w:firstLine="480" w:firstLineChars="200"/>
        <w:rPr>
          <w:highlight w:val="none"/>
        </w:rPr>
      </w:pPr>
      <w:r>
        <w:rPr>
          <w:rFonts w:hint="eastAsia"/>
          <w:highlight w:val="none"/>
        </w:rPr>
        <w:t xml:space="preserve"> 8.2、投标文件的大写金额和小写金额不一致的，以大写金额为准；</w:t>
      </w:r>
    </w:p>
    <w:p>
      <w:pPr>
        <w:adjustRightInd w:val="0"/>
        <w:snapToGrid w:val="0"/>
        <w:spacing w:line="440" w:lineRule="exact"/>
        <w:ind w:firstLine="480" w:firstLineChars="200"/>
        <w:rPr>
          <w:highlight w:val="none"/>
        </w:rPr>
      </w:pPr>
      <w:r>
        <w:rPr>
          <w:rFonts w:hint="eastAsia"/>
          <w:highlight w:val="none"/>
        </w:rPr>
        <w:t xml:space="preserve"> 8.3、总价金额与按单价汇总金额不一致的，以单价金额计算结果为准；</w:t>
      </w:r>
    </w:p>
    <w:p>
      <w:pPr>
        <w:adjustRightInd w:val="0"/>
        <w:snapToGrid w:val="0"/>
        <w:spacing w:line="440" w:lineRule="exact"/>
        <w:ind w:firstLine="480" w:firstLineChars="200"/>
        <w:rPr>
          <w:highlight w:val="none"/>
        </w:rPr>
      </w:pPr>
      <w:r>
        <w:rPr>
          <w:rFonts w:hint="eastAsia"/>
          <w:highlight w:val="none"/>
        </w:rPr>
        <w:t xml:space="preserve"> 8.4、对不同文字文本投标文件的解释发生异议的，以中文文本为准。</w:t>
      </w:r>
    </w:p>
    <w:p>
      <w:pPr>
        <w:adjustRightInd w:val="0"/>
        <w:snapToGrid w:val="0"/>
        <w:spacing w:line="440" w:lineRule="exact"/>
        <w:ind w:firstLine="480" w:firstLineChars="200"/>
        <w:rPr>
          <w:rFonts w:hint="eastAsia"/>
          <w:highlight w:val="none"/>
        </w:rPr>
      </w:pPr>
      <w:r>
        <w:rPr>
          <w:rFonts w:hint="eastAsia"/>
          <w:highlight w:val="none"/>
        </w:rPr>
        <w:t xml:space="preserve"> 8.5、按上述修正错误的原则及方法调整或修正投标文件的投标报价，投标人同意后，调整后的投标报价对投标人起约束作用。</w:t>
      </w:r>
    </w:p>
    <w:p>
      <w:pPr>
        <w:adjustRightInd w:val="0"/>
        <w:snapToGrid w:val="0"/>
        <w:spacing w:line="440" w:lineRule="exact"/>
        <w:ind w:firstLine="480" w:firstLineChars="200"/>
        <w:rPr>
          <w:rFonts w:hint="eastAsia"/>
          <w:highlight w:val="none"/>
        </w:rPr>
      </w:pPr>
      <w:r>
        <w:rPr>
          <w:rFonts w:hint="eastAsia"/>
          <w:highlight w:val="none"/>
          <w:lang w:val="en-US" w:eastAsia="zh-CN"/>
        </w:rPr>
        <w:t>六、</w:t>
      </w:r>
      <w:r>
        <w:rPr>
          <w:rFonts w:hint="eastAsia"/>
          <w:highlight w:val="none"/>
        </w:rPr>
        <w:t xml:space="preserve">中小企业. </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rFonts w:hint="eastAsia" w:ascii="Arial" w:hAnsi="Arial" w:cs="Arial"/>
          <w:color w:val="auto"/>
          <w:highlight w:val="none"/>
        </w:rPr>
      </w:pPr>
      <w:r>
        <w:rPr>
          <w:rFonts w:hint="eastAsia" w:ascii="Arial" w:hAnsi="Arial" w:cs="Arial"/>
          <w:color w:val="auto"/>
          <w:highlight w:val="none"/>
        </w:rPr>
        <w:t>关于中小企业参与政府采购活动的规定</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rFonts w:hint="eastAsia" w:ascii="Arial" w:hAnsi="Arial" w:cs="Arial"/>
          <w:color w:val="auto"/>
          <w:highlight w:val="none"/>
        </w:rPr>
      </w:pPr>
      <w:r>
        <w:rPr>
          <w:rFonts w:hint="eastAsia" w:ascii="Arial" w:hAnsi="Arial" w:cs="Arial"/>
          <w:color w:val="auto"/>
          <w:highlight w:val="none"/>
        </w:rPr>
        <w:t>1.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rFonts w:hint="eastAsia" w:ascii="Arial" w:hAnsi="Arial" w:cs="Arial"/>
          <w:color w:val="auto"/>
          <w:highlight w:val="none"/>
        </w:rPr>
      </w:pPr>
      <w:r>
        <w:rPr>
          <w:rFonts w:hint="eastAsia" w:ascii="Arial" w:hAnsi="Arial" w:cs="Arial"/>
          <w:color w:val="auto"/>
          <w:highlight w:val="none"/>
        </w:rPr>
        <w:t>（一）符合中小企业划分标准；</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rFonts w:hint="eastAsia" w:ascii="Arial" w:hAnsi="Arial" w:cs="Arial"/>
          <w:color w:val="auto"/>
          <w:highlight w:val="none"/>
        </w:rPr>
      </w:pPr>
      <w:r>
        <w:rPr>
          <w:rFonts w:hint="eastAsia" w:ascii="Arial" w:hAnsi="Arial" w:cs="Arial"/>
          <w:color w:val="auto"/>
          <w:highlight w:val="none"/>
        </w:rPr>
        <w:t>（二）提供本企业制造的货物、承担的工程或者服务，或者提供其他中小企业制造的货物。本项所称货物不包括使用大型企业注册商标的货物。</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rFonts w:hint="eastAsia" w:ascii="Arial" w:hAnsi="Arial" w:cs="Arial"/>
          <w:color w:val="auto"/>
          <w:highlight w:val="none"/>
        </w:rPr>
      </w:pPr>
      <w:r>
        <w:rPr>
          <w:rFonts w:hint="eastAsia" w:ascii="Arial" w:hAnsi="Arial" w:cs="Arial"/>
          <w:color w:val="auto"/>
          <w:highlight w:val="none"/>
        </w:rPr>
        <w:t>本办法所称中小企业划分标准，是指国务院有关部门根据企业从业人员、营业收入、资产总额等指标制定的中小企业划型标准。</w:t>
      </w:r>
    </w:p>
    <w:p>
      <w:pPr>
        <w:keepNext w:val="0"/>
        <w:keepLines w:val="0"/>
        <w:pageBreakBefore w:val="0"/>
        <w:widowControl/>
        <w:kinsoku/>
        <w:wordWrap/>
        <w:overflowPunct/>
        <w:topLinePunct w:val="0"/>
        <w:autoSpaceDE/>
        <w:autoSpaceDN/>
        <w:bidi w:val="0"/>
        <w:adjustRightInd/>
        <w:snapToGrid/>
        <w:spacing w:line="360" w:lineRule="auto"/>
        <w:ind w:left="960" w:leftChars="400" w:firstLine="0" w:firstLineChars="0"/>
        <w:textAlignment w:val="auto"/>
        <w:rPr>
          <w:highlight w:val="none"/>
        </w:rPr>
      </w:pPr>
      <w:r>
        <w:rPr>
          <w:rFonts w:hint="eastAsia" w:ascii="Arial" w:hAnsi="Arial" w:cs="Arial"/>
          <w:color w:val="auto"/>
          <w:highlight w:val="none"/>
        </w:rPr>
        <w:t>小型、微型企业提供中型企业制造的货物的，视同为中型企业。</w:t>
      </w:r>
    </w:p>
    <w:p>
      <w:pPr>
        <w:adjustRightInd w:val="0"/>
        <w:snapToGrid w:val="0"/>
        <w:spacing w:line="440" w:lineRule="exact"/>
        <w:ind w:firstLine="480" w:firstLineChars="200"/>
        <w:rPr>
          <w:highlight w:val="none"/>
        </w:rPr>
      </w:pPr>
      <w:bookmarkStart w:id="92" w:name="_Toc497722820"/>
      <w:bookmarkStart w:id="93" w:name="_Toc429468088"/>
      <w:r>
        <w:rPr>
          <w:rFonts w:hint="eastAsia"/>
          <w:highlight w:val="none"/>
          <w:lang w:val="en-US" w:eastAsia="zh-CN"/>
        </w:rPr>
        <w:t>七</w:t>
      </w:r>
      <w:r>
        <w:rPr>
          <w:rFonts w:hint="eastAsia"/>
          <w:highlight w:val="none"/>
        </w:rPr>
        <w:t>、定标</w:t>
      </w:r>
      <w:bookmarkEnd w:id="92"/>
      <w:bookmarkEnd w:id="93"/>
    </w:p>
    <w:p>
      <w:pPr>
        <w:adjustRightInd w:val="0"/>
        <w:snapToGrid w:val="0"/>
        <w:spacing w:line="440" w:lineRule="exact"/>
        <w:ind w:firstLine="480" w:firstLineChars="200"/>
        <w:rPr>
          <w:highlight w:val="none"/>
        </w:rPr>
      </w:pPr>
      <w:r>
        <w:rPr>
          <w:rFonts w:hint="eastAsia"/>
          <w:highlight w:val="none"/>
        </w:rPr>
        <w:t>1、中标人确定</w:t>
      </w:r>
    </w:p>
    <w:p>
      <w:pPr>
        <w:adjustRightInd w:val="0"/>
        <w:snapToGrid w:val="0"/>
        <w:spacing w:line="440" w:lineRule="exact"/>
        <w:ind w:firstLine="480" w:firstLineChars="200"/>
        <w:rPr>
          <w:highlight w:val="none"/>
        </w:rPr>
      </w:pPr>
      <w:bookmarkStart w:id="94" w:name="_Toc429468089"/>
      <w:r>
        <w:rPr>
          <w:rFonts w:hint="eastAsia"/>
          <w:highlight w:val="none"/>
        </w:rPr>
        <w:t>1.1、由评标小组推荐预中标单位。</w:t>
      </w:r>
    </w:p>
    <w:p>
      <w:pPr>
        <w:adjustRightInd w:val="0"/>
        <w:snapToGrid w:val="0"/>
        <w:spacing w:line="440" w:lineRule="exact"/>
        <w:ind w:firstLine="480" w:firstLineChars="200"/>
        <w:rPr>
          <w:highlight w:val="none"/>
        </w:rPr>
      </w:pPr>
      <w:r>
        <w:rPr>
          <w:rFonts w:hint="eastAsia"/>
          <w:highlight w:val="none"/>
        </w:rPr>
        <w:t>1.2、采购代理机构在评标结束后2个工作日内将评标结果交采购人确认。采购人应在收到后5个工作日内对评标结果进行确认。</w:t>
      </w:r>
    </w:p>
    <w:p>
      <w:pPr>
        <w:adjustRightInd w:val="0"/>
        <w:snapToGrid w:val="0"/>
        <w:spacing w:line="440" w:lineRule="exact"/>
        <w:ind w:firstLine="480" w:firstLineChars="200"/>
        <w:rPr>
          <w:highlight w:val="none"/>
        </w:rPr>
      </w:pPr>
      <w:r>
        <w:rPr>
          <w:rFonts w:hint="eastAsia"/>
          <w:highlight w:val="none"/>
        </w:rPr>
        <w:t>1.3、在发布招标公告的网站上对评标结果进行公示1个工作日。</w:t>
      </w:r>
    </w:p>
    <w:p>
      <w:pPr>
        <w:adjustRightInd w:val="0"/>
        <w:snapToGrid w:val="0"/>
        <w:spacing w:line="440" w:lineRule="exact"/>
        <w:ind w:firstLine="480" w:firstLineChars="200"/>
        <w:rPr>
          <w:highlight w:val="none"/>
        </w:rPr>
      </w:pPr>
      <w:bookmarkStart w:id="95" w:name="_Toc497722821"/>
      <w:r>
        <w:rPr>
          <w:rFonts w:hint="eastAsia"/>
          <w:highlight w:val="none"/>
          <w:lang w:val="en-US" w:eastAsia="zh-CN"/>
        </w:rPr>
        <w:t>八</w:t>
      </w:r>
      <w:r>
        <w:rPr>
          <w:rFonts w:hint="eastAsia"/>
          <w:highlight w:val="none"/>
        </w:rPr>
        <w:t>、合同授予</w:t>
      </w:r>
      <w:bookmarkEnd w:id="94"/>
      <w:bookmarkEnd w:id="95"/>
    </w:p>
    <w:p>
      <w:pPr>
        <w:adjustRightInd w:val="0"/>
        <w:snapToGrid w:val="0"/>
        <w:spacing w:line="440" w:lineRule="exact"/>
        <w:ind w:firstLine="480" w:firstLineChars="200"/>
        <w:rPr>
          <w:highlight w:val="none"/>
        </w:rPr>
      </w:pPr>
      <w:r>
        <w:rPr>
          <w:rFonts w:hint="eastAsia"/>
          <w:highlight w:val="none"/>
        </w:rPr>
        <w:t xml:space="preserve"> 1、签订合同</w:t>
      </w:r>
    </w:p>
    <w:p>
      <w:pPr>
        <w:adjustRightInd w:val="0"/>
        <w:snapToGrid w:val="0"/>
        <w:spacing w:line="440" w:lineRule="exact"/>
        <w:ind w:firstLine="480" w:firstLineChars="200"/>
        <w:rPr>
          <w:highlight w:val="none"/>
        </w:rPr>
      </w:pPr>
      <w:r>
        <w:rPr>
          <w:rFonts w:hint="eastAsia"/>
          <w:highlight w:val="none"/>
        </w:rPr>
        <w:t xml:space="preserve"> 1.1、中标人自接到中标通知书后30天内与采购人签定合同。同时采购代理机构对合同内容进行审查，如发现与采购结果和投标承诺内容不一致的，应予以纠正。</w:t>
      </w:r>
    </w:p>
    <w:p>
      <w:pPr>
        <w:adjustRightInd w:val="0"/>
        <w:snapToGrid w:val="0"/>
        <w:spacing w:line="440" w:lineRule="exact"/>
        <w:ind w:firstLine="480" w:firstLineChars="200"/>
        <w:rPr>
          <w:highlight w:val="none"/>
        </w:rPr>
      </w:pPr>
      <w:r>
        <w:rPr>
          <w:rFonts w:hint="eastAsia"/>
          <w:highlight w:val="none"/>
        </w:rPr>
        <w:t xml:space="preserve"> 1.2、中标人拖延、拒签合同的,将被取消中标资格。</w:t>
      </w:r>
    </w:p>
    <w:p>
      <w:pPr>
        <w:adjustRightInd w:val="0"/>
        <w:snapToGrid w:val="0"/>
        <w:spacing w:line="440" w:lineRule="exact"/>
        <w:ind w:firstLine="480" w:firstLineChars="200"/>
        <w:rPr>
          <w:highlight w:val="none"/>
        </w:rPr>
      </w:pPr>
      <w:r>
        <w:rPr>
          <w:rFonts w:hint="eastAsia"/>
          <w:highlight w:val="none"/>
        </w:rPr>
        <w:t xml:space="preserve"> 2、履约保证金</w:t>
      </w:r>
    </w:p>
    <w:p>
      <w:pPr>
        <w:adjustRightInd w:val="0"/>
        <w:snapToGrid w:val="0"/>
        <w:spacing w:line="440" w:lineRule="exact"/>
        <w:ind w:firstLine="720" w:firstLineChars="300"/>
        <w:rPr>
          <w:highlight w:val="none"/>
        </w:rPr>
      </w:pPr>
      <w:r>
        <w:rPr>
          <w:rFonts w:hint="eastAsia"/>
          <w:highlight w:val="none"/>
        </w:rPr>
        <w:t>2.1、中标供应商向采购单位缴纳合同总金额的</w:t>
      </w:r>
      <w:r>
        <w:rPr>
          <w:rFonts w:hint="eastAsia"/>
          <w:highlight w:val="none"/>
          <w:lang w:val="en-US" w:eastAsia="zh-CN"/>
        </w:rPr>
        <w:t>1</w:t>
      </w:r>
      <w:r>
        <w:rPr>
          <w:rFonts w:hint="eastAsia"/>
          <w:highlight w:val="none"/>
        </w:rPr>
        <w:t>%的履约保证金。</w:t>
      </w:r>
    </w:p>
    <w:p>
      <w:pPr>
        <w:adjustRightInd w:val="0"/>
        <w:snapToGrid w:val="0"/>
        <w:spacing w:line="440" w:lineRule="exact"/>
        <w:ind w:firstLine="720" w:firstLineChars="300"/>
        <w:rPr>
          <w:rFonts w:hint="eastAsia"/>
          <w:highlight w:val="none"/>
        </w:rPr>
      </w:pPr>
      <w:r>
        <w:rPr>
          <w:rFonts w:hint="eastAsia"/>
          <w:highlight w:val="none"/>
        </w:rPr>
        <w:t>2.2、如中标供应商不按双方签订合同约定履约，则没收其全部履约保证金，履约保证金不足以赔偿损失的，按实际损失赔偿。</w:t>
      </w:r>
    </w:p>
    <w:p>
      <w:pPr>
        <w:pStyle w:val="2"/>
        <w:rPr>
          <w:highlight w:val="none"/>
        </w:rPr>
      </w:pPr>
    </w:p>
    <w:p>
      <w:pPr>
        <w:adjustRightInd w:val="0"/>
        <w:snapToGrid w:val="0"/>
        <w:spacing w:line="440" w:lineRule="exact"/>
        <w:ind w:firstLine="480" w:firstLineChars="200"/>
        <w:rPr>
          <w:highlight w:val="none"/>
        </w:rPr>
      </w:pPr>
    </w:p>
    <w:p>
      <w:pPr>
        <w:spacing w:line="360" w:lineRule="auto"/>
        <w:jc w:val="center"/>
        <w:outlineLvl w:val="0"/>
        <w:rPr>
          <w:b/>
          <w:color w:val="0000FF"/>
          <w:sz w:val="36"/>
          <w:szCs w:val="36"/>
          <w:highlight w:val="none"/>
        </w:rPr>
      </w:pPr>
      <w:r>
        <w:rPr>
          <w:rFonts w:hint="eastAsia"/>
          <w:highlight w:val="none"/>
        </w:rPr>
        <w:br w:type="page"/>
      </w:r>
      <w:bookmarkStart w:id="96" w:name="_Toc7997"/>
      <w:bookmarkStart w:id="97" w:name="_Toc27309"/>
      <w:bookmarkStart w:id="98" w:name="_Toc14359"/>
      <w:r>
        <w:rPr>
          <w:rFonts w:hint="eastAsia"/>
          <w:b/>
          <w:sz w:val="36"/>
          <w:szCs w:val="36"/>
          <w:highlight w:val="none"/>
        </w:rPr>
        <w:t>第四章  评标办法及评分标准</w:t>
      </w:r>
      <w:bookmarkEnd w:id="96"/>
      <w:bookmarkEnd w:id="97"/>
      <w:bookmarkEnd w:id="98"/>
    </w:p>
    <w:p>
      <w:pPr>
        <w:adjustRightInd w:val="0"/>
        <w:snapToGrid w:val="0"/>
        <w:spacing w:line="360" w:lineRule="auto"/>
        <w:ind w:firstLine="420"/>
        <w:rPr>
          <w:highlight w:val="none"/>
        </w:rPr>
      </w:pPr>
      <w:r>
        <w:rPr>
          <w:rFonts w:hint="eastAsia"/>
          <w:highlight w:val="none"/>
        </w:rPr>
        <w:t>为公正、公平、科学地选择中标人，根据《中华人民共和国政府采购法》等有关法律法规的规定，并结合本项目的实际，制定本办法。</w:t>
      </w:r>
    </w:p>
    <w:p>
      <w:pPr>
        <w:adjustRightInd w:val="0"/>
        <w:snapToGrid w:val="0"/>
        <w:spacing w:line="360" w:lineRule="auto"/>
        <w:ind w:firstLine="420"/>
        <w:rPr>
          <w:highlight w:val="none"/>
        </w:rPr>
      </w:pPr>
      <w:r>
        <w:rPr>
          <w:rFonts w:hint="eastAsia"/>
          <w:highlight w:val="none"/>
        </w:rPr>
        <w:t>本办法适用于</w:t>
      </w:r>
      <w:r>
        <w:rPr>
          <w:rFonts w:hint="eastAsia"/>
          <w:highlight w:val="none"/>
          <w:u w:val="single"/>
          <w:lang w:eastAsia="zh-CN"/>
        </w:rPr>
        <w:t>海盐县人民法院涉案财物管理项目</w:t>
      </w:r>
      <w:r>
        <w:rPr>
          <w:rFonts w:hint="eastAsia"/>
          <w:highlight w:val="none"/>
        </w:rPr>
        <w:t>的评标。</w:t>
      </w:r>
    </w:p>
    <w:p>
      <w:pPr>
        <w:pStyle w:val="13"/>
        <w:spacing w:line="360" w:lineRule="auto"/>
        <w:ind w:left="2" w:firstLine="417" w:firstLineChars="198"/>
        <w:rPr>
          <w:rFonts w:ascii="Times New Roman" w:hAnsi="Times New Roman"/>
          <w:b/>
          <w:highlight w:val="none"/>
        </w:rPr>
      </w:pPr>
      <w:r>
        <w:rPr>
          <w:rFonts w:hint="eastAsia" w:ascii="Times New Roman" w:hAnsi="Times New Roman"/>
          <w:b/>
          <w:highlight w:val="none"/>
        </w:rPr>
        <w:t>一、总则</w:t>
      </w:r>
    </w:p>
    <w:p>
      <w:pPr>
        <w:adjustRightInd w:val="0"/>
        <w:snapToGrid w:val="0"/>
        <w:spacing w:line="360" w:lineRule="auto"/>
        <w:ind w:firstLine="480" w:firstLineChars="200"/>
        <w:rPr>
          <w:bCs/>
          <w:highlight w:val="none"/>
        </w:rPr>
      </w:pPr>
      <w:r>
        <w:rPr>
          <w:rFonts w:hint="eastAsia"/>
          <w:highlight w:val="none"/>
        </w:rPr>
        <w:t>本次评标采用综合评分法，总分为</w:t>
      </w:r>
      <w:r>
        <w:rPr>
          <w:highlight w:val="none"/>
        </w:rPr>
        <w:t>100</w:t>
      </w:r>
      <w:r>
        <w:rPr>
          <w:rFonts w:hint="eastAsia"/>
          <w:highlight w:val="none"/>
        </w:rPr>
        <w:t>分，其中报价分10分、资信商务技术分90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w:t>
      </w:r>
      <w:r>
        <w:rPr>
          <w:highlight w:val="none"/>
        </w:rPr>
        <w:t>,</w:t>
      </w:r>
      <w:r>
        <w:rPr>
          <w:rFonts w:hint="eastAsia"/>
          <w:highlight w:val="none"/>
        </w:rPr>
        <w:t>排名第二的投标人为候补中标候选人……其他投标人中标候选资格依此类推。</w:t>
      </w:r>
      <w:r>
        <w:rPr>
          <w:rFonts w:hint="eastAsia"/>
          <w:bCs/>
          <w:highlight w:val="none"/>
        </w:rPr>
        <w:t>评分过程中采用四舍五入法，并保留小数</w:t>
      </w:r>
      <w:r>
        <w:rPr>
          <w:bCs/>
          <w:highlight w:val="none"/>
        </w:rPr>
        <w:t>2</w:t>
      </w:r>
      <w:r>
        <w:rPr>
          <w:rFonts w:hint="eastAsia"/>
          <w:bCs/>
          <w:highlight w:val="none"/>
        </w:rPr>
        <w:t>位。</w:t>
      </w:r>
    </w:p>
    <w:p>
      <w:pPr>
        <w:adjustRightInd w:val="0"/>
        <w:snapToGrid w:val="0"/>
        <w:spacing w:line="360" w:lineRule="auto"/>
        <w:ind w:firstLine="480" w:firstLineChars="200"/>
        <w:rPr>
          <w:highlight w:val="none"/>
        </w:rPr>
      </w:pPr>
      <w:r>
        <w:rPr>
          <w:rFonts w:hint="eastAsia"/>
          <w:highlight w:val="none"/>
        </w:rPr>
        <w:t>投标人评标综合得分=报价分+资信商务技术分</w:t>
      </w:r>
    </w:p>
    <w:p>
      <w:pPr>
        <w:adjustRightInd w:val="0"/>
        <w:snapToGrid w:val="0"/>
        <w:spacing w:line="360" w:lineRule="auto"/>
        <w:ind w:left="482"/>
        <w:rPr>
          <w:b/>
          <w:bCs/>
          <w:highlight w:val="none"/>
        </w:rPr>
      </w:pPr>
      <w:r>
        <w:rPr>
          <w:rFonts w:hint="eastAsia"/>
          <w:b/>
          <w:bCs/>
          <w:highlight w:val="none"/>
        </w:rPr>
        <w:t xml:space="preserve"> (一) 报价分</w:t>
      </w:r>
      <w:r>
        <w:rPr>
          <w:b/>
          <w:bCs/>
          <w:highlight w:val="none"/>
        </w:rPr>
        <w:t>（</w:t>
      </w:r>
      <w:r>
        <w:rPr>
          <w:rFonts w:hint="eastAsia"/>
          <w:b/>
          <w:bCs/>
          <w:highlight w:val="none"/>
        </w:rPr>
        <w:t>10</w:t>
      </w:r>
      <w:r>
        <w:rPr>
          <w:b/>
          <w:bCs/>
          <w:highlight w:val="none"/>
        </w:rPr>
        <w:t>分）</w:t>
      </w:r>
    </w:p>
    <w:p>
      <w:pPr>
        <w:adjustRightInd w:val="0"/>
        <w:snapToGrid w:val="0"/>
        <w:spacing w:line="360" w:lineRule="auto"/>
        <w:ind w:firstLine="480" w:firstLineChars="200"/>
        <w:rPr>
          <w:highlight w:val="none"/>
        </w:rPr>
      </w:pPr>
      <w:r>
        <w:rPr>
          <w:rFonts w:hint="eastAsia"/>
          <w:highlight w:val="none"/>
        </w:rPr>
        <w:t>报价分采用低价优先法计算，即满足招标文件要求且投标价格最低的投标报价为评标基准价，其他投标人的报价分按照下列公式计算：</w:t>
      </w:r>
    </w:p>
    <w:p>
      <w:pPr>
        <w:adjustRightInd w:val="0"/>
        <w:snapToGrid w:val="0"/>
        <w:spacing w:line="360" w:lineRule="auto"/>
        <w:ind w:firstLine="480" w:firstLineChars="200"/>
        <w:rPr>
          <w:highlight w:val="none"/>
        </w:rPr>
      </w:pPr>
      <w:r>
        <w:rPr>
          <w:rFonts w:hint="eastAsia"/>
          <w:highlight w:val="none"/>
        </w:rPr>
        <w:t>报价分=（评标基准价/投标报价）×10%×100（精确到小数点后两位）</w:t>
      </w:r>
    </w:p>
    <w:p>
      <w:pPr>
        <w:adjustRightInd w:val="0"/>
        <w:snapToGrid w:val="0"/>
        <w:spacing w:line="360" w:lineRule="auto"/>
        <w:ind w:firstLine="480" w:firstLineChars="200"/>
        <w:rPr>
          <w:rFonts w:hint="eastAsia"/>
          <w:highlight w:val="none"/>
        </w:rPr>
      </w:pPr>
      <w:r>
        <w:rPr>
          <w:rFonts w:hint="eastAsia"/>
          <w:highlight w:val="none"/>
        </w:rPr>
        <w:t>投标人的投标报价（分项报价）超过采购预算价的，将作为无效标。</w:t>
      </w:r>
    </w:p>
    <w:p>
      <w:pPr>
        <w:adjustRightInd w:val="0"/>
        <w:snapToGrid w:val="0"/>
        <w:spacing w:line="360" w:lineRule="auto"/>
        <w:ind w:left="482"/>
        <w:rPr>
          <w:rFonts w:hint="eastAsia"/>
          <w:b/>
          <w:bCs/>
          <w:highlight w:val="none"/>
          <w:lang w:val="en-US" w:eastAsia="zh-CN"/>
        </w:rPr>
      </w:pPr>
      <w:r>
        <w:rPr>
          <w:rFonts w:hint="eastAsia"/>
          <w:b/>
          <w:bCs/>
          <w:highlight w:val="none"/>
          <w:lang w:val="en-US" w:eastAsia="zh-CN"/>
        </w:rPr>
        <w:t>*扶持政策说明：</w:t>
      </w:r>
    </w:p>
    <w:p>
      <w:pPr>
        <w:widowControl/>
        <w:snapToGrid w:val="0"/>
        <w:spacing w:line="360" w:lineRule="auto"/>
        <w:ind w:firstLine="480" w:firstLineChars="200"/>
        <w:rPr>
          <w:color w:val="000000"/>
          <w:szCs w:val="21"/>
          <w:highlight w:val="none"/>
        </w:rPr>
      </w:pPr>
      <w:r>
        <w:rPr>
          <w:color w:val="000000"/>
          <w:szCs w:val="21"/>
          <w:highlight w:val="none"/>
        </w:rPr>
        <w:t>（1）根据</w:t>
      </w:r>
      <w:r>
        <w:rPr>
          <w:rFonts w:hint="eastAsia"/>
          <w:color w:val="000000"/>
          <w:szCs w:val="21"/>
          <w:highlight w:val="none"/>
        </w:rPr>
        <w:t>《政府采购促进中小企业发展管理办法》（财库（2020）46号）</w:t>
      </w:r>
      <w:r>
        <w:rPr>
          <w:color w:val="000000"/>
          <w:szCs w:val="21"/>
          <w:highlight w:val="none"/>
        </w:rPr>
        <w:t>的规定，</w:t>
      </w:r>
      <w:r>
        <w:rPr>
          <w:rFonts w:hint="eastAsia"/>
          <w:color w:val="000000"/>
          <w:szCs w:val="21"/>
          <w:highlight w:val="none"/>
        </w:rPr>
        <w:t>对符合规定的小微企业（含小型企业）</w:t>
      </w:r>
      <w:r>
        <w:rPr>
          <w:color w:val="000000"/>
          <w:szCs w:val="21"/>
          <w:highlight w:val="none"/>
        </w:rPr>
        <w:t>，其投标报价扣除</w:t>
      </w:r>
      <w:r>
        <w:rPr>
          <w:rFonts w:hint="eastAsia"/>
          <w:color w:val="000000"/>
          <w:szCs w:val="21"/>
          <w:highlight w:val="none"/>
          <w:lang w:eastAsia="zh-CN"/>
        </w:rPr>
        <w:t>20%</w:t>
      </w:r>
      <w:r>
        <w:rPr>
          <w:color w:val="000000"/>
          <w:szCs w:val="21"/>
          <w:highlight w:val="none"/>
        </w:rPr>
        <w:t>后参与评审。</w:t>
      </w:r>
    </w:p>
    <w:p>
      <w:pPr>
        <w:widowControl/>
        <w:snapToGrid w:val="0"/>
        <w:spacing w:line="360" w:lineRule="auto"/>
        <w:ind w:firstLine="480" w:firstLineChars="200"/>
        <w:rPr>
          <w:color w:val="000000"/>
          <w:szCs w:val="21"/>
          <w:highlight w:val="none"/>
        </w:rPr>
      </w:pPr>
      <w:r>
        <w:rPr>
          <w:color w:val="000000"/>
          <w:szCs w:val="21"/>
          <w:highlight w:val="none"/>
        </w:rPr>
        <w:t>（2）根据《关于政府采购支持监狱企业发展有关问题的通知》（财库[2014]68号）的规定，监狱企业</w:t>
      </w:r>
      <w:r>
        <w:rPr>
          <w:rFonts w:hint="eastAsia"/>
          <w:color w:val="000000"/>
          <w:szCs w:val="21"/>
          <w:highlight w:val="none"/>
        </w:rPr>
        <w:t>视同小型、微型企业</w:t>
      </w:r>
      <w:r>
        <w:rPr>
          <w:rFonts w:hint="eastAsia"/>
          <w:color w:val="000000"/>
          <w:szCs w:val="21"/>
          <w:highlight w:val="none"/>
          <w:lang w:eastAsia="zh-CN"/>
        </w:rPr>
        <w:t>，</w:t>
      </w:r>
      <w:r>
        <w:rPr>
          <w:color w:val="000000"/>
          <w:szCs w:val="21"/>
          <w:highlight w:val="none"/>
          <w:shd w:val="clear" w:color="auto" w:fill="FFFFFF"/>
        </w:rPr>
        <w:t>享受预留份额、评审中价格扣除等促进中小企业发展的政府采购政策。</w:t>
      </w:r>
    </w:p>
    <w:p>
      <w:pPr>
        <w:widowControl/>
        <w:snapToGrid w:val="0"/>
        <w:spacing w:line="360" w:lineRule="auto"/>
        <w:ind w:firstLine="480" w:firstLineChars="200"/>
        <w:rPr>
          <w:color w:val="000000"/>
          <w:szCs w:val="21"/>
          <w:highlight w:val="none"/>
          <w:shd w:val="clear" w:color="auto" w:fill="FFFFFF"/>
        </w:rPr>
      </w:pPr>
      <w:r>
        <w:rPr>
          <w:color w:val="000000"/>
          <w:szCs w:val="21"/>
          <w:highlight w:val="none"/>
        </w:rPr>
        <w:t>（3）根据《财政部、民政部、中国残疾人联合会关于促进残疾人就业政府采购政策的通知》（财库〔2017〕141号）的规定，</w:t>
      </w:r>
      <w:r>
        <w:rPr>
          <w:color w:val="000000"/>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80" w:firstLineChars="200"/>
        <w:rPr>
          <w:rFonts w:hint="eastAsia"/>
          <w:highlight w:val="none"/>
          <w:lang w:val="en-US" w:eastAsia="zh-CN"/>
        </w:rPr>
      </w:pPr>
      <w:r>
        <w:rPr>
          <w:color w:val="000000"/>
          <w:szCs w:val="21"/>
          <w:highlight w:val="none"/>
        </w:rPr>
        <w:t>上述（1），（2），（3）政策不重复计算。</w:t>
      </w:r>
    </w:p>
    <w:p>
      <w:pPr>
        <w:keepNext w:val="0"/>
        <w:keepLines w:val="0"/>
        <w:pageBreakBefore w:val="0"/>
        <w:widowControl/>
        <w:kinsoku/>
        <w:wordWrap/>
        <w:overflowPunct/>
        <w:topLinePunct w:val="0"/>
        <w:autoSpaceDE/>
        <w:autoSpaceDN/>
        <w:bidi w:val="0"/>
        <w:adjustRightInd w:val="0"/>
        <w:snapToGrid w:val="0"/>
        <w:spacing w:line="360" w:lineRule="auto"/>
        <w:ind w:left="482"/>
        <w:textAlignment w:val="auto"/>
        <w:rPr>
          <w:rFonts w:hint="eastAsia"/>
          <w:b/>
          <w:bCs/>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482"/>
        <w:textAlignment w:val="auto"/>
        <w:rPr>
          <w:rFonts w:hint="eastAsia"/>
          <w:b/>
          <w:bCs/>
          <w:highlight w:val="none"/>
        </w:rPr>
      </w:pPr>
      <w:r>
        <w:rPr>
          <w:rFonts w:hint="eastAsia"/>
          <w:b/>
          <w:bCs/>
          <w:highlight w:val="none"/>
        </w:rPr>
        <w:t xml:space="preserve"> (</w:t>
      </w:r>
      <w:r>
        <w:rPr>
          <w:rFonts w:hint="eastAsia"/>
          <w:b/>
          <w:bCs/>
          <w:highlight w:val="none"/>
          <w:lang w:val="en-US" w:eastAsia="zh-CN"/>
        </w:rPr>
        <w:t>二</w:t>
      </w:r>
      <w:r>
        <w:rPr>
          <w:rFonts w:hint="eastAsia"/>
          <w:b/>
          <w:bCs/>
          <w:highlight w:val="none"/>
        </w:rPr>
        <w:t>) 资信商务技术分（90分）</w:t>
      </w:r>
    </w:p>
    <w:p>
      <w:pPr>
        <w:keepNext w:val="0"/>
        <w:keepLines w:val="0"/>
        <w:pageBreakBefore w:val="0"/>
        <w:widowControl/>
        <w:kinsoku/>
        <w:wordWrap/>
        <w:overflowPunct/>
        <w:topLinePunct w:val="0"/>
        <w:autoSpaceDE/>
        <w:autoSpaceDN/>
        <w:bidi w:val="0"/>
        <w:adjustRightInd w:val="0"/>
        <w:snapToGrid w:val="0"/>
        <w:spacing w:line="360" w:lineRule="auto"/>
        <w:ind w:left="482" w:firstLine="420" w:firstLineChars="0"/>
        <w:textAlignment w:val="auto"/>
        <w:rPr>
          <w:highlight w:val="none"/>
        </w:rPr>
      </w:pPr>
      <w:r>
        <w:rPr>
          <w:rFonts w:hint="eastAsia"/>
          <w:highlight w:val="none"/>
        </w:rPr>
        <w:t>评标委员会在评审时发现投标人的报价明显高于其市场报价或低于成本价的，应当要求投标人说明并提供相关证明材料。投标人不能</w:t>
      </w:r>
      <w:r>
        <w:rPr>
          <w:rFonts w:hint="eastAsia"/>
          <w:highlight w:val="none"/>
          <w:lang w:val="en-US" w:eastAsia="zh-CN"/>
        </w:rPr>
        <w:t>在规定时间（30分钟内）</w:t>
      </w:r>
      <w:r>
        <w:rPr>
          <w:rFonts w:hint="eastAsia"/>
          <w:highlight w:val="none"/>
        </w:rPr>
        <w:t>合理说明原因并提供证明材料的，评标委员会应将该投标人的投标文件作无效处理，并在评审报告中说明。评标委员会打分保留一位小数。</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3"/>
        <w:gridCol w:w="1078"/>
        <w:gridCol w:w="601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trPr>
        <w:tc>
          <w:tcPr>
            <w:tcW w:w="418"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序号</w:t>
            </w:r>
          </w:p>
        </w:tc>
        <w:tc>
          <w:tcPr>
            <w:tcW w:w="632"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评分项目</w:t>
            </w:r>
          </w:p>
        </w:tc>
        <w:tc>
          <w:tcPr>
            <w:tcW w:w="3528"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评标标准</w:t>
            </w:r>
          </w:p>
        </w:tc>
        <w:tc>
          <w:tcPr>
            <w:tcW w:w="420"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0" w:hRule="atLeast"/>
        </w:trPr>
        <w:tc>
          <w:tcPr>
            <w:tcW w:w="418" w:type="pct"/>
            <w:shd w:val="clear" w:color="auto" w:fill="auto"/>
            <w:vAlign w:val="center"/>
          </w:tcPr>
          <w:p>
            <w:pPr>
              <w:jc w:val="center"/>
              <w:rPr>
                <w:rFonts w:hint="eastAsia"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lang w:val="en-US" w:eastAsia="zh-CN"/>
              </w:rPr>
              <w:t>1</w:t>
            </w:r>
          </w:p>
        </w:tc>
        <w:tc>
          <w:tcPr>
            <w:tcW w:w="632"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项目需求分析</w:t>
            </w: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根据投标人提供的对项目背景、建设内容及预期目标的理解，建设必要性及建设思路，与省法院平台化的关系阐述等进行评分。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切合实际、合理可</w:t>
            </w:r>
            <w:r>
              <w:rPr>
                <w:rFonts w:hint="eastAsia" w:cs="宋体" w:asciiTheme="majorEastAsia" w:hAnsiTheme="majorEastAsia" w:eastAsiaTheme="majorEastAsia"/>
                <w:color w:val="000000"/>
                <w:sz w:val="22"/>
                <w:szCs w:val="22"/>
                <w:highlight w:val="none"/>
                <w:shd w:val="clear"/>
              </w:rPr>
              <w:t>行、全面详细的得</w:t>
            </w:r>
            <w:r>
              <w:rPr>
                <w:rFonts w:hint="eastAsia" w:cs="宋体" w:asciiTheme="majorEastAsia" w:hAnsiTheme="majorEastAsia" w:eastAsiaTheme="majorEastAsia"/>
                <w:color w:val="000000"/>
                <w:sz w:val="22"/>
                <w:szCs w:val="22"/>
                <w:highlight w:val="none"/>
                <w:shd w:val="clear"/>
                <w:lang w:val="en-US" w:eastAsia="zh-CN"/>
              </w:rPr>
              <w:t>5</w:t>
            </w:r>
            <w:r>
              <w:rPr>
                <w:rFonts w:hint="eastAsia" w:cs="宋体" w:asciiTheme="majorEastAsia" w:hAnsiTheme="majorEastAsia" w:eastAsiaTheme="majorEastAsia"/>
                <w:color w:val="000000"/>
                <w:sz w:val="22"/>
                <w:szCs w:val="22"/>
                <w:highlight w:val="none"/>
                <w:shd w:val="clear"/>
              </w:rPr>
              <w:t>分；切</w:t>
            </w:r>
            <w:r>
              <w:rPr>
                <w:rFonts w:hint="eastAsia" w:cs="宋体" w:asciiTheme="majorEastAsia" w:hAnsiTheme="majorEastAsia" w:eastAsiaTheme="majorEastAsia"/>
                <w:color w:val="000000"/>
                <w:sz w:val="22"/>
                <w:szCs w:val="22"/>
                <w:highlight w:val="none"/>
              </w:rPr>
              <w:t>合实际但不够全面详细的得4分；基本符合实际、可行详细的得3分；基本符合实际、大致可行、略有疏漏的得2分；思路不切实际、可行性较差的得1分；未提供不得分。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418" w:type="pct"/>
            <w:shd w:val="clear" w:color="auto" w:fill="auto"/>
            <w:vAlign w:val="center"/>
          </w:tcPr>
          <w:p>
            <w:pPr>
              <w:jc w:val="center"/>
              <w:rPr>
                <w:rFonts w:hint="eastAsia"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lang w:val="en-US" w:eastAsia="zh-CN"/>
              </w:rPr>
              <w:t>2</w:t>
            </w:r>
          </w:p>
        </w:tc>
        <w:tc>
          <w:tcPr>
            <w:tcW w:w="632"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系统现状分析</w:t>
            </w: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根据投标人对现有办案办公平台以及案款应用、执行应用现状的熟悉程度进行评分。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每个系统状况各</w:t>
            </w:r>
            <w:r>
              <w:rPr>
                <w:rFonts w:hint="eastAsia" w:cs="宋体" w:asciiTheme="majorEastAsia" w:hAnsiTheme="majorEastAsia" w:eastAsiaTheme="majorEastAsia"/>
                <w:color w:val="000000"/>
                <w:sz w:val="22"/>
                <w:szCs w:val="22"/>
                <w:highlight w:val="none"/>
                <w:lang w:val="en-US" w:eastAsia="zh-CN"/>
              </w:rPr>
              <w:t>3</w:t>
            </w:r>
            <w:r>
              <w:rPr>
                <w:rFonts w:hint="eastAsia" w:cs="宋体" w:asciiTheme="majorEastAsia" w:hAnsiTheme="majorEastAsia" w:eastAsiaTheme="majorEastAsia"/>
                <w:color w:val="000000"/>
                <w:sz w:val="22"/>
                <w:szCs w:val="22"/>
                <w:highlight w:val="none"/>
              </w:rPr>
              <w:t>分，共</w:t>
            </w:r>
            <w:r>
              <w:rPr>
                <w:rFonts w:hint="eastAsia" w:cs="宋体" w:asciiTheme="majorEastAsia" w:hAnsiTheme="majorEastAsia" w:eastAsiaTheme="majorEastAsia"/>
                <w:color w:val="000000"/>
                <w:sz w:val="22"/>
                <w:szCs w:val="22"/>
                <w:highlight w:val="none"/>
                <w:lang w:val="en-US" w:eastAsia="zh-CN"/>
              </w:rPr>
              <w:t>9</w:t>
            </w:r>
            <w:r>
              <w:rPr>
                <w:rFonts w:hint="eastAsia" w:cs="宋体" w:asciiTheme="majorEastAsia" w:hAnsiTheme="majorEastAsia" w:eastAsiaTheme="majorEastAsia"/>
                <w:color w:val="000000"/>
                <w:sz w:val="22"/>
                <w:szCs w:val="22"/>
                <w:highlight w:val="none"/>
              </w:rPr>
              <w:t>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1" w:hRule="atLeast"/>
        </w:trPr>
        <w:tc>
          <w:tcPr>
            <w:tcW w:w="418" w:type="pct"/>
            <w:vMerge w:val="restart"/>
            <w:shd w:val="clear" w:color="auto" w:fill="auto"/>
            <w:vAlign w:val="center"/>
          </w:tcPr>
          <w:p>
            <w:pPr>
              <w:jc w:val="center"/>
              <w:rPr>
                <w:rFonts w:hint="eastAsia"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lang w:val="en-US" w:eastAsia="zh-CN"/>
              </w:rPr>
              <w:t>3</w:t>
            </w:r>
          </w:p>
        </w:tc>
        <w:tc>
          <w:tcPr>
            <w:tcW w:w="632"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投标技术方案</w:t>
            </w: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根据投标人提供的总体设计方案与详细设计方案，根据设计方案的完整性、可行性、先进性、合理性等进行评分。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设计方案内容完整且与项目匹配度好的得5分；方案内容基本完整且与项目匹配度好的得4分；方案内容基本完整且与项目匹配度较好的得3分；方案内容基本完整但与项目匹配度一般的得2分；方案内容存在欠缺或与项目匹配度一般的得1分；方案内容缺失严重或与项目不匹配的不得分。</w:t>
            </w:r>
          </w:p>
        </w:tc>
        <w:tc>
          <w:tcPr>
            <w:tcW w:w="420"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rPr>
        <w:tc>
          <w:tcPr>
            <w:tcW w:w="418" w:type="pct"/>
            <w:vMerge w:val="continue"/>
            <w:shd w:val="clear" w:color="auto" w:fill="auto"/>
            <w:vAlign w:val="center"/>
          </w:tcPr>
          <w:p>
            <w:pPr>
              <w:jc w:val="center"/>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全部满足采购需求中明确的功能、性能和技术指标要求，得</w:t>
            </w:r>
            <w:r>
              <w:rPr>
                <w:rFonts w:hint="eastAsia" w:cs="宋体" w:asciiTheme="majorEastAsia" w:hAnsiTheme="majorEastAsia" w:eastAsiaTheme="majorEastAsia"/>
                <w:color w:val="000000"/>
                <w:sz w:val="22"/>
                <w:szCs w:val="22"/>
                <w:highlight w:val="none"/>
                <w:lang w:val="en-US" w:eastAsia="zh-CN"/>
              </w:rPr>
              <w:t>15</w:t>
            </w:r>
            <w:r>
              <w:rPr>
                <w:rFonts w:hint="eastAsia" w:cs="宋体" w:asciiTheme="majorEastAsia" w:hAnsiTheme="majorEastAsia" w:eastAsiaTheme="majorEastAsia"/>
                <w:color w:val="000000"/>
                <w:sz w:val="22"/>
                <w:szCs w:val="22"/>
                <w:highlight w:val="none"/>
              </w:rPr>
              <w:t xml:space="preserve">分；功能、性能和技术指标每有一项负偏离扣2分，扣完为止。 </w:t>
            </w:r>
          </w:p>
        </w:tc>
        <w:tc>
          <w:tcPr>
            <w:tcW w:w="420" w:type="pct"/>
            <w:shd w:val="clear" w:color="auto" w:fill="auto"/>
            <w:vAlign w:val="center"/>
          </w:tcPr>
          <w:p>
            <w:pPr>
              <w:jc w:val="center"/>
              <w:rPr>
                <w:rFonts w:hint="default"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shd w:val="clear"/>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418" w:type="pct"/>
            <w:vMerge w:val="continue"/>
            <w:shd w:val="clear" w:color="auto" w:fill="auto"/>
            <w:vAlign w:val="center"/>
          </w:tcPr>
          <w:p>
            <w:pPr>
              <w:ind w:firstLine="220" w:firstLineChars="100"/>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因本项目中涉及与案款应用、执行应用、办案办公平台“平台+智能”化密切对接开发，为了保障系统的开发进度，投标人需承诺与原有系统的无缝对接，并提供与案款应用、执行应用、办案办公平台“平台+智能”化的原厂对接证明。</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提供承诺书得1分；每份原厂对接证明得3分；共1</w:t>
            </w:r>
            <w:r>
              <w:rPr>
                <w:rFonts w:cs="宋体" w:asciiTheme="majorEastAsia" w:hAnsiTheme="majorEastAsia" w:eastAsiaTheme="majorEastAsia"/>
                <w:color w:val="000000"/>
                <w:sz w:val="22"/>
                <w:szCs w:val="22"/>
                <w:highlight w:val="none"/>
              </w:rPr>
              <w:t>0</w:t>
            </w:r>
            <w:r>
              <w:rPr>
                <w:rFonts w:hint="eastAsia" w:cs="宋体" w:asciiTheme="majorEastAsia" w:hAnsiTheme="majorEastAsia" w:eastAsiaTheme="majorEastAsia"/>
                <w:color w:val="000000"/>
                <w:sz w:val="22"/>
                <w:szCs w:val="22"/>
                <w:highlight w:val="none"/>
              </w:rPr>
              <w:t>分</w:t>
            </w:r>
          </w:p>
        </w:tc>
        <w:tc>
          <w:tcPr>
            <w:tcW w:w="420"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1</w:t>
            </w:r>
            <w:r>
              <w:rPr>
                <w:rFonts w:cs="宋体" w:asciiTheme="majorEastAsia" w:hAnsiTheme="majorEastAsia" w:eastAsiaTheme="majorEastAsia"/>
                <w:color w:val="000000"/>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418" w:type="pct"/>
            <w:vMerge w:val="continue"/>
            <w:shd w:val="clear" w:color="auto" w:fill="auto"/>
            <w:vAlign w:val="center"/>
          </w:tcPr>
          <w:p>
            <w:pPr>
              <w:ind w:firstLine="220" w:firstLineChars="100"/>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系统的应急方案设计是否合理，是否充分考虑用户实际使用需求，是否符合本项目对当前和未来发展的要求。</w:t>
            </w:r>
            <w:r>
              <w:rPr>
                <w:rFonts w:hint="eastAsia" w:cs="宋体" w:asciiTheme="majorEastAsia" w:hAnsiTheme="majorEastAsia" w:eastAsiaTheme="majorEastAsia"/>
                <w:color w:val="000000"/>
                <w:sz w:val="22"/>
                <w:szCs w:val="22"/>
                <w:highlight w:val="none"/>
              </w:rPr>
              <w:br w:type="textWrapping"/>
            </w:r>
            <w:r>
              <w:rPr>
                <w:rFonts w:hint="eastAsia" w:cs="宋体" w:asciiTheme="majorEastAsia" w:hAnsiTheme="majorEastAsia" w:eastAsiaTheme="majorEastAsia"/>
                <w:color w:val="000000"/>
                <w:sz w:val="22"/>
                <w:szCs w:val="22"/>
                <w:highlight w:val="none"/>
              </w:rPr>
              <w:t>应急方案设计考虑充分措施有效得</w:t>
            </w:r>
            <w:r>
              <w:rPr>
                <w:rFonts w:hint="eastAsia" w:cs="宋体" w:asciiTheme="majorEastAsia" w:hAnsiTheme="majorEastAsia" w:eastAsiaTheme="majorEastAsia"/>
                <w:color w:val="000000"/>
                <w:sz w:val="22"/>
                <w:szCs w:val="22"/>
                <w:highlight w:val="none"/>
                <w:lang w:val="en-US" w:eastAsia="zh-CN"/>
              </w:rPr>
              <w:t>5</w:t>
            </w:r>
            <w:r>
              <w:rPr>
                <w:rFonts w:hint="eastAsia" w:cs="宋体" w:asciiTheme="majorEastAsia" w:hAnsiTheme="majorEastAsia" w:eastAsiaTheme="majorEastAsia"/>
                <w:color w:val="000000"/>
                <w:sz w:val="22"/>
                <w:szCs w:val="22"/>
                <w:highlight w:val="none"/>
              </w:rPr>
              <w:t>分；方案合理措施一般得</w:t>
            </w:r>
            <w:r>
              <w:rPr>
                <w:rFonts w:hint="eastAsia" w:cs="宋体" w:asciiTheme="majorEastAsia" w:hAnsiTheme="majorEastAsia" w:eastAsiaTheme="majorEastAsia"/>
                <w:color w:val="000000"/>
                <w:sz w:val="22"/>
                <w:szCs w:val="22"/>
                <w:highlight w:val="none"/>
                <w:lang w:val="en-US" w:eastAsia="zh-CN"/>
              </w:rPr>
              <w:t>3</w:t>
            </w:r>
            <w:r>
              <w:rPr>
                <w:rFonts w:hint="eastAsia" w:cs="宋体" w:asciiTheme="majorEastAsia" w:hAnsiTheme="majorEastAsia" w:eastAsiaTheme="majorEastAsia"/>
                <w:color w:val="000000"/>
                <w:sz w:val="22"/>
                <w:szCs w:val="22"/>
                <w:highlight w:val="none"/>
              </w:rPr>
              <w:t>分；方案合理措施较差得1分，无方案得0分。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2" w:hRule="atLeast"/>
        </w:trPr>
        <w:tc>
          <w:tcPr>
            <w:tcW w:w="418" w:type="pct"/>
            <w:vMerge w:val="restart"/>
            <w:shd w:val="clear" w:color="auto" w:fill="auto"/>
            <w:vAlign w:val="center"/>
          </w:tcPr>
          <w:p>
            <w:pPr>
              <w:jc w:val="center"/>
              <w:rPr>
                <w:rFonts w:hint="eastAsia"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lang w:val="en-US" w:eastAsia="zh-CN"/>
              </w:rPr>
              <w:t>4</w:t>
            </w:r>
          </w:p>
        </w:tc>
        <w:tc>
          <w:tcPr>
            <w:tcW w:w="632"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项目组织实施方案</w:t>
            </w: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根据投标人提供的实施计划、进度安排、组织、职责描述、实施技术人员配备等进行评分。</w:t>
            </w:r>
            <w:r>
              <w:rPr>
                <w:rFonts w:hint="eastAsia" w:cs="宋体" w:asciiTheme="majorEastAsia" w:hAnsiTheme="majorEastAsia" w:eastAsiaTheme="majorEastAsia"/>
                <w:color w:val="000000"/>
                <w:sz w:val="22"/>
                <w:szCs w:val="22"/>
                <w:highlight w:val="none"/>
              </w:rPr>
              <w:br w:type="textWrapping"/>
            </w:r>
            <w:r>
              <w:rPr>
                <w:rFonts w:hint="eastAsia" w:cs="宋体" w:asciiTheme="majorEastAsia" w:hAnsiTheme="majorEastAsia" w:eastAsiaTheme="majorEastAsia"/>
                <w:color w:val="000000"/>
                <w:sz w:val="22"/>
                <w:szCs w:val="22"/>
                <w:highlight w:val="none"/>
              </w:rPr>
              <w:t>实施计划、进度安排、组织、职责描述、实施技术人员配备等方案各项内容均完整、明确具体，得5分；方案内容完整、合理得4分；方案内容相对完整，有一定的可行性，得3分；方案内容基本完整，可行性一般，得2分；内容措施较差得1分；未提供或不合理的，不得分。</w:t>
            </w:r>
          </w:p>
        </w:tc>
        <w:tc>
          <w:tcPr>
            <w:tcW w:w="420"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8" w:hRule="atLeast"/>
        </w:trPr>
        <w:tc>
          <w:tcPr>
            <w:tcW w:w="418" w:type="pct"/>
            <w:vMerge w:val="continue"/>
            <w:shd w:val="clear" w:color="auto" w:fill="auto"/>
            <w:vAlign w:val="center"/>
          </w:tcPr>
          <w:p>
            <w:pPr>
              <w:jc w:val="center"/>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投标人提出的功能测试、试运行及验收方案的合理性、可行性情况</w:t>
            </w:r>
            <w:r>
              <w:rPr>
                <w:rFonts w:hint="eastAsia" w:cs="宋体" w:asciiTheme="majorEastAsia" w:hAnsiTheme="majorEastAsia" w:eastAsiaTheme="majorEastAsia"/>
                <w:color w:val="000000"/>
                <w:sz w:val="22"/>
                <w:szCs w:val="22"/>
                <w:highlight w:val="none"/>
                <w:shd w:val="clear"/>
              </w:rPr>
              <w:t>等。</w:t>
            </w:r>
            <w:r>
              <w:rPr>
                <w:rFonts w:hint="eastAsia" w:cs="宋体" w:asciiTheme="majorEastAsia" w:hAnsiTheme="majorEastAsia" w:eastAsiaTheme="majorEastAsia"/>
                <w:color w:val="000000"/>
                <w:sz w:val="22"/>
                <w:szCs w:val="22"/>
                <w:highlight w:val="none"/>
                <w:shd w:val="clear"/>
              </w:rPr>
              <w:br w:type="textWrapping"/>
            </w:r>
            <w:r>
              <w:rPr>
                <w:rFonts w:hint="eastAsia" w:cs="宋体" w:asciiTheme="majorEastAsia" w:hAnsiTheme="majorEastAsia" w:eastAsiaTheme="majorEastAsia"/>
                <w:color w:val="000000"/>
                <w:sz w:val="22"/>
                <w:szCs w:val="22"/>
                <w:highlight w:val="none"/>
                <w:shd w:val="clear"/>
              </w:rPr>
              <w:t>方案内容完整、合理得</w:t>
            </w:r>
            <w:r>
              <w:rPr>
                <w:rFonts w:hint="eastAsia" w:cs="宋体" w:asciiTheme="majorEastAsia" w:hAnsiTheme="majorEastAsia" w:eastAsiaTheme="majorEastAsia"/>
                <w:color w:val="000000"/>
                <w:sz w:val="22"/>
                <w:szCs w:val="22"/>
                <w:highlight w:val="none"/>
                <w:shd w:val="clear"/>
                <w:lang w:val="en-US" w:eastAsia="zh-CN"/>
              </w:rPr>
              <w:t>5</w:t>
            </w:r>
            <w:r>
              <w:rPr>
                <w:rFonts w:hint="eastAsia" w:cs="宋体" w:asciiTheme="majorEastAsia" w:hAnsiTheme="majorEastAsia" w:eastAsiaTheme="majorEastAsia"/>
                <w:color w:val="000000"/>
                <w:sz w:val="22"/>
                <w:szCs w:val="22"/>
                <w:highlight w:val="none"/>
                <w:shd w:val="clear"/>
              </w:rPr>
              <w:t>分；方案内容相对完整，有一定的合理性、可行性，得</w:t>
            </w:r>
            <w:r>
              <w:rPr>
                <w:rFonts w:hint="eastAsia" w:cs="宋体" w:asciiTheme="majorEastAsia" w:hAnsiTheme="majorEastAsia" w:eastAsiaTheme="majorEastAsia"/>
                <w:color w:val="000000"/>
                <w:sz w:val="22"/>
                <w:szCs w:val="22"/>
                <w:highlight w:val="none"/>
                <w:shd w:val="clear"/>
                <w:lang w:val="en-US" w:eastAsia="zh-CN"/>
              </w:rPr>
              <w:t>3</w:t>
            </w:r>
            <w:r>
              <w:rPr>
                <w:rFonts w:hint="eastAsia" w:cs="宋体" w:asciiTheme="majorEastAsia" w:hAnsiTheme="majorEastAsia" w:eastAsiaTheme="majorEastAsia"/>
                <w:color w:val="000000"/>
                <w:sz w:val="22"/>
                <w:szCs w:val="22"/>
                <w:highlight w:val="none"/>
                <w:shd w:val="clear"/>
              </w:rPr>
              <w:t>分；内容措施一般得1分</w:t>
            </w:r>
            <w:r>
              <w:rPr>
                <w:rFonts w:hint="eastAsia" w:cs="宋体" w:asciiTheme="majorEastAsia" w:hAnsiTheme="majorEastAsia" w:eastAsiaTheme="majorEastAsia"/>
                <w:color w:val="000000"/>
                <w:sz w:val="22"/>
                <w:szCs w:val="22"/>
                <w:highlight w:val="none"/>
              </w:rPr>
              <w:t>；未提供或不合理的，不得分。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418" w:type="pct"/>
            <w:vMerge w:val="continue"/>
            <w:shd w:val="clear" w:color="auto" w:fill="auto"/>
            <w:vAlign w:val="center"/>
          </w:tcPr>
          <w:p>
            <w:pPr>
              <w:jc w:val="center"/>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达到项目质量目标及保障项目质量的有力措施，措施的科学性、可行性及完善性，从投标文件响应情况及对有利于本项目实</w:t>
            </w:r>
            <w:r>
              <w:rPr>
                <w:rFonts w:hint="eastAsia" w:cs="宋体" w:asciiTheme="majorEastAsia" w:hAnsiTheme="majorEastAsia" w:eastAsiaTheme="majorEastAsia"/>
                <w:color w:val="000000"/>
                <w:sz w:val="22"/>
                <w:szCs w:val="22"/>
                <w:highlight w:val="none"/>
                <w:shd w:val="clear"/>
              </w:rPr>
              <w:t>施的角度进行评分。</w:t>
            </w:r>
            <w:r>
              <w:rPr>
                <w:rFonts w:hint="eastAsia" w:cs="宋体" w:asciiTheme="majorEastAsia" w:hAnsiTheme="majorEastAsia" w:eastAsiaTheme="majorEastAsia"/>
                <w:color w:val="000000"/>
                <w:sz w:val="22"/>
                <w:szCs w:val="22"/>
                <w:highlight w:val="none"/>
                <w:shd w:val="clear"/>
              </w:rPr>
              <w:br w:type="textWrapping"/>
            </w:r>
            <w:r>
              <w:rPr>
                <w:rFonts w:hint="eastAsia" w:cs="宋体" w:asciiTheme="majorEastAsia" w:hAnsiTheme="majorEastAsia" w:eastAsiaTheme="majorEastAsia"/>
                <w:color w:val="000000"/>
                <w:sz w:val="22"/>
                <w:szCs w:val="22"/>
                <w:highlight w:val="none"/>
                <w:shd w:val="clear"/>
              </w:rPr>
              <w:t>方案完整、科学合理，得</w:t>
            </w:r>
            <w:r>
              <w:rPr>
                <w:rFonts w:hint="eastAsia" w:cs="宋体" w:asciiTheme="majorEastAsia" w:hAnsiTheme="majorEastAsia" w:eastAsiaTheme="majorEastAsia"/>
                <w:color w:val="000000"/>
                <w:sz w:val="22"/>
                <w:szCs w:val="22"/>
                <w:highlight w:val="none"/>
                <w:shd w:val="clear"/>
                <w:lang w:val="en-US" w:eastAsia="zh-CN"/>
              </w:rPr>
              <w:t>5</w:t>
            </w:r>
            <w:r>
              <w:rPr>
                <w:rFonts w:hint="eastAsia" w:cs="宋体" w:asciiTheme="majorEastAsia" w:hAnsiTheme="majorEastAsia" w:eastAsiaTheme="majorEastAsia"/>
                <w:color w:val="000000"/>
                <w:sz w:val="22"/>
                <w:szCs w:val="22"/>
                <w:highlight w:val="none"/>
                <w:shd w:val="clear"/>
              </w:rPr>
              <w:t>分；相对完整，有一定的可行性，得</w:t>
            </w:r>
            <w:r>
              <w:rPr>
                <w:rFonts w:hint="eastAsia" w:cs="宋体" w:asciiTheme="majorEastAsia" w:hAnsiTheme="majorEastAsia" w:eastAsiaTheme="majorEastAsia"/>
                <w:color w:val="000000"/>
                <w:sz w:val="22"/>
                <w:szCs w:val="22"/>
                <w:highlight w:val="none"/>
                <w:shd w:val="clear"/>
                <w:lang w:val="en-US" w:eastAsia="zh-CN"/>
              </w:rPr>
              <w:t>3</w:t>
            </w:r>
            <w:r>
              <w:rPr>
                <w:rFonts w:hint="eastAsia" w:cs="宋体" w:asciiTheme="majorEastAsia" w:hAnsiTheme="majorEastAsia" w:eastAsiaTheme="majorEastAsia"/>
                <w:color w:val="000000"/>
                <w:sz w:val="22"/>
                <w:szCs w:val="22"/>
                <w:highlight w:val="none"/>
                <w:shd w:val="clear"/>
              </w:rPr>
              <w:t>分；</w:t>
            </w:r>
            <w:r>
              <w:rPr>
                <w:rFonts w:hint="eastAsia" w:cs="宋体" w:asciiTheme="majorEastAsia" w:hAnsiTheme="majorEastAsia" w:eastAsiaTheme="majorEastAsia"/>
                <w:color w:val="000000"/>
                <w:sz w:val="22"/>
                <w:szCs w:val="22"/>
                <w:highlight w:val="none"/>
              </w:rPr>
              <w:t>内容措施一般得1分；未提供或不合理的，不得分。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8" w:hRule="atLeast"/>
        </w:trPr>
        <w:tc>
          <w:tcPr>
            <w:tcW w:w="418"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c>
          <w:tcPr>
            <w:tcW w:w="632" w:type="pc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培训方案</w:t>
            </w:r>
          </w:p>
        </w:tc>
        <w:tc>
          <w:tcPr>
            <w:tcW w:w="3528" w:type="pct"/>
            <w:shd w:val="clear" w:color="auto" w:fill="auto"/>
            <w:vAlign w:val="center"/>
          </w:tcPr>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培训计划包括培训目标、原则、内容、方式等，培训计划方案详</w:t>
            </w:r>
            <w:r>
              <w:rPr>
                <w:rFonts w:hint="eastAsia" w:cs="宋体" w:asciiTheme="majorEastAsia" w:hAnsiTheme="majorEastAsia" w:eastAsiaTheme="majorEastAsia"/>
                <w:color w:val="000000"/>
                <w:sz w:val="22"/>
                <w:szCs w:val="22"/>
                <w:highlight w:val="none"/>
                <w:shd w:val="clear"/>
              </w:rPr>
              <w:t>细合理可行的得</w:t>
            </w:r>
            <w:r>
              <w:rPr>
                <w:rFonts w:hint="eastAsia" w:cs="宋体" w:asciiTheme="majorEastAsia" w:hAnsiTheme="majorEastAsia" w:eastAsiaTheme="majorEastAsia"/>
                <w:color w:val="000000"/>
                <w:sz w:val="22"/>
                <w:szCs w:val="22"/>
                <w:highlight w:val="none"/>
                <w:shd w:val="clear"/>
                <w:lang w:val="en-US" w:eastAsia="zh-CN"/>
              </w:rPr>
              <w:t>5</w:t>
            </w:r>
            <w:r>
              <w:rPr>
                <w:rFonts w:hint="eastAsia" w:cs="宋体" w:asciiTheme="majorEastAsia" w:hAnsiTheme="majorEastAsia" w:eastAsiaTheme="majorEastAsia"/>
                <w:color w:val="000000"/>
                <w:sz w:val="22"/>
                <w:szCs w:val="22"/>
                <w:highlight w:val="none"/>
                <w:shd w:val="clear"/>
              </w:rPr>
              <w:t>分，基本合理可行的得</w:t>
            </w:r>
            <w:r>
              <w:rPr>
                <w:rFonts w:hint="eastAsia" w:cs="宋体" w:asciiTheme="majorEastAsia" w:hAnsiTheme="majorEastAsia" w:eastAsiaTheme="majorEastAsia"/>
                <w:color w:val="000000"/>
                <w:sz w:val="22"/>
                <w:szCs w:val="22"/>
                <w:highlight w:val="none"/>
                <w:shd w:val="clear"/>
                <w:lang w:val="en-US" w:eastAsia="zh-CN"/>
              </w:rPr>
              <w:t>3</w:t>
            </w:r>
            <w:r>
              <w:rPr>
                <w:rFonts w:hint="eastAsia" w:cs="宋体" w:asciiTheme="majorEastAsia" w:hAnsiTheme="majorEastAsia" w:eastAsiaTheme="majorEastAsia"/>
                <w:color w:val="000000"/>
                <w:sz w:val="22"/>
                <w:szCs w:val="22"/>
                <w:highlight w:val="none"/>
                <w:shd w:val="clear"/>
              </w:rPr>
              <w:t>分，</w:t>
            </w:r>
            <w:r>
              <w:rPr>
                <w:rFonts w:hint="eastAsia" w:cs="宋体" w:asciiTheme="majorEastAsia" w:hAnsiTheme="majorEastAsia" w:eastAsiaTheme="majorEastAsia"/>
                <w:color w:val="000000"/>
                <w:sz w:val="22"/>
                <w:szCs w:val="22"/>
                <w:highlight w:val="none"/>
              </w:rPr>
              <w:t>方案内容存在缺陷的得1分，方案混乱、不可行不得分</w:t>
            </w:r>
          </w:p>
        </w:tc>
        <w:tc>
          <w:tcPr>
            <w:tcW w:w="420" w:type="pc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418" w:type="pct"/>
            <w:vMerge w:val="restar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6</w:t>
            </w:r>
          </w:p>
        </w:tc>
        <w:tc>
          <w:tcPr>
            <w:tcW w:w="632"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售后服务</w:t>
            </w: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按照招标文件中售后服务的要求，对投标人的售后服务响应或承诺情况进行打分。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投标人提供的售后服务响应或承诺</w:t>
            </w:r>
            <w:r>
              <w:rPr>
                <w:rFonts w:hint="eastAsia" w:cs="宋体" w:asciiTheme="majorEastAsia" w:hAnsiTheme="majorEastAsia" w:eastAsiaTheme="majorEastAsia"/>
                <w:color w:val="000000"/>
                <w:sz w:val="22"/>
                <w:szCs w:val="22"/>
                <w:highlight w:val="none"/>
                <w:shd w:val="clear"/>
              </w:rPr>
              <w:t>情况完整可行，得</w:t>
            </w:r>
            <w:r>
              <w:rPr>
                <w:rFonts w:hint="eastAsia" w:cs="宋体" w:asciiTheme="majorEastAsia" w:hAnsiTheme="majorEastAsia" w:eastAsiaTheme="majorEastAsia"/>
                <w:color w:val="000000"/>
                <w:sz w:val="22"/>
                <w:szCs w:val="22"/>
                <w:highlight w:val="none"/>
                <w:shd w:val="clear"/>
                <w:lang w:val="en-US" w:eastAsia="zh-CN"/>
              </w:rPr>
              <w:t>5</w:t>
            </w:r>
            <w:r>
              <w:rPr>
                <w:rFonts w:hint="eastAsia" w:cs="宋体" w:asciiTheme="majorEastAsia" w:hAnsiTheme="majorEastAsia" w:eastAsiaTheme="majorEastAsia"/>
                <w:color w:val="000000"/>
                <w:sz w:val="22"/>
                <w:szCs w:val="22"/>
                <w:highlight w:val="none"/>
                <w:shd w:val="clear"/>
              </w:rPr>
              <w:t>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投标人提供的售后服务响应或承诺情况一般的，得3分；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投标人提供的售后服务响应或承诺情况不够完整、可行性存在风险，得2分；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投标人提供的售后服务响应或承诺情况差的，得1分；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未提供或不合理的，不得分。</w:t>
            </w:r>
          </w:p>
        </w:tc>
        <w:tc>
          <w:tcPr>
            <w:tcW w:w="420" w:type="pct"/>
            <w:vMerge w:val="restar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shd w:val="clea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0" w:hRule="atLeast"/>
        </w:trPr>
        <w:tc>
          <w:tcPr>
            <w:tcW w:w="418" w:type="pct"/>
            <w:vMerge w:val="restart"/>
            <w:shd w:val="clear" w:color="auto" w:fill="auto"/>
            <w:vAlign w:val="center"/>
          </w:tcPr>
          <w:p>
            <w:pPr>
              <w:jc w:val="center"/>
              <w:rPr>
                <w:rFonts w:hint="default" w:cs="宋体" w:asciiTheme="majorEastAsia" w:hAnsiTheme="majorEastAsia" w:eastAsiaTheme="majorEastAsia"/>
                <w:color w:val="000000"/>
                <w:sz w:val="22"/>
                <w:szCs w:val="22"/>
                <w:highlight w:val="none"/>
                <w:lang w:val="en-US" w:eastAsia="zh-CN"/>
              </w:rPr>
            </w:pPr>
            <w:r>
              <w:rPr>
                <w:rFonts w:hint="eastAsia" w:cs="宋体" w:asciiTheme="majorEastAsia" w:hAnsiTheme="majorEastAsia" w:eastAsiaTheme="majorEastAsia"/>
                <w:color w:val="000000"/>
                <w:sz w:val="22"/>
                <w:szCs w:val="22"/>
                <w:highlight w:val="none"/>
                <w:lang w:val="en-US" w:eastAsia="zh-CN"/>
              </w:rPr>
              <w:t>7</w:t>
            </w:r>
          </w:p>
        </w:tc>
        <w:tc>
          <w:tcPr>
            <w:tcW w:w="632"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项目投入技术力量</w:t>
            </w:r>
          </w:p>
        </w:tc>
        <w:tc>
          <w:tcPr>
            <w:tcW w:w="3528" w:type="pct"/>
            <w:shd w:val="clear" w:color="auto" w:fill="auto"/>
            <w:vAlign w:val="center"/>
          </w:tcPr>
          <w:p>
            <w:pPr>
              <w:jc w:val="both"/>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拟担任本项目经理需具有法院业务项目管理经验，根据提供的简历和项目管理证书进行评分。</w:t>
            </w:r>
          </w:p>
          <w:p>
            <w:pPr>
              <w:jc w:val="both"/>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投标人提供的本项目经理管理经验丰富，综合能力强的得4分；</w:t>
            </w:r>
          </w:p>
          <w:p>
            <w:pPr>
              <w:jc w:val="both"/>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投标人提供的本项目经理管理经验较丰富，综合能力较强的得3分；</w:t>
            </w:r>
          </w:p>
          <w:p>
            <w:pPr>
              <w:jc w:val="both"/>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投标人提供的本项目经理管理经验一般，综合能力一般得2分；</w:t>
            </w:r>
          </w:p>
          <w:p>
            <w:pPr>
              <w:jc w:val="both"/>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投标人提供的本项目经理管理经验一般，综合能力较差得1分；</w:t>
            </w:r>
          </w:p>
          <w:p>
            <w:pPr>
              <w:jc w:val="both"/>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未提供或不合理的，不得分。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说明：根据投标文件中提供的简历进行评分，项目管理证书单独得2分未提供或不符合以上条件不得分。</w:t>
            </w:r>
          </w:p>
        </w:tc>
        <w:tc>
          <w:tcPr>
            <w:tcW w:w="420"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cs="宋体" w:asciiTheme="majorEastAsia" w:hAnsiTheme="majorEastAsia" w:eastAsiaTheme="majorEastAsia"/>
                <w:color w:val="000000"/>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trPr>
        <w:tc>
          <w:tcPr>
            <w:tcW w:w="418" w:type="pct"/>
            <w:vMerge w:val="continue"/>
            <w:shd w:val="clear" w:color="auto" w:fill="auto"/>
            <w:vAlign w:val="center"/>
          </w:tcPr>
          <w:p>
            <w:pPr>
              <w:jc w:val="center"/>
              <w:rPr>
                <w:rFonts w:hint="eastAsia" w:cs="宋体" w:asciiTheme="majorEastAsia" w:hAnsiTheme="majorEastAsia" w:eastAsiaTheme="majorEastAsia"/>
                <w:color w:val="000000"/>
                <w:sz w:val="22"/>
                <w:szCs w:val="22"/>
                <w:highlight w:val="none"/>
                <w:lang w:val="en-US" w:eastAsia="zh-CN"/>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人员项目投入人员的配置、综合素质经验等情况，需提供人员简历及资质证书。</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投标人提供的项目投入人员的配置，综合素质高得5分；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投标人提供的项目投入人员的配置合理，综合素质较高得4分；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投标人提供的项目投入人员的配置较合理，综合素质较高得3分；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投标人提供的项目投入人员的配置，综合素质一般得2分；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投标人提供的项目投入人员的配置不够合理、存在实施风险得1分；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未提供项目投入人员的配置不合理、无法正常实施项目得0分。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说明：根据投标文件中提供的简历和资质证书进行评分，未提供或不符合以上条件不得分。</w:t>
            </w:r>
          </w:p>
        </w:tc>
        <w:tc>
          <w:tcPr>
            <w:tcW w:w="420"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7" w:hRule="atLeast"/>
        </w:trPr>
        <w:tc>
          <w:tcPr>
            <w:tcW w:w="418" w:type="pct"/>
            <w:vMerge w:val="restart"/>
            <w:shd w:val="clear" w:color="auto" w:fill="auto"/>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8</w:t>
            </w:r>
          </w:p>
        </w:tc>
        <w:tc>
          <w:tcPr>
            <w:tcW w:w="632"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投标人履行能力</w:t>
            </w: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投标人具有质量管理体系认证证书ISO 9001得1分，具有IT服务管理体系认证证书ISO 20000得1分，具有信息安全管理体系认证证书ISO 27001得1分，具有软件企业证书的得1分。</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 xml:space="preserve">说明：根据投标文件中提供的有效证书进行评分，未提供或不符合以上条件不得分。 </w:t>
            </w:r>
          </w:p>
        </w:tc>
        <w:tc>
          <w:tcPr>
            <w:tcW w:w="420" w:type="pct"/>
            <w:vMerge w:val="restart"/>
            <w:shd w:val="clear" w:color="auto" w:fill="auto"/>
            <w:vAlign w:val="center"/>
          </w:tcPr>
          <w:p>
            <w:pPr>
              <w:jc w:val="cente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1" w:hRule="atLeast"/>
        </w:trPr>
        <w:tc>
          <w:tcPr>
            <w:tcW w:w="418"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632" w:type="pct"/>
            <w:vMerge w:val="continue"/>
            <w:shd w:val="clear" w:color="auto" w:fill="auto"/>
            <w:vAlign w:val="center"/>
          </w:tcPr>
          <w:p>
            <w:pPr>
              <w:rPr>
                <w:rFonts w:cs="宋体" w:asciiTheme="majorEastAsia" w:hAnsiTheme="majorEastAsia" w:eastAsiaTheme="majorEastAsia"/>
                <w:color w:val="000000"/>
                <w:sz w:val="22"/>
                <w:szCs w:val="22"/>
                <w:highlight w:val="none"/>
              </w:rPr>
            </w:pPr>
          </w:p>
        </w:tc>
        <w:tc>
          <w:tcPr>
            <w:tcW w:w="3528" w:type="pct"/>
            <w:shd w:val="clear" w:color="auto" w:fill="auto"/>
            <w:vAlign w:val="center"/>
          </w:tcPr>
          <w:p>
            <w:pPr>
              <w:rPr>
                <w:rFonts w:hint="eastAsia"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截止投标时间近三年以来（20</w:t>
            </w:r>
            <w:r>
              <w:rPr>
                <w:rFonts w:cs="宋体" w:asciiTheme="majorEastAsia" w:hAnsiTheme="majorEastAsia" w:eastAsiaTheme="majorEastAsia"/>
                <w:color w:val="000000"/>
                <w:sz w:val="22"/>
                <w:szCs w:val="22"/>
                <w:highlight w:val="none"/>
              </w:rPr>
              <w:t>20</w:t>
            </w:r>
            <w:r>
              <w:rPr>
                <w:rFonts w:hint="eastAsia" w:cs="宋体" w:asciiTheme="majorEastAsia" w:hAnsiTheme="majorEastAsia" w:eastAsiaTheme="majorEastAsia"/>
                <w:color w:val="000000"/>
                <w:sz w:val="22"/>
                <w:szCs w:val="22"/>
                <w:highlight w:val="none"/>
              </w:rPr>
              <w:t>年1月1日以来）投标人承担法院相关软件项目，每提供一份合同得</w:t>
            </w:r>
            <w:r>
              <w:rPr>
                <w:rFonts w:hint="eastAsia" w:cs="宋体" w:asciiTheme="majorEastAsia" w:hAnsiTheme="majorEastAsia" w:eastAsiaTheme="majorEastAsia"/>
                <w:color w:val="000000"/>
                <w:sz w:val="22"/>
                <w:szCs w:val="22"/>
                <w:highlight w:val="none"/>
                <w:lang w:val="en-US" w:eastAsia="zh-CN"/>
              </w:rPr>
              <w:t>0.5</w:t>
            </w:r>
            <w:r>
              <w:rPr>
                <w:rFonts w:hint="eastAsia" w:cs="宋体" w:asciiTheme="majorEastAsia" w:hAnsiTheme="majorEastAsia" w:eastAsiaTheme="majorEastAsia"/>
                <w:color w:val="000000"/>
                <w:sz w:val="22"/>
                <w:szCs w:val="22"/>
                <w:highlight w:val="none"/>
              </w:rPr>
              <w:t>分，最高</w:t>
            </w:r>
            <w:r>
              <w:rPr>
                <w:rFonts w:hint="eastAsia" w:cs="宋体" w:asciiTheme="majorEastAsia" w:hAnsiTheme="majorEastAsia" w:eastAsiaTheme="majorEastAsia"/>
                <w:color w:val="000000"/>
                <w:sz w:val="22"/>
                <w:szCs w:val="22"/>
                <w:highlight w:val="none"/>
                <w:lang w:val="en-US" w:eastAsia="zh-CN"/>
              </w:rPr>
              <w:t>1</w:t>
            </w:r>
            <w:r>
              <w:rPr>
                <w:rFonts w:hint="eastAsia" w:cs="宋体" w:asciiTheme="majorEastAsia" w:hAnsiTheme="majorEastAsia" w:eastAsiaTheme="majorEastAsia"/>
                <w:color w:val="000000"/>
                <w:sz w:val="22"/>
                <w:szCs w:val="22"/>
                <w:highlight w:val="none"/>
              </w:rPr>
              <w:t>分。提供合同复印件加盖公章。</w:t>
            </w:r>
          </w:p>
          <w:p>
            <w:pPr>
              <w:rPr>
                <w:rFonts w:cs="宋体" w:asciiTheme="majorEastAsia" w:hAnsiTheme="majorEastAsia" w:eastAsiaTheme="majorEastAsia"/>
                <w:color w:val="000000"/>
                <w:sz w:val="22"/>
                <w:szCs w:val="22"/>
                <w:highlight w:val="none"/>
              </w:rPr>
            </w:pPr>
            <w:r>
              <w:rPr>
                <w:rFonts w:hint="eastAsia" w:cs="宋体" w:asciiTheme="majorEastAsia" w:hAnsiTheme="majorEastAsia" w:eastAsiaTheme="majorEastAsia"/>
                <w:color w:val="000000"/>
                <w:sz w:val="22"/>
                <w:szCs w:val="22"/>
                <w:highlight w:val="none"/>
              </w:rPr>
              <w:t>说明：根据投标文件中提供的业绩合同进行评分，未提供或不符合以上条件不得分。</w:t>
            </w:r>
          </w:p>
        </w:tc>
        <w:tc>
          <w:tcPr>
            <w:tcW w:w="420" w:type="pct"/>
            <w:shd w:val="clear" w:color="auto" w:fill="auto"/>
            <w:noWrap/>
            <w:vAlign w:val="center"/>
          </w:tcPr>
          <w:p>
            <w:pPr>
              <w:jc w:val="center"/>
              <w:rPr>
                <w:rFonts w:hint="eastAsia" w:cs="宋体" w:asciiTheme="majorEastAsia" w:hAnsiTheme="majorEastAsia" w:eastAsiaTheme="majorEastAsia"/>
                <w:color w:val="000000"/>
                <w:sz w:val="22"/>
                <w:szCs w:val="22"/>
                <w:highlight w:val="none"/>
                <w:lang w:eastAsia="zh-CN"/>
              </w:rPr>
            </w:pPr>
            <w:r>
              <w:rPr>
                <w:rFonts w:hint="eastAsia" w:cs="宋体" w:asciiTheme="majorEastAsia" w:hAnsiTheme="majorEastAsia" w:eastAsiaTheme="majorEastAsia"/>
                <w:color w:val="000000"/>
                <w:sz w:val="22"/>
                <w:szCs w:val="22"/>
                <w:highlight w:val="none"/>
                <w:lang w:val="en-US" w:eastAsia="zh-CN"/>
              </w:rPr>
              <w:t>1</w:t>
            </w:r>
          </w:p>
        </w:tc>
      </w:tr>
    </w:tbl>
    <w:p>
      <w:pPr>
        <w:pStyle w:val="16"/>
        <w:rPr>
          <w:highlight w:val="none"/>
        </w:rPr>
      </w:pPr>
    </w:p>
    <w:p>
      <w:pPr>
        <w:adjustRightInd w:val="0"/>
        <w:snapToGrid w:val="0"/>
        <w:spacing w:line="360" w:lineRule="auto"/>
        <w:rPr>
          <w:highlight w:val="none"/>
        </w:rPr>
      </w:pPr>
      <w:r>
        <w:rPr>
          <w:rFonts w:hint="eastAsia"/>
          <w:highlight w:val="none"/>
        </w:rPr>
        <w:t>注：1、如在投标文件中未涉及上述有关评分内容的，则相应得分按0分计。</w:t>
      </w:r>
    </w:p>
    <w:p>
      <w:pPr>
        <w:numPr>
          <w:ilvl w:val="0"/>
          <w:numId w:val="2"/>
        </w:numPr>
        <w:adjustRightInd w:val="0"/>
        <w:snapToGrid w:val="0"/>
        <w:spacing w:line="360" w:lineRule="auto"/>
        <w:ind w:firstLine="480" w:firstLineChars="200"/>
        <w:rPr>
          <w:highlight w:val="none"/>
        </w:rPr>
      </w:pPr>
      <w:r>
        <w:rPr>
          <w:rFonts w:hint="eastAsia"/>
          <w:highlight w:val="none"/>
        </w:rPr>
        <w:t>以上所涉及项目，若附件格式未提供，请自行设计格式于投标文件中。</w:t>
      </w: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3"/>
        <w:spacing w:before="0" w:after="0" w:line="500" w:lineRule="exact"/>
        <w:jc w:val="center"/>
        <w:rPr>
          <w:sz w:val="36"/>
          <w:szCs w:val="36"/>
          <w:highlight w:val="none"/>
        </w:rPr>
      </w:pPr>
      <w:bookmarkStart w:id="99" w:name="_Toc6501"/>
      <w:bookmarkStart w:id="100" w:name="_Toc12937"/>
      <w:bookmarkStart w:id="101" w:name="_Toc22734"/>
      <w:r>
        <w:rPr>
          <w:rFonts w:hint="eastAsia"/>
          <w:sz w:val="36"/>
          <w:szCs w:val="36"/>
          <w:highlight w:val="none"/>
        </w:rPr>
        <w:t>第五章  合同主要条款</w:t>
      </w:r>
      <w:bookmarkEnd w:id="99"/>
      <w:bookmarkEnd w:id="100"/>
      <w:bookmarkEnd w:id="101"/>
    </w:p>
    <w:p>
      <w:pPr>
        <w:pStyle w:val="13"/>
        <w:spacing w:line="360" w:lineRule="auto"/>
        <w:ind w:firstLine="482" w:firstLineChars="200"/>
        <w:jc w:val="center"/>
        <w:rPr>
          <w:rFonts w:hAnsi="宋体"/>
          <w:b/>
          <w:sz w:val="24"/>
          <w:szCs w:val="24"/>
          <w:highlight w:val="none"/>
        </w:rPr>
      </w:pPr>
      <w:r>
        <w:rPr>
          <w:rFonts w:hint="eastAsia" w:hAnsi="宋体"/>
          <w:b/>
          <w:sz w:val="24"/>
          <w:szCs w:val="24"/>
          <w:highlight w:val="none"/>
        </w:rPr>
        <w:t>（条款供参考，以实际签订合同为准）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2" w:beforeLines="100" w:line="360" w:lineRule="auto"/>
        <w:jc w:val="center"/>
        <w:rPr>
          <w:rFonts w:hint="eastAsia" w:ascii="宋体" w:hAnsi="宋体" w:cs="Arial"/>
          <w:b/>
          <w:color w:val="auto"/>
          <w:sz w:val="24"/>
          <w:szCs w:val="24"/>
          <w:highlight w:val="none"/>
        </w:rPr>
      </w:pPr>
      <w:r>
        <w:rPr>
          <w:rFonts w:hint="eastAsia" w:ascii="宋体" w:hAnsi="宋体" w:cs="Arial"/>
          <w:b/>
          <w:color w:val="auto"/>
          <w:sz w:val="24"/>
          <w:szCs w:val="24"/>
          <w:highlight w:val="none"/>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Arial"/>
          <w:color w:val="auto"/>
          <w:szCs w:val="21"/>
          <w:highlight w:val="none"/>
        </w:rPr>
      </w:pPr>
      <w:r>
        <w:rPr>
          <w:rFonts w:hint="eastAsia" w:ascii="宋体" w:hAnsi="宋体" w:cs="Arial"/>
          <w:color w:val="auto"/>
          <w:szCs w:val="21"/>
          <w:highlight w:val="none"/>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政府采购计划（预算）确认号：</w:t>
      </w:r>
      <w:r>
        <w:rPr>
          <w:rFonts w:hint="eastAsia" w:cs="Arial"/>
          <w:color w:val="auto"/>
          <w:szCs w:val="21"/>
          <w:highlight w:val="none"/>
          <w:lang w:val="en-US" w:eastAsia="zh-CN"/>
        </w:rPr>
        <w:t>[2022]3135号</w:t>
      </w:r>
      <w:r>
        <w:rPr>
          <w:rFonts w:hint="eastAsia" w:ascii="宋体" w:hAnsi="宋体" w:cs="Arial"/>
          <w:color w:val="auto"/>
          <w:szCs w:val="21"/>
          <w:highlight w:val="none"/>
          <w:lang w:val="en-US" w:eastAsia="zh-CN"/>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Arial"/>
          <w:color w:val="auto"/>
          <w:szCs w:val="21"/>
          <w:highlight w:val="none"/>
        </w:rPr>
      </w:pPr>
      <w:r>
        <w:rPr>
          <w:rFonts w:hint="eastAsia" w:ascii="宋体" w:hAnsi="宋体" w:cs="Arial"/>
          <w:color w:val="auto"/>
          <w:szCs w:val="21"/>
          <w:highlight w:val="none"/>
        </w:rPr>
        <w:t>预算金额：</w:t>
      </w:r>
      <w:r>
        <w:rPr>
          <w:rFonts w:hint="eastAsia" w:ascii="宋体" w:hAnsi="宋体" w:cs="Arial"/>
          <w:color w:val="auto"/>
          <w:szCs w:val="21"/>
          <w:highlight w:val="none"/>
          <w:u w:val="single"/>
          <w:lang w:val="en-US" w:eastAsia="zh-CN"/>
        </w:rPr>
        <w:t>50</w:t>
      </w:r>
      <w:r>
        <w:rPr>
          <w:rFonts w:hint="eastAsia" w:ascii="宋体" w:hAnsi="宋体" w:cs="Arial"/>
          <w:color w:val="auto"/>
          <w:szCs w:val="21"/>
          <w:highlight w:val="none"/>
          <w:u w:val="single"/>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采购人（以下称甲方）：</w:t>
      </w:r>
      <w:r>
        <w:rPr>
          <w:rFonts w:hint="eastAsia" w:ascii="宋体" w:hAnsi="宋体" w:cs="Arial"/>
          <w:color w:val="auto"/>
          <w:szCs w:val="21"/>
          <w:highlight w:val="none"/>
          <w:u w:val="single"/>
          <w:lang w:eastAsia="zh-CN"/>
        </w:rPr>
        <w:t>海盐县人民法院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Arial"/>
          <w:color w:val="auto"/>
          <w:szCs w:val="21"/>
          <w:highlight w:val="none"/>
        </w:rPr>
      </w:pPr>
      <w:r>
        <w:rPr>
          <w:rFonts w:hint="eastAsia" w:ascii="宋体" w:hAnsi="宋体" w:cs="Arial"/>
          <w:color w:val="auto"/>
          <w:szCs w:val="21"/>
          <w:highlight w:val="none"/>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采购代理机构：</w:t>
      </w:r>
      <w:r>
        <w:rPr>
          <w:rFonts w:hint="eastAsia" w:ascii="宋体" w:hAnsi="宋体" w:cs="Arial"/>
          <w:color w:val="auto"/>
          <w:szCs w:val="21"/>
          <w:highlight w:val="none"/>
          <w:u w:val="single"/>
          <w:lang w:eastAsia="zh-CN"/>
        </w:rPr>
        <w:t>嘉兴市建新工程造价咨询事务所有限公司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Arial"/>
          <w:color w:val="auto"/>
          <w:szCs w:val="21"/>
          <w:highlight w:val="none"/>
        </w:rPr>
      </w:pPr>
      <w:r>
        <w:rPr>
          <w:rFonts w:hint="eastAsia" w:ascii="宋体" w:hAnsi="宋体" w:cs="Arial"/>
          <w:color w:val="auto"/>
          <w:szCs w:val="21"/>
          <w:highlight w:val="none"/>
        </w:rPr>
        <w:t>采购方式：</w:t>
      </w:r>
      <w:r>
        <w:rPr>
          <w:rFonts w:hint="eastAsia" w:ascii="宋体" w:hAnsi="宋体" w:cs="Arial"/>
          <w:color w:val="auto"/>
          <w:szCs w:val="21"/>
          <w:highlight w:val="none"/>
          <w:u w:val="single"/>
        </w:rPr>
        <w:t>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根据《中华人民共和国政府采购法》、《中华人民共和国合同法》等法律法规的规定，甲乙双方按照</w:t>
      </w:r>
      <w:r>
        <w:rPr>
          <w:rFonts w:hint="eastAsia" w:ascii="宋体" w:hAnsi="宋体" w:cs="Arial"/>
          <w:color w:val="auto"/>
          <w:szCs w:val="21"/>
          <w:highlight w:val="none"/>
          <w:u w:val="single"/>
          <w:lang w:eastAsia="zh-CN"/>
        </w:rPr>
        <w:t>海盐县人民法院涉案财物管理项目</w:t>
      </w:r>
      <w:r>
        <w:rPr>
          <w:rFonts w:hint="eastAsia" w:ascii="宋体" w:hAnsi="宋体" w:cs="Arial"/>
          <w:color w:val="auto"/>
          <w:szCs w:val="21"/>
          <w:highlight w:val="none"/>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1、本次采购的是</w:t>
      </w:r>
      <w:r>
        <w:rPr>
          <w:rFonts w:hint="eastAsia" w:ascii="宋体" w:hAnsi="宋体" w:cs="Arial"/>
          <w:color w:val="auto"/>
          <w:szCs w:val="21"/>
          <w:highlight w:val="none"/>
          <w:u w:val="single"/>
          <w:lang w:eastAsia="zh-CN"/>
        </w:rPr>
        <w:t>海盐县人民法院涉案财物管理项目</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1、本合同项下总价款为（大写）</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2、本合同总价款含所有税费(货款费、安装调试费、维护费、税金、包装、运输、培训技术服务、售后服务、材料、质保期保障、招标代理服务费等一切费用</w:t>
      </w:r>
      <w:r>
        <w:rPr>
          <w:rFonts w:hint="eastAsia" w:ascii="宋体" w:hAnsi="宋体" w:cs="Arial"/>
          <w:color w:val="auto"/>
          <w:szCs w:val="21"/>
          <w:highlight w:val="none"/>
          <w:lang w:eastAsia="zh-CN"/>
        </w:rPr>
        <w:t>。</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3、本合同付款方式为以下第</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u w:val="single"/>
          <w:lang w:val="en-US" w:eastAsia="zh-CN"/>
        </w:rPr>
        <w:t>1</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项：</w:t>
      </w:r>
    </w:p>
    <w:p>
      <w:pPr>
        <w:spacing w:line="360" w:lineRule="auto"/>
        <w:ind w:firstLine="470" w:firstLineChars="196"/>
        <w:rPr>
          <w:rFonts w:hint="eastAsia" w:ascii="宋体" w:hAnsi="宋体" w:cs="Arial"/>
          <w:color w:val="auto"/>
          <w:szCs w:val="21"/>
          <w:highlight w:val="none"/>
        </w:rPr>
      </w:pPr>
      <w:r>
        <w:rPr>
          <w:rFonts w:hint="eastAsia" w:ascii="宋体" w:hAnsi="宋体" w:cs="Arial"/>
          <w:color w:val="auto"/>
          <w:szCs w:val="21"/>
          <w:highlight w:val="none"/>
        </w:rPr>
        <w:t>（1）本合同项下的采购资金系甲方自行支付，付款程序为</w:t>
      </w:r>
      <w:r>
        <w:rPr>
          <w:rFonts w:hint="eastAsia" w:ascii="宋体" w:hAnsi="宋体"/>
          <w:color w:val="auto"/>
          <w:szCs w:val="21"/>
          <w:highlight w:val="none"/>
          <w:u w:val="single"/>
        </w:rPr>
        <w:t>签订合同后7个工作日内支付合同金额的50%作为预付款，项目建设完成并通过验收后支付至合同金额的100%</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（2）本合同项下的采购资金须财政直接支付，付款程序为</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4、本合同项下的采购资金付款进度按招投标文件规定，未规定时按以下第</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rPr>
        <w:t>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（1）一次性付款：乙方合同履行</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rPr>
        <w:t>，一次性付款；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rPr>
        <w:t>（2）分期付款</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签订合同后7个工作日内支付合同金额的50%作为预付款，项目建设完成并通过验收后支付至合同金额的100%.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b/>
          <w:color w:val="auto"/>
          <w:szCs w:val="21"/>
          <w:highlight w:val="none"/>
        </w:rPr>
      </w:pPr>
      <w:r>
        <w:rPr>
          <w:rFonts w:hint="eastAsia" w:ascii="宋体" w:hAnsi="宋体" w:cs="Arial"/>
          <w:color w:val="auto"/>
          <w:szCs w:val="21"/>
          <w:highlight w:val="none"/>
        </w:rPr>
        <w:t>按以下第</w:t>
      </w:r>
      <w:r>
        <w:rPr>
          <w:rFonts w:hint="eastAsia" w:ascii="宋体" w:hAnsi="宋体" w:cs="Arial"/>
          <w:color w:val="auto"/>
          <w:szCs w:val="21"/>
          <w:highlight w:val="none"/>
          <w:u w:val="single"/>
        </w:rPr>
        <w:t>（1）</w:t>
      </w:r>
      <w:r>
        <w:rPr>
          <w:rFonts w:hint="eastAsia" w:ascii="宋体" w:hAnsi="宋体" w:cs="Arial"/>
          <w:color w:val="auto"/>
          <w:szCs w:val="21"/>
          <w:highlight w:val="none"/>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1、本项目设置履约保证金，乙方应于</w:t>
      </w:r>
      <w:r>
        <w:rPr>
          <w:rFonts w:hint="eastAsia" w:hAnsi="宋体" w:cs="Arial"/>
          <w:color w:val="auto"/>
          <w:szCs w:val="21"/>
          <w:highlight w:val="none"/>
          <w:u w:val="single"/>
        </w:rPr>
        <w:t>本合同签订之前</w:t>
      </w:r>
      <w:r>
        <w:rPr>
          <w:rFonts w:hint="eastAsia" w:ascii="宋体" w:hAnsi="宋体" w:cs="Arial"/>
          <w:color w:val="auto"/>
          <w:szCs w:val="21"/>
          <w:highlight w:val="none"/>
        </w:rPr>
        <w:t>（时间）向甲方提交履约保证金</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元（合同金额的</w:t>
      </w:r>
      <w:r>
        <w:rPr>
          <w:rFonts w:hint="eastAsia" w:ascii="宋体" w:hAnsi="宋体" w:cs="Arial"/>
          <w:color w:val="auto"/>
          <w:szCs w:val="21"/>
          <w:highlight w:val="none"/>
          <w:lang w:val="en-US" w:eastAsia="zh-CN"/>
        </w:rPr>
        <w:t>1.0</w:t>
      </w:r>
      <w:r>
        <w:rPr>
          <w:rFonts w:hint="eastAsia" w:ascii="宋体" w:hAnsi="宋体" w:cs="Arial"/>
          <w:color w:val="auto"/>
          <w:szCs w:val="21"/>
          <w:highlight w:val="none"/>
        </w:rPr>
        <w:t>%）。履约保证金</w:t>
      </w:r>
      <w:r>
        <w:rPr>
          <w:rFonts w:hint="eastAsia" w:ascii="宋体" w:hAnsi="宋体"/>
          <w:color w:val="auto"/>
          <w:szCs w:val="21"/>
          <w:highlight w:val="none"/>
        </w:rPr>
        <w:t>返的方式</w:t>
      </w:r>
      <w:r>
        <w:rPr>
          <w:rFonts w:hint="eastAsia" w:ascii="宋体" w:hAnsi="宋体"/>
          <w:color w:val="auto"/>
          <w:szCs w:val="21"/>
          <w:highlight w:val="none"/>
          <w:lang w:eastAsia="zh-CN"/>
        </w:rPr>
        <w:t>：</w:t>
      </w:r>
      <w:r>
        <w:rPr>
          <w:rFonts w:hint="eastAsia" w:hAnsi="宋体"/>
          <w:color w:val="auto"/>
          <w:kern w:val="0"/>
          <w:highlight w:val="none"/>
          <w:u w:val="single"/>
          <w:lang w:val="en-US" w:eastAsia="zh-CN"/>
        </w:rPr>
        <w:t>履约保证金在项目验收结束后三十日内无息返还</w:t>
      </w:r>
      <w:r>
        <w:rPr>
          <w:rFonts w:hint="eastAsia" w:ascii="宋体" w:hAnsi="宋体" w:cs="Arial"/>
          <w:color w:val="auto"/>
          <w:szCs w:val="21"/>
          <w:highlight w:val="none"/>
          <w:u w:val="singl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b/>
          <w:color w:val="auto"/>
          <w:szCs w:val="21"/>
          <w:highlight w:val="none"/>
        </w:rPr>
      </w:pPr>
      <w:r>
        <w:rPr>
          <w:rFonts w:hint="eastAsia" w:ascii="宋体" w:hAnsi="宋体" w:cs="Arial"/>
          <w:color w:val="auto"/>
          <w:szCs w:val="21"/>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1、因履行本合同引起的或与本合同有关的争议，甲、乙双方应首先通过友好协商解决，如果协商不能解决争议，则采取以下第</w:t>
      </w:r>
      <w:r>
        <w:rPr>
          <w:rFonts w:hint="eastAsia" w:ascii="宋体" w:hAnsi="宋体" w:cs="Arial"/>
          <w:color w:val="auto"/>
          <w:szCs w:val="21"/>
          <w:highlight w:val="none"/>
          <w:u w:val="single"/>
        </w:rPr>
        <w:t>（1）</w:t>
      </w:r>
      <w:r>
        <w:rPr>
          <w:rFonts w:hint="eastAsia" w:ascii="宋体" w:hAnsi="宋体" w:cs="Arial"/>
          <w:color w:val="auto"/>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color w:val="auto"/>
          <w:szCs w:val="21"/>
          <w:highlight w:val="none"/>
        </w:rPr>
      </w:pPr>
      <w:r>
        <w:rPr>
          <w:rFonts w:hint="eastAsia" w:ascii="宋体" w:hAnsi="宋体" w:cs="Arial"/>
          <w:color w:val="auto"/>
          <w:szCs w:val="21"/>
          <w:highlight w:val="none"/>
        </w:rPr>
        <w:t>（2）向</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ascii="宋体" w:hAnsi="宋体" w:cs="Arial"/>
          <w:b/>
          <w:color w:val="auto"/>
          <w:szCs w:val="21"/>
          <w:highlight w:val="none"/>
        </w:rPr>
      </w:pPr>
      <w:r>
        <w:rPr>
          <w:rFonts w:hint="eastAsia" w:ascii="宋体" w:hAnsi="宋体" w:cs="Arial"/>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Arial"/>
          <w:b/>
          <w:color w:val="auto"/>
          <w:szCs w:val="21"/>
          <w:highlight w:val="none"/>
        </w:rPr>
      </w:pPr>
      <w:r>
        <w:rPr>
          <w:rFonts w:hint="eastAsia" w:ascii="宋体" w:hAnsi="宋体" w:cs="Arial"/>
          <w:color w:val="auto"/>
          <w:szCs w:val="21"/>
          <w:highlight w:val="none"/>
        </w:rPr>
        <w:t>本合同一式</w:t>
      </w:r>
      <w:r>
        <w:rPr>
          <w:rFonts w:hint="eastAsia" w:ascii="宋体" w:hAnsi="宋体" w:cs="Arial"/>
          <w:color w:val="auto"/>
          <w:szCs w:val="21"/>
          <w:highlight w:val="none"/>
          <w:u w:val="single"/>
        </w:rPr>
        <w:t xml:space="preserve"> 陆 </w:t>
      </w:r>
      <w:r>
        <w:rPr>
          <w:rFonts w:hint="eastAsia" w:ascii="宋体" w:hAnsi="宋体" w:cs="Arial"/>
          <w:color w:val="auto"/>
          <w:szCs w:val="21"/>
          <w:highlight w:val="none"/>
        </w:rPr>
        <w:t>份，甲乙双方各执</w:t>
      </w:r>
      <w:r>
        <w:rPr>
          <w:rFonts w:hint="eastAsia" w:ascii="宋体" w:hAnsi="宋体" w:cs="Arial"/>
          <w:color w:val="auto"/>
          <w:szCs w:val="21"/>
          <w:highlight w:val="none"/>
          <w:u w:val="single"/>
        </w:rPr>
        <w:t xml:space="preserve"> 贰 </w:t>
      </w:r>
      <w:r>
        <w:rPr>
          <w:rFonts w:hint="eastAsia" w:ascii="宋体" w:hAnsi="宋体" w:cs="Arial"/>
          <w:color w:val="auto"/>
          <w:szCs w:val="21"/>
          <w:highlight w:val="none"/>
        </w:rPr>
        <w:t>份，1份报送政府采购监督管理部门备案，1份送</w:t>
      </w:r>
      <w:r>
        <w:rPr>
          <w:rFonts w:hint="eastAsia" w:ascii="宋体" w:hAnsi="宋体" w:cs="Arial"/>
          <w:color w:val="auto"/>
          <w:szCs w:val="21"/>
          <w:highlight w:val="none"/>
          <w:lang w:eastAsia="zh-CN"/>
        </w:rPr>
        <w:t>嘉兴市建新工程造价咨询事务所有限公司</w:t>
      </w:r>
      <w:r>
        <w:rPr>
          <w:rFonts w:hint="eastAsia" w:ascii="宋体" w:hAnsi="宋体" w:cs="Arial"/>
          <w:color w:val="auto"/>
          <w:szCs w:val="21"/>
          <w:highlight w:val="none"/>
        </w:rPr>
        <w:t>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Arial"/>
          <w:b/>
          <w:color w:val="auto"/>
          <w:szCs w:val="21"/>
          <w:highlight w:val="none"/>
        </w:rPr>
      </w:pPr>
      <w:r>
        <w:rPr>
          <w:rFonts w:hint="eastAsia" w:ascii="宋体" w:hAnsi="宋体" w:cs="Arial"/>
          <w:b/>
          <w:color w:val="auto"/>
          <w:szCs w:val="21"/>
          <w:highlight w:val="none"/>
        </w:rPr>
        <w:t>二、特殊专用条款部分</w:t>
      </w:r>
    </w:p>
    <w:p>
      <w:pPr>
        <w:pStyle w:val="13"/>
        <w:snapToGrid w:val="0"/>
        <w:spacing w:line="420" w:lineRule="auto"/>
        <w:rPr>
          <w:rFonts w:hAnsi="宋体"/>
          <w:b/>
          <w:szCs w:val="21"/>
          <w:highlight w:val="none"/>
        </w:rPr>
      </w:pPr>
      <w:r>
        <w:rPr>
          <w:rFonts w:hint="eastAsia" w:hAnsi="宋体"/>
          <w:b/>
          <w:szCs w:val="21"/>
          <w:highlight w:val="none"/>
        </w:rPr>
        <w:t>第一条</w:t>
      </w:r>
      <w:r>
        <w:rPr>
          <w:rFonts w:hAnsi="宋体"/>
          <w:b/>
          <w:szCs w:val="21"/>
          <w:highlight w:val="none"/>
        </w:rPr>
        <w:t>、</w:t>
      </w:r>
      <w:r>
        <w:rPr>
          <w:rFonts w:hint="eastAsia" w:hAnsi="宋体"/>
          <w:b/>
          <w:color w:val="000000"/>
          <w:szCs w:val="21"/>
          <w:highlight w:val="none"/>
        </w:rPr>
        <w:t>项目基本情况、建设内容、预期目标</w:t>
      </w:r>
    </w:p>
    <w:p>
      <w:pPr>
        <w:pStyle w:val="13"/>
        <w:snapToGrid w:val="0"/>
        <w:spacing w:line="420" w:lineRule="auto"/>
        <w:ind w:left="360" w:hanging="361" w:hangingChars="171"/>
        <w:rPr>
          <w:rFonts w:hAnsi="宋体"/>
          <w:b/>
          <w:szCs w:val="21"/>
          <w:highlight w:val="none"/>
        </w:rPr>
      </w:pPr>
      <w:r>
        <w:rPr>
          <w:rFonts w:hint="eastAsia" w:hAnsi="宋体"/>
          <w:b/>
          <w:szCs w:val="21"/>
          <w:highlight w:val="none"/>
        </w:rPr>
        <w:t>第二条</w:t>
      </w:r>
      <w:r>
        <w:rPr>
          <w:rFonts w:hAnsi="宋体"/>
          <w:b/>
          <w:szCs w:val="21"/>
          <w:highlight w:val="none"/>
        </w:rPr>
        <w:t>、</w:t>
      </w:r>
      <w:r>
        <w:rPr>
          <w:rFonts w:hint="eastAsia" w:hAnsi="宋体"/>
          <w:b/>
          <w:szCs w:val="21"/>
          <w:highlight w:val="none"/>
        </w:rPr>
        <w:t>双方权利和义务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2..1甲方权利、义务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2.1.1项目为合同期内实施，甲方每季度了解掌握项目工作进度及资金运作情况，每半年对乙方资金的使用情况进行审核一次。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21..2协调乙方在提供服务过程相关的政府部门和单位。</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2.1.3为开展绩效评估，甲方应对乙方指定具体的考评意见。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2.2乙方权利、义务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2.2.1乙方可要求甲方按本合同的规定按时足额拨付项目经费。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ascii="宋体" w:hAnsi="宋体" w:cs="Arial"/>
          <w:szCs w:val="21"/>
          <w:highlight w:val="none"/>
        </w:rPr>
      </w:pPr>
      <w:r>
        <w:rPr>
          <w:rFonts w:hint="eastAsia" w:ascii="宋体" w:hAnsi="宋体" w:cs="Arial"/>
          <w:szCs w:val="21"/>
          <w:highlight w:val="none"/>
        </w:rPr>
        <w:t>2.2.2乙方承接甲方的服务的资金，其溢出部分主要应用于乙方的再发展，不得挪作他用。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ascii="宋体" w:hAnsi="宋体" w:cs="Arial"/>
          <w:szCs w:val="21"/>
          <w:highlight w:val="none"/>
        </w:rPr>
      </w:pPr>
      <w:r>
        <w:rPr>
          <w:rFonts w:hint="eastAsia" w:ascii="宋体" w:hAnsi="宋体" w:cs="Arial"/>
          <w:szCs w:val="21"/>
          <w:highlight w:val="none"/>
        </w:rPr>
        <w:t>2.2.3乙方在履行合同过程中，不得将服务项目委托给第三方，应按本合同如实报告项目进展情况，按时、按标准完成项目任务。如乙方未能在合同期内完成全部项目的服务内容，合同结束后，应将相应款项返还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ascii="宋体" w:hAnsi="宋体" w:cs="Arial"/>
          <w:szCs w:val="21"/>
          <w:highlight w:val="none"/>
        </w:rPr>
      </w:pPr>
      <w:r>
        <w:rPr>
          <w:rFonts w:hint="eastAsia" w:ascii="宋体" w:hAnsi="宋体" w:cs="Arial"/>
          <w:szCs w:val="21"/>
          <w:highlight w:val="none"/>
        </w:rPr>
        <w:t>2.2.4乙方在与甲方签订合同的同时，按甲方信息安全管理要求与甲方签订保密约定严格信息安全管理。</w:t>
      </w:r>
    </w:p>
    <w:p>
      <w:pPr>
        <w:pStyle w:val="13"/>
        <w:snapToGrid w:val="0"/>
        <w:spacing w:line="420" w:lineRule="auto"/>
        <w:ind w:left="358" w:hanging="358" w:hangingChars="170"/>
        <w:rPr>
          <w:rFonts w:hAnsi="宋体"/>
          <w:b/>
          <w:szCs w:val="21"/>
          <w:highlight w:val="none"/>
        </w:rPr>
      </w:pPr>
      <w:r>
        <w:rPr>
          <w:rFonts w:hint="eastAsia" w:hAnsi="宋体"/>
          <w:b/>
          <w:szCs w:val="21"/>
          <w:highlight w:val="none"/>
        </w:rPr>
        <w:t>第三条</w:t>
      </w:r>
      <w:r>
        <w:rPr>
          <w:rFonts w:hAnsi="宋体"/>
          <w:b/>
          <w:szCs w:val="21"/>
          <w:highlight w:val="none"/>
        </w:rPr>
        <w:t>、</w:t>
      </w:r>
      <w:r>
        <w:rPr>
          <w:rFonts w:hint="eastAsia" w:hAnsi="宋体"/>
          <w:b/>
          <w:szCs w:val="21"/>
          <w:highlight w:val="none"/>
        </w:rPr>
        <w:t>转包或分包</w:t>
      </w:r>
    </w:p>
    <w:p>
      <w:pPr>
        <w:snapToGrid w:val="0"/>
        <w:spacing w:line="420" w:lineRule="auto"/>
        <w:ind w:firstLine="360" w:firstLineChars="150"/>
        <w:rPr>
          <w:rFonts w:hint="eastAsia" w:ascii="宋体" w:hAnsi="宋体" w:eastAsia="宋体"/>
          <w:szCs w:val="21"/>
          <w:highlight w:val="none"/>
          <w:lang w:eastAsia="zh-CN"/>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本合同范围的服务项目，应由乙方直接供应服务，不得转让他人供应</w:t>
      </w:r>
      <w:r>
        <w:rPr>
          <w:rFonts w:hint="eastAsia" w:ascii="宋体" w:hAnsi="宋体"/>
          <w:szCs w:val="21"/>
          <w:highlight w:val="none"/>
          <w:lang w:eastAsia="zh-CN"/>
        </w:rPr>
        <w:t>。</w:t>
      </w:r>
    </w:p>
    <w:p>
      <w:pPr>
        <w:snapToGrid w:val="0"/>
        <w:spacing w:line="420" w:lineRule="auto"/>
        <w:ind w:firstLine="360" w:firstLineChars="150"/>
        <w:rPr>
          <w:rFonts w:ascii="宋体" w:hAnsi="宋体"/>
          <w:szCs w:val="21"/>
          <w:highlight w:val="none"/>
        </w:rPr>
      </w:pPr>
      <w:r>
        <w:rPr>
          <w:rFonts w:hint="eastAsia" w:ascii="宋体" w:hAnsi="宋体"/>
          <w:szCs w:val="21"/>
          <w:highlight w:val="none"/>
        </w:rPr>
        <w:t>3</w:t>
      </w:r>
      <w:r>
        <w:rPr>
          <w:rFonts w:ascii="宋体" w:hAnsi="宋体"/>
          <w:szCs w:val="21"/>
          <w:highlight w:val="none"/>
        </w:rPr>
        <w:t>.2</w:t>
      </w:r>
      <w:r>
        <w:rPr>
          <w:rFonts w:hint="eastAsia" w:ascii="宋体" w:hAnsi="宋体"/>
          <w:szCs w:val="21"/>
          <w:highlight w:val="none"/>
        </w:rPr>
        <w:t>除非得到需方的书面同意，供方不得部分分包给他人供应。需方有绝对权力阻止分包。</w:t>
      </w:r>
    </w:p>
    <w:p>
      <w:pPr>
        <w:snapToGrid w:val="0"/>
        <w:spacing w:line="420" w:lineRule="auto"/>
        <w:ind w:firstLine="360" w:firstLineChars="15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如有转让和未经需方同意的分包行为，需方有权给予终止合同。</w:t>
      </w:r>
    </w:p>
    <w:p>
      <w:pPr>
        <w:pStyle w:val="13"/>
        <w:snapToGrid w:val="0"/>
        <w:spacing w:line="420" w:lineRule="auto"/>
        <w:rPr>
          <w:rFonts w:hAnsi="宋体"/>
          <w:b/>
          <w:szCs w:val="21"/>
          <w:highlight w:val="none"/>
        </w:rPr>
      </w:pPr>
      <w:r>
        <w:rPr>
          <w:rFonts w:hint="eastAsia" w:hAnsi="宋体"/>
          <w:b/>
          <w:szCs w:val="21"/>
          <w:highlight w:val="none"/>
        </w:rPr>
        <w:t>第四条</w:t>
      </w:r>
      <w:r>
        <w:rPr>
          <w:rFonts w:hAnsi="宋体"/>
          <w:b/>
          <w:szCs w:val="21"/>
          <w:highlight w:val="none"/>
        </w:rPr>
        <w:t>、</w:t>
      </w:r>
      <w:r>
        <w:rPr>
          <w:rFonts w:hint="eastAsia" w:hAnsi="宋体"/>
          <w:b/>
          <w:szCs w:val="21"/>
          <w:highlight w:val="none"/>
        </w:rPr>
        <w:t>服务</w:t>
      </w:r>
      <w:r>
        <w:rPr>
          <w:rFonts w:hAnsi="宋体"/>
          <w:b/>
          <w:szCs w:val="21"/>
          <w:highlight w:val="none"/>
        </w:rPr>
        <w:t>期及</w:t>
      </w:r>
      <w:r>
        <w:rPr>
          <w:rFonts w:hint="eastAsia" w:hAnsi="宋体"/>
          <w:b/>
          <w:szCs w:val="21"/>
          <w:highlight w:val="none"/>
        </w:rPr>
        <w:t>服务</w:t>
      </w:r>
      <w:r>
        <w:rPr>
          <w:rFonts w:hAnsi="宋体"/>
          <w:b/>
          <w:szCs w:val="21"/>
          <w:highlight w:val="none"/>
        </w:rPr>
        <w:t>地点</w:t>
      </w:r>
    </w:p>
    <w:p>
      <w:pPr>
        <w:spacing w:line="26" w:lineRule="atLeast"/>
        <w:ind w:firstLine="480" w:firstLineChars="200"/>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.1</w:t>
      </w:r>
      <w:r>
        <w:rPr>
          <w:rFonts w:hint="eastAsia" w:ascii="宋体" w:hAnsi="宋体"/>
          <w:szCs w:val="21"/>
          <w:highlight w:val="none"/>
        </w:rPr>
        <w:t>服务</w:t>
      </w:r>
      <w:r>
        <w:rPr>
          <w:rFonts w:ascii="宋体" w:hAnsi="宋体"/>
          <w:szCs w:val="21"/>
          <w:highlight w:val="none"/>
        </w:rPr>
        <w:t>期：</w:t>
      </w:r>
      <w:r>
        <w:rPr>
          <w:rFonts w:hint="eastAsia" w:cs="仿宋"/>
          <w:bCs/>
          <w:szCs w:val="24"/>
          <w:highlight w:val="none"/>
          <w:lang w:val="zh-CN"/>
        </w:rPr>
        <w:t>合同签订后30天内完成项目建设。</w:t>
      </w:r>
    </w:p>
    <w:p>
      <w:pPr>
        <w:spacing w:line="26" w:lineRule="atLeast"/>
        <w:ind w:firstLine="480" w:firstLineChars="200"/>
        <w:rPr>
          <w:rFonts w:hint="eastAsia" w:ascii="宋体" w:hAnsi="宋体"/>
          <w:szCs w:val="21"/>
          <w:highlight w:val="none"/>
        </w:rPr>
      </w:pPr>
      <w:r>
        <w:rPr>
          <w:rFonts w:hint="eastAsia" w:ascii="宋体" w:hAnsi="宋体"/>
          <w:szCs w:val="21"/>
          <w:highlight w:val="none"/>
        </w:rPr>
        <w:t>4.2地点：海盐县。</w:t>
      </w:r>
    </w:p>
    <w:p>
      <w:pPr>
        <w:pStyle w:val="13"/>
        <w:snapToGrid w:val="0"/>
        <w:spacing w:before="120" w:after="120" w:line="420" w:lineRule="auto"/>
        <w:ind w:left="360" w:hanging="361" w:hangingChars="171"/>
        <w:rPr>
          <w:rFonts w:hAnsi="宋体"/>
          <w:b/>
          <w:highlight w:val="none"/>
        </w:rPr>
      </w:pPr>
      <w:r>
        <w:rPr>
          <w:rFonts w:hint="eastAsia" w:hAnsi="宋体"/>
          <w:b/>
          <w:szCs w:val="21"/>
          <w:highlight w:val="none"/>
        </w:rPr>
        <w:t>第五条、</w:t>
      </w:r>
      <w:r>
        <w:rPr>
          <w:rFonts w:hAnsi="宋体"/>
          <w:b/>
          <w:highlight w:val="none"/>
        </w:rPr>
        <w:t>知识产权</w:t>
      </w:r>
    </w:p>
    <w:p>
      <w:pPr>
        <w:pStyle w:val="13"/>
        <w:snapToGrid w:val="0"/>
        <w:spacing w:before="120" w:after="120" w:line="420" w:lineRule="auto"/>
        <w:ind w:left="389" w:leftChars="100" w:hanging="149" w:hangingChars="71"/>
        <w:rPr>
          <w:rFonts w:hAnsi="宋体"/>
          <w:bCs/>
          <w:highlight w:val="none"/>
        </w:rPr>
      </w:pPr>
      <w:r>
        <w:rPr>
          <w:rFonts w:hint="eastAsia" w:hAnsi="宋体"/>
          <w:highlight w:val="none"/>
        </w:rPr>
        <w:t>5</w:t>
      </w:r>
      <w:r>
        <w:rPr>
          <w:rFonts w:hAnsi="宋体"/>
          <w:highlight w:val="none"/>
        </w:rPr>
        <w:t>.1乙方应保证所提供的</w:t>
      </w:r>
      <w:r>
        <w:rPr>
          <w:rFonts w:hint="eastAsia" w:hAnsi="宋体"/>
          <w:highlight w:val="none"/>
        </w:rPr>
        <w:t>服务</w:t>
      </w:r>
      <w:r>
        <w:rPr>
          <w:rFonts w:hAnsi="宋体"/>
          <w:highlight w:val="none"/>
        </w:rPr>
        <w:t>或其任何一部分均不会侵犯任何第三方的知识产权</w:t>
      </w:r>
      <w:r>
        <w:rPr>
          <w:rFonts w:hAnsi="宋体"/>
          <w:bCs/>
          <w:highlight w:val="none"/>
        </w:rPr>
        <w:t>。</w:t>
      </w:r>
    </w:p>
    <w:p>
      <w:pPr>
        <w:pStyle w:val="13"/>
        <w:snapToGrid w:val="0"/>
        <w:spacing w:line="420" w:lineRule="auto"/>
        <w:rPr>
          <w:rFonts w:hAnsi="宋体"/>
          <w:b/>
          <w:szCs w:val="21"/>
          <w:highlight w:val="none"/>
        </w:rPr>
      </w:pPr>
      <w:r>
        <w:rPr>
          <w:rFonts w:hint="eastAsia" w:hAnsi="宋体"/>
          <w:b/>
          <w:szCs w:val="21"/>
          <w:highlight w:val="none"/>
        </w:rPr>
        <w:t>第六条</w:t>
      </w:r>
      <w:r>
        <w:rPr>
          <w:rFonts w:hAnsi="宋体"/>
          <w:b/>
          <w:szCs w:val="21"/>
          <w:highlight w:val="none"/>
        </w:rPr>
        <w:t>、违约责任</w:t>
      </w:r>
    </w:p>
    <w:p>
      <w:pPr>
        <w:pStyle w:val="13"/>
        <w:snapToGrid w:val="0"/>
        <w:spacing w:line="420" w:lineRule="auto"/>
        <w:ind w:left="402" w:leftChars="150" w:hanging="42" w:hangingChars="20"/>
        <w:rPr>
          <w:rFonts w:hAnsi="宋体"/>
          <w:szCs w:val="21"/>
          <w:highlight w:val="none"/>
        </w:rPr>
      </w:pPr>
      <w:r>
        <w:rPr>
          <w:rFonts w:hint="eastAsia" w:hAnsi="宋体"/>
          <w:szCs w:val="21"/>
          <w:highlight w:val="none"/>
        </w:rPr>
        <w:t>6</w:t>
      </w:r>
      <w:r>
        <w:rPr>
          <w:rFonts w:hAnsi="宋体"/>
          <w:szCs w:val="21"/>
          <w:highlight w:val="none"/>
        </w:rPr>
        <w:t>.1甲方无正当理由拒收</w:t>
      </w:r>
      <w:r>
        <w:rPr>
          <w:rFonts w:hint="eastAsia" w:hAnsi="宋体"/>
          <w:szCs w:val="21"/>
          <w:highlight w:val="none"/>
        </w:rPr>
        <w:t>服务成果</w:t>
      </w:r>
      <w:r>
        <w:rPr>
          <w:rFonts w:hAnsi="宋体"/>
          <w:szCs w:val="21"/>
          <w:highlight w:val="none"/>
        </w:rPr>
        <w:t>的，甲方向乙方偿付</w:t>
      </w:r>
      <w:r>
        <w:rPr>
          <w:rFonts w:hint="eastAsia" w:hAnsi="宋体"/>
          <w:szCs w:val="21"/>
          <w:highlight w:val="none"/>
        </w:rPr>
        <w:t>合同金额</w:t>
      </w:r>
      <w:r>
        <w:rPr>
          <w:rFonts w:hAnsi="宋体"/>
          <w:szCs w:val="21"/>
          <w:highlight w:val="none"/>
        </w:rPr>
        <w:t>总值的百分之五违约金。</w:t>
      </w:r>
    </w:p>
    <w:p>
      <w:pPr>
        <w:pStyle w:val="13"/>
        <w:snapToGrid w:val="0"/>
        <w:spacing w:line="420" w:lineRule="auto"/>
        <w:ind w:firstLine="315" w:firstLineChars="150"/>
        <w:rPr>
          <w:rFonts w:hAnsi="宋体"/>
          <w:szCs w:val="21"/>
          <w:highlight w:val="none"/>
        </w:rPr>
      </w:pPr>
      <w:r>
        <w:rPr>
          <w:rFonts w:hint="eastAsia" w:hAnsi="宋体"/>
          <w:szCs w:val="21"/>
          <w:highlight w:val="none"/>
        </w:rPr>
        <w:t>6.</w:t>
      </w:r>
      <w:r>
        <w:rPr>
          <w:rFonts w:hAnsi="宋体"/>
          <w:szCs w:val="21"/>
          <w:highlight w:val="none"/>
        </w:rPr>
        <w:t>2甲方无故逾期验收和办理货款支付手续的,甲方应按逾期付款总额每日万分之五向乙方支付违约金。</w:t>
      </w:r>
    </w:p>
    <w:p>
      <w:pPr>
        <w:pStyle w:val="13"/>
        <w:snapToGrid w:val="0"/>
        <w:spacing w:line="420" w:lineRule="auto"/>
        <w:ind w:firstLine="315" w:firstLineChars="150"/>
        <w:rPr>
          <w:rFonts w:hint="eastAsia" w:hAnsi="宋体"/>
          <w:szCs w:val="21"/>
          <w:highlight w:val="none"/>
        </w:rPr>
      </w:pPr>
      <w:r>
        <w:rPr>
          <w:rFonts w:hint="eastAsia" w:hAnsi="宋体"/>
          <w:szCs w:val="21"/>
          <w:highlight w:val="none"/>
        </w:rPr>
        <w:t>6</w:t>
      </w:r>
      <w:r>
        <w:rPr>
          <w:rFonts w:hAnsi="宋体"/>
          <w:szCs w:val="21"/>
          <w:highlight w:val="none"/>
        </w:rPr>
        <w:t>.3乙方逾期</w:t>
      </w:r>
      <w:r>
        <w:rPr>
          <w:rFonts w:hint="eastAsia" w:hAnsi="宋体"/>
          <w:szCs w:val="21"/>
          <w:highlight w:val="none"/>
        </w:rPr>
        <w:t>服务</w:t>
      </w:r>
      <w:r>
        <w:rPr>
          <w:rFonts w:hAnsi="宋体"/>
          <w:szCs w:val="21"/>
          <w:highlight w:val="none"/>
        </w:rPr>
        <w:t>的，乙方应按逾期</w:t>
      </w:r>
      <w:r>
        <w:rPr>
          <w:rFonts w:hint="eastAsia" w:hAnsi="宋体"/>
          <w:szCs w:val="21"/>
          <w:highlight w:val="none"/>
        </w:rPr>
        <w:t>合同金额</w:t>
      </w:r>
      <w:r>
        <w:rPr>
          <w:rFonts w:hAnsi="宋体"/>
          <w:szCs w:val="21"/>
          <w:highlight w:val="none"/>
        </w:rPr>
        <w:t>总额每日千分之六向甲方支付违约金，由甲方从待付</w:t>
      </w:r>
      <w:r>
        <w:rPr>
          <w:rFonts w:hint="eastAsia" w:hAnsi="宋体"/>
          <w:szCs w:val="21"/>
          <w:highlight w:val="none"/>
        </w:rPr>
        <w:t>合同价款</w:t>
      </w:r>
      <w:r>
        <w:rPr>
          <w:rFonts w:hAnsi="宋体"/>
          <w:szCs w:val="21"/>
          <w:highlight w:val="none"/>
        </w:rPr>
        <w:t>中扣除。逾期超过约定日期10个工作日不能</w:t>
      </w:r>
      <w:r>
        <w:rPr>
          <w:rFonts w:hint="eastAsia" w:hAnsi="宋体"/>
          <w:szCs w:val="21"/>
          <w:highlight w:val="none"/>
        </w:rPr>
        <w:t>提交成果报告</w:t>
      </w:r>
      <w:r>
        <w:rPr>
          <w:rFonts w:hAnsi="宋体"/>
          <w:szCs w:val="21"/>
          <w:highlight w:val="none"/>
        </w:rPr>
        <w:t>的，甲方可解除本合同。乙方因逾期</w:t>
      </w:r>
      <w:r>
        <w:rPr>
          <w:rFonts w:hint="eastAsia" w:hAnsi="宋体"/>
          <w:szCs w:val="21"/>
          <w:highlight w:val="none"/>
        </w:rPr>
        <w:t>提交成果报告</w:t>
      </w:r>
      <w:r>
        <w:rPr>
          <w:rFonts w:hAnsi="宋体"/>
          <w:szCs w:val="21"/>
          <w:highlight w:val="none"/>
        </w:rPr>
        <w:t>或因其他违约行为导致甲方解除合同的，乙方应向甲方支付合同总值5%的违约金，如造成甲方损失超过违约金的，超出部分由乙方继续承担赔偿责任。</w:t>
      </w:r>
      <w:r>
        <w:rPr>
          <w:rFonts w:hint="eastAsia" w:hAnsi="宋体"/>
          <w:szCs w:val="21"/>
          <w:highlight w:val="none"/>
        </w:rPr>
        <w:t>乙方违反保密约定造成损失的赔偿相应损失，造成违法的按相关法律承担相应法律责任。</w:t>
      </w:r>
    </w:p>
    <w:p>
      <w:pPr>
        <w:pStyle w:val="13"/>
        <w:snapToGrid w:val="0"/>
        <w:spacing w:line="420" w:lineRule="auto"/>
        <w:rPr>
          <w:rFonts w:hAnsi="宋体"/>
          <w:b/>
          <w:szCs w:val="21"/>
          <w:highlight w:val="none"/>
        </w:rPr>
      </w:pPr>
      <w:r>
        <w:rPr>
          <w:rFonts w:hint="eastAsia" w:hAnsi="宋体"/>
          <w:b/>
          <w:szCs w:val="21"/>
          <w:highlight w:val="none"/>
        </w:rPr>
        <w:t>第七条</w:t>
      </w:r>
      <w:r>
        <w:rPr>
          <w:rFonts w:hAnsi="宋体"/>
          <w:b/>
          <w:szCs w:val="21"/>
          <w:highlight w:val="none"/>
        </w:rPr>
        <w:t>、</w:t>
      </w:r>
      <w:r>
        <w:rPr>
          <w:rFonts w:hint="eastAsia" w:hAnsi="宋体"/>
          <w:b/>
          <w:szCs w:val="21"/>
          <w:highlight w:val="none"/>
        </w:rPr>
        <w:t>合同的终止</w:t>
      </w:r>
    </w:p>
    <w:p>
      <w:pPr>
        <w:snapToGrid w:val="0"/>
        <w:spacing w:line="420" w:lineRule="auto"/>
        <w:ind w:firstLine="360" w:firstLineChars="150"/>
        <w:rPr>
          <w:rFonts w:ascii="宋体" w:hAnsi="宋体"/>
          <w:szCs w:val="21"/>
          <w:highlight w:val="none"/>
        </w:rPr>
      </w:pPr>
      <w:r>
        <w:rPr>
          <w:rFonts w:hint="eastAsia" w:ascii="宋体" w:hAnsi="宋体"/>
          <w:szCs w:val="21"/>
          <w:highlight w:val="none"/>
        </w:rPr>
        <w:t>7.1合同期满，双方未续签的；</w:t>
      </w:r>
    </w:p>
    <w:p>
      <w:pPr>
        <w:snapToGrid w:val="0"/>
        <w:spacing w:line="420" w:lineRule="auto"/>
        <w:ind w:firstLine="360" w:firstLineChars="150"/>
        <w:rPr>
          <w:rFonts w:ascii="宋体" w:hAnsi="宋体"/>
          <w:szCs w:val="21"/>
          <w:highlight w:val="none"/>
        </w:rPr>
      </w:pPr>
      <w:r>
        <w:rPr>
          <w:rFonts w:hint="eastAsia" w:ascii="宋体" w:hAnsi="宋体"/>
          <w:szCs w:val="21"/>
          <w:highlight w:val="none"/>
        </w:rPr>
        <w:t>7.2乙方服务能力丧失，致使服务无法正常进行的；</w:t>
      </w:r>
    </w:p>
    <w:p>
      <w:pPr>
        <w:snapToGrid w:val="0"/>
        <w:spacing w:line="420" w:lineRule="auto"/>
        <w:ind w:firstLine="360" w:firstLineChars="150"/>
        <w:rPr>
          <w:rFonts w:ascii="宋体" w:hAnsi="宋体"/>
          <w:szCs w:val="21"/>
          <w:highlight w:val="none"/>
        </w:rPr>
      </w:pPr>
      <w:r>
        <w:rPr>
          <w:rFonts w:hint="eastAsia" w:ascii="宋体" w:hAnsi="宋体"/>
          <w:szCs w:val="21"/>
          <w:highlight w:val="none"/>
        </w:rPr>
        <w:t>7.3在履行合同过程中，发现乙方不符合《关于政府向社会力量购买服务的实施办法》中规定的服务供应方（社会组织）应具备的条件，造成合同无法履行的。</w:t>
      </w:r>
    </w:p>
    <w:p>
      <w:pPr>
        <w:pStyle w:val="13"/>
        <w:snapToGrid w:val="0"/>
        <w:spacing w:line="420" w:lineRule="auto"/>
        <w:rPr>
          <w:rFonts w:hAnsi="宋体"/>
          <w:b/>
          <w:szCs w:val="21"/>
          <w:highlight w:val="none"/>
        </w:rPr>
      </w:pPr>
      <w:r>
        <w:rPr>
          <w:rFonts w:hint="eastAsia" w:hAnsi="宋体"/>
          <w:b/>
          <w:szCs w:val="21"/>
          <w:highlight w:val="none"/>
        </w:rPr>
        <w:t>第八条</w:t>
      </w:r>
      <w:r>
        <w:rPr>
          <w:rFonts w:hAnsi="宋体"/>
          <w:b/>
          <w:szCs w:val="21"/>
          <w:highlight w:val="none"/>
        </w:rPr>
        <w:t>、不可抗力事件处理</w:t>
      </w:r>
    </w:p>
    <w:p>
      <w:pPr>
        <w:pStyle w:val="13"/>
        <w:snapToGrid w:val="0"/>
        <w:spacing w:line="420" w:lineRule="auto"/>
        <w:ind w:firstLine="315" w:firstLineChars="150"/>
        <w:rPr>
          <w:rFonts w:hAnsi="宋体"/>
          <w:szCs w:val="21"/>
          <w:highlight w:val="none"/>
        </w:rPr>
      </w:pPr>
      <w:r>
        <w:rPr>
          <w:rFonts w:hint="eastAsia" w:hAnsi="宋体"/>
          <w:szCs w:val="21"/>
          <w:highlight w:val="none"/>
        </w:rPr>
        <w:t>8</w:t>
      </w:r>
      <w:r>
        <w:rPr>
          <w:rFonts w:hAnsi="宋体"/>
          <w:szCs w:val="21"/>
          <w:highlight w:val="none"/>
        </w:rPr>
        <w:t>.1在合同有效期内，任何一方因不可抗力事件导致不能履行合同，则合同履行期可延长，其延长期与不可抗力影响期相同。</w:t>
      </w:r>
    </w:p>
    <w:p>
      <w:pPr>
        <w:pStyle w:val="13"/>
        <w:snapToGrid w:val="0"/>
        <w:spacing w:line="420" w:lineRule="auto"/>
        <w:ind w:firstLine="315" w:firstLineChars="150"/>
        <w:rPr>
          <w:rFonts w:hAnsi="宋体"/>
          <w:szCs w:val="21"/>
          <w:highlight w:val="none"/>
        </w:rPr>
      </w:pPr>
      <w:r>
        <w:rPr>
          <w:rFonts w:hint="eastAsia" w:hAnsi="宋体"/>
          <w:szCs w:val="21"/>
          <w:highlight w:val="none"/>
        </w:rPr>
        <w:t>8</w:t>
      </w:r>
      <w:r>
        <w:rPr>
          <w:rFonts w:hAnsi="宋体"/>
          <w:szCs w:val="21"/>
          <w:highlight w:val="none"/>
        </w:rPr>
        <w:t>.2不可抗力事件发生后，应立即通知对方，并寄送有关权威机构出具的证明。</w:t>
      </w:r>
    </w:p>
    <w:p>
      <w:pPr>
        <w:pStyle w:val="13"/>
        <w:snapToGrid w:val="0"/>
        <w:spacing w:line="420" w:lineRule="auto"/>
        <w:ind w:firstLine="315" w:firstLineChars="150"/>
        <w:rPr>
          <w:rFonts w:hAnsi="宋体"/>
          <w:szCs w:val="21"/>
          <w:highlight w:val="none"/>
        </w:rPr>
      </w:pPr>
      <w:r>
        <w:rPr>
          <w:rFonts w:hint="eastAsia" w:hAnsi="宋体"/>
          <w:szCs w:val="21"/>
          <w:highlight w:val="none"/>
        </w:rPr>
        <w:t>8</w:t>
      </w:r>
      <w:r>
        <w:rPr>
          <w:rFonts w:hAnsi="宋体"/>
          <w:szCs w:val="21"/>
          <w:highlight w:val="none"/>
        </w:rPr>
        <w:t>.3不可抗力事件延续120天以上，双方应通过友好协商，确定是否继续履行合同。</w:t>
      </w:r>
    </w:p>
    <w:p>
      <w:pPr>
        <w:pStyle w:val="13"/>
        <w:snapToGrid w:val="0"/>
        <w:spacing w:line="420" w:lineRule="auto"/>
        <w:rPr>
          <w:rFonts w:hAnsi="宋体"/>
          <w:b/>
          <w:szCs w:val="21"/>
          <w:highlight w:val="none"/>
        </w:rPr>
      </w:pPr>
      <w:r>
        <w:rPr>
          <w:rFonts w:hint="eastAsia" w:hAnsi="宋体"/>
          <w:b/>
          <w:szCs w:val="21"/>
          <w:highlight w:val="none"/>
        </w:rPr>
        <w:t>第九条</w:t>
      </w:r>
      <w:r>
        <w:rPr>
          <w:rFonts w:hAnsi="宋体"/>
          <w:b/>
          <w:szCs w:val="21"/>
          <w:highlight w:val="none"/>
        </w:rPr>
        <w:t>、合同生效及其它</w:t>
      </w:r>
    </w:p>
    <w:p>
      <w:pPr>
        <w:pStyle w:val="13"/>
        <w:snapToGrid w:val="0"/>
        <w:spacing w:line="420" w:lineRule="auto"/>
        <w:ind w:firstLine="315" w:firstLineChars="150"/>
        <w:rPr>
          <w:rFonts w:hAnsi="宋体"/>
          <w:szCs w:val="21"/>
          <w:highlight w:val="none"/>
        </w:rPr>
      </w:pPr>
      <w:r>
        <w:rPr>
          <w:rFonts w:hint="eastAsia" w:hAnsi="宋体"/>
          <w:szCs w:val="21"/>
          <w:highlight w:val="none"/>
        </w:rPr>
        <w:t>9</w:t>
      </w:r>
      <w:r>
        <w:rPr>
          <w:rFonts w:hAnsi="宋体"/>
          <w:szCs w:val="21"/>
          <w:highlight w:val="none"/>
        </w:rPr>
        <w:t>.1合同经双方法定代表人或授权委托代理人签字并加盖单位公章后生效。</w:t>
      </w:r>
    </w:p>
    <w:p>
      <w:pPr>
        <w:pStyle w:val="13"/>
        <w:snapToGrid w:val="0"/>
        <w:spacing w:line="420" w:lineRule="auto"/>
        <w:ind w:firstLine="315" w:firstLineChars="150"/>
        <w:rPr>
          <w:rFonts w:hAnsi="宋体"/>
          <w:szCs w:val="21"/>
          <w:highlight w:val="none"/>
        </w:rPr>
      </w:pPr>
      <w:r>
        <w:rPr>
          <w:rFonts w:hint="eastAsia" w:hAnsi="宋体"/>
          <w:szCs w:val="21"/>
          <w:highlight w:val="none"/>
        </w:rPr>
        <w:t>9</w:t>
      </w:r>
      <w:r>
        <w:rPr>
          <w:rFonts w:hAnsi="宋体"/>
          <w:szCs w:val="21"/>
          <w:highlight w:val="none"/>
        </w:rPr>
        <w:t>.2合同执行中涉及采购资金和采购内容修改或补充的，须经海盐县财政部门审批，并签书面补充协议报海盐县政府采购监督管理部门备案，方可作为主合同不可分割的一部分。</w:t>
      </w:r>
    </w:p>
    <w:p>
      <w:pPr>
        <w:pStyle w:val="13"/>
        <w:snapToGrid w:val="0"/>
        <w:spacing w:line="420" w:lineRule="auto"/>
        <w:ind w:left="465" w:leftChars="150" w:hanging="105" w:hangingChars="50"/>
        <w:rPr>
          <w:rFonts w:hAnsi="宋体"/>
          <w:szCs w:val="21"/>
          <w:highlight w:val="none"/>
        </w:rPr>
      </w:pPr>
      <w:r>
        <w:rPr>
          <w:rFonts w:hint="eastAsia" w:hAnsi="宋体"/>
          <w:szCs w:val="21"/>
          <w:highlight w:val="none"/>
        </w:rPr>
        <w:t>9</w:t>
      </w:r>
      <w:r>
        <w:rPr>
          <w:rFonts w:hAnsi="宋体"/>
          <w:szCs w:val="21"/>
          <w:highlight w:val="none"/>
        </w:rPr>
        <w:t>.3本合同未尽事宜，遵照《合同法》有关条文执行。</w:t>
      </w:r>
    </w:p>
    <w:p>
      <w:pPr>
        <w:pStyle w:val="13"/>
        <w:snapToGrid w:val="0"/>
        <w:spacing w:line="420" w:lineRule="auto"/>
        <w:ind w:left="1" w:firstLine="315" w:firstLineChars="150"/>
        <w:rPr>
          <w:rFonts w:hAnsi="宋体"/>
          <w:szCs w:val="21"/>
          <w:highlight w:val="none"/>
        </w:rPr>
      </w:pPr>
      <w:r>
        <w:rPr>
          <w:rFonts w:hint="eastAsia" w:hAnsi="宋体"/>
          <w:szCs w:val="21"/>
          <w:highlight w:val="none"/>
        </w:rPr>
        <w:t>9</w:t>
      </w:r>
      <w:r>
        <w:rPr>
          <w:rFonts w:hAnsi="宋体"/>
          <w:szCs w:val="21"/>
          <w:highlight w:val="none"/>
        </w:rPr>
        <w:t>.4本合同正本一式</w:t>
      </w:r>
      <w:r>
        <w:rPr>
          <w:rFonts w:hint="eastAsia" w:hAnsi="宋体"/>
          <w:szCs w:val="21"/>
          <w:highlight w:val="none"/>
        </w:rPr>
        <w:t>陆</w:t>
      </w:r>
      <w:r>
        <w:rPr>
          <w:rFonts w:hAnsi="宋体"/>
          <w:szCs w:val="21"/>
          <w:highlight w:val="none"/>
        </w:rPr>
        <w:t>份，具有同等法律效力，甲乙双方各执</w:t>
      </w:r>
      <w:r>
        <w:rPr>
          <w:rFonts w:hint="eastAsia" w:hAnsi="宋体"/>
          <w:szCs w:val="21"/>
          <w:highlight w:val="none"/>
        </w:rPr>
        <w:t>贰</w:t>
      </w:r>
      <w:r>
        <w:rPr>
          <w:rFonts w:hAnsi="宋体"/>
          <w:szCs w:val="21"/>
          <w:highlight w:val="none"/>
        </w:rPr>
        <w:t>份</w:t>
      </w:r>
      <w:r>
        <w:rPr>
          <w:rFonts w:hint="eastAsia" w:hAnsi="宋体"/>
          <w:szCs w:val="21"/>
          <w:highlight w:val="none"/>
        </w:rPr>
        <w:t>，一</w:t>
      </w:r>
      <w:r>
        <w:rPr>
          <w:rFonts w:hAnsi="宋体"/>
          <w:kern w:val="0"/>
          <w:szCs w:val="21"/>
          <w:highlight w:val="none"/>
        </w:rPr>
        <w:t>份交县财政局备案，一份交</w:t>
      </w:r>
      <w:r>
        <w:rPr>
          <w:rFonts w:hint="eastAsia" w:hAnsi="宋体"/>
          <w:kern w:val="0"/>
          <w:szCs w:val="21"/>
          <w:highlight w:val="none"/>
          <w:lang w:val="en-US" w:eastAsia="zh-CN"/>
        </w:rPr>
        <w:t>嘉兴市建新工程造价咨询事务所有限公司</w:t>
      </w:r>
      <w:r>
        <w:rPr>
          <w:rFonts w:hAnsi="宋体"/>
          <w:kern w:val="0"/>
          <w:szCs w:val="21"/>
          <w:highlight w:val="none"/>
        </w:rPr>
        <w:t>存档。</w:t>
      </w:r>
    </w:p>
    <w:p>
      <w:pPr>
        <w:pStyle w:val="13"/>
        <w:snapToGrid w:val="0"/>
        <w:spacing w:line="480" w:lineRule="auto"/>
        <w:rPr>
          <w:rFonts w:hint="eastAsia" w:hAnsi="宋体"/>
          <w:szCs w:val="21"/>
          <w:highlight w:val="none"/>
          <w:lang w:eastAsia="zh-CN"/>
        </w:rPr>
      </w:pPr>
    </w:p>
    <w:p>
      <w:pPr>
        <w:pStyle w:val="13"/>
        <w:snapToGrid w:val="0"/>
        <w:spacing w:line="480" w:lineRule="auto"/>
        <w:rPr>
          <w:rFonts w:hAnsi="宋体"/>
          <w:szCs w:val="21"/>
          <w:highlight w:val="none"/>
        </w:rPr>
      </w:pPr>
      <w:r>
        <w:rPr>
          <w:rFonts w:hAnsi="宋体"/>
          <w:szCs w:val="21"/>
          <w:highlight w:val="none"/>
        </w:rPr>
        <w:t>甲方</w:t>
      </w:r>
      <w:r>
        <w:rPr>
          <w:rFonts w:hint="eastAsia" w:hAnsi="宋体"/>
          <w:szCs w:val="21"/>
          <w:highlight w:val="none"/>
        </w:rPr>
        <w:t>（盖章）</w:t>
      </w:r>
      <w:r>
        <w:rPr>
          <w:rFonts w:hAnsi="宋体"/>
          <w:szCs w:val="21"/>
          <w:highlight w:val="none"/>
        </w:rPr>
        <w:t>：</w:t>
      </w:r>
      <w:r>
        <w:rPr>
          <w:rFonts w:hint="eastAsia" w:hAnsi="宋体"/>
          <w:szCs w:val="21"/>
          <w:highlight w:val="none"/>
        </w:rPr>
        <w:t xml:space="preserve">                         </w:t>
      </w:r>
      <w:r>
        <w:rPr>
          <w:rFonts w:hAnsi="宋体"/>
          <w:szCs w:val="21"/>
          <w:highlight w:val="none"/>
        </w:rPr>
        <w:t>乙方</w:t>
      </w:r>
      <w:r>
        <w:rPr>
          <w:rFonts w:hint="eastAsia" w:hAnsi="宋体"/>
          <w:szCs w:val="21"/>
          <w:highlight w:val="none"/>
        </w:rPr>
        <w:t>（盖章）</w:t>
      </w:r>
      <w:r>
        <w:rPr>
          <w:rFonts w:hAnsi="宋体"/>
          <w:szCs w:val="21"/>
          <w:highlight w:val="none"/>
        </w:rPr>
        <w:t>：</w:t>
      </w:r>
    </w:p>
    <w:p>
      <w:pPr>
        <w:pStyle w:val="13"/>
        <w:snapToGrid w:val="0"/>
        <w:spacing w:line="480" w:lineRule="auto"/>
        <w:rPr>
          <w:rFonts w:hAnsi="宋体"/>
          <w:szCs w:val="21"/>
          <w:highlight w:val="none"/>
        </w:rPr>
      </w:pPr>
      <w:r>
        <w:rPr>
          <w:rFonts w:hAnsi="宋体"/>
          <w:szCs w:val="21"/>
          <w:highlight w:val="none"/>
        </w:rPr>
        <w:t>法定代表人</w:t>
      </w:r>
      <w:r>
        <w:rPr>
          <w:rFonts w:hint="eastAsia" w:hAnsi="宋体"/>
          <w:szCs w:val="21"/>
          <w:highlight w:val="none"/>
        </w:rPr>
        <w:t>（签字或盖章）</w:t>
      </w:r>
      <w:r>
        <w:rPr>
          <w:rFonts w:hAnsi="宋体"/>
          <w:szCs w:val="21"/>
          <w:highlight w:val="none"/>
        </w:rPr>
        <w:t>：</w:t>
      </w:r>
      <w:r>
        <w:rPr>
          <w:rFonts w:hint="eastAsia" w:hAnsi="宋体"/>
          <w:szCs w:val="21"/>
          <w:highlight w:val="none"/>
        </w:rPr>
        <w:t xml:space="preserve">             </w:t>
      </w:r>
      <w:r>
        <w:rPr>
          <w:rFonts w:hAnsi="宋体"/>
          <w:szCs w:val="21"/>
          <w:highlight w:val="none"/>
        </w:rPr>
        <w:t>法定代表人</w:t>
      </w:r>
      <w:r>
        <w:rPr>
          <w:rFonts w:hint="eastAsia" w:hAnsi="宋体"/>
          <w:szCs w:val="21"/>
          <w:highlight w:val="none"/>
        </w:rPr>
        <w:t>（签字或盖章）</w:t>
      </w:r>
      <w:r>
        <w:rPr>
          <w:rFonts w:hAnsi="宋体"/>
          <w:szCs w:val="21"/>
          <w:highlight w:val="none"/>
        </w:rPr>
        <w:t>：</w:t>
      </w:r>
    </w:p>
    <w:p>
      <w:pPr>
        <w:pStyle w:val="13"/>
        <w:snapToGrid w:val="0"/>
        <w:spacing w:line="480" w:lineRule="auto"/>
        <w:rPr>
          <w:rFonts w:hAnsi="宋体"/>
          <w:szCs w:val="21"/>
          <w:highlight w:val="none"/>
        </w:rPr>
      </w:pPr>
      <w:r>
        <w:rPr>
          <w:rFonts w:hAnsi="宋体"/>
          <w:szCs w:val="21"/>
          <w:highlight w:val="none"/>
        </w:rPr>
        <w:t>签订地点：</w:t>
      </w:r>
      <w:r>
        <w:rPr>
          <w:rFonts w:hint="eastAsia" w:hAnsi="宋体"/>
          <w:szCs w:val="21"/>
          <w:highlight w:val="none"/>
        </w:rPr>
        <w:t xml:space="preserve">海盐县                      </w:t>
      </w:r>
      <w:r>
        <w:rPr>
          <w:rFonts w:hAnsi="宋体"/>
          <w:szCs w:val="21"/>
          <w:highlight w:val="none"/>
        </w:rPr>
        <w:t>签订日期：</w:t>
      </w:r>
      <w:r>
        <w:rPr>
          <w:rFonts w:hint="eastAsia" w:hAnsi="宋体"/>
          <w:szCs w:val="21"/>
          <w:highlight w:val="none"/>
        </w:rPr>
        <w:t>20</w:t>
      </w:r>
      <w:r>
        <w:rPr>
          <w:rFonts w:hint="eastAsia" w:hAnsi="宋体"/>
          <w:szCs w:val="21"/>
          <w:highlight w:val="none"/>
          <w:lang w:val="en-US" w:eastAsia="zh-CN"/>
        </w:rPr>
        <w:t>22</w:t>
      </w:r>
      <w:r>
        <w:rPr>
          <w:rFonts w:hAnsi="宋体"/>
          <w:szCs w:val="21"/>
          <w:highlight w:val="none"/>
        </w:rPr>
        <w:t>年</w:t>
      </w:r>
      <w:r>
        <w:rPr>
          <w:rFonts w:hint="eastAsia" w:hAnsi="宋体"/>
          <w:szCs w:val="21"/>
          <w:highlight w:val="none"/>
          <w:lang w:val="en-US" w:eastAsia="zh-CN"/>
        </w:rPr>
        <w:t xml:space="preserve">   </w:t>
      </w:r>
      <w:r>
        <w:rPr>
          <w:rFonts w:hAnsi="宋体"/>
          <w:szCs w:val="21"/>
          <w:highlight w:val="none"/>
        </w:rPr>
        <w:t>月</w:t>
      </w:r>
      <w:r>
        <w:rPr>
          <w:rFonts w:hint="eastAsia" w:hAnsi="宋体"/>
          <w:szCs w:val="21"/>
          <w:highlight w:val="none"/>
          <w:lang w:val="en-US" w:eastAsia="zh-CN"/>
        </w:rPr>
        <w:t xml:space="preserve">    </w:t>
      </w:r>
      <w:r>
        <w:rPr>
          <w:rFonts w:hAnsi="宋体"/>
          <w:szCs w:val="21"/>
          <w:highlight w:val="none"/>
        </w:rPr>
        <w:t>日</w:t>
      </w:r>
    </w:p>
    <w:p>
      <w:pPr>
        <w:snapToGrid w:val="0"/>
        <w:spacing w:line="384" w:lineRule="auto"/>
        <w:rPr>
          <w:rFonts w:hint="eastAsia" w:ascii="宋体" w:hAnsi="宋体" w:eastAsia="宋体" w:cs="Times New Roman"/>
          <w:kern w:val="0"/>
          <w:szCs w:val="21"/>
          <w:highlight w:val="none"/>
        </w:rPr>
      </w:pPr>
      <w:r>
        <w:rPr>
          <w:rFonts w:hint="eastAsia" w:ascii="宋体" w:hAnsi="宋体" w:eastAsia="宋体" w:cs="Times New Roman"/>
          <w:b/>
          <w:kern w:val="0"/>
          <w:highlight w:val="none"/>
        </w:rPr>
        <w:t>注：本合同作为示范文本，具体以成交供应商与采购人所签定正式合同为准。</w:t>
      </w:r>
    </w:p>
    <w:p>
      <w:pPr>
        <w:rPr>
          <w:highlight w:val="none"/>
        </w:rPr>
      </w:pPr>
    </w:p>
    <w:p>
      <w:pPr>
        <w:rPr>
          <w:highlight w:val="none"/>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16"/>
        <w:rPr>
          <w:rFonts w:hAnsi="Courier New"/>
          <w:color w:val="000000" w:themeColor="text1"/>
          <w:szCs w:val="24"/>
          <w:highlight w:val="none"/>
          <w14:textFill>
            <w14:solidFill>
              <w14:schemeClr w14:val="tx1"/>
            </w14:solidFill>
          </w14:textFill>
        </w:rPr>
      </w:pPr>
    </w:p>
    <w:p>
      <w:pPr>
        <w:pStyle w:val="3"/>
        <w:snapToGrid w:val="0"/>
        <w:spacing w:before="50" w:after="50"/>
        <w:jc w:val="center"/>
        <w:rPr>
          <w:szCs w:val="20"/>
          <w:highlight w:val="none"/>
        </w:rPr>
      </w:pPr>
      <w:bookmarkStart w:id="102" w:name="_Toc16267"/>
      <w:bookmarkStart w:id="103" w:name="_Toc406403000"/>
      <w:bookmarkStart w:id="104" w:name="_Toc18653"/>
      <w:bookmarkStart w:id="105" w:name="_Toc13514"/>
      <w:r>
        <w:rPr>
          <w:rFonts w:hint="eastAsia"/>
          <w:highlight w:val="none"/>
        </w:rPr>
        <w:t>第六章　投标文件格式</w:t>
      </w:r>
      <w:bookmarkEnd w:id="102"/>
      <w:bookmarkEnd w:id="103"/>
      <w:bookmarkEnd w:id="104"/>
      <w:bookmarkEnd w:id="105"/>
    </w:p>
    <w:p>
      <w:pPr>
        <w:snapToGrid w:val="0"/>
        <w:spacing w:before="120" w:beforeLines="50" w:after="50"/>
        <w:jc w:val="center"/>
        <w:rPr>
          <w:szCs w:val="20"/>
          <w:highlight w:val="none"/>
        </w:rPr>
      </w:pPr>
    </w:p>
    <w:p>
      <w:pPr>
        <w:snapToGrid w:val="0"/>
        <w:spacing w:before="120" w:beforeLines="50" w:after="50"/>
        <w:rPr>
          <w:b/>
          <w:highlight w:val="none"/>
        </w:rPr>
      </w:pPr>
      <w:r>
        <w:rPr>
          <w:rFonts w:hint="eastAsia"/>
          <w:b/>
          <w:highlight w:val="none"/>
        </w:rPr>
        <w:t>1</w:t>
      </w:r>
      <w:r>
        <w:rPr>
          <w:b/>
          <w:highlight w:val="none"/>
        </w:rPr>
        <w:t>.</w:t>
      </w:r>
      <w:r>
        <w:rPr>
          <w:rFonts w:hint="eastAsia"/>
          <w:b/>
          <w:highlight w:val="none"/>
        </w:rPr>
        <w:t>资格文件封面格式：</w:t>
      </w:r>
      <w:r>
        <w:rPr>
          <w:b/>
          <w:highlight w:val="none"/>
        </w:rPr>
        <w:t xml:space="preserve"> </w:t>
      </w:r>
    </w:p>
    <w:p>
      <w:pPr>
        <w:snapToGrid w:val="0"/>
        <w:spacing w:before="120" w:beforeLines="50" w:after="50"/>
        <w:rPr>
          <w:b/>
          <w:bCs/>
          <w:sz w:val="32"/>
          <w:szCs w:val="20"/>
          <w:highlight w:val="none"/>
        </w:rPr>
      </w:pPr>
      <w:r>
        <w:rPr>
          <w:highlight w:val="none"/>
        </w:rPr>
        <w:t xml:space="preserve">                                                    </w:t>
      </w:r>
      <w:r>
        <w:rPr>
          <w:rFonts w:hint="eastAsia"/>
          <w:b/>
          <w:bCs/>
          <w:highlight w:val="none"/>
        </w:rPr>
        <w:t>正本</w:t>
      </w:r>
      <w:r>
        <w:rPr>
          <w:b/>
          <w:bCs/>
          <w:highlight w:val="none"/>
        </w:rPr>
        <w:t>/</w:t>
      </w:r>
      <w:r>
        <w:rPr>
          <w:rFonts w:hint="eastAsia"/>
          <w:b/>
          <w:bCs/>
          <w:highlight w:val="none"/>
        </w:rPr>
        <w:t>或副本</w:t>
      </w:r>
    </w:p>
    <w:p>
      <w:pPr>
        <w:snapToGrid w:val="0"/>
        <w:spacing w:before="120" w:beforeLines="50" w:after="50"/>
        <w:rPr>
          <w:szCs w:val="20"/>
          <w:highlight w:val="none"/>
        </w:rPr>
      </w:pPr>
    </w:p>
    <w:p>
      <w:pPr>
        <w:snapToGrid w:val="0"/>
        <w:spacing w:before="120" w:beforeLines="50" w:after="50"/>
        <w:jc w:val="center"/>
        <w:outlineLvl w:val="0"/>
        <w:rPr>
          <w:b/>
          <w:bCs/>
          <w:sz w:val="32"/>
          <w:szCs w:val="32"/>
          <w:highlight w:val="none"/>
        </w:rPr>
      </w:pPr>
      <w:bookmarkStart w:id="106" w:name="_Toc6038"/>
      <w:bookmarkStart w:id="107" w:name="_Toc23904"/>
      <w:r>
        <w:rPr>
          <w:rFonts w:hint="eastAsia"/>
          <w:b/>
          <w:bCs/>
          <w:sz w:val="32"/>
          <w:szCs w:val="32"/>
          <w:highlight w:val="none"/>
        </w:rPr>
        <w:t>资格文件</w:t>
      </w:r>
      <w:bookmarkEnd w:id="106"/>
      <w:bookmarkEnd w:id="107"/>
    </w:p>
    <w:p>
      <w:pPr>
        <w:snapToGrid w:val="0"/>
        <w:spacing w:before="120" w:beforeLines="50" w:after="50"/>
        <w:rPr>
          <w:bCs/>
          <w:szCs w:val="20"/>
          <w:highlight w:val="none"/>
        </w:rPr>
      </w:pPr>
    </w:p>
    <w:p>
      <w:pPr>
        <w:snapToGrid w:val="0"/>
        <w:spacing w:before="120" w:beforeLines="50" w:after="50" w:line="320" w:lineRule="exact"/>
        <w:ind w:firstLine="1068" w:firstLineChars="445"/>
        <w:rPr>
          <w:bCs/>
          <w:szCs w:val="20"/>
          <w:highlight w:val="none"/>
        </w:rPr>
      </w:pPr>
      <w:r>
        <w:rPr>
          <w:rFonts w:hint="eastAsia"/>
          <w:bCs/>
          <w:highlight w:val="none"/>
        </w:rPr>
        <w:t>项目名称：</w:t>
      </w:r>
    </w:p>
    <w:p>
      <w:pPr>
        <w:snapToGrid w:val="0"/>
        <w:spacing w:before="120" w:beforeLines="50" w:after="50" w:line="320" w:lineRule="exact"/>
        <w:ind w:firstLine="1068" w:firstLineChars="445"/>
        <w:rPr>
          <w:bCs/>
          <w:highlight w:val="none"/>
        </w:rPr>
      </w:pPr>
      <w:r>
        <w:rPr>
          <w:rFonts w:hint="eastAsia"/>
          <w:bCs/>
          <w:highlight w:val="none"/>
        </w:rPr>
        <w:t>项目编号：</w:t>
      </w:r>
      <w:r>
        <w:rPr>
          <w:bCs/>
          <w:highlight w:val="none"/>
        </w:rPr>
        <w:t xml:space="preserve"> </w:t>
      </w:r>
    </w:p>
    <w:p>
      <w:pPr>
        <w:pStyle w:val="5"/>
        <w:snapToGrid w:val="0"/>
        <w:spacing w:before="50" w:after="50" w:line="320" w:lineRule="exact"/>
        <w:ind w:firstLine="1068" w:firstLineChars="445"/>
        <w:rPr>
          <w:bCs/>
          <w:sz w:val="24"/>
          <w:highlight w:val="none"/>
        </w:rPr>
      </w:pPr>
      <w:r>
        <w:rPr>
          <w:rFonts w:hint="eastAsia"/>
          <w:bCs/>
          <w:sz w:val="24"/>
          <w:highlight w:val="none"/>
        </w:rPr>
        <w:t>投标人名称：</w:t>
      </w:r>
    </w:p>
    <w:p>
      <w:pPr>
        <w:pStyle w:val="5"/>
        <w:snapToGrid w:val="0"/>
        <w:spacing w:before="50" w:after="50" w:line="320" w:lineRule="exact"/>
        <w:ind w:firstLine="1068" w:firstLineChars="445"/>
        <w:rPr>
          <w:bCs/>
          <w:sz w:val="24"/>
          <w:highlight w:val="none"/>
        </w:rPr>
      </w:pPr>
      <w:r>
        <w:rPr>
          <w:rFonts w:hint="eastAsia"/>
          <w:bCs/>
          <w:sz w:val="24"/>
          <w:highlight w:val="none"/>
        </w:rPr>
        <w:t>投标人地址：</w:t>
      </w:r>
    </w:p>
    <w:p>
      <w:pPr>
        <w:pStyle w:val="5"/>
        <w:snapToGrid w:val="0"/>
        <w:spacing w:before="50" w:after="50" w:line="320" w:lineRule="exact"/>
        <w:ind w:firstLine="960" w:firstLineChars="400"/>
        <w:rPr>
          <w:bCs/>
          <w:sz w:val="24"/>
          <w:highlight w:val="none"/>
        </w:rPr>
      </w:pPr>
    </w:p>
    <w:p>
      <w:pPr>
        <w:snapToGrid w:val="0"/>
        <w:spacing w:before="120" w:beforeLines="50" w:after="50"/>
        <w:ind w:firstLine="4080" w:firstLineChars="1700"/>
        <w:rPr>
          <w:szCs w:val="20"/>
          <w:highlight w:val="none"/>
        </w:rPr>
      </w:pPr>
    </w:p>
    <w:p>
      <w:pPr>
        <w:snapToGrid w:val="0"/>
        <w:spacing w:before="120" w:beforeLines="50" w:after="50"/>
        <w:ind w:firstLine="645"/>
        <w:jc w:val="center"/>
        <w:rPr>
          <w:highlight w:val="none"/>
        </w:rPr>
      </w:pP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pStyle w:val="9"/>
        <w:rPr>
          <w:highlight w:val="none"/>
        </w:rPr>
      </w:pPr>
    </w:p>
    <w:p>
      <w:pPr>
        <w:snapToGrid w:val="0"/>
        <w:spacing w:before="120" w:beforeLines="50" w:after="50"/>
        <w:ind w:firstLine="645"/>
        <w:jc w:val="center"/>
        <w:rPr>
          <w:highlight w:val="none"/>
        </w:rPr>
      </w:pPr>
    </w:p>
    <w:p>
      <w:pPr>
        <w:snapToGrid w:val="0"/>
        <w:spacing w:before="120" w:beforeLines="50" w:after="50"/>
        <w:rPr>
          <w:b/>
          <w:highlight w:val="none"/>
        </w:rPr>
      </w:pPr>
      <w:r>
        <w:rPr>
          <w:rFonts w:hint="eastAsia"/>
          <w:b/>
          <w:highlight w:val="none"/>
        </w:rPr>
        <w:t>2</w:t>
      </w:r>
      <w:r>
        <w:rPr>
          <w:b/>
          <w:highlight w:val="none"/>
        </w:rPr>
        <w:t>.</w:t>
      </w:r>
      <w:r>
        <w:rPr>
          <w:rFonts w:hint="eastAsia"/>
          <w:b/>
          <w:highlight w:val="none"/>
        </w:rPr>
        <w:t>商务技术文件封面格式：</w:t>
      </w:r>
      <w:r>
        <w:rPr>
          <w:b/>
          <w:highlight w:val="none"/>
        </w:rPr>
        <w:t xml:space="preserve"> </w:t>
      </w:r>
    </w:p>
    <w:p>
      <w:pPr>
        <w:snapToGrid w:val="0"/>
        <w:spacing w:before="120" w:beforeLines="50" w:after="50"/>
        <w:rPr>
          <w:b/>
          <w:bCs/>
          <w:sz w:val="32"/>
          <w:szCs w:val="20"/>
          <w:highlight w:val="none"/>
        </w:rPr>
      </w:pPr>
      <w:r>
        <w:rPr>
          <w:highlight w:val="none"/>
        </w:rPr>
        <w:t xml:space="preserve">                                                    </w:t>
      </w:r>
      <w:r>
        <w:rPr>
          <w:rFonts w:hint="eastAsia"/>
          <w:b/>
          <w:bCs/>
          <w:highlight w:val="none"/>
        </w:rPr>
        <w:t>正本</w:t>
      </w:r>
      <w:r>
        <w:rPr>
          <w:b/>
          <w:bCs/>
          <w:highlight w:val="none"/>
        </w:rPr>
        <w:t>/</w:t>
      </w:r>
      <w:r>
        <w:rPr>
          <w:rFonts w:hint="eastAsia"/>
          <w:b/>
          <w:bCs/>
          <w:highlight w:val="none"/>
        </w:rPr>
        <w:t>或副本</w:t>
      </w:r>
    </w:p>
    <w:p>
      <w:pPr>
        <w:snapToGrid w:val="0"/>
        <w:spacing w:before="120" w:beforeLines="50" w:after="50"/>
        <w:rPr>
          <w:szCs w:val="20"/>
          <w:highlight w:val="none"/>
        </w:rPr>
      </w:pPr>
    </w:p>
    <w:p>
      <w:pPr>
        <w:snapToGrid w:val="0"/>
        <w:spacing w:before="120" w:beforeLines="50" w:after="50"/>
        <w:jc w:val="center"/>
        <w:outlineLvl w:val="0"/>
        <w:rPr>
          <w:b/>
          <w:bCs/>
          <w:sz w:val="32"/>
          <w:szCs w:val="32"/>
          <w:highlight w:val="none"/>
        </w:rPr>
      </w:pPr>
      <w:bookmarkStart w:id="108" w:name="_Toc24313"/>
      <w:bookmarkStart w:id="109" w:name="_Toc20027"/>
      <w:r>
        <w:rPr>
          <w:rFonts w:hint="eastAsia"/>
          <w:b/>
          <w:sz w:val="32"/>
          <w:szCs w:val="32"/>
          <w:highlight w:val="none"/>
        </w:rPr>
        <w:t>商务技术文件</w:t>
      </w:r>
      <w:bookmarkEnd w:id="108"/>
      <w:bookmarkEnd w:id="109"/>
    </w:p>
    <w:p>
      <w:pPr>
        <w:snapToGrid w:val="0"/>
        <w:spacing w:before="120" w:beforeLines="50" w:after="50"/>
        <w:rPr>
          <w:bCs/>
          <w:szCs w:val="20"/>
          <w:highlight w:val="none"/>
        </w:rPr>
      </w:pPr>
    </w:p>
    <w:p>
      <w:pPr>
        <w:snapToGrid w:val="0"/>
        <w:spacing w:before="120" w:beforeLines="50" w:after="50" w:line="320" w:lineRule="exact"/>
        <w:ind w:firstLine="1068" w:firstLineChars="445"/>
        <w:rPr>
          <w:bCs/>
          <w:szCs w:val="20"/>
          <w:highlight w:val="none"/>
        </w:rPr>
      </w:pPr>
      <w:r>
        <w:rPr>
          <w:rFonts w:hint="eastAsia"/>
          <w:bCs/>
          <w:highlight w:val="none"/>
        </w:rPr>
        <w:t>项目名称：</w:t>
      </w:r>
    </w:p>
    <w:p>
      <w:pPr>
        <w:snapToGrid w:val="0"/>
        <w:spacing w:before="120" w:beforeLines="50" w:after="50" w:line="320" w:lineRule="exact"/>
        <w:ind w:firstLine="1068" w:firstLineChars="445"/>
        <w:rPr>
          <w:bCs/>
          <w:highlight w:val="none"/>
        </w:rPr>
      </w:pPr>
      <w:r>
        <w:rPr>
          <w:rFonts w:hint="eastAsia"/>
          <w:bCs/>
          <w:highlight w:val="none"/>
        </w:rPr>
        <w:t>项目编号：</w:t>
      </w:r>
      <w:r>
        <w:rPr>
          <w:bCs/>
          <w:highlight w:val="none"/>
        </w:rPr>
        <w:t xml:space="preserve"> </w:t>
      </w:r>
    </w:p>
    <w:p>
      <w:pPr>
        <w:pStyle w:val="5"/>
        <w:snapToGrid w:val="0"/>
        <w:spacing w:before="50" w:after="50" w:line="320" w:lineRule="exact"/>
        <w:ind w:firstLine="1068" w:firstLineChars="445"/>
        <w:rPr>
          <w:bCs/>
          <w:sz w:val="24"/>
          <w:highlight w:val="none"/>
        </w:rPr>
      </w:pPr>
      <w:r>
        <w:rPr>
          <w:rFonts w:hint="eastAsia"/>
          <w:bCs/>
          <w:sz w:val="24"/>
          <w:highlight w:val="none"/>
        </w:rPr>
        <w:t>投标人名称：</w:t>
      </w:r>
    </w:p>
    <w:p>
      <w:pPr>
        <w:pStyle w:val="5"/>
        <w:snapToGrid w:val="0"/>
        <w:spacing w:before="50" w:after="50" w:line="320" w:lineRule="exact"/>
        <w:ind w:firstLine="1068" w:firstLineChars="445"/>
        <w:rPr>
          <w:bCs/>
          <w:sz w:val="24"/>
          <w:highlight w:val="none"/>
        </w:rPr>
      </w:pPr>
      <w:r>
        <w:rPr>
          <w:rFonts w:hint="eastAsia"/>
          <w:bCs/>
          <w:sz w:val="24"/>
          <w:highlight w:val="none"/>
        </w:rPr>
        <w:t>投标人地址：</w:t>
      </w:r>
    </w:p>
    <w:p>
      <w:pPr>
        <w:pStyle w:val="5"/>
        <w:snapToGrid w:val="0"/>
        <w:spacing w:before="50" w:after="50" w:line="320" w:lineRule="exact"/>
        <w:ind w:firstLine="960" w:firstLineChars="400"/>
        <w:rPr>
          <w:bCs/>
          <w:sz w:val="24"/>
          <w:highlight w:val="none"/>
        </w:rPr>
      </w:pPr>
    </w:p>
    <w:p>
      <w:pPr>
        <w:snapToGrid w:val="0"/>
        <w:spacing w:before="120" w:beforeLines="50" w:after="50"/>
        <w:ind w:firstLine="4080" w:firstLineChars="1700"/>
        <w:rPr>
          <w:szCs w:val="20"/>
          <w:highlight w:val="none"/>
        </w:rPr>
      </w:pPr>
    </w:p>
    <w:p>
      <w:pPr>
        <w:snapToGrid w:val="0"/>
        <w:spacing w:before="120" w:beforeLines="50" w:after="50"/>
        <w:ind w:firstLine="645"/>
        <w:jc w:val="center"/>
        <w:rPr>
          <w:highlight w:val="none"/>
        </w:rPr>
      </w:pP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snapToGrid w:val="0"/>
        <w:spacing w:before="120" w:beforeLines="50" w:after="50"/>
        <w:ind w:firstLine="645"/>
        <w:jc w:val="center"/>
        <w:rPr>
          <w:szCs w:val="20"/>
          <w:highlight w:val="none"/>
        </w:rPr>
      </w:pPr>
    </w:p>
    <w:p>
      <w:pPr>
        <w:snapToGrid w:val="0"/>
        <w:spacing w:before="120" w:beforeLines="50" w:after="50"/>
        <w:ind w:firstLine="645"/>
        <w:jc w:val="center"/>
        <w:rPr>
          <w:szCs w:val="20"/>
          <w:highlight w:val="none"/>
        </w:rPr>
      </w:pPr>
    </w:p>
    <w:p>
      <w:pPr>
        <w:pStyle w:val="9"/>
        <w:rPr>
          <w:highlight w:val="none"/>
        </w:rPr>
      </w:pPr>
    </w:p>
    <w:p>
      <w:pPr>
        <w:snapToGrid w:val="0"/>
        <w:spacing w:before="120" w:beforeLines="50" w:after="50"/>
        <w:rPr>
          <w:szCs w:val="20"/>
          <w:highlight w:val="none"/>
        </w:rPr>
      </w:pPr>
      <w:r>
        <w:rPr>
          <w:rFonts w:hint="eastAsia"/>
          <w:b/>
          <w:highlight w:val="none"/>
        </w:rPr>
        <w:t>3．报价文件封面格式：</w:t>
      </w:r>
      <w:r>
        <w:rPr>
          <w:b/>
          <w:highlight w:val="none"/>
        </w:rPr>
        <w:t xml:space="preserve"> </w:t>
      </w:r>
    </w:p>
    <w:p>
      <w:pPr>
        <w:snapToGrid w:val="0"/>
        <w:spacing w:before="120" w:beforeLines="50" w:after="50"/>
        <w:rPr>
          <w:b/>
          <w:bCs/>
          <w:sz w:val="32"/>
          <w:szCs w:val="20"/>
          <w:highlight w:val="none"/>
        </w:rPr>
      </w:pPr>
      <w:r>
        <w:rPr>
          <w:highlight w:val="none"/>
        </w:rPr>
        <w:t xml:space="preserve">                                                    </w:t>
      </w:r>
      <w:r>
        <w:rPr>
          <w:rFonts w:hint="eastAsia"/>
          <w:b/>
          <w:bCs/>
          <w:highlight w:val="none"/>
        </w:rPr>
        <w:t>正本</w:t>
      </w:r>
      <w:r>
        <w:rPr>
          <w:b/>
          <w:bCs/>
          <w:highlight w:val="none"/>
        </w:rPr>
        <w:t>/</w:t>
      </w:r>
      <w:r>
        <w:rPr>
          <w:rFonts w:hint="eastAsia"/>
          <w:b/>
          <w:bCs/>
          <w:highlight w:val="none"/>
        </w:rPr>
        <w:t>或副本</w:t>
      </w:r>
    </w:p>
    <w:p>
      <w:pPr>
        <w:snapToGrid w:val="0"/>
        <w:spacing w:before="120" w:beforeLines="50" w:after="50"/>
        <w:rPr>
          <w:szCs w:val="20"/>
          <w:highlight w:val="none"/>
        </w:rPr>
      </w:pPr>
    </w:p>
    <w:p>
      <w:pPr>
        <w:snapToGrid w:val="0"/>
        <w:spacing w:before="120" w:beforeLines="50" w:after="50"/>
        <w:jc w:val="center"/>
        <w:outlineLvl w:val="0"/>
        <w:rPr>
          <w:b/>
          <w:bCs/>
          <w:sz w:val="32"/>
          <w:szCs w:val="32"/>
          <w:highlight w:val="none"/>
        </w:rPr>
      </w:pPr>
      <w:bookmarkStart w:id="110" w:name="_Toc14402"/>
      <w:bookmarkStart w:id="111" w:name="_Toc25870"/>
      <w:bookmarkStart w:id="112" w:name="_Toc31243"/>
      <w:r>
        <w:rPr>
          <w:rFonts w:hint="eastAsia"/>
          <w:b/>
          <w:bCs/>
          <w:sz w:val="32"/>
          <w:szCs w:val="32"/>
          <w:highlight w:val="none"/>
        </w:rPr>
        <w:t>报</w:t>
      </w:r>
      <w:r>
        <w:rPr>
          <w:b/>
          <w:bCs/>
          <w:sz w:val="32"/>
          <w:szCs w:val="32"/>
          <w:highlight w:val="none"/>
        </w:rPr>
        <w:t xml:space="preserve">  </w:t>
      </w:r>
      <w:r>
        <w:rPr>
          <w:rFonts w:hint="eastAsia"/>
          <w:b/>
          <w:bCs/>
          <w:sz w:val="32"/>
          <w:szCs w:val="32"/>
          <w:highlight w:val="none"/>
        </w:rPr>
        <w:t>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bookmarkEnd w:id="110"/>
      <w:bookmarkEnd w:id="111"/>
      <w:bookmarkEnd w:id="112"/>
    </w:p>
    <w:p>
      <w:pPr>
        <w:snapToGrid w:val="0"/>
        <w:spacing w:before="120" w:beforeLines="50" w:after="50"/>
        <w:rPr>
          <w:bCs/>
          <w:szCs w:val="20"/>
          <w:highlight w:val="none"/>
        </w:rPr>
      </w:pPr>
    </w:p>
    <w:p>
      <w:pPr>
        <w:snapToGrid w:val="0"/>
        <w:spacing w:before="120" w:beforeLines="50" w:after="50" w:line="320" w:lineRule="exact"/>
        <w:ind w:firstLine="1068" w:firstLineChars="445"/>
        <w:rPr>
          <w:bCs/>
          <w:szCs w:val="20"/>
          <w:highlight w:val="none"/>
        </w:rPr>
      </w:pPr>
      <w:r>
        <w:rPr>
          <w:rFonts w:hint="eastAsia"/>
          <w:bCs/>
          <w:highlight w:val="none"/>
        </w:rPr>
        <w:t>项目名称：</w:t>
      </w:r>
    </w:p>
    <w:p>
      <w:pPr>
        <w:snapToGrid w:val="0"/>
        <w:spacing w:before="120" w:beforeLines="50" w:after="50" w:line="320" w:lineRule="exact"/>
        <w:ind w:firstLine="1068" w:firstLineChars="445"/>
        <w:rPr>
          <w:bCs/>
          <w:highlight w:val="none"/>
        </w:rPr>
      </w:pPr>
      <w:r>
        <w:rPr>
          <w:rFonts w:hint="eastAsia"/>
          <w:bCs/>
          <w:highlight w:val="none"/>
        </w:rPr>
        <w:t>项目编号：</w:t>
      </w:r>
      <w:r>
        <w:rPr>
          <w:bCs/>
          <w:highlight w:val="none"/>
        </w:rPr>
        <w:t xml:space="preserve"> </w:t>
      </w:r>
    </w:p>
    <w:p>
      <w:pPr>
        <w:pStyle w:val="5"/>
        <w:snapToGrid w:val="0"/>
        <w:spacing w:before="50" w:after="50" w:line="320" w:lineRule="exact"/>
        <w:ind w:firstLine="1068" w:firstLineChars="445"/>
        <w:rPr>
          <w:bCs/>
          <w:sz w:val="24"/>
          <w:highlight w:val="none"/>
        </w:rPr>
      </w:pPr>
      <w:r>
        <w:rPr>
          <w:rFonts w:hint="eastAsia"/>
          <w:bCs/>
          <w:sz w:val="24"/>
          <w:highlight w:val="none"/>
        </w:rPr>
        <w:t>投标人名称：</w:t>
      </w:r>
    </w:p>
    <w:p>
      <w:pPr>
        <w:pStyle w:val="5"/>
        <w:snapToGrid w:val="0"/>
        <w:spacing w:before="50" w:after="50" w:line="320" w:lineRule="exact"/>
        <w:ind w:firstLine="1068" w:firstLineChars="445"/>
        <w:rPr>
          <w:bCs/>
          <w:sz w:val="24"/>
          <w:highlight w:val="none"/>
        </w:rPr>
      </w:pPr>
      <w:r>
        <w:rPr>
          <w:rFonts w:hint="eastAsia"/>
          <w:bCs/>
          <w:sz w:val="24"/>
          <w:highlight w:val="none"/>
        </w:rPr>
        <w:t>投标人地址：</w:t>
      </w:r>
    </w:p>
    <w:p>
      <w:pPr>
        <w:pStyle w:val="5"/>
        <w:snapToGrid w:val="0"/>
        <w:spacing w:before="50" w:after="50"/>
        <w:ind w:firstLine="1068" w:firstLineChars="445"/>
        <w:rPr>
          <w:bCs/>
          <w:sz w:val="24"/>
          <w:highlight w:val="none"/>
        </w:rPr>
      </w:pPr>
    </w:p>
    <w:p>
      <w:pPr>
        <w:snapToGrid w:val="0"/>
        <w:spacing w:before="120" w:beforeLines="50" w:after="50" w:line="360" w:lineRule="auto"/>
        <w:ind w:firstLine="645"/>
        <w:jc w:val="center"/>
        <w:rPr>
          <w:szCs w:val="20"/>
          <w:highlight w:val="none"/>
        </w:rPr>
      </w:pP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snapToGrid w:val="0"/>
        <w:spacing w:before="50" w:after="50" w:line="360" w:lineRule="auto"/>
        <w:rPr>
          <w:sz w:val="32"/>
          <w:szCs w:val="20"/>
          <w:highlight w:val="none"/>
        </w:rPr>
      </w:pPr>
    </w:p>
    <w:p>
      <w:pPr>
        <w:snapToGrid w:val="0"/>
        <w:spacing w:before="120" w:beforeLines="50" w:after="50"/>
        <w:rPr>
          <w:b/>
          <w:highlight w:val="none"/>
        </w:rPr>
      </w:pPr>
    </w:p>
    <w:p>
      <w:pPr>
        <w:snapToGrid w:val="0"/>
        <w:spacing w:before="120" w:beforeLines="50" w:after="50"/>
        <w:rPr>
          <w:highlight w:val="none"/>
        </w:rPr>
      </w:pPr>
      <w:r>
        <w:rPr>
          <w:rFonts w:hint="eastAsia"/>
          <w:b/>
          <w:highlight w:val="none"/>
        </w:rPr>
        <w:t>4</w:t>
      </w:r>
      <w:r>
        <w:rPr>
          <w:b/>
          <w:highlight w:val="none"/>
        </w:rPr>
        <w:t>.</w:t>
      </w:r>
      <w:r>
        <w:rPr>
          <w:rFonts w:hint="eastAsia"/>
          <w:b/>
          <w:highlight w:val="none"/>
        </w:rPr>
        <w:t>资格文件、商务技术文件、报价文件目录</w:t>
      </w:r>
      <w:r>
        <w:rPr>
          <w:rFonts w:hint="eastAsia"/>
          <w:b/>
          <w:bCs/>
          <w:highlight w:val="none"/>
        </w:rPr>
        <w:t>（请按照“第三章投标人须知，三、投标文件的编制”的顺序自行编制目录）</w:t>
      </w:r>
    </w:p>
    <w:p>
      <w:pPr>
        <w:snapToGrid w:val="0"/>
        <w:spacing w:before="50" w:after="50"/>
        <w:rPr>
          <w:b/>
          <w:bCs/>
          <w:highlight w:val="none"/>
        </w:rPr>
      </w:pPr>
      <w:r>
        <w:rPr>
          <w:rFonts w:hint="eastAsia"/>
          <w:b/>
          <w:bCs/>
          <w:highlight w:val="none"/>
        </w:rPr>
        <w:t>例如：</w:t>
      </w:r>
    </w:p>
    <w:p>
      <w:pPr>
        <w:snapToGrid w:val="0"/>
        <w:spacing w:before="50" w:after="50"/>
        <w:rPr>
          <w:szCs w:val="20"/>
          <w:highlight w:val="none"/>
        </w:rPr>
      </w:pPr>
      <w:r>
        <w:rPr>
          <w:rFonts w:hint="eastAsia"/>
          <w:b/>
          <w:bCs/>
          <w:highlight w:val="none"/>
        </w:rPr>
        <w:t>资格文件：</w:t>
      </w:r>
    </w:p>
    <w:p>
      <w:pPr>
        <w:snapToGrid w:val="0"/>
        <w:spacing w:line="360" w:lineRule="auto"/>
        <w:outlineLvl w:val="0"/>
        <w:rPr>
          <w:highlight w:val="none"/>
        </w:rPr>
      </w:pPr>
      <w:bookmarkStart w:id="113" w:name="_Toc32488"/>
      <w:bookmarkStart w:id="114" w:name="_Toc31582"/>
      <w:bookmarkStart w:id="115" w:name="_Toc7888"/>
      <w:r>
        <w:rPr>
          <w:rFonts w:hint="eastAsia"/>
          <w:highlight w:val="none"/>
        </w:rPr>
        <w:t>（</w:t>
      </w:r>
      <w:r>
        <w:rPr>
          <w:highlight w:val="none"/>
        </w:rPr>
        <w:t>1</w:t>
      </w:r>
      <w:r>
        <w:rPr>
          <w:rFonts w:hint="eastAsia"/>
          <w:highlight w:val="none"/>
        </w:rPr>
        <w:t>）投标声明书</w:t>
      </w:r>
      <w:r>
        <w:rPr>
          <w:highlight w:val="none"/>
        </w:rPr>
        <w:t xml:space="preserve"> (</w:t>
      </w:r>
      <w:r>
        <w:rPr>
          <w:rFonts w:hint="eastAsia"/>
          <w:highlight w:val="none"/>
        </w:rPr>
        <w:t>格式见附件</w:t>
      </w:r>
      <w:r>
        <w:rPr>
          <w:highlight w:val="none"/>
        </w:rPr>
        <w:t>) ————————————————</w:t>
      </w:r>
      <w:r>
        <w:rPr>
          <w:rFonts w:hint="eastAsia"/>
          <w:highlight w:val="none"/>
        </w:rPr>
        <w:t>（页码）</w:t>
      </w:r>
      <w:bookmarkEnd w:id="113"/>
      <w:bookmarkEnd w:id="114"/>
      <w:bookmarkEnd w:id="115"/>
    </w:p>
    <w:p>
      <w:pPr>
        <w:snapToGrid w:val="0"/>
        <w:spacing w:before="50" w:after="120" w:afterLines="50"/>
        <w:outlineLvl w:val="0"/>
        <w:rPr>
          <w:highlight w:val="none"/>
        </w:rPr>
      </w:pPr>
      <w:bookmarkStart w:id="116" w:name="_Toc12697"/>
      <w:bookmarkStart w:id="117" w:name="_Toc30003"/>
      <w:bookmarkStart w:id="118" w:name="_Toc9011"/>
      <w:r>
        <w:rPr>
          <w:rFonts w:hint="eastAsia"/>
          <w:highlight w:val="none"/>
        </w:rPr>
        <w:t>（</w:t>
      </w:r>
      <w:r>
        <w:rPr>
          <w:highlight w:val="none"/>
        </w:rPr>
        <w:t>2</w:t>
      </w:r>
      <w:r>
        <w:rPr>
          <w:rFonts w:hint="eastAsia"/>
          <w:highlight w:val="none"/>
        </w:rPr>
        <w:t>）法定代表人授权委托书</w:t>
      </w:r>
      <w:r>
        <w:rPr>
          <w:highlight w:val="none"/>
        </w:rPr>
        <w:t>(</w:t>
      </w:r>
      <w:r>
        <w:rPr>
          <w:rFonts w:hint="eastAsia"/>
          <w:highlight w:val="none"/>
        </w:rPr>
        <w:t>格式见附件</w:t>
      </w:r>
      <w:r>
        <w:rPr>
          <w:highlight w:val="none"/>
        </w:rPr>
        <w:t>) ————————————</w:t>
      </w:r>
      <w:bookmarkEnd w:id="116"/>
      <w:bookmarkEnd w:id="117"/>
      <w:bookmarkEnd w:id="118"/>
    </w:p>
    <w:p>
      <w:pPr>
        <w:snapToGrid w:val="0"/>
        <w:spacing w:before="120" w:beforeLines="50" w:after="50"/>
        <w:jc w:val="center"/>
        <w:rPr>
          <w:b/>
          <w:bCs/>
          <w:highlight w:val="none"/>
        </w:rPr>
      </w:pPr>
    </w:p>
    <w:p>
      <w:pPr>
        <w:snapToGrid w:val="0"/>
        <w:spacing w:before="120" w:beforeLines="50" w:after="50"/>
        <w:rPr>
          <w:szCs w:val="20"/>
          <w:highlight w:val="none"/>
        </w:rPr>
      </w:pPr>
    </w:p>
    <w:p>
      <w:pPr>
        <w:snapToGrid w:val="0"/>
        <w:spacing w:before="120" w:beforeLines="50" w:after="50"/>
        <w:rPr>
          <w:b/>
          <w:highlight w:val="none"/>
        </w:rPr>
      </w:pPr>
      <w:bookmarkStart w:id="119" w:name="_Toc219619166"/>
    </w:p>
    <w:p>
      <w:pPr>
        <w:snapToGrid w:val="0"/>
        <w:spacing w:before="120" w:beforeLines="50" w:after="50"/>
        <w:rPr>
          <w:b/>
          <w:highlight w:val="none"/>
        </w:rPr>
      </w:pPr>
    </w:p>
    <w:p>
      <w:pPr>
        <w:snapToGrid w:val="0"/>
        <w:spacing w:before="120" w:beforeLines="50" w:after="50"/>
        <w:rPr>
          <w:b/>
          <w:highlight w:val="none"/>
        </w:rPr>
      </w:pPr>
    </w:p>
    <w:p>
      <w:pPr>
        <w:pStyle w:val="9"/>
        <w:rPr>
          <w:b/>
          <w:highlight w:val="none"/>
        </w:rPr>
      </w:pPr>
    </w:p>
    <w:p>
      <w:pPr>
        <w:pStyle w:val="23"/>
        <w:rPr>
          <w:rFonts w:ascii="宋体"/>
          <w:sz w:val="24"/>
          <w:highlight w:val="none"/>
        </w:rPr>
      </w:pPr>
    </w:p>
    <w:p>
      <w:pPr>
        <w:rPr>
          <w:b/>
          <w:highlight w:val="none"/>
        </w:rPr>
      </w:pPr>
    </w:p>
    <w:p>
      <w:pPr>
        <w:pStyle w:val="9"/>
        <w:rPr>
          <w:b/>
          <w:highlight w:val="none"/>
        </w:rPr>
      </w:pPr>
    </w:p>
    <w:p>
      <w:pPr>
        <w:pStyle w:val="23"/>
        <w:rPr>
          <w:highlight w:val="none"/>
        </w:rPr>
      </w:pPr>
    </w:p>
    <w:p>
      <w:pPr>
        <w:snapToGrid w:val="0"/>
        <w:spacing w:before="120" w:beforeLines="50" w:after="50"/>
        <w:rPr>
          <w:b/>
          <w:highlight w:val="none"/>
        </w:rPr>
      </w:pPr>
    </w:p>
    <w:p>
      <w:pPr>
        <w:snapToGrid w:val="0"/>
        <w:spacing w:before="120" w:beforeLines="50" w:after="50"/>
        <w:rPr>
          <w:b/>
          <w:highlight w:val="none"/>
        </w:rPr>
      </w:pPr>
    </w:p>
    <w:p>
      <w:pPr>
        <w:snapToGrid w:val="0"/>
        <w:spacing w:before="120" w:beforeLines="50" w:after="50"/>
        <w:rPr>
          <w:b/>
          <w:highlight w:val="none"/>
        </w:rPr>
      </w:pPr>
    </w:p>
    <w:p>
      <w:pPr>
        <w:snapToGrid w:val="0"/>
        <w:spacing w:before="120" w:beforeLines="50" w:after="50"/>
        <w:rPr>
          <w:b/>
          <w:highlight w:val="none"/>
        </w:rPr>
      </w:pPr>
      <w:r>
        <w:rPr>
          <w:b/>
          <w:highlight w:val="none"/>
        </w:rPr>
        <w:t>5.</w:t>
      </w:r>
      <w:r>
        <w:rPr>
          <w:rFonts w:hint="eastAsia"/>
          <w:b/>
          <w:highlight w:val="none"/>
        </w:rPr>
        <w:t>投标声明书格式：</w:t>
      </w:r>
    </w:p>
    <w:p>
      <w:pPr>
        <w:snapToGrid w:val="0"/>
        <w:spacing w:before="120" w:beforeLines="50" w:after="50"/>
        <w:jc w:val="center"/>
        <w:outlineLvl w:val="0"/>
        <w:rPr>
          <w:b/>
          <w:sz w:val="32"/>
          <w:szCs w:val="32"/>
          <w:highlight w:val="none"/>
        </w:rPr>
      </w:pPr>
      <w:bookmarkStart w:id="120" w:name="_Toc18662"/>
      <w:bookmarkStart w:id="121" w:name="_Toc32279"/>
      <w:bookmarkStart w:id="122" w:name="_Toc13833"/>
      <w:r>
        <w:rPr>
          <w:rFonts w:hint="eastAsia"/>
          <w:b/>
          <w:sz w:val="32"/>
          <w:szCs w:val="32"/>
          <w:highlight w:val="none"/>
        </w:rPr>
        <w:t>投标声明书</w:t>
      </w:r>
      <w:bookmarkEnd w:id="120"/>
      <w:bookmarkEnd w:id="121"/>
      <w:bookmarkEnd w:id="122"/>
    </w:p>
    <w:p>
      <w:pPr>
        <w:snapToGrid w:val="0"/>
        <w:spacing w:before="120" w:beforeLines="50" w:after="50" w:line="400" w:lineRule="exact"/>
        <w:rPr>
          <w:highlight w:val="none"/>
        </w:rPr>
      </w:pPr>
      <w:r>
        <w:rPr>
          <w:rFonts w:hint="eastAsia"/>
          <w:highlight w:val="none"/>
        </w:rPr>
        <w:t>致</w:t>
      </w:r>
      <w:r>
        <w:rPr>
          <w:rFonts w:hint="eastAsia"/>
          <w:highlight w:val="none"/>
          <w:lang w:eastAsia="zh-CN"/>
        </w:rPr>
        <w:t>海盐县人民法院</w:t>
      </w:r>
      <w:r>
        <w:rPr>
          <w:rFonts w:hint="eastAsia"/>
          <w:highlight w:val="none"/>
        </w:rPr>
        <w:t>：</w:t>
      </w:r>
    </w:p>
    <w:p>
      <w:pPr>
        <w:snapToGrid w:val="0"/>
        <w:spacing w:before="120" w:beforeLines="50" w:after="50" w:line="400" w:lineRule="exact"/>
        <w:ind w:firstLine="720" w:firstLineChars="300"/>
        <w:rPr>
          <w:szCs w:val="20"/>
          <w:highlight w:val="none"/>
        </w:rPr>
      </w:pPr>
      <w:r>
        <w:rPr>
          <w:rFonts w:hint="eastAsia"/>
          <w:highlight w:val="none"/>
        </w:rPr>
        <w:t>______________（投标人名称）系中华人民共和国合法企业，经营地址</w:t>
      </w:r>
      <w:r>
        <w:rPr>
          <w:highlight w:val="none"/>
          <w:u w:val="single"/>
        </w:rPr>
        <w:t xml:space="preserve">                               </w:t>
      </w:r>
      <w:r>
        <w:rPr>
          <w:rFonts w:hint="eastAsia"/>
          <w:highlight w:val="none"/>
        </w:rPr>
        <w:t>。</w:t>
      </w:r>
    </w:p>
    <w:p>
      <w:pPr>
        <w:snapToGrid w:val="0"/>
        <w:spacing w:before="120" w:beforeLines="50" w:after="50" w:line="400" w:lineRule="exact"/>
        <w:ind w:firstLine="645"/>
        <w:rPr>
          <w:szCs w:val="20"/>
          <w:highlight w:val="none"/>
        </w:rPr>
      </w:pPr>
      <w:r>
        <w:rPr>
          <w:rFonts w:hint="eastAsia"/>
          <w:highlight w:val="none"/>
        </w:rPr>
        <w:t>我___________（姓名）系_____________（投标人名称）的法定代表人，我方愿意参加贵方组织的</w:t>
      </w:r>
      <w:r>
        <w:rPr>
          <w:highlight w:val="none"/>
          <w:u w:val="single"/>
        </w:rPr>
        <w:t xml:space="preserve">                    </w:t>
      </w:r>
      <w:r>
        <w:rPr>
          <w:rFonts w:hint="eastAsia"/>
          <w:highlight w:val="none"/>
          <w:u w:val="single"/>
        </w:rPr>
        <w:t xml:space="preserve">    </w:t>
      </w:r>
      <w:r>
        <w:rPr>
          <w:rFonts w:hint="eastAsia"/>
          <w:highlight w:val="none"/>
        </w:rPr>
        <w:t>（项目名称）的投标，为便于贵方公正、择优地确定中标人及其投标产品和服务，我方就本次投标有关事项郑重声明如下：</w:t>
      </w:r>
    </w:p>
    <w:p>
      <w:pPr>
        <w:snapToGrid w:val="0"/>
        <w:spacing w:line="400" w:lineRule="exact"/>
        <w:ind w:firstLine="480" w:firstLineChars="200"/>
        <w:rPr>
          <w:szCs w:val="20"/>
          <w:highlight w:val="none"/>
        </w:rPr>
      </w:pPr>
      <w:r>
        <w:rPr>
          <w:highlight w:val="none"/>
        </w:rPr>
        <w:t>1.</w:t>
      </w:r>
      <w:r>
        <w:rPr>
          <w:rFonts w:hint="eastAsia"/>
          <w:highlight w:val="none"/>
        </w:rPr>
        <w:t>我方向贵方提交的所有投标文件、资料都是准确的和真实的。</w:t>
      </w:r>
    </w:p>
    <w:p>
      <w:pPr>
        <w:snapToGrid w:val="0"/>
        <w:spacing w:before="120" w:beforeLines="50" w:line="400" w:lineRule="exact"/>
        <w:ind w:firstLine="480" w:firstLineChars="200"/>
        <w:rPr>
          <w:szCs w:val="20"/>
          <w:highlight w:val="none"/>
        </w:rPr>
      </w:pPr>
      <w:r>
        <w:rPr>
          <w:highlight w:val="none"/>
        </w:rPr>
        <w:t>2.</w:t>
      </w:r>
      <w:r>
        <w:rPr>
          <w:rFonts w:hint="eastAsia"/>
          <w:highlight w:val="none"/>
        </w:rPr>
        <w:t>我方不是采购人的附属机构；在获知本项目采购信息后，与采购人聘请的为此项目提供咨询服务的公司及其附属机构没有任何联系。</w:t>
      </w:r>
    </w:p>
    <w:p>
      <w:pPr>
        <w:pStyle w:val="11"/>
        <w:snapToGrid w:val="0"/>
        <w:spacing w:line="400" w:lineRule="exact"/>
        <w:ind w:firstLine="480" w:firstLineChars="200"/>
        <w:rPr>
          <w:highlight w:val="none"/>
        </w:rPr>
      </w:pPr>
      <w:r>
        <w:rPr>
          <w:rFonts w:hint="eastAsia"/>
          <w:highlight w:val="none"/>
        </w:rPr>
        <w:t>4</w:t>
      </w:r>
      <w:r>
        <w:rPr>
          <w:highlight w:val="none"/>
        </w:rPr>
        <w:t>.</w:t>
      </w:r>
      <w:r>
        <w:rPr>
          <w:rFonts w:hint="eastAsia"/>
          <w:highlight w:val="none"/>
        </w:rPr>
        <w:t>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400" w:lineRule="exact"/>
        <w:ind w:firstLine="480" w:firstLineChars="200"/>
        <w:rPr>
          <w:szCs w:val="20"/>
          <w:highlight w:val="none"/>
          <w:u w:val="single"/>
        </w:rPr>
      </w:pPr>
      <w:r>
        <w:rPr>
          <w:rFonts w:hint="eastAsia"/>
          <w:highlight w:val="none"/>
          <w:u w:val="single"/>
        </w:rPr>
        <w:t>　　　　　　　　　　　　　　　　　　　　　　　　　　　</w:t>
      </w:r>
    </w:p>
    <w:p>
      <w:pPr>
        <w:snapToGrid w:val="0"/>
        <w:spacing w:line="400" w:lineRule="exact"/>
        <w:ind w:firstLine="480" w:firstLineChars="200"/>
        <w:rPr>
          <w:szCs w:val="20"/>
          <w:highlight w:val="none"/>
        </w:rPr>
      </w:pPr>
      <w:r>
        <w:rPr>
          <w:rFonts w:hint="eastAsia"/>
          <w:highlight w:val="none"/>
        </w:rPr>
        <w:t>5</w:t>
      </w:r>
      <w:r>
        <w:rPr>
          <w:highlight w:val="none"/>
        </w:rPr>
        <w:t>.</w:t>
      </w:r>
      <w:r>
        <w:rPr>
          <w:rFonts w:hint="eastAsia"/>
          <w:highlight w:val="none"/>
        </w:rPr>
        <w:t>以上事项如有虚假或隐瞒，我方愿意承担一切后果，并不再寻求任何旨在减轻或免除法律责任的辩解。</w:t>
      </w:r>
    </w:p>
    <w:p>
      <w:pPr>
        <w:pStyle w:val="12"/>
        <w:tabs>
          <w:tab w:val="left" w:pos="939"/>
        </w:tabs>
        <w:snapToGrid w:val="0"/>
        <w:spacing w:line="400" w:lineRule="exact"/>
        <w:ind w:left="818" w:leftChars="150" w:hanging="458" w:hangingChars="191"/>
        <w:rPr>
          <w:highlight w:val="none"/>
        </w:rPr>
      </w:pPr>
    </w:p>
    <w:p>
      <w:pPr>
        <w:snapToGrid w:val="0"/>
        <w:spacing w:before="120" w:beforeLines="50" w:line="400" w:lineRule="exact"/>
        <w:ind w:firstLine="200"/>
        <w:rPr>
          <w:szCs w:val="20"/>
          <w:highlight w:val="none"/>
          <w:u w:val="single"/>
        </w:rPr>
      </w:pPr>
      <w:r>
        <w:rPr>
          <w:rFonts w:hint="eastAsia"/>
          <w:highlight w:val="none"/>
        </w:rPr>
        <w:t>法定代表人或被授权人签字（或盖章）：</w:t>
      </w:r>
      <w:r>
        <w:rPr>
          <w:highlight w:val="none"/>
          <w:u w:val="single"/>
        </w:rPr>
        <w:t xml:space="preserve">             </w:t>
      </w:r>
    </w:p>
    <w:p>
      <w:pPr>
        <w:snapToGrid w:val="0"/>
        <w:spacing w:before="120" w:beforeLines="50" w:after="50" w:line="400" w:lineRule="exact"/>
        <w:ind w:firstLine="240" w:firstLineChars="100"/>
        <w:rPr>
          <w:highlight w:val="none"/>
        </w:rPr>
      </w:pPr>
      <w:r>
        <w:rPr>
          <w:rFonts w:hint="eastAsia"/>
          <w:highlight w:val="none"/>
        </w:rPr>
        <w:t>投标人公章：</w:t>
      </w:r>
      <w:r>
        <w:rPr>
          <w:highlight w:val="none"/>
          <w:u w:val="single"/>
        </w:rPr>
        <w:t xml:space="preserve">               </w:t>
      </w:r>
      <w:r>
        <w:rPr>
          <w:highlight w:val="none"/>
        </w:rPr>
        <w:t xml:space="preserve">                      </w:t>
      </w:r>
    </w:p>
    <w:p>
      <w:pPr>
        <w:snapToGrid w:val="0"/>
        <w:spacing w:before="120" w:beforeLines="50" w:after="50" w:line="400" w:lineRule="exact"/>
        <w:ind w:firstLine="240" w:firstLineChars="100"/>
        <w:rPr>
          <w:highlight w:val="none"/>
        </w:rPr>
      </w:pPr>
    </w:p>
    <w:p>
      <w:pPr>
        <w:pStyle w:val="32"/>
        <w:spacing w:line="360" w:lineRule="auto"/>
        <w:jc w:val="right"/>
        <w:rPr>
          <w:rFonts w:hAnsi="宋体" w:eastAsia="宋体"/>
          <w:sz w:val="24"/>
          <w:szCs w:val="24"/>
          <w:highlight w:val="none"/>
        </w:rPr>
      </w:pPr>
      <w:r>
        <w:rPr>
          <w:rFonts w:hint="eastAsia" w:hAnsi="宋体" w:eastAsia="宋体"/>
          <w:sz w:val="24"/>
          <w:szCs w:val="24"/>
          <w:highlight w:val="none"/>
        </w:rPr>
        <w:t>年</w:t>
      </w:r>
      <w:r>
        <w:rPr>
          <w:rFonts w:hAnsi="宋体" w:eastAsia="宋体"/>
          <w:sz w:val="24"/>
          <w:szCs w:val="24"/>
          <w:highlight w:val="none"/>
        </w:rPr>
        <w:t xml:space="preserve">    </w:t>
      </w:r>
      <w:r>
        <w:rPr>
          <w:rFonts w:hint="eastAsia" w:hAnsi="宋体" w:eastAsia="宋体"/>
          <w:sz w:val="24"/>
          <w:szCs w:val="24"/>
          <w:highlight w:val="none"/>
        </w:rPr>
        <w:t>月</w:t>
      </w:r>
      <w:r>
        <w:rPr>
          <w:rFonts w:hAnsi="宋体" w:eastAsia="宋体"/>
          <w:sz w:val="24"/>
          <w:szCs w:val="24"/>
          <w:highlight w:val="none"/>
        </w:rPr>
        <w:t xml:space="preserve">    </w:t>
      </w:r>
      <w:r>
        <w:rPr>
          <w:rFonts w:hint="eastAsia" w:hAnsi="宋体" w:eastAsia="宋体"/>
          <w:sz w:val="24"/>
          <w:szCs w:val="24"/>
          <w:highlight w:val="none"/>
        </w:rPr>
        <w:t>日</w:t>
      </w:r>
    </w:p>
    <w:p>
      <w:pPr>
        <w:pStyle w:val="32"/>
        <w:spacing w:line="360" w:lineRule="auto"/>
        <w:rPr>
          <w:rFonts w:hAnsi="宋体"/>
          <w:sz w:val="24"/>
          <w:highlight w:val="none"/>
        </w:rPr>
      </w:pPr>
    </w:p>
    <w:p>
      <w:pPr>
        <w:pStyle w:val="32"/>
        <w:spacing w:line="360" w:lineRule="auto"/>
        <w:rPr>
          <w:rFonts w:hAnsi="宋体"/>
          <w:sz w:val="24"/>
          <w:highlight w:val="none"/>
        </w:rPr>
      </w:pPr>
    </w:p>
    <w:p>
      <w:pPr>
        <w:pStyle w:val="32"/>
        <w:spacing w:line="360" w:lineRule="auto"/>
        <w:rPr>
          <w:rFonts w:hAnsi="宋体"/>
          <w:sz w:val="24"/>
          <w:highlight w:val="none"/>
        </w:rPr>
      </w:pPr>
    </w:p>
    <w:p>
      <w:pPr>
        <w:pStyle w:val="32"/>
        <w:spacing w:line="360" w:lineRule="auto"/>
        <w:rPr>
          <w:rFonts w:hAnsi="宋体"/>
          <w:sz w:val="24"/>
          <w:highlight w:val="none"/>
        </w:rPr>
      </w:pPr>
    </w:p>
    <w:p>
      <w:pPr>
        <w:pStyle w:val="32"/>
        <w:spacing w:line="360" w:lineRule="auto"/>
        <w:rPr>
          <w:rFonts w:hAnsi="宋体"/>
          <w:sz w:val="24"/>
          <w:highlight w:val="none"/>
        </w:rPr>
      </w:pPr>
    </w:p>
    <w:p>
      <w:pPr>
        <w:pStyle w:val="32"/>
        <w:spacing w:line="360" w:lineRule="auto"/>
        <w:rPr>
          <w:rFonts w:hAnsi="宋体"/>
          <w:sz w:val="24"/>
          <w:highlight w:val="none"/>
        </w:rPr>
      </w:pPr>
    </w:p>
    <w:p>
      <w:pPr>
        <w:pStyle w:val="32"/>
        <w:spacing w:line="360" w:lineRule="auto"/>
        <w:rPr>
          <w:rFonts w:hAnsi="宋体"/>
          <w:sz w:val="24"/>
          <w:highlight w:val="none"/>
        </w:rPr>
      </w:pPr>
    </w:p>
    <w:p>
      <w:pPr>
        <w:snapToGrid w:val="0"/>
        <w:spacing w:before="120" w:beforeLines="50" w:after="50"/>
        <w:rPr>
          <w:b/>
          <w:highlight w:val="none"/>
        </w:rPr>
      </w:pPr>
      <w:r>
        <w:rPr>
          <w:b/>
          <w:highlight w:val="none"/>
        </w:rPr>
        <w:t>6.</w:t>
      </w:r>
      <w:r>
        <w:rPr>
          <w:rFonts w:hint="eastAsia"/>
          <w:b/>
          <w:highlight w:val="none"/>
        </w:rPr>
        <w:t>法定代表人授权委托书</w:t>
      </w:r>
    </w:p>
    <w:p>
      <w:pPr>
        <w:snapToGrid w:val="0"/>
        <w:spacing w:before="120" w:beforeLines="50" w:after="50" w:line="360" w:lineRule="auto"/>
        <w:jc w:val="center"/>
        <w:outlineLvl w:val="0"/>
        <w:rPr>
          <w:b/>
          <w:sz w:val="32"/>
          <w:szCs w:val="32"/>
          <w:highlight w:val="none"/>
        </w:rPr>
      </w:pPr>
      <w:bookmarkStart w:id="123" w:name="_Toc32310"/>
      <w:bookmarkStart w:id="124" w:name="_Toc23349"/>
      <w:bookmarkStart w:id="125" w:name="_Toc16660"/>
      <w:r>
        <w:rPr>
          <w:rFonts w:hint="eastAsia"/>
          <w:b/>
          <w:sz w:val="32"/>
          <w:szCs w:val="32"/>
          <w:highlight w:val="none"/>
        </w:rPr>
        <w:t>法定代表人授权委托书</w:t>
      </w:r>
      <w:bookmarkEnd w:id="123"/>
      <w:bookmarkEnd w:id="124"/>
      <w:bookmarkEnd w:id="125"/>
    </w:p>
    <w:p>
      <w:pPr>
        <w:snapToGrid w:val="0"/>
        <w:spacing w:before="120" w:beforeLines="50" w:after="50" w:line="360" w:lineRule="auto"/>
        <w:rPr>
          <w:b/>
          <w:bCs/>
          <w:szCs w:val="20"/>
          <w:highlight w:val="none"/>
        </w:rPr>
      </w:pPr>
      <w:r>
        <w:rPr>
          <w:rFonts w:hint="eastAsia"/>
          <w:bCs/>
          <w:highlight w:val="none"/>
        </w:rPr>
        <w:t>致</w:t>
      </w:r>
      <w:r>
        <w:rPr>
          <w:rFonts w:hint="eastAsia"/>
          <w:bCs/>
          <w:highlight w:val="none"/>
          <w:lang w:eastAsia="zh-CN"/>
        </w:rPr>
        <w:t>海盐县人民法院</w:t>
      </w:r>
      <w:r>
        <w:rPr>
          <w:rFonts w:hint="eastAsia"/>
          <w:highlight w:val="none"/>
        </w:rPr>
        <w:t>：</w:t>
      </w:r>
    </w:p>
    <w:p>
      <w:pPr>
        <w:snapToGrid w:val="0"/>
        <w:spacing w:before="120" w:beforeLines="50" w:after="50" w:line="360" w:lineRule="auto"/>
        <w:ind w:firstLine="720" w:firstLineChars="300"/>
        <w:rPr>
          <w:szCs w:val="20"/>
          <w:highlight w:val="none"/>
        </w:rPr>
      </w:pPr>
      <w:r>
        <w:rPr>
          <w:rFonts w:hint="eastAsia"/>
          <w:highlight w:val="none"/>
        </w:rPr>
        <w:t>我_______________（姓名）系___________________（投标人名称）的法定代表人，现授权委托</w:t>
      </w:r>
      <w:r>
        <w:rPr>
          <w:highlight w:val="none"/>
          <w:u w:val="single"/>
        </w:rPr>
        <w:t xml:space="preserve">             </w:t>
      </w:r>
      <w:r>
        <w:rPr>
          <w:rFonts w:hint="eastAsia"/>
          <w:highlight w:val="none"/>
        </w:rPr>
        <w:t>（姓名）以我方的名义参加</w:t>
      </w:r>
      <w:r>
        <w:rPr>
          <w:highlight w:val="none"/>
          <w:u w:val="single"/>
        </w:rPr>
        <w:t xml:space="preserve">                </w:t>
      </w:r>
      <w:r>
        <w:rPr>
          <w:rFonts w:hint="eastAsia"/>
          <w:highlight w:val="none"/>
        </w:rPr>
        <w:t>（项目名称）的投标活动，并代表我方全权办理针对上述项目的投标、开标、评标、签约等具体事务和签署相关文件。</w:t>
      </w:r>
    </w:p>
    <w:p>
      <w:pPr>
        <w:snapToGrid w:val="0"/>
        <w:spacing w:before="120" w:beforeLines="50" w:after="50" w:line="360" w:lineRule="auto"/>
        <w:rPr>
          <w:szCs w:val="20"/>
          <w:highlight w:val="none"/>
        </w:rPr>
      </w:pPr>
      <w:r>
        <w:rPr>
          <w:highlight w:val="none"/>
        </w:rPr>
        <w:t xml:space="preserve">    </w:t>
      </w:r>
      <w:r>
        <w:rPr>
          <w:rFonts w:hint="eastAsia"/>
          <w:highlight w:val="none"/>
        </w:rPr>
        <w:t>我方对被授权人的签字事项负全部责任。</w:t>
      </w:r>
    </w:p>
    <w:p>
      <w:pPr>
        <w:snapToGrid w:val="0"/>
        <w:spacing w:before="120" w:beforeLines="50" w:after="50" w:line="360" w:lineRule="auto"/>
        <w:ind w:firstLine="480"/>
        <w:rPr>
          <w:szCs w:val="20"/>
          <w:highlight w:val="none"/>
        </w:rPr>
      </w:pPr>
      <w:r>
        <w:rPr>
          <w:rFonts w:hint="eastAsia"/>
          <w:highlight w:val="none"/>
          <w:u w:val="single"/>
        </w:rPr>
        <w:t>在撤销授权的书面通知以前，本授权书一直有效。</w:t>
      </w:r>
      <w:r>
        <w:rPr>
          <w:rFonts w:hint="eastAsia"/>
          <w:highlight w:val="none"/>
        </w:rPr>
        <w:t>被授权人在授权书有效期内签署的所有文件不因授权的撤销而失效。</w:t>
      </w:r>
    </w:p>
    <w:p>
      <w:pPr>
        <w:snapToGrid w:val="0"/>
        <w:spacing w:before="120" w:beforeLines="50" w:after="50" w:line="360" w:lineRule="auto"/>
        <w:ind w:firstLine="480"/>
        <w:rPr>
          <w:szCs w:val="20"/>
          <w:highlight w:val="none"/>
        </w:rPr>
      </w:pPr>
      <w:r>
        <w:rPr>
          <w:rFonts w:hint="eastAsia"/>
          <w:highlight w:val="none"/>
        </w:rPr>
        <w:t>被授权人无转委托权，特此委托。</w:t>
      </w:r>
    </w:p>
    <w:p>
      <w:pPr>
        <w:snapToGrid w:val="0"/>
        <w:spacing w:before="120" w:beforeLines="50" w:after="50" w:line="360" w:lineRule="auto"/>
        <w:rPr>
          <w:szCs w:val="20"/>
          <w:highlight w:val="none"/>
        </w:rPr>
      </w:pPr>
    </w:p>
    <w:p>
      <w:pPr>
        <w:snapToGrid w:val="0"/>
        <w:spacing w:before="120" w:beforeLines="50" w:after="50" w:line="360" w:lineRule="auto"/>
        <w:rPr>
          <w:szCs w:val="20"/>
          <w:highlight w:val="none"/>
          <w:u w:val="single"/>
        </w:rPr>
      </w:pPr>
      <w:r>
        <w:rPr>
          <w:rFonts w:hint="eastAsia"/>
          <w:highlight w:val="none"/>
        </w:rPr>
        <w:t>法定代表人签字（或盖章）：</w:t>
      </w:r>
      <w:r>
        <w:rPr>
          <w:highlight w:val="none"/>
          <w:u w:val="single"/>
        </w:rPr>
        <w:t xml:space="preserve">          </w:t>
      </w:r>
      <w:r>
        <w:rPr>
          <w:highlight w:val="none"/>
        </w:rPr>
        <w:t xml:space="preserve">  </w:t>
      </w:r>
      <w:r>
        <w:rPr>
          <w:rFonts w:hint="eastAsia"/>
          <w:highlight w:val="none"/>
        </w:rPr>
        <w:t>被授权人签字（或盖章）：</w:t>
      </w:r>
      <w:r>
        <w:rPr>
          <w:highlight w:val="none"/>
          <w:u w:val="single"/>
        </w:rPr>
        <w:t xml:space="preserve">          </w:t>
      </w:r>
    </w:p>
    <w:p>
      <w:pPr>
        <w:snapToGrid w:val="0"/>
        <w:spacing w:before="120" w:beforeLines="50" w:after="50" w:line="360" w:lineRule="auto"/>
        <w:ind w:firstLine="960" w:firstLineChars="400"/>
        <w:rPr>
          <w:highlight w:val="none"/>
          <w:u w:val="single"/>
        </w:rPr>
      </w:pPr>
      <w:r>
        <w:rPr>
          <w:rFonts w:hint="eastAsia"/>
          <w:highlight w:val="none"/>
        </w:rPr>
        <w:t>职务：</w:t>
      </w:r>
      <w:r>
        <w:rPr>
          <w:highlight w:val="none"/>
          <w:u w:val="single"/>
        </w:rPr>
        <w:t xml:space="preserve">           </w:t>
      </w:r>
      <w:r>
        <w:rPr>
          <w:highlight w:val="none"/>
        </w:rPr>
        <w:t xml:space="preserve">                          </w:t>
      </w:r>
      <w:r>
        <w:rPr>
          <w:rFonts w:hint="eastAsia"/>
          <w:highlight w:val="none"/>
        </w:rPr>
        <w:t>职务：</w:t>
      </w:r>
      <w:r>
        <w:rPr>
          <w:highlight w:val="none"/>
          <w:u w:val="single"/>
        </w:rPr>
        <w:t xml:space="preserve">           </w:t>
      </w:r>
    </w:p>
    <w:p>
      <w:pPr>
        <w:snapToGrid w:val="0"/>
        <w:spacing w:before="120" w:beforeLines="50" w:after="50" w:line="360" w:lineRule="auto"/>
        <w:rPr>
          <w:szCs w:val="20"/>
          <w:highlight w:val="none"/>
        </w:rPr>
      </w:pPr>
    </w:p>
    <w:p>
      <w:pPr>
        <w:snapToGrid w:val="0"/>
        <w:spacing w:before="120" w:beforeLines="50" w:after="50" w:line="360" w:lineRule="auto"/>
        <w:rPr>
          <w:highlight w:val="none"/>
        </w:rPr>
      </w:pPr>
      <w:r>
        <w:rPr>
          <w:rFonts w:hint="eastAsia"/>
          <w:highlight w:val="none"/>
        </w:rPr>
        <w:t>法定代表人身份证粘贴处（正反面）</w:t>
      </w:r>
      <w:r>
        <w:rPr>
          <w:highlight w:val="none"/>
        </w:rPr>
        <w:t xml:space="preserve">       </w:t>
      </w:r>
      <w:r>
        <w:rPr>
          <w:rFonts w:hint="eastAsia"/>
          <w:highlight w:val="none"/>
        </w:rPr>
        <w:t>被授权人身份证粘贴处（正反面）</w:t>
      </w:r>
    </w:p>
    <w:p>
      <w:pPr>
        <w:snapToGrid w:val="0"/>
        <w:spacing w:before="120" w:beforeLines="50" w:after="50" w:line="360" w:lineRule="auto"/>
        <w:rPr>
          <w:highlight w:val="none"/>
        </w:rPr>
      </w:pPr>
    </w:p>
    <w:p>
      <w:pPr>
        <w:snapToGrid w:val="0"/>
        <w:spacing w:before="120" w:beforeLines="50" w:after="50" w:line="360" w:lineRule="auto"/>
        <w:rPr>
          <w:highlight w:val="none"/>
        </w:rPr>
      </w:pPr>
    </w:p>
    <w:p>
      <w:pPr>
        <w:snapToGrid w:val="0"/>
        <w:spacing w:before="120" w:beforeLines="50" w:after="50" w:line="360" w:lineRule="auto"/>
        <w:rPr>
          <w:highlight w:val="none"/>
        </w:rPr>
      </w:pPr>
    </w:p>
    <w:p>
      <w:pPr>
        <w:snapToGrid w:val="0"/>
        <w:spacing w:before="120" w:beforeLines="50" w:after="50" w:line="360" w:lineRule="auto"/>
        <w:rPr>
          <w:highlight w:val="none"/>
        </w:rPr>
      </w:pPr>
      <w:r>
        <w:rPr>
          <w:rFonts w:hint="eastAsia"/>
          <w:highlight w:val="none"/>
        </w:rPr>
        <w:t>投标人公章：</w:t>
      </w:r>
    </w:p>
    <w:p>
      <w:pPr>
        <w:snapToGrid w:val="0"/>
        <w:spacing w:before="120" w:beforeLines="50" w:after="50" w:line="360" w:lineRule="auto"/>
        <w:rPr>
          <w:szCs w:val="20"/>
          <w:highlight w:val="none"/>
        </w:rPr>
      </w:pPr>
    </w:p>
    <w:p>
      <w:pPr>
        <w:snapToGrid w:val="0"/>
        <w:spacing w:before="120" w:beforeLines="50" w:after="50" w:line="360" w:lineRule="auto"/>
        <w:rPr>
          <w:szCs w:val="20"/>
          <w:highlight w:val="none"/>
        </w:rPr>
      </w:pPr>
    </w:p>
    <w:p>
      <w:pPr>
        <w:snapToGrid w:val="0"/>
        <w:spacing w:before="120" w:beforeLines="50" w:after="50"/>
        <w:jc w:val="right"/>
        <w:rPr>
          <w:highlight w:val="none"/>
        </w:rPr>
      </w:pPr>
    </w:p>
    <w:p>
      <w:pPr>
        <w:snapToGrid w:val="0"/>
        <w:spacing w:before="120" w:beforeLines="50" w:after="50"/>
        <w:jc w:val="right"/>
        <w:rPr>
          <w:highlight w:val="none"/>
        </w:rPr>
      </w:pP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snapToGrid w:val="0"/>
        <w:spacing w:line="360" w:lineRule="auto"/>
        <w:rPr>
          <w:rFonts w:hint="eastAsia" w:ascii="宋体" w:hAnsi="宋体" w:eastAsia="宋体" w:cs="宋体"/>
          <w:b/>
          <w:bCs/>
          <w:color w:val="auto"/>
          <w:sz w:val="24"/>
          <w:highlight w:val="none"/>
          <w:lang w:val="en-US" w:eastAsia="zh-CN"/>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、承诺函格式</w:t>
      </w: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承诺函</w:t>
      </w:r>
    </w:p>
    <w:p>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政府采购项目的招投标活动中，郑重承诺如下：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3、我方符合《中华人民共和国政府采购法》第二十二条的规定；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5、若我方中标，将严格按照规定及时与采购人签订合同；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3"/>
        <w:rPr>
          <w:rFonts w:hint="eastAsia" w:ascii="宋体" w:hAnsi="宋体" w:eastAsia="宋体" w:cs="宋体"/>
          <w:color w:val="auto"/>
          <w:highlight w:val="none"/>
        </w:rPr>
      </w:pP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供应商（加盖公章）：</w:t>
      </w:r>
    </w:p>
    <w:p>
      <w:pPr>
        <w:spacing w:line="360" w:lineRule="auto"/>
        <w:ind w:firstLine="480" w:firstLineChars="20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时间：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日 </w:t>
      </w:r>
    </w:p>
    <w:p>
      <w:pPr>
        <w:pStyle w:val="32"/>
        <w:spacing w:line="360" w:lineRule="auto"/>
        <w:rPr>
          <w:rFonts w:hAnsi="宋体"/>
          <w:sz w:val="24"/>
          <w:highlight w:val="none"/>
        </w:rPr>
      </w:pPr>
    </w:p>
    <w:p>
      <w:pPr>
        <w:pStyle w:val="32"/>
        <w:spacing w:line="360" w:lineRule="auto"/>
        <w:rPr>
          <w:rFonts w:hAnsi="宋体" w:eastAsia="宋体"/>
          <w:b/>
          <w:sz w:val="24"/>
          <w:szCs w:val="24"/>
          <w:highlight w:val="none"/>
        </w:rPr>
      </w:pPr>
      <w:r>
        <w:rPr>
          <w:rFonts w:hint="eastAsia" w:hAnsi="宋体" w:eastAsia="宋体"/>
          <w:b/>
          <w:sz w:val="24"/>
          <w:szCs w:val="24"/>
          <w:highlight w:val="none"/>
          <w:lang w:val="en-US" w:eastAsia="zh-CN"/>
        </w:rPr>
        <w:t>8</w:t>
      </w:r>
      <w:r>
        <w:rPr>
          <w:rFonts w:hAnsi="宋体" w:eastAsia="宋体"/>
          <w:b/>
          <w:sz w:val="24"/>
          <w:szCs w:val="24"/>
          <w:highlight w:val="none"/>
        </w:rPr>
        <w:t xml:space="preserve">. </w:t>
      </w:r>
      <w:r>
        <w:rPr>
          <w:rFonts w:hint="eastAsia" w:hAnsi="宋体" w:eastAsia="宋体"/>
          <w:b/>
          <w:sz w:val="24"/>
          <w:szCs w:val="24"/>
          <w:highlight w:val="none"/>
        </w:rPr>
        <w:t>类似案例成功的业绩一览表</w:t>
      </w:r>
    </w:p>
    <w:p>
      <w:pPr>
        <w:pStyle w:val="32"/>
        <w:spacing w:line="360" w:lineRule="auto"/>
        <w:jc w:val="center"/>
        <w:rPr>
          <w:rFonts w:hAnsi="宋体" w:eastAsia="宋体"/>
          <w:b/>
          <w:sz w:val="24"/>
          <w:szCs w:val="24"/>
          <w:highlight w:val="none"/>
        </w:rPr>
      </w:pPr>
      <w:r>
        <w:rPr>
          <w:rFonts w:hint="eastAsia" w:hAnsi="宋体" w:eastAsia="宋体"/>
          <w:b/>
          <w:sz w:val="24"/>
          <w:szCs w:val="24"/>
          <w:highlight w:val="none"/>
        </w:rPr>
        <w:t>成功案例业绩一览表</w:t>
      </w:r>
    </w:p>
    <w:tbl>
      <w:tblPr>
        <w:tblStyle w:val="24"/>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jc w:val="center"/>
              <w:rPr>
                <w:b/>
                <w:kern w:val="2"/>
                <w:szCs w:val="21"/>
                <w:highlight w:val="none"/>
              </w:rPr>
            </w:pPr>
            <w:r>
              <w:rPr>
                <w:rFonts w:hint="eastAsia"/>
                <w:b/>
                <w:kern w:val="2"/>
                <w:szCs w:val="21"/>
                <w:highlight w:val="none"/>
              </w:rPr>
              <w:t>序号</w:t>
            </w:r>
          </w:p>
        </w:tc>
        <w:tc>
          <w:tcPr>
            <w:tcW w:w="1330" w:type="dxa"/>
            <w:vAlign w:val="center"/>
          </w:tcPr>
          <w:p>
            <w:pPr>
              <w:jc w:val="center"/>
              <w:rPr>
                <w:b/>
                <w:kern w:val="2"/>
                <w:szCs w:val="21"/>
                <w:highlight w:val="none"/>
              </w:rPr>
            </w:pPr>
            <w:r>
              <w:rPr>
                <w:rFonts w:hint="eastAsia"/>
                <w:b/>
                <w:kern w:val="2"/>
                <w:szCs w:val="21"/>
                <w:highlight w:val="none"/>
              </w:rPr>
              <w:t>采购单位</w:t>
            </w:r>
            <w:r>
              <w:rPr>
                <w:rFonts w:hint="eastAsia"/>
                <w:b/>
                <w:kern w:val="2"/>
                <w:szCs w:val="21"/>
                <w:highlight w:val="none"/>
              </w:rPr>
              <w:br w:type="textWrapping"/>
            </w:r>
            <w:r>
              <w:rPr>
                <w:rFonts w:hint="eastAsia"/>
                <w:b/>
                <w:kern w:val="2"/>
                <w:szCs w:val="21"/>
                <w:highlight w:val="none"/>
              </w:rPr>
              <w:t>名   称</w:t>
            </w:r>
          </w:p>
        </w:tc>
        <w:tc>
          <w:tcPr>
            <w:tcW w:w="1511" w:type="dxa"/>
            <w:vAlign w:val="center"/>
          </w:tcPr>
          <w:p>
            <w:pPr>
              <w:tabs>
                <w:tab w:val="left" w:pos="6252"/>
              </w:tabs>
              <w:spacing w:line="360" w:lineRule="auto"/>
              <w:jc w:val="center"/>
              <w:rPr>
                <w:b/>
                <w:kern w:val="2"/>
                <w:szCs w:val="21"/>
                <w:highlight w:val="none"/>
              </w:rPr>
            </w:pPr>
            <w:r>
              <w:rPr>
                <w:rFonts w:hint="eastAsia"/>
                <w:b/>
                <w:kern w:val="2"/>
                <w:szCs w:val="21"/>
                <w:highlight w:val="none"/>
              </w:rPr>
              <w:t>项目起止时间</w:t>
            </w:r>
          </w:p>
        </w:tc>
        <w:tc>
          <w:tcPr>
            <w:tcW w:w="1259" w:type="dxa"/>
            <w:vAlign w:val="center"/>
          </w:tcPr>
          <w:p>
            <w:pPr>
              <w:tabs>
                <w:tab w:val="left" w:pos="6252"/>
              </w:tabs>
              <w:spacing w:line="360" w:lineRule="auto"/>
              <w:jc w:val="center"/>
              <w:rPr>
                <w:b/>
                <w:kern w:val="2"/>
                <w:szCs w:val="21"/>
                <w:highlight w:val="none"/>
              </w:rPr>
            </w:pPr>
            <w:r>
              <w:rPr>
                <w:rFonts w:hint="eastAsia"/>
                <w:b/>
                <w:kern w:val="2"/>
                <w:szCs w:val="21"/>
                <w:highlight w:val="none"/>
              </w:rPr>
              <w:t>项目名称</w:t>
            </w:r>
          </w:p>
        </w:tc>
        <w:tc>
          <w:tcPr>
            <w:tcW w:w="1331" w:type="dxa"/>
            <w:vAlign w:val="center"/>
          </w:tcPr>
          <w:p>
            <w:pPr>
              <w:tabs>
                <w:tab w:val="left" w:pos="6252"/>
              </w:tabs>
              <w:spacing w:line="360" w:lineRule="auto"/>
              <w:jc w:val="center"/>
              <w:rPr>
                <w:b/>
                <w:kern w:val="2"/>
                <w:szCs w:val="21"/>
                <w:highlight w:val="none"/>
              </w:rPr>
            </w:pPr>
            <w:r>
              <w:rPr>
                <w:rFonts w:hint="eastAsia"/>
                <w:b/>
                <w:kern w:val="2"/>
                <w:szCs w:val="21"/>
                <w:highlight w:val="none"/>
              </w:rPr>
              <w:t>合同金额</w:t>
            </w:r>
          </w:p>
          <w:p>
            <w:pPr>
              <w:tabs>
                <w:tab w:val="left" w:pos="6252"/>
              </w:tabs>
              <w:spacing w:line="360" w:lineRule="auto"/>
              <w:jc w:val="center"/>
              <w:rPr>
                <w:b/>
                <w:kern w:val="2"/>
                <w:szCs w:val="21"/>
                <w:highlight w:val="none"/>
              </w:rPr>
            </w:pPr>
            <w:r>
              <w:rPr>
                <w:rFonts w:hint="eastAsia"/>
                <w:b/>
                <w:kern w:val="2"/>
                <w:szCs w:val="21"/>
                <w:highlight w:val="none"/>
              </w:rPr>
              <w:t>（万元）</w:t>
            </w:r>
          </w:p>
        </w:tc>
        <w:tc>
          <w:tcPr>
            <w:tcW w:w="1850" w:type="dxa"/>
            <w:vAlign w:val="center"/>
          </w:tcPr>
          <w:p>
            <w:pPr>
              <w:tabs>
                <w:tab w:val="left" w:pos="6252"/>
              </w:tabs>
              <w:spacing w:line="360" w:lineRule="auto"/>
              <w:jc w:val="center"/>
              <w:rPr>
                <w:b/>
                <w:kern w:val="2"/>
                <w:szCs w:val="21"/>
                <w:highlight w:val="none"/>
              </w:rPr>
            </w:pPr>
            <w:r>
              <w:rPr>
                <w:rFonts w:hint="eastAsia"/>
                <w:b/>
                <w:kern w:val="2"/>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vAlign w:val="center"/>
          </w:tcPr>
          <w:p>
            <w:pPr>
              <w:jc w:val="center"/>
              <w:rPr>
                <w:kern w:val="2"/>
                <w:szCs w:val="21"/>
                <w:highlight w:val="none"/>
              </w:rPr>
            </w:pPr>
            <w:r>
              <w:rPr>
                <w:rFonts w:hint="eastAsia"/>
                <w:kern w:val="2"/>
                <w:szCs w:val="21"/>
                <w:highlight w:val="none"/>
              </w:rPr>
              <w:t>1</w:t>
            </w:r>
          </w:p>
        </w:tc>
        <w:tc>
          <w:tcPr>
            <w:tcW w:w="1330" w:type="dxa"/>
            <w:vAlign w:val="center"/>
          </w:tcPr>
          <w:p>
            <w:pPr>
              <w:jc w:val="center"/>
              <w:rPr>
                <w:kern w:val="2"/>
                <w:szCs w:val="21"/>
                <w:highlight w:val="none"/>
              </w:rPr>
            </w:pPr>
          </w:p>
        </w:tc>
        <w:tc>
          <w:tcPr>
            <w:tcW w:w="1511" w:type="dxa"/>
          </w:tcPr>
          <w:p>
            <w:pPr>
              <w:jc w:val="center"/>
              <w:rPr>
                <w:kern w:val="2"/>
                <w:szCs w:val="21"/>
                <w:highlight w:val="none"/>
              </w:rPr>
            </w:pPr>
          </w:p>
        </w:tc>
        <w:tc>
          <w:tcPr>
            <w:tcW w:w="1259" w:type="dxa"/>
          </w:tcPr>
          <w:p>
            <w:pPr>
              <w:jc w:val="center"/>
              <w:rPr>
                <w:kern w:val="2"/>
                <w:szCs w:val="21"/>
                <w:highlight w:val="none"/>
              </w:rPr>
            </w:pPr>
          </w:p>
        </w:tc>
        <w:tc>
          <w:tcPr>
            <w:tcW w:w="1331" w:type="dxa"/>
            <w:vAlign w:val="center"/>
          </w:tcPr>
          <w:p>
            <w:pPr>
              <w:jc w:val="center"/>
              <w:rPr>
                <w:kern w:val="2"/>
                <w:szCs w:val="21"/>
                <w:highlight w:val="none"/>
              </w:rPr>
            </w:pPr>
          </w:p>
        </w:tc>
        <w:tc>
          <w:tcPr>
            <w:tcW w:w="1850"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vAlign w:val="center"/>
          </w:tcPr>
          <w:p>
            <w:pPr>
              <w:jc w:val="center"/>
              <w:rPr>
                <w:kern w:val="2"/>
                <w:szCs w:val="21"/>
                <w:highlight w:val="none"/>
              </w:rPr>
            </w:pPr>
            <w:r>
              <w:rPr>
                <w:rFonts w:hint="eastAsia"/>
                <w:kern w:val="2"/>
                <w:szCs w:val="21"/>
                <w:highlight w:val="none"/>
              </w:rPr>
              <w:t>2</w:t>
            </w:r>
          </w:p>
        </w:tc>
        <w:tc>
          <w:tcPr>
            <w:tcW w:w="1330" w:type="dxa"/>
            <w:vAlign w:val="center"/>
          </w:tcPr>
          <w:p>
            <w:pPr>
              <w:jc w:val="center"/>
              <w:rPr>
                <w:kern w:val="2"/>
                <w:szCs w:val="21"/>
                <w:highlight w:val="none"/>
              </w:rPr>
            </w:pPr>
          </w:p>
        </w:tc>
        <w:tc>
          <w:tcPr>
            <w:tcW w:w="1511" w:type="dxa"/>
          </w:tcPr>
          <w:p>
            <w:pPr>
              <w:jc w:val="center"/>
              <w:rPr>
                <w:kern w:val="2"/>
                <w:szCs w:val="21"/>
                <w:highlight w:val="none"/>
              </w:rPr>
            </w:pPr>
          </w:p>
        </w:tc>
        <w:tc>
          <w:tcPr>
            <w:tcW w:w="1259" w:type="dxa"/>
          </w:tcPr>
          <w:p>
            <w:pPr>
              <w:jc w:val="center"/>
              <w:rPr>
                <w:kern w:val="2"/>
                <w:szCs w:val="21"/>
                <w:highlight w:val="none"/>
              </w:rPr>
            </w:pPr>
          </w:p>
        </w:tc>
        <w:tc>
          <w:tcPr>
            <w:tcW w:w="1331" w:type="dxa"/>
            <w:vAlign w:val="center"/>
          </w:tcPr>
          <w:p>
            <w:pPr>
              <w:jc w:val="center"/>
              <w:rPr>
                <w:kern w:val="2"/>
                <w:szCs w:val="21"/>
                <w:highlight w:val="none"/>
              </w:rPr>
            </w:pPr>
          </w:p>
        </w:tc>
        <w:tc>
          <w:tcPr>
            <w:tcW w:w="1850"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vAlign w:val="center"/>
          </w:tcPr>
          <w:p>
            <w:pPr>
              <w:jc w:val="center"/>
              <w:rPr>
                <w:kern w:val="2"/>
                <w:szCs w:val="21"/>
                <w:highlight w:val="none"/>
              </w:rPr>
            </w:pPr>
            <w:r>
              <w:rPr>
                <w:rFonts w:hint="eastAsia"/>
                <w:kern w:val="2"/>
                <w:szCs w:val="21"/>
                <w:highlight w:val="none"/>
              </w:rPr>
              <w:t>3</w:t>
            </w:r>
          </w:p>
        </w:tc>
        <w:tc>
          <w:tcPr>
            <w:tcW w:w="1330" w:type="dxa"/>
            <w:vAlign w:val="center"/>
          </w:tcPr>
          <w:p>
            <w:pPr>
              <w:jc w:val="center"/>
              <w:rPr>
                <w:kern w:val="2"/>
                <w:szCs w:val="21"/>
                <w:highlight w:val="none"/>
              </w:rPr>
            </w:pPr>
          </w:p>
        </w:tc>
        <w:tc>
          <w:tcPr>
            <w:tcW w:w="1511" w:type="dxa"/>
          </w:tcPr>
          <w:p>
            <w:pPr>
              <w:jc w:val="center"/>
              <w:rPr>
                <w:kern w:val="2"/>
                <w:szCs w:val="21"/>
                <w:highlight w:val="none"/>
              </w:rPr>
            </w:pPr>
          </w:p>
        </w:tc>
        <w:tc>
          <w:tcPr>
            <w:tcW w:w="1259" w:type="dxa"/>
          </w:tcPr>
          <w:p>
            <w:pPr>
              <w:jc w:val="center"/>
              <w:rPr>
                <w:kern w:val="2"/>
                <w:szCs w:val="21"/>
                <w:highlight w:val="none"/>
              </w:rPr>
            </w:pPr>
          </w:p>
        </w:tc>
        <w:tc>
          <w:tcPr>
            <w:tcW w:w="1331" w:type="dxa"/>
            <w:vAlign w:val="center"/>
          </w:tcPr>
          <w:p>
            <w:pPr>
              <w:jc w:val="center"/>
              <w:rPr>
                <w:kern w:val="2"/>
                <w:szCs w:val="21"/>
                <w:highlight w:val="none"/>
              </w:rPr>
            </w:pPr>
          </w:p>
        </w:tc>
        <w:tc>
          <w:tcPr>
            <w:tcW w:w="1850"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vAlign w:val="center"/>
          </w:tcPr>
          <w:p>
            <w:pPr>
              <w:jc w:val="center"/>
              <w:rPr>
                <w:kern w:val="2"/>
                <w:szCs w:val="21"/>
                <w:highlight w:val="none"/>
              </w:rPr>
            </w:pPr>
            <w:r>
              <w:rPr>
                <w:rFonts w:hint="eastAsia"/>
                <w:kern w:val="2"/>
                <w:szCs w:val="21"/>
                <w:highlight w:val="none"/>
              </w:rPr>
              <w:t>……</w:t>
            </w:r>
          </w:p>
        </w:tc>
        <w:tc>
          <w:tcPr>
            <w:tcW w:w="1330" w:type="dxa"/>
            <w:vAlign w:val="center"/>
          </w:tcPr>
          <w:p>
            <w:pPr>
              <w:jc w:val="center"/>
              <w:rPr>
                <w:kern w:val="2"/>
                <w:szCs w:val="21"/>
                <w:highlight w:val="none"/>
              </w:rPr>
            </w:pPr>
          </w:p>
        </w:tc>
        <w:tc>
          <w:tcPr>
            <w:tcW w:w="1511" w:type="dxa"/>
          </w:tcPr>
          <w:p>
            <w:pPr>
              <w:jc w:val="center"/>
              <w:rPr>
                <w:kern w:val="2"/>
                <w:szCs w:val="21"/>
                <w:highlight w:val="none"/>
              </w:rPr>
            </w:pPr>
          </w:p>
        </w:tc>
        <w:tc>
          <w:tcPr>
            <w:tcW w:w="1259" w:type="dxa"/>
          </w:tcPr>
          <w:p>
            <w:pPr>
              <w:jc w:val="center"/>
              <w:rPr>
                <w:kern w:val="2"/>
                <w:szCs w:val="21"/>
                <w:highlight w:val="none"/>
              </w:rPr>
            </w:pPr>
          </w:p>
        </w:tc>
        <w:tc>
          <w:tcPr>
            <w:tcW w:w="1331" w:type="dxa"/>
            <w:vAlign w:val="center"/>
          </w:tcPr>
          <w:p>
            <w:pPr>
              <w:jc w:val="center"/>
              <w:rPr>
                <w:kern w:val="2"/>
                <w:szCs w:val="21"/>
                <w:highlight w:val="none"/>
              </w:rPr>
            </w:pPr>
          </w:p>
        </w:tc>
        <w:tc>
          <w:tcPr>
            <w:tcW w:w="1850" w:type="dxa"/>
            <w:vAlign w:val="center"/>
          </w:tcPr>
          <w:p>
            <w:pPr>
              <w:jc w:val="center"/>
              <w:rPr>
                <w:kern w:val="2"/>
                <w:szCs w:val="21"/>
                <w:highlight w:val="none"/>
              </w:rPr>
            </w:pPr>
          </w:p>
        </w:tc>
      </w:tr>
    </w:tbl>
    <w:p>
      <w:pPr>
        <w:snapToGrid w:val="0"/>
        <w:spacing w:before="120" w:beforeLines="50" w:line="400" w:lineRule="exact"/>
        <w:ind w:firstLine="200"/>
        <w:rPr>
          <w:b/>
          <w:szCs w:val="21"/>
          <w:highlight w:val="none"/>
        </w:rPr>
      </w:pPr>
      <w:r>
        <w:rPr>
          <w:rFonts w:hint="eastAsia"/>
          <w:b/>
          <w:szCs w:val="21"/>
          <w:highlight w:val="none"/>
        </w:rPr>
        <w:t>注：附合同复印件</w:t>
      </w:r>
    </w:p>
    <w:p>
      <w:pPr>
        <w:snapToGrid w:val="0"/>
        <w:spacing w:before="120" w:beforeLines="50" w:line="400" w:lineRule="exact"/>
        <w:ind w:firstLine="200"/>
        <w:rPr>
          <w:szCs w:val="20"/>
          <w:highlight w:val="none"/>
          <w:u w:val="single"/>
        </w:rPr>
      </w:pPr>
      <w:r>
        <w:rPr>
          <w:rFonts w:hint="eastAsia"/>
          <w:highlight w:val="none"/>
        </w:rPr>
        <w:t>被授权人签字（或盖章）：</w:t>
      </w:r>
      <w:r>
        <w:rPr>
          <w:highlight w:val="none"/>
          <w:u w:val="single"/>
        </w:rPr>
        <w:t xml:space="preserve">             </w:t>
      </w:r>
    </w:p>
    <w:p>
      <w:pPr>
        <w:snapToGrid w:val="0"/>
        <w:spacing w:before="120" w:beforeLines="50" w:after="50" w:line="400" w:lineRule="exact"/>
        <w:ind w:firstLine="240" w:firstLineChars="100"/>
        <w:rPr>
          <w:highlight w:val="none"/>
        </w:rPr>
      </w:pPr>
      <w:r>
        <w:rPr>
          <w:rFonts w:hint="eastAsia"/>
          <w:highlight w:val="none"/>
        </w:rPr>
        <w:t>投标人公章：</w:t>
      </w:r>
      <w:r>
        <w:rPr>
          <w:highlight w:val="none"/>
        </w:rPr>
        <w:t xml:space="preserve">                    </w:t>
      </w:r>
    </w:p>
    <w:p>
      <w:pPr>
        <w:pStyle w:val="32"/>
        <w:spacing w:line="360" w:lineRule="auto"/>
        <w:jc w:val="right"/>
        <w:rPr>
          <w:rFonts w:hAnsi="宋体" w:eastAsia="宋体"/>
          <w:b/>
          <w:sz w:val="24"/>
          <w:szCs w:val="24"/>
          <w:highlight w:val="none"/>
        </w:rPr>
      </w:pPr>
      <w:r>
        <w:rPr>
          <w:rFonts w:hint="eastAsia" w:hAnsi="宋体" w:eastAsia="宋体"/>
          <w:sz w:val="24"/>
          <w:szCs w:val="24"/>
          <w:highlight w:val="none"/>
        </w:rPr>
        <w:t>年</w:t>
      </w:r>
      <w:r>
        <w:rPr>
          <w:rFonts w:hAnsi="宋体" w:eastAsia="宋体"/>
          <w:sz w:val="24"/>
          <w:szCs w:val="24"/>
          <w:highlight w:val="none"/>
        </w:rPr>
        <w:t xml:space="preserve">    </w:t>
      </w:r>
      <w:r>
        <w:rPr>
          <w:rFonts w:hint="eastAsia" w:hAnsi="宋体" w:eastAsia="宋体"/>
          <w:sz w:val="24"/>
          <w:szCs w:val="24"/>
          <w:highlight w:val="none"/>
        </w:rPr>
        <w:t>月</w:t>
      </w:r>
      <w:r>
        <w:rPr>
          <w:rFonts w:hAnsi="宋体" w:eastAsia="宋体"/>
          <w:sz w:val="24"/>
          <w:szCs w:val="24"/>
          <w:highlight w:val="none"/>
        </w:rPr>
        <w:t xml:space="preserve">    </w:t>
      </w:r>
      <w:r>
        <w:rPr>
          <w:rFonts w:hint="eastAsia" w:hAnsi="宋体" w:eastAsia="宋体"/>
          <w:sz w:val="24"/>
          <w:szCs w:val="24"/>
          <w:highlight w:val="none"/>
        </w:rPr>
        <w:t>日</w:t>
      </w:r>
    </w:p>
    <w:p>
      <w:pPr>
        <w:pStyle w:val="13"/>
        <w:spacing w:before="24" w:beforeLines="10" w:after="24" w:afterLines="10"/>
        <w:ind w:firstLine="420" w:firstLineChars="200"/>
        <w:rPr>
          <w:rFonts w:hAnsi="宋体"/>
          <w:highlight w:val="none"/>
        </w:rPr>
      </w:pPr>
      <w:r>
        <w:rPr>
          <w:rFonts w:hAnsi="宋体"/>
          <w:highlight w:val="none"/>
        </w:rPr>
        <w:t xml:space="preserve">                       </w:t>
      </w: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sz w:val="24"/>
          <w:szCs w:val="24"/>
          <w:highlight w:val="none"/>
        </w:rPr>
      </w:pP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pStyle w:val="9"/>
        <w:ind w:firstLine="482" w:firstLineChars="200"/>
        <w:rPr>
          <w:b/>
          <w:highlight w:val="none"/>
        </w:rPr>
      </w:pPr>
    </w:p>
    <w:p>
      <w:pPr>
        <w:pStyle w:val="9"/>
        <w:ind w:firstLine="482" w:firstLineChars="200"/>
        <w:rPr>
          <w:b/>
          <w:highlight w:val="none"/>
        </w:rPr>
      </w:pPr>
    </w:p>
    <w:p>
      <w:pPr>
        <w:pStyle w:val="9"/>
        <w:rPr>
          <w:highlight w:val="none"/>
        </w:rPr>
      </w:pPr>
      <w:r>
        <w:rPr>
          <w:rFonts w:hint="eastAsia"/>
          <w:b/>
          <w:highlight w:val="none"/>
          <w:lang w:val="en-US" w:eastAsia="zh-CN"/>
        </w:rPr>
        <w:t>9</w:t>
      </w:r>
      <w:r>
        <w:rPr>
          <w:b/>
          <w:highlight w:val="none"/>
        </w:rPr>
        <w:t xml:space="preserve">. </w:t>
      </w:r>
      <w:r>
        <w:rPr>
          <w:rFonts w:hint="eastAsia"/>
          <w:highlight w:val="none"/>
        </w:rPr>
        <w:t>与本项目实施相关的投标人各类资质证书。</w:t>
      </w:r>
    </w:p>
    <w:p>
      <w:pPr>
        <w:pStyle w:val="13"/>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项目实施人员一览表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从事本工作时间</w:t>
            </w:r>
          </w:p>
        </w:tc>
        <w:tc>
          <w:tcPr>
            <w:tcW w:w="1348" w:type="dxa"/>
            <w:tcBorders>
              <w:top w:val="single" w:color="auto" w:sz="4" w:space="0"/>
              <w:left w:val="single" w:color="auto" w:sz="4" w:space="0"/>
              <w:bottom w:val="single" w:color="auto" w:sz="4" w:space="0"/>
            </w:tcBorders>
            <w:vAlign w:val="center"/>
          </w:tcPr>
          <w:p>
            <w:pPr>
              <w:pStyle w:val="17"/>
              <w:rPr>
                <w:kern w:val="2"/>
                <w:sz w:val="21"/>
                <w:szCs w:val="21"/>
                <w:highlight w:val="none"/>
              </w:rPr>
            </w:pPr>
            <w:r>
              <w:rPr>
                <w:rFonts w:hint="eastAsia"/>
                <w:kern w:val="2"/>
                <w:sz w:val="21"/>
                <w:szCs w:val="21"/>
                <w:highlight w:val="none"/>
              </w:rPr>
              <w:t>主要资历、经验及承担过项目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6</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7</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8</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pStyle w:val="17"/>
              <w:jc w:val="center"/>
              <w:rPr>
                <w:kern w:val="2"/>
                <w:sz w:val="21"/>
                <w:szCs w:val="21"/>
                <w:highlight w:val="none"/>
              </w:rPr>
            </w:pPr>
            <w:r>
              <w:rPr>
                <w:rFonts w:hint="eastAsia"/>
                <w:kern w:val="2"/>
                <w:sz w:val="21"/>
                <w:szCs w:val="21"/>
                <w:highlight w:val="none"/>
              </w:rPr>
              <w:t>9</w:t>
            </w:r>
          </w:p>
        </w:tc>
        <w:tc>
          <w:tcPr>
            <w:tcW w:w="107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pStyle w:val="17"/>
              <w:jc w:val="center"/>
              <w:rPr>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7"/>
              <w:jc w:val="center"/>
              <w:rPr>
                <w:kern w:val="2"/>
                <w:sz w:val="21"/>
                <w:szCs w:val="21"/>
                <w:highlight w:val="none"/>
              </w:rPr>
            </w:pPr>
          </w:p>
        </w:tc>
        <w:tc>
          <w:tcPr>
            <w:tcW w:w="1348" w:type="dxa"/>
            <w:tcBorders>
              <w:top w:val="single" w:color="auto" w:sz="4" w:space="0"/>
              <w:left w:val="single" w:color="auto" w:sz="4" w:space="0"/>
              <w:bottom w:val="single" w:color="auto" w:sz="4" w:space="0"/>
            </w:tcBorders>
            <w:vAlign w:val="center"/>
          </w:tcPr>
          <w:p>
            <w:pPr>
              <w:pStyle w:val="17"/>
              <w:jc w:val="center"/>
              <w:rPr>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rPr>
                <w:kern w:val="2"/>
                <w:szCs w:val="21"/>
                <w:highlight w:val="none"/>
              </w:rPr>
            </w:pPr>
            <w:r>
              <w:rPr>
                <w:rFonts w:hint="eastAsia"/>
                <w:kern w:val="2"/>
                <w:szCs w:val="21"/>
                <w:highlight w:val="none"/>
              </w:rPr>
              <w:t>10</w:t>
            </w:r>
          </w:p>
        </w:tc>
        <w:tc>
          <w:tcPr>
            <w:tcW w:w="107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rPr>
                <w:kern w:val="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348" w:type="dxa"/>
            <w:tcBorders>
              <w:top w:val="single" w:color="auto" w:sz="4" w:space="0"/>
              <w:left w:val="single" w:color="auto" w:sz="4" w:space="0"/>
              <w:bottom w:val="single" w:color="auto" w:sz="4" w:space="0"/>
            </w:tcBorders>
            <w:vAlign w:val="center"/>
          </w:tcPr>
          <w:p>
            <w:pPr>
              <w:rPr>
                <w:kern w:val="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vAlign w:val="center"/>
          </w:tcPr>
          <w:p>
            <w:pPr>
              <w:rPr>
                <w:kern w:val="2"/>
                <w:szCs w:val="21"/>
                <w:highlight w:val="none"/>
              </w:rPr>
            </w:pPr>
            <w:r>
              <w:rPr>
                <w:rFonts w:hint="eastAsia"/>
                <w:kern w:val="2"/>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pPr>
              <w:rPr>
                <w:kern w:val="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rPr>
                <w:kern w:val="2"/>
                <w:szCs w:val="21"/>
                <w:highlight w:val="none"/>
              </w:rPr>
            </w:pPr>
          </w:p>
        </w:tc>
        <w:tc>
          <w:tcPr>
            <w:tcW w:w="1348" w:type="dxa"/>
            <w:tcBorders>
              <w:top w:val="single" w:color="auto" w:sz="4" w:space="0"/>
              <w:left w:val="single" w:color="auto" w:sz="4" w:space="0"/>
              <w:bottom w:val="single" w:color="auto" w:sz="4" w:space="0"/>
            </w:tcBorders>
            <w:vAlign w:val="center"/>
          </w:tcPr>
          <w:p>
            <w:pPr>
              <w:rPr>
                <w:kern w:val="2"/>
                <w:szCs w:val="21"/>
                <w:highlight w:val="none"/>
              </w:rPr>
            </w:pPr>
          </w:p>
        </w:tc>
      </w:tr>
    </w:tbl>
    <w:p>
      <w:pPr>
        <w:spacing w:line="360" w:lineRule="auto"/>
        <w:ind w:firstLine="482" w:firstLineChars="200"/>
        <w:rPr>
          <w:b/>
          <w:szCs w:val="21"/>
          <w:highlight w:val="none"/>
        </w:rPr>
      </w:pPr>
      <w:r>
        <w:rPr>
          <w:rFonts w:hint="eastAsia"/>
          <w:b/>
          <w:szCs w:val="21"/>
          <w:highlight w:val="none"/>
        </w:rPr>
        <w:t>注：</w:t>
      </w:r>
      <w:r>
        <w:rPr>
          <w:b/>
          <w:szCs w:val="21"/>
          <w:highlight w:val="none"/>
        </w:rPr>
        <w:t>1</w:t>
      </w:r>
      <w:r>
        <w:rPr>
          <w:rFonts w:hint="eastAsia"/>
          <w:b/>
          <w:szCs w:val="21"/>
          <w:highlight w:val="none"/>
        </w:rPr>
        <w:t>、“项目实施人员”指投标人针对本项目所安排的所有人员；</w:t>
      </w:r>
    </w:p>
    <w:p>
      <w:pPr>
        <w:spacing w:line="360" w:lineRule="auto"/>
        <w:ind w:firstLine="964" w:firstLineChars="400"/>
        <w:rPr>
          <w:b/>
          <w:szCs w:val="21"/>
          <w:highlight w:val="none"/>
        </w:rPr>
      </w:pPr>
      <w:r>
        <w:rPr>
          <w:b/>
          <w:szCs w:val="21"/>
          <w:highlight w:val="none"/>
        </w:rPr>
        <w:t>2</w:t>
      </w:r>
      <w:r>
        <w:rPr>
          <w:rFonts w:hint="eastAsia"/>
          <w:b/>
          <w:szCs w:val="21"/>
          <w:highlight w:val="none"/>
        </w:rPr>
        <w:t>、附各专业人员相关资历证明材料复印件；</w:t>
      </w:r>
    </w:p>
    <w:p>
      <w:pPr>
        <w:spacing w:line="360" w:lineRule="auto"/>
        <w:ind w:firstLine="964" w:firstLineChars="400"/>
        <w:rPr>
          <w:b/>
          <w:szCs w:val="21"/>
          <w:highlight w:val="none"/>
        </w:rPr>
      </w:pPr>
      <w:r>
        <w:rPr>
          <w:b/>
          <w:szCs w:val="21"/>
          <w:highlight w:val="none"/>
        </w:rPr>
        <w:t>3</w:t>
      </w:r>
      <w:r>
        <w:rPr>
          <w:rFonts w:hint="eastAsia"/>
          <w:b/>
          <w:szCs w:val="21"/>
          <w:highlight w:val="none"/>
        </w:rPr>
        <w:t>、表格不够填写可添加。</w:t>
      </w:r>
    </w:p>
    <w:p>
      <w:pPr>
        <w:spacing w:line="360" w:lineRule="auto"/>
        <w:ind w:firstLine="964" w:firstLineChars="400"/>
        <w:rPr>
          <w:b/>
          <w:szCs w:val="21"/>
          <w:highlight w:val="none"/>
        </w:rPr>
      </w:pPr>
    </w:p>
    <w:p>
      <w:pPr>
        <w:snapToGrid w:val="0"/>
        <w:spacing w:before="50" w:after="50" w:line="360" w:lineRule="auto"/>
        <w:rPr>
          <w:spacing w:val="20"/>
          <w:szCs w:val="20"/>
          <w:highlight w:val="none"/>
          <w:u w:val="single"/>
        </w:rPr>
      </w:pPr>
      <w:r>
        <w:rPr>
          <w:rFonts w:hint="eastAsia"/>
          <w:highlight w:val="none"/>
        </w:rPr>
        <w:t>法定代理人或被授权人签字（或盖章）</w:t>
      </w:r>
      <w:r>
        <w:rPr>
          <w:rFonts w:hint="eastAsia"/>
          <w:spacing w:val="20"/>
          <w:highlight w:val="none"/>
        </w:rPr>
        <w:t>：</w:t>
      </w:r>
      <w:r>
        <w:rPr>
          <w:spacing w:val="20"/>
          <w:highlight w:val="none"/>
          <w:u w:val="single"/>
        </w:rPr>
        <w:t xml:space="preserve">        </w:t>
      </w:r>
    </w:p>
    <w:p>
      <w:pPr>
        <w:pStyle w:val="32"/>
        <w:spacing w:line="360" w:lineRule="auto"/>
        <w:ind w:right="480"/>
        <w:rPr>
          <w:rFonts w:hAnsi="宋体" w:eastAsia="宋体"/>
          <w:sz w:val="24"/>
          <w:szCs w:val="24"/>
          <w:highlight w:val="none"/>
        </w:rPr>
      </w:pPr>
      <w:r>
        <w:rPr>
          <w:rFonts w:hint="eastAsia" w:hAnsi="宋体" w:eastAsia="宋体"/>
          <w:sz w:val="24"/>
          <w:szCs w:val="24"/>
          <w:highlight w:val="none"/>
        </w:rPr>
        <w:t>投标人公章：</w:t>
      </w:r>
      <w:r>
        <w:rPr>
          <w:rFonts w:hAnsi="宋体" w:eastAsia="宋体"/>
          <w:sz w:val="24"/>
          <w:szCs w:val="24"/>
          <w:highlight w:val="none"/>
        </w:rPr>
        <w:t xml:space="preserve">                       </w:t>
      </w:r>
    </w:p>
    <w:p>
      <w:pPr>
        <w:pStyle w:val="32"/>
        <w:spacing w:line="360" w:lineRule="auto"/>
        <w:ind w:right="480"/>
        <w:rPr>
          <w:rFonts w:hAnsi="宋体" w:eastAsia="宋体"/>
          <w:sz w:val="24"/>
          <w:szCs w:val="24"/>
          <w:highlight w:val="none"/>
        </w:rPr>
      </w:pPr>
    </w:p>
    <w:p>
      <w:pPr>
        <w:pStyle w:val="32"/>
        <w:spacing w:line="360" w:lineRule="auto"/>
        <w:ind w:right="480" w:firstLine="5520" w:firstLineChars="2300"/>
        <w:rPr>
          <w:rFonts w:hAnsi="宋体" w:eastAsia="宋体"/>
          <w:sz w:val="24"/>
          <w:szCs w:val="24"/>
          <w:highlight w:val="none"/>
        </w:rPr>
      </w:pPr>
      <w:r>
        <w:rPr>
          <w:rFonts w:hAnsi="宋体" w:eastAsia="宋体"/>
          <w:sz w:val="24"/>
          <w:szCs w:val="24"/>
          <w:highlight w:val="none"/>
        </w:rPr>
        <w:t xml:space="preserve">   </w:t>
      </w:r>
      <w:r>
        <w:rPr>
          <w:rFonts w:hint="eastAsia" w:hAnsi="宋体" w:eastAsia="宋体"/>
          <w:sz w:val="24"/>
          <w:szCs w:val="24"/>
          <w:highlight w:val="none"/>
        </w:rPr>
        <w:t>年</w:t>
      </w:r>
      <w:r>
        <w:rPr>
          <w:rFonts w:hAnsi="宋体" w:eastAsia="宋体"/>
          <w:sz w:val="24"/>
          <w:szCs w:val="24"/>
          <w:highlight w:val="none"/>
        </w:rPr>
        <w:t xml:space="preserve">    </w:t>
      </w:r>
      <w:r>
        <w:rPr>
          <w:rFonts w:hint="eastAsia" w:hAnsi="宋体" w:eastAsia="宋体"/>
          <w:sz w:val="24"/>
          <w:szCs w:val="24"/>
          <w:highlight w:val="none"/>
        </w:rPr>
        <w:t>月</w:t>
      </w:r>
      <w:r>
        <w:rPr>
          <w:rFonts w:hAnsi="宋体" w:eastAsia="宋体"/>
          <w:sz w:val="24"/>
          <w:szCs w:val="24"/>
          <w:highlight w:val="none"/>
        </w:rPr>
        <w:t xml:space="preserve">    </w:t>
      </w:r>
      <w:r>
        <w:rPr>
          <w:rFonts w:hint="eastAsia" w:hAnsi="宋体" w:eastAsia="宋体"/>
          <w:sz w:val="24"/>
          <w:szCs w:val="24"/>
          <w:highlight w:val="none"/>
        </w:rPr>
        <w:t>日</w:t>
      </w:r>
    </w:p>
    <w:p>
      <w:pPr>
        <w:pStyle w:val="32"/>
        <w:spacing w:line="360" w:lineRule="auto"/>
        <w:rPr>
          <w:rFonts w:hAnsi="宋体" w:eastAsia="宋体"/>
          <w:b/>
          <w:sz w:val="24"/>
          <w:szCs w:val="24"/>
          <w:highlight w:val="none"/>
        </w:rPr>
      </w:pPr>
    </w:p>
    <w:p>
      <w:pPr>
        <w:pStyle w:val="32"/>
        <w:spacing w:line="360" w:lineRule="auto"/>
        <w:rPr>
          <w:rFonts w:hAnsi="宋体" w:eastAsia="宋体"/>
          <w:b/>
          <w:sz w:val="24"/>
          <w:szCs w:val="24"/>
          <w:highlight w:val="none"/>
        </w:rPr>
      </w:pPr>
    </w:p>
    <w:p>
      <w:pPr>
        <w:snapToGrid w:val="0"/>
        <w:spacing w:before="120" w:beforeLines="50" w:after="50"/>
        <w:rPr>
          <w:b/>
          <w:highlight w:val="none"/>
        </w:rPr>
      </w:pPr>
    </w:p>
    <w:p>
      <w:pPr>
        <w:snapToGrid w:val="0"/>
        <w:spacing w:before="120" w:beforeLines="50" w:after="50"/>
        <w:rPr>
          <w:b/>
          <w:highlight w:val="none"/>
        </w:rPr>
      </w:pPr>
    </w:p>
    <w:p>
      <w:pPr>
        <w:snapToGrid w:val="0"/>
        <w:spacing w:before="120" w:beforeLines="50" w:after="50"/>
        <w:rPr>
          <w:b/>
          <w:szCs w:val="20"/>
          <w:highlight w:val="none"/>
        </w:rPr>
      </w:pPr>
      <w:r>
        <w:rPr>
          <w:rFonts w:hint="eastAsia"/>
          <w:b/>
          <w:highlight w:val="none"/>
          <w:lang w:val="en-US" w:eastAsia="zh-CN"/>
        </w:rPr>
        <w:t>10</w:t>
      </w:r>
      <w:r>
        <w:rPr>
          <w:b/>
          <w:highlight w:val="none"/>
        </w:rPr>
        <w:t>.</w:t>
      </w:r>
      <w:r>
        <w:rPr>
          <w:rFonts w:hint="eastAsia"/>
          <w:b/>
          <w:highlight w:val="none"/>
        </w:rPr>
        <w:t>投标函格式：</w:t>
      </w:r>
    </w:p>
    <w:p>
      <w:pPr>
        <w:snapToGrid w:val="0"/>
        <w:spacing w:before="120" w:beforeLines="50" w:after="50"/>
        <w:jc w:val="center"/>
        <w:outlineLvl w:val="0"/>
        <w:rPr>
          <w:b/>
          <w:sz w:val="32"/>
          <w:szCs w:val="32"/>
          <w:highlight w:val="none"/>
        </w:rPr>
      </w:pPr>
      <w:bookmarkStart w:id="126" w:name="_Toc29603"/>
      <w:bookmarkStart w:id="127" w:name="_Toc19774"/>
      <w:bookmarkStart w:id="128" w:name="_Toc1552"/>
      <w:r>
        <w:rPr>
          <w:rFonts w:hint="eastAsia"/>
          <w:b/>
          <w:sz w:val="32"/>
          <w:szCs w:val="32"/>
          <w:highlight w:val="none"/>
        </w:rPr>
        <w:t>投</w:t>
      </w:r>
      <w:r>
        <w:rPr>
          <w:b/>
          <w:sz w:val="32"/>
          <w:szCs w:val="32"/>
          <w:highlight w:val="none"/>
        </w:rPr>
        <w:t xml:space="preserve"> </w:t>
      </w:r>
      <w:r>
        <w:rPr>
          <w:rFonts w:hint="eastAsia"/>
          <w:b/>
          <w:sz w:val="32"/>
          <w:szCs w:val="32"/>
          <w:highlight w:val="none"/>
        </w:rPr>
        <w:t>标</w:t>
      </w:r>
      <w:r>
        <w:rPr>
          <w:b/>
          <w:sz w:val="32"/>
          <w:szCs w:val="32"/>
          <w:highlight w:val="none"/>
        </w:rPr>
        <w:t xml:space="preserve"> </w:t>
      </w:r>
      <w:r>
        <w:rPr>
          <w:rFonts w:hint="eastAsia"/>
          <w:b/>
          <w:sz w:val="32"/>
          <w:szCs w:val="32"/>
          <w:highlight w:val="none"/>
        </w:rPr>
        <w:t>函</w:t>
      </w:r>
      <w:bookmarkEnd w:id="126"/>
      <w:bookmarkEnd w:id="127"/>
      <w:bookmarkEnd w:id="128"/>
    </w:p>
    <w:p>
      <w:pPr>
        <w:snapToGrid w:val="0"/>
        <w:spacing w:line="360" w:lineRule="auto"/>
        <w:rPr>
          <w:highlight w:val="none"/>
        </w:rPr>
      </w:pPr>
    </w:p>
    <w:p>
      <w:pPr>
        <w:snapToGrid w:val="0"/>
        <w:spacing w:line="360" w:lineRule="auto"/>
        <w:rPr>
          <w:szCs w:val="20"/>
          <w:highlight w:val="none"/>
        </w:rPr>
      </w:pPr>
      <w:r>
        <w:rPr>
          <w:rFonts w:hint="eastAsia"/>
          <w:highlight w:val="none"/>
        </w:rPr>
        <w:t>致</w:t>
      </w:r>
      <w:r>
        <w:rPr>
          <w:rFonts w:hint="eastAsia"/>
          <w:highlight w:val="none"/>
          <w:lang w:eastAsia="zh-CN"/>
        </w:rPr>
        <w:t>海盐县人民法院</w:t>
      </w:r>
      <w:r>
        <w:rPr>
          <w:rFonts w:hint="eastAsia"/>
          <w:highlight w:val="none"/>
        </w:rPr>
        <w:t>：</w:t>
      </w:r>
      <w:r>
        <w:rPr>
          <w:highlight w:val="none"/>
        </w:rPr>
        <w:t xml:space="preserve">  </w:t>
      </w:r>
    </w:p>
    <w:p>
      <w:pPr>
        <w:snapToGrid w:val="0"/>
        <w:spacing w:before="120" w:beforeLines="50" w:after="50" w:line="360" w:lineRule="auto"/>
        <w:ind w:firstLine="480" w:firstLineChars="200"/>
        <w:rPr>
          <w:bCs/>
          <w:szCs w:val="20"/>
          <w:highlight w:val="none"/>
        </w:rPr>
      </w:pPr>
      <w:r>
        <w:rPr>
          <w:rFonts w:hint="eastAsia"/>
          <w:highlight w:val="none"/>
        </w:rPr>
        <w:t>根据贵方为</w:t>
      </w:r>
      <w:r>
        <w:rPr>
          <w:rFonts w:hint="eastAsia"/>
          <w:bCs/>
          <w:highlight w:val="none"/>
        </w:rPr>
        <w:t>项目名称：</w:t>
      </w:r>
      <w:r>
        <w:rPr>
          <w:highlight w:val="none"/>
          <w:u w:val="single"/>
        </w:rPr>
        <w:t xml:space="preserve">                                     </w:t>
      </w:r>
      <w:r>
        <w:rPr>
          <w:rFonts w:hint="eastAsia"/>
          <w:highlight w:val="none"/>
        </w:rPr>
        <w:t>的招标公告（项目编号：</w:t>
      </w:r>
      <w:r>
        <w:rPr>
          <w:highlight w:val="none"/>
          <w:u w:val="single"/>
        </w:rPr>
        <w:t xml:space="preserve">        </w:t>
      </w:r>
      <w:r>
        <w:rPr>
          <w:rFonts w:hint="eastAsia"/>
          <w:highlight w:val="none"/>
        </w:rPr>
        <w:t>），签字代表___________（全名）经正式授权并代表投标人___________________（投标人名称）提交资格文件、商务技术文件、报价文件。</w:t>
      </w:r>
    </w:p>
    <w:p>
      <w:pPr>
        <w:snapToGrid w:val="0"/>
        <w:spacing w:line="360" w:lineRule="auto"/>
        <w:ind w:firstLine="480" w:firstLineChars="200"/>
        <w:rPr>
          <w:szCs w:val="20"/>
          <w:highlight w:val="none"/>
        </w:rPr>
      </w:pPr>
      <w:r>
        <w:rPr>
          <w:rFonts w:hint="eastAsia"/>
          <w:highlight w:val="none"/>
        </w:rPr>
        <w:t>据此函，签字代表宣布同意如下：</w:t>
      </w:r>
    </w:p>
    <w:p>
      <w:pPr>
        <w:snapToGrid w:val="0"/>
        <w:spacing w:line="360" w:lineRule="auto"/>
        <w:ind w:firstLine="480" w:firstLineChars="200"/>
        <w:rPr>
          <w:szCs w:val="20"/>
          <w:highlight w:val="none"/>
        </w:rPr>
      </w:pPr>
      <w:r>
        <w:rPr>
          <w:highlight w:val="none"/>
        </w:rPr>
        <w:t>1.</w:t>
      </w:r>
      <w:r>
        <w:rPr>
          <w:rFonts w:hint="eastAsia"/>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szCs w:val="20"/>
          <w:highlight w:val="none"/>
        </w:rPr>
      </w:pPr>
      <w:r>
        <w:rPr>
          <w:highlight w:val="none"/>
        </w:rPr>
        <w:t>2.</w:t>
      </w:r>
      <w:r>
        <w:rPr>
          <w:rFonts w:hint="eastAsia"/>
          <w:highlight w:val="none"/>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szCs w:val="20"/>
          <w:highlight w:val="none"/>
        </w:rPr>
      </w:pPr>
      <w:r>
        <w:rPr>
          <w:highlight w:val="none"/>
        </w:rPr>
        <w:t>3.</w:t>
      </w:r>
      <w:r>
        <w:rPr>
          <w:rFonts w:hint="eastAsia"/>
          <w:highlight w:val="none"/>
        </w:rPr>
        <w:t>本投标有效期自开标日起</w:t>
      </w:r>
      <w:r>
        <w:rPr>
          <w:highlight w:val="none"/>
        </w:rPr>
        <w:t xml:space="preserve"> ______</w:t>
      </w:r>
      <w:r>
        <w:rPr>
          <w:rFonts w:hint="eastAsia"/>
          <w:highlight w:val="none"/>
        </w:rPr>
        <w:t>日。</w:t>
      </w:r>
    </w:p>
    <w:p>
      <w:pPr>
        <w:snapToGrid w:val="0"/>
        <w:spacing w:line="360" w:lineRule="auto"/>
        <w:ind w:firstLine="480" w:firstLineChars="200"/>
        <w:rPr>
          <w:szCs w:val="20"/>
          <w:highlight w:val="none"/>
        </w:rPr>
      </w:pPr>
      <w:r>
        <w:rPr>
          <w:highlight w:val="none"/>
        </w:rPr>
        <w:t>4.</w:t>
      </w:r>
      <w:r>
        <w:rPr>
          <w:rFonts w:hint="eastAsia"/>
          <w:highlight w:val="none"/>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szCs w:val="20"/>
          <w:highlight w:val="none"/>
        </w:rPr>
      </w:pPr>
      <w:r>
        <w:rPr>
          <w:highlight w:val="none"/>
        </w:rPr>
        <w:t>5.</w:t>
      </w:r>
      <w:r>
        <w:rPr>
          <w:rFonts w:hint="eastAsia"/>
          <w:highlight w:val="none"/>
        </w:rPr>
        <w:t>投标人同意按照贵方要求提供与投标有关的一切数据或资料。</w:t>
      </w:r>
    </w:p>
    <w:p>
      <w:pPr>
        <w:snapToGrid w:val="0"/>
        <w:spacing w:line="360" w:lineRule="auto"/>
        <w:ind w:firstLine="480" w:firstLineChars="200"/>
        <w:rPr>
          <w:szCs w:val="20"/>
          <w:highlight w:val="none"/>
        </w:rPr>
      </w:pPr>
      <w:r>
        <w:rPr>
          <w:highlight w:val="none"/>
        </w:rPr>
        <w:t>6.</w:t>
      </w:r>
      <w:r>
        <w:rPr>
          <w:rFonts w:hint="eastAsia"/>
          <w:highlight w:val="none"/>
        </w:rPr>
        <w:t>与本投标有关的一切正式往来信函请寄：</w:t>
      </w:r>
    </w:p>
    <w:p>
      <w:pPr>
        <w:snapToGrid w:val="0"/>
        <w:spacing w:line="360" w:lineRule="auto"/>
        <w:rPr>
          <w:szCs w:val="20"/>
          <w:highlight w:val="none"/>
        </w:rPr>
      </w:pPr>
      <w:r>
        <w:rPr>
          <w:rFonts w:hint="eastAsia"/>
          <w:highlight w:val="none"/>
        </w:rPr>
        <w:t>地址：_________________</w:t>
      </w:r>
      <w:r>
        <w:rPr>
          <w:highlight w:val="none"/>
        </w:rPr>
        <w:t>_</w:t>
      </w:r>
      <w:r>
        <w:rPr>
          <w:rFonts w:hint="eastAsia"/>
          <w:highlight w:val="none"/>
        </w:rPr>
        <w:t>邮编：</w:t>
      </w:r>
      <w:r>
        <w:rPr>
          <w:highlight w:val="none"/>
        </w:rPr>
        <w:t xml:space="preserve">__________   </w:t>
      </w:r>
      <w:r>
        <w:rPr>
          <w:rFonts w:hint="eastAsia"/>
          <w:highlight w:val="none"/>
        </w:rPr>
        <w:t>电话：</w:t>
      </w:r>
      <w:r>
        <w:rPr>
          <w:highlight w:val="none"/>
        </w:rPr>
        <w:t>______________</w:t>
      </w:r>
    </w:p>
    <w:p>
      <w:pPr>
        <w:snapToGrid w:val="0"/>
        <w:spacing w:line="360" w:lineRule="auto"/>
        <w:rPr>
          <w:szCs w:val="20"/>
          <w:highlight w:val="none"/>
        </w:rPr>
      </w:pPr>
      <w:r>
        <w:rPr>
          <w:rFonts w:hint="eastAsia"/>
          <w:highlight w:val="none"/>
        </w:rPr>
        <w:t>传真：</w:t>
      </w:r>
      <w:r>
        <w:rPr>
          <w:highlight w:val="none"/>
        </w:rPr>
        <w:t>______________</w:t>
      </w:r>
      <w:r>
        <w:rPr>
          <w:rFonts w:hint="eastAsia"/>
          <w:highlight w:val="none"/>
        </w:rPr>
        <w:t>投标人代表姓名：</w:t>
      </w:r>
      <w:r>
        <w:rPr>
          <w:highlight w:val="none"/>
        </w:rPr>
        <w:t xml:space="preserve">__________  </w:t>
      </w:r>
      <w:r>
        <w:rPr>
          <w:rFonts w:hint="eastAsia"/>
          <w:highlight w:val="none"/>
        </w:rPr>
        <w:t>职务：</w:t>
      </w:r>
      <w:r>
        <w:rPr>
          <w:highlight w:val="none"/>
        </w:rPr>
        <w:t>____________</w:t>
      </w:r>
    </w:p>
    <w:p>
      <w:pPr>
        <w:snapToGrid w:val="0"/>
        <w:spacing w:line="360" w:lineRule="auto"/>
        <w:rPr>
          <w:szCs w:val="20"/>
          <w:highlight w:val="none"/>
        </w:rPr>
      </w:pPr>
      <w:r>
        <w:rPr>
          <w:rFonts w:hint="eastAsia"/>
          <w:highlight w:val="none"/>
        </w:rPr>
        <w:t>投标人名称</w:t>
      </w:r>
      <w:r>
        <w:rPr>
          <w:highlight w:val="none"/>
        </w:rPr>
        <w:t>(</w:t>
      </w:r>
      <w:r>
        <w:rPr>
          <w:rFonts w:hint="eastAsia"/>
          <w:highlight w:val="none"/>
        </w:rPr>
        <w:t>公章</w:t>
      </w:r>
      <w:r>
        <w:rPr>
          <w:highlight w:val="none"/>
        </w:rPr>
        <w:t>):___________________</w:t>
      </w:r>
    </w:p>
    <w:p>
      <w:pPr>
        <w:snapToGrid w:val="0"/>
        <w:spacing w:line="360" w:lineRule="auto"/>
        <w:rPr>
          <w:szCs w:val="20"/>
          <w:highlight w:val="none"/>
        </w:rPr>
      </w:pPr>
      <w:r>
        <w:rPr>
          <w:rFonts w:hint="eastAsia"/>
          <w:highlight w:val="none"/>
        </w:rPr>
        <w:t>开户银行：</w:t>
      </w:r>
      <w:r>
        <w:rPr>
          <w:highlight w:val="none"/>
          <w:u w:val="single"/>
        </w:rPr>
        <w:t xml:space="preserve">                      </w:t>
      </w:r>
      <w:r>
        <w:rPr>
          <w:highlight w:val="none"/>
        </w:rPr>
        <w:t xml:space="preserve">   </w:t>
      </w:r>
      <w:r>
        <w:rPr>
          <w:rFonts w:hint="eastAsia"/>
          <w:highlight w:val="none"/>
        </w:rPr>
        <w:t>银行帐号：</w:t>
      </w:r>
      <w:r>
        <w:rPr>
          <w:highlight w:val="none"/>
          <w:u w:val="single"/>
        </w:rPr>
        <w:t xml:space="preserve">                    </w:t>
      </w:r>
      <w:r>
        <w:rPr>
          <w:highlight w:val="none"/>
        </w:rPr>
        <w:t xml:space="preserve"> </w:t>
      </w:r>
    </w:p>
    <w:p>
      <w:pPr>
        <w:snapToGrid w:val="0"/>
        <w:spacing w:line="360" w:lineRule="auto"/>
        <w:rPr>
          <w:highlight w:val="none"/>
        </w:rPr>
      </w:pPr>
      <w:r>
        <w:rPr>
          <w:rFonts w:hint="eastAsia"/>
          <w:highlight w:val="none"/>
        </w:rPr>
        <w:t>法定代表人签字（或盖章）：</w:t>
      </w:r>
      <w:r>
        <w:rPr>
          <w:highlight w:val="none"/>
        </w:rPr>
        <w:t xml:space="preserve">___________          </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p>
    <w:bookmarkEnd w:id="119"/>
    <w:p>
      <w:pPr>
        <w:snapToGrid w:val="0"/>
        <w:spacing w:before="50" w:after="50"/>
        <w:rPr>
          <w:highlight w:val="none"/>
        </w:rPr>
        <w:sectPr>
          <w:footerReference r:id="rId6" w:type="default"/>
          <w:pgSz w:w="11906" w:h="16838"/>
          <w:pgMar w:top="1440" w:right="1797" w:bottom="1440" w:left="1797" w:header="851" w:footer="851" w:gutter="0"/>
          <w:cols w:space="720" w:num="1"/>
          <w:docGrid w:linePitch="312" w:charSpace="0"/>
        </w:sectPr>
      </w:pPr>
    </w:p>
    <w:p>
      <w:pPr>
        <w:pStyle w:val="32"/>
        <w:spacing w:line="360" w:lineRule="auto"/>
        <w:rPr>
          <w:rFonts w:hAnsi="宋体" w:eastAsia="宋体"/>
          <w:b/>
          <w:sz w:val="24"/>
          <w:szCs w:val="24"/>
          <w:highlight w:val="none"/>
        </w:rPr>
      </w:pPr>
      <w:r>
        <w:rPr>
          <w:rFonts w:hint="eastAsia" w:hAnsi="宋体" w:eastAsia="宋体"/>
          <w:b/>
          <w:bCs/>
          <w:sz w:val="24"/>
          <w:szCs w:val="24"/>
          <w:highlight w:val="none"/>
        </w:rPr>
        <w:t>1</w:t>
      </w:r>
      <w:r>
        <w:rPr>
          <w:rFonts w:hint="eastAsia" w:hAnsi="宋体" w:eastAsia="宋体"/>
          <w:b/>
          <w:bCs/>
          <w:sz w:val="24"/>
          <w:szCs w:val="24"/>
          <w:highlight w:val="none"/>
          <w:lang w:val="en-US" w:eastAsia="zh-CN"/>
        </w:rPr>
        <w:t>1</w:t>
      </w:r>
      <w:r>
        <w:rPr>
          <w:rFonts w:hAnsi="宋体" w:eastAsia="宋体"/>
          <w:b/>
          <w:bCs/>
          <w:sz w:val="24"/>
          <w:szCs w:val="24"/>
          <w:highlight w:val="none"/>
        </w:rPr>
        <w:t>.</w:t>
      </w:r>
      <w:r>
        <w:rPr>
          <w:rFonts w:hint="eastAsia" w:hAnsi="宋体" w:eastAsia="宋体"/>
          <w:b/>
          <w:sz w:val="24"/>
          <w:szCs w:val="24"/>
          <w:highlight w:val="none"/>
        </w:rPr>
        <w:t>开标一览表</w:t>
      </w:r>
    </w:p>
    <w:p>
      <w:pPr>
        <w:pStyle w:val="32"/>
        <w:rPr>
          <w:rFonts w:hAnsi="宋体" w:eastAsia="宋体"/>
          <w:sz w:val="21"/>
          <w:szCs w:val="21"/>
          <w:highlight w:val="none"/>
        </w:rPr>
      </w:pPr>
    </w:p>
    <w:p>
      <w:pPr>
        <w:pStyle w:val="32"/>
        <w:rPr>
          <w:rFonts w:hAnsi="宋体" w:eastAsia="宋体"/>
          <w:sz w:val="21"/>
          <w:szCs w:val="21"/>
          <w:highlight w:val="none"/>
        </w:rPr>
      </w:pPr>
    </w:p>
    <w:p>
      <w:pPr>
        <w:pStyle w:val="32"/>
        <w:jc w:val="center"/>
        <w:rPr>
          <w:rFonts w:hAnsi="宋体" w:eastAsia="宋体"/>
          <w:b/>
          <w:sz w:val="28"/>
          <w:szCs w:val="28"/>
          <w:highlight w:val="none"/>
        </w:rPr>
      </w:pPr>
      <w:r>
        <w:rPr>
          <w:rFonts w:hint="eastAsia" w:hAnsi="宋体" w:eastAsia="宋体"/>
          <w:b/>
          <w:sz w:val="28"/>
          <w:szCs w:val="28"/>
          <w:highlight w:val="none"/>
        </w:rPr>
        <w:t>开标一览表（第一轮）</w:t>
      </w:r>
    </w:p>
    <w:p>
      <w:pPr>
        <w:snapToGrid w:val="0"/>
        <w:spacing w:before="50" w:after="50"/>
        <w:ind w:firstLine="720" w:firstLineChars="300"/>
        <w:rPr>
          <w:highlight w:val="none"/>
          <w:u w:val="single"/>
        </w:rPr>
      </w:pPr>
      <w:r>
        <w:rPr>
          <w:rFonts w:hint="eastAsia"/>
          <w:highlight w:val="none"/>
        </w:rPr>
        <w:t>招标编号：</w:t>
      </w:r>
      <w:r>
        <w:rPr>
          <w:highlight w:val="none"/>
          <w:u w:val="single"/>
        </w:rPr>
        <w:t xml:space="preserve">            </w:t>
      </w:r>
      <w:r>
        <w:rPr>
          <w:highlight w:val="none"/>
        </w:rPr>
        <w:t xml:space="preserve">  </w:t>
      </w:r>
    </w:p>
    <w:p>
      <w:pPr>
        <w:snapToGrid w:val="0"/>
        <w:spacing w:before="50" w:after="50"/>
        <w:ind w:right="480" w:firstLine="720" w:firstLineChars="300"/>
        <w:rPr>
          <w:highlight w:val="none"/>
        </w:rPr>
      </w:pPr>
      <w:r>
        <w:rPr>
          <w:rFonts w:hint="eastAsia"/>
          <w:highlight w:val="none"/>
        </w:rPr>
        <w:t>投标人名称：</w:t>
      </w:r>
      <w:r>
        <w:rPr>
          <w:highlight w:val="none"/>
        </w:rPr>
        <w:t xml:space="preserve">                                           </w:t>
      </w:r>
    </w:p>
    <w:p>
      <w:pPr>
        <w:numPr>
          <w:ins w:id="0" w:author="zch" w:date="2016-05-10T09:32:00Z"/>
        </w:numPr>
        <w:snapToGrid w:val="0"/>
        <w:spacing w:before="50" w:after="50"/>
        <w:ind w:right="480" w:firstLine="720" w:firstLineChars="300"/>
        <w:rPr>
          <w:szCs w:val="20"/>
          <w:highlight w:val="none"/>
        </w:rPr>
      </w:pPr>
      <w:r>
        <w:rPr>
          <w:rFonts w:hint="eastAsia"/>
          <w:highlight w:val="none"/>
        </w:rPr>
        <w:t>金额单位：人民币（元）</w:t>
      </w:r>
    </w:p>
    <w:tbl>
      <w:tblPr>
        <w:tblStyle w:val="24"/>
        <w:tblW w:w="850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1"/>
        <w:gridCol w:w="1983"/>
        <w:gridCol w:w="2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3771" w:type="dxa"/>
            <w:tcBorders>
              <w:top w:val="single" w:color="auto" w:sz="12" w:space="0"/>
              <w:left w:val="single" w:color="auto" w:sz="12" w:space="0"/>
              <w:bottom w:val="single" w:color="auto" w:sz="6" w:space="0"/>
              <w:right w:val="single" w:color="auto" w:sz="6" w:space="0"/>
            </w:tcBorders>
            <w:vAlign w:val="center"/>
          </w:tcPr>
          <w:p>
            <w:pPr>
              <w:adjustRightInd w:val="0"/>
              <w:spacing w:line="400" w:lineRule="exact"/>
              <w:jc w:val="center"/>
              <w:rPr>
                <w:rFonts w:cs="Arial"/>
                <w:kern w:val="2"/>
                <w:highlight w:val="none"/>
              </w:rPr>
            </w:pPr>
            <w:r>
              <w:rPr>
                <w:rFonts w:hint="eastAsia" w:cs="Arial"/>
                <w:kern w:val="2"/>
                <w:highlight w:val="none"/>
              </w:rPr>
              <w:t>项目名称</w:t>
            </w:r>
          </w:p>
        </w:tc>
        <w:tc>
          <w:tcPr>
            <w:tcW w:w="1983" w:type="dxa"/>
            <w:tcBorders>
              <w:top w:val="single" w:color="auto" w:sz="12" w:space="0"/>
              <w:left w:val="single" w:color="auto" w:sz="6" w:space="0"/>
              <w:bottom w:val="single" w:color="auto" w:sz="6" w:space="0"/>
              <w:right w:val="single" w:color="auto" w:sz="6" w:space="0"/>
            </w:tcBorders>
            <w:vAlign w:val="center"/>
          </w:tcPr>
          <w:p>
            <w:pPr>
              <w:adjustRightInd w:val="0"/>
              <w:spacing w:line="400" w:lineRule="exact"/>
              <w:jc w:val="center"/>
              <w:rPr>
                <w:rFonts w:cs="Arial"/>
                <w:kern w:val="2"/>
                <w:highlight w:val="none"/>
              </w:rPr>
            </w:pPr>
            <w:r>
              <w:rPr>
                <w:rFonts w:hint="eastAsia" w:cs="Arial"/>
                <w:kern w:val="2"/>
                <w:highlight w:val="none"/>
              </w:rPr>
              <w:t>投标报价</w:t>
            </w:r>
          </w:p>
          <w:p>
            <w:pPr>
              <w:adjustRightInd w:val="0"/>
              <w:spacing w:line="400" w:lineRule="exact"/>
              <w:jc w:val="center"/>
              <w:rPr>
                <w:rFonts w:cs="Arial"/>
                <w:kern w:val="2"/>
                <w:highlight w:val="none"/>
              </w:rPr>
            </w:pPr>
            <w:r>
              <w:rPr>
                <w:rFonts w:hint="eastAsia" w:cs="Arial"/>
                <w:kern w:val="2"/>
                <w:highlight w:val="none"/>
              </w:rPr>
              <w:t>(元)</w:t>
            </w:r>
          </w:p>
        </w:tc>
        <w:tc>
          <w:tcPr>
            <w:tcW w:w="2750" w:type="dxa"/>
            <w:tcBorders>
              <w:top w:val="single" w:color="auto" w:sz="12" w:space="0"/>
              <w:left w:val="single" w:color="auto" w:sz="6" w:space="0"/>
              <w:bottom w:val="single" w:color="auto" w:sz="6" w:space="0"/>
              <w:right w:val="single" w:color="auto" w:sz="12" w:space="0"/>
            </w:tcBorders>
            <w:vAlign w:val="center"/>
          </w:tcPr>
          <w:p>
            <w:pPr>
              <w:adjustRightInd w:val="0"/>
              <w:spacing w:line="400" w:lineRule="exact"/>
              <w:jc w:val="center"/>
              <w:rPr>
                <w:rFonts w:hint="eastAsia" w:eastAsia="宋体" w:cs="Arial"/>
                <w:kern w:val="2"/>
                <w:highlight w:val="none"/>
                <w:lang w:eastAsia="zh-CN"/>
              </w:rPr>
            </w:pPr>
            <w:r>
              <w:rPr>
                <w:rFonts w:hint="eastAsia" w:cs="Arial"/>
                <w:kern w:val="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3771" w:type="dxa"/>
            <w:tcBorders>
              <w:top w:val="single" w:color="auto" w:sz="6" w:space="0"/>
              <w:left w:val="single" w:color="auto" w:sz="12" w:space="0"/>
              <w:bottom w:val="single" w:color="auto" w:sz="6" w:space="0"/>
              <w:right w:val="single" w:color="auto" w:sz="6" w:space="0"/>
            </w:tcBorders>
            <w:vAlign w:val="center"/>
          </w:tcPr>
          <w:p>
            <w:pPr>
              <w:adjustRightInd w:val="0"/>
              <w:spacing w:line="400" w:lineRule="exact"/>
              <w:jc w:val="center"/>
              <w:rPr>
                <w:rFonts w:cs="Arial"/>
                <w:kern w:val="2"/>
                <w:highlight w:val="none"/>
              </w:rPr>
            </w:pPr>
          </w:p>
        </w:tc>
        <w:tc>
          <w:tcPr>
            <w:tcW w:w="1983"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rPr>
                <w:rFonts w:cs="Arial"/>
                <w:kern w:val="2"/>
                <w:highlight w:val="none"/>
              </w:rPr>
            </w:pPr>
          </w:p>
        </w:tc>
        <w:tc>
          <w:tcPr>
            <w:tcW w:w="2750" w:type="dxa"/>
            <w:tcBorders>
              <w:top w:val="single" w:color="auto" w:sz="6" w:space="0"/>
              <w:left w:val="single" w:color="auto" w:sz="6" w:space="0"/>
              <w:bottom w:val="single" w:color="auto" w:sz="6" w:space="0"/>
              <w:right w:val="single" w:color="auto" w:sz="12" w:space="0"/>
            </w:tcBorders>
            <w:vAlign w:val="center"/>
          </w:tcPr>
          <w:p>
            <w:pPr>
              <w:adjustRightInd w:val="0"/>
              <w:spacing w:line="400" w:lineRule="exact"/>
              <w:jc w:val="center"/>
              <w:rPr>
                <w:rFonts w:cs="Arial"/>
                <w:kern w:val="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3771" w:type="dxa"/>
            <w:tcBorders>
              <w:top w:val="single" w:color="auto" w:sz="6" w:space="0"/>
              <w:left w:val="single" w:color="auto" w:sz="12" w:space="0"/>
              <w:bottom w:val="single" w:color="auto" w:sz="6" w:space="0"/>
              <w:right w:val="single" w:color="auto" w:sz="6" w:space="0"/>
            </w:tcBorders>
            <w:vAlign w:val="center"/>
          </w:tcPr>
          <w:p>
            <w:pPr>
              <w:adjustRightInd w:val="0"/>
              <w:spacing w:line="400" w:lineRule="exact"/>
              <w:jc w:val="center"/>
              <w:rPr>
                <w:rFonts w:cs="Arial"/>
                <w:kern w:val="2"/>
                <w:highlight w:val="none"/>
              </w:rPr>
            </w:pPr>
            <w:r>
              <w:rPr>
                <w:rFonts w:hint="eastAsia" w:cs="Arial"/>
                <w:kern w:val="2"/>
                <w:highlight w:val="none"/>
              </w:rPr>
              <w:t>大    写</w:t>
            </w:r>
          </w:p>
        </w:tc>
        <w:tc>
          <w:tcPr>
            <w:tcW w:w="4733" w:type="dxa"/>
            <w:gridSpan w:val="2"/>
            <w:tcBorders>
              <w:top w:val="single" w:color="auto" w:sz="6" w:space="0"/>
              <w:left w:val="single" w:color="auto" w:sz="6" w:space="0"/>
              <w:bottom w:val="single" w:color="auto" w:sz="6" w:space="0"/>
              <w:right w:val="single" w:color="auto" w:sz="12" w:space="0"/>
            </w:tcBorders>
            <w:vAlign w:val="center"/>
          </w:tcPr>
          <w:p>
            <w:pPr>
              <w:adjustRightInd w:val="0"/>
              <w:spacing w:line="400" w:lineRule="exact"/>
              <w:jc w:val="center"/>
              <w:rPr>
                <w:rFonts w:cs="Arial"/>
                <w:kern w:val="2"/>
                <w:highlight w:val="none"/>
              </w:rPr>
            </w:pPr>
          </w:p>
        </w:tc>
      </w:tr>
    </w:tbl>
    <w:p>
      <w:pPr>
        <w:snapToGrid w:val="0"/>
        <w:spacing w:before="50" w:after="50"/>
        <w:rPr>
          <w:b/>
          <w:szCs w:val="21"/>
          <w:highlight w:val="none"/>
        </w:rPr>
      </w:pPr>
      <w:r>
        <w:rPr>
          <w:rFonts w:hint="eastAsia"/>
          <w:b/>
          <w:szCs w:val="21"/>
          <w:highlight w:val="none"/>
        </w:rPr>
        <w:t>注</w:t>
      </w:r>
      <w:r>
        <w:rPr>
          <w:b/>
          <w:szCs w:val="21"/>
          <w:highlight w:val="none"/>
        </w:rPr>
        <w:t>: 1</w:t>
      </w:r>
      <w:r>
        <w:rPr>
          <w:rFonts w:hint="eastAsia"/>
          <w:b/>
          <w:szCs w:val="21"/>
          <w:highlight w:val="none"/>
        </w:rPr>
        <w:t>、报价一经涂改，应在涂改处加盖单位公章或者由法定代表人或被授权人签字（或盖章），否则其投标作无效标处理；</w:t>
      </w:r>
      <w:r>
        <w:rPr>
          <w:b/>
          <w:szCs w:val="21"/>
          <w:highlight w:val="none"/>
        </w:rPr>
        <w:t>2</w:t>
      </w:r>
      <w:r>
        <w:rPr>
          <w:rFonts w:hint="eastAsia"/>
          <w:b/>
          <w:szCs w:val="21"/>
          <w:highlight w:val="none"/>
        </w:rPr>
        <w:t>、投标费用包括项目实施所需要的的人工、运杂、税金、相关服务承诺等各项可能涉及的一切费用；</w:t>
      </w:r>
      <w:r>
        <w:rPr>
          <w:b/>
          <w:szCs w:val="21"/>
          <w:highlight w:val="none"/>
        </w:rPr>
        <w:t>3</w:t>
      </w:r>
      <w:r>
        <w:rPr>
          <w:rFonts w:hint="eastAsia"/>
          <w:b/>
          <w:szCs w:val="21"/>
          <w:highlight w:val="none"/>
        </w:rPr>
        <w:t>、以上报价应与“投标报价明细表”中的“投标总价”相一致。</w:t>
      </w:r>
    </w:p>
    <w:p>
      <w:pPr>
        <w:snapToGrid w:val="0"/>
        <w:spacing w:before="50" w:after="50"/>
        <w:rPr>
          <w:highlight w:val="none"/>
        </w:rPr>
      </w:pPr>
    </w:p>
    <w:p>
      <w:pPr>
        <w:snapToGrid w:val="0"/>
        <w:spacing w:before="50" w:after="50"/>
        <w:rPr>
          <w:highlight w:val="none"/>
        </w:rPr>
      </w:pPr>
      <w:r>
        <w:rPr>
          <w:rFonts w:hint="eastAsia"/>
          <w:highlight w:val="none"/>
        </w:rPr>
        <w:t>法定代表人或被授权人签字（或盖章）：</w:t>
      </w:r>
    </w:p>
    <w:p>
      <w:pPr>
        <w:snapToGrid w:val="0"/>
        <w:spacing w:before="50" w:after="50"/>
        <w:rPr>
          <w:highlight w:val="none"/>
        </w:rPr>
      </w:pPr>
      <w:r>
        <w:rPr>
          <w:rFonts w:hint="eastAsia"/>
          <w:highlight w:val="none"/>
        </w:rPr>
        <w:t>投标人公章：</w:t>
      </w:r>
    </w:p>
    <w:p>
      <w:pPr>
        <w:snapToGrid w:val="0"/>
        <w:spacing w:before="50" w:after="50"/>
        <w:rPr>
          <w:highlight w:val="none"/>
        </w:rPr>
      </w:pPr>
      <w:r>
        <w:rPr>
          <w:highlight w:val="none"/>
        </w:rPr>
        <w:t xml:space="preserve">                                                                                       </w:t>
      </w:r>
    </w:p>
    <w:p>
      <w:pPr>
        <w:snapToGrid w:val="0"/>
        <w:spacing w:before="50" w:after="50"/>
        <w:rPr>
          <w:highlight w:val="none"/>
        </w:rPr>
      </w:pPr>
    </w:p>
    <w:p>
      <w:pPr>
        <w:snapToGrid w:val="0"/>
        <w:spacing w:before="50" w:after="50"/>
        <w:rPr>
          <w:highlight w:val="none"/>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spacing w:line="360" w:lineRule="auto"/>
        <w:ind w:left="212" w:hanging="572"/>
        <w:rPr>
          <w:b/>
          <w:highlight w:val="none"/>
        </w:rPr>
        <w:sectPr>
          <w:pgSz w:w="11906" w:h="16838"/>
          <w:pgMar w:top="1440" w:right="1797" w:bottom="1440" w:left="1797" w:header="851" w:footer="851" w:gutter="0"/>
          <w:cols w:space="720" w:num="1"/>
          <w:docGrid w:linePitch="312" w:charSpace="0"/>
        </w:sectPr>
      </w:pPr>
    </w:p>
    <w:p>
      <w:pPr>
        <w:spacing w:line="360" w:lineRule="auto"/>
        <w:ind w:left="209" w:leftChars="50" w:hanging="89" w:hangingChars="37"/>
        <w:rPr>
          <w:b/>
          <w:highlight w:val="none"/>
        </w:rPr>
      </w:pPr>
      <w:r>
        <w:rPr>
          <w:rFonts w:hint="eastAsia"/>
          <w:b/>
          <w:highlight w:val="none"/>
        </w:rPr>
        <w:t>1</w:t>
      </w:r>
      <w:r>
        <w:rPr>
          <w:rFonts w:hint="eastAsia"/>
          <w:b/>
          <w:highlight w:val="none"/>
          <w:lang w:val="en-US" w:eastAsia="zh-CN"/>
        </w:rPr>
        <w:t>2</w:t>
      </w:r>
      <w:r>
        <w:rPr>
          <w:b/>
          <w:highlight w:val="none"/>
        </w:rPr>
        <w:t>.</w:t>
      </w:r>
      <w:r>
        <w:rPr>
          <w:rFonts w:hint="eastAsia"/>
          <w:b/>
          <w:highlight w:val="none"/>
        </w:rPr>
        <w:t>投标报价表</w:t>
      </w:r>
    </w:p>
    <w:p>
      <w:pPr>
        <w:pStyle w:val="32"/>
        <w:jc w:val="center"/>
        <w:rPr>
          <w:rFonts w:hAnsi="宋体" w:eastAsia="宋体"/>
          <w:b/>
          <w:sz w:val="28"/>
          <w:szCs w:val="28"/>
          <w:highlight w:val="none"/>
        </w:rPr>
      </w:pPr>
      <w:r>
        <w:rPr>
          <w:rFonts w:hint="eastAsia" w:hAnsi="宋体" w:eastAsia="宋体"/>
          <w:b/>
          <w:sz w:val="28"/>
          <w:szCs w:val="28"/>
          <w:highlight w:val="none"/>
        </w:rPr>
        <w:t>投标报价明细表（格式可自拟）</w:t>
      </w:r>
    </w:p>
    <w:p>
      <w:pPr>
        <w:pStyle w:val="32"/>
        <w:spacing w:line="360" w:lineRule="auto"/>
        <w:rPr>
          <w:rFonts w:hAnsi="宋体" w:eastAsia="宋体"/>
          <w:sz w:val="24"/>
          <w:szCs w:val="24"/>
          <w:highlight w:val="none"/>
          <w:u w:val="single"/>
        </w:rPr>
      </w:pPr>
      <w:r>
        <w:rPr>
          <w:rFonts w:hint="eastAsia" w:hAnsi="宋体" w:eastAsia="宋体"/>
          <w:sz w:val="24"/>
          <w:szCs w:val="24"/>
          <w:highlight w:val="none"/>
        </w:rPr>
        <w:t>招标编号：</w:t>
      </w:r>
      <w:r>
        <w:rPr>
          <w:rFonts w:hAnsi="宋体" w:eastAsia="宋体"/>
          <w:sz w:val="24"/>
          <w:szCs w:val="24"/>
          <w:highlight w:val="none"/>
          <w:u w:val="single"/>
        </w:rPr>
        <w:t xml:space="preserve">            </w:t>
      </w:r>
      <w:r>
        <w:rPr>
          <w:rFonts w:hAnsi="宋体" w:eastAsia="宋体"/>
          <w:sz w:val="24"/>
          <w:szCs w:val="24"/>
          <w:highlight w:val="none"/>
        </w:rPr>
        <w:t xml:space="preserve">  </w:t>
      </w:r>
    </w:p>
    <w:p>
      <w:pPr>
        <w:pStyle w:val="32"/>
        <w:wordWrap w:val="0"/>
        <w:spacing w:line="360" w:lineRule="auto"/>
        <w:jc w:val="both"/>
        <w:rPr>
          <w:rFonts w:hAnsi="宋体" w:eastAsia="宋体"/>
          <w:sz w:val="24"/>
          <w:szCs w:val="24"/>
          <w:highlight w:val="none"/>
        </w:rPr>
      </w:pPr>
      <w:r>
        <w:rPr>
          <w:rFonts w:hint="eastAsia" w:hAnsi="宋体" w:eastAsia="宋体"/>
          <w:sz w:val="24"/>
          <w:szCs w:val="24"/>
          <w:highlight w:val="none"/>
        </w:rPr>
        <w:t>投标人名称：</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金额单位：人民币（元）</w:t>
      </w:r>
    </w:p>
    <w:tbl>
      <w:tblPr>
        <w:tblStyle w:val="2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29"/>
        <w:gridCol w:w="666"/>
        <w:gridCol w:w="1906"/>
        <w:gridCol w:w="953"/>
        <w:gridCol w:w="230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3" w:type="dxa"/>
            <w:vAlign w:val="center"/>
          </w:tcPr>
          <w:p>
            <w:pPr>
              <w:jc w:val="center"/>
              <w:rPr>
                <w:kern w:val="2"/>
                <w:szCs w:val="21"/>
                <w:highlight w:val="none"/>
              </w:rPr>
            </w:pPr>
            <w:r>
              <w:rPr>
                <w:rFonts w:hint="eastAsia"/>
                <w:kern w:val="2"/>
                <w:szCs w:val="21"/>
                <w:highlight w:val="none"/>
              </w:rPr>
              <w:t>序号</w:t>
            </w:r>
          </w:p>
        </w:tc>
        <w:tc>
          <w:tcPr>
            <w:tcW w:w="1695" w:type="dxa"/>
            <w:gridSpan w:val="2"/>
            <w:vAlign w:val="center"/>
          </w:tcPr>
          <w:p>
            <w:pPr>
              <w:jc w:val="center"/>
              <w:rPr>
                <w:kern w:val="2"/>
                <w:szCs w:val="21"/>
                <w:highlight w:val="none"/>
              </w:rPr>
            </w:pPr>
            <w:r>
              <w:rPr>
                <w:rFonts w:hint="eastAsia"/>
                <w:kern w:val="2"/>
                <w:szCs w:val="21"/>
                <w:highlight w:val="none"/>
              </w:rPr>
              <w:t>项目内容</w:t>
            </w:r>
          </w:p>
        </w:tc>
        <w:tc>
          <w:tcPr>
            <w:tcW w:w="1906" w:type="dxa"/>
            <w:vAlign w:val="center"/>
          </w:tcPr>
          <w:p>
            <w:pPr>
              <w:jc w:val="center"/>
              <w:rPr>
                <w:kern w:val="2"/>
                <w:szCs w:val="21"/>
                <w:highlight w:val="none"/>
              </w:rPr>
            </w:pPr>
            <w:r>
              <w:rPr>
                <w:rFonts w:hint="eastAsia"/>
                <w:kern w:val="2"/>
                <w:szCs w:val="21"/>
                <w:highlight w:val="none"/>
              </w:rPr>
              <w:t>单价(元)</w:t>
            </w:r>
          </w:p>
        </w:tc>
        <w:tc>
          <w:tcPr>
            <w:tcW w:w="953" w:type="dxa"/>
            <w:vAlign w:val="center"/>
          </w:tcPr>
          <w:p>
            <w:pPr>
              <w:jc w:val="center"/>
              <w:rPr>
                <w:kern w:val="2"/>
                <w:szCs w:val="21"/>
                <w:highlight w:val="none"/>
              </w:rPr>
            </w:pPr>
            <w:r>
              <w:rPr>
                <w:rFonts w:hint="eastAsia"/>
                <w:kern w:val="2"/>
                <w:szCs w:val="21"/>
                <w:highlight w:val="none"/>
              </w:rPr>
              <w:t>数量</w:t>
            </w:r>
          </w:p>
        </w:tc>
        <w:tc>
          <w:tcPr>
            <w:tcW w:w="2306" w:type="dxa"/>
            <w:vAlign w:val="center"/>
          </w:tcPr>
          <w:p>
            <w:pPr>
              <w:jc w:val="center"/>
              <w:rPr>
                <w:kern w:val="2"/>
                <w:szCs w:val="21"/>
                <w:highlight w:val="none"/>
              </w:rPr>
            </w:pPr>
            <w:r>
              <w:rPr>
                <w:rFonts w:hint="eastAsia"/>
                <w:kern w:val="2"/>
                <w:szCs w:val="21"/>
                <w:highlight w:val="none"/>
              </w:rPr>
              <w:t>合计(元)</w:t>
            </w:r>
          </w:p>
        </w:tc>
        <w:tc>
          <w:tcPr>
            <w:tcW w:w="1376" w:type="dxa"/>
            <w:vAlign w:val="center"/>
          </w:tcPr>
          <w:p>
            <w:pPr>
              <w:jc w:val="center"/>
              <w:rPr>
                <w:kern w:val="2"/>
                <w:szCs w:val="21"/>
                <w:highlight w:val="none"/>
              </w:rPr>
            </w:pPr>
            <w:r>
              <w:rPr>
                <w:rFonts w:hint="eastAsia"/>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3" w:type="dxa"/>
            <w:vAlign w:val="center"/>
          </w:tcPr>
          <w:p>
            <w:pPr>
              <w:jc w:val="center"/>
              <w:rPr>
                <w:kern w:val="2"/>
                <w:szCs w:val="21"/>
                <w:highlight w:val="none"/>
              </w:rPr>
            </w:pPr>
            <w:r>
              <w:rPr>
                <w:rFonts w:hint="eastAsia"/>
                <w:kern w:val="2"/>
                <w:szCs w:val="21"/>
                <w:highlight w:val="none"/>
              </w:rPr>
              <w:t>1</w:t>
            </w:r>
          </w:p>
        </w:tc>
        <w:tc>
          <w:tcPr>
            <w:tcW w:w="1695" w:type="dxa"/>
            <w:gridSpan w:val="2"/>
            <w:vAlign w:val="center"/>
          </w:tcPr>
          <w:p>
            <w:pPr>
              <w:jc w:val="center"/>
              <w:rPr>
                <w:kern w:val="2"/>
                <w:szCs w:val="21"/>
                <w:highlight w:val="none"/>
              </w:rPr>
            </w:pPr>
          </w:p>
        </w:tc>
        <w:tc>
          <w:tcPr>
            <w:tcW w:w="1906" w:type="dxa"/>
            <w:vAlign w:val="center"/>
          </w:tcPr>
          <w:p>
            <w:pPr>
              <w:jc w:val="center"/>
              <w:rPr>
                <w:kern w:val="2"/>
                <w:szCs w:val="21"/>
                <w:highlight w:val="none"/>
              </w:rPr>
            </w:pPr>
          </w:p>
        </w:tc>
        <w:tc>
          <w:tcPr>
            <w:tcW w:w="953" w:type="dxa"/>
            <w:vAlign w:val="center"/>
          </w:tcPr>
          <w:p>
            <w:pPr>
              <w:jc w:val="center"/>
              <w:rPr>
                <w:kern w:val="2"/>
                <w:szCs w:val="21"/>
                <w:highlight w:val="none"/>
              </w:rPr>
            </w:pPr>
          </w:p>
        </w:tc>
        <w:tc>
          <w:tcPr>
            <w:tcW w:w="2306" w:type="dxa"/>
            <w:vAlign w:val="center"/>
          </w:tcPr>
          <w:p>
            <w:pPr>
              <w:jc w:val="center"/>
              <w:rPr>
                <w:kern w:val="2"/>
                <w:szCs w:val="21"/>
                <w:highlight w:val="none"/>
              </w:rPr>
            </w:pPr>
          </w:p>
        </w:tc>
        <w:tc>
          <w:tcPr>
            <w:tcW w:w="1376"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3" w:type="dxa"/>
            <w:vAlign w:val="center"/>
          </w:tcPr>
          <w:p>
            <w:pPr>
              <w:jc w:val="center"/>
              <w:rPr>
                <w:kern w:val="2"/>
                <w:szCs w:val="21"/>
                <w:highlight w:val="none"/>
              </w:rPr>
            </w:pPr>
            <w:r>
              <w:rPr>
                <w:rFonts w:hint="eastAsia"/>
                <w:kern w:val="2"/>
                <w:szCs w:val="21"/>
                <w:highlight w:val="none"/>
              </w:rPr>
              <w:t>2</w:t>
            </w:r>
          </w:p>
        </w:tc>
        <w:tc>
          <w:tcPr>
            <w:tcW w:w="1695" w:type="dxa"/>
            <w:gridSpan w:val="2"/>
            <w:vAlign w:val="center"/>
          </w:tcPr>
          <w:p>
            <w:pPr>
              <w:jc w:val="center"/>
              <w:rPr>
                <w:kern w:val="2"/>
                <w:szCs w:val="21"/>
                <w:highlight w:val="none"/>
              </w:rPr>
            </w:pPr>
          </w:p>
        </w:tc>
        <w:tc>
          <w:tcPr>
            <w:tcW w:w="1906" w:type="dxa"/>
            <w:vAlign w:val="center"/>
          </w:tcPr>
          <w:p>
            <w:pPr>
              <w:jc w:val="center"/>
              <w:rPr>
                <w:kern w:val="2"/>
                <w:szCs w:val="21"/>
                <w:highlight w:val="none"/>
              </w:rPr>
            </w:pPr>
          </w:p>
        </w:tc>
        <w:tc>
          <w:tcPr>
            <w:tcW w:w="953" w:type="dxa"/>
            <w:vAlign w:val="center"/>
          </w:tcPr>
          <w:p>
            <w:pPr>
              <w:jc w:val="center"/>
              <w:rPr>
                <w:kern w:val="2"/>
                <w:szCs w:val="21"/>
                <w:highlight w:val="none"/>
              </w:rPr>
            </w:pPr>
          </w:p>
        </w:tc>
        <w:tc>
          <w:tcPr>
            <w:tcW w:w="2306" w:type="dxa"/>
            <w:vAlign w:val="center"/>
          </w:tcPr>
          <w:p>
            <w:pPr>
              <w:jc w:val="center"/>
              <w:rPr>
                <w:kern w:val="2"/>
                <w:szCs w:val="21"/>
                <w:highlight w:val="none"/>
              </w:rPr>
            </w:pPr>
          </w:p>
        </w:tc>
        <w:tc>
          <w:tcPr>
            <w:tcW w:w="1376"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3" w:type="dxa"/>
            <w:vAlign w:val="center"/>
          </w:tcPr>
          <w:p>
            <w:pPr>
              <w:jc w:val="center"/>
              <w:rPr>
                <w:kern w:val="2"/>
                <w:szCs w:val="21"/>
                <w:highlight w:val="none"/>
              </w:rPr>
            </w:pPr>
            <w:r>
              <w:rPr>
                <w:rFonts w:hint="eastAsia"/>
                <w:kern w:val="2"/>
                <w:szCs w:val="21"/>
                <w:highlight w:val="none"/>
              </w:rPr>
              <w:t>3</w:t>
            </w:r>
          </w:p>
        </w:tc>
        <w:tc>
          <w:tcPr>
            <w:tcW w:w="1695" w:type="dxa"/>
            <w:gridSpan w:val="2"/>
            <w:vAlign w:val="center"/>
          </w:tcPr>
          <w:p>
            <w:pPr>
              <w:jc w:val="center"/>
              <w:rPr>
                <w:kern w:val="2"/>
                <w:szCs w:val="21"/>
                <w:highlight w:val="none"/>
              </w:rPr>
            </w:pPr>
          </w:p>
        </w:tc>
        <w:tc>
          <w:tcPr>
            <w:tcW w:w="1906" w:type="dxa"/>
            <w:vAlign w:val="center"/>
          </w:tcPr>
          <w:p>
            <w:pPr>
              <w:jc w:val="center"/>
              <w:rPr>
                <w:kern w:val="2"/>
                <w:szCs w:val="21"/>
                <w:highlight w:val="none"/>
              </w:rPr>
            </w:pPr>
          </w:p>
        </w:tc>
        <w:tc>
          <w:tcPr>
            <w:tcW w:w="953" w:type="dxa"/>
            <w:vAlign w:val="center"/>
          </w:tcPr>
          <w:p>
            <w:pPr>
              <w:jc w:val="center"/>
              <w:rPr>
                <w:kern w:val="2"/>
                <w:szCs w:val="21"/>
                <w:highlight w:val="none"/>
              </w:rPr>
            </w:pPr>
          </w:p>
        </w:tc>
        <w:tc>
          <w:tcPr>
            <w:tcW w:w="2306" w:type="dxa"/>
            <w:vAlign w:val="center"/>
          </w:tcPr>
          <w:p>
            <w:pPr>
              <w:jc w:val="center"/>
              <w:rPr>
                <w:kern w:val="2"/>
                <w:szCs w:val="21"/>
                <w:highlight w:val="none"/>
              </w:rPr>
            </w:pPr>
          </w:p>
        </w:tc>
        <w:tc>
          <w:tcPr>
            <w:tcW w:w="1376"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3" w:type="dxa"/>
            <w:vAlign w:val="center"/>
          </w:tcPr>
          <w:p>
            <w:pPr>
              <w:jc w:val="center"/>
              <w:rPr>
                <w:kern w:val="2"/>
                <w:szCs w:val="21"/>
                <w:highlight w:val="none"/>
              </w:rPr>
            </w:pPr>
            <w:r>
              <w:rPr>
                <w:rFonts w:hint="eastAsia"/>
                <w:kern w:val="2"/>
                <w:szCs w:val="21"/>
                <w:highlight w:val="none"/>
              </w:rPr>
              <w:t>4</w:t>
            </w:r>
          </w:p>
        </w:tc>
        <w:tc>
          <w:tcPr>
            <w:tcW w:w="1695" w:type="dxa"/>
            <w:gridSpan w:val="2"/>
            <w:vAlign w:val="center"/>
          </w:tcPr>
          <w:p>
            <w:pPr>
              <w:jc w:val="center"/>
              <w:rPr>
                <w:kern w:val="2"/>
                <w:szCs w:val="21"/>
                <w:highlight w:val="none"/>
              </w:rPr>
            </w:pPr>
          </w:p>
        </w:tc>
        <w:tc>
          <w:tcPr>
            <w:tcW w:w="1906" w:type="dxa"/>
            <w:vAlign w:val="center"/>
          </w:tcPr>
          <w:p>
            <w:pPr>
              <w:jc w:val="center"/>
              <w:rPr>
                <w:kern w:val="2"/>
                <w:szCs w:val="21"/>
                <w:highlight w:val="none"/>
              </w:rPr>
            </w:pPr>
          </w:p>
        </w:tc>
        <w:tc>
          <w:tcPr>
            <w:tcW w:w="953" w:type="dxa"/>
            <w:vAlign w:val="center"/>
          </w:tcPr>
          <w:p>
            <w:pPr>
              <w:jc w:val="center"/>
              <w:rPr>
                <w:kern w:val="2"/>
                <w:szCs w:val="21"/>
                <w:highlight w:val="none"/>
              </w:rPr>
            </w:pPr>
          </w:p>
        </w:tc>
        <w:tc>
          <w:tcPr>
            <w:tcW w:w="2306" w:type="dxa"/>
            <w:vAlign w:val="center"/>
          </w:tcPr>
          <w:p>
            <w:pPr>
              <w:jc w:val="center"/>
              <w:rPr>
                <w:kern w:val="2"/>
                <w:szCs w:val="21"/>
                <w:highlight w:val="none"/>
              </w:rPr>
            </w:pPr>
          </w:p>
        </w:tc>
        <w:tc>
          <w:tcPr>
            <w:tcW w:w="1376" w:type="dxa"/>
            <w:vAlign w:val="center"/>
          </w:tcPr>
          <w:p>
            <w:pPr>
              <w:jc w:val="center"/>
              <w:rPr>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62" w:type="dxa"/>
            <w:gridSpan w:val="2"/>
            <w:vAlign w:val="center"/>
          </w:tcPr>
          <w:p>
            <w:pPr>
              <w:jc w:val="center"/>
              <w:rPr>
                <w:kern w:val="2"/>
                <w:szCs w:val="21"/>
                <w:highlight w:val="none"/>
              </w:rPr>
            </w:pPr>
            <w:r>
              <w:rPr>
                <w:rFonts w:hint="eastAsia"/>
                <w:kern w:val="2"/>
                <w:szCs w:val="21"/>
                <w:highlight w:val="none"/>
              </w:rPr>
              <w:t>投标报价</w:t>
            </w:r>
          </w:p>
          <w:p>
            <w:pPr>
              <w:jc w:val="center"/>
              <w:rPr>
                <w:kern w:val="2"/>
                <w:szCs w:val="21"/>
                <w:highlight w:val="none"/>
              </w:rPr>
            </w:pPr>
            <w:r>
              <w:rPr>
                <w:rFonts w:hint="eastAsia"/>
                <w:kern w:val="2"/>
                <w:szCs w:val="21"/>
                <w:highlight w:val="none"/>
              </w:rPr>
              <w:t>总  计</w:t>
            </w:r>
          </w:p>
        </w:tc>
        <w:tc>
          <w:tcPr>
            <w:tcW w:w="7207" w:type="dxa"/>
            <w:gridSpan w:val="5"/>
            <w:vAlign w:val="center"/>
          </w:tcPr>
          <w:p>
            <w:pPr>
              <w:rPr>
                <w:kern w:val="2"/>
                <w:szCs w:val="21"/>
                <w:highlight w:val="none"/>
              </w:rPr>
            </w:pPr>
          </w:p>
        </w:tc>
      </w:tr>
    </w:tbl>
    <w:p>
      <w:pPr>
        <w:snapToGrid w:val="0"/>
        <w:spacing w:before="50" w:after="50"/>
        <w:rPr>
          <w:b/>
          <w:szCs w:val="21"/>
          <w:highlight w:val="none"/>
        </w:rPr>
      </w:pPr>
      <w:r>
        <w:rPr>
          <w:rFonts w:hint="eastAsia"/>
          <w:b/>
          <w:szCs w:val="21"/>
          <w:highlight w:val="none"/>
        </w:rPr>
        <w:t>注</w:t>
      </w:r>
      <w:r>
        <w:rPr>
          <w:b/>
          <w:szCs w:val="21"/>
          <w:highlight w:val="none"/>
        </w:rPr>
        <w:t>: 1</w:t>
      </w:r>
      <w:r>
        <w:rPr>
          <w:rFonts w:hint="eastAsia"/>
          <w:b/>
          <w:szCs w:val="21"/>
          <w:highlight w:val="none"/>
        </w:rPr>
        <w:t>、报价一经涂改，应在涂改处加盖单位公章或者由法定代表人或被授权人签字（或盖章），否则其投标作无效标处理；</w:t>
      </w:r>
    </w:p>
    <w:p>
      <w:pPr>
        <w:numPr>
          <w:ilvl w:val="0"/>
          <w:numId w:val="3"/>
        </w:numPr>
        <w:snapToGrid w:val="0"/>
        <w:spacing w:before="50" w:after="50"/>
        <w:ind w:firstLine="482" w:firstLineChars="200"/>
        <w:rPr>
          <w:b/>
          <w:szCs w:val="21"/>
          <w:highlight w:val="none"/>
        </w:rPr>
      </w:pPr>
      <w:r>
        <w:rPr>
          <w:rFonts w:hint="eastAsia"/>
          <w:b/>
          <w:szCs w:val="21"/>
          <w:highlight w:val="none"/>
        </w:rPr>
        <w:t>投标费用包括项目实施所需要的人工、运杂、税金、相关服务承诺等各项可能涉及的一切费用；</w:t>
      </w:r>
    </w:p>
    <w:p>
      <w:pPr>
        <w:snapToGrid w:val="0"/>
        <w:spacing w:before="50" w:after="50"/>
        <w:ind w:firstLine="482" w:firstLineChars="200"/>
        <w:rPr>
          <w:b/>
          <w:szCs w:val="21"/>
          <w:highlight w:val="none"/>
        </w:rPr>
      </w:pPr>
      <w:r>
        <w:rPr>
          <w:b/>
          <w:szCs w:val="21"/>
          <w:highlight w:val="none"/>
        </w:rPr>
        <w:t>3</w:t>
      </w:r>
      <w:r>
        <w:rPr>
          <w:rFonts w:hint="eastAsia"/>
          <w:b/>
          <w:szCs w:val="21"/>
          <w:highlight w:val="none"/>
        </w:rPr>
        <w:t>、以上报价应与“开标一览表”中的“投标报价”相一致。</w:t>
      </w:r>
    </w:p>
    <w:p>
      <w:pPr>
        <w:snapToGrid w:val="0"/>
        <w:spacing w:before="50" w:after="50"/>
        <w:rPr>
          <w:highlight w:val="none"/>
        </w:rPr>
      </w:pPr>
    </w:p>
    <w:p>
      <w:pPr>
        <w:snapToGrid w:val="0"/>
        <w:spacing w:before="50" w:after="50" w:line="360" w:lineRule="auto"/>
        <w:rPr>
          <w:spacing w:val="20"/>
          <w:szCs w:val="20"/>
          <w:highlight w:val="none"/>
          <w:u w:val="single"/>
        </w:rPr>
      </w:pPr>
      <w:r>
        <w:rPr>
          <w:rFonts w:hint="eastAsia"/>
          <w:highlight w:val="none"/>
        </w:rPr>
        <w:t>法定代表人或被授权人签字（或盖章）</w:t>
      </w:r>
      <w:r>
        <w:rPr>
          <w:rFonts w:hint="eastAsia"/>
          <w:spacing w:val="20"/>
          <w:highlight w:val="none"/>
        </w:rPr>
        <w:t>：</w:t>
      </w:r>
      <w:r>
        <w:rPr>
          <w:spacing w:val="20"/>
          <w:highlight w:val="none"/>
          <w:u w:val="single"/>
        </w:rPr>
        <w:t xml:space="preserve">          </w:t>
      </w:r>
    </w:p>
    <w:p>
      <w:pPr>
        <w:snapToGrid w:val="0"/>
        <w:spacing w:before="50" w:after="50"/>
        <w:rPr>
          <w:highlight w:val="none"/>
        </w:rPr>
      </w:pPr>
      <w:r>
        <w:rPr>
          <w:rFonts w:hint="eastAsia"/>
          <w:spacing w:val="20"/>
          <w:highlight w:val="none"/>
        </w:rPr>
        <w:t>投标人公章：</w:t>
      </w:r>
      <w:r>
        <w:rPr>
          <w:spacing w:val="20"/>
          <w:highlight w:val="none"/>
        </w:rPr>
        <w:t xml:space="preserve">                      </w:t>
      </w: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snapToGrid w:val="0"/>
        <w:spacing w:before="50" w:after="50" w:line="360" w:lineRule="auto"/>
        <w:rPr>
          <w:b/>
          <w:highlight w:val="none"/>
        </w:rPr>
      </w:pPr>
    </w:p>
    <w:p>
      <w:pPr>
        <w:numPr>
          <w:ins w:id="1" w:author="zch" w:date="2016-05-10T09:46:00Z"/>
        </w:numPr>
        <w:snapToGrid w:val="0"/>
        <w:spacing w:before="50" w:after="50" w:line="360" w:lineRule="auto"/>
        <w:rPr>
          <w:b/>
          <w:highlight w:val="none"/>
        </w:rPr>
      </w:pPr>
    </w:p>
    <w:p>
      <w:pPr>
        <w:numPr>
          <w:ins w:id="2" w:author="zch" w:date="2016-05-10T09:46:00Z"/>
        </w:numPr>
        <w:snapToGrid w:val="0"/>
        <w:spacing w:before="50" w:after="50" w:line="360" w:lineRule="auto"/>
        <w:rPr>
          <w:b/>
          <w:highlight w:val="none"/>
        </w:rPr>
      </w:pPr>
    </w:p>
    <w:p>
      <w:pPr>
        <w:numPr>
          <w:ins w:id="3" w:author="zch" w:date="2016-05-10T09:46:00Z"/>
        </w:numPr>
        <w:snapToGrid w:val="0"/>
        <w:spacing w:before="50" w:after="50" w:line="360" w:lineRule="auto"/>
        <w:rPr>
          <w:b/>
          <w:highlight w:val="none"/>
        </w:rPr>
      </w:pPr>
    </w:p>
    <w:p>
      <w:pPr>
        <w:numPr>
          <w:ins w:id="4" w:author="zch" w:date="2016-05-10T09:46:00Z"/>
        </w:numPr>
        <w:snapToGrid w:val="0"/>
        <w:spacing w:before="50" w:after="50" w:line="360" w:lineRule="auto"/>
        <w:rPr>
          <w:b/>
          <w:highlight w:val="none"/>
        </w:rPr>
      </w:pPr>
    </w:p>
    <w:p>
      <w:pPr>
        <w:numPr>
          <w:ins w:id="5" w:author="zch" w:date="2016-05-10T09:46:00Z"/>
        </w:numPr>
        <w:snapToGrid w:val="0"/>
        <w:spacing w:before="50" w:after="50" w:line="360" w:lineRule="auto"/>
        <w:rPr>
          <w:b/>
          <w:highlight w:val="none"/>
        </w:rPr>
      </w:pPr>
    </w:p>
    <w:p>
      <w:pPr>
        <w:numPr>
          <w:ins w:id="6" w:author="zch" w:date="2016-05-10T09:46:00Z"/>
        </w:numPr>
        <w:snapToGrid w:val="0"/>
        <w:spacing w:before="50" w:after="50" w:line="360" w:lineRule="auto"/>
        <w:rPr>
          <w:b/>
          <w:highlight w:val="none"/>
        </w:rPr>
      </w:pPr>
    </w:p>
    <w:p>
      <w:pPr>
        <w:numPr>
          <w:ins w:id="7" w:author="zch" w:date="2016-05-10T09:46:00Z"/>
        </w:numPr>
        <w:snapToGrid w:val="0"/>
        <w:spacing w:before="50" w:after="50" w:line="360" w:lineRule="auto"/>
        <w:rPr>
          <w:b/>
          <w:highlight w:val="none"/>
        </w:rPr>
      </w:pPr>
    </w:p>
    <w:p>
      <w:pPr>
        <w:widowControl w:val="0"/>
        <w:wordWrap w:val="0"/>
        <w:snapToGrid w:val="0"/>
        <w:spacing w:before="50" w:after="120" w:afterLines="50"/>
        <w:ind w:firstLine="198" w:firstLineChars="82"/>
        <w:rPr>
          <w:b/>
          <w:highlight w:val="none"/>
        </w:rPr>
      </w:pPr>
      <w:r>
        <w:rPr>
          <w:rFonts w:hint="eastAsia"/>
          <w:b/>
          <w:highlight w:val="none"/>
        </w:rPr>
        <w:t>1</w:t>
      </w:r>
      <w:r>
        <w:rPr>
          <w:rFonts w:hint="eastAsia"/>
          <w:b/>
          <w:highlight w:val="none"/>
          <w:lang w:val="en-US" w:eastAsia="zh-CN"/>
        </w:rPr>
        <w:t>3</w:t>
      </w:r>
      <w:r>
        <w:rPr>
          <w:rFonts w:hint="eastAsia"/>
          <w:b/>
          <w:highlight w:val="none"/>
        </w:rPr>
        <w:t>.</w:t>
      </w:r>
      <w:r>
        <w:rPr>
          <w:b/>
          <w:highlight w:val="none"/>
        </w:rPr>
        <w:t>中小企业证明格式：</w:t>
      </w:r>
    </w:p>
    <w:p>
      <w:pPr>
        <w:widowControl w:val="0"/>
        <w:wordWrap w:val="0"/>
        <w:snapToGrid w:val="0"/>
        <w:spacing w:before="50" w:after="120" w:afterLines="50"/>
        <w:ind w:firstLine="241" w:firstLineChars="100"/>
        <w:rPr>
          <w:b/>
          <w:highlight w:val="none"/>
        </w:rPr>
      </w:pPr>
      <w:r>
        <w:rPr>
          <w:b/>
          <w:highlight w:val="none"/>
        </w:rPr>
        <w:t>（1）中小企业声明函格式：</w:t>
      </w:r>
    </w:p>
    <w:p>
      <w:pPr>
        <w:widowControl w:val="0"/>
        <w:wordWrap w:val="0"/>
        <w:snapToGrid w:val="0"/>
        <w:spacing w:before="50" w:after="120" w:afterLines="50"/>
        <w:ind w:firstLine="241" w:firstLineChars="100"/>
        <w:rPr>
          <w:b/>
          <w:highlight w:val="none"/>
        </w:rPr>
      </w:pPr>
    </w:p>
    <w:p>
      <w:pPr>
        <w:spacing w:line="360" w:lineRule="auto"/>
        <w:ind w:firstLine="562" w:firstLineChars="200"/>
        <w:jc w:val="center"/>
        <w:rPr>
          <w:sz w:val="21"/>
          <w:szCs w:val="21"/>
          <w:highlight w:val="none"/>
        </w:rPr>
      </w:pPr>
      <w:r>
        <w:rPr>
          <w:rFonts w:hint="eastAsia"/>
          <w:b/>
          <w:color w:val="000000"/>
          <w:sz w:val="28"/>
          <w:szCs w:val="28"/>
          <w:highlight w:val="none"/>
          <w:lang w:bidi="ar"/>
        </w:rPr>
        <w:t>中小企业声明函（工程、服务）</w:t>
      </w:r>
    </w:p>
    <w:p>
      <w:pPr>
        <w:spacing w:line="360" w:lineRule="auto"/>
        <w:ind w:firstLine="480" w:firstLineChars="200"/>
        <w:rPr>
          <w:sz w:val="21"/>
          <w:szCs w:val="21"/>
          <w:highlight w:val="none"/>
        </w:rPr>
      </w:pPr>
      <w:r>
        <w:rPr>
          <w:rFonts w:hint="eastAsia"/>
          <w:color w:val="000000"/>
          <w:highlight w:val="none"/>
          <w:lang w:bidi="ar"/>
        </w:rPr>
        <w:t>本公司（联合体）郑重声明，根据《政府采购促进中小企业发展管理办法》（财库﹝2020﹞46 号）的规定，本公司（联合体）参加</w:t>
      </w:r>
      <w:r>
        <w:rPr>
          <w:rFonts w:hint="eastAsia"/>
          <w:i/>
          <w:color w:val="000000"/>
          <w:highlight w:val="none"/>
          <w:u w:val="single"/>
          <w:lang w:bidi="ar"/>
        </w:rPr>
        <w:t>（单位名称）</w:t>
      </w:r>
      <w:r>
        <w:rPr>
          <w:rFonts w:hint="eastAsia"/>
          <w:color w:val="000000"/>
          <w:highlight w:val="none"/>
          <w:lang w:bidi="ar"/>
        </w:rPr>
        <w:t>的</w:t>
      </w:r>
      <w:r>
        <w:rPr>
          <w:rFonts w:hint="eastAsia"/>
          <w:i/>
          <w:color w:val="000000"/>
          <w:highlight w:val="none"/>
          <w:u w:val="single"/>
          <w:lang w:bidi="ar"/>
        </w:rPr>
        <w:t>（项目名称）</w:t>
      </w:r>
      <w:r>
        <w:rPr>
          <w:rFonts w:hint="eastAsia"/>
          <w:color w:val="000000"/>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1"/>
          <w:szCs w:val="21"/>
          <w:highlight w:val="none"/>
        </w:rPr>
      </w:pPr>
      <w:r>
        <w:rPr>
          <w:rFonts w:hint="eastAsia"/>
          <w:color w:val="000000"/>
          <w:highlight w:val="none"/>
          <w:lang w:bidi="ar"/>
        </w:rPr>
        <w:t>1.</w:t>
      </w:r>
      <w:r>
        <w:rPr>
          <w:rFonts w:hint="eastAsia"/>
          <w:color w:val="000000"/>
          <w:highlight w:val="none"/>
          <w:u w:val="single"/>
          <w:lang w:bidi="ar"/>
        </w:rPr>
        <w:t xml:space="preserve"> </w:t>
      </w:r>
      <w:r>
        <w:rPr>
          <w:rFonts w:hint="eastAsia"/>
          <w:i/>
          <w:color w:val="000000"/>
          <w:highlight w:val="none"/>
          <w:u w:val="single"/>
          <w:lang w:bidi="ar"/>
        </w:rPr>
        <w:t xml:space="preserve">（标的名称） </w:t>
      </w:r>
      <w:r>
        <w:rPr>
          <w:rFonts w:hint="eastAsia"/>
          <w:color w:val="000000"/>
          <w:highlight w:val="none"/>
          <w:lang w:bidi="ar"/>
        </w:rPr>
        <w:t>，属于</w:t>
      </w:r>
      <w:r>
        <w:rPr>
          <w:rFonts w:hint="eastAsia"/>
          <w:i/>
          <w:color w:val="000000"/>
          <w:highlight w:val="none"/>
          <w:u w:val="single"/>
          <w:lang w:bidi="ar"/>
        </w:rPr>
        <w:t>（采购文件中明确的所属行业）</w:t>
      </w:r>
      <w:r>
        <w:rPr>
          <w:rFonts w:hint="eastAsia"/>
          <w:color w:val="000000"/>
          <w:highlight w:val="none"/>
          <w:lang w:bidi="ar"/>
        </w:rPr>
        <w:t>；承建（承接）企业为</w:t>
      </w:r>
      <w:r>
        <w:rPr>
          <w:rFonts w:hint="eastAsia"/>
          <w:i/>
          <w:color w:val="000000"/>
          <w:highlight w:val="none"/>
          <w:u w:val="single"/>
          <w:lang w:bidi="ar"/>
        </w:rPr>
        <w:t>（企业名称）</w:t>
      </w:r>
      <w:r>
        <w:rPr>
          <w:rFonts w:hint="eastAsia"/>
          <w:color w:val="000000"/>
          <w:highlight w:val="none"/>
          <w:lang w:bidi="ar"/>
        </w:rPr>
        <w:t>，从业人员</w:t>
      </w:r>
      <w:r>
        <w:rPr>
          <w:rFonts w:hint="eastAsia"/>
          <w:color w:val="000000"/>
          <w:highlight w:val="none"/>
          <w:u w:val="single"/>
          <w:lang w:bidi="ar"/>
        </w:rPr>
        <w:t xml:space="preserve">    </w:t>
      </w:r>
      <w:r>
        <w:rPr>
          <w:rFonts w:hint="eastAsia"/>
          <w:color w:val="000000"/>
          <w:highlight w:val="none"/>
          <w:lang w:bidi="ar"/>
        </w:rPr>
        <w:t>人，营业收入为</w:t>
      </w:r>
      <w:r>
        <w:rPr>
          <w:rFonts w:hint="eastAsia"/>
          <w:color w:val="000000"/>
          <w:highlight w:val="none"/>
          <w:u w:val="single"/>
          <w:lang w:bidi="ar"/>
        </w:rPr>
        <w:t xml:space="preserve">     </w:t>
      </w:r>
      <w:r>
        <w:rPr>
          <w:rFonts w:hint="eastAsia"/>
          <w:color w:val="000000"/>
          <w:highlight w:val="none"/>
          <w:lang w:bidi="ar"/>
        </w:rPr>
        <w:t>万元，资产总额为</w:t>
      </w:r>
      <w:r>
        <w:rPr>
          <w:rFonts w:hint="eastAsia"/>
          <w:color w:val="000000"/>
          <w:highlight w:val="none"/>
          <w:u w:val="single"/>
          <w:lang w:bidi="ar"/>
        </w:rPr>
        <w:t xml:space="preserve">     </w:t>
      </w:r>
      <w:r>
        <w:rPr>
          <w:rFonts w:hint="eastAsia"/>
          <w:color w:val="000000"/>
          <w:highlight w:val="none"/>
          <w:lang w:bidi="ar"/>
        </w:rPr>
        <w:t>万元</w:t>
      </w:r>
      <w:r>
        <w:rPr>
          <w:rStyle w:val="28"/>
          <w:rFonts w:hint="eastAsia"/>
          <w:color w:val="000000"/>
          <w:highlight w:val="none"/>
          <w:lang w:bidi="ar"/>
        </w:rPr>
        <w:footnoteReference w:id="0"/>
      </w:r>
      <w:r>
        <w:rPr>
          <w:rFonts w:hint="eastAsia"/>
          <w:color w:val="000000"/>
          <w:highlight w:val="none"/>
          <w:lang w:bidi="ar"/>
        </w:rPr>
        <w:t>，属于</w:t>
      </w:r>
      <w:r>
        <w:rPr>
          <w:rFonts w:hint="eastAsia"/>
          <w:i/>
          <w:color w:val="000000"/>
          <w:highlight w:val="none"/>
          <w:u w:val="single"/>
          <w:lang w:bidi="ar"/>
        </w:rPr>
        <w:t>（中型企业、小型企业、微型企业）</w:t>
      </w:r>
      <w:r>
        <w:rPr>
          <w:rFonts w:hint="eastAsia"/>
          <w:color w:val="000000"/>
          <w:highlight w:val="none"/>
          <w:lang w:bidi="ar"/>
        </w:rPr>
        <w:t xml:space="preserve">； </w:t>
      </w:r>
    </w:p>
    <w:p>
      <w:pPr>
        <w:spacing w:line="360" w:lineRule="auto"/>
        <w:ind w:firstLine="480" w:firstLineChars="200"/>
        <w:rPr>
          <w:sz w:val="21"/>
          <w:szCs w:val="21"/>
          <w:highlight w:val="none"/>
        </w:rPr>
      </w:pPr>
      <w:r>
        <w:rPr>
          <w:rFonts w:hint="eastAsia"/>
          <w:color w:val="000000"/>
          <w:highlight w:val="none"/>
          <w:lang w:bidi="ar"/>
        </w:rPr>
        <w:t>2.</w:t>
      </w:r>
      <w:r>
        <w:rPr>
          <w:rFonts w:hint="eastAsia"/>
          <w:color w:val="000000"/>
          <w:highlight w:val="none"/>
          <w:u w:val="single"/>
          <w:lang w:bidi="ar"/>
        </w:rPr>
        <w:t xml:space="preserve"> </w:t>
      </w:r>
      <w:r>
        <w:rPr>
          <w:rFonts w:hint="eastAsia"/>
          <w:i/>
          <w:color w:val="000000"/>
          <w:highlight w:val="none"/>
          <w:u w:val="single"/>
          <w:lang w:bidi="ar"/>
        </w:rPr>
        <w:t>（标的名称）</w:t>
      </w:r>
      <w:r>
        <w:rPr>
          <w:rFonts w:hint="eastAsia"/>
          <w:i/>
          <w:color w:val="000000"/>
          <w:highlight w:val="none"/>
          <w:lang w:bidi="ar"/>
        </w:rPr>
        <w:t xml:space="preserve"> </w:t>
      </w:r>
      <w:r>
        <w:rPr>
          <w:rFonts w:hint="eastAsia"/>
          <w:color w:val="000000"/>
          <w:highlight w:val="none"/>
          <w:lang w:bidi="ar"/>
        </w:rPr>
        <w:t>，属于</w:t>
      </w:r>
      <w:r>
        <w:rPr>
          <w:rFonts w:hint="eastAsia"/>
          <w:i/>
          <w:color w:val="000000"/>
          <w:highlight w:val="none"/>
          <w:u w:val="single"/>
          <w:lang w:bidi="ar"/>
        </w:rPr>
        <w:t>（采购文件中明确的所属行业）</w:t>
      </w:r>
      <w:r>
        <w:rPr>
          <w:rFonts w:hint="eastAsia"/>
          <w:color w:val="000000"/>
          <w:highlight w:val="none"/>
          <w:lang w:bidi="ar"/>
        </w:rPr>
        <w:t>；承建（承接）企业为</w:t>
      </w:r>
      <w:r>
        <w:rPr>
          <w:rFonts w:hint="eastAsia"/>
          <w:i/>
          <w:color w:val="000000"/>
          <w:highlight w:val="none"/>
          <w:u w:val="single"/>
          <w:lang w:bidi="ar"/>
        </w:rPr>
        <w:t>（企业名称）</w:t>
      </w:r>
      <w:r>
        <w:rPr>
          <w:rFonts w:hint="eastAsia"/>
          <w:color w:val="000000"/>
          <w:highlight w:val="none"/>
          <w:lang w:bidi="ar"/>
        </w:rPr>
        <w:t>，从业人员</w:t>
      </w:r>
      <w:r>
        <w:rPr>
          <w:rFonts w:hint="eastAsia"/>
          <w:color w:val="000000"/>
          <w:highlight w:val="none"/>
          <w:u w:val="single"/>
          <w:lang w:bidi="ar"/>
        </w:rPr>
        <w:t xml:space="preserve">    </w:t>
      </w:r>
      <w:r>
        <w:rPr>
          <w:rFonts w:hint="eastAsia"/>
          <w:color w:val="000000"/>
          <w:highlight w:val="none"/>
          <w:lang w:bidi="ar"/>
        </w:rPr>
        <w:t>人，营业收入为</w:t>
      </w:r>
      <w:r>
        <w:rPr>
          <w:rFonts w:hint="eastAsia"/>
          <w:color w:val="000000"/>
          <w:highlight w:val="none"/>
          <w:u w:val="single"/>
          <w:lang w:bidi="ar"/>
        </w:rPr>
        <w:t xml:space="preserve">    </w:t>
      </w:r>
      <w:r>
        <w:rPr>
          <w:rFonts w:hint="eastAsia"/>
          <w:color w:val="000000"/>
          <w:highlight w:val="none"/>
          <w:lang w:bidi="ar"/>
        </w:rPr>
        <w:t>万元，资产总额为</w:t>
      </w:r>
      <w:r>
        <w:rPr>
          <w:rFonts w:hint="eastAsia"/>
          <w:color w:val="000000"/>
          <w:highlight w:val="none"/>
          <w:u w:val="single"/>
          <w:lang w:bidi="ar"/>
        </w:rPr>
        <w:t xml:space="preserve">     </w:t>
      </w:r>
      <w:r>
        <w:rPr>
          <w:rFonts w:hint="eastAsia"/>
          <w:color w:val="000000"/>
          <w:highlight w:val="none"/>
          <w:lang w:bidi="ar"/>
        </w:rPr>
        <w:t>万元，属于</w:t>
      </w:r>
      <w:r>
        <w:rPr>
          <w:rFonts w:hint="eastAsia"/>
          <w:i/>
          <w:color w:val="000000"/>
          <w:highlight w:val="none"/>
          <w:u w:val="single"/>
          <w:lang w:bidi="ar"/>
        </w:rPr>
        <w:t>（中型企业、小型企业、微型企业）</w:t>
      </w:r>
      <w:r>
        <w:rPr>
          <w:rFonts w:hint="eastAsia"/>
          <w:color w:val="000000"/>
          <w:highlight w:val="none"/>
          <w:lang w:bidi="ar"/>
        </w:rPr>
        <w:t xml:space="preserve">； </w:t>
      </w:r>
    </w:p>
    <w:p>
      <w:pPr>
        <w:spacing w:line="360" w:lineRule="auto"/>
        <w:ind w:firstLine="480" w:firstLineChars="200"/>
        <w:rPr>
          <w:sz w:val="21"/>
          <w:szCs w:val="21"/>
          <w:highlight w:val="none"/>
        </w:rPr>
      </w:pPr>
      <w:r>
        <w:rPr>
          <w:rFonts w:hint="eastAsia"/>
          <w:color w:val="000000"/>
          <w:highlight w:val="none"/>
          <w:lang w:bidi="ar"/>
        </w:rPr>
        <w:t>……</w:t>
      </w:r>
    </w:p>
    <w:p>
      <w:pPr>
        <w:spacing w:line="360" w:lineRule="auto"/>
        <w:ind w:firstLine="480" w:firstLineChars="200"/>
        <w:rPr>
          <w:sz w:val="21"/>
          <w:szCs w:val="21"/>
          <w:highlight w:val="none"/>
        </w:rPr>
      </w:pPr>
      <w:r>
        <w:rPr>
          <w:rFonts w:hint="eastAsia"/>
          <w:color w:val="000000"/>
          <w:highlight w:val="none"/>
          <w:lang w:bidi="ar"/>
        </w:rPr>
        <w:t>以上企业，不属于大企业的分支机构，不存在控股股东为大企业的情形，也不存在与大企业的负责人为同一人的情形。</w:t>
      </w:r>
    </w:p>
    <w:p>
      <w:pPr>
        <w:spacing w:line="360" w:lineRule="auto"/>
        <w:ind w:firstLine="480" w:firstLineChars="200"/>
        <w:rPr>
          <w:sz w:val="21"/>
          <w:szCs w:val="21"/>
          <w:highlight w:val="none"/>
        </w:rPr>
      </w:pPr>
      <w:r>
        <w:rPr>
          <w:rFonts w:hint="eastAsia"/>
          <w:color w:val="000000"/>
          <w:highlight w:val="none"/>
          <w:lang w:bidi="ar"/>
        </w:rPr>
        <w:t xml:space="preserve">本企业对上述声明内容的真实性负责。如有虚假，将依法承担相应责任。 </w:t>
      </w:r>
    </w:p>
    <w:p>
      <w:pPr>
        <w:spacing w:line="360" w:lineRule="auto"/>
        <w:ind w:firstLine="480" w:firstLineChars="200"/>
        <w:rPr>
          <w:color w:val="000000"/>
          <w:highlight w:val="none"/>
          <w:lang w:bidi="ar"/>
        </w:rPr>
      </w:pPr>
    </w:p>
    <w:p>
      <w:pPr>
        <w:spacing w:line="360" w:lineRule="auto"/>
        <w:ind w:firstLine="4320" w:firstLineChars="1800"/>
        <w:rPr>
          <w:sz w:val="21"/>
          <w:szCs w:val="21"/>
          <w:highlight w:val="none"/>
        </w:rPr>
      </w:pPr>
      <w:r>
        <w:rPr>
          <w:rFonts w:hint="eastAsia"/>
          <w:color w:val="000000"/>
          <w:highlight w:val="none"/>
          <w:lang w:bidi="ar"/>
        </w:rPr>
        <w:t xml:space="preserve">企业名称（盖章）： </w:t>
      </w:r>
    </w:p>
    <w:p>
      <w:pPr>
        <w:spacing w:line="360" w:lineRule="auto"/>
        <w:ind w:firstLine="4320" w:firstLineChars="1800"/>
        <w:rPr>
          <w:sz w:val="22"/>
          <w:szCs w:val="22"/>
          <w:highlight w:val="none"/>
        </w:rPr>
      </w:pPr>
      <w:r>
        <w:rPr>
          <w:rFonts w:hint="eastAsia"/>
          <w:color w:val="000000"/>
          <w:highlight w:val="none"/>
          <w:lang w:bidi="ar"/>
        </w:rPr>
        <w:t xml:space="preserve">日 期： </w:t>
      </w:r>
    </w:p>
    <w:p>
      <w:pPr>
        <w:widowControl w:val="0"/>
        <w:wordWrap w:val="0"/>
        <w:snapToGrid w:val="0"/>
        <w:spacing w:before="50" w:after="120" w:afterLines="50"/>
        <w:rPr>
          <w:b/>
          <w:highlight w:val="none"/>
        </w:rPr>
      </w:pPr>
    </w:p>
    <w:p>
      <w:pPr>
        <w:pStyle w:val="15"/>
        <w:ind w:left="480"/>
        <w:rPr>
          <w:b/>
          <w:highlight w:val="none"/>
        </w:rPr>
      </w:pPr>
    </w:p>
    <w:p>
      <w:pPr>
        <w:pStyle w:val="16"/>
        <w:rPr>
          <w:b/>
          <w:highlight w:val="none"/>
        </w:rPr>
      </w:pPr>
    </w:p>
    <w:p>
      <w:pPr>
        <w:pStyle w:val="16"/>
        <w:rPr>
          <w:b/>
          <w:highlight w:val="none"/>
        </w:rPr>
      </w:pPr>
    </w:p>
    <w:p>
      <w:pPr>
        <w:pStyle w:val="16"/>
        <w:rPr>
          <w:b/>
          <w:highlight w:val="none"/>
        </w:rPr>
      </w:pPr>
    </w:p>
    <w:p>
      <w:pPr>
        <w:pStyle w:val="16"/>
        <w:rPr>
          <w:b/>
          <w:highlight w:val="none"/>
        </w:rPr>
      </w:pPr>
    </w:p>
    <w:p>
      <w:pPr>
        <w:pStyle w:val="16"/>
        <w:rPr>
          <w:b/>
          <w:highlight w:val="none"/>
        </w:rPr>
      </w:pPr>
    </w:p>
    <w:p>
      <w:pPr>
        <w:widowControl w:val="0"/>
        <w:wordWrap w:val="0"/>
        <w:snapToGrid w:val="0"/>
        <w:spacing w:line="360" w:lineRule="auto"/>
        <w:rPr>
          <w:b/>
          <w:highlight w:val="none"/>
        </w:rPr>
      </w:pPr>
      <w:r>
        <w:rPr>
          <w:rFonts w:hint="eastAsia"/>
          <w:b/>
          <w:highlight w:val="none"/>
        </w:rPr>
        <w:t>1</w:t>
      </w:r>
      <w:r>
        <w:rPr>
          <w:rFonts w:hint="eastAsia"/>
          <w:b/>
          <w:highlight w:val="none"/>
          <w:lang w:val="en-US" w:eastAsia="zh-CN"/>
        </w:rPr>
        <w:t>4</w:t>
      </w:r>
      <w:r>
        <w:rPr>
          <w:rFonts w:hint="eastAsia"/>
          <w:b/>
          <w:highlight w:val="none"/>
        </w:rPr>
        <w:t>.</w:t>
      </w:r>
      <w:r>
        <w:rPr>
          <w:b/>
          <w:highlight w:val="none"/>
        </w:rPr>
        <w:t>残疾人福利性单位声明函</w:t>
      </w:r>
      <w:r>
        <w:rPr>
          <w:rFonts w:hint="eastAsia"/>
          <w:b/>
          <w:highlight w:val="none"/>
        </w:rPr>
        <w:t>及证明材料</w:t>
      </w:r>
    </w:p>
    <w:p>
      <w:pPr>
        <w:widowControl w:val="0"/>
        <w:wordWrap w:val="0"/>
        <w:snapToGrid w:val="0"/>
        <w:spacing w:line="360" w:lineRule="auto"/>
        <w:rPr>
          <w:highlight w:val="none"/>
        </w:rPr>
      </w:pPr>
      <w:r>
        <w:rPr>
          <w:rFonts w:hint="eastAsia"/>
          <w:b/>
          <w:highlight w:val="none"/>
        </w:rPr>
        <w:t xml:space="preserve">（1） </w:t>
      </w:r>
      <w:r>
        <w:rPr>
          <w:rFonts w:hint="eastAsia"/>
          <w:b/>
          <w:bCs/>
          <w:highlight w:val="none"/>
        </w:rPr>
        <w:t>残疾人福利性单位声明函格式</w:t>
      </w:r>
      <w:r>
        <w:rPr>
          <w:rFonts w:hint="eastAsia"/>
          <w:b/>
          <w:highlight w:val="none"/>
        </w:rPr>
        <w:br w:type="textWrapping"/>
      </w:r>
      <w:r>
        <w:rPr>
          <w:rFonts w:hint="eastAsia"/>
          <w:b/>
          <w:highlight w:val="none"/>
        </w:rPr>
        <w:br w:type="textWrapping"/>
      </w:r>
      <w:r>
        <w:rPr>
          <w:rFonts w:hint="eastAsia"/>
          <w:b/>
          <w:highlight w:val="none"/>
        </w:rPr>
        <w:t xml:space="preserve">                            </w:t>
      </w:r>
      <w:r>
        <w:rPr>
          <w:rFonts w:hint="eastAsia"/>
          <w:b/>
          <w:bCs/>
          <w:highlight w:val="none"/>
        </w:rPr>
        <w:t>残疾人福利性单位声明函</w:t>
      </w:r>
      <w:r>
        <w:rPr>
          <w:rFonts w:hint="eastAsia"/>
          <w:highlight w:val="none"/>
        </w:rPr>
        <w:br w:type="textWrapping"/>
      </w:r>
      <w:r>
        <w:rPr>
          <w:rFonts w:hint="eastAsia"/>
          <w:highlight w:val="none"/>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highlight w:val="none"/>
        </w:rPr>
        <w:br w:type="textWrapping"/>
      </w:r>
      <w:r>
        <w:rPr>
          <w:rFonts w:hint="eastAsia"/>
          <w:highlight w:val="none"/>
        </w:rPr>
        <w:t>   本单位对上述声明的真实性负责。如有虚假，将依法承担相应责任。</w:t>
      </w:r>
      <w:r>
        <w:rPr>
          <w:rFonts w:hint="eastAsia"/>
          <w:highlight w:val="none"/>
        </w:rPr>
        <w:br w:type="textWrapping"/>
      </w:r>
      <w:r>
        <w:rPr>
          <w:rFonts w:hint="eastAsia"/>
          <w:highlight w:val="none"/>
        </w:rPr>
        <w:br w:type="textWrapping"/>
      </w:r>
      <w:r>
        <w:rPr>
          <w:rFonts w:hint="eastAsia"/>
          <w:highlight w:val="none"/>
        </w:rPr>
        <w:t xml:space="preserve">                                            </w:t>
      </w:r>
    </w:p>
    <w:p>
      <w:pPr>
        <w:widowControl w:val="0"/>
        <w:wordWrap w:val="0"/>
        <w:snapToGrid w:val="0"/>
        <w:spacing w:line="360" w:lineRule="auto"/>
        <w:rPr>
          <w:highlight w:val="none"/>
        </w:rPr>
      </w:pPr>
      <w:r>
        <w:rPr>
          <w:rFonts w:hint="eastAsia"/>
          <w:highlight w:val="none"/>
        </w:rPr>
        <w:t xml:space="preserve">                                              单位名称（盖章）：</w:t>
      </w:r>
      <w:r>
        <w:rPr>
          <w:rFonts w:hint="eastAsia"/>
          <w:highlight w:val="none"/>
        </w:rPr>
        <w:br w:type="textWrapping"/>
      </w:r>
      <w:r>
        <w:rPr>
          <w:rFonts w:hint="eastAsia"/>
          <w:highlight w:val="none"/>
        </w:rPr>
        <w:t xml:space="preserve">                                              日 期：  年  月  日</w:t>
      </w:r>
    </w:p>
    <w:p>
      <w:pPr>
        <w:widowControl w:val="0"/>
        <w:wordWrap w:val="0"/>
        <w:snapToGrid w:val="0"/>
        <w:spacing w:line="360" w:lineRule="auto"/>
        <w:rPr>
          <w:highlight w:val="none"/>
        </w:rPr>
      </w:pPr>
    </w:p>
    <w:p>
      <w:pPr>
        <w:widowControl w:val="0"/>
        <w:numPr>
          <w:ilvl w:val="0"/>
          <w:numId w:val="4"/>
        </w:numPr>
        <w:wordWrap w:val="0"/>
        <w:snapToGrid w:val="0"/>
        <w:spacing w:line="360" w:lineRule="auto"/>
        <w:ind w:firstLine="241" w:firstLineChars="100"/>
        <w:outlineLvl w:val="0"/>
        <w:rPr>
          <w:b/>
          <w:bCs/>
          <w:highlight w:val="none"/>
        </w:rPr>
      </w:pPr>
      <w:bookmarkStart w:id="129" w:name="_Toc8088"/>
      <w:bookmarkStart w:id="130" w:name="_Toc31857"/>
      <w:r>
        <w:rPr>
          <w:rFonts w:hint="eastAsia"/>
          <w:b/>
          <w:bCs/>
          <w:highlight w:val="none"/>
        </w:rPr>
        <w:t>相关证明材料</w:t>
      </w:r>
      <w:bookmarkEnd w:id="129"/>
      <w:bookmarkEnd w:id="130"/>
    </w:p>
    <w:p>
      <w:pPr>
        <w:pStyle w:val="15"/>
        <w:ind w:left="0" w:leftChars="0"/>
        <w:rPr>
          <w:highlight w:val="none"/>
        </w:rPr>
      </w:pPr>
    </w:p>
    <w:p>
      <w:pPr>
        <w:pStyle w:val="16"/>
        <w:rPr>
          <w:highlight w:val="none"/>
        </w:rPr>
      </w:pPr>
    </w:p>
    <w:p>
      <w:pPr>
        <w:pStyle w:val="16"/>
        <w:rPr>
          <w:highlight w:val="none"/>
        </w:rPr>
      </w:pPr>
    </w:p>
    <w:p>
      <w:pPr>
        <w:numPr>
          <w:ins w:id="8" w:author="zch" w:date="2016-05-10T09:46:00Z"/>
        </w:numPr>
        <w:tabs>
          <w:tab w:val="left" w:pos="465"/>
        </w:tabs>
        <w:outlineLvl w:val="0"/>
        <w:rPr>
          <w:b/>
          <w:sz w:val="32"/>
          <w:szCs w:val="32"/>
          <w:highlight w:val="none"/>
        </w:rPr>
      </w:pPr>
      <w:bookmarkStart w:id="131" w:name="_Toc11276"/>
      <w:bookmarkStart w:id="132" w:name="_Toc2421"/>
      <w:r>
        <w:rPr>
          <w:rFonts w:hint="eastAsia"/>
          <w:highlight w:val="none"/>
        </w:rPr>
        <w:t>附表：</w:t>
      </w:r>
      <w:bookmarkStart w:id="133" w:name="_Toc7952"/>
      <w:r>
        <w:rPr>
          <w:rFonts w:hint="eastAsia"/>
          <w:b/>
          <w:sz w:val="32"/>
          <w:szCs w:val="32"/>
          <w:highlight w:val="none"/>
        </w:rPr>
        <w:t>评标办法索引表</w:t>
      </w:r>
      <w:bookmarkEnd w:id="131"/>
      <w:bookmarkEnd w:id="132"/>
      <w:bookmarkEnd w:id="133"/>
    </w:p>
    <w:p>
      <w:pPr>
        <w:numPr>
          <w:ins w:id="9" w:author="zch" w:date="2016-05-10T09:46:00Z"/>
        </w:numPr>
        <w:tabs>
          <w:tab w:val="left" w:pos="465"/>
        </w:tabs>
        <w:rPr>
          <w:highlight w:val="none"/>
        </w:rPr>
      </w:pPr>
      <w:r>
        <w:rPr>
          <w:rFonts w:hint="eastAsia"/>
          <w:highlight w:val="none"/>
        </w:rPr>
        <w:t>（根据评标办法，放在投标文件最后</w:t>
      </w:r>
      <w:r>
        <w:rPr>
          <w:highlight w:val="none"/>
        </w:rPr>
        <w:t>1</w:t>
      </w:r>
      <w:r>
        <w:rPr>
          <w:rFonts w:hint="eastAsia"/>
          <w:highlight w:val="none"/>
        </w:rPr>
        <w:t>页）</w:t>
      </w:r>
    </w:p>
    <w:p>
      <w:pPr>
        <w:numPr>
          <w:ins w:id="10" w:author="zch" w:date="2016-05-10T09:46:00Z"/>
        </w:numPr>
        <w:tabs>
          <w:tab w:val="left" w:pos="465"/>
        </w:tabs>
        <w:rPr>
          <w:highlight w:val="none"/>
        </w:rPr>
      </w:pPr>
    </w:p>
    <w:p>
      <w:pPr>
        <w:snapToGrid w:val="0"/>
        <w:spacing w:before="50" w:after="50" w:line="360" w:lineRule="auto"/>
        <w:rPr>
          <w:b/>
          <w:highlight w:val="none"/>
        </w:rPr>
      </w:pPr>
    </w:p>
    <w:p>
      <w:pPr>
        <w:snapToGrid w:val="0"/>
        <w:spacing w:before="50" w:after="50" w:line="360" w:lineRule="auto"/>
        <w:rPr>
          <w:b/>
          <w:highlight w:val="none"/>
        </w:rPr>
      </w:pPr>
    </w:p>
    <w:p>
      <w:pPr>
        <w:pStyle w:val="15"/>
        <w:ind w:left="480"/>
        <w:rPr>
          <w:b/>
          <w:highlight w:val="none"/>
        </w:rPr>
      </w:pPr>
    </w:p>
    <w:p>
      <w:pPr>
        <w:pStyle w:val="16"/>
        <w:rPr>
          <w:b/>
          <w:highlight w:val="none"/>
        </w:rPr>
      </w:pPr>
    </w:p>
    <w:p>
      <w:pPr>
        <w:pStyle w:val="16"/>
        <w:ind w:firstLine="0"/>
        <w:rPr>
          <w:b/>
          <w:highlight w:val="none"/>
        </w:rPr>
      </w:pPr>
    </w:p>
    <w:p>
      <w:pPr>
        <w:rPr>
          <w:highlight w:val="none"/>
        </w:rPr>
      </w:pPr>
    </w:p>
    <w:sectPr>
      <w:pgSz w:w="11906" w:h="16838"/>
      <w:pgMar w:top="1417" w:right="1128" w:bottom="1417" w:left="117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28"/>
        </w:rPr>
        <w:footnoteRef/>
      </w:r>
      <w:r>
        <w:t xml:space="preserve"> </w:t>
      </w:r>
      <w:r>
        <w:rPr>
          <w:rFonts w:hint="eastAsia"/>
        </w:rPr>
        <w:t>从业人员、营业收入、资产总额填报上一年度数据，无上一年度数据的新成立企业可不填报。</w:t>
      </w:r>
    </w:p>
    <w:p>
      <w:pPr>
        <w:pStyle w:val="2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E3373"/>
    <w:multiLevelType w:val="singleLevel"/>
    <w:tmpl w:val="B71E3373"/>
    <w:lvl w:ilvl="0" w:tentative="0">
      <w:start w:val="2"/>
      <w:numFmt w:val="decimal"/>
      <w:suff w:val="nothing"/>
      <w:lvlText w:val="%1、"/>
      <w:lvlJc w:val="left"/>
    </w:lvl>
  </w:abstractNum>
  <w:abstractNum w:abstractNumId="1">
    <w:nsid w:val="E1A3B8DD"/>
    <w:multiLevelType w:val="singleLevel"/>
    <w:tmpl w:val="E1A3B8DD"/>
    <w:lvl w:ilvl="0" w:tentative="0">
      <w:start w:val="2"/>
      <w:numFmt w:val="decimal"/>
      <w:suff w:val="nothing"/>
      <w:lvlText w:val="%1、"/>
      <w:lvlJc w:val="left"/>
    </w:lvl>
  </w:abstractNum>
  <w:abstractNum w:abstractNumId="2">
    <w:nsid w:val="4958426E"/>
    <w:multiLevelType w:val="singleLevel"/>
    <w:tmpl w:val="4958426E"/>
    <w:lvl w:ilvl="0" w:tentative="0">
      <w:start w:val="1"/>
      <w:numFmt w:val="decimal"/>
      <w:pStyle w:val="4"/>
      <w:lvlText w:val="%1."/>
      <w:lvlJc w:val="left"/>
      <w:pPr>
        <w:tabs>
          <w:tab w:val="left" w:pos="360"/>
        </w:tabs>
        <w:ind w:left="360" w:hanging="360"/>
      </w:pPr>
    </w:lvl>
  </w:abstractNum>
  <w:abstractNum w:abstractNumId="3">
    <w:nsid w:val="5CAFFA18"/>
    <w:multiLevelType w:val="singleLevel"/>
    <w:tmpl w:val="5CAFFA18"/>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h">
    <w15:presenceInfo w15:providerId="None" w15:userId="z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ZDg4OWQ2NjMxMDEwNDc4NTZkZmJiZTJkNGZmZmYifQ=="/>
  </w:docVars>
  <w:rsids>
    <w:rsidRoot w:val="2FE0429F"/>
    <w:rsid w:val="0007030E"/>
    <w:rsid w:val="000D0487"/>
    <w:rsid w:val="001F3D08"/>
    <w:rsid w:val="002363AC"/>
    <w:rsid w:val="002906FC"/>
    <w:rsid w:val="002A163B"/>
    <w:rsid w:val="002C6BE0"/>
    <w:rsid w:val="003366AF"/>
    <w:rsid w:val="00397CD3"/>
    <w:rsid w:val="003A74CE"/>
    <w:rsid w:val="0056488D"/>
    <w:rsid w:val="00580FBB"/>
    <w:rsid w:val="00596FC2"/>
    <w:rsid w:val="006B1956"/>
    <w:rsid w:val="00781CB0"/>
    <w:rsid w:val="007D6F6C"/>
    <w:rsid w:val="00821A8E"/>
    <w:rsid w:val="009436E3"/>
    <w:rsid w:val="00A01E14"/>
    <w:rsid w:val="00A157CA"/>
    <w:rsid w:val="00AC5B5A"/>
    <w:rsid w:val="00B35AD9"/>
    <w:rsid w:val="00B37FB8"/>
    <w:rsid w:val="00BE71F0"/>
    <w:rsid w:val="00CC1515"/>
    <w:rsid w:val="00D328C8"/>
    <w:rsid w:val="00DA514A"/>
    <w:rsid w:val="00DE7006"/>
    <w:rsid w:val="00E51E16"/>
    <w:rsid w:val="00F05E4F"/>
    <w:rsid w:val="00F40EED"/>
    <w:rsid w:val="00F45E98"/>
    <w:rsid w:val="00F92696"/>
    <w:rsid w:val="01C51FDC"/>
    <w:rsid w:val="022C4255"/>
    <w:rsid w:val="02A81568"/>
    <w:rsid w:val="03324663"/>
    <w:rsid w:val="03446E61"/>
    <w:rsid w:val="034A60F2"/>
    <w:rsid w:val="03786F79"/>
    <w:rsid w:val="03E62229"/>
    <w:rsid w:val="048C1117"/>
    <w:rsid w:val="04AB1BEF"/>
    <w:rsid w:val="0556141C"/>
    <w:rsid w:val="05867727"/>
    <w:rsid w:val="05873DF7"/>
    <w:rsid w:val="05EE0100"/>
    <w:rsid w:val="0601113F"/>
    <w:rsid w:val="0609199F"/>
    <w:rsid w:val="061B2D67"/>
    <w:rsid w:val="07067825"/>
    <w:rsid w:val="07796B10"/>
    <w:rsid w:val="07D93F70"/>
    <w:rsid w:val="081E3877"/>
    <w:rsid w:val="082A0C83"/>
    <w:rsid w:val="08A83E2C"/>
    <w:rsid w:val="08DB7F4F"/>
    <w:rsid w:val="08DF67FF"/>
    <w:rsid w:val="095F01F1"/>
    <w:rsid w:val="0996345C"/>
    <w:rsid w:val="09CB07E5"/>
    <w:rsid w:val="0A0B5495"/>
    <w:rsid w:val="0A2035D9"/>
    <w:rsid w:val="0A86096E"/>
    <w:rsid w:val="0B3340F1"/>
    <w:rsid w:val="0B9F7105"/>
    <w:rsid w:val="0BC76432"/>
    <w:rsid w:val="0C49446D"/>
    <w:rsid w:val="0C7A4434"/>
    <w:rsid w:val="0C7C59A1"/>
    <w:rsid w:val="0C911C2C"/>
    <w:rsid w:val="0CC07A3B"/>
    <w:rsid w:val="0D1F7062"/>
    <w:rsid w:val="0D671862"/>
    <w:rsid w:val="0DAA55BE"/>
    <w:rsid w:val="0DF72CD7"/>
    <w:rsid w:val="0E021AC5"/>
    <w:rsid w:val="0E2A32C0"/>
    <w:rsid w:val="0E765E5C"/>
    <w:rsid w:val="0E9005A9"/>
    <w:rsid w:val="0EE02692"/>
    <w:rsid w:val="0EEC6C35"/>
    <w:rsid w:val="0F6803FD"/>
    <w:rsid w:val="0F9B6462"/>
    <w:rsid w:val="10605181"/>
    <w:rsid w:val="10844CD8"/>
    <w:rsid w:val="10B21424"/>
    <w:rsid w:val="10DE2FE9"/>
    <w:rsid w:val="10EF7D64"/>
    <w:rsid w:val="11471970"/>
    <w:rsid w:val="115D0B81"/>
    <w:rsid w:val="121E30D7"/>
    <w:rsid w:val="133905E0"/>
    <w:rsid w:val="147608B0"/>
    <w:rsid w:val="14DB3574"/>
    <w:rsid w:val="14E6178A"/>
    <w:rsid w:val="155920FD"/>
    <w:rsid w:val="16455C40"/>
    <w:rsid w:val="16C653CA"/>
    <w:rsid w:val="16D76309"/>
    <w:rsid w:val="16F25057"/>
    <w:rsid w:val="16F42392"/>
    <w:rsid w:val="16F5793D"/>
    <w:rsid w:val="17535F3D"/>
    <w:rsid w:val="17562EBA"/>
    <w:rsid w:val="17A70233"/>
    <w:rsid w:val="17E844C7"/>
    <w:rsid w:val="17EB6F84"/>
    <w:rsid w:val="181F3564"/>
    <w:rsid w:val="18C748B7"/>
    <w:rsid w:val="1941629D"/>
    <w:rsid w:val="1B8C0E86"/>
    <w:rsid w:val="1B982BB9"/>
    <w:rsid w:val="1BE0158C"/>
    <w:rsid w:val="1C091AAE"/>
    <w:rsid w:val="1C483765"/>
    <w:rsid w:val="1C4D6906"/>
    <w:rsid w:val="1C6140E7"/>
    <w:rsid w:val="1C637D39"/>
    <w:rsid w:val="1D231150"/>
    <w:rsid w:val="1D2410A0"/>
    <w:rsid w:val="1D5B2886"/>
    <w:rsid w:val="1D8B2AC0"/>
    <w:rsid w:val="1DC30832"/>
    <w:rsid w:val="1DCD23F6"/>
    <w:rsid w:val="1E4A19FC"/>
    <w:rsid w:val="1F7E777C"/>
    <w:rsid w:val="1F813656"/>
    <w:rsid w:val="1F930B34"/>
    <w:rsid w:val="1FA62E3D"/>
    <w:rsid w:val="1FB76F13"/>
    <w:rsid w:val="1FE2030D"/>
    <w:rsid w:val="1FFB1A16"/>
    <w:rsid w:val="200B777F"/>
    <w:rsid w:val="206D263E"/>
    <w:rsid w:val="20770A04"/>
    <w:rsid w:val="20FF275E"/>
    <w:rsid w:val="21155FC2"/>
    <w:rsid w:val="221A4888"/>
    <w:rsid w:val="22693AD1"/>
    <w:rsid w:val="229E54BE"/>
    <w:rsid w:val="22BF7ECF"/>
    <w:rsid w:val="22E4473B"/>
    <w:rsid w:val="22F06E95"/>
    <w:rsid w:val="2450560E"/>
    <w:rsid w:val="246D1C5E"/>
    <w:rsid w:val="24702F2C"/>
    <w:rsid w:val="24E329AD"/>
    <w:rsid w:val="25D6328D"/>
    <w:rsid w:val="2717586C"/>
    <w:rsid w:val="2732301F"/>
    <w:rsid w:val="274261C9"/>
    <w:rsid w:val="27B157B4"/>
    <w:rsid w:val="27C83868"/>
    <w:rsid w:val="286A3FE2"/>
    <w:rsid w:val="28B2289C"/>
    <w:rsid w:val="291E16C9"/>
    <w:rsid w:val="299214FE"/>
    <w:rsid w:val="29CC4FA0"/>
    <w:rsid w:val="29E21464"/>
    <w:rsid w:val="2A774FE7"/>
    <w:rsid w:val="2A863867"/>
    <w:rsid w:val="2ABE3AD2"/>
    <w:rsid w:val="2AC4032A"/>
    <w:rsid w:val="2B462B54"/>
    <w:rsid w:val="2B6E0B13"/>
    <w:rsid w:val="2BB30646"/>
    <w:rsid w:val="2BBA56BD"/>
    <w:rsid w:val="2BD37024"/>
    <w:rsid w:val="2BDC7EFA"/>
    <w:rsid w:val="2BF02F43"/>
    <w:rsid w:val="2CB00D05"/>
    <w:rsid w:val="2D2D5B36"/>
    <w:rsid w:val="2E3C1AD3"/>
    <w:rsid w:val="2E516BB3"/>
    <w:rsid w:val="2E5C2B5D"/>
    <w:rsid w:val="2EE56B13"/>
    <w:rsid w:val="2FB853F0"/>
    <w:rsid w:val="2FE0429F"/>
    <w:rsid w:val="2FEC5962"/>
    <w:rsid w:val="3035738E"/>
    <w:rsid w:val="30C36F47"/>
    <w:rsid w:val="30E42ED6"/>
    <w:rsid w:val="30E67D26"/>
    <w:rsid w:val="30EA30E0"/>
    <w:rsid w:val="30FB0E76"/>
    <w:rsid w:val="31530BE6"/>
    <w:rsid w:val="315E56C5"/>
    <w:rsid w:val="317F0DCD"/>
    <w:rsid w:val="31DA2820"/>
    <w:rsid w:val="323460BD"/>
    <w:rsid w:val="326460A2"/>
    <w:rsid w:val="32E25F45"/>
    <w:rsid w:val="330E63F2"/>
    <w:rsid w:val="332D2D4E"/>
    <w:rsid w:val="33DD2389"/>
    <w:rsid w:val="348B09E3"/>
    <w:rsid w:val="34D81A01"/>
    <w:rsid w:val="34F23A31"/>
    <w:rsid w:val="35266EEF"/>
    <w:rsid w:val="36076F91"/>
    <w:rsid w:val="36361FE1"/>
    <w:rsid w:val="365D5F63"/>
    <w:rsid w:val="367F68DC"/>
    <w:rsid w:val="36BC4847"/>
    <w:rsid w:val="371050F3"/>
    <w:rsid w:val="37826EC1"/>
    <w:rsid w:val="3792702D"/>
    <w:rsid w:val="381C3D8E"/>
    <w:rsid w:val="397F0BF8"/>
    <w:rsid w:val="399A0EF5"/>
    <w:rsid w:val="39F76A9C"/>
    <w:rsid w:val="3B117A4A"/>
    <w:rsid w:val="3B5F6006"/>
    <w:rsid w:val="3BB32307"/>
    <w:rsid w:val="3C271CC5"/>
    <w:rsid w:val="3C3A2FCF"/>
    <w:rsid w:val="3C766753"/>
    <w:rsid w:val="3D344A2F"/>
    <w:rsid w:val="3D5904CE"/>
    <w:rsid w:val="3D8C5F4C"/>
    <w:rsid w:val="3DBE377F"/>
    <w:rsid w:val="3DBE682D"/>
    <w:rsid w:val="3E410A3E"/>
    <w:rsid w:val="3E502AB3"/>
    <w:rsid w:val="3F511520"/>
    <w:rsid w:val="3F5E67DD"/>
    <w:rsid w:val="40763848"/>
    <w:rsid w:val="413926DE"/>
    <w:rsid w:val="4141700D"/>
    <w:rsid w:val="419E3DBC"/>
    <w:rsid w:val="41FD3C87"/>
    <w:rsid w:val="43752341"/>
    <w:rsid w:val="442D1A66"/>
    <w:rsid w:val="4488364C"/>
    <w:rsid w:val="44FA4D1D"/>
    <w:rsid w:val="4548595D"/>
    <w:rsid w:val="454D6C13"/>
    <w:rsid w:val="45971D9F"/>
    <w:rsid w:val="45EE76D0"/>
    <w:rsid w:val="46431709"/>
    <w:rsid w:val="46537F71"/>
    <w:rsid w:val="46753896"/>
    <w:rsid w:val="46A70D10"/>
    <w:rsid w:val="46A96624"/>
    <w:rsid w:val="470A14BE"/>
    <w:rsid w:val="47B70CD3"/>
    <w:rsid w:val="48416BC7"/>
    <w:rsid w:val="48650597"/>
    <w:rsid w:val="49003852"/>
    <w:rsid w:val="49503494"/>
    <w:rsid w:val="497D77C8"/>
    <w:rsid w:val="4A604F15"/>
    <w:rsid w:val="4B0576DD"/>
    <w:rsid w:val="4C0A5299"/>
    <w:rsid w:val="4C3B3D38"/>
    <w:rsid w:val="4C8C3872"/>
    <w:rsid w:val="4D643AA7"/>
    <w:rsid w:val="4DA055D8"/>
    <w:rsid w:val="4DB4265B"/>
    <w:rsid w:val="4DB61DAF"/>
    <w:rsid w:val="4DE53DEE"/>
    <w:rsid w:val="4EAB177A"/>
    <w:rsid w:val="4EF7166A"/>
    <w:rsid w:val="4F320D99"/>
    <w:rsid w:val="4FF21911"/>
    <w:rsid w:val="50404275"/>
    <w:rsid w:val="505C2BB3"/>
    <w:rsid w:val="507B5786"/>
    <w:rsid w:val="507C2E9B"/>
    <w:rsid w:val="51015282"/>
    <w:rsid w:val="5170006E"/>
    <w:rsid w:val="5228646B"/>
    <w:rsid w:val="527632E5"/>
    <w:rsid w:val="52A20AB7"/>
    <w:rsid w:val="52E90DF2"/>
    <w:rsid w:val="52F171C6"/>
    <w:rsid w:val="54097668"/>
    <w:rsid w:val="543E52FC"/>
    <w:rsid w:val="54E310BA"/>
    <w:rsid w:val="55726E49"/>
    <w:rsid w:val="5633026B"/>
    <w:rsid w:val="56F0508C"/>
    <w:rsid w:val="57011891"/>
    <w:rsid w:val="577F3630"/>
    <w:rsid w:val="579C61C7"/>
    <w:rsid w:val="57AD27F9"/>
    <w:rsid w:val="57D91291"/>
    <w:rsid w:val="57FF14B8"/>
    <w:rsid w:val="58206612"/>
    <w:rsid w:val="58BE1E5A"/>
    <w:rsid w:val="598C5217"/>
    <w:rsid w:val="59B45461"/>
    <w:rsid w:val="59CC4017"/>
    <w:rsid w:val="59EF5C05"/>
    <w:rsid w:val="5A36284C"/>
    <w:rsid w:val="5A8776A2"/>
    <w:rsid w:val="5A922974"/>
    <w:rsid w:val="5AEF4C70"/>
    <w:rsid w:val="5B3D21A4"/>
    <w:rsid w:val="5BB06911"/>
    <w:rsid w:val="5BD44026"/>
    <w:rsid w:val="5BEC54E7"/>
    <w:rsid w:val="5BEC6E9C"/>
    <w:rsid w:val="5C7710A7"/>
    <w:rsid w:val="5CDC4372"/>
    <w:rsid w:val="5D2E5129"/>
    <w:rsid w:val="5D40527F"/>
    <w:rsid w:val="5D683F9E"/>
    <w:rsid w:val="5DB7524D"/>
    <w:rsid w:val="5DF93896"/>
    <w:rsid w:val="5F351B75"/>
    <w:rsid w:val="5F493163"/>
    <w:rsid w:val="5F4C1D73"/>
    <w:rsid w:val="5F980D00"/>
    <w:rsid w:val="5F985861"/>
    <w:rsid w:val="5FBF624B"/>
    <w:rsid w:val="5FC2688E"/>
    <w:rsid w:val="609F196E"/>
    <w:rsid w:val="60A26100"/>
    <w:rsid w:val="61F25ACE"/>
    <w:rsid w:val="6299773E"/>
    <w:rsid w:val="62D504BB"/>
    <w:rsid w:val="63016077"/>
    <w:rsid w:val="639027C8"/>
    <w:rsid w:val="63D02AB2"/>
    <w:rsid w:val="63E23417"/>
    <w:rsid w:val="63E668F0"/>
    <w:rsid w:val="64537447"/>
    <w:rsid w:val="647C0C2E"/>
    <w:rsid w:val="65584161"/>
    <w:rsid w:val="65F152D6"/>
    <w:rsid w:val="66257C58"/>
    <w:rsid w:val="66731E1E"/>
    <w:rsid w:val="672A73AD"/>
    <w:rsid w:val="682C4884"/>
    <w:rsid w:val="6831030A"/>
    <w:rsid w:val="685635DD"/>
    <w:rsid w:val="686E0D6B"/>
    <w:rsid w:val="691F1D07"/>
    <w:rsid w:val="696007A4"/>
    <w:rsid w:val="69AD4660"/>
    <w:rsid w:val="6A7E792E"/>
    <w:rsid w:val="6B411FB5"/>
    <w:rsid w:val="6BF02AB0"/>
    <w:rsid w:val="6BF55CCF"/>
    <w:rsid w:val="6C3915C1"/>
    <w:rsid w:val="6D161890"/>
    <w:rsid w:val="6DB12812"/>
    <w:rsid w:val="6DE85FD7"/>
    <w:rsid w:val="6E8B2C58"/>
    <w:rsid w:val="6F2343AE"/>
    <w:rsid w:val="6FBE3493"/>
    <w:rsid w:val="703A4AA5"/>
    <w:rsid w:val="71B05356"/>
    <w:rsid w:val="72500E77"/>
    <w:rsid w:val="725F4169"/>
    <w:rsid w:val="72B77CAD"/>
    <w:rsid w:val="732D7203"/>
    <w:rsid w:val="73943345"/>
    <w:rsid w:val="7408746B"/>
    <w:rsid w:val="75AB7D4F"/>
    <w:rsid w:val="75B42BF5"/>
    <w:rsid w:val="75C86E1A"/>
    <w:rsid w:val="761E7FDA"/>
    <w:rsid w:val="76646378"/>
    <w:rsid w:val="769C1F0B"/>
    <w:rsid w:val="76D702D0"/>
    <w:rsid w:val="78076CCD"/>
    <w:rsid w:val="786935D1"/>
    <w:rsid w:val="78FE6523"/>
    <w:rsid w:val="79193CF6"/>
    <w:rsid w:val="79473236"/>
    <w:rsid w:val="799D0D9C"/>
    <w:rsid w:val="79DC3F60"/>
    <w:rsid w:val="79F617CF"/>
    <w:rsid w:val="7A5A458F"/>
    <w:rsid w:val="7AB66B1F"/>
    <w:rsid w:val="7B0136B4"/>
    <w:rsid w:val="7B5C38F7"/>
    <w:rsid w:val="7B647318"/>
    <w:rsid w:val="7BFD6B38"/>
    <w:rsid w:val="7C03366A"/>
    <w:rsid w:val="7C116470"/>
    <w:rsid w:val="7C4232D4"/>
    <w:rsid w:val="7C613B24"/>
    <w:rsid w:val="7C9540DD"/>
    <w:rsid w:val="7D783F9E"/>
    <w:rsid w:val="7D9518D2"/>
    <w:rsid w:val="7DAD143E"/>
    <w:rsid w:val="7DB07B80"/>
    <w:rsid w:val="7DB82537"/>
    <w:rsid w:val="7DB97C27"/>
    <w:rsid w:val="7DC05620"/>
    <w:rsid w:val="7DCE3E7C"/>
    <w:rsid w:val="7DFD9A68"/>
    <w:rsid w:val="7E004EFB"/>
    <w:rsid w:val="7E89794A"/>
    <w:rsid w:val="7EA40CAF"/>
    <w:rsid w:val="7ED13431"/>
    <w:rsid w:val="7F3F01F6"/>
    <w:rsid w:val="7F640354"/>
    <w:rsid w:val="7FAF073E"/>
    <w:rsid w:val="7FE02272"/>
    <w:rsid w:val="7FE3351B"/>
    <w:rsid w:val="975EBBB4"/>
    <w:rsid w:val="BBFB65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sz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6"/>
    <w:qFormat/>
    <w:uiPriority w:val="0"/>
    <w:pPr>
      <w:ind w:firstLine="420"/>
    </w:pPr>
    <w:rPr>
      <w:sz w:val="21"/>
      <w:szCs w:val="20"/>
    </w:rPr>
  </w:style>
  <w:style w:type="paragraph" w:styleId="6">
    <w:name w:val="toc 2"/>
    <w:basedOn w:val="1"/>
    <w:next w:val="1"/>
    <w:qFormat/>
    <w:uiPriority w:val="39"/>
    <w:pPr>
      <w:tabs>
        <w:tab w:val="right" w:leader="dot" w:pos="8302"/>
      </w:tabs>
      <w:ind w:left="420" w:leftChars="200"/>
    </w:pPr>
    <w:rPr>
      <w:color w:val="000000"/>
      <w:sz w:val="30"/>
      <w:szCs w:val="30"/>
    </w:rPr>
  </w:style>
  <w:style w:type="paragraph" w:styleId="7">
    <w:name w:val="annotation text"/>
    <w:basedOn w:val="1"/>
    <w:qFormat/>
    <w:uiPriority w:val="0"/>
  </w:style>
  <w:style w:type="paragraph" w:styleId="8">
    <w:name w:val="Body Text 3"/>
    <w:basedOn w:val="1"/>
    <w:qFormat/>
    <w:uiPriority w:val="99"/>
    <w:pPr>
      <w:snapToGrid w:val="0"/>
      <w:spacing w:before="50" w:after="50"/>
    </w:pPr>
    <w:rPr>
      <w:rFonts w:eastAsia="仿宋_GB2312"/>
      <w:b/>
      <w:bCs/>
      <w:szCs w:val="20"/>
    </w:rPr>
  </w:style>
  <w:style w:type="paragraph" w:styleId="9">
    <w:name w:val="Body Text"/>
    <w:basedOn w:val="1"/>
    <w:next w:val="10"/>
    <w:qFormat/>
    <w:uiPriority w:val="0"/>
    <w:pPr>
      <w:spacing w:after="12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next w:val="1"/>
    <w:link w:val="33"/>
    <w:qFormat/>
    <w:uiPriority w:val="0"/>
    <w:pPr>
      <w:tabs>
        <w:tab w:val="left" w:pos="0"/>
        <w:tab w:val="left" w:pos="993"/>
        <w:tab w:val="left" w:pos="1134"/>
      </w:tabs>
      <w:spacing w:line="500" w:lineRule="exact"/>
      <w:ind w:firstLine="567"/>
    </w:pPr>
    <w:rPr>
      <w:szCs w:val="20"/>
    </w:rPr>
  </w:style>
  <w:style w:type="paragraph" w:styleId="12">
    <w:name w:val="List 2"/>
    <w:basedOn w:val="1"/>
    <w:qFormat/>
    <w:uiPriority w:val="0"/>
    <w:pPr>
      <w:ind w:left="100" w:leftChars="200" w:hanging="200" w:hangingChars="200"/>
    </w:pPr>
  </w:style>
  <w:style w:type="paragraph" w:styleId="13">
    <w:name w:val="Plain Text"/>
    <w:basedOn w:val="1"/>
    <w:next w:val="1"/>
    <w:qFormat/>
    <w:uiPriority w:val="0"/>
    <w:pPr>
      <w:adjustRightInd w:val="0"/>
      <w:snapToGrid w:val="0"/>
    </w:pPr>
    <w:rPr>
      <w:rFonts w:hAnsi="Courier New" w:cs="Courier New"/>
      <w:sz w:val="21"/>
      <w:szCs w:val="21"/>
    </w:rPr>
  </w:style>
  <w:style w:type="paragraph" w:styleId="14">
    <w:name w:val="Date"/>
    <w:basedOn w:val="1"/>
    <w:next w:val="1"/>
    <w:qFormat/>
    <w:uiPriority w:val="0"/>
    <w:pPr>
      <w:ind w:left="2500" w:leftChars="2500"/>
    </w:pPr>
    <w:rPr>
      <w:rFonts w:ascii="楷体_GB2312" w:eastAsia="楷体_GB2312"/>
      <w:sz w:val="32"/>
      <w:szCs w:val="20"/>
    </w:rPr>
  </w:style>
  <w:style w:type="paragraph" w:styleId="15">
    <w:name w:val="Body Text Indent 2"/>
    <w:basedOn w:val="1"/>
    <w:next w:val="16"/>
    <w:qFormat/>
    <w:uiPriority w:val="0"/>
    <w:pPr>
      <w:spacing w:after="120" w:line="480" w:lineRule="auto"/>
      <w:ind w:left="420" w:leftChars="200"/>
    </w:pPr>
  </w:style>
  <w:style w:type="paragraph" w:styleId="16">
    <w:name w:val="Body Text First Indent 2"/>
    <w:basedOn w:val="11"/>
    <w:link w:val="34"/>
    <w:qFormat/>
    <w:uiPriority w:val="0"/>
    <w:pPr>
      <w:ind w:firstLine="42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qFormat/>
    <w:uiPriority w:val="0"/>
    <w:pPr>
      <w:spacing w:line="360" w:lineRule="atLeast"/>
    </w:pPr>
    <w:rPr>
      <w:b/>
      <w:sz w:val="22"/>
      <w:szCs w:val="22"/>
    </w:rPr>
  </w:style>
  <w:style w:type="paragraph" w:styleId="21">
    <w:name w:val="footnote text"/>
    <w:basedOn w:val="1"/>
    <w:qFormat/>
    <w:uiPriority w:val="0"/>
    <w:pPr>
      <w:snapToGrid w:val="0"/>
    </w:pPr>
    <w:rPr>
      <w:sz w:val="18"/>
    </w:rPr>
  </w:style>
  <w:style w:type="paragraph" w:styleId="22">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23">
    <w:name w:val="Body Text First Indent"/>
    <w:basedOn w:val="9"/>
    <w:next w:val="1"/>
    <w:qFormat/>
    <w:uiPriority w:val="0"/>
    <w:pPr>
      <w:ind w:firstLine="420"/>
    </w:pPr>
    <w:rPr>
      <w:rFonts w:ascii="Times New Roman" w:hAnsi="Times New Roman" w:eastAsia="楷体_GB2312"/>
      <w:b/>
      <w:bCs/>
      <w:sz w:val="32"/>
      <w:szCs w:val="20"/>
    </w:r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character" w:styleId="28">
    <w:name w:val="footnote reference"/>
    <w:basedOn w:val="25"/>
    <w:qFormat/>
    <w:uiPriority w:val="0"/>
    <w:rPr>
      <w:vertAlign w:val="superscript"/>
    </w:rPr>
  </w:style>
  <w:style w:type="paragraph" w:customStyle="1" w:styleId="29">
    <w:name w:val="文档正文"/>
    <w:basedOn w:val="1"/>
    <w:unhideWhenUsed/>
    <w:qFormat/>
    <w:uiPriority w:val="0"/>
    <w:pPr>
      <w:snapToGrid w:val="0"/>
      <w:spacing w:before="60" w:after="60" w:line="360" w:lineRule="atLeast"/>
      <w:ind w:firstLine="482"/>
      <w:jc w:val="both"/>
    </w:pPr>
  </w:style>
  <w:style w:type="paragraph" w:customStyle="1" w:styleId="30">
    <w:name w:val="BodyText1I2"/>
    <w:basedOn w:val="31"/>
    <w:qFormat/>
    <w:uiPriority w:val="0"/>
    <w:pPr>
      <w:ind w:firstLine="420"/>
    </w:pPr>
    <w:rPr>
      <w:sz w:val="21"/>
    </w:rPr>
  </w:style>
  <w:style w:type="paragraph" w:customStyle="1" w:styleId="31">
    <w:name w:val="BodyTextIndent"/>
    <w:basedOn w:val="1"/>
    <w:next w:val="30"/>
    <w:qFormat/>
    <w:uiPriority w:val="0"/>
    <w:pPr>
      <w:spacing w:line="360" w:lineRule="auto"/>
      <w:ind w:firstLine="490"/>
    </w:pPr>
  </w:style>
  <w:style w:type="paragraph" w:customStyle="1" w:styleId="32">
    <w:name w:val="纯文本1"/>
    <w:basedOn w:val="1"/>
    <w:qFormat/>
    <w:uiPriority w:val="99"/>
    <w:pPr>
      <w:adjustRightInd w:val="0"/>
      <w:textAlignment w:val="baseline"/>
    </w:pPr>
    <w:rPr>
      <w:rFonts w:hAnsi="Courier New" w:eastAsia="楷体_GB2312"/>
      <w:sz w:val="26"/>
      <w:szCs w:val="20"/>
    </w:rPr>
  </w:style>
  <w:style w:type="character" w:customStyle="1" w:styleId="33">
    <w:name w:val="正文文本缩进 字符"/>
    <w:basedOn w:val="25"/>
    <w:link w:val="11"/>
    <w:qFormat/>
    <w:uiPriority w:val="0"/>
    <w:rPr>
      <w:rFonts w:hint="default" w:ascii="Times New Roman" w:hAnsi="Times New Roman" w:eastAsia="宋体" w:cs="Times New Roman"/>
      <w:szCs w:val="24"/>
    </w:rPr>
  </w:style>
  <w:style w:type="character" w:customStyle="1" w:styleId="34">
    <w:name w:val="正文文本首行缩进 2 字符"/>
    <w:basedOn w:val="33"/>
    <w:link w:val="16"/>
    <w:qFormat/>
    <w:uiPriority w:val="0"/>
    <w:rPr>
      <w:rFonts w:hint="default" w:ascii="Times New Roman" w:hAnsi="Times New Roman" w:eastAsia="宋体" w:cs="Times New Roman"/>
      <w:szCs w:val="24"/>
    </w:rPr>
  </w:style>
  <w:style w:type="paragraph" w:customStyle="1" w:styleId="35">
    <w:name w:val="列出段落1"/>
    <w:basedOn w:val="1"/>
    <w:qFormat/>
    <w:uiPriority w:val="99"/>
    <w:pPr>
      <w:ind w:firstLine="420" w:firstLineChars="200"/>
    </w:pPr>
  </w:style>
  <w:style w:type="paragraph" w:customStyle="1" w:styleId="36">
    <w:name w:val="Char"/>
    <w:basedOn w:val="1"/>
    <w:qFormat/>
    <w:uiPriority w:val="0"/>
    <w:pPr>
      <w:spacing w:after="160" w:line="240" w:lineRule="exact"/>
    </w:pPr>
    <w:rPr>
      <w:rFonts w:ascii="Verdana" w:hAnsi="Verdana" w:eastAsia="楷体_GB2312" w:cs="Times New Roman"/>
      <w:b/>
      <w:i/>
      <w:iCs/>
      <w:color w:val="00000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43</Pages>
  <Words>21838</Words>
  <Characters>23187</Characters>
  <Lines>279</Lines>
  <Paragraphs>78</Paragraphs>
  <TotalTime>123</TotalTime>
  <ScaleCrop>false</ScaleCrop>
  <LinksUpToDate>false</LinksUpToDate>
  <CharactersWithSpaces>24941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2022-06-19T11:11:00Z</dcterms:created>
  <dc:creator>小米Shelly</dc:creator>
  <cp:lastModifiedBy>Z</cp:lastModifiedBy>
  <cp:lastPrinted>2022-11-07T02:34:00Z</cp:lastPrinted>
  <dcterms:modified xsi:type="dcterms:W3CDTF">2022-11-09T08:38:43Z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D59D3F5C848D472F9D75510EAED152D9</vt:lpwstr>
  </property>
</Properties>
</file>