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360" w:lineRule="auto"/>
        <w:rPr>
          <w:rFonts w:asciiTheme="minorEastAsia" w:hAnsiTheme="minorEastAsia" w:eastAsiaTheme="minorEastAsia"/>
          <w:b/>
          <w:bCs/>
          <w:color w:val="auto"/>
          <w:spacing w:val="-4"/>
          <w:szCs w:val="21"/>
          <w:highlight w:val="none"/>
        </w:rPr>
      </w:pPr>
    </w:p>
    <w:p>
      <w:pPr>
        <w:spacing w:line="360" w:lineRule="auto"/>
        <w:rPr>
          <w:rFonts w:asciiTheme="minorEastAsia" w:hAnsiTheme="minorEastAsia" w:eastAsiaTheme="minorEastAsia"/>
          <w:b/>
          <w:color w:val="auto"/>
          <w:szCs w:val="21"/>
          <w:highlight w:val="none"/>
        </w:rPr>
      </w:pPr>
    </w:p>
    <w:p>
      <w:pPr>
        <w:spacing w:beforeLines="50" w:line="360" w:lineRule="auto"/>
        <w:jc w:val="center"/>
        <w:rPr>
          <w:rFonts w:hint="eastAsia" w:asciiTheme="minorEastAsia" w:hAnsiTheme="minorEastAsia" w:eastAsiaTheme="minorEastAsia"/>
          <w:b/>
          <w:color w:val="auto"/>
          <w:sz w:val="44"/>
          <w:szCs w:val="44"/>
          <w:highlight w:val="none"/>
          <w:lang w:eastAsia="zh-CN"/>
        </w:rPr>
      </w:pPr>
      <w:r>
        <w:rPr>
          <w:rFonts w:hint="eastAsia" w:asciiTheme="minorEastAsia" w:hAnsiTheme="minorEastAsia" w:eastAsiaTheme="minorEastAsia"/>
          <w:b/>
          <w:color w:val="auto"/>
          <w:sz w:val="44"/>
          <w:szCs w:val="44"/>
          <w:highlight w:val="none"/>
          <w:lang w:eastAsia="zh-CN"/>
        </w:rPr>
        <w:t>新城街道市政设施养护项目</w:t>
      </w:r>
    </w:p>
    <w:p>
      <w:pPr>
        <w:spacing w:beforeLines="50" w:line="360" w:lineRule="auto"/>
        <w:rPr>
          <w:rFonts w:asciiTheme="minorEastAsia" w:hAnsiTheme="minorEastAsia" w:eastAsiaTheme="minorEastAsia"/>
          <w:b/>
          <w:color w:val="auto"/>
          <w:szCs w:val="21"/>
          <w:highlight w:val="none"/>
        </w:rPr>
      </w:pPr>
    </w:p>
    <w:p>
      <w:pPr>
        <w:spacing w:beforeLines="50" w:line="360" w:lineRule="auto"/>
        <w:rPr>
          <w:rFonts w:asciiTheme="minorEastAsia" w:hAnsiTheme="minorEastAsia" w:eastAsiaTheme="minorEastAsia"/>
          <w:b/>
          <w:color w:val="auto"/>
          <w:szCs w:val="21"/>
          <w:highlight w:val="none"/>
        </w:rPr>
      </w:pPr>
    </w:p>
    <w:p>
      <w:pPr>
        <w:spacing w:beforeLines="50" w:line="360" w:lineRule="auto"/>
        <w:rPr>
          <w:rFonts w:asciiTheme="minorEastAsia" w:hAnsiTheme="minorEastAsia" w:eastAsiaTheme="minorEastAsia"/>
          <w:b/>
          <w:color w:val="auto"/>
          <w:szCs w:val="21"/>
          <w:highlight w:val="none"/>
        </w:rPr>
      </w:pPr>
    </w:p>
    <w:p>
      <w:pPr>
        <w:spacing w:beforeLines="50" w:line="360" w:lineRule="auto"/>
        <w:rPr>
          <w:rFonts w:asciiTheme="minorEastAsia" w:hAnsiTheme="minorEastAsia" w:eastAsiaTheme="minorEastAsia"/>
          <w:b/>
          <w:color w:val="auto"/>
          <w:sz w:val="44"/>
          <w:szCs w:val="44"/>
          <w:highlight w:val="none"/>
        </w:rPr>
      </w:pPr>
    </w:p>
    <w:p>
      <w:pPr>
        <w:spacing w:line="360" w:lineRule="auto"/>
        <w:jc w:val="center"/>
        <w:rPr>
          <w:rFonts w:asciiTheme="minorEastAsia" w:hAnsiTheme="minorEastAsia" w:eastAsiaTheme="minorEastAsia"/>
          <w:b/>
          <w:color w:val="auto"/>
          <w:sz w:val="44"/>
          <w:szCs w:val="44"/>
          <w:highlight w:val="none"/>
        </w:rPr>
      </w:pPr>
      <w:r>
        <w:rPr>
          <w:rFonts w:hint="eastAsia" w:asciiTheme="minorEastAsia" w:hAnsiTheme="minorEastAsia" w:eastAsiaTheme="minorEastAsia"/>
          <w:b/>
          <w:color w:val="auto"/>
          <w:sz w:val="44"/>
          <w:szCs w:val="44"/>
          <w:highlight w:val="none"/>
        </w:rPr>
        <w:t>公开招标文件</w:t>
      </w:r>
    </w:p>
    <w:p>
      <w:pPr>
        <w:spacing w:line="360" w:lineRule="auto"/>
        <w:jc w:val="center"/>
        <w:rPr>
          <w:rFonts w:asciiTheme="minorEastAsia" w:hAnsiTheme="minorEastAsia" w:eastAsiaTheme="minorEastAsia"/>
          <w:b/>
          <w:color w:val="auto"/>
          <w:sz w:val="44"/>
          <w:szCs w:val="44"/>
          <w:highlight w:val="none"/>
        </w:rPr>
      </w:pPr>
      <w:r>
        <w:rPr>
          <w:rFonts w:hint="eastAsia" w:asciiTheme="minorEastAsia" w:hAnsiTheme="minorEastAsia" w:eastAsiaTheme="minorEastAsia"/>
          <w:b/>
          <w:color w:val="auto"/>
          <w:sz w:val="44"/>
          <w:szCs w:val="44"/>
          <w:highlight w:val="none"/>
        </w:rPr>
        <w:t>（电子招投标）</w:t>
      </w:r>
    </w:p>
    <w:p>
      <w:pPr>
        <w:snapToGrid w:val="0"/>
        <w:spacing w:beforeLines="50" w:line="360" w:lineRule="auto"/>
        <w:rPr>
          <w:rFonts w:asciiTheme="minorEastAsia" w:hAnsiTheme="minorEastAsia" w:eastAsiaTheme="minorEastAsia"/>
          <w:color w:val="auto"/>
          <w:szCs w:val="21"/>
          <w:highlight w:val="none"/>
        </w:rPr>
      </w:pPr>
    </w:p>
    <w:p>
      <w:pPr>
        <w:snapToGrid w:val="0"/>
        <w:spacing w:beforeLines="50" w:line="360" w:lineRule="auto"/>
        <w:rPr>
          <w:rFonts w:asciiTheme="minorEastAsia" w:hAnsiTheme="minorEastAsia" w:eastAsiaTheme="minorEastAsia"/>
          <w:color w:val="auto"/>
          <w:szCs w:val="21"/>
          <w:highlight w:val="none"/>
        </w:rPr>
      </w:pPr>
    </w:p>
    <w:p>
      <w:pPr>
        <w:snapToGrid w:val="0"/>
        <w:spacing w:beforeLines="50" w:line="360" w:lineRule="auto"/>
        <w:rPr>
          <w:rFonts w:asciiTheme="minorEastAsia" w:hAnsiTheme="minorEastAsia" w:eastAsiaTheme="minorEastAsia"/>
          <w:color w:val="auto"/>
          <w:szCs w:val="21"/>
          <w:highlight w:val="none"/>
        </w:rPr>
      </w:pPr>
    </w:p>
    <w:p>
      <w:pPr>
        <w:snapToGrid w:val="0"/>
        <w:spacing w:beforeLines="50" w:line="360" w:lineRule="auto"/>
        <w:rPr>
          <w:rFonts w:asciiTheme="minorEastAsia" w:hAnsiTheme="minorEastAsia" w:eastAsiaTheme="minorEastAsia"/>
          <w:color w:val="auto"/>
          <w:szCs w:val="21"/>
          <w:highlight w:val="none"/>
        </w:rPr>
      </w:pPr>
    </w:p>
    <w:p>
      <w:pPr>
        <w:snapToGrid w:val="0"/>
        <w:spacing w:beforeLines="50" w:line="360" w:lineRule="auto"/>
        <w:rPr>
          <w:rFonts w:asciiTheme="minorEastAsia" w:hAnsiTheme="minorEastAsia" w:eastAsiaTheme="minorEastAsia"/>
          <w:color w:val="auto"/>
          <w:szCs w:val="21"/>
          <w:highlight w:val="none"/>
        </w:rPr>
      </w:pPr>
    </w:p>
    <w:p>
      <w:pPr>
        <w:pStyle w:val="48"/>
        <w:ind w:firstLine="404"/>
        <w:rPr>
          <w:color w:val="auto"/>
          <w:highlight w:val="none"/>
        </w:rPr>
      </w:pPr>
    </w:p>
    <w:p>
      <w:pPr>
        <w:pStyle w:val="28"/>
        <w:spacing w:before="120" w:after="120" w:line="360" w:lineRule="auto"/>
        <w:ind w:firstLine="562" w:firstLineChars="200"/>
        <w:rPr>
          <w:rStyle w:val="56"/>
          <w:rFonts w:hint="eastAsia" w:asciiTheme="minorEastAsia" w:hAnsiTheme="minorEastAsia" w:eastAsiaTheme="minorEastAsia"/>
          <w:b/>
          <w:color w:val="auto"/>
          <w:sz w:val="28"/>
          <w:szCs w:val="28"/>
          <w:highlight w:val="none"/>
          <w:u w:val="none"/>
        </w:rPr>
      </w:pPr>
      <w:r>
        <w:rPr>
          <w:rStyle w:val="56"/>
          <w:rFonts w:hint="eastAsia" w:asciiTheme="minorEastAsia" w:hAnsiTheme="minorEastAsia" w:eastAsiaTheme="minorEastAsia"/>
          <w:b/>
          <w:color w:val="auto"/>
          <w:sz w:val="28"/>
          <w:szCs w:val="28"/>
          <w:highlight w:val="none"/>
          <w:u w:val="none"/>
        </w:rPr>
        <w:t>项目编号：</w:t>
      </w:r>
      <w:r>
        <w:rPr>
          <w:rStyle w:val="56"/>
          <w:rFonts w:hint="eastAsia" w:asciiTheme="minorEastAsia" w:hAnsiTheme="minorEastAsia" w:eastAsiaTheme="minorEastAsia"/>
          <w:b/>
          <w:color w:val="auto"/>
          <w:sz w:val="28"/>
          <w:szCs w:val="28"/>
          <w:highlight w:val="none"/>
          <w:u w:val="none"/>
          <w:lang w:eastAsia="zh-CN"/>
        </w:rPr>
        <w:t>银建-JXYJ-L（2022）15号</w:t>
      </w:r>
      <w:r>
        <w:rPr>
          <w:rStyle w:val="56"/>
          <w:rFonts w:hint="eastAsia" w:asciiTheme="minorEastAsia" w:hAnsiTheme="minorEastAsia" w:eastAsiaTheme="minorEastAsia"/>
          <w:b/>
          <w:color w:val="auto"/>
          <w:sz w:val="28"/>
          <w:szCs w:val="28"/>
          <w:highlight w:val="none"/>
          <w:u w:val="none"/>
        </w:rPr>
        <w:t xml:space="preserve"> </w:t>
      </w:r>
    </w:p>
    <w:p>
      <w:pPr>
        <w:pStyle w:val="28"/>
        <w:spacing w:before="120" w:after="120" w:line="360" w:lineRule="auto"/>
        <w:ind w:firstLine="562" w:firstLineChars="200"/>
        <w:rPr>
          <w:rStyle w:val="56"/>
          <w:rFonts w:hint="eastAsia" w:asciiTheme="minorEastAsia" w:hAnsiTheme="minorEastAsia" w:eastAsiaTheme="minorEastAsia"/>
          <w:b/>
          <w:color w:val="auto"/>
          <w:sz w:val="28"/>
          <w:szCs w:val="28"/>
          <w:highlight w:val="none"/>
          <w:u w:val="none"/>
          <w:lang w:eastAsia="zh-CN"/>
        </w:rPr>
      </w:pPr>
      <w:r>
        <w:rPr>
          <w:rStyle w:val="56"/>
          <w:rFonts w:hint="eastAsia" w:asciiTheme="minorEastAsia" w:hAnsiTheme="minorEastAsia" w:eastAsiaTheme="minorEastAsia"/>
          <w:b/>
          <w:color w:val="auto"/>
          <w:sz w:val="28"/>
          <w:szCs w:val="28"/>
          <w:highlight w:val="none"/>
          <w:u w:val="none"/>
        </w:rPr>
        <w:t>采购单位：</w:t>
      </w:r>
      <w:r>
        <w:rPr>
          <w:rStyle w:val="56"/>
          <w:rFonts w:hint="eastAsia" w:asciiTheme="minorEastAsia" w:hAnsiTheme="minorEastAsia" w:eastAsiaTheme="minorEastAsia"/>
          <w:b/>
          <w:color w:val="auto"/>
          <w:sz w:val="28"/>
          <w:szCs w:val="28"/>
          <w:highlight w:val="none"/>
          <w:u w:val="none"/>
          <w:lang w:eastAsia="zh-CN"/>
        </w:rPr>
        <w:t>嘉兴市秀洲区人民政府新城街道办事处</w:t>
      </w:r>
    </w:p>
    <w:p>
      <w:pPr>
        <w:pStyle w:val="28"/>
        <w:spacing w:before="120" w:after="120" w:line="360" w:lineRule="auto"/>
        <w:ind w:firstLine="562" w:firstLineChars="200"/>
        <w:rPr>
          <w:rStyle w:val="56"/>
          <w:rFonts w:asciiTheme="minorEastAsia" w:hAnsiTheme="minorEastAsia" w:eastAsiaTheme="minorEastAsia"/>
          <w:b/>
          <w:color w:val="auto"/>
          <w:sz w:val="28"/>
          <w:szCs w:val="28"/>
          <w:highlight w:val="none"/>
          <w:u w:val="none"/>
        </w:rPr>
      </w:pPr>
      <w:r>
        <w:rPr>
          <w:rStyle w:val="56"/>
          <w:rFonts w:hint="eastAsia" w:asciiTheme="minorEastAsia" w:hAnsiTheme="minorEastAsia" w:eastAsiaTheme="minorEastAsia"/>
          <w:b/>
          <w:color w:val="auto"/>
          <w:sz w:val="28"/>
          <w:szCs w:val="28"/>
          <w:highlight w:val="none"/>
          <w:u w:val="none"/>
        </w:rPr>
        <w:t>采购机构：</w:t>
      </w:r>
      <w:r>
        <w:rPr>
          <w:rStyle w:val="56"/>
          <w:rFonts w:hint="eastAsia" w:asciiTheme="minorEastAsia" w:hAnsiTheme="minorEastAsia" w:eastAsiaTheme="minorEastAsia"/>
          <w:b/>
          <w:color w:val="auto"/>
          <w:sz w:val="28"/>
          <w:szCs w:val="28"/>
          <w:highlight w:val="none"/>
          <w:u w:val="none"/>
          <w:lang w:eastAsia="zh-CN"/>
        </w:rPr>
        <w:t>嘉兴市银建工程咨询评估有限公司</w:t>
      </w:r>
    </w:p>
    <w:p>
      <w:pPr>
        <w:snapToGrid w:val="0"/>
        <w:spacing w:beforeLines="50" w:line="360" w:lineRule="auto"/>
        <w:ind w:right="140"/>
        <w:jc w:val="center"/>
        <w:rPr>
          <w:rFonts w:asciiTheme="minorEastAsia" w:hAnsiTheme="minorEastAsia" w:eastAsiaTheme="minorEastAsia"/>
          <w:color w:val="auto"/>
          <w:sz w:val="28"/>
          <w:szCs w:val="28"/>
          <w:highlight w:val="none"/>
        </w:rPr>
      </w:pPr>
      <w:r>
        <w:rPr>
          <w:rFonts w:asciiTheme="minorEastAsia" w:hAnsiTheme="minorEastAsia" w:eastAsiaTheme="minorEastAsia"/>
          <w:b/>
          <w:bCs/>
          <w:color w:val="auto"/>
          <w:w w:val="95"/>
          <w:sz w:val="28"/>
          <w:szCs w:val="28"/>
          <w:highlight w:val="none"/>
        </w:rPr>
        <w:t>202</w:t>
      </w:r>
      <w:r>
        <w:rPr>
          <w:rFonts w:hint="eastAsia" w:asciiTheme="minorEastAsia" w:hAnsiTheme="minorEastAsia" w:eastAsiaTheme="minorEastAsia"/>
          <w:b/>
          <w:bCs/>
          <w:color w:val="auto"/>
          <w:w w:val="95"/>
          <w:sz w:val="28"/>
          <w:szCs w:val="28"/>
          <w:highlight w:val="none"/>
        </w:rPr>
        <w:t>2</w:t>
      </w:r>
      <w:r>
        <w:rPr>
          <w:rFonts w:asciiTheme="minorEastAsia" w:hAnsiTheme="minorEastAsia" w:eastAsiaTheme="minorEastAsia"/>
          <w:b/>
          <w:bCs/>
          <w:color w:val="auto"/>
          <w:w w:val="95"/>
          <w:sz w:val="28"/>
          <w:szCs w:val="28"/>
          <w:highlight w:val="none"/>
        </w:rPr>
        <w:t>年</w:t>
      </w:r>
      <w:r>
        <w:rPr>
          <w:rFonts w:hint="eastAsia" w:asciiTheme="minorEastAsia" w:hAnsiTheme="minorEastAsia" w:eastAsiaTheme="minorEastAsia"/>
          <w:b/>
          <w:bCs/>
          <w:color w:val="auto"/>
          <w:w w:val="95"/>
          <w:sz w:val="28"/>
          <w:szCs w:val="28"/>
          <w:highlight w:val="none"/>
          <w:lang w:val="en-US" w:eastAsia="zh-CN"/>
        </w:rPr>
        <w:t>4</w:t>
      </w:r>
      <w:r>
        <w:rPr>
          <w:rFonts w:asciiTheme="minorEastAsia" w:hAnsiTheme="minorEastAsia" w:eastAsiaTheme="minorEastAsia"/>
          <w:b/>
          <w:bCs/>
          <w:color w:val="auto"/>
          <w:w w:val="95"/>
          <w:sz w:val="28"/>
          <w:szCs w:val="28"/>
          <w:highlight w:val="none"/>
        </w:rPr>
        <w:t>月</w:t>
      </w:r>
      <w:r>
        <w:rPr>
          <w:rFonts w:hint="eastAsia" w:asciiTheme="minorEastAsia" w:hAnsiTheme="minorEastAsia" w:eastAsiaTheme="minorEastAsia"/>
          <w:b/>
          <w:bCs/>
          <w:color w:val="auto"/>
          <w:w w:val="95"/>
          <w:sz w:val="28"/>
          <w:szCs w:val="28"/>
          <w:highlight w:val="none"/>
          <w:lang w:val="en-US" w:eastAsia="zh-CN"/>
        </w:rPr>
        <w:t>18</w:t>
      </w:r>
      <w:r>
        <w:rPr>
          <w:rFonts w:asciiTheme="minorEastAsia" w:hAnsiTheme="minorEastAsia" w:eastAsiaTheme="minorEastAsia"/>
          <w:b/>
          <w:bCs/>
          <w:color w:val="auto"/>
          <w:w w:val="95"/>
          <w:sz w:val="28"/>
          <w:szCs w:val="28"/>
          <w:highlight w:val="none"/>
        </w:rPr>
        <w:t>日</w:t>
      </w:r>
    </w:p>
    <w:p>
      <w:pPr>
        <w:pStyle w:val="28"/>
        <w:spacing w:beforeLines="0" w:afterLines="0" w:line="360" w:lineRule="auto"/>
        <w:rPr>
          <w:rFonts w:asciiTheme="minorEastAsia" w:hAnsiTheme="minorEastAsia" w:eastAsiaTheme="minorEastAsia"/>
          <w:color w:val="auto"/>
          <w:sz w:val="21"/>
          <w:szCs w:val="21"/>
          <w:highlight w:val="none"/>
        </w:rPr>
      </w:pPr>
    </w:p>
    <w:p>
      <w:pPr>
        <w:pStyle w:val="28"/>
        <w:spacing w:beforeLines="0" w:afterLines="0" w:line="360" w:lineRule="auto"/>
        <w:rPr>
          <w:rFonts w:asciiTheme="minorEastAsia" w:hAnsiTheme="minorEastAsia" w:eastAsiaTheme="minorEastAsia"/>
          <w:color w:val="auto"/>
          <w:sz w:val="21"/>
          <w:szCs w:val="21"/>
          <w:highlight w:val="none"/>
        </w:rPr>
      </w:pPr>
    </w:p>
    <w:p>
      <w:pPr>
        <w:pStyle w:val="28"/>
        <w:spacing w:beforeLines="0" w:afterLines="0" w:line="360" w:lineRule="auto"/>
        <w:rPr>
          <w:rFonts w:asciiTheme="minorEastAsia" w:hAnsiTheme="minorEastAsia" w:eastAsiaTheme="minorEastAsia"/>
          <w:color w:val="auto"/>
          <w:sz w:val="21"/>
          <w:szCs w:val="21"/>
          <w:highlight w:val="none"/>
        </w:rPr>
      </w:pPr>
    </w:p>
    <w:p>
      <w:pPr>
        <w:pStyle w:val="28"/>
        <w:spacing w:beforeLines="0" w:afterLines="0" w:line="360" w:lineRule="auto"/>
        <w:rPr>
          <w:rFonts w:asciiTheme="minorEastAsia" w:hAnsiTheme="minorEastAsia" w:eastAsiaTheme="minorEastAsia"/>
          <w:color w:val="auto"/>
          <w:sz w:val="21"/>
          <w:szCs w:val="21"/>
          <w:highlight w:val="none"/>
        </w:rPr>
      </w:pPr>
    </w:p>
    <w:p>
      <w:pPr>
        <w:pStyle w:val="28"/>
        <w:spacing w:beforeLines="0" w:afterLines="0" w:line="360" w:lineRule="auto"/>
        <w:rPr>
          <w:rFonts w:asciiTheme="minorEastAsia" w:hAnsiTheme="minorEastAsia" w:eastAsiaTheme="minorEastAsia"/>
          <w:color w:val="auto"/>
          <w:sz w:val="21"/>
          <w:szCs w:val="21"/>
          <w:highlight w:val="none"/>
        </w:rPr>
      </w:pPr>
    </w:p>
    <w:p>
      <w:pPr>
        <w:pStyle w:val="28"/>
        <w:spacing w:beforeLines="0" w:afterLines="0" w:line="360" w:lineRule="auto"/>
        <w:jc w:val="center"/>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目    录</w:t>
      </w:r>
    </w:p>
    <w:p>
      <w:pPr>
        <w:pStyle w:val="35"/>
        <w:tabs>
          <w:tab w:val="right" w:leader="dot" w:pos="8834"/>
        </w:tabs>
        <w:spacing w:line="480" w:lineRule="auto"/>
        <w:rPr>
          <w:rFonts w:asciiTheme="minorEastAsia" w:hAnsiTheme="minorEastAsia" w:eastAsiaTheme="minorEastAsia"/>
          <w:color w:val="auto"/>
          <w:sz w:val="30"/>
          <w:szCs w:val="30"/>
          <w:highlight w:val="none"/>
        </w:rPr>
      </w:pPr>
      <w:r>
        <w:rPr>
          <w:rFonts w:asciiTheme="minorEastAsia" w:hAnsiTheme="minorEastAsia" w:eastAsiaTheme="minorEastAsia"/>
          <w:color w:val="auto"/>
          <w:szCs w:val="21"/>
          <w:highlight w:val="none"/>
        </w:rPr>
        <w:fldChar w:fldCharType="begin"/>
      </w:r>
      <w:r>
        <w:rPr>
          <w:rFonts w:asciiTheme="minorEastAsia" w:hAnsiTheme="minorEastAsia" w:eastAsiaTheme="minorEastAsia"/>
          <w:color w:val="auto"/>
          <w:szCs w:val="21"/>
          <w:highlight w:val="none"/>
        </w:rPr>
        <w:instrText xml:space="preserve"> TOC \o "1-1" \h \z \u </w:instrText>
      </w:r>
      <w:r>
        <w:rPr>
          <w:rFonts w:asciiTheme="minorEastAsia" w:hAnsiTheme="minorEastAsia" w:eastAsiaTheme="minorEastAsia"/>
          <w:color w:val="auto"/>
          <w:szCs w:val="21"/>
          <w:highlight w:val="none"/>
        </w:rPr>
        <w:fldChar w:fldCharType="separate"/>
      </w:r>
      <w:r>
        <w:rPr>
          <w:color w:val="auto"/>
          <w:highlight w:val="none"/>
        </w:rPr>
        <w:fldChar w:fldCharType="begin"/>
      </w:r>
      <w:r>
        <w:rPr>
          <w:color w:val="auto"/>
          <w:highlight w:val="none"/>
        </w:rPr>
        <w:instrText xml:space="preserve"> HYPERLINK \l "_Toc406402981" </w:instrText>
      </w:r>
      <w:r>
        <w:rPr>
          <w:color w:val="auto"/>
          <w:highlight w:val="none"/>
        </w:rPr>
        <w:fldChar w:fldCharType="separate"/>
      </w:r>
      <w:r>
        <w:rPr>
          <w:rStyle w:val="56"/>
          <w:rFonts w:hint="eastAsia" w:asciiTheme="minorEastAsia" w:hAnsiTheme="minorEastAsia" w:eastAsiaTheme="minorEastAsia"/>
          <w:color w:val="auto"/>
          <w:sz w:val="30"/>
          <w:szCs w:val="30"/>
          <w:highlight w:val="none"/>
        </w:rPr>
        <w:t>第一章 公开招标采购公告</w:t>
      </w:r>
      <w:r>
        <w:rPr>
          <w:rFonts w:asciiTheme="minorEastAsia" w:hAnsiTheme="minorEastAsia" w:eastAsiaTheme="minorEastAsia"/>
          <w:color w:val="auto"/>
          <w:sz w:val="30"/>
          <w:szCs w:val="30"/>
          <w:highlight w:val="none"/>
        </w:rPr>
        <w:tab/>
      </w:r>
      <w:r>
        <w:rPr>
          <w:rFonts w:hint="eastAsia" w:asciiTheme="minorEastAsia" w:hAnsiTheme="minorEastAsia" w:eastAsiaTheme="minorEastAsia"/>
          <w:color w:val="auto"/>
          <w:sz w:val="30"/>
          <w:szCs w:val="30"/>
          <w:highlight w:val="none"/>
        </w:rPr>
        <w:t>0</w:t>
      </w:r>
      <w:r>
        <w:rPr>
          <w:rFonts w:asciiTheme="minorEastAsia" w:hAnsiTheme="minorEastAsia" w:eastAsiaTheme="minorEastAsia"/>
          <w:color w:val="auto"/>
          <w:sz w:val="30"/>
          <w:szCs w:val="30"/>
          <w:highlight w:val="none"/>
        </w:rPr>
        <w:t>3</w:t>
      </w:r>
      <w:r>
        <w:rPr>
          <w:rFonts w:asciiTheme="minorEastAsia" w:hAnsiTheme="minorEastAsia" w:eastAsiaTheme="minorEastAsia"/>
          <w:color w:val="auto"/>
          <w:sz w:val="30"/>
          <w:szCs w:val="30"/>
          <w:highlight w:val="none"/>
        </w:rPr>
        <w:fldChar w:fldCharType="end"/>
      </w:r>
    </w:p>
    <w:p>
      <w:pPr>
        <w:pStyle w:val="35"/>
        <w:tabs>
          <w:tab w:val="right" w:leader="dot" w:pos="8834"/>
        </w:tabs>
        <w:spacing w:line="480" w:lineRule="auto"/>
        <w:rPr>
          <w:rFonts w:asciiTheme="minorEastAsia" w:hAnsiTheme="minorEastAsia" w:eastAsiaTheme="minorEastAsia"/>
          <w:color w:val="auto"/>
          <w:sz w:val="30"/>
          <w:szCs w:val="30"/>
          <w:highlight w:val="none"/>
        </w:rPr>
      </w:pPr>
      <w:r>
        <w:rPr>
          <w:color w:val="auto"/>
          <w:highlight w:val="none"/>
        </w:rPr>
        <w:fldChar w:fldCharType="begin"/>
      </w:r>
      <w:r>
        <w:rPr>
          <w:color w:val="auto"/>
          <w:highlight w:val="none"/>
        </w:rPr>
        <w:instrText xml:space="preserve"> HYPERLINK \l "_Toc406402982" </w:instrText>
      </w:r>
      <w:r>
        <w:rPr>
          <w:color w:val="auto"/>
          <w:highlight w:val="none"/>
        </w:rPr>
        <w:fldChar w:fldCharType="separate"/>
      </w:r>
      <w:r>
        <w:rPr>
          <w:rStyle w:val="56"/>
          <w:rFonts w:hint="eastAsia" w:asciiTheme="minorEastAsia" w:hAnsiTheme="minorEastAsia" w:eastAsiaTheme="minorEastAsia"/>
          <w:color w:val="auto"/>
          <w:sz w:val="30"/>
          <w:szCs w:val="30"/>
          <w:highlight w:val="none"/>
        </w:rPr>
        <w:t>第二章 招标需求</w:t>
      </w:r>
      <w:r>
        <w:rPr>
          <w:rFonts w:asciiTheme="minorEastAsia" w:hAnsiTheme="minorEastAsia" w:eastAsiaTheme="minorEastAsia"/>
          <w:color w:val="auto"/>
          <w:sz w:val="30"/>
          <w:szCs w:val="30"/>
          <w:highlight w:val="none"/>
        </w:rPr>
        <w:tab/>
      </w:r>
      <w:r>
        <w:rPr>
          <w:rFonts w:hint="eastAsia" w:asciiTheme="minorEastAsia" w:hAnsiTheme="minorEastAsia" w:eastAsiaTheme="minorEastAsia"/>
          <w:color w:val="auto"/>
          <w:sz w:val="30"/>
          <w:szCs w:val="30"/>
          <w:highlight w:val="none"/>
        </w:rPr>
        <w:t>07</w:t>
      </w:r>
      <w:r>
        <w:rPr>
          <w:rFonts w:hint="eastAsia" w:asciiTheme="minorEastAsia" w:hAnsiTheme="minorEastAsia" w:eastAsiaTheme="minorEastAsia"/>
          <w:color w:val="auto"/>
          <w:sz w:val="30"/>
          <w:szCs w:val="30"/>
          <w:highlight w:val="none"/>
        </w:rPr>
        <w:fldChar w:fldCharType="end"/>
      </w:r>
    </w:p>
    <w:p>
      <w:pPr>
        <w:pStyle w:val="35"/>
        <w:tabs>
          <w:tab w:val="right" w:leader="dot" w:pos="8834"/>
        </w:tabs>
        <w:spacing w:line="480" w:lineRule="auto"/>
        <w:rPr>
          <w:rFonts w:asciiTheme="minorEastAsia" w:hAnsiTheme="minorEastAsia" w:eastAsiaTheme="minorEastAsia"/>
          <w:color w:val="auto"/>
          <w:sz w:val="30"/>
          <w:szCs w:val="30"/>
          <w:highlight w:val="none"/>
        </w:rPr>
      </w:pPr>
      <w:r>
        <w:rPr>
          <w:color w:val="auto"/>
          <w:highlight w:val="none"/>
        </w:rPr>
        <w:fldChar w:fldCharType="begin"/>
      </w:r>
      <w:r>
        <w:rPr>
          <w:color w:val="auto"/>
          <w:highlight w:val="none"/>
        </w:rPr>
        <w:instrText xml:space="preserve"> HYPERLINK \l "_Toc406402986" </w:instrText>
      </w:r>
      <w:r>
        <w:rPr>
          <w:color w:val="auto"/>
          <w:highlight w:val="none"/>
        </w:rPr>
        <w:fldChar w:fldCharType="separate"/>
      </w:r>
      <w:r>
        <w:rPr>
          <w:rStyle w:val="56"/>
          <w:rFonts w:hint="eastAsia" w:asciiTheme="minorEastAsia" w:hAnsiTheme="minorEastAsia" w:eastAsiaTheme="minorEastAsia"/>
          <w:color w:val="auto"/>
          <w:sz w:val="30"/>
          <w:szCs w:val="30"/>
          <w:highlight w:val="none"/>
        </w:rPr>
        <w:t>第三章 供应商须知</w:t>
      </w:r>
      <w:r>
        <w:rPr>
          <w:rFonts w:asciiTheme="minorEastAsia" w:hAnsiTheme="minorEastAsia" w:eastAsiaTheme="minorEastAsia"/>
          <w:color w:val="auto"/>
          <w:sz w:val="30"/>
          <w:szCs w:val="30"/>
          <w:highlight w:val="none"/>
        </w:rPr>
        <w:tab/>
      </w:r>
      <w:r>
        <w:rPr>
          <w:rFonts w:hint="eastAsia" w:asciiTheme="minorEastAsia" w:hAnsiTheme="minorEastAsia" w:eastAsiaTheme="minorEastAsia"/>
          <w:color w:val="auto"/>
          <w:sz w:val="30"/>
          <w:szCs w:val="30"/>
          <w:highlight w:val="none"/>
        </w:rPr>
        <w:t>18</w:t>
      </w:r>
      <w:r>
        <w:rPr>
          <w:rFonts w:hint="eastAsia" w:asciiTheme="minorEastAsia" w:hAnsiTheme="minorEastAsia" w:eastAsiaTheme="minorEastAsia"/>
          <w:color w:val="auto"/>
          <w:sz w:val="30"/>
          <w:szCs w:val="30"/>
          <w:highlight w:val="none"/>
        </w:rPr>
        <w:fldChar w:fldCharType="end"/>
      </w:r>
    </w:p>
    <w:p>
      <w:pPr>
        <w:pStyle w:val="35"/>
        <w:tabs>
          <w:tab w:val="right" w:leader="dot" w:pos="8834"/>
        </w:tabs>
        <w:spacing w:line="480" w:lineRule="auto"/>
        <w:rPr>
          <w:rFonts w:asciiTheme="minorEastAsia" w:hAnsiTheme="minorEastAsia" w:eastAsiaTheme="minorEastAsia"/>
          <w:color w:val="auto"/>
          <w:sz w:val="30"/>
          <w:szCs w:val="30"/>
          <w:highlight w:val="none"/>
        </w:rPr>
      </w:pPr>
      <w:r>
        <w:rPr>
          <w:color w:val="auto"/>
          <w:highlight w:val="none"/>
        </w:rPr>
        <w:fldChar w:fldCharType="begin"/>
      </w:r>
      <w:r>
        <w:rPr>
          <w:color w:val="auto"/>
          <w:highlight w:val="none"/>
        </w:rPr>
        <w:instrText xml:space="preserve"> HYPERLINK \l "_Toc406402996" </w:instrText>
      </w:r>
      <w:r>
        <w:rPr>
          <w:color w:val="auto"/>
          <w:highlight w:val="none"/>
        </w:rPr>
        <w:fldChar w:fldCharType="separate"/>
      </w:r>
      <w:r>
        <w:rPr>
          <w:rStyle w:val="56"/>
          <w:rFonts w:hint="eastAsia" w:asciiTheme="minorEastAsia" w:hAnsiTheme="minorEastAsia" w:eastAsiaTheme="minorEastAsia"/>
          <w:color w:val="auto"/>
          <w:sz w:val="30"/>
          <w:szCs w:val="30"/>
          <w:highlight w:val="none"/>
        </w:rPr>
        <w:t>第四章 评标办法及评分标准</w:t>
      </w:r>
      <w:r>
        <w:rPr>
          <w:rFonts w:asciiTheme="minorEastAsia" w:hAnsiTheme="minorEastAsia" w:eastAsiaTheme="minorEastAsia"/>
          <w:color w:val="auto"/>
          <w:sz w:val="30"/>
          <w:szCs w:val="30"/>
          <w:highlight w:val="none"/>
        </w:rPr>
        <w:tab/>
      </w:r>
      <w:r>
        <w:rPr>
          <w:rFonts w:hint="eastAsia" w:asciiTheme="minorEastAsia" w:hAnsiTheme="minorEastAsia" w:eastAsiaTheme="minorEastAsia"/>
          <w:color w:val="auto"/>
          <w:sz w:val="30"/>
          <w:szCs w:val="30"/>
          <w:highlight w:val="none"/>
        </w:rPr>
        <w:t>29</w:t>
      </w:r>
      <w:r>
        <w:rPr>
          <w:rFonts w:hint="eastAsia" w:asciiTheme="minorEastAsia" w:hAnsiTheme="minorEastAsia" w:eastAsiaTheme="minorEastAsia"/>
          <w:color w:val="auto"/>
          <w:sz w:val="30"/>
          <w:szCs w:val="30"/>
          <w:highlight w:val="none"/>
        </w:rPr>
        <w:fldChar w:fldCharType="end"/>
      </w:r>
    </w:p>
    <w:p>
      <w:pPr>
        <w:pStyle w:val="35"/>
        <w:tabs>
          <w:tab w:val="right" w:leader="dot" w:pos="8834"/>
        </w:tabs>
        <w:spacing w:line="480" w:lineRule="auto"/>
        <w:rPr>
          <w:rFonts w:asciiTheme="minorEastAsia" w:hAnsiTheme="minorEastAsia" w:eastAsiaTheme="minorEastAsia"/>
          <w:color w:val="auto"/>
          <w:sz w:val="30"/>
          <w:szCs w:val="30"/>
          <w:highlight w:val="none"/>
        </w:rPr>
      </w:pPr>
      <w:r>
        <w:rPr>
          <w:color w:val="auto"/>
          <w:highlight w:val="none"/>
        </w:rPr>
        <w:fldChar w:fldCharType="begin"/>
      </w:r>
      <w:r>
        <w:rPr>
          <w:color w:val="auto"/>
          <w:highlight w:val="none"/>
        </w:rPr>
        <w:instrText xml:space="preserve"> HYPERLINK \l "_Toc406402998" </w:instrText>
      </w:r>
      <w:r>
        <w:rPr>
          <w:color w:val="auto"/>
          <w:highlight w:val="none"/>
        </w:rPr>
        <w:fldChar w:fldCharType="separate"/>
      </w:r>
      <w:r>
        <w:rPr>
          <w:rStyle w:val="56"/>
          <w:rFonts w:hint="eastAsia" w:asciiTheme="minorEastAsia" w:hAnsiTheme="minorEastAsia" w:eastAsiaTheme="minorEastAsia"/>
          <w:color w:val="auto"/>
          <w:sz w:val="30"/>
          <w:szCs w:val="30"/>
          <w:highlight w:val="none"/>
        </w:rPr>
        <w:t>第五章 嘉兴市政府采购合同（指引）</w:t>
      </w:r>
      <w:r>
        <w:rPr>
          <w:rFonts w:asciiTheme="minorEastAsia" w:hAnsiTheme="minorEastAsia" w:eastAsiaTheme="minorEastAsia"/>
          <w:color w:val="auto"/>
          <w:sz w:val="30"/>
          <w:szCs w:val="30"/>
          <w:highlight w:val="none"/>
        </w:rPr>
        <w:tab/>
      </w:r>
      <w:r>
        <w:rPr>
          <w:rFonts w:hint="eastAsia" w:asciiTheme="minorEastAsia" w:hAnsiTheme="minorEastAsia" w:eastAsiaTheme="minorEastAsia"/>
          <w:color w:val="auto"/>
          <w:sz w:val="30"/>
          <w:szCs w:val="30"/>
          <w:highlight w:val="none"/>
        </w:rPr>
        <w:t>33</w:t>
      </w:r>
      <w:r>
        <w:rPr>
          <w:rFonts w:hint="eastAsia" w:asciiTheme="minorEastAsia" w:hAnsiTheme="minorEastAsia" w:eastAsiaTheme="minorEastAsia"/>
          <w:color w:val="auto"/>
          <w:sz w:val="30"/>
          <w:szCs w:val="30"/>
          <w:highlight w:val="none"/>
        </w:rPr>
        <w:fldChar w:fldCharType="end"/>
      </w:r>
    </w:p>
    <w:p>
      <w:pPr>
        <w:pStyle w:val="35"/>
        <w:tabs>
          <w:tab w:val="right" w:leader="dot" w:pos="8834"/>
        </w:tabs>
        <w:spacing w:line="480" w:lineRule="auto"/>
        <w:rPr>
          <w:rFonts w:asciiTheme="minorEastAsia" w:hAnsiTheme="minorEastAsia" w:eastAsiaTheme="minorEastAsia"/>
          <w:color w:val="auto"/>
          <w:sz w:val="30"/>
          <w:szCs w:val="30"/>
          <w:highlight w:val="none"/>
        </w:rPr>
      </w:pPr>
      <w:r>
        <w:rPr>
          <w:color w:val="auto"/>
          <w:highlight w:val="none"/>
        </w:rPr>
        <w:fldChar w:fldCharType="begin"/>
      </w:r>
      <w:r>
        <w:rPr>
          <w:color w:val="auto"/>
          <w:highlight w:val="none"/>
        </w:rPr>
        <w:instrText xml:space="preserve"> HYPERLINK \l "_Toc406403000" </w:instrText>
      </w:r>
      <w:r>
        <w:rPr>
          <w:color w:val="auto"/>
          <w:highlight w:val="none"/>
        </w:rPr>
        <w:fldChar w:fldCharType="separate"/>
      </w:r>
      <w:r>
        <w:rPr>
          <w:rStyle w:val="56"/>
          <w:rFonts w:hint="eastAsia" w:asciiTheme="minorEastAsia" w:hAnsiTheme="minorEastAsia" w:eastAsiaTheme="minorEastAsia"/>
          <w:color w:val="auto"/>
          <w:sz w:val="30"/>
          <w:szCs w:val="30"/>
          <w:highlight w:val="none"/>
        </w:rPr>
        <w:t>第六章　投标文件格式</w:t>
      </w:r>
      <w:r>
        <w:rPr>
          <w:rFonts w:asciiTheme="minorEastAsia" w:hAnsiTheme="minorEastAsia" w:eastAsiaTheme="minorEastAsia"/>
          <w:color w:val="auto"/>
          <w:sz w:val="30"/>
          <w:szCs w:val="30"/>
          <w:highlight w:val="none"/>
        </w:rPr>
        <w:tab/>
      </w:r>
      <w:r>
        <w:rPr>
          <w:rFonts w:hint="eastAsia" w:asciiTheme="minorEastAsia" w:hAnsiTheme="minorEastAsia" w:eastAsiaTheme="minorEastAsia"/>
          <w:color w:val="auto"/>
          <w:sz w:val="30"/>
          <w:szCs w:val="30"/>
          <w:highlight w:val="none"/>
        </w:rPr>
        <w:t>36</w:t>
      </w:r>
      <w:r>
        <w:rPr>
          <w:rFonts w:hint="eastAsia" w:asciiTheme="minorEastAsia" w:hAnsiTheme="minorEastAsia" w:eastAsiaTheme="minorEastAsia"/>
          <w:color w:val="auto"/>
          <w:sz w:val="30"/>
          <w:szCs w:val="30"/>
          <w:highlight w:val="none"/>
        </w:rPr>
        <w:fldChar w:fldCharType="end"/>
      </w:r>
    </w:p>
    <w:p>
      <w:pPr>
        <w:pStyle w:val="35"/>
        <w:tabs>
          <w:tab w:val="right" w:leader="dot" w:pos="8834"/>
        </w:tabs>
        <w:spacing w:line="360" w:lineRule="auto"/>
        <w:rPr>
          <w:rFonts w:asciiTheme="minorEastAsia" w:hAnsiTheme="minorEastAsia" w:eastAsiaTheme="minorEastAsia"/>
          <w:color w:val="auto"/>
          <w:szCs w:val="21"/>
          <w:highlight w:val="none"/>
        </w:rPr>
      </w:pPr>
    </w:p>
    <w:p>
      <w:pPr>
        <w:pStyle w:val="28"/>
        <w:spacing w:beforeLines="0" w:afterLines="0" w:line="360" w:lineRule="auto"/>
        <w:jc w:val="center"/>
        <w:rPr>
          <w:rFonts w:asciiTheme="minorEastAsia" w:hAnsiTheme="minorEastAsia" w:eastAsiaTheme="minorEastAsia"/>
          <w:b/>
          <w:color w:val="auto"/>
          <w:sz w:val="21"/>
          <w:szCs w:val="21"/>
          <w:highlight w:val="none"/>
        </w:rPr>
      </w:pPr>
      <w:r>
        <w:rPr>
          <w:rFonts w:asciiTheme="minorEastAsia" w:hAnsiTheme="minorEastAsia" w:eastAsiaTheme="minorEastAsia"/>
          <w:color w:val="auto"/>
          <w:sz w:val="21"/>
          <w:szCs w:val="21"/>
          <w:highlight w:val="none"/>
        </w:rPr>
        <w:fldChar w:fldCharType="end"/>
      </w:r>
    </w:p>
    <w:p>
      <w:pPr>
        <w:pStyle w:val="28"/>
        <w:spacing w:beforeLines="0" w:afterLines="0" w:line="360" w:lineRule="auto"/>
        <w:jc w:val="center"/>
        <w:rPr>
          <w:rFonts w:asciiTheme="minorEastAsia" w:hAnsiTheme="minorEastAsia" w:eastAsiaTheme="minorEastAsia"/>
          <w:b/>
          <w:color w:val="auto"/>
          <w:sz w:val="21"/>
          <w:szCs w:val="21"/>
          <w:highlight w:val="none"/>
        </w:rPr>
      </w:pPr>
    </w:p>
    <w:p>
      <w:pPr>
        <w:pStyle w:val="28"/>
        <w:spacing w:beforeLines="0" w:afterLines="0" w:line="360" w:lineRule="auto"/>
        <w:jc w:val="center"/>
        <w:rPr>
          <w:rFonts w:asciiTheme="minorEastAsia" w:hAnsiTheme="minorEastAsia" w:eastAsiaTheme="minorEastAsia"/>
          <w:b/>
          <w:color w:val="auto"/>
          <w:sz w:val="21"/>
          <w:szCs w:val="21"/>
          <w:highlight w:val="none"/>
        </w:rPr>
      </w:pPr>
    </w:p>
    <w:p>
      <w:pPr>
        <w:pStyle w:val="28"/>
        <w:spacing w:beforeLines="0" w:afterLines="0" w:line="360" w:lineRule="auto"/>
        <w:jc w:val="center"/>
        <w:rPr>
          <w:rFonts w:asciiTheme="minorEastAsia" w:hAnsiTheme="minorEastAsia" w:eastAsiaTheme="minorEastAsia"/>
          <w:b/>
          <w:color w:val="auto"/>
          <w:sz w:val="21"/>
          <w:szCs w:val="21"/>
          <w:highlight w:val="none"/>
        </w:rPr>
      </w:pPr>
    </w:p>
    <w:p>
      <w:pPr>
        <w:pStyle w:val="28"/>
        <w:spacing w:beforeLines="0" w:afterLines="0" w:line="360" w:lineRule="auto"/>
        <w:jc w:val="center"/>
        <w:rPr>
          <w:rFonts w:asciiTheme="minorEastAsia" w:hAnsiTheme="minorEastAsia" w:eastAsiaTheme="minorEastAsia"/>
          <w:b/>
          <w:color w:val="auto"/>
          <w:sz w:val="21"/>
          <w:szCs w:val="21"/>
          <w:highlight w:val="none"/>
        </w:rPr>
      </w:pPr>
    </w:p>
    <w:p>
      <w:pPr>
        <w:pStyle w:val="28"/>
        <w:spacing w:beforeLines="0" w:afterLines="0" w:line="360" w:lineRule="auto"/>
        <w:jc w:val="center"/>
        <w:rPr>
          <w:rFonts w:asciiTheme="minorEastAsia" w:hAnsiTheme="minorEastAsia" w:eastAsiaTheme="minorEastAsia"/>
          <w:b/>
          <w:color w:val="auto"/>
          <w:sz w:val="21"/>
          <w:szCs w:val="21"/>
          <w:highlight w:val="none"/>
        </w:rPr>
      </w:pPr>
    </w:p>
    <w:p>
      <w:pPr>
        <w:pStyle w:val="28"/>
        <w:spacing w:beforeLines="0" w:afterLines="0" w:line="360" w:lineRule="auto"/>
        <w:jc w:val="center"/>
        <w:rPr>
          <w:rFonts w:asciiTheme="minorEastAsia" w:hAnsiTheme="minorEastAsia" w:eastAsiaTheme="minorEastAsia"/>
          <w:b/>
          <w:color w:val="auto"/>
          <w:sz w:val="21"/>
          <w:szCs w:val="21"/>
          <w:highlight w:val="none"/>
        </w:rPr>
      </w:pPr>
    </w:p>
    <w:p>
      <w:pPr>
        <w:pStyle w:val="28"/>
        <w:spacing w:beforeLines="0" w:afterLines="0" w:line="360" w:lineRule="auto"/>
        <w:jc w:val="center"/>
        <w:rPr>
          <w:rFonts w:asciiTheme="minorEastAsia" w:hAnsiTheme="minorEastAsia" w:eastAsiaTheme="minorEastAsia"/>
          <w:b/>
          <w:color w:val="auto"/>
          <w:sz w:val="21"/>
          <w:szCs w:val="21"/>
          <w:highlight w:val="none"/>
        </w:rPr>
      </w:pPr>
    </w:p>
    <w:p>
      <w:pPr>
        <w:pStyle w:val="28"/>
        <w:spacing w:beforeLines="0" w:afterLines="0" w:line="360" w:lineRule="auto"/>
        <w:jc w:val="center"/>
        <w:rPr>
          <w:rFonts w:asciiTheme="minorEastAsia" w:hAnsiTheme="minorEastAsia" w:eastAsiaTheme="minorEastAsia"/>
          <w:b/>
          <w:color w:val="auto"/>
          <w:sz w:val="21"/>
          <w:szCs w:val="21"/>
          <w:highlight w:val="none"/>
        </w:rPr>
      </w:pPr>
    </w:p>
    <w:p>
      <w:pPr>
        <w:pStyle w:val="28"/>
        <w:spacing w:beforeLines="0" w:afterLines="0" w:line="360" w:lineRule="auto"/>
        <w:jc w:val="center"/>
        <w:rPr>
          <w:rFonts w:asciiTheme="minorEastAsia" w:hAnsiTheme="minorEastAsia" w:eastAsiaTheme="minorEastAsia"/>
          <w:b/>
          <w:color w:val="auto"/>
          <w:sz w:val="21"/>
          <w:szCs w:val="21"/>
          <w:highlight w:val="none"/>
        </w:rPr>
      </w:pPr>
    </w:p>
    <w:p>
      <w:pPr>
        <w:pStyle w:val="28"/>
        <w:spacing w:beforeLines="0" w:afterLines="0" w:line="360" w:lineRule="auto"/>
        <w:jc w:val="center"/>
        <w:rPr>
          <w:rFonts w:asciiTheme="minorEastAsia" w:hAnsiTheme="minorEastAsia" w:eastAsiaTheme="minorEastAsia"/>
          <w:b/>
          <w:color w:val="auto"/>
          <w:sz w:val="21"/>
          <w:szCs w:val="21"/>
          <w:highlight w:val="none"/>
        </w:rPr>
      </w:pPr>
    </w:p>
    <w:p>
      <w:pPr>
        <w:pStyle w:val="28"/>
        <w:spacing w:beforeLines="0" w:afterLines="0" w:line="360" w:lineRule="auto"/>
        <w:jc w:val="center"/>
        <w:rPr>
          <w:rFonts w:asciiTheme="minorEastAsia" w:hAnsiTheme="minorEastAsia" w:eastAsiaTheme="minorEastAsia"/>
          <w:b/>
          <w:color w:val="auto"/>
          <w:sz w:val="21"/>
          <w:szCs w:val="21"/>
          <w:highlight w:val="none"/>
        </w:rPr>
      </w:pPr>
    </w:p>
    <w:p>
      <w:pPr>
        <w:snapToGrid w:val="0"/>
        <w:spacing w:beforeLines="50" w:afterLines="50" w:line="360" w:lineRule="auto"/>
        <w:ind w:left="238"/>
        <w:jc w:val="center"/>
        <w:outlineLvl w:val="1"/>
        <w:rPr>
          <w:rFonts w:asciiTheme="minorEastAsia" w:hAnsiTheme="minorEastAsia" w:eastAsiaTheme="minorEastAsia"/>
          <w:b/>
          <w:color w:val="auto"/>
          <w:sz w:val="30"/>
          <w:szCs w:val="30"/>
          <w:highlight w:val="none"/>
        </w:rPr>
      </w:pPr>
    </w:p>
    <w:p>
      <w:pPr>
        <w:snapToGrid w:val="0"/>
        <w:spacing w:beforeLines="50" w:afterLines="50" w:line="360" w:lineRule="auto"/>
        <w:ind w:left="238"/>
        <w:jc w:val="center"/>
        <w:outlineLvl w:val="1"/>
        <w:rPr>
          <w:rFonts w:asciiTheme="minorEastAsia" w:hAnsiTheme="minorEastAsia" w:eastAsiaTheme="minorEastAsia"/>
          <w:b/>
          <w:color w:val="auto"/>
          <w:sz w:val="30"/>
          <w:szCs w:val="30"/>
          <w:highlight w:val="none"/>
        </w:rPr>
      </w:pPr>
    </w:p>
    <w:p>
      <w:pPr>
        <w:snapToGrid w:val="0"/>
        <w:spacing w:beforeLines="50" w:afterLines="50" w:line="360" w:lineRule="auto"/>
        <w:ind w:left="238"/>
        <w:jc w:val="center"/>
        <w:outlineLvl w:val="1"/>
        <w:rPr>
          <w:rFonts w:asciiTheme="minorEastAsia" w:hAnsiTheme="minorEastAsia" w:eastAsiaTheme="minorEastAsia"/>
          <w:b/>
          <w:color w:val="auto"/>
          <w:sz w:val="30"/>
          <w:szCs w:val="30"/>
          <w:highlight w:val="none"/>
        </w:rPr>
      </w:pPr>
    </w:p>
    <w:p>
      <w:pPr>
        <w:snapToGrid w:val="0"/>
        <w:spacing w:beforeLines="50" w:afterLines="50" w:line="360" w:lineRule="auto"/>
        <w:ind w:left="238"/>
        <w:jc w:val="center"/>
        <w:outlineLvl w:val="1"/>
        <w:rPr>
          <w:rFonts w:asciiTheme="minorEastAsia" w:hAnsiTheme="minorEastAsia" w:eastAsiaTheme="minorEastAsia"/>
          <w:b/>
          <w:color w:val="auto"/>
          <w:sz w:val="30"/>
          <w:szCs w:val="30"/>
          <w:highlight w:val="none"/>
        </w:rPr>
      </w:pPr>
    </w:p>
    <w:p>
      <w:pPr>
        <w:pStyle w:val="48"/>
        <w:ind w:firstLine="404"/>
        <w:rPr>
          <w:color w:val="auto"/>
          <w:highlight w:val="none"/>
        </w:rPr>
      </w:pPr>
    </w:p>
    <w:p>
      <w:pPr>
        <w:snapToGrid w:val="0"/>
        <w:spacing w:beforeLines="50" w:afterLines="50" w:line="360" w:lineRule="auto"/>
        <w:ind w:left="238"/>
        <w:jc w:val="center"/>
        <w:outlineLvl w:val="1"/>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第一章 公开招标采购公告</w:t>
      </w:r>
    </w:p>
    <w:p>
      <w:pPr>
        <w:pStyle w:val="244"/>
        <w:spacing w:afterLines="0" w:line="360" w:lineRule="auto"/>
        <w:ind w:firstLine="42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根据《中华人民共和国政府采购法》、</w:t>
      </w: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中华人民共和国政府采购法实施条例</w:t>
      </w:r>
      <w:r>
        <w:rPr>
          <w:rFonts w:hint="eastAsia" w:asciiTheme="minorEastAsia" w:hAnsiTheme="minorEastAsia" w:eastAsiaTheme="minorEastAsia"/>
          <w:color w:val="auto"/>
          <w:sz w:val="21"/>
          <w:szCs w:val="21"/>
          <w:highlight w:val="none"/>
        </w:rPr>
        <w:t>》和</w:t>
      </w:r>
      <w:r>
        <w:rPr>
          <w:rFonts w:asciiTheme="minorEastAsia" w:hAnsiTheme="minorEastAsia" w:eastAsiaTheme="minorEastAsia"/>
          <w:color w:val="auto"/>
          <w:sz w:val="21"/>
          <w:szCs w:val="21"/>
          <w:highlight w:val="none"/>
        </w:rPr>
        <w:t>《政府采购货物和服务招标投标管理办法》</w:t>
      </w:r>
      <w:r>
        <w:rPr>
          <w:rFonts w:hint="eastAsia" w:asciiTheme="minorEastAsia" w:hAnsiTheme="minorEastAsia" w:eastAsiaTheme="minorEastAsia"/>
          <w:color w:val="auto"/>
          <w:sz w:val="21"/>
          <w:szCs w:val="21"/>
          <w:highlight w:val="none"/>
        </w:rPr>
        <w:t>、《浙江省</w:t>
      </w:r>
      <w:r>
        <w:rPr>
          <w:rFonts w:asciiTheme="minorEastAsia" w:hAnsiTheme="minorEastAsia" w:eastAsiaTheme="minorEastAsia"/>
          <w:color w:val="auto"/>
          <w:sz w:val="21"/>
          <w:szCs w:val="21"/>
          <w:highlight w:val="none"/>
        </w:rPr>
        <w:t>政府采购项目电子交易管理暂行办法</w:t>
      </w: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等规定</w:t>
      </w:r>
      <w:r>
        <w:rPr>
          <w:rFonts w:hint="eastAsia" w:asciiTheme="minorEastAsia" w:hAnsiTheme="minorEastAsia" w:eastAsiaTheme="minorEastAsia"/>
          <w:color w:val="auto"/>
          <w:sz w:val="21"/>
          <w:szCs w:val="21"/>
          <w:highlight w:val="none"/>
        </w:rPr>
        <w:t>，嘉兴市银建工程咨询评估有限公司受采购人委托，经</w:t>
      </w:r>
      <w:r>
        <w:rPr>
          <w:rFonts w:hint="eastAsia" w:asciiTheme="minorEastAsia" w:hAnsiTheme="minorEastAsia" w:eastAsiaTheme="minorEastAsia"/>
          <w:color w:val="auto"/>
          <w:sz w:val="21"/>
          <w:szCs w:val="21"/>
          <w:highlight w:val="none"/>
          <w:u w:val="single"/>
          <w:lang w:eastAsia="zh-CN"/>
        </w:rPr>
        <w:t>嘉兴市秀洲区财政局临[2022]194号</w:t>
      </w:r>
      <w:r>
        <w:rPr>
          <w:rFonts w:hint="eastAsia" w:asciiTheme="minorEastAsia" w:hAnsiTheme="minorEastAsia" w:eastAsiaTheme="minorEastAsia"/>
          <w:color w:val="auto"/>
          <w:sz w:val="21"/>
          <w:szCs w:val="21"/>
          <w:highlight w:val="none"/>
        </w:rPr>
        <w:t>确认书批准，现就下列项目</w:t>
      </w:r>
      <w:r>
        <w:rPr>
          <w:rFonts w:asciiTheme="minorEastAsia" w:hAnsiTheme="minorEastAsia" w:eastAsiaTheme="minorEastAsia"/>
          <w:color w:val="auto"/>
          <w:sz w:val="21"/>
          <w:szCs w:val="21"/>
          <w:highlight w:val="none"/>
        </w:rPr>
        <w:t>进行</w:t>
      </w:r>
      <w:r>
        <w:rPr>
          <w:rFonts w:asciiTheme="minorEastAsia" w:hAnsiTheme="minorEastAsia" w:eastAsiaTheme="minorEastAsia"/>
          <w:color w:val="auto"/>
          <w:sz w:val="21"/>
          <w:szCs w:val="21"/>
          <w:highlight w:val="none"/>
          <w:u w:val="single"/>
        </w:rPr>
        <w:t>公开招标</w:t>
      </w:r>
      <w:r>
        <w:rPr>
          <w:rFonts w:asciiTheme="minorEastAsia" w:hAnsiTheme="minorEastAsia" w:eastAsiaTheme="minorEastAsia"/>
          <w:color w:val="auto"/>
          <w:sz w:val="21"/>
          <w:szCs w:val="21"/>
          <w:highlight w:val="none"/>
        </w:rPr>
        <w:t>采购，</w:t>
      </w:r>
      <w:r>
        <w:rPr>
          <w:rFonts w:hint="eastAsia" w:asciiTheme="minorEastAsia" w:hAnsiTheme="minorEastAsia" w:eastAsiaTheme="minorEastAsia"/>
          <w:color w:val="auto"/>
          <w:sz w:val="21"/>
          <w:szCs w:val="21"/>
          <w:highlight w:val="none"/>
        </w:rPr>
        <w:t>欢迎合格供应商前来投标，现将有关事项公告如下：</w:t>
      </w:r>
    </w:p>
    <w:p>
      <w:pPr>
        <w:snapToGrid w:val="0"/>
        <w:spacing w:line="360" w:lineRule="auto"/>
        <w:rPr>
          <w:rFonts w:hint="eastAsia" w:cs="Arial" w:asciiTheme="minorEastAsia" w:hAnsiTheme="minorEastAsia" w:eastAsiaTheme="minorEastAsia"/>
          <w:color w:val="auto"/>
          <w:szCs w:val="21"/>
          <w:highlight w:val="none"/>
          <w:lang w:eastAsia="zh-CN"/>
        </w:rPr>
      </w:pPr>
      <w:r>
        <w:rPr>
          <w:rFonts w:hint="eastAsia" w:cs="Arial" w:asciiTheme="minorEastAsia" w:hAnsiTheme="minorEastAsia" w:eastAsiaTheme="minorEastAsia"/>
          <w:color w:val="auto"/>
          <w:szCs w:val="21"/>
          <w:highlight w:val="none"/>
        </w:rPr>
        <w:t>一、</w:t>
      </w:r>
      <w:r>
        <w:rPr>
          <w:rFonts w:hint="eastAsia" w:cs="Arial" w:asciiTheme="minorEastAsia" w:hAnsiTheme="minorEastAsia" w:eastAsiaTheme="minorEastAsia"/>
          <w:b/>
          <w:bCs/>
          <w:color w:val="auto"/>
          <w:szCs w:val="21"/>
          <w:highlight w:val="none"/>
        </w:rPr>
        <w:t>项目编号：</w:t>
      </w:r>
      <w:r>
        <w:rPr>
          <w:rFonts w:hint="eastAsia" w:cs="Arial" w:asciiTheme="minorEastAsia" w:hAnsiTheme="minorEastAsia" w:eastAsiaTheme="minorEastAsia"/>
          <w:color w:val="auto"/>
          <w:szCs w:val="21"/>
          <w:highlight w:val="none"/>
          <w:lang w:eastAsia="zh-CN"/>
        </w:rPr>
        <w:t>银建-JXYJ-L（2022）15号</w:t>
      </w:r>
    </w:p>
    <w:p>
      <w:pPr>
        <w:snapToGrid w:val="0"/>
        <w:spacing w:line="360" w:lineRule="auto"/>
        <w:rPr>
          <w:rFonts w:cs="Arial" w:asciiTheme="minorEastAsia" w:hAnsiTheme="minorEastAsia" w:eastAsiaTheme="minorEastAsia"/>
          <w:b/>
          <w:color w:val="auto"/>
          <w:szCs w:val="21"/>
          <w:highlight w:val="none"/>
        </w:rPr>
      </w:pPr>
      <w:r>
        <w:rPr>
          <w:rFonts w:hint="eastAsia" w:cs="Arial" w:asciiTheme="minorEastAsia" w:hAnsiTheme="minorEastAsia" w:eastAsiaTheme="minorEastAsia"/>
          <w:color w:val="auto"/>
          <w:szCs w:val="21"/>
          <w:highlight w:val="none"/>
        </w:rPr>
        <w:t>二、</w:t>
      </w:r>
      <w:r>
        <w:rPr>
          <w:rFonts w:hint="eastAsia" w:cs="Arial" w:asciiTheme="minorEastAsia" w:hAnsiTheme="minorEastAsia" w:eastAsiaTheme="minorEastAsia"/>
          <w:b/>
          <w:color w:val="auto"/>
          <w:szCs w:val="21"/>
          <w:highlight w:val="none"/>
        </w:rPr>
        <w:t>采购组织类型：</w:t>
      </w:r>
      <w:r>
        <w:rPr>
          <w:rStyle w:val="52"/>
          <w:rFonts w:hint="eastAsia" w:asciiTheme="minorEastAsia" w:hAnsiTheme="minorEastAsia" w:eastAsiaTheme="minorEastAsia"/>
          <w:b w:val="0"/>
          <w:color w:val="auto"/>
          <w:szCs w:val="21"/>
          <w:highlight w:val="none"/>
        </w:rPr>
        <w:t>分散采购</w:t>
      </w:r>
    </w:p>
    <w:p>
      <w:pPr>
        <w:snapToGrid w:val="0"/>
        <w:spacing w:line="360" w:lineRule="auto"/>
        <w:rPr>
          <w:rFonts w:cs="Arial" w:asciiTheme="minorEastAsia" w:hAnsiTheme="minorEastAsia" w:eastAsiaTheme="minorEastAsia"/>
          <w:color w:val="auto"/>
          <w:szCs w:val="21"/>
          <w:highlight w:val="none"/>
        </w:rPr>
      </w:pPr>
      <w:r>
        <w:rPr>
          <w:rFonts w:hint="eastAsia" w:cs="Arial" w:asciiTheme="minorEastAsia" w:hAnsiTheme="minorEastAsia" w:eastAsiaTheme="minorEastAsia"/>
          <w:b/>
          <w:color w:val="auto"/>
          <w:szCs w:val="21"/>
          <w:highlight w:val="none"/>
        </w:rPr>
        <w:t>三、采购方式：</w:t>
      </w:r>
      <w:r>
        <w:rPr>
          <w:rFonts w:hint="eastAsia" w:cs="Arial" w:asciiTheme="minorEastAsia" w:hAnsiTheme="minorEastAsia" w:eastAsiaTheme="minorEastAsia"/>
          <w:color w:val="auto"/>
          <w:szCs w:val="21"/>
          <w:highlight w:val="none"/>
        </w:rPr>
        <w:t>公开招标</w:t>
      </w:r>
    </w:p>
    <w:p>
      <w:pPr>
        <w:snapToGrid w:val="0"/>
        <w:spacing w:line="360" w:lineRule="auto"/>
        <w:rPr>
          <w:rFonts w:hint="eastAsia" w:cs="Arial" w:asciiTheme="minorEastAsia" w:hAnsiTheme="minorEastAsia" w:eastAsiaTheme="minorEastAsia"/>
          <w:color w:val="auto"/>
          <w:szCs w:val="21"/>
          <w:highlight w:val="none"/>
          <w:lang w:eastAsia="zh-CN"/>
        </w:rPr>
      </w:pPr>
      <w:r>
        <w:rPr>
          <w:rFonts w:hint="eastAsia" w:cs="Arial" w:asciiTheme="minorEastAsia" w:hAnsiTheme="minorEastAsia" w:eastAsiaTheme="minorEastAsia"/>
          <w:b/>
          <w:color w:val="auto"/>
          <w:szCs w:val="21"/>
          <w:highlight w:val="none"/>
        </w:rPr>
        <w:t>四、招标项目:</w:t>
      </w:r>
      <w:r>
        <w:rPr>
          <w:rFonts w:hint="eastAsia" w:cs="Arial" w:asciiTheme="minorEastAsia" w:hAnsiTheme="minorEastAsia" w:eastAsiaTheme="minorEastAsia"/>
          <w:color w:val="auto"/>
          <w:szCs w:val="21"/>
          <w:highlight w:val="none"/>
        </w:rPr>
        <w:t xml:space="preserve"> </w:t>
      </w:r>
      <w:r>
        <w:rPr>
          <w:rFonts w:hint="eastAsia" w:cs="Arial" w:asciiTheme="minorEastAsia" w:hAnsiTheme="minorEastAsia" w:eastAsiaTheme="minorEastAsia"/>
          <w:color w:val="auto"/>
          <w:szCs w:val="21"/>
          <w:highlight w:val="none"/>
          <w:lang w:eastAsia="zh-CN"/>
        </w:rPr>
        <w:t>新城街道市政设施养护项目</w:t>
      </w:r>
    </w:p>
    <w:p>
      <w:pPr>
        <w:snapToGrid w:val="0"/>
        <w:spacing w:line="360" w:lineRule="auto"/>
        <w:rPr>
          <w:rFonts w:cs="Arial" w:asciiTheme="minorEastAsia" w:hAnsiTheme="minorEastAsia" w:eastAsiaTheme="minorEastAsia"/>
          <w:b/>
          <w:color w:val="auto"/>
          <w:szCs w:val="21"/>
          <w:highlight w:val="none"/>
        </w:rPr>
      </w:pPr>
      <w:r>
        <w:rPr>
          <w:rFonts w:hint="eastAsia" w:cs="Arial" w:asciiTheme="minorEastAsia" w:hAnsiTheme="minorEastAsia" w:eastAsiaTheme="minorEastAsia"/>
          <w:b/>
          <w:color w:val="auto"/>
          <w:szCs w:val="21"/>
          <w:highlight w:val="none"/>
        </w:rPr>
        <w:t>五、采购预算：</w:t>
      </w:r>
      <w:r>
        <w:rPr>
          <w:rFonts w:hint="eastAsia" w:cs="Arial" w:asciiTheme="minorEastAsia" w:hAnsiTheme="minorEastAsia" w:eastAsiaTheme="minorEastAsia"/>
          <w:color w:val="auto"/>
          <w:szCs w:val="21"/>
          <w:highlight w:val="none"/>
          <w:lang w:val="en-US" w:eastAsia="zh-CN"/>
        </w:rPr>
        <w:t>1396.8680</w:t>
      </w:r>
      <w:r>
        <w:rPr>
          <w:rFonts w:hint="eastAsia" w:cs="Arial" w:asciiTheme="minorEastAsia" w:hAnsiTheme="minorEastAsia" w:eastAsiaTheme="minorEastAsia"/>
          <w:color w:val="auto"/>
          <w:szCs w:val="21"/>
          <w:highlight w:val="none"/>
        </w:rPr>
        <w:t>万元</w:t>
      </w:r>
    </w:p>
    <w:p>
      <w:pPr>
        <w:spacing w:line="360" w:lineRule="auto"/>
        <w:rPr>
          <w:rFonts w:cs="Arial" w:asciiTheme="minorEastAsia" w:hAnsiTheme="minorEastAsia" w:eastAsiaTheme="minorEastAsia"/>
          <w:b/>
          <w:bCs/>
          <w:color w:val="auto"/>
          <w:szCs w:val="21"/>
          <w:highlight w:val="none"/>
        </w:rPr>
      </w:pPr>
      <w:r>
        <w:rPr>
          <w:rFonts w:hint="eastAsia" w:cs="Arial" w:asciiTheme="minorEastAsia" w:hAnsiTheme="minorEastAsia" w:eastAsiaTheme="minorEastAsia"/>
          <w:b/>
          <w:bCs/>
          <w:color w:val="auto"/>
          <w:szCs w:val="21"/>
          <w:highlight w:val="none"/>
        </w:rPr>
        <w:t>六、招标采购内容：</w:t>
      </w:r>
    </w:p>
    <w:tbl>
      <w:tblPr>
        <w:tblStyle w:val="49"/>
        <w:tblW w:w="10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3"/>
        <w:gridCol w:w="3037"/>
        <w:gridCol w:w="1509"/>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42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项目名称</w:t>
            </w:r>
          </w:p>
        </w:tc>
        <w:tc>
          <w:tcPr>
            <w:tcW w:w="30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服务期</w:t>
            </w:r>
          </w:p>
        </w:tc>
        <w:tc>
          <w:tcPr>
            <w:tcW w:w="1509" w:type="dxa"/>
            <w:tcBorders>
              <w:top w:val="single" w:color="auto" w:sz="4" w:space="0"/>
              <w:left w:val="single" w:color="auto" w:sz="4" w:space="0"/>
              <w:bottom w:val="single" w:color="auto" w:sz="4" w:space="0"/>
              <w:right w:val="single" w:color="auto" w:sz="4" w:space="0"/>
            </w:tcBorders>
            <w:vAlign w:val="top"/>
          </w:tcPr>
          <w:p>
            <w:pPr>
              <w:snapToGrid w:val="0"/>
              <w:spacing w:line="430" w:lineRule="exact"/>
              <w:jc w:val="center"/>
              <w:rPr>
                <w:rFonts w:hint="eastAsia" w:asciiTheme="minorEastAsia" w:hAnsiTheme="minorEastAsia" w:eastAsiaTheme="minorEastAsia"/>
                <w:b/>
                <w:color w:val="auto"/>
                <w:szCs w:val="21"/>
                <w:highlight w:val="none"/>
              </w:rPr>
            </w:pPr>
            <w:r>
              <w:rPr>
                <w:rFonts w:hint="eastAsia" w:ascii="微软雅黑" w:hAnsi="微软雅黑" w:eastAsia="微软雅黑"/>
                <w:b/>
                <w:bCs/>
                <w:color w:val="auto"/>
                <w:szCs w:val="21"/>
                <w:highlight w:val="none"/>
              </w:rPr>
              <w:t>预算价（万元）</w:t>
            </w:r>
          </w:p>
        </w:tc>
        <w:tc>
          <w:tcPr>
            <w:tcW w:w="13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4213" w:type="dxa"/>
            <w:tcBorders>
              <w:top w:val="single" w:color="auto" w:sz="4" w:space="0"/>
              <w:left w:val="single" w:color="auto" w:sz="4" w:space="0"/>
              <w:bottom w:val="single" w:color="auto" w:sz="4" w:space="0"/>
              <w:right w:val="single" w:color="auto" w:sz="4" w:space="0"/>
            </w:tcBorders>
            <w:vAlign w:val="center"/>
          </w:tcPr>
          <w:p>
            <w:pPr>
              <w:spacing w:line="360" w:lineRule="auto"/>
              <w:ind w:right="-107" w:rightChars="-51"/>
              <w:jc w:val="center"/>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color w:val="auto"/>
                <w:szCs w:val="21"/>
                <w:highlight w:val="none"/>
                <w:lang w:eastAsia="zh-CN"/>
              </w:rPr>
              <w:t>新城街道市政设施养护项目</w:t>
            </w:r>
          </w:p>
        </w:tc>
        <w:tc>
          <w:tcPr>
            <w:tcW w:w="30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olor w:val="auto"/>
                <w:szCs w:val="21"/>
                <w:highlight w:val="none"/>
                <w:lang w:val="en-US" w:eastAsia="zh-CN"/>
              </w:rPr>
            </w:pPr>
            <w:r>
              <w:rPr>
                <w:rFonts w:hint="eastAsia" w:asciiTheme="minorEastAsia" w:hAnsiTheme="minorEastAsia" w:eastAsiaTheme="minorEastAsia"/>
                <w:color w:val="auto"/>
                <w:szCs w:val="21"/>
                <w:highlight w:val="none"/>
                <w:lang w:eastAsia="zh-CN"/>
              </w:rPr>
              <w:t>自签订合同之日起一年</w:t>
            </w:r>
          </w:p>
        </w:tc>
        <w:tc>
          <w:tcPr>
            <w:tcW w:w="1509" w:type="dxa"/>
            <w:tcBorders>
              <w:top w:val="single" w:color="auto" w:sz="4" w:space="0"/>
              <w:left w:val="single" w:color="auto" w:sz="4" w:space="0"/>
              <w:bottom w:val="single" w:color="auto" w:sz="4" w:space="0"/>
              <w:right w:val="single" w:color="auto" w:sz="4" w:space="0"/>
            </w:tcBorders>
            <w:vAlign w:val="center"/>
          </w:tcPr>
          <w:p>
            <w:pPr>
              <w:snapToGrid w:val="0"/>
              <w:spacing w:line="430" w:lineRule="exact"/>
              <w:jc w:val="center"/>
              <w:rPr>
                <w:rFonts w:hint="eastAsia" w:asciiTheme="minorEastAsia" w:hAnsiTheme="minorEastAsia" w:eastAsiaTheme="minorEastAsia"/>
                <w:color w:val="auto"/>
                <w:szCs w:val="21"/>
                <w:highlight w:val="none"/>
              </w:rPr>
            </w:pPr>
            <w:r>
              <w:rPr>
                <w:rFonts w:hint="eastAsia" w:ascii="微软雅黑" w:hAnsi="微软雅黑" w:eastAsia="微软雅黑"/>
                <w:color w:val="auto"/>
                <w:szCs w:val="21"/>
                <w:highlight w:val="none"/>
                <w:lang w:val="en-US" w:eastAsia="zh-CN"/>
              </w:rPr>
              <w:t xml:space="preserve">1396.868万 </w:t>
            </w:r>
          </w:p>
        </w:tc>
        <w:tc>
          <w:tcPr>
            <w:tcW w:w="13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具体要求详见招标文件</w:t>
            </w:r>
          </w:p>
        </w:tc>
      </w:tr>
    </w:tbl>
    <w:p>
      <w:pPr>
        <w:spacing w:line="360" w:lineRule="auto"/>
        <w:rPr>
          <w:rFonts w:cs="Arial" w:asciiTheme="minorEastAsia" w:hAnsiTheme="minorEastAsia" w:eastAsiaTheme="minorEastAsia"/>
          <w:b/>
          <w:bCs/>
          <w:color w:val="auto"/>
          <w:szCs w:val="21"/>
          <w:highlight w:val="none"/>
        </w:rPr>
      </w:pPr>
      <w:r>
        <w:rPr>
          <w:rFonts w:hint="eastAsia" w:cs="Arial" w:asciiTheme="minorEastAsia" w:hAnsiTheme="minorEastAsia" w:eastAsiaTheme="minorEastAsia"/>
          <w:b/>
          <w:bCs/>
          <w:color w:val="auto"/>
          <w:szCs w:val="21"/>
          <w:highlight w:val="none"/>
        </w:rPr>
        <w:t>七、合格供应商的资格要求</w:t>
      </w:r>
    </w:p>
    <w:p>
      <w:pPr>
        <w:snapToGrid w:val="0"/>
        <w:spacing w:line="360" w:lineRule="auto"/>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（一）符合政府采购法第二十二条：</w:t>
      </w:r>
    </w:p>
    <w:p>
      <w:pPr>
        <w:snapToGrid w:val="0"/>
        <w:spacing w:line="360" w:lineRule="auto"/>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1.具有独立承担民事责任的能力；</w:t>
      </w:r>
    </w:p>
    <w:p>
      <w:pPr>
        <w:snapToGrid w:val="0"/>
        <w:spacing w:line="360" w:lineRule="auto"/>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2.具有良好的商业信誉和健全的财务会计制度；</w:t>
      </w:r>
    </w:p>
    <w:p>
      <w:pPr>
        <w:snapToGrid w:val="0"/>
        <w:spacing w:line="360" w:lineRule="auto"/>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3.具有履行合同所必需的设备和专业技术能力；</w:t>
      </w:r>
    </w:p>
    <w:p>
      <w:pPr>
        <w:snapToGrid w:val="0"/>
        <w:spacing w:line="360" w:lineRule="auto"/>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4.有依法缴纳税收和社会保障资金的良好记录；</w:t>
      </w:r>
    </w:p>
    <w:p>
      <w:pPr>
        <w:snapToGrid w:val="0"/>
        <w:spacing w:line="360" w:lineRule="auto"/>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5.参加政府采购活动前三年，在经营活动中没有重大违法记录；</w:t>
      </w:r>
    </w:p>
    <w:p>
      <w:pPr>
        <w:snapToGrid w:val="0"/>
        <w:spacing w:line="360" w:lineRule="auto"/>
        <w:rPr>
          <w:rFonts w:cs="Arial" w:asciiTheme="minorEastAsia" w:hAnsiTheme="minorEastAsia" w:eastAsiaTheme="minorEastAsia"/>
          <w:b/>
          <w:color w:val="auto"/>
          <w:szCs w:val="21"/>
          <w:highlight w:val="none"/>
        </w:rPr>
      </w:pPr>
      <w:r>
        <w:rPr>
          <w:rFonts w:hint="eastAsia" w:cs="Arial" w:asciiTheme="minorEastAsia" w:hAnsiTheme="minorEastAsia" w:eastAsiaTheme="minorEastAsia"/>
          <w:color w:val="auto"/>
          <w:szCs w:val="21"/>
          <w:highlight w:val="none"/>
        </w:rPr>
        <w:t>6.法律、行政法规规定的其他条件；</w:t>
      </w:r>
    </w:p>
    <w:p>
      <w:pPr>
        <w:snapToGrid w:val="0"/>
        <w:spacing w:line="360" w:lineRule="auto"/>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二）承诺：符合浙财采监【2013】24号《关于规范政府采购供应商资格设定及资格审查的通知》第六条规定,且未被“信用中国”（www.creditchina.gov.cn）和中国政府采购网（www.ccgp.gov.cn）列入失信被执行人、重大税收违法案件当事人名单、政府采购严重违法失信行为记录名单。（供应商提交投标文件时可提供自招标公告发布之日起至投标截止日内任意时间的“信用中国”网站（www.creditchina.gov.cn）和中国政府采购网（www.ccgp.gov.cn）供应商信用查询网页截图。）</w:t>
      </w:r>
    </w:p>
    <w:p>
      <w:pPr>
        <w:snapToGrid w:val="0"/>
        <w:spacing w:line="360" w:lineRule="auto"/>
        <w:jc w:val="left"/>
        <w:rPr>
          <w:rFonts w:cs="Arial" w:asciiTheme="minorEastAsia" w:hAnsiTheme="minorEastAsia" w:eastAsiaTheme="minorEastAsia"/>
          <w:b/>
          <w:color w:val="auto"/>
          <w:szCs w:val="21"/>
          <w:highlight w:val="none"/>
        </w:rPr>
      </w:pPr>
      <w:r>
        <w:rPr>
          <w:rFonts w:hint="eastAsia"/>
          <w:b/>
          <w:color w:val="auto"/>
          <w:highlight w:val="none"/>
        </w:rPr>
        <w:t>（三）</w:t>
      </w:r>
      <w:r>
        <w:rPr>
          <w:rFonts w:hint="eastAsia" w:cs="Arial" w:asciiTheme="minorEastAsia" w:hAnsiTheme="minorEastAsia" w:eastAsiaTheme="minorEastAsia"/>
          <w:b/>
          <w:color w:val="auto"/>
          <w:szCs w:val="21"/>
          <w:highlight w:val="none"/>
        </w:rPr>
        <w:t>本项目</w:t>
      </w:r>
      <w:r>
        <w:rPr>
          <w:rFonts w:hint="eastAsia" w:cs="Arial" w:asciiTheme="minorEastAsia" w:hAnsiTheme="minorEastAsia" w:eastAsiaTheme="minorEastAsia"/>
          <w:b/>
          <w:color w:val="auto"/>
          <w:szCs w:val="21"/>
          <w:highlight w:val="none"/>
          <w:lang w:eastAsia="zh-CN"/>
        </w:rPr>
        <w:t>不</w:t>
      </w:r>
      <w:r>
        <w:rPr>
          <w:rFonts w:hint="eastAsia" w:cs="Arial" w:asciiTheme="minorEastAsia" w:hAnsiTheme="minorEastAsia" w:eastAsiaTheme="minorEastAsia"/>
          <w:b/>
          <w:color w:val="auto"/>
          <w:szCs w:val="21"/>
          <w:highlight w:val="none"/>
        </w:rPr>
        <w:t>接受联合体投标。</w:t>
      </w:r>
    </w:p>
    <w:p>
      <w:pPr>
        <w:snapToGrid w:val="0"/>
        <w:spacing w:line="360" w:lineRule="auto"/>
        <w:ind w:firstLine="422" w:firstLineChars="200"/>
        <w:rPr>
          <w:rFonts w:cs="Arial" w:asciiTheme="minorEastAsia" w:hAnsiTheme="minorEastAsia" w:eastAsiaTheme="minorEastAsia"/>
          <w:color w:val="auto"/>
          <w:szCs w:val="21"/>
          <w:highlight w:val="none"/>
        </w:rPr>
      </w:pPr>
      <w:r>
        <w:rPr>
          <w:rFonts w:hint="eastAsia" w:cs="宋体" w:asciiTheme="minorEastAsia" w:hAnsiTheme="minorEastAsia" w:eastAsiaTheme="minorEastAsia"/>
          <w:b/>
          <w:color w:val="auto"/>
          <w:szCs w:val="21"/>
          <w:highlight w:val="none"/>
        </w:rPr>
        <w:t>注：本采购项目，中标单位与采购人签订的政府采购合同适用于嘉兴市政府采购贷款政策，简称“政采贷”，具体内容可参阅政府采购贷款流程：</w:t>
      </w:r>
      <w:r>
        <w:rPr>
          <w:rFonts w:cs="宋体" w:asciiTheme="minorEastAsia" w:hAnsiTheme="minorEastAsia" w:eastAsiaTheme="minorEastAsia"/>
          <w:b/>
          <w:color w:val="auto"/>
          <w:szCs w:val="21"/>
          <w:highlight w:val="none"/>
        </w:rPr>
        <w:t>http://www.jxzbtb.cn/zxfw/005012/20181016/7e541bf4-ad29-4286-ace8-d12c1b2c54fc.html</w:t>
      </w:r>
    </w:p>
    <w:p>
      <w:pPr>
        <w:spacing w:line="360" w:lineRule="auto"/>
        <w:rPr>
          <w:rFonts w:asciiTheme="minorEastAsia" w:hAnsiTheme="minorEastAsia" w:eastAsiaTheme="minorEastAsia"/>
          <w:b/>
          <w:i/>
          <w:iCs/>
          <w:color w:val="auto"/>
          <w:szCs w:val="21"/>
          <w:highlight w:val="none"/>
          <w:u w:val="single"/>
        </w:rPr>
      </w:pPr>
      <w:r>
        <w:rPr>
          <w:rFonts w:hint="eastAsia" w:asciiTheme="minorEastAsia" w:hAnsiTheme="minorEastAsia" w:eastAsiaTheme="minorEastAsia"/>
          <w:b/>
          <w:color w:val="auto"/>
          <w:szCs w:val="21"/>
          <w:highlight w:val="none"/>
        </w:rPr>
        <w:t>八、公告期限：</w:t>
      </w:r>
      <w:r>
        <w:rPr>
          <w:rFonts w:hint="eastAsia" w:cs="宋体" w:asciiTheme="minorEastAsia" w:hAnsiTheme="minorEastAsia" w:eastAsiaTheme="minorEastAsia"/>
          <w:b/>
          <w:color w:val="auto"/>
          <w:szCs w:val="21"/>
          <w:highlight w:val="none"/>
          <w:u w:val="single"/>
        </w:rPr>
        <w:t xml:space="preserve">   自公告发布之日起5个工作日   </w:t>
      </w:r>
    </w:p>
    <w:p>
      <w:pPr>
        <w:snapToGrid w:val="0"/>
        <w:spacing w:line="360" w:lineRule="auto"/>
        <w:rPr>
          <w:rFonts w:cs="Arial" w:asciiTheme="minorEastAsia" w:hAnsiTheme="minorEastAsia" w:eastAsiaTheme="minorEastAsia"/>
          <w:color w:val="auto"/>
          <w:szCs w:val="21"/>
          <w:highlight w:val="none"/>
        </w:rPr>
      </w:pPr>
      <w:r>
        <w:rPr>
          <w:rFonts w:hint="eastAsia" w:cs="Arial" w:asciiTheme="minorEastAsia" w:hAnsiTheme="minorEastAsia" w:eastAsiaTheme="minorEastAsia"/>
          <w:b/>
          <w:bCs/>
          <w:color w:val="auto"/>
          <w:szCs w:val="21"/>
          <w:highlight w:val="none"/>
        </w:rPr>
        <w:t>九、投标说明</w:t>
      </w:r>
      <w:r>
        <w:rPr>
          <w:rFonts w:hint="eastAsia" w:cs="Arial" w:asciiTheme="minorEastAsia" w:hAnsiTheme="minorEastAsia" w:eastAsiaTheme="minorEastAsia"/>
          <w:color w:val="auto"/>
          <w:szCs w:val="21"/>
          <w:highlight w:val="none"/>
        </w:rPr>
        <w:t>：</w:t>
      </w:r>
    </w:p>
    <w:p>
      <w:pPr>
        <w:spacing w:line="360" w:lineRule="auto"/>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１、本项目按照《浙江省财政厅关于印发浙江省政府采购项电子交易管理暂行办法的通知》实行电子交易。</w:t>
      </w:r>
    </w:p>
    <w:p>
      <w:pPr>
        <w:spacing w:line="360" w:lineRule="auto"/>
        <w:rPr>
          <w:rFonts w:cs="宋体" w:asciiTheme="minorEastAsia" w:hAnsiTheme="minorEastAsia" w:eastAsiaTheme="minorEastAsia"/>
          <w:b/>
          <w:color w:val="auto"/>
          <w:kern w:val="0"/>
          <w:szCs w:val="21"/>
          <w:highlight w:val="none"/>
        </w:rPr>
      </w:pPr>
      <w:r>
        <w:rPr>
          <w:rFonts w:cs="宋体" w:asciiTheme="minorEastAsia" w:hAnsiTheme="minorEastAsia" w:eastAsiaTheme="minorEastAsia"/>
          <w:b/>
          <w:color w:val="auto"/>
          <w:kern w:val="0"/>
          <w:szCs w:val="21"/>
          <w:highlight w:val="none"/>
        </w:rPr>
        <w:t>2</w:t>
      </w:r>
      <w:r>
        <w:rPr>
          <w:rFonts w:hint="eastAsia" w:cs="宋体" w:asciiTheme="minorEastAsia" w:hAnsiTheme="minorEastAsia" w:eastAsiaTheme="minorEastAsia"/>
          <w:b/>
          <w:color w:val="auto"/>
          <w:kern w:val="0"/>
          <w:szCs w:val="21"/>
          <w:highlight w:val="none"/>
        </w:rPr>
        <w:t>、供应商注册</w:t>
      </w:r>
    </w:p>
    <w:p>
      <w:pPr>
        <w:spacing w:line="360" w:lineRule="auto"/>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2.1注册网址：</w:t>
      </w:r>
    </w:p>
    <w:p>
      <w:pPr>
        <w:spacing w:line="360" w:lineRule="auto"/>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浙江政府采购网：</w:t>
      </w:r>
      <w:r>
        <w:rPr>
          <w:color w:val="auto"/>
          <w:highlight w:val="none"/>
        </w:rPr>
        <w:fldChar w:fldCharType="begin"/>
      </w:r>
      <w:r>
        <w:rPr>
          <w:color w:val="auto"/>
          <w:highlight w:val="none"/>
        </w:rPr>
        <w:instrText xml:space="preserve"> HYPERLINK "https://middle.zcygov.cn/settle-front/" \l "/registry" </w:instrText>
      </w:r>
      <w:r>
        <w:rPr>
          <w:color w:val="auto"/>
          <w:highlight w:val="none"/>
        </w:rPr>
        <w:fldChar w:fldCharType="separate"/>
      </w:r>
      <w:r>
        <w:rPr>
          <w:rStyle w:val="56"/>
          <w:rFonts w:hint="eastAsia" w:cs="宋体" w:asciiTheme="minorEastAsia" w:hAnsiTheme="minorEastAsia" w:eastAsiaTheme="minorEastAsia"/>
          <w:color w:val="auto"/>
          <w:kern w:val="0"/>
          <w:szCs w:val="21"/>
          <w:highlight w:val="none"/>
        </w:rPr>
        <w:t>https://middle.zcygov.cn/settle-front/#/registry</w:t>
      </w:r>
      <w:r>
        <w:rPr>
          <w:rStyle w:val="56"/>
          <w:rFonts w:hint="eastAsia" w:cs="宋体" w:asciiTheme="minorEastAsia" w:hAnsiTheme="minorEastAsia" w:eastAsiaTheme="minorEastAsia"/>
          <w:color w:val="auto"/>
          <w:kern w:val="0"/>
          <w:szCs w:val="21"/>
          <w:highlight w:val="none"/>
        </w:rPr>
        <w:fldChar w:fldCharType="end"/>
      </w:r>
    </w:p>
    <w:p>
      <w:pPr>
        <w:spacing w:line="360" w:lineRule="auto"/>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2.2供应商按照《浙江省政府采购供应商注册和诚信管理暂行办法》要求执行。</w:t>
      </w:r>
    </w:p>
    <w:p>
      <w:pPr>
        <w:spacing w:line="360" w:lineRule="auto"/>
        <w:jc w:val="left"/>
        <w:rPr>
          <w:rFonts w:cs="宋体" w:asciiTheme="minorEastAsia" w:hAnsiTheme="minorEastAsia" w:eastAsiaTheme="minorEastAsia"/>
          <w:b/>
          <w:color w:val="auto"/>
          <w:kern w:val="0"/>
          <w:szCs w:val="21"/>
          <w:highlight w:val="none"/>
        </w:rPr>
      </w:pPr>
      <w:r>
        <w:rPr>
          <w:rFonts w:cs="宋体" w:asciiTheme="minorEastAsia" w:hAnsiTheme="minorEastAsia" w:eastAsiaTheme="minorEastAsia"/>
          <w:b/>
          <w:color w:val="auto"/>
          <w:kern w:val="0"/>
          <w:szCs w:val="21"/>
          <w:highlight w:val="none"/>
        </w:rPr>
        <w:t>3、</w:t>
      </w:r>
      <w:r>
        <w:rPr>
          <w:rFonts w:hint="eastAsia" w:cs="宋体" w:asciiTheme="minorEastAsia" w:hAnsiTheme="minorEastAsia" w:eastAsiaTheme="minorEastAsia"/>
          <w:b/>
          <w:color w:val="auto"/>
          <w:kern w:val="0"/>
          <w:szCs w:val="21"/>
          <w:highlight w:val="none"/>
        </w:rPr>
        <w:t>获取招标文件（报名）：</w:t>
      </w:r>
    </w:p>
    <w:p>
      <w:pPr>
        <w:spacing w:line="360" w:lineRule="auto"/>
        <w:jc w:val="left"/>
        <w:rPr>
          <w:rFonts w:asciiTheme="minorEastAsia" w:hAnsiTheme="minorEastAsia" w:eastAsiaTheme="minorEastAsia"/>
          <w:color w:val="auto"/>
          <w:szCs w:val="21"/>
          <w:highlight w:val="none"/>
          <w:shd w:val="clear" w:color="auto" w:fill="FFFFFF"/>
        </w:rPr>
      </w:pPr>
      <w:r>
        <w:rPr>
          <w:rFonts w:asciiTheme="minorEastAsia" w:hAnsiTheme="minorEastAsia" w:eastAsiaTheme="minorEastAsia"/>
          <w:color w:val="auto"/>
          <w:szCs w:val="21"/>
          <w:highlight w:val="none"/>
          <w:shd w:val="clear" w:color="auto" w:fill="FFFFFF"/>
        </w:rPr>
        <w:t>3</w:t>
      </w:r>
      <w:r>
        <w:rPr>
          <w:rFonts w:hint="eastAsia" w:asciiTheme="minorEastAsia" w:hAnsiTheme="minorEastAsia" w:eastAsiaTheme="minorEastAsia"/>
          <w:color w:val="auto"/>
          <w:szCs w:val="21"/>
          <w:highlight w:val="none"/>
          <w:shd w:val="clear" w:color="auto" w:fill="FFFFFF"/>
        </w:rPr>
        <w:t>.1获取方式：采购公告发布后，在政采云平台已完成注册的供应商登陆系统，申请获取招标文件，待审核通过后，可下载招标文件。如果“已申请”标签页显示状态为“审核通过”即为报名成功。路径：用户中心——项目采购——获取招标文件管理。在“已获取”的状态下，供应商可下载查看招标文件。</w:t>
      </w:r>
    </w:p>
    <w:p>
      <w:pPr>
        <w:spacing w:line="360" w:lineRule="auto"/>
        <w:jc w:val="left"/>
        <w:rPr>
          <w:rFonts w:asciiTheme="minorEastAsia" w:hAnsiTheme="minorEastAsia" w:eastAsiaTheme="minorEastAsia"/>
          <w:color w:val="auto"/>
          <w:szCs w:val="21"/>
          <w:highlight w:val="none"/>
          <w:shd w:val="clear" w:color="auto" w:fill="FFFFFF"/>
        </w:rPr>
      </w:pPr>
      <w:r>
        <w:rPr>
          <w:rFonts w:asciiTheme="minorEastAsia" w:hAnsiTheme="minorEastAsia" w:eastAsiaTheme="minorEastAsia"/>
          <w:color w:val="auto"/>
          <w:szCs w:val="21"/>
          <w:highlight w:val="none"/>
          <w:shd w:val="clear" w:color="auto" w:fill="FFFFFF"/>
        </w:rPr>
        <w:t>3</w:t>
      </w:r>
      <w:r>
        <w:rPr>
          <w:rFonts w:hint="eastAsia" w:asciiTheme="minorEastAsia" w:hAnsiTheme="minorEastAsia" w:eastAsiaTheme="minorEastAsia"/>
          <w:color w:val="auto"/>
          <w:szCs w:val="21"/>
          <w:highlight w:val="none"/>
          <w:shd w:val="clear" w:color="auto" w:fill="FFFFFF"/>
        </w:rPr>
        <w:t>.2获取网址：浙江政府采购网</w:t>
      </w:r>
      <w:r>
        <w:rPr>
          <w:color w:val="auto"/>
          <w:highlight w:val="none"/>
        </w:rPr>
        <w:fldChar w:fldCharType="begin"/>
      </w:r>
      <w:r>
        <w:rPr>
          <w:color w:val="auto"/>
          <w:highlight w:val="none"/>
        </w:rPr>
        <w:instrText xml:space="preserve"> HYPERLINK "https://login.zcygov.cn/login" \t "_blank" </w:instrText>
      </w:r>
      <w:r>
        <w:rPr>
          <w:color w:val="auto"/>
          <w:highlight w:val="none"/>
        </w:rPr>
        <w:fldChar w:fldCharType="separate"/>
      </w:r>
      <w:r>
        <w:rPr>
          <w:rFonts w:hint="eastAsia" w:asciiTheme="minorEastAsia" w:hAnsiTheme="minorEastAsia" w:eastAsiaTheme="minorEastAsia"/>
          <w:color w:val="auto"/>
          <w:szCs w:val="21"/>
          <w:highlight w:val="none"/>
          <w:shd w:val="clear" w:color="auto" w:fill="FFFFFF"/>
        </w:rPr>
        <w:t>https://login.zcygov.cn/login</w:t>
      </w:r>
      <w:r>
        <w:rPr>
          <w:rFonts w:hint="eastAsia" w:asciiTheme="minorEastAsia" w:hAnsiTheme="minorEastAsia" w:eastAsiaTheme="minorEastAsia"/>
          <w:color w:val="auto"/>
          <w:szCs w:val="21"/>
          <w:highlight w:val="none"/>
          <w:shd w:val="clear" w:color="auto" w:fill="FFFFFF"/>
        </w:rPr>
        <w:fldChar w:fldCharType="end"/>
      </w:r>
    </w:p>
    <w:p>
      <w:pPr>
        <w:spacing w:line="360" w:lineRule="auto"/>
        <w:jc w:val="left"/>
        <w:rPr>
          <w:rFonts w:asciiTheme="minorEastAsia" w:hAnsiTheme="minorEastAsia" w:eastAsiaTheme="minorEastAsia"/>
          <w:b/>
          <w:color w:val="auto"/>
          <w:szCs w:val="21"/>
          <w:highlight w:val="none"/>
          <w:shd w:val="clear" w:color="auto" w:fill="FFFFFF"/>
        </w:rPr>
      </w:pPr>
      <w:r>
        <w:rPr>
          <w:rFonts w:asciiTheme="minorEastAsia" w:hAnsiTheme="minorEastAsia" w:eastAsiaTheme="minorEastAsia"/>
          <w:color w:val="auto"/>
          <w:szCs w:val="21"/>
          <w:highlight w:val="none"/>
          <w:shd w:val="clear" w:color="auto" w:fill="FFFFFF"/>
        </w:rPr>
        <w:t>3</w:t>
      </w:r>
      <w:r>
        <w:rPr>
          <w:rFonts w:hint="eastAsia" w:asciiTheme="minorEastAsia" w:hAnsiTheme="minorEastAsia" w:eastAsiaTheme="minorEastAsia"/>
          <w:color w:val="auto"/>
          <w:szCs w:val="21"/>
          <w:highlight w:val="none"/>
          <w:shd w:val="clear" w:color="auto" w:fill="FFFFFF"/>
        </w:rPr>
        <w:t xml:space="preserve">.3获取时间： </w:t>
      </w:r>
      <w:r>
        <w:rPr>
          <w:rFonts w:hint="eastAsia" w:asciiTheme="minorEastAsia" w:hAnsiTheme="minorEastAsia" w:eastAsiaTheme="minorEastAsia"/>
          <w:b/>
          <w:color w:val="auto"/>
          <w:szCs w:val="21"/>
          <w:highlight w:val="none"/>
          <w:shd w:val="clear" w:color="auto" w:fill="FFFFFF"/>
          <w:lang w:eastAsia="zh-CN"/>
        </w:rPr>
        <w:t xml:space="preserve">2022年 </w:t>
      </w:r>
      <w:r>
        <w:rPr>
          <w:rFonts w:hint="eastAsia" w:asciiTheme="minorEastAsia" w:hAnsiTheme="minorEastAsia" w:eastAsiaTheme="minorEastAsia"/>
          <w:b/>
          <w:color w:val="auto"/>
          <w:szCs w:val="21"/>
          <w:highlight w:val="none"/>
          <w:shd w:val="clear" w:color="auto" w:fill="FFFFFF"/>
          <w:lang w:val="en-US" w:eastAsia="zh-CN"/>
        </w:rPr>
        <w:t>5</w:t>
      </w:r>
      <w:r>
        <w:rPr>
          <w:rFonts w:hint="eastAsia" w:asciiTheme="minorEastAsia" w:hAnsiTheme="minorEastAsia" w:eastAsiaTheme="minorEastAsia"/>
          <w:b/>
          <w:color w:val="auto"/>
          <w:szCs w:val="21"/>
          <w:highlight w:val="none"/>
          <w:shd w:val="clear" w:color="auto" w:fill="FFFFFF"/>
          <w:lang w:eastAsia="zh-CN"/>
        </w:rPr>
        <w:t>月</w:t>
      </w:r>
      <w:r>
        <w:rPr>
          <w:rFonts w:hint="eastAsia" w:asciiTheme="minorEastAsia" w:hAnsiTheme="minorEastAsia" w:eastAsiaTheme="minorEastAsia"/>
          <w:b/>
          <w:color w:val="auto"/>
          <w:szCs w:val="21"/>
          <w:highlight w:val="none"/>
          <w:shd w:val="clear" w:color="auto" w:fill="FFFFFF"/>
          <w:lang w:val="en-US" w:eastAsia="zh-CN"/>
        </w:rPr>
        <w:t>9</w:t>
      </w:r>
      <w:r>
        <w:rPr>
          <w:rFonts w:hint="eastAsia" w:asciiTheme="minorEastAsia" w:hAnsiTheme="minorEastAsia" w:eastAsiaTheme="minorEastAsia"/>
          <w:b/>
          <w:color w:val="auto"/>
          <w:szCs w:val="21"/>
          <w:highlight w:val="none"/>
          <w:shd w:val="clear" w:color="auto" w:fill="FFFFFF"/>
          <w:lang w:eastAsia="zh-CN"/>
        </w:rPr>
        <w:t>日</w:t>
      </w:r>
      <w:r>
        <w:rPr>
          <w:rFonts w:hint="eastAsia" w:cs="宋体" w:asciiTheme="minorEastAsia" w:hAnsiTheme="minorEastAsia" w:eastAsiaTheme="minorEastAsia"/>
          <w:b/>
          <w:bCs/>
          <w:color w:val="auto"/>
          <w:kern w:val="0"/>
          <w:szCs w:val="21"/>
          <w:highlight w:val="none"/>
        </w:rPr>
        <w:t>14时00分整</w:t>
      </w:r>
      <w:r>
        <w:rPr>
          <w:rFonts w:hint="eastAsia" w:cs="宋体" w:asciiTheme="minorEastAsia" w:hAnsiTheme="minorEastAsia" w:eastAsiaTheme="minorEastAsia"/>
          <w:bCs/>
          <w:color w:val="auto"/>
          <w:kern w:val="0"/>
          <w:szCs w:val="21"/>
          <w:highlight w:val="none"/>
        </w:rPr>
        <w:t>前在上述时间内供应商均可获取招标文件。</w:t>
      </w:r>
    </w:p>
    <w:p>
      <w:pPr>
        <w:pStyle w:val="195"/>
        <w:spacing w:line="360" w:lineRule="auto"/>
        <w:rPr>
          <w:rFonts w:asciiTheme="minorEastAsia" w:hAnsiTheme="minorEastAsia" w:eastAsiaTheme="minorEastAsia"/>
          <w:b/>
          <w:color w:val="auto"/>
          <w:sz w:val="21"/>
          <w:szCs w:val="21"/>
          <w:highlight w:val="none"/>
        </w:rPr>
      </w:pPr>
      <w:r>
        <w:rPr>
          <w:rFonts w:asciiTheme="minorEastAsia" w:hAnsiTheme="minorEastAsia" w:eastAsiaTheme="minorEastAsia"/>
          <w:b/>
          <w:color w:val="auto"/>
          <w:sz w:val="21"/>
          <w:szCs w:val="21"/>
          <w:highlight w:val="none"/>
        </w:rPr>
        <w:t>4</w:t>
      </w:r>
      <w:r>
        <w:rPr>
          <w:rFonts w:hint="eastAsia" w:asciiTheme="minorEastAsia" w:hAnsiTheme="minorEastAsia" w:eastAsiaTheme="minorEastAsia"/>
          <w:b/>
          <w:color w:val="auto"/>
          <w:sz w:val="21"/>
          <w:szCs w:val="21"/>
          <w:highlight w:val="none"/>
        </w:rPr>
        <w:t>、投标文件</w:t>
      </w:r>
      <w:r>
        <w:rPr>
          <w:rFonts w:asciiTheme="minorEastAsia" w:hAnsiTheme="minorEastAsia" w:eastAsiaTheme="minorEastAsia"/>
          <w:b/>
          <w:color w:val="auto"/>
          <w:sz w:val="21"/>
          <w:szCs w:val="21"/>
          <w:highlight w:val="none"/>
        </w:rPr>
        <w:t>制作</w:t>
      </w:r>
      <w:r>
        <w:rPr>
          <w:rFonts w:hint="eastAsia" w:asciiTheme="minorEastAsia" w:hAnsiTheme="minorEastAsia" w:eastAsiaTheme="minorEastAsia"/>
          <w:b/>
          <w:color w:val="auto"/>
          <w:sz w:val="21"/>
          <w:szCs w:val="21"/>
          <w:highlight w:val="none"/>
        </w:rPr>
        <w:t>注意事项</w:t>
      </w:r>
    </w:p>
    <w:p>
      <w:pPr>
        <w:spacing w:beforeLines="50" w:afterLines="50" w:line="360" w:lineRule="auto"/>
        <w:rPr>
          <w:rFonts w:asciiTheme="minorEastAsia" w:hAnsiTheme="minorEastAsia" w:eastAsiaTheme="minorEastAsia"/>
          <w:color w:val="auto"/>
          <w:szCs w:val="21"/>
          <w:highlight w:val="none"/>
          <w:shd w:val="clear" w:color="auto" w:fill="FFFFFF"/>
        </w:rPr>
      </w:pPr>
      <w:r>
        <w:rPr>
          <w:rFonts w:hint="eastAsia" w:asciiTheme="minorEastAsia" w:hAnsiTheme="minorEastAsia" w:eastAsiaTheme="minorEastAsia"/>
          <w:color w:val="auto"/>
          <w:szCs w:val="21"/>
          <w:highlight w:val="none"/>
          <w:shd w:val="clear" w:color="auto" w:fill="FFFFFF"/>
        </w:rPr>
        <w:t>4.1供应商将政采云电子交易客户端下载、安装完成后，可通过账号密码或CA登录客户端进行投标文件制作。</w:t>
      </w:r>
    </w:p>
    <w:p>
      <w:pPr>
        <w:spacing w:beforeLines="50" w:afterLines="50" w:line="360" w:lineRule="auto"/>
        <w:rPr>
          <w:rFonts w:asciiTheme="minorEastAsia" w:hAnsiTheme="minorEastAsia" w:eastAsiaTheme="minorEastAsia"/>
          <w:color w:val="auto"/>
          <w:szCs w:val="21"/>
          <w:highlight w:val="none"/>
          <w:shd w:val="clear" w:color="auto" w:fill="FFFFFF"/>
        </w:rPr>
      </w:pPr>
      <w:r>
        <w:rPr>
          <w:rFonts w:hint="eastAsia" w:asciiTheme="minorEastAsia" w:hAnsiTheme="minorEastAsia" w:eastAsiaTheme="minorEastAsia"/>
          <w:color w:val="auto"/>
          <w:szCs w:val="21"/>
          <w:highlight w:val="none"/>
          <w:shd w:val="clear" w:color="auto" w:fill="FFFFFF"/>
        </w:rPr>
        <w:t xml:space="preserve">　　注：供应商先要申领CA，拿到CA后需要在政采云平台进行绑定，CA相关操作可参考《CA申领操作指南》和《CA管理操作指南》。完成CA数字证书办理在资料齐全的情况下预计7个工作日左右，建议供应商获取招标文件后立即办理。　　　      </w:t>
      </w:r>
    </w:p>
    <w:p>
      <w:pPr>
        <w:spacing w:beforeLines="50" w:afterLines="50" w:line="360" w:lineRule="auto"/>
        <w:rPr>
          <w:rStyle w:val="56"/>
          <w:rFonts w:asciiTheme="minorEastAsia" w:hAnsiTheme="minorEastAsia" w:eastAsiaTheme="minorEastAsia"/>
          <w:color w:val="auto"/>
          <w:szCs w:val="21"/>
          <w:highlight w:val="none"/>
          <w:shd w:val="clear" w:color="auto" w:fill="FFFFFF"/>
        </w:rPr>
      </w:pPr>
      <w:r>
        <w:rPr>
          <w:rFonts w:hint="eastAsia" w:asciiTheme="minorEastAsia" w:hAnsiTheme="minorEastAsia" w:eastAsiaTheme="minorEastAsia"/>
          <w:color w:val="auto"/>
          <w:szCs w:val="21"/>
          <w:highlight w:val="none"/>
          <w:shd w:val="clear" w:color="auto" w:fill="FFFFFF"/>
        </w:rPr>
        <w:t>4.2电子交易操作指南：</w:t>
      </w:r>
      <w:r>
        <w:rPr>
          <w:color w:val="auto"/>
          <w:highlight w:val="none"/>
        </w:rPr>
        <w:fldChar w:fldCharType="begin"/>
      </w:r>
      <w:r>
        <w:rPr>
          <w:color w:val="auto"/>
          <w:highlight w:val="none"/>
        </w:rPr>
        <w:instrText xml:space="preserve"> HYPERLINK "https://help.zcygov.cn/web/site_2/2018/12-28/2573.html" \t "_blank" </w:instrText>
      </w:r>
      <w:r>
        <w:rPr>
          <w:color w:val="auto"/>
          <w:highlight w:val="none"/>
        </w:rPr>
        <w:fldChar w:fldCharType="separate"/>
      </w:r>
      <w:r>
        <w:rPr>
          <w:rStyle w:val="56"/>
          <w:rFonts w:hint="eastAsia" w:asciiTheme="minorEastAsia" w:hAnsiTheme="minorEastAsia" w:eastAsiaTheme="minorEastAsia"/>
          <w:color w:val="auto"/>
          <w:szCs w:val="21"/>
          <w:highlight w:val="none"/>
          <w:shd w:val="clear" w:color="auto" w:fill="FFFFFF"/>
        </w:rPr>
        <w:t>https://help.zcygov.cn/web/site_2/2018/12-28/2573.html</w:t>
      </w:r>
      <w:r>
        <w:rPr>
          <w:rStyle w:val="56"/>
          <w:rFonts w:hint="eastAsia" w:asciiTheme="minorEastAsia" w:hAnsiTheme="minorEastAsia" w:eastAsiaTheme="minorEastAsia"/>
          <w:color w:val="auto"/>
          <w:szCs w:val="21"/>
          <w:highlight w:val="none"/>
          <w:shd w:val="clear" w:color="auto" w:fill="FFFFFF"/>
        </w:rPr>
        <w:fldChar w:fldCharType="end"/>
      </w:r>
    </w:p>
    <w:p>
      <w:pPr>
        <w:spacing w:beforeLines="50" w:afterLines="50" w:line="360" w:lineRule="auto"/>
        <w:rPr>
          <w:rStyle w:val="56"/>
          <w:rFonts w:asciiTheme="minorEastAsia" w:hAnsiTheme="minorEastAsia" w:eastAsiaTheme="minorEastAsia"/>
          <w:color w:val="auto"/>
          <w:szCs w:val="21"/>
          <w:highlight w:val="none"/>
          <w:shd w:val="clear" w:color="auto" w:fill="FFFFFF"/>
        </w:rPr>
      </w:pPr>
      <w:r>
        <w:rPr>
          <w:rFonts w:hint="eastAsia" w:asciiTheme="minorEastAsia" w:hAnsiTheme="minorEastAsia" w:eastAsiaTheme="minorEastAsia"/>
          <w:color w:val="auto"/>
          <w:szCs w:val="21"/>
          <w:highlight w:val="none"/>
          <w:shd w:val="clear" w:color="auto" w:fill="FFFFFF"/>
        </w:rPr>
        <w:t>《CA申领操作指南》：</w:t>
      </w:r>
      <w:r>
        <w:rPr>
          <w:color w:val="auto"/>
          <w:highlight w:val="none"/>
        </w:rPr>
        <w:fldChar w:fldCharType="begin"/>
      </w:r>
      <w:r>
        <w:rPr>
          <w:color w:val="auto"/>
          <w:highlight w:val="none"/>
        </w:rPr>
        <w:instrText xml:space="preserve"> HYPERLINK "https://help.zcygov.cn/web/site_2/2018/11-29/2452.html" \t "_blank" </w:instrText>
      </w:r>
      <w:r>
        <w:rPr>
          <w:color w:val="auto"/>
          <w:highlight w:val="none"/>
        </w:rPr>
        <w:fldChar w:fldCharType="separate"/>
      </w:r>
      <w:r>
        <w:rPr>
          <w:rStyle w:val="56"/>
          <w:rFonts w:hint="eastAsia" w:asciiTheme="minorEastAsia" w:hAnsiTheme="minorEastAsia" w:eastAsiaTheme="minorEastAsia"/>
          <w:color w:val="auto"/>
          <w:szCs w:val="21"/>
          <w:highlight w:val="none"/>
          <w:shd w:val="clear" w:color="auto" w:fill="FFFFFF"/>
        </w:rPr>
        <w:t>https://help.zcygov.cn/web/site_2/2018/11-29/2452.html</w:t>
      </w:r>
      <w:r>
        <w:rPr>
          <w:rStyle w:val="56"/>
          <w:rFonts w:hint="eastAsia" w:asciiTheme="minorEastAsia" w:hAnsiTheme="minorEastAsia" w:eastAsiaTheme="minorEastAsia"/>
          <w:color w:val="auto"/>
          <w:szCs w:val="21"/>
          <w:highlight w:val="none"/>
          <w:shd w:val="clear" w:color="auto" w:fill="FFFFFF"/>
        </w:rPr>
        <w:fldChar w:fldCharType="end"/>
      </w:r>
    </w:p>
    <w:p>
      <w:pPr>
        <w:spacing w:beforeLines="50" w:afterLines="50" w:line="360" w:lineRule="auto"/>
        <w:rPr>
          <w:rStyle w:val="56"/>
          <w:rFonts w:asciiTheme="minorEastAsia" w:hAnsiTheme="minorEastAsia" w:eastAsiaTheme="minorEastAsia"/>
          <w:color w:val="auto"/>
          <w:szCs w:val="21"/>
          <w:highlight w:val="none"/>
          <w:shd w:val="clear" w:color="auto" w:fill="FFFFFF"/>
        </w:rPr>
      </w:pPr>
      <w:r>
        <w:rPr>
          <w:rFonts w:hint="eastAsia" w:asciiTheme="minorEastAsia" w:hAnsiTheme="minorEastAsia" w:eastAsiaTheme="minorEastAsia"/>
          <w:color w:val="auto"/>
          <w:szCs w:val="21"/>
          <w:highlight w:val="none"/>
          <w:shd w:val="clear" w:color="auto" w:fill="FFFFFF"/>
        </w:rPr>
        <w:t>《CA管理操作指南》：</w:t>
      </w:r>
      <w:r>
        <w:rPr>
          <w:color w:val="auto"/>
          <w:highlight w:val="none"/>
        </w:rPr>
        <w:fldChar w:fldCharType="begin"/>
      </w:r>
      <w:r>
        <w:rPr>
          <w:color w:val="auto"/>
          <w:highlight w:val="none"/>
        </w:rPr>
        <w:instrText xml:space="preserve"> HYPERLINK "https://help.zcygov.cn/web/site_2/2019/08-20/3405.html" \t "_blank" </w:instrText>
      </w:r>
      <w:r>
        <w:rPr>
          <w:color w:val="auto"/>
          <w:highlight w:val="none"/>
        </w:rPr>
        <w:fldChar w:fldCharType="separate"/>
      </w:r>
      <w:r>
        <w:rPr>
          <w:rStyle w:val="56"/>
          <w:rFonts w:hint="eastAsia" w:asciiTheme="minorEastAsia" w:hAnsiTheme="minorEastAsia" w:eastAsiaTheme="minorEastAsia"/>
          <w:color w:val="auto"/>
          <w:szCs w:val="21"/>
          <w:highlight w:val="none"/>
          <w:shd w:val="clear" w:color="auto" w:fill="FFFFFF"/>
        </w:rPr>
        <w:t>https://help.zcygov.cn/web/site_2/2019/08-20/3405.html</w:t>
      </w:r>
      <w:r>
        <w:rPr>
          <w:rStyle w:val="56"/>
          <w:rFonts w:hint="eastAsia" w:asciiTheme="minorEastAsia" w:hAnsiTheme="minorEastAsia" w:eastAsiaTheme="minorEastAsia"/>
          <w:color w:val="auto"/>
          <w:szCs w:val="21"/>
          <w:highlight w:val="none"/>
          <w:shd w:val="clear" w:color="auto" w:fill="FFFFFF"/>
        </w:rPr>
        <w:fldChar w:fldCharType="end"/>
      </w:r>
    </w:p>
    <w:p>
      <w:pPr>
        <w:spacing w:beforeLines="50" w:afterLines="50" w:line="360" w:lineRule="auto"/>
        <w:rPr>
          <w:rStyle w:val="56"/>
          <w:rFonts w:asciiTheme="minorEastAsia" w:hAnsiTheme="minorEastAsia" w:eastAsiaTheme="minorEastAsia"/>
          <w:color w:val="auto"/>
          <w:szCs w:val="21"/>
          <w:highlight w:val="none"/>
          <w:shd w:val="clear" w:color="auto" w:fill="FFFFFF"/>
        </w:rPr>
      </w:pPr>
      <w:r>
        <w:rPr>
          <w:rFonts w:hint="eastAsia" w:asciiTheme="minorEastAsia" w:hAnsiTheme="minorEastAsia" w:eastAsiaTheme="minorEastAsia"/>
          <w:color w:val="auto"/>
          <w:szCs w:val="21"/>
          <w:highlight w:val="none"/>
          <w:shd w:val="clear" w:color="auto" w:fill="FFFFFF"/>
        </w:rPr>
        <w:t>《CA驱动和申领流程》</w:t>
      </w:r>
      <w:r>
        <w:rPr>
          <w:color w:val="auto"/>
          <w:highlight w:val="none"/>
        </w:rPr>
        <w:fldChar w:fldCharType="begin"/>
      </w:r>
      <w:r>
        <w:rPr>
          <w:color w:val="auto"/>
          <w:highlight w:val="none"/>
        </w:rPr>
        <w:instrText xml:space="preserve"> HYPERLINK "http://www.zjzfcg.gov.cn/bidClientTemplate/2019-05-27/12945.html" \t "_blank" </w:instrText>
      </w:r>
      <w:r>
        <w:rPr>
          <w:color w:val="auto"/>
          <w:highlight w:val="none"/>
        </w:rPr>
        <w:fldChar w:fldCharType="separate"/>
      </w:r>
      <w:r>
        <w:rPr>
          <w:rStyle w:val="56"/>
          <w:rFonts w:hint="eastAsia" w:asciiTheme="minorEastAsia" w:hAnsiTheme="minorEastAsia" w:eastAsiaTheme="minorEastAsia"/>
          <w:color w:val="auto"/>
          <w:szCs w:val="21"/>
          <w:highlight w:val="none"/>
          <w:shd w:val="clear" w:color="auto" w:fill="FFFFFF"/>
        </w:rPr>
        <w:t>http://www.zjzfcg.gov.cn/bidClientTemplate/2019-05-27/12945.html</w:t>
      </w:r>
      <w:r>
        <w:rPr>
          <w:rStyle w:val="56"/>
          <w:rFonts w:hint="eastAsia" w:asciiTheme="minorEastAsia" w:hAnsiTheme="minorEastAsia" w:eastAsiaTheme="minorEastAsia"/>
          <w:color w:val="auto"/>
          <w:szCs w:val="21"/>
          <w:highlight w:val="none"/>
          <w:shd w:val="clear" w:color="auto" w:fill="FFFFFF"/>
        </w:rPr>
        <w:fldChar w:fldCharType="end"/>
      </w:r>
    </w:p>
    <w:p>
      <w:pPr>
        <w:spacing w:beforeLines="50" w:afterLines="50" w:line="360" w:lineRule="auto"/>
        <w:rPr>
          <w:rFonts w:asciiTheme="minorEastAsia" w:hAnsiTheme="minorEastAsia" w:eastAsiaTheme="minorEastAsia"/>
          <w:color w:val="auto"/>
          <w:szCs w:val="21"/>
          <w:highlight w:val="none"/>
          <w:shd w:val="clear" w:color="auto" w:fill="FFFFFF"/>
        </w:rPr>
      </w:pPr>
      <w:r>
        <w:rPr>
          <w:rFonts w:hint="eastAsia" w:asciiTheme="minorEastAsia" w:hAnsiTheme="minorEastAsia" w:eastAsiaTheme="minorEastAsia"/>
          <w:color w:val="auto"/>
          <w:szCs w:val="21"/>
          <w:highlight w:val="none"/>
        </w:rPr>
        <w:t>注：</w:t>
      </w:r>
      <w:r>
        <w:rPr>
          <w:rFonts w:hint="eastAsia" w:asciiTheme="minorEastAsia" w:hAnsiTheme="minorEastAsia" w:eastAsiaTheme="minorEastAsia"/>
          <w:color w:val="auto"/>
          <w:szCs w:val="21"/>
          <w:highlight w:val="none"/>
          <w:shd w:val="clear" w:color="auto" w:fill="FFFFFF"/>
        </w:rPr>
        <w:t>ＣＡ证书遗失补办、延期、解锁、质保等业务可以在联连客户端上进行操作；使用政采云投标客户端时，建议使用WIN7及以上操作系统。</w:t>
      </w:r>
    </w:p>
    <w:p>
      <w:pPr>
        <w:spacing w:beforeLines="50" w:afterLines="50" w:line="360" w:lineRule="auto"/>
        <w:rPr>
          <w:rFonts w:asciiTheme="minorEastAsia" w:hAnsiTheme="minorEastAsia" w:eastAsiaTheme="minorEastAsia"/>
          <w:b/>
          <w:color w:val="auto"/>
          <w:szCs w:val="21"/>
          <w:highlight w:val="none"/>
          <w:shd w:val="clear" w:color="auto" w:fill="FFFFFF"/>
        </w:rPr>
      </w:pPr>
      <w:r>
        <w:rPr>
          <w:rFonts w:hint="eastAsia" w:asciiTheme="minorEastAsia" w:hAnsiTheme="minorEastAsia" w:eastAsiaTheme="minorEastAsia"/>
          <w:b/>
          <w:color w:val="auto"/>
          <w:szCs w:val="21"/>
          <w:highlight w:val="none"/>
          <w:shd w:val="clear" w:color="auto" w:fill="FFFFFF"/>
        </w:rPr>
        <w:t>5、政采云咨询电话：400-881-7190；</w:t>
      </w:r>
    </w:p>
    <w:p>
      <w:pPr>
        <w:spacing w:beforeLines="50" w:afterLines="50"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shd w:val="clear" w:color="auto" w:fill="FFFFFF"/>
        </w:rPr>
        <w:t>政采云平台服务中心：</w:t>
      </w:r>
      <w:r>
        <w:rPr>
          <w:color w:val="auto"/>
          <w:highlight w:val="none"/>
        </w:rPr>
        <w:fldChar w:fldCharType="begin"/>
      </w:r>
      <w:r>
        <w:rPr>
          <w:color w:val="auto"/>
          <w:highlight w:val="none"/>
        </w:rPr>
        <w:instrText xml:space="preserve"> HYPERLINK "https://service.zcygov.cn/" \l "/" \t "_blank" </w:instrText>
      </w:r>
      <w:r>
        <w:rPr>
          <w:color w:val="auto"/>
          <w:highlight w:val="none"/>
        </w:rPr>
        <w:fldChar w:fldCharType="separate"/>
      </w:r>
      <w:r>
        <w:rPr>
          <w:rStyle w:val="56"/>
          <w:rFonts w:hint="eastAsia" w:asciiTheme="minorEastAsia" w:hAnsiTheme="minorEastAsia" w:eastAsiaTheme="minorEastAsia"/>
          <w:color w:val="auto"/>
          <w:szCs w:val="21"/>
          <w:highlight w:val="none"/>
          <w:shd w:val="clear" w:color="auto" w:fill="FFFFFF"/>
        </w:rPr>
        <w:t>https://service.zcygov.cn/#/</w:t>
      </w:r>
      <w:r>
        <w:rPr>
          <w:rStyle w:val="56"/>
          <w:rFonts w:hint="eastAsia" w:asciiTheme="minorEastAsia" w:hAnsiTheme="minorEastAsia" w:eastAsiaTheme="minorEastAsia"/>
          <w:color w:val="auto"/>
          <w:szCs w:val="21"/>
          <w:highlight w:val="none"/>
          <w:shd w:val="clear" w:color="auto" w:fill="FFFFFF"/>
        </w:rPr>
        <w:fldChar w:fldCharType="end"/>
      </w:r>
    </w:p>
    <w:p>
      <w:pPr>
        <w:spacing w:beforeLines="50" w:afterLines="50" w:line="360" w:lineRule="auto"/>
        <w:rPr>
          <w:rFonts w:asciiTheme="minorEastAsia" w:hAnsiTheme="minorEastAsia" w:eastAsiaTheme="minorEastAsia"/>
          <w:b/>
          <w:color w:val="auto"/>
          <w:szCs w:val="21"/>
          <w:highlight w:val="none"/>
          <w:shd w:val="clear" w:color="auto" w:fill="FFFFFF"/>
        </w:rPr>
      </w:pPr>
      <w:r>
        <w:rPr>
          <w:rFonts w:hint="eastAsia" w:asciiTheme="minorEastAsia" w:hAnsiTheme="minorEastAsia" w:eastAsiaTheme="minorEastAsia"/>
          <w:b/>
          <w:color w:val="auto"/>
          <w:szCs w:val="21"/>
          <w:highlight w:val="none"/>
          <w:shd w:val="clear" w:color="auto" w:fill="FFFFFF"/>
        </w:rPr>
        <w:t>6、汇信（ＣＡ）客服电话：400-888-4636</w:t>
      </w:r>
    </w:p>
    <w:p>
      <w:pPr>
        <w:snapToGrid w:val="0"/>
        <w:spacing w:line="360" w:lineRule="auto"/>
        <w:rPr>
          <w:rFonts w:cs="Arial" w:asciiTheme="minorEastAsia" w:hAnsiTheme="minorEastAsia" w:eastAsiaTheme="minorEastAsia"/>
          <w:b/>
          <w:color w:val="auto"/>
          <w:szCs w:val="21"/>
          <w:highlight w:val="none"/>
        </w:rPr>
      </w:pPr>
      <w:r>
        <w:rPr>
          <w:rFonts w:hint="eastAsia" w:cs="Arial" w:asciiTheme="minorEastAsia" w:hAnsiTheme="minorEastAsia" w:eastAsiaTheme="minorEastAsia"/>
          <w:b/>
          <w:color w:val="auto"/>
          <w:szCs w:val="21"/>
          <w:highlight w:val="none"/>
        </w:rPr>
        <w:t>十、投标截止时间及提交注意事项</w:t>
      </w:r>
    </w:p>
    <w:p>
      <w:pPr>
        <w:snapToGrid w:val="0"/>
        <w:spacing w:line="360" w:lineRule="auto"/>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１、投标截止时间</w:t>
      </w:r>
      <w:r>
        <w:rPr>
          <w:rFonts w:hint="eastAsia" w:cs="Arial" w:asciiTheme="minorEastAsia" w:hAnsiTheme="minorEastAsia" w:eastAsiaTheme="minorEastAsia"/>
          <w:b/>
          <w:color w:val="auto"/>
          <w:szCs w:val="21"/>
          <w:highlight w:val="none"/>
        </w:rPr>
        <w:t>：</w:t>
      </w:r>
      <w:r>
        <w:rPr>
          <w:rFonts w:hint="eastAsia" w:asciiTheme="minorEastAsia" w:hAnsiTheme="minorEastAsia" w:eastAsiaTheme="minorEastAsia"/>
          <w:b/>
          <w:color w:val="auto"/>
          <w:szCs w:val="21"/>
          <w:highlight w:val="none"/>
          <w:shd w:val="clear" w:color="auto" w:fill="FFFFFF"/>
          <w:lang w:eastAsia="zh-CN"/>
        </w:rPr>
        <w:t>2022年</w:t>
      </w:r>
      <w:r>
        <w:rPr>
          <w:rFonts w:hint="eastAsia" w:asciiTheme="minorEastAsia" w:hAnsiTheme="minorEastAsia" w:eastAsiaTheme="minorEastAsia"/>
          <w:b/>
          <w:color w:val="auto"/>
          <w:szCs w:val="21"/>
          <w:highlight w:val="none"/>
          <w:shd w:val="clear" w:color="auto" w:fill="FFFFFF"/>
          <w:lang w:val="en-US" w:eastAsia="zh-CN"/>
        </w:rPr>
        <w:t>5</w:t>
      </w:r>
      <w:r>
        <w:rPr>
          <w:rFonts w:hint="eastAsia" w:asciiTheme="minorEastAsia" w:hAnsiTheme="minorEastAsia" w:eastAsiaTheme="minorEastAsia"/>
          <w:b/>
          <w:color w:val="auto"/>
          <w:szCs w:val="21"/>
          <w:highlight w:val="none"/>
          <w:shd w:val="clear" w:color="auto" w:fill="FFFFFF"/>
          <w:lang w:eastAsia="zh-CN"/>
        </w:rPr>
        <w:t>月</w:t>
      </w:r>
      <w:r>
        <w:rPr>
          <w:rFonts w:hint="eastAsia" w:asciiTheme="minorEastAsia" w:hAnsiTheme="minorEastAsia" w:eastAsiaTheme="minorEastAsia"/>
          <w:b/>
          <w:color w:val="auto"/>
          <w:szCs w:val="21"/>
          <w:highlight w:val="none"/>
          <w:shd w:val="clear" w:color="auto" w:fill="FFFFFF"/>
          <w:lang w:val="en-US" w:eastAsia="zh-CN"/>
        </w:rPr>
        <w:t>9</w:t>
      </w:r>
      <w:r>
        <w:rPr>
          <w:rFonts w:hint="eastAsia" w:asciiTheme="minorEastAsia" w:hAnsiTheme="minorEastAsia" w:eastAsiaTheme="minorEastAsia"/>
          <w:b/>
          <w:color w:val="auto"/>
          <w:szCs w:val="21"/>
          <w:highlight w:val="none"/>
          <w:shd w:val="clear" w:color="auto" w:fill="FFFFFF"/>
          <w:lang w:eastAsia="zh-CN"/>
        </w:rPr>
        <w:t>日</w:t>
      </w:r>
      <w:r>
        <w:rPr>
          <w:rFonts w:hint="eastAsia" w:cs="宋体" w:asciiTheme="minorEastAsia" w:hAnsiTheme="minorEastAsia" w:eastAsiaTheme="minorEastAsia"/>
          <w:b/>
          <w:bCs/>
          <w:color w:val="auto"/>
          <w:kern w:val="0"/>
          <w:szCs w:val="21"/>
          <w:highlight w:val="none"/>
        </w:rPr>
        <w:t>14时00分整</w:t>
      </w:r>
    </w:p>
    <w:p>
      <w:pPr>
        <w:snapToGrid w:val="0"/>
        <w:spacing w:line="360" w:lineRule="auto"/>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２、投标文件提交注意事项</w:t>
      </w:r>
    </w:p>
    <w:p>
      <w:pPr>
        <w:snapToGrid w:val="0"/>
        <w:spacing w:line="360" w:lineRule="auto"/>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2.1供应商进行电子投标应安装客户端软件，并按照招标文件和电子交易平台的要求编制并加密投标文件。供应商未按规定加密的投标文件，代理机构应当拒收。</w:t>
      </w:r>
    </w:p>
    <w:p>
      <w:pPr>
        <w:snapToGrid w:val="0"/>
        <w:spacing w:line="360" w:lineRule="auto"/>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2.2供应商应当在投标截止时间前完成投标文件的传输提交，并可以补充、修改或者撤回投标文件。补充或者修改投标文件的，应当先行撤回原文件，补充、修改后重新传输提交。投标截止时间前未完成传输的，视为撤回投标文件。投标截止时间后提交的投标文件，视为无效。</w:t>
      </w:r>
    </w:p>
    <w:p>
      <w:pPr>
        <w:snapToGrid w:val="0"/>
        <w:spacing w:line="360" w:lineRule="auto"/>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2.3电子标文件制作，但如遇因应商电子投标文件解密失败等情况造成无效标，后果由供应商自负。</w:t>
      </w:r>
    </w:p>
    <w:p>
      <w:pPr>
        <w:snapToGrid w:val="0"/>
        <w:spacing w:line="360" w:lineRule="auto"/>
        <w:rPr>
          <w:rFonts w:cs="Arial" w:asciiTheme="minorEastAsia" w:hAnsiTheme="minorEastAsia" w:eastAsiaTheme="minorEastAsia"/>
          <w:color w:val="auto"/>
          <w:szCs w:val="21"/>
          <w:highlight w:val="none"/>
        </w:rPr>
      </w:pPr>
      <w:r>
        <w:rPr>
          <w:rFonts w:hint="eastAsia" w:cs="Arial" w:asciiTheme="minorEastAsia" w:hAnsiTheme="minorEastAsia" w:eastAsiaTheme="minorEastAsia"/>
          <w:b/>
          <w:bCs/>
          <w:color w:val="auto"/>
          <w:szCs w:val="21"/>
          <w:highlight w:val="none"/>
        </w:rPr>
        <w:t>十一、开标时间及地点</w:t>
      </w:r>
      <w:r>
        <w:rPr>
          <w:rFonts w:hint="eastAsia" w:cs="Arial" w:asciiTheme="minorEastAsia" w:hAnsiTheme="minorEastAsia" w:eastAsiaTheme="minorEastAsia"/>
          <w:color w:val="auto"/>
          <w:szCs w:val="21"/>
          <w:highlight w:val="none"/>
        </w:rPr>
        <w:t>：</w:t>
      </w:r>
    </w:p>
    <w:p>
      <w:pPr>
        <w:snapToGrid w:val="0"/>
        <w:spacing w:line="360" w:lineRule="auto"/>
        <w:jc w:val="left"/>
        <w:rPr>
          <w:rFonts w:hint="eastAsia"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本次招标将于</w:t>
      </w:r>
      <w:r>
        <w:rPr>
          <w:rFonts w:hint="eastAsia" w:asciiTheme="minorEastAsia" w:hAnsiTheme="minorEastAsia" w:eastAsiaTheme="minorEastAsia"/>
          <w:b/>
          <w:color w:val="auto"/>
          <w:szCs w:val="21"/>
          <w:highlight w:val="none"/>
          <w:shd w:val="clear" w:color="auto" w:fill="FFFFFF"/>
          <w:lang w:eastAsia="zh-CN"/>
        </w:rPr>
        <w:t xml:space="preserve">2022年 </w:t>
      </w:r>
      <w:r>
        <w:rPr>
          <w:rFonts w:hint="eastAsia" w:asciiTheme="minorEastAsia" w:hAnsiTheme="minorEastAsia" w:eastAsiaTheme="minorEastAsia"/>
          <w:b/>
          <w:color w:val="auto"/>
          <w:szCs w:val="21"/>
          <w:highlight w:val="none"/>
          <w:shd w:val="clear" w:color="auto" w:fill="FFFFFF"/>
          <w:lang w:val="en-US" w:eastAsia="zh-CN"/>
        </w:rPr>
        <w:t>5</w:t>
      </w:r>
      <w:r>
        <w:rPr>
          <w:rFonts w:hint="eastAsia" w:asciiTheme="minorEastAsia" w:hAnsiTheme="minorEastAsia" w:eastAsiaTheme="minorEastAsia"/>
          <w:b/>
          <w:color w:val="auto"/>
          <w:szCs w:val="21"/>
          <w:highlight w:val="none"/>
          <w:shd w:val="clear" w:color="auto" w:fill="FFFFFF"/>
          <w:lang w:eastAsia="zh-CN"/>
        </w:rPr>
        <w:t>月</w:t>
      </w:r>
      <w:r>
        <w:rPr>
          <w:rFonts w:hint="eastAsia" w:asciiTheme="minorEastAsia" w:hAnsiTheme="minorEastAsia" w:eastAsiaTheme="minorEastAsia"/>
          <w:b/>
          <w:color w:val="auto"/>
          <w:szCs w:val="21"/>
          <w:highlight w:val="none"/>
          <w:shd w:val="clear" w:color="auto" w:fill="FFFFFF"/>
          <w:lang w:val="en-US" w:eastAsia="zh-CN"/>
        </w:rPr>
        <w:t>9</w:t>
      </w:r>
      <w:r>
        <w:rPr>
          <w:rFonts w:hint="eastAsia" w:asciiTheme="minorEastAsia" w:hAnsiTheme="minorEastAsia" w:eastAsiaTheme="minorEastAsia"/>
          <w:b/>
          <w:color w:val="auto"/>
          <w:szCs w:val="21"/>
          <w:highlight w:val="none"/>
          <w:shd w:val="clear" w:color="auto" w:fill="FFFFFF"/>
          <w:lang w:eastAsia="zh-CN"/>
        </w:rPr>
        <w:t>日</w:t>
      </w:r>
      <w:r>
        <w:rPr>
          <w:rFonts w:hint="eastAsia" w:cs="宋体" w:asciiTheme="minorEastAsia" w:hAnsiTheme="minorEastAsia" w:eastAsiaTheme="minorEastAsia"/>
          <w:b/>
          <w:bCs/>
          <w:color w:val="auto"/>
          <w:kern w:val="0"/>
          <w:szCs w:val="21"/>
          <w:highlight w:val="none"/>
        </w:rPr>
        <w:t>14时00分整</w:t>
      </w:r>
      <w:r>
        <w:rPr>
          <w:rFonts w:hint="eastAsia" w:cs="Arial" w:asciiTheme="minorEastAsia" w:hAnsiTheme="minorEastAsia" w:eastAsiaTheme="minorEastAsia"/>
          <w:color w:val="auto"/>
          <w:szCs w:val="21"/>
          <w:highlight w:val="none"/>
        </w:rPr>
        <w:t>在</w:t>
      </w:r>
      <w:r>
        <w:rPr>
          <w:rFonts w:hint="eastAsia" w:ascii="宋体" w:hAnsi="宋体" w:cs="Arial" w:eastAsiaTheme="minorEastAsia"/>
          <w:color w:val="auto"/>
          <w:szCs w:val="21"/>
          <w:highlight w:val="none"/>
        </w:rPr>
        <w:t>嘉兴市银建工程咨询评估有限公司</w:t>
      </w:r>
      <w:r>
        <w:rPr>
          <w:rFonts w:hint="eastAsia" w:ascii="宋体" w:hAnsi="宋体" w:cs="Arial"/>
          <w:color w:val="auto"/>
          <w:szCs w:val="21"/>
          <w:highlight w:val="none"/>
        </w:rPr>
        <w:t>（嘉兴市洪兴路2399号宝地大厦1503室）</w:t>
      </w:r>
      <w:r>
        <w:rPr>
          <w:rFonts w:hint="eastAsia" w:cs="Arial" w:asciiTheme="minorEastAsia" w:hAnsiTheme="minorEastAsia" w:eastAsiaTheme="minorEastAsia"/>
          <w:color w:val="auto"/>
          <w:szCs w:val="21"/>
          <w:highlight w:val="none"/>
        </w:rPr>
        <w:t>。</w:t>
      </w:r>
      <w:r>
        <w:rPr>
          <w:rFonts w:hint="eastAsia" w:asciiTheme="minorEastAsia" w:hAnsiTheme="minorEastAsia" w:eastAsiaTheme="minorEastAsia"/>
          <w:b/>
          <w:color w:val="auto"/>
          <w:szCs w:val="21"/>
          <w:highlight w:val="none"/>
          <w:u w:val="single"/>
        </w:rPr>
        <w:t>供应商无需到开标现场，但须准时在线参加，直至评审结束</w:t>
      </w:r>
      <w:r>
        <w:rPr>
          <w:rFonts w:hint="eastAsia" w:asciiTheme="minorEastAsia" w:hAnsiTheme="minorEastAsia" w:eastAsiaTheme="minorEastAsia"/>
          <w:b/>
          <w:color w:val="auto"/>
          <w:szCs w:val="21"/>
          <w:highlight w:val="none"/>
        </w:rPr>
        <w:t>。</w:t>
      </w:r>
      <w:r>
        <w:rPr>
          <w:rFonts w:hint="eastAsia" w:cs="Arial" w:asciiTheme="minorEastAsia" w:hAnsiTheme="minorEastAsia" w:eastAsiaTheme="minorEastAsia"/>
          <w:color w:val="auto"/>
          <w:szCs w:val="21"/>
          <w:highlight w:val="none"/>
        </w:rPr>
        <w:t>开标时间后半小时内（</w:t>
      </w:r>
      <w:r>
        <w:rPr>
          <w:rFonts w:hint="eastAsia" w:asciiTheme="minorEastAsia" w:hAnsiTheme="minorEastAsia" w:eastAsiaTheme="minorEastAsia"/>
          <w:b/>
          <w:color w:val="auto"/>
          <w:szCs w:val="21"/>
          <w:highlight w:val="none"/>
          <w:shd w:val="clear" w:color="auto" w:fill="FFFFFF"/>
          <w:lang w:eastAsia="zh-CN"/>
        </w:rPr>
        <w:t>2022年</w:t>
      </w:r>
      <w:r>
        <w:rPr>
          <w:rFonts w:hint="eastAsia" w:asciiTheme="minorEastAsia" w:hAnsiTheme="minorEastAsia" w:eastAsiaTheme="minorEastAsia"/>
          <w:b/>
          <w:color w:val="auto"/>
          <w:szCs w:val="21"/>
          <w:highlight w:val="none"/>
          <w:shd w:val="clear" w:color="auto" w:fill="FFFFFF"/>
          <w:lang w:val="en-US" w:eastAsia="zh-CN"/>
        </w:rPr>
        <w:t>5</w:t>
      </w:r>
      <w:r>
        <w:rPr>
          <w:rFonts w:hint="eastAsia" w:asciiTheme="minorEastAsia" w:hAnsiTheme="minorEastAsia" w:eastAsiaTheme="minorEastAsia"/>
          <w:b/>
          <w:color w:val="auto"/>
          <w:szCs w:val="21"/>
          <w:highlight w:val="none"/>
          <w:shd w:val="clear" w:color="auto" w:fill="FFFFFF"/>
          <w:lang w:eastAsia="zh-CN"/>
        </w:rPr>
        <w:t>月</w:t>
      </w:r>
      <w:r>
        <w:rPr>
          <w:rFonts w:hint="eastAsia" w:asciiTheme="minorEastAsia" w:hAnsiTheme="minorEastAsia" w:eastAsiaTheme="minorEastAsia"/>
          <w:b/>
          <w:color w:val="auto"/>
          <w:szCs w:val="21"/>
          <w:highlight w:val="none"/>
          <w:shd w:val="clear" w:color="auto" w:fill="FFFFFF"/>
          <w:lang w:val="en-US" w:eastAsia="zh-CN"/>
        </w:rPr>
        <w:t>9</w:t>
      </w:r>
      <w:r>
        <w:rPr>
          <w:rFonts w:hint="eastAsia" w:asciiTheme="minorEastAsia" w:hAnsiTheme="minorEastAsia" w:eastAsiaTheme="minorEastAsia"/>
          <w:b/>
          <w:color w:val="auto"/>
          <w:szCs w:val="21"/>
          <w:highlight w:val="none"/>
          <w:shd w:val="clear" w:color="auto" w:fill="FFFFFF"/>
          <w:lang w:eastAsia="zh-CN"/>
        </w:rPr>
        <w:t>日</w:t>
      </w:r>
      <w:r>
        <w:rPr>
          <w:rFonts w:hint="eastAsia" w:cs="宋体" w:asciiTheme="minorEastAsia" w:hAnsiTheme="minorEastAsia" w:eastAsiaTheme="minorEastAsia"/>
          <w:b/>
          <w:bCs/>
          <w:color w:val="auto"/>
          <w:kern w:val="0"/>
          <w:szCs w:val="21"/>
          <w:highlight w:val="none"/>
        </w:rPr>
        <w:t>14时30分</w:t>
      </w:r>
      <w:r>
        <w:rPr>
          <w:rFonts w:hint="eastAsia" w:cs="Arial" w:asciiTheme="minorEastAsia" w:hAnsiTheme="minorEastAsia" w:eastAsiaTheme="minorEastAsia"/>
          <w:b/>
          <w:color w:val="auto"/>
          <w:szCs w:val="21"/>
          <w:highlight w:val="none"/>
        </w:rPr>
        <w:t>前</w:t>
      </w:r>
      <w:r>
        <w:rPr>
          <w:rFonts w:hint="eastAsia" w:cs="Arial" w:asciiTheme="minorEastAsia" w:hAnsiTheme="minorEastAsia" w:eastAsiaTheme="minorEastAsia"/>
          <w:color w:val="auto"/>
          <w:szCs w:val="21"/>
          <w:highlight w:val="none"/>
        </w:rPr>
        <w:t>）</w:t>
      </w:r>
      <w:r>
        <w:rPr>
          <w:rFonts w:cs="Arial" w:asciiTheme="minorEastAsia" w:hAnsiTheme="minorEastAsia" w:eastAsiaTheme="minorEastAsia"/>
          <w:color w:val="auto"/>
          <w:szCs w:val="21"/>
          <w:highlight w:val="none"/>
        </w:rPr>
        <w:t>供应商可以登录“</w:t>
      </w:r>
      <w:r>
        <w:rPr>
          <w:rFonts w:hint="eastAsia" w:cs="Arial" w:asciiTheme="minorEastAsia" w:hAnsiTheme="minorEastAsia" w:eastAsiaTheme="minorEastAsia"/>
          <w:color w:val="auto"/>
          <w:szCs w:val="21"/>
          <w:highlight w:val="none"/>
        </w:rPr>
        <w:t>政采云</w:t>
      </w:r>
      <w:r>
        <w:rPr>
          <w:rFonts w:cs="Arial" w:asciiTheme="minorEastAsia" w:hAnsiTheme="minorEastAsia" w:eastAsiaTheme="minorEastAsia"/>
          <w:color w:val="auto"/>
          <w:szCs w:val="21"/>
          <w:highlight w:val="none"/>
        </w:rPr>
        <w:t>”</w:t>
      </w:r>
      <w:r>
        <w:rPr>
          <w:rFonts w:hint="eastAsia" w:cs="Arial" w:asciiTheme="minorEastAsia" w:hAnsiTheme="minorEastAsia" w:eastAsiaTheme="minorEastAsia"/>
          <w:color w:val="auto"/>
          <w:szCs w:val="21"/>
          <w:highlight w:val="none"/>
        </w:rPr>
        <w:t>平台</w:t>
      </w:r>
      <w:r>
        <w:rPr>
          <w:rFonts w:cs="Arial" w:asciiTheme="minorEastAsia" w:hAnsiTheme="minorEastAsia" w:eastAsiaTheme="minorEastAsia"/>
          <w:color w:val="auto"/>
          <w:szCs w:val="21"/>
          <w:highlight w:val="none"/>
        </w:rPr>
        <w:t>，用“</w:t>
      </w:r>
      <w:r>
        <w:rPr>
          <w:rFonts w:hint="eastAsia" w:cs="Arial" w:asciiTheme="minorEastAsia" w:hAnsiTheme="minorEastAsia" w:eastAsiaTheme="minorEastAsia"/>
          <w:color w:val="auto"/>
          <w:szCs w:val="21"/>
          <w:highlight w:val="none"/>
        </w:rPr>
        <w:t>项目采购-开标评标</w:t>
      </w:r>
      <w:r>
        <w:rPr>
          <w:rFonts w:cs="Arial" w:asciiTheme="minorEastAsia" w:hAnsiTheme="minorEastAsia" w:eastAsiaTheme="minorEastAsia"/>
          <w:color w:val="auto"/>
          <w:szCs w:val="21"/>
          <w:highlight w:val="none"/>
        </w:rPr>
        <w:t>”功能</w:t>
      </w:r>
      <w:r>
        <w:rPr>
          <w:rFonts w:hint="eastAsia" w:cs="Arial" w:asciiTheme="minorEastAsia" w:hAnsiTheme="minorEastAsia" w:eastAsiaTheme="minorEastAsia"/>
          <w:color w:val="auto"/>
          <w:szCs w:val="21"/>
          <w:highlight w:val="none"/>
        </w:rPr>
        <w:t>进行解密投标文件</w:t>
      </w:r>
      <w:r>
        <w:rPr>
          <w:rFonts w:cs="Arial" w:asciiTheme="minorEastAsia" w:hAnsiTheme="minorEastAsia" w:eastAsiaTheme="minorEastAsia"/>
          <w:color w:val="auto"/>
          <w:szCs w:val="21"/>
          <w:highlight w:val="none"/>
        </w:rPr>
        <w:t>。</w:t>
      </w:r>
      <w:r>
        <w:rPr>
          <w:rFonts w:hint="eastAsia" w:cs="Arial" w:asciiTheme="minorEastAsia" w:hAnsiTheme="minorEastAsia" w:eastAsiaTheme="minorEastAsia"/>
          <w:color w:val="auto"/>
          <w:szCs w:val="21"/>
          <w:highlight w:val="none"/>
        </w:rPr>
        <w:t>若供应商在规定时间内（</w:t>
      </w:r>
      <w:r>
        <w:rPr>
          <w:rFonts w:hint="eastAsia" w:asciiTheme="minorEastAsia" w:hAnsiTheme="minorEastAsia" w:eastAsiaTheme="minorEastAsia"/>
          <w:b/>
          <w:color w:val="auto"/>
          <w:szCs w:val="21"/>
          <w:highlight w:val="none"/>
          <w:shd w:val="clear" w:color="auto" w:fill="FFFFFF"/>
          <w:lang w:eastAsia="zh-CN"/>
        </w:rPr>
        <w:t>2022年</w:t>
      </w:r>
      <w:r>
        <w:rPr>
          <w:rFonts w:hint="eastAsia" w:asciiTheme="minorEastAsia" w:hAnsiTheme="minorEastAsia" w:eastAsiaTheme="minorEastAsia"/>
          <w:b/>
          <w:color w:val="auto"/>
          <w:szCs w:val="21"/>
          <w:highlight w:val="none"/>
          <w:shd w:val="clear" w:color="auto" w:fill="FFFFFF"/>
          <w:lang w:val="en-US" w:eastAsia="zh-CN"/>
        </w:rPr>
        <w:t>5</w:t>
      </w:r>
      <w:r>
        <w:rPr>
          <w:rFonts w:hint="eastAsia" w:asciiTheme="minorEastAsia" w:hAnsiTheme="minorEastAsia" w:eastAsiaTheme="minorEastAsia"/>
          <w:b/>
          <w:color w:val="auto"/>
          <w:szCs w:val="21"/>
          <w:highlight w:val="none"/>
          <w:shd w:val="clear" w:color="auto" w:fill="FFFFFF"/>
          <w:lang w:eastAsia="zh-CN"/>
        </w:rPr>
        <w:t>月</w:t>
      </w:r>
      <w:r>
        <w:rPr>
          <w:rFonts w:hint="eastAsia" w:asciiTheme="minorEastAsia" w:hAnsiTheme="minorEastAsia" w:eastAsiaTheme="minorEastAsia"/>
          <w:b/>
          <w:color w:val="auto"/>
          <w:szCs w:val="21"/>
          <w:highlight w:val="none"/>
          <w:shd w:val="clear" w:color="auto" w:fill="FFFFFF"/>
          <w:lang w:val="en-US" w:eastAsia="zh-CN"/>
        </w:rPr>
        <w:t>9</w:t>
      </w:r>
      <w:r>
        <w:rPr>
          <w:rFonts w:hint="eastAsia" w:asciiTheme="minorEastAsia" w:hAnsiTheme="minorEastAsia" w:eastAsiaTheme="minorEastAsia"/>
          <w:b/>
          <w:color w:val="auto"/>
          <w:szCs w:val="21"/>
          <w:highlight w:val="none"/>
          <w:shd w:val="clear" w:color="auto" w:fill="FFFFFF"/>
          <w:lang w:eastAsia="zh-CN"/>
        </w:rPr>
        <w:t>日</w:t>
      </w:r>
      <w:r>
        <w:rPr>
          <w:rFonts w:hint="eastAsia" w:asciiTheme="minorEastAsia" w:hAnsiTheme="minorEastAsia" w:eastAsiaTheme="minorEastAsia"/>
          <w:b/>
          <w:color w:val="auto"/>
          <w:szCs w:val="21"/>
          <w:highlight w:val="none"/>
          <w:shd w:val="clear" w:color="auto" w:fill="FFFFFF"/>
        </w:rPr>
        <w:t>14时30分前</w:t>
      </w:r>
      <w:r>
        <w:rPr>
          <w:rFonts w:hint="eastAsia" w:cs="Arial" w:asciiTheme="minorEastAsia" w:hAnsiTheme="minorEastAsia" w:eastAsiaTheme="minorEastAsia"/>
          <w:color w:val="auto"/>
          <w:szCs w:val="21"/>
          <w:highlight w:val="none"/>
        </w:rPr>
        <w:t>）投</w:t>
      </w:r>
      <w:r>
        <w:rPr>
          <w:rFonts w:cs="Arial" w:asciiTheme="minorEastAsia" w:hAnsiTheme="minorEastAsia" w:eastAsiaTheme="minorEastAsia"/>
          <w:color w:val="auto"/>
          <w:szCs w:val="21"/>
          <w:highlight w:val="none"/>
        </w:rPr>
        <w:t>标文件</w:t>
      </w:r>
      <w:r>
        <w:rPr>
          <w:rFonts w:hint="eastAsia" w:cs="Arial" w:asciiTheme="minorEastAsia" w:hAnsiTheme="minorEastAsia" w:eastAsiaTheme="minorEastAsia"/>
          <w:color w:val="auto"/>
          <w:szCs w:val="21"/>
          <w:highlight w:val="none"/>
        </w:rPr>
        <w:t>无法解密或解密失败</w:t>
      </w:r>
      <w:r>
        <w:rPr>
          <w:rFonts w:cs="Arial" w:asciiTheme="minorEastAsia" w:hAnsiTheme="minorEastAsia" w:eastAsiaTheme="minorEastAsia"/>
          <w:color w:val="auto"/>
          <w:szCs w:val="21"/>
          <w:highlight w:val="none"/>
        </w:rPr>
        <w:t>（含未</w:t>
      </w:r>
      <w:r>
        <w:rPr>
          <w:rFonts w:hint="eastAsia" w:cs="Arial" w:asciiTheme="minorEastAsia" w:hAnsiTheme="minorEastAsia" w:eastAsiaTheme="minorEastAsia"/>
          <w:color w:val="auto"/>
          <w:szCs w:val="21"/>
          <w:highlight w:val="none"/>
        </w:rPr>
        <w:t>提交</w:t>
      </w:r>
      <w:r>
        <w:rPr>
          <w:rFonts w:cs="Arial" w:asciiTheme="minorEastAsia" w:hAnsiTheme="minorEastAsia" w:eastAsiaTheme="minorEastAsia"/>
          <w:color w:val="auto"/>
          <w:szCs w:val="21"/>
          <w:highlight w:val="none"/>
        </w:rPr>
        <w:t>），</w:t>
      </w:r>
      <w:r>
        <w:rPr>
          <w:rFonts w:hint="eastAsia" w:cs="Arial" w:asciiTheme="minorEastAsia" w:hAnsiTheme="minorEastAsia" w:eastAsiaTheme="minorEastAsia"/>
          <w:color w:val="auto"/>
          <w:szCs w:val="21"/>
          <w:highlight w:val="none"/>
        </w:rPr>
        <w:t>则投标无效。</w:t>
      </w:r>
    </w:p>
    <w:p>
      <w:pPr>
        <w:pStyle w:val="48"/>
        <w:ind w:left="0" w:leftChars="0" w:firstLine="0" w:firstLineChars="0"/>
        <w:rPr>
          <w:b/>
          <w:bCs/>
          <w:color w:val="auto"/>
          <w:highlight w:val="none"/>
        </w:rPr>
      </w:pPr>
      <w:r>
        <w:rPr>
          <w:rFonts w:hint="eastAsia"/>
          <w:b/>
          <w:bCs/>
          <w:color w:val="auto"/>
          <w:highlight w:val="none"/>
        </w:rPr>
        <w:t>十二、业务咨询：</w:t>
      </w:r>
    </w:p>
    <w:p>
      <w:pPr>
        <w:snapToGrid w:val="0"/>
        <w:spacing w:line="360" w:lineRule="auto"/>
        <w:rPr>
          <w:rFonts w:hint="eastAsia" w:cs="Arial" w:asciiTheme="minorEastAsia" w:hAnsiTheme="minorEastAsia" w:eastAsiaTheme="minorEastAsia"/>
          <w:b w:val="0"/>
          <w:bCs/>
          <w:color w:val="auto"/>
          <w:szCs w:val="21"/>
          <w:highlight w:val="none"/>
          <w:lang w:eastAsia="zh-CN"/>
        </w:rPr>
      </w:pPr>
      <w:r>
        <w:rPr>
          <w:rFonts w:hint="eastAsia" w:cs="Arial" w:asciiTheme="minorEastAsia" w:hAnsiTheme="minorEastAsia" w:eastAsiaTheme="minorEastAsia"/>
          <w:b w:val="0"/>
          <w:bCs/>
          <w:color w:val="auto"/>
          <w:szCs w:val="21"/>
          <w:highlight w:val="none"/>
        </w:rPr>
        <w:t>名    称：</w:t>
      </w:r>
      <w:r>
        <w:rPr>
          <w:rFonts w:hint="eastAsia" w:cs="Arial" w:asciiTheme="minorEastAsia" w:hAnsiTheme="minorEastAsia" w:eastAsiaTheme="minorEastAsia"/>
          <w:b w:val="0"/>
          <w:bCs/>
          <w:color w:val="auto"/>
          <w:szCs w:val="21"/>
          <w:highlight w:val="none"/>
          <w:lang w:eastAsia="zh-CN"/>
        </w:rPr>
        <w:t>嘉兴市秀洲区人民政府新城街道办事处</w:t>
      </w:r>
    </w:p>
    <w:p>
      <w:pPr>
        <w:snapToGrid w:val="0"/>
        <w:spacing w:line="360" w:lineRule="auto"/>
        <w:rPr>
          <w:rFonts w:hint="eastAsia" w:cs="Arial" w:asciiTheme="minorEastAsia" w:hAnsiTheme="minorEastAsia" w:eastAsiaTheme="minorEastAsia"/>
          <w:b w:val="0"/>
          <w:bCs/>
          <w:color w:val="auto"/>
          <w:szCs w:val="21"/>
          <w:highlight w:val="none"/>
          <w:lang w:eastAsia="zh-CN"/>
        </w:rPr>
      </w:pPr>
      <w:r>
        <w:rPr>
          <w:rFonts w:hint="eastAsia" w:cs="Arial" w:asciiTheme="minorEastAsia" w:hAnsiTheme="minorEastAsia" w:eastAsiaTheme="minorEastAsia"/>
          <w:b w:val="0"/>
          <w:bCs/>
          <w:color w:val="auto"/>
          <w:szCs w:val="21"/>
          <w:highlight w:val="none"/>
        </w:rPr>
        <w:t>地    址：嘉兴市中山西路977号</w:t>
      </w:r>
    </w:p>
    <w:p>
      <w:pPr>
        <w:snapToGrid w:val="0"/>
        <w:spacing w:line="360" w:lineRule="auto"/>
        <w:rPr>
          <w:rFonts w:hint="eastAsia" w:cs="Arial" w:asciiTheme="minorEastAsia" w:hAnsiTheme="minorEastAsia" w:eastAsiaTheme="minorEastAsia"/>
          <w:b w:val="0"/>
          <w:bCs/>
          <w:color w:val="auto"/>
          <w:szCs w:val="21"/>
          <w:highlight w:val="none"/>
          <w:lang w:val="en-US" w:eastAsia="zh-CN"/>
        </w:rPr>
      </w:pPr>
      <w:r>
        <w:rPr>
          <w:rFonts w:hint="eastAsia" w:cs="Arial" w:asciiTheme="minorEastAsia" w:hAnsiTheme="minorEastAsia" w:eastAsiaTheme="minorEastAsia"/>
          <w:b w:val="0"/>
          <w:bCs/>
          <w:color w:val="auto"/>
          <w:szCs w:val="21"/>
          <w:highlight w:val="none"/>
        </w:rPr>
        <w:t>传    真：</w:t>
      </w:r>
      <w:r>
        <w:rPr>
          <w:rFonts w:hint="eastAsia" w:cs="Arial" w:asciiTheme="minorEastAsia" w:hAnsiTheme="minorEastAsia" w:eastAsiaTheme="minorEastAsia"/>
          <w:b w:val="0"/>
          <w:bCs/>
          <w:color w:val="auto"/>
          <w:szCs w:val="21"/>
          <w:highlight w:val="none"/>
          <w:lang w:val="en-US" w:eastAsia="zh-CN"/>
        </w:rPr>
        <w:t>/</w:t>
      </w:r>
    </w:p>
    <w:p>
      <w:pPr>
        <w:snapToGrid w:val="0"/>
        <w:spacing w:line="360" w:lineRule="auto"/>
        <w:rPr>
          <w:rFonts w:hint="eastAsia" w:cs="Arial" w:asciiTheme="minorEastAsia" w:hAnsiTheme="minorEastAsia" w:eastAsiaTheme="minorEastAsia"/>
          <w:b w:val="0"/>
          <w:bCs/>
          <w:color w:val="auto"/>
          <w:szCs w:val="21"/>
          <w:highlight w:val="none"/>
          <w:lang w:val="en-US" w:eastAsia="zh-CN"/>
        </w:rPr>
      </w:pPr>
      <w:r>
        <w:rPr>
          <w:rFonts w:hint="eastAsia" w:cs="Arial" w:asciiTheme="minorEastAsia" w:hAnsiTheme="minorEastAsia" w:eastAsiaTheme="minorEastAsia"/>
          <w:b w:val="0"/>
          <w:bCs/>
          <w:color w:val="auto"/>
          <w:szCs w:val="21"/>
          <w:highlight w:val="none"/>
        </w:rPr>
        <w:t>项目联系人（询问）：</w:t>
      </w:r>
      <w:r>
        <w:rPr>
          <w:rFonts w:hint="eastAsia" w:cs="Arial" w:asciiTheme="minorEastAsia" w:hAnsiTheme="minorEastAsia" w:eastAsiaTheme="minorEastAsia"/>
          <w:b w:val="0"/>
          <w:bCs/>
          <w:color w:val="auto"/>
          <w:szCs w:val="21"/>
          <w:highlight w:val="none"/>
          <w:lang w:val="en-US" w:eastAsia="zh-CN"/>
        </w:rPr>
        <w:t>王先生</w:t>
      </w:r>
    </w:p>
    <w:p>
      <w:pPr>
        <w:snapToGrid w:val="0"/>
        <w:spacing w:line="360" w:lineRule="auto"/>
        <w:rPr>
          <w:rFonts w:hint="eastAsia" w:cs="Arial" w:asciiTheme="minorEastAsia" w:hAnsiTheme="minorEastAsia" w:eastAsiaTheme="minorEastAsia"/>
          <w:b w:val="0"/>
          <w:bCs/>
          <w:color w:val="auto"/>
          <w:szCs w:val="21"/>
          <w:highlight w:val="none"/>
          <w:lang w:val="en-US" w:eastAsia="zh-CN"/>
        </w:rPr>
      </w:pPr>
      <w:r>
        <w:rPr>
          <w:rFonts w:hint="eastAsia" w:cs="Arial" w:asciiTheme="minorEastAsia" w:hAnsiTheme="minorEastAsia" w:eastAsiaTheme="minorEastAsia"/>
          <w:b w:val="0"/>
          <w:bCs/>
          <w:color w:val="auto"/>
          <w:szCs w:val="21"/>
          <w:highlight w:val="none"/>
        </w:rPr>
        <w:t>项目联系方式（询问）：0573-</w:t>
      </w:r>
      <w:r>
        <w:rPr>
          <w:rFonts w:hint="eastAsia" w:cs="Arial" w:asciiTheme="minorEastAsia" w:hAnsiTheme="minorEastAsia" w:eastAsiaTheme="minorEastAsia"/>
          <w:b w:val="0"/>
          <w:bCs/>
          <w:color w:val="auto"/>
          <w:szCs w:val="21"/>
          <w:highlight w:val="none"/>
          <w:lang w:val="en-US" w:eastAsia="zh-CN"/>
        </w:rPr>
        <w:t>82712276</w:t>
      </w:r>
    </w:p>
    <w:p>
      <w:pPr>
        <w:snapToGrid w:val="0"/>
        <w:spacing w:line="360" w:lineRule="auto"/>
        <w:rPr>
          <w:rFonts w:hint="default" w:cs="Arial" w:asciiTheme="minorEastAsia" w:hAnsiTheme="minorEastAsia" w:eastAsiaTheme="minorEastAsia"/>
          <w:b w:val="0"/>
          <w:bCs/>
          <w:color w:val="auto"/>
          <w:szCs w:val="21"/>
          <w:highlight w:val="none"/>
          <w:lang w:val="en-US" w:eastAsia="zh-CN"/>
        </w:rPr>
      </w:pPr>
      <w:r>
        <w:rPr>
          <w:rFonts w:hint="eastAsia" w:cs="Arial" w:asciiTheme="minorEastAsia" w:hAnsiTheme="minorEastAsia" w:eastAsiaTheme="minorEastAsia"/>
          <w:b w:val="0"/>
          <w:bCs/>
          <w:color w:val="auto"/>
          <w:szCs w:val="21"/>
          <w:highlight w:val="none"/>
        </w:rPr>
        <w:t>质疑联系人：</w:t>
      </w:r>
      <w:r>
        <w:rPr>
          <w:rFonts w:hint="eastAsia" w:cs="Arial" w:asciiTheme="minorEastAsia" w:hAnsiTheme="minorEastAsia" w:eastAsiaTheme="minorEastAsia"/>
          <w:b w:val="0"/>
          <w:bCs/>
          <w:color w:val="auto"/>
          <w:szCs w:val="21"/>
          <w:highlight w:val="none"/>
          <w:lang w:eastAsia="zh-CN"/>
        </w:rPr>
        <w:t>俞</w:t>
      </w:r>
      <w:r>
        <w:rPr>
          <w:rFonts w:hint="eastAsia" w:cs="Arial" w:asciiTheme="minorEastAsia" w:hAnsiTheme="minorEastAsia" w:eastAsiaTheme="minorEastAsia"/>
          <w:b w:val="0"/>
          <w:bCs/>
          <w:color w:val="auto"/>
          <w:szCs w:val="21"/>
          <w:highlight w:val="none"/>
          <w:lang w:val="en-US" w:eastAsia="zh-CN"/>
        </w:rPr>
        <w:t>先生</w:t>
      </w:r>
    </w:p>
    <w:p>
      <w:pPr>
        <w:snapToGrid w:val="0"/>
        <w:spacing w:line="360" w:lineRule="auto"/>
        <w:rPr>
          <w:rFonts w:hint="eastAsia" w:cs="Arial" w:asciiTheme="minorEastAsia" w:hAnsiTheme="minorEastAsia" w:eastAsiaTheme="minorEastAsia"/>
          <w:b w:val="0"/>
          <w:bCs/>
          <w:color w:val="auto"/>
          <w:szCs w:val="21"/>
          <w:highlight w:val="none"/>
        </w:rPr>
      </w:pPr>
      <w:r>
        <w:rPr>
          <w:rFonts w:hint="eastAsia" w:cs="Arial" w:asciiTheme="minorEastAsia" w:hAnsiTheme="minorEastAsia" w:eastAsiaTheme="minorEastAsia"/>
          <w:b w:val="0"/>
          <w:bCs/>
          <w:color w:val="auto"/>
          <w:szCs w:val="21"/>
          <w:highlight w:val="none"/>
        </w:rPr>
        <w:t>质疑联系方式：0573-</w:t>
      </w:r>
      <w:r>
        <w:rPr>
          <w:rFonts w:hint="eastAsia" w:cs="Arial" w:asciiTheme="minorEastAsia" w:hAnsiTheme="minorEastAsia" w:eastAsiaTheme="minorEastAsia"/>
          <w:b w:val="0"/>
          <w:bCs/>
          <w:color w:val="auto"/>
          <w:szCs w:val="21"/>
          <w:highlight w:val="none"/>
          <w:lang w:val="en-US" w:eastAsia="zh-CN"/>
        </w:rPr>
        <w:t>82710582</w:t>
      </w:r>
    </w:p>
    <w:p>
      <w:pPr>
        <w:snapToGrid w:val="0"/>
        <w:spacing w:line="360" w:lineRule="auto"/>
        <w:rPr>
          <w:rFonts w:hint="eastAsia" w:cs="Arial" w:asciiTheme="minorEastAsia" w:hAnsiTheme="minorEastAsia" w:eastAsiaTheme="minorEastAsia"/>
          <w:b w:val="0"/>
          <w:bCs/>
          <w:color w:val="auto"/>
          <w:szCs w:val="21"/>
          <w:highlight w:val="none"/>
        </w:rPr>
      </w:pPr>
      <w:r>
        <w:rPr>
          <w:rFonts w:hint="eastAsia" w:cs="Arial" w:asciiTheme="minorEastAsia" w:hAnsiTheme="minorEastAsia" w:eastAsiaTheme="minorEastAsia"/>
          <w:b w:val="0"/>
          <w:bCs/>
          <w:color w:val="auto"/>
          <w:szCs w:val="21"/>
          <w:highlight w:val="none"/>
        </w:rPr>
        <w:t>2、采购代理机构信息</w:t>
      </w:r>
    </w:p>
    <w:p>
      <w:pPr>
        <w:snapToGrid w:val="0"/>
        <w:spacing w:line="360" w:lineRule="auto"/>
        <w:rPr>
          <w:rFonts w:hint="eastAsia" w:cs="Arial" w:asciiTheme="minorEastAsia" w:hAnsiTheme="minorEastAsia" w:eastAsiaTheme="minorEastAsia"/>
          <w:b w:val="0"/>
          <w:bCs/>
          <w:color w:val="auto"/>
          <w:szCs w:val="21"/>
          <w:highlight w:val="none"/>
          <w:lang w:eastAsia="zh-CN"/>
        </w:rPr>
      </w:pPr>
      <w:r>
        <w:rPr>
          <w:rFonts w:hint="eastAsia" w:cs="Arial" w:asciiTheme="minorEastAsia" w:hAnsiTheme="minorEastAsia" w:eastAsiaTheme="minorEastAsia"/>
          <w:b w:val="0"/>
          <w:bCs/>
          <w:color w:val="auto"/>
          <w:szCs w:val="21"/>
          <w:highlight w:val="none"/>
        </w:rPr>
        <w:t>名    称： </w:t>
      </w:r>
      <w:r>
        <w:rPr>
          <w:rFonts w:hint="eastAsia" w:cs="Arial" w:asciiTheme="minorEastAsia" w:hAnsiTheme="minorEastAsia" w:eastAsiaTheme="minorEastAsia"/>
          <w:b w:val="0"/>
          <w:bCs/>
          <w:color w:val="auto"/>
          <w:szCs w:val="21"/>
          <w:highlight w:val="none"/>
          <w:lang w:eastAsia="zh-CN"/>
        </w:rPr>
        <w:t>嘉兴市银建工程咨询评估有限公司</w:t>
      </w:r>
    </w:p>
    <w:p>
      <w:pPr>
        <w:snapToGrid w:val="0"/>
        <w:spacing w:line="360" w:lineRule="auto"/>
        <w:rPr>
          <w:rFonts w:hint="eastAsia" w:cs="Arial" w:asciiTheme="minorEastAsia" w:hAnsiTheme="minorEastAsia" w:eastAsiaTheme="minorEastAsia"/>
          <w:b w:val="0"/>
          <w:bCs/>
          <w:color w:val="auto"/>
          <w:szCs w:val="21"/>
          <w:highlight w:val="none"/>
          <w:lang w:eastAsia="zh-CN"/>
        </w:rPr>
      </w:pPr>
      <w:r>
        <w:rPr>
          <w:rFonts w:hint="eastAsia" w:cs="Arial" w:asciiTheme="minorEastAsia" w:hAnsiTheme="minorEastAsia" w:eastAsiaTheme="minorEastAsia"/>
          <w:b w:val="0"/>
          <w:bCs/>
          <w:color w:val="auto"/>
          <w:szCs w:val="21"/>
          <w:highlight w:val="none"/>
        </w:rPr>
        <w:t>地    址： </w:t>
      </w:r>
      <w:r>
        <w:rPr>
          <w:rFonts w:hint="eastAsia" w:cs="Arial" w:asciiTheme="minorEastAsia" w:hAnsiTheme="minorEastAsia" w:eastAsiaTheme="minorEastAsia"/>
          <w:b w:val="0"/>
          <w:bCs/>
          <w:color w:val="auto"/>
          <w:szCs w:val="21"/>
          <w:highlight w:val="none"/>
          <w:lang w:eastAsia="zh-CN"/>
        </w:rPr>
        <w:t>嘉兴市秀洲区洪兴路239</w:t>
      </w:r>
      <w:r>
        <w:rPr>
          <w:rFonts w:hint="eastAsia" w:cs="Arial" w:asciiTheme="minorEastAsia" w:hAnsiTheme="minorEastAsia" w:eastAsiaTheme="minorEastAsia"/>
          <w:b w:val="0"/>
          <w:bCs/>
          <w:color w:val="auto"/>
          <w:szCs w:val="21"/>
          <w:highlight w:val="none"/>
          <w:lang w:val="en-US" w:eastAsia="zh-CN"/>
        </w:rPr>
        <w:t>9</w:t>
      </w:r>
      <w:r>
        <w:rPr>
          <w:rFonts w:hint="eastAsia" w:cs="Arial" w:asciiTheme="minorEastAsia" w:hAnsiTheme="minorEastAsia" w:eastAsiaTheme="minorEastAsia"/>
          <w:b w:val="0"/>
          <w:bCs/>
          <w:color w:val="auto"/>
          <w:szCs w:val="21"/>
          <w:highlight w:val="none"/>
          <w:lang w:eastAsia="zh-CN"/>
        </w:rPr>
        <w:t>号宝地大厦1503室</w:t>
      </w:r>
    </w:p>
    <w:p>
      <w:pPr>
        <w:snapToGrid w:val="0"/>
        <w:spacing w:line="360" w:lineRule="auto"/>
        <w:rPr>
          <w:rFonts w:hint="eastAsia" w:cs="Arial" w:asciiTheme="minorEastAsia" w:hAnsiTheme="minorEastAsia" w:eastAsiaTheme="minorEastAsia"/>
          <w:b w:val="0"/>
          <w:bCs/>
          <w:color w:val="auto"/>
          <w:szCs w:val="21"/>
          <w:highlight w:val="none"/>
          <w:lang w:eastAsia="zh-CN"/>
        </w:rPr>
      </w:pPr>
      <w:r>
        <w:rPr>
          <w:rFonts w:hint="eastAsia" w:cs="Arial" w:asciiTheme="minorEastAsia" w:hAnsiTheme="minorEastAsia" w:eastAsiaTheme="minorEastAsia"/>
          <w:b w:val="0"/>
          <w:bCs/>
          <w:color w:val="auto"/>
          <w:szCs w:val="21"/>
          <w:highlight w:val="none"/>
        </w:rPr>
        <w:t>传    真：</w:t>
      </w:r>
      <w:r>
        <w:rPr>
          <w:rFonts w:hint="eastAsia" w:cs="Arial" w:asciiTheme="minorEastAsia" w:hAnsiTheme="minorEastAsia" w:eastAsiaTheme="minorEastAsia"/>
          <w:b w:val="0"/>
          <w:bCs/>
          <w:color w:val="auto"/>
          <w:szCs w:val="21"/>
          <w:highlight w:val="none"/>
          <w:lang w:val="en-US" w:eastAsia="zh-CN"/>
        </w:rPr>
        <w:t>/</w:t>
      </w:r>
    </w:p>
    <w:p>
      <w:pPr>
        <w:snapToGrid w:val="0"/>
        <w:spacing w:line="360" w:lineRule="auto"/>
        <w:rPr>
          <w:rFonts w:hint="eastAsia" w:cs="Arial" w:asciiTheme="minorEastAsia" w:hAnsiTheme="minorEastAsia" w:eastAsiaTheme="minorEastAsia"/>
          <w:b w:val="0"/>
          <w:bCs/>
          <w:color w:val="auto"/>
          <w:szCs w:val="21"/>
          <w:highlight w:val="none"/>
          <w:lang w:eastAsia="zh-CN"/>
        </w:rPr>
      </w:pPr>
      <w:r>
        <w:rPr>
          <w:rFonts w:hint="eastAsia" w:cs="Arial" w:asciiTheme="minorEastAsia" w:hAnsiTheme="minorEastAsia" w:eastAsiaTheme="minorEastAsia"/>
          <w:b w:val="0"/>
          <w:bCs/>
          <w:color w:val="auto"/>
          <w:szCs w:val="21"/>
          <w:highlight w:val="none"/>
        </w:rPr>
        <w:t>项目联系人（询问）：</w:t>
      </w:r>
      <w:r>
        <w:rPr>
          <w:rFonts w:hint="eastAsia" w:cs="Arial" w:asciiTheme="minorEastAsia" w:hAnsiTheme="minorEastAsia" w:eastAsiaTheme="minorEastAsia"/>
          <w:b w:val="0"/>
          <w:bCs/>
          <w:color w:val="auto"/>
          <w:szCs w:val="21"/>
          <w:highlight w:val="none"/>
          <w:lang w:eastAsia="zh-CN"/>
        </w:rPr>
        <w:t>吴女士</w:t>
      </w:r>
    </w:p>
    <w:p>
      <w:pPr>
        <w:snapToGrid w:val="0"/>
        <w:spacing w:line="360" w:lineRule="auto"/>
        <w:rPr>
          <w:rFonts w:hint="default" w:cs="Arial" w:asciiTheme="minorEastAsia" w:hAnsiTheme="minorEastAsia" w:eastAsiaTheme="minorEastAsia"/>
          <w:b w:val="0"/>
          <w:bCs/>
          <w:color w:val="auto"/>
          <w:szCs w:val="21"/>
          <w:highlight w:val="none"/>
          <w:lang w:val="en-US" w:eastAsia="zh-CN"/>
        </w:rPr>
      </w:pPr>
      <w:r>
        <w:rPr>
          <w:rFonts w:hint="eastAsia" w:cs="Arial" w:asciiTheme="minorEastAsia" w:hAnsiTheme="minorEastAsia" w:eastAsiaTheme="minorEastAsia"/>
          <w:b w:val="0"/>
          <w:bCs/>
          <w:color w:val="auto"/>
          <w:szCs w:val="21"/>
          <w:highlight w:val="none"/>
        </w:rPr>
        <w:t xml:space="preserve">项目联系方式（询问）： </w:t>
      </w:r>
      <w:r>
        <w:rPr>
          <w:rFonts w:hint="eastAsia" w:cs="Arial" w:asciiTheme="minorEastAsia" w:hAnsiTheme="minorEastAsia" w:eastAsiaTheme="minorEastAsia"/>
          <w:b w:val="0"/>
          <w:bCs/>
          <w:color w:val="auto"/>
          <w:szCs w:val="21"/>
          <w:highlight w:val="none"/>
          <w:lang w:val="en-US" w:eastAsia="zh-CN"/>
        </w:rPr>
        <w:t>18105730155</w:t>
      </w:r>
    </w:p>
    <w:p>
      <w:pPr>
        <w:snapToGrid w:val="0"/>
        <w:spacing w:line="360" w:lineRule="auto"/>
        <w:rPr>
          <w:rFonts w:hint="eastAsia" w:cs="Arial" w:asciiTheme="minorEastAsia" w:hAnsiTheme="minorEastAsia" w:eastAsiaTheme="minorEastAsia"/>
          <w:b w:val="0"/>
          <w:bCs/>
          <w:color w:val="auto"/>
          <w:szCs w:val="21"/>
          <w:highlight w:val="none"/>
          <w:lang w:eastAsia="zh-CN"/>
        </w:rPr>
      </w:pPr>
      <w:r>
        <w:rPr>
          <w:rFonts w:hint="eastAsia" w:cs="Arial" w:asciiTheme="minorEastAsia" w:hAnsiTheme="minorEastAsia" w:eastAsiaTheme="minorEastAsia"/>
          <w:b w:val="0"/>
          <w:bCs/>
          <w:color w:val="auto"/>
          <w:szCs w:val="21"/>
          <w:highlight w:val="none"/>
        </w:rPr>
        <w:t>质疑联系人： </w:t>
      </w:r>
      <w:r>
        <w:rPr>
          <w:rFonts w:hint="eastAsia" w:cs="Arial" w:asciiTheme="minorEastAsia" w:hAnsiTheme="minorEastAsia" w:eastAsiaTheme="minorEastAsia"/>
          <w:b w:val="0"/>
          <w:bCs/>
          <w:color w:val="auto"/>
          <w:szCs w:val="21"/>
          <w:highlight w:val="none"/>
          <w:lang w:eastAsia="zh-CN"/>
        </w:rPr>
        <w:t>李先生</w:t>
      </w:r>
    </w:p>
    <w:p>
      <w:pPr>
        <w:snapToGrid w:val="0"/>
        <w:spacing w:line="360" w:lineRule="auto"/>
        <w:rPr>
          <w:rFonts w:hint="eastAsia" w:cs="Arial" w:asciiTheme="minorEastAsia" w:hAnsiTheme="minorEastAsia" w:eastAsiaTheme="minorEastAsia"/>
          <w:b w:val="0"/>
          <w:bCs/>
          <w:color w:val="auto"/>
          <w:szCs w:val="21"/>
          <w:highlight w:val="none"/>
        </w:rPr>
      </w:pPr>
      <w:r>
        <w:rPr>
          <w:rFonts w:hint="eastAsia" w:cs="Arial" w:asciiTheme="minorEastAsia" w:hAnsiTheme="minorEastAsia" w:eastAsiaTheme="minorEastAsia"/>
          <w:b w:val="0"/>
          <w:bCs/>
          <w:color w:val="auto"/>
          <w:szCs w:val="21"/>
          <w:highlight w:val="none"/>
        </w:rPr>
        <w:t>质疑联系方式：</w:t>
      </w:r>
      <w:r>
        <w:rPr>
          <w:rFonts w:hint="eastAsia" w:cs="Arial" w:asciiTheme="minorEastAsia" w:hAnsiTheme="minorEastAsia" w:eastAsiaTheme="minorEastAsia"/>
          <w:b w:val="0"/>
          <w:bCs/>
          <w:color w:val="auto"/>
          <w:szCs w:val="21"/>
          <w:highlight w:val="none"/>
          <w:lang w:val="en-US" w:eastAsia="zh-CN"/>
        </w:rPr>
        <w:t>18006615280</w:t>
      </w:r>
    </w:p>
    <w:p>
      <w:pPr>
        <w:snapToGrid w:val="0"/>
        <w:spacing w:line="360" w:lineRule="auto"/>
        <w:rPr>
          <w:rFonts w:hint="eastAsia" w:cs="Arial" w:asciiTheme="minorEastAsia" w:hAnsiTheme="minorEastAsia" w:eastAsiaTheme="minorEastAsia"/>
          <w:b w:val="0"/>
          <w:bCs/>
          <w:color w:val="auto"/>
          <w:szCs w:val="21"/>
          <w:highlight w:val="none"/>
        </w:rPr>
      </w:pPr>
      <w:r>
        <w:rPr>
          <w:rFonts w:hint="eastAsia" w:cs="Arial" w:asciiTheme="minorEastAsia" w:hAnsiTheme="minorEastAsia" w:eastAsiaTheme="minorEastAsia"/>
          <w:b w:val="0"/>
          <w:bCs/>
          <w:color w:val="auto"/>
          <w:szCs w:val="21"/>
          <w:highlight w:val="none"/>
        </w:rPr>
        <w:t>3、同级政府采购监督管理部门</w:t>
      </w:r>
    </w:p>
    <w:p>
      <w:pPr>
        <w:snapToGrid w:val="0"/>
        <w:spacing w:line="360" w:lineRule="auto"/>
        <w:rPr>
          <w:rFonts w:hint="eastAsia" w:cs="Arial" w:asciiTheme="minorEastAsia" w:hAnsiTheme="minorEastAsia" w:eastAsiaTheme="minorEastAsia"/>
          <w:b w:val="0"/>
          <w:bCs/>
          <w:color w:val="auto"/>
          <w:szCs w:val="21"/>
          <w:highlight w:val="none"/>
          <w:lang w:eastAsia="zh-CN"/>
        </w:rPr>
      </w:pPr>
      <w:r>
        <w:rPr>
          <w:rFonts w:hint="eastAsia" w:cs="Arial" w:asciiTheme="minorEastAsia" w:hAnsiTheme="minorEastAsia" w:eastAsiaTheme="minorEastAsia"/>
          <w:b w:val="0"/>
          <w:bCs/>
          <w:color w:val="auto"/>
          <w:szCs w:val="21"/>
          <w:highlight w:val="none"/>
        </w:rPr>
        <w:t xml:space="preserve">名    称： 嘉兴市秀洲区财政局 </w:t>
      </w:r>
    </w:p>
    <w:p>
      <w:pPr>
        <w:snapToGrid w:val="0"/>
        <w:spacing w:line="360" w:lineRule="auto"/>
        <w:rPr>
          <w:rFonts w:cs="Arial" w:asciiTheme="minorEastAsia" w:hAnsiTheme="minorEastAsia" w:eastAsiaTheme="minorEastAsia"/>
          <w:b w:val="0"/>
          <w:bCs/>
          <w:color w:val="auto"/>
          <w:szCs w:val="21"/>
          <w:highlight w:val="none"/>
        </w:rPr>
      </w:pPr>
      <w:r>
        <w:rPr>
          <w:rFonts w:hint="eastAsia" w:cs="Arial" w:asciiTheme="minorEastAsia" w:hAnsiTheme="minorEastAsia" w:eastAsiaTheme="minorEastAsia"/>
          <w:b w:val="0"/>
          <w:bCs/>
          <w:color w:val="auto"/>
          <w:szCs w:val="21"/>
          <w:highlight w:val="none"/>
        </w:rPr>
        <w:t>监督投诉电话：0573-82720086</w:t>
      </w:r>
    </w:p>
    <w:p>
      <w:pPr>
        <w:snapToGrid w:val="0"/>
        <w:spacing w:line="360" w:lineRule="auto"/>
        <w:rPr>
          <w:rFonts w:ascii="宋体" w:hAnsi="宋体" w:cs="Arial"/>
          <w:b/>
          <w:bCs/>
          <w:color w:val="auto"/>
          <w:kern w:val="0"/>
          <w:szCs w:val="21"/>
          <w:highlight w:val="none"/>
        </w:rPr>
      </w:pPr>
      <w:r>
        <w:rPr>
          <w:rFonts w:ascii="宋体" w:hAnsi="宋体" w:cs="Arial"/>
          <w:b/>
          <w:bCs/>
          <w:color w:val="auto"/>
          <w:kern w:val="0"/>
          <w:szCs w:val="21"/>
          <w:highlight w:val="none"/>
        </w:rPr>
        <w:t>十</w:t>
      </w:r>
      <w:r>
        <w:rPr>
          <w:rFonts w:hint="eastAsia" w:ascii="宋体" w:hAnsi="宋体" w:cs="Arial"/>
          <w:b/>
          <w:bCs/>
          <w:color w:val="auto"/>
          <w:kern w:val="0"/>
          <w:szCs w:val="21"/>
          <w:highlight w:val="none"/>
          <w:lang w:eastAsia="zh-CN"/>
        </w:rPr>
        <w:t>三</w:t>
      </w:r>
      <w:r>
        <w:rPr>
          <w:rFonts w:ascii="宋体" w:hAnsi="宋体" w:cs="Arial"/>
          <w:b/>
          <w:bCs/>
          <w:color w:val="auto"/>
          <w:kern w:val="0"/>
          <w:szCs w:val="21"/>
          <w:highlight w:val="none"/>
        </w:rPr>
        <w:t>、其他事项：</w:t>
      </w:r>
    </w:p>
    <w:p>
      <w:pPr>
        <w:snapToGrid w:val="0"/>
        <w:spacing w:line="360" w:lineRule="auto"/>
        <w:rPr>
          <w:rFonts w:ascii="宋体" w:hAnsi="宋体"/>
          <w:color w:val="auto"/>
          <w:szCs w:val="21"/>
          <w:highlight w:val="none"/>
        </w:rPr>
      </w:pPr>
      <w:r>
        <w:rPr>
          <w:rFonts w:hint="eastAsia"/>
          <w:color w:val="auto"/>
          <w:highlight w:val="none"/>
        </w:rPr>
        <w:t>（一）</w:t>
      </w:r>
      <w:r>
        <w:rPr>
          <w:color w:val="auto"/>
          <w:highlight w:val="none"/>
        </w:rPr>
        <w:t> </w:t>
      </w:r>
      <w:r>
        <w:rPr>
          <w:rFonts w:ascii="宋体" w:hAnsi="宋体"/>
          <w:color w:val="auto"/>
          <w:szCs w:val="21"/>
          <w:highlight w:val="none"/>
        </w:rPr>
        <w:t>本项目公告期限为5个工作日，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napToGrid w:val="0"/>
        <w:spacing w:line="360" w:lineRule="auto"/>
        <w:jc w:val="righ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w:t>
      </w:r>
    </w:p>
    <w:p>
      <w:pPr>
        <w:snapToGrid w:val="0"/>
        <w:spacing w:line="360" w:lineRule="auto"/>
        <w:jc w:val="right"/>
        <w:rPr>
          <w:rFonts w:asciiTheme="minorEastAsia" w:hAnsiTheme="minorEastAsia" w:eastAsiaTheme="minorEastAsia"/>
          <w:color w:val="auto"/>
          <w:szCs w:val="21"/>
          <w:highlight w:val="none"/>
        </w:rPr>
      </w:pPr>
    </w:p>
    <w:p>
      <w:pPr>
        <w:pStyle w:val="48"/>
        <w:ind w:firstLine="404"/>
        <w:rPr>
          <w:color w:val="auto"/>
          <w:highlight w:val="none"/>
        </w:rPr>
      </w:pPr>
    </w:p>
    <w:p>
      <w:pPr>
        <w:snapToGrid w:val="0"/>
        <w:spacing w:line="360" w:lineRule="auto"/>
        <w:jc w:val="right"/>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color w:val="auto"/>
          <w:szCs w:val="21"/>
          <w:highlight w:val="none"/>
        </w:rPr>
        <w:t>采购</w:t>
      </w:r>
      <w:r>
        <w:rPr>
          <w:rFonts w:asciiTheme="minorEastAsia" w:hAnsiTheme="minorEastAsia" w:eastAsiaTheme="minorEastAsia"/>
          <w:color w:val="auto"/>
          <w:szCs w:val="21"/>
          <w:highlight w:val="none"/>
        </w:rPr>
        <w:t>单位：</w:t>
      </w:r>
      <w:r>
        <w:rPr>
          <w:rFonts w:hint="eastAsia" w:asciiTheme="minorEastAsia" w:hAnsiTheme="minorEastAsia" w:eastAsiaTheme="minorEastAsia"/>
          <w:color w:val="auto"/>
          <w:szCs w:val="21"/>
          <w:highlight w:val="none"/>
          <w:lang w:eastAsia="zh-CN"/>
        </w:rPr>
        <w:t>嘉兴市秀洲区人民政府新城街道办事处</w:t>
      </w:r>
    </w:p>
    <w:p>
      <w:pPr>
        <w:snapToGrid w:val="0"/>
        <w:spacing w:line="360" w:lineRule="auto"/>
        <w:jc w:val="righ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代理机构：嘉兴市银建工程咨询评估有限公司</w:t>
      </w:r>
    </w:p>
    <w:p>
      <w:pPr>
        <w:snapToGrid w:val="0"/>
        <w:spacing w:line="360" w:lineRule="auto"/>
        <w:jc w:val="righ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w:t>
      </w:r>
      <w:r>
        <w:rPr>
          <w:rFonts w:asciiTheme="minorEastAsia" w:hAnsiTheme="minorEastAsia" w:eastAsiaTheme="minorEastAsia"/>
          <w:color w:val="auto"/>
          <w:szCs w:val="21"/>
          <w:highlight w:val="none"/>
        </w:rPr>
        <w:t>202</w:t>
      </w:r>
      <w:r>
        <w:rPr>
          <w:rFonts w:hint="eastAsia" w:asciiTheme="minorEastAsia" w:hAnsiTheme="minorEastAsia" w:eastAsiaTheme="minorEastAsia"/>
          <w:color w:val="auto"/>
          <w:szCs w:val="21"/>
          <w:highlight w:val="none"/>
        </w:rPr>
        <w:t>2</w:t>
      </w:r>
      <w:r>
        <w:rPr>
          <w:rFonts w:asciiTheme="minorEastAsia" w:hAnsiTheme="minorEastAsia" w:eastAsiaTheme="minorEastAsia"/>
          <w:color w:val="auto"/>
          <w:szCs w:val="21"/>
          <w:highlight w:val="none"/>
        </w:rPr>
        <w:t>年</w:t>
      </w:r>
      <w:r>
        <w:rPr>
          <w:rFonts w:hint="eastAsia" w:asciiTheme="minorEastAsia" w:hAnsiTheme="minorEastAsia" w:eastAsiaTheme="minorEastAsia"/>
          <w:color w:val="auto"/>
          <w:szCs w:val="21"/>
          <w:highlight w:val="none"/>
          <w:lang w:val="en-US" w:eastAsia="zh-CN"/>
        </w:rPr>
        <w:t>4</w:t>
      </w:r>
      <w:r>
        <w:rPr>
          <w:rFonts w:asciiTheme="minorEastAsia" w:hAnsiTheme="minorEastAsia" w:eastAsiaTheme="minorEastAsia"/>
          <w:color w:val="auto"/>
          <w:szCs w:val="21"/>
          <w:highlight w:val="none"/>
        </w:rPr>
        <w:t>月</w:t>
      </w:r>
      <w:r>
        <w:rPr>
          <w:rFonts w:hint="eastAsia" w:asciiTheme="minorEastAsia" w:hAnsiTheme="minorEastAsia" w:eastAsiaTheme="minorEastAsia"/>
          <w:color w:val="auto"/>
          <w:szCs w:val="21"/>
          <w:highlight w:val="none"/>
          <w:lang w:val="en-US" w:eastAsia="zh-CN"/>
        </w:rPr>
        <w:t>18</w:t>
      </w:r>
      <w:r>
        <w:rPr>
          <w:rFonts w:asciiTheme="minorEastAsia" w:hAnsiTheme="minorEastAsia" w:eastAsiaTheme="minorEastAsia"/>
          <w:color w:val="auto"/>
          <w:szCs w:val="21"/>
          <w:highlight w:val="none"/>
        </w:rPr>
        <w:t>日</w:t>
      </w:r>
    </w:p>
    <w:p>
      <w:pPr>
        <w:widowControl/>
        <w:jc w:val="left"/>
        <w:rPr>
          <w:rFonts w:asciiTheme="minorEastAsia" w:hAnsiTheme="minorEastAsia" w:eastAsiaTheme="minorEastAsia"/>
          <w:b/>
          <w:color w:val="auto"/>
          <w:sz w:val="30"/>
          <w:szCs w:val="30"/>
          <w:highlight w:val="none"/>
        </w:rPr>
      </w:pPr>
      <w:r>
        <w:rPr>
          <w:rFonts w:asciiTheme="minorEastAsia" w:hAnsiTheme="minorEastAsia" w:eastAsiaTheme="minorEastAsia"/>
          <w:b/>
          <w:color w:val="auto"/>
          <w:sz w:val="30"/>
          <w:szCs w:val="30"/>
          <w:highlight w:val="none"/>
        </w:rPr>
        <w:br w:type="page"/>
      </w:r>
    </w:p>
    <w:p>
      <w:pPr>
        <w:numPr>
          <w:ilvl w:val="0"/>
          <w:numId w:val="6"/>
        </w:numPr>
        <w:snapToGrid w:val="0"/>
        <w:spacing w:beforeLines="50" w:afterLines="50" w:line="360" w:lineRule="auto"/>
        <w:ind w:left="238"/>
        <w:jc w:val="center"/>
        <w:outlineLvl w:val="1"/>
        <w:rPr>
          <w:rFonts w:hint="eastAsia" w:asciiTheme="minorEastAsia" w:hAnsiTheme="minorEastAsia" w:eastAsiaTheme="minorEastAsia"/>
          <w:b/>
          <w:color w:val="auto"/>
          <w:sz w:val="30"/>
          <w:szCs w:val="30"/>
          <w:highlight w:val="none"/>
        </w:rPr>
      </w:pPr>
      <w:r>
        <w:rPr>
          <w:rFonts w:hint="eastAsia" w:asciiTheme="minorEastAsia" w:hAnsiTheme="minorEastAsia" w:eastAsiaTheme="minorEastAsia"/>
          <w:b/>
          <w:color w:val="auto"/>
          <w:sz w:val="30"/>
          <w:szCs w:val="30"/>
          <w:highlight w:val="none"/>
        </w:rPr>
        <w:t xml:space="preserve"> 招标需求</w:t>
      </w:r>
      <w:bookmarkStart w:id="0" w:name="_Toc406402986"/>
    </w:p>
    <w:p>
      <w:pPr>
        <w:pStyle w:val="48"/>
        <w:numPr>
          <w:ilvl w:val="0"/>
          <w:numId w:val="0"/>
        </w:numPr>
        <w:rPr>
          <w:rFonts w:hint="default" w:eastAsiaTheme="minorEastAsia"/>
          <w:color w:val="auto"/>
          <w:highlight w:val="none"/>
          <w:lang w:val="en-US" w:eastAsia="zh-CN"/>
        </w:rPr>
      </w:pPr>
      <w:r>
        <w:rPr>
          <w:rFonts w:hint="eastAsia"/>
          <w:color w:val="auto"/>
          <w:highlight w:val="none"/>
          <w:lang w:val="en-US" w:eastAsia="zh-CN"/>
        </w:rPr>
        <w:t>一、项目概况</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新城街道区域内市政设施的日常巡查养护，</w:t>
      </w:r>
      <w:r>
        <w:rPr>
          <w:rFonts w:hint="eastAsia" w:ascii="宋体" w:hAnsi="宋体" w:cs="宋体"/>
          <w:color w:val="auto"/>
          <w:sz w:val="21"/>
          <w:szCs w:val="21"/>
          <w:highlight w:val="none"/>
          <w:lang w:val="en-US" w:eastAsia="zh-CN"/>
        </w:rPr>
        <w:t>包括但不限于道路路面维修（包括水泥混凝土路面、沥青路面等）、道路平侧石拆除更换、人行道维修、人行道树池维修、相关交通标志标识维修养护（含重新施画）、雨水水篦口清理、井圈井盖巡查更换、桥梁护栏维修养护等市政设施的日常巡查养护维修（详见清单）。</w:t>
      </w:r>
    </w:p>
    <w:tbl>
      <w:tblPr>
        <w:tblStyle w:val="49"/>
        <w:tblW w:w="97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97"/>
        <w:gridCol w:w="2363"/>
        <w:gridCol w:w="3083"/>
        <w:gridCol w:w="538"/>
        <w:gridCol w:w="666"/>
        <w:gridCol w:w="834"/>
        <w:gridCol w:w="908"/>
        <w:gridCol w:w="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9705" w:type="dxa"/>
            <w:gridSpan w:val="8"/>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highlight w:val="none"/>
                <w:u w:val="none"/>
              </w:rPr>
            </w:pPr>
            <w:r>
              <w:rPr>
                <w:rFonts w:hint="eastAsia" w:ascii="宋体" w:hAnsi="宋体" w:eastAsia="宋体" w:cs="宋体"/>
                <w:b/>
                <w:bCs/>
                <w:i w:val="0"/>
                <w:iCs w:val="0"/>
                <w:color w:val="auto"/>
                <w:kern w:val="0"/>
                <w:sz w:val="40"/>
                <w:szCs w:val="40"/>
                <w:highlight w:val="none"/>
                <w:u w:val="none"/>
                <w:lang w:val="en-US" w:eastAsia="zh-CN" w:bidi="ar"/>
              </w:rPr>
              <w:t>2022年度市政设施维修养护清单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7230" w:type="dxa"/>
            <w:gridSpan w:val="5"/>
            <w:tcBorders>
              <w:top w:val="nil"/>
              <w:left w:val="nil"/>
              <w:bottom w:val="nil"/>
              <w:right w:val="nil"/>
            </w:tcBorders>
            <w:shd w:val="clear" w:color="auto" w:fill="FFFFFF"/>
            <w:vAlign w:val="bottom"/>
          </w:tcPr>
          <w:p>
            <w:pPr>
              <w:jc w:val="left"/>
              <w:rPr>
                <w:rFonts w:hint="eastAsia" w:ascii="宋体" w:hAnsi="宋体" w:eastAsia="宋体" w:cs="宋体"/>
                <w:i w:val="0"/>
                <w:iCs w:val="0"/>
                <w:color w:val="auto"/>
                <w:sz w:val="18"/>
                <w:szCs w:val="18"/>
                <w:highlight w:val="none"/>
                <w:u w:val="none"/>
              </w:rPr>
            </w:pPr>
          </w:p>
        </w:tc>
        <w:tc>
          <w:tcPr>
            <w:tcW w:w="1755" w:type="dxa"/>
            <w:gridSpan w:val="2"/>
            <w:tcBorders>
              <w:top w:val="nil"/>
              <w:left w:val="nil"/>
              <w:bottom w:val="nil"/>
              <w:right w:val="nil"/>
            </w:tcBorders>
            <w:shd w:val="clear" w:color="auto" w:fill="FFFFFF"/>
            <w:vAlign w:val="bottom"/>
          </w:tcPr>
          <w:p>
            <w:pPr>
              <w:jc w:val="left"/>
              <w:rPr>
                <w:rFonts w:hint="eastAsia" w:ascii="宋体" w:hAnsi="宋体" w:eastAsia="宋体" w:cs="宋体"/>
                <w:i w:val="0"/>
                <w:iCs w:val="0"/>
                <w:color w:val="auto"/>
                <w:sz w:val="18"/>
                <w:szCs w:val="18"/>
                <w:highlight w:val="none"/>
                <w:u w:val="none"/>
              </w:rPr>
            </w:pPr>
          </w:p>
        </w:tc>
        <w:tc>
          <w:tcPr>
            <w:tcW w:w="0" w:type="auto"/>
            <w:tcBorders>
              <w:top w:val="nil"/>
              <w:left w:val="nil"/>
              <w:bottom w:val="nil"/>
              <w:right w:val="nil"/>
            </w:tcBorders>
            <w:shd w:val="clear" w:color="auto" w:fill="auto"/>
            <w:noWrap/>
            <w:vAlign w:val="bottom"/>
          </w:tcPr>
          <w:p>
            <w:pPr>
              <w:rPr>
                <w:rFonts w:hint="eastAsia" w:ascii="Arial" w:hAnsi="Arial" w:cs="Arial"/>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vMerge w:val="restar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序号</w:t>
            </w:r>
          </w:p>
        </w:tc>
        <w:tc>
          <w:tcPr>
            <w:tcW w:w="2385" w:type="dxa"/>
            <w:vMerge w:val="restar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名称</w:t>
            </w:r>
          </w:p>
        </w:tc>
        <w:tc>
          <w:tcPr>
            <w:tcW w:w="3105" w:type="dxa"/>
            <w:vMerge w:val="restar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主要工作内容</w:t>
            </w:r>
          </w:p>
        </w:tc>
        <w:tc>
          <w:tcPr>
            <w:tcW w:w="540" w:type="dxa"/>
            <w:vMerge w:val="restar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 xml:space="preserve">计量 </w:t>
            </w:r>
            <w:r>
              <w:rPr>
                <w:rFonts w:hint="eastAsia" w:ascii="宋体" w:hAnsi="宋体" w:eastAsia="宋体" w:cs="宋体"/>
                <w:b/>
                <w:bCs/>
                <w:i w:val="0"/>
                <w:iCs w:val="0"/>
                <w:color w:val="auto"/>
                <w:kern w:val="0"/>
                <w:sz w:val="18"/>
                <w:szCs w:val="18"/>
                <w:highlight w:val="none"/>
                <w:u w:val="none"/>
                <w:lang w:val="en-US" w:eastAsia="zh-CN" w:bidi="ar"/>
              </w:rPr>
              <w:br w:type="textWrapping"/>
            </w:r>
            <w:r>
              <w:rPr>
                <w:rFonts w:hint="eastAsia" w:ascii="宋体" w:hAnsi="宋体" w:eastAsia="宋体" w:cs="宋体"/>
                <w:b/>
                <w:bCs/>
                <w:i w:val="0"/>
                <w:iCs w:val="0"/>
                <w:color w:val="auto"/>
                <w:kern w:val="0"/>
                <w:sz w:val="18"/>
                <w:szCs w:val="18"/>
                <w:highlight w:val="none"/>
                <w:u w:val="none"/>
                <w:lang w:val="en-US" w:eastAsia="zh-CN" w:bidi="ar"/>
              </w:rPr>
              <w:t>单位</w:t>
            </w:r>
          </w:p>
        </w:tc>
        <w:tc>
          <w:tcPr>
            <w:tcW w:w="600" w:type="dxa"/>
            <w:vMerge w:val="restar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工程量</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金 额  (元)</w:t>
            </w:r>
          </w:p>
        </w:tc>
        <w:tc>
          <w:tcPr>
            <w:tcW w:w="720" w:type="dxa"/>
            <w:vMerge w:val="restart"/>
            <w:tcBorders>
              <w:top w:val="single" w:color="000000" w:sz="4" w:space="0"/>
              <w:left w:val="nil"/>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vMerge w:val="continue"/>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b/>
                <w:bCs/>
                <w:i w:val="0"/>
                <w:iCs w:val="0"/>
                <w:color w:val="auto"/>
                <w:sz w:val="18"/>
                <w:szCs w:val="18"/>
                <w:highlight w:val="none"/>
                <w:u w:val="none"/>
              </w:rPr>
            </w:pPr>
          </w:p>
        </w:tc>
        <w:tc>
          <w:tcPr>
            <w:tcW w:w="2385" w:type="dxa"/>
            <w:vMerge w:val="continue"/>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b/>
                <w:bCs/>
                <w:i w:val="0"/>
                <w:iCs w:val="0"/>
                <w:color w:val="auto"/>
                <w:sz w:val="18"/>
                <w:szCs w:val="18"/>
                <w:highlight w:val="none"/>
                <w:u w:val="none"/>
              </w:rPr>
            </w:pPr>
          </w:p>
        </w:tc>
        <w:tc>
          <w:tcPr>
            <w:tcW w:w="3105" w:type="dxa"/>
            <w:vMerge w:val="continue"/>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b/>
                <w:bCs/>
                <w:i w:val="0"/>
                <w:iCs w:val="0"/>
                <w:color w:val="auto"/>
                <w:sz w:val="18"/>
                <w:szCs w:val="18"/>
                <w:highlight w:val="none"/>
                <w:u w:val="none"/>
              </w:rPr>
            </w:pPr>
          </w:p>
        </w:tc>
        <w:tc>
          <w:tcPr>
            <w:tcW w:w="540" w:type="dxa"/>
            <w:vMerge w:val="continue"/>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b/>
                <w:bCs/>
                <w:i w:val="0"/>
                <w:iCs w:val="0"/>
                <w:color w:val="auto"/>
                <w:sz w:val="18"/>
                <w:szCs w:val="18"/>
                <w:highlight w:val="none"/>
                <w:u w:val="none"/>
              </w:rPr>
            </w:pPr>
          </w:p>
        </w:tc>
        <w:tc>
          <w:tcPr>
            <w:tcW w:w="600" w:type="dxa"/>
            <w:vMerge w:val="continue"/>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b/>
                <w:bCs/>
                <w:i w:val="0"/>
                <w:iCs w:val="0"/>
                <w:color w:val="auto"/>
                <w:sz w:val="18"/>
                <w:szCs w:val="18"/>
                <w:highlight w:val="none"/>
                <w:u w:val="none"/>
              </w:rPr>
            </w:pPr>
          </w:p>
        </w:tc>
        <w:tc>
          <w:tcPr>
            <w:tcW w:w="840" w:type="dxa"/>
            <w:tcBorders>
              <w:top w:val="nil"/>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全费用单价</w:t>
            </w:r>
          </w:p>
        </w:tc>
        <w:tc>
          <w:tcPr>
            <w:tcW w:w="9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全费用合价</w:t>
            </w:r>
          </w:p>
        </w:tc>
        <w:tc>
          <w:tcPr>
            <w:tcW w:w="720" w:type="dxa"/>
            <w:vMerge w:val="continue"/>
            <w:tcBorders>
              <w:top w:val="single" w:color="000000" w:sz="4" w:space="0"/>
              <w:left w:val="nil"/>
              <w:bottom w:val="nil"/>
              <w:right w:val="single" w:color="000000" w:sz="4" w:space="0"/>
            </w:tcBorders>
            <w:shd w:val="clear" w:color="auto" w:fill="FFFFFF"/>
            <w:vAlign w:val="center"/>
          </w:tcPr>
          <w:p>
            <w:pPr>
              <w:jc w:val="center"/>
              <w:rPr>
                <w:rFonts w:hint="eastAsia" w:ascii="宋体" w:hAnsi="宋体" w:eastAsia="宋体" w:cs="宋体"/>
                <w:b/>
                <w:bCs/>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人行道路修复</w:t>
            </w:r>
          </w:p>
        </w:tc>
        <w:tc>
          <w:tcPr>
            <w:tcW w:w="3105"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nil"/>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拆除人行道</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1、材质 ：面砖面层(荷兰砖、彩砖及花岗岩等）+混凝土基层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2、厚度：26cm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3、其他：含废料外运，堆放场地由各投标人自行解决，运距自定，且须满足城管、环保等需求</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人行道整形碾压</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1、部位 ：人行道破损拆除处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2、范围：全部</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人行道块料铺设</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1、块料品种、规格 ：20mm厚M10水泥砂浆结合层+彩砖面层，规格、顔色等同原面层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2、基础、垫层：材料 品种、厚度 ：200mm厚C30混凝土</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人行道块料铺设</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1、块料品种、规格 ：20mm厚M10水泥砂浆结合层+荷兰砖（同质砖），规格、顔色等同原面层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2、基础、垫层：材料 品种、厚度 ：200mm厚C30混凝土</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人行道块料铺设</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1、块料品种、规格 ：20mm厚M10水泥砂浆结合层+花岗岩，规格、顔色等同原面层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2、基础、垫层：材料 品种、厚度 ：200mm厚C30混凝土</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一般破损道路路面修复</w:t>
            </w:r>
          </w:p>
        </w:tc>
        <w:tc>
          <w:tcPr>
            <w:tcW w:w="3105"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铣刨路面</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1、材质 ：沥青路面铣刨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2、厚度：5cm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3、其他：含废料外运，堆放场地由各投标人自行解决，运距自定，且须满足城管、环保等需求</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粘层</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 ：PC-3乳化沥青黏层油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2、喷油量：0.45L/m2</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沥青混凝土</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1、沥青品种 ：A级道路石油沥青AH-70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2、沥青混凝土种类 ：细粒式SBS改性沥青混凝土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3、石料粒径 ：AC-13C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4、厚度：5CM</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铣刨路面</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1、材质 ：沥青路面铣刨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2、厚度：10cm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3、其他：含废料外运，堆放场地由各投标人自行解决，运距自定，且须满足城管、环保等需求</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透层</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 ：PC-2乳化沥青透层油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2、喷油量：1.1L/m2</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沥青混凝土</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1、沥青品种 ：A级道路石油沥青AH-70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2、沥青混凝土种类 ：粗粒式沥青混凝土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3、石料粒径 ：AC-25C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4、厚度：6CM</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粘层</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 ：PC-3乳化沥青黏层油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2、喷油量：0.45L/m2</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沥青混凝土</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1、沥青品种 ：A级道路石油沥青AH-70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2、沥青混凝土种类 ：细粒式SBS改性沥青混凝土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3、石料粒径 ：AC-13C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4、厚度：4CM</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严重破损沥青路面修复</w:t>
            </w:r>
          </w:p>
        </w:tc>
        <w:tc>
          <w:tcPr>
            <w:tcW w:w="3105"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拆除路面</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1、材质 ：沥青路面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2、厚度：10cm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3、其他：含废料外运，堆放场地由各投标人自行解决，运距自定，且须满足城管、环保等需求</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拆除基层</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1、材质 ：基层+垫层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2、厚度 ：70cm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3、其他：含废料外运，堆放场地由各投标人自行解决，运距自定，且须满足城管、环保等需求</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路床(槽）整形</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1、部位 ：车行道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2、范围：结构层底</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山皮石</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1、填方材料：塘渣（应具有良好的透水性，质地坚硬，不含杂质，粒径不大于10cm，含泥量不大于10%）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2、厚度：30cm</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碎石</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1、石料规格 ：碎石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2、厚度：10cm</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19</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水泥稳定碎（砾）石</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1、水泥含量 ：5%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2、石料规格 ：不大于31.5mm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3、厚度：30cm</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透层</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 ：PC-2乳化沥青透层油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2、喷油量：1.1L/m2</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沥青混凝土</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1、沥青品种 ：A级道路石油沥青AH-70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2、沥青混凝土种类 ：粗粒式沥青混凝土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3、石料粒径 ：AC-25C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4、厚度：6CM</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粘层</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 ：PC-3乳化沥青黏层油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2、喷油量：0.45L/m2</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沥青混凝土</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1、沥青品种 ：A级道路石油沥青AH-70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2、沥青混凝土种类 ：细粒式SBS改性沥青混凝土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3、石料粒径 ：AC-13C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4、厚度：4CM</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严重破损混凝土路面修复</w:t>
            </w:r>
          </w:p>
        </w:tc>
        <w:tc>
          <w:tcPr>
            <w:tcW w:w="3105"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拆除路面</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1、材质 ：混凝土面层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2、厚度：30cm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3、其他：含废料外运，堆放场地由各投标人自行解决，运距自定，且须满足城管、环保等需求</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拆除基层</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1、材质 ：基层+垫层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2、厚度：40cm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3、其他：含废料外运，堆放场地由各投标人自行解决，运距自定，且须满足城管、环保等需求</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26</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路床(槽）整形</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1、部位 ：车行道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2、范围：结构层底</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山皮石</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1、填方材料：塘渣（应具有良好的透水性，质地坚硬，不含杂质，粒径不大于10cm，含泥量不大于10%）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2、厚度：30cm</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28</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碎石</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1、石料规格 ：碎石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2、厚度：10cm</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水泥混凝土</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1、混凝土强度等级 ：C30商品混凝土（28d抗弯强度不小于4.5Mpa)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2、厚度 ：30cm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3、嵌缝材料：缩缝、胀缝填缝为沥青玛缔脂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4、其他：混凝土路面防滑措施符合有关要求</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附属设施</w:t>
            </w:r>
          </w:p>
        </w:tc>
        <w:tc>
          <w:tcPr>
            <w:tcW w:w="3105"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拆除侧、平（缘）石</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1、材质：现状混凝土侧石、平石及混凝土垫层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2、其他：含废料外运，堆放场地由各投标人自行解决，运距自定，且须满足城管、环保等需求</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31</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拆除侧、平（缘）石</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1、材质：现状花岗岩侧石、平石及混凝土垫层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2、其他：含废料外运，堆放场地由各投标人自行解决，运距自定，且须满足城管、环保等需求</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安砌侧（平、缘）石</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1、材料品种、规格 ：混凝土侧石（规格与已建段一致）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2、基础、垫层：材料 品种、厚度：2cm厚M10水泥砂浆+C25细石砼垫层护块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3、其他：含模板制作、安装及拆除</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33</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安砌侧（平、缘）石</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1、材料品种、规格 ：混凝土平石（规格与已建段一致）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2、基础、垫层：材料 品种、厚度：2cm厚M10水泥砂浆</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34</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安砌侧（平、缘）石</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1、材料品种、规格 ：花岗岩侧石（规格与已建段一致）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2、基础、垫层：材料 品种、厚度：2cm厚M10水泥砂浆+C25细石砼垫层护块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3、其他：含模板制作、安装及拆除</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35</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安砌侧（平、缘）石</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1、材料品种、规格 ：花岗岩平石（规格与已建段一致）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2、基础、垫层：材料 品种、厚度：2cm厚M10水泥砂浆</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36</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拆除树池</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1、材质：现状混凝土树池及混凝土垫层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2、其他：含废料外运，堆放场地由各投标人自行解决，运距自定，且须满足城管、环保等需求</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拆除树池</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1、材质：现状花岗岩树池及混凝土垫层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2、其他：含废料外运，堆放场地由各投标人自行解决，运距自定，且须满足城管、环保等需求</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38</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树池砌筑</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1、材料品种、规格 ：混凝土树池侧石（规格与已建树池一致）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2、基础、垫层：材料 品种、厚度：2cm厚M10水泥砂浆+C25细石砼垫层护块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3、其他：含模板制作、安装及拆除</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39</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树池砌筑</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1、材料品种、规格 ：花岗岩树池侧石（规格与已建树池一致）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2、基础、垫层：材料 品种、厚度：2cm厚M10水泥砂浆+C25细石砼垫层护块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3、其他：含模板制作、安装及拆除</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40</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标线</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 ：热熔反光涂料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2、线型：一般车行道标线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3、按实线面积计</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标线</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 ：热熔反光涂料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2、线型：路面震荡线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3、按实线面积计</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42</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标记</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 ：热熔反光涂料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2、规格尺寸：路面交通标记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3、标记按外廓尺寸计面积</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43</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沥青混凝土(坑洞修补及回填)</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1、沥青品种 ：粗粒式沥青混凝土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2、厚度：平均厚10cm</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44</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金属栏杆维修及更换</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1、栏杆材质、规格 ：金属栏杆，材质及做法等与原栏杆一致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2、其他：含原栏杆拆除及废料外运</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45</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石质栏杆维修及更换</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1、材料品种、规格：花岗岩栏杆，材质做法等与原栏杆一致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2、其他：含原栏杆拆除及废料外运</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46</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石质栏杆维修及更换</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1、材料品种、规格：人造石栏杆，材质做法等与原栏杆一致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2、其他：含原栏杆拆除及废料外运</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47</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混凝土防撞栏杆维修及更换</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1、材料品种、规格：C30混凝土+钢管扶手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2、规格尺寸：与原有防撞护栏一致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3、其他：含原栏杆拆除、废料外运，模板、钢筋及预埋件等</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48</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隔离护栏维修及更换</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1、类型：波形护栏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2、规格、型号：与原有护栏一致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3、其他：含原栏杆拆除、废料外运，基础、模板、钢筋及预埋件等</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49</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混凝土隔离墩</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1、材料品种、规格：C30混凝土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2、规格尺寸：与原有隔离墩一致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3、其他：含原隔离墩拆除、废料外运，模板、钢筋及预埋件等</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车档石（石球）</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 ：做法与现有石球车档石一致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2、规格、型号：直径30cm</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51</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车档石（石球）</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 ：做法与现有石球车档石一致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2、规格、型号：直径40cm</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车档石（石球）</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 ：做法与现有石球车档石一致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2、规格、型号：直径50cm</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53</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车档石（石球）</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 ：做法与现有石球车档石一致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2、规格、型号：直径60cm</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54</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车档石（石柱）</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 ：做法与现有石柱一致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2、规格、型号：直径20cm*高40cm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3、工作内容涉及更换、新建等情况，综合考虑报价</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警示柱</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 ：钢管警示桩，规格、做法与现有一致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2、工作内容涉及拆除废料外运、维修、更换、新建及路面修复等情况，综合考虑报价</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根</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56</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减速垄更换及新建</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1、材料品种：橡胶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2、规格、型号：同现状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3、其他：含原有减速带拆除、废料外运等</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57</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防撞筒（墩）</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1、材料品种：滚塑防撞桶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2、规格、型号：直径800mm，内灌2/3砂</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58</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防撞筒（墩）</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1、材料品种：滚塑防撞桶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2、规格、型号：直径600mm，内灌2/3砂</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2.混凝土基础</w:t>
            </w:r>
          </w:p>
        </w:tc>
        <w:tc>
          <w:tcPr>
            <w:tcW w:w="3105"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59</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爆闪灯</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1、LED灯板，蓄电池，太阳能板，立杆（直径 89mm、厚度2mm，高度3500mm),安装及水泥基础</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套</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60</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道钉</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1、反光道钉，报价含安装、胶水等全部费用</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颗</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现状桥梁护栏</w:t>
            </w:r>
          </w:p>
        </w:tc>
        <w:tc>
          <w:tcPr>
            <w:tcW w:w="3105"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61</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现状桥护栏水泥砂浆抹面</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1、砂浆配合比 ：底层1:3水泥砂浆，面层1:2.5水泥砂浆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2、部位 ：防撞护栏面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3、厚度：14+6（mm）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4、其他：含原护栏混凝土面清理</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4500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62</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涂料</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1、基层类型：抹灰面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2、部位：防撞护栏两侧面及顶面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3、涂料品种、喷刷遍数：灰色外墙弹性涂料（底涂、中涂、面涂）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4、其他：满批防水腻子一遍</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63</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涂料</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1、基层类型：混凝土面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2、部位：隔离带混凝土面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3、其他：原混凝土面清理后满批防水腻子一遍</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64</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涂料</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1、基层类型：其它零星涂料面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2、其他：原面层清理后满批防水腻子一遍</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65</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现状桥钢护栏油漆</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1、部位 ：钢管护栏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2、工艺要求：钢护栏清理除锈后防锈漆一遍，调和漆二遍</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66</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桥梁伸缩装置</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 ：桥面伸缩缝修复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2、规格、型号 ：与原伸缩缝一致</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67</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桥梁伸缩缝清理</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桥梁伸缩缝清理</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井盖处、桥头跳车处理</w:t>
            </w:r>
          </w:p>
        </w:tc>
        <w:tc>
          <w:tcPr>
            <w:tcW w:w="3105"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68</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井圈井盖座维修及更换</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1、名称：井圈井盖座维修及更换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2、井盖、井圈材质及 规格 ：φ820复合材料井盖座（防盗型带锁，加重型、承载力要求不小于40t，180度翻盖，具有防震功能），井盖需标明业主指定字样，井四周原样修复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3、其他：含原有井盖座、井圈拆除、井筒维修等</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座</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69</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井圈井盖座维修及更换</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1、名称：井圈井盖座维修及更换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2、井盖、井圈材质及 规格 ：φ750复合材料井盖座（防盗型带锁，加重型、承载力要求不小于40t，180度翻盖，具有防震功能），井盖需标明业主指定字样，井四周原样修复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3、其他：含原有井盖座、井圈拆除、井筒维修等</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座</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70</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井圈井盖座维修及更换</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1、名称：井座更换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2、井盖、井圈材质及 规格 ：φ750复合材料井座（普通型）+井四周原样修复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3、其他：含原有井盖座、井圈拆除、井盖拆除及安装等</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座</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71</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井圈井盖座维修及更换</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1、名称：井盖更换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2、井盖、井圈材质及 规格 ：φ750复合材料井盖（普通型），井盖需标明业主指定字样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3、其他：含原有井盖拆除等</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座</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72</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井圈井盖座维修及更换</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1、名称：井圈井盖座维修及更换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2、井盖、井圈材质及 规格 ：φ820球磨铸铁井盖座（防盗型带锁，加重型、承载力符合规范及行业要求，180度翻盖，具有防震功能），井盖需标明业主指定字样，井四周原样修复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3、其他：含原有井盖座、井圈拆除、井筒维修等</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座</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73</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井圈井盖座维修及更换</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1、名称：井圈井盖座维修及更换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2、井盖、井圈材质及 规格 ：φ750球磨铸铁井盖座（防盗型带锁，加重型、承载力符合规范及行业要求，180度翻盖，具有防震功能），井盖需标明业主指定字样，井四周原样修复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3、其他：含原有井盖座、井圈拆除、井筒维修等</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座</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74</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井圈井盖座维修及更换</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1、名称：井盖座更换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2、井盖、井圈材质及 规格 ：不规则弱电井盖座，规格同现有，井盖需标明业主指定字样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3、其他：含原有井盖座拆除等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报价需综合考虑各种规格，综合报价</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座</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75</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检查井周边修复</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1、名称：检查井周边修复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2、井盖、井圈材质及 规格 ：井四周破损处拆除废料外运，原样修复</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座</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76</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雨水口水篦盖座更换</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1、名称：雨水口水篦盖座更换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2、井盖、井圈材质及 规格 ：495*640球磨铸铁篦子盖座（承载力需符合规范及行业要求），井盖需标明业主指定字样，井四周原样修复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3、其他：含原有井盖座、井圈拆除等</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座</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77</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雨水口水篦盖座更换</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1、名称：雨水口水篦盖座更换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2、井盖、井圈材质及 规格 ：380*680球磨铸铁篦子盖座（承载力需符合规范及行业要求），井盖需标明业主指定字样，井四周原样修复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3、其他：含原有井盖座、井圈拆除等</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座</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78</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雨水口水篦盖座更换</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1、名称：雨水口水篦盖座更换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2、井盖、井圈材质及 规格 ：450*750球磨铸铁篦子盖座（承载力需符合规范及行业要求），井盖需标明业主指定字样，井四周原样修复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3、其他：含原有井盖座、井圈拆除等</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座</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79</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雨水水篦口清理</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1、名称：雨水水篦口清理(含雨水水篦口的内部底部的所有垃圾清理)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2、其他：含废料外运，堆放场地由各投标人自行解决，运距自定，且须满足城管、环保等需求</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座</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80</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φ700圆形井防沉降改造</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1、名称：井圈井盖座维修及更换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2、井盖、井圈材质及 规格 ：φ820球磨铸铁井盖座（防盗型带锁，加重型、承载力符合规范及行业要求，180度翻盖，具有防震功能），井盖需标明业主指定字样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3、C30钢筋砼1#盖板（150*150*18cm留孔φ66cm）含钢筋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4、C30钢筋砼沉降板（φ245*20cm留孔φ125cm）含钢筋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5、C15素砼垫层（φ265*10cm留孔125cm）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6、拆除：含原有井盖座、井圈拆除、井周边结构层拆除、井筒升降维修、建筑废弃料外运等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7、恢复：井周边道路结构层、面层、标线、标志等</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座</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81</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φ1000圆形井防沉降改造</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1、名称：井圈井盖座维修及更换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2、井盖、井圈材质及 规格 ：φ820球磨铸铁井盖座（防盗型带锁，加重型、承载力符合规范及行业要求，180度翻盖，具有防震功能），井盖需标明业主指定字样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3、C30钢筋砼2#盖板（180*180*20cm留孔φ66cm）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4、C30钢筋砼沉降板（φ275*20cm留孔φ155cm）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5、C15素砼垫层（φ295*10cm留孔155cm）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6、拆除：含原有井盖座、井圈拆除、井周边结构层拆除、井筒升降维修、建筑废弃料外运等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7、恢复：井周边道路结构层、面层、标线、标志等</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座</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82</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桥头处理</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1、桥头沉降处理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2、原沥青面层铣刨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3、铣刨厚度按实际沉降情况处理（建筑废弃料外运）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4、细粒式SBS改性沥青砼（AC-13C）厚4cm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5、沥青黏层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6、标高不足段采用粗（细）粒式沥青找平</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其他</w:t>
            </w:r>
          </w:p>
        </w:tc>
        <w:tc>
          <w:tcPr>
            <w:tcW w:w="3105"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83</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日常养护巡查费用</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1、名称：市政设施（含各类桥梁）的日常养护巡查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内容：划分区域配备巡查人员，要求每天要求全天巡回巡查，并对发生的意外情形进行应急处理（包括如遇雨雪冰冻等灾害性天气，必须根据甲方安排，租用甲方指定扫雪车辆或其他应对灾害性天气所需的机械设备器具，并及时对道路路面进行清理，确保道路路面畅通）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3、各投标人根据自身条件确定相关费用计入报价，结算不作调整</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84</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土工合成材料</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1、土工格栅</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85</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沥青贯人式</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1、沥青灌缝</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86</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各类型机械、器具</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1、各类型机械、器具等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2、结合本项目特点自主报价费用一次性包干，结算时不作调整</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87</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交通及安全维护</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施工期间施工区域范围内交通及维护，交通疏导，道路围挡（需符合上级主管部门要求），安全警示标志、临时红绿灯、临时爆闪灯的设置、公众责任保险等，具体投标单位根据施工现场实际情况综合考虑，费用一次性包干，结算不作调整</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7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合计金额小写人民币（元）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2"/>
                <w:szCs w:val="22"/>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98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合计金额大写人民币（元）</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auto"/>
                <w:sz w:val="22"/>
                <w:szCs w:val="22"/>
                <w:highlight w:val="none"/>
                <w:u w:val="none"/>
              </w:rPr>
            </w:pPr>
          </w:p>
        </w:tc>
      </w:tr>
    </w:tbl>
    <w:p>
      <w:pPr>
        <w:spacing w:line="360" w:lineRule="auto"/>
        <w:ind w:firstLine="420" w:firstLineChars="200"/>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注：报价时按全费用综合单价考虑（含保险（人员保险、财产保险等）税金、规费、管理费、措施费、安全文明施工费、利润等一切为完成本项目涉及的费用），具体数量按实际发生量结算。</w:t>
      </w:r>
    </w:p>
    <w:p>
      <w:pPr>
        <w:pStyle w:val="48"/>
        <w:rPr>
          <w:rFonts w:hint="eastAsia" w:hAnsi="宋体" w:cs="宋体"/>
          <w:color w:val="auto"/>
          <w:sz w:val="21"/>
          <w:szCs w:val="21"/>
          <w:highlight w:val="none"/>
          <w:lang w:val="en-US" w:eastAsia="zh-CN"/>
        </w:rPr>
      </w:pPr>
      <w:r>
        <w:rPr>
          <w:rFonts w:hint="eastAsia" w:hAnsi="宋体" w:cs="宋体"/>
          <w:color w:val="auto"/>
          <w:sz w:val="21"/>
          <w:szCs w:val="21"/>
          <w:highlight w:val="none"/>
          <w:lang w:val="en-US" w:eastAsia="zh-CN"/>
        </w:rPr>
        <w:t>结算时单价按投标时全费用单位计，不因任何因素变更。</w:t>
      </w:r>
    </w:p>
    <w:p>
      <w:pPr>
        <w:pStyle w:val="48"/>
        <w:numPr>
          <w:ilvl w:val="0"/>
          <w:numId w:val="7"/>
        </w:numPr>
        <w:ind w:left="388" w:leftChars="0" w:firstLine="0" w:firstLineChars="0"/>
        <w:rPr>
          <w:rFonts w:hint="eastAsia" w:ascii="宋体" w:hAnsi="宋体" w:eastAsia="宋体" w:cs="宋体"/>
          <w:b/>
          <w:color w:val="auto"/>
          <w:sz w:val="21"/>
          <w:szCs w:val="21"/>
          <w:highlight w:val="none"/>
        </w:rPr>
      </w:pPr>
      <w:r>
        <w:rPr>
          <w:rFonts w:hint="eastAsia" w:hAnsi="宋体" w:eastAsia="宋体" w:cs="宋体"/>
          <w:b/>
          <w:color w:val="auto"/>
          <w:sz w:val="21"/>
          <w:szCs w:val="21"/>
          <w:highlight w:val="none"/>
          <w:lang w:eastAsia="zh-CN"/>
        </w:rPr>
        <w:t>技术</w:t>
      </w:r>
      <w:r>
        <w:rPr>
          <w:rFonts w:hint="eastAsia" w:ascii="宋体" w:hAnsi="宋体" w:eastAsia="宋体" w:cs="宋体"/>
          <w:b/>
          <w:color w:val="auto"/>
          <w:sz w:val="21"/>
          <w:szCs w:val="21"/>
          <w:highlight w:val="none"/>
        </w:rPr>
        <w:t>条款</w:t>
      </w:r>
    </w:p>
    <w:p>
      <w:pPr>
        <w:pStyle w:val="28"/>
        <w:snapToGrid w:val="0"/>
        <w:spacing w:before="0" w:beforeLines="0" w:after="0" w:afterLines="0" w:line="500" w:lineRule="exact"/>
        <w:ind w:firstLine="420" w:firstLineChars="200"/>
        <w:outlineLvl w:val="0"/>
        <w:rPr>
          <w:rFonts w:hint="default" w:ascii="宋体" w:hAnsi="宋体" w:eastAsia="宋体" w:cs="宋体"/>
          <w:bCs/>
          <w:color w:val="auto"/>
          <w:sz w:val="21"/>
          <w:szCs w:val="21"/>
          <w:highlight w:val="none"/>
          <w:lang w:val="en-US" w:eastAsia="zh-CN"/>
        </w:rPr>
      </w:pPr>
      <w:r>
        <w:rPr>
          <w:rFonts w:hint="eastAsia" w:hAnsi="宋体" w:cs="宋体"/>
          <w:bCs/>
          <w:color w:val="auto"/>
          <w:sz w:val="21"/>
          <w:szCs w:val="21"/>
          <w:highlight w:val="none"/>
          <w:lang w:val="en-US" w:eastAsia="zh-CN"/>
        </w:rPr>
        <w:t>1</w:t>
      </w:r>
      <w:r>
        <w:rPr>
          <w:rFonts w:hint="default" w:ascii="宋体" w:hAnsi="宋体" w:eastAsia="宋体" w:cs="宋体"/>
          <w:bCs/>
          <w:color w:val="auto"/>
          <w:sz w:val="21"/>
          <w:szCs w:val="21"/>
          <w:highlight w:val="none"/>
          <w:lang w:val="en-US" w:eastAsia="zh-CN"/>
        </w:rPr>
        <w:t>、</w:t>
      </w:r>
      <w:r>
        <w:rPr>
          <w:rFonts w:hint="eastAsia" w:hAnsi="宋体" w:cs="宋体"/>
          <w:bCs/>
          <w:color w:val="auto"/>
          <w:sz w:val="21"/>
          <w:szCs w:val="21"/>
          <w:highlight w:val="none"/>
          <w:lang w:val="en-US" w:eastAsia="zh-CN"/>
        </w:rPr>
        <w:t>养护服务清单</w:t>
      </w:r>
      <w:r>
        <w:rPr>
          <w:rFonts w:hint="default" w:ascii="宋体" w:hAnsi="宋体" w:eastAsia="宋体" w:cs="宋体"/>
          <w:bCs/>
          <w:color w:val="auto"/>
          <w:sz w:val="21"/>
          <w:szCs w:val="21"/>
          <w:highlight w:val="none"/>
          <w:lang w:val="en-US" w:eastAsia="zh-CN"/>
        </w:rPr>
        <w:t>中只描述了完成本分项</w:t>
      </w:r>
      <w:r>
        <w:rPr>
          <w:rFonts w:hint="eastAsia" w:hAnsi="宋体" w:cs="宋体"/>
          <w:bCs/>
          <w:color w:val="auto"/>
          <w:sz w:val="21"/>
          <w:szCs w:val="21"/>
          <w:highlight w:val="none"/>
          <w:lang w:val="en-US" w:eastAsia="zh-CN"/>
        </w:rPr>
        <w:t>养护服务</w:t>
      </w:r>
      <w:r>
        <w:rPr>
          <w:rFonts w:hint="default" w:ascii="宋体" w:hAnsi="宋体" w:eastAsia="宋体" w:cs="宋体"/>
          <w:bCs/>
          <w:color w:val="auto"/>
          <w:sz w:val="21"/>
          <w:szCs w:val="21"/>
          <w:highlight w:val="none"/>
          <w:lang w:val="en-US" w:eastAsia="zh-CN"/>
        </w:rPr>
        <w:t>应有的主要工作内容，但投标人填报的</w:t>
      </w:r>
      <w:r>
        <w:rPr>
          <w:rFonts w:hint="eastAsia" w:hAnsi="宋体" w:cs="宋体"/>
          <w:bCs/>
          <w:color w:val="auto"/>
          <w:sz w:val="21"/>
          <w:szCs w:val="21"/>
          <w:highlight w:val="none"/>
          <w:lang w:val="en-US" w:eastAsia="zh-CN"/>
        </w:rPr>
        <w:t>全费用</w:t>
      </w:r>
      <w:r>
        <w:rPr>
          <w:rFonts w:hint="default" w:ascii="宋体" w:hAnsi="宋体" w:eastAsia="宋体" w:cs="宋体"/>
          <w:bCs/>
          <w:color w:val="auto"/>
          <w:sz w:val="21"/>
          <w:szCs w:val="21"/>
          <w:highlight w:val="none"/>
          <w:lang w:val="en-US" w:eastAsia="zh-CN"/>
        </w:rPr>
        <w:t>综合单价应是包含了分项计量范围内的所有工作内容的价格，无论本分项</w:t>
      </w:r>
      <w:r>
        <w:rPr>
          <w:rFonts w:hint="eastAsia" w:hAnsi="宋体" w:cs="宋体"/>
          <w:bCs/>
          <w:color w:val="auto"/>
          <w:sz w:val="21"/>
          <w:szCs w:val="21"/>
          <w:highlight w:val="none"/>
          <w:lang w:val="en-US" w:eastAsia="zh-CN"/>
        </w:rPr>
        <w:t>养护服务</w:t>
      </w:r>
      <w:r>
        <w:rPr>
          <w:rFonts w:hint="default" w:ascii="宋体" w:hAnsi="宋体" w:eastAsia="宋体" w:cs="宋体"/>
          <w:bCs/>
          <w:color w:val="auto"/>
          <w:sz w:val="21"/>
          <w:szCs w:val="21"/>
          <w:highlight w:val="none"/>
          <w:lang w:val="en-US" w:eastAsia="zh-CN"/>
        </w:rPr>
        <w:t>有无明确列项或表示，只要是为完成该分项</w:t>
      </w:r>
      <w:r>
        <w:rPr>
          <w:rFonts w:hint="eastAsia" w:hAnsi="宋体" w:cs="宋体"/>
          <w:bCs/>
          <w:color w:val="auto"/>
          <w:sz w:val="21"/>
          <w:szCs w:val="21"/>
          <w:highlight w:val="none"/>
          <w:lang w:val="en-US" w:eastAsia="zh-CN"/>
        </w:rPr>
        <w:t>养护服务</w:t>
      </w:r>
      <w:r>
        <w:rPr>
          <w:rFonts w:hint="default" w:ascii="宋体" w:hAnsi="宋体" w:eastAsia="宋体" w:cs="宋体"/>
          <w:bCs/>
          <w:color w:val="auto"/>
          <w:sz w:val="21"/>
          <w:szCs w:val="21"/>
          <w:highlight w:val="none"/>
          <w:lang w:val="en-US" w:eastAsia="zh-CN"/>
        </w:rPr>
        <w:t>所需要做的工作和为了满足该分项</w:t>
      </w:r>
      <w:r>
        <w:rPr>
          <w:rFonts w:hint="eastAsia" w:hAnsi="宋体" w:cs="宋体"/>
          <w:bCs/>
          <w:color w:val="auto"/>
          <w:sz w:val="21"/>
          <w:szCs w:val="21"/>
          <w:highlight w:val="none"/>
          <w:lang w:val="en-US" w:eastAsia="zh-CN"/>
        </w:rPr>
        <w:t>养护服务</w:t>
      </w:r>
      <w:r>
        <w:rPr>
          <w:rFonts w:hint="default" w:ascii="宋体" w:hAnsi="宋体" w:eastAsia="宋体" w:cs="宋体"/>
          <w:bCs/>
          <w:color w:val="auto"/>
          <w:sz w:val="21"/>
          <w:szCs w:val="21"/>
          <w:highlight w:val="none"/>
          <w:lang w:val="en-US" w:eastAsia="zh-CN"/>
        </w:rPr>
        <w:t>的完整性所需要做的工作，均视为该分项</w:t>
      </w:r>
      <w:r>
        <w:rPr>
          <w:rFonts w:hint="eastAsia" w:hAnsi="宋体" w:cs="宋体"/>
          <w:bCs/>
          <w:color w:val="auto"/>
          <w:sz w:val="21"/>
          <w:szCs w:val="21"/>
          <w:highlight w:val="none"/>
          <w:lang w:val="en-US" w:eastAsia="zh-CN"/>
        </w:rPr>
        <w:t>养护服务</w:t>
      </w:r>
      <w:r>
        <w:rPr>
          <w:rFonts w:hint="default" w:ascii="宋体" w:hAnsi="宋体" w:eastAsia="宋体" w:cs="宋体"/>
          <w:bCs/>
          <w:color w:val="auto"/>
          <w:sz w:val="21"/>
          <w:szCs w:val="21"/>
          <w:highlight w:val="none"/>
          <w:lang w:val="en-US" w:eastAsia="zh-CN"/>
        </w:rPr>
        <w:t>所包含的内容。投标人在填写每一项的</w:t>
      </w:r>
      <w:r>
        <w:rPr>
          <w:rFonts w:hint="eastAsia" w:hAnsi="宋体" w:cs="宋体"/>
          <w:bCs/>
          <w:color w:val="auto"/>
          <w:sz w:val="21"/>
          <w:szCs w:val="21"/>
          <w:highlight w:val="none"/>
          <w:lang w:val="en-US" w:eastAsia="zh-CN"/>
        </w:rPr>
        <w:t>全费用</w:t>
      </w:r>
      <w:r>
        <w:rPr>
          <w:rFonts w:hint="default" w:ascii="宋体" w:hAnsi="宋体" w:eastAsia="宋体" w:cs="宋体"/>
          <w:bCs/>
          <w:color w:val="auto"/>
          <w:sz w:val="21"/>
          <w:szCs w:val="21"/>
          <w:highlight w:val="none"/>
          <w:lang w:val="en-US" w:eastAsia="zh-CN"/>
        </w:rPr>
        <w:t>综合单价和合价时应结合</w:t>
      </w:r>
      <w:r>
        <w:rPr>
          <w:rFonts w:hint="eastAsia" w:hAnsi="宋体" w:cs="宋体"/>
          <w:bCs/>
          <w:color w:val="auto"/>
          <w:sz w:val="21"/>
          <w:szCs w:val="21"/>
          <w:highlight w:val="none"/>
          <w:lang w:val="en-US" w:eastAsia="zh-CN"/>
        </w:rPr>
        <w:t>所有</w:t>
      </w:r>
      <w:r>
        <w:rPr>
          <w:rFonts w:hint="default" w:ascii="宋体" w:hAnsi="宋体" w:eastAsia="宋体" w:cs="宋体"/>
          <w:bCs/>
          <w:color w:val="auto"/>
          <w:sz w:val="21"/>
          <w:szCs w:val="21"/>
          <w:highlight w:val="none"/>
          <w:lang w:val="en-US" w:eastAsia="zh-CN"/>
        </w:rPr>
        <w:t>情况进行报价。</w:t>
      </w:r>
    </w:p>
    <w:p>
      <w:pPr>
        <w:pStyle w:val="28"/>
        <w:snapToGrid w:val="0"/>
        <w:spacing w:before="0" w:beforeLines="0" w:after="0" w:afterLines="0" w:line="500" w:lineRule="exact"/>
        <w:ind w:firstLine="420" w:firstLineChars="200"/>
        <w:outlineLvl w:val="0"/>
        <w:rPr>
          <w:rFonts w:hint="default" w:ascii="宋体" w:hAnsi="宋体" w:eastAsia="宋体" w:cs="宋体"/>
          <w:bCs/>
          <w:color w:val="auto"/>
          <w:sz w:val="21"/>
          <w:szCs w:val="21"/>
          <w:highlight w:val="none"/>
          <w:lang w:val="en-US" w:eastAsia="zh-CN"/>
        </w:rPr>
      </w:pPr>
      <w:r>
        <w:rPr>
          <w:rFonts w:hint="eastAsia" w:hAnsi="宋体" w:cs="宋体"/>
          <w:bCs/>
          <w:color w:val="auto"/>
          <w:sz w:val="21"/>
          <w:szCs w:val="21"/>
          <w:highlight w:val="none"/>
          <w:lang w:val="en-US" w:eastAsia="zh-CN"/>
        </w:rPr>
        <w:t>2、</w:t>
      </w:r>
      <w:r>
        <w:rPr>
          <w:rFonts w:hint="default" w:ascii="宋体" w:hAnsi="宋体" w:eastAsia="宋体" w:cs="宋体"/>
          <w:bCs/>
          <w:color w:val="auto"/>
          <w:sz w:val="21"/>
          <w:szCs w:val="21"/>
          <w:highlight w:val="none"/>
          <w:lang w:val="en-US" w:eastAsia="zh-CN"/>
        </w:rPr>
        <w:t>投标人认为必须或可能发生的费用应全部考虑在报价中，未在报价中体现的视作已综合在单价中或已全部优惠。</w:t>
      </w:r>
    </w:p>
    <w:p>
      <w:pPr>
        <w:pStyle w:val="28"/>
        <w:snapToGrid w:val="0"/>
        <w:spacing w:before="0" w:beforeLines="0" w:after="0" w:afterLines="0" w:line="500" w:lineRule="exact"/>
        <w:ind w:firstLine="420" w:firstLineChars="200"/>
        <w:outlineLvl w:val="0"/>
        <w:rPr>
          <w:rFonts w:hint="default" w:ascii="宋体" w:hAnsi="宋体" w:eastAsia="宋体" w:cs="宋体"/>
          <w:bCs/>
          <w:color w:val="auto"/>
          <w:sz w:val="21"/>
          <w:szCs w:val="21"/>
          <w:highlight w:val="none"/>
          <w:lang w:val="en-US" w:eastAsia="zh-CN"/>
        </w:rPr>
      </w:pPr>
      <w:r>
        <w:rPr>
          <w:rFonts w:hint="eastAsia" w:hAnsi="宋体" w:cs="宋体"/>
          <w:bCs/>
          <w:color w:val="auto"/>
          <w:sz w:val="21"/>
          <w:szCs w:val="21"/>
          <w:highlight w:val="none"/>
          <w:lang w:val="en-US" w:eastAsia="zh-CN"/>
        </w:rPr>
        <w:t>3</w:t>
      </w:r>
      <w:r>
        <w:rPr>
          <w:rFonts w:hint="default" w:ascii="宋体" w:hAnsi="宋体" w:eastAsia="宋体" w:cs="宋体"/>
          <w:bCs/>
          <w:color w:val="auto"/>
          <w:sz w:val="21"/>
          <w:szCs w:val="21"/>
          <w:highlight w:val="none"/>
          <w:lang w:val="en-US" w:eastAsia="zh-CN"/>
        </w:rPr>
        <w:t>、投标人应按清单中列出的</w:t>
      </w:r>
      <w:r>
        <w:rPr>
          <w:rFonts w:hint="eastAsia" w:hAnsi="宋体" w:cs="宋体"/>
          <w:bCs/>
          <w:color w:val="auto"/>
          <w:sz w:val="21"/>
          <w:szCs w:val="21"/>
          <w:highlight w:val="none"/>
          <w:lang w:val="en-US" w:eastAsia="zh-CN"/>
        </w:rPr>
        <w:t>养护服务</w:t>
      </w:r>
      <w:r>
        <w:rPr>
          <w:rFonts w:hint="default" w:ascii="宋体" w:hAnsi="宋体" w:eastAsia="宋体" w:cs="宋体"/>
          <w:bCs/>
          <w:color w:val="auto"/>
          <w:sz w:val="21"/>
          <w:szCs w:val="21"/>
          <w:highlight w:val="none"/>
          <w:lang w:val="en-US" w:eastAsia="zh-CN"/>
        </w:rPr>
        <w:t>项目填报单价和合价。每一项目只允许有一个报价。任何有选择的报价不予接受，投标人未填单价或合价的</w:t>
      </w:r>
      <w:r>
        <w:rPr>
          <w:rFonts w:hint="eastAsia" w:hAnsi="宋体" w:cs="宋体"/>
          <w:bCs/>
          <w:color w:val="auto"/>
          <w:sz w:val="21"/>
          <w:szCs w:val="21"/>
          <w:highlight w:val="none"/>
          <w:lang w:val="en-US" w:eastAsia="zh-CN"/>
        </w:rPr>
        <w:t>养护服务</w:t>
      </w:r>
      <w:r>
        <w:rPr>
          <w:rFonts w:hint="default" w:ascii="宋体" w:hAnsi="宋体" w:eastAsia="宋体" w:cs="宋体"/>
          <w:bCs/>
          <w:color w:val="auto"/>
          <w:sz w:val="21"/>
          <w:szCs w:val="21"/>
          <w:highlight w:val="none"/>
          <w:lang w:val="en-US" w:eastAsia="zh-CN"/>
        </w:rPr>
        <w:t>，在实施后，招标人将不予支付，并视作该项费用已包括在其它有价款的单价或合价内。</w:t>
      </w:r>
    </w:p>
    <w:p>
      <w:pPr>
        <w:pStyle w:val="28"/>
        <w:snapToGrid w:val="0"/>
        <w:spacing w:before="0" w:beforeLines="0" w:after="0" w:afterLines="0" w:line="500" w:lineRule="exact"/>
        <w:ind w:firstLine="420" w:firstLineChars="200"/>
        <w:outlineLvl w:val="0"/>
        <w:rPr>
          <w:rFonts w:hint="default" w:ascii="宋体" w:hAnsi="宋体" w:eastAsia="宋体" w:cs="宋体"/>
          <w:bCs/>
          <w:color w:val="auto"/>
          <w:sz w:val="21"/>
          <w:szCs w:val="21"/>
          <w:highlight w:val="none"/>
          <w:lang w:val="en-US" w:eastAsia="zh-CN"/>
        </w:rPr>
      </w:pPr>
      <w:r>
        <w:rPr>
          <w:rFonts w:hint="eastAsia" w:hAnsi="宋体" w:cs="宋体"/>
          <w:bCs/>
          <w:color w:val="auto"/>
          <w:sz w:val="21"/>
          <w:szCs w:val="21"/>
          <w:highlight w:val="none"/>
          <w:lang w:val="en-US" w:eastAsia="zh-CN"/>
        </w:rPr>
        <w:t>4</w:t>
      </w:r>
      <w:r>
        <w:rPr>
          <w:rFonts w:hint="default" w:ascii="宋体" w:hAnsi="宋体" w:eastAsia="宋体" w:cs="宋体"/>
          <w:bCs/>
          <w:color w:val="auto"/>
          <w:sz w:val="21"/>
          <w:szCs w:val="21"/>
          <w:highlight w:val="none"/>
          <w:lang w:val="en-US" w:eastAsia="zh-CN"/>
        </w:rPr>
        <w:t>、本</w:t>
      </w:r>
      <w:r>
        <w:rPr>
          <w:rFonts w:hint="eastAsia" w:hAnsi="宋体" w:cs="宋体"/>
          <w:bCs/>
          <w:color w:val="auto"/>
          <w:sz w:val="21"/>
          <w:szCs w:val="21"/>
          <w:highlight w:val="none"/>
          <w:lang w:val="en-US" w:eastAsia="zh-CN"/>
        </w:rPr>
        <w:t>养护服务</w:t>
      </w:r>
      <w:r>
        <w:rPr>
          <w:rFonts w:hint="default" w:ascii="宋体" w:hAnsi="宋体" w:eastAsia="宋体" w:cs="宋体"/>
          <w:bCs/>
          <w:color w:val="auto"/>
          <w:sz w:val="21"/>
          <w:szCs w:val="21"/>
          <w:highlight w:val="none"/>
          <w:lang w:val="en-US" w:eastAsia="zh-CN"/>
        </w:rPr>
        <w:t>施工用水、用电由施工方自行解决，所需水、电、电讯线路、临时场地、临时设施搭设、临时道路由承包人完成，发包方做好配合及协调工作，所发生的一切费用由</w:t>
      </w:r>
      <w:r>
        <w:rPr>
          <w:rFonts w:hint="eastAsia" w:hAnsi="宋体" w:cs="宋体"/>
          <w:bCs/>
          <w:color w:val="auto"/>
          <w:sz w:val="21"/>
          <w:szCs w:val="21"/>
          <w:highlight w:val="none"/>
          <w:lang w:val="en-US" w:eastAsia="zh-CN"/>
        </w:rPr>
        <w:t>养护</w:t>
      </w:r>
      <w:r>
        <w:rPr>
          <w:rFonts w:hint="default" w:ascii="宋体" w:hAnsi="宋体" w:eastAsia="宋体" w:cs="宋体"/>
          <w:bCs/>
          <w:color w:val="auto"/>
          <w:sz w:val="21"/>
          <w:szCs w:val="21"/>
          <w:highlight w:val="none"/>
          <w:lang w:val="en-US" w:eastAsia="zh-CN"/>
        </w:rPr>
        <w:t>方自行考虑按市场价计入投标报价中。养护服务期用水、用电涨价风险因素一并考虑计入报价。</w:t>
      </w:r>
    </w:p>
    <w:p>
      <w:pPr>
        <w:pStyle w:val="28"/>
        <w:snapToGrid w:val="0"/>
        <w:spacing w:before="0" w:beforeLines="0" w:after="0" w:afterLines="0" w:line="500" w:lineRule="exact"/>
        <w:ind w:firstLine="420" w:firstLineChars="200"/>
        <w:outlineLvl w:val="0"/>
        <w:rPr>
          <w:rFonts w:hint="default" w:ascii="宋体" w:hAnsi="宋体" w:eastAsia="宋体" w:cs="宋体"/>
          <w:bCs/>
          <w:color w:val="auto"/>
          <w:sz w:val="21"/>
          <w:szCs w:val="21"/>
          <w:highlight w:val="none"/>
          <w:lang w:val="en-US" w:eastAsia="zh-CN"/>
        </w:rPr>
      </w:pPr>
      <w:r>
        <w:rPr>
          <w:rFonts w:hint="eastAsia" w:hAnsi="宋体" w:cs="宋体"/>
          <w:bCs/>
          <w:color w:val="auto"/>
          <w:sz w:val="21"/>
          <w:szCs w:val="21"/>
          <w:highlight w:val="none"/>
          <w:lang w:val="en-US" w:eastAsia="zh-CN"/>
        </w:rPr>
        <w:t>5</w:t>
      </w:r>
      <w:r>
        <w:rPr>
          <w:rFonts w:hint="default" w:ascii="宋体" w:hAnsi="宋体" w:eastAsia="宋体" w:cs="宋体"/>
          <w:bCs/>
          <w:color w:val="auto"/>
          <w:sz w:val="21"/>
          <w:szCs w:val="21"/>
          <w:highlight w:val="none"/>
          <w:lang w:val="en-US" w:eastAsia="zh-CN"/>
        </w:rPr>
        <w:t>、投标人在填报价格及费用时应充分考虑国家现行技术标准、规范等要求，工程质量检测（包括所有原材料、成品、半成品进场复试）等按设计、施工、验收规范要求送检，所需一切费用计入投标报价内。</w:t>
      </w:r>
    </w:p>
    <w:p>
      <w:pPr>
        <w:pStyle w:val="28"/>
        <w:snapToGrid w:val="0"/>
        <w:spacing w:before="0" w:beforeLines="0" w:after="0" w:afterLines="0" w:line="500" w:lineRule="exact"/>
        <w:ind w:firstLine="420" w:firstLineChars="200"/>
        <w:outlineLvl w:val="0"/>
        <w:rPr>
          <w:rFonts w:hint="default" w:ascii="宋体" w:hAnsi="宋体" w:eastAsia="宋体" w:cs="宋体"/>
          <w:bCs/>
          <w:color w:val="auto"/>
          <w:sz w:val="21"/>
          <w:szCs w:val="21"/>
          <w:highlight w:val="none"/>
          <w:lang w:val="en-US" w:eastAsia="zh-CN"/>
        </w:rPr>
      </w:pPr>
      <w:r>
        <w:rPr>
          <w:rFonts w:hint="eastAsia" w:hAnsi="宋体" w:cs="宋体"/>
          <w:bCs/>
          <w:color w:val="auto"/>
          <w:sz w:val="21"/>
          <w:szCs w:val="21"/>
          <w:highlight w:val="none"/>
          <w:lang w:val="en-US" w:eastAsia="zh-CN"/>
        </w:rPr>
        <w:t>6</w:t>
      </w:r>
      <w:r>
        <w:rPr>
          <w:rFonts w:hint="default" w:ascii="宋体" w:hAnsi="宋体" w:eastAsia="宋体" w:cs="宋体"/>
          <w:bCs/>
          <w:color w:val="auto"/>
          <w:sz w:val="21"/>
          <w:szCs w:val="21"/>
          <w:highlight w:val="none"/>
          <w:lang w:val="en-US" w:eastAsia="zh-CN"/>
        </w:rPr>
        <w:t>、临时设施围护、行车干扰因素所产生的费用、规定范围以外的便道所增加费用竞争报价均计入报价中。</w:t>
      </w:r>
    </w:p>
    <w:p>
      <w:pPr>
        <w:pStyle w:val="28"/>
        <w:snapToGrid w:val="0"/>
        <w:spacing w:before="0" w:beforeLines="0" w:after="0" w:afterLines="0" w:line="500" w:lineRule="exact"/>
        <w:ind w:firstLine="420" w:firstLineChars="200"/>
        <w:outlineLvl w:val="0"/>
        <w:rPr>
          <w:rFonts w:hint="default" w:ascii="宋体" w:hAnsi="宋体" w:eastAsia="宋体" w:cs="宋体"/>
          <w:bCs/>
          <w:color w:val="auto"/>
          <w:sz w:val="21"/>
          <w:szCs w:val="21"/>
          <w:highlight w:val="none"/>
          <w:lang w:val="en-US" w:eastAsia="zh-CN"/>
        </w:rPr>
      </w:pPr>
      <w:r>
        <w:rPr>
          <w:rFonts w:hint="eastAsia" w:hAnsi="宋体" w:cs="宋体"/>
          <w:bCs/>
          <w:color w:val="auto"/>
          <w:sz w:val="21"/>
          <w:szCs w:val="21"/>
          <w:highlight w:val="none"/>
          <w:lang w:val="en-US" w:eastAsia="zh-CN"/>
        </w:rPr>
        <w:t>7</w:t>
      </w:r>
      <w:r>
        <w:rPr>
          <w:rFonts w:hint="default" w:ascii="宋体" w:hAnsi="宋体" w:eastAsia="宋体" w:cs="宋体"/>
          <w:bCs/>
          <w:color w:val="auto"/>
          <w:sz w:val="21"/>
          <w:szCs w:val="21"/>
          <w:highlight w:val="none"/>
          <w:lang w:val="en-US" w:eastAsia="zh-CN"/>
        </w:rPr>
        <w:t>、若养护服务过程中遇到与其他项目需交叉</w:t>
      </w:r>
      <w:r>
        <w:rPr>
          <w:rFonts w:hint="eastAsia" w:hAnsi="宋体" w:cs="宋体"/>
          <w:bCs/>
          <w:color w:val="auto"/>
          <w:sz w:val="21"/>
          <w:szCs w:val="21"/>
          <w:highlight w:val="none"/>
          <w:lang w:val="en-US" w:eastAsia="zh-CN"/>
        </w:rPr>
        <w:t>实施</w:t>
      </w:r>
      <w:r>
        <w:rPr>
          <w:rFonts w:hint="default" w:ascii="宋体" w:hAnsi="宋体" w:eastAsia="宋体" w:cs="宋体"/>
          <w:bCs/>
          <w:color w:val="auto"/>
          <w:sz w:val="21"/>
          <w:szCs w:val="21"/>
          <w:highlight w:val="none"/>
          <w:lang w:val="en-US" w:eastAsia="zh-CN"/>
        </w:rPr>
        <w:t>的，由承包人自行协调处理，投标报价时综合考虑该因素。</w:t>
      </w:r>
    </w:p>
    <w:p>
      <w:pPr>
        <w:pStyle w:val="28"/>
        <w:snapToGrid w:val="0"/>
        <w:spacing w:before="0" w:beforeLines="0" w:after="0" w:afterLines="0" w:line="500" w:lineRule="exact"/>
        <w:ind w:firstLine="420" w:firstLineChars="200"/>
        <w:outlineLvl w:val="0"/>
        <w:rPr>
          <w:rFonts w:hint="default" w:ascii="宋体" w:hAnsi="宋体" w:eastAsia="宋体" w:cs="宋体"/>
          <w:bCs/>
          <w:color w:val="auto"/>
          <w:sz w:val="21"/>
          <w:szCs w:val="21"/>
          <w:highlight w:val="none"/>
          <w:lang w:val="en-US" w:eastAsia="zh-CN"/>
        </w:rPr>
      </w:pPr>
      <w:r>
        <w:rPr>
          <w:rFonts w:hint="eastAsia" w:hAnsi="宋体" w:cs="宋体"/>
          <w:bCs/>
          <w:color w:val="auto"/>
          <w:sz w:val="21"/>
          <w:szCs w:val="21"/>
          <w:highlight w:val="none"/>
          <w:lang w:val="en-US" w:eastAsia="zh-CN"/>
        </w:rPr>
        <w:t>8</w:t>
      </w:r>
      <w:r>
        <w:rPr>
          <w:rFonts w:hint="default" w:ascii="宋体" w:hAnsi="宋体" w:eastAsia="宋体" w:cs="宋体"/>
          <w:bCs/>
          <w:color w:val="auto"/>
          <w:sz w:val="21"/>
          <w:szCs w:val="21"/>
          <w:highlight w:val="none"/>
          <w:lang w:val="en-US" w:eastAsia="zh-CN"/>
        </w:rPr>
        <w:t>、凡养护服务过程中涉及需要坐标点、水准点定位的，投标单位须在投标报价中综合考虑。</w:t>
      </w:r>
    </w:p>
    <w:p>
      <w:pPr>
        <w:pStyle w:val="28"/>
        <w:snapToGrid w:val="0"/>
        <w:spacing w:before="0" w:beforeLines="0" w:after="0" w:afterLines="0" w:line="500" w:lineRule="exact"/>
        <w:ind w:firstLine="420" w:firstLineChars="200"/>
        <w:outlineLvl w:val="0"/>
        <w:rPr>
          <w:rFonts w:hint="default" w:ascii="宋体" w:hAnsi="宋体" w:eastAsia="宋体" w:cs="宋体"/>
          <w:bCs/>
          <w:color w:val="auto"/>
          <w:sz w:val="21"/>
          <w:szCs w:val="21"/>
          <w:highlight w:val="none"/>
          <w:lang w:val="en-US" w:eastAsia="zh-CN"/>
        </w:rPr>
      </w:pPr>
      <w:r>
        <w:rPr>
          <w:rFonts w:hint="eastAsia" w:hAnsi="宋体" w:cs="宋体"/>
          <w:bCs/>
          <w:color w:val="auto"/>
          <w:sz w:val="21"/>
          <w:szCs w:val="21"/>
          <w:highlight w:val="none"/>
          <w:lang w:val="en-US" w:eastAsia="zh-CN"/>
        </w:rPr>
        <w:t>9</w:t>
      </w:r>
      <w:r>
        <w:rPr>
          <w:rFonts w:hint="default" w:ascii="宋体" w:hAnsi="宋体" w:eastAsia="宋体" w:cs="宋体"/>
          <w:bCs/>
          <w:color w:val="auto"/>
          <w:sz w:val="21"/>
          <w:szCs w:val="21"/>
          <w:highlight w:val="none"/>
          <w:lang w:val="en-US" w:eastAsia="zh-CN"/>
        </w:rPr>
        <w:t>、本次招标服务期内，投标人必须对服务区域内的市政基础设施（含桥梁）进行日常养护及巡查应急处理，在巡查及施工过程中，所产生的一切事故均须由中标单位负责，该部分费用投标单位自行考虑报价，结算不作调整。</w:t>
      </w:r>
    </w:p>
    <w:p>
      <w:pPr>
        <w:pStyle w:val="28"/>
        <w:snapToGrid w:val="0"/>
        <w:spacing w:before="0" w:beforeLines="0" w:after="0" w:afterLines="0" w:line="500" w:lineRule="exact"/>
        <w:ind w:firstLine="420" w:firstLineChars="200"/>
        <w:outlineLvl w:val="0"/>
        <w:rPr>
          <w:rFonts w:hint="default" w:ascii="宋体" w:hAnsi="宋体" w:eastAsia="宋体" w:cs="宋体"/>
          <w:bCs/>
          <w:color w:val="auto"/>
          <w:sz w:val="21"/>
          <w:szCs w:val="21"/>
          <w:highlight w:val="none"/>
          <w:lang w:val="en-US" w:eastAsia="zh-CN"/>
        </w:rPr>
      </w:pPr>
      <w:r>
        <w:rPr>
          <w:rFonts w:hint="default" w:ascii="宋体" w:hAnsi="宋体" w:eastAsia="宋体" w:cs="宋体"/>
          <w:bCs/>
          <w:color w:val="auto"/>
          <w:sz w:val="21"/>
          <w:szCs w:val="21"/>
          <w:highlight w:val="none"/>
          <w:lang w:val="en-US" w:eastAsia="zh-CN"/>
        </w:rPr>
        <w:t>1</w:t>
      </w:r>
      <w:r>
        <w:rPr>
          <w:rFonts w:hint="eastAsia" w:hAnsi="宋体" w:cs="宋体"/>
          <w:bCs/>
          <w:color w:val="auto"/>
          <w:sz w:val="21"/>
          <w:szCs w:val="21"/>
          <w:highlight w:val="none"/>
          <w:lang w:val="en-US" w:eastAsia="zh-CN"/>
        </w:rPr>
        <w:t>0</w:t>
      </w:r>
      <w:r>
        <w:rPr>
          <w:rFonts w:hint="default" w:ascii="宋体" w:hAnsi="宋体" w:eastAsia="宋体" w:cs="宋体"/>
          <w:bCs/>
          <w:color w:val="auto"/>
          <w:sz w:val="21"/>
          <w:szCs w:val="21"/>
          <w:highlight w:val="none"/>
          <w:lang w:val="en-US" w:eastAsia="zh-CN"/>
        </w:rPr>
        <w:t>、本次招标为市政设施日常巡查养护维修，服务区域分布广，维修地点分散，维修时间不集中、不确定，且施工时要求边施工边通车；特要求投标单位在接到招标人通知后4小时内，即派施工人员到达维修现场进行处理。若无故不及时处理的，处以每次500元的罚款，如因不及时处理造成严重后果的由投标单位承担相应损失。通知的形式可以是电话、短信、书面或当面口头通知。因此，投标人在开标前应自行前往现场认真踏勘，并在报价时将本项目</w:t>
      </w:r>
      <w:r>
        <w:rPr>
          <w:rFonts w:hint="eastAsia" w:hAnsi="宋体" w:cs="宋体"/>
          <w:bCs/>
          <w:color w:val="auto"/>
          <w:sz w:val="21"/>
          <w:szCs w:val="21"/>
          <w:highlight w:val="none"/>
          <w:lang w:val="en-US" w:eastAsia="zh-CN"/>
        </w:rPr>
        <w:t>养护服务</w:t>
      </w:r>
      <w:r>
        <w:rPr>
          <w:rFonts w:hint="default" w:ascii="宋体" w:hAnsi="宋体" w:eastAsia="宋体" w:cs="宋体"/>
          <w:bCs/>
          <w:color w:val="auto"/>
          <w:sz w:val="21"/>
          <w:szCs w:val="21"/>
          <w:highlight w:val="none"/>
          <w:lang w:val="en-US" w:eastAsia="zh-CN"/>
        </w:rPr>
        <w:t>期间必要的交通安全措施费用充分考虑后计入报价内，结算不另增加费用。由于承包人措施不力，导致事故频发造成重大影响，引起索赔，赔偿、诉讼费用及拖延或费用增加时，由承包人承担一切责任和费用。</w:t>
      </w:r>
    </w:p>
    <w:p>
      <w:pPr>
        <w:pStyle w:val="28"/>
        <w:snapToGrid w:val="0"/>
        <w:spacing w:before="0" w:beforeLines="0" w:after="0" w:afterLines="0" w:line="500" w:lineRule="exact"/>
        <w:ind w:firstLine="420" w:firstLineChars="200"/>
        <w:outlineLvl w:val="0"/>
        <w:rPr>
          <w:rFonts w:hint="default" w:ascii="宋体" w:hAnsi="宋体" w:eastAsia="宋体" w:cs="宋体"/>
          <w:bCs/>
          <w:color w:val="auto"/>
          <w:sz w:val="21"/>
          <w:szCs w:val="21"/>
          <w:highlight w:val="none"/>
          <w:lang w:val="en-US" w:eastAsia="zh-CN"/>
        </w:rPr>
      </w:pPr>
      <w:r>
        <w:rPr>
          <w:rFonts w:hint="default" w:ascii="宋体" w:hAnsi="宋体" w:eastAsia="宋体" w:cs="宋体"/>
          <w:bCs/>
          <w:color w:val="auto"/>
          <w:sz w:val="21"/>
          <w:szCs w:val="21"/>
          <w:highlight w:val="none"/>
          <w:lang w:val="en-US" w:eastAsia="zh-CN"/>
        </w:rPr>
        <w:t>1</w:t>
      </w:r>
      <w:r>
        <w:rPr>
          <w:rFonts w:hint="eastAsia" w:hAnsi="宋体" w:cs="宋体"/>
          <w:bCs/>
          <w:color w:val="auto"/>
          <w:sz w:val="21"/>
          <w:szCs w:val="21"/>
          <w:highlight w:val="none"/>
          <w:lang w:val="en-US" w:eastAsia="zh-CN"/>
        </w:rPr>
        <w:t>1</w:t>
      </w:r>
      <w:r>
        <w:rPr>
          <w:rFonts w:hint="default" w:ascii="宋体" w:hAnsi="宋体" w:eastAsia="宋体" w:cs="宋体"/>
          <w:bCs/>
          <w:color w:val="auto"/>
          <w:sz w:val="21"/>
          <w:szCs w:val="21"/>
          <w:highlight w:val="none"/>
          <w:lang w:val="en-US" w:eastAsia="zh-CN"/>
        </w:rPr>
        <w:t>、养护服务期间，应确保</w:t>
      </w:r>
      <w:r>
        <w:rPr>
          <w:rFonts w:hint="eastAsia" w:hAnsi="宋体" w:cs="宋体"/>
          <w:bCs/>
          <w:color w:val="auto"/>
          <w:sz w:val="21"/>
          <w:szCs w:val="21"/>
          <w:highlight w:val="none"/>
          <w:lang w:val="en-US" w:eastAsia="zh-CN"/>
        </w:rPr>
        <w:t>养护服务</w:t>
      </w:r>
      <w:r>
        <w:rPr>
          <w:rFonts w:hint="default" w:ascii="宋体" w:hAnsi="宋体" w:eastAsia="宋体" w:cs="宋体"/>
          <w:bCs/>
          <w:color w:val="auto"/>
          <w:sz w:val="21"/>
          <w:szCs w:val="21"/>
          <w:highlight w:val="none"/>
          <w:lang w:val="en-US" w:eastAsia="zh-CN"/>
        </w:rPr>
        <w:t>人员和通行人员的安全，道路养护服务范围要求作安全隔离处理，现场养护服务作业人员要求穿带反光安全工作服，设置必要的道路通行疏导指挥人员、必要的通行导示、导向牌等，安排专人清理道路上的抛洒物，费用包含在投标报价内。</w:t>
      </w:r>
    </w:p>
    <w:p>
      <w:pPr>
        <w:pStyle w:val="28"/>
        <w:snapToGrid w:val="0"/>
        <w:spacing w:before="0" w:beforeLines="0" w:after="0" w:afterLines="0" w:line="500" w:lineRule="exact"/>
        <w:ind w:firstLine="420" w:firstLineChars="200"/>
        <w:outlineLvl w:val="0"/>
        <w:rPr>
          <w:rFonts w:hint="default" w:ascii="宋体" w:hAnsi="宋体" w:eastAsia="宋体" w:cs="宋体"/>
          <w:bCs/>
          <w:color w:val="auto"/>
          <w:sz w:val="21"/>
          <w:szCs w:val="21"/>
          <w:highlight w:val="none"/>
          <w:lang w:val="en-US" w:eastAsia="zh-CN"/>
        </w:rPr>
      </w:pPr>
      <w:r>
        <w:rPr>
          <w:rFonts w:hint="default" w:ascii="宋体" w:hAnsi="宋体" w:eastAsia="宋体" w:cs="宋体"/>
          <w:bCs/>
          <w:color w:val="auto"/>
          <w:sz w:val="21"/>
          <w:szCs w:val="21"/>
          <w:highlight w:val="none"/>
          <w:lang w:val="en-US" w:eastAsia="zh-CN"/>
        </w:rPr>
        <w:t>1</w:t>
      </w:r>
      <w:r>
        <w:rPr>
          <w:rFonts w:hint="eastAsia" w:hAnsi="宋体" w:cs="宋体"/>
          <w:bCs/>
          <w:color w:val="auto"/>
          <w:sz w:val="21"/>
          <w:szCs w:val="21"/>
          <w:highlight w:val="none"/>
          <w:lang w:val="en-US" w:eastAsia="zh-CN"/>
        </w:rPr>
        <w:t>2</w:t>
      </w:r>
      <w:r>
        <w:rPr>
          <w:rFonts w:hint="default" w:ascii="宋体" w:hAnsi="宋体" w:eastAsia="宋体" w:cs="宋体"/>
          <w:bCs/>
          <w:color w:val="auto"/>
          <w:sz w:val="21"/>
          <w:szCs w:val="21"/>
          <w:highlight w:val="none"/>
          <w:lang w:val="en-US" w:eastAsia="zh-CN"/>
        </w:rPr>
        <w:t>、本养护服务所有材料、设备、配件均由承包人采购，其质量必须符合设计和施工规范要求，进场前必须报发包人、监理人审批，未经批准的材料不得进场</w:t>
      </w:r>
      <w:r>
        <w:rPr>
          <w:rFonts w:hint="eastAsia" w:hAnsi="宋体" w:cs="宋体"/>
          <w:bCs/>
          <w:color w:val="auto"/>
          <w:sz w:val="21"/>
          <w:szCs w:val="21"/>
          <w:highlight w:val="none"/>
          <w:lang w:val="en-US" w:eastAsia="zh-CN"/>
        </w:rPr>
        <w:t>实施</w:t>
      </w:r>
      <w:r>
        <w:rPr>
          <w:rFonts w:hint="default" w:ascii="宋体" w:hAnsi="宋体" w:eastAsia="宋体" w:cs="宋体"/>
          <w:bCs/>
          <w:color w:val="auto"/>
          <w:sz w:val="21"/>
          <w:szCs w:val="21"/>
          <w:highlight w:val="none"/>
          <w:lang w:val="en-US" w:eastAsia="zh-CN"/>
        </w:rPr>
        <w:t>，否则一切损失由承包人负责。</w:t>
      </w:r>
    </w:p>
    <w:p>
      <w:pPr>
        <w:pStyle w:val="28"/>
        <w:snapToGrid w:val="0"/>
        <w:spacing w:before="0" w:beforeLines="0" w:after="0" w:afterLines="0" w:line="500" w:lineRule="exact"/>
        <w:ind w:firstLine="420" w:firstLineChars="200"/>
        <w:outlineLvl w:val="0"/>
        <w:rPr>
          <w:rFonts w:hint="default" w:ascii="宋体" w:hAnsi="宋体" w:eastAsia="宋体" w:cs="宋体"/>
          <w:bCs/>
          <w:color w:val="auto"/>
          <w:sz w:val="21"/>
          <w:szCs w:val="21"/>
          <w:highlight w:val="none"/>
          <w:lang w:val="en-US" w:eastAsia="zh-CN"/>
        </w:rPr>
      </w:pPr>
      <w:r>
        <w:rPr>
          <w:rFonts w:hint="default" w:ascii="宋体" w:hAnsi="宋体" w:eastAsia="宋体" w:cs="宋体"/>
          <w:bCs/>
          <w:color w:val="auto"/>
          <w:sz w:val="21"/>
          <w:szCs w:val="21"/>
          <w:highlight w:val="none"/>
          <w:lang w:val="en-US" w:eastAsia="zh-CN"/>
        </w:rPr>
        <w:t>1</w:t>
      </w:r>
      <w:r>
        <w:rPr>
          <w:rFonts w:hint="eastAsia" w:hAnsi="宋体" w:cs="宋体"/>
          <w:bCs/>
          <w:color w:val="auto"/>
          <w:sz w:val="21"/>
          <w:szCs w:val="21"/>
          <w:highlight w:val="none"/>
          <w:lang w:val="en-US" w:eastAsia="zh-CN"/>
        </w:rPr>
        <w:t>3</w:t>
      </w:r>
      <w:r>
        <w:rPr>
          <w:rFonts w:hint="default" w:ascii="宋体" w:hAnsi="宋体" w:eastAsia="宋体" w:cs="宋体"/>
          <w:bCs/>
          <w:color w:val="auto"/>
          <w:sz w:val="21"/>
          <w:szCs w:val="21"/>
          <w:highlight w:val="none"/>
          <w:lang w:val="en-US" w:eastAsia="zh-CN"/>
        </w:rPr>
        <w:t>、根据嘉政发【2008】16号文件《嘉兴市人民政府关于印发嘉兴市预拌混凝土（砂浆）管理办法的通知》的规定，本养护服务所用混凝土（砂浆）应采用商品预拌混凝土（砂浆），是否泵送及运距由投标单位自行考虑。</w:t>
      </w:r>
    </w:p>
    <w:p>
      <w:pPr>
        <w:pStyle w:val="28"/>
        <w:snapToGrid w:val="0"/>
        <w:spacing w:before="0" w:beforeLines="0" w:after="0" w:afterLines="0" w:line="500" w:lineRule="exact"/>
        <w:ind w:firstLine="420" w:firstLineChars="200"/>
        <w:outlineLvl w:val="0"/>
        <w:rPr>
          <w:rFonts w:hint="default" w:ascii="宋体" w:hAnsi="宋体" w:eastAsia="宋体" w:cs="宋体"/>
          <w:bCs/>
          <w:color w:val="auto"/>
          <w:sz w:val="21"/>
          <w:szCs w:val="21"/>
          <w:highlight w:val="none"/>
          <w:lang w:val="en-US" w:eastAsia="zh-CN"/>
        </w:rPr>
      </w:pPr>
      <w:r>
        <w:rPr>
          <w:rFonts w:hint="default" w:ascii="宋体" w:hAnsi="宋体" w:eastAsia="宋体" w:cs="宋体"/>
          <w:bCs/>
          <w:color w:val="auto"/>
          <w:sz w:val="21"/>
          <w:szCs w:val="21"/>
          <w:highlight w:val="none"/>
          <w:lang w:val="en-US" w:eastAsia="zh-CN"/>
        </w:rPr>
        <w:t>1</w:t>
      </w:r>
      <w:r>
        <w:rPr>
          <w:rFonts w:hint="eastAsia" w:hAnsi="宋体" w:cs="宋体"/>
          <w:bCs/>
          <w:color w:val="auto"/>
          <w:sz w:val="21"/>
          <w:szCs w:val="21"/>
          <w:highlight w:val="none"/>
          <w:lang w:val="en-US" w:eastAsia="zh-CN"/>
        </w:rPr>
        <w:t>4</w:t>
      </w:r>
      <w:r>
        <w:rPr>
          <w:rFonts w:hint="default" w:ascii="宋体" w:hAnsi="宋体" w:eastAsia="宋体" w:cs="宋体"/>
          <w:bCs/>
          <w:color w:val="auto"/>
          <w:sz w:val="21"/>
          <w:szCs w:val="21"/>
          <w:highlight w:val="none"/>
          <w:lang w:val="en-US" w:eastAsia="zh-CN"/>
        </w:rPr>
        <w:t>、养护服务时如需模板支撑、脚手架搭设必须严格按“嘉兴市住房和城乡建设局关于加强模板支撑体系安全管理和承插型盘扣式钢管脚手架推广应用的通知”中要求执行，相关费用由投标人充分考虑后计入报价内，结算不另增加费用，</w:t>
      </w:r>
    </w:p>
    <w:p>
      <w:pPr>
        <w:pStyle w:val="28"/>
        <w:snapToGrid w:val="0"/>
        <w:spacing w:before="0" w:beforeLines="0" w:after="0" w:afterLines="0" w:line="500" w:lineRule="exact"/>
        <w:ind w:firstLine="420" w:firstLineChars="200"/>
        <w:outlineLvl w:val="0"/>
        <w:rPr>
          <w:rFonts w:hint="default" w:ascii="宋体" w:hAnsi="宋体" w:eastAsia="宋体" w:cs="宋体"/>
          <w:bCs/>
          <w:color w:val="auto"/>
          <w:sz w:val="21"/>
          <w:szCs w:val="21"/>
          <w:highlight w:val="none"/>
          <w:lang w:val="en-US" w:eastAsia="zh-CN"/>
        </w:rPr>
      </w:pPr>
      <w:r>
        <w:rPr>
          <w:rFonts w:hint="default" w:ascii="宋体" w:hAnsi="宋体" w:eastAsia="宋体" w:cs="宋体"/>
          <w:bCs/>
          <w:color w:val="auto"/>
          <w:sz w:val="21"/>
          <w:szCs w:val="21"/>
          <w:highlight w:val="none"/>
          <w:lang w:val="en-US" w:eastAsia="zh-CN"/>
        </w:rPr>
        <w:t>1</w:t>
      </w:r>
      <w:r>
        <w:rPr>
          <w:rFonts w:hint="eastAsia" w:hAnsi="宋体" w:cs="宋体"/>
          <w:bCs/>
          <w:color w:val="auto"/>
          <w:sz w:val="21"/>
          <w:szCs w:val="21"/>
          <w:highlight w:val="none"/>
          <w:lang w:val="en-US" w:eastAsia="zh-CN"/>
        </w:rPr>
        <w:t>5</w:t>
      </w:r>
      <w:r>
        <w:rPr>
          <w:rFonts w:hint="default" w:ascii="宋体" w:hAnsi="宋体" w:eastAsia="宋体" w:cs="宋体"/>
          <w:bCs/>
          <w:color w:val="auto"/>
          <w:sz w:val="21"/>
          <w:szCs w:val="21"/>
          <w:highlight w:val="none"/>
          <w:lang w:val="en-US" w:eastAsia="zh-CN"/>
        </w:rPr>
        <w:t>、投标人应充分考虑养护服务进出场、大型机械进出场的措施费用和安全防护费用，包括市政、市容、环保、交通、治安等，计入措施费用中，今后一概不作调整。</w:t>
      </w:r>
    </w:p>
    <w:p>
      <w:pPr>
        <w:pStyle w:val="28"/>
        <w:snapToGrid w:val="0"/>
        <w:spacing w:before="0" w:beforeLines="0" w:after="0" w:afterLines="0" w:line="500" w:lineRule="exact"/>
        <w:ind w:firstLine="420" w:firstLineChars="200"/>
        <w:outlineLvl w:val="0"/>
        <w:rPr>
          <w:rFonts w:hint="default" w:ascii="宋体" w:hAnsi="宋体" w:eastAsia="宋体" w:cs="宋体"/>
          <w:bCs/>
          <w:color w:val="auto"/>
          <w:sz w:val="21"/>
          <w:szCs w:val="21"/>
          <w:highlight w:val="none"/>
          <w:lang w:val="en-US" w:eastAsia="zh-CN"/>
        </w:rPr>
      </w:pPr>
      <w:bookmarkStart w:id="1" w:name="_Toc396891429"/>
      <w:r>
        <w:rPr>
          <w:rFonts w:hint="default" w:ascii="宋体" w:hAnsi="宋体" w:eastAsia="宋体" w:cs="宋体"/>
          <w:bCs/>
          <w:color w:val="auto"/>
          <w:sz w:val="21"/>
          <w:szCs w:val="21"/>
          <w:highlight w:val="none"/>
          <w:lang w:val="en-US" w:eastAsia="zh-CN"/>
        </w:rPr>
        <w:t>1</w:t>
      </w:r>
      <w:r>
        <w:rPr>
          <w:rFonts w:hint="eastAsia" w:hAnsi="宋体" w:cs="宋体"/>
          <w:bCs/>
          <w:color w:val="auto"/>
          <w:sz w:val="21"/>
          <w:szCs w:val="21"/>
          <w:highlight w:val="none"/>
          <w:lang w:val="en-US" w:eastAsia="zh-CN"/>
        </w:rPr>
        <w:t>6</w:t>
      </w:r>
      <w:r>
        <w:rPr>
          <w:rFonts w:hint="default" w:ascii="宋体" w:hAnsi="宋体" w:eastAsia="宋体" w:cs="宋体"/>
          <w:bCs/>
          <w:color w:val="auto"/>
          <w:sz w:val="21"/>
          <w:szCs w:val="21"/>
          <w:highlight w:val="none"/>
          <w:lang w:val="en-US" w:eastAsia="zh-CN"/>
        </w:rPr>
        <w:t>、投标人应综合考虑对</w:t>
      </w:r>
      <w:r>
        <w:rPr>
          <w:rFonts w:hint="eastAsia" w:hAnsi="宋体" w:cs="宋体"/>
          <w:bCs/>
          <w:color w:val="auto"/>
          <w:sz w:val="21"/>
          <w:szCs w:val="21"/>
          <w:highlight w:val="none"/>
          <w:lang w:val="en-US" w:eastAsia="zh-CN"/>
        </w:rPr>
        <w:t>实施区域</w:t>
      </w:r>
      <w:r>
        <w:rPr>
          <w:rFonts w:hint="default" w:ascii="宋体" w:hAnsi="宋体" w:eastAsia="宋体" w:cs="宋体"/>
          <w:bCs/>
          <w:color w:val="auto"/>
          <w:sz w:val="21"/>
          <w:szCs w:val="21"/>
          <w:highlight w:val="none"/>
          <w:lang w:val="en-US" w:eastAsia="zh-CN"/>
        </w:rPr>
        <w:t>周围构筑物的影响，构筑物的保护所发生的费用由各单位在投标报价时综合考虑后计入报价内。</w:t>
      </w:r>
      <w:bookmarkEnd w:id="1"/>
    </w:p>
    <w:p>
      <w:pPr>
        <w:pStyle w:val="28"/>
        <w:snapToGrid w:val="0"/>
        <w:spacing w:before="0" w:beforeLines="0" w:after="0" w:afterLines="0" w:line="500" w:lineRule="exact"/>
        <w:ind w:firstLine="420" w:firstLineChars="200"/>
        <w:outlineLvl w:val="0"/>
        <w:rPr>
          <w:rFonts w:hint="default" w:ascii="宋体" w:hAnsi="宋体" w:eastAsia="宋体" w:cs="宋体"/>
          <w:bCs/>
          <w:color w:val="auto"/>
          <w:sz w:val="21"/>
          <w:szCs w:val="21"/>
          <w:highlight w:val="none"/>
          <w:lang w:val="en-US" w:eastAsia="zh-CN"/>
        </w:rPr>
      </w:pPr>
      <w:r>
        <w:rPr>
          <w:rFonts w:hint="default" w:ascii="宋体" w:hAnsi="宋体" w:eastAsia="宋体" w:cs="宋体"/>
          <w:bCs/>
          <w:color w:val="auto"/>
          <w:sz w:val="21"/>
          <w:szCs w:val="21"/>
          <w:highlight w:val="none"/>
          <w:lang w:val="en-US" w:eastAsia="zh-CN"/>
        </w:rPr>
        <w:t>1</w:t>
      </w:r>
      <w:r>
        <w:rPr>
          <w:rFonts w:hint="eastAsia" w:hAnsi="宋体" w:cs="宋体"/>
          <w:bCs/>
          <w:color w:val="auto"/>
          <w:sz w:val="21"/>
          <w:szCs w:val="21"/>
          <w:highlight w:val="none"/>
          <w:lang w:val="en-US" w:eastAsia="zh-CN"/>
        </w:rPr>
        <w:t>7</w:t>
      </w:r>
      <w:r>
        <w:rPr>
          <w:rFonts w:hint="default" w:ascii="宋体" w:hAnsi="宋体" w:eastAsia="宋体" w:cs="宋体"/>
          <w:bCs/>
          <w:color w:val="auto"/>
          <w:sz w:val="21"/>
          <w:szCs w:val="21"/>
          <w:highlight w:val="none"/>
          <w:lang w:val="en-US" w:eastAsia="zh-CN"/>
        </w:rPr>
        <w:t>、</w:t>
      </w:r>
      <w:r>
        <w:rPr>
          <w:rFonts w:hint="eastAsia" w:hAnsi="宋体" w:cs="宋体"/>
          <w:bCs/>
          <w:color w:val="auto"/>
          <w:sz w:val="21"/>
          <w:szCs w:val="21"/>
          <w:highlight w:val="none"/>
          <w:lang w:val="en-US" w:eastAsia="zh-CN"/>
        </w:rPr>
        <w:t>养护实施</w:t>
      </w:r>
      <w:r>
        <w:rPr>
          <w:rFonts w:hint="default" w:ascii="宋体" w:hAnsi="宋体" w:eastAsia="宋体" w:cs="宋体"/>
          <w:bCs/>
          <w:color w:val="auto"/>
          <w:sz w:val="21"/>
          <w:szCs w:val="21"/>
          <w:highlight w:val="none"/>
          <w:lang w:val="en-US" w:eastAsia="zh-CN"/>
        </w:rPr>
        <w:t>期间引起的扰民（包括：行车、噪音、污染、损坏居民物品等影响民众生活的因素）由此产生的费用由各单位在投标报价时综合考虑后计入报价内。</w:t>
      </w:r>
    </w:p>
    <w:p>
      <w:pPr>
        <w:pStyle w:val="28"/>
        <w:snapToGrid w:val="0"/>
        <w:spacing w:before="0" w:beforeLines="0" w:after="0" w:afterLines="0" w:line="500" w:lineRule="exact"/>
        <w:ind w:firstLine="420" w:firstLineChars="200"/>
        <w:outlineLvl w:val="0"/>
        <w:rPr>
          <w:rFonts w:hint="default" w:ascii="宋体" w:hAnsi="宋体" w:eastAsia="宋体" w:cs="宋体"/>
          <w:bCs/>
          <w:color w:val="auto"/>
          <w:sz w:val="21"/>
          <w:szCs w:val="21"/>
          <w:highlight w:val="none"/>
          <w:lang w:val="en-US" w:eastAsia="zh-CN"/>
        </w:rPr>
      </w:pPr>
      <w:r>
        <w:rPr>
          <w:rFonts w:hint="eastAsia" w:hAnsi="宋体" w:cs="宋体"/>
          <w:bCs/>
          <w:color w:val="auto"/>
          <w:sz w:val="21"/>
          <w:szCs w:val="21"/>
          <w:highlight w:val="none"/>
          <w:lang w:val="en-US" w:eastAsia="zh-CN"/>
        </w:rPr>
        <w:t>18</w:t>
      </w:r>
      <w:r>
        <w:rPr>
          <w:rFonts w:hint="default" w:ascii="宋体" w:hAnsi="宋体" w:eastAsia="宋体" w:cs="宋体"/>
          <w:bCs/>
          <w:color w:val="auto"/>
          <w:sz w:val="21"/>
          <w:szCs w:val="21"/>
          <w:highlight w:val="none"/>
          <w:lang w:val="en-US" w:eastAsia="zh-CN"/>
        </w:rPr>
        <w:t>、承包人在</w:t>
      </w:r>
      <w:r>
        <w:rPr>
          <w:rFonts w:hint="eastAsia" w:hAnsi="宋体" w:cs="宋体"/>
          <w:bCs/>
          <w:color w:val="auto"/>
          <w:sz w:val="21"/>
          <w:szCs w:val="21"/>
          <w:highlight w:val="none"/>
          <w:lang w:val="en-US" w:eastAsia="zh-CN"/>
        </w:rPr>
        <w:t>养护实施</w:t>
      </w:r>
      <w:r>
        <w:rPr>
          <w:rFonts w:hint="default" w:ascii="宋体" w:hAnsi="宋体" w:eastAsia="宋体" w:cs="宋体"/>
          <w:bCs/>
          <w:color w:val="auto"/>
          <w:sz w:val="21"/>
          <w:szCs w:val="21"/>
          <w:highlight w:val="none"/>
          <w:lang w:val="en-US" w:eastAsia="zh-CN"/>
        </w:rPr>
        <w:t>中应注意对</w:t>
      </w:r>
      <w:r>
        <w:rPr>
          <w:rFonts w:hint="eastAsia" w:hAnsi="宋体" w:cs="宋体"/>
          <w:bCs/>
          <w:color w:val="auto"/>
          <w:sz w:val="21"/>
          <w:szCs w:val="21"/>
          <w:highlight w:val="none"/>
          <w:lang w:val="en-US" w:eastAsia="zh-CN"/>
        </w:rPr>
        <w:t>养护实施</w:t>
      </w:r>
      <w:r>
        <w:rPr>
          <w:rFonts w:hint="default" w:ascii="宋体" w:hAnsi="宋体" w:eastAsia="宋体" w:cs="宋体"/>
          <w:bCs/>
          <w:color w:val="auto"/>
          <w:sz w:val="21"/>
          <w:szCs w:val="21"/>
          <w:highlight w:val="none"/>
          <w:lang w:val="en-US" w:eastAsia="zh-CN"/>
        </w:rPr>
        <w:t>区域内原有设施及各类公用管线、井盖的保护保护，今后因承包人施工原因造成损坏的，承包人应及时修复并承担一切费用；如不及时修复的，招标人将请专业单位进行修复,费用从承包人</w:t>
      </w:r>
      <w:r>
        <w:rPr>
          <w:rFonts w:hint="eastAsia" w:hAnsi="宋体" w:cs="宋体"/>
          <w:bCs/>
          <w:color w:val="auto"/>
          <w:sz w:val="21"/>
          <w:szCs w:val="21"/>
          <w:highlight w:val="none"/>
          <w:lang w:val="en-US" w:eastAsia="zh-CN"/>
        </w:rPr>
        <w:t>合同</w:t>
      </w:r>
      <w:r>
        <w:rPr>
          <w:rFonts w:hint="default" w:ascii="宋体" w:hAnsi="宋体" w:eastAsia="宋体" w:cs="宋体"/>
          <w:bCs/>
          <w:color w:val="auto"/>
          <w:sz w:val="21"/>
          <w:szCs w:val="21"/>
          <w:highlight w:val="none"/>
          <w:lang w:val="en-US" w:eastAsia="zh-CN"/>
        </w:rPr>
        <w:t>款中直接扣除。</w:t>
      </w:r>
    </w:p>
    <w:p>
      <w:pPr>
        <w:pStyle w:val="28"/>
        <w:snapToGrid w:val="0"/>
        <w:spacing w:before="0" w:beforeLines="0" w:after="0" w:afterLines="0" w:line="500" w:lineRule="exact"/>
        <w:ind w:firstLine="420" w:firstLineChars="200"/>
        <w:outlineLvl w:val="0"/>
        <w:rPr>
          <w:rFonts w:hint="default" w:ascii="宋体" w:hAnsi="宋体" w:eastAsia="宋体" w:cs="宋体"/>
          <w:bCs/>
          <w:color w:val="auto"/>
          <w:sz w:val="21"/>
          <w:szCs w:val="21"/>
          <w:highlight w:val="none"/>
          <w:lang w:val="en-US" w:eastAsia="zh-CN"/>
        </w:rPr>
      </w:pPr>
      <w:r>
        <w:rPr>
          <w:rFonts w:hint="eastAsia" w:hAnsi="宋体" w:cs="宋体"/>
          <w:bCs/>
          <w:color w:val="auto"/>
          <w:sz w:val="21"/>
          <w:szCs w:val="21"/>
          <w:highlight w:val="none"/>
          <w:lang w:val="en-US" w:eastAsia="zh-CN"/>
        </w:rPr>
        <w:t>19</w:t>
      </w:r>
      <w:r>
        <w:rPr>
          <w:rFonts w:hint="default" w:ascii="宋体" w:hAnsi="宋体" w:eastAsia="宋体" w:cs="宋体"/>
          <w:bCs/>
          <w:color w:val="auto"/>
          <w:sz w:val="21"/>
          <w:szCs w:val="21"/>
          <w:highlight w:val="none"/>
          <w:lang w:val="en-US" w:eastAsia="zh-CN"/>
        </w:rPr>
        <w:t>、</w:t>
      </w:r>
      <w:r>
        <w:rPr>
          <w:rFonts w:hint="eastAsia" w:hAnsi="宋体" w:cs="宋体"/>
          <w:bCs/>
          <w:color w:val="auto"/>
          <w:sz w:val="21"/>
          <w:szCs w:val="21"/>
          <w:highlight w:val="none"/>
          <w:lang w:val="en-US" w:eastAsia="zh-CN"/>
        </w:rPr>
        <w:t>养护实施</w:t>
      </w:r>
      <w:r>
        <w:rPr>
          <w:rFonts w:hint="default" w:ascii="宋体" w:hAnsi="宋体" w:eastAsia="宋体" w:cs="宋体"/>
          <w:bCs/>
          <w:color w:val="auto"/>
          <w:sz w:val="21"/>
          <w:szCs w:val="21"/>
          <w:highlight w:val="none"/>
          <w:lang w:val="en-US" w:eastAsia="zh-CN"/>
        </w:rPr>
        <w:t>区域内道路、砖、侧平石、绿化等修补及现有苗木（含行道树）迁移等工作由投标人承担，所需费用由投标人应充分考虑后计入报价内。</w:t>
      </w:r>
    </w:p>
    <w:p>
      <w:pPr>
        <w:pStyle w:val="28"/>
        <w:snapToGrid w:val="0"/>
        <w:spacing w:before="0" w:beforeLines="0" w:after="0" w:afterLines="0" w:line="500" w:lineRule="exact"/>
        <w:ind w:firstLine="420" w:firstLineChars="200"/>
        <w:outlineLvl w:val="0"/>
        <w:rPr>
          <w:rFonts w:hint="default" w:ascii="宋体" w:hAnsi="宋体" w:eastAsia="宋体" w:cs="宋体"/>
          <w:bCs/>
          <w:color w:val="auto"/>
          <w:sz w:val="21"/>
          <w:szCs w:val="21"/>
          <w:highlight w:val="none"/>
          <w:lang w:val="en-US" w:eastAsia="zh-CN"/>
        </w:rPr>
      </w:pPr>
      <w:r>
        <w:rPr>
          <w:rFonts w:hint="default" w:ascii="宋体" w:hAnsi="宋体" w:eastAsia="宋体" w:cs="宋体"/>
          <w:bCs/>
          <w:color w:val="auto"/>
          <w:sz w:val="21"/>
          <w:szCs w:val="21"/>
          <w:highlight w:val="none"/>
          <w:lang w:val="en-US" w:eastAsia="zh-CN"/>
        </w:rPr>
        <w:t>2</w:t>
      </w:r>
      <w:r>
        <w:rPr>
          <w:rFonts w:hint="eastAsia" w:hAnsi="宋体" w:cs="宋体"/>
          <w:bCs/>
          <w:color w:val="auto"/>
          <w:sz w:val="21"/>
          <w:szCs w:val="21"/>
          <w:highlight w:val="none"/>
          <w:lang w:val="en-US" w:eastAsia="zh-CN"/>
        </w:rPr>
        <w:t>0</w:t>
      </w:r>
      <w:r>
        <w:rPr>
          <w:rFonts w:hint="default" w:ascii="宋体" w:hAnsi="宋体" w:eastAsia="宋体" w:cs="宋体"/>
          <w:bCs/>
          <w:color w:val="auto"/>
          <w:sz w:val="21"/>
          <w:szCs w:val="21"/>
          <w:highlight w:val="none"/>
          <w:lang w:val="en-US" w:eastAsia="zh-CN"/>
        </w:rPr>
        <w:t>、养护实施中所涉及到的障碍物（地下障碍物、渣土、工程废料、建筑垃圾、宿根性杂草、树根及其有害污染物等等）清理及清除外运工作由投标人负责，由此产生的费用由各单位在投标报价时综合考虑后计入报价内，今后结算不另行增加。</w:t>
      </w:r>
    </w:p>
    <w:p>
      <w:pPr>
        <w:pStyle w:val="28"/>
        <w:snapToGrid w:val="0"/>
        <w:spacing w:before="0" w:beforeLines="0" w:after="0" w:afterLines="0" w:line="500" w:lineRule="exact"/>
        <w:ind w:firstLine="420" w:firstLineChars="200"/>
        <w:outlineLvl w:val="0"/>
        <w:rPr>
          <w:rFonts w:hint="default" w:ascii="宋体" w:hAnsi="宋体" w:eastAsia="宋体" w:cs="宋体"/>
          <w:bCs/>
          <w:color w:val="auto"/>
          <w:sz w:val="21"/>
          <w:szCs w:val="21"/>
          <w:highlight w:val="none"/>
          <w:lang w:val="en-US" w:eastAsia="zh-CN"/>
        </w:rPr>
      </w:pPr>
      <w:r>
        <w:rPr>
          <w:rFonts w:hint="default" w:ascii="宋体" w:hAnsi="宋体" w:eastAsia="宋体" w:cs="宋体"/>
          <w:bCs/>
          <w:color w:val="auto"/>
          <w:sz w:val="21"/>
          <w:szCs w:val="21"/>
          <w:highlight w:val="none"/>
          <w:lang w:val="en-US" w:eastAsia="zh-CN"/>
        </w:rPr>
        <w:t>2</w:t>
      </w:r>
      <w:r>
        <w:rPr>
          <w:rFonts w:hint="eastAsia" w:hAnsi="宋体" w:cs="宋体"/>
          <w:bCs/>
          <w:color w:val="auto"/>
          <w:sz w:val="21"/>
          <w:szCs w:val="21"/>
          <w:highlight w:val="none"/>
          <w:lang w:val="en-US" w:eastAsia="zh-CN"/>
        </w:rPr>
        <w:t>1</w:t>
      </w:r>
      <w:r>
        <w:rPr>
          <w:rFonts w:hint="default" w:ascii="宋体" w:hAnsi="宋体" w:eastAsia="宋体" w:cs="宋体"/>
          <w:bCs/>
          <w:color w:val="auto"/>
          <w:sz w:val="21"/>
          <w:szCs w:val="21"/>
          <w:highlight w:val="none"/>
          <w:lang w:val="en-US" w:eastAsia="zh-CN"/>
        </w:rPr>
        <w:t>、</w:t>
      </w:r>
      <w:r>
        <w:rPr>
          <w:rFonts w:hint="eastAsia" w:hAnsi="宋体" w:cs="宋体"/>
          <w:bCs/>
          <w:color w:val="auto"/>
          <w:sz w:val="21"/>
          <w:szCs w:val="21"/>
          <w:highlight w:val="none"/>
          <w:lang w:val="en-US" w:eastAsia="zh-CN"/>
        </w:rPr>
        <w:t>养护实施</w:t>
      </w:r>
      <w:r>
        <w:rPr>
          <w:rFonts w:hint="default" w:ascii="宋体" w:hAnsi="宋体" w:eastAsia="宋体" w:cs="宋体"/>
          <w:bCs/>
          <w:color w:val="auto"/>
          <w:sz w:val="21"/>
          <w:szCs w:val="21"/>
          <w:highlight w:val="none"/>
          <w:lang w:val="en-US" w:eastAsia="zh-CN"/>
        </w:rPr>
        <w:t>过程中要求派专人及时清理，保证、保持进出道路路面及施工场地的整洁；施工结束后注意施工区域的保洁，要满足市、区、镇环保要求，临时便道、建筑垃圾、废弃物等应及时清运，所需费用由投标单位自行考虑在报价内。</w:t>
      </w:r>
    </w:p>
    <w:p>
      <w:pPr>
        <w:pStyle w:val="28"/>
        <w:snapToGrid w:val="0"/>
        <w:spacing w:before="0" w:beforeLines="0" w:after="0" w:afterLines="0" w:line="500" w:lineRule="exact"/>
        <w:ind w:firstLine="420" w:firstLineChars="200"/>
        <w:outlineLvl w:val="0"/>
        <w:rPr>
          <w:rFonts w:hint="default" w:ascii="宋体" w:hAnsi="宋体" w:eastAsia="宋体" w:cs="宋体"/>
          <w:bCs/>
          <w:color w:val="auto"/>
          <w:sz w:val="21"/>
          <w:szCs w:val="21"/>
          <w:highlight w:val="none"/>
          <w:lang w:val="en-US" w:eastAsia="zh-CN"/>
        </w:rPr>
      </w:pPr>
      <w:r>
        <w:rPr>
          <w:rFonts w:hint="default" w:ascii="宋体" w:hAnsi="宋体" w:eastAsia="宋体" w:cs="宋体"/>
          <w:bCs/>
          <w:color w:val="auto"/>
          <w:sz w:val="21"/>
          <w:szCs w:val="21"/>
          <w:highlight w:val="none"/>
          <w:lang w:val="en-US" w:eastAsia="zh-CN"/>
        </w:rPr>
        <w:t>2</w:t>
      </w:r>
      <w:r>
        <w:rPr>
          <w:rFonts w:hint="eastAsia" w:hAnsi="宋体" w:cs="宋体"/>
          <w:bCs/>
          <w:color w:val="auto"/>
          <w:sz w:val="21"/>
          <w:szCs w:val="21"/>
          <w:highlight w:val="none"/>
          <w:lang w:val="en-US" w:eastAsia="zh-CN"/>
        </w:rPr>
        <w:t>2</w:t>
      </w:r>
      <w:r>
        <w:rPr>
          <w:rFonts w:hint="default" w:ascii="宋体" w:hAnsi="宋体" w:eastAsia="宋体" w:cs="宋体"/>
          <w:bCs/>
          <w:color w:val="auto"/>
          <w:sz w:val="21"/>
          <w:szCs w:val="21"/>
          <w:highlight w:val="none"/>
          <w:lang w:val="en-US" w:eastAsia="zh-CN"/>
        </w:rPr>
        <w:t>、发包人不提供建筑垃圾的堆放场地及分拣场地，建筑垃圾收运处置按“嘉兴市秀洲区人民政府办公室关于印发《秀洲区建筑垃圾收运处置管理办法实施细则(试行)》的通知”执行，并工程开工前五个工作日养护实施单位向项目所在地综合行政执法局执法分队申请城市建筑垃圾处置备案，备案内容含建筑垃圾数量、种类、处置方式；所涉及的相关费用计入本次投标报价内。否则，发包人有权暂停发放工程款，待整改完成后再行发放，同时扣罚合同价款的2%的作为罚金，且一切后果由承包人承担。</w:t>
      </w:r>
    </w:p>
    <w:p>
      <w:pPr>
        <w:pStyle w:val="28"/>
        <w:snapToGrid w:val="0"/>
        <w:spacing w:before="0" w:beforeLines="0" w:after="0" w:afterLines="0" w:line="500" w:lineRule="exact"/>
        <w:ind w:firstLine="420" w:firstLineChars="200"/>
        <w:outlineLvl w:val="0"/>
        <w:rPr>
          <w:rFonts w:hint="default" w:ascii="宋体" w:hAnsi="宋体" w:eastAsia="宋体" w:cs="宋体"/>
          <w:bCs/>
          <w:color w:val="auto"/>
          <w:sz w:val="21"/>
          <w:szCs w:val="21"/>
          <w:highlight w:val="none"/>
          <w:lang w:val="en-US" w:eastAsia="zh-CN"/>
        </w:rPr>
      </w:pPr>
      <w:r>
        <w:rPr>
          <w:rFonts w:hint="default" w:ascii="宋体" w:hAnsi="宋体" w:eastAsia="宋体" w:cs="宋体"/>
          <w:bCs/>
          <w:color w:val="auto"/>
          <w:sz w:val="21"/>
          <w:szCs w:val="21"/>
          <w:highlight w:val="none"/>
          <w:lang w:val="en-US" w:eastAsia="zh-CN"/>
        </w:rPr>
        <w:t>2</w:t>
      </w:r>
      <w:r>
        <w:rPr>
          <w:rFonts w:hint="eastAsia" w:hAnsi="宋体" w:cs="宋体"/>
          <w:bCs/>
          <w:color w:val="auto"/>
          <w:sz w:val="21"/>
          <w:szCs w:val="21"/>
          <w:highlight w:val="none"/>
          <w:lang w:val="en-US" w:eastAsia="zh-CN"/>
        </w:rPr>
        <w:t>3</w:t>
      </w:r>
      <w:r>
        <w:rPr>
          <w:rFonts w:hint="default" w:ascii="宋体" w:hAnsi="宋体" w:eastAsia="宋体" w:cs="宋体"/>
          <w:bCs/>
          <w:color w:val="auto"/>
          <w:sz w:val="21"/>
          <w:szCs w:val="21"/>
          <w:highlight w:val="none"/>
          <w:lang w:val="en-US" w:eastAsia="zh-CN"/>
        </w:rPr>
        <w:t>、</w:t>
      </w:r>
      <w:r>
        <w:rPr>
          <w:rFonts w:hint="eastAsia" w:hAnsi="宋体" w:cs="宋体"/>
          <w:bCs/>
          <w:color w:val="auto"/>
          <w:sz w:val="21"/>
          <w:szCs w:val="21"/>
          <w:highlight w:val="none"/>
          <w:lang w:val="en-US" w:eastAsia="zh-CN"/>
        </w:rPr>
        <w:t>养护实施</w:t>
      </w:r>
      <w:r>
        <w:rPr>
          <w:rFonts w:hint="default" w:ascii="宋体" w:hAnsi="宋体" w:eastAsia="宋体" w:cs="宋体"/>
          <w:bCs/>
          <w:color w:val="auto"/>
          <w:sz w:val="21"/>
          <w:szCs w:val="21"/>
          <w:highlight w:val="none"/>
          <w:lang w:val="en-US" w:eastAsia="zh-CN"/>
        </w:rPr>
        <w:t>车辆必须按项目所在地综合行政执法部门的规定办理通行证，缴纳相关保证金，并在规定时间规定线路内通行，投标单位在报价中考虑相关的费用。</w:t>
      </w:r>
    </w:p>
    <w:p>
      <w:pPr>
        <w:pStyle w:val="28"/>
        <w:snapToGrid w:val="0"/>
        <w:spacing w:before="0" w:beforeLines="0" w:after="0" w:afterLines="0" w:line="500" w:lineRule="exact"/>
        <w:ind w:firstLine="420" w:firstLineChars="200"/>
        <w:outlineLvl w:val="0"/>
        <w:rPr>
          <w:rFonts w:hint="default" w:ascii="宋体" w:hAnsi="宋体" w:eastAsia="宋体" w:cs="宋体"/>
          <w:bCs/>
          <w:color w:val="auto"/>
          <w:sz w:val="21"/>
          <w:szCs w:val="21"/>
          <w:highlight w:val="none"/>
          <w:lang w:val="en-US" w:eastAsia="zh-CN"/>
        </w:rPr>
      </w:pPr>
      <w:r>
        <w:rPr>
          <w:rFonts w:hint="default" w:ascii="宋体" w:hAnsi="宋体" w:eastAsia="宋体" w:cs="宋体"/>
          <w:bCs/>
          <w:color w:val="auto"/>
          <w:sz w:val="21"/>
          <w:szCs w:val="21"/>
          <w:highlight w:val="none"/>
          <w:lang w:val="en-US" w:eastAsia="zh-CN"/>
        </w:rPr>
        <w:t>2</w:t>
      </w:r>
      <w:r>
        <w:rPr>
          <w:rFonts w:hint="eastAsia" w:hAnsi="宋体" w:cs="宋体"/>
          <w:bCs/>
          <w:color w:val="auto"/>
          <w:sz w:val="21"/>
          <w:szCs w:val="21"/>
          <w:highlight w:val="none"/>
          <w:lang w:val="en-US" w:eastAsia="zh-CN"/>
        </w:rPr>
        <w:t>4</w:t>
      </w:r>
      <w:r>
        <w:rPr>
          <w:rFonts w:hint="default" w:ascii="宋体" w:hAnsi="宋体" w:eastAsia="宋体" w:cs="宋体"/>
          <w:bCs/>
          <w:color w:val="auto"/>
          <w:sz w:val="21"/>
          <w:szCs w:val="21"/>
          <w:highlight w:val="none"/>
          <w:lang w:val="en-US" w:eastAsia="zh-CN"/>
        </w:rPr>
        <w:t>、因本项目实施处于疫情期间，承包人须按疫情期间相关文件实施</w:t>
      </w:r>
      <w:r>
        <w:rPr>
          <w:rFonts w:hint="eastAsia" w:hAnsi="宋体" w:cs="宋体"/>
          <w:bCs/>
          <w:color w:val="auto"/>
          <w:sz w:val="21"/>
          <w:szCs w:val="21"/>
          <w:highlight w:val="none"/>
          <w:lang w:val="en-US" w:eastAsia="zh-CN"/>
        </w:rPr>
        <w:t>养护</w:t>
      </w:r>
      <w:r>
        <w:rPr>
          <w:rFonts w:hint="default" w:ascii="宋体" w:hAnsi="宋体" w:eastAsia="宋体" w:cs="宋体"/>
          <w:bCs/>
          <w:color w:val="auto"/>
          <w:sz w:val="21"/>
          <w:szCs w:val="21"/>
          <w:highlight w:val="none"/>
          <w:lang w:val="en-US" w:eastAsia="zh-CN"/>
        </w:rPr>
        <w:t>，该部分费用已包含在投标报价中，不再另行支付。</w:t>
      </w:r>
    </w:p>
    <w:p>
      <w:pPr>
        <w:pStyle w:val="28"/>
        <w:snapToGrid w:val="0"/>
        <w:spacing w:before="0" w:beforeLines="0" w:after="0" w:afterLines="0" w:line="500" w:lineRule="exact"/>
        <w:ind w:firstLine="420" w:firstLineChars="200"/>
        <w:outlineLvl w:val="0"/>
        <w:rPr>
          <w:rFonts w:hint="default" w:ascii="宋体" w:hAnsi="宋体" w:eastAsia="宋体" w:cs="宋体"/>
          <w:bCs/>
          <w:color w:val="auto"/>
          <w:sz w:val="21"/>
          <w:szCs w:val="21"/>
          <w:highlight w:val="none"/>
          <w:lang w:val="en-US" w:eastAsia="zh-CN"/>
        </w:rPr>
      </w:pPr>
      <w:r>
        <w:rPr>
          <w:rFonts w:hint="default" w:ascii="宋体" w:hAnsi="宋体" w:eastAsia="宋体" w:cs="宋体"/>
          <w:bCs/>
          <w:color w:val="auto"/>
          <w:sz w:val="21"/>
          <w:szCs w:val="21"/>
          <w:highlight w:val="none"/>
          <w:lang w:val="en-US" w:eastAsia="zh-CN"/>
        </w:rPr>
        <w:t>2</w:t>
      </w:r>
      <w:r>
        <w:rPr>
          <w:rFonts w:hint="eastAsia" w:hAnsi="宋体" w:cs="宋体"/>
          <w:bCs/>
          <w:color w:val="auto"/>
          <w:sz w:val="21"/>
          <w:szCs w:val="21"/>
          <w:highlight w:val="none"/>
          <w:lang w:val="en-US" w:eastAsia="zh-CN"/>
        </w:rPr>
        <w:t>5</w:t>
      </w:r>
      <w:r>
        <w:rPr>
          <w:rFonts w:hint="default" w:ascii="宋体" w:hAnsi="宋体" w:eastAsia="宋体" w:cs="宋体"/>
          <w:bCs/>
          <w:color w:val="auto"/>
          <w:sz w:val="21"/>
          <w:szCs w:val="21"/>
          <w:highlight w:val="none"/>
          <w:lang w:val="en-US" w:eastAsia="zh-CN"/>
        </w:rPr>
        <w:t>、本养护实施期间，须在</w:t>
      </w:r>
      <w:r>
        <w:rPr>
          <w:rFonts w:hint="eastAsia" w:hAnsi="宋体" w:cs="宋体"/>
          <w:bCs/>
          <w:color w:val="auto"/>
          <w:sz w:val="21"/>
          <w:szCs w:val="21"/>
          <w:highlight w:val="none"/>
          <w:lang w:val="en-US" w:eastAsia="zh-CN"/>
        </w:rPr>
        <w:t>养护实施</w:t>
      </w:r>
      <w:r>
        <w:rPr>
          <w:rFonts w:hint="default" w:ascii="宋体" w:hAnsi="宋体" w:eastAsia="宋体" w:cs="宋体"/>
          <w:bCs/>
          <w:color w:val="auto"/>
          <w:sz w:val="21"/>
          <w:szCs w:val="21"/>
          <w:highlight w:val="none"/>
          <w:lang w:val="en-US" w:eastAsia="zh-CN"/>
        </w:rPr>
        <w:t>区域内设置多处临时围墙、围网等安全维护设施，投标人必须根据上级主管部门及招标人要求安排进行设置，涉及费用由各投标人自行踏勘现场并在投标报价时综合考虑措施项目进行报价，费用一次性包干，结算不作调整。</w:t>
      </w:r>
    </w:p>
    <w:p>
      <w:pPr>
        <w:pStyle w:val="28"/>
        <w:snapToGrid w:val="0"/>
        <w:spacing w:before="0" w:beforeLines="0" w:after="0" w:afterLines="0" w:line="500" w:lineRule="exact"/>
        <w:ind w:firstLine="420" w:firstLineChars="200"/>
        <w:outlineLvl w:val="0"/>
        <w:rPr>
          <w:rFonts w:hint="default" w:ascii="宋体" w:hAnsi="宋体" w:eastAsia="宋体" w:cs="宋体"/>
          <w:bCs/>
          <w:color w:val="auto"/>
          <w:sz w:val="21"/>
          <w:szCs w:val="21"/>
          <w:highlight w:val="none"/>
          <w:lang w:val="en-US" w:eastAsia="zh-CN"/>
        </w:rPr>
      </w:pPr>
      <w:r>
        <w:rPr>
          <w:rFonts w:hint="default" w:ascii="宋体" w:hAnsi="宋体" w:eastAsia="宋体" w:cs="宋体"/>
          <w:bCs/>
          <w:color w:val="auto"/>
          <w:sz w:val="21"/>
          <w:szCs w:val="21"/>
          <w:highlight w:val="none"/>
          <w:lang w:val="en-US" w:eastAsia="zh-CN"/>
        </w:rPr>
        <w:t>2</w:t>
      </w:r>
      <w:r>
        <w:rPr>
          <w:rFonts w:hint="eastAsia" w:hAnsi="宋体" w:cs="宋体"/>
          <w:bCs/>
          <w:color w:val="auto"/>
          <w:sz w:val="21"/>
          <w:szCs w:val="21"/>
          <w:highlight w:val="none"/>
          <w:lang w:val="en-US" w:eastAsia="zh-CN"/>
        </w:rPr>
        <w:t>6</w:t>
      </w:r>
      <w:r>
        <w:rPr>
          <w:rFonts w:hint="default" w:ascii="宋体" w:hAnsi="宋体" w:eastAsia="宋体" w:cs="宋体"/>
          <w:bCs/>
          <w:color w:val="auto"/>
          <w:sz w:val="21"/>
          <w:szCs w:val="21"/>
          <w:highlight w:val="none"/>
          <w:lang w:val="en-US" w:eastAsia="zh-CN"/>
        </w:rPr>
        <w:t>、本养护实施期间如遇雨雪冰冻等灾害性天气,中标人必须根据招标人安排,租用招标人指定扫雪车辆或其他应对灾害性天气的所需的机械设备器具。并及时对道路路面进行清理，确保道路路面畅通,所涉及的应急处理费用由中标人自行向招标人申报，并由招标人委托的审计机构进行审价，在合同期满后一并结算,涉及的租用扫雪车辆或其他机械设备器具租赁费用按500元/每小时在结算价款中予以扣除。</w:t>
      </w:r>
    </w:p>
    <w:p>
      <w:pPr>
        <w:pStyle w:val="28"/>
        <w:snapToGrid w:val="0"/>
        <w:spacing w:before="0" w:beforeLines="0" w:after="0" w:afterLines="0" w:line="500" w:lineRule="exact"/>
        <w:ind w:firstLine="420" w:firstLineChars="200"/>
        <w:outlineLvl w:val="0"/>
        <w:rPr>
          <w:rFonts w:hint="default" w:ascii="宋体" w:hAnsi="宋体" w:eastAsia="宋体" w:cs="宋体"/>
          <w:bCs/>
          <w:color w:val="auto"/>
          <w:sz w:val="21"/>
          <w:szCs w:val="21"/>
          <w:highlight w:val="none"/>
          <w:lang w:val="en-US" w:eastAsia="zh-CN"/>
        </w:rPr>
      </w:pPr>
      <w:r>
        <w:rPr>
          <w:rFonts w:hint="eastAsia" w:hAnsi="宋体" w:cs="宋体"/>
          <w:bCs/>
          <w:color w:val="auto"/>
          <w:sz w:val="21"/>
          <w:szCs w:val="21"/>
          <w:highlight w:val="none"/>
          <w:lang w:val="en-US" w:eastAsia="zh-CN"/>
        </w:rPr>
        <w:t>27</w:t>
      </w:r>
      <w:r>
        <w:rPr>
          <w:rFonts w:hint="default" w:ascii="宋体" w:hAnsi="宋体" w:eastAsia="宋体" w:cs="宋体"/>
          <w:bCs/>
          <w:color w:val="auto"/>
          <w:sz w:val="21"/>
          <w:szCs w:val="21"/>
          <w:highlight w:val="none"/>
          <w:lang w:val="en-US" w:eastAsia="zh-CN"/>
        </w:rPr>
        <w:t>、本</w:t>
      </w:r>
      <w:r>
        <w:rPr>
          <w:rFonts w:hint="eastAsia" w:hAnsi="宋体" w:cs="宋体"/>
          <w:bCs/>
          <w:color w:val="auto"/>
          <w:sz w:val="21"/>
          <w:szCs w:val="21"/>
          <w:highlight w:val="none"/>
          <w:lang w:val="en-US" w:eastAsia="zh-CN"/>
        </w:rPr>
        <w:t>养护实施</w:t>
      </w:r>
      <w:r>
        <w:rPr>
          <w:rFonts w:hint="default" w:ascii="宋体" w:hAnsi="宋体" w:eastAsia="宋体" w:cs="宋体"/>
          <w:bCs/>
          <w:color w:val="auto"/>
          <w:sz w:val="21"/>
          <w:szCs w:val="21"/>
          <w:highlight w:val="none"/>
          <w:lang w:val="en-US" w:eastAsia="zh-CN"/>
        </w:rPr>
        <w:t>期间如遇雨雪冰冻等灾害性天气，人员及设备机器械车辆配置不得低于以下要求，否则结算时将不予支付应急处置费用：暴雨天气应急人员配备不得少于50人，应急车辆不得少于2辆；暴雪天气应急人员不得少于60人，应急车辆工程车不得少于3辆，扫雪车不得少于3辆，铲车不得少于3辆。</w:t>
      </w:r>
    </w:p>
    <w:p>
      <w:pPr>
        <w:pStyle w:val="28"/>
        <w:snapToGrid w:val="0"/>
        <w:spacing w:before="0" w:beforeLines="0" w:after="0" w:afterLines="0" w:line="500" w:lineRule="exact"/>
        <w:ind w:firstLine="420" w:firstLineChars="200"/>
        <w:outlineLvl w:val="0"/>
        <w:rPr>
          <w:rFonts w:hint="default" w:ascii="宋体" w:hAnsi="宋体" w:eastAsia="宋体" w:cs="宋体"/>
          <w:bCs/>
          <w:color w:val="auto"/>
          <w:sz w:val="21"/>
          <w:szCs w:val="21"/>
          <w:highlight w:val="none"/>
          <w:lang w:val="en-US" w:eastAsia="zh-CN"/>
        </w:rPr>
      </w:pPr>
      <w:r>
        <w:rPr>
          <w:rFonts w:hint="eastAsia" w:hAnsi="宋体" w:cs="宋体"/>
          <w:bCs/>
          <w:color w:val="auto"/>
          <w:sz w:val="21"/>
          <w:szCs w:val="21"/>
          <w:highlight w:val="none"/>
          <w:lang w:val="en-US" w:eastAsia="zh-CN"/>
        </w:rPr>
        <w:t>28</w:t>
      </w:r>
      <w:r>
        <w:rPr>
          <w:rFonts w:hint="default" w:ascii="宋体" w:hAnsi="宋体" w:eastAsia="宋体" w:cs="宋体"/>
          <w:bCs/>
          <w:color w:val="auto"/>
          <w:sz w:val="21"/>
          <w:szCs w:val="21"/>
          <w:highlight w:val="none"/>
          <w:lang w:val="en-US" w:eastAsia="zh-CN"/>
        </w:rPr>
        <w:t>、本项目增设公众责任保险，该费用综合考虑并计入安全维护措施费中（保险应包含因养护单位巡查不及时、维护不到位等原因引起的交通伤亡事故等相关公众责任），承包人在第一次申报工程款时，必须提供公众责任险发票及保单复印件，否则 发包人有权延迟支付第一次工程款直至承包人提供相应发票及保单复印件为止。公众责任保险标准不低于：每次事故赔偿限额人民币130万元，每人每次事故人身伤亡赔偿限额人民币100万元 , 每人每次事故医疗费赔偿限额10万元，每人每次事故财产损失赔偿限额人民币20万元，每次事故绝对免赔额为人民币500万元。</w:t>
      </w:r>
    </w:p>
    <w:p>
      <w:pPr>
        <w:pStyle w:val="28"/>
        <w:snapToGrid w:val="0"/>
        <w:spacing w:before="0" w:beforeLines="0" w:after="0" w:afterLines="0" w:line="500" w:lineRule="exact"/>
        <w:ind w:firstLine="420" w:firstLineChars="200"/>
        <w:outlineLvl w:val="0"/>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29、中标人在接到巡查人员通知30分钟内响应，90分钟内到达养护现场实施养护，做好相关台账记录，并留取实施前后情况依据。</w:t>
      </w:r>
    </w:p>
    <w:p>
      <w:pPr>
        <w:pStyle w:val="28"/>
        <w:snapToGrid w:val="0"/>
        <w:spacing w:before="0" w:beforeLines="0" w:after="0" w:afterLines="0" w:line="500" w:lineRule="exact"/>
        <w:ind w:firstLine="420" w:firstLineChars="200"/>
        <w:outlineLvl w:val="0"/>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30、养护单位须按月足额发放人员工资，不得存在苛扣、漏发情况，否则按考核办法扣分罚款。</w:t>
      </w:r>
    </w:p>
    <w:p>
      <w:pPr>
        <w:pStyle w:val="28"/>
        <w:snapToGrid w:val="0"/>
        <w:spacing w:before="0" w:beforeLines="0" w:after="0" w:afterLines="0" w:line="500" w:lineRule="exact"/>
        <w:ind w:firstLine="420" w:firstLineChars="200"/>
        <w:outlineLvl w:val="0"/>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31、在项目实施过程中，须做好每一次台账记录，按季度汇总交由发包人审查核对备案。</w:t>
      </w:r>
    </w:p>
    <w:p>
      <w:pPr>
        <w:pStyle w:val="28"/>
        <w:snapToGrid w:val="0"/>
        <w:spacing w:before="0" w:beforeLines="0" w:after="0" w:afterLines="0" w:line="500" w:lineRule="exact"/>
        <w:ind w:firstLine="420" w:firstLineChars="200"/>
        <w:outlineLvl w:val="0"/>
        <w:rPr>
          <w:rFonts w:hint="default"/>
          <w:color w:val="auto"/>
          <w:highlight w:val="none"/>
          <w:lang w:val="en-US" w:eastAsia="zh-CN"/>
        </w:rPr>
      </w:pPr>
      <w:r>
        <w:rPr>
          <w:rFonts w:hint="eastAsia" w:ascii="宋体" w:hAnsi="宋体" w:eastAsia="宋体" w:cs="宋体"/>
          <w:bCs/>
          <w:color w:val="auto"/>
          <w:sz w:val="21"/>
          <w:szCs w:val="21"/>
          <w:highlight w:val="none"/>
          <w:lang w:val="en-US" w:eastAsia="zh-CN"/>
        </w:rPr>
        <w:t>32、中标人中标后根据项目实际情况，储备常用的养护相关机械、材料等。</w:t>
      </w:r>
    </w:p>
    <w:p>
      <w:pPr>
        <w:pStyle w:val="28"/>
        <w:snapToGrid w:val="0"/>
        <w:spacing w:before="0" w:beforeLines="0" w:after="0" w:afterLines="0" w:line="500" w:lineRule="exact"/>
        <w:ind w:firstLine="422" w:firstLineChars="200"/>
        <w:outlineLvl w:val="0"/>
        <w:rPr>
          <w:rFonts w:hint="eastAsia" w:ascii="宋体" w:hAnsi="宋体" w:eastAsia="宋体" w:cs="宋体"/>
          <w:b/>
          <w:color w:val="auto"/>
          <w:sz w:val="21"/>
          <w:szCs w:val="21"/>
          <w:highlight w:val="none"/>
        </w:rPr>
      </w:pPr>
      <w:bookmarkStart w:id="2" w:name="_Toc23319"/>
      <w:bookmarkStart w:id="3" w:name="_Toc3313"/>
      <w:r>
        <w:rPr>
          <w:rFonts w:hint="eastAsia" w:hAnsi="宋体" w:cs="宋体"/>
          <w:b/>
          <w:color w:val="auto"/>
          <w:sz w:val="21"/>
          <w:szCs w:val="21"/>
          <w:highlight w:val="none"/>
          <w:lang w:val="en-US" w:eastAsia="zh-CN"/>
        </w:rPr>
        <w:t>四</w:t>
      </w:r>
      <w:r>
        <w:rPr>
          <w:rFonts w:hint="eastAsia" w:ascii="宋体" w:hAnsi="宋体" w:eastAsia="宋体" w:cs="宋体"/>
          <w:b/>
          <w:color w:val="auto"/>
          <w:sz w:val="21"/>
          <w:szCs w:val="21"/>
          <w:highlight w:val="none"/>
          <w:lang w:val="en-US" w:eastAsia="zh-CN"/>
        </w:rPr>
        <w:t>、</w:t>
      </w:r>
      <w:r>
        <w:rPr>
          <w:rFonts w:hint="eastAsia" w:ascii="宋体" w:hAnsi="宋体" w:eastAsia="宋体" w:cs="宋体"/>
          <w:b/>
          <w:color w:val="auto"/>
          <w:sz w:val="21"/>
          <w:szCs w:val="21"/>
          <w:highlight w:val="none"/>
        </w:rPr>
        <w:t>商务条款</w:t>
      </w:r>
      <w:bookmarkEnd w:id="2"/>
      <w:bookmarkEnd w:id="3"/>
    </w:p>
    <w:p>
      <w:pPr>
        <w:pStyle w:val="28"/>
        <w:snapToGrid w:val="0"/>
        <w:spacing w:before="0" w:beforeLines="0" w:after="0" w:afterLines="0" w:line="500" w:lineRule="exact"/>
        <w:ind w:firstLine="210" w:firstLineChars="100"/>
        <w:outlineLvl w:val="0"/>
        <w:rPr>
          <w:rFonts w:hint="eastAsia" w:ascii="宋体" w:hAnsi="宋体" w:eastAsia="宋体" w:cs="宋体"/>
          <w:bCs/>
          <w:color w:val="auto"/>
          <w:sz w:val="21"/>
          <w:szCs w:val="21"/>
          <w:highlight w:val="none"/>
          <w:lang w:eastAsia="zh-CN"/>
        </w:rPr>
      </w:pPr>
      <w:bookmarkStart w:id="4" w:name="_Toc17563"/>
      <w:bookmarkStart w:id="5" w:name="_Toc1259"/>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lang w:val="en-US" w:eastAsia="zh-CN"/>
        </w:rPr>
        <w:t>一</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rPr>
        <w:t>服务期</w:t>
      </w:r>
      <w:r>
        <w:rPr>
          <w:rFonts w:hint="eastAsia" w:ascii="宋体" w:hAnsi="宋体" w:eastAsia="宋体" w:cs="宋体"/>
          <w:bCs/>
          <w:color w:val="auto"/>
          <w:sz w:val="21"/>
          <w:szCs w:val="21"/>
          <w:highlight w:val="none"/>
          <w:lang w:eastAsia="zh-CN"/>
        </w:rPr>
        <w:t>限：</w:t>
      </w:r>
      <w:r>
        <w:rPr>
          <w:rFonts w:hint="eastAsia" w:hAnsi="宋体" w:cs="宋体"/>
          <w:b w:val="0"/>
          <w:bCs/>
          <w:color w:val="auto"/>
          <w:sz w:val="21"/>
          <w:szCs w:val="21"/>
          <w:highlight w:val="none"/>
          <w:lang w:eastAsia="zh-CN"/>
        </w:rPr>
        <w:t>自签订合同之日起一年。</w:t>
      </w:r>
      <w:bookmarkEnd w:id="4"/>
      <w:bookmarkEnd w:id="5"/>
    </w:p>
    <w:p>
      <w:pPr>
        <w:pStyle w:val="28"/>
        <w:numPr>
          <w:ilvl w:val="0"/>
          <w:numId w:val="0"/>
        </w:numPr>
        <w:snapToGrid w:val="0"/>
        <w:spacing w:before="0" w:beforeLines="0" w:after="0" w:afterLines="0" w:line="500" w:lineRule="exact"/>
        <w:ind w:firstLine="210" w:firstLineChars="100"/>
        <w:outlineLvl w:val="0"/>
        <w:rPr>
          <w:rFonts w:hint="eastAsia" w:ascii="宋体" w:hAnsi="宋体" w:eastAsia="宋体" w:cs="宋体"/>
          <w:bCs/>
          <w:color w:val="auto"/>
          <w:sz w:val="21"/>
          <w:szCs w:val="21"/>
          <w:highlight w:val="none"/>
          <w:lang w:eastAsia="zh-CN"/>
        </w:rPr>
      </w:pPr>
      <w:bookmarkStart w:id="6" w:name="_Toc17593"/>
      <w:bookmarkStart w:id="7" w:name="_Toc3853"/>
      <w:r>
        <w:rPr>
          <w:rFonts w:hint="eastAsia" w:ascii="宋体" w:hAnsi="宋体" w:eastAsia="宋体" w:cs="宋体"/>
          <w:bCs/>
          <w:color w:val="auto"/>
          <w:sz w:val="21"/>
          <w:szCs w:val="21"/>
          <w:highlight w:val="none"/>
          <w:lang w:eastAsia="zh-CN"/>
        </w:rPr>
        <w:t>（二）履约保证金：</w:t>
      </w:r>
      <w:r>
        <w:rPr>
          <w:rFonts w:hint="eastAsia" w:hAnsi="宋体" w:cs="宋体"/>
          <w:bCs/>
          <w:color w:val="auto"/>
          <w:sz w:val="21"/>
          <w:szCs w:val="21"/>
          <w:highlight w:val="none"/>
          <w:lang w:eastAsia="zh-CN"/>
        </w:rPr>
        <w:t>签订合同价的</w:t>
      </w:r>
      <w:r>
        <w:rPr>
          <w:rFonts w:hint="eastAsia" w:hAnsi="宋体" w:cs="宋体"/>
          <w:bCs/>
          <w:color w:val="auto"/>
          <w:sz w:val="21"/>
          <w:szCs w:val="21"/>
          <w:highlight w:val="none"/>
          <w:lang w:val="en-US" w:eastAsia="zh-CN"/>
        </w:rPr>
        <w:t>2.5%，养护期结束后15日内无息退回</w:t>
      </w:r>
      <w:r>
        <w:rPr>
          <w:rFonts w:hint="eastAsia" w:ascii="宋体" w:hAnsi="宋体" w:eastAsia="宋体" w:cs="宋体"/>
          <w:bCs/>
          <w:color w:val="auto"/>
          <w:sz w:val="21"/>
          <w:szCs w:val="21"/>
          <w:highlight w:val="none"/>
          <w:lang w:eastAsia="zh-CN"/>
        </w:rPr>
        <w:t>。</w:t>
      </w:r>
      <w:bookmarkEnd w:id="6"/>
      <w:bookmarkEnd w:id="7"/>
    </w:p>
    <w:p>
      <w:pPr>
        <w:pStyle w:val="28"/>
        <w:numPr>
          <w:ilvl w:val="0"/>
          <w:numId w:val="0"/>
        </w:numPr>
        <w:snapToGrid w:val="0"/>
        <w:spacing w:before="0" w:beforeLines="0" w:after="0" w:afterLines="0" w:line="500" w:lineRule="exact"/>
        <w:ind w:firstLine="210" w:firstLineChars="100"/>
        <w:outlineLvl w:val="0"/>
        <w:rPr>
          <w:rFonts w:hint="eastAsia" w:ascii="宋体" w:hAnsi="宋体" w:eastAsia="宋体" w:cs="宋体"/>
          <w:bCs/>
          <w:color w:val="auto"/>
          <w:sz w:val="21"/>
          <w:szCs w:val="21"/>
          <w:highlight w:val="none"/>
        </w:rPr>
      </w:pPr>
      <w:bookmarkStart w:id="8" w:name="_Toc9234"/>
      <w:bookmarkStart w:id="9" w:name="_Toc31903"/>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lang w:val="en-US" w:eastAsia="zh-CN"/>
        </w:rPr>
        <w:t>三</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rPr>
        <w:t>付款方式：</w:t>
      </w:r>
      <w:bookmarkEnd w:id="8"/>
      <w:bookmarkEnd w:id="9"/>
    </w:p>
    <w:p>
      <w:pPr>
        <w:pStyle w:val="28"/>
        <w:snapToGrid w:val="0"/>
        <w:spacing w:before="0" w:beforeLines="0" w:after="0" w:afterLines="0" w:line="500" w:lineRule="exact"/>
        <w:ind w:firstLine="420" w:firstLineChars="200"/>
        <w:outlineLvl w:val="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1、政策性条款：</w:t>
      </w:r>
    </w:p>
    <w:p>
      <w:pPr>
        <w:pStyle w:val="28"/>
        <w:snapToGrid w:val="0"/>
        <w:spacing w:before="0" w:beforeLines="0" w:after="0" w:afterLines="0" w:line="500" w:lineRule="exact"/>
        <w:ind w:firstLine="420" w:firstLineChars="200"/>
        <w:outlineLvl w:val="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根据浙《江省财政厅关于坚决打赢疫情防控阻击战进一步做好政府采购资金支持企业发展工作的通知》[浙财采监〔2020〕3号]规定：</w:t>
      </w:r>
    </w:p>
    <w:p>
      <w:pPr>
        <w:pStyle w:val="28"/>
        <w:snapToGrid w:val="0"/>
        <w:spacing w:before="0" w:beforeLines="0" w:after="0" w:afterLines="0" w:line="500" w:lineRule="exact"/>
        <w:ind w:firstLine="420" w:firstLineChars="200"/>
        <w:outlineLvl w:val="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各采购单位应当在政府采购合同中约定预付款，预付款比例原则上不低于合同金额的40％；项目分年安排预算的，每年预付款比例不低于项目年度计划支付资金额的40％。采购项目实施以人工投入为主的，可适当降低预付款比例，但不得低于10%。与疫情防控有关的采购合同最高预付比例可达100%，切实增强供应商履约能力。在签订合同时，供应商明确表示无需预付款或者主动要求降低预付款比例的，采购单位可不适用前述规定。政府采购工程以及与工程建设有关的货物、服务，采用招标方式采购的，预付款从其相关规定。</w:t>
      </w:r>
    </w:p>
    <w:p>
      <w:pPr>
        <w:pStyle w:val="28"/>
        <w:snapToGrid w:val="0"/>
        <w:spacing w:before="0" w:beforeLines="0" w:after="0" w:afterLines="0" w:line="500" w:lineRule="exact"/>
        <w:ind w:firstLine="420" w:firstLineChars="200"/>
        <w:outlineLvl w:val="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（2）、政府采购预付款应在合同生效以及具备实施条件后15日内支付。项目分年安排预算的，第二年预付时间为次年相对应月份，以此类推；当年度预付款尚未扣回的，次年不重复安排。</w:t>
      </w:r>
    </w:p>
    <w:p>
      <w:pPr>
        <w:pStyle w:val="28"/>
        <w:snapToGrid w:val="0"/>
        <w:spacing w:before="0" w:beforeLines="0" w:after="0" w:afterLines="0" w:line="500" w:lineRule="exact"/>
        <w:ind w:firstLine="420" w:firstLineChars="200"/>
        <w:outlineLvl w:val="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各采购单位可根据项目特点、供应商信用等情况，决定是否要求供应商提交银行、保险公司等金融机构出具的预付款保函或其他担保措施。疫情期间，对受疫情影响严重的中小微企业应当取消或者减少预付款担保。</w:t>
      </w:r>
    </w:p>
    <w:p>
      <w:pPr>
        <w:pStyle w:val="28"/>
        <w:numPr>
          <w:ilvl w:val="0"/>
          <w:numId w:val="0"/>
        </w:numPr>
        <w:snapToGrid w:val="0"/>
        <w:spacing w:before="0" w:beforeLines="0" w:after="0" w:afterLines="0" w:line="500" w:lineRule="exact"/>
        <w:ind w:firstLine="420" w:firstLineChars="200"/>
        <w:outlineLvl w:val="0"/>
        <w:rPr>
          <w:rFonts w:hint="eastAsia" w:ascii="宋体" w:hAnsi="宋体" w:eastAsia="宋体" w:cs="宋体"/>
          <w:color w:val="auto"/>
          <w:sz w:val="21"/>
          <w:szCs w:val="21"/>
          <w:highlight w:val="none"/>
        </w:rPr>
      </w:pPr>
      <w:bookmarkStart w:id="10" w:name="_Toc10611"/>
      <w:bookmarkStart w:id="11" w:name="_Toc26078"/>
      <w:r>
        <w:rPr>
          <w:rFonts w:hint="eastAsia" w:hAnsi="宋体" w:cs="宋体"/>
          <w:color w:val="auto"/>
          <w:sz w:val="21"/>
          <w:szCs w:val="21"/>
          <w:highlight w:val="none"/>
          <w:lang w:val="en-US" w:eastAsia="zh-CN"/>
        </w:rPr>
        <w:t>2、</w:t>
      </w:r>
      <w:r>
        <w:rPr>
          <w:rFonts w:hint="eastAsia" w:ascii="宋体" w:hAnsi="宋体" w:eastAsia="宋体" w:cs="宋体"/>
          <w:color w:val="auto"/>
          <w:sz w:val="21"/>
          <w:szCs w:val="21"/>
          <w:highlight w:val="none"/>
        </w:rPr>
        <w:t>每</w:t>
      </w:r>
      <w:r>
        <w:rPr>
          <w:rFonts w:hint="eastAsia" w:hAnsi="宋体" w:cs="宋体"/>
          <w:color w:val="auto"/>
          <w:sz w:val="21"/>
          <w:szCs w:val="21"/>
          <w:highlight w:val="none"/>
          <w:lang w:val="en-US" w:eastAsia="zh-CN"/>
        </w:rPr>
        <w:t>季度</w:t>
      </w:r>
      <w:r>
        <w:rPr>
          <w:rFonts w:hint="eastAsia" w:ascii="宋体" w:hAnsi="宋体" w:eastAsia="宋体" w:cs="宋体"/>
          <w:color w:val="auto"/>
          <w:sz w:val="21"/>
          <w:szCs w:val="21"/>
          <w:highlight w:val="none"/>
        </w:rPr>
        <w:t>结算一次，按照</w:t>
      </w:r>
      <w:r>
        <w:rPr>
          <w:rFonts w:hint="eastAsia" w:hAnsi="宋体" w:cs="宋体"/>
          <w:color w:val="auto"/>
          <w:sz w:val="21"/>
          <w:szCs w:val="21"/>
          <w:highlight w:val="none"/>
          <w:lang w:eastAsia="zh-CN"/>
        </w:rPr>
        <w:t>实际发生量及</w:t>
      </w:r>
      <w:r>
        <w:rPr>
          <w:rFonts w:hint="eastAsia" w:ascii="宋体" w:hAnsi="宋体" w:eastAsia="宋体" w:cs="宋体"/>
          <w:color w:val="auto"/>
          <w:sz w:val="21"/>
          <w:szCs w:val="21"/>
          <w:highlight w:val="none"/>
        </w:rPr>
        <w:t>实际考核结果扣款后在次月支付费用（须开税务发票）。</w:t>
      </w:r>
      <w:bookmarkEnd w:id="10"/>
      <w:bookmarkEnd w:id="11"/>
    </w:p>
    <w:p>
      <w:pPr>
        <w:pStyle w:val="28"/>
        <w:snapToGrid w:val="0"/>
        <w:spacing w:before="0" w:beforeLines="0" w:after="0" w:afterLines="0" w:line="500" w:lineRule="exact"/>
        <w:ind w:firstLine="420" w:firstLineChars="200"/>
        <w:outlineLvl w:val="0"/>
        <w:rPr>
          <w:rFonts w:hint="eastAsia" w:ascii="宋体" w:hAnsi="宋体" w:eastAsia="宋体" w:cs="宋体"/>
          <w:bCs/>
          <w:color w:val="auto"/>
          <w:sz w:val="21"/>
          <w:szCs w:val="21"/>
          <w:highlight w:val="none"/>
        </w:rPr>
      </w:pPr>
      <w:bookmarkStart w:id="12" w:name="_Toc17445"/>
      <w:bookmarkStart w:id="13" w:name="_Toc13835"/>
      <w:r>
        <w:rPr>
          <w:rFonts w:hint="eastAsia" w:ascii="宋体" w:hAnsi="宋体" w:eastAsia="宋体" w:cs="宋体"/>
          <w:bCs/>
          <w:color w:val="auto"/>
          <w:sz w:val="21"/>
          <w:szCs w:val="21"/>
          <w:highlight w:val="none"/>
          <w:lang w:val="en-US" w:eastAsia="zh-CN"/>
        </w:rPr>
        <w:t>十</w:t>
      </w:r>
      <w:r>
        <w:rPr>
          <w:rFonts w:hint="eastAsia" w:ascii="宋体" w:hAnsi="宋体" w:eastAsia="宋体" w:cs="宋体"/>
          <w:bCs/>
          <w:color w:val="auto"/>
          <w:sz w:val="21"/>
          <w:szCs w:val="21"/>
          <w:highlight w:val="none"/>
        </w:rPr>
        <w:t>、考核</w:t>
      </w:r>
      <w:bookmarkEnd w:id="12"/>
      <w:bookmarkEnd w:id="13"/>
    </w:p>
    <w:p>
      <w:pPr>
        <w:pStyle w:val="28"/>
        <w:snapToGrid w:val="0"/>
        <w:spacing w:before="0" w:beforeLines="0" w:after="0" w:afterLines="0" w:line="500" w:lineRule="exact"/>
        <w:ind w:firstLine="420" w:firstLineChars="200"/>
        <w:outlineLvl w:val="0"/>
        <w:rPr>
          <w:rFonts w:hint="eastAsia" w:ascii="宋体" w:hAnsi="宋体" w:eastAsia="宋体" w:cs="宋体"/>
          <w:bCs/>
          <w:color w:val="auto"/>
          <w:sz w:val="21"/>
          <w:szCs w:val="21"/>
          <w:highlight w:val="none"/>
        </w:rPr>
      </w:pPr>
      <w:bookmarkStart w:id="14" w:name="_Toc13502"/>
      <w:bookmarkStart w:id="15" w:name="_Toc15351"/>
      <w:r>
        <w:rPr>
          <w:rFonts w:hint="eastAsia" w:ascii="宋体" w:hAnsi="宋体" w:eastAsia="宋体" w:cs="宋体"/>
          <w:bCs/>
          <w:color w:val="auto"/>
          <w:sz w:val="21"/>
          <w:szCs w:val="21"/>
          <w:highlight w:val="none"/>
        </w:rPr>
        <w:t>按招标内容及要求及考核办法执行。</w:t>
      </w:r>
      <w:bookmarkEnd w:id="14"/>
      <w:bookmarkEnd w:id="15"/>
    </w:p>
    <w:p>
      <w:pPr>
        <w:pStyle w:val="28"/>
        <w:snapToGrid w:val="0"/>
        <w:spacing w:before="0" w:beforeLines="0" w:after="0" w:afterLines="0" w:line="500" w:lineRule="exact"/>
        <w:ind w:firstLine="420" w:firstLineChars="200"/>
        <w:outlineLvl w:val="0"/>
        <w:rPr>
          <w:rFonts w:hint="eastAsia" w:ascii="宋体" w:hAnsi="宋体" w:eastAsia="宋体" w:cs="宋体"/>
          <w:bCs/>
          <w:color w:val="auto"/>
          <w:sz w:val="21"/>
          <w:szCs w:val="21"/>
          <w:highlight w:val="none"/>
        </w:rPr>
      </w:pPr>
      <w:bookmarkStart w:id="16" w:name="_Toc7508"/>
      <w:bookmarkStart w:id="17" w:name="_Toc14410"/>
      <w:r>
        <w:rPr>
          <w:rFonts w:hint="eastAsia" w:ascii="宋体" w:hAnsi="宋体" w:eastAsia="宋体" w:cs="宋体"/>
          <w:bCs/>
          <w:color w:val="auto"/>
          <w:sz w:val="21"/>
          <w:szCs w:val="21"/>
          <w:highlight w:val="none"/>
          <w:lang w:val="en-US" w:eastAsia="zh-CN"/>
        </w:rPr>
        <w:t>十一</w:t>
      </w:r>
      <w:r>
        <w:rPr>
          <w:rFonts w:hint="eastAsia" w:ascii="宋体" w:hAnsi="宋体" w:eastAsia="宋体" w:cs="宋体"/>
          <w:bCs/>
          <w:color w:val="auto"/>
          <w:sz w:val="21"/>
          <w:szCs w:val="21"/>
          <w:highlight w:val="none"/>
        </w:rPr>
        <w:t>、其他说明</w:t>
      </w:r>
      <w:bookmarkEnd w:id="16"/>
      <w:bookmarkEnd w:id="17"/>
    </w:p>
    <w:p>
      <w:pPr>
        <w:pStyle w:val="28"/>
        <w:snapToGrid w:val="0"/>
        <w:spacing w:before="0" w:beforeLines="0" w:after="0" w:afterLines="0" w:line="500" w:lineRule="exact"/>
        <w:ind w:firstLine="420" w:firstLineChars="200"/>
        <w:outlineLvl w:val="0"/>
        <w:rPr>
          <w:rFonts w:hint="eastAsia" w:ascii="宋体" w:hAnsi="宋体" w:eastAsia="宋体" w:cs="宋体"/>
          <w:bCs/>
          <w:color w:val="auto"/>
          <w:sz w:val="21"/>
          <w:szCs w:val="21"/>
          <w:highlight w:val="none"/>
        </w:rPr>
      </w:pPr>
      <w:bookmarkStart w:id="18" w:name="_Toc24158"/>
      <w:bookmarkStart w:id="19" w:name="_Toc9593"/>
      <w:r>
        <w:rPr>
          <w:rFonts w:hint="eastAsia" w:ascii="宋体" w:hAnsi="宋体" w:eastAsia="宋体" w:cs="宋体"/>
          <w:bCs/>
          <w:color w:val="auto"/>
          <w:sz w:val="21"/>
          <w:szCs w:val="21"/>
          <w:highlight w:val="none"/>
        </w:rPr>
        <w:t>1、在中标通知书发出后</w:t>
      </w:r>
      <w:r>
        <w:rPr>
          <w:rFonts w:hint="eastAsia" w:ascii="宋体" w:hAnsi="宋体" w:eastAsia="宋体" w:cs="宋体"/>
          <w:bCs/>
          <w:color w:val="auto"/>
          <w:sz w:val="21"/>
          <w:szCs w:val="21"/>
          <w:highlight w:val="none"/>
          <w:lang w:val="en-US" w:eastAsia="zh-CN"/>
        </w:rPr>
        <w:t>30天内</w:t>
      </w: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eastAsia="zh-CN"/>
        </w:rPr>
        <w:t>中标单位</w:t>
      </w:r>
      <w:r>
        <w:rPr>
          <w:rFonts w:hint="eastAsia" w:ascii="宋体" w:hAnsi="宋体" w:eastAsia="宋体" w:cs="宋体"/>
          <w:bCs/>
          <w:color w:val="auto"/>
          <w:sz w:val="21"/>
          <w:szCs w:val="21"/>
          <w:highlight w:val="none"/>
        </w:rPr>
        <w:t>凭投标承诺到位</w:t>
      </w:r>
      <w:r>
        <w:rPr>
          <w:rFonts w:hint="eastAsia" w:ascii="宋体" w:hAnsi="宋体" w:eastAsia="宋体" w:cs="宋体"/>
          <w:bCs/>
          <w:color w:val="auto"/>
          <w:sz w:val="21"/>
          <w:szCs w:val="21"/>
          <w:highlight w:val="none"/>
          <w:lang w:eastAsia="zh-CN"/>
        </w:rPr>
        <w:t>的</w:t>
      </w:r>
      <w:r>
        <w:rPr>
          <w:rFonts w:hint="eastAsia" w:ascii="宋体" w:hAnsi="宋体" w:eastAsia="宋体" w:cs="宋体"/>
          <w:bCs/>
          <w:color w:val="auto"/>
          <w:sz w:val="21"/>
          <w:szCs w:val="21"/>
          <w:highlight w:val="none"/>
          <w:lang w:val="en-US" w:eastAsia="zh-CN"/>
        </w:rPr>
        <w:t>人员名单和</w:t>
      </w:r>
      <w:r>
        <w:rPr>
          <w:rFonts w:hint="eastAsia" w:ascii="宋体" w:hAnsi="宋体" w:eastAsia="宋体" w:cs="宋体"/>
          <w:bCs/>
          <w:color w:val="auto"/>
          <w:sz w:val="21"/>
          <w:szCs w:val="21"/>
          <w:highlight w:val="none"/>
          <w:lang w:eastAsia="zh-CN"/>
        </w:rPr>
        <w:t>机械设备（</w:t>
      </w:r>
      <w:r>
        <w:rPr>
          <w:rFonts w:hint="eastAsia" w:ascii="宋体" w:hAnsi="宋体" w:eastAsia="宋体" w:cs="宋体"/>
          <w:bCs/>
          <w:color w:val="auto"/>
          <w:sz w:val="21"/>
          <w:szCs w:val="21"/>
          <w:highlight w:val="none"/>
          <w:lang w:val="en-US" w:eastAsia="zh-CN"/>
        </w:rPr>
        <w:t>附自有或租赁相关证明文件</w:t>
      </w:r>
      <w:r>
        <w:rPr>
          <w:rFonts w:hint="eastAsia" w:ascii="宋体" w:hAnsi="宋体" w:eastAsia="宋体" w:cs="宋体"/>
          <w:bCs/>
          <w:color w:val="auto"/>
          <w:sz w:val="21"/>
          <w:szCs w:val="21"/>
          <w:highlight w:val="none"/>
          <w:lang w:eastAsia="zh-CN"/>
        </w:rPr>
        <w:t>）清单与</w:t>
      </w:r>
      <w:r>
        <w:rPr>
          <w:rFonts w:hint="eastAsia" w:ascii="宋体" w:hAnsi="宋体" w:eastAsia="宋体" w:cs="宋体"/>
          <w:bCs/>
          <w:color w:val="auto"/>
          <w:sz w:val="21"/>
          <w:szCs w:val="21"/>
          <w:highlight w:val="none"/>
        </w:rPr>
        <w:t>采购人签订合同，</w:t>
      </w:r>
      <w:r>
        <w:rPr>
          <w:rFonts w:hint="eastAsia" w:ascii="宋体" w:hAnsi="宋体" w:eastAsia="宋体" w:cs="宋体"/>
          <w:bCs/>
          <w:color w:val="auto"/>
          <w:sz w:val="21"/>
          <w:szCs w:val="21"/>
          <w:highlight w:val="none"/>
          <w:lang w:eastAsia="zh-CN"/>
        </w:rPr>
        <w:t>如在规定时间内未提供或提供不全或拒不签合同的，</w:t>
      </w:r>
      <w:r>
        <w:rPr>
          <w:rFonts w:hint="eastAsia" w:ascii="宋体" w:hAnsi="宋体" w:eastAsia="宋体" w:cs="宋体"/>
          <w:bCs/>
          <w:color w:val="auto"/>
          <w:sz w:val="21"/>
          <w:szCs w:val="21"/>
          <w:highlight w:val="none"/>
        </w:rPr>
        <w:t>采购人有权取消</w:t>
      </w:r>
      <w:r>
        <w:rPr>
          <w:rFonts w:hint="eastAsia" w:ascii="宋体" w:hAnsi="宋体" w:eastAsia="宋体" w:cs="宋体"/>
          <w:bCs/>
          <w:color w:val="auto"/>
          <w:sz w:val="21"/>
          <w:szCs w:val="21"/>
          <w:highlight w:val="none"/>
          <w:lang w:eastAsia="zh-CN"/>
        </w:rPr>
        <w:t>中标单位</w:t>
      </w:r>
      <w:r>
        <w:rPr>
          <w:rFonts w:hint="eastAsia" w:ascii="宋体" w:hAnsi="宋体" w:eastAsia="宋体" w:cs="宋体"/>
          <w:bCs/>
          <w:color w:val="auto"/>
          <w:sz w:val="21"/>
          <w:szCs w:val="21"/>
          <w:highlight w:val="none"/>
        </w:rPr>
        <w:t>的中标资格，报财政部门备案后推荐排序居次的中标候选人为</w:t>
      </w:r>
      <w:r>
        <w:rPr>
          <w:rFonts w:hint="eastAsia" w:ascii="宋体" w:hAnsi="宋体" w:eastAsia="宋体" w:cs="宋体"/>
          <w:bCs/>
          <w:color w:val="auto"/>
          <w:sz w:val="21"/>
          <w:szCs w:val="21"/>
          <w:highlight w:val="none"/>
          <w:lang w:eastAsia="zh-CN"/>
        </w:rPr>
        <w:t>中标单位</w:t>
      </w:r>
      <w:r>
        <w:rPr>
          <w:rFonts w:hint="eastAsia" w:ascii="宋体" w:hAnsi="宋体" w:eastAsia="宋体" w:cs="宋体"/>
          <w:bCs/>
          <w:color w:val="auto"/>
          <w:sz w:val="21"/>
          <w:szCs w:val="21"/>
          <w:highlight w:val="none"/>
        </w:rPr>
        <w:t>，或重新招标。</w:t>
      </w:r>
      <w:bookmarkEnd w:id="18"/>
      <w:bookmarkEnd w:id="19"/>
    </w:p>
    <w:p>
      <w:pPr>
        <w:pStyle w:val="28"/>
        <w:snapToGrid w:val="0"/>
        <w:spacing w:before="0" w:beforeLines="0" w:after="0" w:afterLines="0" w:line="500" w:lineRule="exact"/>
        <w:ind w:firstLine="420" w:firstLineChars="200"/>
        <w:outlineLvl w:val="0"/>
        <w:rPr>
          <w:rFonts w:hint="eastAsia" w:ascii="宋体" w:hAnsi="宋体" w:eastAsia="宋体" w:cs="宋体"/>
          <w:bCs/>
          <w:color w:val="auto"/>
          <w:sz w:val="21"/>
          <w:szCs w:val="21"/>
          <w:highlight w:val="none"/>
        </w:rPr>
      </w:pPr>
      <w:bookmarkStart w:id="20" w:name="_Toc27921"/>
      <w:bookmarkStart w:id="21" w:name="_Toc21031"/>
      <w:r>
        <w:rPr>
          <w:rFonts w:hint="eastAsia" w:ascii="宋体" w:hAnsi="宋体" w:eastAsia="宋体" w:cs="宋体"/>
          <w:bCs/>
          <w:color w:val="auto"/>
          <w:sz w:val="21"/>
          <w:szCs w:val="21"/>
          <w:highlight w:val="none"/>
          <w:lang w:val="en-US" w:eastAsia="zh-CN"/>
        </w:rPr>
        <w:t>2、</w:t>
      </w:r>
      <w:r>
        <w:rPr>
          <w:rFonts w:hint="eastAsia" w:ascii="宋体" w:hAnsi="宋体" w:eastAsia="宋体" w:cs="宋体"/>
          <w:bCs/>
          <w:color w:val="auto"/>
          <w:sz w:val="21"/>
          <w:szCs w:val="21"/>
          <w:highlight w:val="none"/>
          <w:lang w:eastAsia="zh-CN"/>
        </w:rPr>
        <w:t>中标单位</w:t>
      </w:r>
      <w:r>
        <w:rPr>
          <w:rFonts w:hint="eastAsia" w:ascii="宋体" w:hAnsi="宋体" w:eastAsia="宋体" w:cs="宋体"/>
          <w:bCs/>
          <w:color w:val="auto"/>
          <w:sz w:val="21"/>
          <w:szCs w:val="21"/>
          <w:highlight w:val="none"/>
        </w:rPr>
        <w:t>招用工作人员必须按《劳动法》有关规定执行，为工人办理社会保险、职工意外伤害保险等，保障休息休假权利。</w:t>
      </w:r>
      <w:bookmarkEnd w:id="20"/>
      <w:bookmarkEnd w:id="21"/>
      <w:bookmarkStart w:id="22" w:name="_Toc17657"/>
      <w:bookmarkStart w:id="23" w:name="_Toc24411"/>
      <w:r>
        <w:rPr>
          <w:rFonts w:hint="eastAsia" w:ascii="宋体" w:hAnsi="宋体" w:eastAsia="宋体" w:cs="宋体"/>
          <w:bCs/>
          <w:color w:val="auto"/>
          <w:sz w:val="21"/>
          <w:szCs w:val="21"/>
          <w:highlight w:val="none"/>
          <w:lang w:val="en-US" w:eastAsia="zh-CN"/>
        </w:rPr>
        <w:t>3、</w:t>
      </w:r>
      <w:r>
        <w:rPr>
          <w:rFonts w:hint="eastAsia" w:ascii="宋体" w:hAnsi="宋体" w:eastAsia="宋体" w:cs="宋体"/>
          <w:bCs/>
          <w:color w:val="auto"/>
          <w:sz w:val="21"/>
          <w:szCs w:val="21"/>
          <w:highlight w:val="none"/>
          <w:lang w:eastAsia="zh-CN"/>
        </w:rPr>
        <w:t>中标单位</w:t>
      </w:r>
      <w:r>
        <w:rPr>
          <w:rFonts w:hint="eastAsia" w:ascii="宋体" w:hAnsi="宋体" w:eastAsia="宋体" w:cs="宋体"/>
          <w:bCs/>
          <w:color w:val="auto"/>
          <w:sz w:val="21"/>
          <w:szCs w:val="21"/>
          <w:highlight w:val="none"/>
        </w:rPr>
        <w:t>应将保洁人员的分工情况、作息时间、排班计划等告知采购单位。</w:t>
      </w:r>
      <w:bookmarkEnd w:id="22"/>
      <w:bookmarkEnd w:id="23"/>
      <w:r>
        <w:rPr>
          <w:rFonts w:hint="eastAsia" w:ascii="宋体" w:hAnsi="宋体" w:eastAsia="宋体" w:cs="宋体"/>
          <w:bCs/>
          <w:color w:val="auto"/>
          <w:sz w:val="21"/>
          <w:szCs w:val="21"/>
          <w:highlight w:val="none"/>
        </w:rPr>
        <w:t xml:space="preserve">  </w:t>
      </w:r>
    </w:p>
    <w:p>
      <w:pPr>
        <w:spacing w:line="360" w:lineRule="auto"/>
        <w:rPr>
          <w:rFonts w:hint="eastAsia" w:ascii="宋体" w:hAnsi="宋体" w:eastAsia="宋体" w:cs="宋体"/>
          <w:bCs/>
          <w:color w:val="auto"/>
          <w:sz w:val="21"/>
          <w:szCs w:val="21"/>
          <w:highlight w:val="none"/>
          <w:lang w:eastAsia="zh-CN"/>
        </w:rPr>
        <w:sectPr>
          <w:headerReference r:id="rId3" w:type="default"/>
          <w:footerReference r:id="rId4" w:type="default"/>
          <w:pgSz w:w="11906" w:h="16838"/>
          <w:pgMar w:top="1440" w:right="1289" w:bottom="1440" w:left="1797" w:header="851" w:footer="851" w:gutter="0"/>
          <w:pgBorders>
            <w:top w:val="none" w:sz="0" w:space="0"/>
            <w:left w:val="none" w:sz="0" w:space="0"/>
            <w:bottom w:val="none" w:sz="0" w:space="0"/>
            <w:right w:val="none" w:sz="0" w:space="0"/>
          </w:pgBorders>
          <w:cols w:space="720" w:num="1"/>
          <w:docGrid w:linePitch="312" w:charSpace="0"/>
        </w:sectPr>
      </w:pPr>
    </w:p>
    <w:p>
      <w:pPr>
        <w:pStyle w:val="3"/>
        <w:spacing w:line="240" w:lineRule="auto"/>
        <w:rPr>
          <w:rFonts w:hint="eastAsia" w:ascii="宋体" w:hAnsi="宋体" w:eastAsia="宋体" w:cs="宋体"/>
          <w:color w:val="auto"/>
          <w:highlight w:val="none"/>
        </w:rPr>
      </w:pPr>
      <w:r>
        <w:rPr>
          <w:rFonts w:hint="eastAsia" w:ascii="宋体" w:hAnsi="宋体" w:eastAsia="宋体" w:cs="宋体"/>
          <w:color w:val="auto"/>
          <w:sz w:val="28"/>
          <w:szCs w:val="28"/>
          <w:highlight w:val="none"/>
        </w:rPr>
        <w:t>考核办法</w:t>
      </w:r>
    </w:p>
    <w:tbl>
      <w:tblPr>
        <w:tblStyle w:val="50"/>
        <w:tblW w:w="9640" w:type="dxa"/>
        <w:tblInd w:w="-2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1373"/>
        <w:gridCol w:w="2813"/>
        <w:gridCol w:w="4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680" w:type="dxa"/>
            <w:noWrap w:val="0"/>
            <w:vAlign w:val="center"/>
          </w:tcPr>
          <w:p>
            <w:pPr>
              <w:spacing w:line="240" w:lineRule="exact"/>
              <w:jc w:val="center"/>
              <w:rPr>
                <w:rFonts w:hint="eastAsia" w:ascii="宋体" w:hAnsi="宋体" w:eastAsia="宋体" w:cs="宋体"/>
                <w:b/>
                <w:bCs/>
                <w:color w:val="auto"/>
                <w:sz w:val="24"/>
                <w:szCs w:val="32"/>
                <w:highlight w:val="none"/>
              </w:rPr>
            </w:pPr>
            <w:r>
              <w:rPr>
                <w:rFonts w:hint="eastAsia" w:ascii="宋体" w:hAnsi="宋体" w:eastAsia="宋体" w:cs="宋体"/>
                <w:b/>
                <w:color w:val="auto"/>
                <w:sz w:val="18"/>
                <w:szCs w:val="18"/>
                <w:highlight w:val="none"/>
              </w:rPr>
              <w:t>序号</w:t>
            </w:r>
          </w:p>
        </w:tc>
        <w:tc>
          <w:tcPr>
            <w:tcW w:w="1373" w:type="dxa"/>
            <w:noWrap w:val="0"/>
            <w:vAlign w:val="center"/>
          </w:tcPr>
          <w:p>
            <w:pPr>
              <w:spacing w:line="240" w:lineRule="exact"/>
              <w:jc w:val="center"/>
              <w:rPr>
                <w:rFonts w:hint="eastAsia" w:ascii="宋体" w:hAnsi="宋体" w:eastAsia="宋体" w:cs="宋体"/>
                <w:b/>
                <w:bCs/>
                <w:color w:val="auto"/>
                <w:sz w:val="24"/>
                <w:szCs w:val="32"/>
                <w:highlight w:val="none"/>
              </w:rPr>
            </w:pPr>
            <w:r>
              <w:rPr>
                <w:rFonts w:hint="eastAsia" w:ascii="宋体" w:hAnsi="宋体" w:eastAsia="宋体" w:cs="宋体"/>
                <w:b/>
                <w:color w:val="auto"/>
                <w:sz w:val="18"/>
                <w:szCs w:val="18"/>
                <w:highlight w:val="none"/>
              </w:rPr>
              <w:t>考核内容</w:t>
            </w:r>
          </w:p>
        </w:tc>
        <w:tc>
          <w:tcPr>
            <w:tcW w:w="2813" w:type="dxa"/>
            <w:noWrap w:val="0"/>
            <w:vAlign w:val="center"/>
          </w:tcPr>
          <w:p>
            <w:pPr>
              <w:spacing w:line="240" w:lineRule="exact"/>
              <w:jc w:val="center"/>
              <w:rPr>
                <w:rFonts w:hint="eastAsia" w:ascii="宋体" w:hAnsi="宋体" w:eastAsia="宋体" w:cs="宋体"/>
                <w:b/>
                <w:bCs/>
                <w:color w:val="auto"/>
                <w:sz w:val="24"/>
                <w:szCs w:val="32"/>
                <w:highlight w:val="none"/>
              </w:rPr>
            </w:pPr>
            <w:r>
              <w:rPr>
                <w:rFonts w:hint="eastAsia" w:ascii="宋体" w:hAnsi="宋体" w:eastAsia="宋体" w:cs="宋体"/>
                <w:b/>
                <w:color w:val="auto"/>
                <w:sz w:val="18"/>
                <w:szCs w:val="18"/>
                <w:highlight w:val="none"/>
              </w:rPr>
              <w:t>具体要求</w:t>
            </w:r>
          </w:p>
        </w:tc>
        <w:tc>
          <w:tcPr>
            <w:tcW w:w="4774" w:type="dxa"/>
            <w:noWrap w:val="0"/>
            <w:vAlign w:val="center"/>
          </w:tcPr>
          <w:p>
            <w:pPr>
              <w:spacing w:line="240" w:lineRule="exact"/>
              <w:jc w:val="center"/>
              <w:rPr>
                <w:rFonts w:hint="eastAsia" w:ascii="宋体" w:hAnsi="宋体" w:eastAsia="宋体" w:cs="宋体"/>
                <w:b/>
                <w:bCs/>
                <w:color w:val="auto"/>
                <w:sz w:val="24"/>
                <w:szCs w:val="32"/>
                <w:highlight w:val="none"/>
              </w:rPr>
            </w:pPr>
            <w:r>
              <w:rPr>
                <w:rFonts w:hint="eastAsia" w:ascii="宋体" w:hAnsi="宋体" w:eastAsia="宋体" w:cs="宋体"/>
                <w:b/>
                <w:color w:val="auto"/>
                <w:sz w:val="18"/>
                <w:szCs w:val="18"/>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80" w:type="dxa"/>
            <w:vMerge w:val="restart"/>
            <w:noWrap w:val="0"/>
            <w:vAlign w:val="center"/>
          </w:tcPr>
          <w:p>
            <w:pPr>
              <w:spacing w:line="240" w:lineRule="exact"/>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w:t>
            </w:r>
          </w:p>
        </w:tc>
        <w:tc>
          <w:tcPr>
            <w:tcW w:w="1373" w:type="dxa"/>
            <w:vMerge w:val="restart"/>
            <w:noWrap w:val="0"/>
            <w:vAlign w:val="center"/>
          </w:tcPr>
          <w:p>
            <w:pPr>
              <w:spacing w:line="240" w:lineRule="exact"/>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台帐资料及安全生产工作</w:t>
            </w:r>
          </w:p>
          <w:p>
            <w:pPr>
              <w:spacing w:line="240" w:lineRule="exact"/>
              <w:jc w:val="center"/>
              <w:rPr>
                <w:rFonts w:hint="eastAsia" w:ascii="宋体" w:hAnsi="宋体" w:eastAsia="宋体" w:cs="宋体"/>
                <w:b/>
                <w:bCs/>
                <w:color w:val="auto"/>
                <w:sz w:val="24"/>
                <w:szCs w:val="32"/>
                <w:highlight w:val="none"/>
              </w:rPr>
            </w:pPr>
            <w:r>
              <w:rPr>
                <w:rFonts w:hint="eastAsia" w:ascii="宋体" w:hAnsi="宋体" w:eastAsia="宋体" w:cs="宋体"/>
                <w:color w:val="auto"/>
                <w:sz w:val="18"/>
                <w:szCs w:val="18"/>
                <w:highlight w:val="none"/>
              </w:rPr>
              <w:t>（20分）</w:t>
            </w:r>
          </w:p>
        </w:tc>
        <w:tc>
          <w:tcPr>
            <w:tcW w:w="2813" w:type="dxa"/>
            <w:noWrap w:val="0"/>
            <w:vAlign w:val="center"/>
          </w:tcPr>
          <w:p>
            <w:pPr>
              <w:spacing w:line="240" w:lineRule="exact"/>
              <w:jc w:val="left"/>
              <w:rPr>
                <w:rFonts w:hint="eastAsia" w:ascii="宋体" w:hAnsi="宋体" w:eastAsia="宋体" w:cs="宋体"/>
                <w:b/>
                <w:bCs/>
                <w:color w:val="auto"/>
                <w:sz w:val="24"/>
                <w:szCs w:val="32"/>
                <w:highlight w:val="none"/>
              </w:rPr>
            </w:pPr>
            <w:r>
              <w:rPr>
                <w:rFonts w:hint="eastAsia" w:ascii="宋体" w:hAnsi="宋体" w:eastAsia="宋体" w:cs="宋体"/>
                <w:color w:val="auto"/>
                <w:sz w:val="18"/>
                <w:szCs w:val="18"/>
                <w:highlight w:val="none"/>
              </w:rPr>
              <w:t>1、管理制度完善，台账资料齐全。</w:t>
            </w:r>
          </w:p>
        </w:tc>
        <w:tc>
          <w:tcPr>
            <w:tcW w:w="4774" w:type="dxa"/>
            <w:noWrap w:val="0"/>
            <w:vAlign w:val="center"/>
          </w:tcPr>
          <w:p>
            <w:pPr>
              <w:spacing w:line="240" w:lineRule="exact"/>
              <w:jc w:val="left"/>
              <w:rPr>
                <w:rFonts w:hint="eastAsia" w:ascii="宋体" w:hAnsi="宋体" w:eastAsia="宋体" w:cs="宋体"/>
                <w:b/>
                <w:bCs/>
                <w:color w:val="auto"/>
                <w:sz w:val="24"/>
                <w:szCs w:val="32"/>
                <w:highlight w:val="none"/>
              </w:rPr>
            </w:pPr>
            <w:r>
              <w:rPr>
                <w:rFonts w:hint="eastAsia" w:ascii="宋体" w:hAnsi="宋体" w:eastAsia="宋体" w:cs="宋体"/>
                <w:color w:val="auto"/>
                <w:sz w:val="18"/>
                <w:szCs w:val="18"/>
                <w:highlight w:val="none"/>
              </w:rPr>
              <w:t>台账资料不完善扣0.5-1分。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Merge w:val="continue"/>
            <w:noWrap w:val="0"/>
            <w:vAlign w:val="center"/>
          </w:tcPr>
          <w:p>
            <w:pPr>
              <w:spacing w:line="240" w:lineRule="exact"/>
              <w:jc w:val="center"/>
              <w:rPr>
                <w:rFonts w:hint="eastAsia" w:ascii="宋体" w:hAnsi="宋体" w:eastAsia="宋体" w:cs="宋体"/>
                <w:color w:val="auto"/>
                <w:sz w:val="18"/>
                <w:szCs w:val="18"/>
                <w:highlight w:val="none"/>
              </w:rPr>
            </w:pPr>
          </w:p>
        </w:tc>
        <w:tc>
          <w:tcPr>
            <w:tcW w:w="1373" w:type="dxa"/>
            <w:vMerge w:val="continue"/>
            <w:noWrap w:val="0"/>
            <w:vAlign w:val="top"/>
          </w:tcPr>
          <w:p>
            <w:pPr>
              <w:spacing w:line="240" w:lineRule="exact"/>
              <w:jc w:val="center"/>
              <w:rPr>
                <w:rFonts w:hint="eastAsia" w:ascii="宋体" w:hAnsi="宋体" w:eastAsia="宋体" w:cs="宋体"/>
                <w:b/>
                <w:bCs/>
                <w:color w:val="auto"/>
                <w:sz w:val="24"/>
                <w:szCs w:val="32"/>
                <w:highlight w:val="none"/>
              </w:rPr>
            </w:pPr>
          </w:p>
        </w:tc>
        <w:tc>
          <w:tcPr>
            <w:tcW w:w="2813" w:type="dxa"/>
            <w:noWrap w:val="0"/>
            <w:vAlign w:val="center"/>
          </w:tcPr>
          <w:p>
            <w:pPr>
              <w:spacing w:line="240" w:lineRule="exact"/>
              <w:jc w:val="left"/>
              <w:rPr>
                <w:rFonts w:hint="eastAsia" w:ascii="宋体" w:hAnsi="宋体" w:eastAsia="宋体" w:cs="宋体"/>
                <w:b/>
                <w:bCs/>
                <w:color w:val="auto"/>
                <w:sz w:val="24"/>
                <w:szCs w:val="32"/>
                <w:highlight w:val="none"/>
              </w:rPr>
            </w:pPr>
            <w:r>
              <w:rPr>
                <w:rFonts w:hint="eastAsia" w:ascii="宋体" w:hAnsi="宋体" w:eastAsia="宋体" w:cs="宋体"/>
                <w:color w:val="auto"/>
                <w:sz w:val="18"/>
                <w:szCs w:val="18"/>
                <w:highlight w:val="none"/>
              </w:rPr>
              <w:t>2、养护单位每月上报工作安排计划。</w:t>
            </w:r>
          </w:p>
        </w:tc>
        <w:tc>
          <w:tcPr>
            <w:tcW w:w="4774" w:type="dxa"/>
            <w:noWrap w:val="0"/>
            <w:vAlign w:val="center"/>
          </w:tcPr>
          <w:p>
            <w:pPr>
              <w:spacing w:line="240" w:lineRule="exact"/>
              <w:jc w:val="left"/>
              <w:rPr>
                <w:rFonts w:hint="eastAsia" w:ascii="宋体" w:hAnsi="宋体" w:eastAsia="宋体" w:cs="宋体"/>
                <w:b/>
                <w:bCs/>
                <w:color w:val="auto"/>
                <w:sz w:val="24"/>
                <w:szCs w:val="32"/>
                <w:highlight w:val="none"/>
              </w:rPr>
            </w:pPr>
            <w:r>
              <w:rPr>
                <w:rFonts w:hint="eastAsia" w:ascii="宋体" w:hAnsi="宋体" w:eastAsia="宋体" w:cs="宋体"/>
                <w:color w:val="auto"/>
                <w:sz w:val="18"/>
                <w:szCs w:val="18"/>
                <w:highlight w:val="none"/>
              </w:rPr>
              <w:t>养护单位工作计划不齐全，根据情况扣0.5至1分。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Merge w:val="continue"/>
            <w:noWrap w:val="0"/>
            <w:vAlign w:val="center"/>
          </w:tcPr>
          <w:p>
            <w:pPr>
              <w:spacing w:line="240" w:lineRule="exact"/>
              <w:jc w:val="center"/>
              <w:rPr>
                <w:rFonts w:hint="eastAsia" w:ascii="宋体" w:hAnsi="宋体" w:eastAsia="宋体" w:cs="宋体"/>
                <w:color w:val="auto"/>
                <w:sz w:val="18"/>
                <w:szCs w:val="18"/>
                <w:highlight w:val="none"/>
              </w:rPr>
            </w:pPr>
          </w:p>
        </w:tc>
        <w:tc>
          <w:tcPr>
            <w:tcW w:w="1373" w:type="dxa"/>
            <w:vMerge w:val="continue"/>
            <w:noWrap w:val="0"/>
            <w:vAlign w:val="top"/>
          </w:tcPr>
          <w:p>
            <w:pPr>
              <w:spacing w:line="240" w:lineRule="exact"/>
              <w:jc w:val="center"/>
              <w:rPr>
                <w:rFonts w:hint="eastAsia" w:ascii="宋体" w:hAnsi="宋体" w:eastAsia="宋体" w:cs="宋体"/>
                <w:b/>
                <w:bCs/>
                <w:color w:val="auto"/>
                <w:sz w:val="24"/>
                <w:szCs w:val="32"/>
                <w:highlight w:val="none"/>
              </w:rPr>
            </w:pPr>
          </w:p>
        </w:tc>
        <w:tc>
          <w:tcPr>
            <w:tcW w:w="2813" w:type="dxa"/>
            <w:noWrap w:val="0"/>
            <w:vAlign w:val="center"/>
          </w:tcPr>
          <w:p>
            <w:pPr>
              <w:spacing w:line="240" w:lineRule="exact"/>
              <w:jc w:val="left"/>
              <w:rPr>
                <w:rFonts w:hint="eastAsia" w:ascii="宋体" w:hAnsi="宋体" w:eastAsia="宋体" w:cs="宋体"/>
                <w:b/>
                <w:bCs/>
                <w:color w:val="auto"/>
                <w:sz w:val="24"/>
                <w:szCs w:val="32"/>
                <w:highlight w:val="none"/>
              </w:rPr>
            </w:pPr>
            <w:r>
              <w:rPr>
                <w:rFonts w:hint="eastAsia" w:ascii="宋体" w:hAnsi="宋体" w:eastAsia="宋体" w:cs="宋体"/>
                <w:color w:val="auto"/>
                <w:sz w:val="18"/>
                <w:szCs w:val="18"/>
                <w:highlight w:val="none"/>
              </w:rPr>
              <w:t>3、市长电话交办单、数字城管联系单和市民投诉处理单等及时处理。</w:t>
            </w:r>
          </w:p>
        </w:tc>
        <w:tc>
          <w:tcPr>
            <w:tcW w:w="4774" w:type="dxa"/>
            <w:noWrap w:val="0"/>
            <w:vAlign w:val="center"/>
          </w:tcPr>
          <w:p>
            <w:pPr>
              <w:spacing w:line="240" w:lineRule="exact"/>
              <w:jc w:val="left"/>
              <w:rPr>
                <w:rFonts w:hint="eastAsia" w:ascii="宋体" w:hAnsi="宋体" w:eastAsia="宋体" w:cs="宋体"/>
                <w:b/>
                <w:bCs/>
                <w:color w:val="auto"/>
                <w:sz w:val="24"/>
                <w:szCs w:val="32"/>
                <w:highlight w:val="none"/>
              </w:rPr>
            </w:pPr>
            <w:r>
              <w:rPr>
                <w:rFonts w:hint="eastAsia" w:ascii="宋体" w:hAnsi="宋体" w:eastAsia="宋体" w:cs="宋体"/>
                <w:color w:val="auto"/>
                <w:sz w:val="18"/>
                <w:szCs w:val="18"/>
                <w:highlight w:val="none"/>
              </w:rPr>
              <w:t>接到市长电话交办单、数字城管联系单和市民投诉处理单等4小时未处理，或处理没有结果，发现一次扣0.5-1分。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Merge w:val="continue"/>
            <w:noWrap w:val="0"/>
            <w:vAlign w:val="center"/>
          </w:tcPr>
          <w:p>
            <w:pPr>
              <w:spacing w:line="240" w:lineRule="exact"/>
              <w:jc w:val="center"/>
              <w:rPr>
                <w:rFonts w:hint="eastAsia" w:ascii="宋体" w:hAnsi="宋体" w:eastAsia="宋体" w:cs="宋体"/>
                <w:color w:val="auto"/>
                <w:sz w:val="18"/>
                <w:szCs w:val="18"/>
                <w:highlight w:val="none"/>
              </w:rPr>
            </w:pPr>
          </w:p>
        </w:tc>
        <w:tc>
          <w:tcPr>
            <w:tcW w:w="1373" w:type="dxa"/>
            <w:vMerge w:val="continue"/>
            <w:noWrap w:val="0"/>
            <w:vAlign w:val="top"/>
          </w:tcPr>
          <w:p>
            <w:pPr>
              <w:spacing w:line="240" w:lineRule="exact"/>
              <w:jc w:val="center"/>
              <w:rPr>
                <w:rFonts w:hint="eastAsia" w:ascii="宋体" w:hAnsi="宋体" w:eastAsia="宋体" w:cs="宋体"/>
                <w:b/>
                <w:bCs/>
                <w:color w:val="auto"/>
                <w:sz w:val="24"/>
                <w:szCs w:val="32"/>
                <w:highlight w:val="none"/>
              </w:rPr>
            </w:pPr>
          </w:p>
        </w:tc>
        <w:tc>
          <w:tcPr>
            <w:tcW w:w="2813" w:type="dxa"/>
            <w:noWrap w:val="0"/>
            <w:vAlign w:val="center"/>
          </w:tcPr>
          <w:p>
            <w:pPr>
              <w:spacing w:line="240" w:lineRule="exact"/>
              <w:jc w:val="left"/>
              <w:rPr>
                <w:rFonts w:hint="eastAsia" w:ascii="宋体" w:hAnsi="宋体" w:eastAsia="宋体" w:cs="宋体"/>
                <w:b/>
                <w:bCs/>
                <w:color w:val="auto"/>
                <w:sz w:val="24"/>
                <w:szCs w:val="32"/>
                <w:highlight w:val="none"/>
              </w:rPr>
            </w:pPr>
            <w:r>
              <w:rPr>
                <w:rFonts w:hint="eastAsia" w:ascii="宋体" w:hAnsi="宋体" w:eastAsia="宋体" w:cs="宋体"/>
                <w:color w:val="auto"/>
                <w:sz w:val="18"/>
                <w:szCs w:val="18"/>
                <w:highlight w:val="none"/>
              </w:rPr>
              <w:t>4、无安全生产事故，按时做好安全生产教育工作。</w:t>
            </w:r>
          </w:p>
        </w:tc>
        <w:tc>
          <w:tcPr>
            <w:tcW w:w="4774" w:type="dxa"/>
            <w:noWrap w:val="0"/>
            <w:vAlign w:val="center"/>
          </w:tcPr>
          <w:p>
            <w:pPr>
              <w:spacing w:line="240" w:lineRule="exact"/>
              <w:jc w:val="left"/>
              <w:rPr>
                <w:rFonts w:hint="eastAsia" w:ascii="宋体" w:hAnsi="宋体" w:eastAsia="宋体" w:cs="宋体"/>
                <w:b/>
                <w:bCs/>
                <w:color w:val="auto"/>
                <w:sz w:val="24"/>
                <w:szCs w:val="32"/>
                <w:highlight w:val="none"/>
              </w:rPr>
            </w:pPr>
            <w:r>
              <w:rPr>
                <w:rFonts w:hint="eastAsia" w:ascii="宋体" w:hAnsi="宋体" w:eastAsia="宋体" w:cs="宋体"/>
                <w:color w:val="auto"/>
                <w:sz w:val="18"/>
                <w:szCs w:val="18"/>
                <w:highlight w:val="none"/>
              </w:rPr>
              <w:t>发生安全生产事故，根据情况扣1至5分。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Merge w:val="restart"/>
            <w:noWrap w:val="0"/>
            <w:vAlign w:val="center"/>
          </w:tcPr>
          <w:p>
            <w:pPr>
              <w:spacing w:line="240" w:lineRule="exact"/>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w:t>
            </w:r>
          </w:p>
        </w:tc>
        <w:tc>
          <w:tcPr>
            <w:tcW w:w="1373" w:type="dxa"/>
            <w:vMerge w:val="restart"/>
            <w:noWrap w:val="0"/>
            <w:vAlign w:val="center"/>
          </w:tcPr>
          <w:p>
            <w:pPr>
              <w:spacing w:line="240" w:lineRule="exact"/>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实地检查</w:t>
            </w:r>
          </w:p>
          <w:p>
            <w:pPr>
              <w:spacing w:line="240" w:lineRule="exact"/>
              <w:jc w:val="center"/>
              <w:rPr>
                <w:rFonts w:hint="eastAsia" w:ascii="宋体" w:hAnsi="宋体" w:eastAsia="宋体" w:cs="宋体"/>
                <w:b/>
                <w:bCs/>
                <w:color w:val="auto"/>
                <w:sz w:val="24"/>
                <w:szCs w:val="32"/>
                <w:highlight w:val="none"/>
              </w:rPr>
            </w:pPr>
            <w:r>
              <w:rPr>
                <w:rFonts w:hint="eastAsia" w:ascii="宋体" w:hAnsi="宋体" w:eastAsia="宋体" w:cs="宋体"/>
                <w:color w:val="auto"/>
                <w:sz w:val="18"/>
                <w:szCs w:val="18"/>
                <w:highlight w:val="none"/>
              </w:rPr>
              <w:t>（50分）</w:t>
            </w:r>
          </w:p>
        </w:tc>
        <w:tc>
          <w:tcPr>
            <w:tcW w:w="2813" w:type="dxa"/>
            <w:noWrap w:val="0"/>
            <w:vAlign w:val="center"/>
          </w:tcPr>
          <w:p>
            <w:pPr>
              <w:spacing w:line="240" w:lineRule="exact"/>
              <w:jc w:val="left"/>
              <w:rPr>
                <w:rFonts w:hint="eastAsia" w:ascii="宋体" w:hAnsi="宋体" w:eastAsia="宋体" w:cs="宋体"/>
                <w:b/>
                <w:bCs/>
                <w:color w:val="auto"/>
                <w:sz w:val="24"/>
                <w:szCs w:val="32"/>
                <w:highlight w:val="none"/>
              </w:rPr>
            </w:pPr>
            <w:r>
              <w:rPr>
                <w:rFonts w:hint="eastAsia" w:ascii="宋体" w:hAnsi="宋体" w:eastAsia="宋体" w:cs="宋体"/>
                <w:color w:val="auto"/>
                <w:sz w:val="18"/>
                <w:szCs w:val="18"/>
                <w:highlight w:val="none"/>
              </w:rPr>
              <w:t>1.路面平整，交通标记标线规范合理，及时修复道路坑洞，沉降，积水和大面积开裂。</w:t>
            </w:r>
          </w:p>
        </w:tc>
        <w:tc>
          <w:tcPr>
            <w:tcW w:w="4774" w:type="dxa"/>
            <w:noWrap w:val="0"/>
            <w:vAlign w:val="center"/>
          </w:tcPr>
          <w:p>
            <w:pPr>
              <w:spacing w:line="240" w:lineRule="exact"/>
              <w:jc w:val="left"/>
              <w:rPr>
                <w:rFonts w:hint="eastAsia" w:ascii="宋体" w:hAnsi="宋体" w:eastAsia="宋体" w:cs="宋体"/>
                <w:b/>
                <w:bCs/>
                <w:color w:val="auto"/>
                <w:sz w:val="24"/>
                <w:szCs w:val="32"/>
                <w:highlight w:val="none"/>
              </w:rPr>
            </w:pPr>
            <w:r>
              <w:rPr>
                <w:rFonts w:hint="eastAsia" w:ascii="宋体" w:hAnsi="宋体" w:eastAsia="宋体" w:cs="宋体"/>
                <w:color w:val="auto"/>
                <w:sz w:val="18"/>
                <w:szCs w:val="18"/>
                <w:highlight w:val="none"/>
              </w:rPr>
              <w:t>交通标记标线划放不合理，发现一处扣0.1-0.5分；道路坑洞未及时修复，发现一处扣0.1-0.5分；道路沉降未及时修复，发现一处扣0.1-0.5分；道路积水未及时修复，发现一处扣0.1-0.5分；道路大面积开裂未及时修复，发现一处扣0.1-0.5分；修复质量未到达相关要求和规范，发现一处扣0.1-0.5分；业主方发出整改要求后还未整改的，发现一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Merge w:val="continue"/>
            <w:noWrap w:val="0"/>
            <w:vAlign w:val="center"/>
          </w:tcPr>
          <w:p>
            <w:pPr>
              <w:spacing w:line="240" w:lineRule="exact"/>
              <w:jc w:val="center"/>
              <w:rPr>
                <w:rFonts w:hint="eastAsia" w:ascii="宋体" w:hAnsi="宋体" w:eastAsia="宋体" w:cs="宋体"/>
                <w:color w:val="auto"/>
                <w:sz w:val="18"/>
                <w:szCs w:val="18"/>
                <w:highlight w:val="none"/>
              </w:rPr>
            </w:pPr>
          </w:p>
        </w:tc>
        <w:tc>
          <w:tcPr>
            <w:tcW w:w="1373" w:type="dxa"/>
            <w:vMerge w:val="continue"/>
            <w:noWrap w:val="0"/>
            <w:vAlign w:val="top"/>
          </w:tcPr>
          <w:p>
            <w:pPr>
              <w:spacing w:line="240" w:lineRule="exact"/>
              <w:jc w:val="center"/>
              <w:rPr>
                <w:rFonts w:hint="eastAsia" w:ascii="宋体" w:hAnsi="宋体" w:eastAsia="宋体" w:cs="宋体"/>
                <w:b/>
                <w:bCs/>
                <w:color w:val="auto"/>
                <w:sz w:val="24"/>
                <w:szCs w:val="32"/>
                <w:highlight w:val="none"/>
              </w:rPr>
            </w:pPr>
          </w:p>
        </w:tc>
        <w:tc>
          <w:tcPr>
            <w:tcW w:w="2813" w:type="dxa"/>
            <w:noWrap w:val="0"/>
            <w:vAlign w:val="center"/>
          </w:tcPr>
          <w:p>
            <w:pPr>
              <w:spacing w:line="240" w:lineRule="exact"/>
              <w:jc w:val="left"/>
              <w:rPr>
                <w:rFonts w:hint="eastAsia" w:ascii="宋体" w:hAnsi="宋体" w:eastAsia="宋体" w:cs="宋体"/>
                <w:b/>
                <w:bCs/>
                <w:color w:val="auto"/>
                <w:sz w:val="24"/>
                <w:szCs w:val="32"/>
                <w:highlight w:val="none"/>
              </w:rPr>
            </w:pPr>
            <w:r>
              <w:rPr>
                <w:rFonts w:hint="eastAsia" w:ascii="宋体" w:hAnsi="宋体" w:eastAsia="宋体" w:cs="宋体"/>
                <w:color w:val="auto"/>
                <w:sz w:val="18"/>
                <w:szCs w:val="18"/>
                <w:highlight w:val="none"/>
              </w:rPr>
              <w:t>2.人行道平整无破损，及时修复破损平侧石、树穴石的破损和缺失。</w:t>
            </w:r>
          </w:p>
        </w:tc>
        <w:tc>
          <w:tcPr>
            <w:tcW w:w="4774" w:type="dxa"/>
            <w:noWrap w:val="0"/>
            <w:vAlign w:val="center"/>
          </w:tcPr>
          <w:p>
            <w:pPr>
              <w:spacing w:line="240" w:lineRule="exact"/>
              <w:jc w:val="left"/>
              <w:rPr>
                <w:rFonts w:hint="eastAsia" w:ascii="宋体" w:hAnsi="宋体" w:eastAsia="宋体" w:cs="宋体"/>
                <w:b/>
                <w:bCs/>
                <w:color w:val="auto"/>
                <w:sz w:val="24"/>
                <w:szCs w:val="32"/>
                <w:highlight w:val="none"/>
              </w:rPr>
            </w:pPr>
            <w:r>
              <w:rPr>
                <w:rFonts w:hint="eastAsia" w:ascii="宋体" w:hAnsi="宋体" w:eastAsia="宋体" w:cs="宋体"/>
                <w:color w:val="auto"/>
                <w:sz w:val="18"/>
                <w:szCs w:val="18"/>
                <w:highlight w:val="none"/>
              </w:rPr>
              <w:t>人行道破损未及时修复，发现一处扣0.1-0.5分；破损平侧石未及时修复，发现一处扣0.1-0.5分；树穴的破损和缺失未及时修复，发现一处扣0.1-0.5分；修复质量未到达相关要求和规范，发现一处扣0.1-0.5分；业主方发出整改要求后还未整改的，发现一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Merge w:val="continue"/>
            <w:noWrap w:val="0"/>
            <w:vAlign w:val="center"/>
          </w:tcPr>
          <w:p>
            <w:pPr>
              <w:spacing w:line="240" w:lineRule="exact"/>
              <w:jc w:val="center"/>
              <w:rPr>
                <w:rFonts w:hint="eastAsia" w:ascii="宋体" w:hAnsi="宋体" w:eastAsia="宋体" w:cs="宋体"/>
                <w:color w:val="auto"/>
                <w:sz w:val="18"/>
                <w:szCs w:val="18"/>
                <w:highlight w:val="none"/>
              </w:rPr>
            </w:pPr>
          </w:p>
        </w:tc>
        <w:tc>
          <w:tcPr>
            <w:tcW w:w="1373" w:type="dxa"/>
            <w:vMerge w:val="continue"/>
            <w:noWrap w:val="0"/>
            <w:vAlign w:val="top"/>
          </w:tcPr>
          <w:p>
            <w:pPr>
              <w:spacing w:line="240" w:lineRule="exact"/>
              <w:jc w:val="center"/>
              <w:rPr>
                <w:rFonts w:hint="eastAsia" w:ascii="宋体" w:hAnsi="宋体" w:eastAsia="宋体" w:cs="宋体"/>
                <w:b/>
                <w:bCs/>
                <w:color w:val="auto"/>
                <w:sz w:val="24"/>
                <w:szCs w:val="32"/>
                <w:highlight w:val="none"/>
              </w:rPr>
            </w:pPr>
          </w:p>
        </w:tc>
        <w:tc>
          <w:tcPr>
            <w:tcW w:w="2813" w:type="dxa"/>
            <w:noWrap w:val="0"/>
            <w:vAlign w:val="center"/>
          </w:tcPr>
          <w:p>
            <w:pPr>
              <w:spacing w:line="240" w:lineRule="exact"/>
              <w:jc w:val="left"/>
              <w:rPr>
                <w:rFonts w:hint="eastAsia" w:ascii="宋体" w:hAnsi="宋体" w:eastAsia="宋体" w:cs="宋体"/>
                <w:b/>
                <w:bCs/>
                <w:color w:val="auto"/>
                <w:sz w:val="24"/>
                <w:szCs w:val="32"/>
                <w:highlight w:val="none"/>
              </w:rPr>
            </w:pPr>
            <w:r>
              <w:rPr>
                <w:rFonts w:hint="eastAsia" w:ascii="宋体" w:hAnsi="宋体" w:eastAsia="宋体" w:cs="宋体"/>
                <w:color w:val="auto"/>
                <w:sz w:val="18"/>
                <w:szCs w:val="18"/>
                <w:highlight w:val="none"/>
              </w:rPr>
              <w:t>3.雨污主井及收集井井圈井盖无大破损，无缺失，及时修复。</w:t>
            </w:r>
          </w:p>
        </w:tc>
        <w:tc>
          <w:tcPr>
            <w:tcW w:w="4774" w:type="dxa"/>
            <w:noWrap w:val="0"/>
            <w:vAlign w:val="center"/>
          </w:tcPr>
          <w:p>
            <w:pPr>
              <w:spacing w:line="240" w:lineRule="exact"/>
              <w:jc w:val="left"/>
              <w:rPr>
                <w:rFonts w:hint="eastAsia" w:ascii="宋体" w:hAnsi="宋体" w:eastAsia="宋体" w:cs="宋体"/>
                <w:b/>
                <w:bCs/>
                <w:color w:val="auto"/>
                <w:sz w:val="24"/>
                <w:szCs w:val="32"/>
                <w:highlight w:val="none"/>
              </w:rPr>
            </w:pPr>
            <w:r>
              <w:rPr>
                <w:rFonts w:hint="eastAsia" w:ascii="宋体" w:hAnsi="宋体" w:eastAsia="宋体" w:cs="宋体"/>
                <w:color w:val="auto"/>
                <w:sz w:val="18"/>
                <w:szCs w:val="18"/>
                <w:highlight w:val="none"/>
              </w:rPr>
              <w:t>井圈井盖破损未及时修复的，发现一处扣0.1分；井圈井盖缺失，发现一处扣0.5分；修复质量未到达相关要求和规范，发现一处扣0.1-0.5分；业主方发出整改要求后还未整改的，发现一处扣1分。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Merge w:val="continue"/>
            <w:noWrap w:val="0"/>
            <w:vAlign w:val="center"/>
          </w:tcPr>
          <w:p>
            <w:pPr>
              <w:spacing w:line="240" w:lineRule="exact"/>
              <w:jc w:val="center"/>
              <w:rPr>
                <w:rFonts w:hint="eastAsia" w:ascii="宋体" w:hAnsi="宋体" w:eastAsia="宋体" w:cs="宋体"/>
                <w:color w:val="auto"/>
                <w:sz w:val="18"/>
                <w:szCs w:val="18"/>
                <w:highlight w:val="none"/>
              </w:rPr>
            </w:pPr>
          </w:p>
        </w:tc>
        <w:tc>
          <w:tcPr>
            <w:tcW w:w="1373" w:type="dxa"/>
            <w:vMerge w:val="continue"/>
            <w:noWrap w:val="0"/>
            <w:vAlign w:val="top"/>
          </w:tcPr>
          <w:p>
            <w:pPr>
              <w:spacing w:line="240" w:lineRule="exact"/>
              <w:jc w:val="center"/>
              <w:rPr>
                <w:rFonts w:hint="eastAsia" w:ascii="宋体" w:hAnsi="宋体" w:eastAsia="宋体" w:cs="宋体"/>
                <w:b/>
                <w:bCs/>
                <w:color w:val="auto"/>
                <w:sz w:val="24"/>
                <w:szCs w:val="32"/>
                <w:highlight w:val="none"/>
              </w:rPr>
            </w:pPr>
          </w:p>
        </w:tc>
        <w:tc>
          <w:tcPr>
            <w:tcW w:w="2813" w:type="dxa"/>
            <w:noWrap w:val="0"/>
            <w:vAlign w:val="center"/>
          </w:tcPr>
          <w:p>
            <w:pPr>
              <w:spacing w:line="240" w:lineRule="exact"/>
              <w:jc w:val="left"/>
              <w:rPr>
                <w:rFonts w:hint="eastAsia" w:ascii="宋体" w:hAnsi="宋体" w:eastAsia="宋体" w:cs="宋体"/>
                <w:b/>
                <w:bCs/>
                <w:color w:val="auto"/>
                <w:sz w:val="24"/>
                <w:szCs w:val="32"/>
                <w:highlight w:val="none"/>
              </w:rPr>
            </w:pPr>
            <w:r>
              <w:rPr>
                <w:rFonts w:hint="eastAsia" w:ascii="宋体" w:hAnsi="宋体" w:eastAsia="宋体" w:cs="宋体"/>
                <w:color w:val="auto"/>
                <w:sz w:val="18"/>
                <w:szCs w:val="18"/>
                <w:highlight w:val="none"/>
              </w:rPr>
              <w:t>4.桥梁维护。保持桥面平整，及时修复裂缝和辅助设施维护。</w:t>
            </w:r>
          </w:p>
        </w:tc>
        <w:tc>
          <w:tcPr>
            <w:tcW w:w="4774" w:type="dxa"/>
            <w:noWrap w:val="0"/>
            <w:vAlign w:val="center"/>
          </w:tcPr>
          <w:p>
            <w:pPr>
              <w:spacing w:line="240" w:lineRule="exact"/>
              <w:jc w:val="left"/>
              <w:rPr>
                <w:rFonts w:hint="eastAsia" w:ascii="宋体" w:hAnsi="宋体" w:eastAsia="宋体" w:cs="宋体"/>
                <w:b/>
                <w:bCs/>
                <w:color w:val="auto"/>
                <w:sz w:val="24"/>
                <w:szCs w:val="32"/>
                <w:highlight w:val="none"/>
              </w:rPr>
            </w:pPr>
            <w:r>
              <w:rPr>
                <w:rFonts w:hint="eastAsia" w:ascii="宋体" w:hAnsi="宋体" w:eastAsia="宋体" w:cs="宋体"/>
                <w:color w:val="auto"/>
                <w:sz w:val="18"/>
                <w:szCs w:val="18"/>
                <w:highlight w:val="none"/>
              </w:rPr>
              <w:t>裂缝未及时修复，发现一处扣0.1-1分；辅助设施未及时维护，发现一处扣0.2-1分。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Merge w:val="continue"/>
            <w:noWrap w:val="0"/>
            <w:vAlign w:val="center"/>
          </w:tcPr>
          <w:p>
            <w:pPr>
              <w:spacing w:line="240" w:lineRule="exact"/>
              <w:jc w:val="center"/>
              <w:rPr>
                <w:rFonts w:hint="eastAsia" w:ascii="宋体" w:hAnsi="宋体" w:eastAsia="宋体" w:cs="宋体"/>
                <w:color w:val="auto"/>
                <w:sz w:val="18"/>
                <w:szCs w:val="18"/>
                <w:highlight w:val="none"/>
              </w:rPr>
            </w:pPr>
          </w:p>
        </w:tc>
        <w:tc>
          <w:tcPr>
            <w:tcW w:w="1373" w:type="dxa"/>
            <w:vMerge w:val="continue"/>
            <w:noWrap w:val="0"/>
            <w:vAlign w:val="top"/>
          </w:tcPr>
          <w:p>
            <w:pPr>
              <w:spacing w:line="240" w:lineRule="exact"/>
              <w:jc w:val="center"/>
              <w:rPr>
                <w:rFonts w:hint="eastAsia" w:ascii="宋体" w:hAnsi="宋体" w:eastAsia="宋体" w:cs="宋体"/>
                <w:b/>
                <w:bCs/>
                <w:color w:val="auto"/>
                <w:sz w:val="24"/>
                <w:szCs w:val="32"/>
                <w:highlight w:val="none"/>
              </w:rPr>
            </w:pPr>
          </w:p>
        </w:tc>
        <w:tc>
          <w:tcPr>
            <w:tcW w:w="2813" w:type="dxa"/>
            <w:noWrap w:val="0"/>
            <w:vAlign w:val="center"/>
          </w:tcPr>
          <w:p>
            <w:pPr>
              <w:spacing w:line="240" w:lineRule="exact"/>
              <w:jc w:val="left"/>
              <w:rPr>
                <w:rFonts w:hint="eastAsia" w:ascii="宋体" w:hAnsi="宋体" w:eastAsia="宋体" w:cs="宋体"/>
                <w:b/>
                <w:bCs/>
                <w:color w:val="auto"/>
                <w:sz w:val="24"/>
                <w:szCs w:val="32"/>
                <w:highlight w:val="none"/>
              </w:rPr>
            </w:pPr>
            <w:r>
              <w:rPr>
                <w:rFonts w:hint="eastAsia" w:ascii="宋体" w:hAnsi="宋体" w:eastAsia="宋体" w:cs="宋体"/>
                <w:color w:val="auto"/>
                <w:sz w:val="18"/>
                <w:szCs w:val="18"/>
                <w:highlight w:val="none"/>
              </w:rPr>
              <w:t>5.环境保护。现场施工产生的各类垃圾清理，造成的绿化破坏及时修复或赔偿。</w:t>
            </w:r>
          </w:p>
        </w:tc>
        <w:tc>
          <w:tcPr>
            <w:tcW w:w="4774" w:type="dxa"/>
            <w:noWrap w:val="0"/>
            <w:vAlign w:val="center"/>
          </w:tcPr>
          <w:p>
            <w:pPr>
              <w:spacing w:line="240" w:lineRule="exact"/>
              <w:jc w:val="left"/>
              <w:rPr>
                <w:rFonts w:hint="eastAsia" w:ascii="宋体" w:hAnsi="宋体" w:eastAsia="宋体" w:cs="宋体"/>
                <w:b/>
                <w:bCs/>
                <w:color w:val="auto"/>
                <w:sz w:val="24"/>
                <w:szCs w:val="32"/>
                <w:highlight w:val="none"/>
              </w:rPr>
            </w:pPr>
            <w:r>
              <w:rPr>
                <w:rFonts w:hint="eastAsia" w:ascii="宋体" w:hAnsi="宋体" w:eastAsia="宋体" w:cs="宋体"/>
                <w:color w:val="auto"/>
                <w:sz w:val="18"/>
                <w:szCs w:val="18"/>
                <w:highlight w:val="none"/>
              </w:rPr>
              <w:t>各类垃圾未及时清理，绿化破坏未及时修复或赔偿，发现一次扣0.1-0.5分。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Merge w:val="continue"/>
            <w:noWrap w:val="0"/>
            <w:vAlign w:val="center"/>
          </w:tcPr>
          <w:p>
            <w:pPr>
              <w:spacing w:line="240" w:lineRule="exact"/>
              <w:jc w:val="center"/>
              <w:rPr>
                <w:rFonts w:hint="eastAsia" w:ascii="宋体" w:hAnsi="宋体" w:eastAsia="宋体" w:cs="宋体"/>
                <w:color w:val="auto"/>
                <w:sz w:val="18"/>
                <w:szCs w:val="18"/>
                <w:highlight w:val="none"/>
              </w:rPr>
            </w:pPr>
          </w:p>
        </w:tc>
        <w:tc>
          <w:tcPr>
            <w:tcW w:w="1373" w:type="dxa"/>
            <w:vMerge w:val="continue"/>
            <w:noWrap w:val="0"/>
            <w:vAlign w:val="top"/>
          </w:tcPr>
          <w:p>
            <w:pPr>
              <w:spacing w:line="240" w:lineRule="exact"/>
              <w:jc w:val="center"/>
              <w:rPr>
                <w:rFonts w:hint="eastAsia" w:ascii="宋体" w:hAnsi="宋体" w:eastAsia="宋体" w:cs="宋体"/>
                <w:b/>
                <w:bCs/>
                <w:color w:val="auto"/>
                <w:sz w:val="24"/>
                <w:szCs w:val="32"/>
                <w:highlight w:val="none"/>
              </w:rPr>
            </w:pPr>
          </w:p>
        </w:tc>
        <w:tc>
          <w:tcPr>
            <w:tcW w:w="2813" w:type="dxa"/>
            <w:noWrap w:val="0"/>
            <w:vAlign w:val="center"/>
          </w:tcPr>
          <w:p>
            <w:pPr>
              <w:spacing w:line="240" w:lineRule="exact"/>
              <w:jc w:val="left"/>
              <w:rPr>
                <w:rFonts w:hint="eastAsia" w:ascii="宋体" w:hAnsi="宋体" w:eastAsia="宋体" w:cs="宋体"/>
                <w:b/>
                <w:bCs/>
                <w:color w:val="auto"/>
                <w:sz w:val="24"/>
                <w:szCs w:val="32"/>
                <w:highlight w:val="none"/>
              </w:rPr>
            </w:pPr>
            <w:r>
              <w:rPr>
                <w:rFonts w:hint="eastAsia" w:ascii="宋体" w:hAnsi="宋体" w:eastAsia="宋体" w:cs="宋体"/>
                <w:color w:val="auto"/>
                <w:sz w:val="18"/>
                <w:szCs w:val="18"/>
                <w:highlight w:val="none"/>
              </w:rPr>
              <w:t>6.管养区域巡查及时，发现问题及时上报并整改。</w:t>
            </w:r>
          </w:p>
        </w:tc>
        <w:tc>
          <w:tcPr>
            <w:tcW w:w="4774" w:type="dxa"/>
            <w:noWrap w:val="0"/>
            <w:vAlign w:val="center"/>
          </w:tcPr>
          <w:p>
            <w:pPr>
              <w:spacing w:line="240" w:lineRule="exact"/>
              <w:jc w:val="left"/>
              <w:rPr>
                <w:rFonts w:hint="eastAsia" w:ascii="宋体" w:hAnsi="宋体" w:eastAsia="宋体" w:cs="宋体"/>
                <w:b/>
                <w:bCs/>
                <w:color w:val="auto"/>
                <w:sz w:val="24"/>
                <w:szCs w:val="32"/>
                <w:highlight w:val="none"/>
              </w:rPr>
            </w:pPr>
            <w:r>
              <w:rPr>
                <w:rFonts w:hint="eastAsia" w:ascii="宋体" w:hAnsi="宋体" w:eastAsia="宋体" w:cs="宋体"/>
                <w:color w:val="auto"/>
                <w:sz w:val="18"/>
                <w:szCs w:val="18"/>
                <w:highlight w:val="none"/>
              </w:rPr>
              <w:t>日常巡查不到位，发现问题未及时上报并整改，市政设施有明显破损或危险存在，发现一次扣0.1-0.5分；遇灾害性天气，巡查不到位，发现问题未及时上报并整改，市政设施有明显破损或危险存在，发现一处按情况扣0.1-1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Merge w:val="continue"/>
            <w:noWrap w:val="0"/>
            <w:vAlign w:val="center"/>
          </w:tcPr>
          <w:p>
            <w:pPr>
              <w:spacing w:line="240" w:lineRule="exact"/>
              <w:jc w:val="center"/>
              <w:rPr>
                <w:rFonts w:hint="eastAsia" w:ascii="宋体" w:hAnsi="宋体" w:eastAsia="宋体" w:cs="宋体"/>
                <w:color w:val="auto"/>
                <w:sz w:val="18"/>
                <w:szCs w:val="18"/>
                <w:highlight w:val="none"/>
              </w:rPr>
            </w:pPr>
          </w:p>
        </w:tc>
        <w:tc>
          <w:tcPr>
            <w:tcW w:w="1373" w:type="dxa"/>
            <w:vMerge w:val="continue"/>
            <w:noWrap w:val="0"/>
            <w:vAlign w:val="top"/>
          </w:tcPr>
          <w:p>
            <w:pPr>
              <w:spacing w:line="240" w:lineRule="exact"/>
              <w:jc w:val="center"/>
              <w:rPr>
                <w:rFonts w:hint="eastAsia" w:ascii="宋体" w:hAnsi="宋体" w:eastAsia="宋体" w:cs="宋体"/>
                <w:b/>
                <w:bCs/>
                <w:color w:val="auto"/>
                <w:sz w:val="24"/>
                <w:szCs w:val="32"/>
                <w:highlight w:val="none"/>
              </w:rPr>
            </w:pPr>
          </w:p>
        </w:tc>
        <w:tc>
          <w:tcPr>
            <w:tcW w:w="2813" w:type="dxa"/>
            <w:noWrap w:val="0"/>
            <w:vAlign w:val="center"/>
          </w:tcPr>
          <w:p>
            <w:pPr>
              <w:spacing w:line="240" w:lineRule="exact"/>
              <w:jc w:val="left"/>
              <w:rPr>
                <w:rFonts w:hint="eastAsia" w:ascii="宋体" w:hAnsi="宋体" w:eastAsia="宋体" w:cs="宋体"/>
                <w:b/>
                <w:bCs/>
                <w:color w:val="auto"/>
                <w:sz w:val="24"/>
                <w:szCs w:val="32"/>
                <w:highlight w:val="none"/>
              </w:rPr>
            </w:pPr>
            <w:r>
              <w:rPr>
                <w:rFonts w:hint="eastAsia" w:ascii="宋体" w:hAnsi="宋体" w:eastAsia="宋体" w:cs="宋体"/>
                <w:color w:val="auto"/>
                <w:sz w:val="18"/>
                <w:szCs w:val="18"/>
                <w:highlight w:val="none"/>
              </w:rPr>
              <w:t>7.其他设施设置、维修及时。</w:t>
            </w:r>
          </w:p>
        </w:tc>
        <w:tc>
          <w:tcPr>
            <w:tcW w:w="4774" w:type="dxa"/>
            <w:noWrap w:val="0"/>
            <w:vAlign w:val="center"/>
          </w:tcPr>
          <w:p>
            <w:pPr>
              <w:spacing w:line="240" w:lineRule="exact"/>
              <w:jc w:val="left"/>
              <w:rPr>
                <w:rFonts w:hint="eastAsia" w:ascii="宋体" w:hAnsi="宋体" w:eastAsia="宋体" w:cs="宋体"/>
                <w:b/>
                <w:bCs/>
                <w:color w:val="auto"/>
                <w:sz w:val="24"/>
                <w:szCs w:val="32"/>
                <w:highlight w:val="none"/>
              </w:rPr>
            </w:pPr>
            <w:r>
              <w:rPr>
                <w:rFonts w:hint="eastAsia" w:ascii="宋体" w:hAnsi="宋体" w:eastAsia="宋体" w:cs="宋体"/>
                <w:color w:val="auto"/>
                <w:sz w:val="18"/>
                <w:szCs w:val="18"/>
                <w:highlight w:val="none"/>
              </w:rPr>
              <w:t>未按要求设置、维修或质量存在缺陷，发现一次扣0.1-0.5分；业主方发出整改要求后还未整改的，发现一处扣1分。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noWrap w:val="0"/>
            <w:vAlign w:val="center"/>
          </w:tcPr>
          <w:p>
            <w:pPr>
              <w:spacing w:line="240" w:lineRule="exact"/>
              <w:jc w:val="cente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lang w:val="en-US" w:eastAsia="zh-CN"/>
              </w:rPr>
              <w:t>3</w:t>
            </w:r>
          </w:p>
        </w:tc>
        <w:tc>
          <w:tcPr>
            <w:tcW w:w="1373" w:type="dxa"/>
            <w:noWrap w:val="0"/>
            <w:vAlign w:val="center"/>
          </w:tcPr>
          <w:p>
            <w:pPr>
              <w:spacing w:line="240" w:lineRule="exact"/>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小型维修项目进展情况</w:t>
            </w:r>
          </w:p>
          <w:p>
            <w:pPr>
              <w:spacing w:line="240" w:lineRule="exact"/>
              <w:jc w:val="center"/>
              <w:rPr>
                <w:rFonts w:hint="eastAsia" w:ascii="宋体" w:hAnsi="宋体" w:eastAsia="宋体" w:cs="宋体"/>
                <w:b/>
                <w:bCs/>
                <w:color w:val="auto"/>
                <w:sz w:val="24"/>
                <w:szCs w:val="32"/>
                <w:highlight w:val="none"/>
              </w:rPr>
            </w:pPr>
            <w:r>
              <w:rPr>
                <w:rFonts w:hint="eastAsia" w:ascii="宋体" w:hAnsi="宋体" w:eastAsia="宋体" w:cs="宋体"/>
                <w:color w:val="auto"/>
                <w:sz w:val="18"/>
                <w:szCs w:val="18"/>
                <w:highlight w:val="none"/>
              </w:rPr>
              <w:t>（15分）</w:t>
            </w:r>
          </w:p>
        </w:tc>
        <w:tc>
          <w:tcPr>
            <w:tcW w:w="2813" w:type="dxa"/>
            <w:noWrap w:val="0"/>
            <w:vAlign w:val="center"/>
          </w:tcPr>
          <w:p>
            <w:pPr>
              <w:spacing w:line="240" w:lineRule="exact"/>
              <w:jc w:val="left"/>
              <w:rPr>
                <w:rFonts w:hint="eastAsia" w:ascii="宋体" w:hAnsi="宋体" w:eastAsia="宋体" w:cs="宋体"/>
                <w:b/>
                <w:bCs/>
                <w:color w:val="auto"/>
                <w:sz w:val="24"/>
                <w:szCs w:val="32"/>
                <w:highlight w:val="none"/>
              </w:rPr>
            </w:pPr>
            <w:r>
              <w:rPr>
                <w:rFonts w:hint="eastAsia" w:ascii="宋体" w:hAnsi="宋体" w:eastAsia="宋体" w:cs="宋体"/>
                <w:color w:val="auto"/>
                <w:sz w:val="18"/>
                <w:szCs w:val="18"/>
                <w:highlight w:val="none"/>
              </w:rPr>
              <w:t>按照要求及时开展维修项目</w:t>
            </w:r>
            <w:r>
              <w:rPr>
                <w:rFonts w:hint="eastAsia" w:ascii="宋体" w:hAnsi="宋体" w:eastAsia="宋体" w:cs="宋体"/>
                <w:color w:val="auto"/>
                <w:sz w:val="18"/>
                <w:szCs w:val="18"/>
                <w:highlight w:val="none"/>
                <w:shd w:val="clear" w:color="auto" w:fill="FFFFFF"/>
              </w:rPr>
              <w:t>，现场效果</w:t>
            </w:r>
            <w:r>
              <w:rPr>
                <w:rFonts w:hint="eastAsia" w:ascii="宋体" w:hAnsi="宋体" w:eastAsia="宋体" w:cs="宋体"/>
                <w:color w:val="auto"/>
                <w:sz w:val="18"/>
                <w:szCs w:val="18"/>
                <w:highlight w:val="none"/>
              </w:rPr>
              <w:t>明显。</w:t>
            </w:r>
          </w:p>
        </w:tc>
        <w:tc>
          <w:tcPr>
            <w:tcW w:w="4774" w:type="dxa"/>
            <w:noWrap w:val="0"/>
            <w:vAlign w:val="center"/>
          </w:tcPr>
          <w:p>
            <w:pPr>
              <w:spacing w:line="240" w:lineRule="exact"/>
              <w:jc w:val="left"/>
              <w:rPr>
                <w:rFonts w:hint="eastAsia" w:ascii="宋体" w:hAnsi="宋体" w:eastAsia="宋体" w:cs="宋体"/>
                <w:b/>
                <w:bCs/>
                <w:color w:val="auto"/>
                <w:sz w:val="24"/>
                <w:szCs w:val="32"/>
                <w:highlight w:val="none"/>
              </w:rPr>
            </w:pPr>
            <w:r>
              <w:rPr>
                <w:rFonts w:hint="eastAsia" w:ascii="宋体" w:hAnsi="宋体" w:eastAsia="宋体" w:cs="宋体"/>
                <w:color w:val="auto"/>
                <w:sz w:val="18"/>
                <w:szCs w:val="18"/>
                <w:highlight w:val="none"/>
              </w:rPr>
              <w:t>未提交维修项目清单的扣0.5分；要求维修的项目未及时开展，发现一处扣0.5分；对照维修清单，维修质量明显不达标、维修时间不及时的，发现一处扣0.5-5分。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Merge w:val="restart"/>
            <w:noWrap w:val="0"/>
            <w:vAlign w:val="center"/>
          </w:tcPr>
          <w:p>
            <w:pPr>
              <w:spacing w:line="240" w:lineRule="exact"/>
              <w:jc w:val="cente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lang w:val="en-US" w:eastAsia="zh-CN"/>
              </w:rPr>
              <w:t>4</w:t>
            </w:r>
          </w:p>
        </w:tc>
        <w:tc>
          <w:tcPr>
            <w:tcW w:w="1373" w:type="dxa"/>
            <w:vMerge w:val="restart"/>
            <w:noWrap w:val="0"/>
            <w:vAlign w:val="center"/>
          </w:tcPr>
          <w:p>
            <w:pPr>
              <w:spacing w:line="240" w:lineRule="exact"/>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重点、突击性工作</w:t>
            </w:r>
          </w:p>
          <w:p>
            <w:pPr>
              <w:spacing w:line="240" w:lineRule="exact"/>
              <w:jc w:val="center"/>
              <w:rPr>
                <w:rFonts w:hint="eastAsia" w:ascii="宋体" w:hAnsi="宋体" w:eastAsia="宋体" w:cs="宋体"/>
                <w:b/>
                <w:bCs/>
                <w:color w:val="auto"/>
                <w:sz w:val="24"/>
                <w:szCs w:val="32"/>
                <w:highlight w:val="none"/>
              </w:rPr>
            </w:pPr>
            <w:r>
              <w:rPr>
                <w:rFonts w:hint="eastAsia" w:ascii="宋体" w:hAnsi="宋体" w:eastAsia="宋体" w:cs="宋体"/>
                <w:color w:val="auto"/>
                <w:sz w:val="18"/>
                <w:szCs w:val="18"/>
                <w:highlight w:val="none"/>
              </w:rPr>
              <w:t>（15分）</w:t>
            </w:r>
          </w:p>
        </w:tc>
        <w:tc>
          <w:tcPr>
            <w:tcW w:w="2813" w:type="dxa"/>
            <w:noWrap w:val="0"/>
            <w:vAlign w:val="center"/>
          </w:tcPr>
          <w:p>
            <w:pPr>
              <w:spacing w:line="240" w:lineRule="exact"/>
              <w:rPr>
                <w:rFonts w:hint="eastAsia" w:ascii="宋体" w:hAnsi="宋体" w:eastAsia="宋体" w:cs="宋体"/>
                <w:b/>
                <w:bCs/>
                <w:color w:val="auto"/>
                <w:sz w:val="24"/>
                <w:szCs w:val="32"/>
                <w:highlight w:val="none"/>
              </w:rPr>
            </w:pPr>
            <w:r>
              <w:rPr>
                <w:rFonts w:hint="eastAsia" w:ascii="宋体" w:hAnsi="宋体" w:eastAsia="宋体" w:cs="宋体"/>
                <w:color w:val="auto"/>
                <w:sz w:val="18"/>
                <w:szCs w:val="18"/>
                <w:highlight w:val="none"/>
              </w:rPr>
              <w:t>1、全国文明城市、国家卫生城市等创建及重大活动积极配合；</w:t>
            </w:r>
          </w:p>
        </w:tc>
        <w:tc>
          <w:tcPr>
            <w:tcW w:w="4774" w:type="dxa"/>
            <w:vMerge w:val="restart"/>
            <w:noWrap w:val="0"/>
            <w:vAlign w:val="center"/>
          </w:tcPr>
          <w:p>
            <w:pPr>
              <w:spacing w:line="240" w:lineRule="exact"/>
              <w:jc w:val="left"/>
              <w:rPr>
                <w:rFonts w:hint="eastAsia" w:ascii="宋体" w:hAnsi="宋体" w:eastAsia="宋体" w:cs="宋体"/>
                <w:b/>
                <w:bCs/>
                <w:color w:val="auto"/>
                <w:sz w:val="24"/>
                <w:szCs w:val="32"/>
                <w:highlight w:val="none"/>
              </w:rPr>
            </w:pPr>
            <w:r>
              <w:rPr>
                <w:rFonts w:hint="eastAsia" w:ascii="宋体" w:hAnsi="宋体" w:eastAsia="宋体" w:cs="宋体"/>
                <w:color w:val="auto"/>
                <w:sz w:val="18"/>
                <w:szCs w:val="18"/>
                <w:highlight w:val="none"/>
              </w:rPr>
              <w:t>因配合不力或处置不当造成影响的，视情况扣1-5分。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Merge w:val="continue"/>
            <w:noWrap w:val="0"/>
            <w:vAlign w:val="top"/>
          </w:tcPr>
          <w:p>
            <w:pPr>
              <w:spacing w:line="240" w:lineRule="exact"/>
              <w:jc w:val="center"/>
              <w:rPr>
                <w:rFonts w:hint="eastAsia" w:ascii="宋体" w:hAnsi="宋体" w:eastAsia="宋体" w:cs="宋体"/>
                <w:b/>
                <w:bCs/>
                <w:color w:val="auto"/>
                <w:sz w:val="24"/>
                <w:szCs w:val="32"/>
                <w:highlight w:val="none"/>
              </w:rPr>
            </w:pPr>
          </w:p>
        </w:tc>
        <w:tc>
          <w:tcPr>
            <w:tcW w:w="1373" w:type="dxa"/>
            <w:vMerge w:val="continue"/>
            <w:noWrap w:val="0"/>
            <w:vAlign w:val="top"/>
          </w:tcPr>
          <w:p>
            <w:pPr>
              <w:spacing w:line="240" w:lineRule="exact"/>
              <w:jc w:val="center"/>
              <w:rPr>
                <w:rFonts w:hint="eastAsia" w:ascii="宋体" w:hAnsi="宋体" w:eastAsia="宋体" w:cs="宋体"/>
                <w:b/>
                <w:bCs/>
                <w:color w:val="auto"/>
                <w:sz w:val="24"/>
                <w:szCs w:val="32"/>
                <w:highlight w:val="none"/>
              </w:rPr>
            </w:pPr>
          </w:p>
        </w:tc>
        <w:tc>
          <w:tcPr>
            <w:tcW w:w="2813" w:type="dxa"/>
            <w:noWrap w:val="0"/>
            <w:vAlign w:val="center"/>
          </w:tcPr>
          <w:p>
            <w:pPr>
              <w:spacing w:line="240" w:lineRule="exact"/>
              <w:rPr>
                <w:rFonts w:hint="eastAsia" w:ascii="宋体" w:hAnsi="宋体" w:eastAsia="宋体" w:cs="宋体"/>
                <w:b/>
                <w:bCs/>
                <w:color w:val="auto"/>
                <w:sz w:val="24"/>
                <w:szCs w:val="32"/>
                <w:highlight w:val="none"/>
              </w:rPr>
            </w:pPr>
            <w:r>
              <w:rPr>
                <w:rFonts w:hint="eastAsia" w:ascii="宋体" w:hAnsi="宋体" w:eastAsia="宋体" w:cs="宋体"/>
                <w:color w:val="auto"/>
                <w:sz w:val="18"/>
                <w:szCs w:val="18"/>
                <w:highlight w:val="none"/>
              </w:rPr>
              <w:t>2、遇台风、暴雨、防汛等灾害性天气及时应急，处置得当。</w:t>
            </w:r>
          </w:p>
        </w:tc>
        <w:tc>
          <w:tcPr>
            <w:tcW w:w="4774" w:type="dxa"/>
            <w:vMerge w:val="continue"/>
            <w:noWrap w:val="0"/>
            <w:vAlign w:val="center"/>
          </w:tcPr>
          <w:p>
            <w:pPr>
              <w:spacing w:line="240" w:lineRule="exact"/>
              <w:jc w:val="left"/>
              <w:rPr>
                <w:rFonts w:hint="eastAsia" w:ascii="宋体" w:hAnsi="宋体" w:eastAsia="宋体" w:cs="宋体"/>
                <w:b/>
                <w:bCs/>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noWrap w:val="0"/>
            <w:vAlign w:val="top"/>
          </w:tcPr>
          <w:p>
            <w:pPr>
              <w:spacing w:line="240" w:lineRule="exact"/>
              <w:jc w:val="center"/>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5</w:t>
            </w:r>
          </w:p>
        </w:tc>
        <w:tc>
          <w:tcPr>
            <w:tcW w:w="1373" w:type="dxa"/>
            <w:noWrap w:val="0"/>
            <w:vAlign w:val="top"/>
          </w:tcPr>
          <w:p>
            <w:pPr>
              <w:spacing w:line="240" w:lineRule="exact"/>
              <w:jc w:val="center"/>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工资发放</w:t>
            </w:r>
          </w:p>
        </w:tc>
        <w:tc>
          <w:tcPr>
            <w:tcW w:w="2813" w:type="dxa"/>
            <w:noWrap w:val="0"/>
            <w:vAlign w:val="center"/>
          </w:tcPr>
          <w:p>
            <w:pPr>
              <w:spacing w:line="240" w:lineRule="exact"/>
              <w:jc w:val="center"/>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未按月足额发放人员工资</w:t>
            </w:r>
          </w:p>
        </w:tc>
        <w:tc>
          <w:tcPr>
            <w:tcW w:w="4774" w:type="dxa"/>
            <w:noWrap w:val="0"/>
            <w:vAlign w:val="center"/>
          </w:tcPr>
          <w:p>
            <w:pPr>
              <w:spacing w:line="240" w:lineRule="exact"/>
              <w:jc w:val="center"/>
              <w:rPr>
                <w:rFonts w:hint="default"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发现1人/次扣1分，扣完为止。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noWrap w:val="0"/>
            <w:vAlign w:val="center"/>
          </w:tcPr>
          <w:p>
            <w:pPr>
              <w:spacing w:line="240" w:lineRule="exact"/>
              <w:jc w:val="center"/>
              <w:rPr>
                <w:rFonts w:hint="default"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6</w:t>
            </w:r>
          </w:p>
        </w:tc>
        <w:tc>
          <w:tcPr>
            <w:tcW w:w="1373" w:type="dxa"/>
            <w:noWrap w:val="0"/>
            <w:vAlign w:val="center"/>
          </w:tcPr>
          <w:p>
            <w:pPr>
              <w:spacing w:line="240" w:lineRule="exact"/>
              <w:jc w:val="center"/>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上级部门考核</w:t>
            </w:r>
          </w:p>
        </w:tc>
        <w:tc>
          <w:tcPr>
            <w:tcW w:w="2813" w:type="dxa"/>
            <w:noWrap w:val="0"/>
            <w:vAlign w:val="center"/>
          </w:tcPr>
          <w:p>
            <w:pPr>
              <w:spacing w:line="240" w:lineRule="exact"/>
              <w:jc w:val="center"/>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市、区级部门考核</w:t>
            </w:r>
          </w:p>
        </w:tc>
        <w:tc>
          <w:tcPr>
            <w:tcW w:w="4774" w:type="dxa"/>
            <w:noWrap w:val="0"/>
            <w:vAlign w:val="center"/>
          </w:tcPr>
          <w:p>
            <w:pPr>
              <w:spacing w:line="240" w:lineRule="exact"/>
              <w:jc w:val="center"/>
              <w:rPr>
                <w:rFonts w:hint="default"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市、区级部门对街道辖区范围内巡查、考核发现存在任何相关问题对街道进行处罚、扣分的，再由街道根据1:3比例进行扣分（街道扣1分，养护单位扣3分）；若发生批评、通报批评的则由街道一次性扣20分，并处相应罚款，街道有权解除养护合同。</w:t>
            </w:r>
          </w:p>
        </w:tc>
      </w:tr>
    </w:tbl>
    <w:p>
      <w:pPr>
        <w:spacing w:line="260" w:lineRule="exact"/>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考核要求：</w:t>
      </w:r>
    </w:p>
    <w:p>
      <w:pPr>
        <w:spacing w:line="260" w:lineRule="exact"/>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1、季度考核结果汇总：每季度</w:t>
      </w:r>
      <w:r>
        <w:rPr>
          <w:rFonts w:hint="eastAsia" w:ascii="宋体" w:hAnsi="宋体" w:eastAsia="宋体" w:cs="宋体"/>
          <w:color w:val="auto"/>
          <w:sz w:val="18"/>
          <w:szCs w:val="18"/>
          <w:highlight w:val="none"/>
          <w:lang w:eastAsia="zh-CN"/>
        </w:rPr>
        <w:t>嘉兴市秀洲区人民政府新城街道办事处</w:t>
      </w:r>
      <w:r>
        <w:rPr>
          <w:rFonts w:hint="eastAsia" w:ascii="宋体" w:hAnsi="宋体" w:eastAsia="宋体" w:cs="宋体"/>
          <w:color w:val="auto"/>
          <w:sz w:val="18"/>
          <w:szCs w:val="18"/>
          <w:highlight w:val="none"/>
        </w:rPr>
        <w:t>根据当季暗查、明查情况进行汇总打分，得出该标段的当季度考核分，考核分与季度养护费挂钩。考核实行百分制。考核分值及评分标准详见</w:t>
      </w:r>
      <w:r>
        <w:rPr>
          <w:rFonts w:hint="eastAsia" w:ascii="宋体" w:hAnsi="宋体" w:eastAsia="宋体" w:cs="宋体"/>
          <w:color w:val="auto"/>
          <w:sz w:val="18"/>
          <w:szCs w:val="18"/>
          <w:highlight w:val="none"/>
          <w:lang w:eastAsia="zh-CN"/>
        </w:rPr>
        <w:t>上表</w:t>
      </w:r>
      <w:r>
        <w:rPr>
          <w:rFonts w:hint="eastAsia" w:ascii="宋体" w:hAnsi="宋体" w:eastAsia="宋体" w:cs="宋体"/>
          <w:color w:val="auto"/>
          <w:sz w:val="18"/>
          <w:szCs w:val="18"/>
          <w:highlight w:val="none"/>
        </w:rPr>
        <w:t>。</w:t>
      </w:r>
    </w:p>
    <w:p>
      <w:pPr>
        <w:spacing w:line="260" w:lineRule="exact"/>
        <w:ind w:firstLine="360" w:firstLineChars="200"/>
        <w:rPr>
          <w:rFonts w:hint="default" w:ascii="宋体" w:hAnsi="宋体" w:eastAsia="宋体" w:cs="宋体"/>
          <w:color w:val="auto"/>
          <w:sz w:val="21"/>
          <w:szCs w:val="21"/>
          <w:highlight w:val="none"/>
          <w:lang w:val="en-US" w:eastAsia="zh-CN"/>
        </w:rPr>
        <w:sectPr>
          <w:headerReference r:id="rId5" w:type="default"/>
          <w:footerReference r:id="rId6" w:type="default"/>
          <w:pgSz w:w="11910" w:h="16840"/>
          <w:pgMar w:top="980" w:right="1200" w:bottom="800" w:left="1080" w:header="857" w:footer="1004" w:gutter="0"/>
          <w:pgBorders>
            <w:top w:val="none" w:sz="0" w:space="0"/>
            <w:left w:val="none" w:sz="0" w:space="0"/>
            <w:bottom w:val="none" w:sz="0" w:space="0"/>
            <w:right w:val="none" w:sz="0" w:space="0"/>
          </w:pgBorders>
          <w:cols w:space="720" w:num="1"/>
        </w:sectPr>
      </w:pPr>
      <w:r>
        <w:rPr>
          <w:rFonts w:hint="eastAsia" w:ascii="宋体" w:hAnsi="宋体" w:eastAsia="宋体" w:cs="宋体"/>
          <w:color w:val="auto"/>
          <w:sz w:val="18"/>
          <w:szCs w:val="18"/>
          <w:highlight w:val="none"/>
        </w:rPr>
        <w:t>2、考核结果汇总及运用：根据考核结果，季度考核分得分90分（含）以上为优秀，按实全额核拨养护费；90分以下为不合格，每降低0.1分，当季养护费扣1000元。</w:t>
      </w:r>
    </w:p>
    <w:p>
      <w:pPr>
        <w:snapToGrid w:val="0"/>
        <w:spacing w:beforeLines="50" w:afterLines="50" w:line="360" w:lineRule="auto"/>
        <w:ind w:left="238"/>
        <w:jc w:val="center"/>
        <w:outlineLvl w:val="1"/>
        <w:rPr>
          <w:rFonts w:asciiTheme="minorEastAsia" w:hAnsiTheme="minorEastAsia" w:eastAsiaTheme="minorEastAsia"/>
          <w:b/>
          <w:color w:val="auto"/>
          <w:sz w:val="30"/>
          <w:szCs w:val="30"/>
          <w:highlight w:val="none"/>
        </w:rPr>
      </w:pPr>
      <w:r>
        <w:rPr>
          <w:rFonts w:hint="eastAsia" w:asciiTheme="minorEastAsia" w:hAnsiTheme="minorEastAsia" w:eastAsiaTheme="minorEastAsia"/>
          <w:b/>
          <w:color w:val="auto"/>
          <w:sz w:val="30"/>
          <w:szCs w:val="30"/>
          <w:highlight w:val="none"/>
        </w:rPr>
        <w:t>第三章 供应商须知</w:t>
      </w:r>
    </w:p>
    <w:p>
      <w:pPr>
        <w:snapToGrid w:val="0"/>
        <w:spacing w:beforeLines="50" w:afterLines="50" w:line="360" w:lineRule="auto"/>
        <w:ind w:left="238"/>
        <w:jc w:val="center"/>
        <w:outlineLvl w:val="1"/>
        <w:rPr>
          <w:rFonts w:asciiTheme="minorEastAsia" w:hAnsiTheme="minorEastAsia" w:eastAsiaTheme="minorEastAsia"/>
          <w:b/>
          <w:color w:val="auto"/>
          <w:sz w:val="30"/>
          <w:szCs w:val="30"/>
          <w:highlight w:val="none"/>
        </w:rPr>
      </w:pPr>
      <w:r>
        <w:rPr>
          <w:rFonts w:hint="eastAsia" w:asciiTheme="minorEastAsia" w:hAnsiTheme="minorEastAsia" w:eastAsiaTheme="minorEastAsia"/>
          <w:b/>
          <w:color w:val="auto"/>
          <w:sz w:val="30"/>
          <w:szCs w:val="30"/>
          <w:highlight w:val="none"/>
        </w:rPr>
        <w:t>电子交易注意事项</w:t>
      </w:r>
    </w:p>
    <w:p>
      <w:pPr>
        <w:spacing w:line="360" w:lineRule="auto"/>
        <w:ind w:firstLine="210" w:firstLineChars="100"/>
        <w:jc w:val="left"/>
        <w:rPr>
          <w:rFonts w:cs="宋体" w:asciiTheme="minorEastAsia" w:hAnsiTheme="minorEastAsia" w:eastAsiaTheme="minorEastAsia"/>
          <w:color w:val="auto"/>
          <w:szCs w:val="21"/>
          <w:highlight w:val="none"/>
          <w:shd w:val="clear" w:color="auto" w:fill="FFFFFF"/>
        </w:rPr>
      </w:pPr>
      <w:r>
        <w:rPr>
          <w:rFonts w:hint="eastAsia" w:cs="宋体" w:asciiTheme="minorEastAsia" w:hAnsiTheme="minorEastAsia" w:eastAsiaTheme="minorEastAsia"/>
          <w:color w:val="auto"/>
          <w:szCs w:val="21"/>
          <w:highlight w:val="none"/>
          <w:shd w:val="clear" w:color="auto" w:fill="FFFFFF"/>
        </w:rPr>
        <w:t>　政府采购项目电子交易活动适用《浙江省政府采购项目电子交易管理暂行办法》，现将相关注意事项告知如下：</w:t>
      </w:r>
    </w:p>
    <w:p>
      <w:pPr>
        <w:spacing w:line="360" w:lineRule="auto"/>
        <w:ind w:firstLine="210" w:firstLineChars="100"/>
        <w:jc w:val="lef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　1.代理机构按照招标文件规定的时间通过电子交易平台组织开标、开启投标文件，所有供应商均应当准时在线参加，直至评审结束。</w:t>
      </w:r>
    </w:p>
    <w:p>
      <w:pPr>
        <w:pStyle w:val="44"/>
        <w:spacing w:beforeAutospacing="0" w:afterAutospacing="0" w:line="360" w:lineRule="auto"/>
        <w:ind w:firstLine="210" w:firstLineChars="100"/>
        <w:rPr>
          <w:rFonts w:asciiTheme="minorEastAsia" w:hAnsiTheme="minorEastAsia" w:eastAsiaTheme="minorEastAsia"/>
          <w:color w:val="auto"/>
          <w:kern w:val="2"/>
          <w:sz w:val="21"/>
          <w:szCs w:val="21"/>
          <w:highlight w:val="none"/>
        </w:rPr>
      </w:pPr>
      <w:r>
        <w:rPr>
          <w:rFonts w:hint="eastAsia" w:asciiTheme="minorEastAsia" w:hAnsiTheme="minorEastAsia" w:eastAsiaTheme="minorEastAsia"/>
          <w:color w:val="auto"/>
          <w:kern w:val="2"/>
          <w:sz w:val="21"/>
          <w:szCs w:val="21"/>
          <w:highlight w:val="none"/>
        </w:rPr>
        <w:t>　2.投标文件未按时解密，供应商如提供备份投标文件的，以符合要求的备份投标文件作为依据，否则视为投标文件撤回。投标文件已按时解密的，备份投标文件自动失效。</w:t>
      </w:r>
    </w:p>
    <w:p>
      <w:pPr>
        <w:pStyle w:val="44"/>
        <w:spacing w:beforeAutospacing="0" w:afterAutospacing="0" w:line="360" w:lineRule="auto"/>
        <w:ind w:firstLine="210" w:firstLineChars="100"/>
        <w:rPr>
          <w:rFonts w:asciiTheme="minorEastAsia" w:hAnsiTheme="minorEastAsia" w:eastAsiaTheme="minorEastAsia"/>
          <w:color w:val="auto"/>
          <w:kern w:val="2"/>
          <w:sz w:val="21"/>
          <w:szCs w:val="21"/>
          <w:highlight w:val="none"/>
        </w:rPr>
      </w:pPr>
      <w:r>
        <w:rPr>
          <w:rFonts w:hint="eastAsia" w:asciiTheme="minorEastAsia" w:hAnsiTheme="minorEastAsia" w:eastAsiaTheme="minorEastAsia"/>
          <w:color w:val="auto"/>
          <w:kern w:val="2"/>
          <w:sz w:val="21"/>
          <w:szCs w:val="21"/>
          <w:highlight w:val="none"/>
        </w:rPr>
        <w:t>　3.采购过程中出现以下情形，导致电子交易平台无法正常运行，或者无法保证电子交易的公平、公正和安全时，代理机构可中止电子交易活动：</w:t>
      </w:r>
    </w:p>
    <w:p>
      <w:pPr>
        <w:pStyle w:val="44"/>
        <w:spacing w:beforeAutospacing="0" w:afterAutospacing="0" w:line="360" w:lineRule="auto"/>
        <w:ind w:firstLine="645"/>
        <w:rPr>
          <w:rFonts w:asciiTheme="minorEastAsia" w:hAnsiTheme="minorEastAsia" w:eastAsiaTheme="minorEastAsia"/>
          <w:color w:val="auto"/>
          <w:kern w:val="2"/>
          <w:sz w:val="21"/>
          <w:szCs w:val="21"/>
          <w:highlight w:val="none"/>
        </w:rPr>
      </w:pPr>
      <w:r>
        <w:rPr>
          <w:rFonts w:hint="eastAsia" w:asciiTheme="minorEastAsia" w:hAnsiTheme="minorEastAsia" w:eastAsiaTheme="minorEastAsia"/>
          <w:color w:val="auto"/>
          <w:kern w:val="2"/>
          <w:sz w:val="21"/>
          <w:szCs w:val="21"/>
          <w:highlight w:val="none"/>
        </w:rPr>
        <w:t>（一）电子交易平台发生故障而无法登录访问的； </w:t>
      </w:r>
    </w:p>
    <w:p>
      <w:pPr>
        <w:pStyle w:val="44"/>
        <w:spacing w:beforeAutospacing="0" w:afterAutospacing="0" w:line="360" w:lineRule="auto"/>
        <w:ind w:firstLine="645"/>
        <w:rPr>
          <w:rFonts w:asciiTheme="minorEastAsia" w:hAnsiTheme="minorEastAsia" w:eastAsiaTheme="minorEastAsia"/>
          <w:color w:val="auto"/>
          <w:kern w:val="2"/>
          <w:sz w:val="21"/>
          <w:szCs w:val="21"/>
          <w:highlight w:val="none"/>
        </w:rPr>
      </w:pPr>
      <w:r>
        <w:rPr>
          <w:rFonts w:hint="eastAsia" w:asciiTheme="minorEastAsia" w:hAnsiTheme="minorEastAsia" w:eastAsiaTheme="minorEastAsia"/>
          <w:color w:val="auto"/>
          <w:kern w:val="2"/>
          <w:sz w:val="21"/>
          <w:szCs w:val="21"/>
          <w:highlight w:val="none"/>
        </w:rPr>
        <w:t>（二）电子交易平台应用或数据库出现错误，不能进行正常操作的；</w:t>
      </w:r>
    </w:p>
    <w:p>
      <w:pPr>
        <w:pStyle w:val="44"/>
        <w:spacing w:beforeAutospacing="0" w:afterAutospacing="0" w:line="360" w:lineRule="auto"/>
        <w:ind w:firstLine="645"/>
        <w:rPr>
          <w:rFonts w:asciiTheme="minorEastAsia" w:hAnsiTheme="minorEastAsia" w:eastAsiaTheme="minorEastAsia"/>
          <w:color w:val="auto"/>
          <w:kern w:val="2"/>
          <w:sz w:val="21"/>
          <w:szCs w:val="21"/>
          <w:highlight w:val="none"/>
        </w:rPr>
      </w:pPr>
      <w:r>
        <w:rPr>
          <w:rFonts w:hint="eastAsia" w:asciiTheme="minorEastAsia" w:hAnsiTheme="minorEastAsia" w:eastAsiaTheme="minorEastAsia"/>
          <w:color w:val="auto"/>
          <w:kern w:val="2"/>
          <w:sz w:val="21"/>
          <w:szCs w:val="21"/>
          <w:highlight w:val="none"/>
        </w:rPr>
        <w:t>（三）电子交易平台发现严重安全漏洞，有潜在泄密危险的；</w:t>
      </w:r>
    </w:p>
    <w:p>
      <w:pPr>
        <w:pStyle w:val="44"/>
        <w:spacing w:beforeAutospacing="0" w:afterAutospacing="0" w:line="360" w:lineRule="auto"/>
        <w:ind w:firstLine="645"/>
        <w:rPr>
          <w:rFonts w:asciiTheme="minorEastAsia" w:hAnsiTheme="minorEastAsia" w:eastAsiaTheme="minorEastAsia"/>
          <w:color w:val="auto"/>
          <w:kern w:val="2"/>
          <w:sz w:val="21"/>
          <w:szCs w:val="21"/>
          <w:highlight w:val="none"/>
        </w:rPr>
      </w:pPr>
      <w:r>
        <w:rPr>
          <w:rFonts w:hint="eastAsia" w:asciiTheme="minorEastAsia" w:hAnsiTheme="minorEastAsia" w:eastAsiaTheme="minorEastAsia"/>
          <w:color w:val="auto"/>
          <w:kern w:val="2"/>
          <w:sz w:val="21"/>
          <w:szCs w:val="21"/>
          <w:highlight w:val="none"/>
        </w:rPr>
        <w:t>（四）病毒发作导致不能进行正常操作的； </w:t>
      </w:r>
    </w:p>
    <w:p>
      <w:pPr>
        <w:pStyle w:val="44"/>
        <w:spacing w:beforeAutospacing="0" w:afterAutospacing="0" w:line="360" w:lineRule="auto"/>
        <w:ind w:firstLine="645"/>
        <w:rPr>
          <w:rFonts w:asciiTheme="minorEastAsia" w:hAnsiTheme="minorEastAsia" w:eastAsiaTheme="minorEastAsia"/>
          <w:color w:val="auto"/>
          <w:kern w:val="2"/>
          <w:sz w:val="21"/>
          <w:szCs w:val="21"/>
          <w:highlight w:val="none"/>
        </w:rPr>
      </w:pPr>
      <w:r>
        <w:rPr>
          <w:rFonts w:hint="eastAsia" w:asciiTheme="minorEastAsia" w:hAnsiTheme="minorEastAsia" w:eastAsiaTheme="minorEastAsia"/>
          <w:color w:val="auto"/>
          <w:kern w:val="2"/>
          <w:sz w:val="21"/>
          <w:szCs w:val="21"/>
          <w:highlight w:val="none"/>
        </w:rPr>
        <w:t>（五）其他无法保证电子交易的公平、公正和安全的情况。</w:t>
      </w:r>
    </w:p>
    <w:p>
      <w:pPr>
        <w:pStyle w:val="44"/>
        <w:spacing w:beforeAutospacing="0" w:afterAutospacing="0" w:line="360" w:lineRule="auto"/>
        <w:ind w:firstLine="480"/>
        <w:rPr>
          <w:rFonts w:asciiTheme="minorEastAsia" w:hAnsiTheme="minorEastAsia" w:eastAsiaTheme="minorEastAsia"/>
          <w:color w:val="auto"/>
          <w:kern w:val="2"/>
          <w:sz w:val="21"/>
          <w:szCs w:val="21"/>
          <w:highlight w:val="none"/>
        </w:rPr>
      </w:pPr>
      <w:r>
        <w:rPr>
          <w:rFonts w:hint="eastAsia" w:asciiTheme="minorEastAsia" w:hAnsiTheme="minorEastAsia" w:eastAsiaTheme="minorEastAsia"/>
          <w:color w:val="auto"/>
          <w:kern w:val="2"/>
          <w:sz w:val="21"/>
          <w:szCs w:val="21"/>
          <w:highlight w:val="none"/>
        </w:rPr>
        <w:t>出现前款规定情形，不影响采购公平、公正性的，代理机构可以待上述情形消除后继续组织电子交易活动，也可以决定某些环节以纸质形式进行；影响或可能影响采购公平、公正性的，应当重新采购。</w:t>
      </w:r>
    </w:p>
    <w:p>
      <w:pPr>
        <w:pStyle w:val="44"/>
        <w:spacing w:beforeAutospacing="0" w:afterAutospacing="0" w:line="360" w:lineRule="auto"/>
        <w:ind w:firstLine="480"/>
        <w:rPr>
          <w:rFonts w:asciiTheme="minorEastAsia" w:hAnsiTheme="minorEastAsia" w:eastAsiaTheme="minorEastAsia"/>
          <w:color w:val="auto"/>
          <w:sz w:val="21"/>
          <w:szCs w:val="21"/>
          <w:highlight w:val="none"/>
          <w:shd w:val="clear" w:color="auto" w:fill="FFFFFF"/>
        </w:rPr>
      </w:pPr>
      <w:r>
        <w:rPr>
          <w:rFonts w:hint="eastAsia" w:asciiTheme="minorEastAsia" w:hAnsiTheme="minorEastAsia" w:eastAsiaTheme="minorEastAsia"/>
          <w:color w:val="auto"/>
          <w:sz w:val="21"/>
          <w:szCs w:val="21"/>
          <w:highlight w:val="none"/>
          <w:shd w:val="clear" w:color="auto" w:fill="FFFFFF"/>
        </w:rPr>
        <w:t>4.评审中需要供应商对投标文件作出澄清、说明或者补正的，评审小组和供应商应当通过电子交易平台交换数据电文。供应商需在半小时内提交澄清说明或补正，供应商已经明确表示澄清说明或补正完毕的除外。</w:t>
      </w:r>
    </w:p>
    <w:p>
      <w:pPr>
        <w:pStyle w:val="28"/>
        <w:snapToGrid w:val="0"/>
        <w:spacing w:before="120" w:after="120" w:line="360" w:lineRule="auto"/>
        <w:ind w:firstLine="422" w:firstLineChars="200"/>
        <w:rPr>
          <w:rFonts w:cs="宋体" w:asciiTheme="minorEastAsia" w:hAnsiTheme="minorEastAsia" w:eastAsiaTheme="minorEastAsia"/>
          <w:b/>
          <w:color w:val="auto"/>
          <w:kern w:val="0"/>
          <w:sz w:val="21"/>
          <w:szCs w:val="21"/>
          <w:highlight w:val="none"/>
          <w:shd w:val="clear" w:color="auto" w:fill="FFFFFF"/>
        </w:rPr>
      </w:pPr>
      <w:r>
        <w:rPr>
          <w:rFonts w:hint="eastAsia" w:cs="宋体" w:asciiTheme="minorEastAsia" w:hAnsiTheme="minorEastAsia" w:eastAsiaTheme="minorEastAsia"/>
          <w:b/>
          <w:color w:val="auto"/>
          <w:kern w:val="0"/>
          <w:sz w:val="21"/>
          <w:szCs w:val="21"/>
          <w:highlight w:val="none"/>
          <w:shd w:val="clear" w:color="auto" w:fill="FFFFFF"/>
        </w:rPr>
        <w:t>5.代理机构工作人员通过政采云通知供应商按电子交易项目要求接受询标、宣布开标报价、综合得分、签发中标通知书等事宜</w:t>
      </w:r>
      <w:r>
        <w:rPr>
          <w:rFonts w:hint="eastAsia" w:cs="宋体" w:asciiTheme="minorEastAsia" w:hAnsiTheme="minorEastAsia" w:eastAsiaTheme="minorEastAsia"/>
          <w:color w:val="auto"/>
          <w:kern w:val="0"/>
          <w:sz w:val="21"/>
          <w:szCs w:val="21"/>
          <w:highlight w:val="none"/>
          <w:shd w:val="clear" w:color="auto" w:fill="FFFFFF"/>
        </w:rPr>
        <w:t>。　　　　　</w:t>
      </w:r>
    </w:p>
    <w:p>
      <w:pPr>
        <w:pStyle w:val="48"/>
        <w:ind w:left="0" w:leftChars="0" w:firstLine="0" w:firstLineChars="0"/>
        <w:rPr>
          <w:rFonts w:hint="eastAsia"/>
          <w:color w:val="auto"/>
          <w:highlight w:val="none"/>
        </w:rPr>
        <w:sectPr>
          <w:pgSz w:w="11906" w:h="16838"/>
          <w:pgMar w:top="1440" w:right="1289" w:bottom="1440" w:left="1797" w:header="851" w:footer="851" w:gutter="0"/>
          <w:pgBorders>
            <w:top w:val="none" w:sz="0" w:space="0"/>
            <w:left w:val="none" w:sz="0" w:space="0"/>
            <w:bottom w:val="none" w:sz="0" w:space="0"/>
            <w:right w:val="none" w:sz="0" w:space="0"/>
          </w:pgBorders>
          <w:cols w:space="720" w:num="1"/>
          <w:docGrid w:linePitch="312" w:charSpace="0"/>
        </w:sectPr>
      </w:pPr>
      <w:r>
        <w:rPr>
          <w:rFonts w:hint="eastAsia" w:cs="宋体" w:asciiTheme="minorEastAsia" w:hAnsiTheme="minorEastAsia" w:eastAsiaTheme="minorEastAsia"/>
          <w:b/>
          <w:color w:val="auto"/>
          <w:kern w:val="0"/>
          <w:sz w:val="21"/>
          <w:szCs w:val="21"/>
          <w:highlight w:val="none"/>
          <w:shd w:val="clear" w:color="auto" w:fill="FFFFFF"/>
        </w:rPr>
        <w:t>6.供应商须在代理机构宣布评审结束、产生中标候选人期间时刻关注政采云，配合专家组工作，如有询标（澄清、质疑），在30分钟内（具体时间以询标函上规定的时间为准备）通过ＣＡ进行回复。过期不按要求回复，视为默认原投标文件内容。</w:t>
      </w:r>
    </w:p>
    <w:p>
      <w:pPr>
        <w:snapToGrid w:val="0"/>
        <w:spacing w:beforeLines="50" w:afterLines="50" w:line="360" w:lineRule="auto"/>
        <w:outlineLvl w:val="1"/>
        <w:rPr>
          <w:rFonts w:asciiTheme="minorEastAsia" w:hAnsiTheme="minorEastAsia" w:eastAsiaTheme="minorEastAsia"/>
          <w:b/>
          <w:color w:val="auto"/>
          <w:sz w:val="30"/>
          <w:szCs w:val="30"/>
          <w:highlight w:val="none"/>
        </w:rPr>
      </w:pPr>
    </w:p>
    <w:bookmarkEnd w:id="0"/>
    <w:p>
      <w:pPr>
        <w:snapToGrid w:val="0"/>
        <w:spacing w:beforeLines="50" w:afterLines="50" w:line="360" w:lineRule="auto"/>
        <w:ind w:left="238"/>
        <w:jc w:val="center"/>
        <w:outlineLvl w:val="1"/>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前附表</w:t>
      </w:r>
    </w:p>
    <w:tbl>
      <w:tblPr>
        <w:tblStyle w:val="49"/>
        <w:tblW w:w="92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序号</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1</w:t>
            </w:r>
          </w:p>
        </w:tc>
        <w:tc>
          <w:tcPr>
            <w:tcW w:w="8371" w:type="dxa"/>
            <w:tcBorders>
              <w:top w:val="single" w:color="auto" w:sz="4" w:space="0"/>
              <w:left w:val="single" w:color="auto" w:sz="4" w:space="0"/>
              <w:bottom w:val="single" w:color="auto" w:sz="4" w:space="0"/>
              <w:right w:val="single" w:color="auto" w:sz="4" w:space="0"/>
            </w:tcBorders>
            <w:vAlign w:val="center"/>
          </w:tcPr>
          <w:p>
            <w:pPr>
              <w:spacing w:beforeLines="50" w:line="360" w:lineRule="auto"/>
              <w:rPr>
                <w:rFonts w:hint="eastAsia" w:asciiTheme="minorEastAsia" w:hAnsiTheme="minorEastAsia" w:eastAsiaTheme="minorEastAsia"/>
                <w:b/>
                <w:color w:val="auto"/>
                <w:szCs w:val="21"/>
                <w:highlight w:val="none"/>
                <w:lang w:eastAsia="zh-CN"/>
              </w:rPr>
            </w:pPr>
            <w:r>
              <w:rPr>
                <w:rFonts w:hint="eastAsia" w:asciiTheme="minorEastAsia" w:hAnsiTheme="minorEastAsia" w:eastAsiaTheme="minorEastAsia"/>
                <w:color w:val="auto"/>
                <w:szCs w:val="21"/>
                <w:highlight w:val="none"/>
              </w:rPr>
              <w:t>项目名称：</w:t>
            </w:r>
            <w:r>
              <w:rPr>
                <w:rFonts w:hint="eastAsia" w:asciiTheme="minorEastAsia" w:hAnsiTheme="minorEastAsia" w:eastAsiaTheme="minorEastAsia"/>
                <w:bCs/>
                <w:color w:val="auto"/>
                <w:szCs w:val="21"/>
                <w:highlight w:val="none"/>
                <w:lang w:eastAsia="zh-CN"/>
              </w:rPr>
              <w:t>新城街道市政设施养护项目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2</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采购内容：</w:t>
            </w:r>
            <w:r>
              <w:rPr>
                <w:rFonts w:asciiTheme="minorEastAsia" w:hAnsiTheme="minorEastAsia" w:eastAsiaTheme="minorEastAsia"/>
                <w:bCs/>
                <w:color w:val="auto"/>
                <w:szCs w:val="21"/>
                <w:highlight w:val="none"/>
              </w:rPr>
              <w:t>详见第一章公开招标公告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3</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投标报价及费用：</w:t>
            </w:r>
          </w:p>
          <w:p>
            <w:pPr>
              <w:snapToGrid w:val="0"/>
              <w:spacing w:line="360" w:lineRule="auto"/>
              <w:ind w:firstLine="420" w:firstLineChars="200"/>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rPr>
              <w:t>、本项目投标应以人民币报价；</w:t>
            </w:r>
          </w:p>
          <w:p>
            <w:pPr>
              <w:snapToGrid w:val="0"/>
              <w:spacing w:line="360" w:lineRule="auto"/>
              <w:ind w:firstLine="420" w:firstLineChars="200"/>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2</w:t>
            </w:r>
            <w:r>
              <w:rPr>
                <w:rFonts w:hint="eastAsia" w:asciiTheme="minorEastAsia" w:hAnsiTheme="minorEastAsia" w:eastAsiaTheme="minorEastAsia"/>
                <w:color w:val="auto"/>
                <w:szCs w:val="21"/>
                <w:highlight w:val="none"/>
              </w:rPr>
              <w:t>、不论投标结果如何，供应商均应自行承担所有与投标有关的全部费用。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4</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投标保证金：无。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5</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cs="Arial"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现场踏勘：无</w:t>
            </w:r>
            <w:r>
              <w:rPr>
                <w:rFonts w:asciiTheme="minorEastAsia" w:hAnsiTheme="minorEastAsia" w:eastAsiaTheme="minor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6</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开标时间及地点：</w:t>
            </w:r>
            <w:r>
              <w:rPr>
                <w:rFonts w:hint="eastAsia" w:cs="Arial" w:asciiTheme="minorEastAsia" w:hAnsiTheme="minorEastAsia" w:eastAsiaTheme="minorEastAsia"/>
                <w:b/>
                <w:color w:val="auto"/>
                <w:szCs w:val="21"/>
                <w:highlight w:val="none"/>
                <w:lang w:eastAsia="zh-CN"/>
              </w:rPr>
              <w:t>2022年</w:t>
            </w:r>
            <w:r>
              <w:rPr>
                <w:rFonts w:hint="eastAsia" w:asciiTheme="minorEastAsia" w:hAnsiTheme="minorEastAsia" w:eastAsiaTheme="minorEastAsia"/>
                <w:b/>
                <w:color w:val="auto"/>
                <w:szCs w:val="21"/>
                <w:highlight w:val="none"/>
                <w:shd w:val="clear" w:color="auto" w:fill="FFFFFF"/>
                <w:lang w:val="en-US" w:eastAsia="zh-CN"/>
              </w:rPr>
              <w:t>5</w:t>
            </w:r>
            <w:r>
              <w:rPr>
                <w:rFonts w:hint="eastAsia" w:asciiTheme="minorEastAsia" w:hAnsiTheme="minorEastAsia" w:eastAsiaTheme="minorEastAsia"/>
                <w:b/>
                <w:color w:val="auto"/>
                <w:szCs w:val="21"/>
                <w:highlight w:val="none"/>
                <w:shd w:val="clear" w:color="auto" w:fill="FFFFFF"/>
                <w:lang w:eastAsia="zh-CN"/>
              </w:rPr>
              <w:t>月</w:t>
            </w:r>
            <w:r>
              <w:rPr>
                <w:rFonts w:hint="eastAsia" w:asciiTheme="minorEastAsia" w:hAnsiTheme="minorEastAsia" w:eastAsiaTheme="minorEastAsia"/>
                <w:b/>
                <w:color w:val="auto"/>
                <w:szCs w:val="21"/>
                <w:highlight w:val="none"/>
                <w:shd w:val="clear" w:color="auto" w:fill="FFFFFF"/>
                <w:lang w:val="en-US" w:eastAsia="zh-CN"/>
              </w:rPr>
              <w:t>9</w:t>
            </w:r>
            <w:r>
              <w:rPr>
                <w:rFonts w:hint="eastAsia" w:asciiTheme="minorEastAsia" w:hAnsiTheme="minorEastAsia" w:eastAsiaTheme="minorEastAsia"/>
                <w:b/>
                <w:color w:val="auto"/>
                <w:szCs w:val="21"/>
                <w:highlight w:val="none"/>
                <w:shd w:val="clear" w:color="auto" w:fill="FFFFFF"/>
                <w:lang w:eastAsia="zh-CN"/>
              </w:rPr>
              <w:t>日</w:t>
            </w:r>
            <w:r>
              <w:rPr>
                <w:rFonts w:hint="eastAsia" w:cs="Arial" w:asciiTheme="minorEastAsia" w:hAnsiTheme="minorEastAsia" w:eastAsiaTheme="minorEastAsia"/>
                <w:b/>
                <w:color w:val="auto"/>
                <w:szCs w:val="21"/>
                <w:highlight w:val="none"/>
              </w:rPr>
              <w:t>14</w:t>
            </w:r>
            <w:r>
              <w:rPr>
                <w:rFonts w:cs="Arial" w:asciiTheme="minorEastAsia" w:hAnsiTheme="minorEastAsia" w:eastAsiaTheme="minorEastAsia"/>
                <w:b/>
                <w:color w:val="auto"/>
                <w:szCs w:val="21"/>
                <w:highlight w:val="none"/>
              </w:rPr>
              <w:t>时</w:t>
            </w:r>
            <w:r>
              <w:rPr>
                <w:rFonts w:hint="eastAsia" w:cs="Arial" w:asciiTheme="minorEastAsia" w:hAnsiTheme="minorEastAsia" w:eastAsiaTheme="minorEastAsia"/>
                <w:b/>
                <w:color w:val="auto"/>
                <w:szCs w:val="21"/>
                <w:highlight w:val="none"/>
              </w:rPr>
              <w:t>00</w:t>
            </w:r>
            <w:r>
              <w:rPr>
                <w:rFonts w:cs="Arial" w:asciiTheme="minorEastAsia" w:hAnsiTheme="minorEastAsia" w:eastAsiaTheme="minorEastAsia"/>
                <w:b/>
                <w:color w:val="auto"/>
                <w:szCs w:val="21"/>
                <w:highlight w:val="none"/>
              </w:rPr>
              <w:t>分</w:t>
            </w:r>
            <w:r>
              <w:rPr>
                <w:rFonts w:hint="eastAsia" w:ascii="宋体" w:hAnsi="宋体" w:cs="Arial" w:eastAsiaTheme="minorEastAsia"/>
                <w:color w:val="auto"/>
                <w:szCs w:val="21"/>
                <w:highlight w:val="none"/>
              </w:rPr>
              <w:t>嘉兴市银建工程咨询评估有限公司</w:t>
            </w:r>
            <w:r>
              <w:rPr>
                <w:rFonts w:hint="eastAsia" w:ascii="宋体" w:hAnsi="宋体" w:cs="Arial"/>
                <w:color w:val="auto"/>
                <w:szCs w:val="21"/>
                <w:highlight w:val="none"/>
              </w:rPr>
              <w:t>（嘉兴市洪兴路2399号宝地大厦1506室）</w:t>
            </w:r>
            <w:r>
              <w:rPr>
                <w:rFonts w:hint="eastAsia" w:cs="Arial" w:asciiTheme="minorEastAsia" w:hAnsiTheme="minorEastAsia" w:eastAsiaTheme="minorEastAsia"/>
                <w:color w:val="auto"/>
                <w:szCs w:val="21"/>
                <w:highlight w:val="none"/>
              </w:rPr>
              <w:t>。</w:t>
            </w:r>
            <w:r>
              <w:rPr>
                <w:rFonts w:hint="eastAsia" w:cs="Arial" w:asciiTheme="minorEastAsia" w:hAnsiTheme="minorEastAsia" w:eastAsiaTheme="minorEastAsia"/>
                <w:b/>
                <w:color w:val="auto"/>
                <w:szCs w:val="21"/>
                <w:highlight w:val="none"/>
                <w:u w:val="single"/>
              </w:rPr>
              <w:t>供应商无需到开标现场，但须准时在线参加，直至评审结束。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7</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演示：无。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8</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评标办法及评分标准：详见第四章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9</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评标结果公告：评标结束后2个工作日内，评标结果公告于浙江政府采购网(http://www.zjzfcg.gov.cn/new/)。本项目公告期限为1个工作日，各参加政府采购活动的供应商认为该中标结果和采购过程等使自己的权益受到损害的，可以自本公告期限届满之日（本公告发布之日后第2个工作日）起7个工作日内，以书面形式向采购人或受其委托的代理机构提出质疑。质疑供应商对采购人、代理机构的答复不满意或者采购人、代理机构未在规定的时间内作出答复的，可以再答复期满后十五个工作日内向同级政府采购监督管理部门投诉。质疑函范本、投诉书范本请到浙江政府采购网下载专区下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10</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中标公告及中标通知书：中标公告发布于上述媒体，</w:t>
            </w:r>
            <w:r>
              <w:rPr>
                <w:rFonts w:hint="eastAsia" w:cs="宋体" w:asciiTheme="minorEastAsia" w:hAnsiTheme="minorEastAsia" w:eastAsiaTheme="minorEastAsia"/>
                <w:color w:val="auto"/>
                <w:kern w:val="0"/>
                <w:szCs w:val="21"/>
                <w:highlight w:val="none"/>
              </w:rPr>
              <w:t>中标公告期限为1个工作日。在公告中标结果的同时，代理机构向中标人发出中标通知书。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2"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11</w:t>
            </w:r>
          </w:p>
        </w:tc>
        <w:tc>
          <w:tcPr>
            <w:tcW w:w="83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履约保证金:</w:t>
            </w:r>
            <w:r>
              <w:rPr>
                <w:rFonts w:hint="eastAsia" w:cs="宋体" w:asciiTheme="minorEastAsia" w:hAnsiTheme="minorEastAsia" w:eastAsiaTheme="minorEastAsia"/>
                <w:color w:val="auto"/>
                <w:szCs w:val="21"/>
                <w:highlight w:val="none"/>
              </w:rPr>
              <w:t xml:space="preserve"> </w:t>
            </w:r>
            <w:r>
              <w:rPr>
                <w:rFonts w:hint="eastAsia" w:cs="宋体" w:asciiTheme="minorEastAsia" w:hAnsiTheme="minorEastAsia" w:eastAsiaTheme="minorEastAsia"/>
                <w:color w:val="auto"/>
                <w:szCs w:val="21"/>
                <w:highlight w:val="none"/>
                <w:lang w:eastAsia="zh-CN"/>
              </w:rPr>
              <w:t>签订合同价的</w:t>
            </w:r>
            <w:r>
              <w:rPr>
                <w:rFonts w:hint="eastAsia" w:cs="宋体" w:asciiTheme="minorEastAsia" w:hAnsiTheme="minorEastAsia" w:eastAsiaTheme="minorEastAsia"/>
                <w:color w:val="auto"/>
                <w:szCs w:val="21"/>
                <w:highlight w:val="none"/>
                <w:lang w:val="en-US" w:eastAsia="zh-CN"/>
              </w:rPr>
              <w:t>2%</w:t>
            </w:r>
            <w:r>
              <w:rPr>
                <w:rFonts w:hint="eastAsia" w:cs="宋体" w:asciiTheme="minorEastAsia" w:hAnsiTheme="minorEastAsia" w:eastAsiaTheme="minor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rPr>
              <w:t>2</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签订合同时间：中标通知书发出后10日内。</w:t>
            </w:r>
            <w:r>
              <w:rPr>
                <w:rFonts w:hint="eastAsia" w:cs="宋体" w:asciiTheme="minorEastAsia" w:hAnsiTheme="minorEastAsia" w:eastAsiaTheme="minorEastAsia"/>
                <w:color w:val="auto"/>
                <w:kern w:val="0"/>
                <w:szCs w:val="21"/>
                <w:highlight w:val="none"/>
              </w:rPr>
              <w:t>建议采购人在对采购结果质疑期（自采购结果公告之日起七个工作日）后与中标人签订政府采购合同。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13</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合同公告：本项目政府采购合同将于签订之日起2个工作日内发布于上述媒体，但政府采购合同中涉及国家秘密、商业秘密的内容除外。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4"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rPr>
              <w:t>4</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最高限价：</w:t>
            </w:r>
            <w:r>
              <w:rPr>
                <w:rFonts w:hint="eastAsia" w:asciiTheme="minorEastAsia" w:hAnsiTheme="minorEastAsia" w:eastAsiaTheme="minorEastAsia"/>
                <w:b/>
                <w:color w:val="auto"/>
                <w:szCs w:val="21"/>
                <w:highlight w:val="none"/>
                <w:lang w:val="en-US" w:eastAsia="zh-CN"/>
              </w:rPr>
              <w:t>1396.8680</w:t>
            </w:r>
            <w:r>
              <w:rPr>
                <w:rFonts w:hint="eastAsia" w:asciiTheme="minorEastAsia" w:hAnsiTheme="minorEastAsia" w:eastAsiaTheme="minorEastAsia"/>
                <w:b/>
                <w:color w:val="auto"/>
                <w:szCs w:val="21"/>
                <w:highlight w:val="none"/>
              </w:rPr>
              <w:t>万元， 高于最高限价作废标处理。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rPr>
              <w:t>5</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投标文件有效期：</w:t>
            </w:r>
            <w:r>
              <w:rPr>
                <w:rFonts w:hint="eastAsia" w:cs="Arial" w:asciiTheme="minorEastAsia" w:hAnsiTheme="minorEastAsia" w:eastAsiaTheme="minorEastAsia"/>
                <w:color w:val="auto"/>
                <w:szCs w:val="21"/>
                <w:highlight w:val="none"/>
                <w:u w:val="single"/>
              </w:rPr>
              <w:t>90</w:t>
            </w:r>
            <w:r>
              <w:rPr>
                <w:rFonts w:hint="eastAsia" w:cs="Arial" w:asciiTheme="minorEastAsia" w:hAnsiTheme="minorEastAsia" w:eastAsiaTheme="minorEastAsia"/>
                <w:color w:val="auto"/>
                <w:szCs w:val="21"/>
                <w:highlight w:val="none"/>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16</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信用记录：</w:t>
            </w:r>
            <w:r>
              <w:rPr>
                <w:rFonts w:hint="eastAsia" w:cs="Arial" w:asciiTheme="minorEastAsia" w:hAnsiTheme="minorEastAsia" w:eastAsiaTheme="minorEastAsia"/>
                <w:color w:val="auto"/>
                <w:szCs w:val="21"/>
                <w:highlight w:val="none"/>
              </w:rPr>
              <w:t>符合浙财采监【2013】24号《关于规范政府采购供应商资格设定及资格审查的通知》规定,且未被“信用中国”（www.creditchina.gov.cn）和中国政府采购网（www.ccgp.gov.cn）列入失信被执行人、重大税收违法案件当事人名单、政府采购严重违法失信行为记录名单。投标时同时提供自招标公告发布之日起至投标截止日内任意时间的“信用中国”网站（www.creditchina.gov.cn）和中国政府采购网（www.ccgp.gov.cn）供应商信用查询网页截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17</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政府采购节能环保产品：无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lang w:val="en-US" w:eastAsia="zh-CN"/>
              </w:rPr>
              <w:t>8</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解释：本招标文件的解释权属于采购单位。</w:t>
            </w:r>
          </w:p>
        </w:tc>
      </w:tr>
    </w:tbl>
    <w:p>
      <w:pPr>
        <w:snapToGrid w:val="0"/>
        <w:spacing w:beforeLines="50" w:afterLines="50" w:line="360" w:lineRule="auto"/>
        <w:ind w:left="238"/>
        <w:jc w:val="center"/>
        <w:outlineLvl w:val="1"/>
        <w:rPr>
          <w:rFonts w:asciiTheme="minorEastAsia" w:hAnsiTheme="minorEastAsia" w:eastAsiaTheme="minorEastAsia"/>
          <w:b/>
          <w:color w:val="auto"/>
          <w:szCs w:val="21"/>
          <w:highlight w:val="none"/>
        </w:rPr>
      </w:pPr>
    </w:p>
    <w:p>
      <w:pPr>
        <w:snapToGrid w:val="0"/>
        <w:spacing w:beforeLines="50" w:afterLines="50" w:line="360" w:lineRule="auto"/>
        <w:ind w:left="238"/>
        <w:jc w:val="center"/>
        <w:outlineLvl w:val="1"/>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一、总  则</w:t>
      </w:r>
    </w:p>
    <w:p>
      <w:pPr>
        <w:snapToGrid w:val="0"/>
        <w:spacing w:line="360" w:lineRule="auto"/>
        <w:ind w:firstLine="413" w:firstLineChars="196"/>
        <w:jc w:val="left"/>
        <w:outlineLvl w:val="1"/>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（一）</w:t>
      </w:r>
      <w:r>
        <w:rPr>
          <w:rFonts w:asciiTheme="minorEastAsia" w:hAnsiTheme="minorEastAsia" w:eastAsiaTheme="minorEastAsia"/>
          <w:b/>
          <w:color w:val="auto"/>
          <w:szCs w:val="21"/>
          <w:highlight w:val="none"/>
        </w:rPr>
        <w:t xml:space="preserve"> 适用范围</w:t>
      </w:r>
    </w:p>
    <w:p>
      <w:pPr>
        <w:snapToGrid w:val="0"/>
        <w:spacing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本招标文件适用于该项目的招标、投标、评标、定标、验收、合同履约、付款等行为（法律、法规另有规定的，从其规定）。</w:t>
      </w:r>
    </w:p>
    <w:p>
      <w:pPr>
        <w:snapToGrid w:val="0"/>
        <w:spacing w:beforeLines="50" w:line="360" w:lineRule="auto"/>
        <w:ind w:firstLine="310" w:firstLineChars="147"/>
        <w:jc w:val="left"/>
        <w:outlineLvl w:val="1"/>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（二）定义</w:t>
      </w:r>
    </w:p>
    <w:p>
      <w:pPr>
        <w:snapToGrid w:val="0"/>
        <w:spacing w:line="360" w:lineRule="auto"/>
        <w:ind w:firstLine="420" w:firstLineChars="200"/>
        <w:jc w:val="left"/>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招标采购人系指组织本次招标的</w:t>
      </w:r>
      <w:r>
        <w:rPr>
          <w:rFonts w:hint="eastAsia" w:asciiTheme="minorEastAsia" w:hAnsiTheme="minorEastAsia" w:eastAsiaTheme="minorEastAsia"/>
          <w:color w:val="auto"/>
          <w:szCs w:val="21"/>
          <w:highlight w:val="none"/>
        </w:rPr>
        <w:t>嘉兴市银建工程咨询评估有限公司（“招标人”）</w:t>
      </w:r>
      <w:r>
        <w:rPr>
          <w:rFonts w:asciiTheme="minorEastAsia" w:hAnsiTheme="minorEastAsia" w:eastAsiaTheme="minorEastAsia"/>
          <w:color w:val="auto"/>
          <w:szCs w:val="21"/>
          <w:highlight w:val="none"/>
        </w:rPr>
        <w:t>和采购</w:t>
      </w:r>
      <w:r>
        <w:rPr>
          <w:rFonts w:hint="eastAsia" w:asciiTheme="minorEastAsia" w:hAnsiTheme="minorEastAsia" w:eastAsiaTheme="minorEastAsia"/>
          <w:color w:val="auto"/>
          <w:szCs w:val="21"/>
          <w:highlight w:val="none"/>
        </w:rPr>
        <w:t>人</w:t>
      </w:r>
      <w:r>
        <w:rPr>
          <w:rFonts w:asciiTheme="minorEastAsia" w:hAnsiTheme="minorEastAsia" w:eastAsiaTheme="minorEastAsia"/>
          <w:color w:val="auto"/>
          <w:szCs w:val="21"/>
          <w:highlight w:val="none"/>
        </w:rPr>
        <w:t>。</w:t>
      </w:r>
    </w:p>
    <w:p>
      <w:pPr>
        <w:snapToGrid w:val="0"/>
        <w:spacing w:line="360" w:lineRule="auto"/>
        <w:ind w:firstLine="420" w:firstLineChars="200"/>
        <w:jc w:val="left"/>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2</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供应商”系指向采购人提交投标文件的单位或个人。</w:t>
      </w:r>
    </w:p>
    <w:p>
      <w:pPr>
        <w:snapToGrid w:val="0"/>
        <w:spacing w:line="360" w:lineRule="auto"/>
        <w:ind w:firstLine="420" w:firstLineChars="200"/>
        <w:jc w:val="left"/>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3</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“产品”系指供方按招标文件规定，须向采购人提供的一切设备、保险、税金、备品备件、工具、手册及其它有关技术资料和材料。</w:t>
      </w:r>
    </w:p>
    <w:p>
      <w:pPr>
        <w:snapToGrid w:val="0"/>
        <w:spacing w:line="360" w:lineRule="auto"/>
        <w:ind w:firstLine="420" w:firstLineChars="200"/>
        <w:jc w:val="left"/>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4</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“服务”系指招标文件规定供应商须承担的安装、调试、技术协助、校准、培训、技术指导以及其他类似的义务。</w:t>
      </w:r>
    </w:p>
    <w:p>
      <w:pPr>
        <w:snapToGrid w:val="0"/>
        <w:spacing w:line="360" w:lineRule="auto"/>
        <w:ind w:firstLine="420" w:firstLineChars="200"/>
        <w:jc w:val="left"/>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5</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“项目”系指供应商按招标文件规定向采购人提供的产品和服务。</w:t>
      </w:r>
    </w:p>
    <w:p>
      <w:pPr>
        <w:snapToGrid w:val="0"/>
        <w:spacing w:line="360" w:lineRule="auto"/>
        <w:ind w:firstLine="420" w:firstLineChars="200"/>
        <w:jc w:val="left"/>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6</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“书面形式”包括信函、传真、电报等。</w:t>
      </w:r>
    </w:p>
    <w:p>
      <w:pPr>
        <w:snapToGrid w:val="0"/>
        <w:spacing w:line="360" w:lineRule="auto"/>
        <w:ind w:left="630" w:leftChars="250" w:hanging="105" w:hangingChars="50"/>
        <w:jc w:val="left"/>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7</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“▲”系指实质性要求条款</w:t>
      </w:r>
      <w:r>
        <w:rPr>
          <w:rFonts w:hint="eastAsia" w:asciiTheme="minorEastAsia" w:hAnsiTheme="minorEastAsia" w:eastAsiaTheme="minorEastAsia"/>
          <w:color w:val="auto"/>
          <w:szCs w:val="21"/>
          <w:highlight w:val="none"/>
        </w:rPr>
        <w:t>，不满足实行性要求条款的投标文件无效。</w:t>
      </w:r>
    </w:p>
    <w:p>
      <w:pPr>
        <w:snapToGrid w:val="0"/>
        <w:spacing w:beforeLines="50" w:line="360" w:lineRule="auto"/>
        <w:ind w:firstLine="413" w:firstLineChars="196"/>
        <w:jc w:val="left"/>
        <w:outlineLvl w:val="1"/>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（三）采购方式</w:t>
      </w:r>
    </w:p>
    <w:p>
      <w:pPr>
        <w:snapToGrid w:val="0"/>
        <w:spacing w:line="360" w:lineRule="auto"/>
        <w:ind w:firstLine="420" w:firstLineChars="200"/>
        <w:jc w:val="left"/>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本次招标采用</w:t>
      </w:r>
      <w:r>
        <w:rPr>
          <w:rFonts w:asciiTheme="minorEastAsia" w:hAnsiTheme="minorEastAsia" w:eastAsiaTheme="minorEastAsia"/>
          <w:b/>
          <w:color w:val="auto"/>
          <w:szCs w:val="21"/>
          <w:highlight w:val="none"/>
          <w:u w:val="single"/>
        </w:rPr>
        <w:t>公开</w:t>
      </w:r>
      <w:r>
        <w:rPr>
          <w:rFonts w:hint="eastAsia" w:asciiTheme="minorEastAsia" w:hAnsiTheme="minorEastAsia" w:eastAsiaTheme="minorEastAsia"/>
          <w:b/>
          <w:color w:val="auto"/>
          <w:szCs w:val="21"/>
          <w:highlight w:val="none"/>
          <w:u w:val="single"/>
        </w:rPr>
        <w:t>招标</w:t>
      </w:r>
      <w:r>
        <w:rPr>
          <w:rFonts w:hint="eastAsia" w:asciiTheme="minorEastAsia" w:hAnsiTheme="minorEastAsia" w:eastAsiaTheme="minorEastAsia"/>
          <w:color w:val="auto"/>
          <w:szCs w:val="21"/>
          <w:highlight w:val="none"/>
        </w:rPr>
        <w:t>采购方式</w:t>
      </w:r>
      <w:r>
        <w:rPr>
          <w:rFonts w:asciiTheme="minorEastAsia" w:hAnsiTheme="minorEastAsia" w:eastAsiaTheme="minorEastAsia"/>
          <w:color w:val="auto"/>
          <w:szCs w:val="21"/>
          <w:highlight w:val="none"/>
        </w:rPr>
        <w:t>进行。</w:t>
      </w:r>
    </w:p>
    <w:p>
      <w:pPr>
        <w:snapToGrid w:val="0"/>
        <w:spacing w:beforeLines="50" w:line="360" w:lineRule="auto"/>
        <w:ind w:firstLine="413" w:firstLineChars="196"/>
        <w:jc w:val="left"/>
        <w:outlineLvl w:val="1"/>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（四）投标委托</w:t>
      </w:r>
    </w:p>
    <w:p>
      <w:pPr>
        <w:pStyle w:val="22"/>
        <w:snapToGrid w:val="0"/>
        <w:spacing w:line="360" w:lineRule="auto"/>
        <w:ind w:firstLine="420" w:firstLineChars="200"/>
        <w:jc w:val="left"/>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如供应商代表不是法定代表人，须有法定代表人出具的授权委托书（格式</w:t>
      </w:r>
      <w:r>
        <w:rPr>
          <w:rFonts w:hint="eastAsia" w:asciiTheme="minorEastAsia" w:hAnsiTheme="minorEastAsia" w:eastAsiaTheme="minorEastAsia"/>
          <w:color w:val="auto"/>
          <w:szCs w:val="21"/>
          <w:highlight w:val="none"/>
        </w:rPr>
        <w:t>详</w:t>
      </w:r>
      <w:r>
        <w:rPr>
          <w:rFonts w:asciiTheme="minorEastAsia" w:hAnsiTheme="minorEastAsia" w:eastAsiaTheme="minorEastAsia"/>
          <w:color w:val="auto"/>
          <w:szCs w:val="21"/>
          <w:highlight w:val="none"/>
        </w:rPr>
        <w:t>见第</w:t>
      </w:r>
      <w:r>
        <w:rPr>
          <w:rFonts w:hint="eastAsia" w:asciiTheme="minorEastAsia" w:hAnsiTheme="minorEastAsia" w:eastAsiaTheme="minorEastAsia"/>
          <w:color w:val="auto"/>
          <w:szCs w:val="21"/>
          <w:highlight w:val="none"/>
        </w:rPr>
        <w:t>六章</w:t>
      </w:r>
      <w:r>
        <w:rPr>
          <w:rFonts w:asciiTheme="minorEastAsia" w:hAnsiTheme="minorEastAsia" w:eastAsiaTheme="minorEastAsia"/>
          <w:color w:val="auto"/>
          <w:szCs w:val="21"/>
          <w:highlight w:val="none"/>
        </w:rPr>
        <w:t>）。</w:t>
      </w:r>
    </w:p>
    <w:p>
      <w:pPr>
        <w:snapToGrid w:val="0"/>
        <w:spacing w:beforeLines="50" w:line="360" w:lineRule="auto"/>
        <w:ind w:firstLine="413" w:firstLineChars="196"/>
        <w:jc w:val="left"/>
        <w:outlineLvl w:val="1"/>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（五）投标费用</w:t>
      </w:r>
    </w:p>
    <w:p>
      <w:pPr>
        <w:snapToGrid w:val="0"/>
        <w:spacing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不论投标结果如何，供应商均应自行承担所有与投标有关的全部费用（招标文件有相反规定除外）。</w:t>
      </w:r>
    </w:p>
    <w:p>
      <w:pPr>
        <w:snapToGrid w:val="0"/>
        <w:spacing w:beforeLines="50" w:line="360" w:lineRule="auto"/>
        <w:ind w:firstLine="413" w:firstLineChars="196"/>
        <w:jc w:val="left"/>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（六）联合体投标</w:t>
      </w:r>
    </w:p>
    <w:p>
      <w:pPr>
        <w:snapToGrid w:val="0"/>
        <w:spacing w:line="360" w:lineRule="auto"/>
        <w:ind w:firstLine="632" w:firstLineChars="300"/>
        <w:jc w:val="left"/>
        <w:rPr>
          <w:rFonts w:cs="Arial" w:asciiTheme="minorEastAsia" w:hAnsiTheme="minorEastAsia" w:eastAsiaTheme="minorEastAsia"/>
          <w:b/>
          <w:color w:val="auto"/>
          <w:szCs w:val="21"/>
          <w:highlight w:val="none"/>
          <w:u w:val="single"/>
        </w:rPr>
      </w:pPr>
      <w:r>
        <w:rPr>
          <w:rFonts w:hint="eastAsia" w:cs="Arial" w:asciiTheme="minorEastAsia" w:hAnsiTheme="minorEastAsia" w:eastAsiaTheme="minorEastAsia"/>
          <w:b/>
          <w:color w:val="auto"/>
          <w:szCs w:val="21"/>
          <w:highlight w:val="none"/>
          <w:u w:val="single"/>
        </w:rPr>
        <w:t>本项目不接受联合体投标。</w:t>
      </w:r>
    </w:p>
    <w:p>
      <w:pPr>
        <w:snapToGrid w:val="0"/>
        <w:spacing w:beforeLines="50" w:line="360" w:lineRule="auto"/>
        <w:ind w:firstLine="413" w:firstLineChars="196"/>
        <w:rPr>
          <w:rFonts w:cs="宋体" w:asciiTheme="minorEastAsia" w:hAnsiTheme="minorEastAsia" w:eastAsiaTheme="minorEastAsia"/>
          <w:b/>
          <w:color w:val="auto"/>
          <w:kern w:val="0"/>
          <w:szCs w:val="21"/>
          <w:highlight w:val="none"/>
        </w:rPr>
      </w:pPr>
      <w:r>
        <w:rPr>
          <w:rFonts w:hint="eastAsia" w:asciiTheme="minorEastAsia" w:hAnsiTheme="minorEastAsia" w:eastAsiaTheme="minorEastAsia"/>
          <w:b/>
          <w:color w:val="auto"/>
          <w:szCs w:val="21"/>
          <w:highlight w:val="none"/>
        </w:rPr>
        <w:t>（七）</w:t>
      </w:r>
      <w:r>
        <w:rPr>
          <w:rFonts w:hint="eastAsia" w:cs="宋体" w:asciiTheme="minorEastAsia" w:hAnsiTheme="minorEastAsia" w:eastAsiaTheme="minorEastAsia"/>
          <w:b/>
          <w:color w:val="auto"/>
          <w:kern w:val="0"/>
          <w:szCs w:val="21"/>
          <w:highlight w:val="none"/>
        </w:rPr>
        <w:t>转包与分包</w:t>
      </w:r>
    </w:p>
    <w:p>
      <w:pPr>
        <w:snapToGrid w:val="0"/>
        <w:spacing w:line="360" w:lineRule="auto"/>
        <w:ind w:firstLine="420" w:firstLineChars="200"/>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1</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 xml:space="preserve"> 本项目不允许转包。</w:t>
      </w:r>
    </w:p>
    <w:p>
      <w:pPr>
        <w:snapToGrid w:val="0"/>
        <w:spacing w:line="360" w:lineRule="auto"/>
        <w:ind w:firstLine="420" w:firstLineChars="200"/>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2</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 xml:space="preserve"> 本项目不可以分包</w:t>
      </w:r>
      <w:r>
        <w:rPr>
          <w:rFonts w:hint="eastAsia" w:cs="宋体" w:asciiTheme="minorEastAsia" w:hAnsiTheme="minorEastAsia" w:eastAsiaTheme="minorEastAsia"/>
          <w:color w:val="auto"/>
          <w:kern w:val="0"/>
          <w:szCs w:val="21"/>
          <w:highlight w:val="none"/>
        </w:rPr>
        <w:t>。</w:t>
      </w:r>
    </w:p>
    <w:p>
      <w:pPr>
        <w:snapToGrid w:val="0"/>
        <w:spacing w:beforeLines="50" w:line="360" w:lineRule="auto"/>
        <w:ind w:firstLine="413" w:firstLineChars="196"/>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（八）是否允许采购进口产品</w:t>
      </w:r>
    </w:p>
    <w:p>
      <w:pPr>
        <w:snapToGrid w:val="0"/>
        <w:spacing w:beforeLines="50" w:line="360" w:lineRule="auto"/>
        <w:ind w:firstLine="411" w:firstLineChars="196"/>
        <w:jc w:val="left"/>
        <w:outlineLvl w:val="1"/>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不</w:t>
      </w:r>
      <w:r>
        <w:rPr>
          <w:rFonts w:cs="宋体" w:asciiTheme="minorEastAsia" w:hAnsiTheme="minorEastAsia" w:eastAsiaTheme="minorEastAsia"/>
          <w:color w:val="auto"/>
          <w:kern w:val="0"/>
          <w:szCs w:val="21"/>
          <w:highlight w:val="none"/>
        </w:rPr>
        <w:t>允许</w:t>
      </w:r>
      <w:r>
        <w:rPr>
          <w:rFonts w:hint="eastAsia" w:cs="宋体" w:asciiTheme="minorEastAsia" w:hAnsiTheme="minorEastAsia" w:eastAsiaTheme="minorEastAsia"/>
          <w:color w:val="auto"/>
          <w:kern w:val="0"/>
          <w:szCs w:val="21"/>
          <w:highlight w:val="none"/>
        </w:rPr>
        <w:t>采购进口产品。</w:t>
      </w:r>
    </w:p>
    <w:p>
      <w:pPr>
        <w:snapToGrid w:val="0"/>
        <w:spacing w:beforeLines="50" w:line="360" w:lineRule="auto"/>
        <w:ind w:firstLine="411" w:firstLineChars="196"/>
        <w:jc w:val="left"/>
        <w:outlineLvl w:val="1"/>
        <w:rPr>
          <w:rFonts w:asciiTheme="minorEastAsia" w:hAnsiTheme="minorEastAsia" w:eastAsiaTheme="minorEastAsia"/>
          <w:b/>
          <w:color w:val="auto"/>
          <w:szCs w:val="21"/>
          <w:highlight w:val="none"/>
        </w:rPr>
      </w:pPr>
      <w:r>
        <w:rPr>
          <w:rFonts w:asciiTheme="minorEastAsia" w:hAnsiTheme="minorEastAsia" w:eastAsiaTheme="minorEastAsia"/>
          <w:color w:val="auto"/>
          <w:szCs w:val="21"/>
          <w:highlight w:val="none"/>
        </w:rPr>
        <w:t>▲</w:t>
      </w:r>
      <w:r>
        <w:rPr>
          <w:rFonts w:hint="eastAsia" w:asciiTheme="minorEastAsia" w:hAnsiTheme="minorEastAsia" w:eastAsiaTheme="minorEastAsia"/>
          <w:b/>
          <w:color w:val="auto"/>
          <w:szCs w:val="21"/>
          <w:highlight w:val="none"/>
        </w:rPr>
        <w:t>（九）特别说明：</w:t>
      </w:r>
    </w:p>
    <w:p>
      <w:pPr>
        <w:pStyle w:val="28"/>
        <w:snapToGrid w:val="0"/>
        <w:spacing w:beforeLines="0" w:afterLines="0" w:line="360" w:lineRule="auto"/>
        <w:ind w:left="2" w:leftChars="1" w:firstLine="420" w:firstLineChars="20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供应商投标所使用的资格、信誉、荣誉、业绩与企业认证必须为本法人所拥有。供应商投标所使用的采购项目实施人员必须为本法人员工（或必须为本法人或控股公司正式员工）。</w:t>
      </w:r>
    </w:p>
    <w:p>
      <w:pPr>
        <w:pStyle w:val="28"/>
        <w:snapToGrid w:val="0"/>
        <w:spacing w:beforeLines="0" w:afterLines="0" w:line="360" w:lineRule="auto"/>
        <w:ind w:left="2" w:leftChars="1" w:firstLine="420" w:firstLineChars="20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供应商应仔细阅读招标文件的所有内容，按照招标文件的要求提交投标文件，并对所提供的全部资料的真实性承担法律责任。</w:t>
      </w:r>
    </w:p>
    <w:p>
      <w:pPr>
        <w:pStyle w:val="28"/>
        <w:snapToGrid w:val="0"/>
        <w:spacing w:beforeLines="0" w:afterLines="0" w:line="360" w:lineRule="auto"/>
        <w:ind w:left="2" w:leftChars="1" w:firstLine="420" w:firstLineChars="20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3</w:t>
      </w: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供应商在投标活动中提供任何虚假材料,其投标无效，并报监管部门查处；中标后发现的,中标人须依照《中华人民共和国消费者权益保护法》第49条之规定双倍赔偿采购人</w:t>
      </w: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且民事赔偿并不免除违法供应商的行政与刑事责任。</w:t>
      </w:r>
    </w:p>
    <w:p>
      <w:pPr>
        <w:pStyle w:val="28"/>
        <w:snapToGrid w:val="0"/>
        <w:spacing w:beforeLines="0" w:afterLines="0" w:line="360" w:lineRule="auto"/>
        <w:ind w:firstLine="413" w:firstLineChars="196"/>
        <w:outlineLvl w:val="1"/>
        <w:rPr>
          <w:rFonts w:asciiTheme="minorEastAsia" w:hAnsiTheme="minorEastAsia" w:eastAsiaTheme="minorEastAsia"/>
          <w:b/>
          <w:bCs/>
          <w:color w:val="auto"/>
          <w:sz w:val="21"/>
          <w:szCs w:val="21"/>
          <w:highlight w:val="none"/>
        </w:rPr>
      </w:pPr>
      <w:r>
        <w:rPr>
          <w:rFonts w:asciiTheme="minorEastAsia" w:hAnsiTheme="minorEastAsia" w:eastAsiaTheme="minorEastAsia"/>
          <w:b/>
          <w:bCs/>
          <w:color w:val="auto"/>
          <w:sz w:val="21"/>
          <w:szCs w:val="21"/>
          <w:highlight w:val="none"/>
        </w:rPr>
        <w:t>（</w:t>
      </w:r>
      <w:r>
        <w:rPr>
          <w:rFonts w:hint="eastAsia" w:asciiTheme="minorEastAsia" w:hAnsiTheme="minorEastAsia" w:eastAsiaTheme="minorEastAsia"/>
          <w:b/>
          <w:bCs/>
          <w:color w:val="auto"/>
          <w:sz w:val="21"/>
          <w:szCs w:val="21"/>
          <w:highlight w:val="none"/>
        </w:rPr>
        <w:t>十</w:t>
      </w:r>
      <w:r>
        <w:rPr>
          <w:rFonts w:asciiTheme="minorEastAsia" w:hAnsiTheme="minorEastAsia" w:eastAsiaTheme="minorEastAsia"/>
          <w:b/>
          <w:bCs/>
          <w:color w:val="auto"/>
          <w:sz w:val="21"/>
          <w:szCs w:val="21"/>
          <w:highlight w:val="none"/>
        </w:rPr>
        <w:t>）质疑和投诉</w:t>
      </w:r>
    </w:p>
    <w:p>
      <w:pPr>
        <w:pStyle w:val="28"/>
        <w:snapToGrid w:val="0"/>
        <w:spacing w:before="120" w:after="120" w:line="360" w:lineRule="auto"/>
        <w:ind w:firstLine="420" w:firstLineChars="200"/>
        <w:rPr>
          <w:rFonts w:asciiTheme="minorEastAsia" w:hAnsiTheme="minorEastAsia" w:eastAsiaTheme="minorEastAsia"/>
          <w:bCs/>
          <w:color w:val="auto"/>
          <w:sz w:val="21"/>
          <w:szCs w:val="21"/>
          <w:highlight w:val="none"/>
        </w:rPr>
      </w:pPr>
      <w:r>
        <w:rPr>
          <w:rFonts w:hint="eastAsia" w:asciiTheme="minorEastAsia" w:hAnsiTheme="minorEastAsia" w:eastAsiaTheme="minorEastAsia"/>
          <w:bCs/>
          <w:color w:val="auto"/>
          <w:sz w:val="21"/>
          <w:szCs w:val="21"/>
          <w:highlight w:val="none"/>
        </w:rPr>
        <w:t>1.供应商认为招标文件、采购过程、中标或者成交结果使自己的权益受到损害的，可以在知道或者应知其权益受到损害之日起7个工作日内，以书面形式一次性向采购人、代理机构提出针对同一采购程序环节的质疑。质疑供应商对采购人、代理机构的答复不满意，或者采购人、代理机构未在规定时间内作出答复的，可以在答复期满后15个工作日内向规定的财政部门提起投诉。</w:t>
      </w:r>
    </w:p>
    <w:p>
      <w:pPr>
        <w:pStyle w:val="28"/>
        <w:snapToGrid w:val="0"/>
        <w:spacing w:before="120" w:after="120" w:line="360" w:lineRule="auto"/>
        <w:ind w:firstLine="420" w:firstLineChars="200"/>
        <w:rPr>
          <w:rFonts w:asciiTheme="minorEastAsia" w:hAnsiTheme="minorEastAsia" w:eastAsiaTheme="minorEastAsia"/>
          <w:bCs/>
          <w:color w:val="auto"/>
          <w:sz w:val="21"/>
          <w:szCs w:val="21"/>
          <w:highlight w:val="none"/>
        </w:rPr>
      </w:pPr>
      <w:r>
        <w:rPr>
          <w:rFonts w:hint="eastAsia" w:asciiTheme="minorEastAsia" w:hAnsiTheme="minorEastAsia" w:eastAsiaTheme="minorEastAsia"/>
          <w:bCs/>
          <w:color w:val="auto"/>
          <w:sz w:val="21"/>
          <w:szCs w:val="21"/>
          <w:highlight w:val="none"/>
        </w:rPr>
        <w:t>2. 供应商须在法定质疑期内一次性提出针对同一采购程序环节的质疑.</w:t>
      </w:r>
    </w:p>
    <w:p>
      <w:pPr>
        <w:pStyle w:val="28"/>
        <w:snapToGrid w:val="0"/>
        <w:spacing w:before="120" w:after="120" w:line="360" w:lineRule="auto"/>
        <w:ind w:firstLine="420" w:firstLineChars="200"/>
        <w:rPr>
          <w:rFonts w:asciiTheme="minorEastAsia" w:hAnsiTheme="minorEastAsia" w:eastAsiaTheme="minorEastAsia"/>
          <w:bCs/>
          <w:color w:val="auto"/>
          <w:sz w:val="21"/>
          <w:szCs w:val="21"/>
          <w:highlight w:val="none"/>
        </w:rPr>
      </w:pPr>
      <w:r>
        <w:rPr>
          <w:rFonts w:asciiTheme="minorEastAsia" w:hAnsiTheme="minorEastAsia" w:eastAsiaTheme="minorEastAsia"/>
          <w:bCs/>
          <w:color w:val="auto"/>
          <w:sz w:val="21"/>
          <w:szCs w:val="21"/>
          <w:highlight w:val="none"/>
        </w:rPr>
        <w:t>3.</w:t>
      </w:r>
      <w:r>
        <w:rPr>
          <w:rFonts w:hint="eastAsia" w:asciiTheme="minorEastAsia" w:hAnsiTheme="minorEastAsia" w:eastAsiaTheme="minorEastAsia"/>
          <w:bCs/>
          <w:color w:val="auto"/>
          <w:sz w:val="21"/>
          <w:szCs w:val="21"/>
          <w:highlight w:val="none"/>
        </w:rPr>
        <w:t xml:space="preserve"> 供应商认为代理机构在质疑答复程序中启用的调查和复评等程序，在该程序操作过程未明显违反法律禁止性规定时，不得提出疑义。</w:t>
      </w:r>
    </w:p>
    <w:p>
      <w:pPr>
        <w:pStyle w:val="28"/>
        <w:snapToGrid w:val="0"/>
        <w:spacing w:beforeLines="0" w:afterLines="0" w:line="360" w:lineRule="auto"/>
        <w:ind w:firstLine="420" w:firstLineChars="200"/>
        <w:rPr>
          <w:rFonts w:asciiTheme="minorEastAsia" w:hAnsiTheme="minorEastAsia" w:eastAsiaTheme="minorEastAsia"/>
          <w:bCs/>
          <w:color w:val="auto"/>
          <w:sz w:val="21"/>
          <w:szCs w:val="21"/>
          <w:highlight w:val="none"/>
        </w:rPr>
      </w:pPr>
      <w:r>
        <w:rPr>
          <w:rFonts w:asciiTheme="minorEastAsia" w:hAnsiTheme="minorEastAsia" w:eastAsiaTheme="minorEastAsia"/>
          <w:bCs/>
          <w:color w:val="auto"/>
          <w:sz w:val="21"/>
          <w:szCs w:val="21"/>
          <w:highlight w:val="none"/>
        </w:rPr>
        <w:t>4</w:t>
      </w:r>
      <w:r>
        <w:rPr>
          <w:rFonts w:hint="eastAsia" w:asciiTheme="minorEastAsia" w:hAnsiTheme="minorEastAsia" w:eastAsiaTheme="minorEastAsia"/>
          <w:bCs/>
          <w:color w:val="auto"/>
          <w:sz w:val="21"/>
          <w:szCs w:val="21"/>
          <w:highlight w:val="none"/>
        </w:rPr>
        <w:t>.质疑和投诉应当满足《政府采购质疑和投诉办法》（中华人民共和国财政部令第94号）要求。</w:t>
      </w:r>
    </w:p>
    <w:p>
      <w:pPr>
        <w:pStyle w:val="28"/>
        <w:snapToGrid w:val="0"/>
        <w:spacing w:before="120" w:after="120" w:line="360" w:lineRule="auto"/>
        <w:ind w:firstLine="413" w:firstLineChars="196"/>
        <w:jc w:val="center"/>
        <w:outlineLvl w:val="0"/>
        <w:rPr>
          <w:rFonts w:asciiTheme="minorEastAsia" w:hAnsiTheme="minorEastAsia" w:eastAsiaTheme="minorEastAsia"/>
          <w:b/>
          <w:color w:val="auto"/>
          <w:sz w:val="21"/>
          <w:szCs w:val="21"/>
          <w:highlight w:val="none"/>
        </w:rPr>
      </w:pPr>
      <w:bookmarkStart w:id="24" w:name="_Toc406402987"/>
      <w:bookmarkStart w:id="25" w:name="_Toc406402943"/>
    </w:p>
    <w:p>
      <w:pPr>
        <w:pStyle w:val="28"/>
        <w:snapToGrid w:val="0"/>
        <w:spacing w:before="120" w:after="120" w:line="360" w:lineRule="auto"/>
        <w:ind w:firstLine="413" w:firstLineChars="196"/>
        <w:jc w:val="center"/>
        <w:outlineLvl w:val="0"/>
        <w:rPr>
          <w:rFonts w:asciiTheme="minorEastAsia" w:hAnsiTheme="minorEastAsia" w:eastAsiaTheme="minorEastAsia"/>
          <w:b/>
          <w:color w:val="auto"/>
          <w:sz w:val="21"/>
          <w:szCs w:val="21"/>
          <w:highlight w:val="none"/>
        </w:rPr>
      </w:pPr>
      <w:r>
        <w:rPr>
          <w:rFonts w:asciiTheme="minorEastAsia" w:hAnsiTheme="minorEastAsia" w:eastAsiaTheme="minorEastAsia"/>
          <w:b/>
          <w:color w:val="auto"/>
          <w:sz w:val="21"/>
          <w:szCs w:val="21"/>
          <w:highlight w:val="none"/>
        </w:rPr>
        <w:t>二</w:t>
      </w:r>
      <w:r>
        <w:rPr>
          <w:rFonts w:hint="eastAsia" w:asciiTheme="minorEastAsia" w:hAnsiTheme="minorEastAsia" w:eastAsiaTheme="minorEastAsia"/>
          <w:b/>
          <w:color w:val="auto"/>
          <w:sz w:val="21"/>
          <w:szCs w:val="21"/>
          <w:highlight w:val="none"/>
        </w:rPr>
        <w:t>、</w:t>
      </w:r>
      <w:r>
        <w:rPr>
          <w:rFonts w:asciiTheme="minorEastAsia" w:hAnsiTheme="minorEastAsia" w:eastAsiaTheme="minorEastAsia"/>
          <w:b/>
          <w:color w:val="auto"/>
          <w:sz w:val="21"/>
          <w:szCs w:val="21"/>
          <w:highlight w:val="none"/>
        </w:rPr>
        <w:t>招标文件</w:t>
      </w:r>
      <w:bookmarkEnd w:id="24"/>
      <w:bookmarkEnd w:id="25"/>
    </w:p>
    <w:p>
      <w:pPr>
        <w:snapToGrid w:val="0"/>
        <w:spacing w:line="360" w:lineRule="auto"/>
        <w:ind w:firstLine="413" w:firstLineChars="196"/>
        <w:jc w:val="left"/>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（一）招标文件的构成。本招标文件由以下部份组成：</w:t>
      </w:r>
    </w:p>
    <w:p>
      <w:pPr>
        <w:snapToGrid w:val="0"/>
        <w:spacing w:line="360" w:lineRule="auto"/>
        <w:ind w:firstLine="420" w:firstLineChars="200"/>
        <w:jc w:val="left"/>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招标公告</w:t>
      </w:r>
    </w:p>
    <w:p>
      <w:pPr>
        <w:snapToGrid w:val="0"/>
        <w:spacing w:line="360" w:lineRule="auto"/>
        <w:ind w:firstLine="420" w:firstLineChars="200"/>
        <w:jc w:val="left"/>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2</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招标需求</w:t>
      </w:r>
    </w:p>
    <w:p>
      <w:pPr>
        <w:snapToGrid w:val="0"/>
        <w:spacing w:line="360" w:lineRule="auto"/>
        <w:ind w:firstLine="420" w:firstLineChars="200"/>
        <w:jc w:val="left"/>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3</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供应商须知</w:t>
      </w:r>
    </w:p>
    <w:p>
      <w:pPr>
        <w:snapToGrid w:val="0"/>
        <w:spacing w:line="360" w:lineRule="auto"/>
        <w:ind w:firstLine="420" w:firstLineChars="200"/>
        <w:jc w:val="left"/>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4</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评标办法及标准</w:t>
      </w:r>
    </w:p>
    <w:p>
      <w:pPr>
        <w:snapToGrid w:val="0"/>
        <w:spacing w:line="360" w:lineRule="auto"/>
        <w:ind w:firstLine="420" w:firstLineChars="200"/>
        <w:jc w:val="left"/>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5</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合同主要条款</w:t>
      </w:r>
    </w:p>
    <w:p>
      <w:pPr>
        <w:snapToGrid w:val="0"/>
        <w:spacing w:line="360" w:lineRule="auto"/>
        <w:ind w:firstLine="420" w:firstLineChars="200"/>
        <w:jc w:val="left"/>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6</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投标文件格式</w:t>
      </w:r>
    </w:p>
    <w:p>
      <w:pPr>
        <w:snapToGrid w:val="0"/>
        <w:spacing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7.本项目</w:t>
      </w:r>
      <w:r>
        <w:rPr>
          <w:rFonts w:asciiTheme="minorEastAsia" w:hAnsiTheme="minorEastAsia" w:eastAsiaTheme="minorEastAsia"/>
          <w:color w:val="auto"/>
          <w:szCs w:val="21"/>
          <w:highlight w:val="none"/>
        </w:rPr>
        <w:t>招标文件</w:t>
      </w:r>
      <w:r>
        <w:rPr>
          <w:rFonts w:hint="eastAsia" w:asciiTheme="minorEastAsia" w:hAnsiTheme="minorEastAsia" w:eastAsiaTheme="minorEastAsia"/>
          <w:color w:val="auto"/>
          <w:szCs w:val="21"/>
          <w:highlight w:val="none"/>
        </w:rPr>
        <w:t>的</w:t>
      </w:r>
      <w:r>
        <w:rPr>
          <w:rFonts w:asciiTheme="minorEastAsia" w:hAnsiTheme="minorEastAsia" w:eastAsiaTheme="minorEastAsia"/>
          <w:color w:val="auto"/>
          <w:szCs w:val="21"/>
          <w:highlight w:val="none"/>
        </w:rPr>
        <w:t>澄清、答复、修改、补充的内容</w:t>
      </w:r>
    </w:p>
    <w:p>
      <w:pPr>
        <w:snapToGrid w:val="0"/>
        <w:spacing w:beforeLines="50" w:line="360" w:lineRule="auto"/>
        <w:ind w:firstLine="413" w:firstLineChars="196"/>
        <w:jc w:val="left"/>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（二）供应商的风险</w:t>
      </w:r>
    </w:p>
    <w:p>
      <w:pPr>
        <w:pStyle w:val="40"/>
        <w:spacing w:line="360" w:lineRule="auto"/>
        <w:ind w:firstLine="42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供应商没有按照招标文件要求提供全部资料，或者供应商没有对招标文件在各方面作出实质性响应是供应商的风险，并可能导致其投标为无效标。</w:t>
      </w:r>
    </w:p>
    <w:p>
      <w:pPr>
        <w:pStyle w:val="15"/>
        <w:widowControl w:val="0"/>
        <w:tabs>
          <w:tab w:val="clear" w:pos="454"/>
        </w:tabs>
        <w:snapToGrid w:val="0"/>
        <w:spacing w:beforeLines="50" w:afterLines="0" w:line="360" w:lineRule="auto"/>
        <w:ind w:left="0" w:firstLine="413" w:firstLineChars="196"/>
        <w:rPr>
          <w:rFonts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（三）招标文件的澄清与修改</w:t>
      </w:r>
    </w:p>
    <w:p>
      <w:pPr>
        <w:pStyle w:val="28"/>
        <w:snapToGrid w:val="0"/>
        <w:spacing w:beforeLines="0" w:afterLines="0" w:line="360" w:lineRule="auto"/>
        <w:ind w:firstLine="420" w:firstLineChars="20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w:t>
      </w:r>
      <w:r>
        <w:rPr>
          <w:rFonts w:asciiTheme="minorEastAsia" w:hAnsiTheme="minorEastAsia" w:eastAsiaTheme="minorEastAsia"/>
          <w:bCs/>
          <w:color w:val="auto"/>
          <w:sz w:val="21"/>
          <w:szCs w:val="21"/>
          <w:highlight w:val="none"/>
        </w:rPr>
        <w:t>供应商应认真阅读本招标文件，发现其中有误或有不合理要求的，</w:t>
      </w:r>
      <w:r>
        <w:rPr>
          <w:rFonts w:hint="eastAsia" w:asciiTheme="minorEastAsia" w:hAnsiTheme="minorEastAsia" w:eastAsiaTheme="minorEastAsia"/>
          <w:bCs/>
          <w:color w:val="auto"/>
          <w:sz w:val="21"/>
          <w:szCs w:val="21"/>
          <w:highlight w:val="none"/>
        </w:rPr>
        <w:t>可</w:t>
      </w:r>
      <w:r>
        <w:rPr>
          <w:rFonts w:asciiTheme="minorEastAsia" w:hAnsiTheme="minorEastAsia" w:eastAsiaTheme="minorEastAsia"/>
          <w:bCs/>
          <w:color w:val="auto"/>
          <w:sz w:val="21"/>
          <w:szCs w:val="21"/>
          <w:highlight w:val="none"/>
        </w:rPr>
        <w:t>要求招标采购人澄清</w:t>
      </w:r>
      <w:r>
        <w:rPr>
          <w:rFonts w:asciiTheme="minorEastAsia" w:hAnsiTheme="minorEastAsia" w:eastAsiaTheme="minorEastAsia"/>
          <w:color w:val="auto"/>
          <w:sz w:val="21"/>
          <w:szCs w:val="21"/>
          <w:highlight w:val="none"/>
        </w:rPr>
        <w:t>。</w:t>
      </w:r>
      <w:r>
        <w:rPr>
          <w:rFonts w:hint="eastAsia" w:asciiTheme="minorEastAsia" w:hAnsiTheme="minorEastAsia" w:eastAsiaTheme="minorEastAsia"/>
          <w:color w:val="auto"/>
          <w:sz w:val="21"/>
          <w:szCs w:val="21"/>
          <w:highlight w:val="none"/>
        </w:rPr>
        <w:t>招标采购人</w:t>
      </w:r>
      <w:r>
        <w:rPr>
          <w:rFonts w:asciiTheme="minorEastAsia" w:hAnsiTheme="minorEastAsia" w:eastAsiaTheme="minorEastAsia"/>
          <w:color w:val="auto"/>
          <w:sz w:val="21"/>
          <w:szCs w:val="21"/>
          <w:highlight w:val="none"/>
        </w:rPr>
        <w:t>对已发出的招标文件进行必要澄清</w:t>
      </w:r>
      <w:r>
        <w:rPr>
          <w:rFonts w:hint="eastAsia" w:asciiTheme="minorEastAsia" w:hAnsiTheme="minorEastAsia" w:eastAsiaTheme="minorEastAsia"/>
          <w:color w:val="auto"/>
          <w:sz w:val="21"/>
          <w:szCs w:val="21"/>
          <w:highlight w:val="none"/>
        </w:rPr>
        <w:t>或者</w:t>
      </w:r>
      <w:r>
        <w:rPr>
          <w:rFonts w:asciiTheme="minorEastAsia" w:hAnsiTheme="minorEastAsia" w:eastAsiaTheme="minorEastAsia"/>
          <w:color w:val="auto"/>
          <w:sz w:val="21"/>
          <w:szCs w:val="21"/>
          <w:highlight w:val="none"/>
        </w:rPr>
        <w:t>修改的，应当在招标文件要求提交投标文件截止</w:t>
      </w:r>
      <w:r>
        <w:rPr>
          <w:rFonts w:hint="eastAsia" w:asciiTheme="minorEastAsia" w:hAnsiTheme="minorEastAsia" w:eastAsiaTheme="minorEastAsia"/>
          <w:color w:val="auto"/>
          <w:sz w:val="21"/>
          <w:szCs w:val="21"/>
          <w:highlight w:val="none"/>
        </w:rPr>
        <w:t>十</w:t>
      </w:r>
      <w:r>
        <w:rPr>
          <w:rFonts w:asciiTheme="minorEastAsia" w:hAnsiTheme="minorEastAsia" w:eastAsiaTheme="minorEastAsia"/>
          <w:color w:val="auto"/>
          <w:sz w:val="21"/>
          <w:szCs w:val="21"/>
          <w:highlight w:val="none"/>
        </w:rPr>
        <w:t>五日前，在财政部门指定的政府采购信息发布媒体上发布更正公告，并以书面形式通知所有招标文件</w:t>
      </w:r>
      <w:r>
        <w:rPr>
          <w:rFonts w:hint="eastAsia" w:asciiTheme="minorEastAsia" w:hAnsiTheme="minorEastAsia" w:eastAsiaTheme="minorEastAsia"/>
          <w:color w:val="auto"/>
          <w:sz w:val="21"/>
          <w:szCs w:val="21"/>
          <w:highlight w:val="none"/>
        </w:rPr>
        <w:t>获取</w:t>
      </w:r>
      <w:r>
        <w:rPr>
          <w:rFonts w:asciiTheme="minorEastAsia" w:hAnsiTheme="minorEastAsia" w:eastAsiaTheme="minorEastAsia"/>
          <w:color w:val="auto"/>
          <w:sz w:val="21"/>
          <w:szCs w:val="21"/>
          <w:highlight w:val="none"/>
        </w:rPr>
        <w:t>人。</w:t>
      </w:r>
    </w:p>
    <w:p>
      <w:pPr>
        <w:pStyle w:val="28"/>
        <w:snapToGrid w:val="0"/>
        <w:spacing w:beforeLines="0" w:afterLines="0" w:line="360" w:lineRule="auto"/>
        <w:ind w:firstLine="420" w:firstLineChars="20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招标文件澄清</w:t>
      </w:r>
      <w:r>
        <w:rPr>
          <w:rFonts w:hint="eastAsia" w:asciiTheme="minorEastAsia" w:hAnsiTheme="minorEastAsia" w:eastAsiaTheme="minorEastAsia"/>
          <w:color w:val="auto"/>
          <w:sz w:val="21"/>
          <w:szCs w:val="21"/>
          <w:highlight w:val="none"/>
        </w:rPr>
        <w:t>或者</w:t>
      </w:r>
      <w:r>
        <w:rPr>
          <w:rFonts w:asciiTheme="minorEastAsia" w:hAnsiTheme="minorEastAsia" w:eastAsiaTheme="minorEastAsia"/>
          <w:color w:val="auto"/>
          <w:sz w:val="21"/>
          <w:szCs w:val="21"/>
          <w:highlight w:val="none"/>
        </w:rPr>
        <w:t>修改的内容为招标文件的组成部分。当招标文件与澄清</w:t>
      </w:r>
      <w:r>
        <w:rPr>
          <w:rFonts w:hint="eastAsia" w:asciiTheme="minorEastAsia" w:hAnsiTheme="minorEastAsia" w:eastAsiaTheme="minorEastAsia"/>
          <w:color w:val="auto"/>
          <w:sz w:val="21"/>
          <w:szCs w:val="21"/>
          <w:highlight w:val="none"/>
        </w:rPr>
        <w:t>或者</w:t>
      </w:r>
      <w:r>
        <w:rPr>
          <w:rFonts w:asciiTheme="minorEastAsia" w:hAnsiTheme="minorEastAsia" w:eastAsiaTheme="minorEastAsia"/>
          <w:color w:val="auto"/>
          <w:sz w:val="21"/>
          <w:szCs w:val="21"/>
          <w:highlight w:val="none"/>
        </w:rPr>
        <w:t>修改就同一内容的表述不一致时，以最后发出的书面文件为准。</w:t>
      </w:r>
    </w:p>
    <w:p>
      <w:pPr>
        <w:pStyle w:val="28"/>
        <w:snapToGrid w:val="0"/>
        <w:spacing w:beforeLines="0" w:afterLines="0" w:line="360" w:lineRule="auto"/>
        <w:ind w:firstLine="420" w:firstLineChars="20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3.对</w:t>
      </w:r>
      <w:r>
        <w:rPr>
          <w:rFonts w:asciiTheme="minorEastAsia" w:hAnsiTheme="minorEastAsia" w:eastAsiaTheme="minorEastAsia"/>
          <w:color w:val="auto"/>
          <w:sz w:val="21"/>
          <w:szCs w:val="21"/>
          <w:highlight w:val="none"/>
        </w:rPr>
        <w:t>招标文件的澄清、答复、修改或补充都应该通过</w:t>
      </w:r>
      <w:r>
        <w:rPr>
          <w:rFonts w:hint="eastAsia" w:asciiTheme="minorEastAsia" w:hAnsiTheme="minorEastAsia" w:eastAsiaTheme="minorEastAsia"/>
          <w:color w:val="auto"/>
          <w:sz w:val="21"/>
          <w:szCs w:val="21"/>
          <w:highlight w:val="none"/>
        </w:rPr>
        <w:t>代理机构</w:t>
      </w:r>
      <w:r>
        <w:rPr>
          <w:rFonts w:asciiTheme="minorEastAsia" w:hAnsiTheme="minorEastAsia" w:eastAsiaTheme="minorEastAsia"/>
          <w:color w:val="auto"/>
          <w:sz w:val="21"/>
          <w:szCs w:val="21"/>
          <w:highlight w:val="none"/>
        </w:rPr>
        <w:t>以法定形式发布，采购人非通过本机构，不得擅自澄清、答复、修改或补充招标文件。</w:t>
      </w:r>
    </w:p>
    <w:p>
      <w:pPr>
        <w:pStyle w:val="28"/>
        <w:snapToGrid w:val="0"/>
        <w:spacing w:beforeLines="0" w:afterLines="0" w:line="360" w:lineRule="auto"/>
        <w:ind w:firstLine="420" w:firstLineChars="200"/>
        <w:rPr>
          <w:rFonts w:asciiTheme="minorEastAsia" w:hAnsiTheme="minorEastAsia" w:eastAsiaTheme="minorEastAsia"/>
          <w:color w:val="auto"/>
          <w:sz w:val="21"/>
          <w:szCs w:val="21"/>
          <w:highlight w:val="none"/>
        </w:rPr>
      </w:pPr>
    </w:p>
    <w:p>
      <w:pPr>
        <w:pStyle w:val="28"/>
        <w:snapToGrid w:val="0"/>
        <w:spacing w:before="120" w:after="120" w:line="360" w:lineRule="auto"/>
        <w:ind w:firstLine="413" w:firstLineChars="196"/>
        <w:jc w:val="center"/>
        <w:outlineLvl w:val="1"/>
        <w:rPr>
          <w:rFonts w:asciiTheme="minorEastAsia" w:hAnsiTheme="minorEastAsia" w:eastAsiaTheme="minorEastAsia"/>
          <w:b/>
          <w:color w:val="auto"/>
          <w:sz w:val="21"/>
          <w:szCs w:val="21"/>
          <w:highlight w:val="none"/>
        </w:rPr>
      </w:pPr>
      <w:r>
        <w:rPr>
          <w:rFonts w:asciiTheme="minorEastAsia" w:hAnsiTheme="minorEastAsia" w:eastAsiaTheme="minorEastAsia"/>
          <w:b/>
          <w:color w:val="auto"/>
          <w:sz w:val="21"/>
          <w:szCs w:val="21"/>
          <w:highlight w:val="none"/>
        </w:rPr>
        <w:t>三、投标文件的编制</w:t>
      </w:r>
    </w:p>
    <w:p>
      <w:pPr>
        <w:pStyle w:val="28"/>
        <w:snapToGrid w:val="0"/>
        <w:spacing w:before="120" w:after="120" w:line="360" w:lineRule="auto"/>
        <w:ind w:firstLine="413" w:firstLineChars="196"/>
        <w:outlineLvl w:val="1"/>
        <w:rPr>
          <w:rFonts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本项目所涉投标文件格式请详见第六章，未给出的格式请自拟。资信商务及技术文件中不得出现报价，否则投标文件将被视为无效。</w:t>
      </w:r>
    </w:p>
    <w:p>
      <w:pPr>
        <w:pStyle w:val="28"/>
        <w:snapToGrid w:val="0"/>
        <w:spacing w:before="120" w:after="120" w:line="360" w:lineRule="auto"/>
        <w:ind w:firstLine="413" w:firstLineChars="196"/>
        <w:outlineLvl w:val="1"/>
        <w:rPr>
          <w:rFonts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总体要求</w:t>
      </w:r>
      <w:r>
        <w:rPr>
          <w:rFonts w:asciiTheme="minorEastAsia" w:hAnsiTheme="minorEastAsia" w:eastAsiaTheme="minorEastAsia"/>
          <w:b/>
          <w:color w:val="auto"/>
          <w:sz w:val="21"/>
          <w:szCs w:val="21"/>
          <w:highlight w:val="none"/>
        </w:rPr>
        <w:t>：</w:t>
      </w:r>
    </w:p>
    <w:p>
      <w:pPr>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w:t>
      </w:r>
      <w:r>
        <w:rPr>
          <w:rFonts w:asciiTheme="minorEastAsia" w:hAnsiTheme="minorEastAsia" w:eastAsiaTheme="minorEastAsia"/>
          <w:color w:val="auto"/>
          <w:szCs w:val="21"/>
          <w:highlight w:val="none"/>
        </w:rPr>
        <w:t xml:space="preserve">供应商应仔细阅读招标文件的所有内容，按本文件的要求提供投标文件，并保证所提供的全部资料的真实性，以使其投标文件对招标文件作出实质性响应，否则，投标文件可能视为无效投标文件。 </w:t>
      </w:r>
    </w:p>
    <w:p>
      <w:pPr>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 投标文件及供应商与采购有关的来往通知，函件和文件均应使用中文。</w:t>
      </w:r>
    </w:p>
    <w:p>
      <w:pPr>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 供应商应按本文件中提供的文件格式、内容和要求制作投标文件。</w:t>
      </w:r>
    </w:p>
    <w:p>
      <w:pPr>
        <w:snapToGrid w:val="0"/>
        <w:spacing w:line="360" w:lineRule="auto"/>
        <w:ind w:firstLine="413" w:firstLineChars="196"/>
        <w:jc w:val="left"/>
        <w:outlineLvl w:val="0"/>
        <w:rPr>
          <w:rFonts w:asciiTheme="minorEastAsia" w:hAnsiTheme="minorEastAsia" w:eastAsiaTheme="minorEastAsia"/>
          <w:b/>
          <w:color w:val="auto"/>
          <w:szCs w:val="21"/>
          <w:highlight w:val="none"/>
        </w:rPr>
      </w:pPr>
      <w:bookmarkStart w:id="26" w:name="_Toc406402944"/>
      <w:bookmarkStart w:id="27" w:name="_Toc406402988"/>
      <w:r>
        <w:rPr>
          <w:rFonts w:hint="eastAsia" w:asciiTheme="minorEastAsia" w:hAnsiTheme="minorEastAsia" w:eastAsiaTheme="minorEastAsia"/>
          <w:b/>
          <w:color w:val="auto"/>
          <w:szCs w:val="21"/>
          <w:highlight w:val="none"/>
        </w:rPr>
        <w:t>（一）投标文件的组成</w:t>
      </w:r>
      <w:bookmarkEnd w:id="26"/>
      <w:bookmarkEnd w:id="27"/>
    </w:p>
    <w:p>
      <w:pPr>
        <w:snapToGrid w:val="0"/>
        <w:spacing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电子投标文件和备份投标文件均由资信技术文件、商务报价文件两部份组成。投标文件中所须加盖公章部分均采用CA签章。</w:t>
      </w:r>
    </w:p>
    <w:p>
      <w:pPr>
        <w:snapToGrid w:val="0"/>
        <w:spacing w:beforeLines="50" w:line="360" w:lineRule="auto"/>
        <w:jc w:val="left"/>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1、资信文件：</w:t>
      </w:r>
    </w:p>
    <w:p>
      <w:pPr>
        <w:snapToGrid w:val="0"/>
        <w:spacing w:line="360" w:lineRule="auto"/>
        <w:jc w:val="left"/>
        <w:rPr>
          <w:rFonts w:asciiTheme="minorEastAsia" w:hAnsiTheme="minorEastAsia" w:eastAsiaTheme="minorEastAsia"/>
          <w:color w:val="auto"/>
          <w:szCs w:val="21"/>
          <w:highlight w:val="none"/>
        </w:rPr>
      </w:pPr>
      <w:bookmarkStart w:id="28" w:name="_Toc406402989"/>
      <w:bookmarkStart w:id="29" w:name="_Toc406402945"/>
      <w:r>
        <w:rPr>
          <w:rFonts w:hint="eastAsia" w:asciiTheme="minorEastAsia" w:hAnsiTheme="minorEastAsia" w:eastAsiaTheme="minorEastAsia"/>
          <w:color w:val="auto"/>
          <w:szCs w:val="21"/>
          <w:highlight w:val="none"/>
        </w:rPr>
        <w:t>（1</w:t>
      </w:r>
      <w:r>
        <w:rPr>
          <w:rFonts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rPr>
        <w:t>投标声明书</w:t>
      </w:r>
      <w:r>
        <w:rPr>
          <w:rFonts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rPr>
        <w:t>（附件1）</w:t>
      </w:r>
    </w:p>
    <w:p>
      <w:pPr>
        <w:snapToGrid w:val="0"/>
        <w:spacing w:line="360" w:lineRule="auto"/>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w:t>
      </w:r>
      <w:r>
        <w:rPr>
          <w:rFonts w:asciiTheme="minorEastAsia" w:hAnsiTheme="minorEastAsia" w:eastAsiaTheme="minorEastAsia"/>
          <w:color w:val="auto"/>
          <w:szCs w:val="21"/>
          <w:highlight w:val="none"/>
        </w:rPr>
        <w:t>）法定代表人授权委托书；</w:t>
      </w:r>
      <w:r>
        <w:rPr>
          <w:rFonts w:hint="eastAsia" w:asciiTheme="minorEastAsia" w:hAnsiTheme="minorEastAsia" w:eastAsiaTheme="minorEastAsia"/>
          <w:color w:val="auto"/>
          <w:szCs w:val="21"/>
          <w:highlight w:val="none"/>
        </w:rPr>
        <w:t>（附件2）</w:t>
      </w:r>
    </w:p>
    <w:p>
      <w:pPr>
        <w:snapToGrid w:val="0"/>
        <w:spacing w:line="360" w:lineRule="auto"/>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w:t>
      </w:r>
      <w:r>
        <w:rPr>
          <w:rFonts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rPr>
        <w:t>关于资格的声明函；（附件3）</w:t>
      </w:r>
    </w:p>
    <w:p>
      <w:pPr>
        <w:snapToGrid w:val="0"/>
        <w:spacing w:line="360" w:lineRule="auto"/>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（4</w:t>
      </w:r>
      <w:r>
        <w:rPr>
          <w:rFonts w:asciiTheme="minorEastAsia" w:hAnsiTheme="minorEastAsia" w:eastAsiaTheme="minorEastAsia"/>
          <w:color w:val="auto"/>
          <w:szCs w:val="21"/>
          <w:highlight w:val="none"/>
        </w:rPr>
        <w:t>）投标人基本情况；</w:t>
      </w:r>
      <w:r>
        <w:rPr>
          <w:rFonts w:hint="eastAsia" w:asciiTheme="minorEastAsia" w:hAnsiTheme="minorEastAsia" w:eastAsiaTheme="minorEastAsia"/>
          <w:color w:val="auto"/>
          <w:szCs w:val="21"/>
          <w:highlight w:val="none"/>
        </w:rPr>
        <w:t>（附件4）</w:t>
      </w:r>
    </w:p>
    <w:p>
      <w:pPr>
        <w:snapToGrid w:val="0"/>
        <w:spacing w:line="360" w:lineRule="auto"/>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（5</w:t>
      </w:r>
      <w:r>
        <w:rPr>
          <w:rFonts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rPr>
        <w:t>业绩表</w:t>
      </w:r>
      <w:r>
        <w:rPr>
          <w:rFonts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rPr>
        <w:t>（附件5）</w:t>
      </w:r>
    </w:p>
    <w:p>
      <w:pPr>
        <w:snapToGrid w:val="0"/>
        <w:spacing w:line="360" w:lineRule="auto"/>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（6</w:t>
      </w:r>
      <w:r>
        <w:rPr>
          <w:rFonts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rPr>
        <w:t>认证证书情况</w:t>
      </w:r>
      <w:r>
        <w:rPr>
          <w:rFonts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rPr>
        <w:t>（附件6）</w:t>
      </w:r>
    </w:p>
    <w:p>
      <w:pPr>
        <w:snapToGrid w:val="0"/>
        <w:spacing w:line="360" w:lineRule="auto"/>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（7</w:t>
      </w:r>
      <w:r>
        <w:rPr>
          <w:rFonts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rPr>
        <w:t>项目组人员配置表（附件7）</w:t>
      </w:r>
    </w:p>
    <w:p>
      <w:pPr>
        <w:snapToGrid w:val="0"/>
        <w:spacing w:line="360" w:lineRule="auto"/>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（8</w:t>
      </w:r>
      <w:r>
        <w:rPr>
          <w:rFonts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rPr>
        <w:t>投入设备清单格式；（附件8）</w:t>
      </w:r>
    </w:p>
    <w:p>
      <w:pPr>
        <w:snapToGrid w:val="0"/>
        <w:spacing w:line="360" w:lineRule="auto"/>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（9）投标人符合政府采购法第二十二条资格的相关证明文件；</w:t>
      </w:r>
    </w:p>
    <w:p>
      <w:pPr>
        <w:snapToGrid w:val="0"/>
        <w:spacing w:line="360" w:lineRule="auto"/>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（10）投标人符合特定条件的相关证明文件；</w:t>
      </w:r>
    </w:p>
    <w:p>
      <w:pPr>
        <w:snapToGrid w:val="0"/>
        <w:spacing w:line="360" w:lineRule="auto"/>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11）提供自招标公告发布之日起至投标截止日内任意时间的“信用中国”网站（www.creditchina.gov.cn）、中国政府采购网（www.ccgp.gov.cn）供应商信用查询网页截图。（以开标当日采购单位或由采购单位委托的评标委员会核实的查询结果为准）。</w:t>
      </w:r>
    </w:p>
    <w:p>
      <w:pPr>
        <w:snapToGrid w:val="0"/>
        <w:spacing w:line="360" w:lineRule="auto"/>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（12）中小企业声明函、残疾人福利性单位声明函及其他符合政策性加分条件的承诺函或证明材料。（附件9、10）</w:t>
      </w:r>
    </w:p>
    <w:p>
      <w:pPr>
        <w:snapToGrid w:val="0"/>
        <w:spacing w:line="360" w:lineRule="auto"/>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（13）未尽事宜请各供应商按评分细则制作技术部份。</w:t>
      </w:r>
    </w:p>
    <w:p>
      <w:pPr>
        <w:snapToGrid w:val="0"/>
        <w:spacing w:line="360" w:lineRule="auto"/>
        <w:jc w:val="left"/>
        <w:rPr>
          <w:rFonts w:asciiTheme="minorEastAsia" w:hAnsiTheme="minorEastAsia" w:eastAsiaTheme="minorEastAsia"/>
          <w:b/>
          <w:bCs/>
          <w:color w:val="auto"/>
          <w:szCs w:val="21"/>
          <w:highlight w:val="none"/>
        </w:rPr>
      </w:pPr>
      <w:r>
        <w:rPr>
          <w:rFonts w:asciiTheme="minorEastAsia" w:hAnsiTheme="minorEastAsia" w:eastAsiaTheme="minorEastAsia"/>
          <w:b/>
          <w:bCs/>
          <w:color w:val="auto"/>
          <w:szCs w:val="21"/>
          <w:highlight w:val="none"/>
        </w:rPr>
        <w:t>2</w:t>
      </w:r>
      <w:r>
        <w:rPr>
          <w:rFonts w:hint="eastAsia" w:asciiTheme="minorEastAsia" w:hAnsiTheme="minorEastAsia" w:eastAsiaTheme="minorEastAsia"/>
          <w:b/>
          <w:bCs/>
          <w:color w:val="auto"/>
          <w:szCs w:val="21"/>
          <w:highlight w:val="none"/>
        </w:rPr>
        <w:t>、</w:t>
      </w:r>
      <w:r>
        <w:rPr>
          <w:rFonts w:asciiTheme="minorEastAsia" w:hAnsiTheme="minorEastAsia" w:eastAsiaTheme="minorEastAsia"/>
          <w:b/>
          <w:bCs/>
          <w:color w:val="auto"/>
          <w:szCs w:val="21"/>
          <w:highlight w:val="none"/>
        </w:rPr>
        <w:t>技术文件</w:t>
      </w:r>
    </w:p>
    <w:p>
      <w:pPr>
        <w:snapToGrid w:val="0"/>
        <w:spacing w:line="360" w:lineRule="auto"/>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lang w:eastAsia="zh-CN"/>
        </w:rPr>
        <w:t>投标方案</w:t>
      </w:r>
      <w:r>
        <w:rPr>
          <w:rFonts w:hint="eastAsia" w:asciiTheme="minorEastAsia" w:hAnsiTheme="minorEastAsia" w:eastAsiaTheme="minorEastAsia"/>
          <w:color w:val="auto"/>
          <w:szCs w:val="21"/>
          <w:highlight w:val="none"/>
        </w:rPr>
        <w:t>；（格式自拟）</w:t>
      </w:r>
    </w:p>
    <w:p>
      <w:pPr>
        <w:snapToGrid w:val="0"/>
        <w:spacing w:line="360" w:lineRule="auto"/>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（2）服务承诺及质量保障；（格式自拟）</w:t>
      </w:r>
    </w:p>
    <w:p>
      <w:pPr>
        <w:pStyle w:val="48"/>
        <w:ind w:left="0" w:leftChars="0" w:firstLine="0" w:firstLineChars="0"/>
        <w:rPr>
          <w:color w:val="auto"/>
          <w:highlight w:val="none"/>
        </w:rPr>
      </w:pPr>
      <w:r>
        <w:rPr>
          <w:rFonts w:hint="eastAsia" w:asciiTheme="minorEastAsia" w:hAnsiTheme="minorEastAsia"/>
          <w:color w:val="auto"/>
          <w:szCs w:val="21"/>
          <w:highlight w:val="none"/>
        </w:rPr>
        <w:t>（</w:t>
      </w:r>
      <w:r>
        <w:rPr>
          <w:rFonts w:hint="eastAsia" w:asciiTheme="minorEastAsia" w:hAnsiTheme="minorEastAsia"/>
          <w:color w:val="auto"/>
          <w:szCs w:val="21"/>
          <w:highlight w:val="none"/>
          <w:lang w:val="en-US" w:eastAsia="zh-CN"/>
        </w:rPr>
        <w:t>3</w:t>
      </w:r>
      <w:r>
        <w:rPr>
          <w:rFonts w:hint="eastAsia" w:asciiTheme="minorEastAsia" w:hAnsiTheme="minorEastAsia"/>
          <w:color w:val="auto"/>
          <w:szCs w:val="21"/>
          <w:highlight w:val="none"/>
        </w:rPr>
        <w:t>）</w:t>
      </w:r>
      <w:r>
        <w:rPr>
          <w:rFonts w:hint="eastAsia" w:asciiTheme="minorEastAsia" w:hAnsiTheme="minorEastAsia"/>
          <w:color w:val="auto"/>
          <w:szCs w:val="21"/>
          <w:highlight w:val="none"/>
          <w:lang w:val="en-US" w:eastAsia="zh-CN"/>
        </w:rPr>
        <w:t>人员配置</w:t>
      </w:r>
      <w:r>
        <w:rPr>
          <w:rFonts w:hint="eastAsia" w:asciiTheme="minorEastAsia" w:hAnsiTheme="minorEastAsia"/>
          <w:color w:val="auto"/>
          <w:szCs w:val="21"/>
          <w:highlight w:val="none"/>
        </w:rPr>
        <w:t>；（格式自拟）</w:t>
      </w:r>
    </w:p>
    <w:p>
      <w:pPr>
        <w:snapToGrid w:val="0"/>
        <w:spacing w:line="360" w:lineRule="auto"/>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lang w:val="en-US" w:eastAsia="zh-CN"/>
        </w:rPr>
        <w:t>4</w:t>
      </w:r>
      <w:r>
        <w:rPr>
          <w:rFonts w:hint="eastAsia"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lang w:eastAsia="zh-CN"/>
        </w:rPr>
        <w:t>合理化建议</w:t>
      </w:r>
      <w:r>
        <w:rPr>
          <w:rFonts w:hint="eastAsia" w:asciiTheme="minorEastAsia" w:hAnsiTheme="minorEastAsia" w:eastAsiaTheme="minorEastAsia"/>
          <w:color w:val="auto"/>
          <w:szCs w:val="21"/>
          <w:highlight w:val="none"/>
        </w:rPr>
        <w:t>；（格式自拟）</w:t>
      </w:r>
    </w:p>
    <w:p>
      <w:pPr>
        <w:snapToGrid w:val="0"/>
        <w:spacing w:line="360" w:lineRule="auto"/>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lang w:val="en-US" w:eastAsia="zh-CN"/>
        </w:rPr>
        <w:t>5</w:t>
      </w:r>
      <w:r>
        <w:rPr>
          <w:rFonts w:hint="eastAsia" w:asciiTheme="minorEastAsia" w:hAnsiTheme="minorEastAsia" w:eastAsiaTheme="minorEastAsia"/>
          <w:color w:val="auto"/>
          <w:szCs w:val="21"/>
          <w:highlight w:val="none"/>
        </w:rPr>
        <w:t>）投标人认为有必要提供的声明及文件资料。</w:t>
      </w:r>
    </w:p>
    <w:p>
      <w:pPr>
        <w:snapToGrid w:val="0"/>
        <w:spacing w:line="360" w:lineRule="auto"/>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lang w:val="en-US" w:eastAsia="zh-CN"/>
        </w:rPr>
        <w:t>6</w:t>
      </w:r>
      <w:r>
        <w:rPr>
          <w:rFonts w:hint="eastAsia" w:asciiTheme="minorEastAsia" w:hAnsiTheme="minorEastAsia" w:eastAsiaTheme="minorEastAsia"/>
          <w:color w:val="auto"/>
          <w:szCs w:val="21"/>
          <w:highlight w:val="none"/>
        </w:rPr>
        <w:t>）未尽事宜请各投标人按评分细则制作。</w:t>
      </w:r>
    </w:p>
    <w:p>
      <w:pPr>
        <w:snapToGrid w:val="0"/>
        <w:spacing w:line="360" w:lineRule="auto"/>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（注：复印件应加盖投标人公章）</w:t>
      </w:r>
    </w:p>
    <w:p>
      <w:pPr>
        <w:snapToGrid w:val="0"/>
        <w:spacing w:line="360" w:lineRule="auto"/>
        <w:jc w:val="left"/>
        <w:rPr>
          <w:rFonts w:asciiTheme="minorEastAsia" w:hAnsiTheme="minorEastAsia" w:eastAsiaTheme="minorEastAsia"/>
          <w:b/>
          <w:color w:val="auto"/>
          <w:szCs w:val="21"/>
          <w:highlight w:val="none"/>
        </w:rPr>
      </w:pPr>
      <w:r>
        <w:rPr>
          <w:rFonts w:asciiTheme="minorEastAsia" w:hAnsiTheme="minorEastAsia" w:eastAsiaTheme="minorEastAsia"/>
          <w:b/>
          <w:color w:val="auto"/>
          <w:szCs w:val="21"/>
          <w:highlight w:val="none"/>
        </w:rPr>
        <w:t>3</w:t>
      </w:r>
      <w:r>
        <w:rPr>
          <w:rFonts w:hint="eastAsia" w:asciiTheme="minorEastAsia" w:hAnsiTheme="minorEastAsia" w:eastAsiaTheme="minorEastAsia"/>
          <w:b/>
          <w:color w:val="auto"/>
          <w:szCs w:val="21"/>
          <w:highlight w:val="none"/>
        </w:rPr>
        <w:t>、商务</w:t>
      </w:r>
      <w:r>
        <w:rPr>
          <w:rFonts w:asciiTheme="minorEastAsia" w:hAnsiTheme="minorEastAsia" w:eastAsiaTheme="minorEastAsia"/>
          <w:b/>
          <w:color w:val="auto"/>
          <w:szCs w:val="21"/>
          <w:highlight w:val="none"/>
        </w:rPr>
        <w:t>报价文件：</w:t>
      </w:r>
    </w:p>
    <w:p>
      <w:pPr>
        <w:snapToGrid w:val="0"/>
        <w:spacing w:line="360" w:lineRule="auto"/>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（1）投标函；（附件12）</w:t>
      </w:r>
    </w:p>
    <w:p>
      <w:pPr>
        <w:snapToGrid w:val="0"/>
        <w:spacing w:line="360" w:lineRule="auto"/>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w:t>
      </w:r>
      <w:r>
        <w:rPr>
          <w:rFonts w:asciiTheme="minorEastAsia" w:hAnsiTheme="minorEastAsia" w:eastAsiaTheme="minorEastAsia"/>
          <w:color w:val="auto"/>
          <w:szCs w:val="21"/>
          <w:highlight w:val="none"/>
        </w:rPr>
        <w:t>）开标一览表；</w:t>
      </w:r>
      <w:r>
        <w:rPr>
          <w:rFonts w:hint="eastAsia" w:asciiTheme="minorEastAsia" w:hAnsiTheme="minorEastAsia" w:eastAsiaTheme="minorEastAsia"/>
          <w:color w:val="auto"/>
          <w:szCs w:val="21"/>
          <w:highlight w:val="none"/>
        </w:rPr>
        <w:t>（附件13）</w:t>
      </w:r>
    </w:p>
    <w:p>
      <w:pPr>
        <w:pStyle w:val="48"/>
        <w:spacing w:line="360" w:lineRule="auto"/>
        <w:ind w:left="0" w:leftChars="0" w:firstLine="0" w:firstLineChars="0"/>
        <w:rPr>
          <w:color w:val="auto"/>
          <w:highlight w:val="none"/>
        </w:rPr>
      </w:pPr>
      <w:r>
        <w:rPr>
          <w:rFonts w:hint="eastAsia"/>
          <w:color w:val="auto"/>
          <w:highlight w:val="none"/>
        </w:rPr>
        <w:t>（3）明细报价表</w:t>
      </w:r>
      <w:r>
        <w:rPr>
          <w:rFonts w:asciiTheme="minorEastAsia" w:hAnsiTheme="minorEastAsia"/>
          <w:color w:val="auto"/>
          <w:szCs w:val="21"/>
          <w:highlight w:val="none"/>
        </w:rPr>
        <w:t>；</w:t>
      </w:r>
      <w:r>
        <w:rPr>
          <w:rFonts w:hint="eastAsia" w:asciiTheme="minorEastAsia" w:hAnsiTheme="minorEastAsia"/>
          <w:color w:val="auto"/>
          <w:szCs w:val="21"/>
          <w:highlight w:val="none"/>
        </w:rPr>
        <w:t>（附件14）</w:t>
      </w:r>
    </w:p>
    <w:p>
      <w:pPr>
        <w:snapToGrid w:val="0"/>
        <w:spacing w:line="360" w:lineRule="auto"/>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w:t>
      </w:r>
      <w:r>
        <w:rPr>
          <w:rFonts w:asciiTheme="minorEastAsia" w:hAnsiTheme="minorEastAsia" w:eastAsiaTheme="minorEastAsia"/>
          <w:color w:val="auto"/>
          <w:szCs w:val="21"/>
          <w:highlight w:val="none"/>
        </w:rPr>
        <w:t>投标人</w:t>
      </w:r>
      <w:r>
        <w:rPr>
          <w:rFonts w:hint="eastAsia" w:asciiTheme="minorEastAsia" w:hAnsiTheme="minorEastAsia" w:eastAsiaTheme="minorEastAsia"/>
          <w:color w:val="auto"/>
          <w:szCs w:val="21"/>
          <w:highlight w:val="none"/>
        </w:rPr>
        <w:t>针对报价</w:t>
      </w:r>
      <w:r>
        <w:rPr>
          <w:rFonts w:asciiTheme="minorEastAsia" w:hAnsiTheme="minorEastAsia" w:eastAsiaTheme="minorEastAsia"/>
          <w:color w:val="auto"/>
          <w:szCs w:val="21"/>
          <w:highlight w:val="none"/>
        </w:rPr>
        <w:t>需要说明的其他文件和说明</w:t>
      </w:r>
      <w:r>
        <w:rPr>
          <w:rFonts w:hint="eastAsia" w:asciiTheme="minorEastAsia" w:hAnsiTheme="minorEastAsia" w:eastAsiaTheme="minorEastAsia"/>
          <w:color w:val="auto"/>
          <w:szCs w:val="21"/>
          <w:highlight w:val="none"/>
        </w:rPr>
        <w:t>；</w:t>
      </w:r>
    </w:p>
    <w:bookmarkEnd w:id="28"/>
    <w:bookmarkEnd w:id="29"/>
    <w:p>
      <w:pPr>
        <w:snapToGrid w:val="0"/>
        <w:spacing w:line="360" w:lineRule="auto"/>
        <w:jc w:val="left"/>
        <w:rPr>
          <w:rFonts w:asciiTheme="minorEastAsia" w:hAnsiTheme="minorEastAsia" w:eastAsiaTheme="minorEastAsia"/>
          <w:b/>
          <w:color w:val="auto"/>
          <w:szCs w:val="21"/>
          <w:highlight w:val="none"/>
        </w:rPr>
      </w:pPr>
      <w:bookmarkStart w:id="30" w:name="_Toc406402946"/>
      <w:bookmarkStart w:id="31" w:name="_Toc385854100"/>
      <w:bookmarkStart w:id="32" w:name="_Toc406402990"/>
      <w:bookmarkStart w:id="33" w:name="_Toc402963117"/>
      <w:bookmarkStart w:id="34" w:name="_Toc402963084"/>
      <w:bookmarkStart w:id="35" w:name="_Toc385854146"/>
      <w:r>
        <w:rPr>
          <w:rFonts w:asciiTheme="minorEastAsia" w:hAnsiTheme="minorEastAsia" w:eastAsiaTheme="minorEastAsia"/>
          <w:b/>
          <w:color w:val="auto"/>
          <w:szCs w:val="21"/>
          <w:highlight w:val="none"/>
        </w:rPr>
        <w:t>注：</w:t>
      </w:r>
      <w:r>
        <w:rPr>
          <w:rFonts w:hint="eastAsia" w:asciiTheme="minorEastAsia" w:hAnsiTheme="minorEastAsia" w:eastAsiaTheme="minorEastAsia"/>
          <w:b/>
          <w:color w:val="auto"/>
          <w:szCs w:val="21"/>
          <w:highlight w:val="none"/>
        </w:rPr>
        <w:t>1、投标人可根据评分细则按排版自行编制目录。</w:t>
      </w:r>
    </w:p>
    <w:p>
      <w:pPr>
        <w:snapToGrid w:val="0"/>
        <w:spacing w:line="360" w:lineRule="auto"/>
        <w:ind w:firstLine="413" w:firstLineChars="196"/>
        <w:jc w:val="left"/>
        <w:outlineLvl w:val="0"/>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（二）投标文件的语言及计量</w:t>
      </w:r>
      <w:bookmarkEnd w:id="30"/>
      <w:bookmarkEnd w:id="31"/>
      <w:bookmarkEnd w:id="32"/>
      <w:bookmarkEnd w:id="33"/>
      <w:bookmarkEnd w:id="34"/>
      <w:bookmarkEnd w:id="35"/>
    </w:p>
    <w:p>
      <w:pPr>
        <w:snapToGrid w:val="0"/>
        <w:spacing w:line="360" w:lineRule="auto"/>
        <w:ind w:firstLine="420" w:firstLineChars="200"/>
        <w:jc w:val="left"/>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投标文件以及投标方与采购人就有关投标事宜的所有来往函电，均应以中文汉语书写。除签名、盖章、专用名称等特殊情形外，以中文汉语以外的文字表述的投标文件视同未提供。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2</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投标计量单位，招标文件已有明确规定的，使用招标文件规定的计量单位；招标文件没有规定的，应采用中华人民共和国法定计量单位（货币单位：人民币元），否则视同未响应。</w:t>
      </w:r>
    </w:p>
    <w:p>
      <w:pPr>
        <w:snapToGrid w:val="0"/>
        <w:spacing w:beforeLines="50" w:line="360" w:lineRule="auto"/>
        <w:ind w:firstLine="413" w:firstLineChars="196"/>
        <w:jc w:val="left"/>
        <w:outlineLvl w:val="0"/>
        <w:rPr>
          <w:rFonts w:asciiTheme="minorEastAsia" w:hAnsiTheme="minorEastAsia" w:eastAsiaTheme="minorEastAsia"/>
          <w:b/>
          <w:color w:val="auto"/>
          <w:szCs w:val="21"/>
          <w:highlight w:val="none"/>
        </w:rPr>
      </w:pPr>
      <w:bookmarkStart w:id="36" w:name="_Toc402963118"/>
      <w:bookmarkStart w:id="37" w:name="_Toc385854101"/>
      <w:bookmarkStart w:id="38" w:name="_Toc406402991"/>
      <w:bookmarkStart w:id="39" w:name="_Toc385854147"/>
      <w:bookmarkStart w:id="40" w:name="_Toc402963085"/>
      <w:bookmarkStart w:id="41" w:name="_Toc406402947"/>
      <w:r>
        <w:rPr>
          <w:rFonts w:hint="eastAsia" w:asciiTheme="minorEastAsia" w:hAnsiTheme="minorEastAsia" w:eastAsiaTheme="minorEastAsia"/>
          <w:b/>
          <w:color w:val="auto"/>
          <w:szCs w:val="21"/>
          <w:highlight w:val="none"/>
        </w:rPr>
        <w:t>（三）投标报价</w:t>
      </w:r>
      <w:bookmarkEnd w:id="36"/>
      <w:bookmarkEnd w:id="37"/>
      <w:bookmarkEnd w:id="38"/>
      <w:bookmarkEnd w:id="39"/>
      <w:bookmarkEnd w:id="40"/>
      <w:bookmarkEnd w:id="41"/>
    </w:p>
    <w:p>
      <w:pPr>
        <w:pStyle w:val="28"/>
        <w:snapToGrid w:val="0"/>
        <w:spacing w:beforeLines="0" w:afterLines="0"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投标报价应按招标文件中相关附表格式填写。</w:t>
      </w:r>
    </w:p>
    <w:p>
      <w:pPr>
        <w:pStyle w:val="28"/>
        <w:snapToGrid w:val="0"/>
        <w:spacing w:beforeLines="0" w:afterLines="0"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投标报价是履行合同的最终价格，应包括货款、标准附件、备品备件、专用工具、包装、运输、装卸、保险、税金、货到就位以及安装、调试、培训、保修</w:t>
      </w:r>
      <w:r>
        <w:rPr>
          <w:rFonts w:hint="eastAsia" w:asciiTheme="minorEastAsia" w:hAnsiTheme="minorEastAsia" w:eastAsiaTheme="minorEastAsia"/>
          <w:color w:val="auto"/>
          <w:sz w:val="21"/>
          <w:szCs w:val="21"/>
          <w:highlight w:val="none"/>
        </w:rPr>
        <w:t>和前期方案编制、招投标、审计</w:t>
      </w:r>
      <w:r>
        <w:rPr>
          <w:rFonts w:asciiTheme="minorEastAsia" w:hAnsiTheme="minorEastAsia" w:eastAsiaTheme="minorEastAsia"/>
          <w:color w:val="auto"/>
          <w:sz w:val="21"/>
          <w:szCs w:val="21"/>
          <w:highlight w:val="none"/>
        </w:rPr>
        <w:t>等一切税金和费用。</w:t>
      </w:r>
    </w:p>
    <w:p>
      <w:pPr>
        <w:tabs>
          <w:tab w:val="left" w:pos="525"/>
        </w:tabs>
        <w:snapToGrid w:val="0"/>
        <w:spacing w:line="360" w:lineRule="auto"/>
        <w:ind w:firstLine="420" w:firstLineChars="200"/>
        <w:jc w:val="left"/>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3</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投标文件只允许有一个报价，有选择的</w:t>
      </w:r>
      <w:r>
        <w:rPr>
          <w:rFonts w:hint="eastAsia" w:asciiTheme="minorEastAsia" w:hAnsiTheme="minorEastAsia" w:eastAsiaTheme="minorEastAsia"/>
          <w:color w:val="auto"/>
          <w:szCs w:val="21"/>
          <w:highlight w:val="none"/>
        </w:rPr>
        <w:t>或有条件的</w:t>
      </w:r>
      <w:r>
        <w:rPr>
          <w:rFonts w:asciiTheme="minorEastAsia" w:hAnsiTheme="minorEastAsia" w:eastAsiaTheme="minorEastAsia"/>
          <w:color w:val="auto"/>
          <w:szCs w:val="21"/>
          <w:highlight w:val="none"/>
        </w:rPr>
        <w:t>报价将不予接受。</w:t>
      </w:r>
    </w:p>
    <w:p>
      <w:pPr>
        <w:pStyle w:val="15"/>
        <w:widowControl w:val="0"/>
        <w:tabs>
          <w:tab w:val="clear" w:pos="454"/>
        </w:tabs>
        <w:snapToGrid w:val="0"/>
        <w:spacing w:beforeLines="50" w:afterLines="0" w:line="360" w:lineRule="auto"/>
        <w:ind w:left="0" w:firstLine="413" w:firstLineChars="196"/>
        <w:rPr>
          <w:rFonts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（四）投标文件的有效期</w:t>
      </w:r>
    </w:p>
    <w:p>
      <w:pPr>
        <w:pStyle w:val="15"/>
        <w:widowControl w:val="0"/>
        <w:tabs>
          <w:tab w:val="left" w:pos="4500"/>
          <w:tab w:val="clear" w:pos="454"/>
        </w:tabs>
        <w:snapToGrid w:val="0"/>
        <w:spacing w:afterLines="0" w:line="360" w:lineRule="auto"/>
        <w:ind w:left="0" w:firstLine="420" w:firstLineChars="20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自投标截止日起</w:t>
      </w:r>
      <w:r>
        <w:rPr>
          <w:rFonts w:hint="eastAsia" w:asciiTheme="minorEastAsia" w:hAnsiTheme="minorEastAsia" w:eastAsiaTheme="minorEastAsia"/>
          <w:color w:val="auto"/>
          <w:sz w:val="21"/>
          <w:szCs w:val="21"/>
          <w:highlight w:val="none"/>
          <w:u w:val="single"/>
        </w:rPr>
        <w:t>90</w:t>
      </w:r>
      <w:r>
        <w:rPr>
          <w:rFonts w:asciiTheme="minorEastAsia" w:hAnsiTheme="minorEastAsia" w:eastAsiaTheme="minorEastAsia"/>
          <w:color w:val="auto"/>
          <w:sz w:val="21"/>
          <w:szCs w:val="21"/>
          <w:highlight w:val="none"/>
        </w:rPr>
        <w:t>天投标</w:t>
      </w:r>
      <w:r>
        <w:rPr>
          <w:rFonts w:hint="eastAsia" w:asciiTheme="minorEastAsia" w:hAnsiTheme="minorEastAsia" w:eastAsiaTheme="minorEastAsia"/>
          <w:color w:val="auto"/>
          <w:sz w:val="21"/>
          <w:szCs w:val="21"/>
          <w:highlight w:val="none"/>
        </w:rPr>
        <w:t>文件</w:t>
      </w:r>
      <w:r>
        <w:rPr>
          <w:rFonts w:asciiTheme="minorEastAsia" w:hAnsiTheme="minorEastAsia" w:eastAsiaTheme="minorEastAsia"/>
          <w:color w:val="auto"/>
          <w:sz w:val="21"/>
          <w:szCs w:val="21"/>
          <w:highlight w:val="none"/>
        </w:rPr>
        <w:t>应保持有效。有效期</w:t>
      </w:r>
      <w:r>
        <w:rPr>
          <w:rFonts w:hint="eastAsia" w:asciiTheme="minorEastAsia" w:hAnsiTheme="minorEastAsia" w:eastAsiaTheme="minorEastAsia"/>
          <w:color w:val="auto"/>
          <w:sz w:val="21"/>
          <w:szCs w:val="21"/>
          <w:highlight w:val="none"/>
        </w:rPr>
        <w:t>不足</w:t>
      </w:r>
      <w:r>
        <w:rPr>
          <w:rFonts w:asciiTheme="minorEastAsia" w:hAnsiTheme="minorEastAsia" w:eastAsiaTheme="minorEastAsia"/>
          <w:color w:val="auto"/>
          <w:sz w:val="21"/>
          <w:szCs w:val="21"/>
          <w:highlight w:val="none"/>
        </w:rPr>
        <w:t>的投标</w:t>
      </w:r>
      <w:r>
        <w:rPr>
          <w:rFonts w:hint="eastAsia" w:asciiTheme="minorEastAsia" w:hAnsiTheme="minorEastAsia" w:eastAsiaTheme="minorEastAsia"/>
          <w:color w:val="auto"/>
          <w:sz w:val="21"/>
          <w:szCs w:val="21"/>
          <w:highlight w:val="none"/>
        </w:rPr>
        <w:t>文件</w:t>
      </w:r>
      <w:r>
        <w:rPr>
          <w:rFonts w:asciiTheme="minorEastAsia" w:hAnsiTheme="minorEastAsia" w:eastAsiaTheme="minorEastAsia"/>
          <w:color w:val="auto"/>
          <w:sz w:val="21"/>
          <w:szCs w:val="21"/>
          <w:highlight w:val="none"/>
        </w:rPr>
        <w:t>将被拒绝。</w:t>
      </w:r>
    </w:p>
    <w:p>
      <w:pPr>
        <w:pStyle w:val="15"/>
        <w:widowControl w:val="0"/>
        <w:tabs>
          <w:tab w:val="clear" w:pos="454"/>
        </w:tabs>
        <w:snapToGrid w:val="0"/>
        <w:spacing w:afterLines="0" w:line="360" w:lineRule="auto"/>
        <w:ind w:left="0" w:firstLine="420" w:firstLineChars="20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在特殊情况下，招标人可与供应商协商延长投标书的有效期，这种要求和答复均以书面形式进行。</w:t>
      </w:r>
    </w:p>
    <w:p>
      <w:pPr>
        <w:snapToGrid w:val="0"/>
        <w:spacing w:line="360" w:lineRule="auto"/>
        <w:ind w:firstLine="420" w:firstLineChars="200"/>
        <w:jc w:val="left"/>
        <w:outlineLvl w:val="0"/>
        <w:rPr>
          <w:rFonts w:asciiTheme="minorEastAsia" w:hAnsiTheme="minorEastAsia" w:eastAsiaTheme="minorEastAsia"/>
          <w:b/>
          <w:color w:val="auto"/>
          <w:szCs w:val="21"/>
          <w:highlight w:val="none"/>
        </w:rPr>
      </w:pPr>
      <w:bookmarkStart w:id="42" w:name="_Toc402963086"/>
      <w:bookmarkStart w:id="43" w:name="_Toc402963119"/>
      <w:bookmarkStart w:id="44" w:name="_Toc385854148"/>
      <w:bookmarkStart w:id="45" w:name="_Toc406402948"/>
      <w:bookmarkStart w:id="46" w:name="_Toc406402992"/>
      <w:bookmarkStart w:id="47" w:name="_Toc385854102"/>
      <w:r>
        <w:rPr>
          <w:rFonts w:asciiTheme="minorEastAsia" w:hAnsiTheme="minorEastAsia" w:eastAsiaTheme="minorEastAsia"/>
          <w:color w:val="auto"/>
          <w:szCs w:val="21"/>
          <w:highlight w:val="none"/>
        </w:rPr>
        <w:t>3</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供应商可拒绝接受延期要求。同意延长有效期的供应商不能修改投标文件。</w:t>
      </w:r>
      <w:bookmarkEnd w:id="42"/>
      <w:bookmarkEnd w:id="43"/>
      <w:bookmarkEnd w:id="44"/>
      <w:bookmarkEnd w:id="45"/>
      <w:bookmarkEnd w:id="46"/>
      <w:bookmarkEnd w:id="47"/>
    </w:p>
    <w:p>
      <w:pPr>
        <w:snapToGrid w:val="0"/>
        <w:spacing w:line="360" w:lineRule="auto"/>
        <w:ind w:firstLine="420" w:firstLineChars="200"/>
        <w:jc w:val="left"/>
        <w:outlineLvl w:val="0"/>
        <w:rPr>
          <w:rFonts w:asciiTheme="minorEastAsia" w:hAnsiTheme="minorEastAsia" w:eastAsiaTheme="minorEastAsia"/>
          <w:b/>
          <w:color w:val="auto"/>
          <w:szCs w:val="21"/>
          <w:highlight w:val="none"/>
        </w:rPr>
      </w:pPr>
      <w:bookmarkStart w:id="48" w:name="_Toc406402949"/>
      <w:bookmarkStart w:id="49" w:name="_Toc402963087"/>
      <w:bookmarkStart w:id="50" w:name="_Toc385854149"/>
      <w:bookmarkStart w:id="51" w:name="_Toc402963120"/>
      <w:bookmarkStart w:id="52" w:name="_Toc406402993"/>
      <w:bookmarkStart w:id="53" w:name="_Toc385854103"/>
      <w:r>
        <w:rPr>
          <w:rFonts w:asciiTheme="minorEastAsia" w:hAnsiTheme="minorEastAsia" w:eastAsiaTheme="minorEastAsia"/>
          <w:color w:val="auto"/>
          <w:szCs w:val="21"/>
          <w:highlight w:val="none"/>
        </w:rPr>
        <w:t>4</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中标人的投标文件自开标之日起至合同履行完毕止均应保持有效。</w:t>
      </w:r>
      <w:bookmarkEnd w:id="48"/>
      <w:bookmarkEnd w:id="49"/>
      <w:bookmarkEnd w:id="50"/>
      <w:bookmarkEnd w:id="51"/>
      <w:bookmarkEnd w:id="52"/>
      <w:bookmarkEnd w:id="53"/>
    </w:p>
    <w:p>
      <w:pPr>
        <w:snapToGrid w:val="0"/>
        <w:spacing w:beforeLines="50" w:line="360" w:lineRule="auto"/>
        <w:ind w:firstLine="413" w:firstLineChars="196"/>
        <w:jc w:val="left"/>
        <w:outlineLvl w:val="0"/>
        <w:rPr>
          <w:rFonts w:asciiTheme="minorEastAsia" w:hAnsiTheme="minorEastAsia" w:eastAsiaTheme="minorEastAsia"/>
          <w:b/>
          <w:color w:val="auto"/>
          <w:szCs w:val="21"/>
          <w:highlight w:val="none"/>
        </w:rPr>
      </w:pPr>
      <w:bookmarkStart w:id="54" w:name="_Toc402963089"/>
      <w:bookmarkStart w:id="55" w:name="_Toc385854151"/>
      <w:bookmarkStart w:id="56" w:name="_Toc385854105"/>
      <w:bookmarkStart w:id="57" w:name="_Toc402963122"/>
      <w:bookmarkStart w:id="58" w:name="_Toc406402951"/>
      <w:bookmarkStart w:id="59" w:name="_Toc406402995"/>
      <w:r>
        <w:rPr>
          <w:rFonts w:hint="eastAsia" w:asciiTheme="minorEastAsia" w:hAnsiTheme="minorEastAsia" w:eastAsiaTheme="minorEastAsia"/>
          <w:b/>
          <w:color w:val="auto"/>
          <w:szCs w:val="21"/>
          <w:highlight w:val="none"/>
        </w:rPr>
        <w:t>（五）投标文件的签署和份数</w:t>
      </w:r>
      <w:bookmarkEnd w:id="54"/>
      <w:bookmarkEnd w:id="55"/>
      <w:bookmarkEnd w:id="56"/>
      <w:bookmarkEnd w:id="57"/>
      <w:bookmarkEnd w:id="58"/>
      <w:bookmarkEnd w:id="59"/>
    </w:p>
    <w:p>
      <w:pPr>
        <w:snapToGrid w:val="0"/>
        <w:spacing w:beforeLines="50" w:line="360" w:lineRule="auto"/>
        <w:ind w:firstLine="411" w:firstLineChars="196"/>
        <w:jc w:val="left"/>
        <w:outlineLvl w:val="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电子投标文件按政采云平台供应商电子招投标操作指南（网址：https://help.zcygov.cn/web/site_2/2018/12-28/2573.html）及本招标文件规定的格式和顺序编制电子投标文件并进行关联定位。</w:t>
      </w:r>
    </w:p>
    <w:p>
      <w:pPr>
        <w:snapToGrid w:val="0"/>
        <w:spacing w:line="360" w:lineRule="auto"/>
        <w:ind w:firstLine="413" w:firstLineChars="196"/>
        <w:outlineLvl w:val="2"/>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（六）投标无效的情形</w:t>
      </w:r>
    </w:p>
    <w:p>
      <w:pPr>
        <w:snapToGrid w:val="0"/>
        <w:spacing w:line="360" w:lineRule="auto"/>
        <w:ind w:firstLine="420" w:firstLineChars="200"/>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实质上没有响应招标文件要求的投标将被视为无效投标。供应商修改、补正投标文件后，不影响评标委员会对其投标文件所作的评价和评分结果。</w:t>
      </w:r>
    </w:p>
    <w:p>
      <w:pPr>
        <w:snapToGrid w:val="0"/>
        <w:spacing w:line="360" w:lineRule="auto"/>
        <w:ind w:firstLine="413" w:firstLineChars="196"/>
        <w:rPr>
          <w:rFonts w:asciiTheme="minorEastAsia" w:hAnsiTheme="minorEastAsia" w:eastAsiaTheme="minorEastAsia"/>
          <w:b/>
          <w:color w:val="auto"/>
          <w:szCs w:val="21"/>
          <w:highlight w:val="none"/>
        </w:rPr>
      </w:pPr>
      <w:r>
        <w:rPr>
          <w:rFonts w:asciiTheme="minorEastAsia" w:hAnsiTheme="minorEastAsia" w:eastAsiaTheme="minorEastAsia"/>
          <w:b/>
          <w:color w:val="auto"/>
          <w:szCs w:val="21"/>
          <w:highlight w:val="none"/>
        </w:rPr>
        <w:t>1</w:t>
      </w:r>
      <w:r>
        <w:rPr>
          <w:rFonts w:hint="eastAsia" w:asciiTheme="minorEastAsia" w:hAnsiTheme="minorEastAsia" w:eastAsiaTheme="minorEastAsia"/>
          <w:b/>
          <w:color w:val="auto"/>
          <w:szCs w:val="21"/>
          <w:highlight w:val="none"/>
        </w:rPr>
        <w:t>.</w:t>
      </w:r>
      <w:r>
        <w:rPr>
          <w:rFonts w:asciiTheme="minorEastAsia" w:hAnsiTheme="minorEastAsia" w:eastAsiaTheme="minorEastAsia"/>
          <w:b/>
          <w:color w:val="auto"/>
          <w:szCs w:val="21"/>
          <w:highlight w:val="none"/>
        </w:rPr>
        <w:t>电子投标文件解密失败的，且未在规定时间内提交</w:t>
      </w:r>
      <w:r>
        <w:rPr>
          <w:rFonts w:hint="eastAsia" w:asciiTheme="minorEastAsia" w:hAnsiTheme="minorEastAsia" w:eastAsiaTheme="minorEastAsia"/>
          <w:b/>
          <w:color w:val="auto"/>
          <w:szCs w:val="21"/>
          <w:highlight w:val="none"/>
        </w:rPr>
        <w:t>有效</w:t>
      </w:r>
      <w:r>
        <w:rPr>
          <w:rFonts w:asciiTheme="minorEastAsia" w:hAnsiTheme="minorEastAsia" w:eastAsiaTheme="minorEastAsia"/>
          <w:b/>
          <w:color w:val="auto"/>
          <w:szCs w:val="21"/>
          <w:highlight w:val="none"/>
        </w:rPr>
        <w:t>备份投标文件的</w:t>
      </w:r>
      <w:r>
        <w:rPr>
          <w:rFonts w:hint="eastAsia" w:asciiTheme="minorEastAsia" w:hAnsiTheme="minorEastAsia" w:eastAsiaTheme="minorEastAsia"/>
          <w:b/>
          <w:color w:val="auto"/>
          <w:szCs w:val="21"/>
          <w:highlight w:val="none"/>
        </w:rPr>
        <w:t>。</w:t>
      </w:r>
    </w:p>
    <w:p>
      <w:pPr>
        <w:snapToGrid w:val="0"/>
        <w:spacing w:line="360" w:lineRule="auto"/>
        <w:ind w:firstLine="413" w:firstLineChars="196"/>
        <w:rPr>
          <w:rFonts w:asciiTheme="minorEastAsia" w:hAnsiTheme="minorEastAsia" w:eastAsiaTheme="minorEastAsia"/>
          <w:b/>
          <w:color w:val="auto"/>
          <w:szCs w:val="21"/>
          <w:highlight w:val="none"/>
        </w:rPr>
      </w:pPr>
      <w:r>
        <w:rPr>
          <w:rFonts w:asciiTheme="minorEastAsia" w:hAnsiTheme="minorEastAsia" w:eastAsiaTheme="minorEastAsia"/>
          <w:b/>
          <w:color w:val="auto"/>
          <w:szCs w:val="21"/>
          <w:highlight w:val="none"/>
        </w:rPr>
        <w:t>2.</w:t>
      </w:r>
      <w:r>
        <w:rPr>
          <w:rFonts w:hint="eastAsia" w:asciiTheme="minorEastAsia" w:hAnsiTheme="minorEastAsia" w:eastAsiaTheme="minorEastAsia"/>
          <w:b/>
          <w:color w:val="auto"/>
          <w:szCs w:val="21"/>
          <w:highlight w:val="none"/>
        </w:rPr>
        <w:t>没有通过资格审查的，</w:t>
      </w:r>
      <w:r>
        <w:rPr>
          <w:rFonts w:asciiTheme="minorEastAsia" w:hAnsiTheme="minorEastAsia" w:eastAsiaTheme="minorEastAsia"/>
          <w:b/>
          <w:color w:val="auto"/>
          <w:szCs w:val="21"/>
          <w:highlight w:val="none"/>
        </w:rPr>
        <w:t>投标文件将被视为无效。</w:t>
      </w:r>
    </w:p>
    <w:p>
      <w:pPr>
        <w:snapToGrid w:val="0"/>
        <w:spacing w:line="360" w:lineRule="auto"/>
        <w:ind w:firstLine="413" w:firstLineChars="196"/>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3.</w:t>
      </w:r>
      <w:r>
        <w:rPr>
          <w:rFonts w:asciiTheme="minorEastAsia" w:hAnsiTheme="minorEastAsia" w:eastAsiaTheme="minorEastAsia"/>
          <w:b/>
          <w:color w:val="auto"/>
          <w:szCs w:val="21"/>
          <w:highlight w:val="none"/>
        </w:rPr>
        <w:t>在符合性审查和商务评审时，如发现下列情形之一的，投标文件将被视为无效：</w:t>
      </w:r>
    </w:p>
    <w:p>
      <w:pPr>
        <w:snapToGrid w:val="0"/>
        <w:spacing w:line="360" w:lineRule="auto"/>
        <w:ind w:firstLine="411" w:firstLineChars="196"/>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（1</w:t>
      </w:r>
      <w:r>
        <w:rPr>
          <w:rFonts w:asciiTheme="minorEastAsia" w:hAnsiTheme="minorEastAsia" w:eastAsiaTheme="minorEastAsia"/>
          <w:bCs/>
          <w:color w:val="auto"/>
          <w:szCs w:val="21"/>
          <w:highlight w:val="none"/>
        </w:rPr>
        <w:t>）电子投标文件未按规定要求提供电子签章的</w:t>
      </w:r>
      <w:r>
        <w:rPr>
          <w:rFonts w:hint="eastAsia" w:asciiTheme="minorEastAsia" w:hAnsiTheme="minorEastAsia" w:eastAsiaTheme="minorEastAsia"/>
          <w:bCs/>
          <w:color w:val="auto"/>
          <w:szCs w:val="21"/>
          <w:highlight w:val="none"/>
        </w:rPr>
        <w:t>；</w:t>
      </w:r>
    </w:p>
    <w:p>
      <w:pPr>
        <w:snapToGrid w:val="0"/>
        <w:spacing w:line="360" w:lineRule="auto"/>
        <w:ind w:firstLine="411" w:firstLineChars="196"/>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（2）在资信商务技术文件中出现报价的；</w:t>
      </w:r>
    </w:p>
    <w:p>
      <w:pPr>
        <w:snapToGrid w:val="0"/>
        <w:spacing w:line="360" w:lineRule="auto"/>
        <w:ind w:firstLine="411" w:firstLineChars="196"/>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（3）</w:t>
      </w:r>
      <w:r>
        <w:rPr>
          <w:rFonts w:asciiTheme="minorEastAsia" w:hAnsiTheme="minorEastAsia" w:eastAsiaTheme="minorEastAsia"/>
          <w:bCs/>
          <w:color w:val="auto"/>
          <w:szCs w:val="21"/>
          <w:highlight w:val="none"/>
        </w:rPr>
        <w:t>资格证明文件不全的，或者不符合招标文件标明的资格要求的</w:t>
      </w:r>
      <w:r>
        <w:rPr>
          <w:rFonts w:hint="eastAsia" w:asciiTheme="minorEastAsia" w:hAnsiTheme="minorEastAsia" w:eastAsiaTheme="minorEastAsia"/>
          <w:bCs/>
          <w:color w:val="auto"/>
          <w:szCs w:val="21"/>
          <w:highlight w:val="none"/>
        </w:rPr>
        <w:t>；</w:t>
      </w:r>
    </w:p>
    <w:p>
      <w:pPr>
        <w:snapToGrid w:val="0"/>
        <w:spacing w:line="360" w:lineRule="auto"/>
        <w:ind w:firstLine="411" w:firstLineChars="196"/>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（4</w:t>
      </w:r>
      <w:r>
        <w:rPr>
          <w:rFonts w:asciiTheme="minorEastAsia" w:hAnsiTheme="minorEastAsia" w:eastAsiaTheme="minorEastAsia"/>
          <w:bCs/>
          <w:color w:val="auto"/>
          <w:szCs w:val="21"/>
          <w:highlight w:val="none"/>
        </w:rPr>
        <w:t>）投标文件无法定代表人签字</w:t>
      </w:r>
      <w:r>
        <w:rPr>
          <w:rFonts w:hint="eastAsia" w:asciiTheme="minorEastAsia" w:hAnsiTheme="minorEastAsia" w:eastAsiaTheme="minorEastAsia"/>
          <w:bCs/>
          <w:color w:val="auto"/>
          <w:szCs w:val="21"/>
          <w:highlight w:val="none"/>
        </w:rPr>
        <w:t>（或盖章）</w:t>
      </w:r>
      <w:r>
        <w:rPr>
          <w:rFonts w:asciiTheme="minorEastAsia" w:hAnsiTheme="minorEastAsia" w:eastAsiaTheme="minorEastAsia"/>
          <w:bCs/>
          <w:color w:val="auto"/>
          <w:szCs w:val="21"/>
          <w:highlight w:val="none"/>
        </w:rPr>
        <w:t>,或未</w:t>
      </w:r>
      <w:r>
        <w:rPr>
          <w:rFonts w:hint="eastAsia" w:asciiTheme="minorEastAsia" w:hAnsiTheme="minorEastAsia" w:eastAsiaTheme="minorEastAsia"/>
          <w:bCs/>
          <w:color w:val="auto"/>
          <w:szCs w:val="21"/>
          <w:highlight w:val="none"/>
        </w:rPr>
        <w:t>提供法定代表人授权委托书、投标声明书或者填写项目不齐全的；</w:t>
      </w:r>
    </w:p>
    <w:p>
      <w:pPr>
        <w:snapToGrid w:val="0"/>
        <w:spacing w:line="360" w:lineRule="auto"/>
        <w:ind w:firstLine="411" w:firstLineChars="196"/>
        <w:rPr>
          <w:rFonts w:asciiTheme="minorEastAsia" w:hAnsiTheme="minorEastAsia" w:eastAsiaTheme="minorEastAsia"/>
          <w:bCs/>
          <w:color w:val="auto"/>
          <w:szCs w:val="21"/>
          <w:highlight w:val="none"/>
        </w:rPr>
      </w:pPr>
      <w:r>
        <w:rPr>
          <w:rFonts w:asciiTheme="minorEastAsia" w:hAnsiTheme="minorEastAsia" w:eastAsiaTheme="minorEastAsia"/>
          <w:bCs/>
          <w:color w:val="auto"/>
          <w:szCs w:val="21"/>
          <w:highlight w:val="none"/>
        </w:rPr>
        <w:t>（</w:t>
      </w:r>
      <w:r>
        <w:rPr>
          <w:rFonts w:hint="eastAsia" w:asciiTheme="minorEastAsia" w:hAnsiTheme="minorEastAsia" w:eastAsiaTheme="minorEastAsia"/>
          <w:bCs/>
          <w:color w:val="auto"/>
          <w:szCs w:val="21"/>
          <w:highlight w:val="none"/>
        </w:rPr>
        <w:t>5</w:t>
      </w:r>
      <w:r>
        <w:rPr>
          <w:rFonts w:asciiTheme="minorEastAsia" w:hAnsiTheme="minorEastAsia" w:eastAsiaTheme="minorEastAsia"/>
          <w:bCs/>
          <w:color w:val="auto"/>
          <w:szCs w:val="21"/>
          <w:highlight w:val="none"/>
        </w:rPr>
        <w:t>）</w:t>
      </w:r>
      <w:r>
        <w:rPr>
          <w:rFonts w:hint="eastAsia" w:asciiTheme="minorEastAsia" w:hAnsiTheme="minorEastAsia" w:eastAsiaTheme="minorEastAsia"/>
          <w:bCs/>
          <w:color w:val="auto"/>
          <w:szCs w:val="21"/>
          <w:highlight w:val="none"/>
        </w:rPr>
        <w:t>投标代表人未能出具身份证明或与法定代表人授权委托人身份不符的；</w:t>
      </w:r>
    </w:p>
    <w:p>
      <w:pPr>
        <w:snapToGrid w:val="0"/>
        <w:spacing w:line="360" w:lineRule="auto"/>
        <w:ind w:firstLine="411" w:firstLineChars="196"/>
        <w:rPr>
          <w:rFonts w:asciiTheme="minorEastAsia" w:hAnsiTheme="minorEastAsia" w:eastAsiaTheme="minorEastAsia"/>
          <w:bCs/>
          <w:color w:val="auto"/>
          <w:szCs w:val="21"/>
          <w:highlight w:val="none"/>
        </w:rPr>
      </w:pPr>
      <w:r>
        <w:rPr>
          <w:rFonts w:asciiTheme="minorEastAsia" w:hAnsiTheme="minorEastAsia" w:eastAsiaTheme="minorEastAsia"/>
          <w:bCs/>
          <w:color w:val="auto"/>
          <w:szCs w:val="21"/>
          <w:highlight w:val="none"/>
        </w:rPr>
        <w:t>（</w:t>
      </w:r>
      <w:r>
        <w:rPr>
          <w:rFonts w:hint="eastAsia" w:asciiTheme="minorEastAsia" w:hAnsiTheme="minorEastAsia" w:eastAsiaTheme="minorEastAsia"/>
          <w:bCs/>
          <w:color w:val="auto"/>
          <w:szCs w:val="21"/>
          <w:highlight w:val="none"/>
        </w:rPr>
        <w:t>6</w:t>
      </w:r>
      <w:r>
        <w:rPr>
          <w:rFonts w:asciiTheme="minorEastAsia" w:hAnsiTheme="minorEastAsia" w:eastAsiaTheme="minorEastAsia"/>
          <w:bCs/>
          <w:color w:val="auto"/>
          <w:szCs w:val="21"/>
          <w:highlight w:val="none"/>
        </w:rPr>
        <w:t>）投标文件格式不规范、项目不齐全或者内容虚假的；</w:t>
      </w:r>
    </w:p>
    <w:p>
      <w:pPr>
        <w:snapToGrid w:val="0"/>
        <w:spacing w:line="360" w:lineRule="auto"/>
        <w:ind w:firstLine="411" w:firstLineChars="196"/>
        <w:rPr>
          <w:rFonts w:asciiTheme="minorEastAsia" w:hAnsiTheme="minorEastAsia" w:eastAsiaTheme="minorEastAsia"/>
          <w:bCs/>
          <w:color w:val="auto"/>
          <w:szCs w:val="21"/>
          <w:highlight w:val="none"/>
        </w:rPr>
      </w:pPr>
      <w:r>
        <w:rPr>
          <w:rFonts w:asciiTheme="minorEastAsia" w:hAnsiTheme="minorEastAsia" w:eastAsiaTheme="minorEastAsia"/>
          <w:bCs/>
          <w:color w:val="auto"/>
          <w:szCs w:val="21"/>
          <w:highlight w:val="none"/>
        </w:rPr>
        <w:t>（</w:t>
      </w:r>
      <w:r>
        <w:rPr>
          <w:rFonts w:hint="eastAsia" w:asciiTheme="minorEastAsia" w:hAnsiTheme="minorEastAsia" w:eastAsiaTheme="minorEastAsia"/>
          <w:bCs/>
          <w:color w:val="auto"/>
          <w:szCs w:val="21"/>
          <w:highlight w:val="none"/>
        </w:rPr>
        <w:t>7</w:t>
      </w:r>
      <w:r>
        <w:rPr>
          <w:rFonts w:asciiTheme="minorEastAsia" w:hAnsiTheme="minorEastAsia" w:eastAsiaTheme="minorEastAsia"/>
          <w:bCs/>
          <w:color w:val="auto"/>
          <w:szCs w:val="21"/>
          <w:highlight w:val="none"/>
        </w:rPr>
        <w:t>）投标文件的实质性内容未使用中文表述、意思表述不明确、前后矛盾或者使用计量单位不符合招标文件要求的（经评标委员会认定</w:t>
      </w:r>
      <w:r>
        <w:rPr>
          <w:rFonts w:hint="eastAsia" w:asciiTheme="minorEastAsia" w:hAnsiTheme="minorEastAsia" w:eastAsiaTheme="minorEastAsia"/>
          <w:bCs/>
          <w:color w:val="auto"/>
          <w:szCs w:val="21"/>
          <w:highlight w:val="none"/>
        </w:rPr>
        <w:t>并</w:t>
      </w:r>
      <w:r>
        <w:rPr>
          <w:rFonts w:asciiTheme="minorEastAsia" w:hAnsiTheme="minorEastAsia" w:eastAsiaTheme="minorEastAsia"/>
          <w:bCs/>
          <w:color w:val="auto"/>
          <w:szCs w:val="21"/>
          <w:highlight w:val="none"/>
        </w:rPr>
        <w:t>允许其当场更正的笔误除外）</w:t>
      </w:r>
      <w:r>
        <w:rPr>
          <w:rFonts w:hint="eastAsia" w:asciiTheme="minorEastAsia" w:hAnsiTheme="minorEastAsia" w:eastAsiaTheme="minorEastAsia"/>
          <w:bCs/>
          <w:color w:val="auto"/>
          <w:szCs w:val="21"/>
          <w:highlight w:val="none"/>
        </w:rPr>
        <w:t>；</w:t>
      </w:r>
    </w:p>
    <w:p>
      <w:pPr>
        <w:snapToGrid w:val="0"/>
        <w:spacing w:line="360" w:lineRule="auto"/>
        <w:ind w:firstLine="411" w:firstLineChars="196"/>
        <w:rPr>
          <w:rFonts w:asciiTheme="minorEastAsia" w:hAnsiTheme="minorEastAsia" w:eastAsiaTheme="minorEastAsia"/>
          <w:bCs/>
          <w:color w:val="auto"/>
          <w:szCs w:val="21"/>
          <w:highlight w:val="none"/>
        </w:rPr>
      </w:pPr>
      <w:r>
        <w:rPr>
          <w:rFonts w:asciiTheme="minorEastAsia" w:hAnsiTheme="minorEastAsia" w:eastAsiaTheme="minorEastAsia"/>
          <w:bCs/>
          <w:color w:val="auto"/>
          <w:szCs w:val="21"/>
          <w:highlight w:val="none"/>
        </w:rPr>
        <w:t>（</w:t>
      </w:r>
      <w:r>
        <w:rPr>
          <w:rFonts w:hint="eastAsia" w:asciiTheme="minorEastAsia" w:hAnsiTheme="minorEastAsia" w:eastAsiaTheme="minorEastAsia"/>
          <w:bCs/>
          <w:color w:val="auto"/>
          <w:szCs w:val="21"/>
          <w:highlight w:val="none"/>
        </w:rPr>
        <w:t>8</w:t>
      </w:r>
      <w:r>
        <w:rPr>
          <w:rFonts w:asciiTheme="minorEastAsia" w:hAnsiTheme="minorEastAsia" w:eastAsiaTheme="minorEastAsia"/>
          <w:bCs/>
          <w:color w:val="auto"/>
          <w:szCs w:val="21"/>
          <w:highlight w:val="none"/>
        </w:rPr>
        <w:t>）投标有效期、交货时间、质保期等商务条款不能满足招标文件要求的；</w:t>
      </w:r>
    </w:p>
    <w:p>
      <w:pPr>
        <w:snapToGrid w:val="0"/>
        <w:spacing w:line="360" w:lineRule="auto"/>
        <w:ind w:firstLine="411" w:firstLineChars="196"/>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（9）未实质性</w:t>
      </w:r>
      <w:r>
        <w:rPr>
          <w:rFonts w:asciiTheme="minorEastAsia" w:hAnsiTheme="minorEastAsia" w:eastAsiaTheme="minorEastAsia"/>
          <w:bCs/>
          <w:color w:val="auto"/>
          <w:szCs w:val="21"/>
          <w:highlight w:val="none"/>
        </w:rPr>
        <w:t>响应招标文件要求或者投标文件有招标方不能接受的附加条件的</w:t>
      </w:r>
      <w:r>
        <w:rPr>
          <w:rFonts w:hint="eastAsia" w:asciiTheme="minorEastAsia" w:hAnsiTheme="minorEastAsia" w:eastAsiaTheme="minorEastAsia"/>
          <w:bCs/>
          <w:color w:val="auto"/>
          <w:szCs w:val="21"/>
          <w:highlight w:val="none"/>
        </w:rPr>
        <w:t>；</w:t>
      </w:r>
    </w:p>
    <w:p>
      <w:pPr>
        <w:snapToGrid w:val="0"/>
        <w:spacing w:line="360" w:lineRule="auto"/>
        <w:ind w:firstLine="411" w:firstLineChars="196"/>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（10）不符合本招标文件中的实质性要求条款。</w:t>
      </w:r>
    </w:p>
    <w:p>
      <w:pPr>
        <w:snapToGrid w:val="0"/>
        <w:spacing w:line="360" w:lineRule="auto"/>
        <w:ind w:firstLine="413" w:firstLineChars="196"/>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4.</w:t>
      </w:r>
      <w:r>
        <w:rPr>
          <w:rFonts w:asciiTheme="minorEastAsia" w:hAnsiTheme="minorEastAsia" w:eastAsiaTheme="minorEastAsia"/>
          <w:b/>
          <w:color w:val="auto"/>
          <w:szCs w:val="21"/>
          <w:highlight w:val="none"/>
        </w:rPr>
        <w:t>在技术评审时，如发现下列情形之一的，投标文件将被视为无效：</w:t>
      </w:r>
    </w:p>
    <w:p>
      <w:pPr>
        <w:snapToGrid w:val="0"/>
        <w:spacing w:line="360" w:lineRule="auto"/>
        <w:ind w:firstLine="411" w:firstLineChars="196"/>
        <w:rPr>
          <w:rFonts w:asciiTheme="minorEastAsia" w:hAnsiTheme="minorEastAsia" w:eastAsiaTheme="minorEastAsia"/>
          <w:bCs/>
          <w:color w:val="auto"/>
          <w:szCs w:val="21"/>
          <w:highlight w:val="none"/>
        </w:rPr>
      </w:pPr>
      <w:r>
        <w:rPr>
          <w:rFonts w:asciiTheme="minorEastAsia" w:hAnsiTheme="minorEastAsia" w:eastAsiaTheme="minorEastAsia"/>
          <w:bCs/>
          <w:color w:val="auto"/>
          <w:szCs w:val="21"/>
          <w:highlight w:val="none"/>
        </w:rPr>
        <w:t>（1）未提供或未如实提供投标货物的技术参数，或者投标文件标明的响应或偏离与事实不符或虚假投标的；</w:t>
      </w:r>
    </w:p>
    <w:p>
      <w:pPr>
        <w:snapToGrid w:val="0"/>
        <w:spacing w:line="360" w:lineRule="auto"/>
        <w:ind w:firstLine="411" w:firstLineChars="196"/>
        <w:rPr>
          <w:rFonts w:asciiTheme="minorEastAsia" w:hAnsiTheme="minorEastAsia" w:eastAsiaTheme="minorEastAsia"/>
          <w:bCs/>
          <w:color w:val="auto"/>
          <w:szCs w:val="21"/>
          <w:highlight w:val="none"/>
        </w:rPr>
      </w:pPr>
      <w:r>
        <w:rPr>
          <w:rFonts w:asciiTheme="minorEastAsia" w:hAnsiTheme="minorEastAsia" w:eastAsiaTheme="minorEastAsia"/>
          <w:bCs/>
          <w:color w:val="auto"/>
          <w:szCs w:val="21"/>
          <w:highlight w:val="none"/>
        </w:rPr>
        <w:t>（2）明显不符合招标文件</w:t>
      </w:r>
      <w:r>
        <w:rPr>
          <w:rFonts w:hint="eastAsia" w:asciiTheme="minorEastAsia" w:hAnsiTheme="minorEastAsia" w:eastAsiaTheme="minorEastAsia"/>
          <w:bCs/>
          <w:color w:val="auto"/>
          <w:szCs w:val="21"/>
          <w:highlight w:val="none"/>
        </w:rPr>
        <w:t>要求</w:t>
      </w:r>
      <w:r>
        <w:rPr>
          <w:rFonts w:asciiTheme="minorEastAsia" w:hAnsiTheme="minorEastAsia" w:eastAsiaTheme="minorEastAsia"/>
          <w:bCs/>
          <w:color w:val="auto"/>
          <w:szCs w:val="21"/>
          <w:highlight w:val="none"/>
        </w:rPr>
        <w:t>的规格型号、质量标准，或者</w:t>
      </w:r>
      <w:r>
        <w:rPr>
          <w:rFonts w:hint="eastAsia" w:asciiTheme="minorEastAsia" w:hAnsiTheme="minorEastAsia" w:eastAsiaTheme="minorEastAsia"/>
          <w:bCs/>
          <w:color w:val="auto"/>
          <w:szCs w:val="21"/>
          <w:highlight w:val="none"/>
        </w:rPr>
        <w:t>与</w:t>
      </w:r>
      <w:r>
        <w:rPr>
          <w:rFonts w:asciiTheme="minorEastAsia" w:hAnsiTheme="minorEastAsia" w:eastAsiaTheme="minorEastAsia"/>
          <w:bCs/>
          <w:color w:val="auto"/>
          <w:szCs w:val="21"/>
          <w:highlight w:val="none"/>
        </w:rPr>
        <w:t>招标文件中标“▲”的技术指标、主要功能项目发生实质性偏离的；</w:t>
      </w:r>
    </w:p>
    <w:p>
      <w:pPr>
        <w:snapToGrid w:val="0"/>
        <w:spacing w:line="360" w:lineRule="auto"/>
        <w:ind w:firstLine="411" w:firstLineChars="196"/>
        <w:rPr>
          <w:rFonts w:asciiTheme="minorEastAsia" w:hAnsiTheme="minorEastAsia" w:eastAsiaTheme="minorEastAsia"/>
          <w:bCs/>
          <w:color w:val="auto"/>
          <w:szCs w:val="21"/>
          <w:highlight w:val="none"/>
        </w:rPr>
      </w:pPr>
      <w:r>
        <w:rPr>
          <w:rFonts w:asciiTheme="minorEastAsia" w:hAnsiTheme="minorEastAsia" w:eastAsiaTheme="minorEastAsia"/>
          <w:bCs/>
          <w:color w:val="auto"/>
          <w:szCs w:val="21"/>
          <w:highlight w:val="none"/>
        </w:rPr>
        <w:t>（</w:t>
      </w:r>
      <w:r>
        <w:rPr>
          <w:rFonts w:hint="eastAsia" w:asciiTheme="minorEastAsia" w:hAnsiTheme="minorEastAsia" w:eastAsiaTheme="minorEastAsia"/>
          <w:bCs/>
          <w:color w:val="auto"/>
          <w:szCs w:val="21"/>
          <w:highlight w:val="none"/>
        </w:rPr>
        <w:t>3</w:t>
      </w:r>
      <w:r>
        <w:rPr>
          <w:rFonts w:asciiTheme="minorEastAsia" w:hAnsiTheme="minorEastAsia" w:eastAsiaTheme="minorEastAsia"/>
          <w:bCs/>
          <w:color w:val="auto"/>
          <w:szCs w:val="21"/>
          <w:highlight w:val="none"/>
        </w:rPr>
        <w:t>）投标技术方案不明确，存在一个或一个以上备选（替代）投标方案的；</w:t>
      </w:r>
    </w:p>
    <w:p>
      <w:pPr>
        <w:snapToGrid w:val="0"/>
        <w:spacing w:line="360" w:lineRule="auto"/>
        <w:ind w:firstLine="411" w:firstLineChars="196"/>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（4）与其他参加本次投标供应商的投标文件（技术文件）的文字表述内容相同连续20行以上或者差错相同2处以上的。</w:t>
      </w:r>
    </w:p>
    <w:p>
      <w:pPr>
        <w:snapToGrid w:val="0"/>
        <w:spacing w:line="360" w:lineRule="auto"/>
        <w:ind w:firstLine="413" w:firstLineChars="196"/>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5.</w:t>
      </w:r>
      <w:r>
        <w:rPr>
          <w:rFonts w:asciiTheme="minorEastAsia" w:hAnsiTheme="minorEastAsia" w:eastAsiaTheme="minorEastAsia"/>
          <w:b/>
          <w:color w:val="auto"/>
          <w:szCs w:val="21"/>
          <w:highlight w:val="none"/>
        </w:rPr>
        <w:t>在报价评审时，如发现下列情形之一的，投标文件将被视为无效：</w:t>
      </w:r>
    </w:p>
    <w:p>
      <w:pPr>
        <w:snapToGrid w:val="0"/>
        <w:spacing w:line="360" w:lineRule="auto"/>
        <w:ind w:firstLine="411" w:firstLineChars="196"/>
        <w:rPr>
          <w:rFonts w:asciiTheme="minorEastAsia" w:hAnsiTheme="minorEastAsia" w:eastAsiaTheme="minorEastAsia"/>
          <w:bCs/>
          <w:color w:val="auto"/>
          <w:szCs w:val="21"/>
          <w:highlight w:val="none"/>
        </w:rPr>
      </w:pPr>
      <w:r>
        <w:rPr>
          <w:rFonts w:asciiTheme="minorEastAsia" w:hAnsiTheme="minorEastAsia" w:eastAsiaTheme="minorEastAsia"/>
          <w:bCs/>
          <w:color w:val="auto"/>
          <w:szCs w:val="21"/>
          <w:highlight w:val="none"/>
        </w:rPr>
        <w:t>（1）未采用人民币报价或者未按照招标文件标明的币种报价的；</w:t>
      </w:r>
    </w:p>
    <w:p>
      <w:pPr>
        <w:snapToGrid w:val="0"/>
        <w:spacing w:line="360" w:lineRule="auto"/>
        <w:ind w:firstLine="411" w:firstLineChars="196"/>
        <w:rPr>
          <w:rFonts w:asciiTheme="minorEastAsia" w:hAnsiTheme="minorEastAsia" w:eastAsiaTheme="minorEastAsia"/>
          <w:bCs/>
          <w:color w:val="auto"/>
          <w:szCs w:val="21"/>
          <w:highlight w:val="none"/>
        </w:rPr>
      </w:pPr>
      <w:r>
        <w:rPr>
          <w:rFonts w:asciiTheme="minorEastAsia" w:hAnsiTheme="minorEastAsia" w:eastAsiaTheme="minorEastAsia"/>
          <w:bCs/>
          <w:color w:val="auto"/>
          <w:szCs w:val="21"/>
          <w:highlight w:val="none"/>
        </w:rPr>
        <w:t>（2）报价超出最高限价</w:t>
      </w:r>
      <w:r>
        <w:rPr>
          <w:rFonts w:hint="eastAsia" w:asciiTheme="minorEastAsia" w:hAnsiTheme="minorEastAsia" w:eastAsiaTheme="minorEastAsia"/>
          <w:bCs/>
          <w:color w:val="auto"/>
          <w:szCs w:val="21"/>
          <w:highlight w:val="none"/>
        </w:rPr>
        <w:t>；</w:t>
      </w:r>
    </w:p>
    <w:p>
      <w:pPr>
        <w:snapToGrid w:val="0"/>
        <w:spacing w:line="360" w:lineRule="auto"/>
        <w:ind w:firstLine="411" w:firstLineChars="196"/>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 xml:space="preserve">（3）投标报价具有选择性，或者开标价格与投标文件承诺的优惠（折扣）价格不一致的。 </w:t>
      </w:r>
    </w:p>
    <w:p>
      <w:pPr>
        <w:snapToGrid w:val="0"/>
        <w:spacing w:line="360" w:lineRule="auto"/>
        <w:ind w:firstLine="411" w:firstLineChars="196"/>
        <w:rPr>
          <w:rFonts w:asciiTheme="minorEastAsia" w:hAnsiTheme="minorEastAsia" w:eastAsiaTheme="minorEastAsia"/>
          <w:color w:val="auto"/>
          <w:szCs w:val="21"/>
          <w:highlight w:val="none"/>
        </w:rPr>
      </w:pPr>
      <w:r>
        <w:rPr>
          <w:rFonts w:hint="eastAsia" w:asciiTheme="minorEastAsia" w:hAnsiTheme="minorEastAsia" w:eastAsiaTheme="minorEastAsia"/>
          <w:bCs/>
          <w:color w:val="auto"/>
          <w:szCs w:val="21"/>
          <w:highlight w:val="none"/>
        </w:rPr>
        <w:t xml:space="preserve">（4） 投标报价明细表总额与开标一览表总价不一致，且高于总价5％的。 </w:t>
      </w:r>
    </w:p>
    <w:p>
      <w:pPr>
        <w:snapToGrid w:val="0"/>
        <w:spacing w:line="360" w:lineRule="auto"/>
        <w:ind w:firstLine="413" w:firstLineChars="196"/>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6.</w:t>
      </w:r>
      <w:r>
        <w:rPr>
          <w:rFonts w:asciiTheme="minorEastAsia" w:hAnsiTheme="minorEastAsia" w:eastAsiaTheme="minorEastAsia"/>
          <w:b/>
          <w:color w:val="auto"/>
          <w:szCs w:val="21"/>
          <w:highlight w:val="none"/>
        </w:rPr>
        <w:t>被拒绝的投标文件为无效。</w:t>
      </w:r>
    </w:p>
    <w:p>
      <w:pPr>
        <w:pStyle w:val="22"/>
        <w:snapToGrid w:val="0"/>
        <w:spacing w:line="360" w:lineRule="auto"/>
        <w:ind w:firstLine="413" w:firstLineChars="196"/>
        <w:rPr>
          <w:rFonts w:asciiTheme="minorEastAsia" w:hAnsiTheme="minorEastAsia" w:eastAsiaTheme="minorEastAsia"/>
          <w:b/>
          <w:snapToGrid w:val="0"/>
          <w:color w:val="auto"/>
          <w:szCs w:val="21"/>
          <w:highlight w:val="none"/>
        </w:rPr>
      </w:pPr>
    </w:p>
    <w:p>
      <w:pPr>
        <w:pStyle w:val="22"/>
        <w:snapToGrid w:val="0"/>
        <w:spacing w:line="360" w:lineRule="auto"/>
        <w:ind w:firstLine="413" w:firstLineChars="196"/>
        <w:jc w:val="center"/>
        <w:outlineLvl w:val="1"/>
        <w:rPr>
          <w:rFonts w:asciiTheme="minorEastAsia" w:hAnsiTheme="minorEastAsia" w:eastAsiaTheme="minorEastAsia"/>
          <w:b/>
          <w:snapToGrid w:val="0"/>
          <w:color w:val="auto"/>
          <w:szCs w:val="21"/>
          <w:highlight w:val="none"/>
        </w:rPr>
      </w:pPr>
      <w:r>
        <w:rPr>
          <w:rFonts w:hint="eastAsia" w:asciiTheme="minorEastAsia" w:hAnsiTheme="minorEastAsia" w:eastAsiaTheme="minorEastAsia"/>
          <w:b/>
          <w:color w:val="auto"/>
          <w:szCs w:val="21"/>
          <w:highlight w:val="none"/>
        </w:rPr>
        <w:t>四、开标</w:t>
      </w:r>
    </w:p>
    <w:p>
      <w:pPr>
        <w:pStyle w:val="22"/>
        <w:snapToGrid w:val="0"/>
        <w:spacing w:line="360" w:lineRule="auto"/>
        <w:ind w:firstLine="411" w:firstLineChars="196"/>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1、本项目实行电子开评标，供应商无需到开标现场，但须准时在线参加，直至评审结束。</w:t>
      </w:r>
    </w:p>
    <w:p>
      <w:pPr>
        <w:pStyle w:val="22"/>
        <w:snapToGrid w:val="0"/>
        <w:spacing w:line="360" w:lineRule="auto"/>
        <w:ind w:firstLine="411" w:firstLineChars="196"/>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2、电子开评标及评审程序</w:t>
      </w:r>
    </w:p>
    <w:p>
      <w:pPr>
        <w:pStyle w:val="22"/>
        <w:snapToGrid w:val="0"/>
        <w:spacing w:line="360" w:lineRule="auto"/>
        <w:ind w:firstLine="411" w:firstLineChars="196"/>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2.1投标截止时间后的半小时内，由各供应商自行对电子投标文件进行解密（请各供应商务必在规定时间内完成电子投标文件的解密工作。 </w:t>
      </w:r>
    </w:p>
    <w:p>
      <w:pPr>
        <w:pStyle w:val="22"/>
        <w:snapToGrid w:val="0"/>
        <w:spacing w:line="360" w:lineRule="auto"/>
        <w:ind w:firstLine="411" w:firstLineChars="196"/>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2.2.采购人或代理机构对供应商的资格审查文件进行</w:t>
      </w:r>
      <w:r>
        <w:rPr>
          <w:rFonts w:asciiTheme="minorEastAsia" w:hAnsiTheme="minorEastAsia" w:eastAsiaTheme="minorEastAsia"/>
          <w:color w:val="auto"/>
          <w:szCs w:val="21"/>
          <w:highlight w:val="none"/>
        </w:rPr>
        <w:t>审查；</w:t>
      </w:r>
      <w:r>
        <w:rPr>
          <w:rFonts w:hint="eastAsia" w:asciiTheme="minorEastAsia" w:hAnsiTheme="minorEastAsia" w:eastAsiaTheme="minorEastAsia"/>
          <w:color w:val="auto"/>
          <w:szCs w:val="21"/>
          <w:highlight w:val="none"/>
        </w:rPr>
        <w:t>评标委员会对供应商的资信商务及技术响应文件进行评审；</w:t>
      </w:r>
    </w:p>
    <w:p>
      <w:pPr>
        <w:pStyle w:val="22"/>
        <w:snapToGrid w:val="0"/>
        <w:spacing w:line="360" w:lineRule="auto"/>
        <w:ind w:firstLine="411" w:firstLineChars="196"/>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2.3评标委员会对报价文件进行评审；</w:t>
      </w:r>
    </w:p>
    <w:p>
      <w:pPr>
        <w:pStyle w:val="22"/>
        <w:snapToGrid w:val="0"/>
        <w:spacing w:line="360" w:lineRule="auto"/>
        <w:ind w:firstLine="411" w:firstLineChars="196"/>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2.4</w:t>
      </w:r>
      <w:r>
        <w:rPr>
          <w:rFonts w:hint="eastAsia" w:asciiTheme="minorEastAsia" w:hAnsiTheme="minorEastAsia" w:eastAsiaTheme="minorEastAsia"/>
          <w:color w:val="auto"/>
          <w:szCs w:val="21"/>
          <w:highlight w:val="none"/>
        </w:rPr>
        <w:t>评标委员会</w:t>
      </w:r>
      <w:r>
        <w:rPr>
          <w:rFonts w:asciiTheme="minorEastAsia" w:hAnsiTheme="minorEastAsia" w:eastAsiaTheme="minorEastAsia"/>
          <w:color w:val="auto"/>
          <w:szCs w:val="21"/>
          <w:highlight w:val="none"/>
        </w:rPr>
        <w:t>撰写评审报告，推荐中标候选人。</w:t>
      </w:r>
    </w:p>
    <w:p>
      <w:pPr>
        <w:pStyle w:val="28"/>
        <w:snapToGrid w:val="0"/>
        <w:spacing w:beforeLines="0" w:afterLines="0" w:line="360" w:lineRule="auto"/>
        <w:ind w:left="772" w:leftChars="267" w:hanging="211" w:hangingChars="100"/>
        <w:jc w:val="center"/>
        <w:outlineLvl w:val="1"/>
        <w:rPr>
          <w:rFonts w:asciiTheme="minorEastAsia" w:hAnsiTheme="minorEastAsia" w:eastAsiaTheme="minorEastAsia"/>
          <w:b/>
          <w:color w:val="auto"/>
          <w:sz w:val="21"/>
          <w:szCs w:val="21"/>
          <w:highlight w:val="none"/>
        </w:rPr>
      </w:pPr>
    </w:p>
    <w:p>
      <w:pPr>
        <w:pStyle w:val="28"/>
        <w:snapToGrid w:val="0"/>
        <w:spacing w:beforeLines="0" w:afterLines="0" w:line="360" w:lineRule="auto"/>
        <w:ind w:left="772" w:leftChars="267" w:hanging="211" w:hangingChars="100"/>
        <w:jc w:val="center"/>
        <w:outlineLvl w:val="1"/>
        <w:rPr>
          <w:rFonts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五、评标</w:t>
      </w:r>
    </w:p>
    <w:p>
      <w:pPr>
        <w:pStyle w:val="28"/>
        <w:snapToGrid w:val="0"/>
        <w:spacing w:beforeLines="0" w:afterLines="0" w:line="360" w:lineRule="auto"/>
        <w:ind w:left="690" w:leftChars="228" w:hanging="211" w:hangingChars="100"/>
        <w:rPr>
          <w:rFonts w:asciiTheme="minorEastAsia" w:hAnsiTheme="minorEastAsia" w:eastAsiaTheme="minorEastAsia"/>
          <w:b/>
          <w:color w:val="auto"/>
          <w:sz w:val="21"/>
          <w:szCs w:val="21"/>
          <w:highlight w:val="none"/>
        </w:rPr>
      </w:pPr>
      <w:r>
        <w:rPr>
          <w:rFonts w:asciiTheme="minorEastAsia" w:hAnsiTheme="minorEastAsia" w:eastAsiaTheme="minorEastAsia"/>
          <w:b/>
          <w:color w:val="auto"/>
          <w:sz w:val="21"/>
          <w:szCs w:val="21"/>
          <w:highlight w:val="none"/>
        </w:rPr>
        <w:t>（一）组建评标委员会</w:t>
      </w:r>
    </w:p>
    <w:p>
      <w:pPr>
        <w:pStyle w:val="28"/>
        <w:snapToGrid w:val="0"/>
        <w:spacing w:beforeLines="0" w:afterLines="0" w:line="360" w:lineRule="auto"/>
        <w:ind w:firstLine="420" w:firstLineChars="200"/>
        <w:rPr>
          <w:rFonts w:asciiTheme="minorEastAsia" w:hAnsiTheme="minorEastAsia" w:eastAsiaTheme="minorEastAsia"/>
          <w:color w:val="auto"/>
          <w:sz w:val="21"/>
          <w:szCs w:val="21"/>
          <w:highlight w:val="none"/>
        </w:rPr>
      </w:pPr>
      <w:bookmarkStart w:id="62" w:name="_GoBack"/>
      <w:r>
        <w:rPr>
          <w:rFonts w:hint="eastAsia" w:cs="宋体" w:asciiTheme="minorEastAsia" w:hAnsiTheme="minorEastAsia" w:eastAsiaTheme="minorEastAsia"/>
          <w:color w:val="auto"/>
          <w:kern w:val="0"/>
          <w:sz w:val="21"/>
          <w:szCs w:val="21"/>
          <w:highlight w:val="none"/>
        </w:rPr>
        <w:t>评标委员会由采购人代表和评审专家组成，</w:t>
      </w:r>
      <w:r>
        <w:rPr>
          <w:rFonts w:asciiTheme="minorEastAsia" w:hAnsiTheme="minorEastAsia" w:eastAsiaTheme="minorEastAsia"/>
          <w:color w:val="auto"/>
          <w:sz w:val="21"/>
          <w:szCs w:val="21"/>
          <w:highlight w:val="none"/>
        </w:rPr>
        <w:t>政府采购评审专家</w:t>
      </w:r>
      <w:r>
        <w:rPr>
          <w:rFonts w:hint="eastAsia" w:asciiTheme="minorEastAsia" w:hAnsiTheme="minorEastAsia" w:eastAsiaTheme="minorEastAsia"/>
          <w:color w:val="auto"/>
          <w:sz w:val="21"/>
          <w:szCs w:val="21"/>
          <w:highlight w:val="none"/>
          <w:u w:val="single"/>
          <w:lang w:val="en-US" w:eastAsia="zh-CN"/>
        </w:rPr>
        <w:t>5</w:t>
      </w:r>
      <w:r>
        <w:rPr>
          <w:rFonts w:asciiTheme="minorEastAsia" w:hAnsiTheme="minorEastAsia" w:eastAsiaTheme="minorEastAsia"/>
          <w:color w:val="auto"/>
          <w:sz w:val="21"/>
          <w:szCs w:val="21"/>
          <w:highlight w:val="none"/>
        </w:rPr>
        <w:t>人和采购人代表</w:t>
      </w:r>
      <w:r>
        <w:rPr>
          <w:rFonts w:hint="eastAsia" w:asciiTheme="minorEastAsia" w:hAnsiTheme="minorEastAsia" w:eastAsiaTheme="minorEastAsia"/>
          <w:color w:val="auto"/>
          <w:sz w:val="21"/>
          <w:szCs w:val="21"/>
          <w:highlight w:val="none"/>
          <w:u w:val="single"/>
          <w:lang w:val="en-US" w:eastAsia="zh-CN"/>
        </w:rPr>
        <w:t>2</w:t>
      </w:r>
      <w:r>
        <w:rPr>
          <w:rFonts w:asciiTheme="minorEastAsia" w:hAnsiTheme="minorEastAsia" w:eastAsiaTheme="minorEastAsia"/>
          <w:color w:val="auto"/>
          <w:sz w:val="21"/>
          <w:szCs w:val="21"/>
          <w:highlight w:val="none"/>
        </w:rPr>
        <w:t>人,共</w:t>
      </w:r>
      <w:r>
        <w:rPr>
          <w:rFonts w:asciiTheme="minorEastAsia" w:hAnsiTheme="minorEastAsia" w:eastAsiaTheme="minorEastAsia"/>
          <w:color w:val="auto"/>
          <w:sz w:val="21"/>
          <w:szCs w:val="21"/>
          <w:highlight w:val="none"/>
          <w:u w:val="single"/>
        </w:rPr>
        <w:t xml:space="preserve"> </w:t>
      </w:r>
      <w:r>
        <w:rPr>
          <w:rFonts w:hint="eastAsia" w:asciiTheme="minorEastAsia" w:hAnsiTheme="minorEastAsia" w:eastAsiaTheme="minorEastAsia"/>
          <w:color w:val="auto"/>
          <w:sz w:val="21"/>
          <w:szCs w:val="21"/>
          <w:highlight w:val="none"/>
          <w:u w:val="single"/>
          <w:lang w:val="en-US" w:eastAsia="zh-CN"/>
        </w:rPr>
        <w:t>7</w:t>
      </w:r>
      <w:r>
        <w:rPr>
          <w:rFonts w:asciiTheme="minorEastAsia" w:hAnsiTheme="minorEastAsia" w:eastAsiaTheme="minorEastAsia"/>
          <w:color w:val="auto"/>
          <w:sz w:val="21"/>
          <w:szCs w:val="21"/>
          <w:highlight w:val="none"/>
        </w:rPr>
        <w:t>人组成。</w:t>
      </w:r>
      <w:bookmarkEnd w:id="62"/>
    </w:p>
    <w:p>
      <w:pPr>
        <w:widowControl/>
        <w:shd w:val="clear" w:color="auto" w:fill="FFFFFF"/>
        <w:spacing w:line="360" w:lineRule="auto"/>
        <w:ind w:firstLine="420" w:firstLineChars="200"/>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评标委员会负责具体评标事务，并独立履行下列职责：</w:t>
      </w:r>
    </w:p>
    <w:p>
      <w:pPr>
        <w:widowControl/>
        <w:shd w:val="clear" w:color="auto" w:fill="FFFFFF"/>
        <w:spacing w:line="360" w:lineRule="auto"/>
        <w:ind w:firstLine="420" w:firstLineChars="200"/>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1、审查、评价投标文件是否符合招标文件的商务、技术等实质性要求;</w:t>
      </w:r>
    </w:p>
    <w:p>
      <w:pPr>
        <w:widowControl/>
        <w:shd w:val="clear" w:color="auto" w:fill="FFFFFF"/>
        <w:spacing w:line="360" w:lineRule="auto"/>
        <w:ind w:firstLine="420" w:firstLineChars="200"/>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2、要求供应商对投标文件有关事项作出澄清或者说明;</w:t>
      </w:r>
    </w:p>
    <w:p>
      <w:pPr>
        <w:widowControl/>
        <w:shd w:val="clear" w:color="auto" w:fill="FFFFFF"/>
        <w:spacing w:line="360" w:lineRule="auto"/>
        <w:ind w:firstLine="420" w:firstLineChars="200"/>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3、对投标文件进行比较和评价;</w:t>
      </w:r>
    </w:p>
    <w:p>
      <w:pPr>
        <w:widowControl/>
        <w:shd w:val="clear" w:color="auto" w:fill="FFFFFF"/>
        <w:spacing w:line="360" w:lineRule="auto"/>
        <w:ind w:firstLine="420" w:firstLineChars="200"/>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4、确定中标候选人名单，以及根据采购人委托直接确定中标人;</w:t>
      </w:r>
    </w:p>
    <w:p>
      <w:pPr>
        <w:widowControl/>
        <w:shd w:val="clear" w:color="auto" w:fill="FFFFFF"/>
        <w:spacing w:line="360" w:lineRule="auto"/>
        <w:ind w:firstLine="420" w:firstLineChars="200"/>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5、向采购人、代理机构或者有关部门报告评标中发现的违法行为。</w:t>
      </w:r>
    </w:p>
    <w:p>
      <w:pPr>
        <w:widowControl/>
        <w:shd w:val="clear" w:color="auto" w:fill="FFFFFF"/>
        <w:spacing w:line="360" w:lineRule="auto"/>
        <w:ind w:firstLine="422" w:firstLineChars="200"/>
        <w:jc w:val="left"/>
        <w:rPr>
          <w:rFonts w:cs="宋体" w:asciiTheme="minorEastAsia" w:hAnsiTheme="minorEastAsia" w:eastAsiaTheme="minorEastAsia"/>
          <w:b/>
          <w:color w:val="auto"/>
          <w:kern w:val="0"/>
          <w:szCs w:val="21"/>
          <w:highlight w:val="none"/>
          <w:u w:val="single"/>
        </w:rPr>
      </w:pPr>
      <w:r>
        <w:rPr>
          <w:rFonts w:hint="eastAsia" w:cs="宋体" w:asciiTheme="minorEastAsia" w:hAnsiTheme="minorEastAsia" w:eastAsiaTheme="minorEastAsia"/>
          <w:b/>
          <w:color w:val="auto"/>
          <w:kern w:val="0"/>
          <w:szCs w:val="21"/>
          <w:highlight w:val="none"/>
          <w:u w:val="single"/>
        </w:rPr>
        <w:t>除采购人代表、评标现场组织人员外，采购人的其他工作人员以及与评标工作无关的人员不得进入评标现场。</w:t>
      </w:r>
    </w:p>
    <w:p>
      <w:pPr>
        <w:pStyle w:val="28"/>
        <w:snapToGrid w:val="0"/>
        <w:spacing w:beforeLines="0" w:afterLines="0" w:line="360" w:lineRule="auto"/>
        <w:ind w:left="690" w:leftChars="228" w:hanging="211" w:hangingChars="100"/>
        <w:rPr>
          <w:rFonts w:asciiTheme="minorEastAsia" w:hAnsiTheme="minorEastAsia" w:eastAsiaTheme="minorEastAsia"/>
          <w:b/>
          <w:color w:val="auto"/>
          <w:sz w:val="21"/>
          <w:szCs w:val="21"/>
          <w:highlight w:val="none"/>
        </w:rPr>
      </w:pPr>
      <w:r>
        <w:rPr>
          <w:rFonts w:asciiTheme="minorEastAsia" w:hAnsiTheme="minorEastAsia" w:eastAsiaTheme="minorEastAsia"/>
          <w:b/>
          <w:color w:val="auto"/>
          <w:sz w:val="21"/>
          <w:szCs w:val="21"/>
          <w:highlight w:val="none"/>
        </w:rPr>
        <w:t>（二）评标的方式</w:t>
      </w:r>
    </w:p>
    <w:p>
      <w:pPr>
        <w:pStyle w:val="28"/>
        <w:snapToGrid w:val="0"/>
        <w:spacing w:beforeLines="0" w:afterLines="0" w:line="360" w:lineRule="auto"/>
        <w:ind w:left="689" w:leftChars="228" w:hanging="210" w:hangingChars="10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本项目采用不公开方式评标，评标的依据为招标文件和投标文件。</w:t>
      </w:r>
    </w:p>
    <w:p>
      <w:pPr>
        <w:pStyle w:val="28"/>
        <w:snapToGrid w:val="0"/>
        <w:spacing w:beforeLines="0" w:afterLines="0" w:line="360" w:lineRule="auto"/>
        <w:ind w:left="690" w:leftChars="228" w:hanging="211" w:hangingChars="100"/>
        <w:rPr>
          <w:rFonts w:asciiTheme="minorEastAsia" w:hAnsiTheme="minorEastAsia" w:eastAsiaTheme="minorEastAsia"/>
          <w:b/>
          <w:bCs/>
          <w:color w:val="auto"/>
          <w:sz w:val="21"/>
          <w:szCs w:val="21"/>
          <w:highlight w:val="none"/>
        </w:rPr>
      </w:pPr>
      <w:r>
        <w:rPr>
          <w:rFonts w:asciiTheme="minorEastAsia" w:hAnsiTheme="minorEastAsia" w:eastAsiaTheme="minorEastAsia"/>
          <w:b/>
          <w:color w:val="auto"/>
          <w:sz w:val="21"/>
          <w:szCs w:val="21"/>
          <w:highlight w:val="none"/>
        </w:rPr>
        <w:t>（三）</w:t>
      </w:r>
      <w:r>
        <w:rPr>
          <w:rFonts w:asciiTheme="minorEastAsia" w:hAnsiTheme="minorEastAsia" w:eastAsiaTheme="minorEastAsia"/>
          <w:b/>
          <w:bCs/>
          <w:color w:val="auto"/>
          <w:sz w:val="21"/>
          <w:szCs w:val="21"/>
          <w:highlight w:val="none"/>
        </w:rPr>
        <w:t>评标程序</w:t>
      </w:r>
    </w:p>
    <w:p>
      <w:pPr>
        <w:pStyle w:val="28"/>
        <w:snapToGrid w:val="0"/>
        <w:spacing w:beforeLines="0" w:afterLines="0" w:line="360" w:lineRule="auto"/>
        <w:ind w:firstLine="420" w:firstLineChars="200"/>
        <w:rPr>
          <w:rFonts w:asciiTheme="minorEastAsia" w:hAnsiTheme="minorEastAsia" w:eastAsiaTheme="minorEastAsia"/>
          <w:bCs/>
          <w:color w:val="auto"/>
          <w:sz w:val="21"/>
          <w:szCs w:val="21"/>
          <w:highlight w:val="none"/>
        </w:rPr>
      </w:pPr>
      <w:r>
        <w:rPr>
          <w:rFonts w:hint="eastAsia" w:asciiTheme="minorEastAsia" w:hAnsiTheme="minorEastAsia" w:eastAsiaTheme="minorEastAsia"/>
          <w:bCs/>
          <w:color w:val="auto"/>
          <w:sz w:val="21"/>
          <w:szCs w:val="21"/>
          <w:highlight w:val="none"/>
        </w:rPr>
        <w:t>采购人可以在评标前说明项目背景和采购需求，说明内容不得含有歧视性、倾向性意见，不得超出招标文件所述范围。说明应当提交书面材料，并随招标文件一并存档。</w:t>
      </w:r>
    </w:p>
    <w:p>
      <w:pPr>
        <w:snapToGrid w:val="0"/>
        <w:spacing w:line="360" w:lineRule="auto"/>
        <w:ind w:firstLine="413" w:firstLineChars="196"/>
        <w:rPr>
          <w:rFonts w:asciiTheme="minorEastAsia" w:hAnsiTheme="minorEastAsia" w:eastAsiaTheme="minorEastAsia"/>
          <w:b/>
          <w:bCs/>
          <w:color w:val="auto"/>
          <w:szCs w:val="21"/>
          <w:highlight w:val="none"/>
        </w:rPr>
      </w:pPr>
      <w:r>
        <w:rPr>
          <w:rFonts w:asciiTheme="minorEastAsia" w:hAnsiTheme="minorEastAsia" w:eastAsiaTheme="minorEastAsia"/>
          <w:b/>
          <w:bCs/>
          <w:color w:val="auto"/>
          <w:szCs w:val="21"/>
          <w:highlight w:val="none"/>
        </w:rPr>
        <w:t>1</w:t>
      </w:r>
      <w:r>
        <w:rPr>
          <w:rFonts w:hint="eastAsia" w:asciiTheme="minorEastAsia" w:hAnsiTheme="minorEastAsia" w:eastAsiaTheme="minorEastAsia"/>
          <w:b/>
          <w:bCs/>
          <w:color w:val="auto"/>
          <w:szCs w:val="21"/>
          <w:highlight w:val="none"/>
        </w:rPr>
        <w:t>.</w:t>
      </w:r>
      <w:r>
        <w:rPr>
          <w:rFonts w:asciiTheme="minorEastAsia" w:hAnsiTheme="minorEastAsia" w:eastAsiaTheme="minorEastAsia"/>
          <w:b/>
          <w:bCs/>
          <w:color w:val="auto"/>
          <w:szCs w:val="21"/>
          <w:highlight w:val="none"/>
        </w:rPr>
        <w:t>形式审查</w:t>
      </w:r>
    </w:p>
    <w:p>
      <w:pPr>
        <w:snapToGrid w:val="0"/>
        <w:spacing w:line="360" w:lineRule="auto"/>
        <w:ind w:firstLine="420" w:firstLineChars="200"/>
        <w:rPr>
          <w:rFonts w:asciiTheme="minorEastAsia" w:hAnsiTheme="minorEastAsia" w:eastAsiaTheme="minorEastAsia"/>
          <w:bCs/>
          <w:color w:val="auto"/>
          <w:szCs w:val="21"/>
          <w:highlight w:val="none"/>
        </w:rPr>
      </w:pPr>
      <w:r>
        <w:rPr>
          <w:rFonts w:asciiTheme="minorEastAsia" w:hAnsiTheme="minorEastAsia" w:eastAsiaTheme="minorEastAsia"/>
          <w:bCs/>
          <w:color w:val="auto"/>
          <w:szCs w:val="21"/>
          <w:highlight w:val="none"/>
        </w:rPr>
        <w:t>形式审查</w:t>
      </w:r>
      <w:r>
        <w:rPr>
          <w:rFonts w:hint="eastAsia" w:asciiTheme="minorEastAsia" w:hAnsiTheme="minorEastAsia" w:eastAsiaTheme="minorEastAsia"/>
          <w:bCs/>
          <w:color w:val="auto"/>
          <w:szCs w:val="21"/>
          <w:highlight w:val="none"/>
        </w:rPr>
        <w:t>包括资格审查（除符合性审查以外的关于供应商资格条件等内容）和符合性审查，即对供应商的资格</w:t>
      </w:r>
      <w:r>
        <w:rPr>
          <w:rFonts w:asciiTheme="minorEastAsia" w:hAnsiTheme="minorEastAsia" w:eastAsiaTheme="minorEastAsia"/>
          <w:bCs/>
          <w:color w:val="auto"/>
          <w:szCs w:val="21"/>
          <w:highlight w:val="none"/>
        </w:rPr>
        <w:t>和投标文件的完整性、合法性等进行审查。</w:t>
      </w:r>
      <w:r>
        <w:rPr>
          <w:rFonts w:hint="eastAsia" w:asciiTheme="minorEastAsia" w:hAnsiTheme="minorEastAsia" w:eastAsiaTheme="minorEastAsia"/>
          <w:bCs/>
          <w:color w:val="auto"/>
          <w:szCs w:val="21"/>
          <w:highlight w:val="none"/>
        </w:rPr>
        <w:t>投标文件形式审查未通过的供应商，其投标文件将不再评审。</w:t>
      </w:r>
    </w:p>
    <w:p>
      <w:pPr>
        <w:snapToGrid w:val="0"/>
        <w:spacing w:line="360" w:lineRule="auto"/>
        <w:ind w:firstLine="413" w:firstLineChars="196"/>
        <w:rPr>
          <w:rFonts w:asciiTheme="minorEastAsia" w:hAnsiTheme="minorEastAsia" w:eastAsiaTheme="minorEastAsia"/>
          <w:b/>
          <w:bCs/>
          <w:color w:val="auto"/>
          <w:szCs w:val="21"/>
          <w:highlight w:val="none"/>
        </w:rPr>
      </w:pPr>
      <w:r>
        <w:rPr>
          <w:rFonts w:asciiTheme="minorEastAsia" w:hAnsiTheme="minorEastAsia" w:eastAsiaTheme="minorEastAsia"/>
          <w:b/>
          <w:bCs/>
          <w:color w:val="auto"/>
          <w:szCs w:val="21"/>
          <w:highlight w:val="none"/>
        </w:rPr>
        <w:t>2</w:t>
      </w:r>
      <w:r>
        <w:rPr>
          <w:rFonts w:hint="eastAsia" w:asciiTheme="minorEastAsia" w:hAnsiTheme="minorEastAsia" w:eastAsiaTheme="minorEastAsia"/>
          <w:b/>
          <w:bCs/>
          <w:color w:val="auto"/>
          <w:szCs w:val="21"/>
          <w:highlight w:val="none"/>
        </w:rPr>
        <w:t>.</w:t>
      </w:r>
      <w:r>
        <w:rPr>
          <w:rFonts w:asciiTheme="minorEastAsia" w:hAnsiTheme="minorEastAsia" w:eastAsiaTheme="minorEastAsia"/>
          <w:b/>
          <w:bCs/>
          <w:color w:val="auto"/>
          <w:szCs w:val="21"/>
          <w:highlight w:val="none"/>
        </w:rPr>
        <w:t>实质审查与比较</w:t>
      </w:r>
    </w:p>
    <w:p>
      <w:pPr>
        <w:snapToGrid w:val="0"/>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1）评标委员会审查投标文件的实质性内容是否符合招标文件的实质性要求。</w:t>
      </w:r>
    </w:p>
    <w:p>
      <w:pPr>
        <w:snapToGrid w:val="0"/>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2）评标委员会将根据供应商的投标文件进行审查、核对,如有疑问,将对供应商进行询标,供应商要向评标委员会澄清有关问题,并最终以书面形式进行答复。</w:t>
      </w:r>
    </w:p>
    <w:p>
      <w:pPr>
        <w:snapToGrid w:val="0"/>
        <w:spacing w:line="360" w:lineRule="auto"/>
        <w:ind w:firstLine="420" w:firstLineChars="200"/>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询标</w:t>
      </w:r>
      <w:r>
        <w:rPr>
          <w:rFonts w:hint="eastAsia" w:asciiTheme="minorEastAsia" w:hAnsiTheme="minorEastAsia" w:eastAsiaTheme="minorEastAsia"/>
          <w:color w:val="auto"/>
          <w:szCs w:val="21"/>
          <w:highlight w:val="none"/>
        </w:rPr>
        <w:t>时，供应商代表未到场或者拒绝澄清或者澄清的内容改变了投标文件的实质性内容的，评标委员会有权对该投标文件作出不利于供应商的评判。</w:t>
      </w:r>
    </w:p>
    <w:p>
      <w:pPr>
        <w:snapToGrid w:val="0"/>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3）各供应商的</w:t>
      </w:r>
      <w:r>
        <w:rPr>
          <w:rFonts w:hint="eastAsia" w:asciiTheme="minorEastAsia" w:hAnsiTheme="minorEastAsia" w:eastAsiaTheme="minorEastAsia"/>
          <w:color w:val="auto"/>
          <w:szCs w:val="21"/>
          <w:highlight w:val="none"/>
        </w:rPr>
        <w:t>资信商务及技术分按照评标委员会成员的独立评分结果汇后的算术平均分计算</w:t>
      </w:r>
      <w:r>
        <w:rPr>
          <w:rFonts w:asciiTheme="minorEastAsia" w:hAnsiTheme="minorEastAsia" w:eastAsiaTheme="minorEastAsia"/>
          <w:color w:val="auto"/>
          <w:szCs w:val="21"/>
          <w:highlight w:val="none"/>
        </w:rPr>
        <w:t>。</w:t>
      </w:r>
    </w:p>
    <w:p>
      <w:pPr>
        <w:snapToGrid w:val="0"/>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4）</w:t>
      </w:r>
      <w:r>
        <w:rPr>
          <w:rFonts w:hint="eastAsia" w:asciiTheme="minorEastAsia" w:hAnsiTheme="minorEastAsia" w:eastAsiaTheme="minorEastAsia"/>
          <w:color w:val="auto"/>
          <w:szCs w:val="21"/>
          <w:highlight w:val="none"/>
        </w:rPr>
        <w:t>嘉兴市银建工程咨询评估有限公司工作人员协助</w:t>
      </w:r>
      <w:r>
        <w:rPr>
          <w:rFonts w:asciiTheme="minorEastAsia" w:hAnsiTheme="minorEastAsia" w:eastAsiaTheme="minorEastAsia"/>
          <w:color w:val="auto"/>
          <w:szCs w:val="21"/>
          <w:highlight w:val="none"/>
        </w:rPr>
        <w:t>评标委员会根据</w:t>
      </w:r>
      <w:r>
        <w:rPr>
          <w:rFonts w:hint="eastAsia" w:asciiTheme="minorEastAsia" w:hAnsiTheme="minorEastAsia" w:eastAsiaTheme="minorEastAsia"/>
          <w:color w:val="auto"/>
          <w:szCs w:val="21"/>
          <w:highlight w:val="none"/>
        </w:rPr>
        <w:t>本项目的评分标准操作政府采购业务系统，由系统</w:t>
      </w:r>
      <w:r>
        <w:rPr>
          <w:rFonts w:asciiTheme="minorEastAsia" w:hAnsiTheme="minorEastAsia" w:eastAsiaTheme="minorEastAsia"/>
          <w:color w:val="auto"/>
          <w:szCs w:val="21"/>
          <w:highlight w:val="none"/>
        </w:rPr>
        <w:t>计算各供应商的商务报价得分</w:t>
      </w:r>
      <w:r>
        <w:rPr>
          <w:rFonts w:hint="eastAsia" w:asciiTheme="minorEastAsia" w:hAnsiTheme="minorEastAsia" w:eastAsiaTheme="minorEastAsia"/>
          <w:color w:val="auto"/>
          <w:szCs w:val="21"/>
          <w:highlight w:val="none"/>
        </w:rPr>
        <w:t>。</w:t>
      </w:r>
    </w:p>
    <w:p>
      <w:pPr>
        <w:snapToGrid w:val="0"/>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5）评标委员会完成评标后,评委对各部分得分汇总,</w:t>
      </w:r>
      <w:r>
        <w:rPr>
          <w:rFonts w:hint="eastAsia" w:asciiTheme="minorEastAsia" w:hAnsiTheme="minorEastAsia" w:eastAsiaTheme="minorEastAsia"/>
          <w:color w:val="auto"/>
          <w:szCs w:val="21"/>
          <w:highlight w:val="none"/>
        </w:rPr>
        <w:t>计算</w:t>
      </w:r>
      <w:r>
        <w:rPr>
          <w:rFonts w:asciiTheme="minorEastAsia" w:hAnsiTheme="minorEastAsia" w:eastAsiaTheme="minorEastAsia"/>
          <w:color w:val="auto"/>
          <w:szCs w:val="21"/>
          <w:highlight w:val="none"/>
        </w:rPr>
        <w:t>出本项目</w:t>
      </w:r>
      <w:r>
        <w:rPr>
          <w:rFonts w:hint="eastAsia" w:asciiTheme="minorEastAsia" w:hAnsiTheme="minorEastAsia" w:eastAsiaTheme="minorEastAsia"/>
          <w:color w:val="auto"/>
          <w:szCs w:val="21"/>
          <w:highlight w:val="none"/>
        </w:rPr>
        <w:t>最终得分、性价比、评标价等</w:t>
      </w:r>
      <w:r>
        <w:rPr>
          <w:rFonts w:asciiTheme="minorEastAsia" w:hAnsiTheme="minorEastAsia" w:eastAsiaTheme="minorEastAsia"/>
          <w:color w:val="auto"/>
          <w:szCs w:val="21"/>
          <w:highlight w:val="none"/>
        </w:rPr>
        <w:t>。评标委员会按评标原则推荐中标候选人同时起草评标报告。</w:t>
      </w:r>
    </w:p>
    <w:p>
      <w:pPr>
        <w:snapToGrid w:val="0"/>
        <w:spacing w:line="360" w:lineRule="auto"/>
        <w:ind w:firstLine="422" w:firstLineChars="200"/>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（四）澄清问题的形式</w:t>
      </w:r>
    </w:p>
    <w:p>
      <w:pPr>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对投标文件中含义不明确、同类问题表述不一致或者有明显文字和计算错误的内容，评标委员会可要求供应商作出必要的澄清、说明或者纠正。</w:t>
      </w:r>
    </w:p>
    <w:p>
      <w:pPr>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评标委员会可以在“政采云”平台在线询标或其他有效形式要求供应商对同一份投标文件含义不明确或同类问题表述不一致的内容（招标文件其它地方有规定处理方法的除外）作必要的澄清或说明。供应商应采用在线回复或其他有效形式在询标规定时间内进行澄清或说明，但不得超出投标文件的范围或改变投标文件的实质性内容。凡属于评标委员会在评标中发现的计算错误并进行核实的修改不在此列。</w:t>
      </w:r>
    </w:p>
    <w:p>
      <w:pPr>
        <w:tabs>
          <w:tab w:val="left" w:pos="0"/>
        </w:tabs>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2、如果供应商代表拒绝或</w:t>
      </w:r>
      <w:r>
        <w:rPr>
          <w:rFonts w:asciiTheme="minorEastAsia" w:hAnsiTheme="minorEastAsia" w:eastAsiaTheme="minorEastAsia"/>
          <w:color w:val="auto"/>
          <w:szCs w:val="21"/>
          <w:highlight w:val="none"/>
        </w:rPr>
        <w:t>未</w:t>
      </w:r>
      <w:r>
        <w:rPr>
          <w:rFonts w:hint="eastAsia" w:asciiTheme="minorEastAsia" w:hAnsiTheme="minorEastAsia" w:eastAsiaTheme="minorEastAsia"/>
          <w:color w:val="auto"/>
          <w:szCs w:val="21"/>
          <w:highlight w:val="none"/>
        </w:rPr>
        <w:t>按评标委员会要求在“政采云”平台作出在线回复且无其他有效回复方式的，评标委员会可以对其作出无效标处理。</w:t>
      </w:r>
    </w:p>
    <w:p>
      <w:pPr>
        <w:snapToGrid w:val="0"/>
        <w:spacing w:line="360" w:lineRule="auto"/>
        <w:ind w:firstLine="422" w:firstLineChars="200"/>
        <w:rPr>
          <w:rFonts w:asciiTheme="minorEastAsia" w:hAnsiTheme="minorEastAsia" w:eastAsiaTheme="minorEastAsia"/>
          <w:b/>
          <w:color w:val="auto"/>
          <w:szCs w:val="21"/>
          <w:highlight w:val="none"/>
        </w:rPr>
      </w:pPr>
      <w:r>
        <w:rPr>
          <w:rFonts w:asciiTheme="minorEastAsia" w:hAnsiTheme="minorEastAsia" w:eastAsiaTheme="minorEastAsia"/>
          <w:b/>
          <w:color w:val="auto"/>
          <w:szCs w:val="21"/>
          <w:highlight w:val="none"/>
        </w:rPr>
        <w:t>（五）错误修正</w:t>
      </w:r>
    </w:p>
    <w:p>
      <w:pPr>
        <w:pStyle w:val="28"/>
        <w:snapToGrid w:val="0"/>
        <w:spacing w:beforeLines="0" w:afterLines="0" w:line="360" w:lineRule="auto"/>
        <w:ind w:left="689" w:leftChars="228" w:hanging="210" w:hangingChars="10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投标文件如果出现计算或表达上的错误，修正错误的原则如下：</w:t>
      </w:r>
    </w:p>
    <w:p>
      <w:pPr>
        <w:snapToGrid w:val="0"/>
        <w:spacing w:line="360" w:lineRule="auto"/>
        <w:ind w:firstLine="420" w:firstLineChars="200"/>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rPr>
        <w:t>.开标一览表总价与投标报价明细表汇总数不一致的，</w:t>
      </w:r>
      <w:r>
        <w:rPr>
          <w:rFonts w:hint="eastAsia" w:cs="Arial" w:asciiTheme="minorEastAsia" w:hAnsiTheme="minorEastAsia" w:eastAsiaTheme="minorEastAsia"/>
          <w:color w:val="auto"/>
          <w:kern w:val="0"/>
          <w:szCs w:val="21"/>
          <w:highlight w:val="none"/>
        </w:rPr>
        <w:t>以开标一览表为准；</w:t>
      </w:r>
    </w:p>
    <w:p>
      <w:pPr>
        <w:pStyle w:val="28"/>
        <w:snapToGrid w:val="0"/>
        <w:spacing w:beforeLines="0" w:afterLines="0" w:line="360" w:lineRule="auto"/>
        <w:ind w:firstLine="420" w:firstLineChars="20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投标文件的大写金额和小写金额不一致的，以大写金额为准；</w:t>
      </w:r>
    </w:p>
    <w:p>
      <w:pPr>
        <w:pStyle w:val="28"/>
        <w:snapToGrid w:val="0"/>
        <w:spacing w:beforeLines="0" w:afterLines="0" w:line="360" w:lineRule="auto"/>
        <w:ind w:firstLine="420" w:firstLineChars="20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3</w:t>
      </w: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总价金额与按单价汇总金额不一致的，以单价金额计算结果为准；</w:t>
      </w:r>
    </w:p>
    <w:p>
      <w:pPr>
        <w:pStyle w:val="28"/>
        <w:snapToGrid w:val="0"/>
        <w:spacing w:beforeLines="0" w:afterLines="0" w:line="360" w:lineRule="auto"/>
        <w:ind w:firstLine="420" w:firstLineChars="20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4</w:t>
      </w: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对不同文字文本投标文件的解释发生异议的，以中文文本为准。</w:t>
      </w:r>
    </w:p>
    <w:p>
      <w:pPr>
        <w:pStyle w:val="28"/>
        <w:snapToGrid w:val="0"/>
        <w:spacing w:beforeLines="0" w:afterLines="0" w:line="360" w:lineRule="auto"/>
        <w:ind w:firstLine="422" w:firstLineChars="200"/>
        <w:rPr>
          <w:rFonts w:asciiTheme="minorEastAsia" w:hAnsiTheme="minorEastAsia" w:eastAsiaTheme="minorEastAsia"/>
          <w:b/>
          <w:bCs/>
          <w:color w:val="auto"/>
          <w:sz w:val="21"/>
          <w:szCs w:val="21"/>
          <w:highlight w:val="none"/>
        </w:rPr>
      </w:pPr>
      <w:r>
        <w:rPr>
          <w:rFonts w:asciiTheme="minorEastAsia" w:hAnsiTheme="minorEastAsia" w:eastAsiaTheme="minorEastAsia"/>
          <w:b/>
          <w:bCs/>
          <w:color w:val="auto"/>
          <w:sz w:val="21"/>
          <w:szCs w:val="21"/>
          <w:highlight w:val="none"/>
        </w:rPr>
        <w:t>按上述修正错误的原则及方法调整或修正投标文件的投标报价，供应商同意</w:t>
      </w:r>
      <w:r>
        <w:rPr>
          <w:rFonts w:hint="eastAsia" w:asciiTheme="minorEastAsia" w:hAnsiTheme="minorEastAsia" w:eastAsiaTheme="minorEastAsia"/>
          <w:b/>
          <w:bCs/>
          <w:color w:val="auto"/>
          <w:sz w:val="21"/>
          <w:szCs w:val="21"/>
          <w:highlight w:val="none"/>
        </w:rPr>
        <w:t>并签字确认</w:t>
      </w:r>
      <w:r>
        <w:rPr>
          <w:rFonts w:asciiTheme="minorEastAsia" w:hAnsiTheme="minorEastAsia" w:eastAsiaTheme="minorEastAsia"/>
          <w:b/>
          <w:bCs/>
          <w:color w:val="auto"/>
          <w:sz w:val="21"/>
          <w:szCs w:val="21"/>
          <w:highlight w:val="none"/>
        </w:rPr>
        <w:t>后，调整后的投标报价对供应商具有约束作用。如果供应商不接受修正后的报价，则其投标将</w:t>
      </w:r>
      <w:r>
        <w:rPr>
          <w:rFonts w:hint="eastAsia" w:asciiTheme="minorEastAsia" w:hAnsiTheme="minorEastAsia" w:eastAsiaTheme="minorEastAsia"/>
          <w:b/>
          <w:bCs/>
          <w:color w:val="auto"/>
          <w:sz w:val="21"/>
          <w:szCs w:val="21"/>
          <w:highlight w:val="none"/>
        </w:rPr>
        <w:t>作为无效投标处理</w:t>
      </w:r>
      <w:r>
        <w:rPr>
          <w:rFonts w:asciiTheme="minorEastAsia" w:hAnsiTheme="minorEastAsia" w:eastAsiaTheme="minorEastAsia"/>
          <w:b/>
          <w:bCs/>
          <w:color w:val="auto"/>
          <w:sz w:val="21"/>
          <w:szCs w:val="21"/>
          <w:highlight w:val="none"/>
        </w:rPr>
        <w:t>。</w:t>
      </w:r>
    </w:p>
    <w:p>
      <w:pPr>
        <w:pStyle w:val="28"/>
        <w:tabs>
          <w:tab w:val="left" w:pos="630"/>
        </w:tabs>
        <w:snapToGrid w:val="0"/>
        <w:spacing w:beforeLines="0" w:afterLines="0" w:line="360" w:lineRule="auto"/>
        <w:ind w:firstLine="413" w:firstLineChars="196"/>
        <w:rPr>
          <w:rFonts w:asciiTheme="minorEastAsia" w:hAnsiTheme="minorEastAsia" w:eastAsiaTheme="minorEastAsia"/>
          <w:b/>
          <w:color w:val="auto"/>
          <w:sz w:val="21"/>
          <w:szCs w:val="21"/>
          <w:highlight w:val="none"/>
        </w:rPr>
      </w:pPr>
      <w:r>
        <w:rPr>
          <w:rFonts w:asciiTheme="minorEastAsia" w:hAnsiTheme="minorEastAsia" w:eastAsiaTheme="minorEastAsia"/>
          <w:b/>
          <w:color w:val="auto"/>
          <w:sz w:val="21"/>
          <w:szCs w:val="21"/>
          <w:highlight w:val="none"/>
        </w:rPr>
        <w:t>（六）评标原则和评标办法</w:t>
      </w:r>
    </w:p>
    <w:p>
      <w:pPr>
        <w:pStyle w:val="28"/>
        <w:snapToGrid w:val="0"/>
        <w:spacing w:beforeLines="0" w:afterLines="0" w:line="360" w:lineRule="auto"/>
        <w:ind w:firstLine="420" w:firstLineChars="20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评标原则。评标委员会必须公平、公正、客观，不带任何倾向性和启发性；不得向外界透露任何与评标有关的内容；任何单位和个人不得干扰、影响评标的正常进行；评标委员会及有关工作人员不得私下与供应商接触。</w:t>
      </w:r>
    </w:p>
    <w:p>
      <w:pPr>
        <w:pStyle w:val="28"/>
        <w:snapToGrid w:val="0"/>
        <w:spacing w:beforeLines="0" w:afterLines="0" w:line="360" w:lineRule="auto"/>
        <w:ind w:firstLine="420" w:firstLineChars="20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评标办法。本项目评标办法是</w:t>
      </w:r>
      <w:r>
        <w:rPr>
          <w:rFonts w:hint="eastAsia" w:asciiTheme="minorEastAsia" w:hAnsiTheme="minorEastAsia" w:eastAsiaTheme="minorEastAsia"/>
          <w:color w:val="auto"/>
          <w:sz w:val="21"/>
          <w:szCs w:val="21"/>
          <w:highlight w:val="none"/>
        </w:rPr>
        <w:t xml:space="preserve"> 综合评标法</w:t>
      </w:r>
      <w:r>
        <w:rPr>
          <w:rFonts w:asciiTheme="minorEastAsia" w:hAnsiTheme="minorEastAsia" w:eastAsiaTheme="minorEastAsia"/>
          <w:color w:val="auto"/>
          <w:sz w:val="21"/>
          <w:szCs w:val="21"/>
          <w:highlight w:val="none"/>
        </w:rPr>
        <w:t xml:space="preserve"> ，具体评标内容及评分标准等详见《第四章：评标办法及评分标准》。</w:t>
      </w:r>
    </w:p>
    <w:p>
      <w:pPr>
        <w:pStyle w:val="28"/>
        <w:snapToGrid w:val="0"/>
        <w:spacing w:beforeLines="0" w:afterLines="0" w:line="360" w:lineRule="auto"/>
        <w:ind w:firstLine="413" w:firstLineChars="196"/>
        <w:rPr>
          <w:rFonts w:asciiTheme="minorEastAsia" w:hAnsiTheme="minorEastAsia" w:eastAsiaTheme="minorEastAsia"/>
          <w:b/>
          <w:color w:val="auto"/>
          <w:sz w:val="21"/>
          <w:szCs w:val="21"/>
          <w:highlight w:val="none"/>
        </w:rPr>
      </w:pPr>
      <w:r>
        <w:rPr>
          <w:rFonts w:asciiTheme="minorEastAsia" w:hAnsiTheme="minorEastAsia" w:eastAsiaTheme="minorEastAsia"/>
          <w:b/>
          <w:color w:val="auto"/>
          <w:sz w:val="21"/>
          <w:szCs w:val="21"/>
          <w:highlight w:val="none"/>
        </w:rPr>
        <w:t>（七）评标过程的监控</w:t>
      </w:r>
    </w:p>
    <w:p>
      <w:pPr>
        <w:pStyle w:val="28"/>
        <w:snapToGrid w:val="0"/>
        <w:spacing w:beforeLines="0" w:afterLines="0" w:line="360" w:lineRule="auto"/>
        <w:ind w:firstLine="420" w:firstLineChars="20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本项目评标过程实行全程录音、录像监控</w:t>
      </w: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供应商在评标过程中所进行的</w:t>
      </w:r>
      <w:r>
        <w:rPr>
          <w:rFonts w:hint="eastAsia" w:asciiTheme="minorEastAsia" w:hAnsiTheme="minorEastAsia" w:eastAsiaTheme="minorEastAsia"/>
          <w:color w:val="auto"/>
          <w:sz w:val="21"/>
          <w:szCs w:val="21"/>
          <w:highlight w:val="none"/>
        </w:rPr>
        <w:t>试</w:t>
      </w:r>
      <w:r>
        <w:rPr>
          <w:rFonts w:asciiTheme="minorEastAsia" w:hAnsiTheme="minorEastAsia" w:eastAsiaTheme="minorEastAsia"/>
          <w:color w:val="auto"/>
          <w:sz w:val="21"/>
          <w:szCs w:val="21"/>
          <w:highlight w:val="none"/>
        </w:rPr>
        <w:t>图影响评标结果的不公正活动，可能导致其投标被拒绝。</w:t>
      </w:r>
    </w:p>
    <w:p>
      <w:pPr>
        <w:pStyle w:val="28"/>
        <w:snapToGrid w:val="0"/>
        <w:spacing w:beforeLines="0" w:afterLines="0" w:line="360" w:lineRule="auto"/>
        <w:outlineLvl w:val="1"/>
        <w:rPr>
          <w:rFonts w:asciiTheme="minorEastAsia" w:hAnsiTheme="minorEastAsia" w:eastAsiaTheme="minorEastAsia"/>
          <w:b/>
          <w:color w:val="auto"/>
          <w:sz w:val="21"/>
          <w:szCs w:val="21"/>
          <w:highlight w:val="none"/>
        </w:rPr>
      </w:pPr>
    </w:p>
    <w:p>
      <w:pPr>
        <w:pStyle w:val="28"/>
        <w:snapToGrid w:val="0"/>
        <w:spacing w:beforeLines="0" w:afterLines="0" w:line="360" w:lineRule="auto"/>
        <w:ind w:firstLine="413" w:firstLineChars="196"/>
        <w:jc w:val="center"/>
        <w:outlineLvl w:val="1"/>
        <w:rPr>
          <w:rFonts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六、定标</w:t>
      </w:r>
    </w:p>
    <w:p>
      <w:pPr>
        <w:pStyle w:val="28"/>
        <w:snapToGrid w:val="0"/>
        <w:spacing w:beforeLines="0" w:afterLines="0" w:line="360" w:lineRule="auto"/>
        <w:ind w:firstLine="413" w:firstLineChars="196"/>
        <w:rPr>
          <w:rFonts w:asciiTheme="minorEastAsia" w:hAnsiTheme="minorEastAsia" w:eastAsiaTheme="minorEastAsia"/>
          <w:b/>
          <w:bCs/>
          <w:color w:val="auto"/>
          <w:sz w:val="21"/>
          <w:szCs w:val="21"/>
          <w:highlight w:val="none"/>
        </w:rPr>
      </w:pPr>
      <w:r>
        <w:rPr>
          <w:rFonts w:hint="eastAsia" w:asciiTheme="minorEastAsia" w:hAnsiTheme="minorEastAsia" w:eastAsiaTheme="minorEastAsia"/>
          <w:b/>
          <w:bCs/>
          <w:color w:val="auto"/>
          <w:sz w:val="21"/>
          <w:szCs w:val="21"/>
          <w:highlight w:val="none"/>
        </w:rPr>
        <w:t>（一）确定中标人。</w:t>
      </w:r>
    </w:p>
    <w:p>
      <w:pPr>
        <w:snapToGrid w:val="0"/>
        <w:spacing w:line="360" w:lineRule="auto"/>
        <w:ind w:firstLine="420" w:firstLineChars="200"/>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rPr>
        <w:t>.嘉兴市银建工程咨询评估有限公司</w:t>
      </w:r>
      <w:r>
        <w:rPr>
          <w:rFonts w:asciiTheme="minorEastAsia" w:hAnsiTheme="minorEastAsia" w:eastAsiaTheme="minorEastAsia"/>
          <w:color w:val="auto"/>
          <w:szCs w:val="21"/>
          <w:highlight w:val="none"/>
        </w:rPr>
        <w:t>在评标结束后2个工作日内将评标报告交采购人确认，同时在发布招标公告的网站上对评标结果进行</w:t>
      </w:r>
      <w:r>
        <w:rPr>
          <w:rFonts w:hint="eastAsia" w:asciiTheme="minorEastAsia" w:hAnsiTheme="minorEastAsia" w:eastAsiaTheme="minorEastAsia"/>
          <w:color w:val="auto"/>
          <w:szCs w:val="21"/>
          <w:highlight w:val="none"/>
        </w:rPr>
        <w:t>公告</w:t>
      </w:r>
      <w:r>
        <w:rPr>
          <w:rFonts w:asciiTheme="minorEastAsia" w:hAnsiTheme="minorEastAsia" w:eastAsiaTheme="minorEastAsia"/>
          <w:color w:val="auto"/>
          <w:szCs w:val="21"/>
          <w:highlight w:val="none"/>
        </w:rPr>
        <w:t>。</w:t>
      </w:r>
    </w:p>
    <w:p>
      <w:pPr>
        <w:snapToGrid w:val="0"/>
        <w:spacing w:line="360" w:lineRule="auto"/>
        <w:ind w:firstLine="420" w:firstLineChars="200"/>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2</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供应商对评标结果无异议的，采购人应在收到评标报告后5个工作日内对评标结果进行确认。如有供应商对评标结果提出质疑的，采购人可在质疑处理完毕后确定中标人。</w:t>
      </w:r>
    </w:p>
    <w:p>
      <w:pPr>
        <w:snapToGrid w:val="0"/>
        <w:spacing w:line="360" w:lineRule="auto"/>
        <w:ind w:firstLine="420" w:firstLineChars="200"/>
        <w:rPr>
          <w:rFonts w:asciiTheme="minorEastAsia" w:hAnsiTheme="minorEastAsia" w:eastAsiaTheme="minorEastAsia"/>
          <w:b/>
          <w:color w:val="auto"/>
          <w:szCs w:val="21"/>
          <w:highlight w:val="none"/>
        </w:rPr>
      </w:pPr>
      <w:r>
        <w:rPr>
          <w:rFonts w:hint="eastAsia" w:asciiTheme="minorEastAsia" w:hAnsiTheme="minorEastAsia" w:eastAsiaTheme="minorEastAsia"/>
          <w:color w:val="auto"/>
          <w:szCs w:val="21"/>
          <w:highlight w:val="none"/>
        </w:rPr>
        <w:t>3. 在公告中标结果的同时，代理机构向中标人发出中标通知书。</w:t>
      </w:r>
    </w:p>
    <w:p>
      <w:pPr>
        <w:pStyle w:val="28"/>
        <w:snapToGrid w:val="0"/>
        <w:spacing w:beforeLines="0" w:afterLines="0" w:line="360" w:lineRule="auto"/>
        <w:ind w:firstLine="413" w:firstLineChars="196"/>
        <w:jc w:val="center"/>
        <w:outlineLvl w:val="1"/>
        <w:rPr>
          <w:rFonts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七、合同授予</w:t>
      </w:r>
    </w:p>
    <w:p>
      <w:pPr>
        <w:snapToGrid w:val="0"/>
        <w:spacing w:line="360" w:lineRule="auto"/>
        <w:ind w:firstLine="413" w:firstLineChars="196"/>
        <w:rPr>
          <w:rFonts w:asciiTheme="minorEastAsia" w:hAnsiTheme="minorEastAsia" w:eastAsiaTheme="minorEastAsia"/>
          <w:b/>
          <w:bCs/>
          <w:color w:val="auto"/>
          <w:szCs w:val="21"/>
          <w:highlight w:val="none"/>
        </w:rPr>
      </w:pPr>
      <w:r>
        <w:rPr>
          <w:rFonts w:hint="eastAsia" w:asciiTheme="minorEastAsia" w:hAnsiTheme="minorEastAsia" w:eastAsiaTheme="minorEastAsia"/>
          <w:b/>
          <w:bCs/>
          <w:color w:val="auto"/>
          <w:szCs w:val="21"/>
          <w:highlight w:val="none"/>
        </w:rPr>
        <w:t>（一）签订合同</w:t>
      </w:r>
    </w:p>
    <w:p>
      <w:pPr>
        <w:snapToGrid w:val="0"/>
        <w:spacing w:line="360" w:lineRule="auto"/>
        <w:ind w:firstLine="420" w:firstLineChars="200"/>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rPr>
        <w:t>.采购人与</w:t>
      </w:r>
      <w:r>
        <w:rPr>
          <w:rFonts w:asciiTheme="minorEastAsia" w:hAnsiTheme="minorEastAsia" w:eastAsiaTheme="minorEastAsia"/>
          <w:color w:val="auto"/>
          <w:szCs w:val="21"/>
          <w:highlight w:val="none"/>
        </w:rPr>
        <w:t>中标人应</w:t>
      </w:r>
      <w:r>
        <w:rPr>
          <w:rFonts w:hint="eastAsia" w:asciiTheme="minorEastAsia" w:hAnsiTheme="minorEastAsia" w:eastAsiaTheme="minorEastAsia"/>
          <w:color w:val="auto"/>
          <w:szCs w:val="21"/>
          <w:highlight w:val="none"/>
        </w:rPr>
        <w:t>当在《</w:t>
      </w:r>
      <w:r>
        <w:rPr>
          <w:rFonts w:asciiTheme="minorEastAsia" w:hAnsiTheme="minorEastAsia" w:eastAsiaTheme="minorEastAsia"/>
          <w:color w:val="auto"/>
          <w:szCs w:val="21"/>
          <w:highlight w:val="none"/>
        </w:rPr>
        <w:t>中标通知书</w:t>
      </w:r>
      <w:r>
        <w:rPr>
          <w:rFonts w:hint="eastAsia" w:asciiTheme="minorEastAsia" w:hAnsiTheme="minorEastAsia" w:eastAsiaTheme="minorEastAsia"/>
          <w:color w:val="auto"/>
          <w:szCs w:val="21"/>
          <w:highlight w:val="none"/>
        </w:rPr>
        <w:t>》发出之日起30日内签订政府采购合同。同时，代理机构对合同内容进行审查，如发现与采购结果和投标承诺内容不一致的，将予以纠正。</w:t>
      </w:r>
    </w:p>
    <w:p>
      <w:pPr>
        <w:snapToGrid w:val="0"/>
        <w:spacing w:line="360" w:lineRule="auto"/>
        <w:ind w:firstLine="420" w:firstLineChars="200"/>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2</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中标人拖延、拒签合同的,将被取消中标资格</w:t>
      </w:r>
      <w:r>
        <w:rPr>
          <w:rFonts w:hint="eastAsia" w:asciiTheme="minorEastAsia" w:hAnsiTheme="minorEastAsia" w:eastAsiaTheme="minorEastAsia"/>
          <w:color w:val="auto"/>
          <w:szCs w:val="21"/>
          <w:highlight w:val="none"/>
        </w:rPr>
        <w:t>，并报监督管理部门</w:t>
      </w:r>
      <w:r>
        <w:rPr>
          <w:rFonts w:asciiTheme="minorEastAsia" w:hAnsiTheme="minorEastAsia" w:eastAsiaTheme="minorEastAsia"/>
          <w:color w:val="auto"/>
          <w:szCs w:val="21"/>
          <w:highlight w:val="none"/>
        </w:rPr>
        <w:t>。</w:t>
      </w:r>
    </w:p>
    <w:p>
      <w:pPr>
        <w:spacing w:line="360" w:lineRule="auto"/>
        <w:ind w:firstLine="413" w:firstLineChars="196"/>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八、招标代理费</w:t>
      </w:r>
    </w:p>
    <w:p>
      <w:pPr>
        <w:snapToGrid w:val="0"/>
        <w:spacing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1.招标代理机构向中标人收取招标代理服务费，中标人应在收取《中标通知书》时向采购代理机构交纳招标代理服务费，服务费的收费标准按浙价服〔2003〕77号文规定计算</w:t>
      </w:r>
    </w:p>
    <w:tbl>
      <w:tblPr>
        <w:tblStyle w:val="49"/>
        <w:tblW w:w="432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60"/>
        <w:gridCol w:w="216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4" w:hRule="atLeast"/>
          <w:jc w:val="center"/>
        </w:trPr>
        <w:tc>
          <w:tcPr>
            <w:tcW w:w="2160" w:type="dxa"/>
            <w:tcBorders>
              <w:top w:val="double" w:color="auto" w:sz="4" w:space="0"/>
              <w:left w:val="double" w:color="auto" w:sz="4" w:space="0"/>
              <w:bottom w:val="single" w:color="auto" w:sz="6" w:space="0"/>
              <w:right w:val="single" w:color="auto" w:sz="6" w:space="0"/>
            </w:tcBorders>
            <w:shd w:val="clear" w:color="auto" w:fill="D9D9D9"/>
            <w:vAlign w:val="center"/>
          </w:tcPr>
          <w:p>
            <w:pPr>
              <w:spacing w:line="360" w:lineRule="auto"/>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中标金额（万元）</w:t>
            </w:r>
          </w:p>
        </w:tc>
        <w:tc>
          <w:tcPr>
            <w:tcW w:w="2160" w:type="dxa"/>
            <w:tcBorders>
              <w:top w:val="double" w:color="auto" w:sz="4" w:space="0"/>
              <w:left w:val="single" w:color="auto" w:sz="6" w:space="0"/>
              <w:bottom w:val="single" w:color="auto" w:sz="6" w:space="0"/>
              <w:right w:val="double" w:color="auto" w:sz="4" w:space="0"/>
            </w:tcBorders>
            <w:shd w:val="clear" w:color="auto" w:fill="D9D9D9"/>
          </w:tcPr>
          <w:p>
            <w:pPr>
              <w:spacing w:line="360" w:lineRule="auto"/>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服务类招标收费费率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60" w:type="dxa"/>
            <w:tcBorders>
              <w:top w:val="single" w:color="auto" w:sz="6" w:space="0"/>
              <w:left w:val="double" w:color="auto" w:sz="4" w:space="0"/>
              <w:bottom w:val="single" w:color="auto" w:sz="6" w:space="0"/>
              <w:right w:val="single" w:color="auto" w:sz="6" w:space="0"/>
            </w:tcBorders>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100以下</w:t>
            </w:r>
          </w:p>
        </w:tc>
        <w:tc>
          <w:tcPr>
            <w:tcW w:w="2160" w:type="dxa"/>
            <w:tcBorders>
              <w:top w:val="single" w:color="auto" w:sz="6" w:space="0"/>
              <w:left w:val="single" w:color="auto" w:sz="6" w:space="0"/>
              <w:bottom w:val="single" w:color="auto" w:sz="6" w:space="0"/>
              <w:right w:val="double" w:color="auto" w:sz="4" w:space="0"/>
            </w:tcBorders>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60" w:type="dxa"/>
            <w:tcBorders>
              <w:top w:val="single" w:color="auto" w:sz="6" w:space="0"/>
              <w:left w:val="double" w:color="auto" w:sz="4" w:space="0"/>
              <w:bottom w:val="single" w:color="auto" w:sz="6" w:space="0"/>
              <w:right w:val="single" w:color="auto" w:sz="6" w:space="0"/>
            </w:tcBorders>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100-500</w:t>
            </w:r>
          </w:p>
        </w:tc>
        <w:tc>
          <w:tcPr>
            <w:tcW w:w="2160" w:type="dxa"/>
            <w:tcBorders>
              <w:top w:val="single" w:color="auto" w:sz="6" w:space="0"/>
              <w:left w:val="single" w:color="auto" w:sz="6" w:space="0"/>
              <w:bottom w:val="single" w:color="auto" w:sz="6" w:space="0"/>
              <w:right w:val="double" w:color="auto" w:sz="4" w:space="0"/>
            </w:tcBorders>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60" w:type="dxa"/>
            <w:tcBorders>
              <w:top w:val="single" w:color="auto" w:sz="6" w:space="0"/>
              <w:left w:val="double" w:color="auto" w:sz="4" w:space="0"/>
              <w:bottom w:val="single" w:color="auto" w:sz="6" w:space="0"/>
              <w:right w:val="single" w:color="auto" w:sz="6" w:space="0"/>
            </w:tcBorders>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500-1000</w:t>
            </w:r>
          </w:p>
        </w:tc>
        <w:tc>
          <w:tcPr>
            <w:tcW w:w="2160" w:type="dxa"/>
            <w:tcBorders>
              <w:top w:val="single" w:color="auto" w:sz="6" w:space="0"/>
              <w:left w:val="single" w:color="auto" w:sz="6" w:space="0"/>
              <w:bottom w:val="single" w:color="auto" w:sz="6" w:space="0"/>
              <w:right w:val="double" w:color="auto" w:sz="4" w:space="0"/>
            </w:tcBorders>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0.8％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60" w:type="dxa"/>
            <w:tcBorders>
              <w:top w:val="single" w:color="auto" w:sz="6" w:space="0"/>
              <w:left w:val="double" w:color="auto" w:sz="4" w:space="0"/>
              <w:bottom w:val="double" w:color="auto" w:sz="4" w:space="0"/>
              <w:right w:val="single" w:color="auto" w:sz="6" w:space="0"/>
            </w:tcBorders>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1000-5000</w:t>
            </w:r>
          </w:p>
        </w:tc>
        <w:tc>
          <w:tcPr>
            <w:tcW w:w="2160" w:type="dxa"/>
            <w:tcBorders>
              <w:top w:val="single" w:color="auto" w:sz="6" w:space="0"/>
              <w:left w:val="single" w:color="auto" w:sz="6" w:space="0"/>
              <w:bottom w:val="double" w:color="auto" w:sz="4" w:space="0"/>
              <w:right w:val="double" w:color="auto" w:sz="4" w:space="0"/>
            </w:tcBorders>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0.5％</w:t>
            </w:r>
          </w:p>
        </w:tc>
      </w:tr>
    </w:tbl>
    <w:p>
      <w:pPr>
        <w:snapToGrid w:val="0"/>
        <w:spacing w:line="360" w:lineRule="auto"/>
        <w:ind w:firstLine="420" w:firstLineChars="200"/>
        <w:jc w:val="left"/>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招标代理服务收费按差额定率累进法计算</w:t>
      </w:r>
      <w:r>
        <w:rPr>
          <w:rFonts w:hint="eastAsia" w:asciiTheme="minorEastAsia" w:hAnsiTheme="minorEastAsia" w:eastAsiaTheme="minorEastAsia"/>
          <w:color w:val="auto"/>
          <w:szCs w:val="21"/>
          <w:highlight w:val="none"/>
        </w:rPr>
        <w:t>。</w:t>
      </w:r>
    </w:p>
    <w:p>
      <w:pPr>
        <w:snapToGrid w:val="0"/>
        <w:spacing w:beforeLines="50" w:afterLines="50" w:line="360" w:lineRule="auto"/>
        <w:ind w:left="238" w:firstLine="210" w:firstLineChars="100"/>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2.本项目以服务类招标收费标准收取招标代理服务费服务费，对于招标代理服务费不足6000元的，按6000元计收。</w:t>
      </w:r>
    </w:p>
    <w:p>
      <w:pPr>
        <w:snapToGrid w:val="0"/>
        <w:spacing w:beforeLines="50" w:afterLines="50" w:line="360" w:lineRule="auto"/>
        <w:ind w:left="238" w:firstLine="210" w:firstLineChars="100"/>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3.代理费支付方式：一次性以银行划账、现金或支票的形式支付。</w:t>
      </w:r>
    </w:p>
    <w:p>
      <w:pPr>
        <w:snapToGrid w:val="0"/>
        <w:spacing w:beforeLines="50" w:afterLines="50" w:line="360" w:lineRule="auto"/>
        <w:ind w:left="238" w:firstLine="210" w:firstLineChars="100"/>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4.代理费以银行划账方式按下列要求提交：</w:t>
      </w:r>
    </w:p>
    <w:p>
      <w:pPr>
        <w:snapToGrid w:val="0"/>
        <w:spacing w:beforeLines="50" w:afterLines="50" w:line="360" w:lineRule="auto"/>
        <w:ind w:left="238" w:firstLine="210" w:firstLineChars="100"/>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户名：嘉兴市银建工程咨询评估有限公司</w:t>
      </w:r>
    </w:p>
    <w:p>
      <w:pPr>
        <w:snapToGrid w:val="0"/>
        <w:spacing w:beforeLines="50" w:afterLines="50" w:line="360" w:lineRule="auto"/>
        <w:ind w:left="238" w:firstLine="210" w:firstLineChars="100"/>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开户银行：建行嘉兴分行营业部</w:t>
      </w:r>
    </w:p>
    <w:p>
      <w:pPr>
        <w:snapToGrid w:val="0"/>
        <w:spacing w:beforeLines="50" w:afterLines="50" w:line="360" w:lineRule="auto"/>
        <w:ind w:left="238" w:firstLine="210" w:firstLineChars="100"/>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账号：3300 1638 0470 5000 4370</w:t>
      </w:r>
    </w:p>
    <w:p>
      <w:pPr>
        <w:snapToGrid w:val="0"/>
        <w:spacing w:beforeLines="50" w:afterLines="50" w:line="360" w:lineRule="auto"/>
        <w:ind w:left="238" w:firstLine="210" w:firstLineChars="100"/>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5.代理费支付时间：代理费必须在中标人领取《中标通知书》时一次性付清，如果中标人未能按时交纳服务费，采购代理机构/采购人保留追究其责任的权利。</w:t>
      </w:r>
    </w:p>
    <w:p>
      <w:pPr>
        <w:snapToGrid w:val="0"/>
        <w:spacing w:beforeLines="50" w:afterLines="50" w:line="360" w:lineRule="auto"/>
        <w:ind w:left="238" w:firstLine="210" w:firstLineChars="100"/>
        <w:outlineLvl w:val="1"/>
        <w:rPr>
          <w:rFonts w:asciiTheme="minorEastAsia" w:hAnsiTheme="minorEastAsia" w:eastAsiaTheme="minorEastAsia"/>
          <w:b/>
          <w:color w:val="auto"/>
          <w:szCs w:val="21"/>
          <w:highlight w:val="none"/>
        </w:rPr>
      </w:pPr>
      <w:r>
        <w:rPr>
          <w:rFonts w:hint="eastAsia" w:asciiTheme="minorEastAsia" w:hAnsiTheme="minorEastAsia" w:eastAsiaTheme="minorEastAsia"/>
          <w:color w:val="auto"/>
          <w:szCs w:val="21"/>
          <w:highlight w:val="none"/>
        </w:rPr>
        <w:t>6.服务费不在投标报价中单列。</w:t>
      </w:r>
    </w:p>
    <w:p>
      <w:pPr>
        <w:widowControl/>
        <w:jc w:val="left"/>
        <w:rPr>
          <w:rFonts w:asciiTheme="minorEastAsia" w:hAnsiTheme="minorEastAsia" w:eastAsiaTheme="minorEastAsia"/>
          <w:b/>
          <w:color w:val="auto"/>
          <w:szCs w:val="21"/>
          <w:highlight w:val="none"/>
        </w:rPr>
      </w:pPr>
      <w:r>
        <w:rPr>
          <w:rFonts w:asciiTheme="minorEastAsia" w:hAnsiTheme="minorEastAsia" w:eastAsiaTheme="minorEastAsia"/>
          <w:b/>
          <w:color w:val="auto"/>
          <w:szCs w:val="21"/>
          <w:highlight w:val="none"/>
        </w:rPr>
        <w:br w:type="page"/>
      </w:r>
    </w:p>
    <w:p>
      <w:pPr>
        <w:snapToGrid w:val="0"/>
        <w:spacing w:beforeLines="50" w:afterLines="50" w:line="360" w:lineRule="auto"/>
        <w:jc w:val="center"/>
        <w:outlineLvl w:val="1"/>
        <w:rPr>
          <w:rFonts w:asciiTheme="minorEastAsia" w:hAnsiTheme="minorEastAsia" w:eastAsiaTheme="minorEastAsia"/>
          <w:b/>
          <w:color w:val="auto"/>
          <w:sz w:val="30"/>
          <w:szCs w:val="30"/>
          <w:highlight w:val="none"/>
        </w:rPr>
      </w:pPr>
      <w:r>
        <w:rPr>
          <w:rFonts w:hint="eastAsia" w:asciiTheme="minorEastAsia" w:hAnsiTheme="minorEastAsia" w:eastAsiaTheme="minorEastAsia"/>
          <w:b/>
          <w:color w:val="auto"/>
          <w:sz w:val="30"/>
          <w:szCs w:val="30"/>
          <w:highlight w:val="none"/>
        </w:rPr>
        <w:t>第四章 评分办法及评分标准</w:t>
      </w:r>
    </w:p>
    <w:p>
      <w:pPr>
        <w:spacing w:beforeLines="50" w:afterLines="50" w:line="360" w:lineRule="auto"/>
        <w:ind w:firstLine="42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为公正、公平、科学地选择中标人，根据《中华人民共和国政府采购法》等有关法律法规的规定，并结合本项目的实际，制定本办法。</w:t>
      </w:r>
    </w:p>
    <w:p>
      <w:pPr>
        <w:spacing w:beforeLines="50" w:afterLines="50" w:line="360" w:lineRule="auto"/>
        <w:ind w:firstLine="422"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一 、总则</w:t>
      </w:r>
    </w:p>
    <w:p>
      <w:pPr>
        <w:spacing w:beforeLines="50" w:afterLines="50" w:line="360" w:lineRule="auto"/>
        <w:ind w:firstLine="420" w:firstLineChars="200"/>
        <w:rPr>
          <w:rFonts w:asciiTheme="minorEastAsia" w:hAnsiTheme="minorEastAsia" w:eastAsiaTheme="minorEastAsia"/>
          <w:color w:val="auto"/>
          <w:szCs w:val="21"/>
          <w:highlight w:val="none"/>
        </w:rPr>
      </w:pPr>
      <w:bookmarkStart w:id="60" w:name="_Toc406402998"/>
      <w:r>
        <w:rPr>
          <w:rFonts w:hint="eastAsia" w:asciiTheme="minorEastAsia" w:hAnsiTheme="minorEastAsia" w:eastAsiaTheme="minorEastAsia"/>
          <w:color w:val="auto"/>
          <w:szCs w:val="21"/>
          <w:highlight w:val="none"/>
        </w:rPr>
        <w:t>本次评标采用综合评分法，总分为100分。合格供应商的评标得分为各项目汇总得分，中标候选资格按评标得分由高到低顺序排列，得分相同的，按投标报价由低到高顺序排列；得分且投标报价相同的，按技术得分由高到低顺序排列，仍不能分出前后的，以投标签到先后顺序确定中标人。排名第一的供应商为中标候选人，排名第二的供应商为候补中标候选人，其他供应商中标候选资格依此类推。中标人拒绝与采购人签订合同的，采购人可以按照评审报告推荐的中标候选人名单顺序，确定下一候选人为中标人，也可以重新开展政府采购活动。评分过程中采用四舍五入法，并保留小数2位。</w:t>
      </w:r>
    </w:p>
    <w:p>
      <w:pPr>
        <w:spacing w:beforeLines="50" w:afterLines="50"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投标人评标综合得分=商务报价分+资信技术分</w:t>
      </w:r>
    </w:p>
    <w:p>
      <w:pPr>
        <w:spacing w:beforeLines="50" w:afterLines="50" w:line="360" w:lineRule="auto"/>
        <w:ind w:firstLine="422" w:firstLineChars="200"/>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二、评标内容及标准</w:t>
      </w:r>
    </w:p>
    <w:p>
      <w:pPr>
        <w:spacing w:beforeLines="50" w:afterLines="50" w:line="360" w:lineRule="auto"/>
        <w:ind w:firstLine="422" w:firstLineChars="200"/>
        <w:rPr>
          <w:rFonts w:asciiTheme="minorEastAsia" w:hAnsiTheme="minorEastAsia" w:eastAsiaTheme="minorEastAsia"/>
          <w:b/>
          <w:color w:val="auto"/>
          <w:szCs w:val="21"/>
          <w:highlight w:val="none"/>
        </w:rPr>
      </w:pPr>
      <w:r>
        <w:rPr>
          <w:rFonts w:asciiTheme="minorEastAsia" w:hAnsiTheme="minorEastAsia" w:eastAsiaTheme="minorEastAsia"/>
          <w:b/>
          <w:color w:val="auto"/>
          <w:szCs w:val="21"/>
          <w:highlight w:val="none"/>
        </w:rPr>
        <w:t>（一）</w:t>
      </w:r>
      <w:r>
        <w:rPr>
          <w:rFonts w:hint="eastAsia" w:asciiTheme="minorEastAsia" w:hAnsiTheme="minorEastAsia" w:eastAsiaTheme="minorEastAsia"/>
          <w:b/>
          <w:color w:val="auto"/>
          <w:szCs w:val="21"/>
          <w:highlight w:val="none"/>
        </w:rPr>
        <w:t>商务报价</w:t>
      </w:r>
      <w:r>
        <w:rPr>
          <w:rFonts w:asciiTheme="minorEastAsia" w:hAnsiTheme="minorEastAsia" w:eastAsiaTheme="minorEastAsia"/>
          <w:b/>
          <w:color w:val="auto"/>
          <w:szCs w:val="21"/>
          <w:highlight w:val="none"/>
        </w:rPr>
        <w:t>分（</w:t>
      </w:r>
      <w:r>
        <w:rPr>
          <w:rFonts w:hint="eastAsia" w:asciiTheme="minorEastAsia" w:hAnsiTheme="minorEastAsia" w:eastAsiaTheme="minorEastAsia"/>
          <w:b/>
          <w:color w:val="auto"/>
          <w:szCs w:val="21"/>
          <w:highlight w:val="none"/>
        </w:rPr>
        <w:t>10分）</w:t>
      </w:r>
    </w:p>
    <w:p>
      <w:pPr>
        <w:pStyle w:val="22"/>
        <w:spacing w:beforeLines="50" w:afterLines="50" w:line="360" w:lineRule="auto"/>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1.价格分采用低价优先法计算，即满足招标文件要求且投标价格最低的投标报价为评标基准价，其他供应商的价格分按照下列公式计算：</w:t>
      </w:r>
    </w:p>
    <w:p>
      <w:pPr>
        <w:spacing w:beforeLines="50" w:afterLines="50"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价格分=（评标基准价/投标报价）×10%×100</w:t>
      </w:r>
    </w:p>
    <w:p>
      <w:pPr>
        <w:pStyle w:val="22"/>
        <w:spacing w:after="50" w:line="360" w:lineRule="auto"/>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2.</w:t>
      </w:r>
      <w:r>
        <w:rPr>
          <w:rFonts w:asciiTheme="minorEastAsia" w:hAnsiTheme="minorEastAsia" w:eastAsiaTheme="minorEastAsia"/>
          <w:bCs/>
          <w:color w:val="auto"/>
          <w:szCs w:val="21"/>
          <w:highlight w:val="none"/>
        </w:rPr>
        <w:t>扶持政策说明：</w:t>
      </w:r>
    </w:p>
    <w:p>
      <w:pPr>
        <w:pStyle w:val="22"/>
        <w:spacing w:after="50" w:line="360" w:lineRule="auto"/>
        <w:rPr>
          <w:rFonts w:asciiTheme="minorEastAsia" w:hAnsiTheme="minorEastAsia" w:eastAsiaTheme="minorEastAsia"/>
          <w:bCs/>
          <w:color w:val="auto"/>
          <w:szCs w:val="21"/>
          <w:highlight w:val="none"/>
        </w:rPr>
      </w:pPr>
      <w:r>
        <w:rPr>
          <w:rFonts w:asciiTheme="minorEastAsia" w:hAnsiTheme="minorEastAsia" w:eastAsiaTheme="minorEastAsia"/>
          <w:bCs/>
          <w:color w:val="auto"/>
          <w:szCs w:val="21"/>
          <w:highlight w:val="none"/>
        </w:rPr>
        <w:t>（1）</w:t>
      </w:r>
      <w:r>
        <w:rPr>
          <w:rFonts w:hint="eastAsia" w:asciiTheme="minorEastAsia" w:hAnsiTheme="minorEastAsia" w:eastAsiaTheme="minorEastAsia"/>
          <w:bCs/>
          <w:color w:val="auto"/>
          <w:szCs w:val="21"/>
          <w:highlight w:val="none"/>
        </w:rPr>
        <w:t>本项目按《浙江省财政厅关于进一步发挥政府采购政策功能全力推进经济稳进提质的通知》浙财采监【2022】3号规定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r>
        <w:rPr>
          <w:rFonts w:asciiTheme="minorEastAsia" w:hAnsiTheme="minorEastAsia" w:eastAsiaTheme="minorEastAsia"/>
          <w:bCs/>
          <w:color w:val="auto"/>
          <w:szCs w:val="21"/>
          <w:highlight w:val="none"/>
        </w:rPr>
        <w:t>。</w:t>
      </w:r>
    </w:p>
    <w:p>
      <w:pPr>
        <w:pStyle w:val="22"/>
        <w:spacing w:after="50" w:line="360" w:lineRule="auto"/>
        <w:rPr>
          <w:rFonts w:asciiTheme="minorEastAsia" w:hAnsiTheme="minorEastAsia" w:eastAsiaTheme="minorEastAsia"/>
          <w:bCs/>
          <w:color w:val="auto"/>
          <w:szCs w:val="21"/>
          <w:highlight w:val="none"/>
        </w:rPr>
      </w:pPr>
      <w:r>
        <w:rPr>
          <w:rFonts w:asciiTheme="minorEastAsia" w:hAnsiTheme="minorEastAsia" w:eastAsiaTheme="minorEastAsia"/>
          <w:bCs/>
          <w:color w:val="auto"/>
          <w:szCs w:val="21"/>
          <w:highlight w:val="none"/>
        </w:rPr>
        <w:t xml:space="preserve">（2）根据《政府采购促进中小企业发展管理办法》（财库 </w:t>
      </w:r>
      <w:r>
        <w:rPr>
          <w:rFonts w:hint="eastAsia" w:asciiTheme="minorEastAsia" w:hAnsiTheme="minorEastAsia" w:eastAsiaTheme="minorEastAsia"/>
          <w:bCs/>
          <w:color w:val="auto"/>
          <w:szCs w:val="21"/>
          <w:highlight w:val="none"/>
        </w:rPr>
        <w:t>【</w:t>
      </w:r>
      <w:r>
        <w:rPr>
          <w:rFonts w:asciiTheme="minorEastAsia" w:hAnsiTheme="minorEastAsia" w:eastAsiaTheme="minorEastAsia"/>
          <w:bCs/>
          <w:color w:val="auto"/>
          <w:szCs w:val="21"/>
          <w:highlight w:val="none"/>
        </w:rPr>
        <w:t>2020</w:t>
      </w:r>
      <w:r>
        <w:rPr>
          <w:rFonts w:hint="eastAsia" w:asciiTheme="minorEastAsia" w:hAnsiTheme="minorEastAsia" w:eastAsiaTheme="minorEastAsia"/>
          <w:bCs/>
          <w:color w:val="auto"/>
          <w:szCs w:val="21"/>
          <w:highlight w:val="none"/>
        </w:rPr>
        <w:t>】</w:t>
      </w:r>
      <w:r>
        <w:rPr>
          <w:rFonts w:asciiTheme="minorEastAsia" w:hAnsiTheme="minorEastAsia" w:eastAsiaTheme="minorEastAsia"/>
          <w:bCs/>
          <w:color w:val="auto"/>
          <w:szCs w:val="21"/>
          <w:highlight w:val="none"/>
        </w:rPr>
        <w:t>46号）的规定</w:t>
      </w:r>
      <w:r>
        <w:rPr>
          <w:rFonts w:hint="eastAsia" w:asciiTheme="minorEastAsia" w:hAnsiTheme="minorEastAsia" w:eastAsiaTheme="minorEastAsia"/>
          <w:bCs/>
          <w:color w:val="auto"/>
          <w:szCs w:val="21"/>
          <w:highlight w:val="none"/>
        </w:rPr>
        <w:t>，小微企业（包括联合体内的小微企业和接受分包的小微企业）参加政府采购活动，应按当出具《中小企业声明函》，否则其报价不予扣除</w:t>
      </w:r>
      <w:r>
        <w:rPr>
          <w:rFonts w:asciiTheme="minorEastAsia" w:hAnsiTheme="minorEastAsia" w:eastAsiaTheme="minorEastAsia"/>
          <w:bCs/>
          <w:color w:val="auto"/>
          <w:szCs w:val="21"/>
          <w:highlight w:val="none"/>
        </w:rPr>
        <w:t>。</w:t>
      </w:r>
    </w:p>
    <w:p>
      <w:pPr>
        <w:pStyle w:val="22"/>
        <w:spacing w:after="50" w:line="360" w:lineRule="auto"/>
        <w:rPr>
          <w:rFonts w:asciiTheme="minorEastAsia" w:hAnsiTheme="minorEastAsia" w:eastAsiaTheme="minorEastAsia"/>
          <w:bCs/>
          <w:color w:val="auto"/>
          <w:szCs w:val="21"/>
          <w:highlight w:val="none"/>
        </w:rPr>
      </w:pPr>
      <w:r>
        <w:rPr>
          <w:rFonts w:asciiTheme="minorEastAsia" w:hAnsiTheme="minorEastAsia" w:eastAsiaTheme="minorEastAsia"/>
          <w:bCs/>
          <w:color w:val="auto"/>
          <w:szCs w:val="21"/>
          <w:highlight w:val="none"/>
        </w:rPr>
        <w:t>（3）</w:t>
      </w:r>
      <w:r>
        <w:rPr>
          <w:rFonts w:hint="eastAsia" w:asciiTheme="minorEastAsia" w:hAnsiTheme="minorEastAsia" w:eastAsiaTheme="minorEastAsia"/>
          <w:bCs/>
          <w:color w:val="auto"/>
          <w:szCs w:val="21"/>
          <w:highlight w:val="none"/>
        </w:rPr>
        <w:t>监狱企业和残疾人福利性单位视同小型、微型企业，按《财政部 司法部关于政府采购支持监狱企业发展有关问题的通知》(财库〔2014〕68 号)、《财政部  民政部  中国残疾人联合会关于促进残疾人就业政府采购政策的通知》（财库〔2017〕141 号）的规定执行</w:t>
      </w:r>
      <w:r>
        <w:rPr>
          <w:rFonts w:asciiTheme="minorEastAsia" w:hAnsiTheme="minorEastAsia" w:eastAsiaTheme="minorEastAsia"/>
          <w:bCs/>
          <w:color w:val="auto"/>
          <w:szCs w:val="21"/>
          <w:highlight w:val="none"/>
        </w:rPr>
        <w:t>。</w:t>
      </w:r>
    </w:p>
    <w:p>
      <w:pPr>
        <w:pStyle w:val="22"/>
        <w:spacing w:after="50" w:line="360" w:lineRule="auto"/>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注：中标、成交供应商为残疾人福利性单位的，采购人或者其委托的采购代理机构应当随中标、成交结果同时公告其《残疾人福利性单位声明函》，接受社会监督。供应商提供的《残疾人福利性单位声明函》与事实不符的，依照《政府采购法》第七十七条第一款的规定追究法律责任。</w:t>
      </w:r>
    </w:p>
    <w:p>
      <w:pPr>
        <w:pStyle w:val="22"/>
        <w:spacing w:after="50" w:line="360" w:lineRule="auto"/>
        <w:rPr>
          <w:rFonts w:asciiTheme="minorEastAsia" w:hAnsiTheme="minorEastAsia" w:eastAsiaTheme="minorEastAsia"/>
          <w:bCs/>
          <w:color w:val="auto"/>
          <w:szCs w:val="21"/>
          <w:highlight w:val="none"/>
        </w:rPr>
      </w:pPr>
      <w:r>
        <w:rPr>
          <w:rFonts w:asciiTheme="minorEastAsia" w:hAnsiTheme="minorEastAsia" w:eastAsiaTheme="minorEastAsia"/>
          <w:bCs/>
          <w:color w:val="auto"/>
          <w:szCs w:val="21"/>
          <w:highlight w:val="none"/>
        </w:rPr>
        <w:t>2.供应商的投标报价超过采购人设定的最高限价，将作为无效标。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pStyle w:val="22"/>
        <w:spacing w:line="360" w:lineRule="auto"/>
        <w:rPr>
          <w:rFonts w:asciiTheme="minorEastAsia" w:hAnsiTheme="minorEastAsia" w:eastAsiaTheme="minorEastAsia"/>
          <w:b/>
          <w:bCs/>
          <w:color w:val="auto"/>
          <w:szCs w:val="21"/>
          <w:highlight w:val="none"/>
        </w:rPr>
      </w:pPr>
      <w:r>
        <w:rPr>
          <w:rFonts w:hint="eastAsia" w:asciiTheme="minorEastAsia" w:hAnsiTheme="minorEastAsia" w:eastAsiaTheme="minorEastAsia"/>
          <w:b/>
          <w:bCs/>
          <w:color w:val="auto"/>
          <w:szCs w:val="21"/>
          <w:highlight w:val="none"/>
        </w:rPr>
        <w:t>（二）资信技术分（90分）</w:t>
      </w:r>
    </w:p>
    <w:bookmarkEnd w:id="60"/>
    <w:tbl>
      <w:tblPr>
        <w:tblStyle w:val="49"/>
        <w:tblW w:w="865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55"/>
        <w:gridCol w:w="6373"/>
        <w:gridCol w:w="15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4" w:hRule="atLeast"/>
          <w:jc w:val="center"/>
        </w:trPr>
        <w:tc>
          <w:tcPr>
            <w:tcW w:w="755" w:type="dxa"/>
            <w:tcBorders>
              <w:top w:val="single" w:color="auto" w:sz="12" w:space="0"/>
              <w:left w:val="single" w:color="auto" w:sz="12" w:space="0"/>
              <w:bottom w:val="single" w:color="auto" w:sz="6" w:space="0"/>
              <w:right w:val="single" w:color="auto" w:sz="6" w:space="0"/>
            </w:tcBorders>
            <w:noWrap w:val="0"/>
            <w:vAlign w:val="center"/>
          </w:tcPr>
          <w:p>
            <w:pPr>
              <w:pStyle w:val="22"/>
              <w:spacing w:before="120" w:beforeLines="50" w:afterLines="50" w:line="240" w:lineRule="auto"/>
              <w:ind w:left="0" w:leftChars="0" w:firstLine="0" w:firstLineChars="0"/>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lang w:eastAsia="zh-CN"/>
              </w:rPr>
              <w:t>序</w:t>
            </w:r>
            <w:r>
              <w:rPr>
                <w:rFonts w:hint="eastAsia" w:ascii="宋体" w:hAnsi="宋体" w:eastAsia="宋体" w:cs="宋体"/>
                <w:color w:val="auto"/>
                <w:kern w:val="2"/>
                <w:szCs w:val="21"/>
                <w:highlight w:val="none"/>
              </w:rPr>
              <w:t>号</w:t>
            </w:r>
          </w:p>
        </w:tc>
        <w:tc>
          <w:tcPr>
            <w:tcW w:w="6373" w:type="dxa"/>
            <w:tcBorders>
              <w:top w:val="single" w:color="auto" w:sz="12" w:space="0"/>
              <w:left w:val="single" w:color="auto" w:sz="4" w:space="0"/>
              <w:bottom w:val="single" w:color="auto" w:sz="6" w:space="0"/>
              <w:right w:val="single" w:color="auto" w:sz="12" w:space="0"/>
            </w:tcBorders>
            <w:noWrap w:val="0"/>
            <w:vAlign w:val="center"/>
          </w:tcPr>
          <w:p>
            <w:pPr>
              <w:pStyle w:val="22"/>
              <w:spacing w:before="120" w:beforeLines="50" w:afterLines="50" w:line="240" w:lineRule="auto"/>
              <w:ind w:firstLine="420" w:firstLineChars="200"/>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评分内容和标准</w:t>
            </w:r>
          </w:p>
        </w:tc>
        <w:tc>
          <w:tcPr>
            <w:tcW w:w="1530" w:type="dxa"/>
            <w:tcBorders>
              <w:top w:val="single" w:color="auto" w:sz="12" w:space="0"/>
              <w:left w:val="single" w:color="auto" w:sz="4" w:space="0"/>
              <w:bottom w:val="single" w:color="auto" w:sz="6" w:space="0"/>
              <w:right w:val="single" w:color="auto" w:sz="12" w:space="0"/>
            </w:tcBorders>
            <w:noWrap w:val="0"/>
            <w:vAlign w:val="center"/>
          </w:tcPr>
          <w:p>
            <w:pPr>
              <w:pStyle w:val="22"/>
              <w:spacing w:before="120" w:beforeLines="50" w:afterLines="50" w:line="240" w:lineRule="auto"/>
              <w:ind w:left="0" w:leftChars="0" w:firstLine="0" w:firstLineChars="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最高分值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2" w:hRule="atLeast"/>
          <w:jc w:val="center"/>
        </w:trPr>
        <w:tc>
          <w:tcPr>
            <w:tcW w:w="755" w:type="dxa"/>
            <w:tcBorders>
              <w:top w:val="single" w:color="auto" w:sz="6" w:space="0"/>
              <w:left w:val="single" w:color="auto" w:sz="12" w:space="0"/>
              <w:bottom w:val="single" w:color="auto" w:sz="6" w:space="0"/>
              <w:right w:val="single" w:color="auto" w:sz="6" w:space="0"/>
            </w:tcBorders>
            <w:noWrap w:val="0"/>
            <w:vAlign w:val="center"/>
          </w:tcPr>
          <w:p>
            <w:pPr>
              <w:pStyle w:val="22"/>
              <w:spacing w:before="120" w:beforeLines="50" w:afterLines="50" w:line="240" w:lineRule="auto"/>
              <w:ind w:left="0" w:leftChars="0" w:firstLine="0" w:firstLineChars="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1</w:t>
            </w:r>
          </w:p>
        </w:tc>
        <w:tc>
          <w:tcPr>
            <w:tcW w:w="6373" w:type="dxa"/>
            <w:tcBorders>
              <w:top w:val="single" w:color="auto" w:sz="6" w:space="0"/>
              <w:left w:val="single" w:color="auto" w:sz="4" w:space="0"/>
              <w:bottom w:val="single" w:color="auto" w:sz="6" w:space="0"/>
              <w:right w:val="single" w:color="auto" w:sz="12" w:space="0"/>
            </w:tcBorders>
            <w:noWrap w:val="0"/>
            <w:vAlign w:val="center"/>
          </w:tcPr>
          <w:p>
            <w:pPr>
              <w:pStyle w:val="22"/>
              <w:spacing w:before="120" w:beforeLines="50" w:afterLines="50" w:line="240" w:lineRule="auto"/>
              <w:ind w:left="0" w:leftChars="0" w:firstLine="0" w:firstLineChars="0"/>
              <w:rPr>
                <w:rFonts w:hint="eastAsia" w:ascii="宋体" w:hAnsi="宋体" w:eastAsia="宋体" w:cs="宋体"/>
                <w:color w:val="auto"/>
                <w:kern w:val="2"/>
                <w:szCs w:val="21"/>
                <w:highlight w:val="none"/>
                <w:lang w:val="zh-CN" w:eastAsia="zh-CN"/>
              </w:rPr>
            </w:pPr>
            <w:r>
              <w:rPr>
                <w:rFonts w:hint="eastAsia" w:ascii="宋体" w:hAnsi="宋体" w:eastAsia="宋体" w:cs="宋体"/>
                <w:color w:val="auto"/>
                <w:kern w:val="2"/>
                <w:szCs w:val="21"/>
                <w:highlight w:val="none"/>
                <w:lang w:val="zh-CN"/>
              </w:rPr>
              <w:t>根据</w:t>
            </w:r>
            <w:r>
              <w:rPr>
                <w:rFonts w:hint="eastAsia" w:ascii="宋体" w:hAnsi="宋体" w:eastAsia="宋体" w:cs="宋体"/>
                <w:color w:val="auto"/>
                <w:kern w:val="2"/>
                <w:szCs w:val="21"/>
                <w:highlight w:val="none"/>
                <w:lang w:val="en-US" w:eastAsia="zh-CN"/>
              </w:rPr>
              <w:t>道路</w:t>
            </w:r>
            <w:r>
              <w:rPr>
                <w:rFonts w:hint="eastAsia" w:ascii="宋体" w:hAnsi="宋体" w:eastAsia="宋体" w:cs="宋体"/>
                <w:color w:val="auto"/>
                <w:kern w:val="2"/>
                <w:szCs w:val="21"/>
                <w:highlight w:val="none"/>
                <w:lang w:val="zh-CN"/>
              </w:rPr>
              <w:t>分布及养护区域等特点分析、工作总体设想、工作重点等情况酌情评分</w:t>
            </w:r>
            <w:r>
              <w:rPr>
                <w:rFonts w:hint="eastAsia" w:ascii="宋体" w:hAnsi="宋体" w:eastAsia="宋体" w:cs="宋体"/>
                <w:color w:val="auto"/>
                <w:kern w:val="2"/>
                <w:szCs w:val="21"/>
                <w:highlight w:val="none"/>
                <w:lang w:val="zh-CN" w:eastAsia="zh-CN"/>
              </w:rPr>
              <w:t>（</w:t>
            </w:r>
            <w:r>
              <w:rPr>
                <w:rFonts w:hint="eastAsia" w:ascii="宋体" w:hAnsi="宋体" w:eastAsia="宋体" w:cs="宋体"/>
                <w:color w:val="auto"/>
                <w:kern w:val="2"/>
                <w:szCs w:val="21"/>
                <w:highlight w:val="none"/>
                <w:lang w:val="en-US" w:eastAsia="zh-CN"/>
              </w:rPr>
              <w:t>4-10分</w:t>
            </w:r>
            <w:r>
              <w:rPr>
                <w:rFonts w:hint="eastAsia" w:ascii="宋体" w:hAnsi="宋体" w:eastAsia="宋体" w:cs="宋体"/>
                <w:color w:val="auto"/>
                <w:kern w:val="2"/>
                <w:szCs w:val="21"/>
                <w:highlight w:val="none"/>
                <w:lang w:val="zh-CN" w:eastAsia="zh-CN"/>
              </w:rPr>
              <w:t>）</w:t>
            </w:r>
          </w:p>
        </w:tc>
        <w:tc>
          <w:tcPr>
            <w:tcW w:w="1530" w:type="dxa"/>
            <w:tcBorders>
              <w:top w:val="single" w:color="auto" w:sz="6" w:space="0"/>
              <w:left w:val="single" w:color="auto" w:sz="4" w:space="0"/>
              <w:bottom w:val="single" w:color="auto" w:sz="6" w:space="0"/>
              <w:right w:val="single" w:color="auto" w:sz="12" w:space="0"/>
            </w:tcBorders>
            <w:noWrap w:val="0"/>
            <w:vAlign w:val="center"/>
          </w:tcPr>
          <w:p>
            <w:pPr>
              <w:pStyle w:val="22"/>
              <w:spacing w:before="120" w:beforeLines="50" w:afterLines="50" w:line="240" w:lineRule="auto"/>
              <w:ind w:left="0" w:leftChars="0" w:firstLine="0" w:firstLineChars="0"/>
              <w:jc w:val="center"/>
              <w:rPr>
                <w:rFonts w:hint="default" w:ascii="宋体" w:hAnsi="宋体" w:eastAsia="宋体" w:cs="宋体"/>
                <w:color w:val="auto"/>
                <w:kern w:val="2"/>
                <w:szCs w:val="21"/>
                <w:highlight w:val="none"/>
                <w:lang w:val="en-US" w:eastAsia="zh-CN"/>
              </w:rPr>
            </w:pPr>
            <w:r>
              <w:rPr>
                <w:rFonts w:hint="eastAsia" w:ascii="宋体" w:hAnsi="宋体" w:cs="宋体"/>
                <w:color w:val="auto"/>
                <w:kern w:val="2"/>
                <w:szCs w:val="21"/>
                <w:highlight w:val="none"/>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2" w:hRule="atLeast"/>
          <w:jc w:val="center"/>
        </w:trPr>
        <w:tc>
          <w:tcPr>
            <w:tcW w:w="755" w:type="dxa"/>
            <w:tcBorders>
              <w:top w:val="single" w:color="auto" w:sz="6" w:space="0"/>
              <w:left w:val="single" w:color="auto" w:sz="12" w:space="0"/>
              <w:bottom w:val="single" w:color="auto" w:sz="6" w:space="0"/>
              <w:right w:val="single" w:color="auto" w:sz="6" w:space="0"/>
            </w:tcBorders>
            <w:noWrap w:val="0"/>
            <w:vAlign w:val="center"/>
          </w:tcPr>
          <w:p>
            <w:pPr>
              <w:pStyle w:val="22"/>
              <w:spacing w:before="120" w:beforeLines="50" w:afterLines="50" w:line="240" w:lineRule="auto"/>
              <w:ind w:left="0" w:leftChars="0" w:firstLine="0" w:firstLineChars="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2</w:t>
            </w:r>
          </w:p>
        </w:tc>
        <w:tc>
          <w:tcPr>
            <w:tcW w:w="6373" w:type="dxa"/>
            <w:tcBorders>
              <w:top w:val="single" w:color="auto" w:sz="6" w:space="0"/>
              <w:left w:val="single" w:color="auto" w:sz="4" w:space="0"/>
              <w:bottom w:val="single" w:color="auto" w:sz="6" w:space="0"/>
              <w:right w:val="single" w:color="auto" w:sz="12" w:space="0"/>
            </w:tcBorders>
            <w:noWrap w:val="0"/>
            <w:vAlign w:val="center"/>
          </w:tcPr>
          <w:p>
            <w:pPr>
              <w:pStyle w:val="22"/>
              <w:spacing w:before="120" w:beforeLines="50" w:afterLines="50" w:line="240" w:lineRule="auto"/>
              <w:ind w:left="0" w:leftChars="0" w:firstLine="0" w:firstLineChars="0"/>
              <w:rPr>
                <w:rFonts w:hint="default" w:ascii="宋体" w:hAnsi="宋体" w:eastAsia="宋体" w:cs="宋体"/>
                <w:color w:val="auto"/>
                <w:kern w:val="2"/>
                <w:szCs w:val="21"/>
                <w:highlight w:val="none"/>
                <w:lang w:val="en-US" w:eastAsia="zh-CN"/>
              </w:rPr>
            </w:pPr>
            <w:r>
              <w:rPr>
                <w:rFonts w:hint="default" w:ascii="宋体" w:hAnsi="宋体" w:eastAsia="宋体" w:cs="宋体"/>
                <w:color w:val="auto"/>
                <w:kern w:val="2"/>
                <w:szCs w:val="21"/>
                <w:highlight w:val="none"/>
                <w:lang w:val="en-US" w:eastAsia="zh-CN"/>
              </w:rPr>
              <w:t>根据养护日常作业内容，交通工具，养护作业人员详细安排，养护</w:t>
            </w:r>
          </w:p>
          <w:p>
            <w:pPr>
              <w:pStyle w:val="22"/>
              <w:spacing w:before="120" w:beforeLines="50" w:afterLines="50" w:line="240" w:lineRule="auto"/>
              <w:ind w:left="0" w:leftChars="0" w:firstLine="0" w:firstLineChars="0"/>
              <w:rPr>
                <w:rFonts w:hint="default" w:ascii="宋体" w:hAnsi="宋体" w:eastAsia="宋体" w:cs="宋体"/>
                <w:color w:val="auto"/>
                <w:kern w:val="2"/>
                <w:szCs w:val="21"/>
                <w:highlight w:val="none"/>
                <w:lang w:val="en-US" w:eastAsia="zh-CN"/>
              </w:rPr>
            </w:pPr>
            <w:r>
              <w:rPr>
                <w:rFonts w:hint="default" w:ascii="宋体" w:hAnsi="宋体" w:eastAsia="宋体" w:cs="宋体"/>
                <w:color w:val="auto"/>
                <w:kern w:val="2"/>
                <w:szCs w:val="21"/>
                <w:highlight w:val="none"/>
                <w:lang w:val="en-US" w:eastAsia="zh-CN"/>
              </w:rPr>
              <w:t>设备配置分配，台帐档案管理，防治病虫害及抗击自然灾害的具体保证措施等酌情评分</w:t>
            </w:r>
            <w:r>
              <w:rPr>
                <w:rFonts w:hint="eastAsia" w:ascii="宋体" w:hAnsi="宋体" w:eastAsia="宋体" w:cs="宋体"/>
                <w:color w:val="auto"/>
                <w:kern w:val="2"/>
                <w:szCs w:val="21"/>
                <w:highlight w:val="none"/>
                <w:lang w:val="zh-CN" w:eastAsia="zh-CN"/>
              </w:rPr>
              <w:t>（</w:t>
            </w:r>
            <w:r>
              <w:rPr>
                <w:rFonts w:hint="eastAsia" w:ascii="宋体" w:hAnsi="宋体" w:eastAsia="宋体" w:cs="宋体"/>
                <w:color w:val="auto"/>
                <w:kern w:val="2"/>
                <w:szCs w:val="21"/>
                <w:highlight w:val="none"/>
                <w:lang w:val="en-US" w:eastAsia="zh-CN"/>
              </w:rPr>
              <w:t>3-8分</w:t>
            </w:r>
            <w:r>
              <w:rPr>
                <w:rFonts w:hint="eastAsia" w:ascii="宋体" w:hAnsi="宋体" w:eastAsia="宋体" w:cs="宋体"/>
                <w:color w:val="auto"/>
                <w:kern w:val="2"/>
                <w:szCs w:val="21"/>
                <w:highlight w:val="none"/>
                <w:lang w:val="zh-CN" w:eastAsia="zh-CN"/>
              </w:rPr>
              <w:t>）</w:t>
            </w:r>
          </w:p>
        </w:tc>
        <w:tc>
          <w:tcPr>
            <w:tcW w:w="1530" w:type="dxa"/>
            <w:tcBorders>
              <w:top w:val="single" w:color="auto" w:sz="6" w:space="0"/>
              <w:left w:val="single" w:color="auto" w:sz="4" w:space="0"/>
              <w:bottom w:val="single" w:color="auto" w:sz="6" w:space="0"/>
              <w:right w:val="single" w:color="auto" w:sz="12" w:space="0"/>
            </w:tcBorders>
            <w:noWrap w:val="0"/>
            <w:vAlign w:val="center"/>
          </w:tcPr>
          <w:p>
            <w:pPr>
              <w:pStyle w:val="22"/>
              <w:spacing w:before="120" w:beforeLines="50" w:afterLines="50" w:line="240" w:lineRule="auto"/>
              <w:ind w:left="0" w:leftChars="0" w:firstLine="0" w:firstLineChars="0"/>
              <w:jc w:val="center"/>
              <w:rPr>
                <w:rFonts w:hint="eastAsia" w:ascii="宋体" w:hAnsi="宋体" w:eastAsia="宋体" w:cs="宋体"/>
                <w:color w:val="auto"/>
                <w:kern w:val="2"/>
                <w:szCs w:val="21"/>
                <w:highlight w:val="none"/>
                <w:lang w:val="en-US" w:eastAsia="zh-CN"/>
              </w:rPr>
            </w:pPr>
            <w:r>
              <w:rPr>
                <w:rFonts w:hint="eastAsia" w:ascii="宋体" w:hAnsi="宋体" w:cs="宋体"/>
                <w:color w:val="auto"/>
                <w:kern w:val="2"/>
                <w:szCs w:val="21"/>
                <w:highlight w:val="none"/>
                <w:lang w:val="en-US" w:eastAsia="zh-CN"/>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755" w:type="dxa"/>
            <w:tcBorders>
              <w:top w:val="single" w:color="auto" w:sz="6" w:space="0"/>
              <w:left w:val="single" w:color="auto" w:sz="12" w:space="0"/>
              <w:bottom w:val="single" w:color="auto" w:sz="6" w:space="0"/>
              <w:right w:val="single" w:color="auto" w:sz="6" w:space="0"/>
            </w:tcBorders>
            <w:noWrap w:val="0"/>
            <w:vAlign w:val="center"/>
          </w:tcPr>
          <w:p>
            <w:pPr>
              <w:pStyle w:val="22"/>
              <w:spacing w:before="120" w:beforeLines="50" w:afterLines="50" w:line="240" w:lineRule="auto"/>
              <w:ind w:left="0" w:leftChars="0" w:firstLine="0" w:firstLineChars="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3</w:t>
            </w:r>
          </w:p>
        </w:tc>
        <w:tc>
          <w:tcPr>
            <w:tcW w:w="6373" w:type="dxa"/>
            <w:tcBorders>
              <w:top w:val="single" w:color="auto" w:sz="6" w:space="0"/>
              <w:left w:val="single" w:color="auto" w:sz="4" w:space="0"/>
              <w:bottom w:val="single" w:color="auto" w:sz="6" w:space="0"/>
              <w:right w:val="single" w:color="auto" w:sz="12" w:space="0"/>
            </w:tcBorders>
            <w:noWrap w:val="0"/>
            <w:vAlign w:val="center"/>
          </w:tcPr>
          <w:p>
            <w:pPr>
              <w:pStyle w:val="22"/>
              <w:spacing w:before="120" w:beforeLines="50" w:afterLines="50" w:line="240" w:lineRule="auto"/>
              <w:ind w:left="0" w:leftChars="0" w:firstLine="0" w:firstLineChars="0"/>
              <w:rPr>
                <w:rFonts w:hint="eastAsia" w:ascii="宋体" w:hAnsi="宋体" w:eastAsia="宋体" w:cs="宋体"/>
                <w:color w:val="auto"/>
                <w:kern w:val="2"/>
                <w:szCs w:val="21"/>
                <w:highlight w:val="none"/>
                <w:lang w:eastAsia="zh-CN"/>
              </w:rPr>
            </w:pPr>
            <w:r>
              <w:rPr>
                <w:rFonts w:hint="eastAsia" w:ascii="宋体" w:hAnsi="宋体" w:eastAsia="宋体" w:cs="宋体"/>
                <w:color w:val="auto"/>
                <w:kern w:val="2"/>
                <w:szCs w:val="21"/>
                <w:highlight w:val="none"/>
                <w:lang w:eastAsia="zh-CN"/>
              </w:rPr>
              <w:t>根据作业质量标准，检查考核办法，作业人员安全教育、劳动保护、安全管理制度，意外事件应急预案等情况酌情评分</w:t>
            </w:r>
            <w:r>
              <w:rPr>
                <w:rFonts w:hint="eastAsia"/>
                <w:color w:val="auto"/>
                <w:spacing w:val="-3"/>
                <w:sz w:val="21"/>
                <w:highlight w:val="none"/>
                <w:lang w:eastAsia="zh-CN"/>
              </w:rPr>
              <w:t>（</w:t>
            </w:r>
            <w:r>
              <w:rPr>
                <w:rFonts w:hint="eastAsia"/>
                <w:color w:val="auto"/>
                <w:spacing w:val="-3"/>
                <w:sz w:val="21"/>
                <w:highlight w:val="none"/>
                <w:lang w:val="en-US" w:eastAsia="zh-CN"/>
              </w:rPr>
              <w:t>4-10分</w:t>
            </w:r>
            <w:r>
              <w:rPr>
                <w:rFonts w:hint="eastAsia"/>
                <w:color w:val="auto"/>
                <w:spacing w:val="-3"/>
                <w:sz w:val="21"/>
                <w:highlight w:val="none"/>
                <w:lang w:eastAsia="zh-CN"/>
              </w:rPr>
              <w:t>）</w:t>
            </w:r>
          </w:p>
        </w:tc>
        <w:tc>
          <w:tcPr>
            <w:tcW w:w="1530" w:type="dxa"/>
            <w:tcBorders>
              <w:top w:val="single" w:color="auto" w:sz="6" w:space="0"/>
              <w:left w:val="single" w:color="auto" w:sz="4" w:space="0"/>
              <w:bottom w:val="single" w:color="auto" w:sz="6" w:space="0"/>
              <w:right w:val="single" w:color="auto" w:sz="12" w:space="0"/>
            </w:tcBorders>
            <w:noWrap w:val="0"/>
            <w:vAlign w:val="center"/>
          </w:tcPr>
          <w:p>
            <w:pPr>
              <w:pStyle w:val="22"/>
              <w:spacing w:before="120" w:beforeLines="50" w:afterLines="50" w:line="240" w:lineRule="auto"/>
              <w:ind w:left="0" w:leftChars="0" w:firstLine="0" w:firstLineChars="0"/>
              <w:jc w:val="center"/>
              <w:rPr>
                <w:rFonts w:hint="eastAsia" w:ascii="宋体" w:hAnsi="宋体" w:eastAsia="宋体" w:cs="宋体"/>
                <w:color w:val="auto"/>
                <w:kern w:val="2"/>
                <w:szCs w:val="21"/>
                <w:highlight w:val="none"/>
                <w:lang w:val="en-US" w:eastAsia="zh-CN"/>
              </w:rPr>
            </w:pPr>
            <w:r>
              <w:rPr>
                <w:rFonts w:hint="eastAsia" w:ascii="宋体" w:hAnsi="宋体" w:cs="宋体"/>
                <w:color w:val="auto"/>
                <w:kern w:val="2"/>
                <w:szCs w:val="21"/>
                <w:highlight w:val="none"/>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47" w:hRule="atLeast"/>
          <w:jc w:val="center"/>
        </w:trPr>
        <w:tc>
          <w:tcPr>
            <w:tcW w:w="755" w:type="dxa"/>
            <w:tcBorders>
              <w:top w:val="single" w:color="auto" w:sz="4" w:space="0"/>
              <w:left w:val="single" w:color="auto" w:sz="12" w:space="0"/>
              <w:bottom w:val="single" w:color="auto" w:sz="6" w:space="0"/>
              <w:right w:val="single" w:color="auto" w:sz="6" w:space="0"/>
            </w:tcBorders>
            <w:noWrap w:val="0"/>
            <w:vAlign w:val="center"/>
          </w:tcPr>
          <w:p>
            <w:pPr>
              <w:pStyle w:val="22"/>
              <w:spacing w:before="120" w:beforeLines="50" w:afterLines="50" w:line="240" w:lineRule="auto"/>
              <w:ind w:left="0" w:leftChars="0" w:firstLine="0" w:firstLineChars="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4</w:t>
            </w:r>
          </w:p>
        </w:tc>
        <w:tc>
          <w:tcPr>
            <w:tcW w:w="6373" w:type="dxa"/>
            <w:tcBorders>
              <w:top w:val="single" w:color="auto" w:sz="4" w:space="0"/>
              <w:left w:val="single" w:color="auto" w:sz="6" w:space="0"/>
              <w:bottom w:val="single" w:color="auto" w:sz="6" w:space="0"/>
              <w:right w:val="single" w:color="auto" w:sz="12" w:space="0"/>
            </w:tcBorders>
            <w:noWrap w:val="0"/>
            <w:vAlign w:val="center"/>
          </w:tcPr>
          <w:p>
            <w:pPr>
              <w:pStyle w:val="22"/>
              <w:spacing w:before="120" w:beforeLines="50" w:afterLines="50" w:line="240" w:lineRule="auto"/>
              <w:ind w:left="0" w:leftChars="0" w:firstLine="0" w:firstLineChars="0"/>
              <w:jc w:val="both"/>
              <w:rPr>
                <w:rFonts w:hint="eastAsia" w:ascii="宋体" w:hAnsi="宋体" w:eastAsia="宋体" w:cs="宋体"/>
                <w:color w:val="auto"/>
                <w:kern w:val="2"/>
                <w:szCs w:val="21"/>
                <w:highlight w:val="none"/>
              </w:rPr>
            </w:pPr>
            <w:r>
              <w:rPr>
                <w:rFonts w:hint="eastAsia" w:ascii="宋体" w:hAnsi="宋体"/>
                <w:color w:val="auto"/>
                <w:szCs w:val="21"/>
                <w:highlight w:val="none"/>
              </w:rPr>
              <w:t>投标人针对本项目实施的项目进度安排，根据进度安排的科学性（0-</w:t>
            </w:r>
            <w:r>
              <w:rPr>
                <w:rFonts w:hint="eastAsia" w:ascii="宋体" w:hAnsi="宋体"/>
                <w:color w:val="auto"/>
                <w:szCs w:val="21"/>
                <w:highlight w:val="none"/>
                <w:lang w:val="en-US" w:eastAsia="zh-CN"/>
              </w:rPr>
              <w:t>3</w:t>
            </w:r>
            <w:r>
              <w:rPr>
                <w:rFonts w:hint="eastAsia" w:ascii="宋体" w:hAnsi="宋体"/>
                <w:color w:val="auto"/>
                <w:szCs w:val="21"/>
                <w:highlight w:val="none"/>
              </w:rPr>
              <w:t>分）、合理性（0-</w:t>
            </w:r>
            <w:r>
              <w:rPr>
                <w:rFonts w:hint="eastAsia" w:ascii="宋体" w:hAnsi="宋体"/>
                <w:color w:val="auto"/>
                <w:szCs w:val="21"/>
                <w:highlight w:val="none"/>
                <w:lang w:val="en-US" w:eastAsia="zh-CN"/>
              </w:rPr>
              <w:t>3</w:t>
            </w:r>
            <w:r>
              <w:rPr>
                <w:rFonts w:hint="eastAsia" w:ascii="宋体" w:hAnsi="宋体"/>
                <w:color w:val="auto"/>
                <w:szCs w:val="21"/>
                <w:highlight w:val="none"/>
              </w:rPr>
              <w:t>分）、规范性和可操作性（0-</w:t>
            </w:r>
            <w:r>
              <w:rPr>
                <w:rFonts w:hint="eastAsia" w:ascii="宋体" w:hAnsi="宋体"/>
                <w:color w:val="auto"/>
                <w:szCs w:val="21"/>
                <w:highlight w:val="none"/>
                <w:lang w:val="en-US" w:eastAsia="zh-CN"/>
              </w:rPr>
              <w:t>4</w:t>
            </w:r>
            <w:r>
              <w:rPr>
                <w:rFonts w:hint="eastAsia" w:ascii="宋体" w:hAnsi="宋体"/>
                <w:color w:val="auto"/>
                <w:szCs w:val="21"/>
                <w:highlight w:val="none"/>
              </w:rPr>
              <w:t>分），各投标单位比较得分</w:t>
            </w:r>
          </w:p>
        </w:tc>
        <w:tc>
          <w:tcPr>
            <w:tcW w:w="1530" w:type="dxa"/>
            <w:tcBorders>
              <w:top w:val="single" w:color="auto" w:sz="4" w:space="0"/>
              <w:left w:val="single" w:color="auto" w:sz="6" w:space="0"/>
              <w:bottom w:val="single" w:color="auto" w:sz="6" w:space="0"/>
              <w:right w:val="single" w:color="auto" w:sz="12" w:space="0"/>
            </w:tcBorders>
            <w:noWrap w:val="0"/>
            <w:vAlign w:val="center"/>
          </w:tcPr>
          <w:p>
            <w:pPr>
              <w:pStyle w:val="22"/>
              <w:spacing w:before="120" w:beforeLines="50" w:afterLines="50" w:line="240" w:lineRule="auto"/>
              <w:ind w:left="0" w:leftChars="0" w:firstLine="0" w:firstLineChars="0"/>
              <w:jc w:val="center"/>
              <w:rPr>
                <w:rFonts w:hint="eastAsia" w:ascii="宋体" w:hAnsi="宋体" w:eastAsia="宋体" w:cs="宋体"/>
                <w:color w:val="auto"/>
                <w:kern w:val="2"/>
                <w:szCs w:val="21"/>
                <w:highlight w:val="none"/>
                <w:lang w:val="en-US" w:eastAsia="zh-CN"/>
              </w:rPr>
            </w:pPr>
            <w:r>
              <w:rPr>
                <w:rFonts w:hint="eastAsia" w:ascii="宋体" w:hAnsi="宋体" w:cs="宋体"/>
                <w:color w:val="auto"/>
                <w:kern w:val="2"/>
                <w:szCs w:val="21"/>
                <w:highlight w:val="none"/>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47" w:hRule="atLeast"/>
          <w:jc w:val="center"/>
        </w:trPr>
        <w:tc>
          <w:tcPr>
            <w:tcW w:w="755" w:type="dxa"/>
            <w:tcBorders>
              <w:top w:val="single" w:color="auto" w:sz="4" w:space="0"/>
              <w:left w:val="single" w:color="auto" w:sz="12" w:space="0"/>
              <w:bottom w:val="single" w:color="auto" w:sz="6" w:space="0"/>
              <w:right w:val="single" w:color="auto" w:sz="6" w:space="0"/>
            </w:tcBorders>
            <w:noWrap w:val="0"/>
            <w:vAlign w:val="center"/>
          </w:tcPr>
          <w:p>
            <w:pPr>
              <w:pStyle w:val="22"/>
              <w:spacing w:before="120" w:beforeLines="50" w:afterLines="50" w:line="240" w:lineRule="auto"/>
              <w:ind w:left="0" w:leftChars="0" w:firstLine="0" w:firstLineChars="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5</w:t>
            </w:r>
          </w:p>
        </w:tc>
        <w:tc>
          <w:tcPr>
            <w:tcW w:w="6373" w:type="dxa"/>
            <w:tcBorders>
              <w:top w:val="single" w:color="auto" w:sz="4" w:space="0"/>
              <w:left w:val="single" w:color="auto" w:sz="6" w:space="0"/>
              <w:bottom w:val="single" w:color="auto" w:sz="6" w:space="0"/>
              <w:right w:val="single" w:color="auto" w:sz="12" w:space="0"/>
            </w:tcBorders>
            <w:noWrap w:val="0"/>
            <w:vAlign w:val="center"/>
          </w:tcPr>
          <w:p>
            <w:pPr>
              <w:pStyle w:val="22"/>
              <w:spacing w:before="120" w:beforeLines="50" w:afterLines="50" w:line="240" w:lineRule="auto"/>
              <w:ind w:left="0" w:leftChars="0" w:firstLine="0" w:firstLineChars="0"/>
              <w:rPr>
                <w:rFonts w:hint="eastAsia" w:ascii="宋体" w:hAnsi="宋体" w:eastAsia="宋体" w:cs="宋体"/>
                <w:color w:val="auto"/>
                <w:kern w:val="2"/>
                <w:szCs w:val="21"/>
                <w:highlight w:val="none"/>
                <w:lang w:val="zh-CN"/>
              </w:rPr>
            </w:pPr>
            <w:r>
              <w:rPr>
                <w:rFonts w:hint="eastAsia" w:ascii="宋体" w:hAnsi="宋体" w:eastAsia="宋体" w:cs="宋体"/>
                <w:color w:val="auto"/>
                <w:kern w:val="2"/>
                <w:szCs w:val="21"/>
                <w:highlight w:val="none"/>
                <w:lang w:val="zh-CN"/>
              </w:rPr>
              <w:t>安全文明礼貌的承诺及应急预案实施措施，评委根据投标方提供的安全服务方案及应急预案措施进行综合评分，应急预案要求：针对台风暴雨天气、梅雨季节、冰雪霜冻天气、污雨水井或管道或化粪池堵塞或污水外溢情况、发生火灾等特殊紧急情况进行详细方案描述</w:t>
            </w:r>
            <w:r>
              <w:rPr>
                <w:rFonts w:hint="eastAsia" w:ascii="宋体" w:hAnsi="宋体" w:eastAsia="宋体" w:cs="宋体"/>
                <w:color w:val="auto"/>
                <w:kern w:val="2"/>
                <w:szCs w:val="21"/>
                <w:highlight w:val="none"/>
                <w:lang w:val="zh-CN" w:eastAsia="zh-CN"/>
              </w:rPr>
              <w:t>（</w:t>
            </w:r>
            <w:r>
              <w:rPr>
                <w:rFonts w:hint="eastAsia" w:ascii="宋体" w:hAnsi="宋体" w:cs="宋体"/>
                <w:color w:val="auto"/>
                <w:kern w:val="2"/>
                <w:szCs w:val="21"/>
                <w:highlight w:val="none"/>
                <w:lang w:val="en-US" w:eastAsia="zh-CN"/>
              </w:rPr>
              <w:t>3</w:t>
            </w:r>
            <w:r>
              <w:rPr>
                <w:rFonts w:hint="eastAsia" w:ascii="宋体" w:hAnsi="宋体" w:eastAsia="宋体" w:cs="宋体"/>
                <w:color w:val="auto"/>
                <w:kern w:val="2"/>
                <w:szCs w:val="21"/>
                <w:highlight w:val="none"/>
                <w:lang w:val="zh-CN" w:eastAsia="zh-CN"/>
              </w:rPr>
              <w:t>-</w:t>
            </w:r>
            <w:r>
              <w:rPr>
                <w:rFonts w:hint="eastAsia" w:ascii="宋体" w:hAnsi="宋体" w:cs="宋体"/>
                <w:color w:val="auto"/>
                <w:kern w:val="2"/>
                <w:szCs w:val="21"/>
                <w:highlight w:val="none"/>
                <w:lang w:val="en-US" w:eastAsia="zh-CN"/>
              </w:rPr>
              <w:t>8</w:t>
            </w:r>
            <w:r>
              <w:rPr>
                <w:rFonts w:hint="eastAsia" w:ascii="宋体" w:hAnsi="宋体" w:eastAsia="宋体" w:cs="宋体"/>
                <w:color w:val="auto"/>
                <w:kern w:val="2"/>
                <w:szCs w:val="21"/>
                <w:highlight w:val="none"/>
                <w:lang w:val="zh-CN" w:eastAsia="zh-CN"/>
              </w:rPr>
              <w:t>分）</w:t>
            </w:r>
          </w:p>
        </w:tc>
        <w:tc>
          <w:tcPr>
            <w:tcW w:w="1530" w:type="dxa"/>
            <w:tcBorders>
              <w:top w:val="single" w:color="auto" w:sz="4" w:space="0"/>
              <w:left w:val="single" w:color="auto" w:sz="6" w:space="0"/>
              <w:bottom w:val="single" w:color="auto" w:sz="6" w:space="0"/>
              <w:right w:val="single" w:color="auto" w:sz="12" w:space="0"/>
            </w:tcBorders>
            <w:noWrap w:val="0"/>
            <w:vAlign w:val="center"/>
          </w:tcPr>
          <w:p>
            <w:pPr>
              <w:pStyle w:val="22"/>
              <w:spacing w:before="120" w:beforeLines="50" w:afterLines="50" w:line="240" w:lineRule="auto"/>
              <w:ind w:left="0" w:leftChars="0" w:firstLine="0" w:firstLineChars="0"/>
              <w:jc w:val="center"/>
              <w:rPr>
                <w:rFonts w:hint="eastAsia" w:ascii="宋体" w:hAnsi="宋体" w:eastAsia="宋体" w:cs="宋体"/>
                <w:color w:val="auto"/>
                <w:kern w:val="2"/>
                <w:szCs w:val="21"/>
                <w:highlight w:val="none"/>
                <w:lang w:val="en-US" w:eastAsia="zh-CN"/>
              </w:rPr>
            </w:pPr>
            <w:r>
              <w:rPr>
                <w:rFonts w:hint="eastAsia" w:ascii="宋体" w:hAnsi="宋体" w:cs="宋体"/>
                <w:color w:val="auto"/>
                <w:kern w:val="2"/>
                <w:szCs w:val="21"/>
                <w:highlight w:val="none"/>
                <w:lang w:val="en-US" w:eastAsia="zh-CN"/>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7" w:hRule="atLeast"/>
          <w:jc w:val="center"/>
        </w:trPr>
        <w:tc>
          <w:tcPr>
            <w:tcW w:w="755" w:type="dxa"/>
            <w:tcBorders>
              <w:top w:val="single" w:color="auto" w:sz="4" w:space="0"/>
              <w:left w:val="single" w:color="auto" w:sz="12" w:space="0"/>
              <w:bottom w:val="single" w:color="auto" w:sz="6" w:space="0"/>
              <w:right w:val="single" w:color="auto" w:sz="6" w:space="0"/>
            </w:tcBorders>
            <w:noWrap w:val="0"/>
            <w:vAlign w:val="center"/>
          </w:tcPr>
          <w:p>
            <w:pPr>
              <w:pStyle w:val="22"/>
              <w:spacing w:before="120" w:beforeLines="50" w:afterLines="50" w:line="240" w:lineRule="auto"/>
              <w:ind w:left="0" w:leftChars="0" w:firstLine="0" w:firstLineChars="0"/>
              <w:jc w:val="center"/>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6</w:t>
            </w:r>
          </w:p>
        </w:tc>
        <w:tc>
          <w:tcPr>
            <w:tcW w:w="6373" w:type="dxa"/>
            <w:tcBorders>
              <w:top w:val="single" w:color="auto" w:sz="4" w:space="0"/>
              <w:left w:val="single" w:color="auto" w:sz="6" w:space="0"/>
              <w:bottom w:val="single" w:color="auto" w:sz="6" w:space="0"/>
              <w:right w:val="single" w:color="auto" w:sz="12" w:space="0"/>
            </w:tcBorders>
            <w:noWrap w:val="0"/>
            <w:vAlign w:val="center"/>
          </w:tcPr>
          <w:p>
            <w:pPr>
              <w:pStyle w:val="22"/>
              <w:spacing w:before="120" w:beforeLines="50" w:afterLines="50" w:line="240" w:lineRule="auto"/>
              <w:ind w:left="0" w:leftChars="0" w:firstLine="0" w:firstLineChars="0"/>
              <w:rPr>
                <w:rFonts w:hint="default"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zh-CN"/>
              </w:rPr>
              <w:t>投标人对</w:t>
            </w:r>
            <w:r>
              <w:rPr>
                <w:rFonts w:hint="eastAsia" w:ascii="宋体" w:hAnsi="宋体" w:cs="宋体"/>
                <w:color w:val="auto"/>
                <w:kern w:val="2"/>
                <w:szCs w:val="21"/>
                <w:highlight w:val="none"/>
                <w:lang w:val="zh-CN"/>
              </w:rPr>
              <w:t>养护服务</w:t>
            </w:r>
            <w:r>
              <w:rPr>
                <w:rFonts w:hint="eastAsia" w:ascii="宋体" w:hAnsi="宋体" w:eastAsia="宋体" w:cs="宋体"/>
                <w:color w:val="auto"/>
                <w:kern w:val="2"/>
                <w:szCs w:val="21"/>
                <w:highlight w:val="none"/>
                <w:lang w:val="zh-CN"/>
              </w:rPr>
              <w:t>质量控制及服务承诺的可实现程度，由专家综合打分</w:t>
            </w:r>
            <w:r>
              <w:rPr>
                <w:rFonts w:hint="eastAsia" w:ascii="宋体" w:hAnsi="宋体" w:cs="宋体"/>
                <w:color w:val="auto"/>
                <w:kern w:val="2"/>
                <w:szCs w:val="21"/>
                <w:highlight w:val="none"/>
                <w:lang w:val="zh-CN"/>
              </w:rPr>
              <w:t>（</w:t>
            </w:r>
            <w:r>
              <w:rPr>
                <w:rFonts w:hint="eastAsia" w:ascii="宋体" w:hAnsi="宋体" w:cs="宋体"/>
                <w:color w:val="auto"/>
                <w:kern w:val="2"/>
                <w:szCs w:val="21"/>
                <w:highlight w:val="none"/>
                <w:lang w:val="en-US" w:eastAsia="zh-CN"/>
              </w:rPr>
              <w:t>2-5分）</w:t>
            </w:r>
          </w:p>
        </w:tc>
        <w:tc>
          <w:tcPr>
            <w:tcW w:w="1530" w:type="dxa"/>
            <w:tcBorders>
              <w:top w:val="single" w:color="auto" w:sz="4" w:space="0"/>
              <w:left w:val="single" w:color="auto" w:sz="6" w:space="0"/>
              <w:bottom w:val="single" w:color="auto" w:sz="6" w:space="0"/>
              <w:right w:val="single" w:color="auto" w:sz="12" w:space="0"/>
            </w:tcBorders>
            <w:noWrap w:val="0"/>
            <w:vAlign w:val="center"/>
          </w:tcPr>
          <w:p>
            <w:pPr>
              <w:pStyle w:val="22"/>
              <w:spacing w:before="120" w:beforeLines="50" w:afterLines="50" w:line="240" w:lineRule="auto"/>
              <w:ind w:left="0" w:leftChars="0" w:firstLine="0" w:firstLineChars="0"/>
              <w:jc w:val="center"/>
              <w:rPr>
                <w:rFonts w:hint="eastAsia" w:ascii="宋体" w:hAnsi="宋体" w:eastAsia="宋体" w:cs="宋体"/>
                <w:color w:val="auto"/>
                <w:kern w:val="2"/>
                <w:szCs w:val="21"/>
                <w:highlight w:val="none"/>
                <w:lang w:val="en-US" w:eastAsia="zh-CN"/>
              </w:rPr>
            </w:pPr>
            <w:r>
              <w:rPr>
                <w:rFonts w:hint="eastAsia" w:ascii="宋体" w:hAnsi="宋体" w:cs="宋体"/>
                <w:color w:val="auto"/>
                <w:kern w:val="2"/>
                <w:szCs w:val="21"/>
                <w:highlight w:val="none"/>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7" w:hRule="atLeast"/>
          <w:jc w:val="center"/>
        </w:trPr>
        <w:tc>
          <w:tcPr>
            <w:tcW w:w="755" w:type="dxa"/>
            <w:tcBorders>
              <w:top w:val="single" w:color="auto" w:sz="4" w:space="0"/>
              <w:left w:val="single" w:color="auto" w:sz="12" w:space="0"/>
              <w:bottom w:val="single" w:color="auto" w:sz="6" w:space="0"/>
              <w:right w:val="single" w:color="auto" w:sz="6" w:space="0"/>
            </w:tcBorders>
            <w:noWrap w:val="0"/>
            <w:vAlign w:val="center"/>
          </w:tcPr>
          <w:p>
            <w:pPr>
              <w:pStyle w:val="22"/>
              <w:spacing w:before="120" w:beforeLines="50" w:afterLines="50" w:line="240" w:lineRule="auto"/>
              <w:ind w:left="0" w:leftChars="0" w:firstLine="0" w:firstLineChars="0"/>
              <w:jc w:val="center"/>
              <w:rPr>
                <w:rFonts w:hint="eastAsia" w:ascii="宋体" w:hAnsi="宋体" w:eastAsia="宋体" w:cs="宋体"/>
                <w:color w:val="auto"/>
                <w:kern w:val="2"/>
                <w:szCs w:val="21"/>
                <w:highlight w:val="none"/>
                <w:lang w:val="en-US" w:eastAsia="zh-CN"/>
              </w:rPr>
            </w:pPr>
            <w:r>
              <w:rPr>
                <w:rFonts w:hint="eastAsia" w:ascii="宋体" w:hAnsi="宋体" w:cs="宋体"/>
                <w:color w:val="auto"/>
                <w:kern w:val="2"/>
                <w:szCs w:val="21"/>
                <w:highlight w:val="none"/>
                <w:lang w:val="en-US" w:eastAsia="zh-CN"/>
              </w:rPr>
              <w:t>7</w:t>
            </w:r>
          </w:p>
        </w:tc>
        <w:tc>
          <w:tcPr>
            <w:tcW w:w="6373" w:type="dxa"/>
            <w:tcBorders>
              <w:top w:val="single" w:color="auto" w:sz="4" w:space="0"/>
              <w:left w:val="single" w:color="auto" w:sz="6" w:space="0"/>
              <w:bottom w:val="single" w:color="auto" w:sz="6" w:space="0"/>
              <w:right w:val="single" w:color="auto" w:sz="12" w:space="0"/>
            </w:tcBorders>
            <w:noWrap w:val="0"/>
            <w:vAlign w:val="center"/>
          </w:tcPr>
          <w:p>
            <w:pPr>
              <w:pStyle w:val="22"/>
              <w:spacing w:before="120" w:beforeLines="50" w:afterLines="50" w:line="240" w:lineRule="auto"/>
              <w:ind w:left="0" w:leftChars="0" w:firstLine="0" w:firstLineChars="0"/>
              <w:rPr>
                <w:rFonts w:hint="eastAsia" w:ascii="宋体" w:hAnsi="宋体" w:eastAsia="宋体" w:cs="宋体"/>
                <w:color w:val="auto"/>
                <w:kern w:val="2"/>
                <w:szCs w:val="21"/>
                <w:highlight w:val="none"/>
                <w:lang w:eastAsia="zh-CN"/>
              </w:rPr>
            </w:pPr>
            <w:r>
              <w:rPr>
                <w:rFonts w:hint="eastAsia" w:ascii="宋体" w:hAnsi="宋体" w:eastAsia="宋体" w:cs="宋体"/>
                <w:color w:val="auto"/>
                <w:kern w:val="2"/>
                <w:szCs w:val="21"/>
                <w:highlight w:val="none"/>
                <w:lang w:eastAsia="zh-CN"/>
              </w:rPr>
              <w:t>针对本项目实施的机械及设备配备的合理性、科学性等综合评分（</w:t>
            </w:r>
            <w:r>
              <w:rPr>
                <w:rFonts w:hint="eastAsia" w:ascii="宋体" w:hAnsi="宋体" w:cs="宋体"/>
                <w:color w:val="auto"/>
                <w:kern w:val="2"/>
                <w:szCs w:val="21"/>
                <w:highlight w:val="none"/>
                <w:lang w:val="en-US" w:eastAsia="zh-CN"/>
              </w:rPr>
              <w:t>2</w:t>
            </w:r>
            <w:r>
              <w:rPr>
                <w:rFonts w:hint="eastAsia" w:ascii="宋体" w:hAnsi="宋体" w:eastAsia="宋体" w:cs="宋体"/>
                <w:color w:val="auto"/>
                <w:kern w:val="2"/>
                <w:szCs w:val="21"/>
                <w:highlight w:val="none"/>
                <w:lang w:eastAsia="zh-CN"/>
              </w:rPr>
              <w:t>-</w:t>
            </w:r>
            <w:r>
              <w:rPr>
                <w:rFonts w:hint="eastAsia" w:ascii="宋体" w:hAnsi="宋体" w:cs="宋体"/>
                <w:color w:val="auto"/>
                <w:kern w:val="2"/>
                <w:szCs w:val="21"/>
                <w:highlight w:val="none"/>
                <w:lang w:val="en-US" w:eastAsia="zh-CN"/>
              </w:rPr>
              <w:t>5</w:t>
            </w:r>
            <w:r>
              <w:rPr>
                <w:rFonts w:hint="eastAsia" w:ascii="宋体" w:hAnsi="宋体" w:eastAsia="宋体" w:cs="宋体"/>
                <w:color w:val="auto"/>
                <w:kern w:val="2"/>
                <w:szCs w:val="21"/>
                <w:highlight w:val="none"/>
                <w:lang w:eastAsia="zh-CN"/>
              </w:rPr>
              <w:t>分）</w:t>
            </w:r>
          </w:p>
        </w:tc>
        <w:tc>
          <w:tcPr>
            <w:tcW w:w="1530" w:type="dxa"/>
            <w:tcBorders>
              <w:top w:val="single" w:color="auto" w:sz="4" w:space="0"/>
              <w:left w:val="single" w:color="auto" w:sz="6" w:space="0"/>
              <w:bottom w:val="single" w:color="auto" w:sz="6" w:space="0"/>
              <w:right w:val="single" w:color="auto" w:sz="12" w:space="0"/>
            </w:tcBorders>
            <w:noWrap w:val="0"/>
            <w:vAlign w:val="center"/>
          </w:tcPr>
          <w:p>
            <w:pPr>
              <w:pStyle w:val="22"/>
              <w:spacing w:before="120" w:beforeLines="50" w:afterLines="50" w:line="240" w:lineRule="auto"/>
              <w:ind w:left="0" w:leftChars="0" w:firstLine="0" w:firstLineChars="0"/>
              <w:jc w:val="center"/>
              <w:rPr>
                <w:rFonts w:hint="eastAsia" w:ascii="宋体" w:hAnsi="宋体" w:eastAsia="宋体" w:cs="宋体"/>
                <w:color w:val="auto"/>
                <w:kern w:val="2"/>
                <w:szCs w:val="21"/>
                <w:highlight w:val="none"/>
                <w:lang w:val="en-US" w:eastAsia="zh-CN"/>
              </w:rPr>
            </w:pPr>
            <w:r>
              <w:rPr>
                <w:rFonts w:hint="eastAsia" w:ascii="宋体" w:hAnsi="宋体" w:cs="宋体"/>
                <w:color w:val="auto"/>
                <w:kern w:val="2"/>
                <w:szCs w:val="21"/>
                <w:highlight w:val="none"/>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755" w:type="dxa"/>
            <w:tcBorders>
              <w:top w:val="single" w:color="auto" w:sz="4" w:space="0"/>
              <w:left w:val="single" w:color="auto" w:sz="12" w:space="0"/>
              <w:bottom w:val="single" w:color="auto" w:sz="6" w:space="0"/>
              <w:right w:val="single" w:color="auto" w:sz="6" w:space="0"/>
            </w:tcBorders>
            <w:noWrap w:val="0"/>
            <w:vAlign w:val="center"/>
          </w:tcPr>
          <w:p>
            <w:pPr>
              <w:pStyle w:val="22"/>
              <w:spacing w:before="120" w:beforeLines="50" w:afterLines="50" w:line="240" w:lineRule="auto"/>
              <w:ind w:left="0" w:leftChars="0" w:firstLine="0" w:firstLineChars="0"/>
              <w:jc w:val="center"/>
              <w:rPr>
                <w:rFonts w:hint="eastAsia" w:ascii="宋体" w:hAnsi="宋体" w:eastAsia="宋体" w:cs="宋体"/>
                <w:color w:val="auto"/>
                <w:kern w:val="2"/>
                <w:szCs w:val="21"/>
                <w:highlight w:val="none"/>
                <w:lang w:val="en-US" w:eastAsia="zh-CN"/>
              </w:rPr>
            </w:pPr>
            <w:r>
              <w:rPr>
                <w:rFonts w:hint="eastAsia" w:ascii="宋体" w:hAnsi="宋体" w:cs="宋体"/>
                <w:color w:val="auto"/>
                <w:kern w:val="2"/>
                <w:szCs w:val="21"/>
                <w:highlight w:val="none"/>
                <w:lang w:val="en-US" w:eastAsia="zh-CN"/>
              </w:rPr>
              <w:t>8</w:t>
            </w:r>
          </w:p>
        </w:tc>
        <w:tc>
          <w:tcPr>
            <w:tcW w:w="6373" w:type="dxa"/>
            <w:tcBorders>
              <w:top w:val="single" w:color="auto" w:sz="4" w:space="0"/>
              <w:left w:val="single" w:color="auto" w:sz="6" w:space="0"/>
              <w:bottom w:val="single" w:color="auto" w:sz="4" w:space="0"/>
              <w:right w:val="single" w:color="auto" w:sz="12" w:space="0"/>
            </w:tcBorders>
            <w:noWrap w:val="0"/>
            <w:vAlign w:val="center"/>
          </w:tcPr>
          <w:p>
            <w:pPr>
              <w:pStyle w:val="22"/>
              <w:spacing w:before="120" w:beforeLines="50" w:afterLines="50" w:line="240" w:lineRule="auto"/>
              <w:ind w:left="0" w:leftChars="0" w:firstLine="0" w:firstLineChars="0"/>
              <w:rPr>
                <w:rFonts w:hint="eastAsia" w:ascii="宋体" w:hAnsi="宋体" w:eastAsia="宋体" w:cs="宋体"/>
                <w:color w:val="auto"/>
                <w:kern w:val="2"/>
                <w:szCs w:val="21"/>
                <w:highlight w:val="none"/>
                <w:lang w:val="zh-CN" w:eastAsia="zh-CN"/>
              </w:rPr>
            </w:pPr>
            <w:r>
              <w:rPr>
                <w:rFonts w:hint="eastAsia" w:ascii="宋体" w:hAnsi="宋体" w:eastAsia="宋体" w:cs="宋体"/>
                <w:color w:val="auto"/>
                <w:kern w:val="2"/>
                <w:szCs w:val="21"/>
                <w:highlight w:val="none"/>
              </w:rPr>
              <w:t>根据投标单位是否有完善的监督自查体系，以及体系的完整性、科学性、可操作性，综合打分（</w:t>
            </w:r>
            <w:r>
              <w:rPr>
                <w:rFonts w:hint="eastAsia" w:ascii="宋体" w:hAnsi="宋体" w:cs="宋体"/>
                <w:color w:val="auto"/>
                <w:kern w:val="2"/>
                <w:szCs w:val="21"/>
                <w:highlight w:val="none"/>
                <w:lang w:val="en-US" w:eastAsia="zh-CN"/>
              </w:rPr>
              <w:t>3</w:t>
            </w:r>
            <w:r>
              <w:rPr>
                <w:rFonts w:hint="eastAsia" w:ascii="宋体" w:hAnsi="宋体" w:eastAsia="宋体" w:cs="宋体"/>
                <w:color w:val="auto"/>
                <w:kern w:val="2"/>
                <w:szCs w:val="21"/>
                <w:highlight w:val="none"/>
              </w:rPr>
              <w:t>—</w:t>
            </w:r>
            <w:r>
              <w:rPr>
                <w:rFonts w:hint="eastAsia" w:ascii="宋体" w:hAnsi="宋体" w:cs="宋体"/>
                <w:color w:val="auto"/>
                <w:kern w:val="2"/>
                <w:szCs w:val="21"/>
                <w:highlight w:val="none"/>
                <w:lang w:val="en-US" w:eastAsia="zh-CN"/>
              </w:rPr>
              <w:t>7</w:t>
            </w:r>
            <w:r>
              <w:rPr>
                <w:rFonts w:hint="eastAsia" w:ascii="宋体" w:hAnsi="宋体" w:eastAsia="宋体" w:cs="宋体"/>
                <w:color w:val="auto"/>
                <w:kern w:val="2"/>
                <w:szCs w:val="21"/>
                <w:highlight w:val="none"/>
              </w:rPr>
              <w:t>分）</w:t>
            </w:r>
          </w:p>
        </w:tc>
        <w:tc>
          <w:tcPr>
            <w:tcW w:w="1530" w:type="dxa"/>
            <w:tcBorders>
              <w:top w:val="single" w:color="auto" w:sz="4" w:space="0"/>
              <w:left w:val="single" w:color="auto" w:sz="6" w:space="0"/>
              <w:bottom w:val="single" w:color="auto" w:sz="4" w:space="0"/>
              <w:right w:val="single" w:color="auto" w:sz="12" w:space="0"/>
            </w:tcBorders>
            <w:noWrap w:val="0"/>
            <w:vAlign w:val="center"/>
          </w:tcPr>
          <w:p>
            <w:pPr>
              <w:pStyle w:val="22"/>
              <w:spacing w:before="120" w:beforeLines="50" w:afterLines="50" w:line="240" w:lineRule="auto"/>
              <w:ind w:left="0" w:leftChars="0" w:firstLine="0" w:firstLineChars="0"/>
              <w:jc w:val="center"/>
              <w:rPr>
                <w:rFonts w:hint="eastAsia" w:ascii="宋体" w:hAnsi="宋体" w:eastAsia="宋体" w:cs="宋体"/>
                <w:color w:val="auto"/>
                <w:kern w:val="2"/>
                <w:szCs w:val="21"/>
                <w:highlight w:val="none"/>
                <w:lang w:val="en-US" w:eastAsia="zh-CN"/>
              </w:rPr>
            </w:pPr>
            <w:r>
              <w:rPr>
                <w:rFonts w:hint="eastAsia" w:ascii="宋体" w:hAnsi="宋体" w:cs="宋体"/>
                <w:color w:val="auto"/>
                <w:kern w:val="2"/>
                <w:szCs w:val="21"/>
                <w:highlight w:val="none"/>
                <w:lang w:val="en-US" w:eastAsia="zh-CN"/>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755" w:type="dxa"/>
            <w:tcBorders>
              <w:top w:val="single" w:color="auto" w:sz="4" w:space="0"/>
              <w:left w:val="single" w:color="auto" w:sz="12" w:space="0"/>
              <w:bottom w:val="single" w:color="auto" w:sz="6" w:space="0"/>
              <w:right w:val="single" w:color="auto" w:sz="6" w:space="0"/>
            </w:tcBorders>
            <w:noWrap w:val="0"/>
            <w:vAlign w:val="center"/>
          </w:tcPr>
          <w:p>
            <w:pPr>
              <w:pStyle w:val="22"/>
              <w:spacing w:before="120" w:beforeLines="50" w:afterLines="50" w:line="240" w:lineRule="auto"/>
              <w:ind w:left="0" w:leftChars="0" w:firstLine="0" w:firstLineChars="0"/>
              <w:jc w:val="center"/>
              <w:rPr>
                <w:rFonts w:hint="default" w:ascii="宋体" w:hAnsi="宋体" w:cs="宋体"/>
                <w:color w:val="auto"/>
                <w:kern w:val="2"/>
                <w:szCs w:val="21"/>
                <w:highlight w:val="none"/>
                <w:lang w:val="en-US" w:eastAsia="zh-CN"/>
              </w:rPr>
            </w:pPr>
            <w:r>
              <w:rPr>
                <w:rFonts w:hint="eastAsia" w:ascii="宋体" w:hAnsi="宋体" w:cs="宋体"/>
                <w:color w:val="auto"/>
                <w:kern w:val="2"/>
                <w:szCs w:val="21"/>
                <w:highlight w:val="none"/>
                <w:lang w:val="en-US" w:eastAsia="zh-CN"/>
              </w:rPr>
              <w:t>9</w:t>
            </w:r>
          </w:p>
        </w:tc>
        <w:tc>
          <w:tcPr>
            <w:tcW w:w="6373" w:type="dxa"/>
            <w:tcBorders>
              <w:top w:val="single" w:color="auto" w:sz="4" w:space="0"/>
              <w:left w:val="single" w:color="auto" w:sz="6" w:space="0"/>
              <w:bottom w:val="single" w:color="auto" w:sz="4" w:space="0"/>
              <w:right w:val="single" w:color="auto" w:sz="12" w:space="0"/>
            </w:tcBorders>
            <w:noWrap w:val="0"/>
            <w:vAlign w:val="center"/>
          </w:tcPr>
          <w:p>
            <w:pPr>
              <w:pStyle w:val="22"/>
              <w:spacing w:before="120" w:beforeLines="50" w:afterLines="50" w:line="240" w:lineRule="auto"/>
              <w:ind w:left="0" w:leftChars="0" w:firstLine="0" w:firstLineChars="0"/>
              <w:rPr>
                <w:rFonts w:hint="eastAsia" w:ascii="宋体" w:hAnsi="宋体" w:cs="宋体"/>
                <w:color w:val="auto"/>
                <w:kern w:val="2"/>
                <w:szCs w:val="21"/>
                <w:highlight w:val="none"/>
                <w:lang w:val="en-US" w:eastAsia="zh-CN"/>
              </w:rPr>
            </w:pPr>
            <w:r>
              <w:rPr>
                <w:rFonts w:hint="eastAsia" w:ascii="宋体" w:hAnsi="宋体" w:cs="宋体"/>
                <w:color w:val="auto"/>
                <w:kern w:val="2"/>
                <w:szCs w:val="21"/>
                <w:highlight w:val="none"/>
                <w:lang w:val="en-US" w:eastAsia="zh-CN"/>
              </w:rPr>
              <w:t>根据投标人针对本项目特点提出的研究的重点、难点分析综合打分。（0-6分）</w:t>
            </w:r>
          </w:p>
        </w:tc>
        <w:tc>
          <w:tcPr>
            <w:tcW w:w="1530" w:type="dxa"/>
            <w:tcBorders>
              <w:top w:val="single" w:color="auto" w:sz="4" w:space="0"/>
              <w:left w:val="single" w:color="auto" w:sz="6" w:space="0"/>
              <w:bottom w:val="single" w:color="auto" w:sz="4" w:space="0"/>
              <w:right w:val="single" w:color="auto" w:sz="12" w:space="0"/>
            </w:tcBorders>
            <w:noWrap w:val="0"/>
            <w:vAlign w:val="center"/>
          </w:tcPr>
          <w:p>
            <w:pPr>
              <w:pStyle w:val="22"/>
              <w:spacing w:before="120" w:beforeLines="50" w:afterLines="50" w:line="240" w:lineRule="auto"/>
              <w:ind w:left="0" w:leftChars="0" w:firstLine="0" w:firstLineChars="0"/>
              <w:jc w:val="center"/>
              <w:rPr>
                <w:rFonts w:hint="default" w:ascii="宋体" w:hAnsi="宋体" w:cs="宋体"/>
                <w:color w:val="auto"/>
                <w:kern w:val="2"/>
                <w:szCs w:val="21"/>
                <w:highlight w:val="none"/>
                <w:lang w:val="en-US" w:eastAsia="zh-CN"/>
              </w:rPr>
            </w:pPr>
            <w:r>
              <w:rPr>
                <w:rFonts w:hint="eastAsia" w:ascii="宋体" w:hAnsi="宋体" w:cs="宋体"/>
                <w:color w:val="auto"/>
                <w:kern w:val="2"/>
                <w:szCs w:val="21"/>
                <w:highlight w:val="none"/>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755" w:type="dxa"/>
            <w:tcBorders>
              <w:top w:val="single" w:color="auto" w:sz="4" w:space="0"/>
              <w:left w:val="single" w:color="auto" w:sz="12" w:space="0"/>
              <w:bottom w:val="single" w:color="auto" w:sz="6" w:space="0"/>
              <w:right w:val="single" w:color="auto" w:sz="6" w:space="0"/>
            </w:tcBorders>
            <w:noWrap w:val="0"/>
            <w:vAlign w:val="center"/>
          </w:tcPr>
          <w:p>
            <w:pPr>
              <w:pStyle w:val="22"/>
              <w:spacing w:before="120" w:beforeLines="50" w:afterLines="50" w:line="240" w:lineRule="auto"/>
              <w:ind w:left="0" w:leftChars="0" w:firstLine="0" w:firstLineChars="0"/>
              <w:jc w:val="center"/>
              <w:rPr>
                <w:rFonts w:hint="default" w:ascii="宋体" w:hAnsi="宋体" w:eastAsia="宋体" w:cs="宋体"/>
                <w:color w:val="auto"/>
                <w:kern w:val="2"/>
                <w:szCs w:val="21"/>
                <w:highlight w:val="none"/>
                <w:lang w:val="en-US" w:eastAsia="zh-CN"/>
              </w:rPr>
            </w:pPr>
            <w:r>
              <w:rPr>
                <w:rFonts w:hint="eastAsia" w:ascii="宋体" w:hAnsi="宋体" w:cs="宋体"/>
                <w:color w:val="auto"/>
                <w:kern w:val="2"/>
                <w:szCs w:val="21"/>
                <w:highlight w:val="none"/>
                <w:lang w:val="en-US" w:eastAsia="zh-CN"/>
              </w:rPr>
              <w:t>10</w:t>
            </w:r>
          </w:p>
        </w:tc>
        <w:tc>
          <w:tcPr>
            <w:tcW w:w="6373" w:type="dxa"/>
            <w:tcBorders>
              <w:top w:val="single" w:color="auto" w:sz="4" w:space="0"/>
              <w:left w:val="single" w:color="auto" w:sz="6" w:space="0"/>
              <w:bottom w:val="single" w:color="auto" w:sz="4" w:space="0"/>
              <w:right w:val="single" w:color="auto" w:sz="12" w:space="0"/>
            </w:tcBorders>
            <w:noWrap w:val="0"/>
            <w:vAlign w:val="center"/>
          </w:tcPr>
          <w:p>
            <w:pPr>
              <w:pStyle w:val="22"/>
              <w:spacing w:before="120" w:beforeLines="50" w:afterLines="50" w:line="240" w:lineRule="auto"/>
              <w:ind w:left="0" w:leftChars="0" w:firstLine="0" w:firstLineChars="0"/>
              <w:rPr>
                <w:rFonts w:hint="default" w:ascii="宋体" w:hAnsi="宋体" w:eastAsia="宋体" w:cs="宋体"/>
                <w:color w:val="auto"/>
                <w:kern w:val="2"/>
                <w:szCs w:val="21"/>
                <w:highlight w:val="none"/>
                <w:lang w:val="en-US" w:eastAsia="zh-CN"/>
              </w:rPr>
            </w:pPr>
            <w:r>
              <w:rPr>
                <w:rFonts w:hint="eastAsia" w:ascii="宋体" w:hAnsi="宋体" w:cs="宋体"/>
                <w:color w:val="auto"/>
                <w:kern w:val="2"/>
                <w:szCs w:val="21"/>
                <w:highlight w:val="none"/>
                <w:lang w:val="en-US" w:eastAsia="zh-CN"/>
              </w:rPr>
              <w:t>提出关于本项目的相关合理化建议，突发情况的处理，酌情打分</w:t>
            </w:r>
            <w:r>
              <w:rPr>
                <w:rFonts w:hint="eastAsia" w:ascii="宋体" w:hAnsi="宋体" w:eastAsia="宋体" w:cs="宋体"/>
                <w:color w:val="auto"/>
                <w:kern w:val="2"/>
                <w:szCs w:val="21"/>
                <w:highlight w:val="none"/>
                <w:lang w:val="zh-CN" w:eastAsia="zh-CN"/>
              </w:rPr>
              <w:t>（4-10分）</w:t>
            </w:r>
          </w:p>
        </w:tc>
        <w:tc>
          <w:tcPr>
            <w:tcW w:w="1530" w:type="dxa"/>
            <w:tcBorders>
              <w:top w:val="single" w:color="auto" w:sz="4" w:space="0"/>
              <w:left w:val="single" w:color="auto" w:sz="6" w:space="0"/>
              <w:bottom w:val="single" w:color="auto" w:sz="4" w:space="0"/>
              <w:right w:val="single" w:color="auto" w:sz="12" w:space="0"/>
            </w:tcBorders>
            <w:noWrap w:val="0"/>
            <w:vAlign w:val="center"/>
          </w:tcPr>
          <w:p>
            <w:pPr>
              <w:pStyle w:val="22"/>
              <w:spacing w:before="120" w:beforeLines="50" w:afterLines="50" w:line="240" w:lineRule="auto"/>
              <w:ind w:left="0" w:leftChars="0" w:firstLine="0" w:firstLineChars="0"/>
              <w:jc w:val="center"/>
              <w:rPr>
                <w:rFonts w:hint="default" w:ascii="宋体" w:hAnsi="宋体" w:cs="宋体"/>
                <w:color w:val="auto"/>
                <w:kern w:val="2"/>
                <w:szCs w:val="21"/>
                <w:highlight w:val="none"/>
                <w:lang w:val="en-US" w:eastAsia="zh-CN"/>
              </w:rPr>
            </w:pPr>
            <w:r>
              <w:rPr>
                <w:rFonts w:hint="eastAsia" w:ascii="宋体" w:hAnsi="宋体" w:cs="宋体"/>
                <w:color w:val="auto"/>
                <w:kern w:val="2"/>
                <w:szCs w:val="21"/>
                <w:highlight w:val="none"/>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68" w:hRule="atLeast"/>
          <w:jc w:val="center"/>
        </w:trPr>
        <w:tc>
          <w:tcPr>
            <w:tcW w:w="755" w:type="dxa"/>
            <w:tcBorders>
              <w:top w:val="single" w:color="auto" w:sz="6" w:space="0"/>
              <w:left w:val="single" w:color="auto" w:sz="12" w:space="0"/>
              <w:bottom w:val="single" w:color="auto" w:sz="6" w:space="0"/>
              <w:right w:val="single" w:color="auto" w:sz="6" w:space="0"/>
            </w:tcBorders>
            <w:noWrap w:val="0"/>
            <w:vAlign w:val="center"/>
          </w:tcPr>
          <w:p>
            <w:pPr>
              <w:pStyle w:val="22"/>
              <w:spacing w:before="120" w:beforeLines="50" w:afterLines="50" w:line="240" w:lineRule="auto"/>
              <w:ind w:left="0" w:leftChars="0" w:firstLine="0" w:firstLineChars="0"/>
              <w:jc w:val="center"/>
              <w:rPr>
                <w:rFonts w:hint="default" w:ascii="宋体" w:hAnsi="宋体" w:cs="宋体"/>
                <w:strike w:val="0"/>
                <w:dstrike w:val="0"/>
                <w:color w:val="auto"/>
                <w:kern w:val="2"/>
                <w:szCs w:val="21"/>
                <w:highlight w:val="none"/>
                <w:lang w:val="en-US" w:eastAsia="zh-CN"/>
              </w:rPr>
            </w:pPr>
            <w:r>
              <w:rPr>
                <w:rFonts w:hint="eastAsia" w:ascii="宋体" w:hAnsi="宋体" w:cs="宋体"/>
                <w:strike w:val="0"/>
                <w:dstrike w:val="0"/>
                <w:color w:val="auto"/>
                <w:kern w:val="2"/>
                <w:szCs w:val="21"/>
                <w:highlight w:val="none"/>
                <w:lang w:val="en-US" w:eastAsia="zh-CN"/>
              </w:rPr>
              <w:t>11</w:t>
            </w:r>
          </w:p>
        </w:tc>
        <w:tc>
          <w:tcPr>
            <w:tcW w:w="6373" w:type="dxa"/>
            <w:tcBorders>
              <w:top w:val="single" w:color="auto" w:sz="6" w:space="0"/>
              <w:left w:val="single" w:color="auto" w:sz="6" w:space="0"/>
              <w:bottom w:val="single" w:color="auto" w:sz="6" w:space="0"/>
              <w:right w:val="single" w:color="auto" w:sz="12" w:space="0"/>
            </w:tcBorders>
            <w:noWrap w:val="0"/>
            <w:vAlign w:val="center"/>
          </w:tcPr>
          <w:p>
            <w:pPr>
              <w:pStyle w:val="22"/>
              <w:spacing w:before="120" w:beforeLines="50" w:afterLines="50" w:line="240" w:lineRule="auto"/>
              <w:ind w:left="0" w:leftChars="0" w:firstLine="0" w:firstLineChars="0"/>
              <w:rPr>
                <w:rFonts w:hint="eastAsia" w:ascii="宋体" w:hAnsi="宋体" w:cs="宋体"/>
                <w:strike w:val="0"/>
                <w:dstrike w:val="0"/>
                <w:color w:val="auto"/>
                <w:kern w:val="2"/>
                <w:szCs w:val="21"/>
                <w:highlight w:val="none"/>
                <w:lang w:val="en-US" w:eastAsia="zh-CN"/>
              </w:rPr>
            </w:pPr>
            <w:r>
              <w:rPr>
                <w:rFonts w:hint="eastAsia" w:ascii="宋体" w:hAnsi="宋体" w:cs="宋体"/>
                <w:strike w:val="0"/>
                <w:dstrike w:val="0"/>
                <w:color w:val="auto"/>
                <w:kern w:val="2"/>
                <w:szCs w:val="21"/>
                <w:highlight w:val="none"/>
                <w:lang w:val="en-US" w:eastAsia="zh-CN"/>
              </w:rPr>
              <w:t>投标单位取得有效期内的质量体系认证证书、环境管理体系认证证书、职业健康安全管理体系认证证书，最高得3分。（开标时提供有效期内证书原件的复印件加盖公章，否则不得分，公证书不予确认）。</w:t>
            </w:r>
          </w:p>
        </w:tc>
        <w:tc>
          <w:tcPr>
            <w:tcW w:w="1530" w:type="dxa"/>
            <w:tcBorders>
              <w:top w:val="single" w:color="auto" w:sz="6" w:space="0"/>
              <w:left w:val="single" w:color="auto" w:sz="6" w:space="0"/>
              <w:bottom w:val="single" w:color="auto" w:sz="6" w:space="0"/>
              <w:right w:val="single" w:color="auto" w:sz="12" w:space="0"/>
            </w:tcBorders>
            <w:noWrap w:val="0"/>
            <w:vAlign w:val="center"/>
          </w:tcPr>
          <w:p>
            <w:pPr>
              <w:pStyle w:val="22"/>
              <w:spacing w:before="120" w:beforeLines="50" w:afterLines="50" w:line="240" w:lineRule="auto"/>
              <w:ind w:left="0" w:leftChars="0" w:firstLine="0" w:firstLineChars="0"/>
              <w:jc w:val="center"/>
              <w:rPr>
                <w:rFonts w:hint="default" w:ascii="宋体" w:hAnsi="宋体" w:cs="宋体"/>
                <w:strike w:val="0"/>
                <w:dstrike w:val="0"/>
                <w:color w:val="auto"/>
                <w:kern w:val="2"/>
                <w:szCs w:val="21"/>
                <w:highlight w:val="none"/>
                <w:lang w:val="en-US" w:eastAsia="zh-CN"/>
              </w:rPr>
            </w:pPr>
            <w:r>
              <w:rPr>
                <w:rFonts w:hint="eastAsia" w:ascii="宋体" w:hAnsi="宋体" w:cs="宋体"/>
                <w:strike w:val="0"/>
                <w:dstrike w:val="0"/>
                <w:color w:val="auto"/>
                <w:kern w:val="2"/>
                <w:szCs w:val="21"/>
                <w:highlight w:val="none"/>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68" w:hRule="atLeast"/>
          <w:jc w:val="center"/>
        </w:trPr>
        <w:tc>
          <w:tcPr>
            <w:tcW w:w="755" w:type="dxa"/>
            <w:tcBorders>
              <w:top w:val="single" w:color="auto" w:sz="6" w:space="0"/>
              <w:left w:val="single" w:color="auto" w:sz="12" w:space="0"/>
              <w:bottom w:val="single" w:color="auto" w:sz="6" w:space="0"/>
              <w:right w:val="single" w:color="auto" w:sz="6" w:space="0"/>
            </w:tcBorders>
            <w:noWrap w:val="0"/>
            <w:vAlign w:val="center"/>
          </w:tcPr>
          <w:p>
            <w:pPr>
              <w:pStyle w:val="22"/>
              <w:spacing w:before="120" w:beforeLines="50" w:afterLines="50" w:line="240" w:lineRule="auto"/>
              <w:ind w:left="0" w:leftChars="0" w:firstLine="0" w:firstLineChars="0"/>
              <w:jc w:val="center"/>
              <w:rPr>
                <w:rFonts w:hint="default" w:ascii="宋体" w:hAnsi="宋体" w:eastAsia="宋体" w:cs="宋体"/>
                <w:strike w:val="0"/>
                <w:dstrike w:val="0"/>
                <w:color w:val="auto"/>
                <w:kern w:val="2"/>
                <w:szCs w:val="21"/>
                <w:highlight w:val="none"/>
                <w:lang w:val="en-US" w:eastAsia="zh-CN"/>
              </w:rPr>
            </w:pPr>
            <w:r>
              <w:rPr>
                <w:rFonts w:hint="eastAsia" w:ascii="宋体" w:hAnsi="宋体" w:cs="宋体"/>
                <w:strike w:val="0"/>
                <w:dstrike w:val="0"/>
                <w:color w:val="auto"/>
                <w:kern w:val="2"/>
                <w:szCs w:val="21"/>
                <w:highlight w:val="none"/>
                <w:lang w:val="en-US" w:eastAsia="zh-CN"/>
              </w:rPr>
              <w:t>12</w:t>
            </w:r>
          </w:p>
        </w:tc>
        <w:tc>
          <w:tcPr>
            <w:tcW w:w="6373" w:type="dxa"/>
            <w:tcBorders>
              <w:top w:val="single" w:color="auto" w:sz="6" w:space="0"/>
              <w:left w:val="single" w:color="auto" w:sz="6" w:space="0"/>
              <w:bottom w:val="single" w:color="auto" w:sz="6" w:space="0"/>
              <w:right w:val="single" w:color="auto" w:sz="12" w:space="0"/>
            </w:tcBorders>
            <w:noWrap w:val="0"/>
            <w:vAlign w:val="center"/>
          </w:tcPr>
          <w:p>
            <w:pPr>
              <w:pStyle w:val="22"/>
              <w:spacing w:before="120" w:beforeLines="50" w:afterLines="50" w:line="240" w:lineRule="auto"/>
              <w:ind w:left="0" w:leftChars="0" w:firstLine="0" w:firstLineChars="0"/>
              <w:rPr>
                <w:rFonts w:hint="default" w:ascii="宋体" w:hAnsi="宋体" w:eastAsia="宋体" w:cs="宋体"/>
                <w:strike w:val="0"/>
                <w:dstrike w:val="0"/>
                <w:color w:val="auto"/>
                <w:kern w:val="2"/>
                <w:szCs w:val="21"/>
                <w:highlight w:val="none"/>
                <w:lang w:val="en-US" w:eastAsia="zh-CN"/>
              </w:rPr>
            </w:pPr>
            <w:r>
              <w:rPr>
                <w:rFonts w:hint="eastAsia" w:ascii="宋体" w:hAnsi="宋体" w:cs="宋体"/>
                <w:strike w:val="0"/>
                <w:dstrike w:val="0"/>
                <w:color w:val="auto"/>
                <w:kern w:val="2"/>
                <w:szCs w:val="21"/>
                <w:highlight w:val="none"/>
                <w:lang w:val="en-US" w:eastAsia="zh-CN"/>
              </w:rPr>
              <w:t>项目负责人具有市政公用工程二级及以上注册建造师的得2分，项目负责人具有工程师及以上职称的得1分。项目组成员具有中级及以上职称的每有一个加0.5分，最高加2分。</w:t>
            </w:r>
          </w:p>
        </w:tc>
        <w:tc>
          <w:tcPr>
            <w:tcW w:w="1530" w:type="dxa"/>
            <w:tcBorders>
              <w:top w:val="single" w:color="auto" w:sz="6" w:space="0"/>
              <w:left w:val="single" w:color="auto" w:sz="6" w:space="0"/>
              <w:bottom w:val="single" w:color="auto" w:sz="6" w:space="0"/>
              <w:right w:val="single" w:color="auto" w:sz="12" w:space="0"/>
            </w:tcBorders>
            <w:noWrap w:val="0"/>
            <w:vAlign w:val="center"/>
          </w:tcPr>
          <w:p>
            <w:pPr>
              <w:pStyle w:val="22"/>
              <w:spacing w:before="120" w:beforeLines="50" w:afterLines="50" w:line="240" w:lineRule="auto"/>
              <w:ind w:left="0" w:leftChars="0" w:firstLine="0" w:firstLineChars="0"/>
              <w:jc w:val="center"/>
              <w:rPr>
                <w:rFonts w:hint="eastAsia" w:ascii="宋体" w:hAnsi="宋体" w:eastAsia="宋体" w:cs="宋体"/>
                <w:strike w:val="0"/>
                <w:dstrike w:val="0"/>
                <w:color w:val="auto"/>
                <w:kern w:val="2"/>
                <w:szCs w:val="21"/>
                <w:highlight w:val="none"/>
                <w:lang w:val="en-US" w:eastAsia="zh-CN"/>
              </w:rPr>
            </w:pPr>
            <w:r>
              <w:rPr>
                <w:rFonts w:hint="eastAsia" w:ascii="宋体" w:hAnsi="宋体" w:cs="宋体"/>
                <w:strike w:val="0"/>
                <w:dstrike w:val="0"/>
                <w:color w:val="auto"/>
                <w:kern w:val="2"/>
                <w:szCs w:val="21"/>
                <w:highlight w:val="none"/>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8" w:hRule="atLeast"/>
          <w:jc w:val="center"/>
        </w:trPr>
        <w:tc>
          <w:tcPr>
            <w:tcW w:w="755" w:type="dxa"/>
            <w:tcBorders>
              <w:top w:val="single" w:color="auto" w:sz="6" w:space="0"/>
              <w:left w:val="single" w:color="auto" w:sz="12" w:space="0"/>
              <w:bottom w:val="single" w:color="auto" w:sz="12" w:space="0"/>
              <w:right w:val="single" w:color="auto" w:sz="6" w:space="0"/>
            </w:tcBorders>
            <w:noWrap w:val="0"/>
            <w:vAlign w:val="center"/>
          </w:tcPr>
          <w:p>
            <w:pPr>
              <w:pStyle w:val="22"/>
              <w:spacing w:before="120" w:beforeLines="50" w:afterLines="50" w:line="240" w:lineRule="auto"/>
              <w:ind w:left="0" w:leftChars="0" w:firstLine="0" w:firstLineChars="0"/>
              <w:jc w:val="center"/>
              <w:rPr>
                <w:rFonts w:hint="default" w:ascii="宋体" w:hAnsi="宋体" w:eastAsia="宋体" w:cs="宋体"/>
                <w:color w:val="auto"/>
                <w:kern w:val="2"/>
                <w:szCs w:val="21"/>
                <w:highlight w:val="none"/>
                <w:lang w:val="en-US" w:eastAsia="zh-CN"/>
              </w:rPr>
            </w:pPr>
            <w:r>
              <w:rPr>
                <w:rFonts w:hint="eastAsia" w:ascii="宋体" w:hAnsi="宋体" w:cs="宋体"/>
                <w:color w:val="auto"/>
                <w:kern w:val="2"/>
                <w:szCs w:val="21"/>
                <w:highlight w:val="none"/>
                <w:lang w:val="en-US" w:eastAsia="zh-CN"/>
              </w:rPr>
              <w:t>13</w:t>
            </w:r>
          </w:p>
        </w:tc>
        <w:tc>
          <w:tcPr>
            <w:tcW w:w="6373" w:type="dxa"/>
            <w:tcBorders>
              <w:top w:val="single" w:color="auto" w:sz="6" w:space="0"/>
              <w:left w:val="single" w:color="auto" w:sz="6" w:space="0"/>
              <w:bottom w:val="single" w:color="auto" w:sz="12" w:space="0"/>
              <w:right w:val="single" w:color="auto" w:sz="12" w:space="0"/>
            </w:tcBorders>
            <w:noWrap w:val="0"/>
            <w:vAlign w:val="center"/>
          </w:tcPr>
          <w:p>
            <w:pPr>
              <w:pStyle w:val="22"/>
              <w:spacing w:before="120" w:beforeLines="50" w:afterLines="50" w:line="240" w:lineRule="auto"/>
              <w:ind w:left="0" w:leftChars="0" w:firstLine="0" w:firstLineChars="0"/>
              <w:rPr>
                <w:rFonts w:hint="eastAsia" w:ascii="宋体" w:hAnsi="宋体" w:eastAsia="宋体" w:cs="宋体"/>
                <w:color w:val="auto"/>
                <w:kern w:val="2"/>
                <w:szCs w:val="21"/>
                <w:highlight w:val="none"/>
                <w:lang w:val="zh-CN" w:eastAsia="zh-CN"/>
              </w:rPr>
            </w:pPr>
            <w:r>
              <w:rPr>
                <w:rFonts w:hint="eastAsia" w:ascii="宋体" w:hAnsi="宋体" w:eastAsia="宋体" w:cs="宋体"/>
                <w:color w:val="auto"/>
                <w:kern w:val="2"/>
                <w:szCs w:val="21"/>
                <w:highlight w:val="none"/>
                <w:lang w:val="zh-CN" w:eastAsia="zh-CN"/>
              </w:rPr>
              <w:t>根据投标人在投标截止时间止前三年是否受到行政处罚、行政处理（含通报）、列入不良行为、经营异常或在政府采购专项检查、合同履约验收过程中的诚信情况酌情评分</w:t>
            </w:r>
          </w:p>
        </w:tc>
        <w:tc>
          <w:tcPr>
            <w:tcW w:w="1530" w:type="dxa"/>
            <w:tcBorders>
              <w:top w:val="single" w:color="auto" w:sz="6" w:space="0"/>
              <w:left w:val="single" w:color="auto" w:sz="6" w:space="0"/>
              <w:bottom w:val="single" w:color="auto" w:sz="12" w:space="0"/>
              <w:right w:val="single" w:color="auto" w:sz="12" w:space="0"/>
            </w:tcBorders>
            <w:noWrap w:val="0"/>
            <w:vAlign w:val="center"/>
          </w:tcPr>
          <w:p>
            <w:pPr>
              <w:pStyle w:val="22"/>
              <w:spacing w:before="120" w:beforeLines="50" w:afterLines="50" w:line="240" w:lineRule="auto"/>
              <w:ind w:left="0" w:leftChars="0" w:firstLine="0" w:firstLineChars="0"/>
              <w:jc w:val="center"/>
              <w:rPr>
                <w:rFonts w:hint="eastAsia" w:ascii="宋体" w:hAnsi="宋体" w:eastAsia="宋体" w:cs="宋体"/>
                <w:color w:val="auto"/>
                <w:kern w:val="2"/>
                <w:szCs w:val="21"/>
                <w:highlight w:val="none"/>
                <w:lang w:val="en-US" w:eastAsia="zh-CN"/>
              </w:rPr>
            </w:pPr>
            <w:r>
              <w:rPr>
                <w:rFonts w:hint="eastAsia" w:ascii="宋体" w:hAnsi="宋体" w:cs="宋体"/>
                <w:color w:val="auto"/>
                <w:kern w:val="2"/>
                <w:szCs w:val="21"/>
                <w:highlight w:val="none"/>
                <w:lang w:val="en-US" w:eastAsia="zh-CN"/>
              </w:rPr>
              <w:t>3</w:t>
            </w:r>
          </w:p>
        </w:tc>
      </w:tr>
    </w:tbl>
    <w:p>
      <w:pPr>
        <w:snapToGrid w:val="0"/>
        <w:spacing w:beforeLines="50" w:afterLines="50" w:line="360" w:lineRule="auto"/>
        <w:outlineLvl w:val="1"/>
        <w:rPr>
          <w:rFonts w:asciiTheme="minorEastAsia" w:hAnsiTheme="minorEastAsia" w:eastAsiaTheme="minorEastAsia"/>
          <w:b/>
          <w:color w:val="auto"/>
          <w:sz w:val="30"/>
          <w:szCs w:val="30"/>
          <w:highlight w:val="none"/>
        </w:rPr>
      </w:pPr>
    </w:p>
    <w:p>
      <w:pPr>
        <w:widowControl/>
        <w:jc w:val="left"/>
        <w:rPr>
          <w:rFonts w:asciiTheme="minorEastAsia" w:hAnsiTheme="minorEastAsia" w:eastAsiaTheme="minorEastAsia"/>
          <w:b/>
          <w:color w:val="auto"/>
          <w:sz w:val="30"/>
          <w:szCs w:val="30"/>
          <w:highlight w:val="none"/>
        </w:rPr>
      </w:pPr>
      <w:r>
        <w:rPr>
          <w:rFonts w:asciiTheme="minorEastAsia" w:hAnsiTheme="minorEastAsia" w:eastAsiaTheme="minorEastAsia"/>
          <w:b/>
          <w:color w:val="auto"/>
          <w:sz w:val="30"/>
          <w:szCs w:val="30"/>
          <w:highlight w:val="none"/>
        </w:rPr>
        <w:br w:type="page"/>
      </w:r>
    </w:p>
    <w:p>
      <w:pPr>
        <w:snapToGrid w:val="0"/>
        <w:spacing w:beforeLines="50" w:afterLines="50" w:line="360" w:lineRule="auto"/>
        <w:ind w:left="238"/>
        <w:jc w:val="center"/>
        <w:outlineLvl w:val="1"/>
        <w:rPr>
          <w:rFonts w:asciiTheme="minorEastAsia" w:hAnsiTheme="minorEastAsia" w:eastAsiaTheme="minorEastAsia"/>
          <w:b/>
          <w:color w:val="auto"/>
          <w:sz w:val="30"/>
          <w:szCs w:val="30"/>
          <w:highlight w:val="none"/>
        </w:rPr>
      </w:pPr>
      <w:r>
        <w:rPr>
          <w:rFonts w:hint="eastAsia" w:asciiTheme="minorEastAsia" w:hAnsiTheme="minorEastAsia" w:eastAsiaTheme="minorEastAsia"/>
          <w:b/>
          <w:color w:val="auto"/>
          <w:sz w:val="30"/>
          <w:szCs w:val="30"/>
          <w:highlight w:val="none"/>
        </w:rPr>
        <w:t>第五章  嘉兴市政府采购合同（指引）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cs="Arial" w:asciiTheme="minorEastAsia" w:hAnsiTheme="minorEastAsia" w:eastAsiaTheme="minorEastAsia"/>
          <w:color w:val="auto"/>
          <w:kern w:val="0"/>
          <w:szCs w:val="21"/>
          <w:highlight w:val="none"/>
          <w:lang w:eastAsia="zh-CN"/>
        </w:rPr>
      </w:pPr>
      <w:r>
        <w:rPr>
          <w:rFonts w:hint="eastAsia" w:cs="Arial" w:asciiTheme="minorEastAsia" w:hAnsiTheme="minorEastAsia" w:eastAsiaTheme="minorEastAsia"/>
          <w:color w:val="auto"/>
          <w:kern w:val="0"/>
          <w:szCs w:val="21"/>
          <w:highlight w:val="none"/>
        </w:rPr>
        <w:t>招标编号：</w:t>
      </w:r>
      <w:r>
        <w:rPr>
          <w:rFonts w:hint="eastAsia" w:cs="Arial" w:asciiTheme="minorEastAsia" w:hAnsiTheme="minorEastAsia" w:eastAsiaTheme="minorEastAsia"/>
          <w:color w:val="auto"/>
          <w:kern w:val="0"/>
          <w:szCs w:val="21"/>
          <w:highlight w:val="none"/>
          <w:lang w:eastAsia="zh-CN"/>
        </w:rPr>
        <w:t>银建-JXYJ-L（2022）15号</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cs="Arial" w:asciiTheme="minorEastAsia" w:hAnsiTheme="minorEastAsia" w:eastAsiaTheme="minorEastAsia"/>
          <w:color w:val="auto"/>
          <w:kern w:val="0"/>
          <w:szCs w:val="21"/>
          <w:highlight w:val="none"/>
          <w:lang w:eastAsia="zh-CN"/>
        </w:rPr>
      </w:pPr>
      <w:r>
        <w:rPr>
          <w:rFonts w:hint="eastAsia" w:cs="Arial" w:asciiTheme="minorEastAsia" w:hAnsiTheme="minorEastAsia" w:eastAsiaTheme="minorEastAsia"/>
          <w:color w:val="auto"/>
          <w:kern w:val="0"/>
          <w:szCs w:val="21"/>
          <w:highlight w:val="none"/>
        </w:rPr>
        <w:t>合同编号：</w:t>
      </w:r>
      <w:r>
        <w:rPr>
          <w:rFonts w:hint="eastAsia" w:cs="Arial" w:asciiTheme="minorEastAsia" w:hAnsiTheme="minorEastAsia" w:eastAsiaTheme="minorEastAsia"/>
          <w:color w:val="auto"/>
          <w:kern w:val="0"/>
          <w:szCs w:val="21"/>
          <w:highlight w:val="none"/>
          <w:lang w:eastAsia="zh-CN"/>
        </w:rPr>
        <w:t>银建-JXYJ-L（2022）15号</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default" w:cs="Arial" w:asciiTheme="minorEastAsia" w:hAnsiTheme="minorEastAsia" w:eastAsiaTheme="minorEastAsia"/>
          <w:color w:val="auto"/>
          <w:kern w:val="0"/>
          <w:szCs w:val="21"/>
          <w:highlight w:val="none"/>
          <w:u w:val="single"/>
          <w:lang w:val="en-US" w:eastAsia="zh-CN"/>
        </w:rPr>
      </w:pPr>
      <w:r>
        <w:rPr>
          <w:rFonts w:hint="eastAsia" w:cs="Arial" w:asciiTheme="minorEastAsia" w:hAnsiTheme="minorEastAsia" w:eastAsiaTheme="minorEastAsia"/>
          <w:color w:val="auto"/>
          <w:kern w:val="0"/>
          <w:szCs w:val="21"/>
          <w:highlight w:val="none"/>
        </w:rPr>
        <w:t>政府采购计划（预算）确认书号</w:t>
      </w:r>
      <w:r>
        <w:rPr>
          <w:rFonts w:hint="eastAsia" w:eastAsiaTheme="minorEastAsia"/>
          <w:color w:val="auto"/>
          <w:highlight w:val="none"/>
          <w:u w:val="single"/>
          <w:lang w:val="en-US" w:eastAsia="zh-CN"/>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cs="Arial" w:asciiTheme="minorEastAsia" w:hAnsiTheme="minorEastAsia" w:eastAsiaTheme="minorEastAsia"/>
          <w:color w:val="auto"/>
          <w:kern w:val="0"/>
          <w:szCs w:val="21"/>
          <w:highlight w:val="none"/>
          <w:lang w:eastAsia="zh-CN"/>
        </w:rPr>
      </w:pPr>
      <w:r>
        <w:rPr>
          <w:rFonts w:hint="eastAsia" w:cs="Arial" w:asciiTheme="minorEastAsia" w:hAnsiTheme="minorEastAsia" w:eastAsiaTheme="minorEastAsia"/>
          <w:color w:val="auto"/>
          <w:kern w:val="0"/>
          <w:szCs w:val="21"/>
          <w:highlight w:val="none"/>
        </w:rPr>
        <w:t>采购人（以下称甲方）：</w:t>
      </w:r>
      <w:r>
        <w:rPr>
          <w:rFonts w:hint="eastAsia" w:cs="Arial" w:asciiTheme="minorEastAsia" w:hAnsiTheme="minorEastAsia" w:eastAsiaTheme="minorEastAsia"/>
          <w:color w:val="auto"/>
          <w:kern w:val="0"/>
          <w:szCs w:val="21"/>
          <w:highlight w:val="none"/>
          <w:lang w:eastAsia="zh-CN"/>
        </w:rPr>
        <w:t>嘉兴市秀洲区人民政府新城街道办事处</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Arial" w:asciiTheme="minorEastAsia" w:hAnsiTheme="minorEastAsia" w:eastAsiaTheme="minorEastAsia"/>
          <w:color w:val="auto"/>
          <w:kern w:val="0"/>
          <w:szCs w:val="21"/>
          <w:highlight w:val="none"/>
        </w:rPr>
      </w:pPr>
      <w:r>
        <w:rPr>
          <w:rFonts w:hint="eastAsia" w:cs="Arial" w:asciiTheme="minorEastAsia" w:hAnsiTheme="minorEastAsia" w:eastAsiaTheme="minorEastAsia"/>
          <w:color w:val="auto"/>
          <w:kern w:val="0"/>
          <w:szCs w:val="21"/>
          <w:highlight w:val="none"/>
        </w:rPr>
        <w:t>供应商（以下称乙方）：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Arial" w:asciiTheme="minorEastAsia" w:hAnsiTheme="minorEastAsia" w:eastAsiaTheme="minorEastAsia"/>
          <w:color w:val="auto"/>
          <w:kern w:val="0"/>
          <w:szCs w:val="21"/>
          <w:highlight w:val="none"/>
        </w:rPr>
      </w:pPr>
      <w:r>
        <w:rPr>
          <w:rFonts w:hint="eastAsia" w:cs="Arial" w:asciiTheme="minorEastAsia" w:hAnsiTheme="minorEastAsia" w:eastAsiaTheme="minorEastAsia"/>
          <w:color w:val="auto"/>
          <w:kern w:val="0"/>
          <w:szCs w:val="21"/>
          <w:highlight w:val="none"/>
        </w:rPr>
        <w:t>代理机构：嘉兴市银建工程咨询评估有限公司</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Arial" w:asciiTheme="minorEastAsia" w:hAnsiTheme="minorEastAsia" w:eastAsiaTheme="minorEastAsia"/>
          <w:color w:val="auto"/>
          <w:kern w:val="0"/>
          <w:szCs w:val="21"/>
          <w:highlight w:val="none"/>
        </w:rPr>
      </w:pPr>
      <w:r>
        <w:rPr>
          <w:rFonts w:hint="eastAsia" w:cs="Arial" w:asciiTheme="minorEastAsia" w:hAnsiTheme="minorEastAsia" w:eastAsiaTheme="minorEastAsia"/>
          <w:color w:val="auto"/>
          <w:kern w:val="0"/>
          <w:szCs w:val="21"/>
          <w:highlight w:val="none"/>
        </w:rPr>
        <w:t>采购方式：公开招标</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cs="Arial" w:asciiTheme="minorEastAsia" w:hAnsiTheme="minorEastAsia" w:eastAsiaTheme="minorEastAsia"/>
          <w:color w:val="auto"/>
          <w:kern w:val="0"/>
          <w:szCs w:val="21"/>
          <w:highlight w:val="none"/>
        </w:rPr>
      </w:pPr>
      <w:r>
        <w:rPr>
          <w:rFonts w:hint="eastAsia" w:cs="Arial" w:asciiTheme="minorEastAsia" w:hAnsiTheme="minorEastAsia" w:eastAsiaTheme="minorEastAsia"/>
          <w:color w:val="auto"/>
          <w:kern w:val="0"/>
          <w:szCs w:val="21"/>
          <w:highlight w:val="none"/>
        </w:rPr>
        <w:t>根据《中华人民共和国政府采购法》、《民法典》等法律法规的规定，甲乙双方按照</w:t>
      </w:r>
      <w:r>
        <w:rPr>
          <w:rFonts w:hint="eastAsia" w:cs="Arial" w:asciiTheme="minorEastAsia" w:hAnsiTheme="minorEastAsia" w:eastAsiaTheme="minorEastAsia"/>
          <w:color w:val="auto"/>
          <w:szCs w:val="21"/>
          <w:highlight w:val="none"/>
          <w:u w:val="single"/>
          <w:lang w:eastAsia="zh-CN"/>
        </w:rPr>
        <w:t>新城街道市政设施养护项目</w:t>
      </w:r>
      <w:r>
        <w:rPr>
          <w:rFonts w:hint="eastAsia" w:cs="Arial" w:asciiTheme="minorEastAsia" w:hAnsiTheme="minorEastAsia" w:eastAsiaTheme="minorEastAsia"/>
          <w:color w:val="auto"/>
          <w:kern w:val="0"/>
          <w:szCs w:val="21"/>
          <w:highlight w:val="none"/>
        </w:rPr>
        <w:t>采购结果签订本合同。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Arial" w:asciiTheme="minorEastAsia" w:hAnsiTheme="minorEastAsia" w:eastAsiaTheme="minorEastAsia"/>
          <w:b/>
          <w:color w:val="auto"/>
          <w:kern w:val="0"/>
          <w:szCs w:val="21"/>
          <w:highlight w:val="none"/>
        </w:rPr>
      </w:pPr>
      <w:r>
        <w:rPr>
          <w:rFonts w:hint="eastAsia" w:cs="Arial" w:asciiTheme="minorEastAsia" w:hAnsiTheme="minorEastAsia" w:eastAsiaTheme="minorEastAsia"/>
          <w:b/>
          <w:color w:val="auto"/>
          <w:kern w:val="0"/>
          <w:szCs w:val="21"/>
          <w:highlight w:val="none"/>
        </w:rPr>
        <w:t>第一条 合同组成</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Arial" w:asciiTheme="minorEastAsia" w:hAnsiTheme="minorEastAsia" w:eastAsiaTheme="minorEastAsia"/>
          <w:color w:val="auto"/>
          <w:kern w:val="0"/>
          <w:szCs w:val="21"/>
          <w:highlight w:val="none"/>
        </w:rPr>
      </w:pPr>
      <w:r>
        <w:rPr>
          <w:rFonts w:hint="eastAsia" w:cs="Arial" w:asciiTheme="minorEastAsia" w:hAnsiTheme="minorEastAsia" w:eastAsiaTheme="minorEastAsia"/>
          <w:color w:val="auto"/>
          <w:kern w:val="0"/>
          <w:szCs w:val="21"/>
          <w:highlight w:val="none"/>
        </w:rPr>
        <w:t>本次政府采购活动的相关文件为本合同的组成部分，这些文件包括但不限于：</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Arial" w:asciiTheme="minorEastAsia" w:hAnsiTheme="minorEastAsia" w:eastAsiaTheme="minorEastAsia"/>
          <w:color w:val="auto"/>
          <w:kern w:val="0"/>
          <w:szCs w:val="21"/>
          <w:highlight w:val="none"/>
        </w:rPr>
      </w:pPr>
      <w:r>
        <w:rPr>
          <w:rFonts w:hint="eastAsia" w:cs="Arial" w:asciiTheme="minorEastAsia" w:hAnsiTheme="minorEastAsia" w:eastAsiaTheme="minorEastAsia"/>
          <w:color w:val="auto"/>
          <w:kern w:val="0"/>
          <w:szCs w:val="21"/>
          <w:highlight w:val="none"/>
        </w:rPr>
        <w:t>（1）本合同文本；</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Arial" w:asciiTheme="minorEastAsia" w:hAnsiTheme="minorEastAsia" w:eastAsiaTheme="minorEastAsia"/>
          <w:color w:val="auto"/>
          <w:kern w:val="0"/>
          <w:szCs w:val="21"/>
          <w:highlight w:val="none"/>
        </w:rPr>
      </w:pPr>
      <w:r>
        <w:rPr>
          <w:rFonts w:hint="eastAsia" w:cs="Arial" w:asciiTheme="minorEastAsia" w:hAnsiTheme="minorEastAsia" w:eastAsiaTheme="minorEastAsia"/>
          <w:color w:val="auto"/>
          <w:kern w:val="0"/>
          <w:szCs w:val="21"/>
          <w:highlight w:val="none"/>
        </w:rPr>
        <w:t>（2）招标文件与采购投标文件；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Arial" w:asciiTheme="minorEastAsia" w:hAnsiTheme="minorEastAsia" w:eastAsiaTheme="minorEastAsia"/>
          <w:color w:val="auto"/>
          <w:kern w:val="0"/>
          <w:szCs w:val="21"/>
          <w:highlight w:val="none"/>
        </w:rPr>
      </w:pPr>
      <w:r>
        <w:rPr>
          <w:rFonts w:hint="eastAsia" w:cs="Arial" w:asciiTheme="minorEastAsia" w:hAnsiTheme="minorEastAsia" w:eastAsiaTheme="minorEastAsia"/>
          <w:color w:val="auto"/>
          <w:kern w:val="0"/>
          <w:szCs w:val="21"/>
          <w:highlight w:val="none"/>
        </w:rPr>
        <w:t>（3）中标或成交通知书；</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Arial" w:asciiTheme="minorEastAsia" w:hAnsiTheme="minorEastAsia" w:eastAsiaTheme="minorEastAsia"/>
          <w:color w:val="auto"/>
          <w:kern w:val="0"/>
          <w:szCs w:val="21"/>
          <w:highlight w:val="none"/>
        </w:rPr>
      </w:pPr>
      <w:r>
        <w:rPr>
          <w:rFonts w:hint="eastAsia" w:cs="Arial" w:asciiTheme="minorEastAsia" w:hAnsiTheme="minorEastAsia" w:eastAsiaTheme="minorEastAsia"/>
          <w:color w:val="auto"/>
          <w:kern w:val="0"/>
          <w:szCs w:val="21"/>
          <w:highlight w:val="none"/>
        </w:rPr>
        <w:t>组成本合同的所有文件必须为书面形式。政府采购合同备案时，须提供以上（1）、（3）两项，如由社会中介机构代理，须提供代理协议，合同如有变更的，须提供变更协议。</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Arial" w:asciiTheme="minorEastAsia" w:hAnsiTheme="minorEastAsia" w:eastAsiaTheme="minorEastAsia"/>
          <w:color w:val="auto"/>
          <w:kern w:val="0"/>
          <w:szCs w:val="21"/>
          <w:highlight w:val="none"/>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Arial" w:asciiTheme="minorEastAsia" w:hAnsiTheme="minorEastAsia" w:eastAsiaTheme="minorEastAsia"/>
          <w:b/>
          <w:color w:val="auto"/>
          <w:kern w:val="0"/>
          <w:szCs w:val="21"/>
          <w:highlight w:val="none"/>
        </w:rPr>
      </w:pPr>
      <w:r>
        <w:rPr>
          <w:rFonts w:hint="eastAsia" w:cs="Arial" w:asciiTheme="minorEastAsia" w:hAnsiTheme="minorEastAsia" w:eastAsiaTheme="minorEastAsia"/>
          <w:b/>
          <w:color w:val="auto"/>
          <w:kern w:val="0"/>
          <w:szCs w:val="21"/>
          <w:highlight w:val="none"/>
        </w:rPr>
        <w:t>第二条 合同标的</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Arial" w:asciiTheme="minorEastAsia" w:hAnsiTheme="minorEastAsia" w:eastAsiaTheme="minorEastAsia"/>
          <w:color w:val="auto"/>
          <w:kern w:val="0"/>
          <w:szCs w:val="21"/>
          <w:highlight w:val="none"/>
        </w:rPr>
      </w:pPr>
      <w:r>
        <w:rPr>
          <w:rFonts w:hint="eastAsia" w:cs="Arial" w:asciiTheme="minorEastAsia" w:hAnsiTheme="minorEastAsia" w:eastAsiaTheme="minorEastAsia"/>
          <w:color w:val="auto"/>
          <w:kern w:val="0"/>
          <w:szCs w:val="21"/>
          <w:highlight w:val="none"/>
        </w:rPr>
        <w:t>本次采购的是</w:t>
      </w:r>
    </w:p>
    <w:tbl>
      <w:tblPr>
        <w:tblStyle w:val="49"/>
        <w:tblW w:w="105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8"/>
        <w:gridCol w:w="4004"/>
        <w:gridCol w:w="1211"/>
        <w:gridCol w:w="808"/>
        <w:gridCol w:w="1816"/>
        <w:gridCol w:w="1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908" w:type="dxa"/>
            <w:gridSpan w:val="2"/>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序号</w:t>
            </w:r>
          </w:p>
        </w:tc>
        <w:tc>
          <w:tcPr>
            <w:tcW w:w="4004"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项目名称</w:t>
            </w:r>
          </w:p>
        </w:tc>
        <w:tc>
          <w:tcPr>
            <w:tcW w:w="1211"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单位</w:t>
            </w:r>
          </w:p>
        </w:tc>
        <w:tc>
          <w:tcPr>
            <w:tcW w:w="808"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数量</w:t>
            </w:r>
          </w:p>
        </w:tc>
        <w:tc>
          <w:tcPr>
            <w:tcW w:w="1816"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预算金额</w:t>
            </w:r>
            <w:r>
              <w:rPr>
                <w:rFonts w:asciiTheme="minorEastAsia" w:hAnsiTheme="minorEastAsia" w:eastAsiaTheme="minorEastAsia"/>
                <w:b/>
                <w:color w:val="auto"/>
                <w:szCs w:val="21"/>
                <w:highlight w:val="none"/>
              </w:rPr>
              <w:t>(</w:t>
            </w:r>
            <w:r>
              <w:rPr>
                <w:rFonts w:hint="eastAsia" w:asciiTheme="minorEastAsia" w:hAnsiTheme="minorEastAsia" w:eastAsiaTheme="minorEastAsia"/>
                <w:b/>
                <w:color w:val="auto"/>
                <w:szCs w:val="21"/>
                <w:highlight w:val="none"/>
              </w:rPr>
              <w:t>元</w:t>
            </w:r>
            <w:r>
              <w:rPr>
                <w:rFonts w:asciiTheme="minorEastAsia" w:hAnsiTheme="minorEastAsia" w:eastAsiaTheme="minorEastAsia"/>
                <w:b/>
                <w:color w:val="auto"/>
                <w:szCs w:val="21"/>
                <w:highlight w:val="none"/>
              </w:rPr>
              <w:t>)</w:t>
            </w:r>
          </w:p>
        </w:tc>
        <w:tc>
          <w:tcPr>
            <w:tcW w:w="1816"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采购金额</w:t>
            </w:r>
            <w:r>
              <w:rPr>
                <w:rFonts w:asciiTheme="minorEastAsia" w:hAnsiTheme="minorEastAsia" w:eastAsiaTheme="minorEastAsia"/>
                <w:b/>
                <w:color w:val="auto"/>
                <w:szCs w:val="21"/>
                <w:highlight w:val="none"/>
              </w:rPr>
              <w:t>(</w:t>
            </w:r>
            <w:r>
              <w:rPr>
                <w:rFonts w:hint="eastAsia" w:asciiTheme="minorEastAsia" w:hAnsiTheme="minorEastAsia" w:eastAsiaTheme="minorEastAsia"/>
                <w:b/>
                <w:color w:val="auto"/>
                <w:szCs w:val="21"/>
                <w:highlight w:val="none"/>
              </w:rPr>
              <w:t>元</w:t>
            </w:r>
            <w:r>
              <w:rPr>
                <w:rFonts w:asciiTheme="minorEastAsia" w:hAnsiTheme="minorEastAsia" w:eastAsiaTheme="minorEastAsia"/>
                <w:b/>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900" w:type="dxa"/>
            <w:tcBorders>
              <w:top w:val="single" w:color="auto" w:sz="4" w:space="0"/>
              <w:left w:val="single" w:color="auto" w:sz="4" w:space="0"/>
              <w:bottom w:val="single" w:color="auto" w:sz="4" w:space="0"/>
              <w:right w:val="single" w:color="auto" w:sz="4" w:space="0"/>
            </w:tcBorders>
          </w:tcPr>
          <w:p>
            <w:pPr>
              <w:spacing w:before="156" w:after="156" w:line="360" w:lineRule="auto"/>
              <w:rPr>
                <w:rFonts w:asciiTheme="minorEastAsia" w:hAnsiTheme="minorEastAsia" w:eastAsiaTheme="minorEastAsia"/>
                <w:color w:val="auto"/>
                <w:szCs w:val="21"/>
                <w:highlight w:val="none"/>
              </w:rPr>
            </w:pPr>
          </w:p>
        </w:tc>
        <w:tc>
          <w:tcPr>
            <w:tcW w:w="4012" w:type="dxa"/>
            <w:gridSpan w:val="2"/>
            <w:tcBorders>
              <w:top w:val="single" w:color="auto" w:sz="4" w:space="0"/>
              <w:left w:val="single" w:color="auto" w:sz="4" w:space="0"/>
              <w:bottom w:val="single" w:color="auto" w:sz="4" w:space="0"/>
              <w:right w:val="single" w:color="auto" w:sz="4" w:space="0"/>
            </w:tcBorders>
          </w:tcPr>
          <w:p>
            <w:pPr>
              <w:spacing w:before="156" w:after="156" w:line="360" w:lineRule="auto"/>
              <w:rPr>
                <w:rFonts w:asciiTheme="minorEastAsia" w:hAnsiTheme="minorEastAsia" w:eastAsiaTheme="minorEastAsia"/>
                <w:color w:val="auto"/>
                <w:szCs w:val="21"/>
                <w:highlight w:val="none"/>
              </w:rPr>
            </w:pPr>
          </w:p>
        </w:tc>
        <w:tc>
          <w:tcPr>
            <w:tcW w:w="1211" w:type="dxa"/>
            <w:tcBorders>
              <w:top w:val="single" w:color="auto" w:sz="4" w:space="0"/>
              <w:left w:val="single" w:color="auto" w:sz="4" w:space="0"/>
              <w:bottom w:val="single" w:color="auto" w:sz="4" w:space="0"/>
              <w:right w:val="single" w:color="auto" w:sz="4" w:space="0"/>
            </w:tcBorders>
          </w:tcPr>
          <w:p>
            <w:pPr>
              <w:spacing w:before="156" w:after="156" w:line="360" w:lineRule="auto"/>
              <w:rPr>
                <w:rFonts w:asciiTheme="minorEastAsia" w:hAnsiTheme="minorEastAsia" w:eastAsiaTheme="minorEastAsia"/>
                <w:color w:val="auto"/>
                <w:szCs w:val="21"/>
                <w:highlight w:val="none"/>
              </w:rPr>
            </w:pPr>
          </w:p>
        </w:tc>
        <w:tc>
          <w:tcPr>
            <w:tcW w:w="808" w:type="dxa"/>
            <w:tcBorders>
              <w:top w:val="single" w:color="auto" w:sz="4" w:space="0"/>
              <w:left w:val="single" w:color="auto" w:sz="4" w:space="0"/>
              <w:bottom w:val="single" w:color="auto" w:sz="4" w:space="0"/>
              <w:right w:val="single" w:color="auto" w:sz="4" w:space="0"/>
            </w:tcBorders>
          </w:tcPr>
          <w:p>
            <w:pPr>
              <w:spacing w:before="156" w:after="156" w:line="360" w:lineRule="auto"/>
              <w:rPr>
                <w:rFonts w:asciiTheme="minorEastAsia" w:hAnsiTheme="minorEastAsia" w:eastAsiaTheme="minorEastAsia"/>
                <w:color w:val="auto"/>
                <w:szCs w:val="21"/>
                <w:highlight w:val="none"/>
              </w:rPr>
            </w:pPr>
          </w:p>
        </w:tc>
        <w:tc>
          <w:tcPr>
            <w:tcW w:w="1816" w:type="dxa"/>
            <w:tcBorders>
              <w:top w:val="single" w:color="auto" w:sz="4" w:space="0"/>
              <w:left w:val="single" w:color="auto" w:sz="4" w:space="0"/>
              <w:bottom w:val="single" w:color="auto" w:sz="4" w:space="0"/>
              <w:right w:val="single" w:color="auto" w:sz="4" w:space="0"/>
            </w:tcBorders>
          </w:tcPr>
          <w:p>
            <w:pPr>
              <w:spacing w:before="156" w:after="156" w:line="360" w:lineRule="auto"/>
              <w:rPr>
                <w:rFonts w:asciiTheme="minorEastAsia" w:hAnsiTheme="minorEastAsia" w:eastAsiaTheme="minorEastAsia"/>
                <w:color w:val="auto"/>
                <w:szCs w:val="21"/>
                <w:highlight w:val="none"/>
              </w:rPr>
            </w:pPr>
          </w:p>
        </w:tc>
        <w:tc>
          <w:tcPr>
            <w:tcW w:w="1816" w:type="dxa"/>
            <w:tcBorders>
              <w:top w:val="single" w:color="auto" w:sz="4" w:space="0"/>
              <w:left w:val="single" w:color="auto" w:sz="4" w:space="0"/>
              <w:bottom w:val="single" w:color="auto" w:sz="4" w:space="0"/>
              <w:right w:val="single" w:color="auto" w:sz="4" w:space="0"/>
            </w:tcBorders>
          </w:tcPr>
          <w:p>
            <w:pPr>
              <w:spacing w:before="156" w:after="156" w:line="360" w:lineRule="auto"/>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00" w:type="dxa"/>
            <w:tcBorders>
              <w:top w:val="single" w:color="auto" w:sz="4" w:space="0"/>
              <w:left w:val="single" w:color="auto" w:sz="4" w:space="0"/>
              <w:bottom w:val="single" w:color="auto" w:sz="4" w:space="0"/>
              <w:right w:val="single" w:color="auto" w:sz="4" w:space="0"/>
            </w:tcBorders>
          </w:tcPr>
          <w:p>
            <w:pPr>
              <w:spacing w:before="156" w:after="156" w:line="360" w:lineRule="auto"/>
              <w:jc w:val="center"/>
              <w:rPr>
                <w:rFonts w:asciiTheme="minorEastAsia" w:hAnsiTheme="minorEastAsia" w:eastAsiaTheme="minorEastAsia"/>
                <w:b/>
                <w:color w:val="auto"/>
                <w:szCs w:val="21"/>
                <w:highlight w:val="none"/>
              </w:rPr>
            </w:pPr>
          </w:p>
        </w:tc>
        <w:tc>
          <w:tcPr>
            <w:tcW w:w="5223" w:type="dxa"/>
            <w:gridSpan w:val="3"/>
            <w:tcBorders>
              <w:top w:val="single" w:color="auto" w:sz="4" w:space="0"/>
              <w:left w:val="single" w:color="auto" w:sz="4" w:space="0"/>
              <w:bottom w:val="single" w:color="auto" w:sz="4" w:space="0"/>
              <w:right w:val="single" w:color="auto" w:sz="4" w:space="0"/>
            </w:tcBorders>
          </w:tcPr>
          <w:p>
            <w:pPr>
              <w:spacing w:before="156" w:after="156" w:line="360" w:lineRule="auto"/>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合计</w:t>
            </w:r>
          </w:p>
        </w:tc>
        <w:tc>
          <w:tcPr>
            <w:tcW w:w="808" w:type="dxa"/>
            <w:tcBorders>
              <w:top w:val="single" w:color="auto" w:sz="4" w:space="0"/>
              <w:left w:val="single" w:color="auto" w:sz="4" w:space="0"/>
              <w:bottom w:val="single" w:color="auto" w:sz="4" w:space="0"/>
              <w:right w:val="single" w:color="auto" w:sz="4" w:space="0"/>
            </w:tcBorders>
          </w:tcPr>
          <w:p>
            <w:pPr>
              <w:spacing w:before="156" w:after="156" w:line="360" w:lineRule="auto"/>
              <w:rPr>
                <w:rFonts w:asciiTheme="minorEastAsia" w:hAnsiTheme="minorEastAsia" w:eastAsiaTheme="minorEastAsia"/>
                <w:color w:val="auto"/>
                <w:szCs w:val="21"/>
                <w:highlight w:val="none"/>
              </w:rPr>
            </w:pPr>
          </w:p>
        </w:tc>
        <w:tc>
          <w:tcPr>
            <w:tcW w:w="1816" w:type="dxa"/>
            <w:tcBorders>
              <w:top w:val="single" w:color="auto" w:sz="4" w:space="0"/>
              <w:left w:val="single" w:color="auto" w:sz="4" w:space="0"/>
              <w:bottom w:val="single" w:color="auto" w:sz="4" w:space="0"/>
              <w:right w:val="single" w:color="auto" w:sz="4" w:space="0"/>
            </w:tcBorders>
          </w:tcPr>
          <w:p>
            <w:pPr>
              <w:spacing w:before="156" w:after="156" w:line="360" w:lineRule="auto"/>
              <w:rPr>
                <w:rFonts w:asciiTheme="minorEastAsia" w:hAnsiTheme="minorEastAsia" w:eastAsiaTheme="minorEastAsia"/>
                <w:color w:val="auto"/>
                <w:szCs w:val="21"/>
                <w:highlight w:val="none"/>
              </w:rPr>
            </w:pPr>
          </w:p>
        </w:tc>
        <w:tc>
          <w:tcPr>
            <w:tcW w:w="1816" w:type="dxa"/>
            <w:tcBorders>
              <w:top w:val="single" w:color="auto" w:sz="4" w:space="0"/>
              <w:left w:val="single" w:color="auto" w:sz="4" w:space="0"/>
              <w:bottom w:val="single" w:color="auto" w:sz="4" w:space="0"/>
              <w:right w:val="single" w:color="auto" w:sz="4" w:space="0"/>
            </w:tcBorders>
          </w:tcPr>
          <w:p>
            <w:pPr>
              <w:spacing w:before="156" w:after="156" w:line="360" w:lineRule="auto"/>
              <w:rPr>
                <w:rFonts w:asciiTheme="minorEastAsia" w:hAnsiTheme="minorEastAsia" w:eastAsiaTheme="minorEastAsia"/>
                <w:color w:val="auto"/>
                <w:szCs w:val="21"/>
                <w:highlight w:val="none"/>
              </w:rPr>
            </w:pPr>
          </w:p>
        </w:tc>
      </w:tr>
    </w:tbl>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Arial" w:asciiTheme="minorEastAsia" w:hAnsiTheme="minorEastAsia" w:eastAsiaTheme="minorEastAsia"/>
          <w:color w:val="auto"/>
          <w:kern w:val="0"/>
          <w:szCs w:val="21"/>
          <w:highlight w:val="none"/>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Arial" w:asciiTheme="minorEastAsia" w:hAnsiTheme="minorEastAsia" w:eastAsiaTheme="minorEastAsia"/>
          <w:b/>
          <w:color w:val="auto"/>
          <w:kern w:val="0"/>
          <w:szCs w:val="21"/>
          <w:highlight w:val="none"/>
        </w:rPr>
      </w:pPr>
      <w:r>
        <w:rPr>
          <w:rFonts w:hint="eastAsia" w:cs="Arial" w:asciiTheme="minorEastAsia" w:hAnsiTheme="minorEastAsia" w:eastAsiaTheme="minorEastAsia"/>
          <w:b/>
          <w:color w:val="auto"/>
          <w:kern w:val="0"/>
          <w:szCs w:val="21"/>
          <w:highlight w:val="none"/>
        </w:rPr>
        <w:t>第三条 合同价款及付款方式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Arial" w:asciiTheme="minorEastAsia" w:hAnsiTheme="minorEastAsia" w:eastAsiaTheme="minorEastAsia"/>
          <w:color w:val="auto"/>
          <w:kern w:val="0"/>
          <w:szCs w:val="21"/>
          <w:highlight w:val="none"/>
        </w:rPr>
      </w:pPr>
      <w:r>
        <w:rPr>
          <w:rFonts w:hint="eastAsia" w:cs="Arial" w:asciiTheme="minorEastAsia" w:hAnsiTheme="minorEastAsia" w:eastAsiaTheme="minorEastAsia"/>
          <w:color w:val="auto"/>
          <w:kern w:val="0"/>
          <w:szCs w:val="21"/>
          <w:highlight w:val="none"/>
        </w:rPr>
        <w:t>1、本合同项下总价款为（大写）人民币，分项价款在“投标报价表”中明确。</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Arial" w:asciiTheme="minorEastAsia" w:hAnsiTheme="minorEastAsia" w:eastAsiaTheme="minorEastAsia"/>
          <w:color w:val="auto"/>
          <w:kern w:val="0"/>
          <w:szCs w:val="21"/>
          <w:highlight w:val="none"/>
        </w:rPr>
      </w:pPr>
      <w:r>
        <w:rPr>
          <w:rFonts w:hint="eastAsia" w:cs="Arial" w:asciiTheme="minorEastAsia" w:hAnsiTheme="minorEastAsia" w:eastAsiaTheme="minorEastAsia"/>
          <w:color w:val="auto"/>
          <w:kern w:val="0"/>
          <w:szCs w:val="21"/>
          <w:highlight w:val="none"/>
        </w:rPr>
        <w:t>2、本合同总价款包括货物设计、材料、制造、包装、运输、安装、调试、检测、售后服务、税费等全部费用。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Arial" w:asciiTheme="minorEastAsia" w:hAnsiTheme="minorEastAsia" w:eastAsiaTheme="minorEastAsia"/>
          <w:color w:val="auto"/>
          <w:kern w:val="0"/>
          <w:szCs w:val="21"/>
          <w:highlight w:val="none"/>
        </w:rPr>
      </w:pPr>
      <w:r>
        <w:rPr>
          <w:rFonts w:hint="eastAsia" w:cs="Arial" w:asciiTheme="minorEastAsia" w:hAnsiTheme="minorEastAsia" w:eastAsiaTheme="minorEastAsia"/>
          <w:color w:val="auto"/>
          <w:kern w:val="0"/>
          <w:szCs w:val="21"/>
          <w:highlight w:val="none"/>
        </w:rPr>
        <w:t>3、本合同付款方式为以下第</w:t>
      </w:r>
      <w:r>
        <w:rPr>
          <w:rFonts w:hint="eastAsia" w:cs="Arial" w:asciiTheme="minorEastAsia" w:hAnsiTheme="minorEastAsia" w:eastAsiaTheme="minorEastAsia"/>
          <w:color w:val="auto"/>
          <w:kern w:val="0"/>
          <w:szCs w:val="21"/>
          <w:highlight w:val="none"/>
          <w:u w:val="single"/>
        </w:rPr>
        <w:t xml:space="preserve">    （2）      </w:t>
      </w:r>
      <w:r>
        <w:rPr>
          <w:rFonts w:hint="eastAsia" w:cs="Arial" w:asciiTheme="minorEastAsia" w:hAnsiTheme="minorEastAsia" w:eastAsiaTheme="minorEastAsia"/>
          <w:color w:val="auto"/>
          <w:kern w:val="0"/>
          <w:szCs w:val="21"/>
          <w:highlight w:val="none"/>
        </w:rPr>
        <w:t>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Arial" w:asciiTheme="minorEastAsia" w:hAnsiTheme="minorEastAsia" w:eastAsiaTheme="minorEastAsia"/>
          <w:color w:val="auto"/>
          <w:kern w:val="0"/>
          <w:szCs w:val="21"/>
          <w:highlight w:val="none"/>
        </w:rPr>
      </w:pPr>
      <w:r>
        <w:rPr>
          <w:rFonts w:hint="eastAsia" w:cs="Arial" w:asciiTheme="minorEastAsia" w:hAnsiTheme="minorEastAsia" w:eastAsiaTheme="minorEastAsia"/>
          <w:color w:val="auto"/>
          <w:kern w:val="0"/>
          <w:szCs w:val="21"/>
          <w:highlight w:val="none"/>
        </w:rPr>
        <w:t>（1）本合同项下的采购资金系甲方自行支付，付款程序为</w:t>
      </w:r>
      <w:r>
        <w:rPr>
          <w:rFonts w:hint="eastAsia" w:cs="Arial" w:asciiTheme="minorEastAsia" w:hAnsiTheme="minorEastAsia" w:eastAsiaTheme="minorEastAsia"/>
          <w:color w:val="auto"/>
          <w:kern w:val="0"/>
          <w:szCs w:val="21"/>
          <w:highlight w:val="none"/>
          <w:u w:val="single"/>
        </w:rPr>
        <w:t xml:space="preserve">          </w:t>
      </w:r>
      <w:r>
        <w:rPr>
          <w:rFonts w:hint="eastAsia" w:cs="Arial" w:asciiTheme="minorEastAsia" w:hAnsiTheme="minorEastAsia" w:eastAsiaTheme="minorEastAsia"/>
          <w:color w:val="auto"/>
          <w:kern w:val="0"/>
          <w:szCs w:val="21"/>
          <w:highlight w:val="none"/>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Arial" w:asciiTheme="minorEastAsia" w:hAnsiTheme="minorEastAsia" w:eastAsiaTheme="minorEastAsia"/>
          <w:b/>
          <w:color w:val="auto"/>
          <w:kern w:val="0"/>
          <w:szCs w:val="21"/>
          <w:highlight w:val="none"/>
          <w:u w:val="single"/>
        </w:rPr>
      </w:pPr>
      <w:r>
        <w:rPr>
          <w:rFonts w:hint="eastAsia" w:cs="Arial" w:asciiTheme="minorEastAsia" w:hAnsiTheme="minorEastAsia" w:eastAsiaTheme="minorEastAsia"/>
          <w:color w:val="auto"/>
          <w:kern w:val="0"/>
          <w:szCs w:val="21"/>
          <w:highlight w:val="none"/>
        </w:rPr>
        <w:t>（2）本合同项下的采购资金须财政直接支付，付款程序为</w:t>
      </w:r>
      <w:r>
        <w:rPr>
          <w:rFonts w:hint="eastAsia" w:cs="Arial" w:asciiTheme="minorEastAsia" w:hAnsiTheme="minorEastAsia" w:eastAsiaTheme="minorEastAsia"/>
          <w:color w:val="auto"/>
          <w:kern w:val="0"/>
          <w:szCs w:val="21"/>
          <w:highlight w:val="none"/>
          <w:u w:val="single"/>
        </w:rPr>
        <w:t xml:space="preserve">        </w:t>
      </w:r>
      <w:r>
        <w:rPr>
          <w:rFonts w:hint="eastAsia" w:cs="Arial" w:asciiTheme="minorEastAsia" w:hAnsiTheme="minorEastAsia" w:eastAsiaTheme="minorEastAsia"/>
          <w:color w:val="auto"/>
          <w:kern w:val="0"/>
          <w:szCs w:val="21"/>
          <w:highlight w:val="none"/>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Arial" w:asciiTheme="minorEastAsia" w:hAnsiTheme="minorEastAsia" w:eastAsiaTheme="minorEastAsia"/>
          <w:color w:val="auto"/>
          <w:kern w:val="0"/>
          <w:szCs w:val="21"/>
          <w:highlight w:val="none"/>
        </w:rPr>
      </w:pPr>
      <w:r>
        <w:rPr>
          <w:rFonts w:hint="eastAsia" w:cs="Arial" w:asciiTheme="minorEastAsia" w:hAnsiTheme="minorEastAsia" w:eastAsiaTheme="minorEastAsia"/>
          <w:color w:val="auto"/>
          <w:kern w:val="0"/>
          <w:szCs w:val="21"/>
          <w:highlight w:val="none"/>
        </w:rPr>
        <w:t>（3）其他方式：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Arial" w:asciiTheme="minorEastAsia" w:hAnsiTheme="minorEastAsia" w:eastAsiaTheme="minorEastAsia"/>
          <w:color w:val="auto"/>
          <w:kern w:val="0"/>
          <w:szCs w:val="21"/>
          <w:highlight w:val="none"/>
        </w:rPr>
      </w:pPr>
      <w:r>
        <w:rPr>
          <w:rFonts w:hint="eastAsia" w:cs="Arial" w:asciiTheme="minorEastAsia" w:hAnsiTheme="minorEastAsia" w:eastAsiaTheme="minorEastAsia"/>
          <w:color w:val="auto"/>
          <w:kern w:val="0"/>
          <w:szCs w:val="21"/>
          <w:highlight w:val="none"/>
        </w:rPr>
        <w:t>若收取了履约保证金，则不应重复设置尾款支付条件。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Arial" w:asciiTheme="minorEastAsia" w:hAnsiTheme="minorEastAsia" w:eastAsiaTheme="minorEastAsia"/>
          <w:b/>
          <w:color w:val="auto"/>
          <w:kern w:val="0"/>
          <w:szCs w:val="21"/>
          <w:highlight w:val="none"/>
        </w:rPr>
      </w:pPr>
      <w:r>
        <w:rPr>
          <w:rFonts w:hint="eastAsia" w:cs="Arial" w:asciiTheme="minorEastAsia" w:hAnsiTheme="minorEastAsia" w:eastAsiaTheme="minorEastAsia"/>
          <w:b/>
          <w:color w:val="auto"/>
          <w:kern w:val="0"/>
          <w:szCs w:val="21"/>
          <w:highlight w:val="none"/>
        </w:rPr>
        <w:t>第四条 履约保证金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Arial" w:asciiTheme="minorEastAsia" w:hAnsiTheme="minorEastAsia" w:eastAsiaTheme="minorEastAsia"/>
          <w:b/>
          <w:color w:val="auto"/>
          <w:kern w:val="0"/>
          <w:szCs w:val="21"/>
          <w:highlight w:val="none"/>
        </w:rPr>
      </w:pPr>
      <w:r>
        <w:rPr>
          <w:rFonts w:hint="eastAsia" w:cs="Arial" w:asciiTheme="minorEastAsia" w:hAnsiTheme="minorEastAsia" w:eastAsiaTheme="minorEastAsia"/>
          <w:color w:val="auto"/>
          <w:kern w:val="0"/>
          <w:szCs w:val="21"/>
          <w:highlight w:val="none"/>
        </w:rPr>
        <w:t>按以下第_________项处理：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Arial" w:asciiTheme="minorEastAsia" w:hAnsiTheme="minorEastAsia" w:eastAsiaTheme="minorEastAsia"/>
          <w:color w:val="auto"/>
          <w:kern w:val="0"/>
          <w:szCs w:val="21"/>
          <w:highlight w:val="none"/>
        </w:rPr>
      </w:pPr>
      <w:r>
        <w:rPr>
          <w:rFonts w:hint="eastAsia" w:cs="Arial" w:asciiTheme="minorEastAsia" w:hAnsiTheme="minorEastAsia" w:eastAsiaTheme="minorEastAsia"/>
          <w:color w:val="auto"/>
          <w:kern w:val="0"/>
          <w:szCs w:val="21"/>
          <w:highlight w:val="none"/>
        </w:rPr>
        <w:t>1、本项目设置履约保证金，乙方应于_________（时间）向甲方提交履约保证金_________元（不得高于本合同金额的5%）。履约保证金在_________（时间）退还乙方。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Arial" w:asciiTheme="minorEastAsia" w:hAnsiTheme="minorEastAsia" w:eastAsiaTheme="minorEastAsia"/>
          <w:color w:val="auto"/>
          <w:kern w:val="0"/>
          <w:szCs w:val="21"/>
          <w:highlight w:val="none"/>
        </w:rPr>
      </w:pPr>
      <w:r>
        <w:rPr>
          <w:rFonts w:hint="eastAsia" w:cs="Arial" w:asciiTheme="minorEastAsia" w:hAnsiTheme="minorEastAsia" w:eastAsiaTheme="minorEastAsia"/>
          <w:color w:val="auto"/>
          <w:kern w:val="0"/>
          <w:szCs w:val="21"/>
          <w:highlight w:val="none"/>
        </w:rPr>
        <w:t>2、本项目不设置履约保证金。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Arial" w:asciiTheme="minorEastAsia" w:hAnsiTheme="minorEastAsia" w:eastAsiaTheme="minorEastAsia"/>
          <w:color w:val="auto"/>
          <w:kern w:val="0"/>
          <w:szCs w:val="21"/>
          <w:highlight w:val="none"/>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第五条 合同的变更和终止</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除《政府采购法》第49条、第50条第二款规定的情形外，本合同一经签订，甲乙双方不得擅自终止合同或对合同实质性条款进行变更。确有特殊情况的，须经同级财政部门备案。</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hAnsiTheme="minorEastAsia" w:eastAsiaTheme="minorEastAsia"/>
          <w:b/>
          <w:color w:val="auto"/>
          <w:szCs w:val="21"/>
          <w:highlight w:val="none"/>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第六条 合同的转让与分包</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乙方不得擅自部分或全部转让其应履行的合同义务。</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hAnsiTheme="minorEastAsia" w:eastAsiaTheme="minorEastAsia"/>
          <w:b/>
          <w:color w:val="auto"/>
          <w:szCs w:val="21"/>
          <w:highlight w:val="none"/>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第七条 争议的解决</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1、因履行本合同引起的或与本合同有关的争议，甲、乙双方应首先通过友好协商解决，如果协商不能解决争议，则采取以下第</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种方式解决争议：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（1）向甲方所在地有管辖权的人民法院提起诉讼；</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（2）向仲裁委员申请仲裁。</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第八条 合同备案及其他</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本合同一式五份，甲乙双方各执二份， 一份送招标代理机构存档。</w:t>
      </w:r>
    </w:p>
    <w:p>
      <w:pPr>
        <w:snapToGrid w:val="0"/>
        <w:spacing w:beforeLines="50" w:afterLines="50" w:line="360" w:lineRule="auto"/>
        <w:jc w:val="center"/>
        <w:outlineLvl w:val="0"/>
        <w:rPr>
          <w:rFonts w:cs="Arial" w:asciiTheme="minorEastAsia" w:hAnsiTheme="minorEastAsia" w:eastAsiaTheme="minorEastAsia"/>
          <w:b/>
          <w:color w:val="auto"/>
          <w:kern w:val="0"/>
          <w:szCs w:val="21"/>
          <w:highlight w:val="none"/>
        </w:rPr>
      </w:pPr>
    </w:p>
    <w:p>
      <w:pPr>
        <w:snapToGrid w:val="0"/>
        <w:spacing w:beforeLines="50" w:afterLines="50" w:line="360" w:lineRule="auto"/>
        <w:jc w:val="center"/>
        <w:outlineLvl w:val="0"/>
        <w:rPr>
          <w:rFonts w:cs="Arial" w:asciiTheme="minorEastAsia" w:hAnsiTheme="minorEastAsia" w:eastAsiaTheme="minorEastAsia"/>
          <w:b/>
          <w:color w:val="auto"/>
          <w:kern w:val="0"/>
          <w:szCs w:val="21"/>
          <w:highlight w:val="none"/>
        </w:rPr>
      </w:pPr>
      <w:r>
        <w:rPr>
          <w:rFonts w:hint="eastAsia" w:cs="Arial" w:asciiTheme="minorEastAsia" w:hAnsiTheme="minorEastAsia" w:eastAsiaTheme="minorEastAsia"/>
          <w:b/>
          <w:color w:val="auto"/>
          <w:kern w:val="0"/>
          <w:szCs w:val="21"/>
          <w:highlight w:val="none"/>
        </w:rPr>
        <w:t>二、特殊专用条款部分（双方协商拟定）</w:t>
      </w:r>
    </w:p>
    <w:p>
      <w:pPr>
        <w:pStyle w:val="28"/>
        <w:snapToGrid w:val="0"/>
        <w:spacing w:before="120" w:after="120" w:line="36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甲方：乙方：</w:t>
      </w:r>
    </w:p>
    <w:p>
      <w:pPr>
        <w:pStyle w:val="28"/>
        <w:snapToGrid w:val="0"/>
        <w:spacing w:before="120" w:after="120" w:line="36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地址：地址：</w:t>
      </w:r>
    </w:p>
    <w:p>
      <w:pPr>
        <w:pStyle w:val="28"/>
        <w:snapToGrid w:val="0"/>
        <w:spacing w:before="120" w:after="120" w:line="36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法定代表人或被授权人：法定代表人或被授权人：</w:t>
      </w:r>
    </w:p>
    <w:p>
      <w:pPr>
        <w:pStyle w:val="28"/>
        <w:snapToGrid w:val="0"/>
        <w:spacing w:before="120" w:after="120" w:line="36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签订地点：</w:t>
      </w:r>
    </w:p>
    <w:p>
      <w:pPr>
        <w:pStyle w:val="28"/>
        <w:snapToGrid w:val="0"/>
        <w:spacing w:before="120" w:after="120" w:line="360" w:lineRule="auto"/>
        <w:rPr>
          <w:rFonts w:hint="eastAsia"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签订日期：年月日</w:t>
      </w:r>
    </w:p>
    <w:p>
      <w:pPr>
        <w:rPr>
          <w:rFonts w:hint="eastAsia"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br w:type="page"/>
      </w:r>
    </w:p>
    <w:p>
      <w:pPr>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合同协议条款</w:t>
      </w:r>
    </w:p>
    <w:p>
      <w:pPr>
        <w:rPr>
          <w:rFonts w:hint="eastAsia" w:ascii="宋体" w:hAnsi="宋体" w:eastAsia="宋体" w:cs="宋体"/>
          <w:color w:val="auto"/>
          <w:highlight w:val="none"/>
        </w:rPr>
      </w:pPr>
    </w:p>
    <w:p>
      <w:pPr>
        <w:numPr>
          <w:ilvl w:val="0"/>
          <w:numId w:val="8"/>
        </w:numPr>
        <w:adjustRightInd w:val="0"/>
        <w:snapToGrid w:val="0"/>
        <w:spacing w:line="460" w:lineRule="atLeast"/>
        <w:outlineLvl w:val="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词语定义合同文件</w:t>
      </w:r>
    </w:p>
    <w:p>
      <w:pPr>
        <w:adjustRightInd w:val="0"/>
        <w:snapToGrid w:val="0"/>
        <w:spacing w:line="460" w:lineRule="atLeast"/>
        <w:ind w:left="482"/>
        <w:outlineLvl w:val="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1 词语定义</w:t>
      </w:r>
    </w:p>
    <w:p>
      <w:pPr>
        <w:adjustRightInd w:val="0"/>
        <w:snapToGrid w:val="0"/>
        <w:spacing w:line="460" w:lineRule="atLeast"/>
        <w:ind w:left="482"/>
        <w:outlineLvl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下列词语除补充条款另有约定外，应具有本条所赋予的定义：</w:t>
      </w:r>
    </w:p>
    <w:p>
      <w:pPr>
        <w:adjustRightInd w:val="0"/>
        <w:snapToGrid w:val="0"/>
        <w:spacing w:line="460" w:lineRule="atLeast"/>
        <w:ind w:firstLine="480"/>
        <w:outlineLvl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1.1协议条款：是根据法律、行政法规规定及养护要求的需要订立，通用于本项目实施的条款。</w:t>
      </w:r>
    </w:p>
    <w:p>
      <w:pPr>
        <w:adjustRightInd w:val="0"/>
        <w:snapToGrid w:val="0"/>
        <w:spacing w:line="460" w:lineRule="atLeast"/>
        <w:ind w:firstLine="480"/>
        <w:outlineLvl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1.2补充条款：是双方根据有关法律、行政法规规定，结合项目实际情况，经协商达成意见的条款，是对协议条款内容的具体化、补充或修改。</w:t>
      </w:r>
    </w:p>
    <w:p>
      <w:pPr>
        <w:adjustRightInd w:val="0"/>
        <w:snapToGrid w:val="0"/>
        <w:spacing w:line="460" w:lineRule="atLeast"/>
        <w:ind w:firstLine="480"/>
        <w:outlineLvl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1.3发包人：指在协议书中约定，被发包人接受的具有施工主体资格的当事人。</w:t>
      </w:r>
    </w:p>
    <w:p>
      <w:pPr>
        <w:adjustRightInd w:val="0"/>
        <w:snapToGrid w:val="0"/>
        <w:spacing w:line="460" w:lineRule="atLeast"/>
        <w:ind w:firstLine="480"/>
        <w:outlineLvl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1.4 承包人：指在协议书中约定，被发包人接受的具有施工承包主体资格的当事人。</w:t>
      </w:r>
    </w:p>
    <w:p>
      <w:pPr>
        <w:adjustRightInd w:val="0"/>
        <w:snapToGrid w:val="0"/>
        <w:spacing w:line="460" w:lineRule="atLeast"/>
        <w:ind w:firstLine="480"/>
        <w:outlineLvl w:val="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1.5项目：</w:t>
      </w:r>
      <w:r>
        <w:rPr>
          <w:rFonts w:hint="eastAsia" w:ascii="宋体" w:hAnsi="宋体" w:eastAsia="宋体" w:cs="宋体"/>
          <w:b/>
          <w:color w:val="auto"/>
          <w:szCs w:val="21"/>
          <w:highlight w:val="none"/>
          <w:lang w:eastAsia="zh-CN"/>
        </w:rPr>
        <w:t>新城街道市政设施养护项目</w:t>
      </w:r>
    </w:p>
    <w:p>
      <w:pPr>
        <w:adjustRightInd w:val="0"/>
        <w:snapToGrid w:val="0"/>
        <w:spacing w:line="460" w:lineRule="atLeast"/>
        <w:ind w:left="480"/>
        <w:outlineLvl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1.6月日指日历月日</w:t>
      </w:r>
    </w:p>
    <w:p>
      <w:pPr>
        <w:adjustRightInd w:val="0"/>
        <w:snapToGrid w:val="0"/>
        <w:spacing w:line="460" w:lineRule="atLeast"/>
        <w:ind w:firstLine="482"/>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2 语言文字和适用法律、标准及规范</w:t>
      </w:r>
    </w:p>
    <w:p>
      <w:pPr>
        <w:adjustRightInd w:val="0"/>
        <w:snapToGrid w:val="0"/>
        <w:spacing w:line="460" w:lineRule="atLeast"/>
        <w:ind w:firstLine="482"/>
        <w:rPr>
          <w:rFonts w:hint="eastAsia" w:ascii="宋体" w:hAnsi="宋体" w:eastAsia="宋体" w:cs="宋体"/>
          <w:color w:val="auto"/>
          <w:szCs w:val="21"/>
          <w:highlight w:val="none"/>
        </w:rPr>
      </w:pPr>
      <w:r>
        <w:rPr>
          <w:rFonts w:hint="eastAsia" w:ascii="宋体" w:hAnsi="宋体" w:eastAsia="宋体" w:cs="宋体"/>
          <w:color w:val="auto"/>
          <w:szCs w:val="21"/>
          <w:highlight w:val="none"/>
        </w:rPr>
        <w:t>2.1语言文字</w:t>
      </w:r>
    </w:p>
    <w:p>
      <w:pPr>
        <w:adjustRightInd w:val="0"/>
        <w:snapToGrid w:val="0"/>
        <w:spacing w:line="460" w:lineRule="atLeast"/>
        <w:ind w:firstLine="482"/>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本合同文件使用汉语书写和解释、说明。</w:t>
      </w:r>
    </w:p>
    <w:p>
      <w:pPr>
        <w:adjustRightInd w:val="0"/>
        <w:snapToGrid w:val="0"/>
        <w:spacing w:line="460" w:lineRule="atLeast"/>
        <w:ind w:firstLine="482"/>
        <w:rPr>
          <w:rFonts w:hint="eastAsia" w:ascii="宋体" w:hAnsi="宋体" w:eastAsia="宋体" w:cs="宋体"/>
          <w:color w:val="auto"/>
          <w:szCs w:val="21"/>
          <w:highlight w:val="none"/>
        </w:rPr>
      </w:pPr>
      <w:r>
        <w:rPr>
          <w:rFonts w:hint="eastAsia" w:ascii="宋体" w:hAnsi="宋体" w:eastAsia="宋体" w:cs="宋体"/>
          <w:color w:val="auto"/>
          <w:szCs w:val="21"/>
          <w:highlight w:val="none"/>
        </w:rPr>
        <w:t>2.2适用法律法规</w:t>
      </w:r>
    </w:p>
    <w:p>
      <w:pPr>
        <w:adjustRightInd w:val="0"/>
        <w:snapToGrid w:val="0"/>
        <w:spacing w:line="460" w:lineRule="atLeast"/>
        <w:ind w:firstLine="482"/>
        <w:rPr>
          <w:rFonts w:hint="eastAsia" w:ascii="宋体" w:hAnsi="宋体" w:eastAsia="宋体" w:cs="宋体"/>
          <w:color w:val="auto"/>
          <w:szCs w:val="21"/>
          <w:highlight w:val="none"/>
        </w:rPr>
      </w:pPr>
      <w:r>
        <w:rPr>
          <w:rFonts w:hint="eastAsia" w:ascii="宋体" w:hAnsi="宋体" w:eastAsia="宋体" w:cs="宋体"/>
          <w:color w:val="auto"/>
          <w:szCs w:val="21"/>
          <w:highlight w:val="none"/>
        </w:rPr>
        <w:t>适用中华人民共和国的法律、法规和嘉兴市的地方法规；</w:t>
      </w:r>
    </w:p>
    <w:p>
      <w:pPr>
        <w:adjustRightInd w:val="0"/>
        <w:snapToGrid w:val="0"/>
        <w:spacing w:line="460" w:lineRule="atLeast"/>
        <w:ind w:firstLine="482"/>
        <w:rPr>
          <w:rFonts w:hint="eastAsia" w:ascii="宋体" w:hAnsi="宋体" w:eastAsia="宋体" w:cs="宋体"/>
          <w:color w:val="auto"/>
          <w:szCs w:val="21"/>
          <w:highlight w:val="none"/>
        </w:rPr>
      </w:pPr>
      <w:r>
        <w:rPr>
          <w:rFonts w:hint="eastAsia" w:ascii="宋体" w:hAnsi="宋体" w:eastAsia="宋体" w:cs="宋体"/>
          <w:color w:val="auto"/>
          <w:szCs w:val="21"/>
          <w:highlight w:val="none"/>
        </w:rPr>
        <w:t>2.3适用标准、规范</w:t>
      </w:r>
    </w:p>
    <w:p>
      <w:pPr>
        <w:adjustRightInd w:val="0"/>
        <w:snapToGrid w:val="0"/>
        <w:spacing w:line="460" w:lineRule="atLeast"/>
        <w:ind w:firstLine="482"/>
        <w:rPr>
          <w:rFonts w:hint="eastAsia" w:ascii="宋体" w:hAnsi="宋体" w:eastAsia="宋体" w:cs="宋体"/>
          <w:color w:val="auto"/>
          <w:szCs w:val="21"/>
          <w:highlight w:val="none"/>
        </w:rPr>
      </w:pPr>
      <w:r>
        <w:rPr>
          <w:rFonts w:hint="eastAsia" w:ascii="宋体" w:hAnsi="宋体" w:eastAsia="宋体" w:cs="宋体"/>
          <w:color w:val="auto"/>
          <w:szCs w:val="21"/>
          <w:highlight w:val="none"/>
        </w:rPr>
        <w:t>综合养护质量规范</w:t>
      </w:r>
    </w:p>
    <w:p>
      <w:pPr>
        <w:adjustRightInd w:val="0"/>
        <w:snapToGrid w:val="0"/>
        <w:spacing w:line="460" w:lineRule="atLeast"/>
        <w:ind w:firstLine="482"/>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二、双方一般权利和义务</w:t>
      </w:r>
    </w:p>
    <w:p>
      <w:pPr>
        <w:adjustRightInd w:val="0"/>
        <w:snapToGrid w:val="0"/>
        <w:spacing w:line="460" w:lineRule="atLeast"/>
        <w:ind w:firstLine="482"/>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3 甲方代表</w:t>
      </w:r>
    </w:p>
    <w:p>
      <w:pPr>
        <w:adjustRightInd w:val="0"/>
        <w:snapToGrid w:val="0"/>
        <w:spacing w:line="460" w:lineRule="atLeast"/>
        <w:ind w:firstLine="482"/>
        <w:rPr>
          <w:rFonts w:hint="eastAsia" w:ascii="宋体" w:hAnsi="宋体" w:eastAsia="宋体" w:cs="宋体"/>
          <w:color w:val="auto"/>
          <w:szCs w:val="21"/>
          <w:highlight w:val="none"/>
        </w:rPr>
      </w:pPr>
      <w:r>
        <w:rPr>
          <w:rFonts w:hint="eastAsia" w:ascii="宋体" w:hAnsi="宋体" w:eastAsia="宋体" w:cs="宋体"/>
          <w:color w:val="auto"/>
          <w:szCs w:val="21"/>
          <w:highlight w:val="none"/>
        </w:rPr>
        <w:t>甲方指派</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为甲方代表，全面负责日常养护作业的管理工作。</w:t>
      </w:r>
    </w:p>
    <w:p>
      <w:pPr>
        <w:adjustRightInd w:val="0"/>
        <w:snapToGrid w:val="0"/>
        <w:spacing w:line="460" w:lineRule="atLeast"/>
        <w:ind w:firstLine="482"/>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4 乙方代表</w:t>
      </w:r>
    </w:p>
    <w:p>
      <w:pPr>
        <w:adjustRightInd w:val="0"/>
        <w:snapToGrid w:val="0"/>
        <w:spacing w:line="460" w:lineRule="atLeast"/>
        <w:ind w:firstLine="482"/>
        <w:rPr>
          <w:rFonts w:hint="eastAsia" w:ascii="宋体" w:hAnsi="宋体" w:eastAsia="宋体" w:cs="宋体"/>
          <w:color w:val="auto"/>
          <w:szCs w:val="21"/>
          <w:highlight w:val="none"/>
        </w:rPr>
      </w:pPr>
      <w:r>
        <w:rPr>
          <w:rFonts w:hint="eastAsia" w:ascii="宋体" w:hAnsi="宋体" w:eastAsia="宋体" w:cs="宋体"/>
          <w:color w:val="auto"/>
          <w:szCs w:val="21"/>
          <w:highlight w:val="none"/>
        </w:rPr>
        <w:t>4.1乙方指派</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为养护项目负责人，具体负责本养护标段作业工作，并用书面材料报甲方备案。</w:t>
      </w:r>
    </w:p>
    <w:p>
      <w:pPr>
        <w:adjustRightInd w:val="0"/>
        <w:snapToGrid w:val="0"/>
        <w:spacing w:line="460" w:lineRule="atLeast"/>
        <w:ind w:firstLine="482"/>
        <w:rPr>
          <w:rFonts w:hint="eastAsia" w:ascii="宋体" w:hAnsi="宋体" w:eastAsia="宋体" w:cs="宋体"/>
          <w:color w:val="auto"/>
          <w:szCs w:val="21"/>
          <w:highlight w:val="none"/>
        </w:rPr>
      </w:pPr>
      <w:r>
        <w:rPr>
          <w:rFonts w:hint="eastAsia" w:ascii="宋体" w:hAnsi="宋体" w:eastAsia="宋体" w:cs="宋体"/>
          <w:color w:val="auto"/>
          <w:szCs w:val="21"/>
          <w:highlight w:val="none"/>
        </w:rPr>
        <w:t>4.2项目负责人等有关人员必须按时参加由甲方召开的养护例会和各种必须参加的会议。</w:t>
      </w:r>
    </w:p>
    <w:p>
      <w:pPr>
        <w:adjustRightInd w:val="0"/>
        <w:snapToGrid w:val="0"/>
        <w:spacing w:line="460" w:lineRule="atLeast"/>
        <w:ind w:firstLine="482"/>
        <w:rPr>
          <w:rFonts w:hint="eastAsia" w:ascii="宋体" w:hAnsi="宋体" w:eastAsia="宋体" w:cs="宋体"/>
          <w:color w:val="auto"/>
          <w:szCs w:val="21"/>
          <w:highlight w:val="none"/>
        </w:rPr>
      </w:pPr>
      <w:r>
        <w:rPr>
          <w:rFonts w:hint="eastAsia" w:ascii="宋体" w:hAnsi="宋体" w:eastAsia="宋体" w:cs="宋体"/>
          <w:color w:val="auto"/>
          <w:szCs w:val="21"/>
          <w:highlight w:val="none"/>
        </w:rPr>
        <w:t>4.3乙方如需更换项目负责人，应至少提前7天以书面形式通知甲方，并征得甲方同意。后任继续行使合同文件的前任的职权，履行前任的义务。</w:t>
      </w:r>
    </w:p>
    <w:p>
      <w:pPr>
        <w:adjustRightInd w:val="0"/>
        <w:snapToGrid w:val="0"/>
        <w:spacing w:line="460" w:lineRule="atLeast"/>
        <w:ind w:firstLine="482"/>
        <w:rPr>
          <w:rFonts w:hint="eastAsia" w:ascii="宋体" w:hAnsi="宋体" w:eastAsia="宋体" w:cs="宋体"/>
          <w:color w:val="auto"/>
          <w:szCs w:val="21"/>
          <w:highlight w:val="none"/>
        </w:rPr>
      </w:pPr>
      <w:r>
        <w:rPr>
          <w:rFonts w:hint="eastAsia" w:ascii="宋体" w:hAnsi="宋体" w:eastAsia="宋体" w:cs="宋体"/>
          <w:color w:val="auto"/>
          <w:szCs w:val="21"/>
          <w:highlight w:val="none"/>
        </w:rPr>
        <w:t>4.4甲方可以与乙方协商，建议更换其认为不称职的项目负责人。</w:t>
      </w:r>
    </w:p>
    <w:p>
      <w:pPr>
        <w:adjustRightInd w:val="0"/>
        <w:snapToGrid w:val="0"/>
        <w:spacing w:line="460" w:lineRule="atLeast"/>
        <w:ind w:firstLine="482"/>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5 甲方工作</w:t>
      </w:r>
    </w:p>
    <w:p>
      <w:pPr>
        <w:adjustRightInd w:val="0"/>
        <w:snapToGrid w:val="0"/>
        <w:spacing w:line="460" w:lineRule="atLeast"/>
        <w:ind w:firstLine="482"/>
        <w:rPr>
          <w:rFonts w:hint="eastAsia" w:ascii="宋体" w:hAnsi="宋体" w:eastAsia="宋体" w:cs="宋体"/>
          <w:color w:val="auto"/>
          <w:szCs w:val="21"/>
          <w:highlight w:val="none"/>
        </w:rPr>
      </w:pPr>
      <w:r>
        <w:rPr>
          <w:rFonts w:hint="eastAsia" w:ascii="宋体" w:hAnsi="宋体" w:eastAsia="宋体" w:cs="宋体"/>
          <w:color w:val="auto"/>
          <w:szCs w:val="21"/>
          <w:highlight w:val="none"/>
        </w:rPr>
        <w:t>5.1组织召开养护作业技术交底会。</w:t>
      </w:r>
    </w:p>
    <w:p>
      <w:pPr>
        <w:adjustRightInd w:val="0"/>
        <w:snapToGrid w:val="0"/>
        <w:spacing w:line="460" w:lineRule="atLeast"/>
        <w:ind w:firstLine="482"/>
        <w:rPr>
          <w:rFonts w:hint="eastAsia" w:ascii="宋体" w:hAnsi="宋体" w:eastAsia="宋体" w:cs="宋体"/>
          <w:color w:val="auto"/>
          <w:szCs w:val="21"/>
          <w:highlight w:val="none"/>
        </w:rPr>
      </w:pPr>
      <w:r>
        <w:rPr>
          <w:rFonts w:hint="eastAsia" w:ascii="宋体" w:hAnsi="宋体" w:eastAsia="宋体" w:cs="宋体"/>
          <w:color w:val="auto"/>
          <w:szCs w:val="21"/>
          <w:highlight w:val="none"/>
        </w:rPr>
        <w:t>5.2协助乙方办理养护施工所需的有关证件，批件等。</w:t>
      </w:r>
    </w:p>
    <w:p>
      <w:pPr>
        <w:adjustRightInd w:val="0"/>
        <w:snapToGrid w:val="0"/>
        <w:spacing w:line="460" w:lineRule="atLeast"/>
        <w:ind w:firstLine="482"/>
        <w:rPr>
          <w:rFonts w:hint="eastAsia" w:ascii="宋体" w:hAnsi="宋体" w:eastAsia="宋体" w:cs="宋体"/>
          <w:color w:val="auto"/>
          <w:szCs w:val="21"/>
          <w:highlight w:val="none"/>
        </w:rPr>
      </w:pPr>
      <w:r>
        <w:rPr>
          <w:rFonts w:hint="eastAsia" w:ascii="宋体" w:hAnsi="宋体" w:eastAsia="宋体" w:cs="宋体"/>
          <w:color w:val="auto"/>
          <w:szCs w:val="21"/>
          <w:highlight w:val="none"/>
        </w:rPr>
        <w:t>5.3负责乙方的日常养护作业的管理和检查(定期检查和抽查相结合)。每个月约定月底对乙方作出养护工作计划布置和对养护工作进行考核(全年考核不少于12次)，考核按有关养护工作考核标准并结合甲方养护工作计划要求综合进行年终综合考核考评。</w:t>
      </w:r>
    </w:p>
    <w:p>
      <w:pPr>
        <w:adjustRightInd w:val="0"/>
        <w:snapToGrid w:val="0"/>
        <w:spacing w:line="460" w:lineRule="atLeast"/>
        <w:ind w:firstLine="482"/>
        <w:rPr>
          <w:rFonts w:hint="eastAsia" w:ascii="宋体" w:hAnsi="宋体" w:eastAsia="宋体" w:cs="宋体"/>
          <w:color w:val="auto"/>
          <w:szCs w:val="21"/>
          <w:highlight w:val="none"/>
        </w:rPr>
      </w:pPr>
      <w:r>
        <w:rPr>
          <w:rFonts w:hint="eastAsia" w:ascii="宋体" w:hAnsi="宋体" w:eastAsia="宋体" w:cs="宋体"/>
          <w:color w:val="auto"/>
          <w:szCs w:val="21"/>
          <w:highlight w:val="none"/>
        </w:rPr>
        <w:t>5.4甲方对乙方的养护质量进行检查并进行每月考核，考核结果作为支付每季养护经费的依据。</w:t>
      </w:r>
    </w:p>
    <w:p>
      <w:pPr>
        <w:adjustRightInd w:val="0"/>
        <w:snapToGrid w:val="0"/>
        <w:spacing w:line="460" w:lineRule="atLeast"/>
        <w:ind w:firstLine="482"/>
        <w:rPr>
          <w:rFonts w:hint="eastAsia" w:ascii="宋体" w:hAnsi="宋体" w:eastAsia="宋体" w:cs="宋体"/>
          <w:color w:val="auto"/>
          <w:szCs w:val="21"/>
          <w:highlight w:val="none"/>
        </w:rPr>
      </w:pPr>
      <w:r>
        <w:rPr>
          <w:rFonts w:hint="eastAsia" w:ascii="宋体" w:hAnsi="宋体" w:eastAsia="宋体" w:cs="宋体"/>
          <w:color w:val="auto"/>
          <w:szCs w:val="21"/>
          <w:highlight w:val="none"/>
        </w:rPr>
        <w:t>5.5负责合同期间的行政许可审批及协调工作，如遇突发事件，协调乙方在作业过程中与其他管理部门的关系。</w:t>
      </w:r>
    </w:p>
    <w:p>
      <w:pPr>
        <w:adjustRightInd w:val="0"/>
        <w:snapToGrid w:val="0"/>
        <w:spacing w:line="460" w:lineRule="atLeast"/>
        <w:ind w:firstLine="482"/>
        <w:rPr>
          <w:rFonts w:hint="eastAsia" w:ascii="宋体" w:hAnsi="宋体" w:eastAsia="宋体" w:cs="宋体"/>
          <w:color w:val="auto"/>
          <w:szCs w:val="21"/>
          <w:highlight w:val="none"/>
        </w:rPr>
      </w:pPr>
      <w:r>
        <w:rPr>
          <w:rFonts w:hint="eastAsia" w:ascii="宋体" w:hAnsi="宋体" w:eastAsia="宋体" w:cs="宋体"/>
          <w:color w:val="auto"/>
          <w:szCs w:val="21"/>
          <w:highlight w:val="none"/>
        </w:rPr>
        <w:t>5.6进行</w:t>
      </w:r>
      <w:r>
        <w:rPr>
          <w:rFonts w:hint="eastAsia" w:ascii="宋体" w:hAnsi="宋体" w:eastAsia="宋体" w:cs="宋体"/>
          <w:color w:val="auto"/>
          <w:szCs w:val="21"/>
          <w:highlight w:val="none"/>
          <w:lang w:eastAsia="zh-CN"/>
        </w:rPr>
        <w:t>市政</w:t>
      </w:r>
      <w:r>
        <w:rPr>
          <w:rFonts w:hint="eastAsia" w:ascii="宋体" w:hAnsi="宋体" w:eastAsia="宋体" w:cs="宋体"/>
          <w:color w:val="auto"/>
          <w:szCs w:val="21"/>
          <w:highlight w:val="none"/>
        </w:rPr>
        <w:t>养护工作业务指导。</w:t>
      </w:r>
    </w:p>
    <w:p>
      <w:pPr>
        <w:adjustRightInd w:val="0"/>
        <w:snapToGrid w:val="0"/>
        <w:spacing w:line="460" w:lineRule="atLeast"/>
        <w:ind w:firstLine="482"/>
        <w:rPr>
          <w:rFonts w:hint="eastAsia" w:ascii="宋体" w:hAnsi="宋体" w:eastAsia="宋体" w:cs="宋体"/>
          <w:color w:val="auto"/>
          <w:szCs w:val="21"/>
          <w:highlight w:val="none"/>
        </w:rPr>
      </w:pPr>
      <w:r>
        <w:rPr>
          <w:rFonts w:hint="eastAsia" w:ascii="宋体" w:hAnsi="宋体" w:eastAsia="宋体" w:cs="宋体"/>
          <w:color w:val="auto"/>
          <w:szCs w:val="21"/>
          <w:highlight w:val="none"/>
        </w:rPr>
        <w:t>5.7甲方应作的其他工作，双方在补充条款内约定。</w:t>
      </w:r>
    </w:p>
    <w:p>
      <w:pPr>
        <w:adjustRightInd w:val="0"/>
        <w:snapToGrid w:val="0"/>
        <w:spacing w:line="460" w:lineRule="atLeast"/>
        <w:ind w:firstLine="482"/>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6 乙方工作</w:t>
      </w:r>
    </w:p>
    <w:p>
      <w:pPr>
        <w:adjustRightInd w:val="0"/>
        <w:snapToGrid w:val="0"/>
        <w:spacing w:line="460" w:lineRule="atLeast"/>
        <w:ind w:firstLine="482"/>
        <w:rPr>
          <w:rFonts w:hint="eastAsia" w:ascii="宋体" w:hAnsi="宋体" w:eastAsia="宋体" w:cs="宋体"/>
          <w:color w:val="auto"/>
          <w:szCs w:val="21"/>
          <w:highlight w:val="none"/>
        </w:rPr>
      </w:pPr>
      <w:r>
        <w:rPr>
          <w:rFonts w:hint="eastAsia" w:ascii="宋体" w:hAnsi="宋体" w:eastAsia="宋体" w:cs="宋体"/>
          <w:color w:val="auto"/>
          <w:szCs w:val="21"/>
          <w:highlight w:val="none"/>
        </w:rPr>
        <w:t>6.1乙方提交养护工作计划经甲方核定后，由乙方承担日常养护作业。</w:t>
      </w:r>
    </w:p>
    <w:p>
      <w:pPr>
        <w:adjustRightInd w:val="0"/>
        <w:snapToGrid w:val="0"/>
        <w:spacing w:line="460" w:lineRule="atLeast"/>
        <w:ind w:firstLine="482"/>
        <w:rPr>
          <w:rFonts w:hint="eastAsia" w:ascii="宋体" w:hAnsi="宋体" w:eastAsia="宋体" w:cs="宋体"/>
          <w:color w:val="auto"/>
          <w:szCs w:val="21"/>
          <w:highlight w:val="none"/>
        </w:rPr>
      </w:pPr>
      <w:r>
        <w:rPr>
          <w:rFonts w:hint="eastAsia" w:ascii="宋体" w:hAnsi="宋体" w:eastAsia="宋体" w:cs="宋体"/>
          <w:color w:val="auto"/>
          <w:szCs w:val="21"/>
          <w:highlight w:val="none"/>
        </w:rPr>
        <w:t>6.2做好日、周统计报表，并按时做好月、季、年度上报养护工作完成情况</w:t>
      </w:r>
      <w:r>
        <w:rPr>
          <w:rFonts w:hint="eastAsia" w:ascii="宋体" w:hAnsi="宋体" w:eastAsia="宋体" w:cs="宋体"/>
          <w:color w:val="auto"/>
          <w:szCs w:val="21"/>
          <w:highlight w:val="none"/>
          <w:lang w:val="en-US" w:eastAsia="zh-CN"/>
        </w:rPr>
        <w:tab/>
      </w:r>
      <w:r>
        <w:rPr>
          <w:rFonts w:hint="eastAsia" w:ascii="宋体" w:hAnsi="宋体" w:eastAsia="宋体" w:cs="宋体"/>
          <w:color w:val="auto"/>
          <w:szCs w:val="21"/>
          <w:highlight w:val="none"/>
        </w:rPr>
        <w:t>表，按甲方要求及时上报。</w:t>
      </w:r>
    </w:p>
    <w:p>
      <w:pPr>
        <w:adjustRightInd w:val="0"/>
        <w:snapToGrid w:val="0"/>
        <w:spacing w:line="460" w:lineRule="atLeast"/>
        <w:ind w:firstLine="482"/>
        <w:rPr>
          <w:rFonts w:hint="eastAsia" w:ascii="宋体" w:hAnsi="宋体" w:eastAsia="宋体" w:cs="宋体"/>
          <w:color w:val="auto"/>
          <w:szCs w:val="21"/>
          <w:highlight w:val="none"/>
        </w:rPr>
      </w:pPr>
      <w:r>
        <w:rPr>
          <w:rFonts w:hint="eastAsia" w:ascii="宋体" w:hAnsi="宋体" w:eastAsia="宋体" w:cs="宋体"/>
          <w:color w:val="auto"/>
          <w:szCs w:val="21"/>
          <w:highlight w:val="none"/>
        </w:rPr>
        <w:t>6.3应按甲方提出的以周围建筑物和各种管线的要求落实保护措施；</w:t>
      </w:r>
    </w:p>
    <w:p>
      <w:pPr>
        <w:adjustRightInd w:val="0"/>
        <w:snapToGrid w:val="0"/>
        <w:spacing w:line="460" w:lineRule="atLeast"/>
        <w:ind w:firstLine="482"/>
        <w:rPr>
          <w:rFonts w:hint="eastAsia" w:ascii="宋体" w:hAnsi="宋体" w:eastAsia="宋体" w:cs="宋体"/>
          <w:color w:val="auto"/>
          <w:szCs w:val="21"/>
          <w:highlight w:val="none"/>
        </w:rPr>
      </w:pPr>
      <w:r>
        <w:rPr>
          <w:rFonts w:hint="eastAsia" w:ascii="宋体" w:hAnsi="宋体" w:eastAsia="宋体" w:cs="宋体"/>
          <w:color w:val="auto"/>
          <w:szCs w:val="21"/>
          <w:highlight w:val="none"/>
        </w:rPr>
        <w:t>6.4建立巡视报告制，每天有专人进行对</w:t>
      </w:r>
      <w:r>
        <w:rPr>
          <w:rFonts w:hint="eastAsia" w:ascii="宋体" w:hAnsi="宋体" w:eastAsia="宋体" w:cs="宋体"/>
          <w:color w:val="auto"/>
          <w:szCs w:val="21"/>
          <w:highlight w:val="none"/>
          <w:lang w:eastAsia="zh-CN"/>
        </w:rPr>
        <w:t>市政</w:t>
      </w:r>
      <w:r>
        <w:rPr>
          <w:rFonts w:hint="eastAsia" w:ascii="宋体" w:hAnsi="宋体" w:eastAsia="宋体" w:cs="宋体"/>
          <w:color w:val="auto"/>
          <w:szCs w:val="21"/>
          <w:highlight w:val="none"/>
        </w:rPr>
        <w:t>等设施的巡视，并做好每日巡视记录。发现养护范围内</w:t>
      </w:r>
      <w:r>
        <w:rPr>
          <w:rFonts w:hint="eastAsia" w:ascii="宋体" w:hAnsi="宋体" w:eastAsia="宋体" w:cs="宋体"/>
          <w:color w:val="auto"/>
          <w:szCs w:val="21"/>
          <w:highlight w:val="none"/>
          <w:lang w:eastAsia="zh-CN"/>
        </w:rPr>
        <w:t>道路、人行道等</w:t>
      </w:r>
      <w:r>
        <w:rPr>
          <w:rFonts w:hint="eastAsia" w:ascii="宋体" w:hAnsi="宋体" w:eastAsia="宋体" w:cs="宋体"/>
          <w:color w:val="auto"/>
          <w:szCs w:val="21"/>
          <w:highlight w:val="none"/>
        </w:rPr>
        <w:t>缺损，</w:t>
      </w:r>
      <w:r>
        <w:rPr>
          <w:rFonts w:hint="eastAsia" w:ascii="宋体" w:hAnsi="宋体" w:eastAsia="宋体" w:cs="宋体"/>
          <w:color w:val="auto"/>
          <w:szCs w:val="21"/>
          <w:highlight w:val="none"/>
          <w:lang w:eastAsia="zh-CN"/>
        </w:rPr>
        <w:t>及时抢修</w:t>
      </w:r>
      <w:r>
        <w:rPr>
          <w:rFonts w:hint="eastAsia" w:ascii="宋体" w:hAnsi="宋体" w:eastAsia="宋体" w:cs="宋体"/>
          <w:color w:val="auto"/>
          <w:szCs w:val="21"/>
          <w:highlight w:val="none"/>
        </w:rPr>
        <w:t>，并把结果报告甲方；</w:t>
      </w:r>
    </w:p>
    <w:p>
      <w:pPr>
        <w:adjustRightInd w:val="0"/>
        <w:snapToGrid w:val="0"/>
        <w:spacing w:line="460" w:lineRule="atLeast"/>
        <w:ind w:firstLine="482" w:firstLineChars="200"/>
        <w:rPr>
          <w:rFonts w:hint="eastAsia" w:ascii="宋体" w:hAnsi="宋体" w:eastAsia="宋体" w:cs="宋体"/>
          <w:b/>
          <w:color w:val="auto"/>
          <w:szCs w:val="21"/>
          <w:highlight w:val="none"/>
        </w:rPr>
      </w:pPr>
      <w:r>
        <w:rPr>
          <w:rFonts w:hint="eastAsia" w:ascii="宋体" w:hAnsi="宋体" w:eastAsia="宋体" w:cs="宋体"/>
          <w:b/>
          <w:color w:val="auto"/>
          <w:sz w:val="24"/>
          <w:highlight w:val="none"/>
        </w:rPr>
        <w:t xml:space="preserve"> </w:t>
      </w:r>
      <w:r>
        <w:rPr>
          <w:rFonts w:hint="eastAsia" w:ascii="宋体" w:hAnsi="宋体" w:eastAsia="宋体" w:cs="宋体"/>
          <w:b/>
          <w:color w:val="auto"/>
          <w:szCs w:val="21"/>
          <w:highlight w:val="none"/>
        </w:rPr>
        <w:t>巡视中发现区域内道路平侧石拆除更换、人行道维修、人行道树池维修、相关交通标志标识维修养护（含重新施画）、雨水水篦口清理、井圈井盖巡查更换、桥梁护栏维修养护等市政设施等现象，由乙方负责处理。养护区域内的所有附属设施均由乙方负责维修、安装。</w:t>
      </w:r>
    </w:p>
    <w:p>
      <w:pPr>
        <w:adjustRightInd w:val="0"/>
        <w:snapToGrid w:val="0"/>
        <w:spacing w:line="460" w:lineRule="atLeast"/>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6.5超出常规小修范围的工作，需提前报甲方审批；</w:t>
      </w:r>
    </w:p>
    <w:p>
      <w:pPr>
        <w:adjustRightInd w:val="0"/>
        <w:snapToGrid w:val="0"/>
        <w:spacing w:line="460" w:lineRule="atLeast"/>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6.6及时解决来信、来访，并根据甲方要求及时处理；</w:t>
      </w:r>
    </w:p>
    <w:p>
      <w:pPr>
        <w:adjustRightInd w:val="0"/>
        <w:snapToGrid w:val="0"/>
        <w:spacing w:line="460" w:lineRule="atLeast"/>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6.7按时完成甲方交办的其它突击性任务和指令性任务；</w:t>
      </w:r>
    </w:p>
    <w:p>
      <w:pPr>
        <w:adjustRightInd w:val="0"/>
        <w:snapToGrid w:val="0"/>
        <w:spacing w:line="460" w:lineRule="atLeast"/>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6.8认真做好防台防汛等工作；</w:t>
      </w:r>
    </w:p>
    <w:p>
      <w:pPr>
        <w:adjustRightInd w:val="0"/>
        <w:snapToGrid w:val="0"/>
        <w:spacing w:line="460" w:lineRule="atLeast"/>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6.9加强法定节假日的正常养护工作；</w:t>
      </w:r>
    </w:p>
    <w:p>
      <w:pPr>
        <w:adjustRightInd w:val="0"/>
        <w:snapToGrid w:val="0"/>
        <w:spacing w:line="460" w:lineRule="atLeast"/>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6.10</w:t>
      </w:r>
      <w:r>
        <w:rPr>
          <w:rFonts w:hint="eastAsia" w:ascii="宋体" w:hAnsi="宋体" w:eastAsia="宋体" w:cs="宋体"/>
          <w:color w:val="auto"/>
          <w:szCs w:val="21"/>
          <w:highlight w:val="none"/>
          <w:lang w:val="zh-CN"/>
        </w:rPr>
        <w:t>遵守地方政府和有关部门对施工场地交通、环卫和施工噪音等管理规定。所有手续的费用由承包人承担。承包人应采取有效措施尽量减小尘土和噪音污染，需要进行夜间作业时应经发包人批准。按监</w:t>
      </w:r>
      <w:r>
        <w:rPr>
          <w:rFonts w:hint="eastAsia" w:ascii="宋体" w:hAnsi="宋体" w:eastAsia="宋体" w:cs="宋体"/>
          <w:color w:val="auto"/>
          <w:szCs w:val="21"/>
          <w:highlight w:val="none"/>
        </w:rPr>
        <w:t>理要求标化管理及环保要求实施施工管理并承担相关费用，发包人给予配合；</w:t>
      </w:r>
    </w:p>
    <w:p>
      <w:pPr>
        <w:adjustRightInd w:val="0"/>
        <w:snapToGrid w:val="0"/>
        <w:spacing w:line="460" w:lineRule="atLeast"/>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6.11施工期间承包人应按规定做好施工场地清洁卫生工作。竣工后剩余的任何材料和物品除属于发包人的外，承包人均应迅速撤除。竣工验收，工程移交之前，承包人仍须承担成品保护、保洁、安全等工作，此类费用由承包人承担；</w:t>
      </w:r>
    </w:p>
    <w:p>
      <w:pPr>
        <w:adjustRightInd w:val="0"/>
        <w:snapToGrid w:val="0"/>
        <w:spacing w:line="460" w:lineRule="atLeast"/>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6.12注意养护区的排灌水。主要是梅雨、台汛和阵雨积水，出现积水时要及时排出，一般积水不得超过4小时，应做好排水沟渠的通畅，灌排设施的完整，结合临时排水等措施进行，避免因积水而造成植物的死亡。灌溉必须根据气候条件的变化灵活掌握。一般来说，春季到初夏，苗木处于旺盛生长期，南方雨水多，只要灌溉三四次即可，初夏如果高温又干旱，必须增加灌水次数，秋季，为了让苗木组织充实和木质化，准备越冬，一般不灌水。冬季，南方不灌水；</w:t>
      </w:r>
    </w:p>
    <w:p>
      <w:pPr>
        <w:adjustRightInd w:val="0"/>
        <w:snapToGrid w:val="0"/>
        <w:spacing w:line="460" w:lineRule="atLeast"/>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6.13苗木初始补植时需要适当施肥，促进苗木生长，肥料种类、数量由乙方根据实际情况确定并报甲方核准备案，以保持良好生长势；</w:t>
      </w:r>
    </w:p>
    <w:p>
      <w:pPr>
        <w:adjustRightInd w:val="0"/>
        <w:snapToGrid w:val="0"/>
        <w:spacing w:line="460" w:lineRule="atLeast"/>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6.14因乙方管理不到位而引起的安全事故责任由乙方承担。</w:t>
      </w:r>
    </w:p>
    <w:p>
      <w:pPr>
        <w:adjustRightInd w:val="0"/>
        <w:snapToGrid w:val="0"/>
        <w:spacing w:line="460" w:lineRule="atLeast"/>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6.15因灾害性天气单次受灾金额在10万以下的由乙方自行承担，超出部分由乙方跟甲方协商解决。 </w:t>
      </w:r>
    </w:p>
    <w:p>
      <w:pPr>
        <w:adjustRightInd w:val="0"/>
        <w:snapToGrid w:val="0"/>
        <w:spacing w:line="460" w:lineRule="atLeast"/>
        <w:ind w:firstLine="482"/>
        <w:rPr>
          <w:rFonts w:hint="eastAsia" w:ascii="宋体" w:hAnsi="宋体" w:eastAsia="宋体" w:cs="宋体"/>
          <w:color w:val="auto"/>
          <w:szCs w:val="21"/>
          <w:highlight w:val="none"/>
        </w:rPr>
      </w:pPr>
      <w:r>
        <w:rPr>
          <w:rFonts w:hint="eastAsia" w:ascii="宋体" w:hAnsi="宋体" w:eastAsia="宋体" w:cs="宋体"/>
          <w:color w:val="auto"/>
          <w:szCs w:val="21"/>
          <w:highlight w:val="none"/>
        </w:rPr>
        <w:t>6.16乙方应作的其他工作，双方在补充条款内约定。</w:t>
      </w:r>
    </w:p>
    <w:p>
      <w:pPr>
        <w:adjustRightInd w:val="0"/>
        <w:snapToGrid w:val="0"/>
        <w:spacing w:line="460" w:lineRule="atLeast"/>
        <w:ind w:firstLine="482"/>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四、养护组织设计</w:t>
      </w:r>
    </w:p>
    <w:p>
      <w:pPr>
        <w:adjustRightInd w:val="0"/>
        <w:snapToGrid w:val="0"/>
        <w:spacing w:line="460" w:lineRule="atLeast"/>
        <w:ind w:firstLine="482"/>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7 进度计划</w:t>
      </w:r>
    </w:p>
    <w:p>
      <w:pPr>
        <w:adjustRightInd w:val="0"/>
        <w:snapToGrid w:val="0"/>
        <w:spacing w:line="460" w:lineRule="atLeast"/>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7.1乙方在本合同生效后15天内上报全年养护作业维修计划，并结合季节特点，制定季度、月度养护计划、材料计划送交甲方。甲方在7天内予以确认。</w:t>
      </w:r>
    </w:p>
    <w:p>
      <w:pPr>
        <w:adjustRightInd w:val="0"/>
        <w:snapToGrid w:val="0"/>
        <w:spacing w:line="460" w:lineRule="atLeast"/>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7.2乙方必须按甲方确认的进度计划组织养护作业，接受甲方对进度的检查、监督。养护作业实际进度与经确认的进度计划不一致时，乙方应按甲方的要求提出改进措施，经甲方代表确认后执行。因乙方的原因导致实际进度与计划进度不符，乙方无权就改进措施提出追加合同价款。</w:t>
      </w:r>
    </w:p>
    <w:p>
      <w:pPr>
        <w:adjustRightInd w:val="0"/>
        <w:snapToGrid w:val="0"/>
        <w:spacing w:line="460" w:lineRule="atLeast"/>
        <w:ind w:firstLine="482"/>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五、质量与考核</w:t>
      </w:r>
    </w:p>
    <w:p>
      <w:pPr>
        <w:adjustRightInd w:val="0"/>
        <w:snapToGrid w:val="0"/>
        <w:spacing w:line="460" w:lineRule="atLeast"/>
        <w:ind w:firstLine="482"/>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8 质量标准</w:t>
      </w:r>
    </w:p>
    <w:p>
      <w:pPr>
        <w:adjustRightInd w:val="0"/>
        <w:snapToGrid w:val="0"/>
        <w:spacing w:line="460" w:lineRule="atLeast"/>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养护质量标准参照补充条款约定的质量标准。因乙方原因使养护质量达不到约定的质量标准，乙方承担违约责任。</w:t>
      </w:r>
    </w:p>
    <w:p>
      <w:pPr>
        <w:adjustRightInd w:val="0"/>
        <w:snapToGrid w:val="0"/>
        <w:spacing w:line="460" w:lineRule="atLeast"/>
        <w:ind w:firstLine="482"/>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9 检查和考核</w:t>
      </w:r>
    </w:p>
    <w:p>
      <w:pPr>
        <w:adjustRightInd w:val="0"/>
        <w:snapToGrid w:val="0"/>
        <w:spacing w:line="460" w:lineRule="atLeast"/>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9.1乙方应认真按照补充条款中约定的质量标准进行养护，随时接受甲方的检查和考核，为检查和考核提供便利条件。</w:t>
      </w:r>
    </w:p>
    <w:p>
      <w:pPr>
        <w:adjustRightInd w:val="0"/>
        <w:snapToGrid w:val="0"/>
        <w:spacing w:line="460" w:lineRule="atLeast"/>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9.2对于养护质量或施工工期不符合要求的，甲方先通知限期整改，乙方逾期不整改的或整改效果不符合要求的，由甲方派其他队伍整改，费用在乙方养护费用中扣除。</w:t>
      </w:r>
    </w:p>
    <w:p>
      <w:pPr>
        <w:adjustRightInd w:val="0"/>
        <w:snapToGrid w:val="0"/>
        <w:spacing w:line="460" w:lineRule="atLeast"/>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9.3甲方按照补充条款中约定的考核办法及奖惩措施进行考核。</w:t>
      </w:r>
    </w:p>
    <w:p>
      <w:pPr>
        <w:adjustRightInd w:val="0"/>
        <w:snapToGrid w:val="0"/>
        <w:spacing w:line="460" w:lineRule="atLeast"/>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9.4乙方经考核确实不能承担养护作业的，甲方有权无条件单方终止合同。乙方接甲方通知后24小时内必须无条件清退出场，由此造成的损失由乙方承担，原已完成的工作量按实结算。</w:t>
      </w:r>
    </w:p>
    <w:p>
      <w:pPr>
        <w:adjustRightInd w:val="0"/>
        <w:snapToGrid w:val="0"/>
        <w:spacing w:line="460" w:lineRule="atLeast"/>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9.5甲方结合养护新特点和行业颁布的最新标准，甲方有修改考核标准的权利。</w:t>
      </w:r>
    </w:p>
    <w:p>
      <w:pPr>
        <w:adjustRightInd w:val="0"/>
        <w:snapToGrid w:val="0"/>
        <w:spacing w:line="460" w:lineRule="atLeast"/>
        <w:ind w:firstLine="482"/>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六、安全文明施工</w:t>
      </w:r>
    </w:p>
    <w:p>
      <w:pPr>
        <w:adjustRightInd w:val="0"/>
        <w:snapToGrid w:val="0"/>
        <w:spacing w:line="460" w:lineRule="atLeast"/>
        <w:ind w:firstLine="482"/>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10 安全文明施工与检查</w:t>
      </w:r>
    </w:p>
    <w:p>
      <w:pPr>
        <w:adjustRightInd w:val="0"/>
        <w:snapToGrid w:val="0"/>
        <w:spacing w:line="460" w:lineRule="atLeast"/>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10.1乙方应遵循有关规定及行业规范，严格按照操作规程作业，并随时接受甲方或有关部门的监督检查和社会监督，采取必要的安全防护措施，消除事故隐患。</w:t>
      </w:r>
    </w:p>
    <w:p>
      <w:pPr>
        <w:adjustRightInd w:val="0"/>
        <w:snapToGrid w:val="0"/>
        <w:spacing w:line="460" w:lineRule="atLeast"/>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10.2由于乙方管理不善，引起政府职能部门处罚和限期整改，或安全措施不力造成事故的责任和因此发生的费用，由乙方承担。</w:t>
      </w:r>
    </w:p>
    <w:p>
      <w:pPr>
        <w:adjustRightInd w:val="0"/>
        <w:snapToGrid w:val="0"/>
        <w:spacing w:line="460" w:lineRule="atLeast"/>
        <w:ind w:firstLine="482"/>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11 安全防护</w:t>
      </w:r>
    </w:p>
    <w:p>
      <w:pPr>
        <w:adjustRightInd w:val="0"/>
        <w:snapToGrid w:val="0"/>
        <w:spacing w:line="460" w:lineRule="atLeast"/>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11.1养护作业人员应做好各项安全防范措施，必须着装上岗操作。</w:t>
      </w:r>
    </w:p>
    <w:p>
      <w:pPr>
        <w:adjustRightInd w:val="0"/>
        <w:snapToGrid w:val="0"/>
        <w:spacing w:line="460" w:lineRule="atLeast"/>
        <w:ind w:firstLine="482"/>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12 事故处理</w:t>
      </w:r>
    </w:p>
    <w:p>
      <w:pPr>
        <w:adjustRightInd w:val="0"/>
        <w:snapToGrid w:val="0"/>
        <w:spacing w:line="460" w:lineRule="atLeast"/>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12.1发生重大伤亡及其他安全事故，乙方就有关规定立即上报有关部门并通知甲方代表，同时按政府有关部门要求处理由事故责任方承担发生的费用。</w:t>
      </w:r>
    </w:p>
    <w:p>
      <w:pPr>
        <w:adjustRightInd w:val="0"/>
        <w:snapToGrid w:val="0"/>
        <w:spacing w:line="460" w:lineRule="atLeast"/>
        <w:ind w:firstLine="482"/>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七、合同价款与支付</w:t>
      </w:r>
    </w:p>
    <w:p>
      <w:pPr>
        <w:adjustRightInd w:val="0"/>
        <w:snapToGrid w:val="0"/>
        <w:spacing w:line="460" w:lineRule="atLeast"/>
        <w:ind w:firstLine="480"/>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13 合同价款及调整</w:t>
      </w:r>
    </w:p>
    <w:p>
      <w:pPr>
        <w:adjustRightInd w:val="0"/>
        <w:snapToGrid w:val="0"/>
        <w:spacing w:line="460" w:lineRule="atLeast"/>
        <w:ind w:firstLine="480"/>
        <w:rPr>
          <w:rFonts w:hint="eastAsia" w:ascii="宋体" w:hAnsi="宋体" w:eastAsia="宋体" w:cs="宋体"/>
          <w:color w:val="auto"/>
          <w:sz w:val="24"/>
          <w:highlight w:val="none"/>
        </w:rPr>
      </w:pPr>
      <w:r>
        <w:rPr>
          <w:rFonts w:hint="eastAsia" w:ascii="宋体" w:hAnsi="宋体" w:eastAsia="宋体" w:cs="宋体"/>
          <w:color w:val="auto"/>
          <w:szCs w:val="21"/>
          <w:highlight w:val="none"/>
        </w:rPr>
        <w:t>13.1合同价款由甲、乙双方依据中标通知书中的中标价格在协议书内约定。</w:t>
      </w:r>
    </w:p>
    <w:p>
      <w:pPr>
        <w:adjustRightInd w:val="0"/>
        <w:snapToGrid w:val="0"/>
        <w:spacing w:line="460" w:lineRule="atLeast"/>
        <w:ind w:firstLine="480"/>
        <w:rPr>
          <w:rFonts w:hint="eastAsia" w:ascii="宋体" w:hAnsi="宋体" w:eastAsia="宋体" w:cs="宋体"/>
          <w:b/>
          <w:color w:val="auto"/>
          <w:sz w:val="24"/>
          <w:highlight w:val="none"/>
          <w:u w:val="single"/>
        </w:rPr>
      </w:pPr>
      <w:r>
        <w:rPr>
          <w:rFonts w:hint="eastAsia" w:ascii="宋体" w:hAnsi="宋体" w:eastAsia="宋体" w:cs="宋体"/>
          <w:color w:val="auto"/>
          <w:sz w:val="24"/>
          <w:highlight w:val="none"/>
        </w:rPr>
        <w:t>13.2</w:t>
      </w:r>
      <w:r>
        <w:rPr>
          <w:rFonts w:hint="eastAsia" w:ascii="宋体" w:hAnsi="宋体" w:eastAsia="宋体" w:cs="宋体"/>
          <w:b/>
          <w:bCs/>
          <w:color w:val="auto"/>
          <w:sz w:val="24"/>
          <w:highlight w:val="none"/>
        </w:rPr>
        <w:t>本合同价款采用固定</w:t>
      </w:r>
      <w:r>
        <w:rPr>
          <w:rFonts w:hint="eastAsia" w:ascii="宋体" w:hAnsi="宋体" w:eastAsia="宋体" w:cs="宋体"/>
          <w:b/>
          <w:bCs/>
          <w:color w:val="auto"/>
          <w:sz w:val="24"/>
          <w:highlight w:val="none"/>
          <w:lang w:eastAsia="zh-CN"/>
        </w:rPr>
        <w:t>单</w:t>
      </w:r>
      <w:r>
        <w:rPr>
          <w:rFonts w:hint="eastAsia" w:ascii="宋体" w:hAnsi="宋体" w:eastAsia="宋体" w:cs="宋体"/>
          <w:b/>
          <w:bCs/>
          <w:color w:val="auto"/>
          <w:sz w:val="24"/>
          <w:highlight w:val="none"/>
        </w:rPr>
        <w:t>价合同</w:t>
      </w:r>
      <w:r>
        <w:rPr>
          <w:rFonts w:hint="eastAsia" w:ascii="宋体" w:hAnsi="宋体" w:eastAsia="宋体" w:cs="宋体"/>
          <w:b/>
          <w:color w:val="auto"/>
          <w:sz w:val="24"/>
          <w:highlight w:val="none"/>
        </w:rPr>
        <w:t>。</w:t>
      </w:r>
    </w:p>
    <w:p>
      <w:pPr>
        <w:adjustRightInd w:val="0"/>
        <w:snapToGrid w:val="0"/>
        <w:spacing w:line="460" w:lineRule="atLeast"/>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13.3双方约定合同价款的其他调整因素：</w:t>
      </w:r>
    </w:p>
    <w:p>
      <w:pPr>
        <w:adjustRightInd w:val="0"/>
        <w:snapToGrid w:val="0"/>
        <w:spacing w:line="460" w:lineRule="atLeast"/>
        <w:ind w:firstLine="315" w:firstLineChars="15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(1)合同执行期间如遇政策性调整，以有关管理部门的文件为准。</w:t>
      </w:r>
    </w:p>
    <w:p>
      <w:pPr>
        <w:adjustRightInd w:val="0"/>
        <w:snapToGrid w:val="0"/>
        <w:spacing w:line="460" w:lineRule="atLeast"/>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(2)双方在补充条款中约定的其他调整因素。</w:t>
      </w:r>
    </w:p>
    <w:p>
      <w:pPr>
        <w:adjustRightInd w:val="0"/>
        <w:snapToGrid w:val="0"/>
        <w:spacing w:line="460" w:lineRule="atLeast"/>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(3)合同价款的变更由双方以补充合同形式予以确定。</w:t>
      </w:r>
    </w:p>
    <w:p>
      <w:pPr>
        <w:adjustRightInd w:val="0"/>
        <w:snapToGrid w:val="0"/>
        <w:spacing w:line="460" w:lineRule="atLeast"/>
        <w:ind w:firstLine="482"/>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14 合同价款支付</w:t>
      </w:r>
    </w:p>
    <w:p>
      <w:pPr>
        <w:adjustRightInd w:val="0"/>
        <w:snapToGrid w:val="0"/>
        <w:spacing w:line="460" w:lineRule="atLeast"/>
        <w:ind w:firstLine="48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14.1招标方根据实际考核结果，</w:t>
      </w:r>
      <w:r>
        <w:rPr>
          <w:rFonts w:hint="eastAsia" w:ascii="宋体" w:hAnsi="宋体" w:eastAsia="宋体" w:cs="宋体"/>
          <w:b/>
          <w:color w:val="auto"/>
          <w:szCs w:val="21"/>
          <w:highlight w:val="none"/>
          <w:lang w:eastAsia="zh-CN"/>
        </w:rPr>
        <w:t>每季度先支付当季度实际发生量养护费的</w:t>
      </w:r>
      <w:r>
        <w:rPr>
          <w:rFonts w:hint="eastAsia" w:ascii="宋体" w:hAnsi="宋体" w:cs="宋体"/>
          <w:b/>
          <w:color w:val="auto"/>
          <w:szCs w:val="21"/>
          <w:highlight w:val="none"/>
          <w:lang w:val="en-US" w:eastAsia="zh-CN"/>
        </w:rPr>
        <w:t>7</w:t>
      </w:r>
      <w:r>
        <w:rPr>
          <w:rFonts w:hint="eastAsia" w:ascii="宋体" w:hAnsi="宋体" w:eastAsia="宋体" w:cs="宋体"/>
          <w:b/>
          <w:color w:val="auto"/>
          <w:szCs w:val="21"/>
          <w:highlight w:val="none"/>
          <w:lang w:val="en-US" w:eastAsia="zh-CN"/>
        </w:rPr>
        <w:t>0%，</w:t>
      </w:r>
      <w:r>
        <w:rPr>
          <w:rFonts w:hint="eastAsia" w:ascii="宋体" w:hAnsi="宋体" w:eastAsia="宋体" w:cs="宋体"/>
          <w:b/>
          <w:color w:val="auto"/>
          <w:szCs w:val="21"/>
          <w:highlight w:val="none"/>
        </w:rPr>
        <w:t>扣款后计算应付项目经费，于下一季度第一个月份（从开始履行合同后第二个季度起）</w:t>
      </w:r>
      <w:r>
        <w:rPr>
          <w:rFonts w:hint="eastAsia" w:ascii="宋体" w:hAnsi="宋体" w:eastAsia="宋体" w:cs="宋体"/>
          <w:b/>
          <w:color w:val="auto"/>
          <w:szCs w:val="21"/>
          <w:highlight w:val="none"/>
          <w:lang w:eastAsia="zh-CN"/>
        </w:rPr>
        <w:t>按考核结果</w:t>
      </w:r>
      <w:r>
        <w:rPr>
          <w:rFonts w:hint="eastAsia" w:ascii="宋体" w:hAnsi="宋体" w:eastAsia="宋体" w:cs="宋体"/>
          <w:b/>
          <w:color w:val="auto"/>
          <w:szCs w:val="21"/>
          <w:highlight w:val="none"/>
        </w:rPr>
        <w:t>支付上个季度款项</w:t>
      </w:r>
      <w:r>
        <w:rPr>
          <w:rFonts w:hint="eastAsia" w:ascii="宋体" w:hAnsi="宋体" w:eastAsia="宋体" w:cs="宋体"/>
          <w:b/>
          <w:color w:val="auto"/>
          <w:szCs w:val="21"/>
          <w:highlight w:val="none"/>
          <w:lang w:eastAsia="zh-CN"/>
        </w:rPr>
        <w:t>余款</w:t>
      </w:r>
      <w:r>
        <w:rPr>
          <w:rFonts w:hint="eastAsia" w:ascii="宋体" w:hAnsi="宋体" w:eastAsia="宋体" w:cs="宋体"/>
          <w:b/>
          <w:color w:val="auto"/>
          <w:szCs w:val="21"/>
          <w:highlight w:val="none"/>
        </w:rPr>
        <w:t>；</w:t>
      </w:r>
    </w:p>
    <w:p>
      <w:pPr>
        <w:adjustRightInd w:val="0"/>
        <w:snapToGrid w:val="0"/>
        <w:spacing w:line="460" w:lineRule="atLeast"/>
        <w:ind w:firstLine="48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15履约保证金</w:t>
      </w:r>
    </w:p>
    <w:p>
      <w:pPr>
        <w:adjustRightInd w:val="0"/>
        <w:snapToGrid w:val="0"/>
        <w:spacing w:line="460" w:lineRule="atLeast"/>
        <w:ind w:firstLine="422" w:firstLineChars="200"/>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签订合同时，乙方向甲方提交履约保证金，金额为中标价的</w:t>
      </w:r>
      <w:r>
        <w:rPr>
          <w:rFonts w:hint="eastAsia" w:ascii="宋体" w:hAnsi="宋体" w:eastAsia="宋体" w:cs="宋体"/>
          <w:b/>
          <w:color w:val="auto"/>
          <w:szCs w:val="21"/>
          <w:highlight w:val="none"/>
          <w:lang w:val="en-US" w:eastAsia="zh-CN"/>
        </w:rPr>
        <w:t>2</w:t>
      </w:r>
      <w:r>
        <w:rPr>
          <w:rFonts w:hint="eastAsia" w:ascii="宋体" w:hAnsi="宋体" w:eastAsia="宋体" w:cs="宋体"/>
          <w:b/>
          <w:color w:val="auto"/>
          <w:szCs w:val="21"/>
          <w:highlight w:val="none"/>
        </w:rPr>
        <w:t>%。养护期满后，一次性无息返还。</w:t>
      </w:r>
    </w:p>
    <w:p>
      <w:pPr>
        <w:adjustRightInd w:val="0"/>
        <w:snapToGrid w:val="0"/>
        <w:spacing w:line="460" w:lineRule="atLeast"/>
        <w:ind w:firstLine="482"/>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八、材料设备供应</w:t>
      </w:r>
    </w:p>
    <w:p>
      <w:pPr>
        <w:adjustRightInd w:val="0"/>
        <w:snapToGrid w:val="0"/>
        <w:spacing w:line="460" w:lineRule="atLeast"/>
        <w:ind w:firstLine="482"/>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16材料设备供应</w:t>
      </w:r>
    </w:p>
    <w:p>
      <w:pPr>
        <w:adjustRightInd w:val="0"/>
        <w:snapToGrid w:val="0"/>
        <w:spacing w:line="460" w:lineRule="atLeast"/>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16.1养护维修所需的材料、制品、工具、设备等，原则上均由乙方自行解决，如遇特殊情况，按补充条款约定的方式采购或配备。</w:t>
      </w:r>
    </w:p>
    <w:p>
      <w:pPr>
        <w:adjustRightInd w:val="0"/>
        <w:snapToGrid w:val="0"/>
        <w:spacing w:line="460" w:lineRule="atLeast"/>
        <w:ind w:firstLine="482"/>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九、违约和争议</w:t>
      </w:r>
    </w:p>
    <w:p>
      <w:pPr>
        <w:adjustRightInd w:val="0"/>
        <w:snapToGrid w:val="0"/>
        <w:spacing w:line="460" w:lineRule="atLeast"/>
        <w:ind w:firstLine="482"/>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17 违约</w:t>
      </w:r>
    </w:p>
    <w:p>
      <w:pPr>
        <w:adjustRightInd w:val="0"/>
        <w:snapToGrid w:val="0"/>
        <w:spacing w:line="460" w:lineRule="atLeast"/>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17.1甲方代表不能及时给出很必要指令、确认、批准，不能按合同约定履行自己的各项义务、以及发生其它使合同无法履行的行为，应承担违约责任(包括支付违约导致乙方增加经济支出和从应之日起计算的应支付款项的利息)。</w:t>
      </w:r>
    </w:p>
    <w:p>
      <w:pPr>
        <w:adjustRightInd w:val="0"/>
        <w:snapToGrid w:val="0"/>
        <w:spacing w:line="460" w:lineRule="atLeast"/>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17.2乙方不能达到所承诺的养护、维修质量标准，乙方按协议条款支付违约金，赔偿因违约给甲方造成的损失。</w:t>
      </w:r>
    </w:p>
    <w:p>
      <w:pPr>
        <w:adjustRightInd w:val="0"/>
        <w:snapToGrid w:val="0"/>
        <w:spacing w:line="460" w:lineRule="atLeast"/>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17.3因一方违约使合同不能履行，另一方欲终止或解除全部合同，应提前10天通知违约方后，方可终止或解除合同，由违约方承担违约责任。</w:t>
      </w:r>
    </w:p>
    <w:p>
      <w:pPr>
        <w:adjustRightInd w:val="0"/>
        <w:snapToGrid w:val="0"/>
        <w:spacing w:line="460" w:lineRule="atLeast"/>
        <w:ind w:firstLine="482"/>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18 争议</w:t>
      </w:r>
    </w:p>
    <w:p>
      <w:pPr>
        <w:adjustRightInd w:val="0"/>
        <w:snapToGrid w:val="0"/>
        <w:spacing w:line="460" w:lineRule="atLeast"/>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18.1甲乙双方因合同发生争议，要求调解、仲裁、起诉的，采用以下一种方式解决：</w:t>
      </w:r>
    </w:p>
    <w:p>
      <w:pPr>
        <w:numPr>
          <w:ilvl w:val="0"/>
          <w:numId w:val="9"/>
        </w:numPr>
        <w:adjustRightInd w:val="0"/>
        <w:snapToGrid w:val="0"/>
        <w:spacing w:line="460" w:lineRule="atLeast"/>
        <w:rPr>
          <w:rFonts w:hint="eastAsia" w:ascii="宋体" w:hAnsi="宋体" w:eastAsia="宋体" w:cs="宋体"/>
          <w:color w:val="auto"/>
          <w:szCs w:val="21"/>
          <w:highlight w:val="none"/>
        </w:rPr>
      </w:pPr>
      <w:r>
        <w:rPr>
          <w:rFonts w:hint="eastAsia" w:ascii="宋体" w:hAnsi="宋体" w:eastAsia="宋体" w:cs="宋体"/>
          <w:color w:val="auto"/>
          <w:szCs w:val="21"/>
          <w:highlight w:val="none"/>
        </w:rPr>
        <w:t>甲乙双方协商</w:t>
      </w:r>
    </w:p>
    <w:p>
      <w:pPr>
        <w:numPr>
          <w:ilvl w:val="0"/>
          <w:numId w:val="9"/>
        </w:numPr>
        <w:adjustRightInd w:val="0"/>
        <w:snapToGrid w:val="0"/>
        <w:spacing w:line="460" w:lineRule="atLeast"/>
        <w:rPr>
          <w:rFonts w:hint="eastAsia" w:ascii="宋体" w:hAnsi="宋体" w:eastAsia="宋体" w:cs="宋体"/>
          <w:color w:val="auto"/>
          <w:szCs w:val="21"/>
          <w:highlight w:val="none"/>
        </w:rPr>
      </w:pPr>
      <w:r>
        <w:rPr>
          <w:rFonts w:hint="eastAsia" w:ascii="宋体" w:hAnsi="宋体" w:eastAsia="宋体" w:cs="宋体"/>
          <w:color w:val="auto"/>
          <w:szCs w:val="21"/>
          <w:highlight w:val="none"/>
        </w:rPr>
        <w:t>向有管辖权的经济合同仲裁机关申请仲裁；</w:t>
      </w:r>
    </w:p>
    <w:p>
      <w:pPr>
        <w:numPr>
          <w:ilvl w:val="0"/>
          <w:numId w:val="9"/>
        </w:numPr>
        <w:adjustRightInd w:val="0"/>
        <w:snapToGrid w:val="0"/>
        <w:spacing w:line="460" w:lineRule="atLeast"/>
        <w:rPr>
          <w:rFonts w:hint="eastAsia" w:ascii="宋体" w:hAnsi="宋体" w:eastAsia="宋体" w:cs="宋体"/>
          <w:color w:val="auto"/>
          <w:szCs w:val="21"/>
          <w:highlight w:val="none"/>
        </w:rPr>
      </w:pPr>
      <w:r>
        <w:rPr>
          <w:rFonts w:hint="eastAsia" w:ascii="宋体" w:hAnsi="宋体" w:eastAsia="宋体" w:cs="宋体"/>
          <w:color w:val="auto"/>
          <w:szCs w:val="21"/>
          <w:highlight w:val="none"/>
        </w:rPr>
        <w:t>向有管辖权的人民法院起诉。</w:t>
      </w:r>
    </w:p>
    <w:p>
      <w:pPr>
        <w:adjustRightInd w:val="0"/>
        <w:snapToGrid w:val="0"/>
        <w:spacing w:line="460" w:lineRule="atLeast"/>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18.2发生争议后，除出现以下情况的，双方都应继续履行合同，保持养护连续性：</w:t>
      </w:r>
    </w:p>
    <w:p>
      <w:pPr>
        <w:numPr>
          <w:ilvl w:val="0"/>
          <w:numId w:val="10"/>
        </w:numPr>
        <w:adjustRightInd w:val="0"/>
        <w:snapToGrid w:val="0"/>
        <w:spacing w:line="460" w:lineRule="atLeast"/>
        <w:rPr>
          <w:rFonts w:hint="eastAsia" w:ascii="宋体" w:hAnsi="宋体" w:eastAsia="宋体" w:cs="宋体"/>
          <w:color w:val="auto"/>
          <w:szCs w:val="21"/>
          <w:highlight w:val="none"/>
        </w:rPr>
      </w:pPr>
      <w:r>
        <w:rPr>
          <w:rFonts w:hint="eastAsia" w:ascii="宋体" w:hAnsi="宋体" w:eastAsia="宋体" w:cs="宋体"/>
          <w:color w:val="auto"/>
          <w:szCs w:val="21"/>
          <w:highlight w:val="none"/>
        </w:rPr>
        <w:t>合同确已无法履行；</w:t>
      </w:r>
    </w:p>
    <w:p>
      <w:pPr>
        <w:numPr>
          <w:ilvl w:val="0"/>
          <w:numId w:val="10"/>
        </w:numPr>
        <w:adjustRightInd w:val="0"/>
        <w:snapToGrid w:val="0"/>
        <w:spacing w:line="460" w:lineRule="atLeast"/>
        <w:rPr>
          <w:rFonts w:hint="eastAsia" w:ascii="宋体" w:hAnsi="宋体" w:eastAsia="宋体" w:cs="宋体"/>
          <w:color w:val="auto"/>
          <w:szCs w:val="21"/>
          <w:highlight w:val="none"/>
        </w:rPr>
      </w:pPr>
      <w:r>
        <w:rPr>
          <w:rFonts w:hint="eastAsia" w:ascii="宋体" w:hAnsi="宋体" w:eastAsia="宋体" w:cs="宋体"/>
          <w:color w:val="auto"/>
          <w:szCs w:val="21"/>
          <w:highlight w:val="none"/>
        </w:rPr>
        <w:t>双方协议停止养护作业；</w:t>
      </w:r>
    </w:p>
    <w:p>
      <w:pPr>
        <w:numPr>
          <w:ilvl w:val="0"/>
          <w:numId w:val="10"/>
        </w:numPr>
        <w:adjustRightInd w:val="0"/>
        <w:snapToGrid w:val="0"/>
        <w:spacing w:line="460" w:lineRule="atLeast"/>
        <w:rPr>
          <w:rFonts w:hint="eastAsia" w:ascii="宋体" w:hAnsi="宋体" w:eastAsia="宋体" w:cs="宋体"/>
          <w:color w:val="auto"/>
          <w:szCs w:val="21"/>
          <w:highlight w:val="none"/>
        </w:rPr>
      </w:pPr>
      <w:r>
        <w:rPr>
          <w:rFonts w:hint="eastAsia" w:ascii="宋体" w:hAnsi="宋体" w:eastAsia="宋体" w:cs="宋体"/>
          <w:color w:val="auto"/>
          <w:szCs w:val="21"/>
          <w:highlight w:val="none"/>
        </w:rPr>
        <w:t>仲裁机关要求停止养护作业；</w:t>
      </w:r>
    </w:p>
    <w:p>
      <w:pPr>
        <w:numPr>
          <w:ilvl w:val="0"/>
          <w:numId w:val="10"/>
        </w:numPr>
        <w:adjustRightInd w:val="0"/>
        <w:snapToGrid w:val="0"/>
        <w:spacing w:line="460" w:lineRule="atLeast"/>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法院要求停止养护作业。</w:t>
      </w:r>
    </w:p>
    <w:p>
      <w:pPr>
        <w:adjustRightInd w:val="0"/>
        <w:snapToGrid w:val="0"/>
        <w:spacing w:line="460" w:lineRule="atLeast"/>
        <w:ind w:left="48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十、合同中止</w:t>
      </w:r>
    </w:p>
    <w:p>
      <w:pPr>
        <w:adjustRightInd w:val="0"/>
        <w:snapToGrid w:val="0"/>
        <w:spacing w:line="460" w:lineRule="atLeast"/>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19.1承包范围内的养护管理项目，乙方不得采取任何形式实施分包和转包，凡违反此规定的，甲方将立即取消乙方的承包资格，中止养护承包合同的履行，由此产生的一切法律责任和经济损失由乙方承担；</w:t>
      </w:r>
    </w:p>
    <w:p>
      <w:pPr>
        <w:adjustRightInd w:val="0"/>
        <w:snapToGrid w:val="0"/>
        <w:spacing w:line="460" w:lineRule="atLeast"/>
        <w:ind w:firstLine="480"/>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19.2</w:t>
      </w:r>
      <w:r>
        <w:rPr>
          <w:rFonts w:hint="eastAsia" w:ascii="宋体" w:hAnsi="宋体" w:eastAsia="宋体" w:cs="宋体"/>
          <w:color w:val="auto"/>
          <w:sz w:val="24"/>
          <w:highlight w:val="none"/>
        </w:rPr>
        <w:t xml:space="preserve"> </w:t>
      </w:r>
      <w:r>
        <w:rPr>
          <w:rFonts w:hint="eastAsia" w:ascii="宋体" w:hAnsi="宋体" w:eastAsia="宋体" w:cs="宋体"/>
          <w:b/>
          <w:color w:val="auto"/>
          <w:szCs w:val="21"/>
          <w:highlight w:val="none"/>
        </w:rPr>
        <w:t>本次养护招标期为</w:t>
      </w:r>
      <w:r>
        <w:rPr>
          <w:rFonts w:hint="eastAsia" w:ascii="宋体" w:hAnsi="宋体" w:eastAsia="宋体" w:cs="宋体"/>
          <w:b/>
          <w:color w:val="auto"/>
          <w:szCs w:val="21"/>
          <w:highlight w:val="none"/>
          <w:lang w:eastAsia="zh-CN"/>
        </w:rPr>
        <w:t>自合同签订之日起一年</w:t>
      </w:r>
      <w:r>
        <w:rPr>
          <w:rFonts w:hint="eastAsia" w:ascii="宋体" w:hAnsi="宋体" w:eastAsia="宋体" w:cs="宋体"/>
          <w:b/>
          <w:color w:val="auto"/>
          <w:szCs w:val="21"/>
          <w:highlight w:val="none"/>
        </w:rPr>
        <w:t>。</w:t>
      </w:r>
    </w:p>
    <w:p>
      <w:pPr>
        <w:adjustRightInd w:val="0"/>
        <w:snapToGrid w:val="0"/>
        <w:spacing w:line="460" w:lineRule="atLeast"/>
        <w:ind w:firstLine="48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十一、补充条款</w:t>
      </w:r>
    </w:p>
    <w:p>
      <w:pPr>
        <w:adjustRightInd w:val="0"/>
        <w:snapToGrid w:val="0"/>
        <w:spacing w:line="460" w:lineRule="atLeast"/>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1、本工程涉及到提升改造工程量增减的按实际改造比例进行增减，综合单价不变。</w:t>
      </w:r>
    </w:p>
    <w:p>
      <w:pPr>
        <w:adjustRightInd w:val="0"/>
        <w:snapToGrid w:val="0"/>
        <w:spacing w:line="460" w:lineRule="atLeast"/>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2、对已知的施工场地周围地下管线和临近建筑物、构筑物（含文物保护建筑）、古树名木的保护由承包方负责保护，并承担相应费用，如有发现事先未知的，承包人应及时与发包人联系，费用由发包人承担。</w:t>
      </w:r>
    </w:p>
    <w:p>
      <w:pPr>
        <w:adjustRightInd w:val="0"/>
        <w:snapToGrid w:val="0"/>
        <w:spacing w:line="460" w:lineRule="atLeast"/>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、缩短工期增加费、文明施工费（临时设施围护）、行车干扰因素所产生的费用、规定范围以外的施工便道所增加费用，均由承包人承担。</w:t>
      </w:r>
    </w:p>
    <w:p>
      <w:pPr>
        <w:adjustRightInd w:val="0"/>
        <w:snapToGrid w:val="0"/>
        <w:spacing w:line="460" w:lineRule="atLeast"/>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、若施工过程中遇到与其他项目需交叉施工的，由承包人自行协调处理，费用由承包人承担。</w:t>
      </w:r>
    </w:p>
    <w:p>
      <w:pPr>
        <w:adjustRightInd w:val="0"/>
        <w:snapToGrid w:val="0"/>
        <w:spacing w:line="460" w:lineRule="atLeast"/>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施工期间，应确保施工人员和通行人员的安全，道路施工范围要求作安全隔离处理，现场施工作业人员要求穿带反光安全工作服，设置必要的道路通行疏导指挥人员、必要的通行导示、导向牌等，安排专人清理道路上的抛洒物，相关费用由承包人承担，结算不另增加费用。</w:t>
      </w:r>
    </w:p>
    <w:p>
      <w:pPr>
        <w:adjustRightInd w:val="0"/>
        <w:snapToGrid w:val="0"/>
        <w:spacing w:line="460" w:lineRule="atLeast"/>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养本次招标为市政设施日常巡查养护维修，服务区域分布广，维修地点分散，维修时间不集中、不确定，且施工时要求边施工边通车；特要求投标单位在接到招标人通知后4小时内，即派施工人员到达维修现场进行处理。若无故不及时处理的，处以每次500元的罚款，如因不及时处理造成严重后果的由投标单位承担相应损失。通知的形式可以是电话、短信、书面或当面口头通知。因此施工期间必要的交通安全措施费用由承包人承担，结算不另增加费用。由于承包人措施不力，导致事故频发造成重大影响，引起索赔，赔偿、诉讼费用及工程拖延或施工费用增加时，由承包人承担一切责任和费用。</w:t>
      </w:r>
    </w:p>
    <w:p>
      <w:pPr>
        <w:adjustRightInd w:val="0"/>
        <w:snapToGrid w:val="0"/>
        <w:spacing w:line="460" w:lineRule="atLeast"/>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rPr>
        <w:t>、招标范围内的道路、</w:t>
      </w:r>
      <w:r>
        <w:rPr>
          <w:rFonts w:hint="eastAsia" w:ascii="宋体" w:hAnsi="宋体" w:eastAsia="宋体" w:cs="宋体"/>
          <w:color w:val="auto"/>
          <w:szCs w:val="21"/>
          <w:highlight w:val="none"/>
          <w:lang w:eastAsia="zh-CN"/>
        </w:rPr>
        <w:t>人行道</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树池</w:t>
      </w:r>
      <w:r>
        <w:rPr>
          <w:rFonts w:hint="eastAsia" w:ascii="宋体" w:hAnsi="宋体" w:eastAsia="宋体" w:cs="宋体"/>
          <w:color w:val="auto"/>
          <w:szCs w:val="21"/>
          <w:highlight w:val="none"/>
        </w:rPr>
        <w:t>等全覆盖区域，按时按点做好清洁、保洁巡查等工作。</w:t>
      </w:r>
    </w:p>
    <w:p>
      <w:pPr>
        <w:adjustRightInd w:val="0"/>
        <w:snapToGrid w:val="0"/>
        <w:spacing w:line="460" w:lineRule="atLeast"/>
        <w:ind w:firstLine="48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8、施工区域内道路、砖、侧平石、绿化等修补及现有苗木（含行道树）迁移的工作及费用均由承包人承担。</w:t>
      </w:r>
    </w:p>
    <w:p>
      <w:pPr>
        <w:adjustRightInd w:val="0"/>
        <w:snapToGrid w:val="0"/>
        <w:spacing w:line="460" w:lineRule="atLeast"/>
        <w:ind w:firstLine="48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9、施工过程中要求派专人及时清理，保证、保持进出道路路面及施工场地的整洁；施工结束后注意施工区域的保洁，要满足市、区、镇环保要求，临时便道、建筑垃圾、废弃物等应及时清运，所需费用由承包人承担。</w:t>
      </w:r>
    </w:p>
    <w:p>
      <w:pPr>
        <w:adjustRightInd w:val="0"/>
        <w:snapToGrid w:val="0"/>
        <w:spacing w:line="460" w:lineRule="atLeast"/>
        <w:ind w:firstLine="48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10、发包人不提供多余土方的堆放场地及处理场地，本工程所有弃方均由承包人自行处理，并按规定办理相关行政审批手续，不得随意堆放；堆放位置、运输路线、运距（包含二次搬运）由投标人自行勘察现场后确定，所涉及的相关费用由承包人承担。否则，发包人有权暂停发放工程款，待整改完成后再行发放，同时扣罚合同价款的2%的作为罚金，且一切后果由承包人承担。</w:t>
      </w:r>
    </w:p>
    <w:p>
      <w:pPr>
        <w:adjustRightInd w:val="0"/>
        <w:snapToGrid w:val="0"/>
        <w:spacing w:line="460" w:lineRule="atLeast"/>
        <w:ind w:firstLine="48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11、发包人不提供建筑垃圾的堆放场地及分拣场地，建筑垃圾收运处置按“嘉兴市秀洲区人民政府办公室关于印发《秀洲区建筑垃圾收运处置管理办法实施细则(试行)》的通知”执行，并工程开工前五个工作日施工单位向工程项目所在地综合行政执法局执法分队申请城市建筑垃圾处置备案，备案内容含建筑垃圾数量、种类、处置方式；所涉及的相关费用由承包人承担。否则，发包人有权暂停发放工程款，待整改完成后再行发放，同时扣罚合同价款的2%的作为罚金，且一切后果由承包人承担。</w:t>
      </w:r>
    </w:p>
    <w:p>
      <w:pPr>
        <w:adjustRightInd w:val="0"/>
        <w:snapToGrid w:val="0"/>
        <w:spacing w:line="460" w:lineRule="atLeast"/>
        <w:ind w:firstLine="48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12、施工车辆必须按项目所在地综合行政执法部门的规定办理通行证，缴纳相关保证金，并在规定时间规定线路内通行，相关费用由承包人承担。</w:t>
      </w:r>
    </w:p>
    <w:p>
      <w:pPr>
        <w:adjustRightInd w:val="0"/>
        <w:snapToGrid w:val="0"/>
        <w:spacing w:line="460" w:lineRule="atLeast"/>
        <w:ind w:firstLine="48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13、为保证工程质量，在现场施工时，应采用井周切割机对各类雨污水井进行维修，承包人必须自有或租赁井周切割机设备（中标后提供井周切割机设备发票），该相关费用由承包人承担，结算不另增加费用。</w:t>
      </w:r>
    </w:p>
    <w:p>
      <w:pPr>
        <w:adjustRightInd w:val="0"/>
        <w:snapToGrid w:val="0"/>
        <w:spacing w:line="460" w:lineRule="atLeast"/>
        <w:ind w:firstLine="48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14、施工期间，须在施工区域内设置多处临时围墙、围网等安全维护设施，投标人必须根据招标人安排进行设置，涉及费用由承包人承担，结算不另增加费用。</w:t>
      </w:r>
    </w:p>
    <w:p>
      <w:pPr>
        <w:adjustRightInd w:val="0"/>
        <w:snapToGrid w:val="0"/>
        <w:spacing w:line="460" w:lineRule="atLeast"/>
        <w:ind w:firstLine="48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15、本项目增设公众责任保险，该费用由承包人承担（保险应包含因养护单位巡查不及时、维护不到位等原因引起的交通伤亡事故等所有公众责任），承包人在第一次申报工程款时，必须提供公众责任险发票及 保单 复印件，否则 发包人有权延迟支付第一次工程款直至承包人提供相应发票及保单复印件为止。公众责任保险标准不低于：每次事故赔偿限额人民币130万元，每人每次事故人身伤亡赔偿限额人民币100万元 , 每人每次事故医疗费赔偿限额10万元，每人每次事故财产损失赔偿限额人民币20万元，每次事故绝对免赔额为人民币500万元。。</w:t>
      </w:r>
    </w:p>
    <w:p>
      <w:pPr>
        <w:adjustRightInd w:val="0"/>
        <w:snapToGrid w:val="0"/>
        <w:spacing w:line="460" w:lineRule="atLeast"/>
        <w:ind w:firstLine="48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16、提供施工许可手续办理的必备资料，协助发包人办理施工许可证；确保安全生产，文明施工，派驻现场的主要施工管理人员必须与投标文件相同。</w:t>
      </w:r>
    </w:p>
    <w:p>
      <w:pPr>
        <w:adjustRightInd w:val="0"/>
        <w:snapToGrid w:val="0"/>
        <w:spacing w:line="460" w:lineRule="atLeast"/>
        <w:ind w:firstLine="48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17、施工时如需模板支撑、脚手架搭设必须严格按“嘉兴市住房和城乡建设局关于加强模板支撑体系安全管理和承插型盘扣式钢管脚手架推广应用的通知”中要求执行，相关费用由承包人承担，结算不另增加费用。</w:t>
      </w:r>
    </w:p>
    <w:p>
      <w:pPr>
        <w:adjustRightInd w:val="0"/>
        <w:snapToGrid w:val="0"/>
        <w:spacing w:line="460" w:lineRule="atLeast"/>
        <w:ind w:firstLine="480"/>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18、因本项目实施处于疫情期间，承包人须按疫情期间相关文件实施施工，该相关费用由承包人承担，结算不另增加费用。</w:t>
      </w:r>
    </w:p>
    <w:p>
      <w:pPr>
        <w:adjustRightInd w:val="0"/>
        <w:snapToGrid w:val="0"/>
        <w:spacing w:line="460" w:lineRule="atLeast"/>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19</w:t>
      </w:r>
      <w:r>
        <w:rPr>
          <w:rFonts w:hint="eastAsia" w:ascii="宋体" w:hAnsi="宋体" w:eastAsia="宋体" w:cs="宋体"/>
          <w:color w:val="auto"/>
          <w:szCs w:val="21"/>
          <w:highlight w:val="none"/>
        </w:rPr>
        <w:t>、根据“秀交安办〔2018〕10号”文件要求，本工程实施期间运输车辆不得使用拖拉机，详见“秀交安办〔2018〕10号”文件，本工程实施期间工作人员如需使用电瓶车，必须按要求佩戴头盔。如未按上述要求执行的，造成的所有后果均由中标单位承担，相关费用请各投标单位综合考虑在投标报价内。</w:t>
      </w:r>
    </w:p>
    <w:p>
      <w:pPr>
        <w:adjustRightInd w:val="0"/>
        <w:snapToGrid w:val="0"/>
        <w:spacing w:line="460" w:lineRule="atLeast"/>
        <w:ind w:firstLine="48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十二、其他</w:t>
      </w:r>
    </w:p>
    <w:p>
      <w:pPr>
        <w:adjustRightInd w:val="0"/>
        <w:snapToGrid w:val="0"/>
        <w:spacing w:line="460" w:lineRule="atLeast"/>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21.1在本合同执行过程中如遇和国家政策、地方法规的有关规定不符时，按有关政策法规执行。</w:t>
      </w:r>
    </w:p>
    <w:p>
      <w:pPr>
        <w:adjustRightInd w:val="0"/>
        <w:snapToGrid w:val="0"/>
        <w:spacing w:line="460" w:lineRule="atLeast"/>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21.2如遇自然灾害和不可抗力造成损失的，经双方协商解决。</w:t>
      </w:r>
    </w:p>
    <w:p>
      <w:pPr>
        <w:adjustRightInd w:val="0"/>
        <w:snapToGrid w:val="0"/>
        <w:spacing w:line="460" w:lineRule="atLeast"/>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21.3本合同如有未尽事宜，双方可通过协商补充协议解决。</w:t>
      </w:r>
    </w:p>
    <w:p>
      <w:pPr>
        <w:adjustRightInd w:val="0"/>
        <w:snapToGrid w:val="0"/>
        <w:spacing w:line="460" w:lineRule="atLeast"/>
        <w:ind w:firstLine="482"/>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十三、合同生效与终止</w:t>
      </w:r>
    </w:p>
    <w:p>
      <w:pPr>
        <w:adjustRightInd w:val="0"/>
        <w:snapToGrid w:val="0"/>
        <w:spacing w:line="460" w:lineRule="atLeast"/>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22.1双方在合同协议书中约定合同生效方式。</w:t>
      </w:r>
    </w:p>
    <w:p>
      <w:pPr>
        <w:adjustRightInd w:val="0"/>
        <w:snapToGrid w:val="0"/>
        <w:spacing w:line="460" w:lineRule="atLeast"/>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22.2双方履行合同全部义务，合同付款支付完毕后，本合同即告终止。</w:t>
      </w:r>
    </w:p>
    <w:p>
      <w:pPr>
        <w:adjustRightInd w:val="0"/>
        <w:snapToGrid w:val="0"/>
        <w:spacing w:line="460" w:lineRule="atLeast"/>
        <w:ind w:firstLine="482"/>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十四、合同份数</w:t>
      </w:r>
    </w:p>
    <w:p>
      <w:pPr>
        <w:adjustRightInd w:val="0"/>
        <w:snapToGrid w:val="0"/>
        <w:spacing w:line="460" w:lineRule="atLeast"/>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23.1本合同正本二份，具有同等效力。由甲方、乙方分别保存一份。</w:t>
      </w:r>
    </w:p>
    <w:p>
      <w:pPr>
        <w:ind w:firstLine="420" w:firstLineChars="200"/>
        <w:rPr>
          <w:color w:val="auto"/>
          <w:highlight w:val="none"/>
        </w:rPr>
      </w:pPr>
      <w:r>
        <w:rPr>
          <w:rFonts w:hint="eastAsia" w:ascii="宋体" w:hAnsi="宋体" w:eastAsia="宋体" w:cs="宋体"/>
          <w:color w:val="auto"/>
          <w:szCs w:val="21"/>
          <w:highlight w:val="none"/>
        </w:rPr>
        <w:t>23.2本合同副本六份，由甲乙双方分别保存三份。</w:t>
      </w:r>
    </w:p>
    <w:p>
      <w:pPr>
        <w:pStyle w:val="28"/>
        <w:adjustRightInd w:val="0"/>
        <w:spacing w:before="120" w:after="120" w:line="360" w:lineRule="auto"/>
        <w:rPr>
          <w:rFonts w:asciiTheme="minorEastAsia" w:hAnsiTheme="minorEastAsia" w:eastAsiaTheme="minorEastAsia"/>
          <w:bCs/>
          <w:color w:val="auto"/>
          <w:sz w:val="21"/>
          <w:szCs w:val="21"/>
          <w:highlight w:val="none"/>
        </w:rPr>
      </w:pPr>
    </w:p>
    <w:p>
      <w:pPr>
        <w:pStyle w:val="28"/>
        <w:adjustRightInd w:val="0"/>
        <w:spacing w:before="120" w:after="120" w:line="360" w:lineRule="auto"/>
        <w:rPr>
          <w:rFonts w:asciiTheme="minorEastAsia" w:hAnsiTheme="minorEastAsia" w:eastAsiaTheme="minorEastAsia"/>
          <w:bCs/>
          <w:color w:val="auto"/>
          <w:sz w:val="21"/>
          <w:szCs w:val="21"/>
          <w:highlight w:val="none"/>
        </w:rPr>
        <w:sectPr>
          <w:pgSz w:w="11906" w:h="16838"/>
          <w:pgMar w:top="1440" w:right="1289" w:bottom="1440" w:left="1797" w:header="851" w:footer="851" w:gutter="0"/>
          <w:pgBorders>
            <w:top w:val="none" w:sz="0" w:space="0"/>
            <w:left w:val="none" w:sz="0" w:space="0"/>
            <w:bottom w:val="none" w:sz="0" w:space="0"/>
            <w:right w:val="none" w:sz="0" w:space="0"/>
          </w:pgBorders>
          <w:cols w:space="720" w:num="1"/>
          <w:docGrid w:linePitch="312" w:charSpace="0"/>
        </w:sectPr>
      </w:pPr>
    </w:p>
    <w:p>
      <w:pPr>
        <w:pStyle w:val="28"/>
        <w:adjustRightInd w:val="0"/>
        <w:spacing w:before="120" w:after="120" w:line="360" w:lineRule="auto"/>
        <w:jc w:val="center"/>
        <w:rPr>
          <w:rFonts w:asciiTheme="minorEastAsia" w:hAnsiTheme="minorEastAsia" w:eastAsiaTheme="minorEastAsia"/>
          <w:bCs/>
          <w:color w:val="auto"/>
          <w:sz w:val="21"/>
          <w:szCs w:val="21"/>
          <w:highlight w:val="none"/>
        </w:rPr>
      </w:pPr>
      <w:r>
        <w:rPr>
          <w:rFonts w:hint="eastAsia" w:cs="宋体" w:asciiTheme="minorEastAsia" w:hAnsiTheme="minorEastAsia" w:eastAsiaTheme="minorEastAsia"/>
          <w:b/>
          <w:bCs/>
          <w:color w:val="auto"/>
          <w:kern w:val="0"/>
          <w:sz w:val="21"/>
          <w:szCs w:val="21"/>
          <w:highlight w:val="none"/>
        </w:rPr>
        <w:t>政 府 采 购 项 目 验 收 单</w:t>
      </w:r>
    </w:p>
    <w:p>
      <w:pPr>
        <w:widowControl/>
        <w:spacing w:line="360" w:lineRule="auto"/>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按照《政府采购委托汇总确认书》</w:t>
      </w:r>
      <w:r>
        <w:rPr>
          <w:rFonts w:hint="eastAsia" w:cs="宋体" w:asciiTheme="minorEastAsia" w:hAnsiTheme="minorEastAsia" w:eastAsiaTheme="minorEastAsia"/>
          <w:color w:val="auto"/>
          <w:kern w:val="0"/>
          <w:szCs w:val="21"/>
          <w:highlight w:val="none"/>
          <w:lang w:eastAsia="zh-CN"/>
        </w:rPr>
        <w:t>嘉兴市秀洲区财政局</w:t>
      </w:r>
      <w:r>
        <w:rPr>
          <w:rFonts w:hint="eastAsia" w:cs="宋体" w:asciiTheme="minorEastAsia" w:hAnsiTheme="minorEastAsia" w:eastAsiaTheme="minorEastAsia"/>
          <w:color w:val="auto"/>
          <w:kern w:val="0"/>
          <w:szCs w:val="21"/>
          <w:highlight w:val="none"/>
          <w:u w:val="single"/>
          <w:lang w:eastAsia="zh-CN"/>
        </w:rPr>
        <w:t>临[2022]194号</w:t>
      </w:r>
      <w:r>
        <w:rPr>
          <w:rFonts w:hint="eastAsia" w:cs="宋体" w:asciiTheme="minorEastAsia" w:hAnsiTheme="minorEastAsia" w:eastAsiaTheme="minorEastAsia"/>
          <w:color w:val="auto"/>
          <w:kern w:val="0"/>
          <w:szCs w:val="21"/>
          <w:highlight w:val="none"/>
        </w:rPr>
        <w:t>，采购编号</w:t>
      </w:r>
      <w:r>
        <w:rPr>
          <w:rFonts w:hint="eastAsia" w:cs="宋体" w:asciiTheme="minorEastAsia" w:hAnsiTheme="minorEastAsia" w:eastAsiaTheme="minorEastAsia"/>
          <w:color w:val="auto"/>
          <w:kern w:val="0"/>
          <w:szCs w:val="21"/>
          <w:highlight w:val="none"/>
          <w:lang w:eastAsia="zh-CN"/>
        </w:rPr>
        <w:t>银建-JXYJ-L（2022）15号</w:t>
      </w:r>
      <w:r>
        <w:rPr>
          <w:rFonts w:hint="eastAsia" w:cs="宋体" w:asciiTheme="minorEastAsia" w:hAnsiTheme="minorEastAsia" w:eastAsiaTheme="minorEastAsia"/>
          <w:color w:val="auto"/>
          <w:kern w:val="0"/>
          <w:szCs w:val="21"/>
          <w:highlight w:val="none"/>
        </w:rPr>
        <w:t>,合同号：</w:t>
      </w:r>
      <w:r>
        <w:rPr>
          <w:rFonts w:hint="eastAsia" w:cs="宋体" w:asciiTheme="minorEastAsia" w:hAnsiTheme="minorEastAsia" w:eastAsiaTheme="minorEastAsia"/>
          <w:color w:val="auto"/>
          <w:kern w:val="0"/>
          <w:szCs w:val="21"/>
          <w:highlight w:val="none"/>
          <w:lang w:eastAsia="zh-CN"/>
        </w:rPr>
        <w:t>银建-JXYJ-L（2022）15号</w:t>
      </w:r>
      <w:r>
        <w:rPr>
          <w:rFonts w:hint="eastAsia" w:cs="宋体" w:asciiTheme="minorEastAsia" w:hAnsiTheme="minorEastAsia" w:eastAsiaTheme="minorEastAsia"/>
          <w:color w:val="auto"/>
          <w:kern w:val="0"/>
          <w:szCs w:val="21"/>
          <w:highlight w:val="none"/>
        </w:rPr>
        <w:t>以下项目已采购到位并验收合格。</w:t>
      </w:r>
    </w:p>
    <w:tbl>
      <w:tblPr>
        <w:tblStyle w:val="49"/>
        <w:tblW w:w="14080" w:type="dxa"/>
        <w:tblInd w:w="93" w:type="dxa"/>
        <w:tblLayout w:type="fixed"/>
        <w:tblCellMar>
          <w:top w:w="0" w:type="dxa"/>
          <w:left w:w="108" w:type="dxa"/>
          <w:bottom w:w="0" w:type="dxa"/>
          <w:right w:w="108" w:type="dxa"/>
        </w:tblCellMar>
      </w:tblPr>
      <w:tblGrid>
        <w:gridCol w:w="4620"/>
        <w:gridCol w:w="4840"/>
        <w:gridCol w:w="1280"/>
        <w:gridCol w:w="1600"/>
        <w:gridCol w:w="1740"/>
      </w:tblGrid>
      <w:tr>
        <w:tblPrEx>
          <w:tblCellMar>
            <w:top w:w="0" w:type="dxa"/>
            <w:left w:w="108" w:type="dxa"/>
            <w:bottom w:w="0" w:type="dxa"/>
            <w:right w:w="108" w:type="dxa"/>
          </w:tblCellMar>
        </w:tblPrEx>
        <w:trPr>
          <w:trHeight w:val="870" w:hRule="atLeast"/>
        </w:trPr>
        <w:tc>
          <w:tcPr>
            <w:tcW w:w="4620" w:type="dxa"/>
            <w:tcBorders>
              <w:top w:val="single" w:color="auto" w:sz="4" w:space="0"/>
              <w:left w:val="single" w:color="auto" w:sz="4" w:space="0"/>
              <w:bottom w:val="nil"/>
              <w:right w:val="single" w:color="auto" w:sz="4" w:space="0"/>
            </w:tcBorders>
            <w:vAlign w:val="center"/>
          </w:tcPr>
          <w:p>
            <w:pPr>
              <w:widowControl/>
              <w:spacing w:line="360" w:lineRule="auto"/>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采购货物（服务，工程）名称</w:t>
            </w:r>
          </w:p>
        </w:tc>
        <w:tc>
          <w:tcPr>
            <w:tcW w:w="4840" w:type="dxa"/>
            <w:tcBorders>
              <w:top w:val="single" w:color="auto" w:sz="4" w:space="0"/>
              <w:left w:val="nil"/>
              <w:bottom w:val="nil"/>
              <w:right w:val="single" w:color="auto" w:sz="4" w:space="0"/>
            </w:tcBorders>
            <w:vAlign w:val="center"/>
          </w:tcPr>
          <w:p>
            <w:pPr>
              <w:widowControl/>
              <w:spacing w:line="360" w:lineRule="auto"/>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规格、型号</w:t>
            </w:r>
          </w:p>
        </w:tc>
        <w:tc>
          <w:tcPr>
            <w:tcW w:w="1280" w:type="dxa"/>
            <w:tcBorders>
              <w:top w:val="single" w:color="auto" w:sz="4" w:space="0"/>
              <w:left w:val="nil"/>
              <w:bottom w:val="nil"/>
              <w:right w:val="single" w:color="auto" w:sz="4" w:space="0"/>
            </w:tcBorders>
            <w:vAlign w:val="center"/>
          </w:tcPr>
          <w:p>
            <w:pPr>
              <w:widowControl/>
              <w:spacing w:line="360" w:lineRule="auto"/>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数量</w:t>
            </w:r>
          </w:p>
        </w:tc>
        <w:tc>
          <w:tcPr>
            <w:tcW w:w="1600" w:type="dxa"/>
            <w:tcBorders>
              <w:top w:val="single" w:color="auto" w:sz="4" w:space="0"/>
              <w:left w:val="nil"/>
              <w:bottom w:val="nil"/>
              <w:right w:val="single" w:color="auto" w:sz="4" w:space="0"/>
            </w:tcBorders>
            <w:vAlign w:val="center"/>
          </w:tcPr>
          <w:p>
            <w:pPr>
              <w:widowControl/>
              <w:spacing w:line="360" w:lineRule="auto"/>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核定总价</w:t>
            </w:r>
          </w:p>
        </w:tc>
        <w:tc>
          <w:tcPr>
            <w:tcW w:w="174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采购人</w:t>
            </w:r>
          </w:p>
          <w:p>
            <w:pPr>
              <w:widowControl/>
              <w:spacing w:line="360" w:lineRule="auto"/>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验收意见</w:t>
            </w:r>
          </w:p>
        </w:tc>
      </w:tr>
      <w:tr>
        <w:tblPrEx>
          <w:tblCellMar>
            <w:top w:w="0" w:type="dxa"/>
            <w:left w:w="108" w:type="dxa"/>
            <w:bottom w:w="0" w:type="dxa"/>
            <w:right w:w="108" w:type="dxa"/>
          </w:tblCellMar>
        </w:tblPrEx>
        <w:trPr>
          <w:trHeight w:val="746" w:hRule="atLeast"/>
        </w:trPr>
        <w:tc>
          <w:tcPr>
            <w:tcW w:w="462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　</w:t>
            </w:r>
          </w:p>
        </w:tc>
        <w:tc>
          <w:tcPr>
            <w:tcW w:w="484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　</w:t>
            </w:r>
          </w:p>
        </w:tc>
        <w:tc>
          <w:tcPr>
            <w:tcW w:w="128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　</w:t>
            </w:r>
          </w:p>
        </w:tc>
        <w:tc>
          <w:tcPr>
            <w:tcW w:w="16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　</w:t>
            </w:r>
          </w:p>
        </w:tc>
        <w:tc>
          <w:tcPr>
            <w:tcW w:w="1740" w:type="dxa"/>
            <w:tcBorders>
              <w:top w:val="nil"/>
              <w:left w:val="nil"/>
              <w:bottom w:val="single" w:color="auto" w:sz="4" w:space="0"/>
              <w:right w:val="single" w:color="auto" w:sz="4" w:space="0"/>
            </w:tcBorders>
            <w:vAlign w:val="bottom"/>
          </w:tcPr>
          <w:p>
            <w:pPr>
              <w:widowControl/>
              <w:spacing w:line="360" w:lineRule="auto"/>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　</w:t>
            </w:r>
          </w:p>
        </w:tc>
      </w:tr>
      <w:tr>
        <w:tblPrEx>
          <w:tblCellMar>
            <w:top w:w="0" w:type="dxa"/>
            <w:left w:w="108" w:type="dxa"/>
            <w:bottom w:w="0" w:type="dxa"/>
            <w:right w:w="108" w:type="dxa"/>
          </w:tblCellMar>
        </w:tblPrEx>
        <w:trPr>
          <w:trHeight w:val="750" w:hRule="atLeast"/>
        </w:trPr>
        <w:tc>
          <w:tcPr>
            <w:tcW w:w="462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合计总价款（人民币）</w:t>
            </w:r>
          </w:p>
        </w:tc>
        <w:tc>
          <w:tcPr>
            <w:tcW w:w="9460" w:type="dxa"/>
            <w:gridSpan w:val="4"/>
            <w:tcBorders>
              <w:top w:val="nil"/>
              <w:left w:val="nil"/>
              <w:bottom w:val="single" w:color="auto" w:sz="4" w:space="0"/>
              <w:right w:val="single" w:color="000000" w:sz="4" w:space="0"/>
            </w:tcBorders>
            <w:vAlign w:val="center"/>
          </w:tcPr>
          <w:p>
            <w:pPr>
              <w:widowControl/>
              <w:spacing w:line="360" w:lineRule="auto"/>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 xml:space="preserve">人民币元整。       ￥: </w:t>
            </w:r>
          </w:p>
        </w:tc>
      </w:tr>
      <w:tr>
        <w:tblPrEx>
          <w:tblCellMar>
            <w:top w:w="0" w:type="dxa"/>
            <w:left w:w="108" w:type="dxa"/>
            <w:bottom w:w="0" w:type="dxa"/>
            <w:right w:w="108" w:type="dxa"/>
          </w:tblCellMar>
        </w:tblPrEx>
        <w:trPr>
          <w:trHeight w:val="690" w:hRule="atLeast"/>
        </w:trPr>
        <w:tc>
          <w:tcPr>
            <w:tcW w:w="4620" w:type="dxa"/>
            <w:tcBorders>
              <w:top w:val="nil"/>
              <w:left w:val="single" w:color="auto" w:sz="4" w:space="0"/>
              <w:bottom w:val="nil"/>
              <w:right w:val="nil"/>
            </w:tcBorders>
            <w:vAlign w:val="bottom"/>
          </w:tcPr>
          <w:p>
            <w:pPr>
              <w:widowControl/>
              <w:spacing w:line="360" w:lineRule="auto"/>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 xml:space="preserve">供货单位（盖章）：                     </w:t>
            </w:r>
          </w:p>
        </w:tc>
        <w:tc>
          <w:tcPr>
            <w:tcW w:w="4840" w:type="dxa"/>
            <w:tcBorders>
              <w:top w:val="nil"/>
              <w:left w:val="nil"/>
              <w:bottom w:val="nil"/>
              <w:right w:val="nil"/>
            </w:tcBorders>
            <w:vAlign w:val="center"/>
          </w:tcPr>
          <w:p>
            <w:pPr>
              <w:widowControl/>
              <w:spacing w:line="360" w:lineRule="auto"/>
              <w:jc w:val="righ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采购人（盖章）:</w:t>
            </w:r>
          </w:p>
        </w:tc>
        <w:tc>
          <w:tcPr>
            <w:tcW w:w="2880" w:type="dxa"/>
            <w:gridSpan w:val="2"/>
            <w:tcBorders>
              <w:top w:val="nil"/>
              <w:left w:val="nil"/>
              <w:bottom w:val="nil"/>
              <w:right w:val="nil"/>
            </w:tcBorders>
            <w:vAlign w:val="bottom"/>
          </w:tcPr>
          <w:p>
            <w:pPr>
              <w:widowControl/>
              <w:spacing w:line="360" w:lineRule="auto"/>
              <w:jc w:val="left"/>
              <w:rPr>
                <w:rFonts w:cs="宋体" w:asciiTheme="minorEastAsia" w:hAnsiTheme="minorEastAsia" w:eastAsiaTheme="minorEastAsia"/>
                <w:color w:val="auto"/>
                <w:kern w:val="0"/>
                <w:szCs w:val="21"/>
                <w:highlight w:val="none"/>
              </w:rPr>
            </w:pPr>
          </w:p>
        </w:tc>
        <w:tc>
          <w:tcPr>
            <w:tcW w:w="1740" w:type="dxa"/>
            <w:tcBorders>
              <w:top w:val="nil"/>
              <w:left w:val="nil"/>
              <w:bottom w:val="nil"/>
              <w:right w:val="single" w:color="auto" w:sz="4" w:space="0"/>
            </w:tcBorders>
            <w:vAlign w:val="bottom"/>
          </w:tcPr>
          <w:p>
            <w:pPr>
              <w:widowControl/>
              <w:spacing w:line="360" w:lineRule="auto"/>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　</w:t>
            </w:r>
          </w:p>
        </w:tc>
      </w:tr>
      <w:tr>
        <w:tblPrEx>
          <w:tblCellMar>
            <w:top w:w="0" w:type="dxa"/>
            <w:left w:w="108" w:type="dxa"/>
            <w:bottom w:w="0" w:type="dxa"/>
            <w:right w:w="108" w:type="dxa"/>
          </w:tblCellMar>
        </w:tblPrEx>
        <w:trPr>
          <w:trHeight w:val="525" w:hRule="atLeast"/>
        </w:trPr>
        <w:tc>
          <w:tcPr>
            <w:tcW w:w="4620" w:type="dxa"/>
            <w:tcBorders>
              <w:top w:val="nil"/>
              <w:left w:val="single" w:color="auto" w:sz="4" w:space="0"/>
              <w:bottom w:val="nil"/>
              <w:right w:val="nil"/>
            </w:tcBorders>
            <w:vAlign w:val="bottom"/>
          </w:tcPr>
          <w:p>
            <w:pPr>
              <w:widowControl/>
              <w:spacing w:line="360" w:lineRule="auto"/>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经办项目负责人：</w:t>
            </w:r>
          </w:p>
        </w:tc>
        <w:tc>
          <w:tcPr>
            <w:tcW w:w="4840" w:type="dxa"/>
            <w:tcBorders>
              <w:top w:val="nil"/>
              <w:left w:val="nil"/>
              <w:bottom w:val="nil"/>
              <w:right w:val="nil"/>
            </w:tcBorders>
            <w:vAlign w:val="center"/>
          </w:tcPr>
          <w:p>
            <w:pPr>
              <w:widowControl/>
              <w:spacing w:line="360" w:lineRule="auto"/>
              <w:jc w:val="righ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项目验收组组长：</w:t>
            </w:r>
          </w:p>
        </w:tc>
        <w:tc>
          <w:tcPr>
            <w:tcW w:w="2880" w:type="dxa"/>
            <w:gridSpan w:val="2"/>
            <w:tcBorders>
              <w:top w:val="nil"/>
              <w:left w:val="nil"/>
              <w:bottom w:val="nil"/>
              <w:right w:val="nil"/>
            </w:tcBorders>
            <w:vAlign w:val="bottom"/>
          </w:tcPr>
          <w:p>
            <w:pPr>
              <w:widowControl/>
              <w:spacing w:line="360" w:lineRule="auto"/>
              <w:jc w:val="left"/>
              <w:rPr>
                <w:rFonts w:cs="宋体" w:asciiTheme="minorEastAsia" w:hAnsiTheme="minorEastAsia" w:eastAsiaTheme="minorEastAsia"/>
                <w:color w:val="auto"/>
                <w:kern w:val="0"/>
                <w:szCs w:val="21"/>
                <w:highlight w:val="none"/>
              </w:rPr>
            </w:pPr>
          </w:p>
        </w:tc>
        <w:tc>
          <w:tcPr>
            <w:tcW w:w="1740" w:type="dxa"/>
            <w:tcBorders>
              <w:top w:val="nil"/>
              <w:left w:val="nil"/>
              <w:bottom w:val="nil"/>
              <w:right w:val="single" w:color="auto" w:sz="4" w:space="0"/>
            </w:tcBorders>
            <w:vAlign w:val="bottom"/>
          </w:tcPr>
          <w:p>
            <w:pPr>
              <w:widowControl/>
              <w:spacing w:line="360" w:lineRule="auto"/>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　</w:t>
            </w:r>
          </w:p>
        </w:tc>
      </w:tr>
      <w:tr>
        <w:tblPrEx>
          <w:tblCellMar>
            <w:top w:w="0" w:type="dxa"/>
            <w:left w:w="108" w:type="dxa"/>
            <w:bottom w:w="0" w:type="dxa"/>
            <w:right w:w="108" w:type="dxa"/>
          </w:tblCellMar>
        </w:tblPrEx>
        <w:trPr>
          <w:trHeight w:val="525" w:hRule="atLeast"/>
        </w:trPr>
        <w:tc>
          <w:tcPr>
            <w:tcW w:w="4620" w:type="dxa"/>
            <w:tcBorders>
              <w:top w:val="nil"/>
              <w:left w:val="single" w:color="auto" w:sz="4" w:space="0"/>
              <w:bottom w:val="nil"/>
              <w:right w:val="nil"/>
            </w:tcBorders>
            <w:vAlign w:val="bottom"/>
          </w:tcPr>
          <w:p>
            <w:pPr>
              <w:widowControl/>
              <w:spacing w:line="360" w:lineRule="auto"/>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联系电话：</w:t>
            </w:r>
          </w:p>
        </w:tc>
        <w:tc>
          <w:tcPr>
            <w:tcW w:w="4840" w:type="dxa"/>
            <w:tcBorders>
              <w:top w:val="nil"/>
              <w:left w:val="nil"/>
              <w:bottom w:val="nil"/>
              <w:right w:val="nil"/>
            </w:tcBorders>
            <w:vAlign w:val="center"/>
          </w:tcPr>
          <w:p>
            <w:pPr>
              <w:widowControl/>
              <w:spacing w:line="360" w:lineRule="auto"/>
              <w:jc w:val="righ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联系电话：</w:t>
            </w:r>
          </w:p>
        </w:tc>
        <w:tc>
          <w:tcPr>
            <w:tcW w:w="1280" w:type="dxa"/>
            <w:tcBorders>
              <w:top w:val="nil"/>
              <w:left w:val="nil"/>
              <w:bottom w:val="nil"/>
              <w:right w:val="nil"/>
            </w:tcBorders>
            <w:vAlign w:val="bottom"/>
          </w:tcPr>
          <w:p>
            <w:pPr>
              <w:widowControl/>
              <w:spacing w:line="360" w:lineRule="auto"/>
              <w:jc w:val="left"/>
              <w:rPr>
                <w:rFonts w:cs="宋体" w:asciiTheme="minorEastAsia" w:hAnsiTheme="minorEastAsia" w:eastAsiaTheme="minorEastAsia"/>
                <w:color w:val="auto"/>
                <w:kern w:val="0"/>
                <w:szCs w:val="21"/>
                <w:highlight w:val="none"/>
              </w:rPr>
            </w:pPr>
          </w:p>
        </w:tc>
        <w:tc>
          <w:tcPr>
            <w:tcW w:w="1600" w:type="dxa"/>
            <w:tcBorders>
              <w:top w:val="nil"/>
              <w:left w:val="nil"/>
              <w:bottom w:val="nil"/>
              <w:right w:val="nil"/>
            </w:tcBorders>
            <w:vAlign w:val="bottom"/>
          </w:tcPr>
          <w:p>
            <w:pPr>
              <w:widowControl/>
              <w:spacing w:line="360" w:lineRule="auto"/>
              <w:jc w:val="left"/>
              <w:rPr>
                <w:rFonts w:cs="宋体" w:asciiTheme="minorEastAsia" w:hAnsiTheme="minorEastAsia" w:eastAsiaTheme="minorEastAsia"/>
                <w:color w:val="auto"/>
                <w:kern w:val="0"/>
                <w:szCs w:val="21"/>
                <w:highlight w:val="none"/>
              </w:rPr>
            </w:pPr>
          </w:p>
        </w:tc>
        <w:tc>
          <w:tcPr>
            <w:tcW w:w="1740" w:type="dxa"/>
            <w:tcBorders>
              <w:top w:val="nil"/>
              <w:left w:val="nil"/>
              <w:bottom w:val="nil"/>
              <w:right w:val="single" w:color="auto" w:sz="4" w:space="0"/>
            </w:tcBorders>
            <w:vAlign w:val="bottom"/>
          </w:tcPr>
          <w:p>
            <w:pPr>
              <w:widowControl/>
              <w:spacing w:line="360" w:lineRule="auto"/>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　</w:t>
            </w:r>
          </w:p>
        </w:tc>
      </w:tr>
      <w:tr>
        <w:tblPrEx>
          <w:tblCellMar>
            <w:top w:w="0" w:type="dxa"/>
            <w:left w:w="108" w:type="dxa"/>
            <w:bottom w:w="0" w:type="dxa"/>
            <w:right w:w="108" w:type="dxa"/>
          </w:tblCellMar>
        </w:tblPrEx>
        <w:trPr>
          <w:trHeight w:val="540" w:hRule="atLeast"/>
        </w:trPr>
        <w:tc>
          <w:tcPr>
            <w:tcW w:w="4620" w:type="dxa"/>
            <w:tcBorders>
              <w:top w:val="nil"/>
              <w:left w:val="single" w:color="auto" w:sz="4" w:space="0"/>
              <w:bottom w:val="nil"/>
              <w:right w:val="nil"/>
            </w:tcBorders>
            <w:vAlign w:val="bottom"/>
          </w:tcPr>
          <w:p>
            <w:pPr>
              <w:widowControl/>
              <w:spacing w:line="360" w:lineRule="auto"/>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开户银行：</w:t>
            </w:r>
          </w:p>
        </w:tc>
        <w:tc>
          <w:tcPr>
            <w:tcW w:w="4840" w:type="dxa"/>
            <w:tcBorders>
              <w:top w:val="nil"/>
              <w:left w:val="nil"/>
              <w:bottom w:val="nil"/>
              <w:right w:val="nil"/>
            </w:tcBorders>
            <w:vAlign w:val="center"/>
          </w:tcPr>
          <w:p>
            <w:pPr>
              <w:widowControl/>
              <w:spacing w:line="360" w:lineRule="auto"/>
              <w:jc w:val="righ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项目验收组成员（签名）：</w:t>
            </w:r>
          </w:p>
        </w:tc>
        <w:tc>
          <w:tcPr>
            <w:tcW w:w="1280" w:type="dxa"/>
            <w:tcBorders>
              <w:top w:val="nil"/>
              <w:left w:val="nil"/>
              <w:bottom w:val="nil"/>
              <w:right w:val="nil"/>
            </w:tcBorders>
            <w:vAlign w:val="bottom"/>
          </w:tcPr>
          <w:p>
            <w:pPr>
              <w:widowControl/>
              <w:spacing w:line="360" w:lineRule="auto"/>
              <w:jc w:val="left"/>
              <w:rPr>
                <w:rFonts w:cs="宋体" w:asciiTheme="minorEastAsia" w:hAnsiTheme="minorEastAsia" w:eastAsiaTheme="minorEastAsia"/>
                <w:color w:val="auto"/>
                <w:kern w:val="0"/>
                <w:szCs w:val="21"/>
                <w:highlight w:val="none"/>
              </w:rPr>
            </w:pPr>
          </w:p>
        </w:tc>
        <w:tc>
          <w:tcPr>
            <w:tcW w:w="1600" w:type="dxa"/>
            <w:tcBorders>
              <w:top w:val="nil"/>
              <w:left w:val="nil"/>
              <w:bottom w:val="nil"/>
              <w:right w:val="nil"/>
            </w:tcBorders>
            <w:vAlign w:val="bottom"/>
          </w:tcPr>
          <w:p>
            <w:pPr>
              <w:widowControl/>
              <w:spacing w:line="360" w:lineRule="auto"/>
              <w:jc w:val="left"/>
              <w:rPr>
                <w:rFonts w:cs="宋体" w:asciiTheme="minorEastAsia" w:hAnsiTheme="minorEastAsia" w:eastAsiaTheme="minorEastAsia"/>
                <w:color w:val="auto"/>
                <w:kern w:val="0"/>
                <w:szCs w:val="21"/>
                <w:highlight w:val="none"/>
              </w:rPr>
            </w:pPr>
          </w:p>
        </w:tc>
        <w:tc>
          <w:tcPr>
            <w:tcW w:w="1740" w:type="dxa"/>
            <w:tcBorders>
              <w:top w:val="nil"/>
              <w:left w:val="nil"/>
              <w:bottom w:val="nil"/>
              <w:right w:val="single" w:color="auto" w:sz="4" w:space="0"/>
            </w:tcBorders>
            <w:vAlign w:val="bottom"/>
          </w:tcPr>
          <w:p>
            <w:pPr>
              <w:widowControl/>
              <w:spacing w:line="360" w:lineRule="auto"/>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　</w:t>
            </w:r>
          </w:p>
        </w:tc>
      </w:tr>
      <w:tr>
        <w:tblPrEx>
          <w:tblCellMar>
            <w:top w:w="0" w:type="dxa"/>
            <w:left w:w="108" w:type="dxa"/>
            <w:bottom w:w="0" w:type="dxa"/>
            <w:right w:w="108" w:type="dxa"/>
          </w:tblCellMar>
        </w:tblPrEx>
        <w:trPr>
          <w:trHeight w:val="675" w:hRule="atLeast"/>
        </w:trPr>
        <w:tc>
          <w:tcPr>
            <w:tcW w:w="4620" w:type="dxa"/>
            <w:tcBorders>
              <w:top w:val="nil"/>
              <w:left w:val="single" w:color="auto" w:sz="4" w:space="0"/>
              <w:bottom w:val="single" w:color="auto" w:sz="4" w:space="0"/>
              <w:right w:val="nil"/>
            </w:tcBorders>
            <w:vAlign w:val="center"/>
          </w:tcPr>
          <w:p>
            <w:pPr>
              <w:widowControl/>
              <w:spacing w:line="360" w:lineRule="auto"/>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银行帐号：</w:t>
            </w:r>
          </w:p>
        </w:tc>
        <w:tc>
          <w:tcPr>
            <w:tcW w:w="4840" w:type="dxa"/>
            <w:tcBorders>
              <w:top w:val="nil"/>
              <w:left w:val="nil"/>
              <w:bottom w:val="single" w:color="auto" w:sz="4" w:space="0"/>
              <w:right w:val="nil"/>
            </w:tcBorders>
            <w:vAlign w:val="bottom"/>
          </w:tcPr>
          <w:p>
            <w:pPr>
              <w:widowControl/>
              <w:spacing w:line="360" w:lineRule="auto"/>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　</w:t>
            </w:r>
          </w:p>
        </w:tc>
        <w:tc>
          <w:tcPr>
            <w:tcW w:w="4620" w:type="dxa"/>
            <w:gridSpan w:val="3"/>
            <w:tcBorders>
              <w:top w:val="nil"/>
              <w:left w:val="nil"/>
              <w:bottom w:val="single" w:color="auto" w:sz="4" w:space="0"/>
              <w:right w:val="single" w:color="000000" w:sz="4" w:space="0"/>
            </w:tcBorders>
            <w:vAlign w:val="center"/>
          </w:tcPr>
          <w:p>
            <w:pPr>
              <w:widowControl/>
              <w:spacing w:line="360" w:lineRule="auto"/>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验收时间：       年     月     日</w:t>
            </w:r>
          </w:p>
        </w:tc>
      </w:tr>
      <w:tr>
        <w:tblPrEx>
          <w:tblCellMar>
            <w:top w:w="0" w:type="dxa"/>
            <w:left w:w="108" w:type="dxa"/>
            <w:bottom w:w="0" w:type="dxa"/>
            <w:right w:w="108" w:type="dxa"/>
          </w:tblCellMar>
        </w:tblPrEx>
        <w:trPr>
          <w:trHeight w:val="345" w:hRule="atLeast"/>
        </w:trPr>
        <w:tc>
          <w:tcPr>
            <w:tcW w:w="14080" w:type="dxa"/>
            <w:gridSpan w:val="5"/>
            <w:tcBorders>
              <w:top w:val="single" w:color="auto" w:sz="4" w:space="0"/>
              <w:left w:val="nil"/>
              <w:bottom w:val="nil"/>
              <w:right w:val="nil"/>
            </w:tcBorders>
            <w:vAlign w:val="center"/>
          </w:tcPr>
          <w:p>
            <w:pPr>
              <w:widowControl/>
              <w:spacing w:line="360" w:lineRule="auto"/>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本单一式四联：第一联采购人留存，第二联作为财政支付凭证，第三联供货单位留存，第四联采购办存档备查。</w:t>
            </w:r>
          </w:p>
        </w:tc>
      </w:tr>
    </w:tbl>
    <w:p>
      <w:pPr>
        <w:pStyle w:val="28"/>
        <w:adjustRightInd w:val="0"/>
        <w:spacing w:before="120" w:after="120" w:line="360" w:lineRule="auto"/>
        <w:rPr>
          <w:rFonts w:asciiTheme="minorEastAsia" w:hAnsiTheme="minorEastAsia" w:eastAsiaTheme="minorEastAsia"/>
          <w:bCs/>
          <w:color w:val="auto"/>
          <w:sz w:val="21"/>
          <w:szCs w:val="21"/>
          <w:highlight w:val="none"/>
        </w:rPr>
        <w:sectPr>
          <w:pgSz w:w="16838" w:h="11906" w:orient="landscape"/>
          <w:pgMar w:top="1797" w:right="1440" w:bottom="1797" w:left="1440" w:header="851" w:footer="851" w:gutter="0"/>
          <w:pgBorders>
            <w:top w:val="none" w:sz="0" w:space="0"/>
            <w:left w:val="none" w:sz="0" w:space="0"/>
            <w:bottom w:val="none" w:sz="0" w:space="0"/>
            <w:right w:val="none" w:sz="0" w:space="0"/>
          </w:pgBorders>
          <w:cols w:space="720" w:num="1"/>
          <w:docGrid w:linePitch="312" w:charSpace="0"/>
        </w:sectPr>
      </w:pPr>
    </w:p>
    <w:p>
      <w:pPr>
        <w:snapToGrid w:val="0"/>
        <w:spacing w:beforeLines="50" w:afterLines="50" w:line="360" w:lineRule="auto"/>
        <w:ind w:left="238"/>
        <w:jc w:val="center"/>
        <w:outlineLvl w:val="1"/>
        <w:rPr>
          <w:rFonts w:asciiTheme="minorEastAsia" w:hAnsiTheme="minorEastAsia" w:eastAsiaTheme="minorEastAsia"/>
          <w:b/>
          <w:color w:val="auto"/>
          <w:sz w:val="30"/>
          <w:szCs w:val="30"/>
          <w:highlight w:val="none"/>
        </w:rPr>
      </w:pPr>
      <w:r>
        <w:rPr>
          <w:rFonts w:hint="eastAsia" w:asciiTheme="minorEastAsia" w:hAnsiTheme="minorEastAsia" w:eastAsiaTheme="minorEastAsia"/>
          <w:b/>
          <w:color w:val="auto"/>
          <w:sz w:val="30"/>
          <w:szCs w:val="30"/>
          <w:highlight w:val="none"/>
        </w:rPr>
        <w:t>第六章  投标文件格式</w:t>
      </w:r>
    </w:p>
    <w:p>
      <w:pPr>
        <w:snapToGrid w:val="0"/>
        <w:spacing w:line="360" w:lineRule="auto"/>
        <w:jc w:val="center"/>
        <w:outlineLvl w:val="1"/>
        <w:rPr>
          <w:rFonts w:asciiTheme="minorEastAsia" w:hAnsiTheme="minorEastAsia" w:eastAsiaTheme="minorEastAsia"/>
          <w:b/>
          <w:bCs/>
          <w:color w:val="auto"/>
          <w:szCs w:val="21"/>
          <w:highlight w:val="none"/>
        </w:rPr>
      </w:pPr>
    </w:p>
    <w:p>
      <w:pPr>
        <w:snapToGrid w:val="0"/>
        <w:spacing w:line="360" w:lineRule="auto"/>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1.投标文件封面格式：</w:t>
      </w:r>
    </w:p>
    <w:p>
      <w:pPr>
        <w:snapToGrid w:val="0"/>
        <w:spacing w:line="360" w:lineRule="auto"/>
        <w:rPr>
          <w:rFonts w:asciiTheme="minorEastAsia" w:hAnsiTheme="minorEastAsia" w:eastAsiaTheme="minorEastAsia"/>
          <w:b/>
          <w:bCs/>
          <w:color w:val="auto"/>
          <w:szCs w:val="21"/>
          <w:highlight w:val="none"/>
        </w:rPr>
      </w:pPr>
    </w:p>
    <w:p>
      <w:pPr>
        <w:snapToGrid w:val="0"/>
        <w:spacing w:line="360" w:lineRule="auto"/>
        <w:jc w:val="center"/>
        <w:rPr>
          <w:rFonts w:asciiTheme="minorEastAsia" w:hAnsiTheme="minorEastAsia" w:eastAsiaTheme="minorEastAsia"/>
          <w:b/>
          <w:bCs/>
          <w:color w:val="auto"/>
          <w:szCs w:val="21"/>
          <w:highlight w:val="none"/>
        </w:rPr>
      </w:pPr>
      <w:r>
        <w:rPr>
          <w:rFonts w:hint="eastAsia" w:asciiTheme="minorEastAsia" w:hAnsiTheme="minorEastAsia" w:eastAsiaTheme="minorEastAsia"/>
          <w:b/>
          <w:bCs/>
          <w:color w:val="auto"/>
          <w:szCs w:val="21"/>
          <w:highlight w:val="none"/>
        </w:rPr>
        <w:t>资信技术文件</w:t>
      </w:r>
    </w:p>
    <w:p>
      <w:pPr>
        <w:snapToGrid w:val="0"/>
        <w:spacing w:line="360" w:lineRule="auto"/>
        <w:ind w:firstLine="934" w:firstLineChars="445"/>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项目名称：</w:t>
      </w:r>
    </w:p>
    <w:p>
      <w:pPr>
        <w:snapToGrid w:val="0"/>
        <w:spacing w:line="360" w:lineRule="auto"/>
        <w:ind w:firstLine="934" w:firstLineChars="445"/>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项目编号：</w:t>
      </w:r>
    </w:p>
    <w:p>
      <w:pPr>
        <w:pStyle w:val="16"/>
        <w:snapToGrid w:val="0"/>
        <w:spacing w:line="360" w:lineRule="auto"/>
        <w:ind w:firstLine="978" w:firstLineChars="466"/>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投标人名称（盖章）：</w:t>
      </w:r>
    </w:p>
    <w:p>
      <w:pPr>
        <w:pStyle w:val="16"/>
        <w:snapToGrid w:val="0"/>
        <w:spacing w:line="360" w:lineRule="auto"/>
        <w:ind w:firstLine="978" w:firstLineChars="466"/>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投标人地址：</w:t>
      </w:r>
    </w:p>
    <w:p>
      <w:pPr>
        <w:snapToGrid w:val="0"/>
        <w:spacing w:line="360" w:lineRule="auto"/>
        <w:ind w:firstLine="645"/>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年月日</w:t>
      </w:r>
    </w:p>
    <w:p>
      <w:pPr>
        <w:snapToGrid w:val="0"/>
        <w:spacing w:line="360" w:lineRule="auto"/>
        <w:rPr>
          <w:rFonts w:asciiTheme="minorEastAsia" w:hAnsiTheme="minorEastAsia" w:eastAsiaTheme="minorEastAsia"/>
          <w:b/>
          <w:color w:val="auto"/>
          <w:szCs w:val="21"/>
          <w:highlight w:val="none"/>
        </w:rPr>
      </w:pPr>
    </w:p>
    <w:p>
      <w:pPr>
        <w:snapToGrid w:val="0"/>
        <w:spacing w:line="360" w:lineRule="auto"/>
        <w:rPr>
          <w:rFonts w:asciiTheme="minorEastAsia" w:hAnsiTheme="minorEastAsia" w:eastAsiaTheme="minorEastAsia"/>
          <w:b/>
          <w:color w:val="auto"/>
          <w:szCs w:val="21"/>
          <w:highlight w:val="none"/>
        </w:rPr>
      </w:pPr>
    </w:p>
    <w:p>
      <w:pPr>
        <w:snapToGrid w:val="0"/>
        <w:spacing w:line="360" w:lineRule="auto"/>
        <w:rPr>
          <w:rFonts w:asciiTheme="minorEastAsia" w:hAnsiTheme="minorEastAsia" w:eastAsiaTheme="minorEastAsia"/>
          <w:b/>
          <w:color w:val="auto"/>
          <w:szCs w:val="21"/>
          <w:highlight w:val="none"/>
        </w:rPr>
      </w:pPr>
    </w:p>
    <w:p>
      <w:pPr>
        <w:snapToGrid w:val="0"/>
        <w:spacing w:line="360" w:lineRule="auto"/>
        <w:jc w:val="center"/>
        <w:rPr>
          <w:rFonts w:asciiTheme="minorEastAsia" w:hAnsiTheme="minorEastAsia" w:eastAsiaTheme="minorEastAsia"/>
          <w:b/>
          <w:bCs/>
          <w:color w:val="auto"/>
          <w:szCs w:val="21"/>
          <w:highlight w:val="none"/>
        </w:rPr>
      </w:pPr>
      <w:r>
        <w:rPr>
          <w:rFonts w:hint="eastAsia" w:asciiTheme="minorEastAsia" w:hAnsiTheme="minorEastAsia" w:eastAsiaTheme="minorEastAsia"/>
          <w:b/>
          <w:bCs/>
          <w:color w:val="auto"/>
          <w:szCs w:val="21"/>
          <w:highlight w:val="none"/>
        </w:rPr>
        <w:t>商务报价文件</w:t>
      </w:r>
    </w:p>
    <w:p>
      <w:pPr>
        <w:snapToGrid w:val="0"/>
        <w:spacing w:line="360" w:lineRule="auto"/>
        <w:rPr>
          <w:rFonts w:asciiTheme="minorEastAsia" w:hAnsiTheme="minorEastAsia" w:eastAsiaTheme="minorEastAsia"/>
          <w:bCs/>
          <w:color w:val="auto"/>
          <w:szCs w:val="21"/>
          <w:highlight w:val="none"/>
        </w:rPr>
      </w:pPr>
    </w:p>
    <w:p>
      <w:pPr>
        <w:snapToGrid w:val="0"/>
        <w:spacing w:line="360" w:lineRule="auto"/>
        <w:ind w:firstLine="934" w:firstLineChars="445"/>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项目名称：</w:t>
      </w:r>
    </w:p>
    <w:p>
      <w:pPr>
        <w:snapToGrid w:val="0"/>
        <w:spacing w:line="360" w:lineRule="auto"/>
        <w:ind w:firstLine="1050" w:firstLineChars="500"/>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项目编号：</w:t>
      </w:r>
    </w:p>
    <w:p>
      <w:pPr>
        <w:pStyle w:val="16"/>
        <w:snapToGrid w:val="0"/>
        <w:spacing w:line="360" w:lineRule="auto"/>
        <w:ind w:firstLine="978" w:firstLineChars="466"/>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投标人名称（盖章）：</w:t>
      </w:r>
    </w:p>
    <w:p>
      <w:pPr>
        <w:pStyle w:val="16"/>
        <w:snapToGrid w:val="0"/>
        <w:spacing w:line="360" w:lineRule="auto"/>
        <w:ind w:firstLine="978" w:firstLineChars="466"/>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投标人地址：</w:t>
      </w:r>
    </w:p>
    <w:p>
      <w:pPr>
        <w:snapToGrid w:val="0"/>
        <w:spacing w:line="360" w:lineRule="auto"/>
        <w:ind w:firstLine="645"/>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年月日</w:t>
      </w:r>
    </w:p>
    <w:p>
      <w:pPr>
        <w:spacing w:line="360" w:lineRule="auto"/>
        <w:rPr>
          <w:rFonts w:asciiTheme="minorEastAsia" w:hAnsiTheme="minorEastAsia" w:eastAsiaTheme="minorEastAsia"/>
          <w:color w:val="auto"/>
          <w:szCs w:val="21"/>
          <w:highlight w:val="none"/>
        </w:rPr>
      </w:pPr>
    </w:p>
    <w:p>
      <w:pPr>
        <w:snapToGrid w:val="0"/>
        <w:spacing w:line="360" w:lineRule="auto"/>
        <w:jc w:val="left"/>
        <w:rPr>
          <w:rFonts w:asciiTheme="minorEastAsia" w:hAnsiTheme="minorEastAsia" w:eastAsiaTheme="minorEastAsia"/>
          <w:b/>
          <w:color w:val="auto"/>
          <w:szCs w:val="21"/>
          <w:highlight w:val="none"/>
        </w:rPr>
      </w:pPr>
    </w:p>
    <w:p>
      <w:pPr>
        <w:snapToGrid w:val="0"/>
        <w:spacing w:line="360" w:lineRule="auto"/>
        <w:jc w:val="left"/>
        <w:rPr>
          <w:rFonts w:asciiTheme="minorEastAsia" w:hAnsiTheme="minorEastAsia" w:eastAsiaTheme="minorEastAsia"/>
          <w:b/>
          <w:color w:val="auto"/>
          <w:szCs w:val="21"/>
          <w:highlight w:val="none"/>
        </w:rPr>
      </w:pPr>
    </w:p>
    <w:p>
      <w:pPr>
        <w:snapToGrid w:val="0"/>
        <w:spacing w:line="360" w:lineRule="auto"/>
        <w:jc w:val="left"/>
        <w:rPr>
          <w:rFonts w:asciiTheme="minorEastAsia" w:hAnsiTheme="minorEastAsia" w:eastAsiaTheme="minorEastAsia"/>
          <w:b/>
          <w:color w:val="auto"/>
          <w:szCs w:val="21"/>
          <w:highlight w:val="none"/>
        </w:rPr>
      </w:pPr>
    </w:p>
    <w:p>
      <w:pPr>
        <w:snapToGrid w:val="0"/>
        <w:spacing w:line="360" w:lineRule="auto"/>
        <w:jc w:val="left"/>
        <w:rPr>
          <w:rFonts w:asciiTheme="minorEastAsia" w:hAnsiTheme="minorEastAsia" w:eastAsiaTheme="minorEastAsia"/>
          <w:b/>
          <w:color w:val="auto"/>
          <w:szCs w:val="21"/>
          <w:highlight w:val="none"/>
        </w:rPr>
      </w:pPr>
    </w:p>
    <w:p>
      <w:pPr>
        <w:snapToGrid w:val="0"/>
        <w:spacing w:line="360" w:lineRule="auto"/>
        <w:jc w:val="left"/>
        <w:rPr>
          <w:rFonts w:asciiTheme="minorEastAsia" w:hAnsiTheme="minorEastAsia" w:eastAsiaTheme="minorEastAsia"/>
          <w:b/>
          <w:color w:val="auto"/>
          <w:szCs w:val="21"/>
          <w:highlight w:val="none"/>
        </w:rPr>
      </w:pPr>
    </w:p>
    <w:p>
      <w:pPr>
        <w:snapToGrid w:val="0"/>
        <w:spacing w:line="360" w:lineRule="auto"/>
        <w:jc w:val="left"/>
        <w:rPr>
          <w:rFonts w:asciiTheme="minorEastAsia" w:hAnsiTheme="minorEastAsia" w:eastAsiaTheme="minorEastAsia"/>
          <w:b/>
          <w:color w:val="auto"/>
          <w:szCs w:val="21"/>
          <w:highlight w:val="none"/>
        </w:rPr>
      </w:pPr>
    </w:p>
    <w:p>
      <w:pPr>
        <w:snapToGrid w:val="0"/>
        <w:spacing w:line="360" w:lineRule="auto"/>
        <w:jc w:val="left"/>
        <w:rPr>
          <w:rFonts w:asciiTheme="minorEastAsia" w:hAnsiTheme="minorEastAsia" w:eastAsiaTheme="minorEastAsia"/>
          <w:b/>
          <w:color w:val="auto"/>
          <w:szCs w:val="21"/>
          <w:highlight w:val="none"/>
        </w:rPr>
      </w:pPr>
    </w:p>
    <w:p>
      <w:pPr>
        <w:snapToGrid w:val="0"/>
        <w:spacing w:line="360" w:lineRule="auto"/>
        <w:jc w:val="left"/>
        <w:rPr>
          <w:rFonts w:asciiTheme="minorEastAsia" w:hAnsiTheme="minorEastAsia" w:eastAsiaTheme="minorEastAsia"/>
          <w:b/>
          <w:color w:val="auto"/>
          <w:szCs w:val="21"/>
          <w:highlight w:val="none"/>
        </w:rPr>
      </w:pPr>
    </w:p>
    <w:p>
      <w:pPr>
        <w:snapToGrid w:val="0"/>
        <w:spacing w:line="360" w:lineRule="auto"/>
        <w:jc w:val="left"/>
        <w:rPr>
          <w:rFonts w:asciiTheme="minorEastAsia" w:hAnsiTheme="minorEastAsia" w:eastAsiaTheme="minorEastAsia"/>
          <w:b/>
          <w:color w:val="auto"/>
          <w:szCs w:val="21"/>
          <w:highlight w:val="none"/>
        </w:rPr>
      </w:pPr>
    </w:p>
    <w:p>
      <w:pPr>
        <w:pStyle w:val="48"/>
        <w:ind w:firstLine="404"/>
        <w:rPr>
          <w:color w:val="auto"/>
          <w:highlight w:val="none"/>
        </w:rPr>
      </w:pPr>
    </w:p>
    <w:p>
      <w:pPr>
        <w:pStyle w:val="48"/>
        <w:ind w:firstLine="404"/>
        <w:rPr>
          <w:color w:val="auto"/>
          <w:highlight w:val="none"/>
        </w:rPr>
      </w:pPr>
    </w:p>
    <w:p>
      <w:pPr>
        <w:pStyle w:val="48"/>
        <w:ind w:firstLine="404"/>
        <w:rPr>
          <w:color w:val="auto"/>
          <w:highlight w:val="none"/>
        </w:rPr>
      </w:pPr>
    </w:p>
    <w:p>
      <w:pPr>
        <w:snapToGrid w:val="0"/>
        <w:spacing w:line="360" w:lineRule="auto"/>
        <w:jc w:val="left"/>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2.</w:t>
      </w:r>
    </w:p>
    <w:p>
      <w:pPr>
        <w:snapToGrid w:val="0"/>
        <w:spacing w:line="360" w:lineRule="auto"/>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投标声明书（附件1）</w:t>
      </w:r>
    </w:p>
    <w:p>
      <w:pPr>
        <w:spacing w:line="360" w:lineRule="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color w:val="auto"/>
          <w:szCs w:val="21"/>
          <w:highlight w:val="none"/>
        </w:rPr>
        <w:t>致：</w:t>
      </w:r>
      <w:r>
        <w:rPr>
          <w:rFonts w:hint="eastAsia" w:asciiTheme="minorEastAsia" w:hAnsiTheme="minorEastAsia" w:eastAsiaTheme="minorEastAsia"/>
          <w:color w:val="auto"/>
          <w:szCs w:val="21"/>
          <w:highlight w:val="none"/>
          <w:lang w:eastAsia="zh-CN"/>
        </w:rPr>
        <w:t>嘉兴市秀洲区人民政府新城街道办事处</w:t>
      </w:r>
    </w:p>
    <w:p>
      <w:pPr>
        <w:snapToGrid w:val="0"/>
        <w:spacing w:beforeLines="50" w:after="50"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（投标单位名称）系中华人民共和国合法企业，经营地址。</w:t>
      </w:r>
    </w:p>
    <w:p>
      <w:pPr>
        <w:snapToGrid w:val="0"/>
        <w:spacing w:beforeLines="50" w:after="50" w:line="360" w:lineRule="auto"/>
        <w:ind w:firstLine="645"/>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我（姓名）系（投标人名称）的法定代表人，我方愿意参加贵方组织的的投标，为便于贵方公正、择优地确定中标人及其投标产品和服务，我方就本次投标有关事项郑重声明如下：</w:t>
      </w:r>
    </w:p>
    <w:p>
      <w:pPr>
        <w:snapToGrid w:val="0"/>
        <w:spacing w:line="360" w:lineRule="auto"/>
        <w:ind w:firstLine="420" w:firstLineChars="200"/>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rPr>
        <w:t>我方向贵方提交的所有投标文件、资料都是准确的和真实的。</w:t>
      </w:r>
    </w:p>
    <w:p>
      <w:pPr>
        <w:snapToGrid w:val="0"/>
        <w:spacing w:beforeLines="50" w:line="360" w:lineRule="auto"/>
        <w:ind w:firstLine="420" w:firstLineChars="200"/>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2.</w:t>
      </w:r>
      <w:r>
        <w:rPr>
          <w:rFonts w:hint="eastAsia" w:asciiTheme="minorEastAsia" w:hAnsiTheme="minorEastAsia" w:eastAsiaTheme="minorEastAsia"/>
          <w:color w:val="auto"/>
          <w:szCs w:val="21"/>
          <w:highlight w:val="none"/>
        </w:rPr>
        <w:t>我方不是招标单位的附属机构；在获知本项目采购信息后，与招标单位聘请的为此项目提供咨询服务的公司及其附属机构没有任何联系。</w:t>
      </w:r>
    </w:p>
    <w:p>
      <w:pPr>
        <w:snapToGrid w:val="0"/>
        <w:spacing w:beforeLines="50"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3.我方承诺具有履行合同所必需的设备和专业技术能力； </w:t>
      </w:r>
    </w:p>
    <w:p>
      <w:pPr>
        <w:snapToGrid w:val="0"/>
        <w:spacing w:beforeLines="50"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4. 我方承诺具有良好的商业信誉和健全的财务会计制度；（附财务报表）（格式自拟） </w:t>
      </w:r>
    </w:p>
    <w:p>
      <w:pPr>
        <w:snapToGrid w:val="0"/>
        <w:spacing w:beforeLines="50"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5.我方承诺有依法缴纳税收和社会保障资金的良好记录；（附依法缴纳税费或依法免缴税费的证明）（格式自拟） </w:t>
      </w:r>
    </w:p>
    <w:p>
      <w:pPr>
        <w:snapToGrid w:val="0"/>
        <w:spacing w:beforeLines="50" w:line="360" w:lineRule="auto"/>
        <w:ind w:firstLine="420" w:firstLineChars="200"/>
        <w:rPr>
          <w:rFonts w:asciiTheme="minorEastAsia" w:hAnsiTheme="minorEastAsia" w:eastAsiaTheme="minorEastAsia"/>
          <w:color w:val="auto"/>
          <w:szCs w:val="21"/>
          <w:highlight w:val="none"/>
          <w:u w:val="single"/>
        </w:rPr>
      </w:pPr>
      <w:r>
        <w:rPr>
          <w:rFonts w:hint="eastAsia" w:asciiTheme="minorEastAsia" w:hAnsiTheme="minorEastAsia" w:eastAsiaTheme="minorEastAsia"/>
          <w:color w:val="auto"/>
          <w:szCs w:val="21"/>
          <w:highlight w:val="none"/>
        </w:rPr>
        <w:t>6.我方承诺参加政府采购活动前三年内，在经营活动中没有重大违法记录；（若有，请如实填写；</w:t>
      </w:r>
      <w:r>
        <w:rPr>
          <w:rFonts w:hint="eastAsia" w:asciiTheme="minorEastAsia" w:hAnsiTheme="minorEastAsia" w:eastAsiaTheme="minorEastAsia"/>
          <w:color w:val="auto"/>
          <w:szCs w:val="21"/>
          <w:highlight w:val="none"/>
          <w:u w:val="single"/>
        </w:rPr>
        <w:t>　　　　　　　　　　　　</w:t>
      </w:r>
    </w:p>
    <w:p>
      <w:pPr>
        <w:snapToGrid w:val="0"/>
        <w:spacing w:beforeLines="50" w:line="360" w:lineRule="auto"/>
        <w:ind w:firstLine="420" w:firstLineChars="200"/>
        <w:rPr>
          <w:rFonts w:asciiTheme="minorEastAsia" w:hAnsiTheme="minorEastAsia" w:eastAsiaTheme="minorEastAsia"/>
          <w:color w:val="auto"/>
          <w:szCs w:val="21"/>
          <w:highlight w:val="none"/>
          <w:u w:val="single"/>
        </w:rPr>
      </w:pPr>
      <w:r>
        <w:rPr>
          <w:rFonts w:hint="eastAsia" w:asciiTheme="minorEastAsia" w:hAnsiTheme="minorEastAsia" w:eastAsiaTheme="minorEastAsia"/>
          <w:color w:val="auto"/>
          <w:szCs w:val="21"/>
          <w:highlight w:val="none"/>
          <w:u w:val="single"/>
        </w:rPr>
        <w:t>　　　　　　　　　　　　　　　　　　　　　　　　　　　　　　　　　　　　</w:t>
      </w:r>
    </w:p>
    <w:p>
      <w:pPr>
        <w:snapToGrid w:val="0"/>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7</w:t>
      </w:r>
      <w:r>
        <w:rPr>
          <w:rFonts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rPr>
        <w:t>以上事项如有虚假或隐瞒，我方愿意承担一切后果，并不再寻求任何旨在减轻或免除法律责任的辩解。</w:t>
      </w:r>
    </w:p>
    <w:p>
      <w:pPr>
        <w:spacing w:line="360" w:lineRule="auto"/>
        <w:ind w:firstLine="527" w:firstLineChars="250"/>
        <w:jc w:val="center"/>
        <w:rPr>
          <w:rFonts w:asciiTheme="minorEastAsia" w:hAnsiTheme="minorEastAsia" w:eastAsiaTheme="minorEastAsia"/>
          <w:b/>
          <w:color w:val="auto"/>
          <w:szCs w:val="21"/>
          <w:highlight w:val="none"/>
        </w:rPr>
      </w:pPr>
    </w:p>
    <w:p>
      <w:pPr>
        <w:spacing w:beforeLines="50" w:line="360" w:lineRule="auto"/>
        <w:ind w:firstLine="1500" w:firstLineChars="600"/>
        <w:rPr>
          <w:rFonts w:asciiTheme="minorEastAsia" w:hAnsiTheme="minorEastAsia" w:eastAsiaTheme="minorEastAsia"/>
          <w:color w:val="auto"/>
          <w:szCs w:val="21"/>
          <w:highlight w:val="none"/>
        </w:rPr>
      </w:pPr>
      <w:r>
        <w:rPr>
          <w:rFonts w:asciiTheme="minorEastAsia" w:hAnsiTheme="minorEastAsia" w:eastAsiaTheme="minorEastAsia"/>
          <w:color w:val="auto"/>
          <w:spacing w:val="20"/>
          <w:szCs w:val="21"/>
          <w:highlight w:val="none"/>
        </w:rPr>
        <w:t>法定代表人或委托代理人</w:t>
      </w:r>
      <w:r>
        <w:rPr>
          <w:rFonts w:hint="eastAsia" w:asciiTheme="minorEastAsia" w:hAnsiTheme="minorEastAsia" w:eastAsiaTheme="minorEastAsia"/>
          <w:color w:val="auto"/>
          <w:spacing w:val="20"/>
          <w:szCs w:val="21"/>
          <w:highlight w:val="none"/>
        </w:rPr>
        <w:t>签名（或盖章）：</w:t>
      </w:r>
    </w:p>
    <w:p>
      <w:pPr>
        <w:spacing w:line="360" w:lineRule="auto"/>
        <w:ind w:firstLine="500" w:firstLineChars="200"/>
        <w:rPr>
          <w:rFonts w:asciiTheme="minorEastAsia" w:hAnsiTheme="minorEastAsia" w:eastAsiaTheme="minorEastAsia"/>
          <w:color w:val="auto"/>
          <w:spacing w:val="20"/>
          <w:szCs w:val="21"/>
          <w:highlight w:val="none"/>
          <w:u w:val="single"/>
        </w:rPr>
      </w:pPr>
      <w:r>
        <w:rPr>
          <w:rFonts w:hint="eastAsia" w:asciiTheme="minorEastAsia" w:hAnsiTheme="minorEastAsia" w:eastAsiaTheme="minorEastAsia"/>
          <w:color w:val="auto"/>
          <w:spacing w:val="20"/>
          <w:szCs w:val="21"/>
          <w:highlight w:val="none"/>
        </w:rPr>
        <w:t xml:space="preserve">                            投标人盖章：</w:t>
      </w:r>
    </w:p>
    <w:p>
      <w:pPr>
        <w:spacing w:line="360" w:lineRule="auto"/>
        <w:ind w:firstLine="500" w:firstLineChars="200"/>
        <w:rPr>
          <w:rFonts w:asciiTheme="minorEastAsia" w:hAnsiTheme="minorEastAsia" w:eastAsiaTheme="minorEastAsia"/>
          <w:color w:val="auto"/>
          <w:spacing w:val="20"/>
          <w:szCs w:val="21"/>
          <w:highlight w:val="none"/>
          <w:u w:val="single"/>
        </w:rPr>
      </w:pPr>
      <w:r>
        <w:rPr>
          <w:rFonts w:hint="eastAsia" w:asciiTheme="minorEastAsia" w:hAnsiTheme="minorEastAsia" w:eastAsiaTheme="minorEastAsia"/>
          <w:color w:val="auto"/>
          <w:spacing w:val="20"/>
          <w:szCs w:val="21"/>
          <w:highlight w:val="none"/>
        </w:rPr>
        <w:t xml:space="preserve">                            日     期：</w:t>
      </w:r>
    </w:p>
    <w:p>
      <w:pPr>
        <w:pStyle w:val="28"/>
        <w:snapToGrid w:val="0"/>
        <w:spacing w:beforeLines="0" w:afterLines="0" w:line="360" w:lineRule="auto"/>
        <w:rPr>
          <w:rFonts w:asciiTheme="minorEastAsia" w:hAnsiTheme="minorEastAsia" w:eastAsiaTheme="minorEastAsia"/>
          <w:color w:val="auto"/>
          <w:sz w:val="21"/>
          <w:szCs w:val="21"/>
          <w:highlight w:val="none"/>
        </w:rPr>
      </w:pPr>
    </w:p>
    <w:p>
      <w:pPr>
        <w:snapToGrid w:val="0"/>
        <w:spacing w:line="360" w:lineRule="auto"/>
        <w:rPr>
          <w:rFonts w:asciiTheme="minorEastAsia" w:hAnsiTheme="minorEastAsia" w:eastAsiaTheme="minorEastAsia"/>
          <w:b/>
          <w:color w:val="auto"/>
          <w:szCs w:val="21"/>
          <w:highlight w:val="none"/>
        </w:rPr>
      </w:pPr>
    </w:p>
    <w:p>
      <w:pPr>
        <w:snapToGrid w:val="0"/>
        <w:spacing w:line="360" w:lineRule="auto"/>
        <w:rPr>
          <w:rFonts w:asciiTheme="minorEastAsia" w:hAnsiTheme="minorEastAsia" w:eastAsiaTheme="minorEastAsia"/>
          <w:b/>
          <w:color w:val="auto"/>
          <w:szCs w:val="21"/>
          <w:highlight w:val="none"/>
        </w:rPr>
      </w:pPr>
    </w:p>
    <w:p>
      <w:pPr>
        <w:snapToGrid w:val="0"/>
        <w:spacing w:line="360" w:lineRule="auto"/>
        <w:rPr>
          <w:rFonts w:asciiTheme="minorEastAsia" w:hAnsiTheme="minorEastAsia" w:eastAsiaTheme="minorEastAsia"/>
          <w:b/>
          <w:color w:val="auto"/>
          <w:szCs w:val="21"/>
          <w:highlight w:val="none"/>
        </w:rPr>
      </w:pPr>
    </w:p>
    <w:p>
      <w:pPr>
        <w:snapToGrid w:val="0"/>
        <w:spacing w:line="360" w:lineRule="auto"/>
        <w:rPr>
          <w:rFonts w:asciiTheme="minorEastAsia" w:hAnsiTheme="minorEastAsia" w:eastAsiaTheme="minorEastAsia"/>
          <w:b/>
          <w:color w:val="auto"/>
          <w:szCs w:val="21"/>
          <w:highlight w:val="none"/>
        </w:rPr>
      </w:pPr>
    </w:p>
    <w:p>
      <w:pPr>
        <w:snapToGrid w:val="0"/>
        <w:spacing w:line="360" w:lineRule="auto"/>
        <w:rPr>
          <w:rFonts w:asciiTheme="minorEastAsia" w:hAnsiTheme="minorEastAsia" w:eastAsiaTheme="minorEastAsia"/>
          <w:b/>
          <w:color w:val="auto"/>
          <w:szCs w:val="21"/>
          <w:highlight w:val="none"/>
        </w:rPr>
      </w:pPr>
    </w:p>
    <w:p>
      <w:pPr>
        <w:pStyle w:val="48"/>
        <w:ind w:firstLine="404"/>
        <w:rPr>
          <w:color w:val="auto"/>
          <w:highlight w:val="none"/>
        </w:rPr>
      </w:pPr>
    </w:p>
    <w:p>
      <w:pPr>
        <w:pStyle w:val="48"/>
        <w:ind w:firstLine="404"/>
        <w:rPr>
          <w:color w:val="auto"/>
          <w:highlight w:val="none"/>
        </w:rPr>
      </w:pPr>
    </w:p>
    <w:p>
      <w:pPr>
        <w:pStyle w:val="48"/>
        <w:ind w:firstLine="404"/>
        <w:rPr>
          <w:color w:val="auto"/>
          <w:highlight w:val="none"/>
        </w:rPr>
      </w:pPr>
    </w:p>
    <w:p>
      <w:pPr>
        <w:snapToGrid w:val="0"/>
        <w:spacing w:line="360" w:lineRule="auto"/>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3.</w:t>
      </w:r>
    </w:p>
    <w:p>
      <w:pPr>
        <w:snapToGrid w:val="0"/>
        <w:spacing w:line="360" w:lineRule="auto"/>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法定代表人授权委托书（附件2）</w:t>
      </w:r>
    </w:p>
    <w:p>
      <w:pPr>
        <w:pStyle w:val="48"/>
        <w:spacing w:line="360" w:lineRule="auto"/>
        <w:ind w:firstLine="404"/>
        <w:rPr>
          <w:color w:val="auto"/>
          <w:highlight w:val="none"/>
        </w:rPr>
      </w:pPr>
    </w:p>
    <w:p>
      <w:pPr>
        <w:snapToGrid w:val="0"/>
        <w:spacing w:line="360" w:lineRule="auto"/>
        <w:rPr>
          <w:rFonts w:asciiTheme="minorEastAsia" w:hAnsiTheme="minorEastAsia" w:eastAsiaTheme="minorEastAsia"/>
          <w:b/>
          <w:bCs/>
          <w:color w:val="auto"/>
          <w:szCs w:val="21"/>
          <w:highlight w:val="none"/>
        </w:rPr>
      </w:pPr>
      <w:r>
        <w:rPr>
          <w:rFonts w:hint="eastAsia" w:asciiTheme="minorEastAsia" w:hAnsiTheme="minorEastAsia" w:eastAsiaTheme="minorEastAsia"/>
          <w:bCs/>
          <w:color w:val="auto"/>
          <w:szCs w:val="21"/>
          <w:highlight w:val="none"/>
        </w:rPr>
        <w:t>致：</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u w:val="single"/>
          <w:lang w:eastAsia="zh-CN"/>
        </w:rPr>
        <w:t>嘉兴市秀洲区人民政府新城街道办事处</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（招标采购单位名称）：</w:t>
      </w:r>
    </w:p>
    <w:p>
      <w:pPr>
        <w:snapToGrid w:val="0"/>
        <w:spacing w:line="360" w:lineRule="auto"/>
        <w:ind w:firstLine="630" w:firstLineChars="3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我（姓名）系（投标人名称）的法定代表人，现授权委托本单位在职职工（姓名）以我方的名义参加</w:t>
      </w:r>
      <w:r>
        <w:rPr>
          <w:rFonts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u w:val="single"/>
          <w:lang w:eastAsia="zh-CN"/>
        </w:rPr>
        <w:t>新城街道市政设施养护项目</w:t>
      </w:r>
      <w:r>
        <w:rPr>
          <w:rFonts w:hint="eastAsia" w:asciiTheme="minorEastAsia" w:hAnsiTheme="minorEastAsia" w:eastAsiaTheme="minorEastAsia"/>
          <w:color w:val="auto"/>
          <w:szCs w:val="21"/>
          <w:highlight w:val="none"/>
        </w:rPr>
        <w:t>的投标活动，并代表我方全权办理针对上述项目的投标、开标、评标、签约等具体事务和签署相关文件。</w:t>
      </w:r>
    </w:p>
    <w:p>
      <w:pPr>
        <w:snapToGrid w:val="0"/>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我方对被授权人的签名事项负全部责任。</w:t>
      </w:r>
    </w:p>
    <w:p>
      <w:pPr>
        <w:snapToGrid w:val="0"/>
        <w:spacing w:line="360" w:lineRule="auto"/>
        <w:ind w:firstLine="48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u w:val="single"/>
        </w:rPr>
        <w:t>在撤销授权的书面通知以前，本授权书一直有效。</w:t>
      </w:r>
      <w:r>
        <w:rPr>
          <w:rFonts w:hint="eastAsia" w:asciiTheme="minorEastAsia" w:hAnsiTheme="minorEastAsia" w:eastAsiaTheme="minorEastAsia"/>
          <w:color w:val="auto"/>
          <w:szCs w:val="21"/>
          <w:highlight w:val="none"/>
        </w:rPr>
        <w:t>被授权人在授权书有效期内签署的所有文件不因授权的撤销而失效。</w:t>
      </w:r>
    </w:p>
    <w:p>
      <w:pPr>
        <w:snapToGrid w:val="0"/>
        <w:spacing w:line="360" w:lineRule="auto"/>
        <w:ind w:firstLine="48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被授权人无转委托权，特此委托。</w:t>
      </w:r>
    </w:p>
    <w:p>
      <w:pPr>
        <w:snapToGrid w:val="0"/>
        <w:spacing w:line="360" w:lineRule="auto"/>
        <w:rPr>
          <w:rFonts w:asciiTheme="minorEastAsia" w:hAnsiTheme="minorEastAsia" w:eastAsiaTheme="minorEastAsia"/>
          <w:color w:val="auto"/>
          <w:szCs w:val="21"/>
          <w:highlight w:val="none"/>
        </w:rPr>
      </w:pPr>
    </w:p>
    <w:p>
      <w:pPr>
        <w:snapToGrid w:val="0"/>
        <w:spacing w:beforeLines="50" w:after="50" w:line="360" w:lineRule="auto"/>
        <w:rPr>
          <w:rFonts w:asciiTheme="minorEastAsia" w:hAnsiTheme="minorEastAsia" w:eastAsiaTheme="minorEastAsia"/>
          <w:color w:val="auto"/>
          <w:szCs w:val="21"/>
          <w:highlight w:val="none"/>
          <w:u w:val="single"/>
        </w:rPr>
      </w:pPr>
      <w:r>
        <w:rPr>
          <w:rFonts w:hint="eastAsia" w:asciiTheme="minorEastAsia" w:hAnsiTheme="minorEastAsia" w:eastAsiaTheme="minorEastAsia"/>
          <w:color w:val="auto"/>
          <w:szCs w:val="21"/>
          <w:highlight w:val="none"/>
        </w:rPr>
        <w:t>法定代表人签字：                     被授权人签字：</w:t>
      </w:r>
    </w:p>
    <w:p>
      <w:pPr>
        <w:snapToGrid w:val="0"/>
        <w:spacing w:beforeLines="50" w:after="50" w:line="360" w:lineRule="auto"/>
        <w:rPr>
          <w:rFonts w:asciiTheme="minorEastAsia" w:hAnsiTheme="minorEastAsia" w:eastAsiaTheme="minorEastAsia"/>
          <w:color w:val="auto"/>
          <w:szCs w:val="21"/>
          <w:highlight w:val="none"/>
          <w:u w:val="single"/>
        </w:rPr>
      </w:pPr>
      <w:r>
        <w:rPr>
          <w:rFonts w:hint="eastAsia" w:asciiTheme="minorEastAsia" w:hAnsiTheme="minorEastAsia" w:eastAsiaTheme="minorEastAsia"/>
          <w:color w:val="auto"/>
          <w:szCs w:val="21"/>
          <w:highlight w:val="none"/>
        </w:rPr>
        <w:t>法定代表人身份证号：                  被授权人身份证号：</w:t>
      </w:r>
    </w:p>
    <w:p>
      <w:pPr>
        <w:snapToGrid w:val="0"/>
        <w:spacing w:beforeLines="50" w:after="50" w:line="360" w:lineRule="auto"/>
        <w:rPr>
          <w:rFonts w:asciiTheme="minorEastAsia" w:hAnsiTheme="minorEastAsia" w:eastAsiaTheme="minorEastAsia"/>
          <w:color w:val="auto"/>
          <w:szCs w:val="21"/>
          <w:highlight w:val="none"/>
        </w:rPr>
      </w:pPr>
    </w:p>
    <w:p>
      <w:pPr>
        <w:snapToGrid w:val="0"/>
        <w:spacing w:beforeLines="50" w:after="50"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法定代表人身份证（正反面）       被授权人身份证（正反面）</w:t>
      </w:r>
    </w:p>
    <w:p>
      <w:pPr>
        <w:snapToGrid w:val="0"/>
        <w:spacing w:line="360" w:lineRule="auto"/>
        <w:rPr>
          <w:rFonts w:asciiTheme="minorEastAsia" w:hAnsiTheme="minorEastAsia" w:eastAsiaTheme="minorEastAsia"/>
          <w:color w:val="auto"/>
          <w:szCs w:val="21"/>
          <w:highlight w:val="none"/>
        </w:rPr>
      </w:pPr>
    </w:p>
    <w:p>
      <w:pPr>
        <w:snapToGrid w:val="0"/>
        <w:spacing w:line="360" w:lineRule="auto"/>
        <w:ind w:firstLine="200"/>
        <w:jc w:val="right"/>
        <w:rPr>
          <w:rFonts w:asciiTheme="minorEastAsia" w:hAnsiTheme="minorEastAsia" w:eastAsiaTheme="minorEastAsia"/>
          <w:color w:val="auto"/>
          <w:szCs w:val="21"/>
          <w:highlight w:val="none"/>
          <w:u w:val="single"/>
        </w:rPr>
      </w:pPr>
    </w:p>
    <w:p>
      <w:pPr>
        <w:spacing w:beforeLines="50" w:line="360" w:lineRule="auto"/>
        <w:rPr>
          <w:rFonts w:asciiTheme="minorEastAsia" w:hAnsiTheme="minorEastAsia" w:eastAsiaTheme="minorEastAsia"/>
          <w:color w:val="auto"/>
          <w:szCs w:val="21"/>
          <w:highlight w:val="none"/>
        </w:rPr>
      </w:pPr>
    </w:p>
    <w:p>
      <w:pPr>
        <w:spacing w:line="360" w:lineRule="auto"/>
        <w:ind w:firstLine="500" w:firstLineChars="200"/>
        <w:rPr>
          <w:rFonts w:asciiTheme="minorEastAsia" w:hAnsiTheme="minorEastAsia" w:eastAsiaTheme="minorEastAsia"/>
          <w:color w:val="auto"/>
          <w:spacing w:val="20"/>
          <w:szCs w:val="21"/>
          <w:highlight w:val="none"/>
          <w:u w:val="single"/>
        </w:rPr>
      </w:pPr>
      <w:r>
        <w:rPr>
          <w:rFonts w:hint="eastAsia" w:asciiTheme="minorEastAsia" w:hAnsiTheme="minorEastAsia" w:eastAsiaTheme="minorEastAsia"/>
          <w:color w:val="auto"/>
          <w:spacing w:val="20"/>
          <w:szCs w:val="21"/>
          <w:highlight w:val="none"/>
        </w:rPr>
        <w:t xml:space="preserve">                            投标人盖章：</w:t>
      </w:r>
    </w:p>
    <w:p>
      <w:pPr>
        <w:tabs>
          <w:tab w:val="left" w:pos="1418"/>
        </w:tabs>
        <w:spacing w:line="360" w:lineRule="auto"/>
        <w:rPr>
          <w:rFonts w:asciiTheme="minorEastAsia" w:hAnsiTheme="minorEastAsia" w:eastAsiaTheme="minorEastAsia"/>
          <w:b/>
          <w:color w:val="auto"/>
          <w:szCs w:val="21"/>
          <w:highlight w:val="none"/>
        </w:rPr>
      </w:pPr>
      <w:r>
        <w:rPr>
          <w:rFonts w:hint="eastAsia" w:asciiTheme="minorEastAsia" w:hAnsiTheme="minorEastAsia" w:eastAsiaTheme="minorEastAsia"/>
          <w:color w:val="auto"/>
          <w:spacing w:val="20"/>
          <w:szCs w:val="21"/>
          <w:highlight w:val="none"/>
        </w:rPr>
        <w:t xml:space="preserve">                                日     期：</w:t>
      </w:r>
    </w:p>
    <w:p>
      <w:pPr>
        <w:snapToGrid w:val="0"/>
        <w:spacing w:line="360" w:lineRule="auto"/>
        <w:ind w:firstLine="210" w:firstLineChars="100"/>
        <w:jc w:val="right"/>
        <w:rPr>
          <w:rFonts w:asciiTheme="minorEastAsia" w:hAnsiTheme="minorEastAsia" w:eastAsiaTheme="minorEastAsia"/>
          <w:color w:val="auto"/>
          <w:szCs w:val="21"/>
          <w:highlight w:val="none"/>
        </w:rPr>
      </w:pPr>
    </w:p>
    <w:p>
      <w:pPr>
        <w:snapToGrid w:val="0"/>
        <w:spacing w:line="360" w:lineRule="auto"/>
        <w:rPr>
          <w:rFonts w:asciiTheme="minorEastAsia" w:hAnsiTheme="minorEastAsia" w:eastAsiaTheme="minorEastAsia"/>
          <w:color w:val="auto"/>
          <w:szCs w:val="21"/>
          <w:highlight w:val="none"/>
        </w:rPr>
      </w:pPr>
    </w:p>
    <w:p>
      <w:pPr>
        <w:snapToGrid w:val="0"/>
        <w:spacing w:line="360" w:lineRule="auto"/>
        <w:rPr>
          <w:rFonts w:asciiTheme="minorEastAsia" w:hAnsiTheme="minorEastAsia" w:eastAsiaTheme="minorEastAsia"/>
          <w:color w:val="auto"/>
          <w:szCs w:val="21"/>
          <w:highlight w:val="none"/>
        </w:rPr>
      </w:pPr>
    </w:p>
    <w:p>
      <w:pPr>
        <w:snapToGrid w:val="0"/>
        <w:spacing w:line="360" w:lineRule="auto"/>
        <w:rPr>
          <w:rFonts w:asciiTheme="minorEastAsia" w:hAnsiTheme="minorEastAsia" w:eastAsiaTheme="minorEastAsia"/>
          <w:b/>
          <w:color w:val="auto"/>
          <w:szCs w:val="21"/>
          <w:highlight w:val="none"/>
        </w:rPr>
      </w:pPr>
    </w:p>
    <w:p>
      <w:pPr>
        <w:snapToGrid w:val="0"/>
        <w:spacing w:line="360" w:lineRule="auto"/>
        <w:rPr>
          <w:rFonts w:asciiTheme="minorEastAsia" w:hAnsiTheme="minorEastAsia" w:eastAsiaTheme="minorEastAsia"/>
          <w:b/>
          <w:color w:val="auto"/>
          <w:szCs w:val="21"/>
          <w:highlight w:val="none"/>
        </w:rPr>
      </w:pPr>
    </w:p>
    <w:p>
      <w:pPr>
        <w:snapToGrid w:val="0"/>
        <w:spacing w:line="360" w:lineRule="auto"/>
        <w:rPr>
          <w:rFonts w:asciiTheme="minorEastAsia" w:hAnsiTheme="minorEastAsia" w:eastAsiaTheme="minorEastAsia"/>
          <w:b/>
          <w:color w:val="auto"/>
          <w:szCs w:val="21"/>
          <w:highlight w:val="none"/>
        </w:rPr>
      </w:pPr>
    </w:p>
    <w:p>
      <w:pPr>
        <w:snapToGrid w:val="0"/>
        <w:spacing w:line="360" w:lineRule="auto"/>
        <w:rPr>
          <w:rFonts w:asciiTheme="minorEastAsia" w:hAnsiTheme="minorEastAsia" w:eastAsiaTheme="minorEastAsia"/>
          <w:b/>
          <w:color w:val="auto"/>
          <w:szCs w:val="21"/>
          <w:highlight w:val="none"/>
        </w:rPr>
      </w:pPr>
    </w:p>
    <w:p>
      <w:pPr>
        <w:snapToGrid w:val="0"/>
        <w:spacing w:line="360" w:lineRule="auto"/>
        <w:rPr>
          <w:rFonts w:asciiTheme="minorEastAsia" w:hAnsiTheme="minorEastAsia" w:eastAsiaTheme="minorEastAsia"/>
          <w:b/>
          <w:color w:val="auto"/>
          <w:szCs w:val="21"/>
          <w:highlight w:val="none"/>
        </w:rPr>
      </w:pPr>
    </w:p>
    <w:p>
      <w:pPr>
        <w:snapToGrid w:val="0"/>
        <w:spacing w:line="360" w:lineRule="auto"/>
        <w:rPr>
          <w:rFonts w:asciiTheme="minorEastAsia" w:hAnsiTheme="minorEastAsia" w:eastAsiaTheme="minorEastAsia"/>
          <w:b/>
          <w:color w:val="auto"/>
          <w:szCs w:val="21"/>
          <w:highlight w:val="none"/>
        </w:rPr>
      </w:pPr>
    </w:p>
    <w:p>
      <w:pPr>
        <w:pStyle w:val="48"/>
        <w:ind w:firstLine="404"/>
        <w:rPr>
          <w:color w:val="auto"/>
          <w:highlight w:val="none"/>
        </w:rPr>
      </w:pPr>
    </w:p>
    <w:p>
      <w:pPr>
        <w:snapToGrid w:val="0"/>
        <w:spacing w:line="360" w:lineRule="auto"/>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4.</w:t>
      </w:r>
    </w:p>
    <w:p>
      <w:pPr>
        <w:snapToGrid w:val="0"/>
        <w:spacing w:line="360" w:lineRule="auto"/>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关于资格的声明函（附件3）</w:t>
      </w:r>
    </w:p>
    <w:p>
      <w:pPr>
        <w:spacing w:line="360" w:lineRule="auto"/>
        <w:rPr>
          <w:rFonts w:asciiTheme="minorEastAsia" w:hAnsiTheme="minorEastAsia" w:eastAsiaTheme="minorEastAsia"/>
          <w:color w:val="auto"/>
          <w:szCs w:val="21"/>
          <w:highlight w:val="none"/>
        </w:rPr>
      </w:pPr>
    </w:p>
    <w:p>
      <w:pPr>
        <w:spacing w:line="360" w:lineRule="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color w:val="auto"/>
          <w:szCs w:val="21"/>
          <w:highlight w:val="none"/>
        </w:rPr>
        <w:t>致：</w:t>
      </w:r>
      <w:r>
        <w:rPr>
          <w:rFonts w:hint="eastAsia" w:asciiTheme="minorEastAsia" w:hAnsiTheme="minorEastAsia" w:eastAsiaTheme="minorEastAsia"/>
          <w:color w:val="auto"/>
          <w:szCs w:val="21"/>
          <w:highlight w:val="none"/>
          <w:u w:val="single"/>
          <w:lang w:eastAsia="zh-CN"/>
        </w:rPr>
        <w:t>嘉兴市秀洲区人民政府新城街道办事处</w:t>
      </w:r>
    </w:p>
    <w:p>
      <w:pPr>
        <w:spacing w:line="360" w:lineRule="auto"/>
        <w:ind w:firstLine="645"/>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关于贵方</w:t>
      </w:r>
      <w:r>
        <w:rPr>
          <w:rFonts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u w:val="single"/>
          <w:lang w:eastAsia="zh-CN"/>
        </w:rPr>
        <w:t>新城街道市政设施养护项目</w:t>
      </w:r>
      <w:r>
        <w:rPr>
          <w:rFonts w:asciiTheme="minorEastAsia" w:hAnsiTheme="minorEastAsia" w:eastAsiaTheme="minorEastAsia"/>
          <w:color w:val="auto"/>
          <w:szCs w:val="21"/>
          <w:highlight w:val="none"/>
        </w:rPr>
        <w:t>招标</w:t>
      </w:r>
      <w:r>
        <w:rPr>
          <w:rFonts w:hint="eastAsia" w:asciiTheme="minorEastAsia" w:hAnsiTheme="minorEastAsia" w:eastAsiaTheme="minorEastAsia"/>
          <w:color w:val="auto"/>
          <w:szCs w:val="21"/>
          <w:highlight w:val="none"/>
        </w:rPr>
        <w:t>项目</w:t>
      </w:r>
      <w:r>
        <w:rPr>
          <w:rFonts w:asciiTheme="minorEastAsia" w:hAnsiTheme="minorEastAsia" w:eastAsiaTheme="minorEastAsia"/>
          <w:color w:val="auto"/>
          <w:szCs w:val="21"/>
          <w:highlight w:val="none"/>
        </w:rPr>
        <w:t>，本签字人愿意参加投标，提供</w:t>
      </w:r>
      <w:r>
        <w:rPr>
          <w:rFonts w:hint="eastAsia" w:asciiTheme="minorEastAsia" w:hAnsiTheme="minorEastAsia" w:eastAsiaTheme="minorEastAsia"/>
          <w:color w:val="auto"/>
          <w:szCs w:val="21"/>
          <w:highlight w:val="none"/>
        </w:rPr>
        <w:t>招标文件</w:t>
      </w:r>
      <w:r>
        <w:rPr>
          <w:rFonts w:asciiTheme="minorEastAsia" w:hAnsiTheme="minorEastAsia" w:eastAsiaTheme="minorEastAsia"/>
          <w:color w:val="auto"/>
          <w:szCs w:val="21"/>
          <w:highlight w:val="none"/>
        </w:rPr>
        <w:t>规定的</w:t>
      </w:r>
      <w:r>
        <w:rPr>
          <w:rFonts w:hint="eastAsia" w:asciiTheme="minorEastAsia" w:hAnsiTheme="minorEastAsia" w:eastAsiaTheme="minorEastAsia"/>
          <w:color w:val="auto"/>
          <w:szCs w:val="21"/>
          <w:highlight w:val="none"/>
        </w:rPr>
        <w:t>要求及服务，</w:t>
      </w:r>
      <w:r>
        <w:rPr>
          <w:rFonts w:asciiTheme="minorEastAsia" w:hAnsiTheme="minorEastAsia" w:eastAsiaTheme="minorEastAsia"/>
          <w:color w:val="auto"/>
          <w:szCs w:val="21"/>
          <w:highlight w:val="none"/>
        </w:rPr>
        <w:t>并证实提交的下列文件和说明是准确的和真实的</w:t>
      </w:r>
      <w:r>
        <w:rPr>
          <w:rFonts w:hint="eastAsia" w:asciiTheme="minorEastAsia" w:hAnsiTheme="minorEastAsia" w:eastAsiaTheme="minorEastAsia"/>
          <w:color w:val="auto"/>
          <w:szCs w:val="21"/>
          <w:highlight w:val="none"/>
        </w:rPr>
        <w:t>：</w:t>
      </w:r>
    </w:p>
    <w:p>
      <w:pPr>
        <w:spacing w:line="360" w:lineRule="auto"/>
        <w:ind w:firstLine="315" w:firstLineChars="150"/>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rPr>
        <w:t>投标人概况。</w:t>
      </w:r>
    </w:p>
    <w:p>
      <w:pPr>
        <w:spacing w:line="360" w:lineRule="auto"/>
        <w:ind w:firstLine="315" w:firstLineChars="15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2、有效期内的法人营业执照副本复印件（加盖公章）、</w:t>
      </w:r>
    </w:p>
    <w:p>
      <w:pPr>
        <w:spacing w:line="360" w:lineRule="auto"/>
        <w:ind w:firstLine="315" w:firstLineChars="15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3、招标文件要求的相关资格资质证明文件及附件资料复印件（加盖公章）。</w:t>
      </w:r>
    </w:p>
    <w:p>
      <w:pPr>
        <w:spacing w:line="360" w:lineRule="auto"/>
        <w:ind w:firstLine="315" w:firstLineChars="15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4、投标人认为有必要提供的声明及文件资料。</w:t>
      </w:r>
    </w:p>
    <w:p>
      <w:pPr>
        <w:spacing w:line="360" w:lineRule="auto"/>
        <w:ind w:firstLine="315" w:firstLineChars="15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N、</w:t>
      </w:r>
      <w:r>
        <w:rPr>
          <w:rFonts w:asciiTheme="minorEastAsia" w:hAnsiTheme="minorEastAsia" w:eastAsiaTheme="minorEastAsia"/>
          <w:color w:val="auto"/>
          <w:szCs w:val="21"/>
          <w:highlight w:val="none"/>
        </w:rPr>
        <w:t>……</w:t>
      </w:r>
    </w:p>
    <w:p>
      <w:pPr>
        <w:spacing w:beforeLines="50" w:line="360" w:lineRule="auto"/>
        <w:ind w:firstLine="2750" w:firstLineChars="1100"/>
        <w:rPr>
          <w:rFonts w:asciiTheme="minorEastAsia" w:hAnsiTheme="minorEastAsia" w:eastAsiaTheme="minorEastAsia"/>
          <w:color w:val="auto"/>
          <w:spacing w:val="20"/>
          <w:szCs w:val="21"/>
          <w:highlight w:val="none"/>
        </w:rPr>
      </w:pPr>
    </w:p>
    <w:p>
      <w:pPr>
        <w:spacing w:beforeLines="50" w:line="360" w:lineRule="auto"/>
        <w:ind w:firstLine="2750" w:firstLineChars="1100"/>
        <w:rPr>
          <w:rFonts w:asciiTheme="minorEastAsia" w:hAnsiTheme="minorEastAsia" w:eastAsiaTheme="minorEastAsia"/>
          <w:color w:val="auto"/>
          <w:spacing w:val="20"/>
          <w:szCs w:val="21"/>
          <w:highlight w:val="none"/>
        </w:rPr>
      </w:pPr>
    </w:p>
    <w:p>
      <w:pPr>
        <w:spacing w:beforeLines="50" w:line="360" w:lineRule="auto"/>
        <w:ind w:firstLine="2750" w:firstLineChars="1100"/>
        <w:rPr>
          <w:rFonts w:asciiTheme="minorEastAsia" w:hAnsiTheme="minorEastAsia" w:eastAsiaTheme="minorEastAsia"/>
          <w:color w:val="auto"/>
          <w:szCs w:val="21"/>
          <w:highlight w:val="none"/>
        </w:rPr>
      </w:pPr>
      <w:r>
        <w:rPr>
          <w:rFonts w:asciiTheme="minorEastAsia" w:hAnsiTheme="minorEastAsia" w:eastAsiaTheme="minorEastAsia"/>
          <w:color w:val="auto"/>
          <w:spacing w:val="20"/>
          <w:szCs w:val="21"/>
          <w:highlight w:val="none"/>
        </w:rPr>
        <w:t>法定代表人或委托代理人</w:t>
      </w:r>
      <w:r>
        <w:rPr>
          <w:rFonts w:hint="eastAsia" w:asciiTheme="minorEastAsia" w:hAnsiTheme="minorEastAsia" w:eastAsiaTheme="minorEastAsia"/>
          <w:color w:val="auto"/>
          <w:spacing w:val="20"/>
          <w:szCs w:val="21"/>
          <w:highlight w:val="none"/>
        </w:rPr>
        <w:t>签名：</w:t>
      </w:r>
    </w:p>
    <w:p>
      <w:pPr>
        <w:spacing w:line="360" w:lineRule="auto"/>
        <w:ind w:firstLine="500" w:firstLineChars="200"/>
        <w:rPr>
          <w:rFonts w:asciiTheme="minorEastAsia" w:hAnsiTheme="minorEastAsia" w:eastAsiaTheme="minorEastAsia"/>
          <w:color w:val="auto"/>
          <w:spacing w:val="20"/>
          <w:szCs w:val="21"/>
          <w:highlight w:val="none"/>
          <w:u w:val="single"/>
        </w:rPr>
      </w:pPr>
      <w:r>
        <w:rPr>
          <w:rFonts w:hint="eastAsia" w:asciiTheme="minorEastAsia" w:hAnsiTheme="minorEastAsia" w:eastAsiaTheme="minorEastAsia"/>
          <w:color w:val="auto"/>
          <w:spacing w:val="20"/>
          <w:szCs w:val="21"/>
          <w:highlight w:val="none"/>
        </w:rPr>
        <w:t xml:space="preserve">                            投标人盖章：</w:t>
      </w:r>
    </w:p>
    <w:p>
      <w:pPr>
        <w:tabs>
          <w:tab w:val="left" w:pos="1418"/>
        </w:tabs>
        <w:spacing w:line="360" w:lineRule="auto"/>
        <w:rPr>
          <w:rFonts w:asciiTheme="minorEastAsia" w:hAnsiTheme="minorEastAsia" w:eastAsiaTheme="minorEastAsia"/>
          <w:b/>
          <w:color w:val="auto"/>
          <w:szCs w:val="21"/>
          <w:highlight w:val="none"/>
        </w:rPr>
      </w:pPr>
      <w:r>
        <w:rPr>
          <w:rFonts w:hint="eastAsia" w:asciiTheme="minorEastAsia" w:hAnsiTheme="minorEastAsia" w:eastAsiaTheme="minorEastAsia"/>
          <w:color w:val="auto"/>
          <w:spacing w:val="20"/>
          <w:szCs w:val="21"/>
          <w:highlight w:val="none"/>
        </w:rPr>
        <w:t xml:space="preserve">                                日     期：</w:t>
      </w:r>
    </w:p>
    <w:p>
      <w:pPr>
        <w:spacing w:line="360" w:lineRule="auto"/>
        <w:jc w:val="center"/>
        <w:rPr>
          <w:rFonts w:asciiTheme="minorEastAsia" w:hAnsiTheme="minorEastAsia" w:eastAsiaTheme="minorEastAsia"/>
          <w:b/>
          <w:color w:val="auto"/>
          <w:szCs w:val="21"/>
          <w:highlight w:val="none"/>
        </w:rPr>
      </w:pPr>
    </w:p>
    <w:p>
      <w:pPr>
        <w:spacing w:line="360" w:lineRule="auto"/>
        <w:jc w:val="center"/>
        <w:rPr>
          <w:rFonts w:asciiTheme="minorEastAsia" w:hAnsiTheme="minorEastAsia" w:eastAsiaTheme="minorEastAsia"/>
          <w:b/>
          <w:color w:val="auto"/>
          <w:szCs w:val="21"/>
          <w:highlight w:val="none"/>
        </w:rPr>
      </w:pPr>
    </w:p>
    <w:p>
      <w:pPr>
        <w:spacing w:line="360" w:lineRule="auto"/>
        <w:jc w:val="center"/>
        <w:rPr>
          <w:rFonts w:asciiTheme="minorEastAsia" w:hAnsiTheme="minorEastAsia" w:eastAsiaTheme="minorEastAsia"/>
          <w:b/>
          <w:color w:val="auto"/>
          <w:szCs w:val="21"/>
          <w:highlight w:val="none"/>
        </w:rPr>
      </w:pPr>
    </w:p>
    <w:p>
      <w:pPr>
        <w:spacing w:line="360" w:lineRule="auto"/>
        <w:jc w:val="center"/>
        <w:rPr>
          <w:rFonts w:asciiTheme="minorEastAsia" w:hAnsiTheme="minorEastAsia" w:eastAsiaTheme="minorEastAsia"/>
          <w:b/>
          <w:color w:val="auto"/>
          <w:szCs w:val="21"/>
          <w:highlight w:val="none"/>
        </w:rPr>
      </w:pPr>
    </w:p>
    <w:p>
      <w:pPr>
        <w:spacing w:line="360" w:lineRule="auto"/>
        <w:jc w:val="center"/>
        <w:rPr>
          <w:rFonts w:asciiTheme="minorEastAsia" w:hAnsiTheme="minorEastAsia" w:eastAsiaTheme="minorEastAsia"/>
          <w:b/>
          <w:color w:val="auto"/>
          <w:szCs w:val="21"/>
          <w:highlight w:val="none"/>
        </w:rPr>
      </w:pPr>
    </w:p>
    <w:p>
      <w:pPr>
        <w:spacing w:line="360" w:lineRule="auto"/>
        <w:jc w:val="center"/>
        <w:rPr>
          <w:rFonts w:asciiTheme="minorEastAsia" w:hAnsiTheme="minorEastAsia" w:eastAsiaTheme="minorEastAsia"/>
          <w:b/>
          <w:color w:val="auto"/>
          <w:szCs w:val="21"/>
          <w:highlight w:val="none"/>
        </w:rPr>
      </w:pPr>
    </w:p>
    <w:p>
      <w:pPr>
        <w:spacing w:line="360" w:lineRule="auto"/>
        <w:rPr>
          <w:rFonts w:asciiTheme="minorEastAsia" w:hAnsiTheme="minorEastAsia" w:eastAsiaTheme="minorEastAsia"/>
          <w:b/>
          <w:color w:val="auto"/>
          <w:szCs w:val="21"/>
          <w:highlight w:val="none"/>
        </w:rPr>
      </w:pPr>
    </w:p>
    <w:p>
      <w:pPr>
        <w:spacing w:line="360" w:lineRule="auto"/>
        <w:jc w:val="center"/>
        <w:rPr>
          <w:rFonts w:asciiTheme="minorEastAsia" w:hAnsiTheme="minorEastAsia" w:eastAsiaTheme="minorEastAsia"/>
          <w:b/>
          <w:color w:val="auto"/>
          <w:szCs w:val="21"/>
          <w:highlight w:val="none"/>
        </w:rPr>
      </w:pPr>
    </w:p>
    <w:p>
      <w:pPr>
        <w:spacing w:line="360" w:lineRule="auto"/>
        <w:jc w:val="center"/>
        <w:rPr>
          <w:rFonts w:asciiTheme="minorEastAsia" w:hAnsiTheme="minorEastAsia" w:eastAsiaTheme="minorEastAsia"/>
          <w:b/>
          <w:color w:val="auto"/>
          <w:szCs w:val="21"/>
          <w:highlight w:val="none"/>
        </w:rPr>
      </w:pPr>
    </w:p>
    <w:p>
      <w:pPr>
        <w:spacing w:line="360" w:lineRule="auto"/>
        <w:rPr>
          <w:rFonts w:asciiTheme="minorEastAsia" w:hAnsiTheme="minorEastAsia" w:eastAsiaTheme="minorEastAsia"/>
          <w:b/>
          <w:color w:val="auto"/>
          <w:szCs w:val="21"/>
          <w:highlight w:val="none"/>
        </w:rPr>
      </w:pPr>
    </w:p>
    <w:p>
      <w:pPr>
        <w:spacing w:line="360" w:lineRule="auto"/>
        <w:rPr>
          <w:rFonts w:asciiTheme="minorEastAsia" w:hAnsiTheme="minorEastAsia" w:eastAsiaTheme="minorEastAsia"/>
          <w:b/>
          <w:color w:val="auto"/>
          <w:szCs w:val="21"/>
          <w:highlight w:val="none"/>
        </w:rPr>
      </w:pPr>
    </w:p>
    <w:p>
      <w:pPr>
        <w:spacing w:line="360" w:lineRule="auto"/>
        <w:rPr>
          <w:rFonts w:asciiTheme="minorEastAsia" w:hAnsiTheme="minorEastAsia" w:eastAsiaTheme="minorEastAsia"/>
          <w:b/>
          <w:color w:val="auto"/>
          <w:szCs w:val="21"/>
          <w:highlight w:val="none"/>
        </w:rPr>
      </w:pPr>
    </w:p>
    <w:p>
      <w:pPr>
        <w:spacing w:line="360" w:lineRule="auto"/>
        <w:rPr>
          <w:rFonts w:asciiTheme="minorEastAsia" w:hAnsiTheme="minorEastAsia" w:eastAsiaTheme="minorEastAsia"/>
          <w:b/>
          <w:color w:val="auto"/>
          <w:szCs w:val="21"/>
          <w:highlight w:val="none"/>
        </w:rPr>
      </w:pPr>
    </w:p>
    <w:p>
      <w:pPr>
        <w:spacing w:line="360" w:lineRule="auto"/>
        <w:rPr>
          <w:rFonts w:asciiTheme="minorEastAsia" w:hAnsiTheme="minorEastAsia" w:eastAsiaTheme="minorEastAsia"/>
          <w:b/>
          <w:color w:val="auto"/>
          <w:szCs w:val="21"/>
          <w:highlight w:val="none"/>
        </w:rPr>
      </w:pPr>
    </w:p>
    <w:p>
      <w:pPr>
        <w:spacing w:line="360" w:lineRule="auto"/>
        <w:rPr>
          <w:rFonts w:asciiTheme="minorEastAsia" w:hAnsiTheme="minorEastAsia" w:eastAsiaTheme="minorEastAsia"/>
          <w:b/>
          <w:color w:val="auto"/>
          <w:szCs w:val="21"/>
          <w:highlight w:val="none"/>
        </w:rPr>
      </w:pPr>
    </w:p>
    <w:p>
      <w:pPr>
        <w:spacing w:line="360" w:lineRule="auto"/>
        <w:rPr>
          <w:rFonts w:asciiTheme="minorEastAsia" w:hAnsiTheme="minorEastAsia" w:eastAsiaTheme="minorEastAsia"/>
          <w:b/>
          <w:color w:val="auto"/>
          <w:szCs w:val="21"/>
          <w:highlight w:val="none"/>
        </w:rPr>
      </w:pPr>
    </w:p>
    <w:p>
      <w:pPr>
        <w:spacing w:line="360" w:lineRule="auto"/>
        <w:rPr>
          <w:rFonts w:asciiTheme="minorEastAsia" w:hAnsiTheme="minorEastAsia" w:eastAsiaTheme="minorEastAsia"/>
          <w:b/>
          <w:color w:val="auto"/>
          <w:szCs w:val="21"/>
          <w:highlight w:val="none"/>
        </w:rPr>
      </w:pPr>
    </w:p>
    <w:p>
      <w:pPr>
        <w:spacing w:line="360" w:lineRule="auto"/>
        <w:rPr>
          <w:rFonts w:asciiTheme="minorEastAsia" w:hAnsiTheme="minorEastAsia" w:eastAsiaTheme="minorEastAsia"/>
          <w:b/>
          <w:color w:val="auto"/>
          <w:szCs w:val="21"/>
          <w:highlight w:val="none"/>
        </w:rPr>
      </w:pPr>
    </w:p>
    <w:p>
      <w:pPr>
        <w:spacing w:line="360" w:lineRule="auto"/>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5.</w:t>
      </w:r>
    </w:p>
    <w:p>
      <w:pPr>
        <w:spacing w:line="360" w:lineRule="auto"/>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投标人基本情况表 （附件4）</w:t>
      </w:r>
    </w:p>
    <w:tbl>
      <w:tblPr>
        <w:tblStyle w:val="49"/>
        <w:tblW w:w="8610"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813"/>
        <w:gridCol w:w="2538"/>
        <w:gridCol w:w="1530"/>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trPr>
        <w:tc>
          <w:tcPr>
            <w:tcW w:w="650" w:type="dxa"/>
            <w:vMerge w:val="restart"/>
            <w:vAlign w:val="center"/>
          </w:tcPr>
          <w:p>
            <w:pPr>
              <w:spacing w:line="360" w:lineRule="auto"/>
              <w:jc w:val="center"/>
              <w:rPr>
                <w:rFonts w:asciiTheme="minorEastAsia" w:hAnsiTheme="minorEastAsia" w:eastAsiaTheme="minorEastAsia"/>
                <w:color w:val="auto"/>
                <w:szCs w:val="21"/>
                <w:highlight w:val="none"/>
              </w:rPr>
            </w:pPr>
          </w:p>
          <w:p>
            <w:pPr>
              <w:spacing w:line="360" w:lineRule="auto"/>
              <w:jc w:val="center"/>
              <w:rPr>
                <w:rFonts w:asciiTheme="minorEastAsia" w:hAnsiTheme="minorEastAsia" w:eastAsiaTheme="minorEastAsia"/>
                <w:color w:val="auto"/>
                <w:szCs w:val="21"/>
                <w:highlight w:val="none"/>
              </w:rPr>
            </w:pPr>
          </w:p>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w:t>
            </w:r>
          </w:p>
          <w:p>
            <w:pPr>
              <w:spacing w:line="360" w:lineRule="auto"/>
              <w:jc w:val="center"/>
              <w:rPr>
                <w:rFonts w:asciiTheme="minorEastAsia" w:hAnsiTheme="minorEastAsia" w:eastAsiaTheme="minorEastAsia"/>
                <w:color w:val="auto"/>
                <w:szCs w:val="21"/>
                <w:highlight w:val="none"/>
              </w:rPr>
            </w:pPr>
          </w:p>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w:t>
            </w:r>
          </w:p>
          <w:p>
            <w:pPr>
              <w:spacing w:line="360" w:lineRule="auto"/>
              <w:jc w:val="center"/>
              <w:rPr>
                <w:rFonts w:asciiTheme="minorEastAsia" w:hAnsiTheme="minorEastAsia" w:eastAsiaTheme="minorEastAsia"/>
                <w:color w:val="auto"/>
                <w:szCs w:val="21"/>
                <w:highlight w:val="none"/>
              </w:rPr>
            </w:pPr>
          </w:p>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人</w:t>
            </w:r>
          </w:p>
          <w:p>
            <w:pPr>
              <w:spacing w:line="360" w:lineRule="auto"/>
              <w:jc w:val="center"/>
              <w:rPr>
                <w:rFonts w:asciiTheme="minorEastAsia" w:hAnsiTheme="minorEastAsia" w:eastAsiaTheme="minorEastAsia"/>
                <w:color w:val="auto"/>
                <w:szCs w:val="21"/>
                <w:highlight w:val="none"/>
              </w:rPr>
            </w:pPr>
          </w:p>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概</w:t>
            </w:r>
          </w:p>
          <w:p>
            <w:pPr>
              <w:spacing w:line="360" w:lineRule="auto"/>
              <w:jc w:val="center"/>
              <w:rPr>
                <w:rFonts w:asciiTheme="minorEastAsia" w:hAnsiTheme="minorEastAsia" w:eastAsiaTheme="minorEastAsia"/>
                <w:color w:val="auto"/>
                <w:szCs w:val="21"/>
                <w:highlight w:val="none"/>
              </w:rPr>
            </w:pPr>
          </w:p>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况</w:t>
            </w:r>
          </w:p>
        </w:tc>
        <w:tc>
          <w:tcPr>
            <w:tcW w:w="1813"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公司名称</w:t>
            </w:r>
          </w:p>
        </w:tc>
        <w:tc>
          <w:tcPr>
            <w:tcW w:w="6147" w:type="dxa"/>
            <w:gridSpan w:val="3"/>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650" w:type="dxa"/>
            <w:vMerge w:val="continue"/>
            <w:vAlign w:val="center"/>
          </w:tcPr>
          <w:p>
            <w:pPr>
              <w:spacing w:line="360" w:lineRule="auto"/>
              <w:jc w:val="center"/>
              <w:rPr>
                <w:rFonts w:asciiTheme="minorEastAsia" w:hAnsiTheme="minorEastAsia" w:eastAsiaTheme="minorEastAsia"/>
                <w:color w:val="auto"/>
                <w:szCs w:val="21"/>
                <w:highlight w:val="none"/>
              </w:rPr>
            </w:pPr>
          </w:p>
        </w:tc>
        <w:tc>
          <w:tcPr>
            <w:tcW w:w="1813"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地址</w:t>
            </w:r>
          </w:p>
        </w:tc>
        <w:tc>
          <w:tcPr>
            <w:tcW w:w="6147" w:type="dxa"/>
            <w:gridSpan w:val="3"/>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trPr>
        <w:tc>
          <w:tcPr>
            <w:tcW w:w="650" w:type="dxa"/>
            <w:vMerge w:val="continue"/>
            <w:vAlign w:val="center"/>
          </w:tcPr>
          <w:p>
            <w:pPr>
              <w:spacing w:line="360" w:lineRule="auto"/>
              <w:jc w:val="center"/>
              <w:rPr>
                <w:rFonts w:asciiTheme="minorEastAsia" w:hAnsiTheme="minorEastAsia" w:eastAsiaTheme="minorEastAsia"/>
                <w:color w:val="auto"/>
                <w:szCs w:val="21"/>
                <w:highlight w:val="none"/>
              </w:rPr>
            </w:pPr>
          </w:p>
        </w:tc>
        <w:tc>
          <w:tcPr>
            <w:tcW w:w="1813"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经营范围</w:t>
            </w:r>
          </w:p>
        </w:tc>
        <w:tc>
          <w:tcPr>
            <w:tcW w:w="6147" w:type="dxa"/>
            <w:gridSpan w:val="3"/>
            <w:vAlign w:val="center"/>
          </w:tcPr>
          <w:p>
            <w:pPr>
              <w:spacing w:line="360" w:lineRule="auto"/>
              <w:ind w:firstLine="420" w:firstLineChars="200"/>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trPr>
        <w:tc>
          <w:tcPr>
            <w:tcW w:w="650" w:type="dxa"/>
            <w:vMerge w:val="continue"/>
            <w:vAlign w:val="center"/>
          </w:tcPr>
          <w:p>
            <w:pPr>
              <w:spacing w:line="360" w:lineRule="auto"/>
              <w:jc w:val="center"/>
              <w:rPr>
                <w:rFonts w:asciiTheme="minorEastAsia" w:hAnsiTheme="minorEastAsia" w:eastAsiaTheme="minorEastAsia"/>
                <w:color w:val="auto"/>
                <w:szCs w:val="21"/>
                <w:highlight w:val="none"/>
              </w:rPr>
            </w:pPr>
          </w:p>
        </w:tc>
        <w:tc>
          <w:tcPr>
            <w:tcW w:w="1813"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成立时间</w:t>
            </w:r>
          </w:p>
        </w:tc>
        <w:tc>
          <w:tcPr>
            <w:tcW w:w="2538" w:type="dxa"/>
            <w:vAlign w:val="center"/>
          </w:tcPr>
          <w:p>
            <w:pPr>
              <w:spacing w:line="360" w:lineRule="auto"/>
              <w:jc w:val="center"/>
              <w:rPr>
                <w:rFonts w:asciiTheme="minorEastAsia" w:hAnsiTheme="minorEastAsia" w:eastAsiaTheme="minorEastAsia"/>
                <w:color w:val="auto"/>
                <w:szCs w:val="21"/>
                <w:highlight w:val="none"/>
              </w:rPr>
            </w:pPr>
          </w:p>
        </w:tc>
        <w:tc>
          <w:tcPr>
            <w:tcW w:w="1530"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经济性质</w:t>
            </w:r>
          </w:p>
        </w:tc>
        <w:tc>
          <w:tcPr>
            <w:tcW w:w="2079" w:type="dxa"/>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650" w:type="dxa"/>
            <w:vMerge w:val="continue"/>
            <w:vAlign w:val="center"/>
          </w:tcPr>
          <w:p>
            <w:pPr>
              <w:spacing w:line="360" w:lineRule="auto"/>
              <w:jc w:val="center"/>
              <w:rPr>
                <w:rFonts w:asciiTheme="minorEastAsia" w:hAnsiTheme="minorEastAsia" w:eastAsiaTheme="minorEastAsia"/>
                <w:color w:val="auto"/>
                <w:szCs w:val="21"/>
                <w:highlight w:val="none"/>
              </w:rPr>
            </w:pPr>
          </w:p>
        </w:tc>
        <w:tc>
          <w:tcPr>
            <w:tcW w:w="1813"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法定代表人</w:t>
            </w:r>
          </w:p>
        </w:tc>
        <w:tc>
          <w:tcPr>
            <w:tcW w:w="2538" w:type="dxa"/>
            <w:vAlign w:val="center"/>
          </w:tcPr>
          <w:p>
            <w:pPr>
              <w:spacing w:line="360" w:lineRule="auto"/>
              <w:jc w:val="center"/>
              <w:rPr>
                <w:rFonts w:asciiTheme="minorEastAsia" w:hAnsiTheme="minorEastAsia" w:eastAsiaTheme="minorEastAsia"/>
                <w:color w:val="auto"/>
                <w:szCs w:val="21"/>
                <w:highlight w:val="none"/>
              </w:rPr>
            </w:pPr>
          </w:p>
        </w:tc>
        <w:tc>
          <w:tcPr>
            <w:tcW w:w="1530"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联系电话</w:t>
            </w:r>
          </w:p>
        </w:tc>
        <w:tc>
          <w:tcPr>
            <w:tcW w:w="2079" w:type="dxa"/>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trPr>
        <w:tc>
          <w:tcPr>
            <w:tcW w:w="650" w:type="dxa"/>
            <w:vMerge w:val="continue"/>
            <w:vAlign w:val="center"/>
          </w:tcPr>
          <w:p>
            <w:pPr>
              <w:spacing w:line="360" w:lineRule="auto"/>
              <w:jc w:val="center"/>
              <w:rPr>
                <w:rFonts w:asciiTheme="minorEastAsia" w:hAnsiTheme="minorEastAsia" w:eastAsiaTheme="minorEastAsia"/>
                <w:color w:val="auto"/>
                <w:szCs w:val="21"/>
                <w:highlight w:val="none"/>
              </w:rPr>
            </w:pPr>
          </w:p>
        </w:tc>
        <w:tc>
          <w:tcPr>
            <w:tcW w:w="1813"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注册资金</w:t>
            </w:r>
          </w:p>
        </w:tc>
        <w:tc>
          <w:tcPr>
            <w:tcW w:w="2538" w:type="dxa"/>
            <w:vAlign w:val="center"/>
          </w:tcPr>
          <w:p>
            <w:pPr>
              <w:spacing w:line="360" w:lineRule="auto"/>
              <w:jc w:val="center"/>
              <w:rPr>
                <w:rFonts w:asciiTheme="minorEastAsia" w:hAnsiTheme="minorEastAsia" w:eastAsiaTheme="minorEastAsia"/>
                <w:color w:val="auto"/>
                <w:szCs w:val="21"/>
                <w:highlight w:val="none"/>
              </w:rPr>
            </w:pPr>
          </w:p>
        </w:tc>
        <w:tc>
          <w:tcPr>
            <w:tcW w:w="1530"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人员数</w:t>
            </w:r>
          </w:p>
        </w:tc>
        <w:tc>
          <w:tcPr>
            <w:tcW w:w="2079" w:type="dxa"/>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trPr>
        <w:tc>
          <w:tcPr>
            <w:tcW w:w="650" w:type="dxa"/>
            <w:vMerge w:val="continue"/>
            <w:vAlign w:val="center"/>
          </w:tcPr>
          <w:p>
            <w:pPr>
              <w:spacing w:line="360" w:lineRule="auto"/>
              <w:jc w:val="center"/>
              <w:rPr>
                <w:rFonts w:asciiTheme="minorEastAsia" w:hAnsiTheme="minorEastAsia" w:eastAsiaTheme="minorEastAsia"/>
                <w:color w:val="auto"/>
                <w:szCs w:val="21"/>
                <w:highlight w:val="none"/>
              </w:rPr>
            </w:pPr>
          </w:p>
        </w:tc>
        <w:tc>
          <w:tcPr>
            <w:tcW w:w="1813"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资产总额</w:t>
            </w:r>
          </w:p>
        </w:tc>
        <w:tc>
          <w:tcPr>
            <w:tcW w:w="2538" w:type="dxa"/>
            <w:vAlign w:val="center"/>
          </w:tcPr>
          <w:p>
            <w:pPr>
              <w:spacing w:line="360" w:lineRule="auto"/>
              <w:jc w:val="center"/>
              <w:rPr>
                <w:rFonts w:asciiTheme="minorEastAsia" w:hAnsiTheme="minorEastAsia" w:eastAsiaTheme="minorEastAsia"/>
                <w:color w:val="auto"/>
                <w:szCs w:val="21"/>
                <w:highlight w:val="none"/>
              </w:rPr>
            </w:pPr>
          </w:p>
        </w:tc>
        <w:tc>
          <w:tcPr>
            <w:tcW w:w="1530"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净资产</w:t>
            </w:r>
          </w:p>
        </w:tc>
        <w:tc>
          <w:tcPr>
            <w:tcW w:w="2079" w:type="dxa"/>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2" w:hRule="atLeast"/>
        </w:trPr>
        <w:tc>
          <w:tcPr>
            <w:tcW w:w="650" w:type="dxa"/>
            <w:vMerge w:val="continue"/>
            <w:vAlign w:val="center"/>
          </w:tcPr>
          <w:p>
            <w:pPr>
              <w:spacing w:line="360" w:lineRule="auto"/>
              <w:jc w:val="center"/>
              <w:rPr>
                <w:rFonts w:asciiTheme="minorEastAsia" w:hAnsiTheme="minorEastAsia" w:eastAsiaTheme="minorEastAsia"/>
                <w:color w:val="auto"/>
                <w:szCs w:val="21"/>
                <w:highlight w:val="none"/>
              </w:rPr>
            </w:pPr>
          </w:p>
        </w:tc>
        <w:tc>
          <w:tcPr>
            <w:tcW w:w="1813"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是否依法纳税</w:t>
            </w:r>
          </w:p>
        </w:tc>
        <w:tc>
          <w:tcPr>
            <w:tcW w:w="2538" w:type="dxa"/>
            <w:vAlign w:val="center"/>
          </w:tcPr>
          <w:p>
            <w:pPr>
              <w:spacing w:line="360" w:lineRule="auto"/>
              <w:jc w:val="center"/>
              <w:rPr>
                <w:rFonts w:asciiTheme="minorEastAsia" w:hAnsiTheme="minorEastAsia" w:eastAsiaTheme="minorEastAsia"/>
                <w:color w:val="auto"/>
                <w:szCs w:val="21"/>
                <w:highlight w:val="none"/>
              </w:rPr>
            </w:pPr>
          </w:p>
        </w:tc>
        <w:tc>
          <w:tcPr>
            <w:tcW w:w="1530"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是否参加社保</w:t>
            </w:r>
          </w:p>
        </w:tc>
        <w:tc>
          <w:tcPr>
            <w:tcW w:w="2079" w:type="dxa"/>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2" w:hRule="atLeast"/>
        </w:trPr>
        <w:tc>
          <w:tcPr>
            <w:tcW w:w="650" w:type="dxa"/>
            <w:vMerge w:val="continue"/>
            <w:vAlign w:val="center"/>
          </w:tcPr>
          <w:p>
            <w:pPr>
              <w:spacing w:line="360" w:lineRule="auto"/>
              <w:jc w:val="center"/>
              <w:rPr>
                <w:rFonts w:asciiTheme="minorEastAsia" w:hAnsiTheme="minorEastAsia" w:eastAsiaTheme="minorEastAsia"/>
                <w:color w:val="auto"/>
                <w:szCs w:val="21"/>
                <w:highlight w:val="none"/>
              </w:rPr>
            </w:pPr>
          </w:p>
        </w:tc>
        <w:tc>
          <w:tcPr>
            <w:tcW w:w="7960" w:type="dxa"/>
            <w:gridSpan w:val="4"/>
          </w:tcPr>
          <w:p>
            <w:pPr>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单位优势及特点：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8610" w:type="dxa"/>
            <w:gridSpan w:val="5"/>
            <w:vAlign w:val="center"/>
          </w:tcPr>
          <w:p>
            <w:pPr>
              <w:spacing w:line="360" w:lineRule="auto"/>
              <w:jc w:val="righ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（单位公章）年   月   日</w:t>
            </w:r>
          </w:p>
        </w:tc>
      </w:tr>
    </w:tbl>
    <w:p>
      <w:pPr>
        <w:spacing w:beforeLines="50"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   注：附营业执照。</w:t>
      </w:r>
    </w:p>
    <w:p>
      <w:pPr>
        <w:snapToGrid w:val="0"/>
        <w:spacing w:line="360" w:lineRule="auto"/>
        <w:rPr>
          <w:rFonts w:asciiTheme="minorEastAsia" w:hAnsiTheme="minorEastAsia" w:eastAsiaTheme="minorEastAsia"/>
          <w:b/>
          <w:color w:val="auto"/>
          <w:spacing w:val="20"/>
          <w:szCs w:val="21"/>
          <w:highlight w:val="none"/>
        </w:rPr>
      </w:pPr>
    </w:p>
    <w:p>
      <w:pPr>
        <w:snapToGrid w:val="0"/>
        <w:spacing w:line="360" w:lineRule="auto"/>
        <w:rPr>
          <w:rFonts w:asciiTheme="minorEastAsia" w:hAnsiTheme="minorEastAsia" w:eastAsiaTheme="minorEastAsia"/>
          <w:b/>
          <w:bCs/>
          <w:color w:val="auto"/>
          <w:kern w:val="44"/>
          <w:szCs w:val="21"/>
          <w:highlight w:val="none"/>
        </w:rPr>
      </w:pPr>
    </w:p>
    <w:p>
      <w:pPr>
        <w:snapToGrid w:val="0"/>
        <w:spacing w:line="360" w:lineRule="auto"/>
        <w:rPr>
          <w:rFonts w:asciiTheme="minorEastAsia" w:hAnsiTheme="minorEastAsia" w:eastAsiaTheme="minorEastAsia"/>
          <w:b/>
          <w:bCs/>
          <w:color w:val="auto"/>
          <w:kern w:val="44"/>
          <w:szCs w:val="21"/>
          <w:highlight w:val="none"/>
        </w:rPr>
      </w:pPr>
    </w:p>
    <w:p>
      <w:pPr>
        <w:snapToGrid w:val="0"/>
        <w:spacing w:line="360" w:lineRule="auto"/>
        <w:rPr>
          <w:rFonts w:asciiTheme="minorEastAsia" w:hAnsiTheme="minorEastAsia" w:eastAsiaTheme="minorEastAsia"/>
          <w:b/>
          <w:bCs/>
          <w:color w:val="auto"/>
          <w:kern w:val="44"/>
          <w:szCs w:val="21"/>
          <w:highlight w:val="none"/>
        </w:rPr>
      </w:pPr>
    </w:p>
    <w:p>
      <w:pPr>
        <w:snapToGrid w:val="0"/>
        <w:spacing w:line="360" w:lineRule="auto"/>
        <w:rPr>
          <w:rFonts w:asciiTheme="minorEastAsia" w:hAnsiTheme="minorEastAsia" w:eastAsiaTheme="minorEastAsia"/>
          <w:b/>
          <w:bCs/>
          <w:color w:val="auto"/>
          <w:kern w:val="44"/>
          <w:szCs w:val="21"/>
          <w:highlight w:val="none"/>
        </w:rPr>
      </w:pPr>
    </w:p>
    <w:p>
      <w:pPr>
        <w:snapToGrid w:val="0"/>
        <w:spacing w:line="360" w:lineRule="auto"/>
        <w:rPr>
          <w:rFonts w:asciiTheme="minorEastAsia" w:hAnsiTheme="minorEastAsia" w:eastAsiaTheme="minorEastAsia"/>
          <w:b/>
          <w:bCs/>
          <w:color w:val="auto"/>
          <w:kern w:val="44"/>
          <w:szCs w:val="21"/>
          <w:highlight w:val="none"/>
        </w:rPr>
      </w:pPr>
    </w:p>
    <w:p>
      <w:pPr>
        <w:snapToGrid w:val="0"/>
        <w:spacing w:line="360" w:lineRule="auto"/>
        <w:rPr>
          <w:rFonts w:asciiTheme="minorEastAsia" w:hAnsiTheme="minorEastAsia" w:eastAsiaTheme="minorEastAsia"/>
          <w:b/>
          <w:bCs/>
          <w:color w:val="auto"/>
          <w:kern w:val="44"/>
          <w:szCs w:val="21"/>
          <w:highlight w:val="none"/>
        </w:rPr>
      </w:pPr>
    </w:p>
    <w:p>
      <w:pPr>
        <w:snapToGrid w:val="0"/>
        <w:spacing w:line="360" w:lineRule="auto"/>
        <w:rPr>
          <w:rFonts w:asciiTheme="minorEastAsia" w:hAnsiTheme="minorEastAsia" w:eastAsiaTheme="minorEastAsia"/>
          <w:b/>
          <w:bCs/>
          <w:color w:val="auto"/>
          <w:kern w:val="44"/>
          <w:szCs w:val="21"/>
          <w:highlight w:val="none"/>
        </w:rPr>
      </w:pPr>
    </w:p>
    <w:p>
      <w:pPr>
        <w:snapToGrid w:val="0"/>
        <w:spacing w:line="360" w:lineRule="auto"/>
        <w:rPr>
          <w:rFonts w:asciiTheme="minorEastAsia" w:hAnsiTheme="minorEastAsia" w:eastAsiaTheme="minorEastAsia"/>
          <w:b/>
          <w:bCs/>
          <w:color w:val="auto"/>
          <w:kern w:val="44"/>
          <w:szCs w:val="21"/>
          <w:highlight w:val="none"/>
        </w:rPr>
      </w:pPr>
    </w:p>
    <w:p>
      <w:pPr>
        <w:snapToGrid w:val="0"/>
        <w:spacing w:line="360" w:lineRule="auto"/>
        <w:rPr>
          <w:rFonts w:asciiTheme="minorEastAsia" w:hAnsiTheme="minorEastAsia" w:eastAsiaTheme="minorEastAsia"/>
          <w:b/>
          <w:bCs/>
          <w:color w:val="auto"/>
          <w:kern w:val="44"/>
          <w:szCs w:val="21"/>
          <w:highlight w:val="none"/>
        </w:rPr>
      </w:pPr>
    </w:p>
    <w:p>
      <w:pPr>
        <w:snapToGrid w:val="0"/>
        <w:spacing w:line="360" w:lineRule="auto"/>
        <w:rPr>
          <w:rFonts w:asciiTheme="minorEastAsia" w:hAnsiTheme="minorEastAsia" w:eastAsiaTheme="minorEastAsia"/>
          <w:b/>
          <w:color w:val="auto"/>
          <w:spacing w:val="20"/>
          <w:szCs w:val="21"/>
          <w:highlight w:val="none"/>
        </w:rPr>
      </w:pPr>
      <w:r>
        <w:rPr>
          <w:rFonts w:hint="eastAsia" w:asciiTheme="minorEastAsia" w:hAnsiTheme="minorEastAsia" w:eastAsiaTheme="minorEastAsia"/>
          <w:b/>
          <w:color w:val="auto"/>
          <w:spacing w:val="20"/>
          <w:szCs w:val="21"/>
          <w:highlight w:val="none"/>
        </w:rPr>
        <w:t>6 .</w:t>
      </w:r>
    </w:p>
    <w:p>
      <w:pPr>
        <w:snapToGrid w:val="0"/>
        <w:spacing w:line="360" w:lineRule="auto"/>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业绩一览表（附件5）</w:t>
      </w:r>
    </w:p>
    <w:tbl>
      <w:tblPr>
        <w:tblStyle w:val="49"/>
        <w:tblW w:w="9907" w:type="dxa"/>
        <w:tblInd w:w="-6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7"/>
        <w:gridCol w:w="2067"/>
        <w:gridCol w:w="2067"/>
        <w:gridCol w:w="1720"/>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87"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序号</w:t>
            </w:r>
          </w:p>
        </w:tc>
        <w:tc>
          <w:tcPr>
            <w:tcW w:w="2067" w:type="dxa"/>
            <w:vAlign w:val="center"/>
          </w:tcPr>
          <w:p>
            <w:pPr>
              <w:autoSpaceDE w:val="0"/>
              <w:autoSpaceDN w:val="0"/>
              <w:adjustRightInd w:val="0"/>
              <w:snapToGrid w:val="0"/>
              <w:spacing w:line="360" w:lineRule="auto"/>
              <w:jc w:val="center"/>
              <w:rPr>
                <w:rFonts w:asciiTheme="minorEastAsia" w:hAnsiTheme="minorEastAsia" w:eastAsiaTheme="minorEastAsia"/>
                <w:color w:val="auto"/>
                <w:szCs w:val="21"/>
                <w:highlight w:val="none"/>
                <w:lang w:val="zh-CN"/>
              </w:rPr>
            </w:pPr>
            <w:r>
              <w:rPr>
                <w:rFonts w:hint="eastAsia" w:asciiTheme="minorEastAsia" w:hAnsiTheme="minorEastAsia" w:eastAsiaTheme="minorEastAsia"/>
                <w:color w:val="auto"/>
                <w:szCs w:val="21"/>
                <w:highlight w:val="none"/>
              </w:rPr>
              <w:t>项目名称</w:t>
            </w:r>
          </w:p>
        </w:tc>
        <w:tc>
          <w:tcPr>
            <w:tcW w:w="2067" w:type="dxa"/>
            <w:vAlign w:val="center"/>
          </w:tcPr>
          <w:p>
            <w:pPr>
              <w:autoSpaceDE w:val="0"/>
              <w:autoSpaceDN w:val="0"/>
              <w:adjustRightInd w:val="0"/>
              <w:snapToGrid w:val="0"/>
              <w:spacing w:line="360" w:lineRule="auto"/>
              <w:jc w:val="center"/>
              <w:rPr>
                <w:rFonts w:asciiTheme="minorEastAsia" w:hAnsiTheme="minorEastAsia" w:eastAsiaTheme="minorEastAsia"/>
                <w:color w:val="auto"/>
                <w:szCs w:val="21"/>
                <w:highlight w:val="none"/>
                <w:lang w:val="zh-CN"/>
              </w:rPr>
            </w:pPr>
            <w:r>
              <w:rPr>
                <w:rFonts w:hint="eastAsia" w:asciiTheme="minorEastAsia" w:hAnsiTheme="minorEastAsia" w:eastAsiaTheme="minorEastAsia"/>
                <w:color w:val="auto"/>
                <w:szCs w:val="21"/>
                <w:highlight w:val="none"/>
                <w:lang w:val="zh-CN"/>
              </w:rPr>
              <w:t>项目金额</w:t>
            </w:r>
          </w:p>
          <w:p>
            <w:pPr>
              <w:autoSpaceDE w:val="0"/>
              <w:autoSpaceDN w:val="0"/>
              <w:adjustRightInd w:val="0"/>
              <w:snapToGrid w:val="0"/>
              <w:spacing w:line="360" w:lineRule="auto"/>
              <w:jc w:val="center"/>
              <w:rPr>
                <w:rFonts w:asciiTheme="minorEastAsia" w:hAnsiTheme="minorEastAsia" w:eastAsiaTheme="minorEastAsia"/>
                <w:color w:val="auto"/>
                <w:szCs w:val="21"/>
                <w:highlight w:val="none"/>
                <w:lang w:val="zh-CN"/>
              </w:rPr>
            </w:pPr>
            <w:r>
              <w:rPr>
                <w:rFonts w:hint="eastAsia" w:asciiTheme="minorEastAsia" w:hAnsiTheme="minorEastAsia" w:eastAsiaTheme="minorEastAsia"/>
                <w:color w:val="auto"/>
                <w:szCs w:val="21"/>
                <w:highlight w:val="none"/>
                <w:lang w:val="zh-CN"/>
              </w:rPr>
              <w:t>（</w:t>
            </w:r>
            <w:r>
              <w:rPr>
                <w:rFonts w:hint="eastAsia" w:asciiTheme="minorEastAsia" w:hAnsiTheme="minorEastAsia" w:eastAsiaTheme="minorEastAsia"/>
                <w:color w:val="auto"/>
                <w:szCs w:val="21"/>
                <w:highlight w:val="none"/>
              </w:rPr>
              <w:t>万元）</w:t>
            </w:r>
          </w:p>
        </w:tc>
        <w:tc>
          <w:tcPr>
            <w:tcW w:w="1720"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合同时间</w:t>
            </w:r>
          </w:p>
        </w:tc>
        <w:tc>
          <w:tcPr>
            <w:tcW w:w="2066"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87"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2067"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2067"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1720"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2066"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87"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2067"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2067"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1720"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2066"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87"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2067"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2067"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1720"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2066"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87"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2067"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2067"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1720"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2066"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87"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2067"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2067"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1720"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2066"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87"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2067"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2067"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1720"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2066"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87"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2067"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2067"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1720"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2066"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87"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2067"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2067"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1720"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2066"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87"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2067"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2067"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1720"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2066"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87"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2067"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2067"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1720"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2066"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87"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2067"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2067"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1720"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2066"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87"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2067"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2067"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1720"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2066"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87"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2067"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2067"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1720"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2066"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87"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2067"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2067"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1720"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2066"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87"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2067"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2067"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1720"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2066"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87"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2067"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2067"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1720"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c>
          <w:tcPr>
            <w:tcW w:w="2066" w:type="dxa"/>
            <w:vAlign w:val="center"/>
          </w:tcPr>
          <w:p>
            <w:pPr>
              <w:spacing w:line="360" w:lineRule="auto"/>
              <w:ind w:firstLine="525" w:firstLineChars="250"/>
              <w:jc w:val="center"/>
              <w:rPr>
                <w:rFonts w:asciiTheme="minorEastAsia" w:hAnsiTheme="minorEastAsia" w:eastAsiaTheme="minorEastAsia"/>
                <w:color w:val="auto"/>
                <w:szCs w:val="21"/>
                <w:highlight w:val="none"/>
              </w:rPr>
            </w:pPr>
          </w:p>
        </w:tc>
      </w:tr>
    </w:tbl>
    <w:p>
      <w:pPr>
        <w:pStyle w:val="28"/>
        <w:tabs>
          <w:tab w:val="left" w:pos="1200"/>
        </w:tabs>
        <w:spacing w:before="120" w:after="120" w:line="36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注：1、以上项目须提供合同复印件加盖单位公章.</w:t>
      </w:r>
    </w:p>
    <w:p>
      <w:pPr>
        <w:pStyle w:val="28"/>
        <w:tabs>
          <w:tab w:val="left" w:pos="1200"/>
        </w:tabs>
        <w:spacing w:before="120" w:after="120" w:line="360" w:lineRule="auto"/>
        <w:ind w:firstLine="420" w:firstLineChars="20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2、本表可在不改变格式的情况下根据具体需要自行增减。</w:t>
      </w:r>
    </w:p>
    <w:p>
      <w:pPr>
        <w:snapToGrid w:val="0"/>
        <w:spacing w:line="360" w:lineRule="auto"/>
        <w:rPr>
          <w:rFonts w:asciiTheme="minorEastAsia" w:hAnsiTheme="minorEastAsia" w:eastAsiaTheme="minorEastAsia"/>
          <w:color w:val="auto"/>
          <w:spacing w:val="20"/>
          <w:szCs w:val="21"/>
          <w:highlight w:val="none"/>
        </w:rPr>
      </w:pPr>
    </w:p>
    <w:p>
      <w:pPr>
        <w:snapToGrid w:val="0"/>
        <w:spacing w:line="360" w:lineRule="auto"/>
        <w:rPr>
          <w:rFonts w:asciiTheme="minorEastAsia" w:hAnsiTheme="minorEastAsia" w:eastAsiaTheme="minorEastAsia"/>
          <w:color w:val="auto"/>
          <w:spacing w:val="20"/>
          <w:szCs w:val="21"/>
          <w:highlight w:val="none"/>
        </w:rPr>
      </w:pPr>
    </w:p>
    <w:p>
      <w:pPr>
        <w:snapToGrid w:val="0"/>
        <w:spacing w:line="360" w:lineRule="auto"/>
        <w:rPr>
          <w:rFonts w:asciiTheme="minorEastAsia" w:hAnsiTheme="minorEastAsia" w:eastAsiaTheme="minorEastAsia"/>
          <w:color w:val="auto"/>
          <w:spacing w:val="20"/>
          <w:szCs w:val="21"/>
          <w:highlight w:val="none"/>
        </w:rPr>
      </w:pPr>
    </w:p>
    <w:p>
      <w:pPr>
        <w:snapToGrid w:val="0"/>
        <w:spacing w:line="360" w:lineRule="auto"/>
        <w:rPr>
          <w:rFonts w:asciiTheme="minorEastAsia" w:hAnsiTheme="minorEastAsia" w:eastAsiaTheme="minorEastAsia"/>
          <w:color w:val="auto"/>
          <w:spacing w:val="20"/>
          <w:szCs w:val="21"/>
          <w:highlight w:val="none"/>
        </w:rPr>
      </w:pPr>
    </w:p>
    <w:p>
      <w:pPr>
        <w:pStyle w:val="48"/>
        <w:ind w:firstLine="404"/>
        <w:rPr>
          <w:color w:val="auto"/>
          <w:highlight w:val="none"/>
        </w:rPr>
      </w:pPr>
    </w:p>
    <w:p>
      <w:pPr>
        <w:snapToGrid w:val="0"/>
        <w:spacing w:line="360" w:lineRule="auto"/>
        <w:rPr>
          <w:rFonts w:asciiTheme="minorEastAsia" w:hAnsiTheme="minorEastAsia" w:eastAsiaTheme="minorEastAsia"/>
          <w:b/>
          <w:color w:val="auto"/>
          <w:spacing w:val="20"/>
          <w:szCs w:val="21"/>
          <w:highlight w:val="none"/>
        </w:rPr>
      </w:pPr>
      <w:r>
        <w:rPr>
          <w:rFonts w:hint="eastAsia" w:asciiTheme="minorEastAsia" w:hAnsiTheme="minorEastAsia" w:eastAsiaTheme="minorEastAsia"/>
          <w:b/>
          <w:color w:val="auto"/>
          <w:spacing w:val="20"/>
          <w:szCs w:val="21"/>
          <w:highlight w:val="none"/>
        </w:rPr>
        <w:t>7.</w:t>
      </w:r>
    </w:p>
    <w:p>
      <w:pPr>
        <w:snapToGrid w:val="0"/>
        <w:spacing w:line="360" w:lineRule="auto"/>
        <w:jc w:val="center"/>
        <w:rPr>
          <w:rFonts w:asciiTheme="minorEastAsia" w:hAnsiTheme="minorEastAsia" w:eastAsiaTheme="minorEastAsia"/>
          <w:b/>
          <w:color w:val="auto"/>
          <w:spacing w:val="20"/>
          <w:szCs w:val="21"/>
          <w:highlight w:val="none"/>
        </w:rPr>
      </w:pPr>
      <w:r>
        <w:rPr>
          <w:rFonts w:hint="eastAsia" w:asciiTheme="minorEastAsia" w:hAnsiTheme="minorEastAsia" w:eastAsiaTheme="minorEastAsia"/>
          <w:b/>
          <w:color w:val="auto"/>
          <w:spacing w:val="20"/>
          <w:szCs w:val="21"/>
          <w:highlight w:val="none"/>
        </w:rPr>
        <w:t>认证证书情况（附件6）</w:t>
      </w:r>
    </w:p>
    <w:tbl>
      <w:tblPr>
        <w:tblStyle w:val="49"/>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2321"/>
        <w:gridCol w:w="1900"/>
        <w:gridCol w:w="1477"/>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034" w:type="dxa"/>
          </w:tcPr>
          <w:p>
            <w:pPr>
              <w:spacing w:line="360" w:lineRule="auto"/>
              <w:jc w:val="center"/>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序号</w:t>
            </w:r>
          </w:p>
        </w:tc>
        <w:tc>
          <w:tcPr>
            <w:tcW w:w="2321" w:type="dxa"/>
          </w:tcPr>
          <w:p>
            <w:pPr>
              <w:spacing w:line="360" w:lineRule="auto"/>
              <w:jc w:val="center"/>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名称</w:t>
            </w:r>
          </w:p>
        </w:tc>
        <w:tc>
          <w:tcPr>
            <w:tcW w:w="1900" w:type="dxa"/>
          </w:tcPr>
          <w:p>
            <w:pPr>
              <w:spacing w:line="360" w:lineRule="auto"/>
              <w:jc w:val="center"/>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获得时间</w:t>
            </w:r>
          </w:p>
        </w:tc>
        <w:tc>
          <w:tcPr>
            <w:tcW w:w="1477" w:type="dxa"/>
          </w:tcPr>
          <w:p>
            <w:pPr>
              <w:spacing w:line="360" w:lineRule="auto"/>
              <w:jc w:val="center"/>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认证机构</w:t>
            </w:r>
          </w:p>
        </w:tc>
        <w:tc>
          <w:tcPr>
            <w:tcW w:w="1796" w:type="dxa"/>
          </w:tcPr>
          <w:p>
            <w:pPr>
              <w:spacing w:line="360" w:lineRule="auto"/>
              <w:jc w:val="center"/>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034" w:type="dxa"/>
          </w:tcPr>
          <w:p>
            <w:pPr>
              <w:spacing w:line="360" w:lineRule="auto"/>
              <w:jc w:val="center"/>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1</w:t>
            </w:r>
          </w:p>
        </w:tc>
        <w:tc>
          <w:tcPr>
            <w:tcW w:w="2321" w:type="dxa"/>
          </w:tcPr>
          <w:p>
            <w:pPr>
              <w:spacing w:line="360" w:lineRule="auto"/>
              <w:rPr>
                <w:rFonts w:asciiTheme="minorEastAsia" w:hAnsiTheme="minorEastAsia" w:eastAsiaTheme="minorEastAsia"/>
                <w:bCs/>
                <w:color w:val="auto"/>
                <w:szCs w:val="21"/>
                <w:highlight w:val="none"/>
              </w:rPr>
            </w:pPr>
          </w:p>
        </w:tc>
        <w:tc>
          <w:tcPr>
            <w:tcW w:w="1900" w:type="dxa"/>
          </w:tcPr>
          <w:p>
            <w:pPr>
              <w:spacing w:line="360" w:lineRule="auto"/>
              <w:rPr>
                <w:rFonts w:asciiTheme="minorEastAsia" w:hAnsiTheme="minorEastAsia" w:eastAsiaTheme="minorEastAsia"/>
                <w:bCs/>
                <w:color w:val="auto"/>
                <w:szCs w:val="21"/>
                <w:highlight w:val="none"/>
              </w:rPr>
            </w:pPr>
          </w:p>
        </w:tc>
        <w:tc>
          <w:tcPr>
            <w:tcW w:w="1477" w:type="dxa"/>
          </w:tcPr>
          <w:p>
            <w:pPr>
              <w:spacing w:line="360" w:lineRule="auto"/>
              <w:rPr>
                <w:rFonts w:asciiTheme="minorEastAsia" w:hAnsiTheme="minorEastAsia" w:eastAsiaTheme="minorEastAsia"/>
                <w:bCs/>
                <w:color w:val="auto"/>
                <w:szCs w:val="21"/>
                <w:highlight w:val="none"/>
              </w:rPr>
            </w:pPr>
          </w:p>
        </w:tc>
        <w:tc>
          <w:tcPr>
            <w:tcW w:w="1796" w:type="dxa"/>
          </w:tcPr>
          <w:p>
            <w:pPr>
              <w:spacing w:line="360" w:lineRule="auto"/>
              <w:rPr>
                <w:rFonts w:asciiTheme="minorEastAsia" w:hAnsiTheme="minorEastAsia" w:eastAsiaTheme="minorEastAsia"/>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34" w:type="dxa"/>
          </w:tcPr>
          <w:p>
            <w:pPr>
              <w:spacing w:line="360" w:lineRule="auto"/>
              <w:jc w:val="center"/>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2</w:t>
            </w:r>
          </w:p>
        </w:tc>
        <w:tc>
          <w:tcPr>
            <w:tcW w:w="2321" w:type="dxa"/>
          </w:tcPr>
          <w:p>
            <w:pPr>
              <w:spacing w:line="360" w:lineRule="auto"/>
              <w:rPr>
                <w:rFonts w:asciiTheme="minorEastAsia" w:hAnsiTheme="minorEastAsia" w:eastAsiaTheme="minorEastAsia"/>
                <w:bCs/>
                <w:color w:val="auto"/>
                <w:szCs w:val="21"/>
                <w:highlight w:val="none"/>
              </w:rPr>
            </w:pPr>
          </w:p>
        </w:tc>
        <w:tc>
          <w:tcPr>
            <w:tcW w:w="1900" w:type="dxa"/>
          </w:tcPr>
          <w:p>
            <w:pPr>
              <w:spacing w:line="360" w:lineRule="auto"/>
              <w:rPr>
                <w:rFonts w:asciiTheme="minorEastAsia" w:hAnsiTheme="minorEastAsia" w:eastAsiaTheme="minorEastAsia"/>
                <w:bCs/>
                <w:color w:val="auto"/>
                <w:szCs w:val="21"/>
                <w:highlight w:val="none"/>
              </w:rPr>
            </w:pPr>
          </w:p>
        </w:tc>
        <w:tc>
          <w:tcPr>
            <w:tcW w:w="1477" w:type="dxa"/>
          </w:tcPr>
          <w:p>
            <w:pPr>
              <w:spacing w:line="360" w:lineRule="auto"/>
              <w:rPr>
                <w:rFonts w:asciiTheme="minorEastAsia" w:hAnsiTheme="minorEastAsia" w:eastAsiaTheme="minorEastAsia"/>
                <w:bCs/>
                <w:color w:val="auto"/>
                <w:szCs w:val="21"/>
                <w:highlight w:val="none"/>
              </w:rPr>
            </w:pPr>
          </w:p>
        </w:tc>
        <w:tc>
          <w:tcPr>
            <w:tcW w:w="1796" w:type="dxa"/>
          </w:tcPr>
          <w:p>
            <w:pPr>
              <w:spacing w:line="360" w:lineRule="auto"/>
              <w:rPr>
                <w:rFonts w:asciiTheme="minorEastAsia" w:hAnsiTheme="minorEastAsia" w:eastAsiaTheme="minorEastAsia"/>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034" w:type="dxa"/>
          </w:tcPr>
          <w:p>
            <w:pPr>
              <w:spacing w:line="360" w:lineRule="auto"/>
              <w:jc w:val="center"/>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3</w:t>
            </w:r>
          </w:p>
        </w:tc>
        <w:tc>
          <w:tcPr>
            <w:tcW w:w="2321" w:type="dxa"/>
          </w:tcPr>
          <w:p>
            <w:pPr>
              <w:spacing w:line="360" w:lineRule="auto"/>
              <w:rPr>
                <w:rFonts w:asciiTheme="minorEastAsia" w:hAnsiTheme="minorEastAsia" w:eastAsiaTheme="minorEastAsia"/>
                <w:bCs/>
                <w:color w:val="auto"/>
                <w:szCs w:val="21"/>
                <w:highlight w:val="none"/>
              </w:rPr>
            </w:pPr>
          </w:p>
        </w:tc>
        <w:tc>
          <w:tcPr>
            <w:tcW w:w="1900" w:type="dxa"/>
          </w:tcPr>
          <w:p>
            <w:pPr>
              <w:spacing w:line="360" w:lineRule="auto"/>
              <w:rPr>
                <w:rFonts w:asciiTheme="minorEastAsia" w:hAnsiTheme="minorEastAsia" w:eastAsiaTheme="minorEastAsia"/>
                <w:bCs/>
                <w:color w:val="auto"/>
                <w:szCs w:val="21"/>
                <w:highlight w:val="none"/>
              </w:rPr>
            </w:pPr>
          </w:p>
        </w:tc>
        <w:tc>
          <w:tcPr>
            <w:tcW w:w="1477" w:type="dxa"/>
          </w:tcPr>
          <w:p>
            <w:pPr>
              <w:spacing w:line="360" w:lineRule="auto"/>
              <w:rPr>
                <w:rFonts w:asciiTheme="minorEastAsia" w:hAnsiTheme="minorEastAsia" w:eastAsiaTheme="minorEastAsia"/>
                <w:bCs/>
                <w:color w:val="auto"/>
                <w:szCs w:val="21"/>
                <w:highlight w:val="none"/>
              </w:rPr>
            </w:pPr>
          </w:p>
        </w:tc>
        <w:tc>
          <w:tcPr>
            <w:tcW w:w="1796" w:type="dxa"/>
          </w:tcPr>
          <w:p>
            <w:pPr>
              <w:spacing w:line="360" w:lineRule="auto"/>
              <w:rPr>
                <w:rFonts w:asciiTheme="minorEastAsia" w:hAnsiTheme="minorEastAsia" w:eastAsiaTheme="minorEastAsia"/>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34" w:type="dxa"/>
          </w:tcPr>
          <w:p>
            <w:pPr>
              <w:spacing w:line="360" w:lineRule="auto"/>
              <w:jc w:val="center"/>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4</w:t>
            </w:r>
          </w:p>
        </w:tc>
        <w:tc>
          <w:tcPr>
            <w:tcW w:w="2321" w:type="dxa"/>
          </w:tcPr>
          <w:p>
            <w:pPr>
              <w:spacing w:line="360" w:lineRule="auto"/>
              <w:rPr>
                <w:rFonts w:asciiTheme="minorEastAsia" w:hAnsiTheme="minorEastAsia" w:eastAsiaTheme="minorEastAsia"/>
                <w:bCs/>
                <w:color w:val="auto"/>
                <w:szCs w:val="21"/>
                <w:highlight w:val="none"/>
              </w:rPr>
            </w:pPr>
          </w:p>
        </w:tc>
        <w:tc>
          <w:tcPr>
            <w:tcW w:w="1900" w:type="dxa"/>
          </w:tcPr>
          <w:p>
            <w:pPr>
              <w:spacing w:line="360" w:lineRule="auto"/>
              <w:rPr>
                <w:rFonts w:asciiTheme="minorEastAsia" w:hAnsiTheme="minorEastAsia" w:eastAsiaTheme="minorEastAsia"/>
                <w:bCs/>
                <w:color w:val="auto"/>
                <w:szCs w:val="21"/>
                <w:highlight w:val="none"/>
              </w:rPr>
            </w:pPr>
          </w:p>
        </w:tc>
        <w:tc>
          <w:tcPr>
            <w:tcW w:w="1477" w:type="dxa"/>
          </w:tcPr>
          <w:p>
            <w:pPr>
              <w:spacing w:line="360" w:lineRule="auto"/>
              <w:rPr>
                <w:rFonts w:asciiTheme="minorEastAsia" w:hAnsiTheme="minorEastAsia" w:eastAsiaTheme="minorEastAsia"/>
                <w:bCs/>
                <w:color w:val="auto"/>
                <w:szCs w:val="21"/>
                <w:highlight w:val="none"/>
              </w:rPr>
            </w:pPr>
          </w:p>
        </w:tc>
        <w:tc>
          <w:tcPr>
            <w:tcW w:w="1796" w:type="dxa"/>
          </w:tcPr>
          <w:p>
            <w:pPr>
              <w:spacing w:line="360" w:lineRule="auto"/>
              <w:rPr>
                <w:rFonts w:asciiTheme="minorEastAsia" w:hAnsiTheme="minorEastAsia" w:eastAsiaTheme="minorEastAsia"/>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34" w:type="dxa"/>
          </w:tcPr>
          <w:p>
            <w:pPr>
              <w:spacing w:line="360" w:lineRule="auto"/>
              <w:jc w:val="center"/>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5</w:t>
            </w:r>
          </w:p>
        </w:tc>
        <w:tc>
          <w:tcPr>
            <w:tcW w:w="2321" w:type="dxa"/>
          </w:tcPr>
          <w:p>
            <w:pPr>
              <w:spacing w:line="360" w:lineRule="auto"/>
              <w:rPr>
                <w:rFonts w:asciiTheme="minorEastAsia" w:hAnsiTheme="minorEastAsia" w:eastAsiaTheme="minorEastAsia"/>
                <w:bCs/>
                <w:color w:val="auto"/>
                <w:szCs w:val="21"/>
                <w:highlight w:val="none"/>
              </w:rPr>
            </w:pPr>
          </w:p>
        </w:tc>
        <w:tc>
          <w:tcPr>
            <w:tcW w:w="1900" w:type="dxa"/>
          </w:tcPr>
          <w:p>
            <w:pPr>
              <w:spacing w:line="360" w:lineRule="auto"/>
              <w:rPr>
                <w:rFonts w:asciiTheme="minorEastAsia" w:hAnsiTheme="minorEastAsia" w:eastAsiaTheme="minorEastAsia"/>
                <w:bCs/>
                <w:color w:val="auto"/>
                <w:szCs w:val="21"/>
                <w:highlight w:val="none"/>
              </w:rPr>
            </w:pPr>
          </w:p>
        </w:tc>
        <w:tc>
          <w:tcPr>
            <w:tcW w:w="1477" w:type="dxa"/>
          </w:tcPr>
          <w:p>
            <w:pPr>
              <w:spacing w:line="360" w:lineRule="auto"/>
              <w:rPr>
                <w:rFonts w:asciiTheme="minorEastAsia" w:hAnsiTheme="minorEastAsia" w:eastAsiaTheme="minorEastAsia"/>
                <w:bCs/>
                <w:color w:val="auto"/>
                <w:szCs w:val="21"/>
                <w:highlight w:val="none"/>
              </w:rPr>
            </w:pPr>
          </w:p>
        </w:tc>
        <w:tc>
          <w:tcPr>
            <w:tcW w:w="1796" w:type="dxa"/>
          </w:tcPr>
          <w:p>
            <w:pPr>
              <w:spacing w:line="360" w:lineRule="auto"/>
              <w:rPr>
                <w:rFonts w:asciiTheme="minorEastAsia" w:hAnsiTheme="minorEastAsia" w:eastAsiaTheme="minorEastAsia"/>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034" w:type="dxa"/>
          </w:tcPr>
          <w:p>
            <w:pPr>
              <w:spacing w:line="360" w:lineRule="auto"/>
              <w:jc w:val="center"/>
              <w:rPr>
                <w:rFonts w:asciiTheme="minorEastAsia" w:hAnsiTheme="minorEastAsia" w:eastAsiaTheme="minorEastAsia"/>
                <w:bCs/>
                <w:color w:val="auto"/>
                <w:szCs w:val="21"/>
                <w:highlight w:val="none"/>
              </w:rPr>
            </w:pPr>
            <w:r>
              <w:rPr>
                <w:rFonts w:asciiTheme="minorEastAsia" w:hAnsiTheme="minorEastAsia" w:eastAsiaTheme="minorEastAsia"/>
                <w:bCs/>
                <w:color w:val="auto"/>
                <w:szCs w:val="21"/>
                <w:highlight w:val="none"/>
              </w:rPr>
              <w:t>……</w:t>
            </w:r>
          </w:p>
        </w:tc>
        <w:tc>
          <w:tcPr>
            <w:tcW w:w="2321" w:type="dxa"/>
          </w:tcPr>
          <w:p>
            <w:pPr>
              <w:spacing w:line="360" w:lineRule="auto"/>
              <w:jc w:val="center"/>
              <w:rPr>
                <w:rFonts w:asciiTheme="minorEastAsia" w:hAnsiTheme="minorEastAsia" w:eastAsiaTheme="minorEastAsia"/>
                <w:bCs/>
                <w:color w:val="auto"/>
                <w:szCs w:val="21"/>
                <w:highlight w:val="none"/>
              </w:rPr>
            </w:pPr>
          </w:p>
        </w:tc>
        <w:tc>
          <w:tcPr>
            <w:tcW w:w="1900" w:type="dxa"/>
          </w:tcPr>
          <w:p>
            <w:pPr>
              <w:spacing w:line="360" w:lineRule="auto"/>
              <w:jc w:val="center"/>
              <w:rPr>
                <w:rFonts w:asciiTheme="minorEastAsia" w:hAnsiTheme="minorEastAsia" w:eastAsiaTheme="minorEastAsia"/>
                <w:bCs/>
                <w:color w:val="auto"/>
                <w:szCs w:val="21"/>
                <w:highlight w:val="none"/>
              </w:rPr>
            </w:pPr>
          </w:p>
        </w:tc>
        <w:tc>
          <w:tcPr>
            <w:tcW w:w="1477" w:type="dxa"/>
          </w:tcPr>
          <w:p>
            <w:pPr>
              <w:spacing w:line="360" w:lineRule="auto"/>
              <w:jc w:val="center"/>
              <w:rPr>
                <w:rFonts w:asciiTheme="minorEastAsia" w:hAnsiTheme="minorEastAsia" w:eastAsiaTheme="minorEastAsia"/>
                <w:bCs/>
                <w:color w:val="auto"/>
                <w:szCs w:val="21"/>
                <w:highlight w:val="none"/>
              </w:rPr>
            </w:pPr>
          </w:p>
        </w:tc>
        <w:tc>
          <w:tcPr>
            <w:tcW w:w="1796" w:type="dxa"/>
          </w:tcPr>
          <w:p>
            <w:pPr>
              <w:spacing w:line="360" w:lineRule="auto"/>
              <w:jc w:val="center"/>
              <w:rPr>
                <w:rFonts w:asciiTheme="minorEastAsia" w:hAnsiTheme="minorEastAsia" w:eastAsiaTheme="minorEastAsia"/>
                <w:bCs/>
                <w:color w:val="auto"/>
                <w:szCs w:val="21"/>
                <w:highlight w:val="none"/>
              </w:rPr>
            </w:pPr>
          </w:p>
        </w:tc>
      </w:tr>
    </w:tbl>
    <w:p>
      <w:pPr>
        <w:pStyle w:val="28"/>
        <w:tabs>
          <w:tab w:val="left" w:pos="1200"/>
        </w:tabs>
        <w:spacing w:before="120" w:after="120" w:line="360" w:lineRule="auto"/>
        <w:ind w:left="886" w:leftChars="22" w:hanging="840" w:hangingChars="40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注：1、以上项目须提供证书复印件加盖单位公章。</w:t>
      </w:r>
      <w:bookmarkStart w:id="61" w:name="OLE_LINK7"/>
    </w:p>
    <w:p>
      <w:pPr>
        <w:snapToGrid w:val="0"/>
        <w:spacing w:line="360" w:lineRule="auto"/>
        <w:ind w:firstLine="211" w:firstLineChars="100"/>
        <w:jc w:val="left"/>
        <w:rPr>
          <w:rFonts w:asciiTheme="minorEastAsia" w:hAnsiTheme="minorEastAsia" w:eastAsiaTheme="minorEastAsia"/>
          <w:b/>
          <w:bCs/>
          <w:color w:val="auto"/>
          <w:szCs w:val="21"/>
          <w:highlight w:val="none"/>
        </w:rPr>
      </w:pPr>
      <w:r>
        <w:rPr>
          <w:rFonts w:hint="eastAsia" w:asciiTheme="minorEastAsia" w:hAnsiTheme="minorEastAsia" w:eastAsiaTheme="minorEastAsia"/>
          <w:b/>
          <w:bCs/>
          <w:color w:val="auto"/>
          <w:szCs w:val="21"/>
          <w:highlight w:val="none"/>
        </w:rPr>
        <w:t>8.</w:t>
      </w:r>
      <w:bookmarkEnd w:id="61"/>
    </w:p>
    <w:p>
      <w:pPr>
        <w:snapToGrid w:val="0"/>
        <w:spacing w:line="360" w:lineRule="auto"/>
        <w:ind w:firstLine="211" w:firstLineChars="100"/>
        <w:jc w:val="center"/>
        <w:rPr>
          <w:rFonts w:asciiTheme="minorEastAsia" w:hAnsiTheme="minorEastAsia" w:eastAsiaTheme="minorEastAsia"/>
          <w:b/>
          <w:bCs/>
          <w:color w:val="auto"/>
          <w:szCs w:val="21"/>
          <w:highlight w:val="none"/>
        </w:rPr>
      </w:pPr>
      <w:r>
        <w:rPr>
          <w:rFonts w:hint="eastAsia" w:asciiTheme="minorEastAsia" w:hAnsiTheme="minorEastAsia" w:eastAsiaTheme="minorEastAsia"/>
          <w:b/>
          <w:bCs/>
          <w:color w:val="auto"/>
          <w:szCs w:val="21"/>
          <w:highlight w:val="none"/>
        </w:rPr>
        <w:t>项目组人员配置表（附件7）</w:t>
      </w:r>
    </w:p>
    <w:tbl>
      <w:tblPr>
        <w:tblStyle w:val="49"/>
        <w:tblW w:w="8786"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1"/>
        <w:gridCol w:w="1745"/>
        <w:gridCol w:w="988"/>
        <w:gridCol w:w="1276"/>
        <w:gridCol w:w="1730"/>
        <w:gridCol w:w="22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8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序号</w:t>
            </w:r>
          </w:p>
        </w:tc>
        <w:tc>
          <w:tcPr>
            <w:tcW w:w="17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姓名</w:t>
            </w: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专业</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分组情况</w:t>
            </w:r>
          </w:p>
        </w:tc>
        <w:tc>
          <w:tcPr>
            <w:tcW w:w="1730"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职称</w:t>
            </w:r>
          </w:p>
        </w:tc>
        <w:tc>
          <w:tcPr>
            <w:tcW w:w="2236"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工作经验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8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1</w:t>
            </w:r>
          </w:p>
        </w:tc>
        <w:tc>
          <w:tcPr>
            <w:tcW w:w="17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color w:val="auto"/>
                <w:szCs w:val="21"/>
                <w:highlight w:val="none"/>
              </w:rPr>
            </w:pP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cs="Arial" w:asciiTheme="minorEastAsia" w:hAnsiTheme="minorEastAsia" w:eastAsiaTheme="minorEastAsia"/>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cs="Arial" w:asciiTheme="minorEastAsia" w:hAnsiTheme="minorEastAsia" w:eastAsiaTheme="minorEastAsia"/>
                <w:color w:val="auto"/>
                <w:szCs w:val="21"/>
                <w:highlight w:val="none"/>
              </w:rPr>
            </w:pPr>
          </w:p>
        </w:tc>
        <w:tc>
          <w:tcPr>
            <w:tcW w:w="1730"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rFonts w:cs="Arial" w:asciiTheme="minorEastAsia" w:hAnsiTheme="minorEastAsia" w:eastAsiaTheme="minorEastAsia"/>
                <w:color w:val="auto"/>
                <w:szCs w:val="21"/>
                <w:highlight w:val="none"/>
              </w:rPr>
            </w:pPr>
          </w:p>
        </w:tc>
        <w:tc>
          <w:tcPr>
            <w:tcW w:w="2236"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rFonts w:cs="Arial"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81" w:hRule="atLeast"/>
        </w:trPr>
        <w:tc>
          <w:tcPr>
            <w:tcW w:w="8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2</w:t>
            </w:r>
          </w:p>
        </w:tc>
        <w:tc>
          <w:tcPr>
            <w:tcW w:w="17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color w:val="auto"/>
                <w:szCs w:val="21"/>
                <w:highlight w:val="none"/>
              </w:rPr>
            </w:pP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right"/>
              <w:rPr>
                <w:rFonts w:cs="Arial" w:asciiTheme="minorEastAsia" w:hAnsiTheme="minorEastAsia" w:eastAsiaTheme="minorEastAsia"/>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right"/>
              <w:rPr>
                <w:rFonts w:cs="Arial" w:asciiTheme="minorEastAsia" w:hAnsiTheme="minorEastAsia" w:eastAsiaTheme="minorEastAsia"/>
                <w:color w:val="auto"/>
                <w:szCs w:val="21"/>
                <w:highlight w:val="none"/>
              </w:rPr>
            </w:pPr>
          </w:p>
        </w:tc>
        <w:tc>
          <w:tcPr>
            <w:tcW w:w="1730" w:type="dxa"/>
            <w:tcBorders>
              <w:top w:val="single" w:color="auto" w:sz="4" w:space="0"/>
              <w:left w:val="single" w:color="auto" w:sz="4" w:space="0"/>
              <w:bottom w:val="single" w:color="auto" w:sz="4" w:space="0"/>
              <w:right w:val="single" w:color="auto" w:sz="4" w:space="0"/>
            </w:tcBorders>
          </w:tcPr>
          <w:p>
            <w:pPr>
              <w:adjustRightInd w:val="0"/>
              <w:spacing w:line="360" w:lineRule="auto"/>
              <w:jc w:val="right"/>
              <w:rPr>
                <w:rFonts w:cs="Arial" w:asciiTheme="minorEastAsia" w:hAnsiTheme="minorEastAsia" w:eastAsiaTheme="minorEastAsia"/>
                <w:color w:val="auto"/>
                <w:szCs w:val="21"/>
                <w:highlight w:val="none"/>
              </w:rPr>
            </w:pPr>
          </w:p>
        </w:tc>
        <w:tc>
          <w:tcPr>
            <w:tcW w:w="2236" w:type="dxa"/>
            <w:tcBorders>
              <w:top w:val="single" w:color="auto" w:sz="4" w:space="0"/>
              <w:left w:val="single" w:color="auto" w:sz="4" w:space="0"/>
              <w:bottom w:val="single" w:color="auto" w:sz="4" w:space="0"/>
              <w:right w:val="single" w:color="auto" w:sz="4" w:space="0"/>
            </w:tcBorders>
          </w:tcPr>
          <w:p>
            <w:pPr>
              <w:adjustRightInd w:val="0"/>
              <w:spacing w:line="360" w:lineRule="auto"/>
              <w:jc w:val="right"/>
              <w:rPr>
                <w:rFonts w:cs="Arial"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81" w:hRule="atLeast"/>
        </w:trPr>
        <w:tc>
          <w:tcPr>
            <w:tcW w:w="8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3</w:t>
            </w:r>
          </w:p>
        </w:tc>
        <w:tc>
          <w:tcPr>
            <w:tcW w:w="17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b/>
                <w:bCs/>
                <w:color w:val="auto"/>
                <w:szCs w:val="21"/>
                <w:highlight w:val="none"/>
              </w:rPr>
            </w:pP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right"/>
              <w:rPr>
                <w:rFonts w:cs="Arial" w:asciiTheme="minorEastAsia" w:hAnsiTheme="minorEastAsia" w:eastAsiaTheme="minorEastAsia"/>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right"/>
              <w:rPr>
                <w:rFonts w:cs="Arial" w:asciiTheme="minorEastAsia" w:hAnsiTheme="minorEastAsia" w:eastAsiaTheme="minorEastAsia"/>
                <w:color w:val="auto"/>
                <w:szCs w:val="21"/>
                <w:highlight w:val="none"/>
              </w:rPr>
            </w:pPr>
          </w:p>
        </w:tc>
        <w:tc>
          <w:tcPr>
            <w:tcW w:w="1730" w:type="dxa"/>
            <w:tcBorders>
              <w:top w:val="single" w:color="auto" w:sz="4" w:space="0"/>
              <w:left w:val="single" w:color="auto" w:sz="4" w:space="0"/>
              <w:bottom w:val="single" w:color="auto" w:sz="4" w:space="0"/>
              <w:right w:val="single" w:color="auto" w:sz="4" w:space="0"/>
            </w:tcBorders>
          </w:tcPr>
          <w:p>
            <w:pPr>
              <w:adjustRightInd w:val="0"/>
              <w:spacing w:line="360" w:lineRule="auto"/>
              <w:jc w:val="right"/>
              <w:rPr>
                <w:rFonts w:cs="Arial" w:asciiTheme="minorEastAsia" w:hAnsiTheme="minorEastAsia" w:eastAsiaTheme="minorEastAsia"/>
                <w:color w:val="auto"/>
                <w:szCs w:val="21"/>
                <w:highlight w:val="none"/>
              </w:rPr>
            </w:pPr>
          </w:p>
        </w:tc>
        <w:tc>
          <w:tcPr>
            <w:tcW w:w="2236" w:type="dxa"/>
            <w:tcBorders>
              <w:top w:val="single" w:color="auto" w:sz="4" w:space="0"/>
              <w:left w:val="single" w:color="auto" w:sz="4" w:space="0"/>
              <w:bottom w:val="single" w:color="auto" w:sz="4" w:space="0"/>
              <w:right w:val="single" w:color="auto" w:sz="4" w:space="0"/>
            </w:tcBorders>
          </w:tcPr>
          <w:p>
            <w:pPr>
              <w:adjustRightInd w:val="0"/>
              <w:spacing w:line="360" w:lineRule="auto"/>
              <w:jc w:val="right"/>
              <w:rPr>
                <w:rFonts w:cs="Arial"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81" w:hRule="atLeast"/>
        </w:trPr>
        <w:tc>
          <w:tcPr>
            <w:tcW w:w="8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4</w:t>
            </w:r>
          </w:p>
        </w:tc>
        <w:tc>
          <w:tcPr>
            <w:tcW w:w="17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color w:val="auto"/>
                <w:szCs w:val="21"/>
                <w:highlight w:val="none"/>
              </w:rPr>
            </w:pP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right"/>
              <w:rPr>
                <w:rFonts w:cs="Arial" w:asciiTheme="minorEastAsia" w:hAnsiTheme="minorEastAsia" w:eastAsiaTheme="minorEastAsia"/>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right"/>
              <w:rPr>
                <w:rFonts w:cs="Arial" w:asciiTheme="minorEastAsia" w:hAnsiTheme="minorEastAsia" w:eastAsiaTheme="minorEastAsia"/>
                <w:color w:val="auto"/>
                <w:szCs w:val="21"/>
                <w:highlight w:val="none"/>
              </w:rPr>
            </w:pPr>
          </w:p>
        </w:tc>
        <w:tc>
          <w:tcPr>
            <w:tcW w:w="1730" w:type="dxa"/>
            <w:tcBorders>
              <w:top w:val="single" w:color="auto" w:sz="4" w:space="0"/>
              <w:left w:val="single" w:color="auto" w:sz="4" w:space="0"/>
              <w:bottom w:val="single" w:color="auto" w:sz="4" w:space="0"/>
              <w:right w:val="single" w:color="auto" w:sz="4" w:space="0"/>
            </w:tcBorders>
          </w:tcPr>
          <w:p>
            <w:pPr>
              <w:adjustRightInd w:val="0"/>
              <w:spacing w:line="360" w:lineRule="auto"/>
              <w:jc w:val="right"/>
              <w:rPr>
                <w:rFonts w:cs="Arial" w:asciiTheme="minorEastAsia" w:hAnsiTheme="minorEastAsia" w:eastAsiaTheme="minorEastAsia"/>
                <w:color w:val="auto"/>
                <w:szCs w:val="21"/>
                <w:highlight w:val="none"/>
              </w:rPr>
            </w:pPr>
          </w:p>
        </w:tc>
        <w:tc>
          <w:tcPr>
            <w:tcW w:w="2236" w:type="dxa"/>
            <w:tcBorders>
              <w:top w:val="single" w:color="auto" w:sz="4" w:space="0"/>
              <w:left w:val="single" w:color="auto" w:sz="4" w:space="0"/>
              <w:bottom w:val="single" w:color="auto" w:sz="4" w:space="0"/>
              <w:right w:val="single" w:color="auto" w:sz="4" w:space="0"/>
            </w:tcBorders>
          </w:tcPr>
          <w:p>
            <w:pPr>
              <w:adjustRightInd w:val="0"/>
              <w:spacing w:line="360" w:lineRule="auto"/>
              <w:jc w:val="right"/>
              <w:rPr>
                <w:rFonts w:cs="Arial"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81" w:hRule="atLeast"/>
        </w:trPr>
        <w:tc>
          <w:tcPr>
            <w:tcW w:w="8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5</w:t>
            </w:r>
          </w:p>
        </w:tc>
        <w:tc>
          <w:tcPr>
            <w:tcW w:w="17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color w:val="auto"/>
                <w:szCs w:val="21"/>
                <w:highlight w:val="none"/>
              </w:rPr>
            </w:pP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right"/>
              <w:rPr>
                <w:rFonts w:cs="Arial" w:asciiTheme="minorEastAsia" w:hAnsiTheme="minorEastAsia" w:eastAsiaTheme="minorEastAsia"/>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right"/>
              <w:rPr>
                <w:rFonts w:cs="Arial" w:asciiTheme="minorEastAsia" w:hAnsiTheme="minorEastAsia" w:eastAsiaTheme="minorEastAsia"/>
                <w:color w:val="auto"/>
                <w:szCs w:val="21"/>
                <w:highlight w:val="none"/>
              </w:rPr>
            </w:pPr>
          </w:p>
        </w:tc>
        <w:tc>
          <w:tcPr>
            <w:tcW w:w="1730" w:type="dxa"/>
            <w:tcBorders>
              <w:top w:val="single" w:color="auto" w:sz="4" w:space="0"/>
              <w:left w:val="single" w:color="auto" w:sz="4" w:space="0"/>
              <w:bottom w:val="single" w:color="auto" w:sz="4" w:space="0"/>
              <w:right w:val="single" w:color="auto" w:sz="4" w:space="0"/>
            </w:tcBorders>
          </w:tcPr>
          <w:p>
            <w:pPr>
              <w:adjustRightInd w:val="0"/>
              <w:spacing w:line="360" w:lineRule="auto"/>
              <w:jc w:val="right"/>
              <w:rPr>
                <w:rFonts w:cs="Arial" w:asciiTheme="minorEastAsia" w:hAnsiTheme="minorEastAsia" w:eastAsiaTheme="minorEastAsia"/>
                <w:color w:val="auto"/>
                <w:szCs w:val="21"/>
                <w:highlight w:val="none"/>
              </w:rPr>
            </w:pPr>
          </w:p>
        </w:tc>
        <w:tc>
          <w:tcPr>
            <w:tcW w:w="2236" w:type="dxa"/>
            <w:tcBorders>
              <w:top w:val="single" w:color="auto" w:sz="4" w:space="0"/>
              <w:left w:val="single" w:color="auto" w:sz="4" w:space="0"/>
              <w:bottom w:val="single" w:color="auto" w:sz="4" w:space="0"/>
              <w:right w:val="single" w:color="auto" w:sz="4" w:space="0"/>
            </w:tcBorders>
          </w:tcPr>
          <w:p>
            <w:pPr>
              <w:adjustRightInd w:val="0"/>
              <w:spacing w:line="360" w:lineRule="auto"/>
              <w:jc w:val="right"/>
              <w:rPr>
                <w:rFonts w:cs="Arial"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81" w:hRule="atLeast"/>
        </w:trPr>
        <w:tc>
          <w:tcPr>
            <w:tcW w:w="8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6</w:t>
            </w:r>
          </w:p>
        </w:tc>
        <w:tc>
          <w:tcPr>
            <w:tcW w:w="17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color w:val="auto"/>
                <w:szCs w:val="21"/>
                <w:highlight w:val="none"/>
              </w:rPr>
            </w:pP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right"/>
              <w:rPr>
                <w:rFonts w:cs="Arial" w:asciiTheme="minorEastAsia" w:hAnsiTheme="minorEastAsia" w:eastAsiaTheme="minorEastAsia"/>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right"/>
              <w:rPr>
                <w:rFonts w:cs="Arial" w:asciiTheme="minorEastAsia" w:hAnsiTheme="minorEastAsia" w:eastAsiaTheme="minorEastAsia"/>
                <w:color w:val="auto"/>
                <w:szCs w:val="21"/>
                <w:highlight w:val="none"/>
              </w:rPr>
            </w:pPr>
          </w:p>
        </w:tc>
        <w:tc>
          <w:tcPr>
            <w:tcW w:w="1730" w:type="dxa"/>
            <w:tcBorders>
              <w:top w:val="single" w:color="auto" w:sz="4" w:space="0"/>
              <w:left w:val="single" w:color="auto" w:sz="4" w:space="0"/>
              <w:bottom w:val="single" w:color="auto" w:sz="4" w:space="0"/>
              <w:right w:val="single" w:color="auto" w:sz="4" w:space="0"/>
            </w:tcBorders>
          </w:tcPr>
          <w:p>
            <w:pPr>
              <w:adjustRightInd w:val="0"/>
              <w:spacing w:line="360" w:lineRule="auto"/>
              <w:jc w:val="right"/>
              <w:rPr>
                <w:rFonts w:cs="Arial" w:asciiTheme="minorEastAsia" w:hAnsiTheme="minorEastAsia" w:eastAsiaTheme="minorEastAsia"/>
                <w:color w:val="auto"/>
                <w:szCs w:val="21"/>
                <w:highlight w:val="none"/>
              </w:rPr>
            </w:pPr>
          </w:p>
        </w:tc>
        <w:tc>
          <w:tcPr>
            <w:tcW w:w="2236" w:type="dxa"/>
            <w:tcBorders>
              <w:top w:val="single" w:color="auto" w:sz="4" w:space="0"/>
              <w:left w:val="single" w:color="auto" w:sz="4" w:space="0"/>
              <w:bottom w:val="single" w:color="auto" w:sz="4" w:space="0"/>
              <w:right w:val="single" w:color="auto" w:sz="4" w:space="0"/>
            </w:tcBorders>
          </w:tcPr>
          <w:p>
            <w:pPr>
              <w:adjustRightInd w:val="0"/>
              <w:spacing w:line="360" w:lineRule="auto"/>
              <w:jc w:val="right"/>
              <w:rPr>
                <w:rFonts w:cs="Arial"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81" w:hRule="atLeast"/>
        </w:trPr>
        <w:tc>
          <w:tcPr>
            <w:tcW w:w="8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7</w:t>
            </w:r>
          </w:p>
        </w:tc>
        <w:tc>
          <w:tcPr>
            <w:tcW w:w="17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color w:val="auto"/>
                <w:szCs w:val="21"/>
                <w:highlight w:val="none"/>
              </w:rPr>
            </w:pP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right"/>
              <w:rPr>
                <w:rFonts w:cs="Arial" w:asciiTheme="minorEastAsia" w:hAnsiTheme="minorEastAsia" w:eastAsiaTheme="minorEastAsia"/>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right"/>
              <w:rPr>
                <w:rFonts w:cs="Arial" w:asciiTheme="minorEastAsia" w:hAnsiTheme="minorEastAsia" w:eastAsiaTheme="minorEastAsia"/>
                <w:color w:val="auto"/>
                <w:szCs w:val="21"/>
                <w:highlight w:val="none"/>
              </w:rPr>
            </w:pPr>
          </w:p>
        </w:tc>
        <w:tc>
          <w:tcPr>
            <w:tcW w:w="1730" w:type="dxa"/>
            <w:tcBorders>
              <w:top w:val="single" w:color="auto" w:sz="4" w:space="0"/>
              <w:left w:val="single" w:color="auto" w:sz="4" w:space="0"/>
              <w:bottom w:val="single" w:color="auto" w:sz="4" w:space="0"/>
              <w:right w:val="single" w:color="auto" w:sz="4" w:space="0"/>
            </w:tcBorders>
          </w:tcPr>
          <w:p>
            <w:pPr>
              <w:adjustRightInd w:val="0"/>
              <w:spacing w:line="360" w:lineRule="auto"/>
              <w:jc w:val="right"/>
              <w:rPr>
                <w:rFonts w:cs="Arial" w:asciiTheme="minorEastAsia" w:hAnsiTheme="minorEastAsia" w:eastAsiaTheme="minorEastAsia"/>
                <w:color w:val="auto"/>
                <w:szCs w:val="21"/>
                <w:highlight w:val="none"/>
              </w:rPr>
            </w:pPr>
          </w:p>
        </w:tc>
        <w:tc>
          <w:tcPr>
            <w:tcW w:w="2236" w:type="dxa"/>
            <w:tcBorders>
              <w:top w:val="single" w:color="auto" w:sz="4" w:space="0"/>
              <w:left w:val="single" w:color="auto" w:sz="4" w:space="0"/>
              <w:bottom w:val="single" w:color="auto" w:sz="4" w:space="0"/>
              <w:right w:val="single" w:color="auto" w:sz="4" w:space="0"/>
            </w:tcBorders>
          </w:tcPr>
          <w:p>
            <w:pPr>
              <w:adjustRightInd w:val="0"/>
              <w:spacing w:line="360" w:lineRule="auto"/>
              <w:jc w:val="right"/>
              <w:rPr>
                <w:rFonts w:cs="Arial"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81" w:hRule="atLeast"/>
        </w:trPr>
        <w:tc>
          <w:tcPr>
            <w:tcW w:w="8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8</w:t>
            </w:r>
          </w:p>
        </w:tc>
        <w:tc>
          <w:tcPr>
            <w:tcW w:w="17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color w:val="auto"/>
                <w:spacing w:val="-20"/>
                <w:szCs w:val="21"/>
                <w:highlight w:val="none"/>
              </w:rPr>
            </w:pP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right"/>
              <w:rPr>
                <w:rFonts w:cs="Arial" w:asciiTheme="minorEastAsia" w:hAnsiTheme="minorEastAsia" w:eastAsiaTheme="minorEastAsia"/>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right"/>
              <w:rPr>
                <w:rFonts w:cs="Arial" w:asciiTheme="minorEastAsia" w:hAnsiTheme="minorEastAsia" w:eastAsiaTheme="minorEastAsia"/>
                <w:color w:val="auto"/>
                <w:szCs w:val="21"/>
                <w:highlight w:val="none"/>
              </w:rPr>
            </w:pPr>
          </w:p>
        </w:tc>
        <w:tc>
          <w:tcPr>
            <w:tcW w:w="1730" w:type="dxa"/>
            <w:tcBorders>
              <w:top w:val="single" w:color="auto" w:sz="4" w:space="0"/>
              <w:left w:val="single" w:color="auto" w:sz="4" w:space="0"/>
              <w:bottom w:val="single" w:color="auto" w:sz="4" w:space="0"/>
              <w:right w:val="single" w:color="auto" w:sz="4" w:space="0"/>
            </w:tcBorders>
          </w:tcPr>
          <w:p>
            <w:pPr>
              <w:adjustRightInd w:val="0"/>
              <w:spacing w:line="360" w:lineRule="auto"/>
              <w:jc w:val="right"/>
              <w:rPr>
                <w:rFonts w:cs="Arial" w:asciiTheme="minorEastAsia" w:hAnsiTheme="minorEastAsia" w:eastAsiaTheme="minorEastAsia"/>
                <w:color w:val="auto"/>
                <w:szCs w:val="21"/>
                <w:highlight w:val="none"/>
              </w:rPr>
            </w:pPr>
          </w:p>
        </w:tc>
        <w:tc>
          <w:tcPr>
            <w:tcW w:w="2236" w:type="dxa"/>
            <w:tcBorders>
              <w:top w:val="single" w:color="auto" w:sz="4" w:space="0"/>
              <w:left w:val="single" w:color="auto" w:sz="4" w:space="0"/>
              <w:bottom w:val="single" w:color="auto" w:sz="4" w:space="0"/>
              <w:right w:val="single" w:color="auto" w:sz="4" w:space="0"/>
            </w:tcBorders>
          </w:tcPr>
          <w:p>
            <w:pPr>
              <w:adjustRightInd w:val="0"/>
              <w:spacing w:line="360" w:lineRule="auto"/>
              <w:jc w:val="right"/>
              <w:rPr>
                <w:rFonts w:cs="Arial"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81" w:hRule="atLeast"/>
        </w:trPr>
        <w:tc>
          <w:tcPr>
            <w:tcW w:w="8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9</w:t>
            </w:r>
          </w:p>
        </w:tc>
        <w:tc>
          <w:tcPr>
            <w:tcW w:w="17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color w:val="auto"/>
                <w:spacing w:val="-20"/>
                <w:szCs w:val="21"/>
                <w:highlight w:val="none"/>
              </w:rPr>
            </w:pP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right"/>
              <w:rPr>
                <w:rFonts w:cs="Arial" w:asciiTheme="minorEastAsia" w:hAnsiTheme="minorEastAsia" w:eastAsiaTheme="minorEastAsia"/>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right"/>
              <w:rPr>
                <w:rFonts w:cs="Arial" w:asciiTheme="minorEastAsia" w:hAnsiTheme="minorEastAsia" w:eastAsiaTheme="minorEastAsia"/>
                <w:color w:val="auto"/>
                <w:szCs w:val="21"/>
                <w:highlight w:val="none"/>
              </w:rPr>
            </w:pPr>
          </w:p>
        </w:tc>
        <w:tc>
          <w:tcPr>
            <w:tcW w:w="1730" w:type="dxa"/>
            <w:tcBorders>
              <w:top w:val="single" w:color="auto" w:sz="4" w:space="0"/>
              <w:left w:val="single" w:color="auto" w:sz="4" w:space="0"/>
              <w:bottom w:val="single" w:color="auto" w:sz="4" w:space="0"/>
              <w:right w:val="single" w:color="auto" w:sz="4" w:space="0"/>
            </w:tcBorders>
          </w:tcPr>
          <w:p>
            <w:pPr>
              <w:adjustRightInd w:val="0"/>
              <w:spacing w:line="360" w:lineRule="auto"/>
              <w:jc w:val="right"/>
              <w:rPr>
                <w:rFonts w:cs="Arial" w:asciiTheme="minorEastAsia" w:hAnsiTheme="minorEastAsia" w:eastAsiaTheme="minorEastAsia"/>
                <w:color w:val="auto"/>
                <w:szCs w:val="21"/>
                <w:highlight w:val="none"/>
              </w:rPr>
            </w:pPr>
          </w:p>
        </w:tc>
        <w:tc>
          <w:tcPr>
            <w:tcW w:w="2236" w:type="dxa"/>
            <w:tcBorders>
              <w:top w:val="single" w:color="auto" w:sz="4" w:space="0"/>
              <w:left w:val="single" w:color="auto" w:sz="4" w:space="0"/>
              <w:bottom w:val="single" w:color="auto" w:sz="4" w:space="0"/>
              <w:right w:val="single" w:color="auto" w:sz="4" w:space="0"/>
            </w:tcBorders>
          </w:tcPr>
          <w:p>
            <w:pPr>
              <w:adjustRightInd w:val="0"/>
              <w:spacing w:line="360" w:lineRule="auto"/>
              <w:jc w:val="right"/>
              <w:rPr>
                <w:rFonts w:cs="Arial"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81" w:hRule="atLeast"/>
        </w:trPr>
        <w:tc>
          <w:tcPr>
            <w:tcW w:w="81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10</w:t>
            </w:r>
          </w:p>
        </w:tc>
        <w:tc>
          <w:tcPr>
            <w:tcW w:w="174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w:t>
            </w: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right"/>
              <w:rPr>
                <w:rFonts w:cs="Arial" w:asciiTheme="minorEastAsia" w:hAnsiTheme="minorEastAsia" w:eastAsiaTheme="minorEastAsia"/>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right"/>
              <w:rPr>
                <w:rFonts w:cs="Arial" w:asciiTheme="minorEastAsia" w:hAnsiTheme="minorEastAsia" w:eastAsiaTheme="minorEastAsia"/>
                <w:color w:val="auto"/>
                <w:szCs w:val="21"/>
                <w:highlight w:val="none"/>
              </w:rPr>
            </w:pPr>
          </w:p>
        </w:tc>
        <w:tc>
          <w:tcPr>
            <w:tcW w:w="1730" w:type="dxa"/>
            <w:tcBorders>
              <w:top w:val="single" w:color="auto" w:sz="4" w:space="0"/>
              <w:left w:val="single" w:color="auto" w:sz="4" w:space="0"/>
              <w:bottom w:val="single" w:color="auto" w:sz="4" w:space="0"/>
              <w:right w:val="single" w:color="auto" w:sz="4" w:space="0"/>
            </w:tcBorders>
          </w:tcPr>
          <w:p>
            <w:pPr>
              <w:adjustRightInd w:val="0"/>
              <w:spacing w:line="360" w:lineRule="auto"/>
              <w:jc w:val="right"/>
              <w:rPr>
                <w:rFonts w:cs="Arial" w:asciiTheme="minorEastAsia" w:hAnsiTheme="minorEastAsia" w:eastAsiaTheme="minorEastAsia"/>
                <w:color w:val="auto"/>
                <w:szCs w:val="21"/>
                <w:highlight w:val="none"/>
              </w:rPr>
            </w:pPr>
          </w:p>
        </w:tc>
        <w:tc>
          <w:tcPr>
            <w:tcW w:w="2236" w:type="dxa"/>
            <w:tcBorders>
              <w:top w:val="single" w:color="auto" w:sz="4" w:space="0"/>
              <w:left w:val="single" w:color="auto" w:sz="4" w:space="0"/>
              <w:bottom w:val="single" w:color="auto" w:sz="4" w:space="0"/>
              <w:right w:val="single" w:color="auto" w:sz="4" w:space="0"/>
            </w:tcBorders>
          </w:tcPr>
          <w:p>
            <w:pPr>
              <w:adjustRightInd w:val="0"/>
              <w:spacing w:line="360" w:lineRule="auto"/>
              <w:jc w:val="right"/>
              <w:rPr>
                <w:rFonts w:cs="Arial"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81" w:hRule="atLeast"/>
        </w:trPr>
        <w:tc>
          <w:tcPr>
            <w:tcW w:w="2556"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cs="Arial" w:asciiTheme="minorEastAsia" w:hAnsiTheme="minorEastAsia" w:eastAsiaTheme="minorEastAsia"/>
                <w:b/>
                <w:color w:val="auto"/>
                <w:szCs w:val="21"/>
                <w:highlight w:val="none"/>
              </w:rPr>
            </w:pPr>
            <w:r>
              <w:rPr>
                <w:rFonts w:hint="eastAsia" w:cs="Arial" w:asciiTheme="minorEastAsia" w:hAnsiTheme="minorEastAsia" w:eastAsiaTheme="minorEastAsia"/>
                <w:b/>
                <w:color w:val="auto"/>
                <w:szCs w:val="21"/>
                <w:highlight w:val="none"/>
              </w:rPr>
              <w:t>合计总人数</w:t>
            </w:r>
          </w:p>
        </w:tc>
        <w:tc>
          <w:tcPr>
            <w:tcW w:w="6230"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cs="Arial" w:asciiTheme="minorEastAsia" w:hAnsiTheme="minorEastAsia" w:eastAsiaTheme="minorEastAsia"/>
                <w:color w:val="auto"/>
                <w:szCs w:val="21"/>
                <w:highlight w:val="none"/>
              </w:rPr>
            </w:pPr>
          </w:p>
        </w:tc>
      </w:tr>
    </w:tbl>
    <w:p>
      <w:pPr>
        <w:adjustRightInd w:val="0"/>
        <w:snapToGrid w:val="0"/>
        <w:spacing w:line="360" w:lineRule="auto"/>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注：1、上表中行数不够可自加。</w:t>
      </w:r>
    </w:p>
    <w:p>
      <w:pPr>
        <w:adjustRightInd w:val="0"/>
        <w:snapToGrid w:val="0"/>
        <w:spacing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2、注册证书、学历证书、职称证书、社保证明等资料复印件加盖单位公章附后。</w:t>
      </w:r>
    </w:p>
    <w:p>
      <w:pPr>
        <w:snapToGrid w:val="0"/>
        <w:spacing w:line="360" w:lineRule="auto"/>
        <w:ind w:firstLine="200"/>
        <w:jc w:val="right"/>
        <w:rPr>
          <w:rFonts w:asciiTheme="minorEastAsia" w:hAnsiTheme="minorEastAsia" w:eastAsiaTheme="minorEastAsia"/>
          <w:color w:val="auto"/>
          <w:szCs w:val="21"/>
          <w:highlight w:val="none"/>
        </w:rPr>
      </w:pPr>
    </w:p>
    <w:p>
      <w:pPr>
        <w:snapToGrid w:val="0"/>
        <w:spacing w:line="360" w:lineRule="auto"/>
        <w:ind w:firstLine="211" w:firstLineChars="100"/>
        <w:jc w:val="left"/>
        <w:rPr>
          <w:rFonts w:asciiTheme="minorEastAsia" w:hAnsiTheme="minorEastAsia" w:eastAsiaTheme="minorEastAsia"/>
          <w:b/>
          <w:bCs/>
          <w:color w:val="auto"/>
          <w:szCs w:val="21"/>
          <w:highlight w:val="none"/>
        </w:rPr>
      </w:pPr>
    </w:p>
    <w:p>
      <w:pPr>
        <w:pStyle w:val="48"/>
        <w:spacing w:line="360" w:lineRule="auto"/>
        <w:ind w:firstLine="404"/>
        <w:rPr>
          <w:color w:val="auto"/>
          <w:highlight w:val="none"/>
        </w:rPr>
      </w:pPr>
    </w:p>
    <w:p>
      <w:pPr>
        <w:pStyle w:val="48"/>
        <w:spacing w:line="360" w:lineRule="auto"/>
        <w:ind w:firstLine="404"/>
        <w:rPr>
          <w:color w:val="auto"/>
          <w:highlight w:val="none"/>
        </w:rPr>
      </w:pPr>
    </w:p>
    <w:p>
      <w:pPr>
        <w:snapToGrid w:val="0"/>
        <w:spacing w:line="360" w:lineRule="auto"/>
        <w:ind w:firstLine="211" w:firstLineChars="100"/>
        <w:jc w:val="left"/>
        <w:rPr>
          <w:rFonts w:asciiTheme="minorEastAsia" w:hAnsiTheme="minorEastAsia" w:eastAsiaTheme="minorEastAsia"/>
          <w:b/>
          <w:bCs/>
          <w:color w:val="auto"/>
          <w:szCs w:val="21"/>
          <w:highlight w:val="none"/>
        </w:rPr>
      </w:pPr>
      <w:r>
        <w:rPr>
          <w:rFonts w:hint="eastAsia" w:asciiTheme="minorEastAsia" w:hAnsiTheme="minorEastAsia" w:eastAsiaTheme="minorEastAsia"/>
          <w:b/>
          <w:bCs/>
          <w:color w:val="auto"/>
          <w:szCs w:val="21"/>
          <w:highlight w:val="none"/>
        </w:rPr>
        <w:t>9.</w:t>
      </w:r>
    </w:p>
    <w:p>
      <w:pPr>
        <w:snapToGrid w:val="0"/>
        <w:spacing w:line="360" w:lineRule="auto"/>
        <w:ind w:firstLine="211" w:firstLineChars="100"/>
        <w:jc w:val="center"/>
        <w:rPr>
          <w:rFonts w:asciiTheme="minorEastAsia" w:hAnsiTheme="minorEastAsia" w:eastAsiaTheme="minorEastAsia"/>
          <w:b/>
          <w:bCs/>
          <w:color w:val="auto"/>
          <w:szCs w:val="21"/>
          <w:highlight w:val="none"/>
        </w:rPr>
      </w:pPr>
      <w:r>
        <w:rPr>
          <w:rFonts w:hint="eastAsia" w:asciiTheme="minorEastAsia" w:hAnsiTheme="minorEastAsia" w:eastAsiaTheme="minorEastAsia"/>
          <w:b/>
          <w:bCs/>
          <w:color w:val="auto"/>
          <w:szCs w:val="21"/>
          <w:highlight w:val="none"/>
        </w:rPr>
        <w:t>投入设备清单格式（附件8）</w:t>
      </w:r>
    </w:p>
    <w:tbl>
      <w:tblPr>
        <w:tblStyle w:val="49"/>
        <w:tblW w:w="860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973"/>
        <w:gridCol w:w="3011"/>
        <w:gridCol w:w="2410"/>
        <w:gridCol w:w="1134"/>
        <w:gridCol w:w="10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01" w:hRule="atLeast"/>
        </w:trPr>
        <w:tc>
          <w:tcPr>
            <w:tcW w:w="9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360" w:lineRule="auto"/>
              <w:jc w:val="center"/>
              <w:rPr>
                <w:rFonts w:ascii="微软雅黑" w:hAnsi="微软雅黑" w:eastAsia="微软雅黑"/>
                <w:color w:val="auto"/>
                <w:szCs w:val="21"/>
                <w:highlight w:val="none"/>
              </w:rPr>
            </w:pPr>
            <w:r>
              <w:rPr>
                <w:rFonts w:ascii="微软雅黑" w:hAnsi="微软雅黑" w:eastAsia="微软雅黑"/>
                <w:color w:val="auto"/>
                <w:szCs w:val="21"/>
                <w:highlight w:val="none"/>
              </w:rPr>
              <w:t>序号</w:t>
            </w:r>
          </w:p>
        </w:tc>
        <w:tc>
          <w:tcPr>
            <w:tcW w:w="3011" w:type="dxa"/>
            <w:tcBorders>
              <w:top w:val="single" w:color="auto" w:sz="4" w:space="0"/>
              <w:left w:val="single" w:color="auto" w:sz="4" w:space="0"/>
              <w:bottom w:val="single" w:color="auto" w:sz="2" w:space="0"/>
              <w:right w:val="single" w:color="auto" w:sz="4" w:space="0"/>
            </w:tcBorders>
            <w:vAlign w:val="center"/>
          </w:tcPr>
          <w:p>
            <w:pPr>
              <w:snapToGrid w:val="0"/>
              <w:spacing w:line="360" w:lineRule="auto"/>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名称</w:t>
            </w:r>
          </w:p>
        </w:tc>
        <w:tc>
          <w:tcPr>
            <w:tcW w:w="2410" w:type="dxa"/>
            <w:tcBorders>
              <w:top w:val="single" w:color="auto" w:sz="4" w:space="0"/>
              <w:left w:val="single" w:color="auto" w:sz="4" w:space="0"/>
              <w:bottom w:val="single" w:color="auto" w:sz="2" w:space="0"/>
              <w:right w:val="single" w:color="auto" w:sz="4" w:space="0"/>
            </w:tcBorders>
            <w:vAlign w:val="center"/>
          </w:tcPr>
          <w:p>
            <w:pPr>
              <w:snapToGrid w:val="0"/>
              <w:spacing w:line="360" w:lineRule="auto"/>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规格型号</w:t>
            </w:r>
          </w:p>
        </w:tc>
        <w:tc>
          <w:tcPr>
            <w:tcW w:w="1134" w:type="dxa"/>
            <w:tcBorders>
              <w:top w:val="single" w:color="auto" w:sz="4" w:space="0"/>
              <w:left w:val="single" w:color="auto" w:sz="4" w:space="0"/>
              <w:bottom w:val="single" w:color="auto" w:sz="2" w:space="0"/>
              <w:right w:val="single" w:color="auto" w:sz="4" w:space="0"/>
            </w:tcBorders>
            <w:tcMar>
              <w:top w:w="15" w:type="dxa"/>
              <w:left w:w="15" w:type="dxa"/>
              <w:bottom w:w="0" w:type="dxa"/>
              <w:right w:w="15" w:type="dxa"/>
            </w:tcMar>
            <w:vAlign w:val="center"/>
          </w:tcPr>
          <w:p>
            <w:pPr>
              <w:snapToGrid w:val="0"/>
              <w:spacing w:line="360" w:lineRule="auto"/>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产地</w:t>
            </w:r>
          </w:p>
        </w:tc>
        <w:tc>
          <w:tcPr>
            <w:tcW w:w="1076" w:type="dxa"/>
            <w:tcBorders>
              <w:top w:val="single" w:color="auto" w:sz="4" w:space="0"/>
              <w:left w:val="single" w:color="auto" w:sz="4" w:space="0"/>
              <w:bottom w:val="single" w:color="auto" w:sz="2" w:space="0"/>
              <w:right w:val="single" w:color="auto" w:sz="4" w:space="0"/>
            </w:tcBorders>
          </w:tcPr>
          <w:p>
            <w:pPr>
              <w:snapToGrid w:val="0"/>
              <w:spacing w:line="360" w:lineRule="auto"/>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973"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snapToGrid w:val="0"/>
              <w:spacing w:line="360" w:lineRule="auto"/>
              <w:jc w:val="center"/>
              <w:rPr>
                <w:rFonts w:ascii="微软雅黑" w:hAnsi="微软雅黑" w:eastAsia="微软雅黑"/>
                <w:color w:val="auto"/>
                <w:szCs w:val="21"/>
                <w:highlight w:val="none"/>
              </w:rPr>
            </w:pPr>
            <w:r>
              <w:rPr>
                <w:rFonts w:ascii="微软雅黑" w:hAnsi="微软雅黑" w:eastAsia="微软雅黑"/>
                <w:color w:val="auto"/>
                <w:szCs w:val="21"/>
                <w:highlight w:val="none"/>
              </w:rPr>
              <w:t>1</w:t>
            </w:r>
          </w:p>
        </w:tc>
        <w:tc>
          <w:tcPr>
            <w:tcW w:w="3011" w:type="dxa"/>
            <w:tcBorders>
              <w:top w:val="single" w:color="auto" w:sz="2" w:space="0"/>
              <w:left w:val="single" w:color="auto" w:sz="2" w:space="0"/>
              <w:bottom w:val="single" w:color="auto" w:sz="6" w:space="0"/>
              <w:right w:val="single" w:color="auto" w:sz="4" w:space="0"/>
            </w:tcBorders>
            <w:vAlign w:val="center"/>
          </w:tcPr>
          <w:p>
            <w:pPr>
              <w:snapToGrid w:val="0"/>
              <w:spacing w:line="360" w:lineRule="auto"/>
              <w:jc w:val="center"/>
              <w:rPr>
                <w:rFonts w:ascii="微软雅黑" w:hAnsi="微软雅黑" w:eastAsia="微软雅黑"/>
                <w:color w:val="auto"/>
                <w:szCs w:val="21"/>
                <w:highlight w:val="none"/>
              </w:rPr>
            </w:pPr>
          </w:p>
        </w:tc>
        <w:tc>
          <w:tcPr>
            <w:tcW w:w="2410" w:type="dxa"/>
            <w:tcBorders>
              <w:top w:val="single" w:color="auto" w:sz="2" w:space="0"/>
              <w:left w:val="single" w:color="auto" w:sz="4" w:space="0"/>
              <w:bottom w:val="single" w:color="auto" w:sz="6" w:space="0"/>
              <w:right w:val="single" w:color="auto" w:sz="6" w:space="0"/>
            </w:tcBorders>
            <w:vAlign w:val="center"/>
          </w:tcPr>
          <w:p>
            <w:pPr>
              <w:snapToGrid w:val="0"/>
              <w:spacing w:line="360" w:lineRule="auto"/>
              <w:jc w:val="center"/>
              <w:rPr>
                <w:rFonts w:ascii="微软雅黑" w:hAnsi="微软雅黑" w:eastAsia="微软雅黑"/>
                <w:color w:val="auto"/>
                <w:szCs w:val="21"/>
                <w:highlight w:val="none"/>
              </w:rPr>
            </w:pPr>
          </w:p>
        </w:tc>
        <w:tc>
          <w:tcPr>
            <w:tcW w:w="1134" w:type="dxa"/>
            <w:tcBorders>
              <w:top w:val="single" w:color="auto" w:sz="2" w:space="0"/>
              <w:left w:val="single" w:color="auto" w:sz="6" w:space="0"/>
              <w:bottom w:val="single" w:color="auto" w:sz="6" w:space="0"/>
              <w:right w:val="single" w:color="auto" w:sz="6" w:space="0"/>
            </w:tcBorders>
            <w:tcMar>
              <w:top w:w="15" w:type="dxa"/>
              <w:left w:w="15" w:type="dxa"/>
              <w:bottom w:w="0" w:type="dxa"/>
              <w:right w:w="15" w:type="dxa"/>
            </w:tcMar>
            <w:vAlign w:val="center"/>
          </w:tcPr>
          <w:p>
            <w:pPr>
              <w:snapToGrid w:val="0"/>
              <w:spacing w:line="360" w:lineRule="auto"/>
              <w:jc w:val="center"/>
              <w:rPr>
                <w:rFonts w:ascii="微软雅黑" w:hAnsi="微软雅黑" w:eastAsia="微软雅黑"/>
                <w:color w:val="auto"/>
                <w:szCs w:val="21"/>
                <w:highlight w:val="none"/>
              </w:rPr>
            </w:pPr>
          </w:p>
        </w:tc>
        <w:tc>
          <w:tcPr>
            <w:tcW w:w="1076" w:type="dxa"/>
            <w:tcBorders>
              <w:top w:val="single" w:color="auto" w:sz="2" w:space="0"/>
              <w:left w:val="single" w:color="auto" w:sz="6" w:space="0"/>
              <w:bottom w:val="single" w:color="auto" w:sz="6" w:space="0"/>
              <w:right w:val="single" w:color="auto" w:sz="6" w:space="0"/>
            </w:tcBorders>
            <w:vAlign w:val="center"/>
          </w:tcPr>
          <w:p>
            <w:pPr>
              <w:snapToGrid w:val="0"/>
              <w:spacing w:line="360" w:lineRule="auto"/>
              <w:jc w:val="center"/>
              <w:rPr>
                <w:rFonts w:ascii="微软雅黑" w:hAnsi="微软雅黑" w:eastAsia="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973"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snapToGrid w:val="0"/>
              <w:spacing w:line="360" w:lineRule="auto"/>
              <w:jc w:val="center"/>
              <w:rPr>
                <w:rFonts w:ascii="微软雅黑" w:hAnsi="微软雅黑" w:eastAsia="微软雅黑"/>
                <w:color w:val="auto"/>
                <w:szCs w:val="21"/>
                <w:highlight w:val="none"/>
              </w:rPr>
            </w:pPr>
            <w:r>
              <w:rPr>
                <w:rFonts w:ascii="微软雅黑" w:hAnsi="微软雅黑" w:eastAsia="微软雅黑"/>
                <w:color w:val="auto"/>
                <w:szCs w:val="21"/>
                <w:highlight w:val="none"/>
              </w:rPr>
              <w:t>2</w:t>
            </w:r>
          </w:p>
        </w:tc>
        <w:tc>
          <w:tcPr>
            <w:tcW w:w="3011" w:type="dxa"/>
            <w:tcBorders>
              <w:top w:val="single" w:color="auto" w:sz="6" w:space="0"/>
              <w:left w:val="single" w:color="auto" w:sz="2" w:space="0"/>
              <w:bottom w:val="single" w:color="auto" w:sz="6" w:space="0"/>
              <w:right w:val="single" w:color="auto" w:sz="4" w:space="0"/>
            </w:tcBorders>
            <w:vAlign w:val="center"/>
          </w:tcPr>
          <w:p>
            <w:pPr>
              <w:snapToGrid w:val="0"/>
              <w:spacing w:line="360" w:lineRule="auto"/>
              <w:jc w:val="center"/>
              <w:rPr>
                <w:rFonts w:ascii="微软雅黑" w:hAnsi="微软雅黑" w:eastAsia="微软雅黑"/>
                <w:color w:val="auto"/>
                <w:szCs w:val="21"/>
                <w:highlight w:val="none"/>
              </w:rPr>
            </w:pPr>
          </w:p>
        </w:tc>
        <w:tc>
          <w:tcPr>
            <w:tcW w:w="2410"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微软雅黑" w:hAnsi="微软雅黑" w:eastAsia="微软雅黑"/>
                <w:color w:val="auto"/>
                <w:szCs w:val="21"/>
                <w:highlight w:val="none"/>
              </w:rPr>
            </w:pPr>
          </w:p>
        </w:tc>
        <w:tc>
          <w:tcPr>
            <w:tcW w:w="1134"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snapToGrid w:val="0"/>
              <w:spacing w:line="360" w:lineRule="auto"/>
              <w:jc w:val="center"/>
              <w:rPr>
                <w:rFonts w:ascii="微软雅黑" w:hAnsi="微软雅黑" w:eastAsia="微软雅黑"/>
                <w:color w:val="auto"/>
                <w:szCs w:val="21"/>
                <w:highlight w:val="none"/>
              </w:rPr>
            </w:pPr>
          </w:p>
        </w:tc>
        <w:tc>
          <w:tcPr>
            <w:tcW w:w="1076"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rFonts w:ascii="微软雅黑" w:hAnsi="微软雅黑" w:eastAsia="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973"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snapToGrid w:val="0"/>
              <w:spacing w:line="360" w:lineRule="auto"/>
              <w:jc w:val="center"/>
              <w:rPr>
                <w:rFonts w:ascii="微软雅黑" w:hAnsi="微软雅黑" w:eastAsia="微软雅黑"/>
                <w:color w:val="auto"/>
                <w:szCs w:val="21"/>
                <w:highlight w:val="none"/>
              </w:rPr>
            </w:pPr>
            <w:r>
              <w:rPr>
                <w:rFonts w:ascii="微软雅黑" w:hAnsi="微软雅黑" w:eastAsia="微软雅黑"/>
                <w:color w:val="auto"/>
                <w:szCs w:val="21"/>
                <w:highlight w:val="none"/>
              </w:rPr>
              <w:t>3</w:t>
            </w:r>
          </w:p>
        </w:tc>
        <w:tc>
          <w:tcPr>
            <w:tcW w:w="3011" w:type="dxa"/>
            <w:tcBorders>
              <w:top w:val="single" w:color="auto" w:sz="6" w:space="0"/>
              <w:left w:val="single" w:color="auto" w:sz="2" w:space="0"/>
              <w:bottom w:val="single" w:color="auto" w:sz="6" w:space="0"/>
              <w:right w:val="single" w:color="auto" w:sz="4" w:space="0"/>
            </w:tcBorders>
            <w:vAlign w:val="center"/>
          </w:tcPr>
          <w:p>
            <w:pPr>
              <w:snapToGrid w:val="0"/>
              <w:spacing w:line="360" w:lineRule="auto"/>
              <w:jc w:val="center"/>
              <w:rPr>
                <w:rFonts w:ascii="微软雅黑" w:hAnsi="微软雅黑" w:eastAsia="微软雅黑"/>
                <w:color w:val="auto"/>
                <w:szCs w:val="21"/>
                <w:highlight w:val="none"/>
              </w:rPr>
            </w:pPr>
          </w:p>
        </w:tc>
        <w:tc>
          <w:tcPr>
            <w:tcW w:w="2410"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微软雅黑" w:hAnsi="微软雅黑" w:eastAsia="微软雅黑"/>
                <w:color w:val="auto"/>
                <w:szCs w:val="21"/>
                <w:highlight w:val="none"/>
              </w:rPr>
            </w:pPr>
          </w:p>
        </w:tc>
        <w:tc>
          <w:tcPr>
            <w:tcW w:w="1134"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snapToGrid w:val="0"/>
              <w:spacing w:line="360" w:lineRule="auto"/>
              <w:jc w:val="center"/>
              <w:rPr>
                <w:rFonts w:ascii="微软雅黑" w:hAnsi="微软雅黑" w:eastAsia="微软雅黑"/>
                <w:color w:val="auto"/>
                <w:szCs w:val="21"/>
                <w:highlight w:val="none"/>
              </w:rPr>
            </w:pPr>
          </w:p>
        </w:tc>
        <w:tc>
          <w:tcPr>
            <w:tcW w:w="1076"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rFonts w:ascii="微软雅黑" w:hAnsi="微软雅黑" w:eastAsia="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973"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snapToGrid w:val="0"/>
              <w:spacing w:line="360" w:lineRule="auto"/>
              <w:jc w:val="center"/>
              <w:rPr>
                <w:rFonts w:ascii="微软雅黑" w:hAnsi="微软雅黑" w:eastAsia="微软雅黑"/>
                <w:color w:val="auto"/>
                <w:szCs w:val="21"/>
                <w:highlight w:val="none"/>
              </w:rPr>
            </w:pPr>
            <w:r>
              <w:rPr>
                <w:rFonts w:ascii="微软雅黑" w:hAnsi="微软雅黑" w:eastAsia="微软雅黑"/>
                <w:color w:val="auto"/>
                <w:szCs w:val="21"/>
                <w:highlight w:val="none"/>
              </w:rPr>
              <w:t>4</w:t>
            </w:r>
          </w:p>
        </w:tc>
        <w:tc>
          <w:tcPr>
            <w:tcW w:w="3011" w:type="dxa"/>
            <w:tcBorders>
              <w:top w:val="single" w:color="auto" w:sz="6" w:space="0"/>
              <w:left w:val="single" w:color="auto" w:sz="2" w:space="0"/>
              <w:bottom w:val="single" w:color="auto" w:sz="6" w:space="0"/>
              <w:right w:val="single" w:color="auto" w:sz="4" w:space="0"/>
            </w:tcBorders>
            <w:vAlign w:val="center"/>
          </w:tcPr>
          <w:p>
            <w:pPr>
              <w:snapToGrid w:val="0"/>
              <w:spacing w:line="360" w:lineRule="auto"/>
              <w:jc w:val="center"/>
              <w:rPr>
                <w:rFonts w:ascii="微软雅黑" w:hAnsi="微软雅黑" w:eastAsia="微软雅黑"/>
                <w:color w:val="auto"/>
                <w:szCs w:val="21"/>
                <w:highlight w:val="none"/>
              </w:rPr>
            </w:pPr>
          </w:p>
        </w:tc>
        <w:tc>
          <w:tcPr>
            <w:tcW w:w="2410"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微软雅黑" w:hAnsi="微软雅黑" w:eastAsia="微软雅黑"/>
                <w:color w:val="auto"/>
                <w:szCs w:val="21"/>
                <w:highlight w:val="none"/>
              </w:rPr>
            </w:pPr>
          </w:p>
        </w:tc>
        <w:tc>
          <w:tcPr>
            <w:tcW w:w="1134"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snapToGrid w:val="0"/>
              <w:spacing w:line="360" w:lineRule="auto"/>
              <w:jc w:val="center"/>
              <w:rPr>
                <w:rFonts w:ascii="微软雅黑" w:hAnsi="微软雅黑" w:eastAsia="微软雅黑"/>
                <w:color w:val="auto"/>
                <w:szCs w:val="21"/>
                <w:highlight w:val="none"/>
              </w:rPr>
            </w:pPr>
          </w:p>
        </w:tc>
        <w:tc>
          <w:tcPr>
            <w:tcW w:w="1076"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rFonts w:ascii="微软雅黑" w:hAnsi="微软雅黑" w:eastAsia="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973"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snapToGrid w:val="0"/>
              <w:spacing w:line="360" w:lineRule="auto"/>
              <w:jc w:val="center"/>
              <w:rPr>
                <w:rFonts w:ascii="微软雅黑" w:hAnsi="微软雅黑" w:eastAsia="微软雅黑"/>
                <w:color w:val="auto"/>
                <w:szCs w:val="21"/>
                <w:highlight w:val="none"/>
              </w:rPr>
            </w:pPr>
            <w:r>
              <w:rPr>
                <w:rFonts w:ascii="微软雅黑" w:hAnsi="微软雅黑" w:eastAsia="微软雅黑"/>
                <w:color w:val="auto"/>
                <w:szCs w:val="21"/>
                <w:highlight w:val="none"/>
              </w:rPr>
              <w:t>5</w:t>
            </w:r>
          </w:p>
        </w:tc>
        <w:tc>
          <w:tcPr>
            <w:tcW w:w="3011" w:type="dxa"/>
            <w:tcBorders>
              <w:top w:val="single" w:color="auto" w:sz="6" w:space="0"/>
              <w:left w:val="single" w:color="auto" w:sz="2" w:space="0"/>
              <w:bottom w:val="single" w:color="auto" w:sz="6" w:space="0"/>
              <w:right w:val="single" w:color="auto" w:sz="4" w:space="0"/>
            </w:tcBorders>
            <w:vAlign w:val="center"/>
          </w:tcPr>
          <w:p>
            <w:pPr>
              <w:snapToGrid w:val="0"/>
              <w:spacing w:line="360" w:lineRule="auto"/>
              <w:jc w:val="center"/>
              <w:rPr>
                <w:rFonts w:ascii="微软雅黑" w:hAnsi="微软雅黑" w:eastAsia="微软雅黑"/>
                <w:color w:val="auto"/>
                <w:szCs w:val="21"/>
                <w:highlight w:val="none"/>
              </w:rPr>
            </w:pPr>
          </w:p>
        </w:tc>
        <w:tc>
          <w:tcPr>
            <w:tcW w:w="2410"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微软雅黑" w:hAnsi="微软雅黑" w:eastAsia="微软雅黑"/>
                <w:color w:val="auto"/>
                <w:szCs w:val="21"/>
                <w:highlight w:val="none"/>
              </w:rPr>
            </w:pPr>
          </w:p>
        </w:tc>
        <w:tc>
          <w:tcPr>
            <w:tcW w:w="1134"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snapToGrid w:val="0"/>
              <w:spacing w:line="360" w:lineRule="auto"/>
              <w:jc w:val="center"/>
              <w:rPr>
                <w:rFonts w:ascii="微软雅黑" w:hAnsi="微软雅黑" w:eastAsia="微软雅黑"/>
                <w:color w:val="auto"/>
                <w:szCs w:val="21"/>
                <w:highlight w:val="none"/>
              </w:rPr>
            </w:pPr>
          </w:p>
        </w:tc>
        <w:tc>
          <w:tcPr>
            <w:tcW w:w="1076"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rFonts w:ascii="微软雅黑" w:hAnsi="微软雅黑" w:eastAsia="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973"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snapToGrid w:val="0"/>
              <w:spacing w:line="360" w:lineRule="auto"/>
              <w:jc w:val="center"/>
              <w:rPr>
                <w:rFonts w:ascii="微软雅黑" w:hAnsi="微软雅黑" w:eastAsia="微软雅黑"/>
                <w:color w:val="auto"/>
                <w:szCs w:val="21"/>
                <w:highlight w:val="none"/>
              </w:rPr>
            </w:pPr>
            <w:r>
              <w:rPr>
                <w:rFonts w:ascii="微软雅黑" w:hAnsi="微软雅黑" w:eastAsia="微软雅黑"/>
                <w:color w:val="auto"/>
                <w:szCs w:val="21"/>
                <w:highlight w:val="none"/>
              </w:rPr>
              <w:t>6</w:t>
            </w:r>
          </w:p>
        </w:tc>
        <w:tc>
          <w:tcPr>
            <w:tcW w:w="3011" w:type="dxa"/>
            <w:tcBorders>
              <w:top w:val="single" w:color="auto" w:sz="6" w:space="0"/>
              <w:left w:val="single" w:color="auto" w:sz="2" w:space="0"/>
              <w:bottom w:val="single" w:color="auto" w:sz="6" w:space="0"/>
              <w:right w:val="single" w:color="auto" w:sz="4" w:space="0"/>
            </w:tcBorders>
            <w:vAlign w:val="center"/>
          </w:tcPr>
          <w:p>
            <w:pPr>
              <w:snapToGrid w:val="0"/>
              <w:spacing w:line="360" w:lineRule="auto"/>
              <w:jc w:val="center"/>
              <w:rPr>
                <w:rFonts w:ascii="微软雅黑" w:hAnsi="微软雅黑" w:eastAsia="微软雅黑"/>
                <w:color w:val="auto"/>
                <w:szCs w:val="21"/>
                <w:highlight w:val="none"/>
              </w:rPr>
            </w:pPr>
          </w:p>
        </w:tc>
        <w:tc>
          <w:tcPr>
            <w:tcW w:w="2410"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微软雅黑" w:hAnsi="微软雅黑" w:eastAsia="微软雅黑"/>
                <w:color w:val="auto"/>
                <w:szCs w:val="21"/>
                <w:highlight w:val="none"/>
              </w:rPr>
            </w:pPr>
          </w:p>
        </w:tc>
        <w:tc>
          <w:tcPr>
            <w:tcW w:w="1134"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snapToGrid w:val="0"/>
              <w:spacing w:line="360" w:lineRule="auto"/>
              <w:jc w:val="center"/>
              <w:rPr>
                <w:rFonts w:ascii="微软雅黑" w:hAnsi="微软雅黑" w:eastAsia="微软雅黑"/>
                <w:color w:val="auto"/>
                <w:szCs w:val="21"/>
                <w:highlight w:val="none"/>
              </w:rPr>
            </w:pPr>
          </w:p>
        </w:tc>
        <w:tc>
          <w:tcPr>
            <w:tcW w:w="1076"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rFonts w:ascii="微软雅黑" w:hAnsi="微软雅黑" w:eastAsia="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973"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snapToGrid w:val="0"/>
              <w:spacing w:line="360" w:lineRule="auto"/>
              <w:jc w:val="center"/>
              <w:rPr>
                <w:rFonts w:ascii="微软雅黑" w:hAnsi="微软雅黑" w:eastAsia="微软雅黑"/>
                <w:color w:val="auto"/>
                <w:szCs w:val="21"/>
                <w:highlight w:val="none"/>
              </w:rPr>
            </w:pPr>
          </w:p>
        </w:tc>
        <w:tc>
          <w:tcPr>
            <w:tcW w:w="3011" w:type="dxa"/>
            <w:tcBorders>
              <w:top w:val="single" w:color="auto" w:sz="6" w:space="0"/>
              <w:left w:val="single" w:color="auto" w:sz="2" w:space="0"/>
              <w:bottom w:val="single" w:color="auto" w:sz="6" w:space="0"/>
              <w:right w:val="single" w:color="auto" w:sz="4" w:space="0"/>
            </w:tcBorders>
            <w:vAlign w:val="center"/>
          </w:tcPr>
          <w:p>
            <w:pPr>
              <w:snapToGrid w:val="0"/>
              <w:spacing w:line="360" w:lineRule="auto"/>
              <w:jc w:val="center"/>
              <w:rPr>
                <w:rFonts w:ascii="微软雅黑" w:hAnsi="微软雅黑" w:eastAsia="微软雅黑"/>
                <w:color w:val="auto"/>
                <w:szCs w:val="21"/>
                <w:highlight w:val="none"/>
              </w:rPr>
            </w:pPr>
          </w:p>
        </w:tc>
        <w:tc>
          <w:tcPr>
            <w:tcW w:w="2410"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微软雅黑" w:hAnsi="微软雅黑" w:eastAsia="微软雅黑"/>
                <w:color w:val="auto"/>
                <w:szCs w:val="21"/>
                <w:highlight w:val="none"/>
              </w:rPr>
            </w:pPr>
          </w:p>
        </w:tc>
        <w:tc>
          <w:tcPr>
            <w:tcW w:w="1134"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snapToGrid w:val="0"/>
              <w:spacing w:line="360" w:lineRule="auto"/>
              <w:jc w:val="center"/>
              <w:rPr>
                <w:rFonts w:ascii="微软雅黑" w:hAnsi="微软雅黑" w:eastAsia="微软雅黑"/>
                <w:color w:val="auto"/>
                <w:szCs w:val="21"/>
                <w:highlight w:val="none"/>
              </w:rPr>
            </w:pPr>
          </w:p>
        </w:tc>
        <w:tc>
          <w:tcPr>
            <w:tcW w:w="1076"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rFonts w:ascii="微软雅黑" w:hAnsi="微软雅黑" w:eastAsia="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973"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snapToGrid w:val="0"/>
              <w:spacing w:line="360" w:lineRule="auto"/>
              <w:rPr>
                <w:rFonts w:ascii="微软雅黑" w:hAnsi="微软雅黑" w:eastAsia="微软雅黑"/>
                <w:color w:val="auto"/>
                <w:szCs w:val="21"/>
                <w:highlight w:val="none"/>
              </w:rPr>
            </w:pPr>
          </w:p>
        </w:tc>
        <w:tc>
          <w:tcPr>
            <w:tcW w:w="3011" w:type="dxa"/>
            <w:tcBorders>
              <w:top w:val="single" w:color="auto" w:sz="6" w:space="0"/>
              <w:left w:val="single" w:color="auto" w:sz="2" w:space="0"/>
              <w:bottom w:val="single" w:color="auto" w:sz="2" w:space="0"/>
              <w:right w:val="single" w:color="auto" w:sz="4" w:space="0"/>
            </w:tcBorders>
            <w:vAlign w:val="center"/>
          </w:tcPr>
          <w:p>
            <w:pPr>
              <w:snapToGrid w:val="0"/>
              <w:spacing w:line="360" w:lineRule="auto"/>
              <w:rPr>
                <w:rFonts w:ascii="微软雅黑" w:hAnsi="微软雅黑" w:eastAsia="微软雅黑"/>
                <w:color w:val="auto"/>
                <w:szCs w:val="21"/>
                <w:highlight w:val="none"/>
              </w:rPr>
            </w:pPr>
          </w:p>
        </w:tc>
        <w:tc>
          <w:tcPr>
            <w:tcW w:w="2410" w:type="dxa"/>
            <w:tcBorders>
              <w:top w:val="single" w:color="auto" w:sz="6" w:space="0"/>
              <w:left w:val="single" w:color="auto" w:sz="4" w:space="0"/>
              <w:bottom w:val="single" w:color="auto" w:sz="2" w:space="0"/>
              <w:right w:val="single" w:color="auto" w:sz="6" w:space="0"/>
            </w:tcBorders>
            <w:vAlign w:val="center"/>
          </w:tcPr>
          <w:p>
            <w:pPr>
              <w:snapToGrid w:val="0"/>
              <w:spacing w:line="360" w:lineRule="auto"/>
              <w:rPr>
                <w:rFonts w:ascii="微软雅黑" w:hAnsi="微软雅黑" w:eastAsia="微软雅黑"/>
                <w:color w:val="auto"/>
                <w:szCs w:val="21"/>
                <w:highlight w:val="none"/>
              </w:rPr>
            </w:pPr>
          </w:p>
        </w:tc>
        <w:tc>
          <w:tcPr>
            <w:tcW w:w="1134" w:type="dxa"/>
            <w:tcBorders>
              <w:top w:val="single" w:color="auto" w:sz="6" w:space="0"/>
              <w:left w:val="single" w:color="auto" w:sz="6" w:space="0"/>
              <w:bottom w:val="single" w:color="auto" w:sz="2" w:space="0"/>
              <w:right w:val="single" w:color="auto" w:sz="6" w:space="0"/>
            </w:tcBorders>
            <w:tcMar>
              <w:top w:w="15" w:type="dxa"/>
              <w:left w:w="15" w:type="dxa"/>
              <w:bottom w:w="0" w:type="dxa"/>
              <w:right w:w="15" w:type="dxa"/>
            </w:tcMar>
            <w:vAlign w:val="center"/>
          </w:tcPr>
          <w:p>
            <w:pPr>
              <w:snapToGrid w:val="0"/>
              <w:spacing w:line="360" w:lineRule="auto"/>
              <w:rPr>
                <w:rFonts w:ascii="微软雅黑" w:hAnsi="微软雅黑" w:eastAsia="微软雅黑"/>
                <w:color w:val="auto"/>
                <w:szCs w:val="21"/>
                <w:highlight w:val="none"/>
              </w:rPr>
            </w:pPr>
          </w:p>
        </w:tc>
        <w:tc>
          <w:tcPr>
            <w:tcW w:w="1076" w:type="dxa"/>
            <w:tcBorders>
              <w:top w:val="single" w:color="auto" w:sz="6" w:space="0"/>
              <w:left w:val="single" w:color="auto" w:sz="6" w:space="0"/>
              <w:bottom w:val="single" w:color="auto" w:sz="2" w:space="0"/>
              <w:right w:val="single" w:color="auto" w:sz="6" w:space="0"/>
            </w:tcBorders>
          </w:tcPr>
          <w:p>
            <w:pPr>
              <w:snapToGrid w:val="0"/>
              <w:spacing w:line="360" w:lineRule="auto"/>
              <w:rPr>
                <w:rFonts w:ascii="微软雅黑" w:hAnsi="微软雅黑" w:eastAsia="微软雅黑"/>
                <w:color w:val="auto"/>
                <w:szCs w:val="21"/>
                <w:highlight w:val="none"/>
              </w:rPr>
            </w:pPr>
          </w:p>
        </w:tc>
      </w:tr>
    </w:tbl>
    <w:p>
      <w:pPr>
        <w:pStyle w:val="28"/>
        <w:snapToGrid w:val="0"/>
        <w:spacing w:beforeLines="0" w:afterLines="0" w:line="360" w:lineRule="auto"/>
        <w:rPr>
          <w:rFonts w:asciiTheme="minorEastAsia" w:hAnsiTheme="minorEastAsia" w:eastAsiaTheme="minorEastAsia"/>
          <w:b/>
          <w:color w:val="auto"/>
          <w:sz w:val="21"/>
          <w:szCs w:val="21"/>
          <w:highlight w:val="none"/>
        </w:rPr>
      </w:pPr>
    </w:p>
    <w:p>
      <w:pPr>
        <w:pStyle w:val="28"/>
        <w:snapToGrid w:val="0"/>
        <w:spacing w:beforeLines="0" w:afterLines="0" w:line="360" w:lineRule="auto"/>
        <w:rPr>
          <w:rFonts w:asciiTheme="minorEastAsia" w:hAnsiTheme="minorEastAsia" w:eastAsiaTheme="minorEastAsia"/>
          <w:b/>
          <w:color w:val="auto"/>
          <w:sz w:val="21"/>
          <w:szCs w:val="21"/>
          <w:highlight w:val="none"/>
        </w:rPr>
      </w:pPr>
    </w:p>
    <w:p>
      <w:pPr>
        <w:pStyle w:val="28"/>
        <w:snapToGrid w:val="0"/>
        <w:spacing w:beforeLines="0" w:afterLines="0" w:line="360" w:lineRule="auto"/>
        <w:rPr>
          <w:rFonts w:asciiTheme="minorEastAsia" w:hAnsiTheme="minorEastAsia" w:eastAsiaTheme="minorEastAsia"/>
          <w:b/>
          <w:color w:val="auto"/>
          <w:sz w:val="21"/>
          <w:szCs w:val="21"/>
          <w:highlight w:val="none"/>
        </w:rPr>
      </w:pPr>
    </w:p>
    <w:p>
      <w:pPr>
        <w:pStyle w:val="28"/>
        <w:snapToGrid w:val="0"/>
        <w:spacing w:beforeLines="0" w:afterLines="0" w:line="360" w:lineRule="auto"/>
        <w:rPr>
          <w:rFonts w:asciiTheme="minorEastAsia" w:hAnsiTheme="minorEastAsia" w:eastAsiaTheme="minorEastAsia"/>
          <w:b/>
          <w:color w:val="auto"/>
          <w:sz w:val="21"/>
          <w:szCs w:val="21"/>
          <w:highlight w:val="none"/>
        </w:rPr>
      </w:pPr>
    </w:p>
    <w:p>
      <w:pPr>
        <w:pStyle w:val="28"/>
        <w:snapToGrid w:val="0"/>
        <w:spacing w:beforeLines="0" w:afterLines="0" w:line="360" w:lineRule="auto"/>
        <w:rPr>
          <w:rFonts w:asciiTheme="minorEastAsia" w:hAnsiTheme="minorEastAsia" w:eastAsiaTheme="minorEastAsia"/>
          <w:b/>
          <w:color w:val="auto"/>
          <w:sz w:val="21"/>
          <w:szCs w:val="21"/>
          <w:highlight w:val="none"/>
        </w:rPr>
      </w:pPr>
    </w:p>
    <w:p>
      <w:pPr>
        <w:pStyle w:val="28"/>
        <w:snapToGrid w:val="0"/>
        <w:spacing w:beforeLines="0" w:afterLines="0" w:line="360" w:lineRule="auto"/>
        <w:rPr>
          <w:rFonts w:asciiTheme="minorEastAsia" w:hAnsiTheme="minorEastAsia" w:eastAsiaTheme="minorEastAsia"/>
          <w:b/>
          <w:color w:val="auto"/>
          <w:sz w:val="21"/>
          <w:szCs w:val="21"/>
          <w:highlight w:val="none"/>
        </w:rPr>
      </w:pPr>
    </w:p>
    <w:p>
      <w:pPr>
        <w:pStyle w:val="28"/>
        <w:snapToGrid w:val="0"/>
        <w:spacing w:beforeLines="0" w:afterLines="0" w:line="360" w:lineRule="auto"/>
        <w:rPr>
          <w:rFonts w:asciiTheme="minorEastAsia" w:hAnsiTheme="minorEastAsia" w:eastAsiaTheme="minorEastAsia"/>
          <w:b/>
          <w:color w:val="auto"/>
          <w:sz w:val="21"/>
          <w:szCs w:val="21"/>
          <w:highlight w:val="none"/>
        </w:rPr>
      </w:pPr>
    </w:p>
    <w:p>
      <w:pPr>
        <w:pStyle w:val="28"/>
        <w:snapToGrid w:val="0"/>
        <w:spacing w:beforeLines="0" w:afterLines="0" w:line="360" w:lineRule="auto"/>
        <w:rPr>
          <w:rFonts w:asciiTheme="minorEastAsia" w:hAnsiTheme="minorEastAsia" w:eastAsiaTheme="minorEastAsia"/>
          <w:b/>
          <w:color w:val="auto"/>
          <w:sz w:val="21"/>
          <w:szCs w:val="21"/>
          <w:highlight w:val="none"/>
        </w:rPr>
      </w:pPr>
    </w:p>
    <w:p>
      <w:pPr>
        <w:pStyle w:val="28"/>
        <w:snapToGrid w:val="0"/>
        <w:spacing w:beforeLines="0" w:afterLines="0" w:line="360" w:lineRule="auto"/>
        <w:rPr>
          <w:rFonts w:asciiTheme="minorEastAsia" w:hAnsiTheme="minorEastAsia" w:eastAsiaTheme="minorEastAsia"/>
          <w:b/>
          <w:color w:val="auto"/>
          <w:sz w:val="21"/>
          <w:szCs w:val="21"/>
          <w:highlight w:val="none"/>
        </w:rPr>
      </w:pPr>
    </w:p>
    <w:p>
      <w:pPr>
        <w:pStyle w:val="28"/>
        <w:snapToGrid w:val="0"/>
        <w:spacing w:beforeLines="0" w:afterLines="0" w:line="360" w:lineRule="auto"/>
        <w:rPr>
          <w:rFonts w:asciiTheme="minorEastAsia" w:hAnsiTheme="minorEastAsia" w:eastAsiaTheme="minorEastAsia"/>
          <w:b/>
          <w:color w:val="auto"/>
          <w:sz w:val="21"/>
          <w:szCs w:val="21"/>
          <w:highlight w:val="none"/>
        </w:rPr>
      </w:pPr>
    </w:p>
    <w:p>
      <w:pPr>
        <w:pStyle w:val="28"/>
        <w:snapToGrid w:val="0"/>
        <w:spacing w:beforeLines="0" w:afterLines="0" w:line="360" w:lineRule="auto"/>
        <w:rPr>
          <w:rFonts w:asciiTheme="minorEastAsia" w:hAnsiTheme="minorEastAsia" w:eastAsiaTheme="minorEastAsia"/>
          <w:b/>
          <w:color w:val="auto"/>
          <w:sz w:val="21"/>
          <w:szCs w:val="21"/>
          <w:highlight w:val="none"/>
        </w:rPr>
      </w:pPr>
    </w:p>
    <w:p>
      <w:pPr>
        <w:pStyle w:val="28"/>
        <w:snapToGrid w:val="0"/>
        <w:spacing w:beforeLines="0" w:afterLines="0" w:line="360" w:lineRule="auto"/>
        <w:rPr>
          <w:rFonts w:asciiTheme="minorEastAsia" w:hAnsiTheme="minorEastAsia" w:eastAsiaTheme="minorEastAsia"/>
          <w:b/>
          <w:color w:val="auto"/>
          <w:sz w:val="21"/>
          <w:szCs w:val="21"/>
          <w:highlight w:val="none"/>
        </w:rPr>
      </w:pPr>
    </w:p>
    <w:p>
      <w:pPr>
        <w:pStyle w:val="28"/>
        <w:snapToGrid w:val="0"/>
        <w:spacing w:beforeLines="0" w:afterLines="0" w:line="360" w:lineRule="auto"/>
        <w:rPr>
          <w:rFonts w:asciiTheme="minorEastAsia" w:hAnsiTheme="minorEastAsia" w:eastAsiaTheme="minorEastAsia"/>
          <w:b/>
          <w:color w:val="auto"/>
          <w:sz w:val="21"/>
          <w:szCs w:val="21"/>
          <w:highlight w:val="none"/>
        </w:rPr>
      </w:pPr>
    </w:p>
    <w:p>
      <w:pPr>
        <w:pStyle w:val="28"/>
        <w:snapToGrid w:val="0"/>
        <w:spacing w:beforeLines="0" w:afterLines="0" w:line="360" w:lineRule="auto"/>
        <w:rPr>
          <w:rFonts w:asciiTheme="minorEastAsia" w:hAnsiTheme="minorEastAsia" w:eastAsiaTheme="minorEastAsia"/>
          <w:b/>
          <w:color w:val="auto"/>
          <w:sz w:val="21"/>
          <w:szCs w:val="21"/>
          <w:highlight w:val="none"/>
        </w:rPr>
      </w:pPr>
    </w:p>
    <w:p>
      <w:pPr>
        <w:pStyle w:val="28"/>
        <w:snapToGrid w:val="0"/>
        <w:spacing w:beforeLines="0" w:afterLines="0" w:line="360" w:lineRule="auto"/>
        <w:rPr>
          <w:rFonts w:asciiTheme="minorEastAsia" w:hAnsiTheme="minorEastAsia" w:eastAsiaTheme="minorEastAsia"/>
          <w:b/>
          <w:color w:val="auto"/>
          <w:sz w:val="21"/>
          <w:szCs w:val="21"/>
          <w:highlight w:val="none"/>
        </w:rPr>
      </w:pPr>
    </w:p>
    <w:p>
      <w:pPr>
        <w:pStyle w:val="28"/>
        <w:snapToGrid w:val="0"/>
        <w:spacing w:beforeLines="0" w:afterLines="0" w:line="360" w:lineRule="auto"/>
        <w:rPr>
          <w:rFonts w:asciiTheme="minorEastAsia" w:hAnsiTheme="minorEastAsia" w:eastAsiaTheme="minorEastAsia"/>
          <w:b/>
          <w:color w:val="auto"/>
          <w:sz w:val="21"/>
          <w:szCs w:val="21"/>
          <w:highlight w:val="none"/>
        </w:rPr>
      </w:pPr>
    </w:p>
    <w:p>
      <w:pPr>
        <w:pStyle w:val="28"/>
        <w:snapToGrid w:val="0"/>
        <w:spacing w:beforeLines="0" w:afterLines="0" w:line="360" w:lineRule="auto"/>
        <w:rPr>
          <w:rFonts w:asciiTheme="minorEastAsia" w:hAnsiTheme="minorEastAsia" w:eastAsiaTheme="minorEastAsia"/>
          <w:b/>
          <w:color w:val="auto"/>
          <w:sz w:val="21"/>
          <w:szCs w:val="21"/>
          <w:highlight w:val="none"/>
        </w:rPr>
      </w:pPr>
    </w:p>
    <w:p>
      <w:pPr>
        <w:pStyle w:val="28"/>
        <w:snapToGrid w:val="0"/>
        <w:spacing w:beforeLines="0" w:afterLines="0" w:line="360" w:lineRule="auto"/>
        <w:rPr>
          <w:rFonts w:asciiTheme="minorEastAsia" w:hAnsiTheme="minorEastAsia" w:eastAsiaTheme="minorEastAsia"/>
          <w:b/>
          <w:color w:val="auto"/>
          <w:sz w:val="21"/>
          <w:szCs w:val="21"/>
          <w:highlight w:val="none"/>
        </w:rPr>
      </w:pPr>
    </w:p>
    <w:p>
      <w:pPr>
        <w:pStyle w:val="28"/>
        <w:snapToGrid w:val="0"/>
        <w:spacing w:beforeLines="0" w:afterLines="0" w:line="360" w:lineRule="auto"/>
        <w:rPr>
          <w:rFonts w:asciiTheme="minorEastAsia" w:hAnsiTheme="minorEastAsia" w:eastAsiaTheme="minorEastAsia"/>
          <w:b/>
          <w:color w:val="auto"/>
          <w:sz w:val="21"/>
          <w:szCs w:val="21"/>
          <w:highlight w:val="none"/>
        </w:rPr>
      </w:pPr>
    </w:p>
    <w:p>
      <w:pPr>
        <w:pStyle w:val="28"/>
        <w:snapToGrid w:val="0"/>
        <w:spacing w:beforeLines="0" w:afterLines="0" w:line="360" w:lineRule="auto"/>
        <w:rPr>
          <w:rFonts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10、</w:t>
      </w:r>
    </w:p>
    <w:p>
      <w:pPr>
        <w:pStyle w:val="28"/>
        <w:snapToGrid w:val="0"/>
        <w:spacing w:beforeLines="0" w:afterLines="0" w:line="360" w:lineRule="auto"/>
        <w:jc w:val="center"/>
        <w:rPr>
          <w:rFonts w:hAnsi="宋体"/>
          <w:b/>
          <w:color w:val="auto"/>
          <w:sz w:val="21"/>
          <w:szCs w:val="21"/>
          <w:highlight w:val="none"/>
        </w:rPr>
      </w:pPr>
      <w:r>
        <w:rPr>
          <w:rFonts w:hint="eastAsia" w:asciiTheme="minorEastAsia" w:hAnsiTheme="minorEastAsia" w:eastAsiaTheme="minorEastAsia"/>
          <w:b/>
          <w:color w:val="auto"/>
          <w:sz w:val="21"/>
          <w:szCs w:val="21"/>
          <w:highlight w:val="none"/>
        </w:rPr>
        <w:t>中小企业声明函</w:t>
      </w:r>
      <w:r>
        <w:rPr>
          <w:rFonts w:hint="eastAsia" w:hAnsi="宋体"/>
          <w:b/>
          <w:bCs/>
          <w:color w:val="auto"/>
          <w:sz w:val="21"/>
          <w:szCs w:val="21"/>
          <w:highlight w:val="none"/>
        </w:rPr>
        <w:t>（工程、服务）</w:t>
      </w:r>
    </w:p>
    <w:p>
      <w:pPr>
        <w:pStyle w:val="28"/>
        <w:snapToGrid w:val="0"/>
        <w:spacing w:beforeLines="0" w:afterLines="0" w:line="360" w:lineRule="auto"/>
        <w:jc w:val="center"/>
        <w:rPr>
          <w:rFonts w:asciiTheme="minorEastAsia" w:hAnsiTheme="minorEastAsia" w:eastAsiaTheme="minorEastAsia"/>
          <w:b/>
          <w:color w:val="auto"/>
          <w:sz w:val="21"/>
          <w:szCs w:val="21"/>
          <w:highlight w:val="none"/>
        </w:rPr>
      </w:pPr>
      <w:r>
        <w:rPr>
          <w:rFonts w:hint="eastAsia" w:asciiTheme="minorEastAsia" w:hAnsiTheme="minorEastAsia" w:eastAsiaTheme="minorEastAsia"/>
          <w:b/>
          <w:bCs/>
          <w:color w:val="auto"/>
          <w:sz w:val="21"/>
          <w:szCs w:val="21"/>
          <w:highlight w:val="none"/>
        </w:rPr>
        <w:t>（附件9）</w:t>
      </w:r>
    </w:p>
    <w:p>
      <w:pPr>
        <w:widowControl/>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公司（联合体）郑重声明，根据《政府采购促进中小企业发展管理办法》（财库﹝2020﹞46号）的规定，本公司（联合体）参加</w:t>
      </w:r>
      <w:r>
        <w:rPr>
          <w:rFonts w:ascii="宋体" w:hAnsi="宋体"/>
          <w:color w:val="auto"/>
          <w:szCs w:val="21"/>
          <w:highlight w:val="none"/>
          <w:u w:val="single"/>
        </w:rPr>
        <w:t>（单位名称）</w:t>
      </w:r>
      <w:r>
        <w:rPr>
          <w:rFonts w:ascii="宋体" w:hAnsi="宋体"/>
          <w:color w:val="auto"/>
          <w:szCs w:val="21"/>
          <w:highlight w:val="none"/>
        </w:rPr>
        <w:t>的</w:t>
      </w:r>
      <w:r>
        <w:rPr>
          <w:rFonts w:ascii="宋体" w:hAnsi="宋体"/>
          <w:color w:val="auto"/>
          <w:szCs w:val="21"/>
          <w:highlight w:val="none"/>
          <w:u w:val="single"/>
        </w:rPr>
        <w:t>（项目名称）</w:t>
      </w:r>
      <w:r>
        <w:rPr>
          <w:rFonts w:ascii="宋体" w:hAnsi="宋体"/>
          <w:color w:val="auto"/>
          <w:szCs w:val="21"/>
          <w:highlight w:val="none"/>
        </w:rPr>
        <w:t>采购活动，</w:t>
      </w:r>
      <w:r>
        <w:rPr>
          <w:rFonts w:hint="eastAsia" w:ascii="宋体" w:hAnsi="宋体"/>
          <w:color w:val="auto"/>
          <w:szCs w:val="21"/>
          <w:highlight w:val="none"/>
        </w:rPr>
        <w:t>工程的施工单位</w:t>
      </w:r>
      <w:r>
        <w:rPr>
          <w:rFonts w:ascii="宋体" w:hAnsi="宋体"/>
          <w:color w:val="auto"/>
          <w:szCs w:val="21"/>
          <w:highlight w:val="none"/>
        </w:rPr>
        <w:t>全部</w:t>
      </w:r>
      <w:r>
        <w:rPr>
          <w:rFonts w:hint="eastAsia" w:ascii="宋体" w:hAnsi="宋体"/>
          <w:color w:val="auto"/>
          <w:szCs w:val="21"/>
          <w:highlight w:val="none"/>
        </w:rPr>
        <w:t>为</w:t>
      </w:r>
      <w:r>
        <w:rPr>
          <w:rFonts w:ascii="宋体" w:hAnsi="宋体"/>
          <w:color w:val="auto"/>
          <w:szCs w:val="21"/>
          <w:highlight w:val="none"/>
        </w:rPr>
        <w:t>符合政策要求的中小企业</w:t>
      </w:r>
      <w:r>
        <w:rPr>
          <w:rFonts w:hint="eastAsia" w:ascii="宋体" w:hAnsi="宋体"/>
          <w:color w:val="auto"/>
          <w:szCs w:val="21"/>
          <w:highlight w:val="none"/>
        </w:rPr>
        <w:t>（或者服务全部由符合政策要求的中小企业承接）</w:t>
      </w:r>
      <w:r>
        <w:rPr>
          <w:rFonts w:ascii="宋体" w:hAnsi="宋体"/>
          <w:color w:val="auto"/>
          <w:szCs w:val="21"/>
          <w:highlight w:val="none"/>
        </w:rPr>
        <w:t>。相关企业（含联合体中的中小企业、签订分包意向协议的中小企业）的具体情况如下：</w:t>
      </w:r>
    </w:p>
    <w:p>
      <w:pPr>
        <w:widowControl/>
        <w:spacing w:line="360" w:lineRule="auto"/>
        <w:ind w:left="420" w:leftChars="200"/>
        <w:jc w:val="left"/>
        <w:rPr>
          <w:rFonts w:ascii="宋体" w:hAnsi="宋体"/>
          <w:color w:val="auto"/>
          <w:szCs w:val="21"/>
          <w:highlight w:val="none"/>
        </w:rPr>
      </w:pPr>
      <w:r>
        <w:rPr>
          <w:rFonts w:ascii="宋体" w:hAnsi="宋体"/>
          <w:color w:val="auto"/>
          <w:szCs w:val="21"/>
          <w:highlight w:val="none"/>
        </w:rPr>
        <w:t>1.</w:t>
      </w:r>
      <w:r>
        <w:rPr>
          <w:rFonts w:ascii="宋体" w:hAnsi="宋体"/>
          <w:color w:val="auto"/>
          <w:szCs w:val="21"/>
          <w:highlight w:val="none"/>
          <w:u w:val="single"/>
        </w:rPr>
        <w:t>（标的名称）</w:t>
      </w:r>
      <w:r>
        <w:rPr>
          <w:rFonts w:ascii="宋体" w:hAnsi="宋体"/>
          <w:color w:val="auto"/>
          <w:szCs w:val="21"/>
          <w:highlight w:val="none"/>
        </w:rPr>
        <w:t>，属于</w:t>
      </w:r>
      <w:r>
        <w:rPr>
          <w:rFonts w:ascii="宋体" w:hAnsi="宋体"/>
          <w:color w:val="auto"/>
          <w:szCs w:val="21"/>
          <w:highlight w:val="none"/>
          <w:u w:val="single"/>
        </w:rPr>
        <w:t>（采购文件中明确的所属行业）</w:t>
      </w:r>
      <w:r>
        <w:rPr>
          <w:rFonts w:ascii="宋体" w:hAnsi="宋体"/>
          <w:color w:val="auto"/>
          <w:szCs w:val="21"/>
          <w:highlight w:val="none"/>
        </w:rPr>
        <w:t>行业；</w:t>
      </w:r>
      <w:r>
        <w:rPr>
          <w:rFonts w:hint="eastAsia" w:ascii="宋体" w:hAnsi="宋体"/>
          <w:color w:val="auto"/>
          <w:szCs w:val="21"/>
          <w:highlight w:val="none"/>
        </w:rPr>
        <w:t>承建（承接）企业为</w:t>
      </w:r>
      <w:r>
        <w:rPr>
          <w:rFonts w:hint="eastAsia" w:ascii="宋体" w:hAnsi="宋体"/>
          <w:color w:val="auto"/>
          <w:szCs w:val="21"/>
          <w:highlight w:val="none"/>
          <w:u w:val="single"/>
        </w:rPr>
        <w:t xml:space="preserve"> （企业名称）</w:t>
      </w:r>
      <w:r>
        <w:rPr>
          <w:rFonts w:ascii="宋体" w:hAnsi="宋体"/>
          <w:color w:val="auto"/>
          <w:szCs w:val="21"/>
          <w:highlight w:val="none"/>
        </w:rPr>
        <w:t>，从业人员人，营业收入为万元，资产总额为万元1，属于</w:t>
      </w:r>
      <w:r>
        <w:rPr>
          <w:rFonts w:ascii="宋体" w:hAnsi="宋体"/>
          <w:color w:val="auto"/>
          <w:szCs w:val="21"/>
          <w:highlight w:val="none"/>
          <w:u w:val="single"/>
        </w:rPr>
        <w:t>（中型企业、小型企业、微型企业）</w:t>
      </w:r>
      <w:r>
        <w:rPr>
          <w:rFonts w:ascii="宋体" w:hAnsi="宋体"/>
          <w:color w:val="auto"/>
          <w:szCs w:val="21"/>
          <w:highlight w:val="none"/>
        </w:rPr>
        <w:t>；</w:t>
      </w:r>
    </w:p>
    <w:p>
      <w:pPr>
        <w:widowControl/>
        <w:spacing w:line="360" w:lineRule="auto"/>
        <w:ind w:firstLine="525" w:firstLineChars="250"/>
        <w:jc w:val="left"/>
        <w:rPr>
          <w:rFonts w:ascii="宋体" w:hAnsi="宋体"/>
          <w:color w:val="auto"/>
          <w:szCs w:val="21"/>
          <w:highlight w:val="none"/>
        </w:rPr>
      </w:pPr>
      <w:r>
        <w:rPr>
          <w:rFonts w:ascii="宋体" w:hAnsi="宋体"/>
          <w:color w:val="auto"/>
          <w:szCs w:val="21"/>
          <w:highlight w:val="none"/>
        </w:rPr>
        <w:t>以上企业，不属于大企业的分支机构，不存在控股股东为大企业的情形，也不存在与大企业的负责人为同一人的情形。</w:t>
      </w:r>
    </w:p>
    <w:p>
      <w:pPr>
        <w:widowControl/>
        <w:spacing w:line="360" w:lineRule="auto"/>
        <w:ind w:firstLine="525" w:firstLineChars="250"/>
        <w:jc w:val="left"/>
        <w:rPr>
          <w:rFonts w:ascii="宋体" w:hAnsi="宋体"/>
          <w:color w:val="auto"/>
          <w:szCs w:val="21"/>
          <w:highlight w:val="none"/>
        </w:rPr>
      </w:pPr>
      <w:r>
        <w:rPr>
          <w:rFonts w:ascii="宋体" w:hAnsi="宋体"/>
          <w:color w:val="auto"/>
          <w:szCs w:val="21"/>
          <w:highlight w:val="none"/>
        </w:rPr>
        <w:t>本企业对上述声明内容的真实性负责。如有虚假，将依法承担相应责任。</w:t>
      </w:r>
    </w:p>
    <w:p>
      <w:pPr>
        <w:widowControl/>
        <w:spacing w:line="360" w:lineRule="auto"/>
        <w:ind w:firstLine="525" w:firstLineChars="250"/>
        <w:jc w:val="left"/>
        <w:rPr>
          <w:rFonts w:ascii="宋体" w:hAnsi="宋体"/>
          <w:color w:val="auto"/>
          <w:szCs w:val="21"/>
          <w:highlight w:val="none"/>
        </w:rPr>
      </w:pPr>
      <w:r>
        <w:rPr>
          <w:rFonts w:ascii="宋体" w:hAnsi="宋体"/>
          <w:color w:val="auto"/>
          <w:szCs w:val="21"/>
          <w:highlight w:val="none"/>
        </w:rPr>
        <w:t>从业人员、营业收入、资产总额填报上一年度数据，无上一年度数据的新成立企业可不填报。</w:t>
      </w:r>
    </w:p>
    <w:p>
      <w:pPr>
        <w:spacing w:line="360" w:lineRule="auto"/>
        <w:ind w:firstLine="4515" w:firstLineChars="2150"/>
        <w:rPr>
          <w:rFonts w:ascii="宋体" w:hAnsi="宋体"/>
          <w:color w:val="auto"/>
          <w:spacing w:val="20"/>
          <w:szCs w:val="21"/>
          <w:highlight w:val="none"/>
          <w:u w:val="single"/>
        </w:rPr>
      </w:pPr>
      <w:r>
        <w:rPr>
          <w:rFonts w:ascii="宋体" w:hAnsi="宋体"/>
          <w:color w:val="auto"/>
          <w:szCs w:val="21"/>
          <w:highlight w:val="none"/>
        </w:rPr>
        <w:t>企业称（盖章）</w:t>
      </w:r>
      <w:r>
        <w:rPr>
          <w:rFonts w:hint="eastAsia" w:ascii="宋体" w:hAnsi="宋体"/>
          <w:color w:val="auto"/>
          <w:szCs w:val="21"/>
          <w:highlight w:val="none"/>
        </w:rPr>
        <w:t>：</w:t>
      </w:r>
    </w:p>
    <w:p>
      <w:pPr>
        <w:pStyle w:val="28"/>
        <w:spacing w:beforeLines="0" w:afterLines="0" w:line="360" w:lineRule="auto"/>
        <w:ind w:firstLine="420"/>
        <w:jc w:val="center"/>
        <w:outlineLvl w:val="3"/>
        <w:rPr>
          <w:rFonts w:hAnsi="宋体"/>
          <w:color w:val="auto"/>
          <w:spacing w:val="20"/>
          <w:sz w:val="21"/>
          <w:szCs w:val="21"/>
          <w:highlight w:val="none"/>
        </w:rPr>
      </w:pPr>
      <w:r>
        <w:rPr>
          <w:rFonts w:hint="eastAsia" w:hAnsi="宋体"/>
          <w:color w:val="auto"/>
          <w:spacing w:val="20"/>
          <w:sz w:val="21"/>
          <w:szCs w:val="21"/>
          <w:highlight w:val="none"/>
        </w:rPr>
        <w:t xml:space="preserve">             日     期：</w:t>
      </w:r>
    </w:p>
    <w:p>
      <w:pPr>
        <w:widowControl/>
        <w:spacing w:line="360" w:lineRule="auto"/>
        <w:jc w:val="left"/>
        <w:rPr>
          <w:rFonts w:asciiTheme="minorEastAsia" w:hAnsiTheme="minorEastAsia" w:eastAsiaTheme="minorEastAsia"/>
          <w:b/>
          <w:color w:val="auto"/>
          <w:szCs w:val="21"/>
          <w:highlight w:val="none"/>
        </w:rPr>
      </w:pPr>
    </w:p>
    <w:p>
      <w:pPr>
        <w:widowControl/>
        <w:spacing w:line="360" w:lineRule="auto"/>
        <w:jc w:val="left"/>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11、</w:t>
      </w:r>
    </w:p>
    <w:p>
      <w:pPr>
        <w:widowControl/>
        <w:spacing w:line="360" w:lineRule="auto"/>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残疾人福利性单位声明函</w:t>
      </w:r>
      <w:r>
        <w:rPr>
          <w:rFonts w:hint="eastAsia" w:asciiTheme="minorEastAsia" w:hAnsiTheme="minorEastAsia" w:eastAsiaTheme="minorEastAsia"/>
          <w:b/>
          <w:bCs/>
          <w:color w:val="auto"/>
          <w:szCs w:val="21"/>
          <w:highlight w:val="none"/>
        </w:rPr>
        <w:t>（附件10）</w:t>
      </w:r>
    </w:p>
    <w:p>
      <w:pPr>
        <w:widowControl/>
        <w:spacing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pacing w:line="360" w:lineRule="auto"/>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  本单位对上述声明的真实性负责。如有虚假，将依法承担相应责任</w:t>
      </w:r>
    </w:p>
    <w:p>
      <w:pPr>
        <w:spacing w:line="360" w:lineRule="auto"/>
        <w:ind w:firstLine="420" w:firstLineChars="200"/>
        <w:rPr>
          <w:rFonts w:asciiTheme="minorEastAsia" w:hAnsiTheme="minorEastAsia" w:eastAsiaTheme="minorEastAsia"/>
          <w:color w:val="auto"/>
          <w:szCs w:val="21"/>
          <w:highlight w:val="none"/>
        </w:rPr>
      </w:pPr>
    </w:p>
    <w:p>
      <w:pPr>
        <w:spacing w:line="360" w:lineRule="auto"/>
        <w:ind w:firstLine="5625" w:firstLineChars="2250"/>
        <w:rPr>
          <w:rFonts w:asciiTheme="minorEastAsia" w:hAnsiTheme="minorEastAsia" w:eastAsiaTheme="minorEastAsia"/>
          <w:color w:val="auto"/>
          <w:spacing w:val="20"/>
          <w:szCs w:val="21"/>
          <w:highlight w:val="none"/>
          <w:u w:val="single"/>
        </w:rPr>
      </w:pPr>
      <w:r>
        <w:rPr>
          <w:rFonts w:hint="eastAsia" w:asciiTheme="minorEastAsia" w:hAnsiTheme="minorEastAsia" w:eastAsiaTheme="minorEastAsia"/>
          <w:color w:val="auto"/>
          <w:spacing w:val="20"/>
          <w:szCs w:val="21"/>
          <w:highlight w:val="none"/>
        </w:rPr>
        <w:t>投标人盖章：</w:t>
      </w:r>
    </w:p>
    <w:p>
      <w:pPr>
        <w:snapToGrid w:val="0"/>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                                                        日        期：</w:t>
      </w:r>
    </w:p>
    <w:p>
      <w:pPr>
        <w:snapToGrid w:val="0"/>
        <w:spacing w:line="360" w:lineRule="auto"/>
        <w:rPr>
          <w:rFonts w:asciiTheme="minorEastAsia" w:hAnsiTheme="minorEastAsia" w:eastAsiaTheme="minorEastAsia"/>
          <w:color w:val="auto"/>
          <w:spacing w:val="20"/>
          <w:szCs w:val="21"/>
          <w:highlight w:val="none"/>
        </w:rPr>
      </w:pPr>
    </w:p>
    <w:p>
      <w:pPr>
        <w:pStyle w:val="48"/>
        <w:spacing w:line="360" w:lineRule="auto"/>
        <w:ind w:left="0" w:leftChars="0" w:firstLine="0" w:firstLineChars="0"/>
        <w:rPr>
          <w:rFonts w:hAnsi="宋体"/>
          <w:b/>
          <w:bCs/>
          <w:color w:val="auto"/>
          <w:szCs w:val="21"/>
          <w:highlight w:val="none"/>
        </w:rPr>
      </w:pPr>
    </w:p>
    <w:p>
      <w:pPr>
        <w:pStyle w:val="48"/>
        <w:spacing w:line="360" w:lineRule="auto"/>
        <w:ind w:left="0" w:leftChars="0" w:firstLine="0" w:firstLineChars="0"/>
        <w:rPr>
          <w:rFonts w:hAnsi="宋体"/>
          <w:b/>
          <w:bCs/>
          <w:color w:val="auto"/>
          <w:szCs w:val="21"/>
          <w:highlight w:val="none"/>
        </w:rPr>
      </w:pPr>
    </w:p>
    <w:p>
      <w:pPr>
        <w:pStyle w:val="48"/>
        <w:spacing w:line="360" w:lineRule="auto"/>
        <w:ind w:left="0" w:leftChars="0" w:firstLine="0" w:firstLineChars="0"/>
        <w:rPr>
          <w:rFonts w:hAnsi="宋体"/>
          <w:b/>
          <w:bCs/>
          <w:color w:val="auto"/>
          <w:szCs w:val="21"/>
          <w:highlight w:val="none"/>
        </w:rPr>
      </w:pPr>
    </w:p>
    <w:p>
      <w:pPr>
        <w:snapToGrid w:val="0"/>
        <w:spacing w:line="360" w:lineRule="auto"/>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12.</w:t>
      </w:r>
    </w:p>
    <w:p>
      <w:pPr>
        <w:snapToGrid w:val="0"/>
        <w:spacing w:line="360" w:lineRule="auto"/>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投标函</w:t>
      </w:r>
      <w:r>
        <w:rPr>
          <w:rFonts w:hint="eastAsia" w:asciiTheme="minorEastAsia" w:hAnsiTheme="minorEastAsia" w:eastAsiaTheme="minorEastAsia"/>
          <w:b/>
          <w:bCs/>
          <w:color w:val="auto"/>
          <w:szCs w:val="21"/>
          <w:highlight w:val="none"/>
        </w:rPr>
        <w:t>（附件11）</w:t>
      </w:r>
    </w:p>
    <w:p>
      <w:pPr>
        <w:adjustRightInd w:val="0"/>
        <w:snapToGrid w:val="0"/>
        <w:spacing w:line="360" w:lineRule="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color w:val="auto"/>
          <w:szCs w:val="21"/>
          <w:highlight w:val="none"/>
        </w:rPr>
        <w:t>致：</w:t>
      </w:r>
      <w:r>
        <w:rPr>
          <w:rFonts w:hint="eastAsia" w:asciiTheme="minorEastAsia" w:hAnsiTheme="minorEastAsia" w:eastAsiaTheme="minorEastAsia"/>
          <w:color w:val="auto"/>
          <w:szCs w:val="21"/>
          <w:highlight w:val="none"/>
          <w:lang w:eastAsia="zh-CN"/>
        </w:rPr>
        <w:t>嘉兴市秀洲区人民政府新城街道办事处</w:t>
      </w:r>
    </w:p>
    <w:p>
      <w:pPr>
        <w:adjustRightInd w:val="0"/>
        <w:snapToGrid w:val="0"/>
        <w:spacing w:line="360" w:lineRule="auto"/>
        <w:ind w:firstLine="420" w:firstLineChars="200"/>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根据贵方为的</w:t>
      </w:r>
      <w:r>
        <w:rPr>
          <w:rFonts w:hint="eastAsia" w:asciiTheme="minorEastAsia" w:hAnsiTheme="minorEastAsia" w:eastAsiaTheme="minorEastAsia"/>
          <w:color w:val="auto"/>
          <w:szCs w:val="21"/>
          <w:highlight w:val="none"/>
          <w:u w:val="single"/>
          <w:lang w:eastAsia="zh-CN"/>
        </w:rPr>
        <w:t>新城街道市政设施养护项目</w:t>
      </w:r>
      <w:r>
        <w:rPr>
          <w:rFonts w:hint="eastAsia" w:asciiTheme="minorEastAsia" w:hAnsiTheme="minorEastAsia" w:eastAsiaTheme="minorEastAsia"/>
          <w:color w:val="auto"/>
          <w:szCs w:val="21"/>
          <w:highlight w:val="none"/>
        </w:rPr>
        <w:t>招</w:t>
      </w:r>
      <w:r>
        <w:rPr>
          <w:rFonts w:asciiTheme="minorEastAsia" w:hAnsiTheme="minorEastAsia" w:eastAsiaTheme="minorEastAsia"/>
          <w:color w:val="auto"/>
          <w:szCs w:val="21"/>
          <w:highlight w:val="none"/>
        </w:rPr>
        <w:t>标</w:t>
      </w:r>
      <w:r>
        <w:rPr>
          <w:rFonts w:hint="eastAsia" w:asciiTheme="minorEastAsia" w:hAnsiTheme="minorEastAsia" w:eastAsiaTheme="minorEastAsia"/>
          <w:color w:val="auto"/>
          <w:szCs w:val="21"/>
          <w:highlight w:val="none"/>
        </w:rPr>
        <w:t>公告</w:t>
      </w:r>
      <w:r>
        <w:rPr>
          <w:rFonts w:asciiTheme="minorEastAsia" w:hAnsiTheme="minorEastAsia" w:eastAsiaTheme="minorEastAsia"/>
          <w:color w:val="auto"/>
          <w:szCs w:val="21"/>
          <w:highlight w:val="none"/>
        </w:rPr>
        <w:t>，签字代表____________________（</w:t>
      </w:r>
      <w:r>
        <w:rPr>
          <w:rFonts w:hint="eastAsia" w:asciiTheme="minorEastAsia" w:hAnsiTheme="minorEastAsia" w:eastAsiaTheme="minorEastAsia"/>
          <w:color w:val="auto"/>
          <w:szCs w:val="21"/>
          <w:highlight w:val="none"/>
        </w:rPr>
        <w:t>法人</w:t>
      </w:r>
      <w:r>
        <w:rPr>
          <w:rFonts w:asciiTheme="minorEastAsia" w:hAnsiTheme="minorEastAsia" w:eastAsiaTheme="minorEastAsia"/>
          <w:color w:val="auto"/>
          <w:szCs w:val="21"/>
          <w:highlight w:val="none"/>
        </w:rPr>
        <w:t>全名）经正式授权</w:t>
      </w:r>
      <w:r>
        <w:rPr>
          <w:rFonts w:hint="eastAsia" w:asciiTheme="minorEastAsia" w:hAnsiTheme="minorEastAsia" w:eastAsiaTheme="minorEastAsia"/>
          <w:color w:val="auto"/>
          <w:szCs w:val="21"/>
          <w:highlight w:val="none"/>
        </w:rPr>
        <w:t>（被授权人）</w:t>
      </w:r>
      <w:r>
        <w:rPr>
          <w:rFonts w:asciiTheme="minorEastAsia" w:hAnsiTheme="minorEastAsia" w:eastAsiaTheme="minorEastAsia"/>
          <w:color w:val="auto"/>
          <w:szCs w:val="21"/>
          <w:highlight w:val="none"/>
        </w:rPr>
        <w:t>并代表投标</w:t>
      </w:r>
      <w:r>
        <w:rPr>
          <w:rFonts w:hint="eastAsia" w:asciiTheme="minorEastAsia" w:hAnsiTheme="minorEastAsia" w:eastAsiaTheme="minorEastAsia"/>
          <w:color w:val="auto"/>
          <w:szCs w:val="21"/>
          <w:highlight w:val="none"/>
        </w:rPr>
        <w:t>人</w:t>
      </w:r>
      <w:r>
        <w:rPr>
          <w:rFonts w:asciiTheme="minorEastAsia" w:hAnsiTheme="minorEastAsia" w:eastAsiaTheme="minorEastAsia"/>
          <w:color w:val="auto"/>
          <w:szCs w:val="21"/>
          <w:highlight w:val="none"/>
        </w:rPr>
        <w:t>________________________________________（投标</w:t>
      </w:r>
      <w:r>
        <w:rPr>
          <w:rFonts w:hint="eastAsia" w:asciiTheme="minorEastAsia" w:hAnsiTheme="minorEastAsia" w:eastAsiaTheme="minorEastAsia"/>
          <w:color w:val="auto"/>
          <w:szCs w:val="21"/>
          <w:highlight w:val="none"/>
        </w:rPr>
        <w:t>人</w:t>
      </w:r>
      <w:r>
        <w:rPr>
          <w:rFonts w:asciiTheme="minorEastAsia" w:hAnsiTheme="minorEastAsia" w:eastAsiaTheme="minorEastAsia"/>
          <w:color w:val="auto"/>
          <w:szCs w:val="21"/>
          <w:highlight w:val="none"/>
        </w:rPr>
        <w:t>名称）提交</w:t>
      </w:r>
      <w:r>
        <w:rPr>
          <w:rFonts w:hint="eastAsia" w:asciiTheme="minorEastAsia" w:hAnsiTheme="minorEastAsia" w:eastAsiaTheme="minorEastAsia"/>
          <w:color w:val="auto"/>
          <w:szCs w:val="21"/>
          <w:highlight w:val="none"/>
        </w:rPr>
        <w:t>投标文件、开标过程中的工作</w:t>
      </w:r>
      <w:r>
        <w:rPr>
          <w:rFonts w:asciiTheme="minorEastAsia" w:hAnsiTheme="minorEastAsia" w:eastAsiaTheme="minorEastAsia"/>
          <w:color w:val="auto"/>
          <w:szCs w:val="21"/>
          <w:highlight w:val="none"/>
        </w:rPr>
        <w:t>。</w:t>
      </w:r>
    </w:p>
    <w:p>
      <w:pPr>
        <w:adjustRightInd w:val="0"/>
        <w:snapToGrid w:val="0"/>
        <w:spacing w:line="360" w:lineRule="auto"/>
        <w:ind w:firstLine="420" w:firstLineChars="200"/>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据此函，</w:t>
      </w:r>
      <w:r>
        <w:rPr>
          <w:rFonts w:hint="eastAsia" w:asciiTheme="minorEastAsia" w:hAnsiTheme="minorEastAsia" w:eastAsiaTheme="minorEastAsia"/>
          <w:color w:val="auto"/>
          <w:szCs w:val="21"/>
          <w:highlight w:val="none"/>
        </w:rPr>
        <w:t>签字代表宣布同意如下：</w:t>
      </w:r>
    </w:p>
    <w:p>
      <w:pPr>
        <w:adjustRightInd w:val="0"/>
        <w:snapToGrid w:val="0"/>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1、投标人已详细审查全部“招标文件”，包括修改文件（如有的话）以及全部参考资料和有关附件，已经了解我方对于招标文件、采购过程、采购结果有依法进行询问、质疑、投诉的权利及相关渠道和要求。</w:t>
      </w:r>
    </w:p>
    <w:p>
      <w:pPr>
        <w:adjustRightInd w:val="0"/>
        <w:snapToGrid w:val="0"/>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2、投标人在投标之前已经与贵方进行了充分的沟通，完全理解并接受招标文件的各项规定和要求，对招标文件的合理性、合法性不再有异议。</w:t>
      </w:r>
    </w:p>
    <w:p>
      <w:pPr>
        <w:adjustRightInd w:val="0"/>
        <w:snapToGrid w:val="0"/>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3、本投标有效期自开标日起 90个日历天</w:t>
      </w:r>
      <w:r>
        <w:rPr>
          <w:rFonts w:asciiTheme="minorEastAsia" w:hAnsiTheme="minorEastAsia" w:eastAsiaTheme="minorEastAsia"/>
          <w:color w:val="auto"/>
          <w:szCs w:val="21"/>
          <w:highlight w:val="none"/>
        </w:rPr>
        <w:t>。</w:t>
      </w:r>
    </w:p>
    <w:p>
      <w:pPr>
        <w:adjustRightInd w:val="0"/>
        <w:snapToGrid w:val="0"/>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4、如中标，本投标文件至本项目合同履行完毕止均保持有效，本投标人将按“招标文件”及政府采购法律、法规的规定履行合同责任和义务。</w:t>
      </w:r>
    </w:p>
    <w:p>
      <w:pPr>
        <w:adjustRightInd w:val="0"/>
        <w:snapToGrid w:val="0"/>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5、投标人同意按照贵方要求提供与投标有关的一切数据或资料，并保证其真实性、合法性。</w:t>
      </w:r>
    </w:p>
    <w:p>
      <w:pPr>
        <w:adjustRightInd w:val="0"/>
        <w:snapToGrid w:val="0"/>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6、与本投标有关的一切正式往来信函请寄：</w:t>
      </w:r>
    </w:p>
    <w:p>
      <w:pPr>
        <w:adjustRightInd w:val="0"/>
        <w:snapToGrid w:val="0"/>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地址：</w:t>
      </w:r>
      <w:r>
        <w:rPr>
          <w:rFonts w:asciiTheme="minorEastAsia" w:hAnsiTheme="minorEastAsia" w:eastAsiaTheme="minorEastAsia"/>
          <w:color w:val="auto"/>
          <w:szCs w:val="21"/>
          <w:highlight w:val="none"/>
        </w:rPr>
        <w:t>____________________邮编：__________</w:t>
      </w:r>
      <w:r>
        <w:rPr>
          <w:rFonts w:hint="eastAsia" w:asciiTheme="minorEastAsia" w:hAnsiTheme="minorEastAsia" w:eastAsiaTheme="minorEastAsia"/>
          <w:color w:val="auto"/>
          <w:szCs w:val="21"/>
          <w:highlight w:val="none"/>
        </w:rPr>
        <w:t xml:space="preserve">   电话：</w:t>
      </w:r>
      <w:r>
        <w:rPr>
          <w:rFonts w:asciiTheme="minorEastAsia" w:hAnsiTheme="minorEastAsia" w:eastAsiaTheme="minorEastAsia"/>
          <w:color w:val="auto"/>
          <w:szCs w:val="21"/>
          <w:highlight w:val="none"/>
        </w:rPr>
        <w:t>______________</w:t>
      </w:r>
    </w:p>
    <w:p>
      <w:pPr>
        <w:adjustRightInd w:val="0"/>
        <w:snapToGrid w:val="0"/>
        <w:spacing w:line="360" w:lineRule="auto"/>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传真：______________</w:t>
      </w:r>
      <w:r>
        <w:rPr>
          <w:rFonts w:hint="eastAsia" w:asciiTheme="minorEastAsia" w:hAnsiTheme="minorEastAsia" w:eastAsiaTheme="minorEastAsia"/>
          <w:color w:val="auto"/>
          <w:szCs w:val="21"/>
          <w:highlight w:val="none"/>
        </w:rPr>
        <w:t>投标人代表姓名</w:t>
      </w:r>
      <w:r>
        <w:rPr>
          <w:rFonts w:asciiTheme="minorEastAsia" w:hAnsiTheme="minorEastAsia" w:eastAsiaTheme="minorEastAsia"/>
          <w:color w:val="auto"/>
          <w:szCs w:val="21"/>
          <w:highlight w:val="none"/>
        </w:rPr>
        <w:t xml:space="preserve"> ___________ 职务：______________</w:t>
      </w:r>
    </w:p>
    <w:p>
      <w:pPr>
        <w:adjustRightInd w:val="0"/>
        <w:snapToGrid w:val="0"/>
        <w:spacing w:line="360" w:lineRule="auto"/>
        <w:rPr>
          <w:rFonts w:asciiTheme="minorEastAsia" w:hAnsiTheme="minorEastAsia" w:eastAsiaTheme="minorEastAsia"/>
          <w:color w:val="auto"/>
          <w:szCs w:val="21"/>
          <w:highlight w:val="none"/>
        </w:rPr>
      </w:pPr>
    </w:p>
    <w:p>
      <w:pPr>
        <w:adjustRightInd w:val="0"/>
        <w:snapToGrid w:val="0"/>
        <w:spacing w:line="360" w:lineRule="auto"/>
        <w:rPr>
          <w:rFonts w:asciiTheme="minorEastAsia" w:hAnsiTheme="minorEastAsia" w:eastAsiaTheme="minorEastAsia"/>
          <w:color w:val="auto"/>
          <w:szCs w:val="21"/>
          <w:highlight w:val="none"/>
        </w:rPr>
      </w:pPr>
    </w:p>
    <w:p>
      <w:pPr>
        <w:adjustRightInd w:val="0"/>
        <w:snapToGrid w:val="0"/>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投标人名称</w:t>
      </w:r>
      <w:r>
        <w:rPr>
          <w:rFonts w:asciiTheme="minorEastAsia" w:hAnsiTheme="minorEastAsia" w:eastAsiaTheme="minorEastAsia"/>
          <w:color w:val="auto"/>
          <w:szCs w:val="21"/>
          <w:highlight w:val="none"/>
        </w:rPr>
        <w:t>(盖章):___________________</w:t>
      </w:r>
    </w:p>
    <w:p>
      <w:pPr>
        <w:adjustRightInd w:val="0"/>
        <w:snapToGrid w:val="0"/>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开户银行：   </w:t>
      </w:r>
    </w:p>
    <w:p>
      <w:pPr>
        <w:adjustRightInd w:val="0"/>
        <w:snapToGrid w:val="0"/>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银行帐号：</w:t>
      </w:r>
    </w:p>
    <w:p>
      <w:pPr>
        <w:spacing w:beforeLines="50" w:line="360" w:lineRule="auto"/>
        <w:ind w:firstLine="1375" w:firstLineChars="550"/>
        <w:rPr>
          <w:rFonts w:asciiTheme="minorEastAsia" w:hAnsiTheme="minorEastAsia" w:eastAsiaTheme="minorEastAsia"/>
          <w:color w:val="auto"/>
          <w:spacing w:val="20"/>
          <w:szCs w:val="21"/>
          <w:highlight w:val="none"/>
        </w:rPr>
      </w:pPr>
    </w:p>
    <w:p>
      <w:pPr>
        <w:spacing w:beforeLines="50" w:line="360" w:lineRule="auto"/>
        <w:ind w:firstLine="1375" w:firstLineChars="550"/>
        <w:rPr>
          <w:rFonts w:asciiTheme="minorEastAsia" w:hAnsiTheme="minorEastAsia" w:eastAsiaTheme="minorEastAsia"/>
          <w:color w:val="auto"/>
          <w:szCs w:val="21"/>
          <w:highlight w:val="none"/>
        </w:rPr>
      </w:pPr>
      <w:r>
        <w:rPr>
          <w:rFonts w:asciiTheme="minorEastAsia" w:hAnsiTheme="minorEastAsia" w:eastAsiaTheme="minorEastAsia"/>
          <w:color w:val="auto"/>
          <w:spacing w:val="20"/>
          <w:szCs w:val="21"/>
          <w:highlight w:val="none"/>
        </w:rPr>
        <w:t>法定代表人或委托代理人</w:t>
      </w:r>
      <w:r>
        <w:rPr>
          <w:rFonts w:hint="eastAsia" w:asciiTheme="minorEastAsia" w:hAnsiTheme="minorEastAsia" w:eastAsiaTheme="minorEastAsia"/>
          <w:color w:val="auto"/>
          <w:spacing w:val="20"/>
          <w:szCs w:val="21"/>
          <w:highlight w:val="none"/>
        </w:rPr>
        <w:t>签名（或盖章）：</w:t>
      </w:r>
    </w:p>
    <w:p>
      <w:pPr>
        <w:spacing w:line="360" w:lineRule="auto"/>
        <w:ind w:firstLine="500" w:firstLineChars="200"/>
        <w:rPr>
          <w:rFonts w:asciiTheme="minorEastAsia" w:hAnsiTheme="minorEastAsia" w:eastAsiaTheme="minorEastAsia"/>
          <w:color w:val="auto"/>
          <w:spacing w:val="20"/>
          <w:szCs w:val="21"/>
          <w:highlight w:val="none"/>
          <w:u w:val="single"/>
        </w:rPr>
      </w:pPr>
      <w:r>
        <w:rPr>
          <w:rFonts w:hint="eastAsia" w:asciiTheme="minorEastAsia" w:hAnsiTheme="minorEastAsia" w:eastAsiaTheme="minorEastAsia"/>
          <w:color w:val="auto"/>
          <w:spacing w:val="20"/>
          <w:szCs w:val="21"/>
          <w:highlight w:val="none"/>
        </w:rPr>
        <w:t xml:space="preserve">                            投标人盖章：</w:t>
      </w:r>
    </w:p>
    <w:p>
      <w:pPr>
        <w:spacing w:line="360" w:lineRule="auto"/>
        <w:ind w:firstLine="500" w:firstLineChars="200"/>
        <w:rPr>
          <w:rFonts w:asciiTheme="minorEastAsia" w:hAnsiTheme="minorEastAsia" w:eastAsiaTheme="minorEastAsia"/>
          <w:color w:val="auto"/>
          <w:spacing w:val="20"/>
          <w:szCs w:val="21"/>
          <w:highlight w:val="none"/>
          <w:u w:val="single"/>
        </w:rPr>
      </w:pPr>
      <w:r>
        <w:rPr>
          <w:rFonts w:hint="eastAsia" w:asciiTheme="minorEastAsia" w:hAnsiTheme="minorEastAsia" w:eastAsiaTheme="minorEastAsia"/>
          <w:color w:val="auto"/>
          <w:spacing w:val="20"/>
          <w:szCs w:val="21"/>
          <w:highlight w:val="none"/>
        </w:rPr>
        <w:t xml:space="preserve">                            日     期：</w:t>
      </w:r>
    </w:p>
    <w:p>
      <w:pPr>
        <w:spacing w:line="360" w:lineRule="auto"/>
        <w:ind w:firstLine="527" w:firstLineChars="250"/>
        <w:jc w:val="center"/>
        <w:rPr>
          <w:rFonts w:asciiTheme="minorEastAsia" w:hAnsiTheme="minorEastAsia" w:eastAsiaTheme="minorEastAsia"/>
          <w:b/>
          <w:color w:val="auto"/>
          <w:szCs w:val="21"/>
          <w:highlight w:val="none"/>
        </w:rPr>
      </w:pPr>
    </w:p>
    <w:p>
      <w:pPr>
        <w:snapToGrid w:val="0"/>
        <w:spacing w:line="360" w:lineRule="auto"/>
        <w:rPr>
          <w:rFonts w:asciiTheme="minorEastAsia" w:hAnsiTheme="minorEastAsia" w:eastAsiaTheme="minorEastAsia"/>
          <w:b/>
          <w:color w:val="auto"/>
          <w:szCs w:val="21"/>
          <w:highlight w:val="none"/>
        </w:rPr>
      </w:pPr>
    </w:p>
    <w:p>
      <w:pPr>
        <w:pStyle w:val="48"/>
        <w:ind w:firstLine="404"/>
        <w:rPr>
          <w:color w:val="auto"/>
          <w:highlight w:val="none"/>
        </w:rPr>
      </w:pPr>
    </w:p>
    <w:p>
      <w:pPr>
        <w:snapToGrid w:val="0"/>
        <w:spacing w:line="360" w:lineRule="auto"/>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13、</w:t>
      </w:r>
    </w:p>
    <w:p>
      <w:pPr>
        <w:snapToGrid w:val="0"/>
        <w:spacing w:line="360" w:lineRule="auto"/>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开标一览表（附件12）</w:t>
      </w:r>
    </w:p>
    <w:p>
      <w:pPr>
        <w:adjustRightInd w:val="0"/>
        <w:spacing w:line="360" w:lineRule="auto"/>
        <w:jc w:val="center"/>
        <w:rPr>
          <w:rFonts w:cs="Arial" w:asciiTheme="minorEastAsia" w:hAnsiTheme="minorEastAsia" w:eastAsiaTheme="minorEastAsia"/>
          <w:color w:val="auto"/>
          <w:szCs w:val="21"/>
          <w:highlight w:val="none"/>
        </w:rPr>
      </w:pPr>
    </w:p>
    <w:tbl>
      <w:tblPr>
        <w:tblStyle w:val="49"/>
        <w:tblW w:w="86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3"/>
        <w:gridCol w:w="2504"/>
        <w:gridCol w:w="1915"/>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3093" w:type="dxa"/>
            <w:vAlign w:val="center"/>
          </w:tcPr>
          <w:p>
            <w:pPr>
              <w:adjustRightInd w:val="0"/>
              <w:spacing w:line="360" w:lineRule="auto"/>
              <w:jc w:val="center"/>
              <w:rPr>
                <w:rFonts w:cs="Arial" w:asciiTheme="minorEastAsia" w:hAnsiTheme="minorEastAsia" w:eastAsiaTheme="minorEastAsia"/>
                <w:b/>
                <w:color w:val="auto"/>
                <w:szCs w:val="21"/>
                <w:highlight w:val="none"/>
              </w:rPr>
            </w:pPr>
            <w:r>
              <w:rPr>
                <w:rFonts w:hint="eastAsia" w:cs="Arial" w:asciiTheme="minorEastAsia" w:hAnsiTheme="minorEastAsia" w:eastAsiaTheme="minorEastAsia"/>
                <w:b/>
                <w:color w:val="auto"/>
                <w:szCs w:val="21"/>
                <w:highlight w:val="none"/>
              </w:rPr>
              <w:t>项目名称</w:t>
            </w:r>
          </w:p>
        </w:tc>
        <w:tc>
          <w:tcPr>
            <w:tcW w:w="2504" w:type="dxa"/>
            <w:vAlign w:val="center"/>
          </w:tcPr>
          <w:p>
            <w:pPr>
              <w:adjustRightInd w:val="0"/>
              <w:spacing w:line="360" w:lineRule="auto"/>
              <w:jc w:val="center"/>
              <w:rPr>
                <w:rFonts w:cs="Arial" w:asciiTheme="minorEastAsia" w:hAnsiTheme="minorEastAsia" w:eastAsiaTheme="minorEastAsia"/>
                <w:b/>
                <w:color w:val="auto"/>
                <w:szCs w:val="21"/>
                <w:highlight w:val="none"/>
              </w:rPr>
            </w:pPr>
            <w:r>
              <w:rPr>
                <w:rFonts w:hint="eastAsia" w:cs="Arial" w:asciiTheme="minorEastAsia" w:hAnsiTheme="minorEastAsia" w:eastAsiaTheme="minorEastAsia"/>
                <w:b/>
                <w:color w:val="auto"/>
                <w:szCs w:val="21"/>
                <w:highlight w:val="none"/>
              </w:rPr>
              <w:t>投标报价（万元）</w:t>
            </w:r>
          </w:p>
        </w:tc>
        <w:tc>
          <w:tcPr>
            <w:tcW w:w="1915" w:type="dxa"/>
            <w:vAlign w:val="center"/>
          </w:tcPr>
          <w:p>
            <w:pPr>
              <w:adjustRightInd w:val="0"/>
              <w:spacing w:line="360" w:lineRule="auto"/>
              <w:jc w:val="center"/>
              <w:rPr>
                <w:rFonts w:cs="Arial" w:asciiTheme="minorEastAsia" w:hAnsiTheme="minorEastAsia" w:eastAsiaTheme="minorEastAsia"/>
                <w:b/>
                <w:color w:val="auto"/>
                <w:szCs w:val="21"/>
                <w:highlight w:val="none"/>
              </w:rPr>
            </w:pPr>
            <w:r>
              <w:rPr>
                <w:rFonts w:hint="eastAsia" w:cs="Arial" w:asciiTheme="minorEastAsia" w:hAnsiTheme="minorEastAsia" w:eastAsiaTheme="minorEastAsia"/>
                <w:b/>
                <w:color w:val="auto"/>
                <w:szCs w:val="21"/>
                <w:highlight w:val="none"/>
              </w:rPr>
              <w:t>项目负责人</w:t>
            </w:r>
          </w:p>
        </w:tc>
        <w:tc>
          <w:tcPr>
            <w:tcW w:w="1178" w:type="dxa"/>
            <w:vAlign w:val="center"/>
          </w:tcPr>
          <w:p>
            <w:pPr>
              <w:adjustRightInd w:val="0"/>
              <w:spacing w:line="360" w:lineRule="auto"/>
              <w:jc w:val="center"/>
              <w:rPr>
                <w:rFonts w:cs="Arial" w:asciiTheme="minorEastAsia" w:hAnsiTheme="minorEastAsia" w:eastAsiaTheme="minorEastAsia"/>
                <w:b/>
                <w:color w:val="auto"/>
                <w:szCs w:val="21"/>
                <w:highlight w:val="none"/>
              </w:rPr>
            </w:pPr>
            <w:r>
              <w:rPr>
                <w:rFonts w:hint="eastAsia" w:cs="Arial" w:asciiTheme="minorEastAsia" w:hAnsiTheme="minorEastAsia" w:eastAsiaTheme="minorEastAsia"/>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3093" w:type="dxa"/>
            <w:vAlign w:val="center"/>
          </w:tcPr>
          <w:p>
            <w:pPr>
              <w:adjustRightInd w:val="0"/>
              <w:spacing w:line="360" w:lineRule="auto"/>
              <w:jc w:val="center"/>
              <w:rPr>
                <w:rFonts w:hint="eastAsia" w:cs="Arial" w:asciiTheme="minorEastAsia" w:hAnsiTheme="minorEastAsia" w:eastAsiaTheme="minorEastAsia"/>
                <w:color w:val="auto"/>
                <w:szCs w:val="21"/>
                <w:highlight w:val="none"/>
                <w:lang w:eastAsia="zh-CN"/>
              </w:rPr>
            </w:pPr>
            <w:r>
              <w:rPr>
                <w:rFonts w:hint="eastAsia" w:cs="Arial" w:asciiTheme="minorEastAsia" w:hAnsiTheme="minorEastAsia" w:eastAsiaTheme="minorEastAsia"/>
                <w:color w:val="auto"/>
                <w:szCs w:val="21"/>
                <w:highlight w:val="none"/>
                <w:lang w:eastAsia="zh-CN"/>
              </w:rPr>
              <w:t>新城街道市政设施养护项目</w:t>
            </w:r>
          </w:p>
        </w:tc>
        <w:tc>
          <w:tcPr>
            <w:tcW w:w="2504" w:type="dxa"/>
            <w:vAlign w:val="center"/>
          </w:tcPr>
          <w:p>
            <w:pPr>
              <w:adjustRightInd w:val="0"/>
              <w:spacing w:line="360" w:lineRule="auto"/>
              <w:jc w:val="center"/>
              <w:rPr>
                <w:rFonts w:cs="Arial" w:asciiTheme="minorEastAsia" w:hAnsiTheme="minorEastAsia" w:eastAsiaTheme="minorEastAsia"/>
                <w:color w:val="auto"/>
                <w:szCs w:val="21"/>
                <w:highlight w:val="none"/>
              </w:rPr>
            </w:pPr>
          </w:p>
        </w:tc>
        <w:tc>
          <w:tcPr>
            <w:tcW w:w="1915" w:type="dxa"/>
            <w:vAlign w:val="center"/>
          </w:tcPr>
          <w:p>
            <w:pPr>
              <w:adjustRightInd w:val="0"/>
              <w:spacing w:line="360" w:lineRule="auto"/>
              <w:jc w:val="center"/>
              <w:rPr>
                <w:rFonts w:cs="Arial" w:asciiTheme="minorEastAsia" w:hAnsiTheme="minorEastAsia" w:eastAsiaTheme="minorEastAsia"/>
                <w:color w:val="auto"/>
                <w:szCs w:val="21"/>
                <w:highlight w:val="none"/>
              </w:rPr>
            </w:pPr>
          </w:p>
        </w:tc>
        <w:tc>
          <w:tcPr>
            <w:tcW w:w="1178" w:type="dxa"/>
            <w:vAlign w:val="center"/>
          </w:tcPr>
          <w:p>
            <w:pPr>
              <w:adjustRightInd w:val="0"/>
              <w:spacing w:line="360" w:lineRule="auto"/>
              <w:jc w:val="center"/>
              <w:rPr>
                <w:rFonts w:cs="Arial"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8690" w:type="dxa"/>
            <w:gridSpan w:val="4"/>
            <w:vAlign w:val="center"/>
          </w:tcPr>
          <w:p>
            <w:pPr>
              <w:adjustRightInd w:val="0"/>
              <w:spacing w:line="360" w:lineRule="auto"/>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 xml:space="preserve">人民币大写：                               </w:t>
            </w:r>
          </w:p>
        </w:tc>
      </w:tr>
    </w:tbl>
    <w:p>
      <w:pPr>
        <w:spacing w:line="360" w:lineRule="auto"/>
        <w:rPr>
          <w:rFonts w:asciiTheme="minorEastAsia" w:hAnsiTheme="minorEastAsia" w:eastAsiaTheme="minorEastAsia"/>
          <w:b/>
          <w:color w:val="auto"/>
          <w:szCs w:val="21"/>
          <w:highlight w:val="none"/>
        </w:rPr>
      </w:pPr>
    </w:p>
    <w:p>
      <w:pPr>
        <w:adjustRightInd w:val="0"/>
        <w:spacing w:line="360" w:lineRule="auto"/>
        <w:rPr>
          <w:rFonts w:asciiTheme="minorEastAsia" w:hAnsiTheme="minorEastAsia" w:eastAsiaTheme="minorEastAsia"/>
          <w:color w:val="auto"/>
          <w:szCs w:val="21"/>
          <w:highlight w:val="none"/>
        </w:rPr>
      </w:pPr>
    </w:p>
    <w:p>
      <w:pPr>
        <w:spacing w:beforeLines="50" w:line="360" w:lineRule="auto"/>
        <w:ind w:firstLine="1375" w:firstLineChars="550"/>
        <w:rPr>
          <w:rFonts w:asciiTheme="minorEastAsia" w:hAnsiTheme="minorEastAsia" w:eastAsiaTheme="minorEastAsia"/>
          <w:color w:val="auto"/>
          <w:szCs w:val="21"/>
          <w:highlight w:val="none"/>
        </w:rPr>
      </w:pPr>
      <w:r>
        <w:rPr>
          <w:rFonts w:asciiTheme="minorEastAsia" w:hAnsiTheme="minorEastAsia" w:eastAsiaTheme="minorEastAsia"/>
          <w:color w:val="auto"/>
          <w:spacing w:val="20"/>
          <w:szCs w:val="21"/>
          <w:highlight w:val="none"/>
        </w:rPr>
        <w:t>法定代表人或委托代理人</w:t>
      </w:r>
      <w:r>
        <w:rPr>
          <w:rFonts w:hint="eastAsia" w:asciiTheme="minorEastAsia" w:hAnsiTheme="minorEastAsia" w:eastAsiaTheme="minorEastAsia"/>
          <w:color w:val="auto"/>
          <w:spacing w:val="20"/>
          <w:szCs w:val="21"/>
          <w:highlight w:val="none"/>
        </w:rPr>
        <w:t>签名（或盖章）：</w:t>
      </w:r>
    </w:p>
    <w:p>
      <w:pPr>
        <w:spacing w:line="360" w:lineRule="auto"/>
        <w:ind w:firstLine="500" w:firstLineChars="200"/>
        <w:rPr>
          <w:rFonts w:asciiTheme="minorEastAsia" w:hAnsiTheme="minorEastAsia" w:eastAsiaTheme="minorEastAsia"/>
          <w:color w:val="auto"/>
          <w:spacing w:val="20"/>
          <w:szCs w:val="21"/>
          <w:highlight w:val="none"/>
          <w:u w:val="single"/>
        </w:rPr>
      </w:pPr>
      <w:r>
        <w:rPr>
          <w:rFonts w:hint="eastAsia" w:asciiTheme="minorEastAsia" w:hAnsiTheme="minorEastAsia" w:eastAsiaTheme="minorEastAsia"/>
          <w:color w:val="auto"/>
          <w:spacing w:val="20"/>
          <w:szCs w:val="21"/>
          <w:highlight w:val="none"/>
        </w:rPr>
        <w:t xml:space="preserve">                            投标人盖章：</w:t>
      </w:r>
    </w:p>
    <w:p>
      <w:pPr>
        <w:spacing w:line="360" w:lineRule="auto"/>
        <w:ind w:firstLine="500" w:firstLineChars="200"/>
        <w:rPr>
          <w:rFonts w:asciiTheme="minorEastAsia" w:hAnsiTheme="minorEastAsia" w:eastAsiaTheme="minorEastAsia"/>
          <w:color w:val="auto"/>
          <w:spacing w:val="20"/>
          <w:szCs w:val="21"/>
          <w:highlight w:val="none"/>
          <w:u w:val="single"/>
        </w:rPr>
      </w:pPr>
      <w:r>
        <w:rPr>
          <w:rFonts w:hint="eastAsia" w:asciiTheme="minorEastAsia" w:hAnsiTheme="minorEastAsia" w:eastAsiaTheme="minorEastAsia"/>
          <w:color w:val="auto"/>
          <w:spacing w:val="20"/>
          <w:szCs w:val="21"/>
          <w:highlight w:val="none"/>
        </w:rPr>
        <w:t xml:space="preserve">                            日     期：</w:t>
      </w:r>
    </w:p>
    <w:p>
      <w:pPr>
        <w:rPr>
          <w:rFonts w:hint="eastAsia"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br w:type="page"/>
      </w:r>
    </w:p>
    <w:p>
      <w:pPr>
        <w:snapToGrid w:val="0"/>
        <w:spacing w:line="360" w:lineRule="auto"/>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13、</w:t>
      </w:r>
    </w:p>
    <w:p>
      <w:pPr>
        <w:pStyle w:val="48"/>
        <w:spacing w:line="360" w:lineRule="auto"/>
        <w:ind w:firstLine="404"/>
        <w:rPr>
          <w:color w:val="auto"/>
          <w:highlight w:val="none"/>
        </w:rPr>
      </w:pPr>
    </w:p>
    <w:p>
      <w:pPr>
        <w:spacing w:line="360" w:lineRule="auto"/>
        <w:jc w:val="center"/>
        <w:rPr>
          <w:rFonts w:ascii="宋体" w:hAnsi="宋体"/>
          <w:color w:val="auto"/>
          <w:szCs w:val="21"/>
          <w:highlight w:val="none"/>
        </w:rPr>
      </w:pPr>
      <w:r>
        <w:rPr>
          <w:rFonts w:hint="eastAsia" w:ascii="宋体" w:hAnsi="宋体"/>
          <w:b/>
          <w:color w:val="auto"/>
          <w:spacing w:val="20"/>
          <w:szCs w:val="21"/>
          <w:highlight w:val="none"/>
        </w:rPr>
        <w:t>分项报价明细表</w:t>
      </w:r>
    </w:p>
    <w:tbl>
      <w:tblPr>
        <w:tblStyle w:val="49"/>
        <w:tblW w:w="97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97"/>
        <w:gridCol w:w="2363"/>
        <w:gridCol w:w="3083"/>
        <w:gridCol w:w="538"/>
        <w:gridCol w:w="666"/>
        <w:gridCol w:w="834"/>
        <w:gridCol w:w="908"/>
        <w:gridCol w:w="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9705" w:type="dxa"/>
            <w:gridSpan w:val="8"/>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highlight w:val="none"/>
                <w:u w:val="none"/>
              </w:rPr>
            </w:pPr>
            <w:r>
              <w:rPr>
                <w:rFonts w:hint="eastAsia" w:ascii="宋体" w:hAnsi="宋体" w:eastAsia="宋体" w:cs="宋体"/>
                <w:b/>
                <w:bCs/>
                <w:i w:val="0"/>
                <w:iCs w:val="0"/>
                <w:color w:val="auto"/>
                <w:kern w:val="0"/>
                <w:sz w:val="40"/>
                <w:szCs w:val="40"/>
                <w:highlight w:val="none"/>
                <w:u w:val="none"/>
                <w:lang w:val="en-US" w:eastAsia="zh-CN" w:bidi="ar"/>
              </w:rPr>
              <w:t>2022年度市政设施维修养护清单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7230" w:type="dxa"/>
            <w:gridSpan w:val="5"/>
            <w:tcBorders>
              <w:top w:val="nil"/>
              <w:left w:val="nil"/>
              <w:bottom w:val="nil"/>
              <w:right w:val="nil"/>
            </w:tcBorders>
            <w:shd w:val="clear" w:color="auto" w:fill="FFFFFF"/>
            <w:vAlign w:val="bottom"/>
          </w:tcPr>
          <w:p>
            <w:pPr>
              <w:jc w:val="left"/>
              <w:rPr>
                <w:rFonts w:hint="eastAsia" w:ascii="宋体" w:hAnsi="宋体" w:eastAsia="宋体" w:cs="宋体"/>
                <w:i w:val="0"/>
                <w:iCs w:val="0"/>
                <w:color w:val="auto"/>
                <w:sz w:val="18"/>
                <w:szCs w:val="18"/>
                <w:highlight w:val="none"/>
                <w:u w:val="none"/>
              </w:rPr>
            </w:pPr>
          </w:p>
        </w:tc>
        <w:tc>
          <w:tcPr>
            <w:tcW w:w="1755" w:type="dxa"/>
            <w:gridSpan w:val="2"/>
            <w:tcBorders>
              <w:top w:val="nil"/>
              <w:left w:val="nil"/>
              <w:bottom w:val="nil"/>
              <w:right w:val="nil"/>
            </w:tcBorders>
            <w:shd w:val="clear" w:color="auto" w:fill="FFFFFF"/>
            <w:vAlign w:val="bottom"/>
          </w:tcPr>
          <w:p>
            <w:pPr>
              <w:jc w:val="left"/>
              <w:rPr>
                <w:rFonts w:hint="eastAsia" w:ascii="宋体" w:hAnsi="宋体" w:eastAsia="宋体" w:cs="宋体"/>
                <w:i w:val="0"/>
                <w:iCs w:val="0"/>
                <w:color w:val="auto"/>
                <w:sz w:val="18"/>
                <w:szCs w:val="18"/>
                <w:highlight w:val="none"/>
                <w:u w:val="none"/>
              </w:rPr>
            </w:pPr>
          </w:p>
        </w:tc>
        <w:tc>
          <w:tcPr>
            <w:tcW w:w="0" w:type="auto"/>
            <w:tcBorders>
              <w:top w:val="nil"/>
              <w:left w:val="nil"/>
              <w:bottom w:val="nil"/>
              <w:right w:val="nil"/>
            </w:tcBorders>
            <w:shd w:val="clear" w:color="auto" w:fill="auto"/>
            <w:noWrap/>
            <w:vAlign w:val="bottom"/>
          </w:tcPr>
          <w:p>
            <w:pPr>
              <w:rPr>
                <w:rFonts w:hint="eastAsia" w:ascii="Arial" w:hAnsi="Arial" w:cs="Arial"/>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vMerge w:val="restar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序号</w:t>
            </w:r>
          </w:p>
        </w:tc>
        <w:tc>
          <w:tcPr>
            <w:tcW w:w="2385" w:type="dxa"/>
            <w:vMerge w:val="restar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名称</w:t>
            </w:r>
          </w:p>
        </w:tc>
        <w:tc>
          <w:tcPr>
            <w:tcW w:w="3105" w:type="dxa"/>
            <w:vMerge w:val="restar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主要工作内容</w:t>
            </w:r>
          </w:p>
        </w:tc>
        <w:tc>
          <w:tcPr>
            <w:tcW w:w="540" w:type="dxa"/>
            <w:vMerge w:val="restar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 xml:space="preserve">计量 </w:t>
            </w:r>
            <w:r>
              <w:rPr>
                <w:rFonts w:hint="eastAsia" w:ascii="宋体" w:hAnsi="宋体" w:eastAsia="宋体" w:cs="宋体"/>
                <w:b/>
                <w:bCs/>
                <w:i w:val="0"/>
                <w:iCs w:val="0"/>
                <w:color w:val="auto"/>
                <w:kern w:val="0"/>
                <w:sz w:val="18"/>
                <w:szCs w:val="18"/>
                <w:highlight w:val="none"/>
                <w:u w:val="none"/>
                <w:lang w:val="en-US" w:eastAsia="zh-CN" w:bidi="ar"/>
              </w:rPr>
              <w:br w:type="textWrapping"/>
            </w:r>
            <w:r>
              <w:rPr>
                <w:rFonts w:hint="eastAsia" w:ascii="宋体" w:hAnsi="宋体" w:eastAsia="宋体" w:cs="宋体"/>
                <w:b/>
                <w:bCs/>
                <w:i w:val="0"/>
                <w:iCs w:val="0"/>
                <w:color w:val="auto"/>
                <w:kern w:val="0"/>
                <w:sz w:val="18"/>
                <w:szCs w:val="18"/>
                <w:highlight w:val="none"/>
                <w:u w:val="none"/>
                <w:lang w:val="en-US" w:eastAsia="zh-CN" w:bidi="ar"/>
              </w:rPr>
              <w:t>单位</w:t>
            </w:r>
          </w:p>
        </w:tc>
        <w:tc>
          <w:tcPr>
            <w:tcW w:w="600" w:type="dxa"/>
            <w:vMerge w:val="restar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工程量</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金 额  (元)</w:t>
            </w:r>
          </w:p>
        </w:tc>
        <w:tc>
          <w:tcPr>
            <w:tcW w:w="720" w:type="dxa"/>
            <w:vMerge w:val="restart"/>
            <w:tcBorders>
              <w:top w:val="single" w:color="000000" w:sz="4" w:space="0"/>
              <w:left w:val="nil"/>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vMerge w:val="continue"/>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b/>
                <w:bCs/>
                <w:i w:val="0"/>
                <w:iCs w:val="0"/>
                <w:color w:val="auto"/>
                <w:sz w:val="18"/>
                <w:szCs w:val="18"/>
                <w:highlight w:val="none"/>
                <w:u w:val="none"/>
              </w:rPr>
            </w:pPr>
          </w:p>
        </w:tc>
        <w:tc>
          <w:tcPr>
            <w:tcW w:w="2385" w:type="dxa"/>
            <w:vMerge w:val="continue"/>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b/>
                <w:bCs/>
                <w:i w:val="0"/>
                <w:iCs w:val="0"/>
                <w:color w:val="auto"/>
                <w:sz w:val="18"/>
                <w:szCs w:val="18"/>
                <w:highlight w:val="none"/>
                <w:u w:val="none"/>
              </w:rPr>
            </w:pPr>
          </w:p>
        </w:tc>
        <w:tc>
          <w:tcPr>
            <w:tcW w:w="3105" w:type="dxa"/>
            <w:vMerge w:val="continue"/>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b/>
                <w:bCs/>
                <w:i w:val="0"/>
                <w:iCs w:val="0"/>
                <w:color w:val="auto"/>
                <w:sz w:val="18"/>
                <w:szCs w:val="18"/>
                <w:highlight w:val="none"/>
                <w:u w:val="none"/>
              </w:rPr>
            </w:pPr>
          </w:p>
        </w:tc>
        <w:tc>
          <w:tcPr>
            <w:tcW w:w="540" w:type="dxa"/>
            <w:vMerge w:val="continue"/>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b/>
                <w:bCs/>
                <w:i w:val="0"/>
                <w:iCs w:val="0"/>
                <w:color w:val="auto"/>
                <w:sz w:val="18"/>
                <w:szCs w:val="18"/>
                <w:highlight w:val="none"/>
                <w:u w:val="none"/>
              </w:rPr>
            </w:pPr>
          </w:p>
        </w:tc>
        <w:tc>
          <w:tcPr>
            <w:tcW w:w="600" w:type="dxa"/>
            <w:vMerge w:val="continue"/>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b/>
                <w:bCs/>
                <w:i w:val="0"/>
                <w:iCs w:val="0"/>
                <w:color w:val="auto"/>
                <w:sz w:val="18"/>
                <w:szCs w:val="18"/>
                <w:highlight w:val="none"/>
                <w:u w:val="none"/>
              </w:rPr>
            </w:pPr>
          </w:p>
        </w:tc>
        <w:tc>
          <w:tcPr>
            <w:tcW w:w="840" w:type="dxa"/>
            <w:tcBorders>
              <w:top w:val="nil"/>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全费用单价</w:t>
            </w:r>
          </w:p>
        </w:tc>
        <w:tc>
          <w:tcPr>
            <w:tcW w:w="9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全费用合价</w:t>
            </w:r>
          </w:p>
        </w:tc>
        <w:tc>
          <w:tcPr>
            <w:tcW w:w="720" w:type="dxa"/>
            <w:vMerge w:val="continue"/>
            <w:tcBorders>
              <w:top w:val="single" w:color="000000" w:sz="4" w:space="0"/>
              <w:left w:val="nil"/>
              <w:bottom w:val="nil"/>
              <w:right w:val="single" w:color="000000" w:sz="4" w:space="0"/>
            </w:tcBorders>
            <w:shd w:val="clear" w:color="auto" w:fill="FFFFFF"/>
            <w:vAlign w:val="center"/>
          </w:tcPr>
          <w:p>
            <w:pPr>
              <w:jc w:val="center"/>
              <w:rPr>
                <w:rFonts w:hint="eastAsia" w:ascii="宋体" w:hAnsi="宋体" w:eastAsia="宋体" w:cs="宋体"/>
                <w:b/>
                <w:bCs/>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人行道路修复</w:t>
            </w:r>
          </w:p>
        </w:tc>
        <w:tc>
          <w:tcPr>
            <w:tcW w:w="3105"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nil"/>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拆除人行道</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1、材质 ：面砖面层(荷兰砖、彩砖及花岗岩等）+混凝土基层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2、厚度：26cm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3、其他：含废料外运，堆放场地由各投标人自行解决，运距自定，且须满足城管、环保等需求</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人行道整形碾压</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1、部位 ：人行道破损拆除处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2、范围：全部</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人行道块料铺设</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1、块料品种、规格 ：20mm厚M10水泥砂浆结合层+彩砖面层，规格、顔色等同原面层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2、基础、垫层：材料 品种、厚度 ：200mm厚C30混凝土</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人行道块料铺设</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1、块料品种、规格 ：20mm厚M10水泥砂浆结合层+荷兰砖（同质砖），规格、顔色等同原面层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2、基础、垫层：材料 品种、厚度 ：200mm厚C30混凝土</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人行道块料铺设</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1、块料品种、规格 ：20mm厚M10水泥砂浆结合层+花岗岩，规格、顔色等同原面层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2、基础、垫层：材料 品种、厚度 ：200mm厚C30混凝土</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一般破损道路路面修复</w:t>
            </w:r>
          </w:p>
        </w:tc>
        <w:tc>
          <w:tcPr>
            <w:tcW w:w="3105"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铣刨路面</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1、材质 ：沥青路面铣刨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2、厚度：5cm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3、其他：含废料外运，堆放场地由各投标人自行解决，运距自定，且须满足城管、环保等需求</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粘层</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 ：PC-3乳化沥青黏层油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2、喷油量：0.45L/m2</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沥青混凝土</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1、沥青品种 ：A级道路石油沥青AH-70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2、沥青混凝土种类 ：细粒式SBS改性沥青混凝土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3、石料粒径 ：AC-13C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4、厚度：5CM</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铣刨路面</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1、材质 ：沥青路面铣刨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2、厚度：10cm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3、其他：含废料外运，堆放场地由各投标人自行解决，运距自定，且须满足城管、环保等需求</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透层</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 ：PC-2乳化沥青透层油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2、喷油量：1.1L/m2</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沥青混凝土</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1、沥青品种 ：A级道路石油沥青AH-70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2、沥青混凝土种类 ：粗粒式沥青混凝土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3、石料粒径 ：AC-25C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4、厚度：6CM</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粘层</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 ：PC-3乳化沥青黏层油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2、喷油量：0.45L/m2</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沥青混凝土</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1、沥青品种 ：A级道路石油沥青AH-70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2、沥青混凝土种类 ：细粒式SBS改性沥青混凝土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3、石料粒径 ：AC-13C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4、厚度：4CM</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严重破损沥青路面修复</w:t>
            </w:r>
          </w:p>
        </w:tc>
        <w:tc>
          <w:tcPr>
            <w:tcW w:w="3105"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拆除路面</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1、材质 ：沥青路面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2、厚度：10cm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3、其他：含废料外运，堆放场地由各投标人自行解决，运距自定，且须满足城管、环保等需求</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拆除基层</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1、材质 ：基层+垫层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2、厚度 ：70cm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3、其他：含废料外运，堆放场地由各投标人自行解决，运距自定，且须满足城管、环保等需求</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路床(槽）整形</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1、部位 ：车行道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2、范围：结构层底</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山皮石</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1、填方材料：塘渣（应具有良好的透水性，质地坚硬，不含杂质，粒径不大于10cm，含泥量不大于10%）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2、厚度：30cm</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碎石</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1、石料规格 ：碎石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2、厚度：10cm</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19</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水泥稳定碎（砾）石</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1、水泥含量 ：5%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2、石料规格 ：不大于31.5mm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3、厚度：30cm</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透层</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 ：PC-2乳化沥青透层油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2、喷油量：1.1L/m2</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沥青混凝土</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1、沥青品种 ：A级道路石油沥青AH-70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2、沥青混凝土种类 ：粗粒式沥青混凝土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3、石料粒径 ：AC-25C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4、厚度：6CM</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粘层</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 ：PC-3乳化沥青黏层油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2、喷油量：0.45L/m2</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沥青混凝土</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1、沥青品种 ：A级道路石油沥青AH-70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2、沥青混凝土种类 ：细粒式SBS改性沥青混凝土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3、石料粒径 ：AC-13C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4、厚度：4CM</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严重破损混凝土路面修复</w:t>
            </w:r>
          </w:p>
        </w:tc>
        <w:tc>
          <w:tcPr>
            <w:tcW w:w="3105"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拆除路面</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1、材质 ：混凝土面层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2、厚度：30cm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3、其他：含废料外运，堆放场地由各投标人自行解决，运距自定，且须满足城管、环保等需求</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拆除基层</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1、材质 ：基层+垫层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2、厚度：40cm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3、其他：含废料外运，堆放场地由各投标人自行解决，运距自定，且须满足城管、环保等需求</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26</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路床(槽）整形</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1、部位 ：车行道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2、范围：结构层底</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山皮石</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1、填方材料：塘渣（应具有良好的透水性，质地坚硬，不含杂质，粒径不大于10cm，含泥量不大于10%）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2、厚度：30cm</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28</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碎石</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1、石料规格 ：碎石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2、厚度：10cm</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水泥混凝土</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1、混凝土强度等级 ：C30商品混凝土（28d抗弯强度不小于4.5Mpa)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2、厚度 ：30cm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3、嵌缝材料：缩缝、胀缝填缝为沥青玛缔脂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4、其他：混凝土路面防滑措施符合有关要求</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附属设施</w:t>
            </w:r>
          </w:p>
        </w:tc>
        <w:tc>
          <w:tcPr>
            <w:tcW w:w="3105"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拆除侧、平（缘）石</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1、材质：现状混凝土侧石、平石及混凝土垫层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2、其他：含废料外运，堆放场地由各投标人自行解决，运距自定，且须满足城管、环保等需求</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31</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拆除侧、平（缘）石</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1、材质：现状花岗岩侧石、平石及混凝土垫层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2、其他：含废料外运，堆放场地由各投标人自行解决，运距自定，且须满足城管、环保等需求</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安砌侧（平、缘）石</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1、材料品种、规格 ：混凝土侧石（规格与已建段一致）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2、基础、垫层：材料 品种、厚度：2cm厚M10水泥砂浆+C25细石砼垫层护块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3、其他：含模板制作、安装及拆除</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33</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安砌侧（平、缘）石</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1、材料品种、规格 ：混凝土平石（规格与已建段一致）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2、基础、垫层：材料 品种、厚度：2cm厚M10水泥砂浆</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34</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安砌侧（平、缘）石</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1、材料品种、规格 ：花岗岩侧石（规格与已建段一致）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2、基础、垫层：材料 品种、厚度：2cm厚M10水泥砂浆+C25细石砼垫层护块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3、其他：含模板制作、安装及拆除</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35</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安砌侧（平、缘）石</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1、材料品种、规格 ：花岗岩平石（规格与已建段一致）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2、基础、垫层：材料 品种、厚度：2cm厚M10水泥砂浆</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36</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拆除树池</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1、材质：现状混凝土树池及混凝土垫层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2、其他：含废料外运，堆放场地由各投标人自行解决，运距自定，且须满足城管、环保等需求</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拆除树池</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1、材质：现状花岗岩树池及混凝土垫层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2、其他：含废料外运，堆放场地由各投标人自行解决，运距自定，且须满足城管、环保等需求</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38</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树池砌筑</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1、材料品种、规格 ：混凝土树池侧石（规格与已建树池一致）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2、基础、垫层：材料 品种、厚度：2cm厚M10水泥砂浆+C25细石砼垫层护块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3、其他：含模板制作、安装及拆除</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39</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树池砌筑</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1、材料品种、规格 ：花岗岩树池侧石（规格与已建树池一致）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2、基础、垫层：材料 品种、厚度：2cm厚M10水泥砂浆+C25细石砼垫层护块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3、其他：含模板制作、安装及拆除</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40</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标线</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 ：热熔反光涂料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2、线型：一般车行道标线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3、按实线面积计</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标线</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 ：热熔反光涂料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2、线型：路面震荡线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3、按实线面积计</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42</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标记</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 ：热熔反光涂料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2、规格尺寸：路面交通标记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3、标记按外廓尺寸计面积</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43</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沥青混凝土(坑洞修补及回填)</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1、沥青品种 ：粗粒式沥青混凝土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2、厚度：平均厚10cm</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44</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金属栏杆维修及更换</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1、栏杆材质、规格 ：金属栏杆，材质及做法等与原栏杆一致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2、其他：含原栏杆拆除及废料外运</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45</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石质栏杆维修及更换</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1、材料品种、规格：花岗岩栏杆，材质做法等与原栏杆一致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2、其他：含原栏杆拆除及废料外运</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46</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石质栏杆维修及更换</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1、材料品种、规格：人造石栏杆，材质做法等与原栏杆一致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2、其他：含原栏杆拆除及废料外运</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47</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混凝土防撞栏杆维修及更换</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1、材料品种、规格：C30混凝土+钢管扶手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2、规格尺寸：与原有防撞护栏一致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3、其他：含原栏杆拆除、废料外运，模板、钢筋及预埋件等</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48</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隔离护栏维修及更换</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1、类型：波形护栏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2、规格、型号：与原有护栏一致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3、其他：含原栏杆拆除、废料外运，基础、模板、钢筋及预埋件等</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49</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混凝土隔离墩</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1、材料品种、规格：C30混凝土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2、规格尺寸：与原有隔离墩一致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3、其他：含原隔离墩拆除、废料外运，模板、钢筋及预埋件等</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车档石（石球）</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 ：做法与现有石球车档石一致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2、规格、型号：直径30cm</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51</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车档石（石球）</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 ：做法与现有石球车档石一致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2、规格、型号：直径40cm</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车档石（石球）</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 ：做法与现有石球车档石一致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2、规格、型号：直径50cm</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53</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车档石（石球）</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 ：做法与现有石球车档石一致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2、规格、型号：直径60cm</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54</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车档石（石柱）</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 ：做法与现有石柱一致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2、规格、型号：直径20cm*高40cm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3、工作内容涉及更换、新建等情况，综合考虑报价</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警示柱</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 ：钢管警示桩，规格、做法与现有一致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2、工作内容涉及拆除废料外运、维修、更换、新建及路面修复等情况，综合考虑报价</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根</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56</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减速垄更换及新建</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1、材料品种：橡胶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2、规格、型号：同现状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3、其他：含原有减速带拆除、废料外运等</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57</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防撞筒（墩）</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1、材料品种：滚塑防撞桶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2、规格、型号：直径800mm，内灌2/3砂</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58</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防撞筒（墩）</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1、材料品种：滚塑防撞桶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2、规格、型号：直径600mm，内灌2/3砂</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2.混凝土基础</w:t>
            </w:r>
          </w:p>
        </w:tc>
        <w:tc>
          <w:tcPr>
            <w:tcW w:w="3105"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59</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爆闪灯</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1、LED灯板，蓄电池，太阳能板，立杆（直径 89mm、厚度2mm，高度3500mm),安装及水泥基础</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套</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60</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道钉</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1、反光道钉，报价含安装、胶水等全部费用</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颗</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现状桥梁护栏</w:t>
            </w:r>
          </w:p>
        </w:tc>
        <w:tc>
          <w:tcPr>
            <w:tcW w:w="3105"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61</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现状桥护栏水泥砂浆抹面</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1、砂浆配合比 ：底层1:3水泥砂浆，面层1:2.5水泥砂浆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2、部位 ：防撞护栏面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3、厚度：14+6（mm）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4、其他：含原护栏混凝土面清理</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4500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62</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涂料</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1、基层类型：抹灰面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2、部位：防撞护栏两侧面及顶面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3、涂料品种、喷刷遍数：灰色外墙弹性涂料（底涂、中涂、面涂）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4、其他：满批防水腻子一遍</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63</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涂料</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1、基层类型：混凝土面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2、部位：隔离带混凝土面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3、其他：原混凝土面清理后满批防水腻子一遍</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64</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涂料</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1、基层类型：其它零星涂料面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2、其他：原面层清理后满批防水腻子一遍</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65</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现状桥钢护栏油漆</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1、部位 ：钢管护栏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2、工艺要求：钢护栏清理除锈后防锈漆一遍，调和漆二遍</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66</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桥梁伸缩装置</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1、材料品种 ：桥面伸缩缝修复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2、规格、型号 ：与原伸缩缝一致</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67</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桥梁伸缩缝清理</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桥梁伸缩缝清理</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井盖处、桥头跳车处理</w:t>
            </w:r>
          </w:p>
        </w:tc>
        <w:tc>
          <w:tcPr>
            <w:tcW w:w="3105"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68</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井圈井盖座维修及更换</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1、名称：井圈井盖座维修及更换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2、井盖、井圈材质及 规格 ：φ820复合材料井盖座（防盗型带锁，加重型、承载力要求不小于40t，180度翻盖，具有防震功能），井盖需标明业主指定字样，井四周原样修复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3、其他：含原有井盖座、井圈拆除、井筒维修等</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座</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69</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井圈井盖座维修及更换</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1、名称：井圈井盖座维修及更换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2、井盖、井圈材质及 规格 ：φ750复合材料井盖座（防盗型带锁，加重型、承载力要求不小于40t，180度翻盖，具有防震功能），井盖需标明业主指定字样，井四周原样修复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3、其他：含原有井盖座、井圈拆除、井筒维修等</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座</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70</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井圈井盖座维修及更换</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1、名称：井座更换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2、井盖、井圈材质及 规格 ：φ750复合材料井座（普通型）+井四周原样修复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3、其他：含原有井盖座、井圈拆除、井盖拆除及安装等</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座</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71</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井圈井盖座维修及更换</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1、名称：井盖更换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2、井盖、井圈材质及 规格 ：φ750复合材料井盖（普通型），井盖需标明业主指定字样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3、其他：含原有井盖拆除等</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座</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72</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井圈井盖座维修及更换</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1、名称：井圈井盖座维修及更换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2、井盖、井圈材质及 规格 ：φ820球磨铸铁井盖座（防盗型带锁，加重型、承载力符合规范及行业要求，180度翻盖，具有防震功能），井盖需标明业主指定字样，井四周原样修复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3、其他：含原有井盖座、井圈拆除、井筒维修等</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座</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73</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井圈井盖座维修及更换</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1、名称：井圈井盖座维修及更换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2、井盖、井圈材质及 规格 ：φ750球磨铸铁井盖座（防盗型带锁，加重型、承载力符合规范及行业要求，180度翻盖，具有防震功能），井盖需标明业主指定字样，井四周原样修复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3、其他：含原有井盖座、井圈拆除、井筒维修等</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座</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74</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井圈井盖座维修及更换</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1、名称：井盖座更换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2、井盖、井圈材质及 规格 ：不规则弱电井盖座，规格同现有，井盖需标明业主指定字样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3、其他：含原有井盖座拆除等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报价需综合考虑各种规格，综合报价</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座</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75</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检查井周边修复</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1、名称：检查井周边修复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2、井盖、井圈材质及 规格 ：井四周破损处拆除废料外运，原样修复</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座</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76</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雨水口水篦盖座更换</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1、名称：雨水口水篦盖座更换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2、井盖、井圈材质及 规格 ：495*640球磨铸铁篦子盖座（承载力需符合规范及行业要求），井盖需标明业主指定字样，井四周原样修复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3、其他：含原有井盖座、井圈拆除等</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座</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77</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雨水口水篦盖座更换</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1、名称：雨水口水篦盖座更换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2、井盖、井圈材质及 规格 ：380*680球磨铸铁篦子盖座（承载力需符合规范及行业要求），井盖需标明业主指定字样，井四周原样修复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3、其他：含原有井盖座、井圈拆除等</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座</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78</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雨水口水篦盖座更换</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1、名称：雨水口水篦盖座更换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2、井盖、井圈材质及 规格 ：450*750球磨铸铁篦子盖座（承载力需符合规范及行业要求），井盖需标明业主指定字样，井四周原样修复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3、其他：含原有井盖座、井圈拆除等</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座</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79</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雨水水篦口清理</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1、名称：雨水水篦口清理(含雨水水篦口的内部底部的所有垃圾清理)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2、其他：含废料外运，堆放场地由各投标人自行解决，运距自定，且须满足城管、环保等需求</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座</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80</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φ700圆形井防沉降改造</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1、名称：井圈井盖座维修及更换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2、井盖、井圈材质及 规格 ：φ820球磨铸铁井盖座（防盗型带锁，加重型、承载力符合规范及行业要求，180度翻盖，具有防震功能），井盖需标明业主指定字样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3、C30钢筋砼1#盖板（150*150*18cm留孔φ66cm）含钢筋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4、C30钢筋砼沉降板（φ245*20cm留孔φ125cm）含钢筋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5、C15素砼垫层（φ265*10cm留孔125cm）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6、拆除：含原有井盖座、井圈拆除、井周边结构层拆除、井筒升降维修、建筑废弃料外运等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7、恢复：井周边道路结构层、面层、标线、标志等</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座</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81</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φ1000圆形井防沉降改造</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1、名称：井圈井盖座维修及更换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2、井盖、井圈材质及 规格 ：φ820球磨铸铁井盖座（防盗型带锁，加重型、承载力符合规范及行业要求，180度翻盖，具有防震功能），井盖需标明业主指定字样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3、C30钢筋砼2#盖板（180*180*20cm留孔φ66cm）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4、C30钢筋砼沉降板（φ275*20cm留孔φ155cm）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5、C15素砼垫层（φ295*10cm留孔155cm）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6、拆除：含原有井盖座、井圈拆除、井周边结构层拆除、井筒升降维修、建筑废弃料外运等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7、恢复：井周边道路结构层、面层、标线、标志等</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座</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82</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桥头处理</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1、桥头沉降处理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2、原沥青面层铣刨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3、铣刨厚度按实际沉降情况处理（建筑废弃料外运）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4、细粒式SBS改性沥青砼（AC-13C）厚4cm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5、沥青黏层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6、标高不足段采用粗（细）粒式沥青找平</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其他</w:t>
            </w:r>
          </w:p>
        </w:tc>
        <w:tc>
          <w:tcPr>
            <w:tcW w:w="3105"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83</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日常养护巡查费用</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1、名称：市政设施（含各类桥梁）的日常养护巡查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内容：划分区域配备巡查人员，要求每天要求全天巡回巡查，并对发生的意外情形进行应急处理（包括如遇雨雪冰冻等灾害性天气，必须根据甲方安排，租用甲方指定扫雪车辆或其他应对灾害性天气所需的机械设备器具，并及时对道路路面进行清理，确保道路路面畅通）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3、各投标人根据自身条件确定相关费用计入报价，结算不作调整</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84</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土工合成材料</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1、土工格栅</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m2</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85</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沥青贯人式</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1、沥青灌缝</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2000</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86</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各类型机械、器具</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1、各类型机械、器具等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2、结合本项目特点自主报价费用一次性包干，结算时不作调整</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0" w:hRule="atLeast"/>
        </w:trPr>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87</w:t>
            </w:r>
          </w:p>
        </w:tc>
        <w:tc>
          <w:tcPr>
            <w:tcW w:w="238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交通及安全维护</w:t>
            </w:r>
          </w:p>
        </w:tc>
        <w:tc>
          <w:tcPr>
            <w:tcW w:w="310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施工期间施工区域范围内交通及维护，交通疏导，道路围挡（需符合上级主管部门要求），安全警示标志、临时红绿灯、临时爆闪灯的设置、公众责任保险等，具体投标单位根据施工现场实际情况综合考虑，费用一次性包干，结算不作调整</w:t>
            </w:r>
          </w:p>
        </w:tc>
        <w:tc>
          <w:tcPr>
            <w:tcW w:w="54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w:t>
            </w:r>
          </w:p>
        </w:tc>
        <w:tc>
          <w:tcPr>
            <w:tcW w:w="60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72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7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合计金额小写人民币（元）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2"/>
                <w:szCs w:val="22"/>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98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合计金额大写人民币（元）</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auto"/>
                <w:sz w:val="22"/>
                <w:szCs w:val="22"/>
                <w:highlight w:val="none"/>
                <w:u w:val="none"/>
              </w:rPr>
            </w:pPr>
          </w:p>
        </w:tc>
      </w:tr>
    </w:tbl>
    <w:p>
      <w:pPr>
        <w:spacing w:line="360" w:lineRule="auto"/>
        <w:ind w:firstLine="420" w:firstLineChars="200"/>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注：报价时按全费用综合单价考虑（含保险（人员保险、财产保险等）税金、规费、管理费、措施费、安全文明施工费、利润等一切为完成本项目涉及的费用），具体数量按实际发生量结算。</w:t>
      </w:r>
    </w:p>
    <w:p>
      <w:pPr>
        <w:pStyle w:val="28"/>
        <w:tabs>
          <w:tab w:val="left" w:pos="1200"/>
        </w:tabs>
        <w:spacing w:before="120" w:after="120" w:line="360" w:lineRule="auto"/>
        <w:ind w:firstLine="630" w:firstLineChars="300"/>
        <w:rPr>
          <w:rFonts w:hAnsi="宋体"/>
          <w:color w:val="auto"/>
          <w:szCs w:val="21"/>
          <w:highlight w:val="none"/>
        </w:rPr>
      </w:pPr>
      <w:r>
        <w:rPr>
          <w:rFonts w:hint="eastAsia" w:hAnsi="宋体" w:cs="宋体"/>
          <w:color w:val="auto"/>
          <w:sz w:val="21"/>
          <w:szCs w:val="21"/>
          <w:highlight w:val="none"/>
          <w:lang w:val="en-US" w:eastAsia="zh-CN"/>
        </w:rPr>
        <w:t>结算时单价按投标时全费用单位计，不因任何因素变更。</w:t>
      </w:r>
    </w:p>
    <w:p>
      <w:pPr>
        <w:spacing w:line="360" w:lineRule="auto"/>
        <w:ind w:firstLine="3750" w:firstLineChars="1500"/>
        <w:rPr>
          <w:rFonts w:ascii="宋体" w:hAnsi="宋体"/>
          <w:color w:val="auto"/>
          <w:spacing w:val="20"/>
          <w:szCs w:val="21"/>
          <w:highlight w:val="none"/>
          <w:u w:val="single"/>
        </w:rPr>
      </w:pPr>
      <w:r>
        <w:rPr>
          <w:rFonts w:ascii="宋体" w:hAnsi="宋体"/>
          <w:color w:val="auto"/>
          <w:spacing w:val="20"/>
          <w:szCs w:val="21"/>
          <w:highlight w:val="none"/>
        </w:rPr>
        <w:t>法定代表人或委托代理人</w:t>
      </w:r>
      <w:r>
        <w:rPr>
          <w:rFonts w:hint="eastAsia" w:ascii="宋体" w:hAnsi="宋体"/>
          <w:color w:val="auto"/>
          <w:spacing w:val="20"/>
          <w:szCs w:val="21"/>
          <w:highlight w:val="none"/>
        </w:rPr>
        <w:t>签名：</w:t>
      </w:r>
    </w:p>
    <w:p>
      <w:pPr>
        <w:spacing w:line="360" w:lineRule="auto"/>
        <w:ind w:firstLine="500" w:firstLineChars="200"/>
        <w:rPr>
          <w:rFonts w:ascii="宋体" w:hAnsi="宋体"/>
          <w:color w:val="auto"/>
          <w:spacing w:val="20"/>
          <w:szCs w:val="21"/>
          <w:highlight w:val="none"/>
          <w:u w:val="single"/>
        </w:rPr>
      </w:pPr>
      <w:r>
        <w:rPr>
          <w:rFonts w:hint="eastAsia" w:ascii="宋体" w:hAnsi="宋体"/>
          <w:color w:val="auto"/>
          <w:spacing w:val="20"/>
          <w:szCs w:val="21"/>
          <w:highlight w:val="none"/>
        </w:rPr>
        <w:t xml:space="preserve">                                    投标单位盖章：</w:t>
      </w:r>
    </w:p>
    <w:p>
      <w:pPr>
        <w:spacing w:line="360" w:lineRule="auto"/>
        <w:ind w:firstLine="525" w:firstLineChars="250"/>
        <w:jc w:val="center"/>
        <w:rPr>
          <w:rFonts w:ascii="宋体" w:hAnsi="宋体"/>
          <w:b/>
          <w:color w:val="auto"/>
          <w:szCs w:val="21"/>
          <w:highlight w:val="none"/>
        </w:rPr>
      </w:pPr>
      <w:r>
        <w:rPr>
          <w:rFonts w:hint="eastAsia" w:ascii="宋体" w:hAnsi="宋体"/>
          <w:color w:val="auto"/>
          <w:szCs w:val="21"/>
          <w:highlight w:val="none"/>
        </w:rPr>
        <w:t xml:space="preserve">                                         日        期：</w:t>
      </w:r>
    </w:p>
    <w:p>
      <w:pPr>
        <w:rPr>
          <w:rFonts w:ascii="宋体" w:hAnsi="宋体"/>
          <w:b/>
          <w:color w:val="auto"/>
          <w:szCs w:val="21"/>
          <w:highlight w:val="none"/>
        </w:rPr>
      </w:pPr>
      <w:r>
        <w:rPr>
          <w:rFonts w:ascii="宋体" w:hAnsi="宋体"/>
          <w:b/>
          <w:color w:val="auto"/>
          <w:szCs w:val="21"/>
          <w:highlight w:val="none"/>
        </w:rPr>
        <w:br w:type="page"/>
      </w:r>
    </w:p>
    <w:p>
      <w:pPr>
        <w:pStyle w:val="48"/>
        <w:ind w:left="0" w:leftChars="0" w:firstLine="0" w:firstLineChars="0"/>
        <w:jc w:val="center"/>
        <w:rPr>
          <w:rFonts w:hint="eastAsia" w:cs="Times New Roman" w:asciiTheme="minorEastAsia" w:hAnsiTheme="minorEastAsia" w:eastAsiaTheme="minorEastAsia"/>
          <w:b/>
          <w:color w:val="auto"/>
          <w:spacing w:val="0"/>
          <w:szCs w:val="21"/>
          <w:highlight w:val="none"/>
          <w:lang w:eastAsia="zh-CN"/>
        </w:rPr>
      </w:pPr>
      <w:r>
        <w:rPr>
          <w:rFonts w:hint="eastAsia" w:cs="Times New Roman" w:asciiTheme="minorEastAsia" w:hAnsiTheme="minorEastAsia"/>
          <w:b/>
          <w:color w:val="auto"/>
          <w:spacing w:val="0"/>
          <w:szCs w:val="21"/>
          <w:highlight w:val="none"/>
          <w:lang w:eastAsia="zh-CN"/>
        </w:rPr>
        <w:t>其他投标人认为需要递交的资料</w:t>
      </w:r>
    </w:p>
    <w:p>
      <w:pPr>
        <w:pStyle w:val="48"/>
        <w:ind w:left="0" w:leftChars="0" w:firstLine="0" w:firstLineChars="0"/>
        <w:jc w:val="center"/>
        <w:rPr>
          <w:color w:val="auto"/>
          <w:highlight w:val="none"/>
        </w:rPr>
      </w:pPr>
      <w:r>
        <w:rPr>
          <w:rFonts w:hint="eastAsia"/>
          <w:color w:val="auto"/>
          <w:highlight w:val="none"/>
        </w:rPr>
        <w:t>（格式自拟）</w:t>
      </w:r>
    </w:p>
    <w:sectPr>
      <w:footerReference r:id="rId7" w:type="default"/>
      <w:footerReference r:id="rId8" w:type="even"/>
      <w:pgSz w:w="11906" w:h="16838"/>
      <w:pgMar w:top="1440" w:right="1797" w:bottom="1440" w:left="1797" w:header="851" w:footer="851"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Light">
    <w:altName w:val="黑体"/>
    <w:panose1 w:val="00000000000000000000"/>
    <w:charset w:val="7A"/>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Songti SC Regular">
    <w:altName w:val="微软雅黑"/>
    <w:panose1 w:val="00000000000000000000"/>
    <w:charset w:val="50"/>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auto"/>
    <w:pitch w:val="default"/>
    <w:sig w:usb0="00000000" w:usb1="00000000" w:usb2="0000003F" w:usb3="00000000" w:csb0="603F01FF" w:csb1="FFFF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right="720"/>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outside" w:y="1"/>
      <w:rPr>
        <w:rStyle w:val="53"/>
      </w:rPr>
    </w:pPr>
    <w:r>
      <w:fldChar w:fldCharType="begin"/>
    </w:r>
    <w:r>
      <w:rPr>
        <w:rStyle w:val="53"/>
      </w:rPr>
      <w:instrText xml:space="preserve">PAGE  </w:instrText>
    </w:r>
    <w:r>
      <w:fldChar w:fldCharType="end"/>
    </w:r>
  </w:p>
  <w:p>
    <w:pPr>
      <w:pStyle w:val="3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C3AE6E"/>
    <w:multiLevelType w:val="singleLevel"/>
    <w:tmpl w:val="87C3AE6E"/>
    <w:lvl w:ilvl="0" w:tentative="0">
      <w:start w:val="3"/>
      <w:numFmt w:val="chineseCounting"/>
      <w:suff w:val="nothing"/>
      <w:lvlText w:val="%1、"/>
      <w:lvlJc w:val="left"/>
      <w:pPr>
        <w:ind w:left="388" w:leftChars="0" w:firstLine="0" w:firstLineChars="0"/>
      </w:pPr>
      <w:rPr>
        <w:rFonts w:hint="eastAsia"/>
      </w:rPr>
    </w:lvl>
  </w:abstractNum>
  <w:abstractNum w:abstractNumId="1">
    <w:nsid w:val="FFFFFF7F"/>
    <w:multiLevelType w:val="singleLevel"/>
    <w:tmpl w:val="FFFFFF7F"/>
    <w:lvl w:ilvl="0" w:tentative="0">
      <w:start w:val="1"/>
      <w:numFmt w:val="decimal"/>
      <w:pStyle w:val="13"/>
      <w:lvlText w:val="%1."/>
      <w:lvlJc w:val="left"/>
      <w:pPr>
        <w:tabs>
          <w:tab w:val="left" w:pos="780"/>
        </w:tabs>
        <w:ind w:left="780" w:leftChars="200" w:hanging="360" w:hangingChars="200"/>
      </w:pPr>
    </w:lvl>
  </w:abstractNum>
  <w:abstractNum w:abstractNumId="2">
    <w:nsid w:val="00000002"/>
    <w:multiLevelType w:val="multilevel"/>
    <w:tmpl w:val="00000002"/>
    <w:lvl w:ilvl="0" w:tentative="0">
      <w:start w:val="1"/>
      <w:numFmt w:val="bullet"/>
      <w:pStyle w:val="324"/>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00000012"/>
    <w:multiLevelType w:val="singleLevel"/>
    <w:tmpl w:val="00000012"/>
    <w:lvl w:ilvl="0" w:tentative="0">
      <w:start w:val="1"/>
      <w:numFmt w:val="decimal"/>
      <w:pStyle w:val="23"/>
      <w:lvlText w:val="%1."/>
      <w:lvlJc w:val="left"/>
      <w:pPr>
        <w:tabs>
          <w:tab w:val="left" w:pos="1200"/>
        </w:tabs>
        <w:ind w:left="1200" w:hanging="360"/>
      </w:pPr>
    </w:lvl>
  </w:abstractNum>
  <w:abstractNum w:abstractNumId="4">
    <w:nsid w:val="0C827B20"/>
    <w:multiLevelType w:val="multilevel"/>
    <w:tmpl w:val="0C827B20"/>
    <w:lvl w:ilvl="0" w:tentative="0">
      <w:start w:val="1"/>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1B89059A"/>
    <w:multiLevelType w:val="multilevel"/>
    <w:tmpl w:val="1B89059A"/>
    <w:lvl w:ilvl="0" w:tentative="0">
      <w:start w:val="1"/>
      <w:numFmt w:val="decimal"/>
      <w:pStyle w:val="221"/>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3F28AE5C"/>
    <w:multiLevelType w:val="singleLevel"/>
    <w:tmpl w:val="3F28AE5C"/>
    <w:lvl w:ilvl="0" w:tentative="0">
      <w:start w:val="2"/>
      <w:numFmt w:val="chineseCounting"/>
      <w:suff w:val="space"/>
      <w:lvlText w:val="第%1章"/>
      <w:lvlJc w:val="left"/>
      <w:rPr>
        <w:rFonts w:hint="eastAsia"/>
      </w:rPr>
    </w:lvl>
  </w:abstractNum>
  <w:abstractNum w:abstractNumId="7">
    <w:nsid w:val="61C45857"/>
    <w:multiLevelType w:val="multilevel"/>
    <w:tmpl w:val="61C45857"/>
    <w:lvl w:ilvl="0" w:tentative="0">
      <w:start w:val="1"/>
      <w:numFmt w:val="none"/>
      <w:lvlText w:val="一、"/>
      <w:lvlJc w:val="left"/>
      <w:pPr>
        <w:tabs>
          <w:tab w:val="left" w:pos="962"/>
        </w:tabs>
        <w:ind w:left="962" w:hanging="480"/>
      </w:pPr>
      <w:rPr>
        <w:rFonts w:hint="eastAsia"/>
      </w:rPr>
    </w:lvl>
    <w:lvl w:ilvl="1" w:tentative="0">
      <w:start w:val="1"/>
      <w:numFmt w:val="decimal"/>
      <w:lvlText w:val="(%2)"/>
      <w:lvlJc w:val="left"/>
      <w:pPr>
        <w:tabs>
          <w:tab w:val="left" w:pos="1262"/>
        </w:tabs>
        <w:ind w:left="1262" w:hanging="360"/>
      </w:pPr>
      <w:rPr>
        <w:rFonts w:hint="eastAsia"/>
      </w:r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abstractNum w:abstractNumId="8">
    <w:nsid w:val="663B4382"/>
    <w:multiLevelType w:val="multilevel"/>
    <w:tmpl w:val="663B4382"/>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960"/>
        </w:tabs>
        <w:ind w:left="960" w:hanging="420"/>
      </w:pPr>
      <w:rPr>
        <w:color w:val="auto"/>
      </w:rPr>
    </w:lvl>
    <w:lvl w:ilvl="2" w:tentative="0">
      <w:start w:val="1"/>
      <w:numFmt w:val="decimal"/>
      <w:pStyle w:val="341"/>
      <w:lvlText w:val="3.%3"/>
      <w:lvlJc w:val="left"/>
      <w:pPr>
        <w:tabs>
          <w:tab w:val="left" w:pos="0"/>
        </w:tabs>
        <w:ind w:left="454" w:hanging="454"/>
      </w:pPr>
    </w:lvl>
    <w:lvl w:ilvl="3" w:tentative="0">
      <w:start w:val="1"/>
      <w:numFmt w:val="decimal"/>
      <w:lvlText w:val="%4)"/>
      <w:lvlJc w:val="left"/>
      <w:pPr>
        <w:tabs>
          <w:tab w:val="left" w:pos="1680"/>
        </w:tabs>
        <w:ind w:left="1680" w:hanging="420"/>
      </w:pPr>
    </w:lvl>
    <w:lvl w:ilvl="4" w:tentative="0">
      <w:start w:val="1"/>
      <w:numFmt w:val="decimal"/>
      <w:lvlText w:val="%5）"/>
      <w:lvlJc w:val="left"/>
      <w:pPr>
        <w:tabs>
          <w:tab w:val="left" w:pos="2400"/>
        </w:tabs>
        <w:ind w:left="2400" w:hanging="7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7C1349CD"/>
    <w:multiLevelType w:val="multilevel"/>
    <w:tmpl w:val="7C1349CD"/>
    <w:lvl w:ilvl="0" w:tentative="0">
      <w:start w:val="1"/>
      <w:numFmt w:val="decimal"/>
      <w:lvlText w:val="(%1)"/>
      <w:lvlJc w:val="left"/>
      <w:pPr>
        <w:tabs>
          <w:tab w:val="left" w:pos="840"/>
        </w:tabs>
        <w:ind w:left="840" w:hanging="360"/>
      </w:pPr>
      <w:rPr>
        <w:rFonts w:hint="eastAsia"/>
      </w:rPr>
    </w:lvl>
    <w:lvl w:ilvl="1" w:tentative="0">
      <w:start w:val="1"/>
      <w:numFmt w:val="japaneseCounting"/>
      <w:lvlText w:val="%2、"/>
      <w:lvlJc w:val="left"/>
      <w:pPr>
        <w:tabs>
          <w:tab w:val="left" w:pos="1380"/>
        </w:tabs>
        <w:ind w:left="1380" w:hanging="480"/>
      </w:pPr>
      <w:rPr>
        <w:rFonts w:hint="eastAsia"/>
      </w:rPr>
    </w:lvl>
    <w:lvl w:ilvl="2" w:tentative="0">
      <w:start w:val="3"/>
      <w:numFmt w:val="decimal"/>
      <w:lvlText w:val="%3、"/>
      <w:lvlJc w:val="left"/>
      <w:pPr>
        <w:tabs>
          <w:tab w:val="left" w:pos="1680"/>
        </w:tabs>
        <w:ind w:left="1680" w:hanging="360"/>
      </w:pPr>
      <w:rPr>
        <w:rFonts w:hint="eastAsia"/>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1"/>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DDF"/>
    <w:rsid w:val="000006D6"/>
    <w:rsid w:val="000007C1"/>
    <w:rsid w:val="00000F42"/>
    <w:rsid w:val="00004784"/>
    <w:rsid w:val="0000497C"/>
    <w:rsid w:val="00004BA8"/>
    <w:rsid w:val="0000547D"/>
    <w:rsid w:val="000054D5"/>
    <w:rsid w:val="00005717"/>
    <w:rsid w:val="0000574F"/>
    <w:rsid w:val="00005FBD"/>
    <w:rsid w:val="0000660E"/>
    <w:rsid w:val="00006C34"/>
    <w:rsid w:val="00007ED6"/>
    <w:rsid w:val="00007FD8"/>
    <w:rsid w:val="00010B37"/>
    <w:rsid w:val="00011484"/>
    <w:rsid w:val="00012B75"/>
    <w:rsid w:val="00012D19"/>
    <w:rsid w:val="0001481D"/>
    <w:rsid w:val="00015250"/>
    <w:rsid w:val="000153B6"/>
    <w:rsid w:val="0001696B"/>
    <w:rsid w:val="00016EFA"/>
    <w:rsid w:val="00017078"/>
    <w:rsid w:val="00017139"/>
    <w:rsid w:val="00020463"/>
    <w:rsid w:val="0002203B"/>
    <w:rsid w:val="000236DE"/>
    <w:rsid w:val="000243BD"/>
    <w:rsid w:val="0002453B"/>
    <w:rsid w:val="00025095"/>
    <w:rsid w:val="00026117"/>
    <w:rsid w:val="0002734E"/>
    <w:rsid w:val="000279E1"/>
    <w:rsid w:val="00030323"/>
    <w:rsid w:val="000306C5"/>
    <w:rsid w:val="00030781"/>
    <w:rsid w:val="00033A3A"/>
    <w:rsid w:val="00034DFB"/>
    <w:rsid w:val="000350DF"/>
    <w:rsid w:val="0003593F"/>
    <w:rsid w:val="00037FBA"/>
    <w:rsid w:val="00040353"/>
    <w:rsid w:val="000406D5"/>
    <w:rsid w:val="0004112D"/>
    <w:rsid w:val="000442D0"/>
    <w:rsid w:val="000448B0"/>
    <w:rsid w:val="00044A78"/>
    <w:rsid w:val="00046C1A"/>
    <w:rsid w:val="00046F7F"/>
    <w:rsid w:val="0004736C"/>
    <w:rsid w:val="0004775A"/>
    <w:rsid w:val="0005038C"/>
    <w:rsid w:val="000512FA"/>
    <w:rsid w:val="0005189A"/>
    <w:rsid w:val="00051AFD"/>
    <w:rsid w:val="00051C7F"/>
    <w:rsid w:val="00052543"/>
    <w:rsid w:val="00052A69"/>
    <w:rsid w:val="00053E79"/>
    <w:rsid w:val="00054F19"/>
    <w:rsid w:val="00055974"/>
    <w:rsid w:val="00056BD6"/>
    <w:rsid w:val="000574E3"/>
    <w:rsid w:val="0006115B"/>
    <w:rsid w:val="0006636F"/>
    <w:rsid w:val="0006714A"/>
    <w:rsid w:val="00067695"/>
    <w:rsid w:val="000703C3"/>
    <w:rsid w:val="0007121F"/>
    <w:rsid w:val="000721E0"/>
    <w:rsid w:val="00072A26"/>
    <w:rsid w:val="00072C4D"/>
    <w:rsid w:val="00073A40"/>
    <w:rsid w:val="00073B10"/>
    <w:rsid w:val="000775ED"/>
    <w:rsid w:val="000776C8"/>
    <w:rsid w:val="00080C78"/>
    <w:rsid w:val="0008153D"/>
    <w:rsid w:val="0008271D"/>
    <w:rsid w:val="00082751"/>
    <w:rsid w:val="000854C7"/>
    <w:rsid w:val="000860E4"/>
    <w:rsid w:val="000864E4"/>
    <w:rsid w:val="00086AE8"/>
    <w:rsid w:val="00087AF2"/>
    <w:rsid w:val="00090646"/>
    <w:rsid w:val="000908F0"/>
    <w:rsid w:val="00094180"/>
    <w:rsid w:val="00094F35"/>
    <w:rsid w:val="0009506D"/>
    <w:rsid w:val="00096C10"/>
    <w:rsid w:val="00097418"/>
    <w:rsid w:val="000A0A78"/>
    <w:rsid w:val="000A0B92"/>
    <w:rsid w:val="000A0DAA"/>
    <w:rsid w:val="000A1F84"/>
    <w:rsid w:val="000A2D6C"/>
    <w:rsid w:val="000A4D2D"/>
    <w:rsid w:val="000A4E11"/>
    <w:rsid w:val="000A5264"/>
    <w:rsid w:val="000A7432"/>
    <w:rsid w:val="000B0171"/>
    <w:rsid w:val="000B12FB"/>
    <w:rsid w:val="000B1905"/>
    <w:rsid w:val="000B24C0"/>
    <w:rsid w:val="000B3409"/>
    <w:rsid w:val="000B38B1"/>
    <w:rsid w:val="000B39B4"/>
    <w:rsid w:val="000B3E91"/>
    <w:rsid w:val="000B50F8"/>
    <w:rsid w:val="000B5C0B"/>
    <w:rsid w:val="000B62CB"/>
    <w:rsid w:val="000B6594"/>
    <w:rsid w:val="000B679E"/>
    <w:rsid w:val="000C062A"/>
    <w:rsid w:val="000C0B77"/>
    <w:rsid w:val="000C13B5"/>
    <w:rsid w:val="000C1DC3"/>
    <w:rsid w:val="000C1FDC"/>
    <w:rsid w:val="000C2B91"/>
    <w:rsid w:val="000C2E3C"/>
    <w:rsid w:val="000C4769"/>
    <w:rsid w:val="000C5926"/>
    <w:rsid w:val="000C5C4C"/>
    <w:rsid w:val="000C68AF"/>
    <w:rsid w:val="000D0D9C"/>
    <w:rsid w:val="000D0F7D"/>
    <w:rsid w:val="000D1611"/>
    <w:rsid w:val="000D20F5"/>
    <w:rsid w:val="000D2925"/>
    <w:rsid w:val="000D2CC2"/>
    <w:rsid w:val="000D355A"/>
    <w:rsid w:val="000D730E"/>
    <w:rsid w:val="000D7584"/>
    <w:rsid w:val="000D7946"/>
    <w:rsid w:val="000D79AD"/>
    <w:rsid w:val="000D7FE8"/>
    <w:rsid w:val="000E026B"/>
    <w:rsid w:val="000E02B0"/>
    <w:rsid w:val="000E0887"/>
    <w:rsid w:val="000E130D"/>
    <w:rsid w:val="000E1367"/>
    <w:rsid w:val="000E17E0"/>
    <w:rsid w:val="000E36F3"/>
    <w:rsid w:val="000E4311"/>
    <w:rsid w:val="000E6EA1"/>
    <w:rsid w:val="000E7016"/>
    <w:rsid w:val="000F00D5"/>
    <w:rsid w:val="000F06F5"/>
    <w:rsid w:val="000F0F10"/>
    <w:rsid w:val="000F11B9"/>
    <w:rsid w:val="000F1D13"/>
    <w:rsid w:val="000F2856"/>
    <w:rsid w:val="000F2E81"/>
    <w:rsid w:val="000F32C5"/>
    <w:rsid w:val="000F34A9"/>
    <w:rsid w:val="000F3E6E"/>
    <w:rsid w:val="000F3F81"/>
    <w:rsid w:val="000F45B8"/>
    <w:rsid w:val="000F46D5"/>
    <w:rsid w:val="000F5C07"/>
    <w:rsid w:val="00100C8B"/>
    <w:rsid w:val="00101883"/>
    <w:rsid w:val="001032A9"/>
    <w:rsid w:val="00103A0A"/>
    <w:rsid w:val="00103EBB"/>
    <w:rsid w:val="0010432C"/>
    <w:rsid w:val="0010475B"/>
    <w:rsid w:val="001048CE"/>
    <w:rsid w:val="00104BF1"/>
    <w:rsid w:val="00105407"/>
    <w:rsid w:val="0010593F"/>
    <w:rsid w:val="00105D08"/>
    <w:rsid w:val="00105F41"/>
    <w:rsid w:val="00106196"/>
    <w:rsid w:val="00106325"/>
    <w:rsid w:val="00107334"/>
    <w:rsid w:val="00107925"/>
    <w:rsid w:val="00107B1A"/>
    <w:rsid w:val="00107F4C"/>
    <w:rsid w:val="00110001"/>
    <w:rsid w:val="0011069B"/>
    <w:rsid w:val="0011115C"/>
    <w:rsid w:val="0011147B"/>
    <w:rsid w:val="001126B1"/>
    <w:rsid w:val="001126E5"/>
    <w:rsid w:val="0011274A"/>
    <w:rsid w:val="001128B0"/>
    <w:rsid w:val="00114A2E"/>
    <w:rsid w:val="00115B11"/>
    <w:rsid w:val="0011668B"/>
    <w:rsid w:val="001168E1"/>
    <w:rsid w:val="00117D33"/>
    <w:rsid w:val="00120F7B"/>
    <w:rsid w:val="00121288"/>
    <w:rsid w:val="00121B6F"/>
    <w:rsid w:val="0012666B"/>
    <w:rsid w:val="001267AA"/>
    <w:rsid w:val="00126875"/>
    <w:rsid w:val="0012694D"/>
    <w:rsid w:val="00126FC5"/>
    <w:rsid w:val="00130192"/>
    <w:rsid w:val="001301C5"/>
    <w:rsid w:val="00130725"/>
    <w:rsid w:val="00131B61"/>
    <w:rsid w:val="00131E3E"/>
    <w:rsid w:val="00132B8E"/>
    <w:rsid w:val="00133278"/>
    <w:rsid w:val="0013352C"/>
    <w:rsid w:val="00134008"/>
    <w:rsid w:val="001341DF"/>
    <w:rsid w:val="001361FE"/>
    <w:rsid w:val="00136C35"/>
    <w:rsid w:val="0014246C"/>
    <w:rsid w:val="00142EBC"/>
    <w:rsid w:val="00142F5E"/>
    <w:rsid w:val="001437F0"/>
    <w:rsid w:val="00144BEA"/>
    <w:rsid w:val="0014503B"/>
    <w:rsid w:val="00145AAF"/>
    <w:rsid w:val="001463AC"/>
    <w:rsid w:val="00146400"/>
    <w:rsid w:val="0014725B"/>
    <w:rsid w:val="00147E87"/>
    <w:rsid w:val="00150673"/>
    <w:rsid w:val="00150936"/>
    <w:rsid w:val="00150C28"/>
    <w:rsid w:val="00151420"/>
    <w:rsid w:val="00151891"/>
    <w:rsid w:val="00152B1B"/>
    <w:rsid w:val="00152E79"/>
    <w:rsid w:val="00154D37"/>
    <w:rsid w:val="0015546E"/>
    <w:rsid w:val="00155FF4"/>
    <w:rsid w:val="001562FF"/>
    <w:rsid w:val="001568BA"/>
    <w:rsid w:val="00157202"/>
    <w:rsid w:val="001649F3"/>
    <w:rsid w:val="00164AF6"/>
    <w:rsid w:val="00166BAB"/>
    <w:rsid w:val="001670D2"/>
    <w:rsid w:val="00167282"/>
    <w:rsid w:val="00167E16"/>
    <w:rsid w:val="001702BE"/>
    <w:rsid w:val="00170404"/>
    <w:rsid w:val="00171A20"/>
    <w:rsid w:val="001737F8"/>
    <w:rsid w:val="00175C43"/>
    <w:rsid w:val="00175F92"/>
    <w:rsid w:val="00176C72"/>
    <w:rsid w:val="00176EA3"/>
    <w:rsid w:val="00176F39"/>
    <w:rsid w:val="00177C05"/>
    <w:rsid w:val="00180AC1"/>
    <w:rsid w:val="00182295"/>
    <w:rsid w:val="00182317"/>
    <w:rsid w:val="00182995"/>
    <w:rsid w:val="0018332B"/>
    <w:rsid w:val="0018379A"/>
    <w:rsid w:val="00183CDF"/>
    <w:rsid w:val="00183F6F"/>
    <w:rsid w:val="001845A5"/>
    <w:rsid w:val="00184BFA"/>
    <w:rsid w:val="00185F77"/>
    <w:rsid w:val="00186E75"/>
    <w:rsid w:val="001870B8"/>
    <w:rsid w:val="00187113"/>
    <w:rsid w:val="00187732"/>
    <w:rsid w:val="00187E57"/>
    <w:rsid w:val="0019023B"/>
    <w:rsid w:val="00190726"/>
    <w:rsid w:val="001911AC"/>
    <w:rsid w:val="001920B1"/>
    <w:rsid w:val="00192241"/>
    <w:rsid w:val="001933FB"/>
    <w:rsid w:val="00193A4E"/>
    <w:rsid w:val="001956D9"/>
    <w:rsid w:val="00196739"/>
    <w:rsid w:val="001972CF"/>
    <w:rsid w:val="001976F2"/>
    <w:rsid w:val="00197893"/>
    <w:rsid w:val="00197A93"/>
    <w:rsid w:val="001A0209"/>
    <w:rsid w:val="001A274C"/>
    <w:rsid w:val="001A3566"/>
    <w:rsid w:val="001A3635"/>
    <w:rsid w:val="001A3837"/>
    <w:rsid w:val="001A39AA"/>
    <w:rsid w:val="001A3E31"/>
    <w:rsid w:val="001A4B28"/>
    <w:rsid w:val="001A4DEA"/>
    <w:rsid w:val="001A4F43"/>
    <w:rsid w:val="001A6324"/>
    <w:rsid w:val="001A6466"/>
    <w:rsid w:val="001A6E3E"/>
    <w:rsid w:val="001A7E6D"/>
    <w:rsid w:val="001B0006"/>
    <w:rsid w:val="001B0C96"/>
    <w:rsid w:val="001B34DA"/>
    <w:rsid w:val="001B3C76"/>
    <w:rsid w:val="001B42D3"/>
    <w:rsid w:val="001B4F93"/>
    <w:rsid w:val="001B5272"/>
    <w:rsid w:val="001B6187"/>
    <w:rsid w:val="001B735B"/>
    <w:rsid w:val="001B7E2B"/>
    <w:rsid w:val="001C16A8"/>
    <w:rsid w:val="001C23BE"/>
    <w:rsid w:val="001C3759"/>
    <w:rsid w:val="001C4D28"/>
    <w:rsid w:val="001C609E"/>
    <w:rsid w:val="001C70B8"/>
    <w:rsid w:val="001D1850"/>
    <w:rsid w:val="001D1FF0"/>
    <w:rsid w:val="001D229A"/>
    <w:rsid w:val="001D2E59"/>
    <w:rsid w:val="001D31CB"/>
    <w:rsid w:val="001D33E0"/>
    <w:rsid w:val="001D44E2"/>
    <w:rsid w:val="001D53A3"/>
    <w:rsid w:val="001D5A62"/>
    <w:rsid w:val="001D66E6"/>
    <w:rsid w:val="001D76F7"/>
    <w:rsid w:val="001D7F61"/>
    <w:rsid w:val="001E09D9"/>
    <w:rsid w:val="001E0ABA"/>
    <w:rsid w:val="001E0D12"/>
    <w:rsid w:val="001E1313"/>
    <w:rsid w:val="001E18BB"/>
    <w:rsid w:val="001E24E8"/>
    <w:rsid w:val="001E2D73"/>
    <w:rsid w:val="001E402D"/>
    <w:rsid w:val="001E48D2"/>
    <w:rsid w:val="001E4D05"/>
    <w:rsid w:val="001E57B9"/>
    <w:rsid w:val="001F0045"/>
    <w:rsid w:val="001F0E4E"/>
    <w:rsid w:val="001F184B"/>
    <w:rsid w:val="001F4807"/>
    <w:rsid w:val="001F601C"/>
    <w:rsid w:val="001F670D"/>
    <w:rsid w:val="001F7840"/>
    <w:rsid w:val="001F7A46"/>
    <w:rsid w:val="002026D3"/>
    <w:rsid w:val="00202CF4"/>
    <w:rsid w:val="00203CD7"/>
    <w:rsid w:val="002044AA"/>
    <w:rsid w:val="002069C1"/>
    <w:rsid w:val="002071AE"/>
    <w:rsid w:val="002078F2"/>
    <w:rsid w:val="00207A5D"/>
    <w:rsid w:val="00207D92"/>
    <w:rsid w:val="00212A79"/>
    <w:rsid w:val="00212CAF"/>
    <w:rsid w:val="00213398"/>
    <w:rsid w:val="00213E5D"/>
    <w:rsid w:val="00213FD1"/>
    <w:rsid w:val="00214B2F"/>
    <w:rsid w:val="00216C72"/>
    <w:rsid w:val="00216DE6"/>
    <w:rsid w:val="00217D41"/>
    <w:rsid w:val="00220052"/>
    <w:rsid w:val="002202BA"/>
    <w:rsid w:val="00221369"/>
    <w:rsid w:val="00225021"/>
    <w:rsid w:val="0022579A"/>
    <w:rsid w:val="00225BCD"/>
    <w:rsid w:val="00226154"/>
    <w:rsid w:val="00226B69"/>
    <w:rsid w:val="00226B89"/>
    <w:rsid w:val="00226CEA"/>
    <w:rsid w:val="00230DF5"/>
    <w:rsid w:val="002322A0"/>
    <w:rsid w:val="00232874"/>
    <w:rsid w:val="0023390A"/>
    <w:rsid w:val="002342DE"/>
    <w:rsid w:val="002350EA"/>
    <w:rsid w:val="002355B4"/>
    <w:rsid w:val="002357C6"/>
    <w:rsid w:val="00236BBA"/>
    <w:rsid w:val="002375F9"/>
    <w:rsid w:val="00241126"/>
    <w:rsid w:val="00241335"/>
    <w:rsid w:val="00241E77"/>
    <w:rsid w:val="00242494"/>
    <w:rsid w:val="002438D5"/>
    <w:rsid w:val="00245B47"/>
    <w:rsid w:val="00245D41"/>
    <w:rsid w:val="0024782E"/>
    <w:rsid w:val="002507F6"/>
    <w:rsid w:val="00254E99"/>
    <w:rsid w:val="00254FFD"/>
    <w:rsid w:val="00256A23"/>
    <w:rsid w:val="00260A56"/>
    <w:rsid w:val="00260C34"/>
    <w:rsid w:val="0026153F"/>
    <w:rsid w:val="002616BB"/>
    <w:rsid w:val="00262834"/>
    <w:rsid w:val="00263AD4"/>
    <w:rsid w:val="002642F6"/>
    <w:rsid w:val="00264513"/>
    <w:rsid w:val="002650BA"/>
    <w:rsid w:val="002661C0"/>
    <w:rsid w:val="002675D7"/>
    <w:rsid w:val="00267D03"/>
    <w:rsid w:val="00270195"/>
    <w:rsid w:val="002713BB"/>
    <w:rsid w:val="00272B28"/>
    <w:rsid w:val="00272CCE"/>
    <w:rsid w:val="00272FC5"/>
    <w:rsid w:val="0027384F"/>
    <w:rsid w:val="00273FB9"/>
    <w:rsid w:val="002740A4"/>
    <w:rsid w:val="002741D8"/>
    <w:rsid w:val="002744BA"/>
    <w:rsid w:val="002745F8"/>
    <w:rsid w:val="00276DEC"/>
    <w:rsid w:val="00284528"/>
    <w:rsid w:val="00285B7F"/>
    <w:rsid w:val="00286666"/>
    <w:rsid w:val="00286DF7"/>
    <w:rsid w:val="00287A67"/>
    <w:rsid w:val="00290F46"/>
    <w:rsid w:val="00291947"/>
    <w:rsid w:val="00292C6A"/>
    <w:rsid w:val="00293AD5"/>
    <w:rsid w:val="00293EA7"/>
    <w:rsid w:val="00294D16"/>
    <w:rsid w:val="002953A4"/>
    <w:rsid w:val="00295934"/>
    <w:rsid w:val="00295EA4"/>
    <w:rsid w:val="00296275"/>
    <w:rsid w:val="00296D8D"/>
    <w:rsid w:val="002A0D16"/>
    <w:rsid w:val="002A3318"/>
    <w:rsid w:val="002A4353"/>
    <w:rsid w:val="002A472B"/>
    <w:rsid w:val="002A5162"/>
    <w:rsid w:val="002A552D"/>
    <w:rsid w:val="002A5D1A"/>
    <w:rsid w:val="002A5F67"/>
    <w:rsid w:val="002A6895"/>
    <w:rsid w:val="002A7584"/>
    <w:rsid w:val="002B0600"/>
    <w:rsid w:val="002B0E03"/>
    <w:rsid w:val="002B135E"/>
    <w:rsid w:val="002B1D35"/>
    <w:rsid w:val="002B211B"/>
    <w:rsid w:val="002B484C"/>
    <w:rsid w:val="002B516C"/>
    <w:rsid w:val="002B542F"/>
    <w:rsid w:val="002C0DDE"/>
    <w:rsid w:val="002C12E2"/>
    <w:rsid w:val="002C14A7"/>
    <w:rsid w:val="002C197B"/>
    <w:rsid w:val="002C23E2"/>
    <w:rsid w:val="002C29A7"/>
    <w:rsid w:val="002C2B4F"/>
    <w:rsid w:val="002C40A7"/>
    <w:rsid w:val="002C52E1"/>
    <w:rsid w:val="002C5F0E"/>
    <w:rsid w:val="002C6775"/>
    <w:rsid w:val="002C6E91"/>
    <w:rsid w:val="002C7659"/>
    <w:rsid w:val="002D14EF"/>
    <w:rsid w:val="002D15FB"/>
    <w:rsid w:val="002D1D7C"/>
    <w:rsid w:val="002D2808"/>
    <w:rsid w:val="002D2C22"/>
    <w:rsid w:val="002D2C78"/>
    <w:rsid w:val="002D33A0"/>
    <w:rsid w:val="002D362E"/>
    <w:rsid w:val="002D3F64"/>
    <w:rsid w:val="002D4894"/>
    <w:rsid w:val="002D4E17"/>
    <w:rsid w:val="002D63CC"/>
    <w:rsid w:val="002D788C"/>
    <w:rsid w:val="002D7E49"/>
    <w:rsid w:val="002E0C3F"/>
    <w:rsid w:val="002E0FA0"/>
    <w:rsid w:val="002E10FD"/>
    <w:rsid w:val="002E2AC7"/>
    <w:rsid w:val="002E338E"/>
    <w:rsid w:val="002E3FEC"/>
    <w:rsid w:val="002E4221"/>
    <w:rsid w:val="002E5B56"/>
    <w:rsid w:val="002E71E5"/>
    <w:rsid w:val="002E76B2"/>
    <w:rsid w:val="002F0EA5"/>
    <w:rsid w:val="002F206C"/>
    <w:rsid w:val="002F38FA"/>
    <w:rsid w:val="002F428C"/>
    <w:rsid w:val="002F45F8"/>
    <w:rsid w:val="002F4B33"/>
    <w:rsid w:val="002F4D31"/>
    <w:rsid w:val="002F563F"/>
    <w:rsid w:val="002F5A6D"/>
    <w:rsid w:val="002F709B"/>
    <w:rsid w:val="002F719A"/>
    <w:rsid w:val="002F72C4"/>
    <w:rsid w:val="002F7FF0"/>
    <w:rsid w:val="003007E9"/>
    <w:rsid w:val="003018D6"/>
    <w:rsid w:val="00302B2D"/>
    <w:rsid w:val="00302E28"/>
    <w:rsid w:val="0030422F"/>
    <w:rsid w:val="003045DB"/>
    <w:rsid w:val="00304644"/>
    <w:rsid w:val="00304707"/>
    <w:rsid w:val="00304DC3"/>
    <w:rsid w:val="0030521F"/>
    <w:rsid w:val="0030656D"/>
    <w:rsid w:val="00306CAE"/>
    <w:rsid w:val="003106B2"/>
    <w:rsid w:val="0031088C"/>
    <w:rsid w:val="00310C53"/>
    <w:rsid w:val="00310E84"/>
    <w:rsid w:val="00311441"/>
    <w:rsid w:val="003118B2"/>
    <w:rsid w:val="00312B0D"/>
    <w:rsid w:val="00313044"/>
    <w:rsid w:val="003137C3"/>
    <w:rsid w:val="00315A20"/>
    <w:rsid w:val="00316739"/>
    <w:rsid w:val="00316D59"/>
    <w:rsid w:val="0031772D"/>
    <w:rsid w:val="00321069"/>
    <w:rsid w:val="003223FE"/>
    <w:rsid w:val="00322503"/>
    <w:rsid w:val="00322C66"/>
    <w:rsid w:val="00322EB8"/>
    <w:rsid w:val="0032376C"/>
    <w:rsid w:val="00323E8C"/>
    <w:rsid w:val="00324B62"/>
    <w:rsid w:val="00324CC5"/>
    <w:rsid w:val="00325616"/>
    <w:rsid w:val="00325C5B"/>
    <w:rsid w:val="00326832"/>
    <w:rsid w:val="00330293"/>
    <w:rsid w:val="0033126E"/>
    <w:rsid w:val="00331FB8"/>
    <w:rsid w:val="00333C2A"/>
    <w:rsid w:val="00333F71"/>
    <w:rsid w:val="0033496D"/>
    <w:rsid w:val="00334D8F"/>
    <w:rsid w:val="00334DC6"/>
    <w:rsid w:val="00335669"/>
    <w:rsid w:val="00335F6A"/>
    <w:rsid w:val="00336DF8"/>
    <w:rsid w:val="00340D54"/>
    <w:rsid w:val="003427F1"/>
    <w:rsid w:val="003434E6"/>
    <w:rsid w:val="0034354F"/>
    <w:rsid w:val="0034428A"/>
    <w:rsid w:val="00345E61"/>
    <w:rsid w:val="00346B1D"/>
    <w:rsid w:val="00347729"/>
    <w:rsid w:val="0035037F"/>
    <w:rsid w:val="003504DD"/>
    <w:rsid w:val="003505FB"/>
    <w:rsid w:val="00351B35"/>
    <w:rsid w:val="00353080"/>
    <w:rsid w:val="00353FCF"/>
    <w:rsid w:val="003548CC"/>
    <w:rsid w:val="00354D50"/>
    <w:rsid w:val="00354E8A"/>
    <w:rsid w:val="003570D2"/>
    <w:rsid w:val="00357542"/>
    <w:rsid w:val="0035769C"/>
    <w:rsid w:val="00357C73"/>
    <w:rsid w:val="00357E24"/>
    <w:rsid w:val="00360D62"/>
    <w:rsid w:val="003626AC"/>
    <w:rsid w:val="00363199"/>
    <w:rsid w:val="003647F1"/>
    <w:rsid w:val="003655B2"/>
    <w:rsid w:val="003656B2"/>
    <w:rsid w:val="00365797"/>
    <w:rsid w:val="003666B0"/>
    <w:rsid w:val="003679D2"/>
    <w:rsid w:val="00370BAC"/>
    <w:rsid w:val="0037228F"/>
    <w:rsid w:val="00372AB4"/>
    <w:rsid w:val="00373016"/>
    <w:rsid w:val="00373997"/>
    <w:rsid w:val="003745E4"/>
    <w:rsid w:val="0037460A"/>
    <w:rsid w:val="00374B58"/>
    <w:rsid w:val="00374DD4"/>
    <w:rsid w:val="00375B22"/>
    <w:rsid w:val="00375F24"/>
    <w:rsid w:val="00376278"/>
    <w:rsid w:val="00376536"/>
    <w:rsid w:val="00376572"/>
    <w:rsid w:val="00376ADE"/>
    <w:rsid w:val="00377E6C"/>
    <w:rsid w:val="0038146F"/>
    <w:rsid w:val="003815A9"/>
    <w:rsid w:val="0038164B"/>
    <w:rsid w:val="00381AD5"/>
    <w:rsid w:val="00382291"/>
    <w:rsid w:val="0038307F"/>
    <w:rsid w:val="0038399A"/>
    <w:rsid w:val="0038417A"/>
    <w:rsid w:val="00384C13"/>
    <w:rsid w:val="00385B77"/>
    <w:rsid w:val="00385BD6"/>
    <w:rsid w:val="00385CDD"/>
    <w:rsid w:val="00386763"/>
    <w:rsid w:val="00386C7C"/>
    <w:rsid w:val="003871C9"/>
    <w:rsid w:val="00390B41"/>
    <w:rsid w:val="00391288"/>
    <w:rsid w:val="00391D08"/>
    <w:rsid w:val="003938F1"/>
    <w:rsid w:val="00394F1D"/>
    <w:rsid w:val="003954C5"/>
    <w:rsid w:val="003960BB"/>
    <w:rsid w:val="00397F80"/>
    <w:rsid w:val="003A035E"/>
    <w:rsid w:val="003A0B0E"/>
    <w:rsid w:val="003A0FCD"/>
    <w:rsid w:val="003A1691"/>
    <w:rsid w:val="003A246F"/>
    <w:rsid w:val="003A2985"/>
    <w:rsid w:val="003A2BA8"/>
    <w:rsid w:val="003A313F"/>
    <w:rsid w:val="003A4CD7"/>
    <w:rsid w:val="003A5AE9"/>
    <w:rsid w:val="003A72EF"/>
    <w:rsid w:val="003A7F9F"/>
    <w:rsid w:val="003B0176"/>
    <w:rsid w:val="003B026E"/>
    <w:rsid w:val="003B0423"/>
    <w:rsid w:val="003B0721"/>
    <w:rsid w:val="003B0C7A"/>
    <w:rsid w:val="003B287D"/>
    <w:rsid w:val="003B389A"/>
    <w:rsid w:val="003B4317"/>
    <w:rsid w:val="003B60B2"/>
    <w:rsid w:val="003B79C7"/>
    <w:rsid w:val="003B7FB4"/>
    <w:rsid w:val="003C0207"/>
    <w:rsid w:val="003C083E"/>
    <w:rsid w:val="003C3DB1"/>
    <w:rsid w:val="003C3E45"/>
    <w:rsid w:val="003C4CFB"/>
    <w:rsid w:val="003C56F0"/>
    <w:rsid w:val="003C6DE8"/>
    <w:rsid w:val="003C6E2D"/>
    <w:rsid w:val="003D0059"/>
    <w:rsid w:val="003D0186"/>
    <w:rsid w:val="003D37BA"/>
    <w:rsid w:val="003D42BB"/>
    <w:rsid w:val="003D5151"/>
    <w:rsid w:val="003D53BA"/>
    <w:rsid w:val="003D7B8E"/>
    <w:rsid w:val="003E0424"/>
    <w:rsid w:val="003E195F"/>
    <w:rsid w:val="003E1F35"/>
    <w:rsid w:val="003E21B2"/>
    <w:rsid w:val="003E4AE5"/>
    <w:rsid w:val="003E598E"/>
    <w:rsid w:val="003E6061"/>
    <w:rsid w:val="003E6471"/>
    <w:rsid w:val="003E6723"/>
    <w:rsid w:val="003E733B"/>
    <w:rsid w:val="003E7CF4"/>
    <w:rsid w:val="003F01A5"/>
    <w:rsid w:val="003F0418"/>
    <w:rsid w:val="003F0493"/>
    <w:rsid w:val="003F1060"/>
    <w:rsid w:val="003F2CDA"/>
    <w:rsid w:val="003F2DCC"/>
    <w:rsid w:val="003F3384"/>
    <w:rsid w:val="003F3BF4"/>
    <w:rsid w:val="003F4C5E"/>
    <w:rsid w:val="003F4E65"/>
    <w:rsid w:val="003F543A"/>
    <w:rsid w:val="00400F02"/>
    <w:rsid w:val="00401170"/>
    <w:rsid w:val="0040129F"/>
    <w:rsid w:val="00402720"/>
    <w:rsid w:val="00403909"/>
    <w:rsid w:val="004039A3"/>
    <w:rsid w:val="00404E4B"/>
    <w:rsid w:val="00405A57"/>
    <w:rsid w:val="00410716"/>
    <w:rsid w:val="004109CE"/>
    <w:rsid w:val="00413902"/>
    <w:rsid w:val="004145DD"/>
    <w:rsid w:val="0041595B"/>
    <w:rsid w:val="0041601C"/>
    <w:rsid w:val="00416032"/>
    <w:rsid w:val="004168EC"/>
    <w:rsid w:val="00417A77"/>
    <w:rsid w:val="00417B61"/>
    <w:rsid w:val="00420D19"/>
    <w:rsid w:val="0042167D"/>
    <w:rsid w:val="00421D0F"/>
    <w:rsid w:val="00422A39"/>
    <w:rsid w:val="00422C25"/>
    <w:rsid w:val="00423295"/>
    <w:rsid w:val="00424242"/>
    <w:rsid w:val="00425923"/>
    <w:rsid w:val="00425F86"/>
    <w:rsid w:val="00426D91"/>
    <w:rsid w:val="004301DB"/>
    <w:rsid w:val="004307C4"/>
    <w:rsid w:val="00430B68"/>
    <w:rsid w:val="0043326A"/>
    <w:rsid w:val="004334A8"/>
    <w:rsid w:val="0043379D"/>
    <w:rsid w:val="00433967"/>
    <w:rsid w:val="004345D2"/>
    <w:rsid w:val="004356AB"/>
    <w:rsid w:val="00435F42"/>
    <w:rsid w:val="004369F3"/>
    <w:rsid w:val="00436C95"/>
    <w:rsid w:val="00437A5C"/>
    <w:rsid w:val="004406B4"/>
    <w:rsid w:val="00440FC0"/>
    <w:rsid w:val="004432DF"/>
    <w:rsid w:val="0044392C"/>
    <w:rsid w:val="00443988"/>
    <w:rsid w:val="00443A0B"/>
    <w:rsid w:val="00444543"/>
    <w:rsid w:val="00444C89"/>
    <w:rsid w:val="00444F33"/>
    <w:rsid w:val="00445006"/>
    <w:rsid w:val="00446905"/>
    <w:rsid w:val="00446D7E"/>
    <w:rsid w:val="00447274"/>
    <w:rsid w:val="00447482"/>
    <w:rsid w:val="00450827"/>
    <w:rsid w:val="00451C24"/>
    <w:rsid w:val="004524FB"/>
    <w:rsid w:val="004532B1"/>
    <w:rsid w:val="004554FA"/>
    <w:rsid w:val="00455E37"/>
    <w:rsid w:val="00456069"/>
    <w:rsid w:val="004574E8"/>
    <w:rsid w:val="004603FA"/>
    <w:rsid w:val="00462725"/>
    <w:rsid w:val="00464C97"/>
    <w:rsid w:val="004654E4"/>
    <w:rsid w:val="004657C1"/>
    <w:rsid w:val="0047031C"/>
    <w:rsid w:val="00470E06"/>
    <w:rsid w:val="00470EBE"/>
    <w:rsid w:val="0047107B"/>
    <w:rsid w:val="0047137E"/>
    <w:rsid w:val="00471DB9"/>
    <w:rsid w:val="00472697"/>
    <w:rsid w:val="004764A5"/>
    <w:rsid w:val="004768D1"/>
    <w:rsid w:val="00477B2E"/>
    <w:rsid w:val="00477E47"/>
    <w:rsid w:val="00477F1B"/>
    <w:rsid w:val="0048081A"/>
    <w:rsid w:val="004818D7"/>
    <w:rsid w:val="00481F32"/>
    <w:rsid w:val="004844E1"/>
    <w:rsid w:val="00484B85"/>
    <w:rsid w:val="00484C3C"/>
    <w:rsid w:val="00485E3D"/>
    <w:rsid w:val="00486E0A"/>
    <w:rsid w:val="00487E10"/>
    <w:rsid w:val="00490EF9"/>
    <w:rsid w:val="004910D9"/>
    <w:rsid w:val="00492469"/>
    <w:rsid w:val="00492A0F"/>
    <w:rsid w:val="004932AE"/>
    <w:rsid w:val="004955CF"/>
    <w:rsid w:val="004960BD"/>
    <w:rsid w:val="004979A6"/>
    <w:rsid w:val="004A0C68"/>
    <w:rsid w:val="004A2BFB"/>
    <w:rsid w:val="004A378C"/>
    <w:rsid w:val="004A395D"/>
    <w:rsid w:val="004A3BC9"/>
    <w:rsid w:val="004A5911"/>
    <w:rsid w:val="004A7168"/>
    <w:rsid w:val="004A77E1"/>
    <w:rsid w:val="004A7FDB"/>
    <w:rsid w:val="004B020C"/>
    <w:rsid w:val="004B16BC"/>
    <w:rsid w:val="004B1A61"/>
    <w:rsid w:val="004B260E"/>
    <w:rsid w:val="004B2818"/>
    <w:rsid w:val="004B3CE5"/>
    <w:rsid w:val="004B5123"/>
    <w:rsid w:val="004B5842"/>
    <w:rsid w:val="004B5A2E"/>
    <w:rsid w:val="004B788C"/>
    <w:rsid w:val="004B7DEB"/>
    <w:rsid w:val="004B7EAD"/>
    <w:rsid w:val="004C05AB"/>
    <w:rsid w:val="004C06F0"/>
    <w:rsid w:val="004C0BBB"/>
    <w:rsid w:val="004C1841"/>
    <w:rsid w:val="004C1A3E"/>
    <w:rsid w:val="004C1E2D"/>
    <w:rsid w:val="004C215D"/>
    <w:rsid w:val="004C39A8"/>
    <w:rsid w:val="004C39C6"/>
    <w:rsid w:val="004C3C01"/>
    <w:rsid w:val="004C3F76"/>
    <w:rsid w:val="004C4125"/>
    <w:rsid w:val="004C4FEC"/>
    <w:rsid w:val="004C5590"/>
    <w:rsid w:val="004C5F35"/>
    <w:rsid w:val="004C6B47"/>
    <w:rsid w:val="004D1141"/>
    <w:rsid w:val="004D177F"/>
    <w:rsid w:val="004D1935"/>
    <w:rsid w:val="004D1C27"/>
    <w:rsid w:val="004D1D70"/>
    <w:rsid w:val="004D200A"/>
    <w:rsid w:val="004D2C81"/>
    <w:rsid w:val="004D3A51"/>
    <w:rsid w:val="004D3C57"/>
    <w:rsid w:val="004D3C61"/>
    <w:rsid w:val="004D5BAF"/>
    <w:rsid w:val="004D5ECB"/>
    <w:rsid w:val="004D6328"/>
    <w:rsid w:val="004E0E13"/>
    <w:rsid w:val="004E2F75"/>
    <w:rsid w:val="004E58A6"/>
    <w:rsid w:val="004E72A3"/>
    <w:rsid w:val="004E7E6F"/>
    <w:rsid w:val="004F038B"/>
    <w:rsid w:val="004F066D"/>
    <w:rsid w:val="004F0828"/>
    <w:rsid w:val="004F0F9D"/>
    <w:rsid w:val="004F193F"/>
    <w:rsid w:val="004F1BF1"/>
    <w:rsid w:val="004F2167"/>
    <w:rsid w:val="004F2B82"/>
    <w:rsid w:val="004F39A4"/>
    <w:rsid w:val="004F5A57"/>
    <w:rsid w:val="004F5E85"/>
    <w:rsid w:val="004F63D3"/>
    <w:rsid w:val="00500443"/>
    <w:rsid w:val="00500A06"/>
    <w:rsid w:val="00501035"/>
    <w:rsid w:val="0050168C"/>
    <w:rsid w:val="00502CF0"/>
    <w:rsid w:val="005031BC"/>
    <w:rsid w:val="00504773"/>
    <w:rsid w:val="0050503A"/>
    <w:rsid w:val="00505261"/>
    <w:rsid w:val="005052E0"/>
    <w:rsid w:val="005057D4"/>
    <w:rsid w:val="00505986"/>
    <w:rsid w:val="0050686D"/>
    <w:rsid w:val="00507D87"/>
    <w:rsid w:val="0051051A"/>
    <w:rsid w:val="00511AB4"/>
    <w:rsid w:val="005134D0"/>
    <w:rsid w:val="00514A01"/>
    <w:rsid w:val="00514D1E"/>
    <w:rsid w:val="00517DE9"/>
    <w:rsid w:val="0052020C"/>
    <w:rsid w:val="005216E6"/>
    <w:rsid w:val="00521EFD"/>
    <w:rsid w:val="0052215D"/>
    <w:rsid w:val="00523916"/>
    <w:rsid w:val="00524891"/>
    <w:rsid w:val="005251EA"/>
    <w:rsid w:val="0052540C"/>
    <w:rsid w:val="00527A0F"/>
    <w:rsid w:val="00527A67"/>
    <w:rsid w:val="0053102E"/>
    <w:rsid w:val="0053196A"/>
    <w:rsid w:val="005327EF"/>
    <w:rsid w:val="0053336D"/>
    <w:rsid w:val="0053382A"/>
    <w:rsid w:val="00535342"/>
    <w:rsid w:val="005362A5"/>
    <w:rsid w:val="005363F9"/>
    <w:rsid w:val="005369AA"/>
    <w:rsid w:val="00536B9B"/>
    <w:rsid w:val="00536F87"/>
    <w:rsid w:val="005374E6"/>
    <w:rsid w:val="005403B9"/>
    <w:rsid w:val="00540484"/>
    <w:rsid w:val="00540DFC"/>
    <w:rsid w:val="005412C9"/>
    <w:rsid w:val="00543498"/>
    <w:rsid w:val="00543B0F"/>
    <w:rsid w:val="005445CB"/>
    <w:rsid w:val="00544601"/>
    <w:rsid w:val="005448FA"/>
    <w:rsid w:val="005449AF"/>
    <w:rsid w:val="005451CC"/>
    <w:rsid w:val="0054533C"/>
    <w:rsid w:val="00546507"/>
    <w:rsid w:val="00546B98"/>
    <w:rsid w:val="0054772E"/>
    <w:rsid w:val="00547DDC"/>
    <w:rsid w:val="0055013C"/>
    <w:rsid w:val="005501D1"/>
    <w:rsid w:val="005504B4"/>
    <w:rsid w:val="00550805"/>
    <w:rsid w:val="0055150C"/>
    <w:rsid w:val="00551634"/>
    <w:rsid w:val="005521BE"/>
    <w:rsid w:val="00552AF3"/>
    <w:rsid w:val="00552E09"/>
    <w:rsid w:val="00552E11"/>
    <w:rsid w:val="005531C2"/>
    <w:rsid w:val="005532AD"/>
    <w:rsid w:val="00553611"/>
    <w:rsid w:val="005555DC"/>
    <w:rsid w:val="00560313"/>
    <w:rsid w:val="00560C8C"/>
    <w:rsid w:val="00560CF4"/>
    <w:rsid w:val="0056107E"/>
    <w:rsid w:val="00561403"/>
    <w:rsid w:val="005619FB"/>
    <w:rsid w:val="005623B3"/>
    <w:rsid w:val="0056269C"/>
    <w:rsid w:val="005632E7"/>
    <w:rsid w:val="005640CC"/>
    <w:rsid w:val="00564734"/>
    <w:rsid w:val="00564B5E"/>
    <w:rsid w:val="00564C83"/>
    <w:rsid w:val="0056512A"/>
    <w:rsid w:val="0056561A"/>
    <w:rsid w:val="00565F95"/>
    <w:rsid w:val="0056643F"/>
    <w:rsid w:val="00566506"/>
    <w:rsid w:val="00566A8F"/>
    <w:rsid w:val="0056734B"/>
    <w:rsid w:val="00567981"/>
    <w:rsid w:val="00567B7B"/>
    <w:rsid w:val="00567C62"/>
    <w:rsid w:val="00567CD1"/>
    <w:rsid w:val="00570ED2"/>
    <w:rsid w:val="005719F7"/>
    <w:rsid w:val="005724D8"/>
    <w:rsid w:val="005727A7"/>
    <w:rsid w:val="0057280F"/>
    <w:rsid w:val="00573088"/>
    <w:rsid w:val="0057331F"/>
    <w:rsid w:val="005745D9"/>
    <w:rsid w:val="005753CE"/>
    <w:rsid w:val="0057558F"/>
    <w:rsid w:val="00575779"/>
    <w:rsid w:val="005762F4"/>
    <w:rsid w:val="00577A2F"/>
    <w:rsid w:val="00577CCD"/>
    <w:rsid w:val="00577FC6"/>
    <w:rsid w:val="00582052"/>
    <w:rsid w:val="00582ABD"/>
    <w:rsid w:val="00584527"/>
    <w:rsid w:val="00584AA7"/>
    <w:rsid w:val="00586632"/>
    <w:rsid w:val="005904B4"/>
    <w:rsid w:val="00591555"/>
    <w:rsid w:val="00591995"/>
    <w:rsid w:val="0059262E"/>
    <w:rsid w:val="00592B37"/>
    <w:rsid w:val="005930AB"/>
    <w:rsid w:val="005938F7"/>
    <w:rsid w:val="00593BC4"/>
    <w:rsid w:val="00595C0C"/>
    <w:rsid w:val="00595E0B"/>
    <w:rsid w:val="005961EF"/>
    <w:rsid w:val="00596BBE"/>
    <w:rsid w:val="005A0488"/>
    <w:rsid w:val="005A1B49"/>
    <w:rsid w:val="005A216A"/>
    <w:rsid w:val="005A2CA3"/>
    <w:rsid w:val="005A2F01"/>
    <w:rsid w:val="005A3D45"/>
    <w:rsid w:val="005A5070"/>
    <w:rsid w:val="005A5586"/>
    <w:rsid w:val="005A5F6B"/>
    <w:rsid w:val="005A6AD9"/>
    <w:rsid w:val="005A6EA5"/>
    <w:rsid w:val="005A7AE8"/>
    <w:rsid w:val="005B0102"/>
    <w:rsid w:val="005B01B3"/>
    <w:rsid w:val="005B0B19"/>
    <w:rsid w:val="005B2D05"/>
    <w:rsid w:val="005B4191"/>
    <w:rsid w:val="005B5521"/>
    <w:rsid w:val="005B5A8A"/>
    <w:rsid w:val="005B63BC"/>
    <w:rsid w:val="005B652B"/>
    <w:rsid w:val="005B6637"/>
    <w:rsid w:val="005C1994"/>
    <w:rsid w:val="005C2156"/>
    <w:rsid w:val="005C2E7D"/>
    <w:rsid w:val="005C3C65"/>
    <w:rsid w:val="005C3D0E"/>
    <w:rsid w:val="005C4EA2"/>
    <w:rsid w:val="005C5490"/>
    <w:rsid w:val="005C590C"/>
    <w:rsid w:val="005C7588"/>
    <w:rsid w:val="005C79AA"/>
    <w:rsid w:val="005D1054"/>
    <w:rsid w:val="005D151A"/>
    <w:rsid w:val="005D1F26"/>
    <w:rsid w:val="005D2BF5"/>
    <w:rsid w:val="005D2EBC"/>
    <w:rsid w:val="005D33B2"/>
    <w:rsid w:val="005D363F"/>
    <w:rsid w:val="005D3B44"/>
    <w:rsid w:val="005D4299"/>
    <w:rsid w:val="005D4C08"/>
    <w:rsid w:val="005D4E58"/>
    <w:rsid w:val="005D7E1A"/>
    <w:rsid w:val="005E2E8A"/>
    <w:rsid w:val="005E353A"/>
    <w:rsid w:val="005E7654"/>
    <w:rsid w:val="005E7F6C"/>
    <w:rsid w:val="005F1CC6"/>
    <w:rsid w:val="005F2115"/>
    <w:rsid w:val="005F27AC"/>
    <w:rsid w:val="005F2EB9"/>
    <w:rsid w:val="005F2F58"/>
    <w:rsid w:val="005F3931"/>
    <w:rsid w:val="005F42FB"/>
    <w:rsid w:val="005F4E15"/>
    <w:rsid w:val="005F52C6"/>
    <w:rsid w:val="005F57D9"/>
    <w:rsid w:val="005F5D23"/>
    <w:rsid w:val="005F5D9A"/>
    <w:rsid w:val="005F5E6D"/>
    <w:rsid w:val="005F618F"/>
    <w:rsid w:val="005F7190"/>
    <w:rsid w:val="00600601"/>
    <w:rsid w:val="00601472"/>
    <w:rsid w:val="00601566"/>
    <w:rsid w:val="00601781"/>
    <w:rsid w:val="0060384B"/>
    <w:rsid w:val="00604386"/>
    <w:rsid w:val="00604CA1"/>
    <w:rsid w:val="00605CE4"/>
    <w:rsid w:val="0060659E"/>
    <w:rsid w:val="00607182"/>
    <w:rsid w:val="006077B1"/>
    <w:rsid w:val="006106D6"/>
    <w:rsid w:val="00612012"/>
    <w:rsid w:val="00613A67"/>
    <w:rsid w:val="00613BEC"/>
    <w:rsid w:val="0061645B"/>
    <w:rsid w:val="0061775D"/>
    <w:rsid w:val="006179B4"/>
    <w:rsid w:val="00620951"/>
    <w:rsid w:val="0062102D"/>
    <w:rsid w:val="00621914"/>
    <w:rsid w:val="00621988"/>
    <w:rsid w:val="00622DE5"/>
    <w:rsid w:val="00623BED"/>
    <w:rsid w:val="0062554F"/>
    <w:rsid w:val="006270A0"/>
    <w:rsid w:val="00627309"/>
    <w:rsid w:val="00627818"/>
    <w:rsid w:val="006304A2"/>
    <w:rsid w:val="00631449"/>
    <w:rsid w:val="0063188D"/>
    <w:rsid w:val="00632007"/>
    <w:rsid w:val="0063448C"/>
    <w:rsid w:val="00634C0B"/>
    <w:rsid w:val="00634DE5"/>
    <w:rsid w:val="00635163"/>
    <w:rsid w:val="006369F2"/>
    <w:rsid w:val="00640DF4"/>
    <w:rsid w:val="00642594"/>
    <w:rsid w:val="00642ACA"/>
    <w:rsid w:val="00644159"/>
    <w:rsid w:val="006446B6"/>
    <w:rsid w:val="0064568F"/>
    <w:rsid w:val="006479BC"/>
    <w:rsid w:val="00650349"/>
    <w:rsid w:val="00650865"/>
    <w:rsid w:val="00650EAD"/>
    <w:rsid w:val="00651A2B"/>
    <w:rsid w:val="00651A6B"/>
    <w:rsid w:val="00652BBB"/>
    <w:rsid w:val="00653F67"/>
    <w:rsid w:val="006544D0"/>
    <w:rsid w:val="0065451D"/>
    <w:rsid w:val="006553A4"/>
    <w:rsid w:val="0065628E"/>
    <w:rsid w:val="00656FBF"/>
    <w:rsid w:val="00663E86"/>
    <w:rsid w:val="0066425B"/>
    <w:rsid w:val="006642B7"/>
    <w:rsid w:val="00664738"/>
    <w:rsid w:val="00666C85"/>
    <w:rsid w:val="00670329"/>
    <w:rsid w:val="00672B57"/>
    <w:rsid w:val="00672EC7"/>
    <w:rsid w:val="006737F5"/>
    <w:rsid w:val="006743B7"/>
    <w:rsid w:val="00674418"/>
    <w:rsid w:val="00674A21"/>
    <w:rsid w:val="006772E4"/>
    <w:rsid w:val="006773CF"/>
    <w:rsid w:val="00677F40"/>
    <w:rsid w:val="00680815"/>
    <w:rsid w:val="00680F9A"/>
    <w:rsid w:val="00681B56"/>
    <w:rsid w:val="00682534"/>
    <w:rsid w:val="00683CAB"/>
    <w:rsid w:val="0068526E"/>
    <w:rsid w:val="00685E11"/>
    <w:rsid w:val="00687709"/>
    <w:rsid w:val="006903A6"/>
    <w:rsid w:val="006905E5"/>
    <w:rsid w:val="00690870"/>
    <w:rsid w:val="00691CA4"/>
    <w:rsid w:val="00692493"/>
    <w:rsid w:val="006926EE"/>
    <w:rsid w:val="006927CC"/>
    <w:rsid w:val="00692E8E"/>
    <w:rsid w:val="00693596"/>
    <w:rsid w:val="006936A4"/>
    <w:rsid w:val="006941EA"/>
    <w:rsid w:val="0069451C"/>
    <w:rsid w:val="00696AA6"/>
    <w:rsid w:val="006A1402"/>
    <w:rsid w:val="006A28AF"/>
    <w:rsid w:val="006A3247"/>
    <w:rsid w:val="006A5433"/>
    <w:rsid w:val="006A5B28"/>
    <w:rsid w:val="006A6180"/>
    <w:rsid w:val="006A61CE"/>
    <w:rsid w:val="006A6CC8"/>
    <w:rsid w:val="006A7DFF"/>
    <w:rsid w:val="006A7FE9"/>
    <w:rsid w:val="006A7FF7"/>
    <w:rsid w:val="006B026D"/>
    <w:rsid w:val="006B07C0"/>
    <w:rsid w:val="006B0CD3"/>
    <w:rsid w:val="006B195C"/>
    <w:rsid w:val="006B1A41"/>
    <w:rsid w:val="006B34AA"/>
    <w:rsid w:val="006B361C"/>
    <w:rsid w:val="006B424D"/>
    <w:rsid w:val="006B44F6"/>
    <w:rsid w:val="006B5827"/>
    <w:rsid w:val="006B60AA"/>
    <w:rsid w:val="006B6135"/>
    <w:rsid w:val="006B63D2"/>
    <w:rsid w:val="006B7FC5"/>
    <w:rsid w:val="006C0EB4"/>
    <w:rsid w:val="006C367A"/>
    <w:rsid w:val="006D073E"/>
    <w:rsid w:val="006D0B43"/>
    <w:rsid w:val="006D2D57"/>
    <w:rsid w:val="006D3B39"/>
    <w:rsid w:val="006D4A61"/>
    <w:rsid w:val="006D4D09"/>
    <w:rsid w:val="006D5582"/>
    <w:rsid w:val="006D62A6"/>
    <w:rsid w:val="006D6813"/>
    <w:rsid w:val="006D7709"/>
    <w:rsid w:val="006E1C56"/>
    <w:rsid w:val="006E2521"/>
    <w:rsid w:val="006E2C2B"/>
    <w:rsid w:val="006E5524"/>
    <w:rsid w:val="006E56B8"/>
    <w:rsid w:val="006F0032"/>
    <w:rsid w:val="006F2084"/>
    <w:rsid w:val="006F6A42"/>
    <w:rsid w:val="006F6A8B"/>
    <w:rsid w:val="006F6D30"/>
    <w:rsid w:val="006F7635"/>
    <w:rsid w:val="00700D6D"/>
    <w:rsid w:val="0070148C"/>
    <w:rsid w:val="007017C5"/>
    <w:rsid w:val="00705178"/>
    <w:rsid w:val="00705641"/>
    <w:rsid w:val="00705AAD"/>
    <w:rsid w:val="00705D50"/>
    <w:rsid w:val="00705D82"/>
    <w:rsid w:val="0070635B"/>
    <w:rsid w:val="00706E4D"/>
    <w:rsid w:val="00706E77"/>
    <w:rsid w:val="0070740E"/>
    <w:rsid w:val="0070778A"/>
    <w:rsid w:val="007106E6"/>
    <w:rsid w:val="00710737"/>
    <w:rsid w:val="007108B5"/>
    <w:rsid w:val="00713357"/>
    <w:rsid w:val="00713701"/>
    <w:rsid w:val="0071613A"/>
    <w:rsid w:val="00717FCC"/>
    <w:rsid w:val="00720F26"/>
    <w:rsid w:val="00721584"/>
    <w:rsid w:val="00721AB5"/>
    <w:rsid w:val="00722172"/>
    <w:rsid w:val="00722D20"/>
    <w:rsid w:val="00723C00"/>
    <w:rsid w:val="00724545"/>
    <w:rsid w:val="00726E96"/>
    <w:rsid w:val="007307D3"/>
    <w:rsid w:val="00730D2C"/>
    <w:rsid w:val="00731047"/>
    <w:rsid w:val="00731B24"/>
    <w:rsid w:val="00732256"/>
    <w:rsid w:val="00733171"/>
    <w:rsid w:val="00733505"/>
    <w:rsid w:val="00733C1D"/>
    <w:rsid w:val="00734AD6"/>
    <w:rsid w:val="00734B2F"/>
    <w:rsid w:val="00736ECA"/>
    <w:rsid w:val="00741CE0"/>
    <w:rsid w:val="00741DAA"/>
    <w:rsid w:val="00742A73"/>
    <w:rsid w:val="00743D2A"/>
    <w:rsid w:val="00743D49"/>
    <w:rsid w:val="00745489"/>
    <w:rsid w:val="00745E82"/>
    <w:rsid w:val="00747125"/>
    <w:rsid w:val="00747194"/>
    <w:rsid w:val="007506F5"/>
    <w:rsid w:val="00750D29"/>
    <w:rsid w:val="00750F3D"/>
    <w:rsid w:val="007510B8"/>
    <w:rsid w:val="00751452"/>
    <w:rsid w:val="0075199F"/>
    <w:rsid w:val="00753136"/>
    <w:rsid w:val="0075436A"/>
    <w:rsid w:val="00754437"/>
    <w:rsid w:val="0075641B"/>
    <w:rsid w:val="0075664D"/>
    <w:rsid w:val="0075680C"/>
    <w:rsid w:val="00756DC3"/>
    <w:rsid w:val="00761888"/>
    <w:rsid w:val="00761F0F"/>
    <w:rsid w:val="00762145"/>
    <w:rsid w:val="007624FD"/>
    <w:rsid w:val="007628BB"/>
    <w:rsid w:val="0076360E"/>
    <w:rsid w:val="0076627A"/>
    <w:rsid w:val="007675D7"/>
    <w:rsid w:val="00767870"/>
    <w:rsid w:val="007709FA"/>
    <w:rsid w:val="00770A2F"/>
    <w:rsid w:val="0077137B"/>
    <w:rsid w:val="00771CC7"/>
    <w:rsid w:val="007720FF"/>
    <w:rsid w:val="0077304E"/>
    <w:rsid w:val="00773200"/>
    <w:rsid w:val="007737F1"/>
    <w:rsid w:val="00773C1A"/>
    <w:rsid w:val="00773F0E"/>
    <w:rsid w:val="00773F24"/>
    <w:rsid w:val="00774041"/>
    <w:rsid w:val="00774638"/>
    <w:rsid w:val="007757BC"/>
    <w:rsid w:val="00775CD3"/>
    <w:rsid w:val="007771AD"/>
    <w:rsid w:val="00777CC9"/>
    <w:rsid w:val="00781D3C"/>
    <w:rsid w:val="00782859"/>
    <w:rsid w:val="00782BEF"/>
    <w:rsid w:val="007832CB"/>
    <w:rsid w:val="00783882"/>
    <w:rsid w:val="00783976"/>
    <w:rsid w:val="00784A8A"/>
    <w:rsid w:val="00784A95"/>
    <w:rsid w:val="00784FBD"/>
    <w:rsid w:val="00786C2D"/>
    <w:rsid w:val="00791498"/>
    <w:rsid w:val="007917E1"/>
    <w:rsid w:val="007918A3"/>
    <w:rsid w:val="00791C4B"/>
    <w:rsid w:val="00791DA2"/>
    <w:rsid w:val="00792C1B"/>
    <w:rsid w:val="0079369E"/>
    <w:rsid w:val="00793EB2"/>
    <w:rsid w:val="0079493D"/>
    <w:rsid w:val="00794F31"/>
    <w:rsid w:val="007958CA"/>
    <w:rsid w:val="00795F8F"/>
    <w:rsid w:val="00796E28"/>
    <w:rsid w:val="007A023C"/>
    <w:rsid w:val="007A0797"/>
    <w:rsid w:val="007A21BA"/>
    <w:rsid w:val="007A48F3"/>
    <w:rsid w:val="007A4AE4"/>
    <w:rsid w:val="007A4EBD"/>
    <w:rsid w:val="007B04D1"/>
    <w:rsid w:val="007B06B5"/>
    <w:rsid w:val="007B2432"/>
    <w:rsid w:val="007B2757"/>
    <w:rsid w:val="007B4C3C"/>
    <w:rsid w:val="007B52B5"/>
    <w:rsid w:val="007B6C50"/>
    <w:rsid w:val="007B7DCA"/>
    <w:rsid w:val="007B7F84"/>
    <w:rsid w:val="007C0A32"/>
    <w:rsid w:val="007C0CA1"/>
    <w:rsid w:val="007C1092"/>
    <w:rsid w:val="007C1CC8"/>
    <w:rsid w:val="007C1D1C"/>
    <w:rsid w:val="007C1E55"/>
    <w:rsid w:val="007C2E69"/>
    <w:rsid w:val="007C3710"/>
    <w:rsid w:val="007C39F3"/>
    <w:rsid w:val="007C6497"/>
    <w:rsid w:val="007C6C0F"/>
    <w:rsid w:val="007C7244"/>
    <w:rsid w:val="007C74B2"/>
    <w:rsid w:val="007C79AE"/>
    <w:rsid w:val="007C7A8B"/>
    <w:rsid w:val="007D076A"/>
    <w:rsid w:val="007D162B"/>
    <w:rsid w:val="007D1C2E"/>
    <w:rsid w:val="007D26F6"/>
    <w:rsid w:val="007D2C29"/>
    <w:rsid w:val="007D2EE6"/>
    <w:rsid w:val="007D3718"/>
    <w:rsid w:val="007D37EA"/>
    <w:rsid w:val="007D4098"/>
    <w:rsid w:val="007D445E"/>
    <w:rsid w:val="007D49FC"/>
    <w:rsid w:val="007D4F54"/>
    <w:rsid w:val="007D7C49"/>
    <w:rsid w:val="007E27DC"/>
    <w:rsid w:val="007E2A8F"/>
    <w:rsid w:val="007E4036"/>
    <w:rsid w:val="007E4400"/>
    <w:rsid w:val="007E4D79"/>
    <w:rsid w:val="007E5910"/>
    <w:rsid w:val="007E5E1B"/>
    <w:rsid w:val="007E73B1"/>
    <w:rsid w:val="007E7E6E"/>
    <w:rsid w:val="007F010E"/>
    <w:rsid w:val="007F0B09"/>
    <w:rsid w:val="007F0D52"/>
    <w:rsid w:val="007F1057"/>
    <w:rsid w:val="007F189B"/>
    <w:rsid w:val="007F2F06"/>
    <w:rsid w:val="007F350F"/>
    <w:rsid w:val="007F3708"/>
    <w:rsid w:val="007F3CAC"/>
    <w:rsid w:val="007F42C2"/>
    <w:rsid w:val="007F49DF"/>
    <w:rsid w:val="007F52B2"/>
    <w:rsid w:val="007F6FBB"/>
    <w:rsid w:val="007F752D"/>
    <w:rsid w:val="0080075C"/>
    <w:rsid w:val="00802774"/>
    <w:rsid w:val="00802C13"/>
    <w:rsid w:val="00803DAB"/>
    <w:rsid w:val="00804B06"/>
    <w:rsid w:val="0080668F"/>
    <w:rsid w:val="00806EB8"/>
    <w:rsid w:val="00810FEF"/>
    <w:rsid w:val="008119A3"/>
    <w:rsid w:val="00811A07"/>
    <w:rsid w:val="00813342"/>
    <w:rsid w:val="008133A5"/>
    <w:rsid w:val="00813BF7"/>
    <w:rsid w:val="00814116"/>
    <w:rsid w:val="008143F5"/>
    <w:rsid w:val="008156B1"/>
    <w:rsid w:val="008176EE"/>
    <w:rsid w:val="00817B9D"/>
    <w:rsid w:val="008210ED"/>
    <w:rsid w:val="0082261B"/>
    <w:rsid w:val="0082469A"/>
    <w:rsid w:val="00825967"/>
    <w:rsid w:val="00827691"/>
    <w:rsid w:val="008307AA"/>
    <w:rsid w:val="00830D1F"/>
    <w:rsid w:val="00830DFB"/>
    <w:rsid w:val="0083138D"/>
    <w:rsid w:val="0083187B"/>
    <w:rsid w:val="0083267B"/>
    <w:rsid w:val="00832AA8"/>
    <w:rsid w:val="00832B3A"/>
    <w:rsid w:val="00833719"/>
    <w:rsid w:val="00833C2E"/>
    <w:rsid w:val="00834C48"/>
    <w:rsid w:val="00835E6D"/>
    <w:rsid w:val="00836295"/>
    <w:rsid w:val="00836B26"/>
    <w:rsid w:val="00837A0F"/>
    <w:rsid w:val="00837AFB"/>
    <w:rsid w:val="00841241"/>
    <w:rsid w:val="00841F1E"/>
    <w:rsid w:val="008420EC"/>
    <w:rsid w:val="00843160"/>
    <w:rsid w:val="0084417D"/>
    <w:rsid w:val="0084472E"/>
    <w:rsid w:val="00844F1E"/>
    <w:rsid w:val="00845EBF"/>
    <w:rsid w:val="00845EE9"/>
    <w:rsid w:val="00847D24"/>
    <w:rsid w:val="00850C87"/>
    <w:rsid w:val="00850F98"/>
    <w:rsid w:val="00851057"/>
    <w:rsid w:val="00851197"/>
    <w:rsid w:val="0085179A"/>
    <w:rsid w:val="00851D2C"/>
    <w:rsid w:val="00851E1C"/>
    <w:rsid w:val="00852075"/>
    <w:rsid w:val="00852242"/>
    <w:rsid w:val="00854273"/>
    <w:rsid w:val="00854BB2"/>
    <w:rsid w:val="00855630"/>
    <w:rsid w:val="00855E5F"/>
    <w:rsid w:val="00856494"/>
    <w:rsid w:val="00856A62"/>
    <w:rsid w:val="00856EC1"/>
    <w:rsid w:val="0085724B"/>
    <w:rsid w:val="008608F7"/>
    <w:rsid w:val="00862679"/>
    <w:rsid w:val="00863A58"/>
    <w:rsid w:val="00864349"/>
    <w:rsid w:val="008644E0"/>
    <w:rsid w:val="0086579D"/>
    <w:rsid w:val="00865920"/>
    <w:rsid w:val="00866073"/>
    <w:rsid w:val="00871598"/>
    <w:rsid w:val="0087224A"/>
    <w:rsid w:val="0087276E"/>
    <w:rsid w:val="0087432C"/>
    <w:rsid w:val="00874ADB"/>
    <w:rsid w:val="008773C1"/>
    <w:rsid w:val="008777FE"/>
    <w:rsid w:val="00881402"/>
    <w:rsid w:val="00883BA0"/>
    <w:rsid w:val="0088451E"/>
    <w:rsid w:val="008846D8"/>
    <w:rsid w:val="00885CB0"/>
    <w:rsid w:val="00886522"/>
    <w:rsid w:val="008877DB"/>
    <w:rsid w:val="008920A1"/>
    <w:rsid w:val="008928EE"/>
    <w:rsid w:val="008937B9"/>
    <w:rsid w:val="00894619"/>
    <w:rsid w:val="00894E65"/>
    <w:rsid w:val="00895722"/>
    <w:rsid w:val="008959A5"/>
    <w:rsid w:val="008A174C"/>
    <w:rsid w:val="008A17C7"/>
    <w:rsid w:val="008A276F"/>
    <w:rsid w:val="008A298A"/>
    <w:rsid w:val="008A35CC"/>
    <w:rsid w:val="008A3BAC"/>
    <w:rsid w:val="008A561E"/>
    <w:rsid w:val="008A5DFB"/>
    <w:rsid w:val="008A6641"/>
    <w:rsid w:val="008A70B4"/>
    <w:rsid w:val="008B024C"/>
    <w:rsid w:val="008B2834"/>
    <w:rsid w:val="008B2E03"/>
    <w:rsid w:val="008B37B0"/>
    <w:rsid w:val="008B7447"/>
    <w:rsid w:val="008B78F0"/>
    <w:rsid w:val="008B7957"/>
    <w:rsid w:val="008C2BE9"/>
    <w:rsid w:val="008C2C30"/>
    <w:rsid w:val="008C3B3D"/>
    <w:rsid w:val="008C4262"/>
    <w:rsid w:val="008C4904"/>
    <w:rsid w:val="008C5716"/>
    <w:rsid w:val="008C6C8D"/>
    <w:rsid w:val="008C7CD6"/>
    <w:rsid w:val="008D1464"/>
    <w:rsid w:val="008D20B9"/>
    <w:rsid w:val="008D24FD"/>
    <w:rsid w:val="008D3D9B"/>
    <w:rsid w:val="008D589F"/>
    <w:rsid w:val="008D6866"/>
    <w:rsid w:val="008D6900"/>
    <w:rsid w:val="008D6E50"/>
    <w:rsid w:val="008D6F5F"/>
    <w:rsid w:val="008E2314"/>
    <w:rsid w:val="008E497A"/>
    <w:rsid w:val="008E5040"/>
    <w:rsid w:val="008E552A"/>
    <w:rsid w:val="008F14CB"/>
    <w:rsid w:val="008F22BB"/>
    <w:rsid w:val="008F2CA3"/>
    <w:rsid w:val="008F2FA8"/>
    <w:rsid w:val="008F2FCE"/>
    <w:rsid w:val="008F4249"/>
    <w:rsid w:val="008F52A7"/>
    <w:rsid w:val="008F5D03"/>
    <w:rsid w:val="008F662B"/>
    <w:rsid w:val="008F668C"/>
    <w:rsid w:val="008F7692"/>
    <w:rsid w:val="009018C0"/>
    <w:rsid w:val="00901BE9"/>
    <w:rsid w:val="00902C14"/>
    <w:rsid w:val="00903196"/>
    <w:rsid w:val="00903274"/>
    <w:rsid w:val="00907A43"/>
    <w:rsid w:val="00910460"/>
    <w:rsid w:val="00911C23"/>
    <w:rsid w:val="00912D7D"/>
    <w:rsid w:val="00912E37"/>
    <w:rsid w:val="00913329"/>
    <w:rsid w:val="00913FFB"/>
    <w:rsid w:val="00915B60"/>
    <w:rsid w:val="00916194"/>
    <w:rsid w:val="00916DE7"/>
    <w:rsid w:val="0091713A"/>
    <w:rsid w:val="00920BB3"/>
    <w:rsid w:val="00920C68"/>
    <w:rsid w:val="009218B1"/>
    <w:rsid w:val="00922065"/>
    <w:rsid w:val="00922681"/>
    <w:rsid w:val="00923BAB"/>
    <w:rsid w:val="00923BE4"/>
    <w:rsid w:val="00924DAC"/>
    <w:rsid w:val="00925365"/>
    <w:rsid w:val="009258E3"/>
    <w:rsid w:val="00925B09"/>
    <w:rsid w:val="009271B8"/>
    <w:rsid w:val="009274EE"/>
    <w:rsid w:val="00927F32"/>
    <w:rsid w:val="00930A86"/>
    <w:rsid w:val="00930CC5"/>
    <w:rsid w:val="00930D90"/>
    <w:rsid w:val="00931463"/>
    <w:rsid w:val="00931734"/>
    <w:rsid w:val="00931A43"/>
    <w:rsid w:val="00932C2F"/>
    <w:rsid w:val="0093300B"/>
    <w:rsid w:val="0093351C"/>
    <w:rsid w:val="00934259"/>
    <w:rsid w:val="00934D30"/>
    <w:rsid w:val="00940179"/>
    <w:rsid w:val="00941B6E"/>
    <w:rsid w:val="00942545"/>
    <w:rsid w:val="0094448C"/>
    <w:rsid w:val="009448DA"/>
    <w:rsid w:val="00945FE4"/>
    <w:rsid w:val="0094680E"/>
    <w:rsid w:val="00946F72"/>
    <w:rsid w:val="00950DC1"/>
    <w:rsid w:val="009517C1"/>
    <w:rsid w:val="00952494"/>
    <w:rsid w:val="009527F2"/>
    <w:rsid w:val="0095296A"/>
    <w:rsid w:val="00953174"/>
    <w:rsid w:val="0095371D"/>
    <w:rsid w:val="00953A22"/>
    <w:rsid w:val="00954549"/>
    <w:rsid w:val="0095582B"/>
    <w:rsid w:val="00956E8A"/>
    <w:rsid w:val="00960628"/>
    <w:rsid w:val="00961A14"/>
    <w:rsid w:val="00961A22"/>
    <w:rsid w:val="009627E5"/>
    <w:rsid w:val="00962B36"/>
    <w:rsid w:val="00962B91"/>
    <w:rsid w:val="00962C86"/>
    <w:rsid w:val="00962E6D"/>
    <w:rsid w:val="0096360F"/>
    <w:rsid w:val="00963DBD"/>
    <w:rsid w:val="00964286"/>
    <w:rsid w:val="00964E80"/>
    <w:rsid w:val="009663B7"/>
    <w:rsid w:val="0096688A"/>
    <w:rsid w:val="00970231"/>
    <w:rsid w:val="00970423"/>
    <w:rsid w:val="00970BB8"/>
    <w:rsid w:val="00970EB3"/>
    <w:rsid w:val="00971383"/>
    <w:rsid w:val="00972DD4"/>
    <w:rsid w:val="00972E4C"/>
    <w:rsid w:val="009731B8"/>
    <w:rsid w:val="009737A1"/>
    <w:rsid w:val="009745F9"/>
    <w:rsid w:val="009756C7"/>
    <w:rsid w:val="00975FAF"/>
    <w:rsid w:val="0097629F"/>
    <w:rsid w:val="00976A34"/>
    <w:rsid w:val="00977138"/>
    <w:rsid w:val="00977346"/>
    <w:rsid w:val="00977361"/>
    <w:rsid w:val="00980C43"/>
    <w:rsid w:val="00980DF6"/>
    <w:rsid w:val="009829A6"/>
    <w:rsid w:val="009835EF"/>
    <w:rsid w:val="009878DC"/>
    <w:rsid w:val="00990B11"/>
    <w:rsid w:val="009915AE"/>
    <w:rsid w:val="00992943"/>
    <w:rsid w:val="00992A4B"/>
    <w:rsid w:val="00993C05"/>
    <w:rsid w:val="009943A7"/>
    <w:rsid w:val="00995C43"/>
    <w:rsid w:val="00995C4D"/>
    <w:rsid w:val="009961EC"/>
    <w:rsid w:val="009963DA"/>
    <w:rsid w:val="009963FE"/>
    <w:rsid w:val="009975A4"/>
    <w:rsid w:val="009979D6"/>
    <w:rsid w:val="009A1EF3"/>
    <w:rsid w:val="009A3841"/>
    <w:rsid w:val="009A3B26"/>
    <w:rsid w:val="009A43D6"/>
    <w:rsid w:val="009A43FD"/>
    <w:rsid w:val="009A47E6"/>
    <w:rsid w:val="009A53B2"/>
    <w:rsid w:val="009A56F9"/>
    <w:rsid w:val="009A5CC4"/>
    <w:rsid w:val="009B125C"/>
    <w:rsid w:val="009B1A2C"/>
    <w:rsid w:val="009B1B1D"/>
    <w:rsid w:val="009B228A"/>
    <w:rsid w:val="009B42AE"/>
    <w:rsid w:val="009B4FBB"/>
    <w:rsid w:val="009B6F7A"/>
    <w:rsid w:val="009B7579"/>
    <w:rsid w:val="009B75E8"/>
    <w:rsid w:val="009B7CA8"/>
    <w:rsid w:val="009C0AC7"/>
    <w:rsid w:val="009C17B9"/>
    <w:rsid w:val="009C1B73"/>
    <w:rsid w:val="009C2C1A"/>
    <w:rsid w:val="009C33A8"/>
    <w:rsid w:val="009C4392"/>
    <w:rsid w:val="009C4D2C"/>
    <w:rsid w:val="009C5431"/>
    <w:rsid w:val="009C5EB8"/>
    <w:rsid w:val="009C7313"/>
    <w:rsid w:val="009C785D"/>
    <w:rsid w:val="009D1531"/>
    <w:rsid w:val="009D19E6"/>
    <w:rsid w:val="009D3444"/>
    <w:rsid w:val="009D4047"/>
    <w:rsid w:val="009D5F98"/>
    <w:rsid w:val="009D62E1"/>
    <w:rsid w:val="009D69D6"/>
    <w:rsid w:val="009E01F4"/>
    <w:rsid w:val="009E0663"/>
    <w:rsid w:val="009E0862"/>
    <w:rsid w:val="009E1277"/>
    <w:rsid w:val="009E3483"/>
    <w:rsid w:val="009E35C4"/>
    <w:rsid w:val="009E40F3"/>
    <w:rsid w:val="009E4CE4"/>
    <w:rsid w:val="009E60EF"/>
    <w:rsid w:val="009E632C"/>
    <w:rsid w:val="009E6753"/>
    <w:rsid w:val="009E7BA5"/>
    <w:rsid w:val="009F0486"/>
    <w:rsid w:val="009F0626"/>
    <w:rsid w:val="009F08F1"/>
    <w:rsid w:val="009F30FE"/>
    <w:rsid w:val="009F31B9"/>
    <w:rsid w:val="009F6011"/>
    <w:rsid w:val="009F645F"/>
    <w:rsid w:val="009F67DF"/>
    <w:rsid w:val="009F755E"/>
    <w:rsid w:val="00A001A8"/>
    <w:rsid w:val="00A00E01"/>
    <w:rsid w:val="00A02E98"/>
    <w:rsid w:val="00A03AA5"/>
    <w:rsid w:val="00A0538A"/>
    <w:rsid w:val="00A05A76"/>
    <w:rsid w:val="00A06115"/>
    <w:rsid w:val="00A06597"/>
    <w:rsid w:val="00A06811"/>
    <w:rsid w:val="00A06985"/>
    <w:rsid w:val="00A128BA"/>
    <w:rsid w:val="00A15C37"/>
    <w:rsid w:val="00A16B4F"/>
    <w:rsid w:val="00A20A20"/>
    <w:rsid w:val="00A212FD"/>
    <w:rsid w:val="00A24749"/>
    <w:rsid w:val="00A26143"/>
    <w:rsid w:val="00A26728"/>
    <w:rsid w:val="00A2687C"/>
    <w:rsid w:val="00A2784A"/>
    <w:rsid w:val="00A300C1"/>
    <w:rsid w:val="00A30AB0"/>
    <w:rsid w:val="00A30F23"/>
    <w:rsid w:val="00A30FC7"/>
    <w:rsid w:val="00A312F4"/>
    <w:rsid w:val="00A316B1"/>
    <w:rsid w:val="00A31911"/>
    <w:rsid w:val="00A32F01"/>
    <w:rsid w:val="00A333E8"/>
    <w:rsid w:val="00A33AF8"/>
    <w:rsid w:val="00A34179"/>
    <w:rsid w:val="00A3463C"/>
    <w:rsid w:val="00A34EE5"/>
    <w:rsid w:val="00A357BF"/>
    <w:rsid w:val="00A3591A"/>
    <w:rsid w:val="00A36D12"/>
    <w:rsid w:val="00A36F38"/>
    <w:rsid w:val="00A37793"/>
    <w:rsid w:val="00A37989"/>
    <w:rsid w:val="00A37F0C"/>
    <w:rsid w:val="00A42537"/>
    <w:rsid w:val="00A43AD0"/>
    <w:rsid w:val="00A44C82"/>
    <w:rsid w:val="00A45BEA"/>
    <w:rsid w:val="00A46EA3"/>
    <w:rsid w:val="00A47547"/>
    <w:rsid w:val="00A475D7"/>
    <w:rsid w:val="00A47FFA"/>
    <w:rsid w:val="00A5052B"/>
    <w:rsid w:val="00A50FF6"/>
    <w:rsid w:val="00A51718"/>
    <w:rsid w:val="00A523B7"/>
    <w:rsid w:val="00A52473"/>
    <w:rsid w:val="00A52540"/>
    <w:rsid w:val="00A53F06"/>
    <w:rsid w:val="00A54355"/>
    <w:rsid w:val="00A54A4A"/>
    <w:rsid w:val="00A54E0A"/>
    <w:rsid w:val="00A55071"/>
    <w:rsid w:val="00A55EE7"/>
    <w:rsid w:val="00A562DB"/>
    <w:rsid w:val="00A56313"/>
    <w:rsid w:val="00A56FCE"/>
    <w:rsid w:val="00A573D3"/>
    <w:rsid w:val="00A57E59"/>
    <w:rsid w:val="00A6074E"/>
    <w:rsid w:val="00A60A29"/>
    <w:rsid w:val="00A616B6"/>
    <w:rsid w:val="00A61E96"/>
    <w:rsid w:val="00A62B77"/>
    <w:rsid w:val="00A6373A"/>
    <w:rsid w:val="00A65A86"/>
    <w:rsid w:val="00A662DF"/>
    <w:rsid w:val="00A675B4"/>
    <w:rsid w:val="00A67BB8"/>
    <w:rsid w:val="00A67F51"/>
    <w:rsid w:val="00A713B2"/>
    <w:rsid w:val="00A7223E"/>
    <w:rsid w:val="00A7230D"/>
    <w:rsid w:val="00A72C4E"/>
    <w:rsid w:val="00A736E9"/>
    <w:rsid w:val="00A76953"/>
    <w:rsid w:val="00A770FC"/>
    <w:rsid w:val="00A77420"/>
    <w:rsid w:val="00A806A1"/>
    <w:rsid w:val="00A83116"/>
    <w:rsid w:val="00A83486"/>
    <w:rsid w:val="00A83C17"/>
    <w:rsid w:val="00A8698D"/>
    <w:rsid w:val="00A87F54"/>
    <w:rsid w:val="00A903EC"/>
    <w:rsid w:val="00A9646D"/>
    <w:rsid w:val="00A9710F"/>
    <w:rsid w:val="00A97724"/>
    <w:rsid w:val="00AA03E5"/>
    <w:rsid w:val="00AA07C7"/>
    <w:rsid w:val="00AA102B"/>
    <w:rsid w:val="00AA1817"/>
    <w:rsid w:val="00AA1DC3"/>
    <w:rsid w:val="00AA22E6"/>
    <w:rsid w:val="00AA3236"/>
    <w:rsid w:val="00AA35F1"/>
    <w:rsid w:val="00AA4573"/>
    <w:rsid w:val="00AA4C8B"/>
    <w:rsid w:val="00AA6820"/>
    <w:rsid w:val="00AA70BE"/>
    <w:rsid w:val="00AB2D11"/>
    <w:rsid w:val="00AB3490"/>
    <w:rsid w:val="00AB3EB2"/>
    <w:rsid w:val="00AB4D4E"/>
    <w:rsid w:val="00AB579D"/>
    <w:rsid w:val="00AB5AFC"/>
    <w:rsid w:val="00AB5BF7"/>
    <w:rsid w:val="00AB6133"/>
    <w:rsid w:val="00AB62EB"/>
    <w:rsid w:val="00AB705A"/>
    <w:rsid w:val="00AB77F3"/>
    <w:rsid w:val="00AC2F74"/>
    <w:rsid w:val="00AC57C1"/>
    <w:rsid w:val="00AC630D"/>
    <w:rsid w:val="00AC68AE"/>
    <w:rsid w:val="00AD0126"/>
    <w:rsid w:val="00AD0D4B"/>
    <w:rsid w:val="00AD146F"/>
    <w:rsid w:val="00AD1F1D"/>
    <w:rsid w:val="00AD2050"/>
    <w:rsid w:val="00AD2F27"/>
    <w:rsid w:val="00AD3165"/>
    <w:rsid w:val="00AD3AD0"/>
    <w:rsid w:val="00AD47B1"/>
    <w:rsid w:val="00AD5A82"/>
    <w:rsid w:val="00AD7652"/>
    <w:rsid w:val="00AD76D1"/>
    <w:rsid w:val="00AD775F"/>
    <w:rsid w:val="00AE125F"/>
    <w:rsid w:val="00AE1278"/>
    <w:rsid w:val="00AE1718"/>
    <w:rsid w:val="00AE2CA5"/>
    <w:rsid w:val="00AE560C"/>
    <w:rsid w:val="00AE67B5"/>
    <w:rsid w:val="00AE7BA5"/>
    <w:rsid w:val="00AF01BD"/>
    <w:rsid w:val="00AF08A9"/>
    <w:rsid w:val="00AF272C"/>
    <w:rsid w:val="00AF2FEF"/>
    <w:rsid w:val="00AF33AA"/>
    <w:rsid w:val="00AF3540"/>
    <w:rsid w:val="00AF4693"/>
    <w:rsid w:val="00AF53F7"/>
    <w:rsid w:val="00AF61F3"/>
    <w:rsid w:val="00B008B1"/>
    <w:rsid w:val="00B01F92"/>
    <w:rsid w:val="00B02F55"/>
    <w:rsid w:val="00B030A1"/>
    <w:rsid w:val="00B035C1"/>
    <w:rsid w:val="00B045E4"/>
    <w:rsid w:val="00B0502D"/>
    <w:rsid w:val="00B0625F"/>
    <w:rsid w:val="00B06A90"/>
    <w:rsid w:val="00B07E5D"/>
    <w:rsid w:val="00B10B8D"/>
    <w:rsid w:val="00B11664"/>
    <w:rsid w:val="00B12D95"/>
    <w:rsid w:val="00B133AF"/>
    <w:rsid w:val="00B14769"/>
    <w:rsid w:val="00B151A1"/>
    <w:rsid w:val="00B162D6"/>
    <w:rsid w:val="00B16638"/>
    <w:rsid w:val="00B170F0"/>
    <w:rsid w:val="00B224EA"/>
    <w:rsid w:val="00B23E41"/>
    <w:rsid w:val="00B2467D"/>
    <w:rsid w:val="00B2537D"/>
    <w:rsid w:val="00B2626F"/>
    <w:rsid w:val="00B271F7"/>
    <w:rsid w:val="00B2726F"/>
    <w:rsid w:val="00B301A8"/>
    <w:rsid w:val="00B318F4"/>
    <w:rsid w:val="00B325B3"/>
    <w:rsid w:val="00B34381"/>
    <w:rsid w:val="00B34902"/>
    <w:rsid w:val="00B36CEA"/>
    <w:rsid w:val="00B37522"/>
    <w:rsid w:val="00B37A3B"/>
    <w:rsid w:val="00B37E07"/>
    <w:rsid w:val="00B4055B"/>
    <w:rsid w:val="00B413A0"/>
    <w:rsid w:val="00B414F8"/>
    <w:rsid w:val="00B42570"/>
    <w:rsid w:val="00B42D64"/>
    <w:rsid w:val="00B4364E"/>
    <w:rsid w:val="00B5039E"/>
    <w:rsid w:val="00B505E7"/>
    <w:rsid w:val="00B507B9"/>
    <w:rsid w:val="00B50C07"/>
    <w:rsid w:val="00B516C8"/>
    <w:rsid w:val="00B523CE"/>
    <w:rsid w:val="00B53FA0"/>
    <w:rsid w:val="00B54305"/>
    <w:rsid w:val="00B554ED"/>
    <w:rsid w:val="00B578F2"/>
    <w:rsid w:val="00B60E21"/>
    <w:rsid w:val="00B6103D"/>
    <w:rsid w:val="00B61527"/>
    <w:rsid w:val="00B63336"/>
    <w:rsid w:val="00B63C0B"/>
    <w:rsid w:val="00B65911"/>
    <w:rsid w:val="00B65C88"/>
    <w:rsid w:val="00B6619F"/>
    <w:rsid w:val="00B67BA7"/>
    <w:rsid w:val="00B708B0"/>
    <w:rsid w:val="00B7155C"/>
    <w:rsid w:val="00B716CF"/>
    <w:rsid w:val="00B71B04"/>
    <w:rsid w:val="00B72950"/>
    <w:rsid w:val="00B729BE"/>
    <w:rsid w:val="00B72F39"/>
    <w:rsid w:val="00B73043"/>
    <w:rsid w:val="00B7374F"/>
    <w:rsid w:val="00B7401B"/>
    <w:rsid w:val="00B75960"/>
    <w:rsid w:val="00B76220"/>
    <w:rsid w:val="00B769B0"/>
    <w:rsid w:val="00B7712F"/>
    <w:rsid w:val="00B77356"/>
    <w:rsid w:val="00B80F24"/>
    <w:rsid w:val="00B81A8F"/>
    <w:rsid w:val="00B81DBA"/>
    <w:rsid w:val="00B81FAA"/>
    <w:rsid w:val="00B821E9"/>
    <w:rsid w:val="00B84B7A"/>
    <w:rsid w:val="00B85E94"/>
    <w:rsid w:val="00B90B09"/>
    <w:rsid w:val="00B92563"/>
    <w:rsid w:val="00B93DFC"/>
    <w:rsid w:val="00B93FCA"/>
    <w:rsid w:val="00B946F2"/>
    <w:rsid w:val="00B94C0C"/>
    <w:rsid w:val="00B94D77"/>
    <w:rsid w:val="00B9552A"/>
    <w:rsid w:val="00B96A0C"/>
    <w:rsid w:val="00B9779F"/>
    <w:rsid w:val="00BA0740"/>
    <w:rsid w:val="00BA0C27"/>
    <w:rsid w:val="00BA14CC"/>
    <w:rsid w:val="00BA1915"/>
    <w:rsid w:val="00BA2E31"/>
    <w:rsid w:val="00BA397B"/>
    <w:rsid w:val="00BA4141"/>
    <w:rsid w:val="00BA4334"/>
    <w:rsid w:val="00BA441B"/>
    <w:rsid w:val="00BA476E"/>
    <w:rsid w:val="00BA51EE"/>
    <w:rsid w:val="00BA5E77"/>
    <w:rsid w:val="00BA6B93"/>
    <w:rsid w:val="00BA6FA4"/>
    <w:rsid w:val="00BA74D9"/>
    <w:rsid w:val="00BA767C"/>
    <w:rsid w:val="00BA7EEE"/>
    <w:rsid w:val="00BB01A8"/>
    <w:rsid w:val="00BB09A2"/>
    <w:rsid w:val="00BB1170"/>
    <w:rsid w:val="00BB1DEF"/>
    <w:rsid w:val="00BB1EB3"/>
    <w:rsid w:val="00BB2CB4"/>
    <w:rsid w:val="00BB32C9"/>
    <w:rsid w:val="00BB3400"/>
    <w:rsid w:val="00BB4ECF"/>
    <w:rsid w:val="00BB6005"/>
    <w:rsid w:val="00BB64AC"/>
    <w:rsid w:val="00BB6521"/>
    <w:rsid w:val="00BB74C7"/>
    <w:rsid w:val="00BB7C22"/>
    <w:rsid w:val="00BB7E82"/>
    <w:rsid w:val="00BC0E59"/>
    <w:rsid w:val="00BC13F7"/>
    <w:rsid w:val="00BC1B88"/>
    <w:rsid w:val="00BC1D9B"/>
    <w:rsid w:val="00BC221E"/>
    <w:rsid w:val="00BC227C"/>
    <w:rsid w:val="00BC3047"/>
    <w:rsid w:val="00BC3C74"/>
    <w:rsid w:val="00BC4139"/>
    <w:rsid w:val="00BC4254"/>
    <w:rsid w:val="00BC46C6"/>
    <w:rsid w:val="00BC546B"/>
    <w:rsid w:val="00BC5837"/>
    <w:rsid w:val="00BC6A74"/>
    <w:rsid w:val="00BC7688"/>
    <w:rsid w:val="00BC7C9B"/>
    <w:rsid w:val="00BD0857"/>
    <w:rsid w:val="00BD0943"/>
    <w:rsid w:val="00BD14E5"/>
    <w:rsid w:val="00BD260D"/>
    <w:rsid w:val="00BD31E0"/>
    <w:rsid w:val="00BD34B7"/>
    <w:rsid w:val="00BD35FC"/>
    <w:rsid w:val="00BD391A"/>
    <w:rsid w:val="00BD3938"/>
    <w:rsid w:val="00BD54C1"/>
    <w:rsid w:val="00BD63AA"/>
    <w:rsid w:val="00BD74AF"/>
    <w:rsid w:val="00BE0500"/>
    <w:rsid w:val="00BE1639"/>
    <w:rsid w:val="00BE24C3"/>
    <w:rsid w:val="00BE28B8"/>
    <w:rsid w:val="00BE29F1"/>
    <w:rsid w:val="00BE2DB0"/>
    <w:rsid w:val="00BE344A"/>
    <w:rsid w:val="00BE4CC6"/>
    <w:rsid w:val="00BE755A"/>
    <w:rsid w:val="00BE7D34"/>
    <w:rsid w:val="00BF00AF"/>
    <w:rsid w:val="00BF1BED"/>
    <w:rsid w:val="00BF2A60"/>
    <w:rsid w:val="00BF2CB9"/>
    <w:rsid w:val="00BF3944"/>
    <w:rsid w:val="00BF5273"/>
    <w:rsid w:val="00BF58A0"/>
    <w:rsid w:val="00BF6256"/>
    <w:rsid w:val="00BF6421"/>
    <w:rsid w:val="00BF7046"/>
    <w:rsid w:val="00BF7B4E"/>
    <w:rsid w:val="00C01125"/>
    <w:rsid w:val="00C01886"/>
    <w:rsid w:val="00C01F44"/>
    <w:rsid w:val="00C02078"/>
    <w:rsid w:val="00C02B68"/>
    <w:rsid w:val="00C0496E"/>
    <w:rsid w:val="00C04CEA"/>
    <w:rsid w:val="00C04D3D"/>
    <w:rsid w:val="00C0503C"/>
    <w:rsid w:val="00C05170"/>
    <w:rsid w:val="00C05649"/>
    <w:rsid w:val="00C0566A"/>
    <w:rsid w:val="00C05DD6"/>
    <w:rsid w:val="00C07C8C"/>
    <w:rsid w:val="00C07FDD"/>
    <w:rsid w:val="00C1166F"/>
    <w:rsid w:val="00C129F7"/>
    <w:rsid w:val="00C13C82"/>
    <w:rsid w:val="00C14D67"/>
    <w:rsid w:val="00C1544B"/>
    <w:rsid w:val="00C15A9A"/>
    <w:rsid w:val="00C1717D"/>
    <w:rsid w:val="00C21DDF"/>
    <w:rsid w:val="00C22824"/>
    <w:rsid w:val="00C22B93"/>
    <w:rsid w:val="00C2389A"/>
    <w:rsid w:val="00C239AB"/>
    <w:rsid w:val="00C25062"/>
    <w:rsid w:val="00C25BD3"/>
    <w:rsid w:val="00C2619F"/>
    <w:rsid w:val="00C2649C"/>
    <w:rsid w:val="00C268B4"/>
    <w:rsid w:val="00C27349"/>
    <w:rsid w:val="00C30296"/>
    <w:rsid w:val="00C302A1"/>
    <w:rsid w:val="00C309AF"/>
    <w:rsid w:val="00C3145C"/>
    <w:rsid w:val="00C31E7A"/>
    <w:rsid w:val="00C32AD0"/>
    <w:rsid w:val="00C32ED9"/>
    <w:rsid w:val="00C33195"/>
    <w:rsid w:val="00C3545E"/>
    <w:rsid w:val="00C35E71"/>
    <w:rsid w:val="00C3625D"/>
    <w:rsid w:val="00C372CD"/>
    <w:rsid w:val="00C3758F"/>
    <w:rsid w:val="00C37F0B"/>
    <w:rsid w:val="00C40662"/>
    <w:rsid w:val="00C40AB7"/>
    <w:rsid w:val="00C41048"/>
    <w:rsid w:val="00C4203D"/>
    <w:rsid w:val="00C423BA"/>
    <w:rsid w:val="00C42871"/>
    <w:rsid w:val="00C43A26"/>
    <w:rsid w:val="00C44285"/>
    <w:rsid w:val="00C4485C"/>
    <w:rsid w:val="00C45E24"/>
    <w:rsid w:val="00C4629B"/>
    <w:rsid w:val="00C4767A"/>
    <w:rsid w:val="00C51781"/>
    <w:rsid w:val="00C51849"/>
    <w:rsid w:val="00C5286E"/>
    <w:rsid w:val="00C53381"/>
    <w:rsid w:val="00C54214"/>
    <w:rsid w:val="00C5466E"/>
    <w:rsid w:val="00C547F8"/>
    <w:rsid w:val="00C57C72"/>
    <w:rsid w:val="00C64130"/>
    <w:rsid w:val="00C646B5"/>
    <w:rsid w:val="00C65B7F"/>
    <w:rsid w:val="00C65C01"/>
    <w:rsid w:val="00C6728B"/>
    <w:rsid w:val="00C67CEE"/>
    <w:rsid w:val="00C71764"/>
    <w:rsid w:val="00C7373E"/>
    <w:rsid w:val="00C73CD4"/>
    <w:rsid w:val="00C73E0F"/>
    <w:rsid w:val="00C74A21"/>
    <w:rsid w:val="00C75DAD"/>
    <w:rsid w:val="00C76490"/>
    <w:rsid w:val="00C77C6B"/>
    <w:rsid w:val="00C81AFF"/>
    <w:rsid w:val="00C8227A"/>
    <w:rsid w:val="00C8348D"/>
    <w:rsid w:val="00C860EF"/>
    <w:rsid w:val="00C86D0A"/>
    <w:rsid w:val="00C87179"/>
    <w:rsid w:val="00C91870"/>
    <w:rsid w:val="00C93024"/>
    <w:rsid w:val="00C9394A"/>
    <w:rsid w:val="00C95EBC"/>
    <w:rsid w:val="00C96392"/>
    <w:rsid w:val="00C976A0"/>
    <w:rsid w:val="00C97EC3"/>
    <w:rsid w:val="00CA093B"/>
    <w:rsid w:val="00CA0E38"/>
    <w:rsid w:val="00CA1519"/>
    <w:rsid w:val="00CA207E"/>
    <w:rsid w:val="00CA230C"/>
    <w:rsid w:val="00CA2AB8"/>
    <w:rsid w:val="00CA3C59"/>
    <w:rsid w:val="00CA3F92"/>
    <w:rsid w:val="00CA5B5D"/>
    <w:rsid w:val="00CA6CCE"/>
    <w:rsid w:val="00CA7A43"/>
    <w:rsid w:val="00CB02E5"/>
    <w:rsid w:val="00CB1CC9"/>
    <w:rsid w:val="00CB1D5B"/>
    <w:rsid w:val="00CB3E1B"/>
    <w:rsid w:val="00CB420B"/>
    <w:rsid w:val="00CB43A6"/>
    <w:rsid w:val="00CB49BE"/>
    <w:rsid w:val="00CB4B44"/>
    <w:rsid w:val="00CB5E40"/>
    <w:rsid w:val="00CB7255"/>
    <w:rsid w:val="00CB7F58"/>
    <w:rsid w:val="00CC19F2"/>
    <w:rsid w:val="00CC383B"/>
    <w:rsid w:val="00CC4F61"/>
    <w:rsid w:val="00CC5100"/>
    <w:rsid w:val="00CC55FE"/>
    <w:rsid w:val="00CC6428"/>
    <w:rsid w:val="00CC6EBC"/>
    <w:rsid w:val="00CC72F0"/>
    <w:rsid w:val="00CC7EC8"/>
    <w:rsid w:val="00CD1F25"/>
    <w:rsid w:val="00CD21B7"/>
    <w:rsid w:val="00CD2A94"/>
    <w:rsid w:val="00CD2DF9"/>
    <w:rsid w:val="00CD30E1"/>
    <w:rsid w:val="00CD311D"/>
    <w:rsid w:val="00CD65E3"/>
    <w:rsid w:val="00CD6AF0"/>
    <w:rsid w:val="00CE03F0"/>
    <w:rsid w:val="00CE0D0E"/>
    <w:rsid w:val="00CE115F"/>
    <w:rsid w:val="00CE1D25"/>
    <w:rsid w:val="00CE288C"/>
    <w:rsid w:val="00CE480A"/>
    <w:rsid w:val="00CE5263"/>
    <w:rsid w:val="00CE60C7"/>
    <w:rsid w:val="00CE6A5D"/>
    <w:rsid w:val="00CE6FE0"/>
    <w:rsid w:val="00CE7D4F"/>
    <w:rsid w:val="00CE7DC7"/>
    <w:rsid w:val="00CF008B"/>
    <w:rsid w:val="00CF0714"/>
    <w:rsid w:val="00CF2077"/>
    <w:rsid w:val="00CF22E7"/>
    <w:rsid w:val="00CF25FC"/>
    <w:rsid w:val="00CF2CEA"/>
    <w:rsid w:val="00CF2F14"/>
    <w:rsid w:val="00CF35DB"/>
    <w:rsid w:val="00CF3642"/>
    <w:rsid w:val="00CF5BAF"/>
    <w:rsid w:val="00CF6113"/>
    <w:rsid w:val="00CF7148"/>
    <w:rsid w:val="00D00DC5"/>
    <w:rsid w:val="00D00E92"/>
    <w:rsid w:val="00D00FA9"/>
    <w:rsid w:val="00D0204C"/>
    <w:rsid w:val="00D02BF0"/>
    <w:rsid w:val="00D04078"/>
    <w:rsid w:val="00D063A7"/>
    <w:rsid w:val="00D10A62"/>
    <w:rsid w:val="00D11505"/>
    <w:rsid w:val="00D115B1"/>
    <w:rsid w:val="00D117E6"/>
    <w:rsid w:val="00D11823"/>
    <w:rsid w:val="00D11B3C"/>
    <w:rsid w:val="00D121BB"/>
    <w:rsid w:val="00D13CBE"/>
    <w:rsid w:val="00D14400"/>
    <w:rsid w:val="00D15733"/>
    <w:rsid w:val="00D158F7"/>
    <w:rsid w:val="00D16198"/>
    <w:rsid w:val="00D1638E"/>
    <w:rsid w:val="00D16739"/>
    <w:rsid w:val="00D16FF2"/>
    <w:rsid w:val="00D17622"/>
    <w:rsid w:val="00D17BA9"/>
    <w:rsid w:val="00D211ED"/>
    <w:rsid w:val="00D21CA2"/>
    <w:rsid w:val="00D2558D"/>
    <w:rsid w:val="00D25BB7"/>
    <w:rsid w:val="00D26424"/>
    <w:rsid w:val="00D2682E"/>
    <w:rsid w:val="00D27AED"/>
    <w:rsid w:val="00D3081F"/>
    <w:rsid w:val="00D31160"/>
    <w:rsid w:val="00D31BC9"/>
    <w:rsid w:val="00D32288"/>
    <w:rsid w:val="00D32836"/>
    <w:rsid w:val="00D32C27"/>
    <w:rsid w:val="00D33D26"/>
    <w:rsid w:val="00D340F0"/>
    <w:rsid w:val="00D34C73"/>
    <w:rsid w:val="00D3501F"/>
    <w:rsid w:val="00D35401"/>
    <w:rsid w:val="00D35558"/>
    <w:rsid w:val="00D36385"/>
    <w:rsid w:val="00D36588"/>
    <w:rsid w:val="00D37449"/>
    <w:rsid w:val="00D40079"/>
    <w:rsid w:val="00D40369"/>
    <w:rsid w:val="00D42182"/>
    <w:rsid w:val="00D42C8E"/>
    <w:rsid w:val="00D4543D"/>
    <w:rsid w:val="00D4591E"/>
    <w:rsid w:val="00D476AB"/>
    <w:rsid w:val="00D50904"/>
    <w:rsid w:val="00D509B5"/>
    <w:rsid w:val="00D50BB2"/>
    <w:rsid w:val="00D51401"/>
    <w:rsid w:val="00D51736"/>
    <w:rsid w:val="00D51AFE"/>
    <w:rsid w:val="00D52B28"/>
    <w:rsid w:val="00D53BD2"/>
    <w:rsid w:val="00D54078"/>
    <w:rsid w:val="00D54721"/>
    <w:rsid w:val="00D54B04"/>
    <w:rsid w:val="00D54D88"/>
    <w:rsid w:val="00D54F4D"/>
    <w:rsid w:val="00D55465"/>
    <w:rsid w:val="00D60F3E"/>
    <w:rsid w:val="00D611B2"/>
    <w:rsid w:val="00D619C7"/>
    <w:rsid w:val="00D622D2"/>
    <w:rsid w:val="00D6251F"/>
    <w:rsid w:val="00D63256"/>
    <w:rsid w:val="00D633E8"/>
    <w:rsid w:val="00D63CAA"/>
    <w:rsid w:val="00D64773"/>
    <w:rsid w:val="00D653FF"/>
    <w:rsid w:val="00D65839"/>
    <w:rsid w:val="00D65C04"/>
    <w:rsid w:val="00D65C7B"/>
    <w:rsid w:val="00D6617F"/>
    <w:rsid w:val="00D66FDA"/>
    <w:rsid w:val="00D675D3"/>
    <w:rsid w:val="00D70AA0"/>
    <w:rsid w:val="00D71A19"/>
    <w:rsid w:val="00D727D7"/>
    <w:rsid w:val="00D74229"/>
    <w:rsid w:val="00D74C62"/>
    <w:rsid w:val="00D76415"/>
    <w:rsid w:val="00D7680D"/>
    <w:rsid w:val="00D771F9"/>
    <w:rsid w:val="00D77729"/>
    <w:rsid w:val="00D80B96"/>
    <w:rsid w:val="00D8106D"/>
    <w:rsid w:val="00D8182B"/>
    <w:rsid w:val="00D81A33"/>
    <w:rsid w:val="00D81F9F"/>
    <w:rsid w:val="00D82EC8"/>
    <w:rsid w:val="00D836FE"/>
    <w:rsid w:val="00D83E28"/>
    <w:rsid w:val="00D83F36"/>
    <w:rsid w:val="00D843D6"/>
    <w:rsid w:val="00D86700"/>
    <w:rsid w:val="00D90E22"/>
    <w:rsid w:val="00D91577"/>
    <w:rsid w:val="00D917CC"/>
    <w:rsid w:val="00D917D7"/>
    <w:rsid w:val="00D91E2C"/>
    <w:rsid w:val="00D91F3C"/>
    <w:rsid w:val="00D932FB"/>
    <w:rsid w:val="00D9407E"/>
    <w:rsid w:val="00D94590"/>
    <w:rsid w:val="00D94AC1"/>
    <w:rsid w:val="00D9505D"/>
    <w:rsid w:val="00D95449"/>
    <w:rsid w:val="00D961AC"/>
    <w:rsid w:val="00DA0553"/>
    <w:rsid w:val="00DA112F"/>
    <w:rsid w:val="00DA1DC7"/>
    <w:rsid w:val="00DA252C"/>
    <w:rsid w:val="00DA289C"/>
    <w:rsid w:val="00DA2DD8"/>
    <w:rsid w:val="00DA39F9"/>
    <w:rsid w:val="00DA49A7"/>
    <w:rsid w:val="00DA4A7F"/>
    <w:rsid w:val="00DA4C1F"/>
    <w:rsid w:val="00DA593F"/>
    <w:rsid w:val="00DB0950"/>
    <w:rsid w:val="00DB0BDE"/>
    <w:rsid w:val="00DB146A"/>
    <w:rsid w:val="00DB4729"/>
    <w:rsid w:val="00DB4DAA"/>
    <w:rsid w:val="00DB5AA4"/>
    <w:rsid w:val="00DB5CD1"/>
    <w:rsid w:val="00DB6506"/>
    <w:rsid w:val="00DB72E3"/>
    <w:rsid w:val="00DB78BB"/>
    <w:rsid w:val="00DB7FF4"/>
    <w:rsid w:val="00DC01AF"/>
    <w:rsid w:val="00DC092A"/>
    <w:rsid w:val="00DC1DDB"/>
    <w:rsid w:val="00DC20BD"/>
    <w:rsid w:val="00DC4464"/>
    <w:rsid w:val="00DC59B6"/>
    <w:rsid w:val="00DC6F74"/>
    <w:rsid w:val="00DC6FA8"/>
    <w:rsid w:val="00DC7337"/>
    <w:rsid w:val="00DC7D30"/>
    <w:rsid w:val="00DC7E6C"/>
    <w:rsid w:val="00DD022B"/>
    <w:rsid w:val="00DD07C4"/>
    <w:rsid w:val="00DD09B3"/>
    <w:rsid w:val="00DD1B20"/>
    <w:rsid w:val="00DD30E5"/>
    <w:rsid w:val="00DD3811"/>
    <w:rsid w:val="00DD3BD2"/>
    <w:rsid w:val="00DD48CE"/>
    <w:rsid w:val="00DD5571"/>
    <w:rsid w:val="00DD6600"/>
    <w:rsid w:val="00DD69A3"/>
    <w:rsid w:val="00DD724E"/>
    <w:rsid w:val="00DE0180"/>
    <w:rsid w:val="00DE081F"/>
    <w:rsid w:val="00DE2698"/>
    <w:rsid w:val="00DE36FD"/>
    <w:rsid w:val="00DE3738"/>
    <w:rsid w:val="00DE40C8"/>
    <w:rsid w:val="00DE5B16"/>
    <w:rsid w:val="00DE602F"/>
    <w:rsid w:val="00DE6F79"/>
    <w:rsid w:val="00DE79C0"/>
    <w:rsid w:val="00DE7F76"/>
    <w:rsid w:val="00DF039F"/>
    <w:rsid w:val="00DF0A20"/>
    <w:rsid w:val="00DF0B80"/>
    <w:rsid w:val="00DF138D"/>
    <w:rsid w:val="00DF203A"/>
    <w:rsid w:val="00DF2E1E"/>
    <w:rsid w:val="00DF33ED"/>
    <w:rsid w:val="00DF3472"/>
    <w:rsid w:val="00DF4115"/>
    <w:rsid w:val="00DF4986"/>
    <w:rsid w:val="00DF4BF8"/>
    <w:rsid w:val="00DF4C83"/>
    <w:rsid w:val="00DF4F0B"/>
    <w:rsid w:val="00DF50CF"/>
    <w:rsid w:val="00DF5585"/>
    <w:rsid w:val="00DF61A6"/>
    <w:rsid w:val="00DF6678"/>
    <w:rsid w:val="00DF73EC"/>
    <w:rsid w:val="00DF740C"/>
    <w:rsid w:val="00E01458"/>
    <w:rsid w:val="00E01F55"/>
    <w:rsid w:val="00E0213F"/>
    <w:rsid w:val="00E0513F"/>
    <w:rsid w:val="00E05940"/>
    <w:rsid w:val="00E0599F"/>
    <w:rsid w:val="00E05C63"/>
    <w:rsid w:val="00E0622E"/>
    <w:rsid w:val="00E070A7"/>
    <w:rsid w:val="00E109A3"/>
    <w:rsid w:val="00E10F86"/>
    <w:rsid w:val="00E112E9"/>
    <w:rsid w:val="00E13489"/>
    <w:rsid w:val="00E1363C"/>
    <w:rsid w:val="00E13CA5"/>
    <w:rsid w:val="00E13DC4"/>
    <w:rsid w:val="00E14052"/>
    <w:rsid w:val="00E1633B"/>
    <w:rsid w:val="00E17130"/>
    <w:rsid w:val="00E179BC"/>
    <w:rsid w:val="00E2017B"/>
    <w:rsid w:val="00E210D0"/>
    <w:rsid w:val="00E226C1"/>
    <w:rsid w:val="00E22DAE"/>
    <w:rsid w:val="00E23AE9"/>
    <w:rsid w:val="00E23C52"/>
    <w:rsid w:val="00E2477F"/>
    <w:rsid w:val="00E24E3C"/>
    <w:rsid w:val="00E25DB1"/>
    <w:rsid w:val="00E26D85"/>
    <w:rsid w:val="00E300FA"/>
    <w:rsid w:val="00E316FB"/>
    <w:rsid w:val="00E319DD"/>
    <w:rsid w:val="00E31D1C"/>
    <w:rsid w:val="00E32069"/>
    <w:rsid w:val="00E329CE"/>
    <w:rsid w:val="00E329ED"/>
    <w:rsid w:val="00E33139"/>
    <w:rsid w:val="00E33702"/>
    <w:rsid w:val="00E353BC"/>
    <w:rsid w:val="00E353D0"/>
    <w:rsid w:val="00E35404"/>
    <w:rsid w:val="00E35DD4"/>
    <w:rsid w:val="00E36F78"/>
    <w:rsid w:val="00E4105F"/>
    <w:rsid w:val="00E41807"/>
    <w:rsid w:val="00E41CE0"/>
    <w:rsid w:val="00E41E13"/>
    <w:rsid w:val="00E42546"/>
    <w:rsid w:val="00E43761"/>
    <w:rsid w:val="00E4388F"/>
    <w:rsid w:val="00E43ED3"/>
    <w:rsid w:val="00E461FD"/>
    <w:rsid w:val="00E46A83"/>
    <w:rsid w:val="00E502CE"/>
    <w:rsid w:val="00E506BC"/>
    <w:rsid w:val="00E5149A"/>
    <w:rsid w:val="00E515BF"/>
    <w:rsid w:val="00E51EC1"/>
    <w:rsid w:val="00E525A5"/>
    <w:rsid w:val="00E5261F"/>
    <w:rsid w:val="00E52A4F"/>
    <w:rsid w:val="00E52E8F"/>
    <w:rsid w:val="00E53FCB"/>
    <w:rsid w:val="00E545DB"/>
    <w:rsid w:val="00E55591"/>
    <w:rsid w:val="00E56228"/>
    <w:rsid w:val="00E57356"/>
    <w:rsid w:val="00E578CC"/>
    <w:rsid w:val="00E610BF"/>
    <w:rsid w:val="00E61B6B"/>
    <w:rsid w:val="00E61CB3"/>
    <w:rsid w:val="00E61DB3"/>
    <w:rsid w:val="00E620EE"/>
    <w:rsid w:val="00E62EF1"/>
    <w:rsid w:val="00E639FB"/>
    <w:rsid w:val="00E67953"/>
    <w:rsid w:val="00E702C3"/>
    <w:rsid w:val="00E70737"/>
    <w:rsid w:val="00E716AB"/>
    <w:rsid w:val="00E72C43"/>
    <w:rsid w:val="00E73128"/>
    <w:rsid w:val="00E736C3"/>
    <w:rsid w:val="00E741F1"/>
    <w:rsid w:val="00E74547"/>
    <w:rsid w:val="00E75B4C"/>
    <w:rsid w:val="00E75CCC"/>
    <w:rsid w:val="00E763DC"/>
    <w:rsid w:val="00E7721F"/>
    <w:rsid w:val="00E7726D"/>
    <w:rsid w:val="00E80F60"/>
    <w:rsid w:val="00E83F12"/>
    <w:rsid w:val="00E84D9F"/>
    <w:rsid w:val="00E84DDF"/>
    <w:rsid w:val="00E84EB1"/>
    <w:rsid w:val="00E857DB"/>
    <w:rsid w:val="00E85C6F"/>
    <w:rsid w:val="00E85FB0"/>
    <w:rsid w:val="00E86BBC"/>
    <w:rsid w:val="00E87E9A"/>
    <w:rsid w:val="00E91309"/>
    <w:rsid w:val="00E91559"/>
    <w:rsid w:val="00E92798"/>
    <w:rsid w:val="00E92BAA"/>
    <w:rsid w:val="00E9392F"/>
    <w:rsid w:val="00E939CA"/>
    <w:rsid w:val="00E93B3B"/>
    <w:rsid w:val="00E948C1"/>
    <w:rsid w:val="00E9517E"/>
    <w:rsid w:val="00E958A1"/>
    <w:rsid w:val="00EA0DCD"/>
    <w:rsid w:val="00EA185A"/>
    <w:rsid w:val="00EA1B53"/>
    <w:rsid w:val="00EA343F"/>
    <w:rsid w:val="00EA401B"/>
    <w:rsid w:val="00EA4224"/>
    <w:rsid w:val="00EA59B7"/>
    <w:rsid w:val="00EA60A9"/>
    <w:rsid w:val="00EA63CE"/>
    <w:rsid w:val="00EB034C"/>
    <w:rsid w:val="00EB0405"/>
    <w:rsid w:val="00EB1AE4"/>
    <w:rsid w:val="00EB2AEF"/>
    <w:rsid w:val="00EB3067"/>
    <w:rsid w:val="00EB35D1"/>
    <w:rsid w:val="00EB37C1"/>
    <w:rsid w:val="00EB3D1F"/>
    <w:rsid w:val="00EB3D80"/>
    <w:rsid w:val="00EB5552"/>
    <w:rsid w:val="00EB6484"/>
    <w:rsid w:val="00EB6F19"/>
    <w:rsid w:val="00EB6FAA"/>
    <w:rsid w:val="00EB7821"/>
    <w:rsid w:val="00EC02C4"/>
    <w:rsid w:val="00EC0BD2"/>
    <w:rsid w:val="00EC18A6"/>
    <w:rsid w:val="00EC2790"/>
    <w:rsid w:val="00EC2EDF"/>
    <w:rsid w:val="00EC32B6"/>
    <w:rsid w:val="00EC365C"/>
    <w:rsid w:val="00EC3962"/>
    <w:rsid w:val="00EC3EA8"/>
    <w:rsid w:val="00EC46E9"/>
    <w:rsid w:val="00EC5C45"/>
    <w:rsid w:val="00EC650A"/>
    <w:rsid w:val="00EC6BC3"/>
    <w:rsid w:val="00EC6D8F"/>
    <w:rsid w:val="00EC6E1D"/>
    <w:rsid w:val="00EC72EB"/>
    <w:rsid w:val="00EC74EA"/>
    <w:rsid w:val="00EC7EE9"/>
    <w:rsid w:val="00ED0979"/>
    <w:rsid w:val="00ED0BDE"/>
    <w:rsid w:val="00ED12DE"/>
    <w:rsid w:val="00ED1B4A"/>
    <w:rsid w:val="00ED1D32"/>
    <w:rsid w:val="00ED1EC4"/>
    <w:rsid w:val="00ED23AF"/>
    <w:rsid w:val="00ED3099"/>
    <w:rsid w:val="00ED3327"/>
    <w:rsid w:val="00ED338B"/>
    <w:rsid w:val="00ED4208"/>
    <w:rsid w:val="00ED5902"/>
    <w:rsid w:val="00ED6C78"/>
    <w:rsid w:val="00ED7A8B"/>
    <w:rsid w:val="00ED7EB3"/>
    <w:rsid w:val="00EE0744"/>
    <w:rsid w:val="00EE16C0"/>
    <w:rsid w:val="00EE1722"/>
    <w:rsid w:val="00EE1FB0"/>
    <w:rsid w:val="00EE2564"/>
    <w:rsid w:val="00EE3FA2"/>
    <w:rsid w:val="00EE47A6"/>
    <w:rsid w:val="00EE4DC6"/>
    <w:rsid w:val="00EE5041"/>
    <w:rsid w:val="00EE6691"/>
    <w:rsid w:val="00EF03B7"/>
    <w:rsid w:val="00EF0614"/>
    <w:rsid w:val="00EF0B92"/>
    <w:rsid w:val="00EF0DC3"/>
    <w:rsid w:val="00EF1A67"/>
    <w:rsid w:val="00EF1A99"/>
    <w:rsid w:val="00EF4062"/>
    <w:rsid w:val="00EF4B1E"/>
    <w:rsid w:val="00EF5C1A"/>
    <w:rsid w:val="00EF66C4"/>
    <w:rsid w:val="00EF720F"/>
    <w:rsid w:val="00EF74BC"/>
    <w:rsid w:val="00EF7719"/>
    <w:rsid w:val="00F0028C"/>
    <w:rsid w:val="00F01A2F"/>
    <w:rsid w:val="00F01DE2"/>
    <w:rsid w:val="00F01E7B"/>
    <w:rsid w:val="00F02136"/>
    <w:rsid w:val="00F0238E"/>
    <w:rsid w:val="00F029D2"/>
    <w:rsid w:val="00F03373"/>
    <w:rsid w:val="00F04695"/>
    <w:rsid w:val="00F04CD9"/>
    <w:rsid w:val="00F04D00"/>
    <w:rsid w:val="00F05E42"/>
    <w:rsid w:val="00F0625E"/>
    <w:rsid w:val="00F1182A"/>
    <w:rsid w:val="00F1207D"/>
    <w:rsid w:val="00F12DAA"/>
    <w:rsid w:val="00F14038"/>
    <w:rsid w:val="00F151A2"/>
    <w:rsid w:val="00F15EE1"/>
    <w:rsid w:val="00F15FB0"/>
    <w:rsid w:val="00F1608A"/>
    <w:rsid w:val="00F16A83"/>
    <w:rsid w:val="00F17698"/>
    <w:rsid w:val="00F17918"/>
    <w:rsid w:val="00F17958"/>
    <w:rsid w:val="00F1796A"/>
    <w:rsid w:val="00F21206"/>
    <w:rsid w:val="00F225F5"/>
    <w:rsid w:val="00F22DF9"/>
    <w:rsid w:val="00F2358C"/>
    <w:rsid w:val="00F23D91"/>
    <w:rsid w:val="00F24E04"/>
    <w:rsid w:val="00F27A5C"/>
    <w:rsid w:val="00F30365"/>
    <w:rsid w:val="00F31B2D"/>
    <w:rsid w:val="00F32242"/>
    <w:rsid w:val="00F3466C"/>
    <w:rsid w:val="00F36F47"/>
    <w:rsid w:val="00F408E3"/>
    <w:rsid w:val="00F428F9"/>
    <w:rsid w:val="00F44915"/>
    <w:rsid w:val="00F4509A"/>
    <w:rsid w:val="00F46BBA"/>
    <w:rsid w:val="00F46EAE"/>
    <w:rsid w:val="00F47472"/>
    <w:rsid w:val="00F47FA3"/>
    <w:rsid w:val="00F508B3"/>
    <w:rsid w:val="00F52791"/>
    <w:rsid w:val="00F53889"/>
    <w:rsid w:val="00F5479B"/>
    <w:rsid w:val="00F550F5"/>
    <w:rsid w:val="00F55A21"/>
    <w:rsid w:val="00F55DCF"/>
    <w:rsid w:val="00F56001"/>
    <w:rsid w:val="00F57B06"/>
    <w:rsid w:val="00F57E48"/>
    <w:rsid w:val="00F61128"/>
    <w:rsid w:val="00F61341"/>
    <w:rsid w:val="00F6236C"/>
    <w:rsid w:val="00F62FD7"/>
    <w:rsid w:val="00F63D45"/>
    <w:rsid w:val="00F63ED7"/>
    <w:rsid w:val="00F643AF"/>
    <w:rsid w:val="00F65145"/>
    <w:rsid w:val="00F652B9"/>
    <w:rsid w:val="00F6635C"/>
    <w:rsid w:val="00F67691"/>
    <w:rsid w:val="00F67AC9"/>
    <w:rsid w:val="00F67AD8"/>
    <w:rsid w:val="00F718E6"/>
    <w:rsid w:val="00F7195A"/>
    <w:rsid w:val="00F719A6"/>
    <w:rsid w:val="00F723C6"/>
    <w:rsid w:val="00F72931"/>
    <w:rsid w:val="00F72FFF"/>
    <w:rsid w:val="00F74332"/>
    <w:rsid w:val="00F75370"/>
    <w:rsid w:val="00F76D4C"/>
    <w:rsid w:val="00F82D8F"/>
    <w:rsid w:val="00F83FB7"/>
    <w:rsid w:val="00F84894"/>
    <w:rsid w:val="00F85537"/>
    <w:rsid w:val="00F8557E"/>
    <w:rsid w:val="00F869B6"/>
    <w:rsid w:val="00F86C73"/>
    <w:rsid w:val="00F87600"/>
    <w:rsid w:val="00F904B2"/>
    <w:rsid w:val="00F92737"/>
    <w:rsid w:val="00F92983"/>
    <w:rsid w:val="00F92C16"/>
    <w:rsid w:val="00F93175"/>
    <w:rsid w:val="00F945A3"/>
    <w:rsid w:val="00F94ED0"/>
    <w:rsid w:val="00F95286"/>
    <w:rsid w:val="00F9557A"/>
    <w:rsid w:val="00F95982"/>
    <w:rsid w:val="00F970CD"/>
    <w:rsid w:val="00F970DD"/>
    <w:rsid w:val="00FA1E81"/>
    <w:rsid w:val="00FA201B"/>
    <w:rsid w:val="00FA2909"/>
    <w:rsid w:val="00FA2DB6"/>
    <w:rsid w:val="00FA2E49"/>
    <w:rsid w:val="00FA310C"/>
    <w:rsid w:val="00FA6BB2"/>
    <w:rsid w:val="00FA6C10"/>
    <w:rsid w:val="00FA7600"/>
    <w:rsid w:val="00FA7DB4"/>
    <w:rsid w:val="00FB116C"/>
    <w:rsid w:val="00FB1188"/>
    <w:rsid w:val="00FB1916"/>
    <w:rsid w:val="00FB1CDE"/>
    <w:rsid w:val="00FB29B9"/>
    <w:rsid w:val="00FB31BF"/>
    <w:rsid w:val="00FB361D"/>
    <w:rsid w:val="00FB4679"/>
    <w:rsid w:val="00FB4B60"/>
    <w:rsid w:val="00FB56C9"/>
    <w:rsid w:val="00FB62CB"/>
    <w:rsid w:val="00FB68A4"/>
    <w:rsid w:val="00FB68F8"/>
    <w:rsid w:val="00FB7332"/>
    <w:rsid w:val="00FB747E"/>
    <w:rsid w:val="00FB7610"/>
    <w:rsid w:val="00FB7D28"/>
    <w:rsid w:val="00FC00E4"/>
    <w:rsid w:val="00FC072C"/>
    <w:rsid w:val="00FC1A11"/>
    <w:rsid w:val="00FC28D0"/>
    <w:rsid w:val="00FC311A"/>
    <w:rsid w:val="00FC3852"/>
    <w:rsid w:val="00FC3ABF"/>
    <w:rsid w:val="00FC4263"/>
    <w:rsid w:val="00FC4BC1"/>
    <w:rsid w:val="00FC5396"/>
    <w:rsid w:val="00FC6962"/>
    <w:rsid w:val="00FC7F79"/>
    <w:rsid w:val="00FD04D7"/>
    <w:rsid w:val="00FD0E07"/>
    <w:rsid w:val="00FD1908"/>
    <w:rsid w:val="00FD2227"/>
    <w:rsid w:val="00FD28E4"/>
    <w:rsid w:val="00FD3076"/>
    <w:rsid w:val="00FD4A2A"/>
    <w:rsid w:val="00FD4C0C"/>
    <w:rsid w:val="00FD5DB4"/>
    <w:rsid w:val="00FD5E7D"/>
    <w:rsid w:val="00FD6DEB"/>
    <w:rsid w:val="00FD7BC7"/>
    <w:rsid w:val="00FE1171"/>
    <w:rsid w:val="00FE19F7"/>
    <w:rsid w:val="00FE1CD5"/>
    <w:rsid w:val="00FE235A"/>
    <w:rsid w:val="00FE2846"/>
    <w:rsid w:val="00FE3DCB"/>
    <w:rsid w:val="00FE471A"/>
    <w:rsid w:val="00FE4AC1"/>
    <w:rsid w:val="00FE51AA"/>
    <w:rsid w:val="00FE53E0"/>
    <w:rsid w:val="00FE63AA"/>
    <w:rsid w:val="00FF035E"/>
    <w:rsid w:val="00FF0A15"/>
    <w:rsid w:val="00FF1430"/>
    <w:rsid w:val="00FF225F"/>
    <w:rsid w:val="00FF4428"/>
    <w:rsid w:val="00FF44B6"/>
    <w:rsid w:val="00FF46DA"/>
    <w:rsid w:val="00FF4770"/>
    <w:rsid w:val="00FF52F7"/>
    <w:rsid w:val="00FF5A4F"/>
    <w:rsid w:val="00FF5AA9"/>
    <w:rsid w:val="00FF5ADB"/>
    <w:rsid w:val="00FF61D4"/>
    <w:rsid w:val="00FF663E"/>
    <w:rsid w:val="00FF66EE"/>
    <w:rsid w:val="00FF78CC"/>
    <w:rsid w:val="040D2D33"/>
    <w:rsid w:val="04442270"/>
    <w:rsid w:val="06117F79"/>
    <w:rsid w:val="0662732E"/>
    <w:rsid w:val="06B57A35"/>
    <w:rsid w:val="07D55FEF"/>
    <w:rsid w:val="085632C3"/>
    <w:rsid w:val="0A572864"/>
    <w:rsid w:val="0D386E82"/>
    <w:rsid w:val="0E3B5D80"/>
    <w:rsid w:val="0EFB0CFB"/>
    <w:rsid w:val="0FCE5D2A"/>
    <w:rsid w:val="121A54B0"/>
    <w:rsid w:val="13AE28A6"/>
    <w:rsid w:val="13CD7354"/>
    <w:rsid w:val="14A003D1"/>
    <w:rsid w:val="14E13731"/>
    <w:rsid w:val="15DC4C07"/>
    <w:rsid w:val="1603288D"/>
    <w:rsid w:val="1A0B2424"/>
    <w:rsid w:val="1B3E72A5"/>
    <w:rsid w:val="1C38044D"/>
    <w:rsid w:val="1D2D24D6"/>
    <w:rsid w:val="1DB22AF9"/>
    <w:rsid w:val="1E8C30B2"/>
    <w:rsid w:val="1E932147"/>
    <w:rsid w:val="20F931FB"/>
    <w:rsid w:val="21726CD5"/>
    <w:rsid w:val="22727162"/>
    <w:rsid w:val="24FB5382"/>
    <w:rsid w:val="24FB6F38"/>
    <w:rsid w:val="29B32078"/>
    <w:rsid w:val="2C4E0743"/>
    <w:rsid w:val="2C6A166B"/>
    <w:rsid w:val="2DC07ADD"/>
    <w:rsid w:val="2E541BEB"/>
    <w:rsid w:val="2E774DC8"/>
    <w:rsid w:val="2FA26D23"/>
    <w:rsid w:val="31321F99"/>
    <w:rsid w:val="34603CB7"/>
    <w:rsid w:val="38DF6D5E"/>
    <w:rsid w:val="39012615"/>
    <w:rsid w:val="3A9638A2"/>
    <w:rsid w:val="3AFA6B2D"/>
    <w:rsid w:val="3CB029DD"/>
    <w:rsid w:val="3D624A2B"/>
    <w:rsid w:val="3F041AD9"/>
    <w:rsid w:val="3F244E5C"/>
    <w:rsid w:val="423B4E6C"/>
    <w:rsid w:val="45B31A61"/>
    <w:rsid w:val="45D34FB6"/>
    <w:rsid w:val="46245A13"/>
    <w:rsid w:val="46DD4550"/>
    <w:rsid w:val="49FA03B9"/>
    <w:rsid w:val="4C231F8F"/>
    <w:rsid w:val="4D5D1394"/>
    <w:rsid w:val="52394071"/>
    <w:rsid w:val="52BE47B3"/>
    <w:rsid w:val="52D34A56"/>
    <w:rsid w:val="533C2574"/>
    <w:rsid w:val="549661BE"/>
    <w:rsid w:val="54D90D6B"/>
    <w:rsid w:val="56C95F43"/>
    <w:rsid w:val="578F46AB"/>
    <w:rsid w:val="58552D55"/>
    <w:rsid w:val="5A835EEC"/>
    <w:rsid w:val="5BE60354"/>
    <w:rsid w:val="5C5A4637"/>
    <w:rsid w:val="5D035D66"/>
    <w:rsid w:val="5D3A60F6"/>
    <w:rsid w:val="610A4A53"/>
    <w:rsid w:val="618D0DDA"/>
    <w:rsid w:val="62E86106"/>
    <w:rsid w:val="65321727"/>
    <w:rsid w:val="684D717D"/>
    <w:rsid w:val="6A4E2C73"/>
    <w:rsid w:val="6ACA7F96"/>
    <w:rsid w:val="70702414"/>
    <w:rsid w:val="72E90C5B"/>
    <w:rsid w:val="73E63CEC"/>
    <w:rsid w:val="7E61579F"/>
    <w:rsid w:val="7EDE60CE"/>
    <w:rsid w:val="BEFE6508"/>
    <w:rsid w:val="FB9F87D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iPriority="0" w:semiHidden="0"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60"/>
    <w:qFormat/>
    <w:uiPriority w:val="9"/>
    <w:pPr>
      <w:keepNext/>
      <w:keepLines/>
      <w:spacing w:before="340" w:after="330" w:line="578" w:lineRule="auto"/>
      <w:jc w:val="center"/>
      <w:outlineLvl w:val="0"/>
    </w:pPr>
    <w:rPr>
      <w:b/>
      <w:bCs/>
      <w:kern w:val="44"/>
      <w:sz w:val="32"/>
      <w:szCs w:val="44"/>
      <w:lang w:val="zh-CN"/>
    </w:rPr>
  </w:style>
  <w:style w:type="paragraph" w:styleId="4">
    <w:name w:val="heading 2"/>
    <w:basedOn w:val="1"/>
    <w:next w:val="1"/>
    <w:link w:val="61"/>
    <w:qFormat/>
    <w:uiPriority w:val="9"/>
    <w:pPr>
      <w:keepNext/>
      <w:keepLines/>
      <w:spacing w:before="260" w:after="260" w:line="416" w:lineRule="auto"/>
      <w:outlineLvl w:val="1"/>
    </w:pPr>
    <w:rPr>
      <w:rFonts w:ascii="Arial" w:hAnsi="Arial" w:eastAsia="黑体"/>
      <w:b/>
      <w:bCs/>
      <w:sz w:val="32"/>
      <w:szCs w:val="32"/>
      <w:lang w:val="zh-CN"/>
    </w:rPr>
  </w:style>
  <w:style w:type="paragraph" w:styleId="5">
    <w:name w:val="heading 3"/>
    <w:basedOn w:val="1"/>
    <w:next w:val="1"/>
    <w:link w:val="62"/>
    <w:qFormat/>
    <w:uiPriority w:val="9"/>
    <w:pPr>
      <w:keepNext/>
      <w:keepLines/>
      <w:spacing w:before="260" w:after="260" w:line="416" w:lineRule="auto"/>
      <w:outlineLvl w:val="2"/>
    </w:pPr>
    <w:rPr>
      <w:b/>
      <w:bCs/>
      <w:sz w:val="32"/>
      <w:szCs w:val="32"/>
      <w:lang w:val="zh-CN"/>
    </w:rPr>
  </w:style>
  <w:style w:type="paragraph" w:styleId="6">
    <w:name w:val="heading 4"/>
    <w:basedOn w:val="1"/>
    <w:next w:val="1"/>
    <w:link w:val="63"/>
    <w:qFormat/>
    <w:uiPriority w:val="0"/>
    <w:pPr>
      <w:keepNext/>
      <w:keepLines/>
      <w:spacing w:before="280" w:after="290" w:line="374" w:lineRule="auto"/>
      <w:outlineLvl w:val="3"/>
    </w:pPr>
    <w:rPr>
      <w:rFonts w:ascii="Arial" w:hAnsi="Arial" w:eastAsia="黑体"/>
      <w:b/>
      <w:bCs/>
      <w:kern w:val="0"/>
      <w:sz w:val="28"/>
      <w:szCs w:val="28"/>
      <w:lang w:val="zh-CN"/>
    </w:rPr>
  </w:style>
  <w:style w:type="paragraph" w:styleId="7">
    <w:name w:val="heading 5"/>
    <w:basedOn w:val="1"/>
    <w:next w:val="1"/>
    <w:link w:val="64"/>
    <w:qFormat/>
    <w:uiPriority w:val="0"/>
    <w:pPr>
      <w:keepNext/>
      <w:keepLines/>
      <w:tabs>
        <w:tab w:val="left" w:pos="1701"/>
      </w:tabs>
      <w:spacing w:before="280" w:after="290" w:line="360" w:lineRule="auto"/>
      <w:outlineLvl w:val="4"/>
    </w:pPr>
    <w:rPr>
      <w:rFonts w:ascii="楷体_GB2312" w:eastAsia="楷体_GB2312"/>
      <w:b/>
      <w:bCs/>
      <w:kern w:val="0"/>
      <w:sz w:val="24"/>
      <w:szCs w:val="28"/>
      <w:lang w:val="zh-CN"/>
    </w:rPr>
  </w:style>
  <w:style w:type="paragraph" w:styleId="8">
    <w:name w:val="heading 6"/>
    <w:basedOn w:val="7"/>
    <w:next w:val="1"/>
    <w:link w:val="65"/>
    <w:qFormat/>
    <w:uiPriority w:val="0"/>
    <w:pPr>
      <w:keepNext w:val="0"/>
      <w:keepLines w:val="0"/>
      <w:tabs>
        <w:tab w:val="left" w:pos="2940"/>
        <w:tab w:val="clear" w:pos="1701"/>
      </w:tabs>
      <w:adjustRightInd w:val="0"/>
      <w:spacing w:before="0" w:after="0" w:line="400" w:lineRule="exact"/>
      <w:textAlignment w:val="baseline"/>
      <w:outlineLvl w:val="5"/>
    </w:pPr>
    <w:rPr>
      <w:rFonts w:ascii="Calibri" w:eastAsia="宋体"/>
      <w:b w:val="0"/>
      <w:bCs w:val="0"/>
      <w:szCs w:val="20"/>
    </w:rPr>
  </w:style>
  <w:style w:type="paragraph" w:styleId="9">
    <w:name w:val="heading 7"/>
    <w:basedOn w:val="8"/>
    <w:next w:val="1"/>
    <w:link w:val="66"/>
    <w:qFormat/>
    <w:uiPriority w:val="0"/>
    <w:pPr>
      <w:tabs>
        <w:tab w:val="left" w:pos="3360"/>
        <w:tab w:val="clear" w:pos="2940"/>
      </w:tabs>
      <w:outlineLvl w:val="6"/>
    </w:pPr>
  </w:style>
  <w:style w:type="paragraph" w:styleId="10">
    <w:name w:val="heading 8"/>
    <w:basedOn w:val="9"/>
    <w:next w:val="1"/>
    <w:link w:val="67"/>
    <w:qFormat/>
    <w:uiPriority w:val="0"/>
    <w:pPr>
      <w:tabs>
        <w:tab w:val="left" w:pos="3780"/>
        <w:tab w:val="clear" w:pos="3360"/>
      </w:tabs>
      <w:outlineLvl w:val="7"/>
    </w:pPr>
  </w:style>
  <w:style w:type="paragraph" w:styleId="11">
    <w:name w:val="heading 9"/>
    <w:basedOn w:val="10"/>
    <w:next w:val="1"/>
    <w:link w:val="68"/>
    <w:qFormat/>
    <w:uiPriority w:val="0"/>
    <w:pPr>
      <w:tabs>
        <w:tab w:val="left" w:pos="480"/>
        <w:tab w:val="left" w:pos="4200"/>
        <w:tab w:val="clear" w:pos="3780"/>
      </w:tabs>
      <w:outlineLvl w:val="8"/>
    </w:p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2">
    <w:name w:val="无间距1"/>
    <w:qFormat/>
    <w:uiPriority w:val="0"/>
    <w:pPr>
      <w:widowControl w:val="0"/>
      <w:jc w:val="both"/>
    </w:pPr>
    <w:rPr>
      <w:rFonts w:ascii="Calibri" w:hAnsi="Calibri" w:eastAsia="微软雅黑 Light" w:cs="Times New Roman"/>
      <w:kern w:val="2"/>
      <w:sz w:val="24"/>
      <w:szCs w:val="22"/>
      <w:lang w:val="en-US" w:eastAsia="zh-CN" w:bidi="ar-SA"/>
    </w:rPr>
  </w:style>
  <w:style w:type="paragraph" w:styleId="12">
    <w:name w:val="toc 7"/>
    <w:basedOn w:val="1"/>
    <w:next w:val="1"/>
    <w:unhideWhenUsed/>
    <w:qFormat/>
    <w:uiPriority w:val="0"/>
    <w:pPr>
      <w:ind w:left="2520" w:leftChars="1200"/>
    </w:pPr>
    <w:rPr>
      <w:rFonts w:cs="宋体"/>
      <w:sz w:val="24"/>
    </w:rPr>
  </w:style>
  <w:style w:type="paragraph" w:styleId="13">
    <w:name w:val="List Number 2"/>
    <w:basedOn w:val="1"/>
    <w:semiHidden/>
    <w:unhideWhenUsed/>
    <w:qFormat/>
    <w:uiPriority w:val="99"/>
    <w:pPr>
      <w:numPr>
        <w:ilvl w:val="0"/>
        <w:numId w:val="1"/>
      </w:numPr>
      <w:contextualSpacing/>
    </w:pPr>
  </w:style>
  <w:style w:type="paragraph" w:styleId="14">
    <w:name w:val="table of authorities"/>
    <w:basedOn w:val="1"/>
    <w:next w:val="1"/>
    <w:unhideWhenUsed/>
    <w:qFormat/>
    <w:uiPriority w:val="0"/>
    <w:pPr>
      <w:ind w:left="420" w:leftChars="200"/>
    </w:pPr>
  </w:style>
  <w:style w:type="paragraph" w:styleId="15">
    <w:name w:val="List Number"/>
    <w:basedOn w:val="1"/>
    <w:qFormat/>
    <w:uiPriority w:val="0"/>
    <w:pPr>
      <w:widowControl/>
      <w:tabs>
        <w:tab w:val="left" w:pos="454"/>
        <w:tab w:val="left" w:pos="720"/>
      </w:tabs>
      <w:spacing w:afterLines="50"/>
      <w:ind w:left="454" w:hanging="284"/>
      <w:jc w:val="left"/>
    </w:pPr>
    <w:rPr>
      <w:kern w:val="0"/>
      <w:sz w:val="24"/>
      <w:szCs w:val="20"/>
    </w:rPr>
  </w:style>
  <w:style w:type="paragraph" w:styleId="16">
    <w:name w:val="Normal Indent"/>
    <w:basedOn w:val="1"/>
    <w:link w:val="69"/>
    <w:qFormat/>
    <w:uiPriority w:val="0"/>
    <w:pPr>
      <w:ind w:firstLine="420"/>
    </w:pPr>
    <w:rPr>
      <w:rFonts w:asciiTheme="minorHAnsi" w:hAnsiTheme="minorHAnsi" w:cstheme="minorBidi"/>
      <w:szCs w:val="22"/>
    </w:rPr>
  </w:style>
  <w:style w:type="paragraph" w:styleId="17">
    <w:name w:val="caption"/>
    <w:basedOn w:val="1"/>
    <w:next w:val="1"/>
    <w:qFormat/>
    <w:uiPriority w:val="0"/>
    <w:pPr>
      <w:spacing w:before="152" w:after="160"/>
    </w:pPr>
    <w:rPr>
      <w:rFonts w:ascii="Arial" w:hAnsi="Arial" w:eastAsia="黑体" w:cs="Arial"/>
      <w:sz w:val="20"/>
      <w:szCs w:val="20"/>
    </w:rPr>
  </w:style>
  <w:style w:type="paragraph" w:styleId="18">
    <w:name w:val="Document Map"/>
    <w:basedOn w:val="1"/>
    <w:link w:val="70"/>
    <w:qFormat/>
    <w:uiPriority w:val="0"/>
    <w:rPr>
      <w:rFonts w:ascii="宋体" w:hAnsiTheme="minorHAnsi" w:eastAsiaTheme="minorEastAsia" w:cstheme="minorBidi"/>
      <w:sz w:val="18"/>
      <w:szCs w:val="18"/>
    </w:rPr>
  </w:style>
  <w:style w:type="paragraph" w:styleId="19">
    <w:name w:val="annotation text"/>
    <w:basedOn w:val="1"/>
    <w:link w:val="71"/>
    <w:unhideWhenUsed/>
    <w:qFormat/>
    <w:uiPriority w:val="0"/>
    <w:pPr>
      <w:jc w:val="left"/>
    </w:pPr>
  </w:style>
  <w:style w:type="paragraph" w:styleId="20">
    <w:name w:val="Body Text 3"/>
    <w:basedOn w:val="1"/>
    <w:link w:val="72"/>
    <w:qFormat/>
    <w:uiPriority w:val="0"/>
    <w:pPr>
      <w:snapToGrid w:val="0"/>
      <w:spacing w:before="50" w:after="50"/>
    </w:pPr>
    <w:rPr>
      <w:rFonts w:hAnsi="宋体" w:eastAsia="仿宋_GB2312" w:asciiTheme="minorHAnsi" w:cstheme="minorBidi"/>
      <w:b/>
      <w:bCs/>
      <w:sz w:val="24"/>
      <w:szCs w:val="22"/>
    </w:rPr>
  </w:style>
  <w:style w:type="paragraph" w:styleId="21">
    <w:name w:val="Body Text"/>
    <w:basedOn w:val="1"/>
    <w:link w:val="73"/>
    <w:qFormat/>
    <w:uiPriority w:val="0"/>
    <w:pPr>
      <w:spacing w:after="120"/>
    </w:pPr>
    <w:rPr>
      <w:rFonts w:asciiTheme="minorHAnsi" w:hAnsiTheme="minorHAnsi" w:eastAsiaTheme="minorEastAsia" w:cstheme="minorBidi"/>
      <w:sz w:val="28"/>
    </w:rPr>
  </w:style>
  <w:style w:type="paragraph" w:styleId="22">
    <w:name w:val="Body Text Indent"/>
    <w:basedOn w:val="1"/>
    <w:link w:val="58"/>
    <w:unhideWhenUsed/>
    <w:qFormat/>
    <w:uiPriority w:val="99"/>
    <w:pPr>
      <w:spacing w:after="120"/>
      <w:ind w:left="420" w:leftChars="200"/>
    </w:pPr>
  </w:style>
  <w:style w:type="paragraph" w:styleId="23">
    <w:name w:val="List Number 3"/>
    <w:basedOn w:val="1"/>
    <w:qFormat/>
    <w:uiPriority w:val="0"/>
    <w:pPr>
      <w:numPr>
        <w:ilvl w:val="0"/>
        <w:numId w:val="2"/>
      </w:numPr>
    </w:pPr>
  </w:style>
  <w:style w:type="paragraph" w:styleId="24">
    <w:name w:val="List 2"/>
    <w:basedOn w:val="1"/>
    <w:qFormat/>
    <w:uiPriority w:val="0"/>
    <w:pPr>
      <w:ind w:left="100" w:leftChars="200" w:hanging="200" w:hangingChars="200"/>
    </w:pPr>
    <w:rPr>
      <w:sz w:val="28"/>
    </w:rPr>
  </w:style>
  <w:style w:type="paragraph" w:styleId="25">
    <w:name w:val="Block Text"/>
    <w:basedOn w:val="1"/>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26">
    <w:name w:val="toc 5"/>
    <w:basedOn w:val="1"/>
    <w:next w:val="1"/>
    <w:unhideWhenUsed/>
    <w:qFormat/>
    <w:uiPriority w:val="0"/>
    <w:pPr>
      <w:ind w:left="1680" w:leftChars="800"/>
    </w:pPr>
    <w:rPr>
      <w:rFonts w:cs="宋体"/>
      <w:sz w:val="24"/>
    </w:rPr>
  </w:style>
  <w:style w:type="paragraph" w:styleId="27">
    <w:name w:val="toc 3"/>
    <w:basedOn w:val="1"/>
    <w:next w:val="1"/>
    <w:unhideWhenUsed/>
    <w:qFormat/>
    <w:uiPriority w:val="39"/>
    <w:pPr>
      <w:ind w:left="840" w:leftChars="400"/>
    </w:pPr>
    <w:rPr>
      <w:rFonts w:cs="宋体"/>
      <w:sz w:val="24"/>
    </w:rPr>
  </w:style>
  <w:style w:type="paragraph" w:styleId="28">
    <w:name w:val="Plain Text"/>
    <w:basedOn w:val="1"/>
    <w:next w:val="1"/>
    <w:link w:val="74"/>
    <w:qFormat/>
    <w:uiPriority w:val="0"/>
    <w:pPr>
      <w:spacing w:beforeLines="50" w:afterLines="50" w:line="400" w:lineRule="exact"/>
    </w:pPr>
    <w:rPr>
      <w:rFonts w:ascii="宋体" w:hAnsi="Courier New" w:cstheme="minorBidi"/>
      <w:sz w:val="24"/>
    </w:rPr>
  </w:style>
  <w:style w:type="paragraph" w:styleId="29">
    <w:name w:val="toc 8"/>
    <w:basedOn w:val="1"/>
    <w:next w:val="1"/>
    <w:unhideWhenUsed/>
    <w:qFormat/>
    <w:uiPriority w:val="0"/>
    <w:pPr>
      <w:ind w:left="2940" w:leftChars="1400"/>
    </w:pPr>
    <w:rPr>
      <w:rFonts w:cs="宋体"/>
      <w:sz w:val="24"/>
    </w:rPr>
  </w:style>
  <w:style w:type="paragraph" w:styleId="30">
    <w:name w:val="Date"/>
    <w:basedOn w:val="1"/>
    <w:next w:val="1"/>
    <w:link w:val="75"/>
    <w:qFormat/>
    <w:uiPriority w:val="0"/>
    <w:pPr>
      <w:ind w:left="2500" w:leftChars="2500"/>
    </w:pPr>
    <w:rPr>
      <w:rFonts w:eastAsia="楷体_GB2312" w:asciiTheme="minorHAnsi" w:hAnsiTheme="minorHAnsi" w:cstheme="minorBidi"/>
      <w:sz w:val="32"/>
      <w:szCs w:val="22"/>
    </w:rPr>
  </w:style>
  <w:style w:type="paragraph" w:styleId="31">
    <w:name w:val="Body Text Indent 2"/>
    <w:basedOn w:val="1"/>
    <w:link w:val="76"/>
    <w:qFormat/>
    <w:uiPriority w:val="0"/>
    <w:pPr>
      <w:snapToGrid w:val="0"/>
      <w:ind w:firstLine="542" w:firstLineChars="225"/>
    </w:pPr>
    <w:rPr>
      <w:rFonts w:ascii="仿宋_GB2312" w:hAnsi="宋体" w:cs="Arial" w:eastAsiaTheme="minorEastAsia"/>
      <w:b/>
      <w:bCs/>
      <w:color w:val="000000"/>
      <w:sz w:val="24"/>
    </w:rPr>
  </w:style>
  <w:style w:type="paragraph" w:styleId="32">
    <w:name w:val="Balloon Text"/>
    <w:basedOn w:val="1"/>
    <w:link w:val="77"/>
    <w:qFormat/>
    <w:uiPriority w:val="99"/>
    <w:rPr>
      <w:rFonts w:asciiTheme="minorHAnsi" w:hAnsiTheme="minorHAnsi" w:eastAsiaTheme="minorEastAsia" w:cstheme="minorBidi"/>
      <w:sz w:val="18"/>
      <w:szCs w:val="18"/>
    </w:rPr>
  </w:style>
  <w:style w:type="paragraph" w:styleId="33">
    <w:name w:val="footer"/>
    <w:basedOn w:val="1"/>
    <w:link w:val="78"/>
    <w:qFormat/>
    <w:uiPriority w:val="99"/>
    <w:pPr>
      <w:tabs>
        <w:tab w:val="center" w:pos="4153"/>
        <w:tab w:val="right" w:pos="8306"/>
      </w:tabs>
      <w:snapToGrid w:val="0"/>
      <w:jc w:val="left"/>
    </w:pPr>
    <w:rPr>
      <w:rFonts w:eastAsia="黑体" w:asciiTheme="minorHAnsi" w:hAnsiTheme="minorHAnsi" w:cstheme="minorBidi"/>
      <w:snapToGrid w:val="0"/>
      <w:sz w:val="18"/>
      <w:szCs w:val="18"/>
    </w:rPr>
  </w:style>
  <w:style w:type="paragraph" w:styleId="34">
    <w:name w:val="header"/>
    <w:basedOn w:val="1"/>
    <w:link w:val="79"/>
    <w:qFormat/>
    <w:uiPriority w:val="0"/>
    <w:pPr>
      <w:pBdr>
        <w:bottom w:val="single" w:color="auto" w:sz="6" w:space="1"/>
      </w:pBdr>
      <w:tabs>
        <w:tab w:val="center" w:pos="4153"/>
        <w:tab w:val="right" w:pos="8306"/>
      </w:tabs>
      <w:snapToGrid w:val="0"/>
      <w:jc w:val="center"/>
    </w:pPr>
    <w:rPr>
      <w:rFonts w:eastAsia="仿宋_GB2312" w:asciiTheme="minorHAnsi" w:hAnsiTheme="minorHAnsi" w:cstheme="minorBidi"/>
      <w:sz w:val="18"/>
      <w:szCs w:val="22"/>
    </w:rPr>
  </w:style>
  <w:style w:type="paragraph" w:styleId="35">
    <w:name w:val="toc 1"/>
    <w:basedOn w:val="1"/>
    <w:next w:val="1"/>
    <w:qFormat/>
    <w:uiPriority w:val="39"/>
  </w:style>
  <w:style w:type="paragraph" w:styleId="36">
    <w:name w:val="toc 4"/>
    <w:basedOn w:val="1"/>
    <w:next w:val="1"/>
    <w:unhideWhenUsed/>
    <w:qFormat/>
    <w:uiPriority w:val="0"/>
    <w:pPr>
      <w:ind w:left="1260" w:leftChars="600"/>
    </w:pPr>
    <w:rPr>
      <w:rFonts w:cs="宋体"/>
      <w:sz w:val="24"/>
    </w:rPr>
  </w:style>
  <w:style w:type="paragraph" w:styleId="37">
    <w:name w:val="Subtitle"/>
    <w:basedOn w:val="1"/>
    <w:next w:val="1"/>
    <w:link w:val="80"/>
    <w:qFormat/>
    <w:uiPriority w:val="0"/>
    <w:pPr>
      <w:jc w:val="left"/>
    </w:pPr>
    <w:rPr>
      <w:rFonts w:ascii="Cambria" w:hAnsi="Cambria" w:cs="宋体" w:eastAsiaTheme="minorEastAsia"/>
      <w:bCs/>
      <w:kern w:val="28"/>
      <w:sz w:val="18"/>
      <w:szCs w:val="32"/>
    </w:rPr>
  </w:style>
  <w:style w:type="paragraph" w:styleId="38">
    <w:name w:val="List"/>
    <w:basedOn w:val="1"/>
    <w:link w:val="357"/>
    <w:qFormat/>
    <w:uiPriority w:val="0"/>
    <w:pPr>
      <w:ind w:left="200" w:hanging="200" w:hangingChars="200"/>
    </w:pPr>
    <w:rPr>
      <w:sz w:val="28"/>
    </w:rPr>
  </w:style>
  <w:style w:type="paragraph" w:styleId="39">
    <w:name w:val="toc 6"/>
    <w:basedOn w:val="1"/>
    <w:next w:val="1"/>
    <w:unhideWhenUsed/>
    <w:qFormat/>
    <w:uiPriority w:val="0"/>
    <w:pPr>
      <w:ind w:left="2100" w:leftChars="1000"/>
    </w:pPr>
    <w:rPr>
      <w:rFonts w:cs="宋体"/>
      <w:sz w:val="24"/>
    </w:rPr>
  </w:style>
  <w:style w:type="paragraph" w:styleId="40">
    <w:name w:val="Body Text Indent 3"/>
    <w:basedOn w:val="1"/>
    <w:link w:val="81"/>
    <w:qFormat/>
    <w:uiPriority w:val="0"/>
    <w:pPr>
      <w:snapToGrid w:val="0"/>
      <w:ind w:firstLine="480" w:firstLineChars="200"/>
      <w:jc w:val="left"/>
    </w:pPr>
    <w:rPr>
      <w:rFonts w:ascii="仿宋_GB2312" w:hAnsi="宋体" w:eastAsia="仿宋_GB2312" w:cstheme="minorBidi"/>
      <w:color w:val="000000"/>
      <w:sz w:val="24"/>
    </w:rPr>
  </w:style>
  <w:style w:type="paragraph" w:styleId="41">
    <w:name w:val="toc 2"/>
    <w:basedOn w:val="1"/>
    <w:next w:val="1"/>
    <w:qFormat/>
    <w:uiPriority w:val="39"/>
    <w:pPr>
      <w:ind w:left="420" w:leftChars="200"/>
    </w:pPr>
  </w:style>
  <w:style w:type="paragraph" w:styleId="42">
    <w:name w:val="toc 9"/>
    <w:basedOn w:val="1"/>
    <w:next w:val="1"/>
    <w:unhideWhenUsed/>
    <w:qFormat/>
    <w:uiPriority w:val="0"/>
    <w:pPr>
      <w:ind w:left="3360" w:leftChars="1600"/>
    </w:pPr>
    <w:rPr>
      <w:rFonts w:cs="宋体"/>
      <w:sz w:val="24"/>
    </w:rPr>
  </w:style>
  <w:style w:type="paragraph" w:styleId="43">
    <w:name w:val="Body Text 2"/>
    <w:basedOn w:val="1"/>
    <w:link w:val="82"/>
    <w:qFormat/>
    <w:uiPriority w:val="0"/>
    <w:pPr>
      <w:widowControl/>
      <w:snapToGrid w:val="0"/>
      <w:spacing w:before="50" w:afterLines="50" w:line="400" w:lineRule="exact"/>
      <w:jc w:val="left"/>
    </w:pPr>
    <w:rPr>
      <w:rFonts w:ascii="宋体" w:hAnsi="宋体" w:eastAsiaTheme="minorEastAsia" w:cstheme="minorBidi"/>
      <w:color w:val="000000"/>
      <w:sz w:val="24"/>
    </w:rPr>
  </w:style>
  <w:style w:type="paragraph" w:styleId="44">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45">
    <w:name w:val="Title"/>
    <w:basedOn w:val="1"/>
    <w:next w:val="1"/>
    <w:link w:val="83"/>
    <w:qFormat/>
    <w:uiPriority w:val="0"/>
    <w:pPr>
      <w:spacing w:before="240" w:after="60"/>
      <w:jc w:val="center"/>
      <w:outlineLvl w:val="0"/>
    </w:pPr>
    <w:rPr>
      <w:rFonts w:ascii="Calibri Light" w:hAnsi="Calibri Light" w:eastAsiaTheme="minorEastAsia" w:cstheme="minorBidi"/>
      <w:b/>
      <w:bCs/>
      <w:sz w:val="32"/>
      <w:szCs w:val="32"/>
    </w:rPr>
  </w:style>
  <w:style w:type="paragraph" w:styleId="46">
    <w:name w:val="annotation subject"/>
    <w:basedOn w:val="19"/>
    <w:next w:val="19"/>
    <w:link w:val="84"/>
    <w:qFormat/>
    <w:uiPriority w:val="0"/>
    <w:rPr>
      <w:rFonts w:asciiTheme="minorHAnsi" w:hAnsiTheme="minorHAnsi" w:eastAsiaTheme="minorEastAsia" w:cstheme="minorBidi"/>
      <w:b/>
      <w:bCs/>
    </w:rPr>
  </w:style>
  <w:style w:type="paragraph" w:styleId="47">
    <w:name w:val="Body Text First Indent"/>
    <w:basedOn w:val="21"/>
    <w:link w:val="366"/>
    <w:unhideWhenUsed/>
    <w:qFormat/>
    <w:uiPriority w:val="99"/>
    <w:pPr>
      <w:ind w:firstLine="420" w:firstLineChars="100"/>
    </w:pPr>
    <w:rPr>
      <w:rFonts w:ascii="Calibri" w:hAnsi="Calibri" w:eastAsia="宋体" w:cs="Times New Roman"/>
      <w:kern w:val="0"/>
      <w:sz w:val="21"/>
    </w:rPr>
  </w:style>
  <w:style w:type="paragraph" w:styleId="48">
    <w:name w:val="Body Text First Indent 2"/>
    <w:basedOn w:val="22"/>
    <w:link w:val="59"/>
    <w:qFormat/>
    <w:uiPriority w:val="0"/>
    <w:pPr>
      <w:ind w:firstLine="420" w:firstLineChars="200"/>
    </w:pPr>
    <w:rPr>
      <w:rFonts w:ascii="宋体" w:hAnsi="Courier New" w:eastAsiaTheme="minorEastAsia" w:cstheme="minorBidi"/>
      <w:spacing w:val="-4"/>
    </w:rPr>
  </w:style>
  <w:style w:type="table" w:styleId="50">
    <w:name w:val="Table Grid"/>
    <w:basedOn w:val="49"/>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2">
    <w:name w:val="Strong"/>
    <w:qFormat/>
    <w:uiPriority w:val="22"/>
    <w:rPr>
      <w:b/>
      <w:bCs/>
    </w:rPr>
  </w:style>
  <w:style w:type="character" w:styleId="53">
    <w:name w:val="page number"/>
    <w:basedOn w:val="51"/>
    <w:qFormat/>
    <w:uiPriority w:val="0"/>
  </w:style>
  <w:style w:type="character" w:styleId="54">
    <w:name w:val="FollowedHyperlink"/>
    <w:qFormat/>
    <w:uiPriority w:val="0"/>
    <w:rPr>
      <w:color w:val="800080"/>
      <w:u w:val="single"/>
    </w:rPr>
  </w:style>
  <w:style w:type="character" w:styleId="55">
    <w:name w:val="Emphasis"/>
    <w:qFormat/>
    <w:uiPriority w:val="20"/>
    <w:rPr>
      <w:i/>
      <w:iCs/>
    </w:rPr>
  </w:style>
  <w:style w:type="character" w:styleId="56">
    <w:name w:val="Hyperlink"/>
    <w:qFormat/>
    <w:uiPriority w:val="99"/>
    <w:rPr>
      <w:color w:val="0000FF"/>
      <w:u w:val="single"/>
    </w:rPr>
  </w:style>
  <w:style w:type="character" w:styleId="57">
    <w:name w:val="annotation reference"/>
    <w:qFormat/>
    <w:uiPriority w:val="0"/>
    <w:rPr>
      <w:sz w:val="21"/>
      <w:szCs w:val="21"/>
    </w:rPr>
  </w:style>
  <w:style w:type="character" w:customStyle="1" w:styleId="58">
    <w:name w:val="正文文本缩进 Char3"/>
    <w:basedOn w:val="51"/>
    <w:link w:val="22"/>
    <w:qFormat/>
    <w:uiPriority w:val="99"/>
    <w:rPr>
      <w:rFonts w:ascii="Calibri" w:hAnsi="Calibri" w:eastAsia="宋体" w:cs="Times New Roman"/>
      <w:szCs w:val="24"/>
    </w:rPr>
  </w:style>
  <w:style w:type="character" w:customStyle="1" w:styleId="59">
    <w:name w:val="正文首行缩进 2 Char2"/>
    <w:link w:val="48"/>
    <w:qFormat/>
    <w:uiPriority w:val="0"/>
    <w:rPr>
      <w:rFonts w:ascii="宋体" w:hAnsi="Courier New"/>
      <w:spacing w:val="-4"/>
      <w:szCs w:val="24"/>
    </w:rPr>
  </w:style>
  <w:style w:type="character" w:customStyle="1" w:styleId="60">
    <w:name w:val="标题 1 Char1"/>
    <w:link w:val="3"/>
    <w:qFormat/>
    <w:uiPriority w:val="0"/>
    <w:rPr>
      <w:rFonts w:ascii="Calibri" w:hAnsi="Calibri" w:eastAsia="宋体" w:cs="Times New Roman"/>
      <w:b/>
      <w:bCs/>
      <w:kern w:val="44"/>
      <w:sz w:val="32"/>
      <w:szCs w:val="44"/>
      <w:lang w:val="zh-CN" w:eastAsia="zh-CN"/>
    </w:rPr>
  </w:style>
  <w:style w:type="character" w:customStyle="1" w:styleId="61">
    <w:name w:val="标题 2 Char2"/>
    <w:link w:val="4"/>
    <w:qFormat/>
    <w:uiPriority w:val="9"/>
    <w:rPr>
      <w:rFonts w:ascii="Arial" w:hAnsi="Arial" w:eastAsia="黑体" w:cs="Times New Roman"/>
      <w:b/>
      <w:bCs/>
      <w:sz w:val="32"/>
      <w:szCs w:val="32"/>
      <w:lang w:val="zh-CN" w:eastAsia="zh-CN"/>
    </w:rPr>
  </w:style>
  <w:style w:type="character" w:customStyle="1" w:styleId="62">
    <w:name w:val="标题 3 Char1"/>
    <w:link w:val="5"/>
    <w:qFormat/>
    <w:uiPriority w:val="9"/>
    <w:rPr>
      <w:rFonts w:ascii="Calibri" w:hAnsi="Calibri" w:eastAsia="宋体" w:cs="Times New Roman"/>
      <w:b/>
      <w:bCs/>
      <w:sz w:val="32"/>
      <w:szCs w:val="32"/>
      <w:lang w:val="zh-CN" w:eastAsia="zh-CN"/>
    </w:rPr>
  </w:style>
  <w:style w:type="character" w:customStyle="1" w:styleId="63">
    <w:name w:val="标题 4 Char1"/>
    <w:link w:val="6"/>
    <w:qFormat/>
    <w:uiPriority w:val="0"/>
    <w:rPr>
      <w:rFonts w:ascii="Arial" w:hAnsi="Arial" w:eastAsia="黑体" w:cs="Times New Roman"/>
      <w:b/>
      <w:bCs/>
      <w:kern w:val="0"/>
      <w:sz w:val="28"/>
      <w:szCs w:val="28"/>
      <w:lang w:val="zh-CN" w:eastAsia="zh-CN"/>
    </w:rPr>
  </w:style>
  <w:style w:type="character" w:customStyle="1" w:styleId="64">
    <w:name w:val="标题 5 Char1"/>
    <w:link w:val="7"/>
    <w:qFormat/>
    <w:uiPriority w:val="0"/>
    <w:rPr>
      <w:rFonts w:ascii="楷体_GB2312" w:hAnsi="Calibri" w:eastAsia="楷体_GB2312" w:cs="Times New Roman"/>
      <w:b/>
      <w:bCs/>
      <w:kern w:val="0"/>
      <w:sz w:val="24"/>
      <w:szCs w:val="28"/>
      <w:lang w:val="zh-CN" w:eastAsia="zh-CN"/>
    </w:rPr>
  </w:style>
  <w:style w:type="character" w:customStyle="1" w:styleId="65">
    <w:name w:val="标题 6 Char1"/>
    <w:link w:val="8"/>
    <w:qFormat/>
    <w:uiPriority w:val="0"/>
    <w:rPr>
      <w:rFonts w:ascii="Calibri" w:hAnsi="Calibri" w:eastAsia="宋体" w:cs="Times New Roman"/>
      <w:kern w:val="0"/>
      <w:sz w:val="24"/>
      <w:szCs w:val="20"/>
      <w:lang w:val="zh-CN" w:eastAsia="zh-CN"/>
    </w:rPr>
  </w:style>
  <w:style w:type="character" w:customStyle="1" w:styleId="66">
    <w:name w:val="标题 7 Char1"/>
    <w:link w:val="9"/>
    <w:qFormat/>
    <w:uiPriority w:val="0"/>
    <w:rPr>
      <w:rFonts w:ascii="Calibri" w:hAnsi="Calibri" w:eastAsia="宋体" w:cs="Times New Roman"/>
      <w:kern w:val="0"/>
      <w:sz w:val="24"/>
      <w:szCs w:val="20"/>
      <w:lang w:val="zh-CN" w:eastAsia="zh-CN"/>
    </w:rPr>
  </w:style>
  <w:style w:type="character" w:customStyle="1" w:styleId="67">
    <w:name w:val="标题 8 Char1"/>
    <w:link w:val="10"/>
    <w:qFormat/>
    <w:uiPriority w:val="0"/>
    <w:rPr>
      <w:rFonts w:ascii="Calibri" w:hAnsi="Calibri" w:eastAsia="宋体" w:cs="Times New Roman"/>
      <w:kern w:val="0"/>
      <w:sz w:val="24"/>
      <w:szCs w:val="20"/>
      <w:lang w:val="zh-CN" w:eastAsia="zh-CN"/>
    </w:rPr>
  </w:style>
  <w:style w:type="character" w:customStyle="1" w:styleId="68">
    <w:name w:val="标题 9 Char1"/>
    <w:link w:val="11"/>
    <w:qFormat/>
    <w:uiPriority w:val="0"/>
    <w:rPr>
      <w:rFonts w:ascii="Calibri" w:hAnsi="Calibri" w:eastAsia="宋体" w:cs="Times New Roman"/>
      <w:kern w:val="0"/>
      <w:sz w:val="24"/>
      <w:szCs w:val="20"/>
      <w:lang w:val="zh-CN" w:eastAsia="zh-CN"/>
    </w:rPr>
  </w:style>
  <w:style w:type="character" w:customStyle="1" w:styleId="69">
    <w:name w:val="正文缩进 Char1"/>
    <w:link w:val="16"/>
    <w:qFormat/>
    <w:uiPriority w:val="0"/>
    <w:rPr>
      <w:rFonts w:eastAsia="宋体"/>
    </w:rPr>
  </w:style>
  <w:style w:type="character" w:customStyle="1" w:styleId="70">
    <w:name w:val="文档结构图 Char3"/>
    <w:link w:val="18"/>
    <w:qFormat/>
    <w:uiPriority w:val="0"/>
    <w:rPr>
      <w:rFonts w:ascii="宋体"/>
      <w:sz w:val="18"/>
      <w:szCs w:val="18"/>
    </w:rPr>
  </w:style>
  <w:style w:type="character" w:customStyle="1" w:styleId="71">
    <w:name w:val="批注文字 Char3"/>
    <w:basedOn w:val="51"/>
    <w:link w:val="19"/>
    <w:semiHidden/>
    <w:qFormat/>
    <w:uiPriority w:val="99"/>
    <w:rPr>
      <w:rFonts w:ascii="Calibri" w:hAnsi="Calibri" w:eastAsia="宋体" w:cs="Times New Roman"/>
      <w:szCs w:val="24"/>
    </w:rPr>
  </w:style>
  <w:style w:type="character" w:customStyle="1" w:styleId="72">
    <w:name w:val="正文文本 3 Char3"/>
    <w:link w:val="20"/>
    <w:qFormat/>
    <w:uiPriority w:val="0"/>
    <w:rPr>
      <w:rFonts w:hAnsi="宋体" w:eastAsia="仿宋_GB2312"/>
      <w:b/>
      <w:bCs/>
      <w:sz w:val="24"/>
    </w:rPr>
  </w:style>
  <w:style w:type="character" w:customStyle="1" w:styleId="73">
    <w:name w:val="正文文本 Char3"/>
    <w:link w:val="21"/>
    <w:qFormat/>
    <w:uiPriority w:val="0"/>
    <w:rPr>
      <w:sz w:val="28"/>
      <w:szCs w:val="24"/>
    </w:rPr>
  </w:style>
  <w:style w:type="character" w:customStyle="1" w:styleId="74">
    <w:name w:val="纯文本 Char5"/>
    <w:link w:val="28"/>
    <w:qFormat/>
    <w:uiPriority w:val="0"/>
    <w:rPr>
      <w:rFonts w:ascii="宋体" w:hAnsi="Courier New" w:eastAsia="宋体"/>
      <w:sz w:val="24"/>
      <w:szCs w:val="24"/>
    </w:rPr>
  </w:style>
  <w:style w:type="character" w:customStyle="1" w:styleId="75">
    <w:name w:val="日期 Char3"/>
    <w:link w:val="30"/>
    <w:qFormat/>
    <w:uiPriority w:val="0"/>
    <w:rPr>
      <w:rFonts w:eastAsia="楷体_GB2312"/>
      <w:sz w:val="32"/>
    </w:rPr>
  </w:style>
  <w:style w:type="character" w:customStyle="1" w:styleId="76">
    <w:name w:val="正文文本缩进 2 Char3"/>
    <w:link w:val="31"/>
    <w:qFormat/>
    <w:uiPriority w:val="0"/>
    <w:rPr>
      <w:rFonts w:ascii="仿宋_GB2312" w:hAnsi="宋体" w:cs="Arial"/>
      <w:b/>
      <w:bCs/>
      <w:color w:val="000000"/>
      <w:sz w:val="24"/>
      <w:szCs w:val="24"/>
    </w:rPr>
  </w:style>
  <w:style w:type="character" w:customStyle="1" w:styleId="77">
    <w:name w:val="批注框文本 Char3"/>
    <w:link w:val="32"/>
    <w:qFormat/>
    <w:locked/>
    <w:uiPriority w:val="99"/>
    <w:rPr>
      <w:sz w:val="18"/>
      <w:szCs w:val="18"/>
    </w:rPr>
  </w:style>
  <w:style w:type="character" w:customStyle="1" w:styleId="78">
    <w:name w:val="页脚 Char3"/>
    <w:link w:val="33"/>
    <w:qFormat/>
    <w:locked/>
    <w:uiPriority w:val="99"/>
    <w:rPr>
      <w:rFonts w:eastAsia="黑体"/>
      <w:snapToGrid w:val="0"/>
      <w:sz w:val="18"/>
      <w:szCs w:val="18"/>
    </w:rPr>
  </w:style>
  <w:style w:type="character" w:customStyle="1" w:styleId="79">
    <w:name w:val="页眉 Char3"/>
    <w:link w:val="34"/>
    <w:qFormat/>
    <w:uiPriority w:val="99"/>
    <w:rPr>
      <w:rFonts w:eastAsia="仿宋_GB2312"/>
      <w:sz w:val="18"/>
    </w:rPr>
  </w:style>
  <w:style w:type="character" w:customStyle="1" w:styleId="80">
    <w:name w:val="副标题 Char3"/>
    <w:link w:val="37"/>
    <w:qFormat/>
    <w:uiPriority w:val="0"/>
    <w:rPr>
      <w:rFonts w:ascii="Cambria" w:hAnsi="Cambria" w:cs="宋体"/>
      <w:bCs/>
      <w:kern w:val="28"/>
      <w:sz w:val="18"/>
      <w:szCs w:val="32"/>
    </w:rPr>
  </w:style>
  <w:style w:type="character" w:customStyle="1" w:styleId="81">
    <w:name w:val="正文文本缩进 3 Char3"/>
    <w:link w:val="40"/>
    <w:qFormat/>
    <w:uiPriority w:val="0"/>
    <w:rPr>
      <w:rFonts w:ascii="仿宋_GB2312" w:hAnsi="宋体" w:eastAsia="仿宋_GB2312"/>
      <w:color w:val="000000"/>
      <w:sz w:val="24"/>
      <w:szCs w:val="24"/>
    </w:rPr>
  </w:style>
  <w:style w:type="character" w:customStyle="1" w:styleId="82">
    <w:name w:val="正文文本 2 Char3"/>
    <w:link w:val="43"/>
    <w:qFormat/>
    <w:uiPriority w:val="0"/>
    <w:rPr>
      <w:rFonts w:ascii="宋体" w:hAnsi="宋体"/>
      <w:color w:val="000000"/>
      <w:sz w:val="24"/>
      <w:szCs w:val="24"/>
    </w:rPr>
  </w:style>
  <w:style w:type="character" w:customStyle="1" w:styleId="83">
    <w:name w:val="标题 Char4"/>
    <w:link w:val="45"/>
    <w:qFormat/>
    <w:uiPriority w:val="0"/>
    <w:rPr>
      <w:rFonts w:ascii="Calibri Light" w:hAnsi="Calibri Light"/>
      <w:b/>
      <w:bCs/>
      <w:sz w:val="32"/>
      <w:szCs w:val="32"/>
    </w:rPr>
  </w:style>
  <w:style w:type="character" w:customStyle="1" w:styleId="84">
    <w:name w:val="批注主题 Char4"/>
    <w:link w:val="46"/>
    <w:qFormat/>
    <w:uiPriority w:val="0"/>
    <w:rPr>
      <w:b/>
      <w:bCs/>
      <w:szCs w:val="24"/>
    </w:rPr>
  </w:style>
  <w:style w:type="character" w:customStyle="1" w:styleId="85">
    <w:name w:val="标题 1 Char"/>
    <w:basedOn w:val="51"/>
    <w:qFormat/>
    <w:uiPriority w:val="9"/>
    <w:rPr>
      <w:rFonts w:ascii="Calibri" w:hAnsi="Calibri" w:eastAsia="宋体" w:cs="Times New Roman"/>
      <w:b/>
      <w:bCs/>
      <w:kern w:val="44"/>
      <w:sz w:val="44"/>
      <w:szCs w:val="44"/>
    </w:rPr>
  </w:style>
  <w:style w:type="character" w:customStyle="1" w:styleId="86">
    <w:name w:val="标题 2 Char"/>
    <w:basedOn w:val="51"/>
    <w:qFormat/>
    <w:uiPriority w:val="9"/>
    <w:rPr>
      <w:rFonts w:asciiTheme="majorHAnsi" w:hAnsiTheme="majorHAnsi" w:eastAsiaTheme="majorEastAsia" w:cstheme="majorBidi"/>
      <w:b/>
      <w:bCs/>
      <w:sz w:val="32"/>
      <w:szCs w:val="32"/>
    </w:rPr>
  </w:style>
  <w:style w:type="character" w:customStyle="1" w:styleId="87">
    <w:name w:val="标题 3 Char"/>
    <w:basedOn w:val="51"/>
    <w:qFormat/>
    <w:uiPriority w:val="9"/>
    <w:rPr>
      <w:rFonts w:ascii="Calibri" w:hAnsi="Calibri" w:eastAsia="宋体" w:cs="Times New Roman"/>
      <w:b/>
      <w:bCs/>
      <w:sz w:val="32"/>
      <w:szCs w:val="32"/>
    </w:rPr>
  </w:style>
  <w:style w:type="character" w:customStyle="1" w:styleId="88">
    <w:name w:val="标题 4 Char"/>
    <w:basedOn w:val="51"/>
    <w:qFormat/>
    <w:uiPriority w:val="0"/>
    <w:rPr>
      <w:rFonts w:asciiTheme="majorHAnsi" w:hAnsiTheme="majorHAnsi" w:eastAsiaTheme="majorEastAsia" w:cstheme="majorBidi"/>
      <w:b/>
      <w:bCs/>
      <w:sz w:val="28"/>
      <w:szCs w:val="28"/>
    </w:rPr>
  </w:style>
  <w:style w:type="character" w:customStyle="1" w:styleId="89">
    <w:name w:val="标题 5 Char"/>
    <w:basedOn w:val="51"/>
    <w:qFormat/>
    <w:uiPriority w:val="0"/>
    <w:rPr>
      <w:rFonts w:ascii="Calibri" w:hAnsi="Calibri" w:eastAsia="宋体" w:cs="Times New Roman"/>
      <w:b/>
      <w:bCs/>
      <w:sz w:val="28"/>
      <w:szCs w:val="28"/>
    </w:rPr>
  </w:style>
  <w:style w:type="character" w:customStyle="1" w:styleId="90">
    <w:name w:val="标题 6 Char"/>
    <w:basedOn w:val="51"/>
    <w:qFormat/>
    <w:uiPriority w:val="0"/>
    <w:rPr>
      <w:rFonts w:asciiTheme="majorHAnsi" w:hAnsiTheme="majorHAnsi" w:eastAsiaTheme="majorEastAsia" w:cstheme="majorBidi"/>
      <w:b/>
      <w:bCs/>
      <w:sz w:val="24"/>
      <w:szCs w:val="24"/>
    </w:rPr>
  </w:style>
  <w:style w:type="character" w:customStyle="1" w:styleId="91">
    <w:name w:val="标题 7 Char"/>
    <w:basedOn w:val="51"/>
    <w:qFormat/>
    <w:uiPriority w:val="0"/>
    <w:rPr>
      <w:rFonts w:ascii="Calibri" w:hAnsi="Calibri" w:eastAsia="宋体" w:cs="Times New Roman"/>
      <w:b/>
      <w:bCs/>
      <w:sz w:val="24"/>
      <w:szCs w:val="24"/>
    </w:rPr>
  </w:style>
  <w:style w:type="character" w:customStyle="1" w:styleId="92">
    <w:name w:val="标题 8 Char"/>
    <w:basedOn w:val="51"/>
    <w:qFormat/>
    <w:uiPriority w:val="0"/>
    <w:rPr>
      <w:rFonts w:asciiTheme="majorHAnsi" w:hAnsiTheme="majorHAnsi" w:eastAsiaTheme="majorEastAsia" w:cstheme="majorBidi"/>
      <w:sz w:val="24"/>
      <w:szCs w:val="24"/>
    </w:rPr>
  </w:style>
  <w:style w:type="character" w:customStyle="1" w:styleId="93">
    <w:name w:val="标题 9 Char"/>
    <w:basedOn w:val="51"/>
    <w:qFormat/>
    <w:uiPriority w:val="0"/>
    <w:rPr>
      <w:rFonts w:asciiTheme="majorHAnsi" w:hAnsiTheme="majorHAnsi" w:eastAsiaTheme="majorEastAsia" w:cstheme="majorBidi"/>
      <w:szCs w:val="21"/>
    </w:rPr>
  </w:style>
  <w:style w:type="character" w:customStyle="1" w:styleId="94">
    <w:name w:val="纯文本 字符"/>
    <w:qFormat/>
    <w:uiPriority w:val="0"/>
    <w:rPr>
      <w:rFonts w:ascii="宋体" w:hAnsi="Courier New" w:eastAsia="宋体"/>
      <w:kern w:val="2"/>
      <w:sz w:val="21"/>
      <w:lang w:val="en-US" w:eastAsia="zh-CN" w:bidi="ar-SA"/>
    </w:rPr>
  </w:style>
  <w:style w:type="character" w:customStyle="1" w:styleId="95">
    <w:name w:val="列出段落 Char1"/>
    <w:link w:val="96"/>
    <w:qFormat/>
    <w:uiPriority w:val="34"/>
    <w:rPr>
      <w:rFonts w:ascii="Calibri" w:hAnsi="Calibri"/>
      <w:sz w:val="24"/>
    </w:rPr>
  </w:style>
  <w:style w:type="paragraph" w:styleId="96">
    <w:name w:val="List Paragraph"/>
    <w:basedOn w:val="1"/>
    <w:link w:val="95"/>
    <w:qFormat/>
    <w:uiPriority w:val="34"/>
    <w:pPr>
      <w:spacing w:line="360" w:lineRule="auto"/>
      <w:ind w:firstLine="420" w:firstLineChars="200"/>
    </w:pPr>
    <w:rPr>
      <w:rFonts w:eastAsiaTheme="minorEastAsia" w:cstheme="minorBidi"/>
      <w:sz w:val="24"/>
      <w:szCs w:val="22"/>
    </w:rPr>
  </w:style>
  <w:style w:type="character" w:customStyle="1" w:styleId="97">
    <w:name w:val="日期 Char1"/>
    <w:qFormat/>
    <w:uiPriority w:val="0"/>
    <w:rPr>
      <w:kern w:val="2"/>
      <w:sz w:val="21"/>
      <w:szCs w:val="24"/>
    </w:rPr>
  </w:style>
  <w:style w:type="character" w:customStyle="1" w:styleId="98">
    <w:name w:val="正文文本 Char1"/>
    <w:qFormat/>
    <w:uiPriority w:val="0"/>
    <w:rPr>
      <w:kern w:val="2"/>
      <w:sz w:val="21"/>
      <w:szCs w:val="24"/>
    </w:rPr>
  </w:style>
  <w:style w:type="character" w:customStyle="1" w:styleId="99">
    <w:name w:val="para1"/>
    <w:qFormat/>
    <w:uiPriority w:val="99"/>
    <w:rPr>
      <w:rFonts w:hint="default" w:ascii="Arial" w:hAnsi="Arial" w:cs="Arial"/>
      <w:sz w:val="18"/>
      <w:szCs w:val="18"/>
    </w:rPr>
  </w:style>
  <w:style w:type="character" w:customStyle="1" w:styleId="100">
    <w:name w:val="页脚 Char"/>
    <w:qFormat/>
    <w:locked/>
    <w:uiPriority w:val="99"/>
    <w:rPr>
      <w:rFonts w:eastAsia="黑体"/>
      <w:snapToGrid w:val="0"/>
      <w:sz w:val="18"/>
      <w:szCs w:val="18"/>
    </w:rPr>
  </w:style>
  <w:style w:type="character" w:customStyle="1" w:styleId="101">
    <w:name w:val="font31"/>
    <w:qFormat/>
    <w:uiPriority w:val="0"/>
    <w:rPr>
      <w:rFonts w:hint="default" w:ascii="Times New Roman" w:hAnsi="Times New Roman" w:cs="Times New Roman"/>
      <w:b/>
      <w:color w:val="000000"/>
      <w:sz w:val="24"/>
      <w:szCs w:val="24"/>
      <w:u w:val="none"/>
    </w:rPr>
  </w:style>
  <w:style w:type="character" w:customStyle="1" w:styleId="102">
    <w:name w:val="font91"/>
    <w:qFormat/>
    <w:uiPriority w:val="0"/>
    <w:rPr>
      <w:rFonts w:hint="eastAsia" w:ascii="宋体" w:hAnsi="宋体" w:eastAsia="宋体" w:cs="宋体"/>
      <w:b/>
      <w:color w:val="000000"/>
      <w:sz w:val="24"/>
      <w:szCs w:val="24"/>
      <w:u w:val="none"/>
    </w:rPr>
  </w:style>
  <w:style w:type="character" w:customStyle="1" w:styleId="103">
    <w:name w:val="文档结构图 Char1"/>
    <w:semiHidden/>
    <w:qFormat/>
    <w:uiPriority w:val="99"/>
    <w:rPr>
      <w:rFonts w:hint="eastAsia" w:ascii="宋体" w:hAnsi="宋体" w:eastAsia="宋体"/>
      <w:kern w:val="2"/>
      <w:sz w:val="18"/>
      <w:szCs w:val="18"/>
    </w:rPr>
  </w:style>
  <w:style w:type="character" w:customStyle="1" w:styleId="104">
    <w:name w:val="正文2 Char Char"/>
    <w:qFormat/>
    <w:uiPriority w:val="0"/>
    <w:rPr>
      <w:rFonts w:hint="default" w:ascii="Times New Roman" w:hAnsi="Times New Roman" w:cs="Times New Roman"/>
      <w:kern w:val="2"/>
      <w:sz w:val="24"/>
    </w:rPr>
  </w:style>
  <w:style w:type="character" w:customStyle="1" w:styleId="105">
    <w:name w:val="批注主题 Char"/>
    <w:qFormat/>
    <w:uiPriority w:val="0"/>
    <w:rPr>
      <w:b/>
      <w:bCs/>
      <w:kern w:val="2"/>
      <w:sz w:val="21"/>
      <w:szCs w:val="24"/>
    </w:rPr>
  </w:style>
  <w:style w:type="character" w:customStyle="1" w:styleId="106">
    <w:name w:val="正文文本缩进 2 Char1"/>
    <w:qFormat/>
    <w:uiPriority w:val="0"/>
    <w:rPr>
      <w:kern w:val="2"/>
      <w:sz w:val="21"/>
      <w:szCs w:val="24"/>
    </w:rPr>
  </w:style>
  <w:style w:type="character" w:customStyle="1" w:styleId="107">
    <w:name w:val="huei12b1"/>
    <w:qFormat/>
    <w:uiPriority w:val="0"/>
    <w:rPr>
      <w:b/>
      <w:bCs/>
      <w:color w:val="333333"/>
      <w:sz w:val="20"/>
      <w:szCs w:val="20"/>
    </w:rPr>
  </w:style>
  <w:style w:type="character" w:customStyle="1" w:styleId="108">
    <w:name w:val="标题 3 字符1"/>
    <w:qFormat/>
    <w:uiPriority w:val="0"/>
    <w:rPr>
      <w:b/>
      <w:bCs/>
      <w:kern w:val="2"/>
      <w:sz w:val="32"/>
      <w:szCs w:val="32"/>
    </w:rPr>
  </w:style>
  <w:style w:type="character" w:customStyle="1" w:styleId="109">
    <w:name w:val="font61"/>
    <w:qFormat/>
    <w:uiPriority w:val="0"/>
    <w:rPr>
      <w:rFonts w:hint="default" w:ascii="Times New Roman" w:hAnsi="Times New Roman" w:cs="Times New Roman"/>
      <w:color w:val="000000"/>
      <w:sz w:val="24"/>
      <w:szCs w:val="24"/>
      <w:u w:val="none"/>
    </w:rPr>
  </w:style>
  <w:style w:type="character" w:customStyle="1" w:styleId="110">
    <w:name w:val="font81"/>
    <w:qFormat/>
    <w:uiPriority w:val="0"/>
    <w:rPr>
      <w:rFonts w:hint="default" w:ascii="Times New Roman" w:hAnsi="Times New Roman" w:cs="Times New Roman"/>
      <w:b/>
      <w:color w:val="000000"/>
      <w:sz w:val="24"/>
      <w:szCs w:val="24"/>
      <w:u w:val="none"/>
    </w:rPr>
  </w:style>
  <w:style w:type="character" w:customStyle="1" w:styleId="111">
    <w:name w:val="纯文本 字符1"/>
    <w:qFormat/>
    <w:uiPriority w:val="0"/>
    <w:rPr>
      <w:rFonts w:ascii="宋体" w:hAnsi="Courier New" w:eastAsia="宋体"/>
      <w:kern w:val="2"/>
      <w:sz w:val="24"/>
      <w:szCs w:val="24"/>
      <w:lang w:val="en-US" w:eastAsia="zh-CN" w:bidi="ar-SA"/>
    </w:rPr>
  </w:style>
  <w:style w:type="character" w:customStyle="1" w:styleId="112">
    <w:name w:val="font41"/>
    <w:qFormat/>
    <w:uiPriority w:val="0"/>
    <w:rPr>
      <w:rFonts w:ascii="Arial" w:hAnsi="Arial" w:cs="Arial"/>
      <w:color w:val="333333"/>
      <w:sz w:val="18"/>
      <w:szCs w:val="18"/>
      <w:u w:val="none"/>
    </w:rPr>
  </w:style>
  <w:style w:type="character" w:customStyle="1" w:styleId="113">
    <w:name w:val="标题 Char"/>
    <w:qFormat/>
    <w:uiPriority w:val="0"/>
    <w:rPr>
      <w:rFonts w:ascii="Cambria" w:hAnsi="Cambria" w:cs="Times New Roman"/>
      <w:b/>
      <w:bCs/>
      <w:kern w:val="2"/>
      <w:sz w:val="32"/>
      <w:szCs w:val="32"/>
    </w:rPr>
  </w:style>
  <w:style w:type="character" w:customStyle="1" w:styleId="114">
    <w:name w:val="页脚 Char1"/>
    <w:semiHidden/>
    <w:qFormat/>
    <w:uiPriority w:val="99"/>
    <w:rPr>
      <w:kern w:val="2"/>
      <w:sz w:val="18"/>
      <w:szCs w:val="18"/>
    </w:rPr>
  </w:style>
  <w:style w:type="character" w:customStyle="1" w:styleId="115">
    <w:name w:val="无"/>
    <w:qFormat/>
    <w:uiPriority w:val="0"/>
  </w:style>
  <w:style w:type="character" w:customStyle="1" w:styleId="116">
    <w:name w:val="标题 Char1"/>
    <w:qFormat/>
    <w:uiPriority w:val="10"/>
    <w:rPr>
      <w:rFonts w:ascii="Cambria" w:hAnsi="Cambria" w:cs="Times New Roman"/>
      <w:b/>
      <w:bCs/>
      <w:kern w:val="2"/>
      <w:sz w:val="32"/>
      <w:szCs w:val="32"/>
    </w:rPr>
  </w:style>
  <w:style w:type="character" w:customStyle="1" w:styleId="117">
    <w:name w:val="纯文本 Char2"/>
    <w:qFormat/>
    <w:uiPriority w:val="0"/>
    <w:rPr>
      <w:rFonts w:hint="eastAsia" w:ascii="宋体" w:hAnsi="Courier New" w:eastAsia="宋体" w:cs="Courier New"/>
      <w:kern w:val="2"/>
      <w:sz w:val="21"/>
      <w:szCs w:val="21"/>
    </w:rPr>
  </w:style>
  <w:style w:type="character" w:customStyle="1" w:styleId="118">
    <w:name w:val="批注主题 Char2"/>
    <w:qFormat/>
    <w:uiPriority w:val="0"/>
    <w:rPr>
      <w:b/>
      <w:bCs/>
      <w:kern w:val="2"/>
      <w:sz w:val="21"/>
      <w:szCs w:val="24"/>
    </w:rPr>
  </w:style>
  <w:style w:type="character" w:customStyle="1" w:styleId="119">
    <w:name w:val="列出段落 Char"/>
    <w:qFormat/>
    <w:uiPriority w:val="34"/>
    <w:rPr>
      <w:rFonts w:ascii="Calibri" w:hAnsi="Calibri"/>
      <w:kern w:val="2"/>
      <w:sz w:val="24"/>
      <w:szCs w:val="22"/>
    </w:rPr>
  </w:style>
  <w:style w:type="character" w:customStyle="1" w:styleId="120">
    <w:name w:val="批注主题 Char1"/>
    <w:qFormat/>
    <w:uiPriority w:val="0"/>
    <w:rPr>
      <w:b/>
      <w:bCs/>
      <w:kern w:val="2"/>
      <w:sz w:val="21"/>
      <w:szCs w:val="24"/>
    </w:rPr>
  </w:style>
  <w:style w:type="character" w:customStyle="1" w:styleId="121">
    <w:name w:val="批注文字 Char1"/>
    <w:qFormat/>
    <w:uiPriority w:val="0"/>
    <w:rPr>
      <w:kern w:val="2"/>
      <w:sz w:val="21"/>
      <w:szCs w:val="24"/>
    </w:rPr>
  </w:style>
  <w:style w:type="character" w:customStyle="1" w:styleId="122">
    <w:name w:val="段落行文 Char"/>
    <w:link w:val="123"/>
    <w:qFormat/>
    <w:locked/>
    <w:uiPriority w:val="0"/>
    <w:rPr>
      <w:rFonts w:ascii="仿宋_GB2312" w:eastAsia="仿宋_GB2312"/>
      <w:sz w:val="24"/>
      <w:szCs w:val="24"/>
    </w:rPr>
  </w:style>
  <w:style w:type="paragraph" w:customStyle="1" w:styleId="123">
    <w:name w:val="段落行文"/>
    <w:basedOn w:val="1"/>
    <w:link w:val="122"/>
    <w:qFormat/>
    <w:uiPriority w:val="0"/>
    <w:pPr>
      <w:adjustRightInd w:val="0"/>
      <w:snapToGrid w:val="0"/>
      <w:spacing w:line="480" w:lineRule="auto"/>
      <w:ind w:firstLine="480" w:firstLineChars="200"/>
    </w:pPr>
    <w:rPr>
      <w:rFonts w:ascii="仿宋_GB2312" w:eastAsia="仿宋_GB2312" w:hAnsiTheme="minorHAnsi" w:cstheme="minorBidi"/>
      <w:sz w:val="24"/>
    </w:rPr>
  </w:style>
  <w:style w:type="character" w:customStyle="1" w:styleId="124">
    <w:name w:val="标题 Char2"/>
    <w:qFormat/>
    <w:uiPriority w:val="0"/>
    <w:rPr>
      <w:rFonts w:ascii="Calibri Light" w:hAnsi="Calibri Light"/>
      <w:b/>
      <w:bCs/>
      <w:kern w:val="2"/>
      <w:sz w:val="32"/>
      <w:szCs w:val="32"/>
    </w:rPr>
  </w:style>
  <w:style w:type="character" w:customStyle="1" w:styleId="125">
    <w:name w:val="未处理的提及1"/>
    <w:unhideWhenUsed/>
    <w:qFormat/>
    <w:uiPriority w:val="99"/>
    <w:rPr>
      <w:color w:val="605E5C"/>
      <w:shd w:val="clear" w:color="auto" w:fill="E1DFDD"/>
    </w:rPr>
  </w:style>
  <w:style w:type="character" w:customStyle="1" w:styleId="126">
    <w:name w:val="Char Char"/>
    <w:qFormat/>
    <w:uiPriority w:val="0"/>
    <w:rPr>
      <w:rFonts w:ascii="宋体" w:hAnsi="Courier New" w:eastAsia="楷体_GB2312"/>
      <w:kern w:val="2"/>
      <w:sz w:val="26"/>
      <w:lang w:val="en-US" w:eastAsia="zh-CN" w:bidi="ar-SA"/>
    </w:rPr>
  </w:style>
  <w:style w:type="character" w:customStyle="1" w:styleId="127">
    <w:name w:val="font11"/>
    <w:qFormat/>
    <w:uiPriority w:val="0"/>
    <w:rPr>
      <w:rFonts w:hint="eastAsia" w:ascii="宋体" w:hAnsi="宋体" w:eastAsia="宋体" w:cs="宋体"/>
      <w:color w:val="000000"/>
      <w:sz w:val="24"/>
      <w:szCs w:val="24"/>
      <w:u w:val="none"/>
    </w:rPr>
  </w:style>
  <w:style w:type="character" w:customStyle="1" w:styleId="128">
    <w:name w:val="批注文字 Char"/>
    <w:qFormat/>
    <w:uiPriority w:val="0"/>
    <w:rPr>
      <w:kern w:val="2"/>
      <w:sz w:val="21"/>
      <w:szCs w:val="24"/>
    </w:rPr>
  </w:style>
  <w:style w:type="character" w:customStyle="1" w:styleId="129">
    <w:name w:val="正文文本缩进 3 Char"/>
    <w:qFormat/>
    <w:uiPriority w:val="0"/>
    <w:rPr>
      <w:rFonts w:ascii="仿宋_GB2312" w:hAnsi="宋体" w:eastAsia="仿宋_GB2312"/>
      <w:color w:val="000000"/>
      <w:kern w:val="2"/>
      <w:sz w:val="24"/>
      <w:szCs w:val="24"/>
    </w:rPr>
  </w:style>
  <w:style w:type="character" w:customStyle="1" w:styleId="130">
    <w:name w:val="正文文本缩进 Char1"/>
    <w:qFormat/>
    <w:uiPriority w:val="99"/>
    <w:rPr>
      <w:kern w:val="2"/>
      <w:sz w:val="21"/>
      <w:szCs w:val="24"/>
    </w:rPr>
  </w:style>
  <w:style w:type="character" w:customStyle="1" w:styleId="131">
    <w:name w:val="无间隔 Char"/>
    <w:link w:val="132"/>
    <w:qFormat/>
    <w:locked/>
    <w:uiPriority w:val="1"/>
    <w:rPr>
      <w:rFonts w:ascii="楷体_GB2312" w:eastAsia="楷体_GB2312"/>
      <w:sz w:val="24"/>
    </w:rPr>
  </w:style>
  <w:style w:type="paragraph" w:customStyle="1" w:styleId="132">
    <w:name w:val="无间隔11"/>
    <w:link w:val="131"/>
    <w:qFormat/>
    <w:uiPriority w:val="1"/>
    <w:pPr>
      <w:widowControl w:val="0"/>
      <w:jc w:val="both"/>
    </w:pPr>
    <w:rPr>
      <w:rFonts w:ascii="楷体_GB2312" w:eastAsia="楷体_GB2312" w:hAnsiTheme="minorHAnsi" w:cstheme="minorBidi"/>
      <w:kern w:val="2"/>
      <w:sz w:val="24"/>
      <w:szCs w:val="22"/>
      <w:lang w:val="en-US" w:eastAsia="zh-CN" w:bidi="ar-SA"/>
    </w:rPr>
  </w:style>
  <w:style w:type="character" w:customStyle="1" w:styleId="133">
    <w:name w:val="正文文本缩进 字符"/>
    <w:qFormat/>
    <w:uiPriority w:val="0"/>
    <w:rPr>
      <w:rFonts w:ascii="宋体" w:hAnsi="Courier New"/>
      <w:spacing w:val="-4"/>
      <w:kern w:val="2"/>
      <w:sz w:val="18"/>
    </w:rPr>
  </w:style>
  <w:style w:type="character" w:customStyle="1" w:styleId="134">
    <w:name w:val="正文文本 2 Char"/>
    <w:qFormat/>
    <w:uiPriority w:val="0"/>
    <w:rPr>
      <w:rFonts w:ascii="宋体" w:hAnsi="宋体"/>
      <w:color w:val="000000"/>
      <w:kern w:val="2"/>
      <w:sz w:val="24"/>
      <w:szCs w:val="24"/>
    </w:rPr>
  </w:style>
  <w:style w:type="character" w:customStyle="1" w:styleId="135">
    <w:name w:val="纯文本 Char Char Char2"/>
    <w:qFormat/>
    <w:locked/>
    <w:uiPriority w:val="0"/>
    <w:rPr>
      <w:rFonts w:ascii="宋体" w:hAnsi="Courier New" w:eastAsia="宋体"/>
      <w:kern w:val="2"/>
      <w:sz w:val="21"/>
      <w:szCs w:val="20"/>
      <w:lang w:val="en-US" w:eastAsia="zh-CN" w:bidi="ar-SA"/>
    </w:rPr>
  </w:style>
  <w:style w:type="character" w:customStyle="1" w:styleId="136">
    <w:name w:val="正文首行缩进 2 Char"/>
    <w:qFormat/>
    <w:uiPriority w:val="0"/>
    <w:rPr>
      <w:rFonts w:ascii="宋体" w:hAnsi="Courier New"/>
      <w:spacing w:val="-4"/>
      <w:kern w:val="2"/>
      <w:sz w:val="21"/>
      <w:szCs w:val="24"/>
    </w:rPr>
  </w:style>
  <w:style w:type="character" w:customStyle="1" w:styleId="137">
    <w:name w:val="正文文本 3 Char1"/>
    <w:qFormat/>
    <w:uiPriority w:val="0"/>
    <w:rPr>
      <w:kern w:val="2"/>
      <w:sz w:val="16"/>
      <w:szCs w:val="16"/>
    </w:rPr>
  </w:style>
  <w:style w:type="character" w:customStyle="1" w:styleId="138">
    <w:name w:val="正文文本缩进 Char2"/>
    <w:qFormat/>
    <w:uiPriority w:val="0"/>
    <w:rPr>
      <w:rFonts w:ascii="宋体" w:hAnsi="Courier New"/>
      <w:spacing w:val="-4"/>
      <w:kern w:val="2"/>
      <w:sz w:val="18"/>
    </w:rPr>
  </w:style>
  <w:style w:type="character" w:customStyle="1" w:styleId="139">
    <w:name w:val="页眉 Char1"/>
    <w:semiHidden/>
    <w:qFormat/>
    <w:uiPriority w:val="99"/>
    <w:rPr>
      <w:kern w:val="2"/>
      <w:sz w:val="18"/>
      <w:szCs w:val="18"/>
    </w:rPr>
  </w:style>
  <w:style w:type="character" w:customStyle="1" w:styleId="140">
    <w:name w:val="页眉 Char"/>
    <w:qFormat/>
    <w:uiPriority w:val="99"/>
    <w:rPr>
      <w:rFonts w:eastAsia="仿宋_GB2312"/>
      <w:kern w:val="2"/>
      <w:sz w:val="18"/>
    </w:rPr>
  </w:style>
  <w:style w:type="character" w:customStyle="1" w:styleId="141">
    <w:name w:val="font21"/>
    <w:qFormat/>
    <w:uiPriority w:val="0"/>
    <w:rPr>
      <w:rFonts w:ascii="Arial" w:hAnsi="Arial" w:cs="Arial"/>
      <w:color w:val="333333"/>
      <w:sz w:val="18"/>
      <w:szCs w:val="18"/>
      <w:u w:val="none"/>
    </w:rPr>
  </w:style>
  <w:style w:type="character" w:customStyle="1" w:styleId="142">
    <w:name w:val="正文文本 3 Char"/>
    <w:qFormat/>
    <w:uiPriority w:val="0"/>
    <w:rPr>
      <w:rFonts w:hAnsi="宋体" w:eastAsia="仿宋_GB2312"/>
      <w:b/>
      <w:bCs/>
      <w:kern w:val="2"/>
      <w:sz w:val="24"/>
    </w:rPr>
  </w:style>
  <w:style w:type="character" w:customStyle="1" w:styleId="143">
    <w:name w:val="文档结构图 Char"/>
    <w:qFormat/>
    <w:uiPriority w:val="0"/>
    <w:rPr>
      <w:rFonts w:ascii="宋体"/>
      <w:kern w:val="2"/>
      <w:sz w:val="18"/>
      <w:szCs w:val="18"/>
    </w:rPr>
  </w:style>
  <w:style w:type="character" w:customStyle="1" w:styleId="144">
    <w:name w:val="纯文本 Char"/>
    <w:qFormat/>
    <w:uiPriority w:val="99"/>
    <w:rPr>
      <w:rFonts w:ascii="宋体" w:hAnsi="Courier New" w:eastAsia="宋体"/>
      <w:kern w:val="2"/>
      <w:sz w:val="24"/>
      <w:szCs w:val="24"/>
      <w:lang w:val="en-US" w:eastAsia="zh-CN" w:bidi="ar-SA"/>
    </w:rPr>
  </w:style>
  <w:style w:type="character" w:customStyle="1" w:styleId="145">
    <w:name w:val="批注框文本 Char"/>
    <w:qFormat/>
    <w:locked/>
    <w:uiPriority w:val="99"/>
    <w:rPr>
      <w:kern w:val="2"/>
      <w:sz w:val="18"/>
      <w:szCs w:val="18"/>
    </w:rPr>
  </w:style>
  <w:style w:type="character" w:customStyle="1" w:styleId="146">
    <w:name w:val="纯文本 Char1_0"/>
    <w:link w:val="147"/>
    <w:qFormat/>
    <w:uiPriority w:val="0"/>
    <w:rPr>
      <w:rFonts w:ascii="宋体" w:hAnsi="Courier New"/>
    </w:rPr>
  </w:style>
  <w:style w:type="paragraph" w:customStyle="1" w:styleId="147">
    <w:name w:val="纯文本_0"/>
    <w:basedOn w:val="1"/>
    <w:link w:val="146"/>
    <w:qFormat/>
    <w:uiPriority w:val="0"/>
    <w:rPr>
      <w:rFonts w:ascii="宋体" w:hAnsi="Courier New" w:eastAsiaTheme="minorEastAsia" w:cstheme="minorBidi"/>
      <w:szCs w:val="22"/>
    </w:rPr>
  </w:style>
  <w:style w:type="character" w:customStyle="1" w:styleId="148">
    <w:name w:val="apple-converted-space"/>
    <w:qFormat/>
    <w:uiPriority w:val="0"/>
  </w:style>
  <w:style w:type="character" w:customStyle="1" w:styleId="149">
    <w:name w:val="正文文本缩进 Char"/>
    <w:qFormat/>
    <w:uiPriority w:val="99"/>
    <w:rPr>
      <w:rFonts w:ascii="宋体" w:hAnsi="Courier New"/>
      <w:spacing w:val="-4"/>
      <w:kern w:val="2"/>
      <w:sz w:val="18"/>
    </w:rPr>
  </w:style>
  <w:style w:type="character" w:customStyle="1" w:styleId="150">
    <w:name w:val="批注文字 字符"/>
    <w:qFormat/>
    <w:uiPriority w:val="0"/>
    <w:rPr>
      <w:kern w:val="2"/>
      <w:sz w:val="21"/>
    </w:rPr>
  </w:style>
  <w:style w:type="character" w:customStyle="1" w:styleId="151">
    <w:name w:val="标题 2 Char1"/>
    <w:qFormat/>
    <w:uiPriority w:val="0"/>
    <w:rPr>
      <w:rFonts w:ascii="Arial" w:hAnsi="Arial" w:eastAsia="黑体"/>
      <w:b/>
      <w:bCs/>
      <w:kern w:val="2"/>
      <w:sz w:val="32"/>
      <w:szCs w:val="32"/>
    </w:rPr>
  </w:style>
  <w:style w:type="character" w:customStyle="1" w:styleId="152">
    <w:name w:val="gheadertext1"/>
    <w:qFormat/>
    <w:uiPriority w:val="0"/>
    <w:rPr>
      <w:rFonts w:hint="default" w:ascii="Arial" w:hAnsi="Arial" w:cs="Arial"/>
      <w:b/>
      <w:bCs/>
      <w:color w:val="005E00"/>
      <w:sz w:val="26"/>
      <w:szCs w:val="26"/>
    </w:rPr>
  </w:style>
  <w:style w:type="character" w:customStyle="1" w:styleId="153">
    <w:name w:val="纯文本 Char3"/>
    <w:qFormat/>
    <w:uiPriority w:val="0"/>
    <w:rPr>
      <w:rFonts w:ascii="宋体" w:hAnsi="Courier New" w:eastAsia="宋体"/>
      <w:kern w:val="2"/>
      <w:sz w:val="24"/>
      <w:szCs w:val="24"/>
      <w:lang w:val="en-US" w:eastAsia="zh-CN" w:bidi="ar-SA"/>
    </w:rPr>
  </w:style>
  <w:style w:type="character" w:customStyle="1" w:styleId="154">
    <w:name w:val="正文文本 Char"/>
    <w:qFormat/>
    <w:uiPriority w:val="0"/>
    <w:rPr>
      <w:kern w:val="2"/>
      <w:sz w:val="28"/>
      <w:szCs w:val="24"/>
    </w:rPr>
  </w:style>
  <w:style w:type="character" w:customStyle="1" w:styleId="155">
    <w:name w:val="副标题 Char1"/>
    <w:qFormat/>
    <w:uiPriority w:val="0"/>
    <w:rPr>
      <w:rFonts w:hint="default" w:ascii="Cambria" w:hAnsi="Cambria" w:cs="Times New Roman"/>
      <w:b/>
      <w:bCs/>
      <w:kern w:val="28"/>
      <w:sz w:val="32"/>
      <w:szCs w:val="32"/>
    </w:rPr>
  </w:style>
  <w:style w:type="character" w:customStyle="1" w:styleId="156">
    <w:name w:val="font121"/>
    <w:qFormat/>
    <w:uiPriority w:val="0"/>
    <w:rPr>
      <w:rFonts w:hint="eastAsia" w:ascii="宋体" w:hAnsi="宋体" w:eastAsia="宋体" w:cs="宋体"/>
      <w:color w:val="FF0000"/>
      <w:sz w:val="20"/>
      <w:szCs w:val="20"/>
      <w:u w:val="none"/>
    </w:rPr>
  </w:style>
  <w:style w:type="character" w:customStyle="1" w:styleId="157">
    <w:name w:val="unnamed1"/>
    <w:basedOn w:val="51"/>
    <w:qFormat/>
    <w:uiPriority w:val="0"/>
  </w:style>
  <w:style w:type="character" w:customStyle="1" w:styleId="158">
    <w:name w:val="正文2 Char"/>
    <w:link w:val="159"/>
    <w:qFormat/>
    <w:locked/>
    <w:uiPriority w:val="0"/>
    <w:rPr>
      <w:sz w:val="24"/>
    </w:rPr>
  </w:style>
  <w:style w:type="paragraph" w:customStyle="1" w:styleId="159">
    <w:name w:val="正文2"/>
    <w:basedOn w:val="1"/>
    <w:link w:val="158"/>
    <w:qFormat/>
    <w:uiPriority w:val="0"/>
    <w:pPr>
      <w:spacing w:before="156" w:line="360" w:lineRule="auto"/>
      <w:ind w:firstLine="510" w:firstLineChars="200"/>
    </w:pPr>
    <w:rPr>
      <w:rFonts w:asciiTheme="minorHAnsi" w:hAnsiTheme="minorHAnsi" w:eastAsiaTheme="minorEastAsia" w:cstheme="minorBidi"/>
      <w:sz w:val="24"/>
      <w:szCs w:val="22"/>
    </w:rPr>
  </w:style>
  <w:style w:type="character" w:customStyle="1" w:styleId="160">
    <w:name w:val="正文文本缩进 2 Char"/>
    <w:qFormat/>
    <w:uiPriority w:val="0"/>
    <w:rPr>
      <w:rFonts w:ascii="仿宋_GB2312" w:hAnsi="宋体" w:cs="Arial"/>
      <w:b/>
      <w:bCs/>
      <w:color w:val="000000"/>
      <w:kern w:val="2"/>
      <w:sz w:val="24"/>
      <w:szCs w:val="24"/>
    </w:rPr>
  </w:style>
  <w:style w:type="character" w:customStyle="1" w:styleId="161">
    <w:name w:val="正文文本 Char Char"/>
    <w:qFormat/>
    <w:uiPriority w:val="0"/>
    <w:rPr>
      <w:kern w:val="2"/>
      <w:sz w:val="28"/>
      <w:szCs w:val="24"/>
    </w:rPr>
  </w:style>
  <w:style w:type="character" w:customStyle="1" w:styleId="162">
    <w:name w:val="标准正文格式 Char Char"/>
    <w:link w:val="163"/>
    <w:qFormat/>
    <w:uiPriority w:val="0"/>
    <w:rPr>
      <w:rFonts w:ascii="宋体" w:eastAsia="仿宋_GB2312" w:cs="宋体"/>
      <w:color w:val="000000"/>
      <w:sz w:val="24"/>
    </w:rPr>
  </w:style>
  <w:style w:type="paragraph" w:customStyle="1" w:styleId="163">
    <w:name w:val="标准正文格式"/>
    <w:basedOn w:val="1"/>
    <w:link w:val="162"/>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szCs w:val="22"/>
    </w:rPr>
  </w:style>
  <w:style w:type="character" w:customStyle="1" w:styleId="164">
    <w:name w:val="font51"/>
    <w:qFormat/>
    <w:uiPriority w:val="0"/>
    <w:rPr>
      <w:rFonts w:ascii="Arial" w:hAnsi="Arial" w:cs="Arial"/>
      <w:color w:val="333333"/>
      <w:sz w:val="18"/>
      <w:szCs w:val="18"/>
      <w:u w:val="none"/>
    </w:rPr>
  </w:style>
  <w:style w:type="character" w:customStyle="1" w:styleId="165">
    <w:name w:val="标书正文 Char Char"/>
    <w:link w:val="166"/>
    <w:qFormat/>
    <w:uiPriority w:val="0"/>
    <w:rPr>
      <w:color w:val="000000"/>
      <w:sz w:val="24"/>
    </w:rPr>
  </w:style>
  <w:style w:type="paragraph" w:customStyle="1" w:styleId="166">
    <w:name w:val="标书正文"/>
    <w:basedOn w:val="1"/>
    <w:link w:val="165"/>
    <w:qFormat/>
    <w:uiPriority w:val="0"/>
    <w:pPr>
      <w:spacing w:line="360" w:lineRule="auto"/>
      <w:ind w:firstLine="200" w:firstLineChars="200"/>
      <w:jc w:val="left"/>
    </w:pPr>
    <w:rPr>
      <w:rFonts w:asciiTheme="minorHAnsi" w:hAnsiTheme="minorHAnsi" w:eastAsiaTheme="minorEastAsia" w:cstheme="minorBidi"/>
      <w:color w:val="000000"/>
      <w:sz w:val="24"/>
      <w:szCs w:val="22"/>
    </w:rPr>
  </w:style>
  <w:style w:type="character" w:customStyle="1" w:styleId="167">
    <w:name w:val="c lh15"/>
    <w:qFormat/>
    <w:uiPriority w:val="0"/>
    <w:rPr>
      <w:sz w:val="28"/>
      <w:szCs w:val="20"/>
    </w:rPr>
  </w:style>
  <w:style w:type="character" w:customStyle="1" w:styleId="168">
    <w:name w:val="style1"/>
    <w:qFormat/>
    <w:uiPriority w:val="0"/>
    <w:rPr>
      <w:sz w:val="28"/>
      <w:szCs w:val="20"/>
    </w:rPr>
  </w:style>
  <w:style w:type="character" w:customStyle="1" w:styleId="169">
    <w:name w:val="批注框文本 Char1"/>
    <w:semiHidden/>
    <w:qFormat/>
    <w:uiPriority w:val="99"/>
    <w:rPr>
      <w:kern w:val="2"/>
      <w:sz w:val="18"/>
      <w:szCs w:val="18"/>
    </w:rPr>
  </w:style>
  <w:style w:type="character" w:customStyle="1" w:styleId="170">
    <w:name w:val="lineb1"/>
    <w:qFormat/>
    <w:uiPriority w:val="0"/>
  </w:style>
  <w:style w:type="character" w:customStyle="1" w:styleId="171">
    <w:name w:val="zbggmain style9"/>
    <w:basedOn w:val="51"/>
    <w:qFormat/>
    <w:uiPriority w:val="0"/>
  </w:style>
  <w:style w:type="character" w:customStyle="1" w:styleId="172">
    <w:name w:val="正文文本 2 Char1"/>
    <w:qFormat/>
    <w:uiPriority w:val="0"/>
    <w:rPr>
      <w:kern w:val="2"/>
      <w:sz w:val="21"/>
      <w:szCs w:val="24"/>
    </w:rPr>
  </w:style>
  <w:style w:type="character" w:customStyle="1" w:styleId="173">
    <w:name w:val="font71"/>
    <w:qFormat/>
    <w:uiPriority w:val="0"/>
    <w:rPr>
      <w:rFonts w:hint="default" w:ascii="Times New Roman" w:hAnsi="Times New Roman" w:cs="Times New Roman"/>
      <w:color w:val="000000"/>
      <w:sz w:val="24"/>
      <w:szCs w:val="24"/>
      <w:u w:val="none"/>
    </w:rPr>
  </w:style>
  <w:style w:type="character" w:customStyle="1" w:styleId="174">
    <w:name w:val="书籍标题1"/>
    <w:qFormat/>
    <w:uiPriority w:val="33"/>
    <w:rPr>
      <w:rFonts w:eastAsia="Songti SC Regular"/>
      <w:bCs/>
      <w:smallCaps/>
      <w:spacing w:val="5"/>
      <w:sz w:val="32"/>
    </w:rPr>
  </w:style>
  <w:style w:type="character" w:customStyle="1" w:styleId="175">
    <w:name w:val="副标题 Char"/>
    <w:qFormat/>
    <w:uiPriority w:val="0"/>
    <w:rPr>
      <w:rFonts w:ascii="Cambria" w:hAnsi="Cambria" w:cs="宋体"/>
      <w:bCs/>
      <w:kern w:val="28"/>
      <w:sz w:val="18"/>
      <w:szCs w:val="32"/>
    </w:rPr>
  </w:style>
  <w:style w:type="character" w:customStyle="1" w:styleId="176">
    <w:name w:val="正文缩进 字符1"/>
    <w:qFormat/>
    <w:uiPriority w:val="0"/>
    <w:rPr>
      <w:rFonts w:eastAsia="宋体"/>
      <w:kern w:val="2"/>
      <w:sz w:val="21"/>
      <w:lang w:val="en-US" w:eastAsia="zh-CN" w:bidi="ar-SA"/>
    </w:rPr>
  </w:style>
  <w:style w:type="character" w:customStyle="1" w:styleId="177">
    <w:name w:val="apple-style-span"/>
    <w:qFormat/>
    <w:uiPriority w:val="0"/>
  </w:style>
  <w:style w:type="character" w:customStyle="1" w:styleId="178">
    <w:name w:val="正文文本缩进 3 Char1"/>
    <w:qFormat/>
    <w:uiPriority w:val="0"/>
    <w:rPr>
      <w:kern w:val="2"/>
      <w:sz w:val="16"/>
      <w:szCs w:val="16"/>
    </w:rPr>
  </w:style>
  <w:style w:type="character" w:customStyle="1" w:styleId="179">
    <w:name w:val="正文文本缩进 字符1"/>
    <w:qFormat/>
    <w:uiPriority w:val="0"/>
    <w:rPr>
      <w:rFonts w:ascii="宋体" w:hAnsi="Courier New"/>
      <w:spacing w:val="-4"/>
      <w:kern w:val="2"/>
      <w:sz w:val="18"/>
    </w:rPr>
  </w:style>
  <w:style w:type="character" w:customStyle="1" w:styleId="180">
    <w:name w:val="font112"/>
    <w:qFormat/>
    <w:uiPriority w:val="0"/>
    <w:rPr>
      <w:rFonts w:hint="eastAsia" w:ascii="宋体" w:hAnsi="宋体" w:eastAsia="宋体" w:cs="宋体"/>
      <w:color w:val="000000"/>
      <w:sz w:val="20"/>
      <w:szCs w:val="20"/>
      <w:u w:val="none"/>
    </w:rPr>
  </w:style>
  <w:style w:type="character" w:customStyle="1" w:styleId="181">
    <w:name w:val="表正文 Char"/>
    <w:qFormat/>
    <w:uiPriority w:val="0"/>
    <w:rPr>
      <w:rFonts w:eastAsia="宋体"/>
      <w:kern w:val="2"/>
      <w:sz w:val="21"/>
      <w:lang w:val="en-US" w:eastAsia="zh-CN" w:bidi="ar-SA"/>
    </w:rPr>
  </w:style>
  <w:style w:type="character" w:customStyle="1" w:styleId="182">
    <w:name w:val="标题 1 Char Char"/>
    <w:qFormat/>
    <w:uiPriority w:val="0"/>
    <w:rPr>
      <w:rFonts w:eastAsia="宋体"/>
      <w:b/>
      <w:spacing w:val="-2"/>
      <w:sz w:val="24"/>
      <w:lang w:val="en-US" w:eastAsia="zh-CN" w:bidi="ar-SA"/>
    </w:rPr>
  </w:style>
  <w:style w:type="character" w:customStyle="1" w:styleId="183">
    <w:name w:val="style8"/>
    <w:qFormat/>
    <w:uiPriority w:val="0"/>
    <w:rPr>
      <w:sz w:val="28"/>
      <w:szCs w:val="20"/>
    </w:rPr>
  </w:style>
  <w:style w:type="character" w:customStyle="1" w:styleId="184">
    <w:name w:val="日期 Char"/>
    <w:qFormat/>
    <w:uiPriority w:val="0"/>
    <w:rPr>
      <w:rFonts w:eastAsia="楷体_GB2312"/>
      <w:kern w:val="2"/>
      <w:sz w:val="32"/>
    </w:rPr>
  </w:style>
  <w:style w:type="character" w:customStyle="1" w:styleId="185">
    <w:name w:val="正文缩进 Char"/>
    <w:qFormat/>
    <w:uiPriority w:val="0"/>
    <w:rPr>
      <w:rFonts w:eastAsia="宋体"/>
      <w:kern w:val="2"/>
      <w:sz w:val="21"/>
      <w:lang w:val="en-US" w:eastAsia="zh-CN" w:bidi="ar-SA"/>
    </w:rPr>
  </w:style>
  <w:style w:type="character" w:customStyle="1" w:styleId="186">
    <w:name w:val="批注文字 Char2"/>
    <w:qFormat/>
    <w:uiPriority w:val="0"/>
    <w:rPr>
      <w:kern w:val="2"/>
      <w:sz w:val="21"/>
    </w:rPr>
  </w:style>
  <w:style w:type="character" w:customStyle="1" w:styleId="187">
    <w:name w:val="论文正文样式 Char Char"/>
    <w:link w:val="188"/>
    <w:qFormat/>
    <w:locked/>
    <w:uiPriority w:val="0"/>
    <w:rPr>
      <w:szCs w:val="21"/>
    </w:rPr>
  </w:style>
  <w:style w:type="paragraph" w:customStyle="1" w:styleId="188">
    <w:name w:val="论文正文样式"/>
    <w:basedOn w:val="1"/>
    <w:link w:val="187"/>
    <w:qFormat/>
    <w:uiPriority w:val="0"/>
    <w:pPr>
      <w:spacing w:line="360" w:lineRule="auto"/>
    </w:pPr>
    <w:rPr>
      <w:rFonts w:asciiTheme="minorHAnsi" w:hAnsiTheme="minorHAnsi" w:eastAsiaTheme="minorEastAsia" w:cstheme="minorBidi"/>
      <w:szCs w:val="21"/>
    </w:rPr>
  </w:style>
  <w:style w:type="character" w:customStyle="1" w:styleId="189">
    <w:name w:val="纯文本 Char1"/>
    <w:qFormat/>
    <w:uiPriority w:val="0"/>
    <w:rPr>
      <w:rFonts w:ascii="宋体" w:hAnsi="Courier New" w:eastAsia="宋体"/>
      <w:kern w:val="2"/>
      <w:sz w:val="24"/>
      <w:szCs w:val="24"/>
      <w:lang w:val="en-US" w:eastAsia="zh-CN" w:bidi="ar-SA"/>
    </w:rPr>
  </w:style>
  <w:style w:type="character" w:customStyle="1" w:styleId="190">
    <w:name w:val="font01"/>
    <w:qFormat/>
    <w:uiPriority w:val="0"/>
    <w:rPr>
      <w:rFonts w:hint="eastAsia" w:ascii="宋体" w:hAnsi="宋体" w:eastAsia="宋体" w:cs="宋体"/>
      <w:b/>
      <w:color w:val="000000"/>
      <w:sz w:val="24"/>
      <w:szCs w:val="24"/>
      <w:u w:val="none"/>
    </w:rPr>
  </w:style>
  <w:style w:type="character" w:customStyle="1" w:styleId="191">
    <w:name w:val="论文正文样式 Char"/>
    <w:qFormat/>
    <w:uiPriority w:val="0"/>
    <w:rPr>
      <w:rFonts w:hint="default" w:ascii="Times New Roman" w:hAnsi="Times New Roman" w:cs="Times New Roman"/>
      <w:kern w:val="2"/>
      <w:sz w:val="21"/>
      <w:szCs w:val="21"/>
    </w:rPr>
  </w:style>
  <w:style w:type="character" w:customStyle="1" w:styleId="192">
    <w:name w:val="书籍标题111"/>
    <w:qFormat/>
    <w:uiPriority w:val="33"/>
    <w:rPr>
      <w:rFonts w:eastAsia="Songti SC Regular"/>
      <w:bCs/>
      <w:smallCaps/>
      <w:spacing w:val="5"/>
      <w:sz w:val="32"/>
    </w:rPr>
  </w:style>
  <w:style w:type="paragraph" w:customStyle="1" w:styleId="193">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9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color w:val="0000FF"/>
      <w:kern w:val="0"/>
      <w:sz w:val="20"/>
      <w:szCs w:val="20"/>
    </w:rPr>
  </w:style>
  <w:style w:type="paragraph" w:customStyle="1" w:styleId="195">
    <w:name w:val="Default"/>
    <w:qFormat/>
    <w:uiPriority w:val="0"/>
    <w:pPr>
      <w:widowControl w:val="0"/>
      <w:autoSpaceDE w:val="0"/>
      <w:autoSpaceDN w:val="0"/>
      <w:adjustRightInd w:val="0"/>
      <w:spacing w:before="120" w:after="120"/>
    </w:pPr>
    <w:rPr>
      <w:rFonts w:ascii="宋体" w:hAnsi="Calibri" w:eastAsia="宋体" w:cs="宋体"/>
      <w:color w:val="000000"/>
      <w:sz w:val="24"/>
      <w:szCs w:val="24"/>
      <w:lang w:val="en-US" w:eastAsia="zh-CN" w:bidi="ar-SA"/>
    </w:rPr>
  </w:style>
  <w:style w:type="paragraph" w:customStyle="1" w:styleId="196">
    <w:name w:val="xl9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黑体" w:hAnsi="宋体" w:eastAsia="黑体" w:cs="宋体"/>
      <w:kern w:val="0"/>
      <w:sz w:val="20"/>
      <w:szCs w:val="20"/>
    </w:rPr>
  </w:style>
  <w:style w:type="paragraph" w:customStyle="1" w:styleId="197">
    <w:name w:val="列出段落2"/>
    <w:basedOn w:val="1"/>
    <w:qFormat/>
    <w:uiPriority w:val="0"/>
    <w:pPr>
      <w:ind w:firstLine="420" w:firstLineChars="200"/>
    </w:pPr>
    <w:rPr>
      <w:rFonts w:cs="宋体"/>
      <w:sz w:val="24"/>
      <w:szCs w:val="22"/>
    </w:rPr>
  </w:style>
  <w:style w:type="paragraph" w:customStyle="1" w:styleId="198">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character" w:customStyle="1" w:styleId="199">
    <w:name w:val="正文首行缩进 2 Char1"/>
    <w:basedOn w:val="58"/>
    <w:qFormat/>
    <w:uiPriority w:val="0"/>
    <w:rPr>
      <w:rFonts w:ascii="Calibri" w:hAnsi="Calibri" w:eastAsia="宋体" w:cs="Times New Roman"/>
      <w:szCs w:val="24"/>
    </w:rPr>
  </w:style>
  <w:style w:type="paragraph" w:customStyle="1" w:styleId="200">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宋体" w:eastAsia="黑体" w:cs="宋体"/>
      <w:kern w:val="0"/>
      <w:sz w:val="20"/>
      <w:szCs w:val="20"/>
    </w:rPr>
  </w:style>
  <w:style w:type="paragraph" w:customStyle="1" w:styleId="20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02">
    <w:name w:val="font7"/>
    <w:basedOn w:val="1"/>
    <w:qFormat/>
    <w:uiPriority w:val="0"/>
    <w:pPr>
      <w:widowControl/>
      <w:spacing w:before="100" w:beforeAutospacing="1" w:after="100" w:afterAutospacing="1"/>
      <w:jc w:val="left"/>
    </w:pPr>
    <w:rPr>
      <w:rFonts w:ascii="宋体" w:hAnsi="宋体" w:cs="宋体"/>
      <w:color w:val="0000FF"/>
      <w:kern w:val="0"/>
      <w:sz w:val="20"/>
      <w:szCs w:val="20"/>
    </w:rPr>
  </w:style>
  <w:style w:type="character" w:customStyle="1" w:styleId="203">
    <w:name w:val="批注主题 Char3"/>
    <w:basedOn w:val="71"/>
    <w:semiHidden/>
    <w:qFormat/>
    <w:uiPriority w:val="99"/>
    <w:rPr>
      <w:rFonts w:ascii="Calibri" w:hAnsi="Calibri" w:eastAsia="宋体" w:cs="Times New Roman"/>
      <w:b/>
      <w:bCs/>
      <w:szCs w:val="24"/>
    </w:rPr>
  </w:style>
  <w:style w:type="paragraph" w:styleId="204">
    <w:name w:val="No Spacing"/>
    <w:qFormat/>
    <w:uiPriority w:val="1"/>
    <w:rPr>
      <w:rFonts w:ascii="Calibri" w:hAnsi="Calibri" w:eastAsia="宋体" w:cs="宋体"/>
      <w:sz w:val="22"/>
      <w:szCs w:val="22"/>
      <w:lang w:val="en-US" w:eastAsia="zh-CN" w:bidi="ar-SA"/>
    </w:rPr>
  </w:style>
  <w:style w:type="paragraph" w:customStyle="1" w:styleId="205">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color w:val="0000FF"/>
      <w:kern w:val="0"/>
      <w:sz w:val="20"/>
      <w:szCs w:val="20"/>
    </w:rPr>
  </w:style>
  <w:style w:type="character" w:customStyle="1" w:styleId="206">
    <w:name w:val="正文文本 Char2"/>
    <w:basedOn w:val="51"/>
    <w:semiHidden/>
    <w:qFormat/>
    <w:uiPriority w:val="99"/>
    <w:rPr>
      <w:rFonts w:ascii="Calibri" w:hAnsi="Calibri" w:eastAsia="宋体" w:cs="Times New Roman"/>
      <w:szCs w:val="24"/>
    </w:rPr>
  </w:style>
  <w:style w:type="paragraph" w:customStyle="1" w:styleId="207">
    <w:name w:val="af17cgridlangnp1033langf"/>
    <w:qFormat/>
    <w:uiPriority w:val="0"/>
    <w:pPr>
      <w:widowControl w:val="0"/>
      <w:autoSpaceDE w:val="0"/>
      <w:autoSpaceDN w:val="0"/>
      <w:adjustRightInd w:val="0"/>
      <w:spacing w:before="156" w:line="360" w:lineRule="atLeast"/>
      <w:ind w:left="567" w:firstLine="510"/>
      <w:jc w:val="both"/>
    </w:pPr>
    <w:rPr>
      <w:rFonts w:ascii="Calibri" w:hAnsi="Calibri" w:eastAsia="宋体" w:cs="Times New Roman"/>
      <w:lang w:val="en-US" w:eastAsia="zh-CN" w:bidi="ar-SA"/>
    </w:rPr>
  </w:style>
  <w:style w:type="character" w:customStyle="1" w:styleId="208">
    <w:name w:val="正文文本缩进 3 Char2"/>
    <w:basedOn w:val="51"/>
    <w:semiHidden/>
    <w:qFormat/>
    <w:uiPriority w:val="99"/>
    <w:rPr>
      <w:rFonts w:ascii="Calibri" w:hAnsi="Calibri" w:eastAsia="宋体" w:cs="Times New Roman"/>
      <w:sz w:val="16"/>
      <w:szCs w:val="16"/>
    </w:rPr>
  </w:style>
  <w:style w:type="paragraph" w:customStyle="1" w:styleId="209">
    <w:name w:val="Char Char Char Char"/>
    <w:basedOn w:val="1"/>
    <w:qFormat/>
    <w:uiPriority w:val="99"/>
    <w:pPr>
      <w:widowControl/>
      <w:jc w:val="left"/>
    </w:pPr>
    <w:rPr>
      <w:rFonts w:cs="宋体"/>
      <w:kern w:val="0"/>
      <w:sz w:val="24"/>
    </w:rPr>
  </w:style>
  <w:style w:type="paragraph" w:customStyle="1" w:styleId="210">
    <w:name w:val="Char Char Char Char Char Char Char1"/>
    <w:basedOn w:val="1"/>
    <w:qFormat/>
    <w:uiPriority w:val="0"/>
    <w:rPr>
      <w:rFonts w:ascii="Arial" w:hAnsi="Arial" w:cs="Arial"/>
      <w:szCs w:val="21"/>
    </w:rPr>
  </w:style>
  <w:style w:type="paragraph" w:customStyle="1" w:styleId="211">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12">
    <w:name w:val="样式1"/>
    <w:basedOn w:val="1"/>
    <w:qFormat/>
    <w:uiPriority w:val="99"/>
    <w:pPr>
      <w:tabs>
        <w:tab w:val="left" w:pos="709"/>
        <w:tab w:val="left" w:pos="6780"/>
      </w:tabs>
      <w:adjustRightInd w:val="0"/>
      <w:ind w:left="6780" w:leftChars="400" w:hanging="360" w:hangingChars="200"/>
      <w:textAlignment w:val="baseline"/>
    </w:pPr>
    <w:rPr>
      <w:rFonts w:ascii="宋体" w:hAnsi="宋体" w:cs="宋体"/>
      <w:kern w:val="0"/>
      <w:szCs w:val="21"/>
    </w:rPr>
  </w:style>
  <w:style w:type="paragraph" w:customStyle="1" w:styleId="213">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14">
    <w:name w:val="正文缩进1"/>
    <w:basedOn w:val="1"/>
    <w:next w:val="22"/>
    <w:qFormat/>
    <w:uiPriority w:val="0"/>
    <w:pPr>
      <w:autoSpaceDE w:val="0"/>
      <w:autoSpaceDN w:val="0"/>
      <w:adjustRightInd w:val="0"/>
      <w:snapToGrid w:val="0"/>
      <w:spacing w:after="120" w:line="360" w:lineRule="auto"/>
      <w:ind w:left="420" w:firstLine="480"/>
    </w:pPr>
    <w:rPr>
      <w:rFonts w:cs="宋体"/>
      <w:sz w:val="24"/>
      <w:szCs w:val="20"/>
    </w:rPr>
  </w:style>
  <w:style w:type="character" w:customStyle="1" w:styleId="215">
    <w:name w:val="批注框文本 Char2"/>
    <w:basedOn w:val="51"/>
    <w:semiHidden/>
    <w:qFormat/>
    <w:uiPriority w:val="99"/>
    <w:rPr>
      <w:rFonts w:ascii="Calibri" w:hAnsi="Calibri" w:eastAsia="宋体" w:cs="Times New Roman"/>
      <w:sz w:val="18"/>
      <w:szCs w:val="18"/>
    </w:rPr>
  </w:style>
  <w:style w:type="paragraph" w:customStyle="1" w:styleId="216">
    <w:name w:val="xl113"/>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217">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color w:val="000000"/>
      <w:kern w:val="0"/>
      <w:sz w:val="20"/>
      <w:szCs w:val="20"/>
    </w:rPr>
  </w:style>
  <w:style w:type="character" w:customStyle="1" w:styleId="218">
    <w:name w:val="文档结构图 Char2"/>
    <w:basedOn w:val="51"/>
    <w:semiHidden/>
    <w:qFormat/>
    <w:uiPriority w:val="99"/>
    <w:rPr>
      <w:rFonts w:ascii="宋体" w:hAnsi="Calibri" w:eastAsia="宋体" w:cs="Times New Roman"/>
      <w:sz w:val="18"/>
      <w:szCs w:val="18"/>
    </w:rPr>
  </w:style>
  <w:style w:type="character" w:customStyle="1" w:styleId="219">
    <w:name w:val="日期 Char2"/>
    <w:basedOn w:val="51"/>
    <w:semiHidden/>
    <w:qFormat/>
    <w:uiPriority w:val="99"/>
    <w:rPr>
      <w:rFonts w:ascii="Calibri" w:hAnsi="Calibri" w:eastAsia="宋体" w:cs="Times New Roman"/>
      <w:szCs w:val="24"/>
    </w:rPr>
  </w:style>
  <w:style w:type="paragraph" w:customStyle="1" w:styleId="220">
    <w:name w:val="Char Char12"/>
    <w:basedOn w:val="1"/>
    <w:qFormat/>
    <w:uiPriority w:val="0"/>
    <w:rPr>
      <w:szCs w:val="21"/>
    </w:rPr>
  </w:style>
  <w:style w:type="paragraph" w:customStyle="1" w:styleId="221">
    <w:name w:val="Char2"/>
    <w:basedOn w:val="1"/>
    <w:qFormat/>
    <w:uiPriority w:val="0"/>
    <w:pPr>
      <w:numPr>
        <w:ilvl w:val="0"/>
        <w:numId w:val="3"/>
      </w:numPr>
      <w:tabs>
        <w:tab w:val="left" w:pos="1200"/>
        <w:tab w:val="clear" w:pos="420"/>
      </w:tabs>
    </w:pPr>
    <w:rPr>
      <w:rFonts w:cs="宋体"/>
      <w:sz w:val="24"/>
    </w:rPr>
  </w:style>
  <w:style w:type="paragraph" w:customStyle="1" w:styleId="222">
    <w:name w:val="XH BodyTextV1"/>
    <w:basedOn w:val="1"/>
    <w:qFormat/>
    <w:uiPriority w:val="0"/>
    <w:pPr>
      <w:spacing w:after="120" w:line="288" w:lineRule="auto"/>
      <w:jc w:val="left"/>
    </w:pPr>
    <w:rPr>
      <w:rFonts w:cs="宋体"/>
      <w:b/>
      <w:color w:val="FF0000"/>
      <w:sz w:val="24"/>
      <w:szCs w:val="22"/>
    </w:rPr>
  </w:style>
  <w:style w:type="character" w:customStyle="1" w:styleId="223">
    <w:name w:val="正文文本 3 Char2"/>
    <w:basedOn w:val="51"/>
    <w:semiHidden/>
    <w:qFormat/>
    <w:uiPriority w:val="99"/>
    <w:rPr>
      <w:rFonts w:ascii="Calibri" w:hAnsi="Calibri" w:eastAsia="宋体" w:cs="Times New Roman"/>
      <w:sz w:val="16"/>
      <w:szCs w:val="16"/>
    </w:rPr>
  </w:style>
  <w:style w:type="paragraph" w:customStyle="1" w:styleId="224">
    <w:name w:val="正文 New New New New New New"/>
    <w:qFormat/>
    <w:uiPriority w:val="0"/>
    <w:pPr>
      <w:widowControl w:val="0"/>
      <w:jc w:val="both"/>
    </w:pPr>
    <w:rPr>
      <w:rFonts w:ascii="Calibri" w:hAnsi="Calibri" w:eastAsia="宋体" w:cs="Times New Roman"/>
      <w:kern w:val="2"/>
      <w:sz w:val="21"/>
      <w:lang w:val="en-US" w:eastAsia="zh-CN" w:bidi="ar-SA"/>
    </w:rPr>
  </w:style>
  <w:style w:type="paragraph" w:customStyle="1" w:styleId="225">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2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4"/>
    </w:rPr>
  </w:style>
  <w:style w:type="paragraph" w:customStyle="1" w:styleId="227">
    <w:name w:val="样式 仿宋_GB2312 五号 黑色 行距: 单倍行距"/>
    <w:basedOn w:val="1"/>
    <w:qFormat/>
    <w:uiPriority w:val="0"/>
    <w:pPr>
      <w:snapToGrid w:val="0"/>
    </w:pPr>
    <w:rPr>
      <w:rFonts w:ascii="仿宋_GB2312" w:eastAsia="仿宋_GB2312" w:cs="宋体"/>
      <w:color w:val="000000"/>
      <w:sz w:val="24"/>
      <w:szCs w:val="20"/>
    </w:rPr>
  </w:style>
  <w:style w:type="paragraph" w:customStyle="1" w:styleId="228">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character" w:customStyle="1" w:styleId="229">
    <w:name w:val="页眉 Char2"/>
    <w:basedOn w:val="51"/>
    <w:semiHidden/>
    <w:qFormat/>
    <w:uiPriority w:val="99"/>
    <w:rPr>
      <w:rFonts w:ascii="Calibri" w:hAnsi="Calibri" w:eastAsia="宋体" w:cs="Times New Roman"/>
      <w:sz w:val="18"/>
      <w:szCs w:val="18"/>
    </w:rPr>
  </w:style>
  <w:style w:type="paragraph" w:customStyle="1" w:styleId="230">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4"/>
    </w:rPr>
  </w:style>
  <w:style w:type="paragraph" w:customStyle="1" w:styleId="231">
    <w:name w:val="Char Char Char Char Char Char"/>
    <w:basedOn w:val="1"/>
    <w:qFormat/>
    <w:uiPriority w:val="0"/>
    <w:pPr>
      <w:ind w:firstLine="200" w:firstLineChars="200"/>
    </w:pPr>
  </w:style>
  <w:style w:type="character" w:customStyle="1" w:styleId="232">
    <w:name w:val="页脚 Char2"/>
    <w:basedOn w:val="51"/>
    <w:semiHidden/>
    <w:qFormat/>
    <w:uiPriority w:val="99"/>
    <w:rPr>
      <w:rFonts w:ascii="Calibri" w:hAnsi="Calibri" w:eastAsia="宋体" w:cs="Times New Roman"/>
      <w:sz w:val="18"/>
      <w:szCs w:val="18"/>
    </w:rPr>
  </w:style>
  <w:style w:type="paragraph" w:customStyle="1" w:styleId="233">
    <w:name w:val="Table Text"/>
    <w:basedOn w:val="1"/>
    <w:qFormat/>
    <w:uiPriority w:val="0"/>
    <w:pPr>
      <w:topLinePunct/>
      <w:adjustRightInd w:val="0"/>
      <w:snapToGrid w:val="0"/>
      <w:spacing w:before="80" w:after="80" w:line="240" w:lineRule="atLeast"/>
      <w:jc w:val="left"/>
    </w:pPr>
    <w:rPr>
      <w:rFonts w:cs="Arial"/>
      <w:kern w:val="0"/>
      <w:sz w:val="24"/>
      <w:szCs w:val="21"/>
    </w:rPr>
  </w:style>
  <w:style w:type="character" w:customStyle="1" w:styleId="234">
    <w:name w:val="正文文本缩进 2 Char2"/>
    <w:basedOn w:val="51"/>
    <w:semiHidden/>
    <w:qFormat/>
    <w:uiPriority w:val="99"/>
    <w:rPr>
      <w:rFonts w:ascii="Calibri" w:hAnsi="Calibri" w:eastAsia="宋体" w:cs="Times New Roman"/>
      <w:szCs w:val="24"/>
    </w:rPr>
  </w:style>
  <w:style w:type="paragraph" w:customStyle="1" w:styleId="235">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宋体" w:eastAsia="黑体" w:cs="宋体"/>
      <w:color w:val="000000"/>
      <w:kern w:val="0"/>
      <w:sz w:val="20"/>
      <w:szCs w:val="20"/>
    </w:rPr>
  </w:style>
  <w:style w:type="character" w:customStyle="1" w:styleId="236">
    <w:name w:val="纯文本 Char4"/>
    <w:basedOn w:val="51"/>
    <w:qFormat/>
    <w:uiPriority w:val="0"/>
    <w:rPr>
      <w:rFonts w:ascii="宋体" w:hAnsi="Courier New" w:eastAsia="宋体" w:cs="Courier New"/>
      <w:szCs w:val="21"/>
    </w:rPr>
  </w:style>
  <w:style w:type="paragraph" w:customStyle="1" w:styleId="237">
    <w:name w:val="xl31"/>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8">
    <w:name w:val="Char Char1 Char1"/>
    <w:basedOn w:val="1"/>
    <w:qFormat/>
    <w:uiPriority w:val="0"/>
    <w:pPr>
      <w:tabs>
        <w:tab w:val="left" w:pos="360"/>
      </w:tabs>
    </w:pPr>
    <w:rPr>
      <w:rFonts w:cs="宋体"/>
      <w:sz w:val="24"/>
    </w:rPr>
  </w:style>
  <w:style w:type="paragraph" w:customStyle="1" w:styleId="239">
    <w:name w:val="xl93"/>
    <w:basedOn w:val="1"/>
    <w:qFormat/>
    <w:uiPriority w:val="0"/>
    <w:pPr>
      <w:widowControl/>
      <w:spacing w:before="100" w:beforeAutospacing="1" w:after="100" w:afterAutospacing="1"/>
      <w:jc w:val="left"/>
    </w:pPr>
    <w:rPr>
      <w:rFonts w:ascii="宋体" w:hAnsi="宋体" w:cs="宋体"/>
      <w:color w:val="0000FF"/>
      <w:kern w:val="0"/>
      <w:sz w:val="24"/>
    </w:rPr>
  </w:style>
  <w:style w:type="character" w:customStyle="1" w:styleId="240">
    <w:name w:val="副标题 Char2"/>
    <w:basedOn w:val="51"/>
    <w:qFormat/>
    <w:uiPriority w:val="11"/>
    <w:rPr>
      <w:rFonts w:eastAsia="宋体" w:asciiTheme="majorHAnsi" w:hAnsiTheme="majorHAnsi" w:cstheme="majorBidi"/>
      <w:b/>
      <w:bCs/>
      <w:kern w:val="28"/>
      <w:sz w:val="32"/>
      <w:szCs w:val="32"/>
    </w:rPr>
  </w:style>
  <w:style w:type="paragraph" w:customStyle="1" w:styleId="241">
    <w:name w:val="正文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42">
    <w:name w:val="样式 首行缩进:  2 字符 段后: 0.5 行"/>
    <w:basedOn w:val="1"/>
    <w:qFormat/>
    <w:uiPriority w:val="0"/>
    <w:pPr>
      <w:spacing w:line="360" w:lineRule="auto"/>
      <w:ind w:firstLine="480" w:firstLineChars="200"/>
    </w:pPr>
    <w:rPr>
      <w:rFonts w:ascii="宋体" w:hAnsi="宋体" w:cs="宋体"/>
      <w:sz w:val="24"/>
    </w:rPr>
  </w:style>
  <w:style w:type="character" w:customStyle="1" w:styleId="243">
    <w:name w:val="标题 Char3"/>
    <w:basedOn w:val="51"/>
    <w:qFormat/>
    <w:uiPriority w:val="10"/>
    <w:rPr>
      <w:rFonts w:eastAsia="宋体" w:asciiTheme="majorHAnsi" w:hAnsiTheme="majorHAnsi" w:cstheme="majorBidi"/>
      <w:b/>
      <w:bCs/>
      <w:sz w:val="32"/>
      <w:szCs w:val="32"/>
    </w:rPr>
  </w:style>
  <w:style w:type="paragraph" w:customStyle="1" w:styleId="244">
    <w:name w:val="正文段"/>
    <w:basedOn w:val="1"/>
    <w:qFormat/>
    <w:uiPriority w:val="0"/>
    <w:pPr>
      <w:widowControl/>
      <w:snapToGrid w:val="0"/>
      <w:spacing w:afterLines="50"/>
      <w:ind w:firstLine="200" w:firstLineChars="200"/>
    </w:pPr>
    <w:rPr>
      <w:kern w:val="0"/>
      <w:sz w:val="24"/>
      <w:szCs w:val="20"/>
    </w:rPr>
  </w:style>
  <w:style w:type="paragraph" w:customStyle="1" w:styleId="245">
    <w:name w:val="font10"/>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46">
    <w:name w:val="Char Char7 Char"/>
    <w:basedOn w:val="1"/>
    <w:qFormat/>
    <w:uiPriority w:val="0"/>
    <w:pPr>
      <w:tabs>
        <w:tab w:val="left" w:pos="425"/>
      </w:tabs>
      <w:ind w:left="420" w:leftChars="200" w:firstLine="270" w:firstLineChars="150"/>
    </w:pPr>
    <w:rPr>
      <w:rFonts w:ascii="宋体" w:hAnsi="宋体" w:cs="Arial"/>
      <w:color w:val="5E5E5E"/>
      <w:kern w:val="0"/>
      <w:szCs w:val="21"/>
    </w:rPr>
  </w:style>
  <w:style w:type="paragraph" w:customStyle="1" w:styleId="247">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248">
    <w:name w:val="Char1"/>
    <w:basedOn w:val="1"/>
    <w:qFormat/>
    <w:uiPriority w:val="99"/>
    <w:rPr>
      <w:rFonts w:ascii="仿宋_GB2312" w:eastAsia="仿宋_GB2312"/>
      <w:b/>
      <w:sz w:val="32"/>
      <w:szCs w:val="32"/>
    </w:rPr>
  </w:style>
  <w:style w:type="paragraph" w:customStyle="1" w:styleId="249">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character" w:customStyle="1" w:styleId="250">
    <w:name w:val="正文文本 2 Char2"/>
    <w:basedOn w:val="51"/>
    <w:semiHidden/>
    <w:qFormat/>
    <w:uiPriority w:val="99"/>
    <w:rPr>
      <w:rFonts w:ascii="Calibri" w:hAnsi="Calibri" w:eastAsia="宋体" w:cs="Times New Roman"/>
      <w:szCs w:val="24"/>
    </w:rPr>
  </w:style>
  <w:style w:type="paragraph" w:customStyle="1" w:styleId="251">
    <w:name w:val="无间隔1"/>
    <w:qFormat/>
    <w:uiPriority w:val="0"/>
    <w:rPr>
      <w:rFonts w:ascii="Calibri" w:hAnsi="Calibri" w:eastAsia="宋体" w:cs="Times New Roman"/>
      <w:sz w:val="22"/>
      <w:szCs w:val="22"/>
      <w:lang w:val="en-US" w:eastAsia="zh-CN" w:bidi="ar-SA"/>
    </w:rPr>
  </w:style>
  <w:style w:type="paragraph" w:customStyle="1" w:styleId="252">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53">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宋体" w:eastAsia="黑体" w:cs="宋体"/>
      <w:color w:val="000000"/>
      <w:kern w:val="0"/>
      <w:sz w:val="20"/>
      <w:szCs w:val="20"/>
    </w:rPr>
  </w:style>
  <w:style w:type="paragraph" w:customStyle="1" w:styleId="254">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255">
    <w:name w:val="xl10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256">
    <w:name w:val="Char Char Char Char Char Char1"/>
    <w:basedOn w:val="1"/>
    <w:qFormat/>
    <w:uiPriority w:val="0"/>
    <w:pPr>
      <w:widowControl/>
      <w:spacing w:after="160" w:line="240" w:lineRule="exact"/>
      <w:jc w:val="left"/>
    </w:pPr>
    <w:rPr>
      <w:kern w:val="0"/>
      <w:szCs w:val="20"/>
    </w:rPr>
  </w:style>
  <w:style w:type="paragraph" w:customStyle="1" w:styleId="257">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20"/>
      <w:szCs w:val="20"/>
    </w:rPr>
  </w:style>
  <w:style w:type="paragraph" w:customStyle="1" w:styleId="258">
    <w:name w:val="样式 标题4 + 首行缩进:  1.47 字符"/>
    <w:basedOn w:val="1"/>
    <w:qFormat/>
    <w:uiPriority w:val="0"/>
    <w:pPr>
      <w:keepNext/>
      <w:keepLines/>
      <w:spacing w:before="60" w:after="60" w:line="377" w:lineRule="auto"/>
      <w:ind w:firstLine="147" w:firstLineChars="147"/>
      <w:outlineLvl w:val="3"/>
    </w:pPr>
    <w:rPr>
      <w:rFonts w:ascii="Arial" w:hAnsi="Arial" w:cs="宋体"/>
      <w:b/>
      <w:bCs/>
      <w:sz w:val="24"/>
      <w:szCs w:val="20"/>
    </w:rPr>
  </w:style>
  <w:style w:type="paragraph" w:customStyle="1" w:styleId="25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260">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61">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62">
    <w:name w:val="段落样式"/>
    <w:basedOn w:val="1"/>
    <w:qFormat/>
    <w:uiPriority w:val="0"/>
    <w:pPr>
      <w:spacing w:line="360" w:lineRule="auto"/>
    </w:pPr>
    <w:rPr>
      <w:rFonts w:cs="宋体"/>
      <w:sz w:val="24"/>
      <w:szCs w:val="20"/>
    </w:rPr>
  </w:style>
  <w:style w:type="paragraph" w:customStyle="1" w:styleId="263">
    <w:name w:val="Char Char1 Char"/>
    <w:basedOn w:val="1"/>
    <w:qFormat/>
    <w:uiPriority w:val="0"/>
    <w:pPr>
      <w:tabs>
        <w:tab w:val="left" w:pos="360"/>
      </w:tabs>
    </w:pPr>
    <w:rPr>
      <w:rFonts w:cs="宋体"/>
      <w:sz w:val="24"/>
    </w:rPr>
  </w:style>
  <w:style w:type="paragraph" w:customStyle="1" w:styleId="264">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0"/>
      <w:szCs w:val="20"/>
    </w:rPr>
  </w:style>
  <w:style w:type="paragraph" w:customStyle="1" w:styleId="265">
    <w:name w:val="列出段落1"/>
    <w:basedOn w:val="1"/>
    <w:qFormat/>
    <w:uiPriority w:val="99"/>
    <w:pPr>
      <w:ind w:firstLine="420" w:firstLineChars="200"/>
    </w:pPr>
    <w:rPr>
      <w:rFonts w:cs="宋体"/>
      <w:sz w:val="24"/>
      <w:szCs w:val="22"/>
    </w:rPr>
  </w:style>
  <w:style w:type="paragraph" w:customStyle="1" w:styleId="266">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20"/>
      <w:szCs w:val="20"/>
    </w:rPr>
  </w:style>
  <w:style w:type="paragraph" w:customStyle="1" w:styleId="267">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0"/>
      <w:szCs w:val="20"/>
    </w:rPr>
  </w:style>
  <w:style w:type="paragraph" w:customStyle="1" w:styleId="268">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69">
    <w:name w:val="Char Char Char Char Char Char Char"/>
    <w:basedOn w:val="1"/>
    <w:qFormat/>
    <w:uiPriority w:val="0"/>
    <w:rPr>
      <w:rFonts w:cs="宋体"/>
      <w:sz w:val="24"/>
      <w:szCs w:val="21"/>
    </w:rPr>
  </w:style>
  <w:style w:type="paragraph" w:customStyle="1" w:styleId="270">
    <w:name w:val="Char Char Char Char1"/>
    <w:basedOn w:val="1"/>
    <w:qFormat/>
    <w:uiPriority w:val="0"/>
    <w:pPr>
      <w:widowControl/>
      <w:jc w:val="left"/>
    </w:pPr>
    <w:rPr>
      <w:rFonts w:cs="宋体"/>
      <w:kern w:val="0"/>
      <w:sz w:val="24"/>
    </w:rPr>
  </w:style>
  <w:style w:type="paragraph" w:customStyle="1" w:styleId="271">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272">
    <w:name w:val="TOC 标题1"/>
    <w:basedOn w:val="3"/>
    <w:next w:val="1"/>
    <w:qFormat/>
    <w:uiPriority w:val="0"/>
    <w:pPr>
      <w:widowControl/>
      <w:spacing w:before="480" w:after="0" w:line="276" w:lineRule="auto"/>
      <w:jc w:val="left"/>
      <w:outlineLvl w:val="9"/>
    </w:pPr>
    <w:rPr>
      <w:rFonts w:ascii="Cambria" w:hAnsi="Cambria" w:cs="宋体"/>
      <w:color w:val="365F91"/>
      <w:kern w:val="0"/>
      <w:sz w:val="28"/>
      <w:szCs w:val="28"/>
    </w:rPr>
  </w:style>
  <w:style w:type="paragraph" w:customStyle="1" w:styleId="273">
    <w:name w:val="itemlist"/>
    <w:basedOn w:val="1"/>
    <w:qFormat/>
    <w:uiPriority w:val="0"/>
    <w:pPr>
      <w:widowControl/>
      <w:spacing w:before="100" w:beforeAutospacing="1" w:after="100" w:afterAutospacing="1"/>
      <w:jc w:val="left"/>
    </w:pPr>
    <w:rPr>
      <w:rFonts w:ascii="宋体" w:hAnsi="宋体" w:cs="宋体"/>
      <w:kern w:val="0"/>
      <w:sz w:val="24"/>
    </w:rPr>
  </w:style>
  <w:style w:type="paragraph" w:customStyle="1" w:styleId="274">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18"/>
      <w:szCs w:val="18"/>
    </w:rPr>
  </w:style>
  <w:style w:type="paragraph" w:customStyle="1" w:styleId="275">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276">
    <w:name w:val="列出段落11"/>
    <w:basedOn w:val="1"/>
    <w:qFormat/>
    <w:uiPriority w:val="0"/>
    <w:pPr>
      <w:ind w:firstLine="420" w:firstLineChars="200"/>
    </w:pPr>
    <w:rPr>
      <w:rFonts w:cs="宋体"/>
      <w:sz w:val="24"/>
    </w:rPr>
  </w:style>
  <w:style w:type="paragraph" w:customStyle="1" w:styleId="277">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278">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kern w:val="0"/>
      <w:sz w:val="18"/>
      <w:szCs w:val="18"/>
    </w:rPr>
  </w:style>
  <w:style w:type="paragraph" w:customStyle="1" w:styleId="279">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16"/>
      <w:szCs w:val="16"/>
    </w:rPr>
  </w:style>
  <w:style w:type="paragraph" w:customStyle="1" w:styleId="280">
    <w:name w:val="xl112"/>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20"/>
      <w:szCs w:val="20"/>
    </w:rPr>
  </w:style>
  <w:style w:type="paragraph" w:customStyle="1" w:styleId="281">
    <w:name w:val="p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282">
    <w:name w:val="_Style 192"/>
    <w:next w:val="1"/>
    <w:qFormat/>
    <w:uiPriority w:val="0"/>
    <w:pPr>
      <w:widowControl w:val="0"/>
      <w:jc w:val="both"/>
    </w:pPr>
    <w:rPr>
      <w:rFonts w:ascii="Calibri" w:hAnsi="Calibri" w:eastAsia="宋体" w:cs="Times New Roman"/>
      <w:kern w:val="2"/>
      <w:sz w:val="21"/>
      <w:szCs w:val="24"/>
      <w:lang w:val="en-US" w:eastAsia="zh-CN" w:bidi="ar-SA"/>
    </w:rPr>
  </w:style>
  <w:style w:type="paragraph" w:customStyle="1" w:styleId="283">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0"/>
      <w:szCs w:val="20"/>
    </w:rPr>
  </w:style>
  <w:style w:type="paragraph" w:customStyle="1" w:styleId="284">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85">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18"/>
      <w:szCs w:val="18"/>
    </w:rPr>
  </w:style>
  <w:style w:type="paragraph" w:customStyle="1" w:styleId="286">
    <w:name w:val="*正文"/>
    <w:basedOn w:val="1"/>
    <w:qFormat/>
    <w:uiPriority w:val="0"/>
    <w:pPr>
      <w:spacing w:line="360" w:lineRule="auto"/>
      <w:ind w:firstLine="480" w:firstLineChars="200"/>
    </w:pPr>
    <w:rPr>
      <w:rFonts w:cs="仿宋_GB2312"/>
      <w:sz w:val="24"/>
    </w:rPr>
  </w:style>
  <w:style w:type="paragraph" w:customStyle="1" w:styleId="287">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88">
    <w:name w:val="Char Char2"/>
    <w:basedOn w:val="18"/>
    <w:semiHidden/>
    <w:qFormat/>
    <w:uiPriority w:val="0"/>
    <w:pPr>
      <w:shd w:val="clear" w:color="auto" w:fill="000080"/>
      <w:jc w:val="left"/>
    </w:pPr>
    <w:rPr>
      <w:rFonts w:ascii="Tahoma" w:hAnsi="Tahoma" w:cs="Tahoma"/>
      <w:kern w:val="0"/>
      <w:szCs w:val="24"/>
    </w:rPr>
  </w:style>
  <w:style w:type="paragraph" w:customStyle="1" w:styleId="289">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90">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91">
    <w:name w:val="font8"/>
    <w:basedOn w:val="1"/>
    <w:qFormat/>
    <w:uiPriority w:val="0"/>
    <w:pPr>
      <w:widowControl/>
      <w:spacing w:before="100" w:beforeAutospacing="1" w:after="100" w:afterAutospacing="1"/>
      <w:jc w:val="left"/>
    </w:pPr>
    <w:rPr>
      <w:rFonts w:cs="宋体"/>
      <w:color w:val="0000FF"/>
      <w:kern w:val="0"/>
      <w:sz w:val="20"/>
      <w:szCs w:val="20"/>
    </w:rPr>
  </w:style>
  <w:style w:type="paragraph" w:customStyle="1" w:styleId="292">
    <w:name w:val="xl11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18"/>
      <w:szCs w:val="18"/>
    </w:rPr>
  </w:style>
  <w:style w:type="paragraph" w:customStyle="1" w:styleId="293">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94">
    <w:name w:val="默认段落字体 Para Char Char Char Char Char Char Char Char Char1 Char Char Char Char"/>
    <w:basedOn w:val="1"/>
    <w:qFormat/>
    <w:uiPriority w:val="0"/>
    <w:rPr>
      <w:rFonts w:ascii="Tahoma" w:hAnsi="Tahoma"/>
      <w:sz w:val="24"/>
      <w:szCs w:val="20"/>
    </w:rPr>
  </w:style>
  <w:style w:type="paragraph" w:customStyle="1" w:styleId="295">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18"/>
      <w:szCs w:val="18"/>
    </w:rPr>
  </w:style>
  <w:style w:type="paragraph" w:customStyle="1" w:styleId="296">
    <w:name w:val="xl11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20"/>
      <w:szCs w:val="20"/>
    </w:rPr>
  </w:style>
  <w:style w:type="paragraph" w:customStyle="1" w:styleId="297">
    <w:name w:val="Char4"/>
    <w:basedOn w:val="1"/>
    <w:qFormat/>
    <w:uiPriority w:val="0"/>
    <w:rPr>
      <w:rFonts w:ascii="仿宋_GB2312" w:eastAsia="仿宋_GB2312" w:cs="宋体"/>
      <w:b/>
      <w:sz w:val="32"/>
      <w:szCs w:val="32"/>
    </w:rPr>
  </w:style>
  <w:style w:type="paragraph" w:customStyle="1" w:styleId="298">
    <w:name w:val="1"/>
    <w:basedOn w:val="3"/>
    <w:qFormat/>
    <w:uiPriority w:val="0"/>
    <w:pPr>
      <w:adjustRightInd w:val="0"/>
      <w:snapToGrid w:val="0"/>
      <w:spacing w:before="240" w:after="240" w:line="348" w:lineRule="auto"/>
    </w:pPr>
    <w:rPr>
      <w:rFonts w:cs="宋体"/>
    </w:rPr>
  </w:style>
  <w:style w:type="paragraph" w:customStyle="1" w:styleId="299">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300">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18"/>
      <w:szCs w:val="18"/>
    </w:rPr>
  </w:style>
  <w:style w:type="paragraph" w:customStyle="1" w:styleId="301">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02">
    <w:name w:val="纯文本2"/>
    <w:basedOn w:val="1"/>
    <w:qFormat/>
    <w:uiPriority w:val="0"/>
    <w:pPr>
      <w:adjustRightInd w:val="0"/>
      <w:textAlignment w:val="baseline"/>
    </w:pPr>
    <w:rPr>
      <w:rFonts w:ascii="宋体" w:hAnsi="Courier New" w:eastAsia="楷体_GB2312" w:cs="宋体"/>
      <w:sz w:val="26"/>
      <w:szCs w:val="20"/>
    </w:rPr>
  </w:style>
  <w:style w:type="paragraph" w:customStyle="1" w:styleId="303">
    <w:name w:val="1 Char Char Char Char"/>
    <w:basedOn w:val="1"/>
    <w:qFormat/>
    <w:uiPriority w:val="0"/>
    <w:rPr>
      <w:rFonts w:ascii="Tahoma" w:hAnsi="Tahoma"/>
      <w:sz w:val="24"/>
      <w:szCs w:val="20"/>
    </w:rPr>
  </w:style>
  <w:style w:type="paragraph" w:customStyle="1" w:styleId="304">
    <w:name w:val="xl8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05">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06">
    <w:name w:val="xl8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cs="宋体"/>
      <w:kern w:val="0"/>
      <w:sz w:val="24"/>
      <w:szCs w:val="21"/>
    </w:rPr>
  </w:style>
  <w:style w:type="paragraph" w:customStyle="1" w:styleId="307">
    <w:name w:val="字元 字元"/>
    <w:basedOn w:val="1"/>
    <w:qFormat/>
    <w:uiPriority w:val="0"/>
    <w:pPr>
      <w:widowControl/>
      <w:spacing w:after="160" w:line="240" w:lineRule="exact"/>
      <w:jc w:val="left"/>
    </w:pPr>
    <w:rPr>
      <w:rFonts w:cs="宋体"/>
      <w:sz w:val="28"/>
      <w:szCs w:val="20"/>
    </w:rPr>
  </w:style>
  <w:style w:type="paragraph" w:customStyle="1" w:styleId="308">
    <w:name w:val="xl82"/>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pPr>
    <w:rPr>
      <w:rFonts w:cs="宋体"/>
      <w:kern w:val="0"/>
      <w:sz w:val="24"/>
      <w:szCs w:val="21"/>
    </w:rPr>
  </w:style>
  <w:style w:type="paragraph" w:customStyle="1" w:styleId="309">
    <w:name w:val="Char Char Char Char Char Char Char Char Char"/>
    <w:basedOn w:val="1"/>
    <w:qFormat/>
    <w:uiPriority w:val="0"/>
    <w:rPr>
      <w:rFonts w:cs="宋体"/>
    </w:rPr>
  </w:style>
  <w:style w:type="paragraph" w:customStyle="1" w:styleId="310">
    <w:name w:val="Char Char Char1 Char Char Char Char"/>
    <w:basedOn w:val="1"/>
    <w:qFormat/>
    <w:uiPriority w:val="0"/>
    <w:pPr>
      <w:widowControl/>
      <w:spacing w:after="160" w:line="240" w:lineRule="exact"/>
      <w:jc w:val="left"/>
    </w:pPr>
  </w:style>
  <w:style w:type="paragraph" w:customStyle="1" w:styleId="311">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18"/>
      <w:szCs w:val="18"/>
    </w:rPr>
  </w:style>
  <w:style w:type="paragraph" w:customStyle="1" w:styleId="312">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13">
    <w:name w:val="表格"/>
    <w:basedOn w:val="1"/>
    <w:qFormat/>
    <w:uiPriority w:val="0"/>
    <w:pPr>
      <w:spacing w:line="400" w:lineRule="exact"/>
    </w:pPr>
    <w:rPr>
      <w:rFonts w:cs="宋体"/>
      <w:sz w:val="24"/>
    </w:rPr>
  </w:style>
  <w:style w:type="paragraph" w:customStyle="1" w:styleId="314">
    <w:name w:val="纯文本1"/>
    <w:basedOn w:val="1"/>
    <w:qFormat/>
    <w:uiPriority w:val="0"/>
    <w:pPr>
      <w:adjustRightInd w:val="0"/>
      <w:textAlignment w:val="baseline"/>
    </w:pPr>
    <w:rPr>
      <w:rFonts w:ascii="宋体" w:hAnsi="Courier New" w:eastAsia="楷体_GB2312" w:cs="宋体"/>
      <w:sz w:val="26"/>
      <w:szCs w:val="20"/>
    </w:rPr>
  </w:style>
  <w:style w:type="paragraph" w:customStyle="1" w:styleId="315">
    <w:name w:val="正文－恩普"/>
    <w:basedOn w:val="16"/>
    <w:qFormat/>
    <w:uiPriority w:val="0"/>
    <w:pPr>
      <w:widowControl/>
      <w:spacing w:afterLines="50" w:line="360" w:lineRule="auto"/>
      <w:ind w:firstLine="480" w:firstLineChars="200"/>
      <w:jc w:val="left"/>
    </w:pPr>
    <w:rPr>
      <w:rFonts w:cs="宋体"/>
      <w:sz w:val="24"/>
    </w:rPr>
  </w:style>
  <w:style w:type="paragraph" w:customStyle="1" w:styleId="316">
    <w:name w:val="Char"/>
    <w:basedOn w:val="3"/>
    <w:qFormat/>
    <w:uiPriority w:val="0"/>
    <w:pPr>
      <w:adjustRightInd w:val="0"/>
      <w:snapToGrid w:val="0"/>
      <w:spacing w:before="240" w:after="240" w:line="348" w:lineRule="auto"/>
    </w:pPr>
  </w:style>
  <w:style w:type="paragraph" w:customStyle="1" w:styleId="317">
    <w:name w:val="Char21"/>
    <w:basedOn w:val="1"/>
    <w:qFormat/>
    <w:uiPriority w:val="0"/>
    <w:pPr>
      <w:tabs>
        <w:tab w:val="left" w:pos="360"/>
      </w:tabs>
      <w:ind w:left="360" w:hanging="360" w:hangingChars="200"/>
    </w:pPr>
    <w:rPr>
      <w:rFonts w:cs="宋体"/>
      <w:sz w:val="24"/>
    </w:rPr>
  </w:style>
  <w:style w:type="paragraph" w:customStyle="1" w:styleId="318">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18"/>
      <w:szCs w:val="18"/>
    </w:rPr>
  </w:style>
  <w:style w:type="paragraph" w:customStyle="1" w:styleId="319">
    <w:name w:val="Char31"/>
    <w:basedOn w:val="1"/>
    <w:qFormat/>
    <w:uiPriority w:val="0"/>
    <w:pPr>
      <w:tabs>
        <w:tab w:val="left" w:pos="360"/>
      </w:tabs>
    </w:pPr>
  </w:style>
  <w:style w:type="paragraph" w:customStyle="1" w:styleId="320">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2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18"/>
      <w:szCs w:val="18"/>
    </w:rPr>
  </w:style>
  <w:style w:type="paragraph" w:customStyle="1" w:styleId="322">
    <w:name w:val="_Style 42"/>
    <w:next w:val="1"/>
    <w:qFormat/>
    <w:uiPriority w:val="0"/>
    <w:pPr>
      <w:widowControl w:val="0"/>
      <w:jc w:val="both"/>
    </w:pPr>
    <w:rPr>
      <w:rFonts w:ascii="Calibri" w:hAnsi="Calibri" w:eastAsia="宋体" w:cs="Times New Roman"/>
      <w:kern w:val="2"/>
      <w:sz w:val="21"/>
      <w:szCs w:val="24"/>
      <w:lang w:val="en-US" w:eastAsia="zh-CN" w:bidi="ar-SA"/>
    </w:rPr>
  </w:style>
  <w:style w:type="paragraph" w:customStyle="1" w:styleId="323">
    <w:name w:val="正文1"/>
    <w:qFormat/>
    <w:uiPriority w:val="0"/>
    <w:pPr>
      <w:widowControl w:val="0"/>
      <w:jc w:val="both"/>
    </w:pPr>
    <w:rPr>
      <w:rFonts w:hint="eastAsia" w:ascii="Calibri" w:hAnsi="Calibri" w:eastAsia="宋体" w:cs="宋体"/>
      <w:kern w:val="2"/>
      <w:sz w:val="21"/>
      <w:lang w:val="en-US" w:eastAsia="zh-CN" w:bidi="ar-SA"/>
    </w:rPr>
  </w:style>
  <w:style w:type="paragraph" w:customStyle="1" w:styleId="324">
    <w:name w:val="列表内容"/>
    <w:basedOn w:val="1"/>
    <w:next w:val="1"/>
    <w:qFormat/>
    <w:uiPriority w:val="0"/>
    <w:pPr>
      <w:widowControl/>
      <w:numPr>
        <w:ilvl w:val="0"/>
        <w:numId w:val="4"/>
      </w:numPr>
      <w:jc w:val="left"/>
    </w:pPr>
    <w:rPr>
      <w:rFonts w:cs="宋体"/>
      <w:kern w:val="0"/>
      <w:sz w:val="18"/>
      <w:szCs w:val="20"/>
    </w:rPr>
  </w:style>
  <w:style w:type="paragraph" w:customStyle="1" w:styleId="32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宋体"/>
      <w:kern w:val="0"/>
      <w:sz w:val="24"/>
    </w:rPr>
  </w:style>
  <w:style w:type="paragraph" w:customStyle="1" w:styleId="326">
    <w:name w:val="默认段落字体 Para Char Char Char Char"/>
    <w:basedOn w:val="1"/>
    <w:qFormat/>
    <w:uiPriority w:val="0"/>
  </w:style>
  <w:style w:type="paragraph" w:customStyle="1" w:styleId="327">
    <w:name w:val="a2"/>
    <w:basedOn w:val="1"/>
    <w:qFormat/>
    <w:uiPriority w:val="0"/>
    <w:pPr>
      <w:widowControl/>
      <w:spacing w:before="100" w:beforeAutospacing="1" w:after="100" w:afterAutospacing="1"/>
      <w:jc w:val="left"/>
    </w:pPr>
    <w:rPr>
      <w:rFonts w:ascii="宋体" w:hAnsi="宋体" w:cs="宋体"/>
      <w:kern w:val="0"/>
      <w:sz w:val="24"/>
    </w:rPr>
  </w:style>
  <w:style w:type="paragraph" w:customStyle="1" w:styleId="328">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29">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30">
    <w:name w:val="标题6"/>
    <w:basedOn w:val="1"/>
    <w:next w:val="3"/>
    <w:qFormat/>
    <w:uiPriority w:val="0"/>
    <w:pPr>
      <w:widowControl/>
      <w:snapToGrid w:val="0"/>
      <w:spacing w:beforeLines="50" w:afterLines="50" w:line="520" w:lineRule="atLeast"/>
      <w:ind w:firstLine="200" w:firstLineChars="200"/>
    </w:pPr>
    <w:rPr>
      <w:rFonts w:cs="Arial"/>
      <w:b/>
      <w:sz w:val="24"/>
    </w:rPr>
  </w:style>
  <w:style w:type="paragraph" w:customStyle="1" w:styleId="331">
    <w:name w:val="--规划正文"/>
    <w:basedOn w:val="1"/>
    <w:qFormat/>
    <w:uiPriority w:val="0"/>
    <w:pPr>
      <w:widowControl/>
      <w:suppressAutoHyphens/>
      <w:spacing w:line="360" w:lineRule="auto"/>
      <w:ind w:firstLine="200"/>
      <w:jc w:val="left"/>
    </w:pPr>
    <w:rPr>
      <w:kern w:val="1"/>
      <w:szCs w:val="20"/>
      <w:lang w:eastAsia="ar-SA"/>
    </w:rPr>
  </w:style>
  <w:style w:type="paragraph" w:customStyle="1" w:styleId="332">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33">
    <w:name w:val="Char11"/>
    <w:basedOn w:val="1"/>
    <w:qFormat/>
    <w:uiPriority w:val="0"/>
    <w:pPr>
      <w:widowControl/>
      <w:spacing w:after="160" w:line="240" w:lineRule="exact"/>
      <w:jc w:val="left"/>
    </w:pPr>
    <w:rPr>
      <w:rFonts w:ascii="Verdana" w:hAnsi="Verdana" w:cs="宋体"/>
      <w:kern w:val="0"/>
      <w:sz w:val="20"/>
      <w:szCs w:val="20"/>
      <w:lang w:eastAsia="en-US"/>
    </w:rPr>
  </w:style>
  <w:style w:type="paragraph" w:customStyle="1" w:styleId="334">
    <w:name w:val="Char Char7 Char Char Char Char"/>
    <w:basedOn w:val="1"/>
    <w:qFormat/>
    <w:uiPriority w:val="0"/>
    <w:pPr>
      <w:spacing w:line="360" w:lineRule="auto"/>
      <w:ind w:firstLine="200" w:firstLineChars="200"/>
    </w:pPr>
    <w:rPr>
      <w:rFonts w:ascii="Tahoma" w:hAnsi="Tahoma" w:eastAsia="楷体_GB2312" w:cs="宋体"/>
      <w:sz w:val="24"/>
      <w:szCs w:val="20"/>
    </w:rPr>
  </w:style>
  <w:style w:type="paragraph" w:customStyle="1" w:styleId="335">
    <w:name w:val="正文3"/>
    <w:qFormat/>
    <w:uiPriority w:val="0"/>
    <w:pPr>
      <w:widowControl w:val="0"/>
      <w:jc w:val="both"/>
    </w:pPr>
    <w:rPr>
      <w:rFonts w:hint="eastAsia" w:ascii="Calibri" w:hAnsi="Calibri" w:eastAsia="宋体" w:cs="Times New Roman"/>
      <w:kern w:val="2"/>
      <w:sz w:val="21"/>
      <w:lang w:val="en-US" w:eastAsia="zh-CN" w:bidi="ar-SA"/>
    </w:rPr>
  </w:style>
  <w:style w:type="paragraph" w:customStyle="1" w:styleId="336">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0"/>
      <w:szCs w:val="20"/>
    </w:rPr>
  </w:style>
  <w:style w:type="paragraph" w:customStyle="1" w:styleId="337">
    <w:name w:val="p19"/>
    <w:basedOn w:val="1"/>
    <w:qFormat/>
    <w:uiPriority w:val="0"/>
    <w:pPr>
      <w:widowControl/>
      <w:spacing w:line="300" w:lineRule="auto"/>
      <w:jc w:val="left"/>
    </w:pPr>
    <w:rPr>
      <w:rFonts w:ascii="Arial" w:hAnsi="Arial" w:cs="Arial"/>
      <w:kern w:val="0"/>
      <w:szCs w:val="21"/>
    </w:rPr>
  </w:style>
  <w:style w:type="paragraph" w:customStyle="1" w:styleId="338">
    <w:name w:val="样式 样式 宋体 + 首行缩进:  2 字符"/>
    <w:basedOn w:val="1"/>
    <w:qFormat/>
    <w:uiPriority w:val="0"/>
    <w:pPr>
      <w:spacing w:line="360" w:lineRule="auto"/>
      <w:ind w:firstLine="560" w:firstLineChars="200"/>
      <w:jc w:val="left"/>
    </w:pPr>
    <w:rPr>
      <w:rFonts w:ascii="仿宋_GB2312" w:hAnsi="仿宋" w:eastAsia="仿宋_GB2312" w:cs="宋体"/>
      <w:sz w:val="28"/>
      <w:szCs w:val="20"/>
    </w:rPr>
  </w:style>
  <w:style w:type="paragraph" w:customStyle="1" w:styleId="339">
    <w:name w:val="正文文字2"/>
    <w:basedOn w:val="21"/>
    <w:qFormat/>
    <w:uiPriority w:val="0"/>
    <w:pPr>
      <w:adjustRightInd w:val="0"/>
      <w:spacing w:after="60" w:line="360" w:lineRule="atLeast"/>
      <w:ind w:left="72" w:leftChars="30" w:right="72" w:rightChars="30"/>
      <w:jc w:val="center"/>
    </w:pPr>
    <w:rPr>
      <w:rFonts w:ascii="Arial" w:eastAsia="黑体"/>
      <w:kern w:val="0"/>
      <w:sz w:val="21"/>
      <w:szCs w:val="20"/>
    </w:rPr>
  </w:style>
  <w:style w:type="paragraph" w:customStyle="1" w:styleId="340">
    <w:name w:val="Char3"/>
    <w:basedOn w:val="1"/>
    <w:qFormat/>
    <w:uiPriority w:val="0"/>
    <w:pPr>
      <w:widowControl/>
      <w:spacing w:after="160" w:line="240" w:lineRule="exact"/>
      <w:jc w:val="left"/>
    </w:pPr>
    <w:rPr>
      <w:rFonts w:ascii="Verdana" w:hAnsi="Verdana" w:eastAsia="仿宋_GB2312" w:cs="宋体"/>
      <w:kern w:val="0"/>
      <w:sz w:val="24"/>
      <w:szCs w:val="20"/>
      <w:lang w:eastAsia="en-US"/>
    </w:rPr>
  </w:style>
  <w:style w:type="paragraph" w:customStyle="1" w:styleId="341">
    <w:name w:val="样式 标题 3 + 小四 非加粗 段前: 0 磅 段后: 0 磅 行距: 单倍行距"/>
    <w:basedOn w:val="5"/>
    <w:qFormat/>
    <w:uiPriority w:val="0"/>
    <w:pPr>
      <w:keepNext w:val="0"/>
      <w:keepLines w:val="0"/>
      <w:numPr>
        <w:ilvl w:val="2"/>
        <w:numId w:val="5"/>
      </w:numPr>
      <w:spacing w:before="120" w:after="120" w:line="240" w:lineRule="auto"/>
      <w:jc w:val="left"/>
    </w:pPr>
    <w:rPr>
      <w:rFonts w:cs="宋体"/>
      <w:b w:val="0"/>
      <w:bCs w:val="0"/>
      <w:color w:val="000000"/>
      <w:kern w:val="0"/>
      <w:sz w:val="24"/>
      <w:szCs w:val="20"/>
    </w:rPr>
  </w:style>
  <w:style w:type="paragraph" w:customStyle="1" w:styleId="342">
    <w:name w:val="TOC 标题2"/>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343">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34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45">
    <w:name w:val="Table Paragraph"/>
    <w:basedOn w:val="1"/>
    <w:qFormat/>
    <w:uiPriority w:val="1"/>
    <w:rPr>
      <w:rFonts w:ascii="宋体" w:hAnsi="宋体" w:cs="宋体"/>
      <w:sz w:val="24"/>
      <w:lang w:val="zh-CN" w:bidi="zh-CN"/>
    </w:rPr>
  </w:style>
  <w:style w:type="paragraph" w:customStyle="1" w:styleId="346">
    <w:name w:val="纯文本3"/>
    <w:basedOn w:val="1"/>
    <w:qFormat/>
    <w:uiPriority w:val="0"/>
    <w:pPr>
      <w:adjustRightInd w:val="0"/>
      <w:textAlignment w:val="baseline"/>
    </w:pPr>
    <w:rPr>
      <w:rFonts w:ascii="宋体" w:hAnsi="Courier New" w:eastAsia="楷体_GB2312"/>
      <w:sz w:val="26"/>
      <w:szCs w:val="20"/>
    </w:rPr>
  </w:style>
  <w:style w:type="paragraph" w:customStyle="1" w:styleId="347">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18"/>
      <w:szCs w:val="18"/>
    </w:rPr>
  </w:style>
  <w:style w:type="paragraph" w:customStyle="1" w:styleId="348">
    <w:name w:val="Char Char Char Char Char Char Char2"/>
    <w:basedOn w:val="1"/>
    <w:qFormat/>
    <w:uiPriority w:val="0"/>
    <w:rPr>
      <w:szCs w:val="21"/>
    </w:rPr>
  </w:style>
  <w:style w:type="paragraph" w:customStyle="1" w:styleId="349">
    <w:name w:val="Char Char Char Char Char Char Char Char Char Char"/>
    <w:basedOn w:val="1"/>
    <w:qFormat/>
    <w:uiPriority w:val="0"/>
    <w:pPr>
      <w:widowControl/>
      <w:spacing w:after="160" w:line="360" w:lineRule="auto"/>
      <w:jc w:val="left"/>
    </w:pPr>
    <w:rPr>
      <w:rFonts w:ascii="Verdana" w:hAnsi="Verdana" w:cs="Verdana"/>
      <w:kern w:val="0"/>
      <w:sz w:val="24"/>
      <w:szCs w:val="21"/>
      <w:lang w:eastAsia="en-US"/>
    </w:rPr>
  </w:style>
  <w:style w:type="table" w:customStyle="1" w:styleId="350">
    <w:name w:val="网格型1"/>
    <w:basedOn w:val="49"/>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51">
    <w:name w:val="List Paragraph1"/>
    <w:basedOn w:val="1"/>
    <w:qFormat/>
    <w:uiPriority w:val="0"/>
    <w:pPr>
      <w:ind w:firstLine="420" w:firstLineChars="200"/>
    </w:pPr>
    <w:rPr>
      <w:szCs w:val="22"/>
    </w:rPr>
  </w:style>
  <w:style w:type="character" w:customStyle="1" w:styleId="352">
    <w:name w:val="NormalCharacter"/>
    <w:qFormat/>
    <w:uiPriority w:val="0"/>
  </w:style>
  <w:style w:type="paragraph" w:customStyle="1" w:styleId="353">
    <w:name w:val="TOC 标题3"/>
    <w:basedOn w:val="3"/>
    <w:next w:val="1"/>
    <w:unhideWhenUsed/>
    <w:qFormat/>
    <w:uiPriority w:val="39"/>
    <w:pPr>
      <w:widowControl/>
      <w:spacing w:before="480" w:after="0" w:line="276" w:lineRule="auto"/>
      <w:jc w:val="left"/>
      <w:outlineLvl w:val="9"/>
    </w:pPr>
    <w:rPr>
      <w:rFonts w:ascii="Cambria" w:hAnsi="Cambria"/>
      <w:color w:val="365F91"/>
      <w:kern w:val="0"/>
      <w:sz w:val="28"/>
      <w:szCs w:val="28"/>
      <w:lang w:val="en-US"/>
    </w:rPr>
  </w:style>
  <w:style w:type="character" w:customStyle="1" w:styleId="354">
    <w:name w:val="fontstyle01"/>
    <w:basedOn w:val="51"/>
    <w:qFormat/>
    <w:uiPriority w:val="0"/>
    <w:rPr>
      <w:rFonts w:hint="eastAsia" w:ascii="宋体" w:hAnsi="宋体" w:eastAsia="宋体"/>
      <w:color w:val="000000"/>
      <w:sz w:val="24"/>
      <w:szCs w:val="24"/>
    </w:rPr>
  </w:style>
  <w:style w:type="character" w:customStyle="1" w:styleId="355">
    <w:name w:val="fontstyle11"/>
    <w:basedOn w:val="51"/>
    <w:qFormat/>
    <w:uiPriority w:val="0"/>
    <w:rPr>
      <w:rFonts w:hint="default" w:ascii="Arial" w:hAnsi="Arial" w:cs="Arial"/>
      <w:color w:val="000000"/>
      <w:sz w:val="24"/>
      <w:szCs w:val="24"/>
    </w:rPr>
  </w:style>
  <w:style w:type="character" w:customStyle="1" w:styleId="356">
    <w:name w:val="fontstyle31"/>
    <w:basedOn w:val="51"/>
    <w:qFormat/>
    <w:uiPriority w:val="0"/>
    <w:rPr>
      <w:rFonts w:hint="default" w:ascii="Times New Roman" w:hAnsi="Times New Roman" w:cs="Times New Roman"/>
      <w:color w:val="000000"/>
      <w:sz w:val="18"/>
      <w:szCs w:val="18"/>
    </w:rPr>
  </w:style>
  <w:style w:type="character" w:customStyle="1" w:styleId="357">
    <w:name w:val="列表 Char"/>
    <w:link w:val="38"/>
    <w:qFormat/>
    <w:uiPriority w:val="0"/>
    <w:rPr>
      <w:rFonts w:ascii="Calibri" w:hAnsi="Calibri"/>
      <w:kern w:val="2"/>
      <w:sz w:val="28"/>
      <w:szCs w:val="24"/>
    </w:rPr>
  </w:style>
  <w:style w:type="character" w:customStyle="1" w:styleId="358">
    <w:name w:val="书籍标题11"/>
    <w:qFormat/>
    <w:uiPriority w:val="33"/>
    <w:rPr>
      <w:rFonts w:eastAsia="Songti SC Regular"/>
      <w:bCs/>
      <w:smallCaps/>
      <w:spacing w:val="5"/>
      <w:sz w:val="32"/>
    </w:rPr>
  </w:style>
  <w:style w:type="character" w:customStyle="1" w:styleId="359">
    <w:name w:val="UserStyle_117"/>
    <w:link w:val="360"/>
    <w:qFormat/>
    <w:uiPriority w:val="0"/>
    <w:rPr>
      <w:rFonts w:ascii="宋体" w:hAnsi="Courier New"/>
      <w:sz w:val="24"/>
      <w:szCs w:val="24"/>
    </w:rPr>
  </w:style>
  <w:style w:type="paragraph" w:customStyle="1" w:styleId="360">
    <w:name w:val="PlainText"/>
    <w:basedOn w:val="1"/>
    <w:link w:val="359"/>
    <w:qFormat/>
    <w:uiPriority w:val="0"/>
    <w:pPr>
      <w:widowControl/>
      <w:spacing w:before="156" w:after="156" w:line="400" w:lineRule="exact"/>
      <w:textAlignment w:val="baseline"/>
    </w:pPr>
    <w:rPr>
      <w:rFonts w:ascii="宋体" w:hAnsi="Courier New"/>
      <w:kern w:val="0"/>
      <w:sz w:val="24"/>
    </w:rPr>
  </w:style>
  <w:style w:type="character" w:customStyle="1" w:styleId="361">
    <w:name w:val="Char Char7"/>
    <w:qFormat/>
    <w:uiPriority w:val="0"/>
    <w:rPr>
      <w:rFonts w:ascii="Times New Roman" w:hAnsi="Times New Roman" w:eastAsia="宋体" w:cs="Times New Roman"/>
      <w:szCs w:val="24"/>
    </w:rPr>
  </w:style>
  <w:style w:type="paragraph" w:customStyle="1" w:styleId="362">
    <w:name w:val="2"/>
    <w:qFormat/>
    <w:uiPriority w:val="0"/>
    <w:rPr>
      <w:rFonts w:ascii="Times New Roman" w:hAnsi="Times New Roman" w:eastAsia="宋体" w:cs="Times New Roman"/>
      <w:lang w:val="en-US" w:eastAsia="zh-CN" w:bidi="ar-SA"/>
    </w:rPr>
  </w:style>
  <w:style w:type="paragraph" w:customStyle="1" w:styleId="363">
    <w:name w:val="Char Char4"/>
    <w:basedOn w:val="1"/>
    <w:qFormat/>
    <w:uiPriority w:val="0"/>
    <w:pPr>
      <w:widowControl/>
      <w:spacing w:after="160" w:line="240" w:lineRule="exact"/>
      <w:jc w:val="left"/>
    </w:pPr>
    <w:rPr>
      <w:rFonts w:ascii="Times New Roman" w:hAnsi="Times New Roman"/>
      <w:sz w:val="28"/>
      <w:szCs w:val="20"/>
    </w:rPr>
  </w:style>
  <w:style w:type="paragraph" w:customStyle="1" w:styleId="364">
    <w:name w:val="样式3"/>
    <w:basedOn w:val="1"/>
    <w:qFormat/>
    <w:uiPriority w:val="99"/>
    <w:pPr>
      <w:ind w:hanging="132"/>
    </w:pPr>
    <w:rPr>
      <w:rFonts w:ascii="Times New Roman" w:hAnsi="Times New Roman"/>
    </w:rPr>
  </w:style>
  <w:style w:type="paragraph" w:customStyle="1" w:styleId="365">
    <w:name w:val="样式2"/>
    <w:basedOn w:val="1"/>
    <w:qFormat/>
    <w:uiPriority w:val="99"/>
    <w:pPr>
      <w:tabs>
        <w:tab w:val="left" w:pos="420"/>
      </w:tabs>
      <w:ind w:left="420" w:hanging="132"/>
      <w:jc w:val="center"/>
    </w:pPr>
    <w:rPr>
      <w:rFonts w:ascii="Times New Roman" w:hAnsi="Times New Roman"/>
      <w:szCs w:val="21"/>
    </w:rPr>
  </w:style>
  <w:style w:type="character" w:customStyle="1" w:styleId="366">
    <w:name w:val="正文首行缩进 Char"/>
    <w:basedOn w:val="73"/>
    <w:link w:val="47"/>
    <w:qFormat/>
    <w:uiPriority w:val="99"/>
    <w:rPr>
      <w:rFonts w:ascii="Calibri" w:hAnsi="Calibri"/>
      <w:sz w:val="21"/>
      <w:szCs w:val="24"/>
    </w:rPr>
  </w:style>
  <w:style w:type="character" w:customStyle="1" w:styleId="367">
    <w:name w:val="fontstyle21"/>
    <w:basedOn w:val="51"/>
    <w:qFormat/>
    <w:uiPriority w:val="0"/>
    <w:rPr>
      <w:rFonts w:hint="default" w:ascii="Arial" w:hAnsi="Arial" w:cs="Arial"/>
      <w:color w:val="000000"/>
      <w:sz w:val="24"/>
      <w:szCs w:val="24"/>
    </w:rPr>
  </w:style>
  <w:style w:type="paragraph" w:customStyle="1" w:styleId="368">
    <w:name w:val="标准正文"/>
    <w:basedOn w:val="1"/>
    <w:qFormat/>
    <w:uiPriority w:val="0"/>
    <w:pPr>
      <w:spacing w:line="360" w:lineRule="auto"/>
      <w:ind w:firstLine="200" w:firstLineChars="200"/>
    </w:pPr>
    <w:rPr>
      <w:sz w:val="24"/>
      <w:szCs w:val="20"/>
    </w:rPr>
  </w:style>
  <w:style w:type="paragraph" w:customStyle="1" w:styleId="369">
    <w:name w:val="段"/>
    <w:qFormat/>
    <w:uiPriority w:val="0"/>
    <w:pPr>
      <w:autoSpaceDE w:val="0"/>
      <w:autoSpaceDN w:val="0"/>
      <w:ind w:firstLine="200" w:firstLineChars="200"/>
      <w:jc w:val="both"/>
    </w:pPr>
    <w:rPr>
      <w:rFonts w:ascii="宋体" w:hAnsi="Calibri"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China</Company>
  <Pages>67</Pages>
  <Words>39522</Words>
  <Characters>42941</Characters>
  <Lines>200</Lines>
  <Paragraphs>56</Paragraphs>
  <TotalTime>17</TotalTime>
  <ScaleCrop>false</ScaleCrop>
  <LinksUpToDate>false</LinksUpToDate>
  <CharactersWithSpaces>44397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2022-02-07T10:18:00Z</dcterms:created>
  <dc:creator>嘉兴市建新工程造价咨询事务所有限公司</dc:creator>
  <cp:lastModifiedBy>QCL</cp:lastModifiedBy>
  <cp:lastPrinted>2022-02-07T03:01:00Z</cp:lastPrinted>
  <dcterms:modified xsi:type="dcterms:W3CDTF">2022-04-20T07:04:25Z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70627ADEF9EF476082491F7659FCA32F</vt:lpwstr>
  </property>
  <property fmtid="{D5CDD505-2E9C-101B-9397-08002B2CF9AE}" pid="4" name="woTemplateTypoMode" linkTarget="0">
    <vt:lpwstr>web</vt:lpwstr>
  </property>
  <property fmtid="{D5CDD505-2E9C-101B-9397-08002B2CF9AE}" pid="5" name="woTemplate" linkTarget="0">
    <vt:i4>1</vt:i4>
  </property>
</Properties>
</file>