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 w:firstLineChars="200"/>
        <w:textAlignment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嘉兴中共嘉兴市委党校（新校区）智慧校园项目</w:t>
      </w:r>
      <w:r>
        <w:rPr>
          <w:rFonts w:hint="eastAsia"/>
          <w:b/>
          <w:bCs/>
          <w:sz w:val="28"/>
          <w:szCs w:val="28"/>
          <w:lang w:eastAsia="zh-CN"/>
        </w:rPr>
        <w:t>更正公告</w:t>
      </w:r>
    </w:p>
    <w:p>
      <w:pPr>
        <w:pStyle w:val="2"/>
        <w:rPr>
          <w:rFonts w:hint="eastAsia" w:ascii="宋体" w:hAnsi="宋体"/>
          <w:b/>
          <w:sz w:val="56"/>
          <w:szCs w:val="56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原评标办法技术分中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258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技术参数符合15分）</w:t>
            </w:r>
          </w:p>
        </w:tc>
        <w:tc>
          <w:tcPr>
            <w:tcW w:w="62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完全满足招标文件技术参数要求的得15分。如有负偏离，从15分起扣，标注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★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的重要技术指标（条款、参数有偏离的，每项扣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分；其他一般技术指标（条款、参数）有偏离的，每项扣0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分；扣完为止。</w:t>
            </w:r>
          </w:p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注：技术指标（条款、参数）中明示要提供相关证明材料的，则必须在中标后提供并加盖设备制造厂商公章，未提供的视作负偏离。证明材料包括但不限于权威第三方测试报告、公开发布的产品资料手册、官网截图、产品功能截图。</w:t>
            </w:r>
          </w:p>
        </w:tc>
        <w:tc>
          <w:tcPr>
            <w:tcW w:w="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15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adjustRightInd w:val="0"/>
        <w:spacing w:line="480" w:lineRule="exact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修改为：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258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重要技术指标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符合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性（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62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完全满足招标文件技术参数要求的得1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分。如有负偏离，从1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分起扣，标注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★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的重要技术指标（条款、参数</w:t>
            </w:r>
            <w:r>
              <w:rPr>
                <w:rFonts w:hint="eastAsia"/>
                <w:szCs w:val="21"/>
                <w:lang w:eastAsia="zh-CN"/>
              </w:rPr>
              <w:t>）共</w:t>
            </w:r>
            <w:r>
              <w:rPr>
                <w:rFonts w:hint="eastAsia"/>
                <w:szCs w:val="21"/>
                <w:lang w:val="en-US" w:eastAsia="zh-CN"/>
              </w:rPr>
              <w:t>40项；</w:t>
            </w:r>
            <w:r>
              <w:rPr>
                <w:rFonts w:hint="eastAsia"/>
                <w:szCs w:val="21"/>
              </w:rPr>
              <w:t>有偏离的，每项扣</w:t>
            </w:r>
            <w:r>
              <w:rPr>
                <w:rFonts w:hint="eastAsia"/>
                <w:szCs w:val="21"/>
                <w:lang w:val="en-US" w:eastAsia="zh-CN"/>
              </w:rPr>
              <w:t>0.3</w:t>
            </w:r>
            <w:r>
              <w:rPr>
                <w:rFonts w:hint="eastAsia"/>
                <w:szCs w:val="21"/>
              </w:rPr>
              <w:t>分；扣完为止。</w:t>
            </w:r>
          </w:p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注：技术指标（条款、参数）中明示要提供相关证明材料的，则必须在中标后提供并加盖设备制造厂商公章，未提供的视作负偏离。证明材料包括但不限于权威第三方测试报告、公开发布的产品资料手册、官网截图、产品功能截图。</w:t>
            </w:r>
          </w:p>
        </w:tc>
        <w:tc>
          <w:tcPr>
            <w:tcW w:w="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其他一般技术指标</w:t>
            </w:r>
            <w:r>
              <w:rPr>
                <w:rFonts w:hint="eastAsia"/>
                <w:szCs w:val="21"/>
                <w:lang w:eastAsia="zh-CN"/>
              </w:rPr>
              <w:t>符合性（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62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标注为“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”为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其他一般技术指标（条款、参数）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共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 w:bidi="ar"/>
              </w:rPr>
              <w:t>30项；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有偏离的，每项扣0.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分；</w:t>
            </w:r>
          </w:p>
          <w:p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 w:bidi="ar"/>
              </w:rPr>
              <w:t>注：技术指标（条款、参数）中明示要提供相关证明材料的，则必须在中标后提供并加盖设备制造厂商公章，未提供的视作负偏离。证明材料包括但不限于权威第三方测试报告、公开发布的产品资料手册、官网截图、产品功能截图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招标文件28页</w:t>
      </w:r>
    </w:p>
    <w:tbl>
      <w:tblPr>
        <w:tblStyle w:val="6"/>
        <w:tblW w:w="4535" w:type="pct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89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数字底座平台系统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平台软件</w:t>
            </w:r>
          </w:p>
        </w:tc>
        <w:tc>
          <w:tcPr>
            <w:tcW w:w="3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一、总体要求：</w:t>
            </w:r>
          </w:p>
          <w:p>
            <w:pPr>
              <w:widowControl/>
              <w:adjustRightInd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、平台采用软SDN方案，独立部署通用服务器作为网络节点，提供包括但不限于南北网关，负载均衡，QoS，NAT网关，虚拟防火墙等网络能力。网络节点需要提供集群部署能力，具备可靠性以及横向扩展能力。同时计算节点的VxLAN隧道端点部署虚拟交换机，而不是硬件交换机上；</w:t>
            </w:r>
          </w:p>
          <w:p>
            <w:pPr>
              <w:widowControl/>
              <w:adjustRightInd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修改为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4535" w:type="pct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89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数字底座平台系统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平台软件</w:t>
            </w:r>
          </w:p>
        </w:tc>
        <w:tc>
          <w:tcPr>
            <w:tcW w:w="3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一、总体要求：</w:t>
            </w:r>
          </w:p>
          <w:p>
            <w:pPr>
              <w:widowControl/>
              <w:adjustRightInd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10、平台采用软SDN方案，独立部署通用服务器作为网络节点，提供包括但不限于南北网关，负载均衡，QoS，NAT网关，虚拟防火墙等网络能力。网络节点需要提供集群部署能力，具备可靠性以及横向扩展能力。同时计算节点的VxLAN隧道端点部署虚拟交换机，而不是硬件交换机上；</w:t>
            </w:r>
          </w:p>
          <w:p>
            <w:pPr>
              <w:widowControl/>
              <w:adjustRightInd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招标文件p141上增加表格如下：</w:t>
      </w:r>
    </w:p>
    <w:p>
      <w:pPr>
        <w:wordWrap w:val="0"/>
        <w:spacing w:line="440" w:lineRule="exact"/>
        <w:ind w:firstLine="48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其他一般技术响应（偏离）</w:t>
      </w:r>
      <w:r>
        <w:rPr>
          <w:rFonts w:hint="eastAsia" w:ascii="宋体" w:hAnsi="宋体" w:cs="宋体"/>
          <w:b/>
          <w:bCs/>
          <w:sz w:val="24"/>
          <w:lang w:eastAsia="zh-CN"/>
        </w:rPr>
        <w:t>承诺</w:t>
      </w:r>
      <w:r>
        <w:rPr>
          <w:rFonts w:hint="eastAsia" w:ascii="宋体" w:hAnsi="宋体" w:cs="宋体"/>
          <w:b/>
          <w:bCs/>
          <w:sz w:val="24"/>
        </w:rPr>
        <w:t>表</w:t>
      </w:r>
    </w:p>
    <w:tbl>
      <w:tblPr>
        <w:tblStyle w:val="6"/>
        <w:tblW w:w="80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74"/>
        <w:gridCol w:w="910"/>
        <w:gridCol w:w="4459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模块化机房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微模块冷通道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IT机柜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4、按照标准YD5083-2005《电信设备抗地震性能检测规范》要求，带载500kg测试连续通过8、9级烈度结构抗地震考核，并提供第三方权威机构测试报告；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微模块冷通道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3、机柜立柱采用八折型材一次滚压成型技术 ，保证承重要求。机柜主要承重部件包括立柱、横梁、框架等的板材厚度不小于1.5mm，顶板、侧板、底板等非承重部件的板材厚度1.0mm。 要求静态承载能力不小于2300kg，并提供第三方权威机构测试报告。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机房制冷系统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列间空调（含室外机）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8、需提供空调抗震泰尔认证、CE、节能认证；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UPS主机机框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5、单功率模块的额定输出功率≥50KVA，当功率模块故障时，应及时退出系统而不能影响其他模块正常工作，并提供第三方权威证明资料证明；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等保安全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堡垒机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7、支持一键健康检查并且支持导出健康报告，可一键日志打包供排错分析，提供产品功能截图；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安全控制平台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8、支持IPSec：支持IPSec策略组和IPSec设备模板管理方式，方便基于场景批量配置IPSec能力，简化IPSec部署；支持IPSec统一监控，提供功能截图证明；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互联网出口防火墙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10、支持数据防泄露，对传输的文件和内容进行识别过滤，对内容与身份证、信用卡、银行卡、社会安全卡号等类型进行匹配；提供功能截图为证明材料；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区域边界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抗DDoS攻击设备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4、支持SYN、SYN-ACK、ACK首包检查功能防御虚假源Flood攻击；（提供功能截图）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区域边界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APT威胁检测系统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4、支持HTTP、SMTP、POP3、IMAP、FTP协议的流量还原，通过解析主流的应用协议，对协议传输中承载的文件及关键字段信息进行分析还原，提供官网链接及截图为证明材料；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计算环境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7、支持数据库请求和返回的双向审计，提供产品功能截图证明；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计算环境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区域WEB防火墙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5、支持XML基础校验，包括最大树深度、元素名长度、元素个数、子节点个数等参数配置。请提供相关证明材料。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数字平台基础底座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数字基础底座硬件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边界墙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5、可识别应用层协议数量≥5000种；支持识别国标SIP协议及主流安防厂家的私有协议，提供功能截图；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总体要求：</w:t>
            </w:r>
          </w:p>
          <w:p>
            <w:pPr>
              <w:widowControl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☆11、平台厂商的解决方案产品获得中国电子技术标准化研究院（CESI）的GB/T32399-2015认证；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计算服务：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6、每台虚拟机可以绑定多个EIP，通过绑定多张网卡，实现每张网卡支持绑定一个EIP。提供功能截图证明。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存储硬盘服务：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2、支持从各种数据源创建硬盘资源（系统盘&amp;数据盘），包括从镜像创建硬盘，从已有硬盘创建硬盘，从备份创建硬盘，从快照创建硬盘。提供功能截图证明。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集成服务：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19、支持数据库到API的转换发布能力，降低应用开发的用数难度，支撑应用快速创新，SQL-&gt;RESTful API。提供证明材料；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安全软件授权许可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弱口令扫描功能，支持弱口令扫描协议数量≥22种，包括FTP、SMB、RDP、SSH、TELNET、SMTP、IMAP、POP3、Oracle、MySQL、MSSQL、DB2、REDIS、MongoDB、Sybase、Rlogin、RTSP、SIP、Onvif、Weblogic、Tomcat、SNMP等协议进行弱口令扫描，允许用户自定义用户、密码字典。提供产品截图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平台网管软件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7、提供SNAT/DNAT能力，支持将VPC内IP地址映射为弹性IP地址。提供VPC内外部访问的能力，并支持配置NAT带宽限制，可以限制用户使用NAT的最大带宽占用。提供功能截图证明。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平台网管软件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10、支持租户界面批量申请弹性IP地址，并支持申请时指定EIP QoS限制弹性IP所能使用的最大带宽，支持独享带宽和共享带宽模式。提供功能截图证明。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2、提供虚拟数据中心（以下简称VDC）管理能力，支持在VDC下再划分多级子VDC（支持5级VDC划分），以匹配用户的组织架构。每个VDC可分配多个数据中心/地域的资源。提供功能截图证明。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数字底座平台系统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3、支持对VDC使用的资源做配额限制，包括但不限于弹性主机（vCPU, 内存，实例个数）、硬盘资源（磁盘容量，磁盘类型，磁盘个数）、网络服务（VPC个数，弹性IP个数，弹性负载均衡个数，ACL个数，专线个数）。进行配额设置。提供功能截图证明。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数字平台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园区数字平台套件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数据集成：提供多种数据源的快速集成能力，可以在任意时间、任意地点、任意系统之间实现轻量级实时数据集成和定时增量数据迁移。支持文本、消息、API、结构和非结构化数据等多种数据源之间的灵活集成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园区数字平台套件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4、应用集成：提供API设计、开发、测试、管理、发布能力，具备API策略路由、统一接入、认证授权、请求验证、流量控制、API调用统计分析能力，以及协议转换、API编排、API调度等业务处理能力；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园区数字平台套件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5、消息集成：针对企业级互联的专业消息组件，基于高可用分布式集群技术，包括发布订阅、消息轨迹、资源统计、监控报警等一套完整的消息云服务；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 一层50人研讨室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拾音扩音系统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数字红外无线会议主席单元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2、红外传输副载波符合IEC 61603-7数字红外国际标准，DQPSK数字调制/解调技术；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 30人校委会会议室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196英寸会议一体机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5、显示对比度≥5000:1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无纸化会议终端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升降式无纸化多媒体会议终端主席单元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12、可以独立调节增益和均衡（5 段），可针对不同的发言者声音特点调节不同的音量和频响，直至达到完美效果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 智慧教室系统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智慧会议控制中心会议软件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会议预定系统软件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1、会议中心数据库是布置在服务器的会议管理平台，它可以将会务和会控进行分离，将会议用到的会务信息统一管理，可供多个会议室使用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无纸化办公系统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无纸化平台软件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7、具有计算机软件著作权证书。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无纸化办公系统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全数字化会议系统主机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5、系统具备带电热插拔功能，可在会议期间随时增加设备；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wordWrap w:val="0"/>
        <w:spacing w:line="440" w:lineRule="exact"/>
        <w:ind w:firstLine="480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注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1、投标人应根据投标产品的技术指标、对照招标文件要求一一对应如实填写技术响应表，在“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投标人响应</w:t>
      </w:r>
      <w:r>
        <w:rPr>
          <w:rFonts w:hint="eastAsia" w:ascii="宋体" w:hAnsi="宋体"/>
          <w:color w:val="000000"/>
          <w:szCs w:val="21"/>
        </w:rPr>
        <w:t>”栏注明“</w:t>
      </w:r>
      <w:r>
        <w:rPr>
          <w:rFonts w:hint="eastAsia" w:ascii="宋体" w:hAnsi="宋体"/>
          <w:color w:val="000000"/>
          <w:szCs w:val="21"/>
          <w:lang w:eastAsia="zh-CN"/>
        </w:rPr>
        <w:t>√</w:t>
      </w:r>
      <w:r>
        <w:rPr>
          <w:rFonts w:hint="eastAsia" w:ascii="宋体" w:hAnsi="宋体"/>
          <w:color w:val="000000"/>
          <w:szCs w:val="21"/>
        </w:rPr>
        <w:t>”、“</w:t>
      </w:r>
      <w:r>
        <w:rPr>
          <w:rFonts w:hint="eastAsia" w:ascii="宋体" w:hAnsi="宋体"/>
          <w:color w:val="000000"/>
          <w:szCs w:val="21"/>
          <w:lang w:val="en-US" w:eastAsia="zh-CN"/>
        </w:rPr>
        <w:t>×</w:t>
      </w:r>
      <w:r>
        <w:rPr>
          <w:rFonts w:hint="eastAsia" w:ascii="宋体" w:hAnsi="宋体"/>
          <w:color w:val="000000"/>
          <w:szCs w:val="21"/>
        </w:rPr>
        <w:t>”。“</w:t>
      </w:r>
      <w:r>
        <w:rPr>
          <w:rFonts w:hint="eastAsia" w:ascii="宋体" w:hAnsi="宋体"/>
          <w:color w:val="000000"/>
          <w:szCs w:val="21"/>
          <w:lang w:eastAsia="zh-CN"/>
        </w:rPr>
        <w:t>√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ascii="宋体" w:hAnsi="宋体"/>
          <w:color w:val="000000"/>
          <w:szCs w:val="21"/>
          <w:lang w:eastAsia="zh-CN"/>
        </w:rPr>
        <w:t>意味不存在负偏离，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  <w:lang w:val="en-US" w:eastAsia="zh-CN"/>
        </w:rPr>
        <w:t>×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ascii="宋体" w:hAnsi="宋体"/>
          <w:color w:val="000000"/>
          <w:szCs w:val="21"/>
          <w:lang w:eastAsia="zh-CN"/>
        </w:rPr>
        <w:t>意味着存在负偏离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lang w:eastAsia="zh-CN"/>
        </w:rPr>
        <w:t>评标委员会根据投标人提供的</w:t>
      </w:r>
      <w:r>
        <w:rPr>
          <w:rFonts w:hint="eastAsia" w:ascii="宋体" w:hAnsi="宋体"/>
          <w:color w:val="000000"/>
          <w:szCs w:val="21"/>
        </w:rPr>
        <w:t>其他一般技术响应（偏离）</w:t>
      </w:r>
      <w:r>
        <w:rPr>
          <w:rFonts w:hint="eastAsia" w:ascii="宋体" w:hAnsi="宋体"/>
          <w:color w:val="000000"/>
          <w:szCs w:val="21"/>
          <w:lang w:eastAsia="zh-CN"/>
        </w:rPr>
        <w:t>承诺</w:t>
      </w:r>
      <w:r>
        <w:rPr>
          <w:rFonts w:hint="eastAsia" w:ascii="宋体" w:hAnsi="宋体"/>
          <w:color w:val="000000"/>
          <w:szCs w:val="21"/>
        </w:rPr>
        <w:t>表</w:t>
      </w:r>
      <w:r>
        <w:rPr>
          <w:rFonts w:hint="eastAsia" w:ascii="宋体" w:hAnsi="宋体"/>
          <w:color w:val="000000"/>
          <w:szCs w:val="21"/>
          <w:lang w:eastAsia="zh-CN"/>
        </w:rPr>
        <w:t>中的承诺判定评分。</w:t>
      </w:r>
    </w:p>
    <w:p>
      <w:pPr>
        <w:numPr>
          <w:ilvl w:val="0"/>
          <w:numId w:val="3"/>
        </w:numPr>
        <w:spacing w:line="360" w:lineRule="auto"/>
        <w:ind w:firstLine="840" w:firstLineChars="4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上表中的序号、类别、项目名称均与招标文件中的设备清单表对应。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ind w:firstLine="840" w:firstLineChars="400"/>
        <w:rPr>
          <w:rFonts w:hint="eastAsia" w:ascii="宋体" w:hAnsi="宋体" w:eastAsia="宋体" w:cs="Times New Roman"/>
          <w:snapToGrid/>
          <w:color w:val="000000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/>
          <w:color w:val="000000"/>
          <w:szCs w:val="21"/>
          <w:lang w:val="zh-CN"/>
        </w:rPr>
        <w:t>如果供应商在技术偏离表中注明无偏离，评标结束后、签订招标合同前又认为其实际产品与投标技术需求不一致的，视为供应商在投标有效期内对其投标文件进行了实质性修改，其投标将被追认为无效。</w:t>
      </w:r>
    </w:p>
    <w:p>
      <w:pPr>
        <w:pStyle w:val="5"/>
        <w:snapToGrid w:val="0"/>
        <w:spacing w:before="120" w:after="120" w:line="360" w:lineRule="auto"/>
        <w:ind w:left="1050" w:leftChars="500" w:firstLine="3570" w:firstLineChars="1700"/>
        <w:jc w:val="right"/>
        <w:rPr>
          <w:rFonts w:hint="eastAsia" w:ascii="宋体" w:hAnsi="宋体" w:eastAsia="宋体" w:cs="Times New Roman"/>
          <w:snapToGrid/>
          <w:color w:val="000000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Times New Roman"/>
          <w:snapToGrid/>
          <w:color w:val="000000"/>
          <w:kern w:val="2"/>
          <w:sz w:val="21"/>
          <w:szCs w:val="21"/>
          <w:lang w:val="zh-CN" w:eastAsia="zh-CN" w:bidi="ar-SA"/>
        </w:rPr>
        <w:t>采购单位：中共嘉兴市委党校</w:t>
      </w:r>
    </w:p>
    <w:p>
      <w:pPr>
        <w:pStyle w:val="5"/>
        <w:snapToGrid w:val="0"/>
        <w:spacing w:before="120" w:after="120" w:line="360" w:lineRule="auto"/>
        <w:ind w:left="1050" w:leftChars="500" w:firstLine="2520" w:firstLineChars="1200"/>
        <w:jc w:val="right"/>
        <w:rPr>
          <w:rFonts w:hint="eastAsia" w:ascii="宋体" w:hAnsi="宋体" w:eastAsia="宋体" w:cs="Times New Roman"/>
          <w:snapToGrid/>
          <w:color w:val="000000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Times New Roman"/>
          <w:snapToGrid/>
          <w:color w:val="000000"/>
          <w:kern w:val="2"/>
          <w:sz w:val="21"/>
          <w:szCs w:val="21"/>
          <w:lang w:val="zh-CN" w:eastAsia="zh-CN" w:bidi="ar-SA"/>
        </w:rPr>
        <w:t>采购代理机构：嘉兴市银建工程咨询评估有限公司</w:t>
      </w:r>
    </w:p>
    <w:p>
      <w:pPr>
        <w:ind w:firstLine="4830" w:firstLineChars="2300"/>
        <w:jc w:val="right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snapToGrid/>
          <w:color w:val="000000"/>
          <w:kern w:val="2"/>
          <w:sz w:val="21"/>
          <w:szCs w:val="21"/>
          <w:lang w:val="en-US" w:eastAsia="zh-CN" w:bidi="ar-SA"/>
        </w:rPr>
        <w:t>2022年12月13日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35AF3"/>
    <w:multiLevelType w:val="singleLevel"/>
    <w:tmpl w:val="A1D35A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AFDC0F"/>
    <w:multiLevelType w:val="singleLevel"/>
    <w:tmpl w:val="BDAFDC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D9721A"/>
    <w:multiLevelType w:val="singleLevel"/>
    <w:tmpl w:val="75D9721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zQxYjliNDBkODljZDMwM2E4ODE5MjcyNWUwM2EifQ=="/>
  </w:docVars>
  <w:rsids>
    <w:rsidRoot w:val="1CF67753"/>
    <w:rsid w:val="091A5787"/>
    <w:rsid w:val="1CF67753"/>
    <w:rsid w:val="211663DC"/>
    <w:rsid w:val="2F527F7E"/>
    <w:rsid w:val="324059AE"/>
    <w:rsid w:val="6D3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Plain Text"/>
    <w:basedOn w:val="1"/>
    <w:next w:val="1"/>
    <w:qFormat/>
    <w:uiPriority w:val="0"/>
    <w:rPr>
      <w:rFonts w:ascii="宋体" w:hAnsi="Courier New" w:cs="Arial"/>
      <w:snapToGrid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3498</Words>
  <Characters>3875</Characters>
  <Lines>0</Lines>
  <Paragraphs>0</Paragraphs>
  <TotalTime>4</TotalTime>
  <ScaleCrop>false</ScaleCrop>
  <LinksUpToDate>false</LinksUpToDate>
  <CharactersWithSpaces>3890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2022-12-13T06:51:00Z</dcterms:created>
  <dc:creator>我还没睡醒</dc:creator>
  <cp:lastModifiedBy>面包小姐</cp:lastModifiedBy>
  <dcterms:modified xsi:type="dcterms:W3CDTF">2022-12-14T01:03:36Z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ABAFB39B28004AE9B44A52F80EBC9E10</vt:lpwstr>
  </property>
</Properties>
</file>