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Lines="50" w:line="360" w:lineRule="auto"/>
        <w:rPr>
          <w:rFonts w:asciiTheme="minorEastAsia" w:hAnsiTheme="minorEastAsia" w:eastAsiaTheme="minorEastAsia"/>
          <w:b/>
          <w:bCs/>
          <w:color w:val="auto"/>
          <w:spacing w:val="-4"/>
          <w:szCs w:val="21"/>
          <w:highlight w:val="none"/>
        </w:rPr>
      </w:pPr>
    </w:p>
    <w:p>
      <w:pPr>
        <w:spacing w:line="360" w:lineRule="auto"/>
        <w:rPr>
          <w:rFonts w:asciiTheme="minorEastAsia" w:hAnsiTheme="minorEastAsia" w:eastAsiaTheme="minorEastAsia"/>
          <w:b/>
          <w:color w:val="auto"/>
          <w:szCs w:val="21"/>
          <w:highlight w:val="none"/>
        </w:rPr>
      </w:pPr>
    </w:p>
    <w:p>
      <w:pPr>
        <w:spacing w:beforeLines="50" w:line="360" w:lineRule="auto"/>
        <w:jc w:val="center"/>
        <w:rPr>
          <w:rFonts w:hint="eastAsia" w:asciiTheme="minorEastAsia" w:hAnsiTheme="minorEastAsia" w:eastAsiaTheme="minorEastAsia"/>
          <w:b/>
          <w:color w:val="auto"/>
          <w:sz w:val="48"/>
          <w:szCs w:val="48"/>
          <w:highlight w:val="none"/>
          <w:lang w:eastAsia="zh-CN"/>
        </w:rPr>
      </w:pPr>
      <w:r>
        <w:rPr>
          <w:rFonts w:hint="eastAsia" w:asciiTheme="minorEastAsia" w:hAnsiTheme="minorEastAsia" w:eastAsiaTheme="minorEastAsia"/>
          <w:b/>
          <w:color w:val="auto"/>
          <w:sz w:val="48"/>
          <w:szCs w:val="48"/>
          <w:highlight w:val="none"/>
          <w:lang w:eastAsia="zh-CN"/>
        </w:rPr>
        <w:t>2023年度南湖革命纪念馆及周边绿化养护项目</w:t>
      </w:r>
    </w:p>
    <w:p>
      <w:pPr>
        <w:spacing w:beforeLines="50" w:line="360" w:lineRule="auto"/>
        <w:rPr>
          <w:rFonts w:asciiTheme="minorEastAsia" w:hAnsiTheme="minorEastAsia" w:eastAsiaTheme="minorEastAsia"/>
          <w:b/>
          <w:color w:val="auto"/>
          <w:szCs w:val="21"/>
          <w:highlight w:val="none"/>
        </w:rPr>
      </w:pPr>
    </w:p>
    <w:p>
      <w:pPr>
        <w:spacing w:beforeLines="50" w:line="360" w:lineRule="auto"/>
        <w:rPr>
          <w:rFonts w:asciiTheme="minorEastAsia" w:hAnsiTheme="minorEastAsia" w:eastAsiaTheme="minorEastAsia"/>
          <w:b/>
          <w:color w:val="auto"/>
          <w:szCs w:val="21"/>
          <w:highlight w:val="none"/>
        </w:rPr>
      </w:pPr>
    </w:p>
    <w:p>
      <w:pPr>
        <w:spacing w:beforeLines="50" w:line="360" w:lineRule="auto"/>
        <w:rPr>
          <w:rFonts w:asciiTheme="minorEastAsia" w:hAnsiTheme="minorEastAsia" w:eastAsiaTheme="minorEastAsia"/>
          <w:b/>
          <w:color w:val="auto"/>
          <w:szCs w:val="21"/>
          <w:highlight w:val="none"/>
        </w:rPr>
      </w:pPr>
    </w:p>
    <w:p>
      <w:pPr>
        <w:spacing w:beforeLines="50" w:line="360" w:lineRule="auto"/>
        <w:rPr>
          <w:rFonts w:asciiTheme="minorEastAsia" w:hAnsiTheme="minorEastAsia" w:eastAsiaTheme="minorEastAsia"/>
          <w:b/>
          <w:color w:val="auto"/>
          <w:sz w:val="44"/>
          <w:szCs w:val="44"/>
          <w:highlight w:val="none"/>
        </w:rPr>
      </w:pPr>
    </w:p>
    <w:p>
      <w:pPr>
        <w:spacing w:line="360" w:lineRule="auto"/>
        <w:jc w:val="center"/>
        <w:rPr>
          <w:rFonts w:asciiTheme="minorEastAsia" w:hAnsiTheme="minorEastAsia" w:eastAsiaTheme="minorEastAsia"/>
          <w:b/>
          <w:color w:val="auto"/>
          <w:sz w:val="44"/>
          <w:szCs w:val="44"/>
          <w:highlight w:val="none"/>
        </w:rPr>
      </w:pPr>
      <w:r>
        <w:rPr>
          <w:rFonts w:hint="eastAsia" w:asciiTheme="minorEastAsia" w:hAnsiTheme="minorEastAsia" w:eastAsiaTheme="minorEastAsia"/>
          <w:b/>
          <w:color w:val="auto"/>
          <w:sz w:val="44"/>
          <w:szCs w:val="44"/>
          <w:highlight w:val="none"/>
        </w:rPr>
        <w:t>公开招标文件</w:t>
      </w:r>
    </w:p>
    <w:p>
      <w:pPr>
        <w:spacing w:line="360" w:lineRule="auto"/>
        <w:jc w:val="center"/>
        <w:rPr>
          <w:rFonts w:asciiTheme="minorEastAsia" w:hAnsiTheme="minorEastAsia" w:eastAsiaTheme="minorEastAsia"/>
          <w:b/>
          <w:color w:val="auto"/>
          <w:sz w:val="44"/>
          <w:szCs w:val="44"/>
          <w:highlight w:val="none"/>
        </w:rPr>
      </w:pPr>
      <w:r>
        <w:rPr>
          <w:rFonts w:hint="eastAsia" w:asciiTheme="minorEastAsia" w:hAnsiTheme="minorEastAsia" w:eastAsiaTheme="minorEastAsia"/>
          <w:b/>
          <w:color w:val="auto"/>
          <w:sz w:val="44"/>
          <w:szCs w:val="44"/>
          <w:highlight w:val="none"/>
        </w:rPr>
        <w:t>（电子招投标）</w:t>
      </w:r>
    </w:p>
    <w:p>
      <w:pPr>
        <w:snapToGrid w:val="0"/>
        <w:spacing w:beforeLines="50" w:line="360" w:lineRule="auto"/>
        <w:rPr>
          <w:rFonts w:asciiTheme="minorEastAsia" w:hAnsiTheme="minorEastAsia" w:eastAsiaTheme="minorEastAsia"/>
          <w:color w:val="auto"/>
          <w:szCs w:val="21"/>
          <w:highlight w:val="none"/>
        </w:rPr>
      </w:pPr>
    </w:p>
    <w:p>
      <w:pPr>
        <w:snapToGrid w:val="0"/>
        <w:spacing w:beforeLines="50" w:line="360" w:lineRule="auto"/>
        <w:rPr>
          <w:rFonts w:asciiTheme="minorEastAsia" w:hAnsiTheme="minorEastAsia" w:eastAsiaTheme="minorEastAsia"/>
          <w:color w:val="auto"/>
          <w:szCs w:val="21"/>
          <w:highlight w:val="none"/>
        </w:rPr>
      </w:pPr>
    </w:p>
    <w:p>
      <w:pPr>
        <w:snapToGrid w:val="0"/>
        <w:spacing w:beforeLines="50" w:line="360" w:lineRule="auto"/>
        <w:rPr>
          <w:rFonts w:asciiTheme="minorEastAsia" w:hAnsiTheme="minorEastAsia" w:eastAsiaTheme="minorEastAsia"/>
          <w:color w:val="auto"/>
          <w:szCs w:val="21"/>
          <w:highlight w:val="none"/>
        </w:rPr>
      </w:pPr>
    </w:p>
    <w:p>
      <w:pPr>
        <w:snapToGrid w:val="0"/>
        <w:spacing w:beforeLines="50" w:line="360" w:lineRule="auto"/>
        <w:rPr>
          <w:rFonts w:asciiTheme="minorEastAsia" w:hAnsiTheme="minorEastAsia" w:eastAsiaTheme="minorEastAsia"/>
          <w:color w:val="auto"/>
          <w:szCs w:val="21"/>
          <w:highlight w:val="none"/>
        </w:rPr>
      </w:pPr>
    </w:p>
    <w:p>
      <w:pPr>
        <w:snapToGrid w:val="0"/>
        <w:spacing w:beforeLines="50" w:line="360" w:lineRule="auto"/>
        <w:rPr>
          <w:rFonts w:asciiTheme="minorEastAsia" w:hAnsiTheme="minorEastAsia" w:eastAsiaTheme="minorEastAsia"/>
          <w:color w:val="auto"/>
          <w:szCs w:val="21"/>
          <w:highlight w:val="none"/>
        </w:rPr>
      </w:pPr>
    </w:p>
    <w:p>
      <w:pPr>
        <w:pStyle w:val="48"/>
        <w:ind w:firstLine="404"/>
        <w:rPr>
          <w:color w:val="auto"/>
          <w:highlight w:val="none"/>
        </w:rPr>
      </w:pPr>
    </w:p>
    <w:p>
      <w:pPr>
        <w:pStyle w:val="29"/>
        <w:spacing w:before="120" w:after="120" w:line="360" w:lineRule="auto"/>
        <w:ind w:firstLine="562" w:firstLineChars="200"/>
        <w:rPr>
          <w:rStyle w:val="56"/>
          <w:rFonts w:hint="eastAsia" w:asciiTheme="minorEastAsia" w:hAnsiTheme="minorEastAsia" w:eastAsiaTheme="minorEastAsia"/>
          <w:b/>
          <w:color w:val="auto"/>
          <w:sz w:val="28"/>
          <w:szCs w:val="28"/>
          <w:highlight w:val="none"/>
          <w:u w:val="none"/>
        </w:rPr>
      </w:pPr>
      <w:r>
        <w:rPr>
          <w:rStyle w:val="56"/>
          <w:rFonts w:hint="eastAsia" w:asciiTheme="minorEastAsia" w:hAnsiTheme="minorEastAsia" w:eastAsiaTheme="minorEastAsia"/>
          <w:b/>
          <w:color w:val="auto"/>
          <w:sz w:val="28"/>
          <w:szCs w:val="28"/>
          <w:highlight w:val="none"/>
          <w:u w:val="none"/>
        </w:rPr>
        <w:t>项目编号：</w:t>
      </w:r>
      <w:r>
        <w:rPr>
          <w:rStyle w:val="56"/>
          <w:rFonts w:hint="eastAsia" w:asciiTheme="minorEastAsia" w:hAnsiTheme="minorEastAsia" w:eastAsiaTheme="minorEastAsia"/>
          <w:b/>
          <w:color w:val="auto"/>
          <w:sz w:val="28"/>
          <w:szCs w:val="28"/>
          <w:highlight w:val="none"/>
          <w:u w:val="none"/>
          <w:lang w:eastAsia="zh-CN"/>
        </w:rPr>
        <w:t>银建-JXYJ-L（2022）49号</w:t>
      </w:r>
      <w:r>
        <w:rPr>
          <w:rStyle w:val="56"/>
          <w:rFonts w:hint="eastAsia" w:asciiTheme="minorEastAsia" w:hAnsiTheme="minorEastAsia" w:eastAsiaTheme="minorEastAsia"/>
          <w:b/>
          <w:color w:val="auto"/>
          <w:sz w:val="28"/>
          <w:szCs w:val="28"/>
          <w:highlight w:val="none"/>
          <w:u w:val="none"/>
        </w:rPr>
        <w:t xml:space="preserve"> </w:t>
      </w:r>
    </w:p>
    <w:p>
      <w:pPr>
        <w:pStyle w:val="29"/>
        <w:spacing w:before="120" w:after="120" w:line="360" w:lineRule="auto"/>
        <w:ind w:firstLine="562" w:firstLineChars="200"/>
        <w:rPr>
          <w:rStyle w:val="56"/>
          <w:rFonts w:hint="eastAsia" w:asciiTheme="minorEastAsia" w:hAnsiTheme="minorEastAsia" w:eastAsiaTheme="minorEastAsia"/>
          <w:b/>
          <w:color w:val="auto"/>
          <w:sz w:val="28"/>
          <w:szCs w:val="28"/>
          <w:highlight w:val="none"/>
          <w:u w:val="none"/>
          <w:lang w:eastAsia="zh-CN"/>
        </w:rPr>
      </w:pPr>
      <w:r>
        <w:rPr>
          <w:rStyle w:val="56"/>
          <w:rFonts w:hint="eastAsia" w:asciiTheme="minorEastAsia" w:hAnsiTheme="minorEastAsia" w:eastAsiaTheme="minorEastAsia"/>
          <w:b/>
          <w:color w:val="auto"/>
          <w:sz w:val="28"/>
          <w:szCs w:val="28"/>
          <w:highlight w:val="none"/>
          <w:u w:val="none"/>
        </w:rPr>
        <w:t>采购单位：</w:t>
      </w:r>
      <w:r>
        <w:rPr>
          <w:rStyle w:val="56"/>
          <w:rFonts w:hint="eastAsia" w:asciiTheme="minorEastAsia" w:hAnsiTheme="minorEastAsia" w:eastAsiaTheme="minorEastAsia"/>
          <w:b/>
          <w:color w:val="auto"/>
          <w:sz w:val="28"/>
          <w:szCs w:val="28"/>
          <w:highlight w:val="none"/>
          <w:u w:val="none"/>
          <w:lang w:eastAsia="zh-CN"/>
        </w:rPr>
        <w:t>南湖革命纪念馆</w:t>
      </w:r>
    </w:p>
    <w:p>
      <w:pPr>
        <w:pStyle w:val="29"/>
        <w:spacing w:before="120" w:after="120" w:line="360" w:lineRule="auto"/>
        <w:ind w:firstLine="562" w:firstLineChars="200"/>
        <w:rPr>
          <w:rStyle w:val="56"/>
          <w:rFonts w:asciiTheme="minorEastAsia" w:hAnsiTheme="minorEastAsia" w:eastAsiaTheme="minorEastAsia"/>
          <w:b/>
          <w:color w:val="auto"/>
          <w:sz w:val="28"/>
          <w:szCs w:val="28"/>
          <w:highlight w:val="none"/>
          <w:u w:val="none"/>
        </w:rPr>
      </w:pPr>
      <w:r>
        <w:rPr>
          <w:rStyle w:val="56"/>
          <w:rFonts w:hint="eastAsia" w:asciiTheme="minorEastAsia" w:hAnsiTheme="minorEastAsia" w:eastAsiaTheme="minorEastAsia"/>
          <w:b/>
          <w:color w:val="auto"/>
          <w:sz w:val="28"/>
          <w:szCs w:val="28"/>
          <w:highlight w:val="none"/>
          <w:u w:val="none"/>
        </w:rPr>
        <w:t>采购机构：</w:t>
      </w:r>
      <w:r>
        <w:rPr>
          <w:rStyle w:val="56"/>
          <w:rFonts w:hint="eastAsia" w:asciiTheme="minorEastAsia" w:hAnsiTheme="minorEastAsia" w:eastAsiaTheme="minorEastAsia"/>
          <w:b/>
          <w:color w:val="auto"/>
          <w:sz w:val="28"/>
          <w:szCs w:val="28"/>
          <w:highlight w:val="none"/>
          <w:u w:val="none"/>
          <w:lang w:eastAsia="zh-CN"/>
        </w:rPr>
        <w:t>嘉兴市银建工程咨询评估有限公司</w:t>
      </w:r>
    </w:p>
    <w:p>
      <w:pPr>
        <w:snapToGrid w:val="0"/>
        <w:spacing w:beforeLines="50" w:line="360" w:lineRule="auto"/>
        <w:ind w:right="140"/>
        <w:jc w:val="center"/>
        <w:rPr>
          <w:rFonts w:asciiTheme="minorEastAsia" w:hAnsiTheme="minorEastAsia" w:eastAsiaTheme="minorEastAsia"/>
          <w:color w:val="auto"/>
          <w:sz w:val="28"/>
          <w:szCs w:val="28"/>
          <w:highlight w:val="none"/>
        </w:rPr>
      </w:pPr>
      <w:r>
        <w:rPr>
          <w:rFonts w:asciiTheme="minorEastAsia" w:hAnsiTheme="minorEastAsia" w:eastAsiaTheme="minorEastAsia"/>
          <w:b/>
          <w:bCs/>
          <w:color w:val="auto"/>
          <w:w w:val="95"/>
          <w:sz w:val="28"/>
          <w:szCs w:val="28"/>
          <w:highlight w:val="none"/>
        </w:rPr>
        <w:t>202</w:t>
      </w:r>
      <w:r>
        <w:rPr>
          <w:rFonts w:hint="eastAsia" w:asciiTheme="minorEastAsia" w:hAnsiTheme="minorEastAsia" w:eastAsiaTheme="minorEastAsia"/>
          <w:b/>
          <w:bCs/>
          <w:color w:val="auto"/>
          <w:w w:val="95"/>
          <w:sz w:val="28"/>
          <w:szCs w:val="28"/>
          <w:highlight w:val="none"/>
        </w:rPr>
        <w:t>2</w:t>
      </w:r>
      <w:r>
        <w:rPr>
          <w:rFonts w:asciiTheme="minorEastAsia" w:hAnsiTheme="minorEastAsia" w:eastAsiaTheme="minorEastAsia"/>
          <w:b/>
          <w:bCs/>
          <w:color w:val="auto"/>
          <w:w w:val="95"/>
          <w:sz w:val="28"/>
          <w:szCs w:val="28"/>
          <w:highlight w:val="none"/>
        </w:rPr>
        <w:t>年</w:t>
      </w:r>
      <w:r>
        <w:rPr>
          <w:rFonts w:hint="eastAsia" w:asciiTheme="minorEastAsia" w:hAnsiTheme="minorEastAsia" w:eastAsiaTheme="minorEastAsia"/>
          <w:b/>
          <w:bCs/>
          <w:color w:val="auto"/>
          <w:w w:val="95"/>
          <w:sz w:val="28"/>
          <w:szCs w:val="28"/>
          <w:highlight w:val="none"/>
          <w:lang w:val="en-US" w:eastAsia="zh-CN"/>
        </w:rPr>
        <w:t>12</w:t>
      </w:r>
      <w:r>
        <w:rPr>
          <w:rFonts w:asciiTheme="minorEastAsia" w:hAnsiTheme="minorEastAsia" w:eastAsiaTheme="minorEastAsia"/>
          <w:b/>
          <w:bCs/>
          <w:color w:val="auto"/>
          <w:w w:val="95"/>
          <w:sz w:val="28"/>
          <w:szCs w:val="28"/>
          <w:highlight w:val="none"/>
        </w:rPr>
        <w:t>月</w:t>
      </w:r>
      <w:r>
        <w:rPr>
          <w:rFonts w:hint="eastAsia" w:asciiTheme="minorEastAsia" w:hAnsiTheme="minorEastAsia" w:eastAsiaTheme="minorEastAsia"/>
          <w:b/>
          <w:bCs/>
          <w:color w:val="auto"/>
          <w:w w:val="95"/>
          <w:sz w:val="28"/>
          <w:szCs w:val="28"/>
          <w:highlight w:val="none"/>
          <w:lang w:val="en-US" w:eastAsia="zh-CN"/>
        </w:rPr>
        <w:t>05</w:t>
      </w:r>
      <w:r>
        <w:rPr>
          <w:rFonts w:asciiTheme="minorEastAsia" w:hAnsiTheme="minorEastAsia" w:eastAsiaTheme="minorEastAsia"/>
          <w:b/>
          <w:bCs/>
          <w:color w:val="auto"/>
          <w:w w:val="95"/>
          <w:sz w:val="28"/>
          <w:szCs w:val="28"/>
          <w:highlight w:val="none"/>
        </w:rPr>
        <w:t>日</w:t>
      </w:r>
    </w:p>
    <w:p>
      <w:pPr>
        <w:pStyle w:val="29"/>
        <w:spacing w:beforeLines="0" w:afterLines="0" w:line="360" w:lineRule="auto"/>
        <w:rPr>
          <w:rFonts w:asciiTheme="minorEastAsia" w:hAnsiTheme="minorEastAsia" w:eastAsiaTheme="minorEastAsia"/>
          <w:color w:val="auto"/>
          <w:sz w:val="21"/>
          <w:szCs w:val="21"/>
          <w:highlight w:val="none"/>
        </w:rPr>
      </w:pPr>
    </w:p>
    <w:p>
      <w:pPr>
        <w:pStyle w:val="29"/>
        <w:spacing w:beforeLines="0" w:afterLines="0" w:line="360" w:lineRule="auto"/>
        <w:rPr>
          <w:rFonts w:asciiTheme="minorEastAsia" w:hAnsiTheme="minorEastAsia" w:eastAsiaTheme="minorEastAsia"/>
          <w:color w:val="auto"/>
          <w:sz w:val="21"/>
          <w:szCs w:val="21"/>
          <w:highlight w:val="none"/>
        </w:rPr>
      </w:pPr>
    </w:p>
    <w:p>
      <w:pPr>
        <w:pStyle w:val="29"/>
        <w:spacing w:beforeLines="0" w:afterLines="0" w:line="360" w:lineRule="auto"/>
        <w:rPr>
          <w:rFonts w:asciiTheme="minorEastAsia" w:hAnsiTheme="minorEastAsia" w:eastAsiaTheme="minorEastAsia"/>
          <w:color w:val="auto"/>
          <w:sz w:val="21"/>
          <w:szCs w:val="21"/>
          <w:highlight w:val="none"/>
        </w:rPr>
      </w:pPr>
    </w:p>
    <w:p>
      <w:pPr>
        <w:pStyle w:val="29"/>
        <w:spacing w:beforeLines="0" w:afterLines="0" w:line="360" w:lineRule="auto"/>
        <w:rPr>
          <w:rFonts w:asciiTheme="minorEastAsia" w:hAnsiTheme="minorEastAsia" w:eastAsiaTheme="minorEastAsia"/>
          <w:color w:val="auto"/>
          <w:sz w:val="21"/>
          <w:szCs w:val="21"/>
          <w:highlight w:val="none"/>
        </w:rPr>
      </w:pPr>
    </w:p>
    <w:p>
      <w:pPr>
        <w:pStyle w:val="29"/>
        <w:spacing w:beforeLines="0" w:afterLines="0" w:line="360" w:lineRule="auto"/>
        <w:rPr>
          <w:rFonts w:asciiTheme="minorEastAsia" w:hAnsiTheme="minorEastAsia" w:eastAsiaTheme="minorEastAsia"/>
          <w:color w:val="auto"/>
          <w:sz w:val="21"/>
          <w:szCs w:val="21"/>
          <w:highlight w:val="none"/>
        </w:rPr>
      </w:pPr>
    </w:p>
    <w:p>
      <w:pPr>
        <w:pStyle w:val="29"/>
        <w:spacing w:beforeLines="0" w:afterLines="0" w:line="360" w:lineRule="auto"/>
        <w:jc w:val="center"/>
        <w:rPr>
          <w:rFonts w:asciiTheme="minorEastAsia" w:hAnsiTheme="minorEastAsia" w:eastAsiaTheme="minorEastAsia"/>
          <w:b/>
          <w:color w:val="auto"/>
          <w:sz w:val="32"/>
          <w:szCs w:val="32"/>
          <w:highlight w:val="none"/>
        </w:rPr>
      </w:pPr>
      <w:r>
        <w:rPr>
          <w:rFonts w:hint="eastAsia" w:asciiTheme="minorEastAsia" w:hAnsiTheme="minorEastAsia" w:eastAsiaTheme="minorEastAsia"/>
          <w:b/>
          <w:color w:val="auto"/>
          <w:sz w:val="32"/>
          <w:szCs w:val="32"/>
          <w:highlight w:val="none"/>
        </w:rPr>
        <w:t>目    录</w:t>
      </w:r>
    </w:p>
    <w:p>
      <w:pPr>
        <w:pStyle w:val="36"/>
        <w:tabs>
          <w:tab w:val="right" w:leader="dot" w:pos="8834"/>
        </w:tabs>
        <w:spacing w:line="480" w:lineRule="auto"/>
        <w:outlineLvl w:val="9"/>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fldChar w:fldCharType="begin"/>
      </w:r>
      <w:r>
        <w:rPr>
          <w:rFonts w:asciiTheme="minorEastAsia" w:hAnsiTheme="minorEastAsia" w:eastAsiaTheme="minorEastAsia"/>
          <w:color w:val="auto"/>
          <w:szCs w:val="21"/>
          <w:highlight w:val="none"/>
        </w:rPr>
        <w:instrText xml:space="preserve"> TOC \o "1-1" \h \z \u </w:instrText>
      </w:r>
      <w:r>
        <w:rPr>
          <w:rFonts w:asciiTheme="minorEastAsia" w:hAnsiTheme="minorEastAsia" w:eastAsiaTheme="minorEastAsia"/>
          <w:color w:val="auto"/>
          <w:szCs w:val="21"/>
          <w:highlight w:val="none"/>
        </w:rPr>
        <w:fldChar w:fldCharType="separate"/>
      </w:r>
    </w:p>
    <w:sdt>
      <w:sdtPr>
        <w:rPr>
          <w:rFonts w:hint="eastAsia" w:ascii="宋体" w:hAnsi="宋体" w:eastAsia="宋体" w:cs="宋体"/>
          <w:color w:val="auto"/>
          <w:kern w:val="2"/>
          <w:sz w:val="32"/>
          <w:szCs w:val="32"/>
          <w:highlight w:val="none"/>
          <w:lang w:val="en-US" w:eastAsia="zh-CN" w:bidi="ar-SA"/>
        </w:rPr>
        <w:id w:val="147477849"/>
        <w15:color w:val="DBDBDB"/>
        <w:docPartObj>
          <w:docPartGallery w:val="Table of Contents"/>
          <w:docPartUnique/>
        </w:docPartObj>
      </w:sdtPr>
      <w:sdtEndPr>
        <w:rPr>
          <w:rFonts w:hint="eastAsia" w:ascii="Calibri" w:hAnsi="Calibri" w:eastAsia="宋体" w:cs="Times New Roman"/>
          <w:color w:val="auto"/>
          <w:kern w:val="2"/>
          <w:sz w:val="21"/>
          <w:szCs w:val="24"/>
          <w:highlight w:val="none"/>
          <w:lang w:val="en-US" w:eastAsia="zh-CN" w:bidi="ar-SA"/>
        </w:rPr>
      </w:sdtEndPr>
      <w:sdtContent>
        <w:p>
          <w:pPr>
            <w:spacing w:before="0" w:beforeLines="0" w:after="0" w:afterLines="0" w:line="240" w:lineRule="auto"/>
            <w:ind w:left="0" w:leftChars="0" w:right="0" w:rightChars="0" w:firstLine="0" w:firstLineChars="0"/>
            <w:jc w:val="center"/>
            <w:rPr>
              <w:rFonts w:hint="eastAsia" w:ascii="宋体" w:hAnsi="宋体" w:eastAsia="宋体" w:cs="宋体"/>
              <w:color w:val="auto"/>
              <w:sz w:val="32"/>
              <w:szCs w:val="32"/>
              <w:highlight w:val="none"/>
            </w:rPr>
          </w:pPr>
        </w:p>
        <w:p>
          <w:pPr>
            <w:pStyle w:val="370"/>
            <w:tabs>
              <w:tab w:val="right" w:leader="dot" w:pos="8820"/>
            </w:tabs>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TOC \o "1-1" \h \u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HYPERLINK \l _Toc13774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第一章 公开招标采购公告</w:t>
          </w:r>
          <w:r>
            <w:rPr>
              <w:rFonts w:hint="eastAsia" w:ascii="宋体" w:hAnsi="宋体" w:eastAsia="宋体" w:cs="宋体"/>
              <w:color w:val="auto"/>
              <w:sz w:val="32"/>
              <w:szCs w:val="32"/>
              <w:highlight w:val="none"/>
            </w:rPr>
            <w:tab/>
          </w: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PAGEREF _Toc13774 \h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1</w:t>
          </w:r>
          <w:r>
            <w:rPr>
              <w:rFonts w:hint="eastAsia" w:ascii="宋体" w:hAnsi="宋体" w:eastAsia="宋体" w:cs="宋体"/>
              <w:color w:val="auto"/>
              <w:sz w:val="32"/>
              <w:szCs w:val="32"/>
              <w:highlight w:val="none"/>
            </w:rPr>
            <w:fldChar w:fldCharType="end"/>
          </w:r>
          <w:r>
            <w:rPr>
              <w:rFonts w:hint="eastAsia" w:ascii="宋体" w:hAnsi="宋体" w:eastAsia="宋体" w:cs="宋体"/>
              <w:color w:val="auto"/>
              <w:sz w:val="32"/>
              <w:szCs w:val="32"/>
              <w:highlight w:val="none"/>
            </w:rPr>
            <w:fldChar w:fldCharType="end"/>
          </w:r>
        </w:p>
        <w:p>
          <w:pPr>
            <w:pStyle w:val="370"/>
            <w:tabs>
              <w:tab w:val="right" w:leader="dot" w:pos="8820"/>
            </w:tabs>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HYPERLINK \l _Toc19796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第二章 招标需求</w:t>
          </w:r>
          <w:r>
            <w:rPr>
              <w:rFonts w:hint="eastAsia" w:ascii="宋体" w:hAnsi="宋体" w:eastAsia="宋体" w:cs="宋体"/>
              <w:color w:val="auto"/>
              <w:sz w:val="32"/>
              <w:szCs w:val="32"/>
              <w:highlight w:val="none"/>
            </w:rPr>
            <w:tab/>
          </w: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PAGEREF _Toc19796 \h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5</w:t>
          </w:r>
          <w:r>
            <w:rPr>
              <w:rFonts w:hint="eastAsia" w:ascii="宋体" w:hAnsi="宋体" w:eastAsia="宋体" w:cs="宋体"/>
              <w:color w:val="auto"/>
              <w:sz w:val="32"/>
              <w:szCs w:val="32"/>
              <w:highlight w:val="none"/>
            </w:rPr>
            <w:fldChar w:fldCharType="end"/>
          </w:r>
          <w:r>
            <w:rPr>
              <w:rFonts w:hint="eastAsia" w:ascii="宋体" w:hAnsi="宋体" w:eastAsia="宋体" w:cs="宋体"/>
              <w:color w:val="auto"/>
              <w:sz w:val="32"/>
              <w:szCs w:val="32"/>
              <w:highlight w:val="none"/>
            </w:rPr>
            <w:fldChar w:fldCharType="end"/>
          </w:r>
        </w:p>
        <w:p>
          <w:pPr>
            <w:pStyle w:val="370"/>
            <w:tabs>
              <w:tab w:val="right" w:leader="dot" w:pos="8820"/>
            </w:tabs>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HYPERLINK \l _Toc3463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第三章 供应商须知</w:t>
          </w:r>
          <w:r>
            <w:rPr>
              <w:rFonts w:hint="eastAsia" w:ascii="宋体" w:hAnsi="宋体" w:eastAsia="宋体" w:cs="宋体"/>
              <w:color w:val="auto"/>
              <w:sz w:val="32"/>
              <w:szCs w:val="32"/>
              <w:highlight w:val="none"/>
            </w:rPr>
            <w:tab/>
          </w: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PAGEREF _Toc3463 \h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13</w:t>
          </w:r>
          <w:r>
            <w:rPr>
              <w:rFonts w:hint="eastAsia" w:ascii="宋体" w:hAnsi="宋体" w:eastAsia="宋体" w:cs="宋体"/>
              <w:color w:val="auto"/>
              <w:sz w:val="32"/>
              <w:szCs w:val="32"/>
              <w:highlight w:val="none"/>
            </w:rPr>
            <w:fldChar w:fldCharType="end"/>
          </w:r>
          <w:r>
            <w:rPr>
              <w:rFonts w:hint="eastAsia" w:ascii="宋体" w:hAnsi="宋体" w:eastAsia="宋体" w:cs="宋体"/>
              <w:color w:val="auto"/>
              <w:sz w:val="32"/>
              <w:szCs w:val="32"/>
              <w:highlight w:val="none"/>
            </w:rPr>
            <w:fldChar w:fldCharType="end"/>
          </w:r>
        </w:p>
        <w:p>
          <w:pPr>
            <w:pStyle w:val="370"/>
            <w:tabs>
              <w:tab w:val="right" w:leader="dot" w:pos="8820"/>
            </w:tabs>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HYPERLINK \l _Toc30563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第四章 评分办法及评分标准</w:t>
          </w:r>
          <w:r>
            <w:rPr>
              <w:rFonts w:hint="eastAsia" w:ascii="宋体" w:hAnsi="宋体" w:eastAsia="宋体" w:cs="宋体"/>
              <w:color w:val="auto"/>
              <w:sz w:val="32"/>
              <w:szCs w:val="32"/>
              <w:highlight w:val="none"/>
            </w:rPr>
            <w:tab/>
          </w: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PAGEREF _Toc30563 \h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24</w:t>
          </w:r>
          <w:r>
            <w:rPr>
              <w:rFonts w:hint="eastAsia" w:ascii="宋体" w:hAnsi="宋体" w:eastAsia="宋体" w:cs="宋体"/>
              <w:color w:val="auto"/>
              <w:sz w:val="32"/>
              <w:szCs w:val="32"/>
              <w:highlight w:val="none"/>
            </w:rPr>
            <w:fldChar w:fldCharType="end"/>
          </w:r>
          <w:r>
            <w:rPr>
              <w:rFonts w:hint="eastAsia" w:ascii="宋体" w:hAnsi="宋体" w:eastAsia="宋体" w:cs="宋体"/>
              <w:color w:val="auto"/>
              <w:sz w:val="32"/>
              <w:szCs w:val="32"/>
              <w:highlight w:val="none"/>
            </w:rPr>
            <w:fldChar w:fldCharType="end"/>
          </w:r>
        </w:p>
        <w:p>
          <w:pPr>
            <w:pStyle w:val="370"/>
            <w:tabs>
              <w:tab w:val="right" w:leader="dot" w:pos="8820"/>
            </w:tabs>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HYPERLINK \l _Toc17937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第五章  嘉兴市政府采购合同（指引）</w:t>
          </w:r>
          <w:r>
            <w:rPr>
              <w:rFonts w:hint="eastAsia" w:ascii="宋体" w:hAnsi="宋体" w:eastAsia="宋体" w:cs="宋体"/>
              <w:color w:val="auto"/>
              <w:sz w:val="32"/>
              <w:szCs w:val="32"/>
              <w:highlight w:val="none"/>
            </w:rPr>
            <w:tab/>
          </w: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PAGEREF _Toc17937 \h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29</w:t>
          </w:r>
          <w:r>
            <w:rPr>
              <w:rFonts w:hint="eastAsia" w:ascii="宋体" w:hAnsi="宋体" w:eastAsia="宋体" w:cs="宋体"/>
              <w:color w:val="auto"/>
              <w:sz w:val="32"/>
              <w:szCs w:val="32"/>
              <w:highlight w:val="none"/>
            </w:rPr>
            <w:fldChar w:fldCharType="end"/>
          </w:r>
          <w:r>
            <w:rPr>
              <w:rFonts w:hint="eastAsia" w:ascii="宋体" w:hAnsi="宋体" w:eastAsia="宋体" w:cs="宋体"/>
              <w:color w:val="auto"/>
              <w:sz w:val="32"/>
              <w:szCs w:val="32"/>
              <w:highlight w:val="none"/>
            </w:rPr>
            <w:fldChar w:fldCharType="end"/>
          </w:r>
        </w:p>
        <w:p>
          <w:pPr>
            <w:pStyle w:val="370"/>
            <w:tabs>
              <w:tab w:val="right" w:leader="dot" w:pos="8820"/>
            </w:tabs>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HYPERLINK \l _Toc530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第六章  投标文件格式</w:t>
          </w:r>
          <w:r>
            <w:rPr>
              <w:rFonts w:hint="eastAsia" w:ascii="宋体" w:hAnsi="宋体" w:eastAsia="宋体" w:cs="宋体"/>
              <w:color w:val="auto"/>
              <w:sz w:val="32"/>
              <w:szCs w:val="32"/>
              <w:highlight w:val="none"/>
            </w:rPr>
            <w:tab/>
          </w: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PAGEREF _Toc530 \h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37</w:t>
          </w:r>
          <w:r>
            <w:rPr>
              <w:rFonts w:hint="eastAsia" w:ascii="宋体" w:hAnsi="宋体" w:eastAsia="宋体" w:cs="宋体"/>
              <w:color w:val="auto"/>
              <w:sz w:val="32"/>
              <w:szCs w:val="32"/>
              <w:highlight w:val="none"/>
            </w:rPr>
            <w:fldChar w:fldCharType="end"/>
          </w:r>
          <w:r>
            <w:rPr>
              <w:rFonts w:hint="eastAsia" w:ascii="宋体" w:hAnsi="宋体" w:eastAsia="宋体" w:cs="宋体"/>
              <w:color w:val="auto"/>
              <w:sz w:val="32"/>
              <w:szCs w:val="32"/>
              <w:highlight w:val="none"/>
            </w:rPr>
            <w:fldChar w:fldCharType="end"/>
          </w:r>
        </w:p>
        <w:p>
          <w:pPr>
            <w:rPr>
              <w:color w:val="auto"/>
              <w:highlight w:val="none"/>
            </w:rPr>
          </w:pPr>
          <w:r>
            <w:rPr>
              <w:rFonts w:hint="eastAsia" w:ascii="宋体" w:hAnsi="宋体" w:eastAsia="宋体" w:cs="宋体"/>
              <w:color w:val="auto"/>
              <w:sz w:val="32"/>
              <w:szCs w:val="32"/>
              <w:highlight w:val="none"/>
            </w:rPr>
            <w:fldChar w:fldCharType="end"/>
          </w:r>
        </w:p>
      </w:sdtContent>
    </w:sdt>
    <w:p>
      <w:pPr>
        <w:pStyle w:val="36"/>
        <w:tabs>
          <w:tab w:val="right" w:leader="dot" w:pos="8834"/>
        </w:tabs>
        <w:spacing w:line="360" w:lineRule="auto"/>
        <w:rPr>
          <w:rFonts w:asciiTheme="minorEastAsia" w:hAnsiTheme="minorEastAsia" w:eastAsiaTheme="minorEastAsia"/>
          <w:color w:val="auto"/>
          <w:szCs w:val="21"/>
          <w:highlight w:val="none"/>
        </w:rPr>
      </w:pPr>
    </w:p>
    <w:p>
      <w:pPr>
        <w:pStyle w:val="29"/>
        <w:spacing w:beforeLines="0" w:afterLines="0" w:line="360" w:lineRule="auto"/>
        <w:jc w:val="center"/>
        <w:rPr>
          <w:rFonts w:asciiTheme="minorEastAsia" w:hAnsiTheme="minorEastAsia" w:eastAsiaTheme="minorEastAsia"/>
          <w:b/>
          <w:color w:val="auto"/>
          <w:sz w:val="21"/>
          <w:szCs w:val="21"/>
          <w:highlight w:val="none"/>
        </w:rPr>
      </w:pPr>
      <w:r>
        <w:rPr>
          <w:rFonts w:asciiTheme="minorEastAsia" w:hAnsiTheme="minorEastAsia" w:eastAsiaTheme="minorEastAsia"/>
          <w:color w:val="auto"/>
          <w:sz w:val="21"/>
          <w:szCs w:val="21"/>
          <w:highlight w:val="none"/>
        </w:rPr>
        <w:fldChar w:fldCharType="end"/>
      </w:r>
    </w:p>
    <w:p>
      <w:pPr>
        <w:pStyle w:val="29"/>
        <w:spacing w:beforeLines="0" w:afterLines="0" w:line="360" w:lineRule="auto"/>
        <w:jc w:val="center"/>
        <w:rPr>
          <w:rFonts w:asciiTheme="minorEastAsia" w:hAnsiTheme="minorEastAsia" w:eastAsiaTheme="minorEastAsia"/>
          <w:b/>
          <w:color w:val="auto"/>
          <w:sz w:val="21"/>
          <w:szCs w:val="21"/>
          <w:highlight w:val="none"/>
        </w:rPr>
      </w:pPr>
    </w:p>
    <w:p>
      <w:pPr>
        <w:pStyle w:val="29"/>
        <w:spacing w:beforeLines="0" w:afterLines="0" w:line="360" w:lineRule="auto"/>
        <w:jc w:val="center"/>
        <w:rPr>
          <w:rFonts w:asciiTheme="minorEastAsia" w:hAnsiTheme="minorEastAsia" w:eastAsiaTheme="minorEastAsia"/>
          <w:b/>
          <w:color w:val="auto"/>
          <w:sz w:val="21"/>
          <w:szCs w:val="21"/>
          <w:highlight w:val="none"/>
        </w:rPr>
      </w:pPr>
    </w:p>
    <w:p>
      <w:pPr>
        <w:pStyle w:val="29"/>
        <w:spacing w:beforeLines="0" w:afterLines="0" w:line="360" w:lineRule="auto"/>
        <w:jc w:val="center"/>
        <w:rPr>
          <w:rFonts w:asciiTheme="minorEastAsia" w:hAnsiTheme="minorEastAsia" w:eastAsiaTheme="minorEastAsia"/>
          <w:b/>
          <w:color w:val="auto"/>
          <w:sz w:val="21"/>
          <w:szCs w:val="21"/>
          <w:highlight w:val="none"/>
        </w:rPr>
      </w:pPr>
    </w:p>
    <w:p>
      <w:pPr>
        <w:pStyle w:val="29"/>
        <w:spacing w:beforeLines="0" w:afterLines="0" w:line="360" w:lineRule="auto"/>
        <w:jc w:val="center"/>
        <w:rPr>
          <w:rFonts w:asciiTheme="minorEastAsia" w:hAnsiTheme="minorEastAsia" w:eastAsiaTheme="minorEastAsia"/>
          <w:b/>
          <w:color w:val="auto"/>
          <w:sz w:val="21"/>
          <w:szCs w:val="21"/>
          <w:highlight w:val="none"/>
        </w:rPr>
      </w:pPr>
    </w:p>
    <w:p>
      <w:pPr>
        <w:pStyle w:val="29"/>
        <w:spacing w:beforeLines="0" w:afterLines="0" w:line="360" w:lineRule="auto"/>
        <w:jc w:val="center"/>
        <w:rPr>
          <w:rFonts w:asciiTheme="minorEastAsia" w:hAnsiTheme="minorEastAsia" w:eastAsiaTheme="minorEastAsia"/>
          <w:b/>
          <w:color w:val="auto"/>
          <w:sz w:val="21"/>
          <w:szCs w:val="21"/>
          <w:highlight w:val="none"/>
        </w:rPr>
      </w:pPr>
    </w:p>
    <w:p>
      <w:pPr>
        <w:pStyle w:val="29"/>
        <w:spacing w:beforeLines="0" w:afterLines="0" w:line="360" w:lineRule="auto"/>
        <w:jc w:val="center"/>
        <w:rPr>
          <w:rFonts w:asciiTheme="minorEastAsia" w:hAnsiTheme="minorEastAsia" w:eastAsiaTheme="minorEastAsia"/>
          <w:b/>
          <w:color w:val="auto"/>
          <w:sz w:val="21"/>
          <w:szCs w:val="21"/>
          <w:highlight w:val="none"/>
        </w:rPr>
      </w:pPr>
    </w:p>
    <w:p>
      <w:pPr>
        <w:pStyle w:val="29"/>
        <w:spacing w:beforeLines="0" w:afterLines="0" w:line="360" w:lineRule="auto"/>
        <w:jc w:val="center"/>
        <w:rPr>
          <w:rFonts w:asciiTheme="minorEastAsia" w:hAnsiTheme="minorEastAsia" w:eastAsiaTheme="minorEastAsia"/>
          <w:b/>
          <w:color w:val="auto"/>
          <w:sz w:val="21"/>
          <w:szCs w:val="21"/>
          <w:highlight w:val="none"/>
        </w:rPr>
      </w:pPr>
    </w:p>
    <w:p>
      <w:pPr>
        <w:pStyle w:val="29"/>
        <w:spacing w:beforeLines="0" w:afterLines="0" w:line="360" w:lineRule="auto"/>
        <w:jc w:val="center"/>
        <w:rPr>
          <w:rFonts w:asciiTheme="minorEastAsia" w:hAnsiTheme="minorEastAsia" w:eastAsiaTheme="minorEastAsia"/>
          <w:b/>
          <w:color w:val="auto"/>
          <w:sz w:val="21"/>
          <w:szCs w:val="21"/>
          <w:highlight w:val="none"/>
        </w:rPr>
      </w:pPr>
    </w:p>
    <w:p>
      <w:pPr>
        <w:pStyle w:val="29"/>
        <w:spacing w:beforeLines="0" w:afterLines="0" w:line="360" w:lineRule="auto"/>
        <w:jc w:val="center"/>
        <w:rPr>
          <w:rFonts w:asciiTheme="minorEastAsia" w:hAnsiTheme="minorEastAsia" w:eastAsiaTheme="minorEastAsia"/>
          <w:b/>
          <w:color w:val="auto"/>
          <w:sz w:val="21"/>
          <w:szCs w:val="21"/>
          <w:highlight w:val="none"/>
        </w:rPr>
      </w:pPr>
    </w:p>
    <w:p>
      <w:pPr>
        <w:pStyle w:val="29"/>
        <w:spacing w:beforeLines="0" w:afterLines="0" w:line="360" w:lineRule="auto"/>
        <w:jc w:val="center"/>
        <w:rPr>
          <w:rFonts w:asciiTheme="minorEastAsia" w:hAnsiTheme="minorEastAsia" w:eastAsiaTheme="minorEastAsia"/>
          <w:b/>
          <w:color w:val="auto"/>
          <w:sz w:val="21"/>
          <w:szCs w:val="21"/>
          <w:highlight w:val="none"/>
        </w:rPr>
      </w:pPr>
    </w:p>
    <w:p>
      <w:pPr>
        <w:pStyle w:val="29"/>
        <w:spacing w:beforeLines="0" w:afterLines="0" w:line="360" w:lineRule="auto"/>
        <w:jc w:val="center"/>
        <w:rPr>
          <w:rFonts w:asciiTheme="minorEastAsia" w:hAnsiTheme="minorEastAsia" w:eastAsiaTheme="minorEastAsia"/>
          <w:b/>
          <w:color w:val="auto"/>
          <w:sz w:val="21"/>
          <w:szCs w:val="21"/>
          <w:highlight w:val="none"/>
        </w:rPr>
      </w:pPr>
    </w:p>
    <w:p>
      <w:pPr>
        <w:snapToGrid w:val="0"/>
        <w:spacing w:beforeLines="50" w:afterLines="50" w:line="360" w:lineRule="auto"/>
        <w:ind w:left="238"/>
        <w:jc w:val="center"/>
        <w:outlineLvl w:val="9"/>
        <w:rPr>
          <w:rFonts w:asciiTheme="minorEastAsia" w:hAnsiTheme="minorEastAsia" w:eastAsiaTheme="minorEastAsia"/>
          <w:b/>
          <w:color w:val="auto"/>
          <w:sz w:val="30"/>
          <w:szCs w:val="30"/>
          <w:highlight w:val="none"/>
        </w:rPr>
      </w:pPr>
    </w:p>
    <w:p>
      <w:pPr>
        <w:snapToGrid w:val="0"/>
        <w:spacing w:beforeLines="50" w:afterLines="50" w:line="360" w:lineRule="auto"/>
        <w:ind w:left="238"/>
        <w:jc w:val="center"/>
        <w:outlineLvl w:val="9"/>
        <w:rPr>
          <w:rFonts w:asciiTheme="minorEastAsia" w:hAnsiTheme="minorEastAsia" w:eastAsiaTheme="minorEastAsia"/>
          <w:b/>
          <w:color w:val="auto"/>
          <w:sz w:val="30"/>
          <w:szCs w:val="30"/>
          <w:highlight w:val="none"/>
        </w:rPr>
      </w:pPr>
    </w:p>
    <w:p>
      <w:pPr>
        <w:snapToGrid w:val="0"/>
        <w:spacing w:beforeLines="50" w:afterLines="50" w:line="360" w:lineRule="auto"/>
        <w:ind w:left="238"/>
        <w:jc w:val="center"/>
        <w:outlineLvl w:val="9"/>
        <w:rPr>
          <w:rFonts w:asciiTheme="minorEastAsia" w:hAnsiTheme="minorEastAsia" w:eastAsiaTheme="minorEastAsia"/>
          <w:b/>
          <w:color w:val="auto"/>
          <w:sz w:val="30"/>
          <w:szCs w:val="30"/>
          <w:highlight w:val="none"/>
        </w:rPr>
      </w:pPr>
    </w:p>
    <w:p>
      <w:pPr>
        <w:snapToGrid w:val="0"/>
        <w:spacing w:beforeLines="50" w:afterLines="50" w:line="360" w:lineRule="auto"/>
        <w:ind w:left="238"/>
        <w:jc w:val="center"/>
        <w:outlineLvl w:val="9"/>
        <w:rPr>
          <w:rFonts w:asciiTheme="minorEastAsia" w:hAnsiTheme="minorEastAsia" w:eastAsiaTheme="minorEastAsia"/>
          <w:b/>
          <w:color w:val="auto"/>
          <w:sz w:val="30"/>
          <w:szCs w:val="30"/>
          <w:highlight w:val="none"/>
        </w:rPr>
      </w:pPr>
    </w:p>
    <w:p>
      <w:pPr>
        <w:pStyle w:val="48"/>
        <w:ind w:firstLine="404"/>
        <w:rPr>
          <w:color w:val="auto"/>
          <w:highlight w:val="none"/>
        </w:rPr>
      </w:pPr>
    </w:p>
    <w:p>
      <w:pPr>
        <w:snapToGrid w:val="0"/>
        <w:spacing w:beforeLines="50" w:afterLines="50" w:line="360" w:lineRule="auto"/>
        <w:ind w:left="238"/>
        <w:jc w:val="center"/>
        <w:outlineLvl w:val="9"/>
        <w:rPr>
          <w:rFonts w:hint="eastAsia" w:asciiTheme="minorEastAsia" w:hAnsiTheme="minorEastAsia" w:eastAsiaTheme="minorEastAsia"/>
          <w:b/>
          <w:color w:val="auto"/>
          <w:sz w:val="28"/>
          <w:szCs w:val="28"/>
          <w:highlight w:val="none"/>
        </w:rPr>
        <w:sectPr>
          <w:headerReference r:id="rId3" w:type="default"/>
          <w:footerReference r:id="rId4" w:type="default"/>
          <w:pgSz w:w="11906" w:h="16838"/>
          <w:pgMar w:top="1440" w:right="1289" w:bottom="1440" w:left="1797" w:header="851" w:footer="851" w:gutter="0"/>
          <w:pgBorders>
            <w:top w:val="none" w:sz="0" w:space="0"/>
            <w:left w:val="none" w:sz="0" w:space="0"/>
            <w:bottom w:val="none" w:sz="0" w:space="0"/>
            <w:right w:val="none" w:sz="0" w:space="0"/>
          </w:pgBorders>
          <w:cols w:space="720" w:num="1"/>
          <w:docGrid w:linePitch="312" w:charSpace="0"/>
        </w:sectPr>
      </w:pPr>
    </w:p>
    <w:p>
      <w:pPr>
        <w:snapToGrid w:val="0"/>
        <w:spacing w:beforeLines="50" w:afterLines="50" w:line="360" w:lineRule="auto"/>
        <w:ind w:left="238"/>
        <w:jc w:val="center"/>
        <w:outlineLvl w:val="0"/>
        <w:rPr>
          <w:rFonts w:asciiTheme="minorEastAsia" w:hAnsiTheme="minorEastAsia" w:eastAsiaTheme="minorEastAsia"/>
          <w:b/>
          <w:color w:val="auto"/>
          <w:sz w:val="28"/>
          <w:szCs w:val="28"/>
          <w:highlight w:val="none"/>
        </w:rPr>
      </w:pPr>
      <w:bookmarkStart w:id="0" w:name="_Toc13774"/>
      <w:r>
        <w:rPr>
          <w:rFonts w:hint="eastAsia" w:asciiTheme="minorEastAsia" w:hAnsiTheme="minorEastAsia" w:eastAsiaTheme="minorEastAsia"/>
          <w:b/>
          <w:color w:val="auto"/>
          <w:sz w:val="28"/>
          <w:szCs w:val="28"/>
          <w:highlight w:val="none"/>
        </w:rPr>
        <w:t>第一章 公开招标采购公告</w:t>
      </w:r>
      <w:bookmarkEnd w:id="0"/>
    </w:p>
    <w:p>
      <w:pPr>
        <w:pStyle w:val="245"/>
        <w:spacing w:afterLines="0" w:line="360" w:lineRule="auto"/>
        <w:ind w:firstLine="420"/>
        <w:rPr>
          <w:rFonts w:asciiTheme="minorEastAsia" w:hAnsiTheme="minorEastAsia" w:eastAsiaTheme="minorEastAsia"/>
          <w:color w:val="auto"/>
          <w:sz w:val="21"/>
          <w:szCs w:val="21"/>
          <w:highlight w:val="none"/>
        </w:rPr>
      </w:pPr>
      <w:r>
        <w:rPr>
          <w:rFonts w:asciiTheme="minorEastAsia" w:hAnsiTheme="minorEastAsia" w:eastAsiaTheme="minorEastAsia"/>
          <w:color w:val="auto"/>
          <w:sz w:val="21"/>
          <w:szCs w:val="21"/>
          <w:highlight w:val="none"/>
        </w:rPr>
        <w:t>根据《中华人民共和国政府采购法》、</w:t>
      </w:r>
      <w:r>
        <w:rPr>
          <w:rFonts w:hint="eastAsia" w:asciiTheme="minorEastAsia" w:hAnsiTheme="minorEastAsia" w:eastAsiaTheme="minorEastAsia"/>
          <w:color w:val="auto"/>
          <w:sz w:val="21"/>
          <w:szCs w:val="21"/>
          <w:highlight w:val="none"/>
        </w:rPr>
        <w:t>《</w:t>
      </w:r>
      <w:r>
        <w:rPr>
          <w:rFonts w:asciiTheme="minorEastAsia" w:hAnsiTheme="minorEastAsia" w:eastAsiaTheme="minorEastAsia"/>
          <w:color w:val="auto"/>
          <w:sz w:val="21"/>
          <w:szCs w:val="21"/>
          <w:highlight w:val="none"/>
        </w:rPr>
        <w:t>中华人民共和国政府采购法实施条例</w:t>
      </w:r>
      <w:r>
        <w:rPr>
          <w:rFonts w:hint="eastAsia" w:asciiTheme="minorEastAsia" w:hAnsiTheme="minorEastAsia" w:eastAsiaTheme="minorEastAsia"/>
          <w:color w:val="auto"/>
          <w:sz w:val="21"/>
          <w:szCs w:val="21"/>
          <w:highlight w:val="none"/>
        </w:rPr>
        <w:t>》和</w:t>
      </w:r>
      <w:r>
        <w:rPr>
          <w:rFonts w:asciiTheme="minorEastAsia" w:hAnsiTheme="minorEastAsia" w:eastAsiaTheme="minorEastAsia"/>
          <w:color w:val="auto"/>
          <w:sz w:val="21"/>
          <w:szCs w:val="21"/>
          <w:highlight w:val="none"/>
        </w:rPr>
        <w:t>《政府采购货物和服务招标投标管理办法》</w:t>
      </w:r>
      <w:r>
        <w:rPr>
          <w:rFonts w:hint="eastAsia" w:asciiTheme="minorEastAsia" w:hAnsiTheme="minorEastAsia" w:eastAsiaTheme="minorEastAsia"/>
          <w:color w:val="auto"/>
          <w:sz w:val="21"/>
          <w:szCs w:val="21"/>
          <w:highlight w:val="none"/>
        </w:rPr>
        <w:t>、《浙江省</w:t>
      </w:r>
      <w:r>
        <w:rPr>
          <w:rFonts w:asciiTheme="minorEastAsia" w:hAnsiTheme="minorEastAsia" w:eastAsiaTheme="minorEastAsia"/>
          <w:color w:val="auto"/>
          <w:sz w:val="21"/>
          <w:szCs w:val="21"/>
          <w:highlight w:val="none"/>
        </w:rPr>
        <w:t>政府采购项目电子交易管理暂行办法</w:t>
      </w:r>
      <w:r>
        <w:rPr>
          <w:rFonts w:hint="eastAsia" w:asciiTheme="minorEastAsia" w:hAnsiTheme="minorEastAsia" w:eastAsiaTheme="minorEastAsia"/>
          <w:color w:val="auto"/>
          <w:sz w:val="21"/>
          <w:szCs w:val="21"/>
          <w:highlight w:val="none"/>
        </w:rPr>
        <w:t>》</w:t>
      </w:r>
      <w:r>
        <w:rPr>
          <w:rFonts w:asciiTheme="minorEastAsia" w:hAnsiTheme="minorEastAsia" w:eastAsiaTheme="minorEastAsia"/>
          <w:color w:val="auto"/>
          <w:sz w:val="21"/>
          <w:szCs w:val="21"/>
          <w:highlight w:val="none"/>
        </w:rPr>
        <w:t>等规定</w:t>
      </w:r>
      <w:r>
        <w:rPr>
          <w:rFonts w:hint="eastAsia" w:asciiTheme="minorEastAsia" w:hAnsiTheme="minorEastAsia" w:eastAsiaTheme="minorEastAsia"/>
          <w:color w:val="auto"/>
          <w:sz w:val="21"/>
          <w:szCs w:val="21"/>
          <w:highlight w:val="none"/>
        </w:rPr>
        <w:t>，嘉兴市银建工程咨询评估有限公司受采购人委托，经</w:t>
      </w:r>
      <w:r>
        <w:rPr>
          <w:rFonts w:hint="eastAsia" w:ascii="宋体" w:hAnsi="宋体"/>
          <w:color w:val="000000"/>
          <w:sz w:val="21"/>
          <w:szCs w:val="21"/>
          <w:highlight w:val="none"/>
          <w:u w:val="single"/>
        </w:rPr>
        <w:t>嘉兴市财政局临[2022]11707号</w:t>
      </w:r>
      <w:r>
        <w:rPr>
          <w:rFonts w:hint="eastAsia" w:asciiTheme="minorEastAsia" w:hAnsiTheme="minorEastAsia" w:eastAsiaTheme="minorEastAsia"/>
          <w:color w:val="auto"/>
          <w:sz w:val="21"/>
          <w:szCs w:val="21"/>
          <w:highlight w:val="none"/>
        </w:rPr>
        <w:t>确认书批准，现就下列项目</w:t>
      </w:r>
      <w:r>
        <w:rPr>
          <w:rFonts w:asciiTheme="minorEastAsia" w:hAnsiTheme="minorEastAsia" w:eastAsiaTheme="minorEastAsia"/>
          <w:color w:val="auto"/>
          <w:sz w:val="21"/>
          <w:szCs w:val="21"/>
          <w:highlight w:val="none"/>
        </w:rPr>
        <w:t>进行</w:t>
      </w:r>
      <w:r>
        <w:rPr>
          <w:rFonts w:asciiTheme="minorEastAsia" w:hAnsiTheme="minorEastAsia" w:eastAsiaTheme="minorEastAsia"/>
          <w:color w:val="auto"/>
          <w:sz w:val="21"/>
          <w:szCs w:val="21"/>
          <w:highlight w:val="none"/>
          <w:u w:val="single"/>
        </w:rPr>
        <w:t>公开招标</w:t>
      </w:r>
      <w:r>
        <w:rPr>
          <w:rFonts w:asciiTheme="minorEastAsia" w:hAnsiTheme="minorEastAsia" w:eastAsiaTheme="minorEastAsia"/>
          <w:color w:val="auto"/>
          <w:sz w:val="21"/>
          <w:szCs w:val="21"/>
          <w:highlight w:val="none"/>
        </w:rPr>
        <w:t>采购，</w:t>
      </w:r>
      <w:r>
        <w:rPr>
          <w:rFonts w:hint="eastAsia" w:asciiTheme="minorEastAsia" w:hAnsiTheme="minorEastAsia" w:eastAsiaTheme="minorEastAsia"/>
          <w:color w:val="auto"/>
          <w:sz w:val="21"/>
          <w:szCs w:val="21"/>
          <w:highlight w:val="none"/>
        </w:rPr>
        <w:t>欢迎合格供应商前来投标，现将有关事项公告如下：</w:t>
      </w:r>
    </w:p>
    <w:p>
      <w:pPr>
        <w:snapToGrid w:val="0"/>
        <w:spacing w:line="360" w:lineRule="auto"/>
        <w:rPr>
          <w:rFonts w:hint="eastAsia" w:cs="Arial" w:asciiTheme="minorEastAsia" w:hAnsiTheme="minorEastAsia" w:eastAsiaTheme="minorEastAsia"/>
          <w:b/>
          <w:bCs/>
          <w:color w:val="auto"/>
          <w:szCs w:val="21"/>
          <w:highlight w:val="none"/>
          <w:lang w:eastAsia="zh-CN"/>
        </w:rPr>
      </w:pPr>
      <w:r>
        <w:rPr>
          <w:rFonts w:hint="eastAsia" w:cs="Arial" w:asciiTheme="minorEastAsia" w:hAnsiTheme="minorEastAsia" w:eastAsiaTheme="minorEastAsia"/>
          <w:b/>
          <w:bCs/>
          <w:color w:val="auto"/>
          <w:szCs w:val="21"/>
          <w:highlight w:val="none"/>
        </w:rPr>
        <w:t>一、</w:t>
      </w:r>
      <w:r>
        <w:rPr>
          <w:rFonts w:hint="eastAsia" w:cs="Arial" w:asciiTheme="minorEastAsia" w:hAnsiTheme="minorEastAsia" w:eastAsiaTheme="minorEastAsia"/>
          <w:b/>
          <w:bCs/>
          <w:color w:val="auto"/>
          <w:szCs w:val="21"/>
          <w:highlight w:val="none"/>
          <w:lang w:eastAsia="zh-CN"/>
        </w:rPr>
        <w:t>项目基本情况</w:t>
      </w:r>
    </w:p>
    <w:p>
      <w:pPr>
        <w:snapToGrid w:val="0"/>
        <w:spacing w:line="360" w:lineRule="auto"/>
        <w:rPr>
          <w:rFonts w:hint="eastAsia" w:cs="Arial" w:asciiTheme="minorEastAsia" w:hAnsiTheme="minorEastAsia" w:eastAsiaTheme="minorEastAsia"/>
          <w:color w:val="auto"/>
          <w:szCs w:val="21"/>
          <w:highlight w:val="none"/>
          <w:lang w:eastAsia="zh-CN"/>
        </w:rPr>
      </w:pPr>
      <w:r>
        <w:rPr>
          <w:rFonts w:hint="eastAsia" w:cs="Arial" w:asciiTheme="minorEastAsia" w:hAnsiTheme="minorEastAsia" w:eastAsiaTheme="minorEastAsia"/>
          <w:b/>
          <w:bCs/>
          <w:color w:val="auto"/>
          <w:szCs w:val="21"/>
          <w:highlight w:val="none"/>
          <w:lang w:val="en-US" w:eastAsia="zh-CN"/>
        </w:rPr>
        <w:t>1.</w:t>
      </w:r>
      <w:r>
        <w:rPr>
          <w:rFonts w:hint="eastAsia" w:cs="Arial" w:asciiTheme="minorEastAsia" w:hAnsiTheme="minorEastAsia" w:eastAsiaTheme="minorEastAsia"/>
          <w:b/>
          <w:bCs/>
          <w:color w:val="auto"/>
          <w:szCs w:val="21"/>
          <w:highlight w:val="none"/>
        </w:rPr>
        <w:t>项目编号：</w:t>
      </w:r>
      <w:r>
        <w:rPr>
          <w:rFonts w:hint="eastAsia" w:cs="Arial" w:asciiTheme="minorEastAsia" w:hAnsiTheme="minorEastAsia" w:eastAsiaTheme="minorEastAsia"/>
          <w:color w:val="auto"/>
          <w:szCs w:val="21"/>
          <w:highlight w:val="none"/>
          <w:lang w:eastAsia="zh-CN"/>
        </w:rPr>
        <w:t>银建-JXYJ-L（2022）49号</w:t>
      </w:r>
    </w:p>
    <w:p>
      <w:pPr>
        <w:snapToGrid w:val="0"/>
        <w:spacing w:line="360" w:lineRule="auto"/>
        <w:rPr>
          <w:rFonts w:cs="Arial" w:asciiTheme="minorEastAsia" w:hAnsiTheme="minorEastAsia" w:eastAsiaTheme="minorEastAsia"/>
          <w:b/>
          <w:color w:val="auto"/>
          <w:szCs w:val="21"/>
          <w:highlight w:val="none"/>
        </w:rPr>
      </w:pPr>
      <w:r>
        <w:rPr>
          <w:rFonts w:hint="eastAsia" w:cs="Arial" w:asciiTheme="minorEastAsia" w:hAnsiTheme="minorEastAsia" w:eastAsiaTheme="minorEastAsia"/>
          <w:color w:val="auto"/>
          <w:szCs w:val="21"/>
          <w:highlight w:val="none"/>
          <w:lang w:val="en-US" w:eastAsia="zh-CN"/>
        </w:rPr>
        <w:t>2.</w:t>
      </w:r>
      <w:r>
        <w:rPr>
          <w:rFonts w:hint="eastAsia" w:cs="Arial" w:asciiTheme="minorEastAsia" w:hAnsiTheme="minorEastAsia" w:eastAsiaTheme="minorEastAsia"/>
          <w:b/>
          <w:color w:val="auto"/>
          <w:szCs w:val="21"/>
          <w:highlight w:val="none"/>
        </w:rPr>
        <w:t>采购组织类型：</w:t>
      </w:r>
      <w:r>
        <w:rPr>
          <w:rStyle w:val="52"/>
          <w:rFonts w:hint="eastAsia" w:asciiTheme="minorEastAsia" w:hAnsiTheme="minorEastAsia" w:eastAsiaTheme="minorEastAsia"/>
          <w:b w:val="0"/>
          <w:color w:val="auto"/>
          <w:szCs w:val="21"/>
          <w:highlight w:val="none"/>
        </w:rPr>
        <w:t>分散采购</w:t>
      </w:r>
    </w:p>
    <w:p>
      <w:pPr>
        <w:snapToGrid w:val="0"/>
        <w:spacing w:line="360" w:lineRule="auto"/>
        <w:rPr>
          <w:rFonts w:cs="Arial" w:asciiTheme="minorEastAsia" w:hAnsiTheme="minorEastAsia" w:eastAsiaTheme="minorEastAsia"/>
          <w:color w:val="auto"/>
          <w:szCs w:val="21"/>
          <w:highlight w:val="none"/>
        </w:rPr>
      </w:pPr>
      <w:r>
        <w:rPr>
          <w:rFonts w:hint="eastAsia" w:cs="Arial" w:asciiTheme="minorEastAsia" w:hAnsiTheme="minorEastAsia" w:eastAsiaTheme="minorEastAsia"/>
          <w:b/>
          <w:color w:val="auto"/>
          <w:szCs w:val="21"/>
          <w:highlight w:val="none"/>
          <w:lang w:val="en-US" w:eastAsia="zh-CN"/>
        </w:rPr>
        <w:t>3.</w:t>
      </w:r>
      <w:r>
        <w:rPr>
          <w:rFonts w:hint="eastAsia" w:cs="Arial" w:asciiTheme="minorEastAsia" w:hAnsiTheme="minorEastAsia" w:eastAsiaTheme="minorEastAsia"/>
          <w:b/>
          <w:color w:val="auto"/>
          <w:szCs w:val="21"/>
          <w:highlight w:val="none"/>
        </w:rPr>
        <w:t>采购方式：</w:t>
      </w:r>
      <w:r>
        <w:rPr>
          <w:rFonts w:hint="eastAsia" w:cs="Arial" w:asciiTheme="minorEastAsia" w:hAnsiTheme="minorEastAsia" w:eastAsiaTheme="minorEastAsia"/>
          <w:color w:val="auto"/>
          <w:szCs w:val="21"/>
          <w:highlight w:val="none"/>
        </w:rPr>
        <w:t>公开招标</w:t>
      </w:r>
    </w:p>
    <w:p>
      <w:pPr>
        <w:snapToGrid w:val="0"/>
        <w:spacing w:line="360" w:lineRule="auto"/>
        <w:rPr>
          <w:rFonts w:hint="eastAsia" w:cs="Arial" w:asciiTheme="minorEastAsia" w:hAnsiTheme="minorEastAsia" w:eastAsiaTheme="minorEastAsia"/>
          <w:color w:val="auto"/>
          <w:szCs w:val="21"/>
          <w:highlight w:val="none"/>
          <w:lang w:eastAsia="zh-CN"/>
        </w:rPr>
      </w:pPr>
      <w:r>
        <w:rPr>
          <w:rFonts w:hint="eastAsia" w:cs="Arial" w:asciiTheme="minorEastAsia" w:hAnsiTheme="minorEastAsia" w:eastAsiaTheme="minorEastAsia"/>
          <w:b/>
          <w:color w:val="auto"/>
          <w:szCs w:val="21"/>
          <w:highlight w:val="none"/>
          <w:lang w:val="en-US" w:eastAsia="zh-CN"/>
        </w:rPr>
        <w:t>4.</w:t>
      </w:r>
      <w:r>
        <w:rPr>
          <w:rFonts w:hint="eastAsia" w:cs="Arial" w:asciiTheme="minorEastAsia" w:hAnsiTheme="minorEastAsia" w:eastAsiaTheme="minorEastAsia"/>
          <w:b/>
          <w:color w:val="auto"/>
          <w:szCs w:val="21"/>
          <w:highlight w:val="none"/>
        </w:rPr>
        <w:t>招标项目:</w:t>
      </w:r>
      <w:r>
        <w:rPr>
          <w:rFonts w:hint="eastAsia" w:cs="Arial" w:asciiTheme="minorEastAsia" w:hAnsiTheme="minorEastAsia" w:eastAsiaTheme="minorEastAsia"/>
          <w:color w:val="auto"/>
          <w:szCs w:val="21"/>
          <w:highlight w:val="none"/>
        </w:rPr>
        <w:t xml:space="preserve"> </w:t>
      </w:r>
      <w:r>
        <w:rPr>
          <w:rFonts w:hint="eastAsia" w:cs="Arial" w:asciiTheme="minorEastAsia" w:hAnsiTheme="minorEastAsia" w:eastAsiaTheme="minorEastAsia"/>
          <w:color w:val="auto"/>
          <w:szCs w:val="21"/>
          <w:highlight w:val="none"/>
          <w:lang w:eastAsia="zh-CN"/>
        </w:rPr>
        <w:t>2023年度南湖革命纪念馆及周边绿化养护项目</w:t>
      </w:r>
    </w:p>
    <w:p>
      <w:pPr>
        <w:snapToGrid w:val="0"/>
        <w:spacing w:line="360" w:lineRule="auto"/>
        <w:rPr>
          <w:rFonts w:hint="default" w:cs="Arial" w:asciiTheme="minorEastAsia" w:hAnsiTheme="minorEastAsia" w:eastAsiaTheme="minorEastAsia"/>
          <w:b/>
          <w:color w:val="auto"/>
          <w:szCs w:val="21"/>
          <w:highlight w:val="none"/>
          <w:lang w:val="en-US" w:eastAsia="zh-CN"/>
        </w:rPr>
      </w:pPr>
      <w:r>
        <w:rPr>
          <w:rFonts w:hint="eastAsia" w:cs="Arial" w:asciiTheme="minorEastAsia" w:hAnsiTheme="minorEastAsia" w:eastAsiaTheme="minorEastAsia"/>
          <w:b/>
          <w:color w:val="auto"/>
          <w:szCs w:val="21"/>
          <w:highlight w:val="none"/>
          <w:lang w:val="en-US" w:eastAsia="zh-CN"/>
        </w:rPr>
        <w:t>5.</w:t>
      </w:r>
      <w:r>
        <w:rPr>
          <w:rFonts w:hint="eastAsia" w:cs="Arial" w:asciiTheme="minorEastAsia" w:hAnsiTheme="minorEastAsia" w:eastAsiaTheme="minorEastAsia"/>
          <w:b/>
          <w:color w:val="auto"/>
          <w:szCs w:val="21"/>
          <w:highlight w:val="none"/>
        </w:rPr>
        <w:t>采购预算：</w:t>
      </w:r>
      <w:r>
        <w:rPr>
          <w:rFonts w:hint="eastAsia" w:cs="Arial" w:asciiTheme="minorEastAsia" w:hAnsiTheme="minorEastAsia" w:eastAsiaTheme="minorEastAsia"/>
          <w:color w:val="auto"/>
          <w:szCs w:val="21"/>
          <w:highlight w:val="none"/>
          <w:lang w:val="en-US" w:eastAsia="zh-CN"/>
        </w:rPr>
        <w:t>352.6272</w:t>
      </w:r>
      <w:r>
        <w:rPr>
          <w:rFonts w:hint="eastAsia" w:cs="Arial" w:asciiTheme="minorEastAsia" w:hAnsiTheme="minorEastAsia" w:eastAsiaTheme="minorEastAsia"/>
          <w:color w:val="auto"/>
          <w:szCs w:val="21"/>
          <w:highlight w:val="none"/>
        </w:rPr>
        <w:t>万元</w:t>
      </w:r>
    </w:p>
    <w:p>
      <w:pPr>
        <w:spacing w:line="360" w:lineRule="auto"/>
        <w:rPr>
          <w:rFonts w:cs="Arial" w:asciiTheme="minorEastAsia" w:hAnsiTheme="minorEastAsia" w:eastAsiaTheme="minorEastAsia"/>
          <w:b/>
          <w:bCs/>
          <w:color w:val="auto"/>
          <w:szCs w:val="21"/>
          <w:highlight w:val="none"/>
        </w:rPr>
      </w:pPr>
      <w:r>
        <w:rPr>
          <w:rFonts w:hint="eastAsia" w:cs="Arial" w:asciiTheme="minorEastAsia" w:hAnsiTheme="minorEastAsia" w:eastAsiaTheme="minorEastAsia"/>
          <w:b/>
          <w:bCs/>
          <w:color w:val="auto"/>
          <w:szCs w:val="21"/>
          <w:highlight w:val="none"/>
          <w:lang w:val="en-US" w:eastAsia="zh-CN"/>
        </w:rPr>
        <w:t>6.</w:t>
      </w:r>
      <w:r>
        <w:rPr>
          <w:rFonts w:hint="eastAsia" w:cs="Arial" w:asciiTheme="minorEastAsia" w:hAnsiTheme="minorEastAsia" w:eastAsiaTheme="minorEastAsia"/>
          <w:b/>
          <w:bCs/>
          <w:color w:val="auto"/>
          <w:szCs w:val="21"/>
          <w:highlight w:val="none"/>
        </w:rPr>
        <w:t>招标采购内容：</w:t>
      </w:r>
    </w:p>
    <w:tbl>
      <w:tblPr>
        <w:tblStyle w:val="49"/>
        <w:tblW w:w="85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96"/>
        <w:gridCol w:w="2492"/>
        <w:gridCol w:w="1755"/>
        <w:gridCol w:w="11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319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项目名称</w:t>
            </w:r>
          </w:p>
        </w:tc>
        <w:tc>
          <w:tcPr>
            <w:tcW w:w="249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服务期</w:t>
            </w:r>
          </w:p>
        </w:tc>
        <w:tc>
          <w:tcPr>
            <w:tcW w:w="1755" w:type="dxa"/>
            <w:tcBorders>
              <w:top w:val="single" w:color="auto" w:sz="4" w:space="0"/>
              <w:left w:val="single" w:color="auto" w:sz="4" w:space="0"/>
              <w:bottom w:val="single" w:color="auto" w:sz="4" w:space="0"/>
              <w:right w:val="single" w:color="auto" w:sz="4" w:space="0"/>
            </w:tcBorders>
            <w:vAlign w:val="top"/>
          </w:tcPr>
          <w:p>
            <w:pPr>
              <w:snapToGrid w:val="0"/>
              <w:spacing w:line="430" w:lineRule="exact"/>
              <w:jc w:val="center"/>
              <w:rPr>
                <w:rFonts w:hint="eastAsia" w:asciiTheme="minorEastAsia" w:hAnsiTheme="minorEastAsia" w:eastAsiaTheme="minorEastAsia"/>
                <w:b/>
                <w:color w:val="auto"/>
                <w:szCs w:val="21"/>
                <w:highlight w:val="none"/>
              </w:rPr>
            </w:pPr>
            <w:r>
              <w:rPr>
                <w:rFonts w:hint="eastAsia" w:ascii="微软雅黑" w:hAnsi="微软雅黑" w:eastAsia="微软雅黑"/>
                <w:b/>
                <w:bCs/>
                <w:color w:val="auto"/>
                <w:szCs w:val="21"/>
                <w:highlight w:val="none"/>
              </w:rPr>
              <w:t>预算价（万元）</w:t>
            </w:r>
          </w:p>
        </w:tc>
        <w:tc>
          <w:tcPr>
            <w:tcW w:w="114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Theme="minorEastAsia" w:hAnsiTheme="minorEastAsia" w:eastAsiaTheme="minorEastAsia"/>
                <w:b/>
                <w:color w:val="auto"/>
                <w:szCs w:val="21"/>
                <w:highlight w:val="none"/>
                <w:lang w:eastAsia="zh-CN"/>
              </w:rPr>
            </w:pPr>
            <w:r>
              <w:rPr>
                <w:rFonts w:hint="eastAsia" w:asciiTheme="minorEastAsia" w:hAnsiTheme="minorEastAsia" w:eastAsiaTheme="minorEastAsia"/>
                <w:b/>
                <w:color w:val="auto"/>
                <w:szCs w:val="21"/>
                <w:highlight w:val="no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3196" w:type="dxa"/>
            <w:tcBorders>
              <w:top w:val="single" w:color="auto" w:sz="4" w:space="0"/>
              <w:left w:val="single" w:color="auto" w:sz="4" w:space="0"/>
              <w:right w:val="single" w:color="auto" w:sz="4" w:space="0"/>
            </w:tcBorders>
            <w:vAlign w:val="center"/>
          </w:tcPr>
          <w:p>
            <w:pPr>
              <w:spacing w:line="360" w:lineRule="auto"/>
              <w:ind w:right="-107" w:rightChars="-51"/>
              <w:jc w:val="center"/>
              <w:rPr>
                <w:rFonts w:hint="eastAsia" w:asciiTheme="minorEastAsia" w:hAnsiTheme="minorEastAsia" w:eastAsiaTheme="minorEastAsia"/>
                <w:color w:val="auto"/>
                <w:szCs w:val="21"/>
                <w:highlight w:val="none"/>
                <w:lang w:eastAsia="zh-CN"/>
              </w:rPr>
            </w:pPr>
            <w:r>
              <w:rPr>
                <w:rFonts w:hint="eastAsia" w:asciiTheme="minorEastAsia" w:hAnsiTheme="minorEastAsia" w:eastAsiaTheme="minorEastAsia"/>
                <w:color w:val="auto"/>
                <w:szCs w:val="21"/>
                <w:highlight w:val="none"/>
                <w:lang w:eastAsia="zh-CN"/>
              </w:rPr>
              <w:t>2023年度南湖革命纪念馆及周边绿化养护项目</w:t>
            </w:r>
          </w:p>
        </w:tc>
        <w:tc>
          <w:tcPr>
            <w:tcW w:w="2492" w:type="dxa"/>
            <w:tcBorders>
              <w:top w:val="single" w:color="auto" w:sz="4" w:space="0"/>
              <w:left w:val="single" w:color="auto" w:sz="4" w:space="0"/>
              <w:right w:val="single" w:color="auto" w:sz="4" w:space="0"/>
            </w:tcBorders>
            <w:vAlign w:val="center"/>
          </w:tcPr>
          <w:p>
            <w:pPr>
              <w:spacing w:line="360" w:lineRule="auto"/>
              <w:jc w:val="center"/>
              <w:rPr>
                <w:rFonts w:hint="eastAsia" w:asciiTheme="minorEastAsia" w:hAnsiTheme="minorEastAsia" w:eastAsiaTheme="minorEastAsia"/>
                <w:color w:val="auto"/>
                <w:szCs w:val="21"/>
                <w:highlight w:val="none"/>
                <w:lang w:val="en-US" w:eastAsia="zh-CN"/>
              </w:rPr>
            </w:pPr>
            <w:r>
              <w:rPr>
                <w:rFonts w:hint="eastAsia" w:asciiTheme="minorEastAsia" w:hAnsiTheme="minorEastAsia" w:eastAsiaTheme="minorEastAsia"/>
                <w:color w:val="auto"/>
                <w:szCs w:val="21"/>
                <w:highlight w:val="none"/>
                <w:lang w:eastAsia="zh-CN"/>
              </w:rPr>
              <w:t>自签订合同之日起一年，经考核合格后可续签一年，最多续签二年</w:t>
            </w:r>
          </w:p>
        </w:tc>
        <w:tc>
          <w:tcPr>
            <w:tcW w:w="1755" w:type="dxa"/>
            <w:tcBorders>
              <w:top w:val="single" w:color="auto" w:sz="4" w:space="0"/>
              <w:left w:val="single" w:color="auto" w:sz="4" w:space="0"/>
              <w:bottom w:val="single" w:color="auto" w:sz="4" w:space="0"/>
              <w:right w:val="single" w:color="auto" w:sz="4" w:space="0"/>
            </w:tcBorders>
            <w:vAlign w:val="center"/>
          </w:tcPr>
          <w:p>
            <w:pPr>
              <w:snapToGrid w:val="0"/>
              <w:spacing w:line="430" w:lineRule="exact"/>
              <w:jc w:val="center"/>
              <w:rPr>
                <w:rFonts w:hint="eastAsia"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lang w:val="en-US" w:eastAsia="zh-CN"/>
              </w:rPr>
              <w:t>352.6272</w:t>
            </w:r>
            <w:r>
              <w:rPr>
                <w:rFonts w:hint="eastAsia" w:cs="Arial" w:asciiTheme="minorEastAsia" w:hAnsiTheme="minorEastAsia" w:eastAsiaTheme="minorEastAsia"/>
                <w:color w:val="auto"/>
                <w:szCs w:val="21"/>
                <w:highlight w:val="none"/>
              </w:rPr>
              <w:t>万元</w:t>
            </w:r>
            <w:r>
              <w:rPr>
                <w:rFonts w:hint="eastAsia" w:ascii="微软雅黑" w:hAnsi="微软雅黑" w:eastAsia="微软雅黑"/>
                <w:color w:val="auto"/>
                <w:szCs w:val="21"/>
                <w:highlight w:val="none"/>
                <w:lang w:val="en-US" w:eastAsia="zh-CN"/>
              </w:rPr>
              <w:t xml:space="preserve"> </w:t>
            </w:r>
          </w:p>
        </w:tc>
        <w:tc>
          <w:tcPr>
            <w:tcW w:w="1146" w:type="dxa"/>
            <w:tcBorders>
              <w:top w:val="single" w:color="auto" w:sz="4" w:space="0"/>
              <w:left w:val="single" w:color="auto" w:sz="4" w:space="0"/>
              <w:right w:val="single" w:color="auto" w:sz="4" w:space="0"/>
            </w:tcBorders>
            <w:vAlign w:val="center"/>
          </w:tcPr>
          <w:p>
            <w:pPr>
              <w:spacing w:line="360" w:lineRule="auto"/>
              <w:jc w:val="center"/>
              <w:rPr>
                <w:rFonts w:asciiTheme="minorEastAsia" w:hAnsiTheme="minorEastAsia" w:eastAsiaTheme="minorEastAsia"/>
                <w:color w:val="auto"/>
                <w:szCs w:val="21"/>
                <w:highlight w:val="none"/>
              </w:rPr>
            </w:pPr>
          </w:p>
        </w:tc>
      </w:tr>
    </w:tbl>
    <w:p>
      <w:pPr>
        <w:spacing w:line="360" w:lineRule="auto"/>
        <w:rPr>
          <w:rFonts w:cs="Arial" w:asciiTheme="minorEastAsia" w:hAnsiTheme="minorEastAsia" w:eastAsiaTheme="minorEastAsia"/>
          <w:b/>
          <w:bCs/>
          <w:color w:val="auto"/>
          <w:szCs w:val="21"/>
          <w:highlight w:val="none"/>
        </w:rPr>
      </w:pPr>
      <w:r>
        <w:rPr>
          <w:rFonts w:hint="eastAsia" w:cs="Arial" w:asciiTheme="minorEastAsia" w:hAnsiTheme="minorEastAsia" w:eastAsiaTheme="minorEastAsia"/>
          <w:b/>
          <w:bCs/>
          <w:color w:val="auto"/>
          <w:szCs w:val="21"/>
          <w:highlight w:val="none"/>
          <w:lang w:eastAsia="zh-CN"/>
        </w:rPr>
        <w:t>二</w:t>
      </w:r>
      <w:r>
        <w:rPr>
          <w:rFonts w:hint="eastAsia" w:cs="Arial" w:asciiTheme="minorEastAsia" w:hAnsiTheme="minorEastAsia" w:eastAsiaTheme="minorEastAsia"/>
          <w:b/>
          <w:bCs/>
          <w:color w:val="auto"/>
          <w:szCs w:val="21"/>
          <w:highlight w:val="none"/>
        </w:rPr>
        <w:t>、合格供应商的资格要求</w:t>
      </w:r>
    </w:p>
    <w:p>
      <w:pPr>
        <w:wordWrap w:val="0"/>
        <w:spacing w:line="360" w:lineRule="auto"/>
        <w:ind w:firstLine="482"/>
        <w:rPr>
          <w:rFonts w:hint="eastAsia" w:ascii="宋体" w:hAnsi="宋体" w:eastAsia="宋体" w:cs="宋体"/>
          <w:snapToGrid w:val="0"/>
          <w:color w:val="auto"/>
          <w:kern w:val="28"/>
          <w:szCs w:val="21"/>
          <w:highlight w:val="none"/>
        </w:rPr>
      </w:pPr>
      <w:r>
        <w:rPr>
          <w:rFonts w:hint="eastAsia" w:ascii="宋体" w:hAnsi="宋体" w:eastAsia="宋体" w:cs="宋体"/>
          <w:snapToGrid w:val="0"/>
          <w:color w:val="auto"/>
          <w:kern w:val="28"/>
          <w:szCs w:val="21"/>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hint="eastAsia" w:ascii="宋体" w:hAnsi="宋体" w:eastAsia="宋体" w:cs="宋体"/>
          <w:snapToGrid w:val="0"/>
          <w:color w:val="auto"/>
          <w:kern w:val="28"/>
          <w:szCs w:val="21"/>
          <w:highlight w:val="none"/>
        </w:rPr>
      </w:pPr>
      <w:r>
        <w:rPr>
          <w:rFonts w:hint="eastAsia" w:ascii="宋体" w:hAnsi="宋体" w:eastAsia="宋体" w:cs="宋体"/>
          <w:snapToGrid w:val="0"/>
          <w:color w:val="auto"/>
          <w:kern w:val="28"/>
          <w:szCs w:val="21"/>
          <w:highlight w:val="none"/>
        </w:rPr>
        <w:t xml:space="preserve">    2.落实政府采购政策需满足的资格要求：</w:t>
      </w:r>
    </w:p>
    <w:sdt>
      <w:sdtPr>
        <w:rPr>
          <w:rFonts w:hint="eastAsia" w:ascii="宋体" w:hAnsi="宋体" w:eastAsia="宋体" w:cs="宋体"/>
          <w:color w:val="auto"/>
          <w:kern w:val="0"/>
          <w:szCs w:val="21"/>
          <w:highlight w:val="none"/>
        </w:rPr>
        <w:id w:val="-1024704304"/>
      </w:sdtPr>
      <w:sdtEndPr>
        <w:rPr>
          <w:rFonts w:hint="eastAsia" w:ascii="宋体" w:hAnsi="宋体" w:eastAsia="宋体" w:cs="宋体"/>
          <w:color w:val="auto"/>
          <w:kern w:val="0"/>
          <w:szCs w:val="21"/>
          <w:highlight w:val="none"/>
        </w:rPr>
      </w:sdtEndPr>
      <w:sdtContent>
        <w:p>
          <w:pPr>
            <w:spacing w:line="360" w:lineRule="auto"/>
            <w:ind w:firstLine="420" w:firstLineChars="200"/>
            <w:rPr>
              <w:rFonts w:hint="eastAsia" w:ascii="宋体" w:hAnsi="宋体" w:eastAsia="宋体" w:cs="宋体"/>
              <w:color w:val="auto"/>
              <w:szCs w:val="21"/>
              <w:highlight w:val="none"/>
            </w:rPr>
          </w:pPr>
          <w:sdt>
            <w:sdtPr>
              <w:rPr>
                <w:rFonts w:hint="eastAsia" w:ascii="宋体" w:hAnsi="宋体" w:eastAsia="宋体" w:cs="宋体"/>
                <w:color w:val="auto"/>
                <w:kern w:val="0"/>
                <w:szCs w:val="21"/>
                <w:highlight w:val="none"/>
              </w:rPr>
              <w:id w:val="1928616923"/>
            </w:sdtPr>
            <w:sdtEndPr>
              <w:rPr>
                <w:rFonts w:hint="eastAsia" w:ascii="宋体" w:hAnsi="宋体" w:eastAsia="宋体" w:cs="宋体"/>
                <w:color w:val="auto"/>
                <w:kern w:val="0"/>
                <w:szCs w:val="21"/>
                <w:highlight w:val="none"/>
              </w:rPr>
            </w:sdtEndPr>
            <w:sdtContent>
              <w:r>
                <w:rPr>
                  <w:rFonts w:hint="eastAsia" w:ascii="宋体" w:hAnsi="宋体" w:eastAsia="宋体" w:cs="宋体"/>
                  <w:color w:val="auto"/>
                  <w:kern w:val="0"/>
                  <w:szCs w:val="21"/>
                  <w:highlight w:val="none"/>
                </w:rPr>
                <w:sym w:font="Wingdings" w:char="00FE"/>
              </w:r>
            </w:sdtContent>
          </w:sdt>
          <w:r>
            <w:rPr>
              <w:rFonts w:hint="eastAsia" w:ascii="宋体" w:hAnsi="宋体" w:eastAsia="宋体" w:cs="宋体"/>
              <w:color w:val="auto"/>
              <w:szCs w:val="21"/>
              <w:highlight w:val="none"/>
            </w:rPr>
            <w:t xml:space="preserve">无； </w:t>
          </w:r>
        </w:p>
        <w:p>
          <w:pPr>
            <w:spacing w:line="360" w:lineRule="auto"/>
            <w:ind w:firstLine="420" w:firstLineChars="200"/>
            <w:rPr>
              <w:rFonts w:hint="eastAsia" w:ascii="宋体" w:hAnsi="宋体" w:eastAsia="宋体" w:cs="宋体"/>
              <w:color w:val="auto"/>
              <w:szCs w:val="21"/>
              <w:highlight w:val="none"/>
            </w:rPr>
          </w:pPr>
          <w:sdt>
            <w:sdtPr>
              <w:rPr>
                <w:rFonts w:hint="eastAsia" w:ascii="宋体" w:hAnsi="宋体" w:eastAsia="宋体" w:cs="宋体"/>
                <w:color w:val="auto"/>
                <w:kern w:val="0"/>
                <w:szCs w:val="21"/>
                <w:highlight w:val="none"/>
              </w:rPr>
              <w:id w:val="1928616923"/>
            </w:sdtPr>
            <w:sdtEndPr>
              <w:rPr>
                <w:rFonts w:hint="eastAsia" w:ascii="宋体" w:hAnsi="宋体" w:eastAsia="宋体" w:cs="宋体"/>
                <w:color w:val="auto"/>
                <w:kern w:val="0"/>
                <w:szCs w:val="21"/>
                <w:highlight w:val="none"/>
              </w:rPr>
            </w:sdtEndPr>
            <w:sdtContent>
              <w:r>
                <w:rPr>
                  <w:rFonts w:hint="eastAsia" w:ascii="宋体" w:hAnsi="宋体" w:eastAsia="宋体" w:cs="宋体"/>
                  <w:color w:val="auto"/>
                  <w:kern w:val="0"/>
                  <w:szCs w:val="21"/>
                  <w:highlight w:val="none"/>
                </w:rPr>
                <w:sym w:font="Wingdings" w:char="00A8"/>
              </w:r>
            </w:sdtContent>
          </w:sdt>
          <w:r>
            <w:rPr>
              <w:rFonts w:hint="eastAsia" w:ascii="宋体" w:hAnsi="宋体" w:eastAsia="宋体" w:cs="宋体"/>
              <w:color w:val="auto"/>
              <w:kern w:val="0"/>
              <w:szCs w:val="21"/>
              <w:highlight w:val="none"/>
            </w:rPr>
            <w:t>专</w:t>
          </w:r>
          <w:r>
            <w:rPr>
              <w:rFonts w:hint="eastAsia" w:ascii="宋体" w:hAnsi="宋体" w:eastAsia="宋体" w:cs="宋体"/>
              <w:color w:val="auto"/>
              <w:szCs w:val="21"/>
              <w:highlight w:val="none"/>
            </w:rPr>
            <w:t>门面向中小企业</w:t>
          </w:r>
        </w:p>
        <w:p>
          <w:pPr>
            <w:spacing w:line="360" w:lineRule="auto"/>
            <w:ind w:firstLine="840" w:firstLineChars="400"/>
            <w:rPr>
              <w:rFonts w:hint="eastAsia" w:ascii="宋体" w:hAnsi="宋体" w:eastAsia="宋体" w:cs="宋体"/>
              <w:color w:val="auto"/>
              <w:szCs w:val="21"/>
              <w:highlight w:val="none"/>
            </w:rPr>
          </w:pPr>
          <w:sdt>
            <w:sdtPr>
              <w:rPr>
                <w:rFonts w:hint="eastAsia" w:ascii="宋体" w:hAnsi="宋体" w:eastAsia="宋体" w:cs="宋体"/>
                <w:color w:val="auto"/>
                <w:kern w:val="0"/>
                <w:szCs w:val="21"/>
                <w:highlight w:val="none"/>
              </w:rPr>
              <w:id w:val="-924730588"/>
            </w:sdtPr>
            <w:sdtEndPr>
              <w:rPr>
                <w:rFonts w:hint="eastAsia" w:ascii="宋体" w:hAnsi="宋体" w:eastAsia="宋体" w:cs="宋体"/>
                <w:color w:val="auto"/>
                <w:kern w:val="0"/>
                <w:szCs w:val="21"/>
                <w:highlight w:val="none"/>
              </w:rPr>
            </w:sdtEndPr>
            <w:sdtContent>
              <w:sdt>
                <w:sdtPr>
                  <w:rPr>
                    <w:rFonts w:hint="eastAsia" w:ascii="宋体" w:hAnsi="宋体" w:eastAsia="宋体" w:cs="宋体"/>
                    <w:color w:val="auto"/>
                    <w:kern w:val="0"/>
                    <w:szCs w:val="21"/>
                    <w:highlight w:val="none"/>
                  </w:rPr>
                  <w:id w:val="1928616923"/>
                </w:sdtPr>
                <w:sdtEndPr>
                  <w:rPr>
                    <w:rFonts w:hint="eastAsia" w:ascii="宋体" w:hAnsi="宋体" w:eastAsia="宋体" w:cs="宋体"/>
                    <w:color w:val="auto"/>
                    <w:kern w:val="0"/>
                    <w:szCs w:val="21"/>
                    <w:highlight w:val="none"/>
                  </w:rPr>
                </w:sdtEndPr>
                <w:sdtContent>
                  <w:r>
                    <w:rPr>
                      <w:rFonts w:hint="eastAsia" w:ascii="宋体" w:hAnsi="宋体" w:eastAsia="宋体" w:cs="宋体"/>
                      <w:color w:val="auto"/>
                      <w:kern w:val="0"/>
                      <w:szCs w:val="21"/>
                      <w:highlight w:val="none"/>
                    </w:rPr>
                    <w:sym w:font="Wingdings" w:char="00A8"/>
                  </w:r>
                </w:sdtContent>
              </w:sdt>
            </w:sdtContent>
          </w:sdt>
          <w:r>
            <w:rPr>
              <w:rFonts w:hint="eastAsia" w:ascii="宋体" w:hAnsi="宋体" w:eastAsia="宋体" w:cs="宋体"/>
              <w:color w:val="auto"/>
              <w:szCs w:val="21"/>
              <w:highlight w:val="none"/>
            </w:rPr>
            <w:t>货物全部由符合政策要求的中小企业制造，提供中小企业声明函；</w:t>
          </w:r>
        </w:p>
        <w:p>
          <w:pPr>
            <w:spacing w:line="360" w:lineRule="auto"/>
            <w:ind w:firstLine="840" w:firstLineChars="400"/>
            <w:rPr>
              <w:rFonts w:hint="eastAsia" w:ascii="宋体" w:hAnsi="宋体" w:eastAsia="宋体" w:cs="宋体"/>
              <w:color w:val="auto"/>
              <w:szCs w:val="21"/>
              <w:highlight w:val="none"/>
            </w:rPr>
          </w:pPr>
          <w:sdt>
            <w:sdtPr>
              <w:rPr>
                <w:rFonts w:hint="eastAsia" w:ascii="宋体" w:hAnsi="宋体" w:eastAsia="宋体" w:cs="宋体"/>
                <w:color w:val="auto"/>
                <w:kern w:val="0"/>
                <w:szCs w:val="21"/>
                <w:highlight w:val="none"/>
              </w:rPr>
              <w:id w:val="-1152604937"/>
            </w:sdtPr>
            <w:sdtEndPr>
              <w:rPr>
                <w:rFonts w:hint="eastAsia" w:ascii="宋体" w:hAnsi="宋体" w:eastAsia="宋体" w:cs="宋体"/>
                <w:color w:val="auto"/>
                <w:kern w:val="0"/>
                <w:szCs w:val="21"/>
                <w:highlight w:val="none"/>
              </w:rPr>
            </w:sdtEndPr>
            <w:sdtContent>
              <w:sdt>
                <w:sdtPr>
                  <w:rPr>
                    <w:rFonts w:hint="eastAsia" w:ascii="宋体" w:hAnsi="宋体" w:eastAsia="宋体" w:cs="宋体"/>
                    <w:color w:val="auto"/>
                    <w:kern w:val="0"/>
                    <w:szCs w:val="21"/>
                    <w:highlight w:val="none"/>
                  </w:rPr>
                  <w:id w:val="1928616923"/>
                </w:sdtPr>
                <w:sdtEndPr>
                  <w:rPr>
                    <w:rFonts w:hint="eastAsia" w:ascii="宋体" w:hAnsi="宋体" w:eastAsia="宋体" w:cs="宋体"/>
                    <w:color w:val="auto"/>
                    <w:kern w:val="0"/>
                    <w:szCs w:val="21"/>
                    <w:highlight w:val="none"/>
                  </w:rPr>
                </w:sdtEndPr>
                <w:sdtContent>
                  <w:r>
                    <w:rPr>
                      <w:rFonts w:hint="eastAsia" w:ascii="宋体" w:hAnsi="宋体" w:eastAsia="宋体" w:cs="宋体"/>
                      <w:color w:val="auto"/>
                      <w:kern w:val="0"/>
                      <w:szCs w:val="21"/>
                      <w:highlight w:val="none"/>
                    </w:rPr>
                    <w:sym w:font="Wingdings" w:char="00A8"/>
                  </w:r>
                </w:sdtContent>
              </w:sdt>
            </w:sdtContent>
          </w:sdt>
          <w:r>
            <w:rPr>
              <w:rFonts w:hint="eastAsia" w:ascii="宋体" w:hAnsi="宋体" w:eastAsia="宋体" w:cs="宋体"/>
              <w:color w:val="auto"/>
              <w:szCs w:val="21"/>
              <w:highlight w:val="none"/>
            </w:rPr>
            <w:t>货物全部由符合政策要求的小微企业制造，提供中小企业声明函；</w:t>
          </w:r>
        </w:p>
        <w:p>
          <w:pPr>
            <w:spacing w:line="360" w:lineRule="auto"/>
            <w:ind w:firstLine="840" w:firstLineChars="400"/>
            <w:rPr>
              <w:rFonts w:hint="eastAsia" w:ascii="宋体" w:hAnsi="宋体" w:eastAsia="宋体" w:cs="宋体"/>
              <w:color w:val="auto"/>
              <w:szCs w:val="21"/>
              <w:highlight w:val="none"/>
            </w:rPr>
          </w:pPr>
          <w:sdt>
            <w:sdtPr>
              <w:rPr>
                <w:rFonts w:hint="eastAsia" w:ascii="宋体" w:hAnsi="宋体" w:eastAsia="宋体" w:cs="宋体"/>
                <w:color w:val="auto"/>
                <w:kern w:val="0"/>
                <w:szCs w:val="21"/>
                <w:highlight w:val="none"/>
              </w:rPr>
              <w:id w:val="1928616923"/>
            </w:sdtPr>
            <w:sdtEndPr>
              <w:rPr>
                <w:rFonts w:hint="eastAsia" w:ascii="宋体" w:hAnsi="宋体" w:eastAsia="宋体" w:cs="宋体"/>
                <w:color w:val="auto"/>
                <w:kern w:val="0"/>
                <w:szCs w:val="21"/>
                <w:highlight w:val="none"/>
              </w:rPr>
            </w:sdtEndPr>
            <w:sdtContent>
              <w:r>
                <w:rPr>
                  <w:rFonts w:hint="eastAsia" w:ascii="宋体" w:hAnsi="宋体" w:eastAsia="宋体" w:cs="宋体"/>
                  <w:color w:val="auto"/>
                  <w:kern w:val="0"/>
                  <w:szCs w:val="21"/>
                  <w:highlight w:val="none"/>
                </w:rPr>
                <w:sym w:font="Wingdings" w:char="00A8"/>
              </w:r>
            </w:sdtContent>
          </w:sdt>
          <w:sdt>
            <w:sdtPr>
              <w:rPr>
                <w:rFonts w:hint="eastAsia" w:ascii="宋体" w:hAnsi="宋体" w:eastAsia="宋体" w:cs="宋体"/>
                <w:color w:val="auto"/>
                <w:kern w:val="0"/>
                <w:szCs w:val="21"/>
                <w:highlight w:val="none"/>
              </w:rPr>
              <w:id w:val="-333685401"/>
            </w:sdtPr>
            <w:sdtEndPr>
              <w:rPr>
                <w:rFonts w:hint="eastAsia" w:ascii="宋体" w:hAnsi="宋体" w:eastAsia="宋体" w:cs="宋体"/>
                <w:color w:val="auto"/>
                <w:kern w:val="0"/>
                <w:szCs w:val="21"/>
                <w:highlight w:val="none"/>
              </w:rPr>
            </w:sdtEndPr>
            <w:sdtContent/>
          </w:sdt>
          <w:r>
            <w:rPr>
              <w:rFonts w:hint="eastAsia" w:ascii="宋体" w:hAnsi="宋体" w:eastAsia="宋体" w:cs="宋体"/>
              <w:color w:val="auto"/>
              <w:szCs w:val="21"/>
              <w:highlight w:val="none"/>
            </w:rPr>
            <w:t>服务全部由符合政策要求的中小企业承接，提供中小企业声明函；</w:t>
          </w:r>
        </w:p>
        <w:p>
          <w:pPr>
            <w:spacing w:line="360" w:lineRule="auto"/>
            <w:ind w:firstLine="840" w:firstLineChars="400"/>
            <w:rPr>
              <w:rFonts w:hint="eastAsia" w:ascii="宋体" w:hAnsi="宋体" w:eastAsia="宋体" w:cs="宋体"/>
              <w:color w:val="auto"/>
              <w:kern w:val="0"/>
              <w:szCs w:val="21"/>
              <w:highlight w:val="none"/>
            </w:rPr>
          </w:pPr>
          <w:sdt>
            <w:sdtPr>
              <w:rPr>
                <w:rFonts w:hint="eastAsia" w:ascii="宋体" w:hAnsi="宋体" w:eastAsia="宋体" w:cs="宋体"/>
                <w:color w:val="auto"/>
                <w:kern w:val="0"/>
                <w:szCs w:val="21"/>
                <w:highlight w:val="none"/>
              </w:rPr>
              <w:id w:val="1928616923"/>
            </w:sdtPr>
            <w:sdtEndPr>
              <w:rPr>
                <w:rFonts w:hint="eastAsia" w:ascii="宋体" w:hAnsi="宋体" w:eastAsia="宋体" w:cs="宋体"/>
                <w:color w:val="auto"/>
                <w:kern w:val="0"/>
                <w:szCs w:val="21"/>
                <w:highlight w:val="none"/>
              </w:rPr>
            </w:sdtEndPr>
            <w:sdtContent>
              <w:r>
                <w:rPr>
                  <w:rFonts w:hint="eastAsia" w:ascii="宋体" w:hAnsi="宋体" w:eastAsia="宋体" w:cs="宋体"/>
                  <w:color w:val="auto"/>
                  <w:kern w:val="0"/>
                  <w:szCs w:val="21"/>
                  <w:highlight w:val="none"/>
                </w:rPr>
                <w:sym w:font="Wingdings" w:char="00A8"/>
              </w:r>
            </w:sdtContent>
          </w:sdt>
          <w:sdt>
            <w:sdtPr>
              <w:rPr>
                <w:rFonts w:hint="eastAsia" w:ascii="宋体" w:hAnsi="宋体" w:eastAsia="宋体" w:cs="宋体"/>
                <w:color w:val="auto"/>
                <w:kern w:val="0"/>
                <w:szCs w:val="21"/>
                <w:highlight w:val="none"/>
              </w:rPr>
              <w:id w:val="-2141025358"/>
              <w:showingPlcHdr/>
            </w:sdtPr>
            <w:sdtEndPr>
              <w:rPr>
                <w:rFonts w:hint="eastAsia" w:ascii="宋体" w:hAnsi="宋体" w:eastAsia="宋体" w:cs="宋体"/>
                <w:color w:val="auto"/>
                <w:kern w:val="0"/>
                <w:szCs w:val="21"/>
                <w:highlight w:val="none"/>
              </w:rPr>
            </w:sdtEndPr>
            <w:sdtContent/>
          </w:sdt>
          <w:r>
            <w:rPr>
              <w:rFonts w:hint="eastAsia" w:ascii="宋体" w:hAnsi="宋体" w:eastAsia="宋体" w:cs="宋体"/>
              <w:color w:val="auto"/>
              <w:szCs w:val="21"/>
              <w:highlight w:val="none"/>
            </w:rPr>
            <w:t>服务全部由符合政策要求的小微企业承接，提供中小企业声明函；</w:t>
          </w:r>
        </w:p>
      </w:sdtContent>
    </w:sdt>
    <w:p>
      <w:pPr>
        <w:spacing w:line="360" w:lineRule="auto"/>
        <w:ind w:firstLine="420" w:firstLineChars="200"/>
        <w:rPr>
          <w:rFonts w:hint="eastAsia" w:ascii="宋体" w:hAnsi="宋体" w:eastAsia="宋体" w:cs="宋体"/>
          <w:color w:val="auto"/>
          <w:szCs w:val="21"/>
          <w:highlight w:val="none"/>
        </w:rPr>
      </w:pPr>
      <w:sdt>
        <w:sdtPr>
          <w:rPr>
            <w:rFonts w:hint="eastAsia" w:ascii="宋体" w:hAnsi="宋体" w:eastAsia="宋体" w:cs="宋体"/>
            <w:color w:val="auto"/>
            <w:kern w:val="0"/>
            <w:szCs w:val="21"/>
            <w:highlight w:val="none"/>
          </w:rPr>
          <w:id w:val="1928616923"/>
        </w:sdtPr>
        <w:sdtEndPr>
          <w:rPr>
            <w:rFonts w:hint="eastAsia" w:ascii="宋体" w:hAnsi="宋体" w:eastAsia="宋体" w:cs="宋体"/>
            <w:color w:val="auto"/>
            <w:kern w:val="0"/>
            <w:szCs w:val="21"/>
            <w:highlight w:val="none"/>
          </w:rPr>
        </w:sdtEndPr>
        <w:sdtContent>
          <w:r>
            <w:rPr>
              <w:rFonts w:hint="eastAsia" w:ascii="宋体" w:hAnsi="宋体" w:eastAsia="宋体" w:cs="宋体"/>
              <w:color w:val="auto"/>
              <w:kern w:val="0"/>
              <w:szCs w:val="21"/>
              <w:highlight w:val="none"/>
            </w:rPr>
            <w:sym w:font="Wingdings" w:char="00A8"/>
          </w:r>
        </w:sdtContent>
      </w:sdt>
      <w:r>
        <w:rPr>
          <w:rFonts w:hint="eastAsia" w:ascii="宋体" w:hAnsi="宋体" w:eastAsia="宋体" w:cs="宋体"/>
          <w:color w:val="auto"/>
          <w:szCs w:val="21"/>
          <w:highlight w:val="none"/>
        </w:rPr>
        <w:t>要求以联合体形式参加，提供联合协议和中小企业声明函，联合协议中中小企业合同</w:t>
      </w: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rPr>
        <w:t>金额应当达到%，小微企业合同金额应当达到%;如果供应商本身提供所有标的均由中小企业制造、承建或承接，视同符合了资格条件，无需再与其他中小企业组成联合体参加政府采购活动，无需提供联合协议；</w:t>
      </w:r>
    </w:p>
    <w:p>
      <w:pPr>
        <w:spacing w:line="360" w:lineRule="auto"/>
        <w:ind w:firstLine="420" w:firstLineChars="200"/>
        <w:rPr>
          <w:rFonts w:hint="eastAsia" w:ascii="宋体" w:hAnsi="宋体" w:eastAsia="宋体" w:cs="宋体"/>
          <w:b/>
          <w:bCs/>
          <w:color w:val="auto"/>
          <w:szCs w:val="21"/>
          <w:highlight w:val="none"/>
        </w:rPr>
      </w:pPr>
      <w:sdt>
        <w:sdtPr>
          <w:rPr>
            <w:rFonts w:hint="eastAsia" w:ascii="宋体" w:hAnsi="宋体" w:eastAsia="宋体" w:cs="宋体"/>
            <w:color w:val="auto"/>
            <w:kern w:val="0"/>
            <w:szCs w:val="21"/>
            <w:highlight w:val="none"/>
          </w:rPr>
          <w:id w:val="1928616923"/>
        </w:sdtPr>
        <w:sdtEndPr>
          <w:rPr>
            <w:rFonts w:hint="eastAsia" w:ascii="宋体" w:hAnsi="宋体" w:eastAsia="宋体" w:cs="宋体"/>
            <w:color w:val="auto"/>
            <w:kern w:val="0"/>
            <w:szCs w:val="21"/>
            <w:highlight w:val="none"/>
          </w:rPr>
        </w:sdtEndPr>
        <w:sdtContent>
          <w:r>
            <w:rPr>
              <w:rFonts w:hint="eastAsia" w:ascii="宋体" w:hAnsi="宋体" w:eastAsia="宋体" w:cs="宋体"/>
              <w:color w:val="auto"/>
              <w:kern w:val="0"/>
              <w:szCs w:val="21"/>
              <w:highlight w:val="none"/>
            </w:rPr>
            <w:sym w:font="Wingdings" w:char="00A8"/>
          </w:r>
        </w:sdtContent>
      </w:sdt>
      <w:r>
        <w:rPr>
          <w:rFonts w:hint="eastAsia" w:ascii="宋体" w:hAnsi="宋体" w:eastAsia="宋体" w:cs="宋体"/>
          <w:color w:val="auto"/>
          <w:szCs w:val="21"/>
          <w:highlight w:val="none"/>
        </w:rPr>
        <w:t>要求合同分包，提供分包意向协议和中小企业声明函，分包意向协议中中小企业合同金额应当达到达到% ，小微企业合同金额应当达到% ;如果供应商本身提供所有标的均由中小企业制造、承建或承接，视同符合了资格条件，无需再向中小企业分包，无需提供分包意向协议；</w:t>
      </w:r>
    </w:p>
    <w:p>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3.本项目的特定资格要求：</w:t>
      </w:r>
      <w:r>
        <w:rPr>
          <w:rFonts w:hint="eastAsia" w:ascii="宋体" w:hAnsi="宋体" w:eastAsia="宋体" w:cs="宋体"/>
          <w:color w:val="auto"/>
          <w:szCs w:val="21"/>
          <w:highlight w:val="none"/>
          <w:u w:val="single"/>
        </w:rPr>
        <w:t xml:space="preserve"> </w:t>
      </w:r>
      <w:r>
        <w:rPr>
          <w:rFonts w:hint="eastAsia" w:ascii="宋体" w:hAnsi="宋体" w:eastAsia="宋体" w:cs="宋体"/>
          <w:b/>
          <w:bCs/>
          <w:color w:val="auto"/>
          <w:szCs w:val="21"/>
          <w:highlight w:val="none"/>
          <w:u w:val="single"/>
          <w:lang w:eastAsia="zh-CN"/>
        </w:rPr>
        <w:t>项目负责人具有园林绿化相关专业工程师及以上职称</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w:t>
      </w:r>
    </w:p>
    <w:p>
      <w:pPr>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4.单位负责人为同一人或者存在直接控股、管理关系的不同供应商，不得参加同一合同项下的政府采购活动；</w:t>
      </w:r>
    </w:p>
    <w:p>
      <w:pPr>
        <w:snapToGrid w:val="0"/>
        <w:spacing w:line="360" w:lineRule="auto"/>
        <w:rPr>
          <w:rFonts w:cs="Arial" w:asciiTheme="minorEastAsia" w:hAnsiTheme="minorEastAsia" w:eastAsiaTheme="minorEastAsia"/>
          <w:color w:val="auto"/>
          <w:szCs w:val="21"/>
          <w:highlight w:val="none"/>
        </w:rPr>
      </w:pPr>
      <w:r>
        <w:rPr>
          <w:rFonts w:hint="eastAsia" w:ascii="宋体" w:hAnsi="宋体" w:eastAsia="宋体" w:cs="宋体"/>
          <w:color w:val="auto"/>
          <w:szCs w:val="21"/>
          <w:highlight w:val="none"/>
        </w:rPr>
        <w:t>5.除单一来源采购项目外，为采购项目提供整体设计、规范编制或者项目管理、监理、检测等服务的供应商，不得再参加该采购项目的其他采购活动</w:t>
      </w:r>
    </w:p>
    <w:p>
      <w:pPr>
        <w:snapToGrid w:val="0"/>
        <w:spacing w:line="360" w:lineRule="auto"/>
        <w:jc w:val="left"/>
        <w:rPr>
          <w:rFonts w:cs="Arial" w:asciiTheme="minorEastAsia" w:hAnsiTheme="minorEastAsia" w:eastAsiaTheme="minorEastAsia"/>
          <w:color w:val="auto"/>
          <w:szCs w:val="21"/>
          <w:highlight w:val="none"/>
        </w:rPr>
      </w:pPr>
      <w:r>
        <w:rPr>
          <w:rFonts w:hint="eastAsia" w:cs="Arial" w:asciiTheme="minorEastAsia" w:hAnsiTheme="minorEastAsia" w:eastAsiaTheme="minorEastAsia"/>
          <w:b/>
          <w:color w:val="auto"/>
          <w:szCs w:val="21"/>
          <w:highlight w:val="none"/>
          <w:lang w:val="en-US" w:eastAsia="zh-CN"/>
        </w:rPr>
        <w:t>6.</w:t>
      </w:r>
      <w:r>
        <w:rPr>
          <w:rFonts w:hint="eastAsia" w:cs="Arial" w:asciiTheme="minorEastAsia" w:hAnsiTheme="minorEastAsia" w:eastAsiaTheme="minorEastAsia"/>
          <w:b/>
          <w:color w:val="auto"/>
          <w:szCs w:val="21"/>
          <w:highlight w:val="none"/>
        </w:rPr>
        <w:t>本项目</w:t>
      </w:r>
      <w:r>
        <w:rPr>
          <w:rFonts w:hint="eastAsia" w:cs="Arial" w:asciiTheme="minorEastAsia" w:hAnsiTheme="minorEastAsia" w:eastAsiaTheme="minorEastAsia"/>
          <w:b/>
          <w:color w:val="auto"/>
          <w:szCs w:val="21"/>
          <w:highlight w:val="none"/>
          <w:lang w:eastAsia="zh-CN"/>
        </w:rPr>
        <w:t>不</w:t>
      </w:r>
      <w:r>
        <w:rPr>
          <w:rFonts w:hint="eastAsia" w:cs="Arial" w:asciiTheme="minorEastAsia" w:hAnsiTheme="minorEastAsia" w:eastAsiaTheme="minorEastAsia"/>
          <w:b/>
          <w:color w:val="auto"/>
          <w:szCs w:val="21"/>
          <w:highlight w:val="none"/>
        </w:rPr>
        <w:t>接受联合体投标。</w:t>
      </w:r>
    </w:p>
    <w:p>
      <w:pPr>
        <w:spacing w:line="360"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三、获取招标文件</w:t>
      </w:r>
    </w:p>
    <w:p>
      <w:pPr>
        <w:wordWrap w:val="0"/>
        <w:spacing w:line="360" w:lineRule="auto"/>
        <w:ind w:firstLine="422" w:firstLineChars="200"/>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时间：</w:t>
      </w:r>
      <w:r>
        <w:rPr>
          <w:rFonts w:hint="eastAsia" w:ascii="宋体" w:hAnsi="宋体" w:eastAsia="宋体" w:cs="宋体"/>
          <w:color w:val="auto"/>
          <w:szCs w:val="21"/>
          <w:highlight w:val="none"/>
        </w:rPr>
        <w:t>/至</w:t>
      </w:r>
      <w:r>
        <w:rPr>
          <w:rFonts w:hint="eastAsia" w:ascii="宋体" w:hAnsi="宋体" w:eastAsia="宋体" w:cs="宋体"/>
          <w:color w:val="auto"/>
          <w:szCs w:val="21"/>
          <w:highlight w:val="none"/>
          <w:u w:val="single"/>
        </w:rPr>
        <w:t>2022</w:t>
      </w:r>
      <w:r>
        <w:rPr>
          <w:rFonts w:hint="eastAsia" w:ascii="宋体" w:hAnsi="宋体" w:eastAsia="宋体" w:cs="宋体"/>
          <w:color w:val="auto"/>
          <w:szCs w:val="21"/>
          <w:highlight w:val="none"/>
        </w:rPr>
        <w:t>年</w:t>
      </w:r>
      <w:r>
        <w:rPr>
          <w:rFonts w:hint="eastAsia" w:ascii="宋体" w:hAnsi="宋体" w:cs="宋体"/>
          <w:color w:val="auto"/>
          <w:szCs w:val="21"/>
          <w:highlight w:val="none"/>
          <w:u w:val="single"/>
          <w:lang w:val="en-US" w:eastAsia="zh-CN"/>
        </w:rPr>
        <w:t>12</w:t>
      </w:r>
      <w:r>
        <w:rPr>
          <w:rFonts w:hint="eastAsia" w:ascii="宋体" w:hAnsi="宋体" w:eastAsia="宋体" w:cs="宋体"/>
          <w:color w:val="auto"/>
          <w:szCs w:val="21"/>
          <w:highlight w:val="none"/>
        </w:rPr>
        <w:t>月</w:t>
      </w:r>
      <w:r>
        <w:rPr>
          <w:rFonts w:hint="eastAsia" w:ascii="宋体" w:hAnsi="宋体" w:cs="宋体"/>
          <w:color w:val="auto"/>
          <w:szCs w:val="21"/>
          <w:highlight w:val="none"/>
          <w:u w:val="single"/>
          <w:lang w:val="en-US" w:eastAsia="zh-CN"/>
        </w:rPr>
        <w:t>27</w:t>
      </w:r>
      <w:r>
        <w:rPr>
          <w:rFonts w:hint="eastAsia" w:ascii="宋体" w:hAnsi="宋体" w:eastAsia="宋体" w:cs="宋体"/>
          <w:color w:val="auto"/>
          <w:szCs w:val="21"/>
          <w:highlight w:val="none"/>
        </w:rPr>
        <w:t>日，每天上午00:00至12:00 ，下午12:00至23:59（北京时间，线上获取法定节假日均可，线下获取文件法定节假日除外）</w:t>
      </w:r>
    </w:p>
    <w:p>
      <w:pPr>
        <w:wordWrap w:val="0"/>
        <w:spacing w:line="360" w:lineRule="auto"/>
        <w:ind w:firstLine="422" w:firstLineChars="200"/>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地点（网址）：</w:t>
      </w:r>
      <w:r>
        <w:rPr>
          <w:rFonts w:hint="eastAsia" w:ascii="宋体" w:hAnsi="宋体" w:eastAsia="宋体" w:cs="宋体"/>
          <w:color w:val="auto"/>
          <w:szCs w:val="21"/>
          <w:highlight w:val="none"/>
        </w:rPr>
        <w:t xml:space="preserve">政采云平台（https://www.zcygov.cn/） </w:t>
      </w:r>
    </w:p>
    <w:p>
      <w:pPr>
        <w:wordWrap w:val="0"/>
        <w:spacing w:line="360" w:lineRule="auto"/>
        <w:ind w:firstLine="422" w:firstLineChars="200"/>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方式：</w:t>
      </w:r>
      <w:r>
        <w:rPr>
          <w:rFonts w:hint="eastAsia" w:ascii="宋体" w:hAnsi="宋体" w:eastAsia="宋体" w:cs="宋体"/>
          <w:color w:val="auto"/>
          <w:szCs w:val="21"/>
          <w:highlight w:val="none"/>
        </w:rPr>
        <w:t>供应商登录政采云平台https://www.zcygov.cn/在线申请获取采购文件（进入“项目采购”应用，在获取采购文件菜单中选择项目，申请获取采购文件）。</w:t>
      </w:r>
    </w:p>
    <w:p>
      <w:pPr>
        <w:spacing w:line="360" w:lineRule="auto"/>
        <w:ind w:firstLine="422" w:firstLineChars="200"/>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售价（元）：</w:t>
      </w:r>
      <w:r>
        <w:rPr>
          <w:rFonts w:hint="eastAsia" w:ascii="宋体" w:hAnsi="宋体" w:eastAsia="宋体" w:cs="宋体"/>
          <w:color w:val="auto"/>
          <w:szCs w:val="21"/>
          <w:highlight w:val="none"/>
        </w:rPr>
        <w:t xml:space="preserve">0 </w:t>
      </w:r>
    </w:p>
    <w:p>
      <w:pPr>
        <w:wordWrap w:val="0"/>
        <w:spacing w:line="360"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四、提交投标文件截止时间、开标时间和地点</w:t>
      </w:r>
    </w:p>
    <w:p>
      <w:pPr>
        <w:wordWrap w:val="0"/>
        <w:spacing w:line="360" w:lineRule="auto"/>
        <w:ind w:firstLine="422" w:firstLineChars="200"/>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提交投标文件截止时间：</w:t>
      </w:r>
      <w:r>
        <w:rPr>
          <w:rFonts w:hint="eastAsia" w:ascii="宋体" w:hAnsi="宋体" w:eastAsia="宋体" w:cs="宋体"/>
          <w:color w:val="auto"/>
          <w:szCs w:val="21"/>
          <w:highlight w:val="none"/>
          <w:u w:val="single"/>
        </w:rPr>
        <w:t>2022</w:t>
      </w:r>
      <w:r>
        <w:rPr>
          <w:rFonts w:hint="eastAsia" w:ascii="宋体" w:hAnsi="宋体" w:eastAsia="宋体" w:cs="宋体"/>
          <w:color w:val="auto"/>
          <w:szCs w:val="21"/>
          <w:highlight w:val="none"/>
        </w:rPr>
        <w:t>年</w:t>
      </w:r>
      <w:r>
        <w:rPr>
          <w:rFonts w:hint="eastAsia" w:ascii="宋体" w:hAnsi="宋体" w:cs="宋体"/>
          <w:color w:val="auto"/>
          <w:szCs w:val="21"/>
          <w:highlight w:val="none"/>
          <w:u w:val="single"/>
          <w:lang w:val="en-US" w:eastAsia="zh-CN"/>
        </w:rPr>
        <w:t>12</w:t>
      </w:r>
      <w:r>
        <w:rPr>
          <w:rFonts w:hint="eastAsia" w:ascii="宋体" w:hAnsi="宋体" w:eastAsia="宋体" w:cs="宋体"/>
          <w:color w:val="auto"/>
          <w:szCs w:val="21"/>
          <w:highlight w:val="none"/>
        </w:rPr>
        <w:t>月</w:t>
      </w:r>
      <w:r>
        <w:rPr>
          <w:rFonts w:hint="eastAsia" w:ascii="宋体" w:hAnsi="宋体" w:cs="宋体"/>
          <w:color w:val="auto"/>
          <w:szCs w:val="21"/>
          <w:highlight w:val="none"/>
          <w:u w:val="single"/>
          <w:lang w:val="en-US" w:eastAsia="zh-CN"/>
        </w:rPr>
        <w:t>27</w:t>
      </w:r>
      <w:r>
        <w:rPr>
          <w:rFonts w:hint="eastAsia" w:ascii="宋体" w:hAnsi="宋体" w:eastAsia="宋体" w:cs="宋体"/>
          <w:color w:val="auto"/>
          <w:szCs w:val="21"/>
          <w:highlight w:val="none"/>
        </w:rPr>
        <w:t>日</w:t>
      </w:r>
      <w:r>
        <w:rPr>
          <w:rFonts w:hint="eastAsia" w:ascii="宋体" w:hAnsi="宋体" w:cs="宋体"/>
          <w:color w:val="auto"/>
          <w:szCs w:val="21"/>
          <w:highlight w:val="none"/>
          <w:u w:val="single"/>
          <w:lang w:val="en-US" w:eastAsia="zh-CN"/>
        </w:rPr>
        <w:t>14</w:t>
      </w:r>
      <w:r>
        <w:rPr>
          <w:rFonts w:hint="eastAsia" w:ascii="宋体" w:hAnsi="宋体" w:eastAsia="宋体" w:cs="宋体"/>
          <w:color w:val="auto"/>
          <w:szCs w:val="21"/>
          <w:highlight w:val="none"/>
        </w:rPr>
        <w:t>点</w:t>
      </w:r>
      <w:r>
        <w:rPr>
          <w:rFonts w:hint="eastAsia" w:ascii="宋体" w:hAnsi="宋体" w:eastAsia="宋体" w:cs="宋体"/>
          <w:color w:val="auto"/>
          <w:szCs w:val="21"/>
          <w:highlight w:val="none"/>
          <w:u w:val="single"/>
        </w:rPr>
        <w:t>00</w:t>
      </w:r>
      <w:r>
        <w:rPr>
          <w:rFonts w:hint="eastAsia" w:ascii="宋体" w:hAnsi="宋体" w:eastAsia="宋体" w:cs="宋体"/>
          <w:color w:val="auto"/>
          <w:szCs w:val="21"/>
          <w:highlight w:val="none"/>
        </w:rPr>
        <w:t>分（北京时间）</w:t>
      </w:r>
    </w:p>
    <w:p>
      <w:pPr>
        <w:wordWrap w:val="0"/>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投标地点（网址）：</w:t>
      </w:r>
      <w:r>
        <w:rPr>
          <w:rFonts w:hint="eastAsia" w:ascii="宋体" w:hAnsi="宋体" w:eastAsia="宋体" w:cs="宋体"/>
          <w:color w:val="auto"/>
          <w:szCs w:val="21"/>
          <w:highlight w:val="none"/>
        </w:rPr>
        <w:t xml:space="preserve">政采云平台（https://www.zcygov.cn/） </w:t>
      </w:r>
    </w:p>
    <w:p>
      <w:pPr>
        <w:wordWrap w:val="0"/>
        <w:spacing w:line="360" w:lineRule="auto"/>
        <w:ind w:firstLine="422" w:firstLineChars="200"/>
        <w:rPr>
          <w:rFonts w:hint="eastAsia" w:ascii="宋体" w:hAnsi="宋体" w:eastAsia="宋体" w:cs="宋体"/>
          <w:bCs/>
          <w:color w:val="auto"/>
          <w:szCs w:val="21"/>
          <w:highlight w:val="none"/>
          <w:u w:val="single"/>
        </w:rPr>
      </w:pPr>
      <w:r>
        <w:rPr>
          <w:rFonts w:hint="eastAsia" w:ascii="宋体" w:hAnsi="宋体" w:eastAsia="宋体" w:cs="宋体"/>
          <w:b/>
          <w:color w:val="auto"/>
          <w:szCs w:val="21"/>
          <w:highlight w:val="none"/>
        </w:rPr>
        <w:t>开标时间：</w:t>
      </w:r>
      <w:r>
        <w:rPr>
          <w:rFonts w:hint="eastAsia" w:ascii="宋体" w:hAnsi="宋体" w:eastAsia="宋体" w:cs="宋体"/>
          <w:color w:val="auto"/>
          <w:szCs w:val="21"/>
          <w:highlight w:val="none"/>
          <w:u w:val="single"/>
        </w:rPr>
        <w:t>2022</w:t>
      </w:r>
      <w:r>
        <w:rPr>
          <w:rFonts w:hint="eastAsia" w:ascii="宋体" w:hAnsi="宋体" w:eastAsia="宋体" w:cs="宋体"/>
          <w:color w:val="auto"/>
          <w:szCs w:val="21"/>
          <w:highlight w:val="none"/>
        </w:rPr>
        <w:t>年</w:t>
      </w:r>
      <w:r>
        <w:rPr>
          <w:rFonts w:hint="eastAsia" w:ascii="宋体" w:hAnsi="宋体" w:cs="宋体"/>
          <w:color w:val="auto"/>
          <w:szCs w:val="21"/>
          <w:highlight w:val="none"/>
          <w:u w:val="single"/>
          <w:lang w:val="en-US" w:eastAsia="zh-CN"/>
        </w:rPr>
        <w:t>12</w:t>
      </w:r>
      <w:r>
        <w:rPr>
          <w:rFonts w:hint="eastAsia" w:ascii="宋体" w:hAnsi="宋体" w:eastAsia="宋体" w:cs="宋体"/>
          <w:color w:val="auto"/>
          <w:szCs w:val="21"/>
          <w:highlight w:val="none"/>
        </w:rPr>
        <w:t>月</w:t>
      </w:r>
      <w:r>
        <w:rPr>
          <w:rFonts w:hint="eastAsia" w:ascii="宋体" w:hAnsi="宋体" w:cs="宋体"/>
          <w:color w:val="auto"/>
          <w:szCs w:val="21"/>
          <w:highlight w:val="none"/>
          <w:u w:val="single"/>
          <w:lang w:val="en-US" w:eastAsia="zh-CN"/>
        </w:rPr>
        <w:t>27</w:t>
      </w:r>
      <w:r>
        <w:rPr>
          <w:rFonts w:hint="eastAsia" w:ascii="宋体" w:hAnsi="宋体" w:eastAsia="宋体" w:cs="宋体"/>
          <w:color w:val="auto"/>
          <w:szCs w:val="21"/>
          <w:highlight w:val="none"/>
        </w:rPr>
        <w:t>日</w:t>
      </w:r>
      <w:r>
        <w:rPr>
          <w:rFonts w:hint="eastAsia" w:ascii="宋体" w:hAnsi="宋体" w:cs="宋体"/>
          <w:color w:val="auto"/>
          <w:szCs w:val="21"/>
          <w:highlight w:val="none"/>
          <w:u w:val="single"/>
          <w:lang w:val="en-US" w:eastAsia="zh-CN"/>
        </w:rPr>
        <w:t>14</w:t>
      </w:r>
      <w:r>
        <w:rPr>
          <w:rFonts w:hint="eastAsia" w:ascii="宋体" w:hAnsi="宋体" w:eastAsia="宋体" w:cs="宋体"/>
          <w:color w:val="auto"/>
          <w:szCs w:val="21"/>
          <w:highlight w:val="none"/>
        </w:rPr>
        <w:t>点</w:t>
      </w:r>
      <w:r>
        <w:rPr>
          <w:rFonts w:hint="eastAsia" w:ascii="宋体" w:hAnsi="宋体" w:eastAsia="宋体" w:cs="宋体"/>
          <w:color w:val="auto"/>
          <w:szCs w:val="21"/>
          <w:highlight w:val="none"/>
          <w:u w:val="single"/>
        </w:rPr>
        <w:t>00</w:t>
      </w:r>
      <w:r>
        <w:rPr>
          <w:rFonts w:hint="eastAsia" w:ascii="宋体" w:hAnsi="宋体" w:eastAsia="宋体" w:cs="宋体"/>
          <w:color w:val="auto"/>
          <w:szCs w:val="21"/>
          <w:highlight w:val="none"/>
        </w:rPr>
        <w:t>分（北京时间）</w:t>
      </w:r>
    </w:p>
    <w:p>
      <w:pPr>
        <w:wordWrap w:val="0"/>
        <w:spacing w:line="360" w:lineRule="auto"/>
        <w:ind w:firstLine="422" w:firstLineChars="200"/>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开标地点（网址）：</w:t>
      </w:r>
      <w:r>
        <w:rPr>
          <w:rFonts w:hint="eastAsia" w:ascii="宋体" w:hAnsi="宋体" w:eastAsia="宋体" w:cs="宋体"/>
          <w:color w:val="auto"/>
          <w:szCs w:val="21"/>
          <w:highlight w:val="none"/>
        </w:rPr>
        <w:t>政采云平台（https://www.zcygov.cn/）</w:t>
      </w:r>
    </w:p>
    <w:p>
      <w:pPr>
        <w:spacing w:line="360" w:lineRule="auto"/>
        <w:rPr>
          <w:rFonts w:hint="eastAsia" w:ascii="宋体" w:hAnsi="宋体" w:eastAsia="宋体" w:cs="宋体"/>
          <w:color w:val="auto"/>
          <w:szCs w:val="21"/>
          <w:highlight w:val="none"/>
        </w:rPr>
      </w:pPr>
      <w:r>
        <w:rPr>
          <w:rFonts w:hint="eastAsia" w:ascii="宋体" w:hAnsi="宋体" w:eastAsia="宋体" w:cs="宋体"/>
          <w:b/>
          <w:color w:val="auto"/>
          <w:szCs w:val="21"/>
          <w:highlight w:val="none"/>
          <w:lang w:eastAsia="zh-CN"/>
        </w:rPr>
        <w:t>五</w:t>
      </w:r>
      <w:r>
        <w:rPr>
          <w:rFonts w:hint="eastAsia" w:ascii="宋体" w:hAnsi="宋体" w:eastAsia="宋体" w:cs="宋体"/>
          <w:b/>
          <w:color w:val="auto"/>
          <w:szCs w:val="21"/>
          <w:highlight w:val="none"/>
        </w:rPr>
        <w:t>、公告期限</w:t>
      </w:r>
    </w:p>
    <w:p>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自本公告发布之日起5个工作日。</w:t>
      </w:r>
    </w:p>
    <w:p>
      <w:pPr>
        <w:spacing w:line="360"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lang w:eastAsia="zh-CN"/>
        </w:rPr>
        <w:t>六</w:t>
      </w:r>
      <w:r>
        <w:rPr>
          <w:rFonts w:hint="eastAsia" w:ascii="宋体" w:hAnsi="宋体" w:eastAsia="宋体" w:cs="宋体"/>
          <w:b/>
          <w:color w:val="auto"/>
          <w:szCs w:val="21"/>
          <w:highlight w:val="none"/>
        </w:rPr>
        <w:t>、其他补充事宜</w:t>
      </w:r>
    </w:p>
    <w:p>
      <w:pPr>
        <w:wordWrap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wordWrap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wordWrap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wordWrap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4.其他事项：</w:t>
      </w:r>
    </w:p>
    <w:p>
      <w:pPr>
        <w:wordWrap w:val="0"/>
        <w:spacing w:line="360" w:lineRule="auto"/>
        <w:ind w:firstLine="422" w:firstLineChars="200"/>
        <w:rPr>
          <w:rFonts w:hint="eastAsia" w:ascii="宋体" w:hAnsi="宋体" w:eastAsia="宋体" w:cs="宋体"/>
          <w:b/>
          <w:bCs/>
          <w:color w:val="auto"/>
          <w:szCs w:val="21"/>
          <w:highlight w:val="none"/>
          <w:u w:val="single"/>
        </w:rPr>
      </w:pPr>
      <w:r>
        <w:rPr>
          <w:rFonts w:hint="eastAsia" w:ascii="宋体" w:hAnsi="宋体" w:eastAsia="宋体" w:cs="宋体"/>
          <w:b/>
          <w:bCs/>
          <w:color w:val="auto"/>
          <w:szCs w:val="21"/>
          <w:highlight w:val="none"/>
          <w:u w:val="single"/>
        </w:rPr>
        <w:t>4.1为支持和促进中小企业发展，进一步发挥政府采购政策功能，鼓励供应商使用保险/保函替代保证金及进行预付款增信，支持供应商基于中标项目进行应收账款融资。中标供应商若想了解或使用相关服务，可通过政采云平台或其他渠道进行咨询。政采云金融热线400-903-9583，也可登录政采云平台查看相应政策文件及各相关服务方案∶https://jinrong.zcygov.cn/finance-service/#/home。</w:t>
      </w:r>
    </w:p>
    <w:p>
      <w:pPr>
        <w:wordWrap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4.2需要落实的政府采购政策：包括节约资源、保护环境、支持创新、促进中小企业发展等。详见招标文件的第二部分总则。</w:t>
      </w:r>
    </w:p>
    <w:p>
      <w:pPr>
        <w:wordWrap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4.3电子招投标的说明：</w:t>
      </w:r>
    </w:p>
    <w:p>
      <w:pPr>
        <w:wordWrap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①电子招投标：本项目以数据电文形式，依托“政府采购云平台（www.zcygov.cn）”进行招投标活动，不接受纸质投标文件；</w:t>
      </w:r>
    </w:p>
    <w:p>
      <w:pPr>
        <w:wordWrap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p>
    <w:p>
      <w:pPr>
        <w:wordWrap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③招标文件的获取：使用账号登录或者使用CA登录政采云平台；进入“项目采购”应用，在获取采购文件菜单中选择项目，获取招标文件；</w:t>
      </w:r>
    </w:p>
    <w:p>
      <w:pPr>
        <w:wordWrap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④投标文件的制作：在“政采云电子交易客户端”中完成“填写基本信息”、“导入投标文件”、“标书关联”、“标书检查”、“电子签名”、“生成电子标书”等操作；</w:t>
      </w:r>
    </w:p>
    <w:p>
      <w:pPr>
        <w:wordWrap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⑤采购人、采购机构将依托政采云平台完成本项目的电子交易活动，平台不接受未按上述方式获取招标文件的供应商进行投标活动；</w:t>
      </w:r>
    </w:p>
    <w:p>
      <w:pPr>
        <w:wordWrap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⑥对未按上述方式获取招标文件的供应商对该文件提出的质疑，采购人或采购代理机构将不予处理；</w:t>
      </w:r>
    </w:p>
    <w:p>
      <w:pPr>
        <w:wordWrap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⑦不提供招标文件纸质版；</w:t>
      </w:r>
    </w:p>
    <w:p>
      <w:pPr>
        <w:wordWrap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w:t>
      </w:r>
    </w:p>
    <w:p>
      <w:pPr>
        <w:wordWrap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w:t>
      </w:r>
    </w:p>
    <w:p>
      <w:pPr>
        <w:snapToGrid w:val="0"/>
        <w:spacing w:line="360"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⑩具体操作指南：详见政采云平台“服务中心-帮助文档-项目采购-操作流程-电子招投标-政府采购项目电子交易管理操作指南-供应商”。</w:t>
      </w:r>
    </w:p>
    <w:p>
      <w:pPr>
        <w:pStyle w:val="48"/>
        <w:ind w:left="0" w:leftChars="0" w:firstLine="0" w:firstLineChars="0"/>
        <w:rPr>
          <w:b/>
          <w:bCs/>
          <w:color w:val="auto"/>
          <w:highlight w:val="none"/>
        </w:rPr>
      </w:pPr>
      <w:r>
        <w:rPr>
          <w:rFonts w:hint="eastAsia"/>
          <w:b/>
          <w:bCs/>
          <w:color w:val="auto"/>
          <w:highlight w:val="none"/>
          <w:lang w:eastAsia="zh-CN"/>
        </w:rPr>
        <w:t>七</w:t>
      </w:r>
      <w:r>
        <w:rPr>
          <w:rFonts w:hint="eastAsia"/>
          <w:b/>
          <w:bCs/>
          <w:color w:val="auto"/>
          <w:highlight w:val="none"/>
        </w:rPr>
        <w:t>、业务咨询：</w:t>
      </w:r>
    </w:p>
    <w:p>
      <w:pPr>
        <w:snapToGrid w:val="0"/>
        <w:spacing w:line="360" w:lineRule="auto"/>
        <w:rPr>
          <w:rFonts w:hint="eastAsia" w:cs="Arial" w:asciiTheme="minorEastAsia" w:hAnsiTheme="minorEastAsia" w:eastAsiaTheme="minorEastAsia"/>
          <w:b w:val="0"/>
          <w:bCs/>
          <w:color w:val="auto"/>
          <w:szCs w:val="21"/>
          <w:highlight w:val="none"/>
          <w:lang w:eastAsia="zh-CN"/>
        </w:rPr>
      </w:pPr>
      <w:r>
        <w:rPr>
          <w:rFonts w:hint="eastAsia" w:cs="Arial" w:asciiTheme="minorEastAsia" w:hAnsiTheme="minorEastAsia" w:eastAsiaTheme="minorEastAsia"/>
          <w:b w:val="0"/>
          <w:bCs/>
          <w:color w:val="auto"/>
          <w:szCs w:val="21"/>
          <w:highlight w:val="none"/>
        </w:rPr>
        <w:t>名    称：</w:t>
      </w:r>
      <w:r>
        <w:rPr>
          <w:rFonts w:hint="eastAsia" w:cs="Arial" w:asciiTheme="minorEastAsia" w:hAnsiTheme="minorEastAsia" w:eastAsiaTheme="minorEastAsia"/>
          <w:b w:val="0"/>
          <w:bCs/>
          <w:color w:val="auto"/>
          <w:szCs w:val="21"/>
          <w:highlight w:val="none"/>
          <w:lang w:eastAsia="zh-CN"/>
        </w:rPr>
        <w:t>南湖革命纪念馆</w:t>
      </w:r>
    </w:p>
    <w:p>
      <w:pPr>
        <w:snapToGrid w:val="0"/>
        <w:spacing w:line="360" w:lineRule="auto"/>
        <w:rPr>
          <w:rFonts w:hint="default" w:cs="Arial" w:asciiTheme="minorEastAsia" w:hAnsiTheme="minorEastAsia" w:eastAsiaTheme="minorEastAsia"/>
          <w:b w:val="0"/>
          <w:bCs/>
          <w:color w:val="auto"/>
          <w:szCs w:val="21"/>
          <w:highlight w:val="none"/>
          <w:lang w:val="en-US" w:eastAsia="zh-CN"/>
        </w:rPr>
      </w:pPr>
      <w:r>
        <w:rPr>
          <w:rFonts w:hint="eastAsia" w:cs="Arial" w:asciiTheme="minorEastAsia" w:hAnsiTheme="minorEastAsia" w:eastAsiaTheme="minorEastAsia"/>
          <w:b w:val="0"/>
          <w:bCs/>
          <w:color w:val="auto"/>
          <w:szCs w:val="21"/>
          <w:highlight w:val="none"/>
        </w:rPr>
        <w:t>地    址：</w:t>
      </w:r>
      <w:r>
        <w:rPr>
          <w:rFonts w:hint="eastAsia" w:cs="Arial" w:asciiTheme="minorEastAsia" w:hAnsiTheme="minorEastAsia" w:eastAsiaTheme="minorEastAsia"/>
          <w:b w:val="0"/>
          <w:bCs/>
          <w:color w:val="auto"/>
          <w:szCs w:val="21"/>
          <w:highlight w:val="none"/>
          <w:lang w:val="en-US" w:eastAsia="zh-CN"/>
        </w:rPr>
        <w:t xml:space="preserve"> 嘉兴市南湖区烟雨路186号</w:t>
      </w:r>
    </w:p>
    <w:p>
      <w:pPr>
        <w:snapToGrid w:val="0"/>
        <w:spacing w:line="360" w:lineRule="auto"/>
        <w:rPr>
          <w:rFonts w:hint="eastAsia" w:cs="Arial" w:asciiTheme="minorEastAsia" w:hAnsiTheme="minorEastAsia" w:eastAsiaTheme="minorEastAsia"/>
          <w:b w:val="0"/>
          <w:bCs/>
          <w:color w:val="auto"/>
          <w:szCs w:val="21"/>
          <w:highlight w:val="none"/>
          <w:lang w:val="en-US" w:eastAsia="zh-CN"/>
        </w:rPr>
      </w:pPr>
      <w:r>
        <w:rPr>
          <w:rFonts w:hint="eastAsia" w:cs="Arial" w:asciiTheme="minorEastAsia" w:hAnsiTheme="minorEastAsia" w:eastAsiaTheme="minorEastAsia"/>
          <w:b w:val="0"/>
          <w:bCs/>
          <w:color w:val="auto"/>
          <w:szCs w:val="21"/>
          <w:highlight w:val="none"/>
        </w:rPr>
        <w:t>传    真：</w:t>
      </w:r>
      <w:r>
        <w:rPr>
          <w:rFonts w:hint="eastAsia" w:cs="Arial" w:asciiTheme="minorEastAsia" w:hAnsiTheme="minorEastAsia" w:eastAsiaTheme="minorEastAsia"/>
          <w:b w:val="0"/>
          <w:bCs/>
          <w:color w:val="auto"/>
          <w:szCs w:val="21"/>
          <w:highlight w:val="none"/>
          <w:lang w:val="en-US" w:eastAsia="zh-CN"/>
        </w:rPr>
        <w:t>/</w:t>
      </w:r>
    </w:p>
    <w:p>
      <w:pPr>
        <w:snapToGrid w:val="0"/>
        <w:spacing w:line="360" w:lineRule="auto"/>
        <w:rPr>
          <w:rFonts w:hint="eastAsia" w:cs="Arial" w:asciiTheme="minorEastAsia" w:hAnsiTheme="minorEastAsia" w:eastAsiaTheme="minorEastAsia"/>
          <w:b w:val="0"/>
          <w:bCs/>
          <w:color w:val="auto"/>
          <w:szCs w:val="21"/>
          <w:highlight w:val="none"/>
          <w:lang w:val="en-US" w:eastAsia="zh-CN"/>
        </w:rPr>
      </w:pPr>
      <w:r>
        <w:rPr>
          <w:rFonts w:hint="eastAsia" w:cs="Arial" w:asciiTheme="minorEastAsia" w:hAnsiTheme="minorEastAsia" w:eastAsiaTheme="minorEastAsia"/>
          <w:b w:val="0"/>
          <w:bCs/>
          <w:color w:val="auto"/>
          <w:szCs w:val="21"/>
          <w:highlight w:val="none"/>
        </w:rPr>
        <w:t>项目联系人（询问）：</w:t>
      </w:r>
      <w:r>
        <w:rPr>
          <w:rFonts w:hint="eastAsia" w:cs="Arial" w:asciiTheme="minorEastAsia" w:hAnsiTheme="minorEastAsia" w:eastAsiaTheme="minorEastAsia"/>
          <w:b w:val="0"/>
          <w:bCs/>
          <w:color w:val="auto"/>
          <w:szCs w:val="21"/>
          <w:highlight w:val="none"/>
          <w:lang w:val="en-US" w:eastAsia="zh-CN"/>
        </w:rPr>
        <w:t>王先生</w:t>
      </w:r>
    </w:p>
    <w:p>
      <w:pPr>
        <w:snapToGrid w:val="0"/>
        <w:spacing w:line="360" w:lineRule="auto"/>
        <w:rPr>
          <w:rFonts w:hint="eastAsia" w:cs="Arial" w:asciiTheme="minorEastAsia" w:hAnsiTheme="minorEastAsia" w:eastAsiaTheme="minorEastAsia"/>
          <w:b w:val="0"/>
          <w:bCs/>
          <w:color w:val="auto"/>
          <w:szCs w:val="21"/>
          <w:highlight w:val="none"/>
          <w:lang w:val="en-US" w:eastAsia="zh-CN"/>
        </w:rPr>
      </w:pPr>
      <w:r>
        <w:rPr>
          <w:rFonts w:hint="eastAsia" w:cs="Arial" w:asciiTheme="minorEastAsia" w:hAnsiTheme="minorEastAsia" w:eastAsiaTheme="minorEastAsia"/>
          <w:b w:val="0"/>
          <w:bCs/>
          <w:color w:val="auto"/>
          <w:szCs w:val="21"/>
          <w:highlight w:val="none"/>
        </w:rPr>
        <w:t>项目联系方式（询问）：0573-</w:t>
      </w:r>
      <w:r>
        <w:rPr>
          <w:rFonts w:hint="eastAsia" w:cs="Arial" w:asciiTheme="minorEastAsia" w:hAnsiTheme="minorEastAsia" w:eastAsiaTheme="minorEastAsia"/>
          <w:b w:val="0"/>
          <w:bCs/>
          <w:color w:val="auto"/>
          <w:szCs w:val="21"/>
          <w:highlight w:val="none"/>
          <w:lang w:val="en-US" w:eastAsia="zh-CN"/>
        </w:rPr>
        <w:t>83686084</w:t>
      </w:r>
    </w:p>
    <w:p>
      <w:pPr>
        <w:snapToGrid w:val="0"/>
        <w:spacing w:line="360" w:lineRule="auto"/>
        <w:rPr>
          <w:rFonts w:hint="eastAsia" w:cs="Arial" w:asciiTheme="minorEastAsia" w:hAnsiTheme="minorEastAsia" w:eastAsiaTheme="minorEastAsia"/>
          <w:b w:val="0"/>
          <w:bCs/>
          <w:color w:val="auto"/>
          <w:szCs w:val="21"/>
          <w:highlight w:val="none"/>
        </w:rPr>
      </w:pPr>
      <w:r>
        <w:rPr>
          <w:rFonts w:hint="eastAsia" w:cs="Arial" w:asciiTheme="minorEastAsia" w:hAnsiTheme="minorEastAsia" w:eastAsiaTheme="minorEastAsia"/>
          <w:b w:val="0"/>
          <w:bCs/>
          <w:color w:val="auto"/>
          <w:szCs w:val="21"/>
          <w:highlight w:val="none"/>
        </w:rPr>
        <w:t>2、采购代理机构信息</w:t>
      </w:r>
    </w:p>
    <w:p>
      <w:pPr>
        <w:snapToGrid w:val="0"/>
        <w:spacing w:line="360" w:lineRule="auto"/>
        <w:rPr>
          <w:rFonts w:hint="eastAsia" w:cs="Arial" w:asciiTheme="minorEastAsia" w:hAnsiTheme="minorEastAsia" w:eastAsiaTheme="minorEastAsia"/>
          <w:b w:val="0"/>
          <w:bCs/>
          <w:color w:val="auto"/>
          <w:szCs w:val="21"/>
          <w:highlight w:val="none"/>
          <w:lang w:eastAsia="zh-CN"/>
        </w:rPr>
      </w:pPr>
      <w:r>
        <w:rPr>
          <w:rFonts w:hint="eastAsia" w:cs="Arial" w:asciiTheme="minorEastAsia" w:hAnsiTheme="minorEastAsia" w:eastAsiaTheme="minorEastAsia"/>
          <w:b w:val="0"/>
          <w:bCs/>
          <w:color w:val="auto"/>
          <w:szCs w:val="21"/>
          <w:highlight w:val="none"/>
        </w:rPr>
        <w:t>名    称： </w:t>
      </w:r>
      <w:r>
        <w:rPr>
          <w:rFonts w:hint="eastAsia" w:cs="Arial" w:asciiTheme="minorEastAsia" w:hAnsiTheme="minorEastAsia" w:eastAsiaTheme="minorEastAsia"/>
          <w:b w:val="0"/>
          <w:bCs/>
          <w:color w:val="auto"/>
          <w:szCs w:val="21"/>
          <w:highlight w:val="none"/>
          <w:lang w:eastAsia="zh-CN"/>
        </w:rPr>
        <w:t>嘉兴市银建工程咨询评估有限公司</w:t>
      </w:r>
    </w:p>
    <w:p>
      <w:pPr>
        <w:snapToGrid w:val="0"/>
        <w:spacing w:line="360" w:lineRule="auto"/>
        <w:rPr>
          <w:rFonts w:hint="eastAsia" w:cs="Arial" w:asciiTheme="minorEastAsia" w:hAnsiTheme="minorEastAsia" w:eastAsiaTheme="minorEastAsia"/>
          <w:b w:val="0"/>
          <w:bCs/>
          <w:color w:val="auto"/>
          <w:szCs w:val="21"/>
          <w:highlight w:val="none"/>
          <w:lang w:eastAsia="zh-CN"/>
        </w:rPr>
      </w:pPr>
      <w:r>
        <w:rPr>
          <w:rFonts w:hint="eastAsia" w:cs="Arial" w:asciiTheme="minorEastAsia" w:hAnsiTheme="minorEastAsia" w:eastAsiaTheme="minorEastAsia"/>
          <w:b w:val="0"/>
          <w:bCs/>
          <w:color w:val="auto"/>
          <w:szCs w:val="21"/>
          <w:highlight w:val="none"/>
        </w:rPr>
        <w:t>地    址： </w:t>
      </w:r>
      <w:r>
        <w:rPr>
          <w:rFonts w:hint="eastAsia" w:cs="Arial" w:asciiTheme="minorEastAsia" w:hAnsiTheme="minorEastAsia" w:eastAsiaTheme="minorEastAsia"/>
          <w:b w:val="0"/>
          <w:bCs/>
          <w:color w:val="auto"/>
          <w:szCs w:val="21"/>
          <w:highlight w:val="none"/>
          <w:lang w:eastAsia="zh-CN"/>
        </w:rPr>
        <w:t>嘉兴市秀洲区洪兴路239</w:t>
      </w:r>
      <w:r>
        <w:rPr>
          <w:rFonts w:hint="eastAsia" w:cs="Arial" w:asciiTheme="minorEastAsia" w:hAnsiTheme="minorEastAsia" w:eastAsiaTheme="minorEastAsia"/>
          <w:b w:val="0"/>
          <w:bCs/>
          <w:color w:val="auto"/>
          <w:szCs w:val="21"/>
          <w:highlight w:val="none"/>
          <w:lang w:val="en-US" w:eastAsia="zh-CN"/>
        </w:rPr>
        <w:t>9</w:t>
      </w:r>
      <w:r>
        <w:rPr>
          <w:rFonts w:hint="eastAsia" w:cs="Arial" w:asciiTheme="minorEastAsia" w:hAnsiTheme="minorEastAsia" w:eastAsiaTheme="minorEastAsia"/>
          <w:b w:val="0"/>
          <w:bCs/>
          <w:color w:val="auto"/>
          <w:szCs w:val="21"/>
          <w:highlight w:val="none"/>
          <w:lang w:eastAsia="zh-CN"/>
        </w:rPr>
        <w:t>号宝地大厦1</w:t>
      </w:r>
      <w:r>
        <w:rPr>
          <w:rFonts w:hint="eastAsia" w:cs="Arial" w:asciiTheme="minorEastAsia" w:hAnsiTheme="minorEastAsia" w:eastAsiaTheme="minorEastAsia"/>
          <w:b w:val="0"/>
          <w:bCs/>
          <w:color w:val="auto"/>
          <w:szCs w:val="21"/>
          <w:highlight w:val="none"/>
          <w:lang w:val="en-US" w:eastAsia="zh-CN"/>
        </w:rPr>
        <w:t>205</w:t>
      </w:r>
      <w:r>
        <w:rPr>
          <w:rFonts w:hint="eastAsia" w:cs="Arial" w:asciiTheme="minorEastAsia" w:hAnsiTheme="minorEastAsia" w:eastAsiaTheme="minorEastAsia"/>
          <w:b w:val="0"/>
          <w:bCs/>
          <w:color w:val="auto"/>
          <w:szCs w:val="21"/>
          <w:highlight w:val="none"/>
          <w:lang w:eastAsia="zh-CN"/>
        </w:rPr>
        <w:t>室</w:t>
      </w:r>
    </w:p>
    <w:p>
      <w:pPr>
        <w:snapToGrid w:val="0"/>
        <w:spacing w:line="360" w:lineRule="auto"/>
        <w:rPr>
          <w:rFonts w:hint="eastAsia" w:cs="Arial" w:asciiTheme="minorEastAsia" w:hAnsiTheme="minorEastAsia" w:eastAsiaTheme="minorEastAsia"/>
          <w:b w:val="0"/>
          <w:bCs/>
          <w:color w:val="auto"/>
          <w:szCs w:val="21"/>
          <w:highlight w:val="none"/>
          <w:lang w:eastAsia="zh-CN"/>
        </w:rPr>
      </w:pPr>
      <w:r>
        <w:rPr>
          <w:rFonts w:hint="eastAsia" w:cs="Arial" w:asciiTheme="minorEastAsia" w:hAnsiTheme="minorEastAsia" w:eastAsiaTheme="minorEastAsia"/>
          <w:b w:val="0"/>
          <w:bCs/>
          <w:color w:val="auto"/>
          <w:szCs w:val="21"/>
          <w:highlight w:val="none"/>
        </w:rPr>
        <w:t>传    真：</w:t>
      </w:r>
      <w:r>
        <w:rPr>
          <w:rFonts w:hint="eastAsia" w:cs="Arial" w:asciiTheme="minorEastAsia" w:hAnsiTheme="minorEastAsia" w:eastAsiaTheme="minorEastAsia"/>
          <w:b w:val="0"/>
          <w:bCs/>
          <w:color w:val="auto"/>
          <w:szCs w:val="21"/>
          <w:highlight w:val="none"/>
          <w:lang w:val="en-US" w:eastAsia="zh-CN"/>
        </w:rPr>
        <w:t>/</w:t>
      </w:r>
    </w:p>
    <w:p>
      <w:pPr>
        <w:snapToGrid w:val="0"/>
        <w:spacing w:line="360" w:lineRule="auto"/>
        <w:rPr>
          <w:rFonts w:hint="eastAsia" w:cs="Arial" w:asciiTheme="minorEastAsia" w:hAnsiTheme="minorEastAsia" w:eastAsiaTheme="minorEastAsia"/>
          <w:b w:val="0"/>
          <w:bCs/>
          <w:color w:val="auto"/>
          <w:szCs w:val="21"/>
          <w:highlight w:val="none"/>
          <w:lang w:eastAsia="zh-CN"/>
        </w:rPr>
      </w:pPr>
      <w:r>
        <w:rPr>
          <w:rFonts w:hint="eastAsia" w:cs="Arial" w:asciiTheme="minorEastAsia" w:hAnsiTheme="minorEastAsia" w:eastAsiaTheme="minorEastAsia"/>
          <w:b w:val="0"/>
          <w:bCs/>
          <w:color w:val="auto"/>
          <w:szCs w:val="21"/>
          <w:highlight w:val="none"/>
        </w:rPr>
        <w:t>项目联系人（询问）：</w:t>
      </w:r>
      <w:r>
        <w:rPr>
          <w:rFonts w:hint="eastAsia" w:cs="Arial" w:asciiTheme="minorEastAsia" w:hAnsiTheme="minorEastAsia" w:eastAsiaTheme="minorEastAsia"/>
          <w:b w:val="0"/>
          <w:bCs/>
          <w:color w:val="auto"/>
          <w:szCs w:val="21"/>
          <w:highlight w:val="none"/>
          <w:lang w:eastAsia="zh-CN"/>
        </w:rPr>
        <w:t>叶女士</w:t>
      </w:r>
    </w:p>
    <w:p>
      <w:pPr>
        <w:snapToGrid w:val="0"/>
        <w:spacing w:line="360" w:lineRule="auto"/>
        <w:rPr>
          <w:rFonts w:hint="default" w:cs="Arial" w:asciiTheme="minorEastAsia" w:hAnsiTheme="minorEastAsia" w:eastAsiaTheme="minorEastAsia"/>
          <w:b w:val="0"/>
          <w:bCs/>
          <w:color w:val="auto"/>
          <w:szCs w:val="21"/>
          <w:highlight w:val="none"/>
          <w:lang w:val="en-US" w:eastAsia="zh-CN"/>
        </w:rPr>
      </w:pPr>
      <w:r>
        <w:rPr>
          <w:rFonts w:hint="eastAsia" w:cs="Arial" w:asciiTheme="minorEastAsia" w:hAnsiTheme="minorEastAsia" w:eastAsiaTheme="minorEastAsia"/>
          <w:b w:val="0"/>
          <w:bCs/>
          <w:color w:val="auto"/>
          <w:szCs w:val="21"/>
          <w:highlight w:val="none"/>
        </w:rPr>
        <w:t>项目联系方式（询问）：</w:t>
      </w:r>
      <w:r>
        <w:rPr>
          <w:rFonts w:hint="eastAsia" w:cs="Arial" w:asciiTheme="minorEastAsia" w:hAnsiTheme="minorEastAsia" w:eastAsiaTheme="minorEastAsia"/>
          <w:b w:val="0"/>
          <w:bCs/>
          <w:color w:val="auto"/>
          <w:szCs w:val="21"/>
          <w:highlight w:val="none"/>
          <w:lang w:val="en-US" w:eastAsia="zh-CN"/>
        </w:rPr>
        <w:t>15958337178</w:t>
      </w:r>
    </w:p>
    <w:p>
      <w:pPr>
        <w:snapToGrid w:val="0"/>
        <w:spacing w:line="360" w:lineRule="auto"/>
        <w:rPr>
          <w:rFonts w:hint="eastAsia" w:cs="Arial" w:asciiTheme="minorEastAsia" w:hAnsiTheme="minorEastAsia" w:eastAsiaTheme="minorEastAsia"/>
          <w:b w:val="0"/>
          <w:bCs/>
          <w:color w:val="auto"/>
          <w:szCs w:val="21"/>
          <w:highlight w:val="none"/>
          <w:lang w:eastAsia="zh-CN"/>
        </w:rPr>
      </w:pPr>
      <w:r>
        <w:rPr>
          <w:rFonts w:hint="eastAsia" w:cs="Arial" w:asciiTheme="minorEastAsia" w:hAnsiTheme="minorEastAsia" w:eastAsiaTheme="minorEastAsia"/>
          <w:b w:val="0"/>
          <w:bCs/>
          <w:color w:val="auto"/>
          <w:szCs w:val="21"/>
          <w:highlight w:val="none"/>
        </w:rPr>
        <w:t>质疑联系人： </w:t>
      </w:r>
      <w:r>
        <w:rPr>
          <w:rFonts w:hint="eastAsia" w:cs="Arial" w:asciiTheme="minorEastAsia" w:hAnsiTheme="minorEastAsia" w:eastAsiaTheme="minorEastAsia"/>
          <w:b w:val="0"/>
          <w:bCs/>
          <w:color w:val="auto"/>
          <w:szCs w:val="21"/>
          <w:highlight w:val="none"/>
          <w:lang w:eastAsia="zh-CN"/>
        </w:rPr>
        <w:t>李先生</w:t>
      </w:r>
    </w:p>
    <w:p>
      <w:pPr>
        <w:snapToGrid w:val="0"/>
        <w:spacing w:line="360" w:lineRule="auto"/>
        <w:rPr>
          <w:rFonts w:hint="eastAsia" w:cs="Arial" w:asciiTheme="minorEastAsia" w:hAnsiTheme="minorEastAsia" w:eastAsiaTheme="minorEastAsia"/>
          <w:b w:val="0"/>
          <w:bCs/>
          <w:color w:val="auto"/>
          <w:szCs w:val="21"/>
          <w:highlight w:val="none"/>
        </w:rPr>
      </w:pPr>
      <w:r>
        <w:rPr>
          <w:rFonts w:hint="eastAsia" w:cs="Arial" w:asciiTheme="minorEastAsia" w:hAnsiTheme="minorEastAsia" w:eastAsiaTheme="minorEastAsia"/>
          <w:b w:val="0"/>
          <w:bCs/>
          <w:color w:val="auto"/>
          <w:szCs w:val="21"/>
          <w:highlight w:val="none"/>
        </w:rPr>
        <w:t>质疑联系方式：</w:t>
      </w:r>
      <w:r>
        <w:rPr>
          <w:rFonts w:hint="eastAsia" w:cs="Arial" w:asciiTheme="minorEastAsia" w:hAnsiTheme="minorEastAsia" w:eastAsiaTheme="minorEastAsia"/>
          <w:b w:val="0"/>
          <w:bCs/>
          <w:color w:val="auto"/>
          <w:szCs w:val="21"/>
          <w:highlight w:val="none"/>
          <w:lang w:val="en-US" w:eastAsia="zh-CN"/>
        </w:rPr>
        <w:t>18006615280</w:t>
      </w:r>
    </w:p>
    <w:p>
      <w:pPr>
        <w:snapToGrid w:val="0"/>
        <w:spacing w:line="360" w:lineRule="auto"/>
        <w:rPr>
          <w:rFonts w:hint="eastAsia" w:cs="Arial" w:asciiTheme="minorEastAsia" w:hAnsiTheme="minorEastAsia" w:eastAsiaTheme="minorEastAsia"/>
          <w:b w:val="0"/>
          <w:bCs/>
          <w:color w:val="auto"/>
          <w:szCs w:val="21"/>
          <w:highlight w:val="none"/>
        </w:rPr>
      </w:pPr>
      <w:r>
        <w:rPr>
          <w:rFonts w:hint="eastAsia" w:cs="Arial" w:asciiTheme="minorEastAsia" w:hAnsiTheme="minorEastAsia" w:eastAsiaTheme="minorEastAsia"/>
          <w:b w:val="0"/>
          <w:bCs/>
          <w:color w:val="auto"/>
          <w:szCs w:val="21"/>
          <w:highlight w:val="none"/>
        </w:rPr>
        <w:t>3、同级政府采购监督管理部门</w:t>
      </w:r>
    </w:p>
    <w:p>
      <w:pPr>
        <w:snapToGrid w:val="0"/>
        <w:spacing w:line="360" w:lineRule="auto"/>
        <w:rPr>
          <w:rFonts w:hint="eastAsia" w:cs="Arial" w:asciiTheme="minorEastAsia" w:hAnsiTheme="minorEastAsia" w:eastAsiaTheme="minorEastAsia"/>
          <w:b w:val="0"/>
          <w:bCs/>
          <w:color w:val="auto"/>
          <w:szCs w:val="21"/>
          <w:highlight w:val="none"/>
          <w:lang w:eastAsia="zh-CN"/>
        </w:rPr>
      </w:pPr>
      <w:r>
        <w:rPr>
          <w:rFonts w:hint="eastAsia" w:cs="Arial" w:asciiTheme="minorEastAsia" w:hAnsiTheme="minorEastAsia" w:eastAsiaTheme="minorEastAsia"/>
          <w:b w:val="0"/>
          <w:bCs/>
          <w:color w:val="auto"/>
          <w:szCs w:val="21"/>
          <w:highlight w:val="none"/>
        </w:rPr>
        <w:t xml:space="preserve">名    称： 嘉兴市财政局 </w:t>
      </w:r>
    </w:p>
    <w:p>
      <w:pPr>
        <w:snapToGrid w:val="0"/>
        <w:spacing w:line="360" w:lineRule="auto"/>
        <w:rPr>
          <w:rFonts w:cs="Arial" w:asciiTheme="minorEastAsia" w:hAnsiTheme="minorEastAsia" w:eastAsiaTheme="minorEastAsia"/>
          <w:b w:val="0"/>
          <w:bCs/>
          <w:color w:val="auto"/>
          <w:szCs w:val="21"/>
          <w:highlight w:val="none"/>
        </w:rPr>
      </w:pPr>
      <w:r>
        <w:rPr>
          <w:rFonts w:hint="eastAsia" w:cs="Arial" w:asciiTheme="minorEastAsia" w:hAnsiTheme="minorEastAsia" w:eastAsiaTheme="minorEastAsia"/>
          <w:b w:val="0"/>
          <w:bCs/>
          <w:color w:val="auto"/>
          <w:szCs w:val="21"/>
          <w:highlight w:val="none"/>
        </w:rPr>
        <w:t>联系人：姚先生   联系电话：0573-82031217</w:t>
      </w:r>
    </w:p>
    <w:p>
      <w:pPr>
        <w:snapToGrid w:val="0"/>
        <w:spacing w:line="360" w:lineRule="auto"/>
        <w:ind w:firstLine="630" w:firstLineChars="300"/>
        <w:rPr>
          <w:rFonts w:ascii="宋体" w:hAnsi="宋体"/>
          <w:color w:val="auto"/>
          <w:szCs w:val="21"/>
          <w:highlight w:val="none"/>
        </w:rPr>
      </w:pPr>
      <w:r>
        <w:rPr>
          <w:rFonts w:hint="eastAsia" w:ascii="宋体" w:hAnsi="宋体"/>
          <w:color w:val="auto"/>
          <w:szCs w:val="21"/>
          <w:highlight w:val="none"/>
        </w:rPr>
        <w:t>若对项目采购电子交易系统操作有疑问，可登录政采云（</w:t>
      </w:r>
      <w:r>
        <w:rPr>
          <w:rFonts w:ascii="宋体" w:hAnsi="宋体"/>
          <w:color w:val="auto"/>
          <w:szCs w:val="21"/>
          <w:highlight w:val="none"/>
        </w:rPr>
        <w:t>https://www.zcygov.cn/），点击右侧咨询小采，获取采小蜜智能服务管家帮助，或拨打政</w:t>
      </w:r>
      <w:r>
        <w:rPr>
          <w:rFonts w:hint="eastAsia" w:ascii="宋体" w:hAnsi="宋体"/>
          <w:color w:val="auto"/>
          <w:szCs w:val="21"/>
          <w:highlight w:val="none"/>
        </w:rPr>
        <w:t>采云服务热线</w:t>
      </w:r>
      <w:r>
        <w:rPr>
          <w:rFonts w:ascii="宋体" w:hAnsi="宋体"/>
          <w:color w:val="auto"/>
          <w:szCs w:val="21"/>
          <w:highlight w:val="none"/>
        </w:rPr>
        <w:t>400-881-7190获取热线服务帮助。</w:t>
      </w:r>
    </w:p>
    <w:p>
      <w:pPr>
        <w:snapToGrid w:val="0"/>
        <w:spacing w:line="360" w:lineRule="auto"/>
        <w:rPr>
          <w:rFonts w:ascii="宋体" w:hAnsi="宋体"/>
          <w:color w:val="auto"/>
          <w:szCs w:val="21"/>
          <w:highlight w:val="none"/>
        </w:rPr>
      </w:pPr>
      <w:r>
        <w:rPr>
          <w:rFonts w:ascii="宋体" w:hAnsi="宋体"/>
          <w:color w:val="auto"/>
          <w:szCs w:val="21"/>
          <w:highlight w:val="none"/>
        </w:rPr>
        <w:t>CA问题联系电话（人工）：</w:t>
      </w:r>
      <w:r>
        <w:rPr>
          <w:rFonts w:hint="eastAsia" w:ascii="宋体" w:hAnsi="宋体"/>
          <w:color w:val="auto"/>
          <w:szCs w:val="21"/>
          <w:highlight w:val="none"/>
        </w:rPr>
        <w:t>汇信</w:t>
      </w:r>
      <w:r>
        <w:rPr>
          <w:rFonts w:ascii="宋体" w:hAnsi="宋体"/>
          <w:color w:val="auto"/>
          <w:szCs w:val="21"/>
          <w:highlight w:val="none"/>
        </w:rPr>
        <w:t>CA 400-888-4636；天谷CA 400-087-8198。</w:t>
      </w:r>
    </w:p>
    <w:p>
      <w:pPr>
        <w:pStyle w:val="5"/>
        <w:rPr>
          <w:rFonts w:hint="eastAsia" w:ascii="宋体" w:hAnsi="宋体" w:eastAsia="宋体" w:cs="Times New Roman"/>
          <w:b w:val="0"/>
          <w:bCs w:val="0"/>
          <w:color w:val="auto"/>
          <w:kern w:val="2"/>
          <w:sz w:val="21"/>
          <w:szCs w:val="21"/>
          <w:highlight w:val="none"/>
          <w:lang w:val="en-US" w:eastAsia="zh-CN" w:bidi="ar-SA"/>
        </w:rPr>
      </w:pPr>
    </w:p>
    <w:p>
      <w:pPr>
        <w:snapToGrid w:val="0"/>
        <w:spacing w:line="360" w:lineRule="auto"/>
        <w:jc w:val="righ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　　　　　　</w:t>
      </w:r>
    </w:p>
    <w:p>
      <w:pPr>
        <w:snapToGrid w:val="0"/>
        <w:spacing w:line="360" w:lineRule="auto"/>
        <w:jc w:val="right"/>
        <w:rPr>
          <w:rFonts w:asciiTheme="minorEastAsia" w:hAnsiTheme="minorEastAsia" w:eastAsiaTheme="minorEastAsia"/>
          <w:color w:val="auto"/>
          <w:szCs w:val="21"/>
          <w:highlight w:val="none"/>
        </w:rPr>
      </w:pPr>
    </w:p>
    <w:p>
      <w:pPr>
        <w:widowControl/>
        <w:jc w:val="left"/>
        <w:rPr>
          <w:rFonts w:asciiTheme="minorEastAsia" w:hAnsiTheme="minorEastAsia" w:eastAsiaTheme="minorEastAsia"/>
          <w:b/>
          <w:color w:val="auto"/>
          <w:sz w:val="30"/>
          <w:szCs w:val="30"/>
          <w:highlight w:val="none"/>
        </w:rPr>
      </w:pPr>
      <w:r>
        <w:rPr>
          <w:rFonts w:asciiTheme="minorEastAsia" w:hAnsiTheme="minorEastAsia" w:eastAsiaTheme="minorEastAsia"/>
          <w:b/>
          <w:color w:val="auto"/>
          <w:sz w:val="30"/>
          <w:szCs w:val="30"/>
          <w:highlight w:val="none"/>
        </w:rPr>
        <w:br w:type="page"/>
      </w:r>
    </w:p>
    <w:p>
      <w:pPr>
        <w:numPr>
          <w:ilvl w:val="0"/>
          <w:numId w:val="6"/>
        </w:numPr>
        <w:snapToGrid w:val="0"/>
        <w:spacing w:beforeLines="50" w:afterLines="50" w:line="360" w:lineRule="auto"/>
        <w:ind w:left="238"/>
        <w:jc w:val="center"/>
        <w:outlineLvl w:val="0"/>
        <w:rPr>
          <w:rFonts w:hint="eastAsia" w:asciiTheme="minorEastAsia" w:hAnsiTheme="minorEastAsia" w:eastAsiaTheme="minorEastAsia"/>
          <w:b/>
          <w:color w:val="auto"/>
          <w:sz w:val="30"/>
          <w:szCs w:val="30"/>
          <w:highlight w:val="none"/>
        </w:rPr>
      </w:pPr>
      <w:r>
        <w:rPr>
          <w:rFonts w:hint="eastAsia" w:asciiTheme="minorEastAsia" w:hAnsiTheme="minorEastAsia" w:eastAsiaTheme="minorEastAsia"/>
          <w:b/>
          <w:color w:val="auto"/>
          <w:sz w:val="30"/>
          <w:szCs w:val="30"/>
          <w:highlight w:val="none"/>
        </w:rPr>
        <w:t xml:space="preserve"> </w:t>
      </w:r>
      <w:bookmarkStart w:id="1" w:name="_Toc19796"/>
      <w:r>
        <w:rPr>
          <w:rFonts w:hint="eastAsia" w:asciiTheme="minorEastAsia" w:hAnsiTheme="minorEastAsia" w:eastAsiaTheme="minorEastAsia"/>
          <w:b/>
          <w:color w:val="auto"/>
          <w:sz w:val="30"/>
          <w:szCs w:val="30"/>
          <w:highlight w:val="none"/>
        </w:rPr>
        <w:t>招标需求</w:t>
      </w:r>
      <w:bookmarkEnd w:id="1"/>
      <w:bookmarkStart w:id="2" w:name="_Toc406402986"/>
    </w:p>
    <w:p>
      <w:pPr>
        <w:pStyle w:val="48"/>
        <w:numPr>
          <w:ilvl w:val="0"/>
          <w:numId w:val="0"/>
        </w:numPr>
        <w:rPr>
          <w:rFonts w:hint="default" w:eastAsiaTheme="minorEastAsia"/>
          <w:color w:val="auto"/>
          <w:highlight w:val="none"/>
          <w:lang w:val="en-US" w:eastAsia="zh-CN"/>
        </w:rPr>
      </w:pPr>
      <w:r>
        <w:rPr>
          <w:rFonts w:hint="eastAsia"/>
          <w:color w:val="auto"/>
          <w:highlight w:val="none"/>
          <w:lang w:val="en-US" w:eastAsia="zh-CN"/>
        </w:rPr>
        <w:t>一、项目概况</w:t>
      </w:r>
    </w:p>
    <w:p>
      <w:pPr>
        <w:spacing w:line="360" w:lineRule="auto"/>
        <w:ind w:firstLine="420" w:firstLineChars="200"/>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2023年度南湖革命纪念馆及周边绿化养护项目（详见清单）。</w:t>
      </w:r>
    </w:p>
    <w:p>
      <w:pPr>
        <w:spacing w:line="360" w:lineRule="auto"/>
        <w:ind w:firstLine="420" w:firstLineChars="200"/>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注：报价时按全费用综合单价考虑（含保险（人员保险、财产保险等）税金、规费、管理费、安全文明费、利润等一切为完成本项目涉及的费用），具体数量按实际发生量结算。</w:t>
      </w:r>
    </w:p>
    <w:p>
      <w:pPr>
        <w:pStyle w:val="48"/>
        <w:rPr>
          <w:rFonts w:hint="eastAsia" w:hAnsi="宋体" w:cs="宋体"/>
          <w:color w:val="auto"/>
          <w:sz w:val="21"/>
          <w:szCs w:val="21"/>
          <w:highlight w:val="none"/>
          <w:lang w:val="en-US" w:eastAsia="zh-CN"/>
        </w:rPr>
      </w:pPr>
      <w:r>
        <w:rPr>
          <w:rFonts w:hint="eastAsia" w:hAnsi="宋体" w:cs="宋体"/>
          <w:color w:val="auto"/>
          <w:sz w:val="21"/>
          <w:szCs w:val="21"/>
          <w:highlight w:val="none"/>
          <w:lang w:val="en-US" w:eastAsia="zh-CN"/>
        </w:rPr>
        <w:t>结算时单价按投标时全费用单位计，不因任何因素变更。</w:t>
      </w:r>
    </w:p>
    <w:p>
      <w:pPr>
        <w:pStyle w:val="48"/>
        <w:numPr>
          <w:ilvl w:val="0"/>
          <w:numId w:val="0"/>
        </w:numPr>
        <w:ind w:left="388" w:leftChars="0"/>
        <w:rPr>
          <w:rFonts w:hint="eastAsia" w:ascii="宋体" w:hAnsi="宋体" w:eastAsia="宋体" w:cs="宋体"/>
          <w:b/>
          <w:color w:val="auto"/>
          <w:sz w:val="21"/>
          <w:szCs w:val="21"/>
          <w:highlight w:val="none"/>
        </w:rPr>
      </w:pPr>
      <w:r>
        <w:rPr>
          <w:rFonts w:hint="eastAsia" w:hAnsi="宋体" w:eastAsia="宋体" w:cs="宋体"/>
          <w:b/>
          <w:color w:val="auto"/>
          <w:sz w:val="21"/>
          <w:szCs w:val="21"/>
          <w:highlight w:val="none"/>
          <w:lang w:eastAsia="zh-CN"/>
        </w:rPr>
        <w:t>二、技术</w:t>
      </w:r>
      <w:r>
        <w:rPr>
          <w:rFonts w:hint="eastAsia" w:ascii="宋体" w:hAnsi="宋体" w:eastAsia="宋体" w:cs="宋体"/>
          <w:b/>
          <w:color w:val="auto"/>
          <w:sz w:val="21"/>
          <w:szCs w:val="21"/>
          <w:highlight w:val="none"/>
        </w:rPr>
        <w:t>条款</w:t>
      </w:r>
    </w:p>
    <w:p>
      <w:pPr>
        <w:pStyle w:val="29"/>
        <w:snapToGrid w:val="0"/>
        <w:spacing w:before="0" w:beforeLines="0" w:after="0" w:afterLines="0" w:line="500" w:lineRule="exact"/>
        <w:ind w:firstLine="420" w:firstLineChars="200"/>
        <w:outlineLvl w:val="0"/>
        <w:rPr>
          <w:rFonts w:hint="default" w:ascii="宋体" w:hAnsi="宋体" w:eastAsia="宋体" w:cs="宋体"/>
          <w:bCs/>
          <w:color w:val="auto"/>
          <w:sz w:val="21"/>
          <w:szCs w:val="21"/>
          <w:highlight w:val="none"/>
          <w:lang w:val="en-US" w:eastAsia="zh-CN"/>
        </w:rPr>
      </w:pPr>
      <w:bookmarkStart w:id="3" w:name="_Toc25899"/>
      <w:r>
        <w:rPr>
          <w:rFonts w:hint="eastAsia" w:hAnsi="宋体" w:cs="宋体"/>
          <w:bCs/>
          <w:color w:val="auto"/>
          <w:sz w:val="21"/>
          <w:szCs w:val="21"/>
          <w:highlight w:val="none"/>
          <w:lang w:val="en-US" w:eastAsia="zh-CN"/>
        </w:rPr>
        <w:t>1</w:t>
      </w:r>
      <w:r>
        <w:rPr>
          <w:rFonts w:hint="default" w:ascii="宋体" w:hAnsi="宋体" w:eastAsia="宋体" w:cs="宋体"/>
          <w:bCs/>
          <w:color w:val="auto"/>
          <w:sz w:val="21"/>
          <w:szCs w:val="21"/>
          <w:highlight w:val="none"/>
          <w:lang w:val="en-US" w:eastAsia="zh-CN"/>
        </w:rPr>
        <w:t>、</w:t>
      </w:r>
      <w:r>
        <w:rPr>
          <w:rFonts w:hint="eastAsia" w:hAnsi="宋体" w:cs="宋体"/>
          <w:bCs/>
          <w:color w:val="auto"/>
          <w:sz w:val="21"/>
          <w:szCs w:val="21"/>
          <w:highlight w:val="none"/>
          <w:lang w:val="en-US" w:eastAsia="zh-CN"/>
        </w:rPr>
        <w:t>养护服务清单</w:t>
      </w:r>
      <w:r>
        <w:rPr>
          <w:rFonts w:hint="default" w:ascii="宋体" w:hAnsi="宋体" w:eastAsia="宋体" w:cs="宋体"/>
          <w:bCs/>
          <w:color w:val="auto"/>
          <w:sz w:val="21"/>
          <w:szCs w:val="21"/>
          <w:highlight w:val="none"/>
          <w:lang w:val="en-US" w:eastAsia="zh-CN"/>
        </w:rPr>
        <w:t>中只描述了完成本分项</w:t>
      </w:r>
      <w:r>
        <w:rPr>
          <w:rFonts w:hint="eastAsia" w:hAnsi="宋体" w:cs="宋体"/>
          <w:bCs/>
          <w:color w:val="auto"/>
          <w:sz w:val="21"/>
          <w:szCs w:val="21"/>
          <w:highlight w:val="none"/>
          <w:lang w:val="en-US" w:eastAsia="zh-CN"/>
        </w:rPr>
        <w:t>养护服务</w:t>
      </w:r>
      <w:r>
        <w:rPr>
          <w:rFonts w:hint="default" w:ascii="宋体" w:hAnsi="宋体" w:eastAsia="宋体" w:cs="宋体"/>
          <w:bCs/>
          <w:color w:val="auto"/>
          <w:sz w:val="21"/>
          <w:szCs w:val="21"/>
          <w:highlight w:val="none"/>
          <w:lang w:val="en-US" w:eastAsia="zh-CN"/>
        </w:rPr>
        <w:t>应有的主要工作内容，但投标人填报的</w:t>
      </w:r>
      <w:r>
        <w:rPr>
          <w:rFonts w:hint="eastAsia" w:hAnsi="宋体" w:cs="宋体"/>
          <w:bCs/>
          <w:color w:val="auto"/>
          <w:sz w:val="21"/>
          <w:szCs w:val="21"/>
          <w:highlight w:val="none"/>
          <w:lang w:val="en-US" w:eastAsia="zh-CN"/>
        </w:rPr>
        <w:t>全费用</w:t>
      </w:r>
      <w:r>
        <w:rPr>
          <w:rFonts w:hint="default" w:ascii="宋体" w:hAnsi="宋体" w:eastAsia="宋体" w:cs="宋体"/>
          <w:bCs/>
          <w:color w:val="auto"/>
          <w:sz w:val="21"/>
          <w:szCs w:val="21"/>
          <w:highlight w:val="none"/>
          <w:lang w:val="en-US" w:eastAsia="zh-CN"/>
        </w:rPr>
        <w:t>综合单价应是包含了分项计量范围内的所有工作内容的价格，无论本分项</w:t>
      </w:r>
      <w:r>
        <w:rPr>
          <w:rFonts w:hint="eastAsia" w:hAnsi="宋体" w:cs="宋体"/>
          <w:bCs/>
          <w:color w:val="auto"/>
          <w:sz w:val="21"/>
          <w:szCs w:val="21"/>
          <w:highlight w:val="none"/>
          <w:lang w:val="en-US" w:eastAsia="zh-CN"/>
        </w:rPr>
        <w:t>养护服务</w:t>
      </w:r>
      <w:r>
        <w:rPr>
          <w:rFonts w:hint="default" w:ascii="宋体" w:hAnsi="宋体" w:eastAsia="宋体" w:cs="宋体"/>
          <w:bCs/>
          <w:color w:val="auto"/>
          <w:sz w:val="21"/>
          <w:szCs w:val="21"/>
          <w:highlight w:val="none"/>
          <w:lang w:val="en-US" w:eastAsia="zh-CN"/>
        </w:rPr>
        <w:t>有无明确列项或表示，只要是为完成该分项</w:t>
      </w:r>
      <w:r>
        <w:rPr>
          <w:rFonts w:hint="eastAsia" w:hAnsi="宋体" w:cs="宋体"/>
          <w:bCs/>
          <w:color w:val="auto"/>
          <w:sz w:val="21"/>
          <w:szCs w:val="21"/>
          <w:highlight w:val="none"/>
          <w:lang w:val="en-US" w:eastAsia="zh-CN"/>
        </w:rPr>
        <w:t>养护服务</w:t>
      </w:r>
      <w:r>
        <w:rPr>
          <w:rFonts w:hint="default" w:ascii="宋体" w:hAnsi="宋体" w:eastAsia="宋体" w:cs="宋体"/>
          <w:bCs/>
          <w:color w:val="auto"/>
          <w:sz w:val="21"/>
          <w:szCs w:val="21"/>
          <w:highlight w:val="none"/>
          <w:lang w:val="en-US" w:eastAsia="zh-CN"/>
        </w:rPr>
        <w:t>所需要做的工作和为了满足该分项</w:t>
      </w:r>
      <w:r>
        <w:rPr>
          <w:rFonts w:hint="eastAsia" w:hAnsi="宋体" w:cs="宋体"/>
          <w:bCs/>
          <w:color w:val="auto"/>
          <w:sz w:val="21"/>
          <w:szCs w:val="21"/>
          <w:highlight w:val="none"/>
          <w:lang w:val="en-US" w:eastAsia="zh-CN"/>
        </w:rPr>
        <w:t>养护服务</w:t>
      </w:r>
      <w:r>
        <w:rPr>
          <w:rFonts w:hint="default" w:ascii="宋体" w:hAnsi="宋体" w:eastAsia="宋体" w:cs="宋体"/>
          <w:bCs/>
          <w:color w:val="auto"/>
          <w:sz w:val="21"/>
          <w:szCs w:val="21"/>
          <w:highlight w:val="none"/>
          <w:lang w:val="en-US" w:eastAsia="zh-CN"/>
        </w:rPr>
        <w:t>的完整性所需要做的工作，均视为该分项</w:t>
      </w:r>
      <w:r>
        <w:rPr>
          <w:rFonts w:hint="eastAsia" w:hAnsi="宋体" w:cs="宋体"/>
          <w:bCs/>
          <w:color w:val="auto"/>
          <w:sz w:val="21"/>
          <w:szCs w:val="21"/>
          <w:highlight w:val="none"/>
          <w:lang w:val="en-US" w:eastAsia="zh-CN"/>
        </w:rPr>
        <w:t>养护服务</w:t>
      </w:r>
      <w:r>
        <w:rPr>
          <w:rFonts w:hint="default" w:ascii="宋体" w:hAnsi="宋体" w:eastAsia="宋体" w:cs="宋体"/>
          <w:bCs/>
          <w:color w:val="auto"/>
          <w:sz w:val="21"/>
          <w:szCs w:val="21"/>
          <w:highlight w:val="none"/>
          <w:lang w:val="en-US" w:eastAsia="zh-CN"/>
        </w:rPr>
        <w:t>所包含的内容。投标人在填写每一项的</w:t>
      </w:r>
      <w:r>
        <w:rPr>
          <w:rFonts w:hint="eastAsia" w:hAnsi="宋体" w:cs="宋体"/>
          <w:bCs/>
          <w:color w:val="auto"/>
          <w:sz w:val="21"/>
          <w:szCs w:val="21"/>
          <w:highlight w:val="none"/>
          <w:lang w:val="en-US" w:eastAsia="zh-CN"/>
        </w:rPr>
        <w:t>全费用</w:t>
      </w:r>
      <w:r>
        <w:rPr>
          <w:rFonts w:hint="default" w:ascii="宋体" w:hAnsi="宋体" w:eastAsia="宋体" w:cs="宋体"/>
          <w:bCs/>
          <w:color w:val="auto"/>
          <w:sz w:val="21"/>
          <w:szCs w:val="21"/>
          <w:highlight w:val="none"/>
          <w:lang w:val="en-US" w:eastAsia="zh-CN"/>
        </w:rPr>
        <w:t>综合单价和合价时应结合</w:t>
      </w:r>
      <w:r>
        <w:rPr>
          <w:rFonts w:hint="eastAsia" w:hAnsi="宋体" w:cs="宋体"/>
          <w:bCs/>
          <w:color w:val="auto"/>
          <w:sz w:val="21"/>
          <w:szCs w:val="21"/>
          <w:highlight w:val="none"/>
          <w:lang w:val="en-US" w:eastAsia="zh-CN"/>
        </w:rPr>
        <w:t>所有</w:t>
      </w:r>
      <w:r>
        <w:rPr>
          <w:rFonts w:hint="default" w:ascii="宋体" w:hAnsi="宋体" w:eastAsia="宋体" w:cs="宋体"/>
          <w:bCs/>
          <w:color w:val="auto"/>
          <w:sz w:val="21"/>
          <w:szCs w:val="21"/>
          <w:highlight w:val="none"/>
          <w:lang w:val="en-US" w:eastAsia="zh-CN"/>
        </w:rPr>
        <w:t>情况进行报价。</w:t>
      </w:r>
      <w:bookmarkEnd w:id="3"/>
    </w:p>
    <w:p>
      <w:pPr>
        <w:pStyle w:val="29"/>
        <w:snapToGrid w:val="0"/>
        <w:spacing w:before="0" w:beforeLines="0" w:after="0" w:afterLines="0" w:line="500" w:lineRule="exact"/>
        <w:ind w:firstLine="420" w:firstLineChars="200"/>
        <w:outlineLvl w:val="0"/>
        <w:rPr>
          <w:rFonts w:hint="default" w:ascii="宋体" w:hAnsi="宋体" w:eastAsia="宋体" w:cs="宋体"/>
          <w:bCs/>
          <w:color w:val="auto"/>
          <w:sz w:val="21"/>
          <w:szCs w:val="21"/>
          <w:highlight w:val="none"/>
          <w:lang w:val="en-US" w:eastAsia="zh-CN"/>
        </w:rPr>
      </w:pPr>
      <w:bookmarkStart w:id="4" w:name="_Toc797"/>
      <w:r>
        <w:rPr>
          <w:rFonts w:hint="eastAsia" w:hAnsi="宋体" w:cs="宋体"/>
          <w:bCs/>
          <w:color w:val="auto"/>
          <w:sz w:val="21"/>
          <w:szCs w:val="21"/>
          <w:highlight w:val="none"/>
          <w:lang w:val="en-US" w:eastAsia="zh-CN"/>
        </w:rPr>
        <w:t>2、</w:t>
      </w:r>
      <w:r>
        <w:rPr>
          <w:rFonts w:hint="default" w:ascii="宋体" w:hAnsi="宋体" w:eastAsia="宋体" w:cs="宋体"/>
          <w:bCs/>
          <w:color w:val="auto"/>
          <w:sz w:val="21"/>
          <w:szCs w:val="21"/>
          <w:highlight w:val="none"/>
          <w:lang w:val="en-US" w:eastAsia="zh-CN"/>
        </w:rPr>
        <w:t>投标人认为必须或可能发生的费用应全部考虑在报价中，未在报价中体现的视作已综合在单价中或已全部优惠。</w:t>
      </w:r>
      <w:bookmarkEnd w:id="4"/>
    </w:p>
    <w:p>
      <w:pPr>
        <w:pStyle w:val="29"/>
        <w:snapToGrid w:val="0"/>
        <w:spacing w:before="0" w:beforeLines="0" w:after="0" w:afterLines="0" w:line="500" w:lineRule="exact"/>
        <w:ind w:firstLine="420" w:firstLineChars="200"/>
        <w:outlineLvl w:val="0"/>
        <w:rPr>
          <w:rFonts w:hint="default" w:ascii="宋体" w:hAnsi="宋体" w:eastAsia="宋体" w:cs="宋体"/>
          <w:bCs/>
          <w:color w:val="auto"/>
          <w:sz w:val="21"/>
          <w:szCs w:val="21"/>
          <w:highlight w:val="none"/>
          <w:lang w:val="en-US" w:eastAsia="zh-CN"/>
        </w:rPr>
      </w:pPr>
      <w:bookmarkStart w:id="5" w:name="_Toc14036"/>
      <w:r>
        <w:rPr>
          <w:rFonts w:hint="eastAsia" w:hAnsi="宋体" w:cs="宋体"/>
          <w:bCs/>
          <w:color w:val="auto"/>
          <w:sz w:val="21"/>
          <w:szCs w:val="21"/>
          <w:highlight w:val="none"/>
          <w:lang w:val="en-US" w:eastAsia="zh-CN"/>
        </w:rPr>
        <w:t>3</w:t>
      </w:r>
      <w:r>
        <w:rPr>
          <w:rFonts w:hint="default" w:ascii="宋体" w:hAnsi="宋体" w:eastAsia="宋体" w:cs="宋体"/>
          <w:bCs/>
          <w:color w:val="auto"/>
          <w:sz w:val="21"/>
          <w:szCs w:val="21"/>
          <w:highlight w:val="none"/>
          <w:lang w:val="en-US" w:eastAsia="zh-CN"/>
        </w:rPr>
        <w:t>、投标人应按清单中列出的</w:t>
      </w:r>
      <w:r>
        <w:rPr>
          <w:rFonts w:hint="eastAsia" w:hAnsi="宋体" w:cs="宋体"/>
          <w:bCs/>
          <w:color w:val="auto"/>
          <w:sz w:val="21"/>
          <w:szCs w:val="21"/>
          <w:highlight w:val="none"/>
          <w:lang w:val="en-US" w:eastAsia="zh-CN"/>
        </w:rPr>
        <w:t>养护服务</w:t>
      </w:r>
      <w:r>
        <w:rPr>
          <w:rFonts w:hint="default" w:ascii="宋体" w:hAnsi="宋体" w:eastAsia="宋体" w:cs="宋体"/>
          <w:bCs/>
          <w:color w:val="auto"/>
          <w:sz w:val="21"/>
          <w:szCs w:val="21"/>
          <w:highlight w:val="none"/>
          <w:lang w:val="en-US" w:eastAsia="zh-CN"/>
        </w:rPr>
        <w:t>项目填报单价和合价。每一项目只允许有一个报价。任何有选择的报价不予接受，投标人未填单价或合价的</w:t>
      </w:r>
      <w:r>
        <w:rPr>
          <w:rFonts w:hint="eastAsia" w:hAnsi="宋体" w:cs="宋体"/>
          <w:bCs/>
          <w:color w:val="auto"/>
          <w:sz w:val="21"/>
          <w:szCs w:val="21"/>
          <w:highlight w:val="none"/>
          <w:lang w:val="en-US" w:eastAsia="zh-CN"/>
        </w:rPr>
        <w:t>养护服务</w:t>
      </w:r>
      <w:r>
        <w:rPr>
          <w:rFonts w:hint="default" w:ascii="宋体" w:hAnsi="宋体" w:eastAsia="宋体" w:cs="宋体"/>
          <w:bCs/>
          <w:color w:val="auto"/>
          <w:sz w:val="21"/>
          <w:szCs w:val="21"/>
          <w:highlight w:val="none"/>
          <w:lang w:val="en-US" w:eastAsia="zh-CN"/>
        </w:rPr>
        <w:t>，在实施后，招标人将不予支付，并视作该项费用已包括在其它有价款的单价或合价内。</w:t>
      </w:r>
      <w:bookmarkEnd w:id="5"/>
    </w:p>
    <w:p>
      <w:pPr>
        <w:pStyle w:val="29"/>
        <w:snapToGrid w:val="0"/>
        <w:spacing w:before="0" w:beforeLines="0" w:after="0" w:afterLines="0" w:line="500" w:lineRule="exact"/>
        <w:ind w:firstLine="420" w:firstLineChars="200"/>
        <w:outlineLvl w:val="0"/>
        <w:rPr>
          <w:rFonts w:hint="default" w:ascii="宋体" w:hAnsi="宋体" w:eastAsia="宋体" w:cs="宋体"/>
          <w:bCs/>
          <w:color w:val="auto"/>
          <w:sz w:val="21"/>
          <w:szCs w:val="21"/>
          <w:highlight w:val="none"/>
          <w:lang w:val="en-US" w:eastAsia="zh-CN"/>
        </w:rPr>
      </w:pPr>
      <w:bookmarkStart w:id="6" w:name="_Toc31035"/>
      <w:r>
        <w:rPr>
          <w:rFonts w:hint="eastAsia" w:hAnsi="宋体" w:cs="宋体"/>
          <w:bCs/>
          <w:color w:val="auto"/>
          <w:sz w:val="21"/>
          <w:szCs w:val="21"/>
          <w:highlight w:val="none"/>
          <w:lang w:val="en-US" w:eastAsia="zh-CN"/>
        </w:rPr>
        <w:t>4</w:t>
      </w:r>
      <w:r>
        <w:rPr>
          <w:rFonts w:hint="default" w:ascii="宋体" w:hAnsi="宋体" w:eastAsia="宋体" w:cs="宋体"/>
          <w:bCs/>
          <w:color w:val="auto"/>
          <w:sz w:val="21"/>
          <w:szCs w:val="21"/>
          <w:highlight w:val="none"/>
          <w:lang w:val="en-US" w:eastAsia="zh-CN"/>
        </w:rPr>
        <w:t>、本</w:t>
      </w:r>
      <w:r>
        <w:rPr>
          <w:rFonts w:hint="eastAsia" w:hAnsi="宋体" w:cs="宋体"/>
          <w:bCs/>
          <w:color w:val="auto"/>
          <w:sz w:val="21"/>
          <w:szCs w:val="21"/>
          <w:highlight w:val="none"/>
          <w:lang w:val="en-US" w:eastAsia="zh-CN"/>
        </w:rPr>
        <w:t>养护服务</w:t>
      </w:r>
      <w:r>
        <w:rPr>
          <w:rFonts w:hint="default" w:ascii="宋体" w:hAnsi="宋体" w:eastAsia="宋体" w:cs="宋体"/>
          <w:bCs/>
          <w:color w:val="auto"/>
          <w:sz w:val="21"/>
          <w:szCs w:val="21"/>
          <w:highlight w:val="none"/>
          <w:lang w:val="en-US" w:eastAsia="zh-CN"/>
        </w:rPr>
        <w:t>用水、用电由</w:t>
      </w:r>
      <w:r>
        <w:rPr>
          <w:rFonts w:hint="eastAsia" w:hAnsi="宋体" w:cs="宋体"/>
          <w:bCs/>
          <w:color w:val="auto"/>
          <w:sz w:val="21"/>
          <w:szCs w:val="21"/>
          <w:highlight w:val="none"/>
          <w:lang w:val="en-US" w:eastAsia="zh-CN"/>
        </w:rPr>
        <w:t>养护</w:t>
      </w:r>
      <w:r>
        <w:rPr>
          <w:rFonts w:hint="default" w:ascii="宋体" w:hAnsi="宋体" w:eastAsia="宋体" w:cs="宋体"/>
          <w:bCs/>
          <w:color w:val="auto"/>
          <w:sz w:val="21"/>
          <w:szCs w:val="21"/>
          <w:highlight w:val="none"/>
          <w:lang w:val="en-US" w:eastAsia="zh-CN"/>
        </w:rPr>
        <w:t>方自行解决，所需水、电、电讯线路、临时场地、临时设施搭设、临时道路由承包人完成，发包方做好配合及协调工作，所发生的一切费用由</w:t>
      </w:r>
      <w:r>
        <w:rPr>
          <w:rFonts w:hint="eastAsia" w:hAnsi="宋体" w:cs="宋体"/>
          <w:bCs/>
          <w:color w:val="auto"/>
          <w:sz w:val="21"/>
          <w:szCs w:val="21"/>
          <w:highlight w:val="none"/>
          <w:lang w:val="en-US" w:eastAsia="zh-CN"/>
        </w:rPr>
        <w:t>养护</w:t>
      </w:r>
      <w:r>
        <w:rPr>
          <w:rFonts w:hint="default" w:ascii="宋体" w:hAnsi="宋体" w:eastAsia="宋体" w:cs="宋体"/>
          <w:bCs/>
          <w:color w:val="auto"/>
          <w:sz w:val="21"/>
          <w:szCs w:val="21"/>
          <w:highlight w:val="none"/>
          <w:lang w:val="en-US" w:eastAsia="zh-CN"/>
        </w:rPr>
        <w:t>方自行考虑按市场价计入投标报价中。养护服务期用水、用电涨价风险因素一并考虑计入报价。</w:t>
      </w:r>
      <w:bookmarkEnd w:id="6"/>
    </w:p>
    <w:p>
      <w:pPr>
        <w:pStyle w:val="29"/>
        <w:snapToGrid w:val="0"/>
        <w:spacing w:before="0" w:beforeLines="0" w:after="0" w:afterLines="0" w:line="500" w:lineRule="exact"/>
        <w:ind w:firstLine="420" w:firstLineChars="200"/>
        <w:outlineLvl w:val="0"/>
        <w:rPr>
          <w:rFonts w:hint="default" w:ascii="宋体" w:hAnsi="宋体" w:eastAsia="宋体" w:cs="宋体"/>
          <w:bCs/>
          <w:color w:val="auto"/>
          <w:sz w:val="21"/>
          <w:szCs w:val="21"/>
          <w:highlight w:val="none"/>
          <w:lang w:val="en-US" w:eastAsia="zh-CN"/>
        </w:rPr>
      </w:pPr>
      <w:bookmarkStart w:id="7" w:name="_Toc18129"/>
      <w:r>
        <w:rPr>
          <w:rFonts w:hint="eastAsia" w:hAnsi="宋体" w:cs="宋体"/>
          <w:bCs/>
          <w:color w:val="auto"/>
          <w:sz w:val="21"/>
          <w:szCs w:val="21"/>
          <w:highlight w:val="none"/>
          <w:lang w:val="en-US" w:eastAsia="zh-CN"/>
        </w:rPr>
        <w:t>5</w:t>
      </w:r>
      <w:r>
        <w:rPr>
          <w:rFonts w:hint="default" w:ascii="宋体" w:hAnsi="宋体" w:eastAsia="宋体" w:cs="宋体"/>
          <w:bCs/>
          <w:color w:val="auto"/>
          <w:sz w:val="21"/>
          <w:szCs w:val="21"/>
          <w:highlight w:val="none"/>
          <w:lang w:val="en-US" w:eastAsia="zh-CN"/>
        </w:rPr>
        <w:t>、投标人在填报价格及费用时应充分考虑国家现行技术标准、规范等要求</w:t>
      </w:r>
      <w:r>
        <w:rPr>
          <w:rFonts w:hint="eastAsia" w:hAnsi="宋体" w:cs="宋体"/>
          <w:bCs/>
          <w:color w:val="auto"/>
          <w:sz w:val="21"/>
          <w:szCs w:val="21"/>
          <w:highlight w:val="none"/>
          <w:lang w:val="en-US" w:eastAsia="zh-CN"/>
        </w:rPr>
        <w:t>并同时满足业主方要求</w:t>
      </w:r>
      <w:r>
        <w:rPr>
          <w:rFonts w:hint="default" w:ascii="宋体" w:hAnsi="宋体" w:eastAsia="宋体" w:cs="宋体"/>
          <w:bCs/>
          <w:color w:val="auto"/>
          <w:sz w:val="21"/>
          <w:szCs w:val="21"/>
          <w:highlight w:val="none"/>
          <w:lang w:val="en-US" w:eastAsia="zh-CN"/>
        </w:rPr>
        <w:t>，工程质量检测（包括所有原材料、成品、半成品进场复试）等按</w:t>
      </w:r>
      <w:r>
        <w:rPr>
          <w:rFonts w:hint="eastAsia" w:hAnsi="宋体" w:cs="宋体"/>
          <w:bCs/>
          <w:color w:val="auto"/>
          <w:sz w:val="21"/>
          <w:szCs w:val="21"/>
          <w:highlight w:val="none"/>
          <w:lang w:val="en-US" w:eastAsia="zh-CN"/>
        </w:rPr>
        <w:t>发包人</w:t>
      </w:r>
      <w:r>
        <w:rPr>
          <w:rFonts w:hint="default" w:ascii="宋体" w:hAnsi="宋体" w:eastAsia="宋体" w:cs="宋体"/>
          <w:bCs/>
          <w:color w:val="auto"/>
          <w:sz w:val="21"/>
          <w:szCs w:val="21"/>
          <w:highlight w:val="none"/>
          <w:lang w:val="en-US" w:eastAsia="zh-CN"/>
        </w:rPr>
        <w:t>、验收规范要求送检，所需一切费用计入投标报价内。</w:t>
      </w:r>
      <w:bookmarkEnd w:id="7"/>
    </w:p>
    <w:p>
      <w:pPr>
        <w:pStyle w:val="29"/>
        <w:snapToGrid w:val="0"/>
        <w:spacing w:before="0" w:beforeLines="0" w:after="0" w:afterLines="0" w:line="500" w:lineRule="exact"/>
        <w:ind w:firstLine="420" w:firstLineChars="200"/>
        <w:outlineLvl w:val="0"/>
        <w:rPr>
          <w:rFonts w:hint="default" w:ascii="宋体" w:hAnsi="宋体" w:eastAsia="宋体" w:cs="宋体"/>
          <w:bCs/>
          <w:color w:val="auto"/>
          <w:sz w:val="21"/>
          <w:szCs w:val="21"/>
          <w:highlight w:val="none"/>
          <w:lang w:val="en-US" w:eastAsia="zh-CN"/>
        </w:rPr>
      </w:pPr>
      <w:bookmarkStart w:id="8" w:name="_Toc22367"/>
      <w:r>
        <w:rPr>
          <w:rFonts w:hint="eastAsia" w:hAnsi="宋体" w:cs="宋体"/>
          <w:bCs/>
          <w:color w:val="auto"/>
          <w:sz w:val="21"/>
          <w:szCs w:val="21"/>
          <w:highlight w:val="none"/>
          <w:lang w:val="en-US" w:eastAsia="zh-CN"/>
        </w:rPr>
        <w:t>6</w:t>
      </w:r>
      <w:r>
        <w:rPr>
          <w:rFonts w:hint="default" w:ascii="宋体" w:hAnsi="宋体" w:eastAsia="宋体" w:cs="宋体"/>
          <w:bCs/>
          <w:color w:val="auto"/>
          <w:sz w:val="21"/>
          <w:szCs w:val="21"/>
          <w:highlight w:val="none"/>
          <w:lang w:val="en-US" w:eastAsia="zh-CN"/>
        </w:rPr>
        <w:t>、养护单位必须确保养护区域内</w:t>
      </w:r>
      <w:r>
        <w:rPr>
          <w:rFonts w:hint="eastAsia" w:hAnsi="宋体" w:cs="宋体"/>
          <w:bCs/>
          <w:color w:val="auto"/>
          <w:sz w:val="21"/>
          <w:szCs w:val="21"/>
          <w:highlight w:val="none"/>
          <w:lang w:val="en-US" w:eastAsia="zh-CN"/>
        </w:rPr>
        <w:t>保洁工作，</w:t>
      </w:r>
      <w:r>
        <w:rPr>
          <w:rFonts w:hint="default" w:ascii="宋体" w:hAnsi="宋体" w:eastAsia="宋体" w:cs="宋体"/>
          <w:bCs/>
          <w:color w:val="auto"/>
          <w:sz w:val="21"/>
          <w:szCs w:val="21"/>
          <w:highlight w:val="none"/>
          <w:lang w:val="en-US" w:eastAsia="zh-CN"/>
        </w:rPr>
        <w:t>路面、</w:t>
      </w:r>
      <w:r>
        <w:rPr>
          <w:rFonts w:hint="eastAsia" w:hAnsi="宋体" w:cs="宋体"/>
          <w:bCs/>
          <w:color w:val="auto"/>
          <w:sz w:val="21"/>
          <w:szCs w:val="21"/>
          <w:highlight w:val="none"/>
          <w:lang w:val="en-US" w:eastAsia="zh-CN"/>
        </w:rPr>
        <w:t>绿地、</w:t>
      </w:r>
      <w:r>
        <w:rPr>
          <w:rFonts w:hint="default" w:ascii="宋体" w:hAnsi="宋体" w:eastAsia="宋体" w:cs="宋体"/>
          <w:bCs/>
          <w:color w:val="auto"/>
          <w:sz w:val="21"/>
          <w:szCs w:val="21"/>
          <w:highlight w:val="none"/>
          <w:lang w:val="en-US" w:eastAsia="zh-CN"/>
        </w:rPr>
        <w:t>行道树穴清洁、干净，做到无果皮纸屑、</w:t>
      </w:r>
      <w:r>
        <w:rPr>
          <w:rFonts w:hint="eastAsia" w:hAnsi="宋体" w:cs="宋体"/>
          <w:bCs/>
          <w:color w:val="auto"/>
          <w:sz w:val="21"/>
          <w:szCs w:val="21"/>
          <w:highlight w:val="none"/>
          <w:lang w:val="en-US" w:eastAsia="zh-CN"/>
        </w:rPr>
        <w:t>无枯枝落叶、</w:t>
      </w:r>
      <w:r>
        <w:rPr>
          <w:rFonts w:hint="default" w:ascii="宋体" w:hAnsi="宋体" w:eastAsia="宋体" w:cs="宋体"/>
          <w:bCs/>
          <w:color w:val="auto"/>
          <w:sz w:val="21"/>
          <w:szCs w:val="21"/>
          <w:highlight w:val="none"/>
          <w:lang w:val="en-US" w:eastAsia="zh-CN"/>
        </w:rPr>
        <w:t>无积水积泥、无堆积杂物；对于养护期内所有苗木绿化缺损、坏死均由养护单位负责及时补种；养护区域公园、绿地内大乔木养护按照业主方要求每年至少修剪1次；行道树按要求修剪，并做到不遮挡指示牌和路灯等；养护范围内小乔及花灌木养护按照业主方养护要求</w:t>
      </w:r>
      <w:r>
        <w:rPr>
          <w:rFonts w:hint="eastAsia" w:hAnsi="宋体" w:cs="宋体"/>
          <w:bCs/>
          <w:color w:val="auto"/>
          <w:sz w:val="21"/>
          <w:szCs w:val="21"/>
          <w:highlight w:val="none"/>
          <w:lang w:val="en-US" w:eastAsia="zh-CN"/>
        </w:rPr>
        <w:t>定时</w:t>
      </w:r>
      <w:r>
        <w:rPr>
          <w:rFonts w:hint="default" w:ascii="宋体" w:hAnsi="宋体" w:eastAsia="宋体" w:cs="宋体"/>
          <w:bCs/>
          <w:color w:val="auto"/>
          <w:sz w:val="21"/>
          <w:szCs w:val="21"/>
          <w:highlight w:val="none"/>
          <w:lang w:val="en-US" w:eastAsia="zh-CN"/>
        </w:rPr>
        <w:t>修剪</w:t>
      </w:r>
      <w:r>
        <w:rPr>
          <w:rFonts w:hint="eastAsia" w:hAnsi="宋体" w:cs="宋体"/>
          <w:bCs/>
          <w:color w:val="auto"/>
          <w:sz w:val="21"/>
          <w:szCs w:val="21"/>
          <w:highlight w:val="none"/>
          <w:lang w:val="en-US" w:eastAsia="zh-CN"/>
        </w:rPr>
        <w:t>，保持修剪平整度一致</w:t>
      </w:r>
      <w:r>
        <w:rPr>
          <w:rFonts w:hint="default" w:ascii="宋体" w:hAnsi="宋体" w:eastAsia="宋体" w:cs="宋体"/>
          <w:bCs/>
          <w:color w:val="auto"/>
          <w:sz w:val="21"/>
          <w:szCs w:val="21"/>
          <w:highlight w:val="none"/>
          <w:lang w:val="en-US" w:eastAsia="zh-CN"/>
        </w:rPr>
        <w:t>；养护区域内若出现违章搭建及无证占绿、乱种植等现象，养护单位必须当场予以制止，并清理干净、恢复原样，相关一切工作均由养护单位负责处理。投标单位须将以上涉及的一切费用等综合考虑，并计入报价。</w:t>
      </w:r>
      <w:bookmarkEnd w:id="8"/>
    </w:p>
    <w:p>
      <w:pPr>
        <w:pStyle w:val="29"/>
        <w:snapToGrid w:val="0"/>
        <w:spacing w:before="0" w:beforeLines="0" w:after="0" w:afterLines="0" w:line="500" w:lineRule="exact"/>
        <w:ind w:firstLine="420" w:firstLineChars="200"/>
        <w:outlineLvl w:val="0"/>
        <w:rPr>
          <w:rFonts w:hint="default" w:ascii="宋体" w:hAnsi="宋体" w:eastAsia="宋体" w:cs="宋体"/>
          <w:bCs/>
          <w:color w:val="auto"/>
          <w:sz w:val="21"/>
          <w:szCs w:val="21"/>
          <w:highlight w:val="none"/>
          <w:lang w:val="en-US" w:eastAsia="zh-CN"/>
        </w:rPr>
      </w:pPr>
      <w:bookmarkStart w:id="9" w:name="_Toc21171"/>
      <w:r>
        <w:rPr>
          <w:rFonts w:hint="eastAsia" w:hAnsi="宋体" w:cs="宋体"/>
          <w:bCs/>
          <w:color w:val="auto"/>
          <w:sz w:val="21"/>
          <w:szCs w:val="21"/>
          <w:highlight w:val="none"/>
          <w:lang w:val="en-US" w:eastAsia="zh-CN"/>
        </w:rPr>
        <w:t>7</w:t>
      </w:r>
      <w:r>
        <w:rPr>
          <w:rFonts w:hint="default" w:ascii="宋体" w:hAnsi="宋体" w:eastAsia="宋体" w:cs="宋体"/>
          <w:bCs/>
          <w:color w:val="auto"/>
          <w:sz w:val="21"/>
          <w:szCs w:val="21"/>
          <w:highlight w:val="none"/>
          <w:lang w:val="en-US" w:eastAsia="zh-CN"/>
        </w:rPr>
        <w:t>、若养护服务过程中遇到与其他项目需交叉</w:t>
      </w:r>
      <w:r>
        <w:rPr>
          <w:rFonts w:hint="eastAsia" w:hAnsi="宋体" w:cs="宋体"/>
          <w:bCs/>
          <w:color w:val="auto"/>
          <w:sz w:val="21"/>
          <w:szCs w:val="21"/>
          <w:highlight w:val="none"/>
          <w:lang w:val="en-US" w:eastAsia="zh-CN"/>
        </w:rPr>
        <w:t>实施</w:t>
      </w:r>
      <w:r>
        <w:rPr>
          <w:rFonts w:hint="default" w:ascii="宋体" w:hAnsi="宋体" w:eastAsia="宋体" w:cs="宋体"/>
          <w:bCs/>
          <w:color w:val="auto"/>
          <w:sz w:val="21"/>
          <w:szCs w:val="21"/>
          <w:highlight w:val="none"/>
          <w:lang w:val="en-US" w:eastAsia="zh-CN"/>
        </w:rPr>
        <w:t>的，由承包人自行协调处理，投标报价时综合考虑该因素。</w:t>
      </w:r>
      <w:bookmarkEnd w:id="9"/>
    </w:p>
    <w:p>
      <w:pPr>
        <w:pStyle w:val="29"/>
        <w:snapToGrid w:val="0"/>
        <w:spacing w:before="0" w:beforeLines="0" w:after="0" w:afterLines="0" w:line="500" w:lineRule="exact"/>
        <w:ind w:firstLine="420" w:firstLineChars="200"/>
        <w:outlineLvl w:val="0"/>
        <w:rPr>
          <w:rFonts w:hint="default" w:ascii="宋体" w:hAnsi="宋体" w:eastAsia="宋体" w:cs="宋体"/>
          <w:bCs/>
          <w:color w:val="auto"/>
          <w:sz w:val="21"/>
          <w:szCs w:val="21"/>
          <w:highlight w:val="none"/>
          <w:lang w:val="en-US" w:eastAsia="zh-CN"/>
        </w:rPr>
      </w:pPr>
      <w:bookmarkStart w:id="10" w:name="_Toc20211"/>
      <w:r>
        <w:rPr>
          <w:rFonts w:hint="eastAsia" w:hAnsi="宋体" w:cs="宋体"/>
          <w:bCs/>
          <w:color w:val="auto"/>
          <w:sz w:val="21"/>
          <w:szCs w:val="21"/>
          <w:highlight w:val="none"/>
          <w:lang w:val="en-US" w:eastAsia="zh-CN"/>
        </w:rPr>
        <w:t>8</w:t>
      </w:r>
      <w:r>
        <w:rPr>
          <w:rFonts w:hint="default" w:ascii="宋体" w:hAnsi="宋体" w:eastAsia="宋体" w:cs="宋体"/>
          <w:bCs/>
          <w:color w:val="auto"/>
          <w:sz w:val="21"/>
          <w:szCs w:val="21"/>
          <w:highlight w:val="none"/>
          <w:lang w:val="en-US" w:eastAsia="zh-CN"/>
        </w:rPr>
        <w:t>、凡养护服务过程中涉及需要坐标点、水准点定位的，投标单位须在投标报价中综合考虑。</w:t>
      </w:r>
      <w:bookmarkEnd w:id="10"/>
    </w:p>
    <w:p>
      <w:pPr>
        <w:pStyle w:val="29"/>
        <w:snapToGrid w:val="0"/>
        <w:spacing w:before="0" w:beforeLines="0" w:after="0" w:afterLines="0" w:line="500" w:lineRule="exact"/>
        <w:ind w:firstLine="420" w:firstLineChars="200"/>
        <w:outlineLvl w:val="0"/>
        <w:rPr>
          <w:rFonts w:hint="default" w:ascii="宋体" w:hAnsi="宋体" w:eastAsia="宋体" w:cs="宋体"/>
          <w:bCs/>
          <w:color w:val="auto"/>
          <w:sz w:val="21"/>
          <w:szCs w:val="21"/>
          <w:highlight w:val="none"/>
          <w:lang w:val="en-US" w:eastAsia="zh-CN"/>
        </w:rPr>
      </w:pPr>
      <w:bookmarkStart w:id="11" w:name="_Toc28650"/>
      <w:r>
        <w:rPr>
          <w:rFonts w:hint="eastAsia" w:hAnsi="宋体" w:cs="宋体"/>
          <w:bCs/>
          <w:color w:val="auto"/>
          <w:sz w:val="21"/>
          <w:szCs w:val="21"/>
          <w:highlight w:val="none"/>
          <w:lang w:val="en-US" w:eastAsia="zh-CN"/>
        </w:rPr>
        <w:t>9</w:t>
      </w:r>
      <w:r>
        <w:rPr>
          <w:rFonts w:hint="default" w:ascii="宋体" w:hAnsi="宋体" w:eastAsia="宋体" w:cs="宋体"/>
          <w:bCs/>
          <w:color w:val="auto"/>
          <w:sz w:val="21"/>
          <w:szCs w:val="21"/>
          <w:highlight w:val="none"/>
          <w:lang w:val="en-US" w:eastAsia="zh-CN"/>
        </w:rPr>
        <w:t>、养护工作必须精细，养护期内所有苗木绿化缺损，坏死均由中标方负责及时补种，涉及的一切费用已包含在投标报价中。</w:t>
      </w:r>
      <w:bookmarkEnd w:id="11"/>
    </w:p>
    <w:p>
      <w:pPr>
        <w:pStyle w:val="29"/>
        <w:snapToGrid w:val="0"/>
        <w:spacing w:before="0" w:beforeLines="0" w:after="0" w:afterLines="0" w:line="500" w:lineRule="exact"/>
        <w:ind w:firstLine="420" w:firstLineChars="200"/>
        <w:outlineLvl w:val="0"/>
        <w:rPr>
          <w:rFonts w:hint="default" w:ascii="宋体" w:hAnsi="宋体" w:eastAsia="宋体" w:cs="宋体"/>
          <w:bCs/>
          <w:color w:val="auto"/>
          <w:sz w:val="21"/>
          <w:szCs w:val="21"/>
          <w:highlight w:val="none"/>
          <w:lang w:val="en-US" w:eastAsia="zh-CN"/>
        </w:rPr>
      </w:pPr>
      <w:bookmarkStart w:id="12" w:name="_Toc27278"/>
      <w:r>
        <w:rPr>
          <w:rFonts w:hint="default" w:ascii="宋体" w:hAnsi="宋体" w:eastAsia="宋体" w:cs="宋体"/>
          <w:bCs/>
          <w:color w:val="auto"/>
          <w:sz w:val="21"/>
          <w:szCs w:val="21"/>
          <w:highlight w:val="none"/>
          <w:lang w:val="en-US" w:eastAsia="zh-CN"/>
        </w:rPr>
        <w:t>1</w:t>
      </w:r>
      <w:r>
        <w:rPr>
          <w:rFonts w:hint="eastAsia" w:hAnsi="宋体" w:cs="宋体"/>
          <w:bCs/>
          <w:color w:val="auto"/>
          <w:sz w:val="21"/>
          <w:szCs w:val="21"/>
          <w:highlight w:val="none"/>
          <w:lang w:val="en-US" w:eastAsia="zh-CN"/>
        </w:rPr>
        <w:t>0</w:t>
      </w:r>
      <w:r>
        <w:rPr>
          <w:rFonts w:hint="default" w:ascii="宋体" w:hAnsi="宋体" w:eastAsia="宋体" w:cs="宋体"/>
          <w:bCs/>
          <w:color w:val="auto"/>
          <w:sz w:val="21"/>
          <w:szCs w:val="21"/>
          <w:highlight w:val="none"/>
          <w:lang w:val="en-US" w:eastAsia="zh-CN"/>
        </w:rPr>
        <w:t>、</w:t>
      </w:r>
      <w:r>
        <w:rPr>
          <w:rFonts w:hint="eastAsia" w:hAnsi="宋体" w:cs="宋体"/>
          <w:bCs/>
          <w:color w:val="auto"/>
          <w:sz w:val="21"/>
          <w:szCs w:val="21"/>
          <w:highlight w:val="none"/>
          <w:lang w:val="en-US" w:eastAsia="zh-CN"/>
        </w:rPr>
        <w:t>按省、市现行规范养护标准（包括但不限于以下内容）</w:t>
      </w:r>
      <w:r>
        <w:rPr>
          <w:rFonts w:hint="default" w:ascii="宋体" w:hAnsi="宋体" w:eastAsia="宋体" w:cs="宋体"/>
          <w:bCs/>
          <w:color w:val="auto"/>
          <w:sz w:val="21"/>
          <w:szCs w:val="21"/>
          <w:highlight w:val="none"/>
          <w:lang w:val="en-US" w:eastAsia="zh-CN"/>
        </w:rPr>
        <w:t>所有苗木及花草在保活养护期内：①保证苗木、花草成活率100%，无病株、无死株；②发现病株、死株及时按原标准更换；③绿化区域内无明显杂草，发现杂草及时清除；④做好树木防台、防旱、防寒、防虫、防雪、除雪等工作；⑤保持绿化草坪的纯度，及时修剪并长期保持合理的高度</w:t>
      </w:r>
      <w:r>
        <w:rPr>
          <w:rFonts w:hint="eastAsia" w:hAnsi="宋体" w:cs="宋体"/>
          <w:bCs/>
          <w:color w:val="auto"/>
          <w:sz w:val="21"/>
          <w:szCs w:val="21"/>
          <w:highlight w:val="none"/>
          <w:lang w:val="en-US" w:eastAsia="zh-CN"/>
        </w:rPr>
        <w:t>；⑥对养护区域内的柳絮和杨絮进行治理（按嘉兴市园林市政管理服务中心《关于对杨柳树飘絮开展治理工作的函》执行</w:t>
      </w:r>
      <w:r>
        <w:rPr>
          <w:rFonts w:hint="default" w:ascii="宋体" w:hAnsi="宋体" w:eastAsia="宋体" w:cs="宋体"/>
          <w:bCs/>
          <w:color w:val="auto"/>
          <w:sz w:val="21"/>
          <w:szCs w:val="21"/>
          <w:highlight w:val="none"/>
          <w:lang w:val="en-US" w:eastAsia="zh-CN"/>
        </w:rPr>
        <w:t>。</w:t>
      </w:r>
      <w:bookmarkEnd w:id="12"/>
    </w:p>
    <w:p>
      <w:pPr>
        <w:pStyle w:val="29"/>
        <w:snapToGrid w:val="0"/>
        <w:spacing w:before="0" w:beforeLines="0" w:after="0" w:afterLines="0" w:line="500" w:lineRule="exact"/>
        <w:ind w:firstLine="420" w:firstLineChars="200"/>
        <w:outlineLvl w:val="0"/>
        <w:rPr>
          <w:rFonts w:hint="default" w:ascii="宋体" w:hAnsi="宋体" w:eastAsia="宋体" w:cs="宋体"/>
          <w:bCs/>
          <w:color w:val="auto"/>
          <w:sz w:val="21"/>
          <w:szCs w:val="21"/>
          <w:highlight w:val="none"/>
          <w:lang w:val="en-US" w:eastAsia="zh-CN"/>
        </w:rPr>
      </w:pPr>
      <w:bookmarkStart w:id="13" w:name="_Toc17915"/>
      <w:r>
        <w:rPr>
          <w:rFonts w:hint="default" w:ascii="宋体" w:hAnsi="宋体" w:eastAsia="宋体" w:cs="宋体"/>
          <w:bCs/>
          <w:color w:val="auto"/>
          <w:sz w:val="21"/>
          <w:szCs w:val="21"/>
          <w:highlight w:val="none"/>
          <w:lang w:val="en-US" w:eastAsia="zh-CN"/>
        </w:rPr>
        <w:t>1</w:t>
      </w:r>
      <w:r>
        <w:rPr>
          <w:rFonts w:hint="eastAsia" w:hAnsi="宋体" w:cs="宋体"/>
          <w:bCs/>
          <w:color w:val="auto"/>
          <w:sz w:val="21"/>
          <w:szCs w:val="21"/>
          <w:highlight w:val="none"/>
          <w:lang w:val="en-US" w:eastAsia="zh-CN"/>
        </w:rPr>
        <w:t>1</w:t>
      </w:r>
      <w:r>
        <w:rPr>
          <w:rFonts w:hint="default" w:ascii="宋体" w:hAnsi="宋体" w:eastAsia="宋体" w:cs="宋体"/>
          <w:bCs/>
          <w:color w:val="auto"/>
          <w:sz w:val="21"/>
          <w:szCs w:val="21"/>
          <w:highlight w:val="none"/>
          <w:lang w:val="en-US" w:eastAsia="zh-CN"/>
        </w:rPr>
        <w:t>、养护服务期间，应确保</w:t>
      </w:r>
      <w:r>
        <w:rPr>
          <w:rFonts w:hint="eastAsia" w:hAnsi="宋体" w:cs="宋体"/>
          <w:bCs/>
          <w:color w:val="auto"/>
          <w:sz w:val="21"/>
          <w:szCs w:val="21"/>
          <w:highlight w:val="none"/>
          <w:lang w:val="en-US" w:eastAsia="zh-CN"/>
        </w:rPr>
        <w:t>养护服务</w:t>
      </w:r>
      <w:r>
        <w:rPr>
          <w:rFonts w:hint="default" w:ascii="宋体" w:hAnsi="宋体" w:eastAsia="宋体" w:cs="宋体"/>
          <w:bCs/>
          <w:color w:val="auto"/>
          <w:sz w:val="21"/>
          <w:szCs w:val="21"/>
          <w:highlight w:val="none"/>
          <w:lang w:val="en-US" w:eastAsia="zh-CN"/>
        </w:rPr>
        <w:t>人员和通行人员的安全，道路养护服务范围要求作安全隔离处理，现场养护服务作业人员要求穿带反光安全工作服，设置必要的道路通行疏导指挥人员、必要的通行导示、导向牌等，安排专人清理道路上的抛洒物，费用包含在投标报价内。</w:t>
      </w:r>
      <w:bookmarkEnd w:id="13"/>
    </w:p>
    <w:p>
      <w:pPr>
        <w:pStyle w:val="29"/>
        <w:snapToGrid w:val="0"/>
        <w:spacing w:before="0" w:beforeLines="0" w:after="0" w:afterLines="0" w:line="500" w:lineRule="exact"/>
        <w:ind w:firstLine="420" w:firstLineChars="200"/>
        <w:outlineLvl w:val="0"/>
        <w:rPr>
          <w:rFonts w:hint="default" w:ascii="宋体" w:hAnsi="宋体" w:eastAsia="宋体" w:cs="宋体"/>
          <w:bCs/>
          <w:color w:val="auto"/>
          <w:sz w:val="21"/>
          <w:szCs w:val="21"/>
          <w:highlight w:val="none"/>
          <w:lang w:val="en-US" w:eastAsia="zh-CN"/>
        </w:rPr>
      </w:pPr>
      <w:bookmarkStart w:id="14" w:name="_Toc29477"/>
      <w:r>
        <w:rPr>
          <w:rFonts w:hint="default" w:ascii="宋体" w:hAnsi="宋体" w:eastAsia="宋体" w:cs="宋体"/>
          <w:bCs/>
          <w:color w:val="auto"/>
          <w:sz w:val="21"/>
          <w:szCs w:val="21"/>
          <w:highlight w:val="none"/>
          <w:lang w:val="en-US" w:eastAsia="zh-CN"/>
        </w:rPr>
        <w:t>1</w:t>
      </w:r>
      <w:r>
        <w:rPr>
          <w:rFonts w:hint="eastAsia" w:hAnsi="宋体" w:cs="宋体"/>
          <w:bCs/>
          <w:color w:val="auto"/>
          <w:sz w:val="21"/>
          <w:szCs w:val="21"/>
          <w:highlight w:val="none"/>
          <w:lang w:val="en-US" w:eastAsia="zh-CN"/>
        </w:rPr>
        <w:t>2</w:t>
      </w:r>
      <w:r>
        <w:rPr>
          <w:rFonts w:hint="default" w:ascii="宋体" w:hAnsi="宋体" w:eastAsia="宋体" w:cs="宋体"/>
          <w:bCs/>
          <w:color w:val="auto"/>
          <w:sz w:val="21"/>
          <w:szCs w:val="21"/>
          <w:highlight w:val="none"/>
          <w:lang w:val="en-US" w:eastAsia="zh-CN"/>
        </w:rPr>
        <w:t>、本养护服务所有材料、设备、配件均由承包人采购，其质量必须符合</w:t>
      </w:r>
      <w:r>
        <w:rPr>
          <w:rFonts w:hint="eastAsia" w:hAnsi="宋体" w:cs="宋体"/>
          <w:bCs/>
          <w:color w:val="auto"/>
          <w:sz w:val="21"/>
          <w:szCs w:val="21"/>
          <w:highlight w:val="none"/>
          <w:lang w:val="en-US" w:eastAsia="zh-CN"/>
        </w:rPr>
        <w:t>发包人和验收</w:t>
      </w:r>
      <w:r>
        <w:rPr>
          <w:rFonts w:hint="default" w:ascii="宋体" w:hAnsi="宋体" w:eastAsia="宋体" w:cs="宋体"/>
          <w:bCs/>
          <w:color w:val="auto"/>
          <w:sz w:val="21"/>
          <w:szCs w:val="21"/>
          <w:highlight w:val="none"/>
          <w:lang w:val="en-US" w:eastAsia="zh-CN"/>
        </w:rPr>
        <w:t>规范要求，进场前必须报发包人审批，未经批准的材料不得进场</w:t>
      </w:r>
      <w:r>
        <w:rPr>
          <w:rFonts w:hint="eastAsia" w:hAnsi="宋体" w:cs="宋体"/>
          <w:bCs/>
          <w:color w:val="auto"/>
          <w:sz w:val="21"/>
          <w:szCs w:val="21"/>
          <w:highlight w:val="none"/>
          <w:lang w:val="en-US" w:eastAsia="zh-CN"/>
        </w:rPr>
        <w:t>实施</w:t>
      </w:r>
      <w:r>
        <w:rPr>
          <w:rFonts w:hint="default" w:ascii="宋体" w:hAnsi="宋体" w:eastAsia="宋体" w:cs="宋体"/>
          <w:bCs/>
          <w:color w:val="auto"/>
          <w:sz w:val="21"/>
          <w:szCs w:val="21"/>
          <w:highlight w:val="none"/>
          <w:lang w:val="en-US" w:eastAsia="zh-CN"/>
        </w:rPr>
        <w:t>，否则一切损失由承包人负责。</w:t>
      </w:r>
      <w:bookmarkEnd w:id="14"/>
    </w:p>
    <w:p>
      <w:pPr>
        <w:pStyle w:val="29"/>
        <w:snapToGrid w:val="0"/>
        <w:spacing w:before="0" w:beforeLines="0" w:after="0" w:afterLines="0" w:line="500" w:lineRule="exact"/>
        <w:ind w:firstLine="420" w:firstLineChars="200"/>
        <w:outlineLvl w:val="0"/>
        <w:rPr>
          <w:rFonts w:hint="default" w:ascii="宋体" w:hAnsi="宋体" w:eastAsia="宋体" w:cs="宋体"/>
          <w:bCs/>
          <w:color w:val="auto"/>
          <w:sz w:val="21"/>
          <w:szCs w:val="21"/>
          <w:highlight w:val="none"/>
          <w:lang w:val="en-US" w:eastAsia="zh-CN"/>
        </w:rPr>
      </w:pPr>
      <w:bookmarkStart w:id="15" w:name="_Toc14890"/>
      <w:r>
        <w:rPr>
          <w:rFonts w:hint="default" w:ascii="宋体" w:hAnsi="宋体" w:eastAsia="宋体" w:cs="宋体"/>
          <w:bCs/>
          <w:color w:val="auto"/>
          <w:sz w:val="21"/>
          <w:szCs w:val="21"/>
          <w:highlight w:val="none"/>
          <w:lang w:val="en-US" w:eastAsia="zh-CN"/>
        </w:rPr>
        <w:t>1</w:t>
      </w:r>
      <w:r>
        <w:rPr>
          <w:rFonts w:hint="eastAsia" w:hAnsi="宋体" w:cs="宋体"/>
          <w:bCs/>
          <w:color w:val="auto"/>
          <w:sz w:val="21"/>
          <w:szCs w:val="21"/>
          <w:highlight w:val="none"/>
          <w:lang w:val="en-US" w:eastAsia="zh-CN"/>
        </w:rPr>
        <w:t>3</w:t>
      </w:r>
      <w:r>
        <w:rPr>
          <w:rFonts w:hint="default" w:ascii="宋体" w:hAnsi="宋体" w:eastAsia="宋体" w:cs="宋体"/>
          <w:bCs/>
          <w:color w:val="auto"/>
          <w:sz w:val="21"/>
          <w:szCs w:val="21"/>
          <w:highlight w:val="none"/>
          <w:lang w:val="en-US" w:eastAsia="zh-CN"/>
        </w:rPr>
        <w:t>、</w:t>
      </w:r>
      <w:r>
        <w:rPr>
          <w:rFonts w:hint="eastAsia" w:hAnsi="宋体" w:cs="宋体"/>
          <w:bCs/>
          <w:color w:val="auto"/>
          <w:sz w:val="21"/>
          <w:szCs w:val="21"/>
          <w:highlight w:val="none"/>
          <w:lang w:val="en-US" w:eastAsia="zh-CN"/>
        </w:rPr>
        <w:t>养护</w:t>
      </w:r>
      <w:r>
        <w:rPr>
          <w:rFonts w:hint="default" w:ascii="宋体" w:hAnsi="宋体" w:eastAsia="宋体" w:cs="宋体"/>
          <w:bCs/>
          <w:color w:val="auto"/>
          <w:sz w:val="21"/>
          <w:szCs w:val="21"/>
          <w:highlight w:val="none"/>
          <w:lang w:val="en-US" w:eastAsia="zh-CN"/>
        </w:rPr>
        <w:t>范围内的道路、绿化修复、移植复原、除草、场地平整、部分区块垃圾清运出场及土方造坡整理所发生的费用由承包方承担，所需费用计入报价内。承包方</w:t>
      </w:r>
      <w:r>
        <w:rPr>
          <w:rFonts w:hint="eastAsia" w:hAnsi="宋体" w:cs="宋体"/>
          <w:bCs/>
          <w:color w:val="auto"/>
          <w:sz w:val="21"/>
          <w:szCs w:val="21"/>
          <w:highlight w:val="none"/>
          <w:lang w:val="en-US" w:eastAsia="zh-CN"/>
        </w:rPr>
        <w:t>养护</w:t>
      </w:r>
      <w:r>
        <w:rPr>
          <w:rFonts w:hint="default" w:ascii="宋体" w:hAnsi="宋体" w:eastAsia="宋体" w:cs="宋体"/>
          <w:bCs/>
          <w:color w:val="auto"/>
          <w:sz w:val="21"/>
          <w:szCs w:val="21"/>
          <w:highlight w:val="none"/>
          <w:lang w:val="en-US" w:eastAsia="zh-CN"/>
        </w:rPr>
        <w:t>中应做好绿地周边与已建道路、绿道内园建设施的保护，因</w:t>
      </w:r>
      <w:r>
        <w:rPr>
          <w:rFonts w:hint="eastAsia" w:hAnsi="宋体" w:cs="宋体"/>
          <w:bCs/>
          <w:color w:val="auto"/>
          <w:sz w:val="21"/>
          <w:szCs w:val="21"/>
          <w:highlight w:val="none"/>
          <w:lang w:val="en-US" w:eastAsia="zh-CN"/>
        </w:rPr>
        <w:t>养护</w:t>
      </w:r>
      <w:r>
        <w:rPr>
          <w:rFonts w:hint="default" w:ascii="宋体" w:hAnsi="宋体" w:eastAsia="宋体" w:cs="宋体"/>
          <w:bCs/>
          <w:color w:val="auto"/>
          <w:sz w:val="21"/>
          <w:szCs w:val="21"/>
          <w:highlight w:val="none"/>
          <w:lang w:val="en-US" w:eastAsia="zh-CN"/>
        </w:rPr>
        <w:t>造成损坏的，均要求无条件原样恢复。</w:t>
      </w:r>
      <w:bookmarkEnd w:id="15"/>
    </w:p>
    <w:p>
      <w:pPr>
        <w:pStyle w:val="29"/>
        <w:snapToGrid w:val="0"/>
        <w:spacing w:before="0" w:beforeLines="0" w:after="0" w:afterLines="0" w:line="500" w:lineRule="exact"/>
        <w:ind w:firstLine="420" w:firstLineChars="200"/>
        <w:outlineLvl w:val="0"/>
        <w:rPr>
          <w:rFonts w:hint="default" w:ascii="宋体" w:hAnsi="宋体" w:eastAsia="宋体" w:cs="宋体"/>
          <w:bCs/>
          <w:color w:val="auto"/>
          <w:sz w:val="21"/>
          <w:szCs w:val="21"/>
          <w:highlight w:val="none"/>
          <w:lang w:val="en-US" w:eastAsia="zh-CN"/>
        </w:rPr>
      </w:pPr>
      <w:bookmarkStart w:id="16" w:name="_Toc14204"/>
      <w:r>
        <w:rPr>
          <w:rFonts w:hint="default" w:ascii="宋体" w:hAnsi="宋体" w:eastAsia="宋体" w:cs="宋体"/>
          <w:bCs/>
          <w:color w:val="auto"/>
          <w:sz w:val="21"/>
          <w:szCs w:val="21"/>
          <w:highlight w:val="none"/>
          <w:lang w:val="en-US" w:eastAsia="zh-CN"/>
        </w:rPr>
        <w:t>1</w:t>
      </w:r>
      <w:r>
        <w:rPr>
          <w:rFonts w:hint="eastAsia" w:hAnsi="宋体" w:cs="宋体"/>
          <w:bCs/>
          <w:color w:val="auto"/>
          <w:sz w:val="21"/>
          <w:szCs w:val="21"/>
          <w:highlight w:val="none"/>
          <w:lang w:val="en-US" w:eastAsia="zh-CN"/>
        </w:rPr>
        <w:t>4</w:t>
      </w:r>
      <w:r>
        <w:rPr>
          <w:rFonts w:hint="default" w:ascii="宋体" w:hAnsi="宋体" w:eastAsia="宋体" w:cs="宋体"/>
          <w:bCs/>
          <w:color w:val="auto"/>
          <w:sz w:val="21"/>
          <w:szCs w:val="21"/>
          <w:highlight w:val="none"/>
          <w:lang w:val="en-US" w:eastAsia="zh-CN"/>
        </w:rPr>
        <w:t>、养护范围内的生长良好的暖季型草坪入冬尚未枯黄前，追播寿命短的冷季型草种子，使冷、暖两类植物的绿色期在同一块草坪地块内先后衔接，基本实现草坪的周年常绿。</w:t>
      </w:r>
      <w:bookmarkEnd w:id="16"/>
    </w:p>
    <w:p>
      <w:pPr>
        <w:pStyle w:val="29"/>
        <w:snapToGrid w:val="0"/>
        <w:spacing w:before="0" w:beforeLines="0" w:after="0" w:afterLines="0" w:line="500" w:lineRule="exact"/>
        <w:ind w:firstLine="420" w:firstLineChars="200"/>
        <w:outlineLvl w:val="0"/>
        <w:rPr>
          <w:rFonts w:hint="default" w:ascii="宋体" w:hAnsi="宋体" w:eastAsia="宋体" w:cs="宋体"/>
          <w:bCs/>
          <w:color w:val="auto"/>
          <w:sz w:val="21"/>
          <w:szCs w:val="21"/>
          <w:highlight w:val="none"/>
          <w:lang w:val="en-US" w:eastAsia="zh-CN"/>
        </w:rPr>
      </w:pPr>
      <w:bookmarkStart w:id="17" w:name="_Toc11159"/>
      <w:r>
        <w:rPr>
          <w:rFonts w:hint="default" w:ascii="宋体" w:hAnsi="宋体" w:eastAsia="宋体" w:cs="宋体"/>
          <w:bCs/>
          <w:color w:val="auto"/>
          <w:sz w:val="21"/>
          <w:szCs w:val="21"/>
          <w:highlight w:val="none"/>
          <w:lang w:val="en-US" w:eastAsia="zh-CN"/>
        </w:rPr>
        <w:t>1</w:t>
      </w:r>
      <w:r>
        <w:rPr>
          <w:rFonts w:hint="eastAsia" w:hAnsi="宋体" w:cs="宋体"/>
          <w:bCs/>
          <w:color w:val="auto"/>
          <w:sz w:val="21"/>
          <w:szCs w:val="21"/>
          <w:highlight w:val="none"/>
          <w:lang w:val="en-US" w:eastAsia="zh-CN"/>
        </w:rPr>
        <w:t>5</w:t>
      </w:r>
      <w:r>
        <w:rPr>
          <w:rFonts w:hint="default" w:ascii="宋体" w:hAnsi="宋体" w:eastAsia="宋体" w:cs="宋体"/>
          <w:bCs/>
          <w:color w:val="auto"/>
          <w:sz w:val="21"/>
          <w:szCs w:val="21"/>
          <w:highlight w:val="none"/>
          <w:lang w:val="en-US" w:eastAsia="zh-CN"/>
        </w:rPr>
        <w:t>、投标人应充分考虑养护服务进出场、大型机械进出场的费用和安全防护费用，包括市政、市容、环保、交通、治安等，计入</w:t>
      </w:r>
      <w:r>
        <w:rPr>
          <w:rFonts w:hint="eastAsia" w:hAnsi="宋体" w:cs="宋体"/>
          <w:bCs/>
          <w:color w:val="auto"/>
          <w:sz w:val="21"/>
          <w:szCs w:val="21"/>
          <w:highlight w:val="none"/>
          <w:lang w:val="en-US" w:eastAsia="zh-CN"/>
        </w:rPr>
        <w:t>投标</w:t>
      </w:r>
      <w:r>
        <w:rPr>
          <w:rFonts w:hint="default" w:ascii="宋体" w:hAnsi="宋体" w:eastAsia="宋体" w:cs="宋体"/>
          <w:bCs/>
          <w:color w:val="auto"/>
          <w:sz w:val="21"/>
          <w:szCs w:val="21"/>
          <w:highlight w:val="none"/>
          <w:lang w:val="en-US" w:eastAsia="zh-CN"/>
        </w:rPr>
        <w:t>费用中，今后一概不作调整。</w:t>
      </w:r>
      <w:bookmarkEnd w:id="17"/>
    </w:p>
    <w:p>
      <w:pPr>
        <w:pStyle w:val="29"/>
        <w:snapToGrid w:val="0"/>
        <w:spacing w:before="0" w:beforeLines="0" w:after="0" w:afterLines="0" w:line="500" w:lineRule="exact"/>
        <w:ind w:firstLine="420" w:firstLineChars="200"/>
        <w:outlineLvl w:val="0"/>
        <w:rPr>
          <w:rFonts w:hint="default" w:ascii="宋体" w:hAnsi="宋体" w:eastAsia="宋体" w:cs="宋体"/>
          <w:bCs/>
          <w:color w:val="auto"/>
          <w:sz w:val="21"/>
          <w:szCs w:val="21"/>
          <w:highlight w:val="none"/>
          <w:lang w:val="en-US" w:eastAsia="zh-CN"/>
        </w:rPr>
      </w:pPr>
      <w:bookmarkStart w:id="18" w:name="_Toc396891429"/>
      <w:bookmarkStart w:id="19" w:name="_Toc8575"/>
      <w:r>
        <w:rPr>
          <w:rFonts w:hint="default" w:ascii="宋体" w:hAnsi="宋体" w:eastAsia="宋体" w:cs="宋体"/>
          <w:bCs/>
          <w:color w:val="auto"/>
          <w:sz w:val="21"/>
          <w:szCs w:val="21"/>
          <w:highlight w:val="none"/>
          <w:lang w:val="en-US" w:eastAsia="zh-CN"/>
        </w:rPr>
        <w:t>1</w:t>
      </w:r>
      <w:r>
        <w:rPr>
          <w:rFonts w:hint="eastAsia" w:hAnsi="宋体" w:cs="宋体"/>
          <w:bCs/>
          <w:color w:val="auto"/>
          <w:sz w:val="21"/>
          <w:szCs w:val="21"/>
          <w:highlight w:val="none"/>
          <w:lang w:val="en-US" w:eastAsia="zh-CN"/>
        </w:rPr>
        <w:t>6</w:t>
      </w:r>
      <w:r>
        <w:rPr>
          <w:rFonts w:hint="default" w:ascii="宋体" w:hAnsi="宋体" w:eastAsia="宋体" w:cs="宋体"/>
          <w:bCs/>
          <w:color w:val="auto"/>
          <w:sz w:val="21"/>
          <w:szCs w:val="21"/>
          <w:highlight w:val="none"/>
          <w:lang w:val="en-US" w:eastAsia="zh-CN"/>
        </w:rPr>
        <w:t>、</w:t>
      </w:r>
      <w:bookmarkEnd w:id="18"/>
      <w:r>
        <w:rPr>
          <w:rFonts w:hint="default" w:ascii="宋体" w:hAnsi="宋体" w:eastAsia="宋体" w:cs="宋体"/>
          <w:bCs/>
          <w:color w:val="auto"/>
          <w:sz w:val="21"/>
          <w:szCs w:val="21"/>
          <w:highlight w:val="none"/>
          <w:lang w:val="en-US" w:eastAsia="zh-CN"/>
        </w:rPr>
        <w:t>招标范围内的道路、绿化带等全覆盖区域，按时按点做好清洁、保洁巡查等工作。</w:t>
      </w:r>
      <w:bookmarkEnd w:id="19"/>
    </w:p>
    <w:p>
      <w:pPr>
        <w:pStyle w:val="29"/>
        <w:snapToGrid w:val="0"/>
        <w:spacing w:before="0" w:beforeLines="0" w:after="0" w:afterLines="0" w:line="500" w:lineRule="exact"/>
        <w:ind w:firstLine="420" w:firstLineChars="200"/>
        <w:outlineLvl w:val="0"/>
        <w:rPr>
          <w:rFonts w:hint="default" w:ascii="宋体" w:hAnsi="宋体" w:eastAsia="宋体" w:cs="宋体"/>
          <w:bCs/>
          <w:color w:val="auto"/>
          <w:sz w:val="21"/>
          <w:szCs w:val="21"/>
          <w:highlight w:val="none"/>
          <w:lang w:val="en-US" w:eastAsia="zh-CN"/>
        </w:rPr>
      </w:pPr>
      <w:bookmarkStart w:id="20" w:name="_Toc17872"/>
      <w:r>
        <w:rPr>
          <w:rFonts w:hint="default" w:ascii="宋体" w:hAnsi="宋体" w:eastAsia="宋体" w:cs="宋体"/>
          <w:bCs/>
          <w:color w:val="auto"/>
          <w:sz w:val="21"/>
          <w:szCs w:val="21"/>
          <w:highlight w:val="none"/>
          <w:lang w:val="en-US" w:eastAsia="zh-CN"/>
        </w:rPr>
        <w:t>1</w:t>
      </w:r>
      <w:r>
        <w:rPr>
          <w:rFonts w:hint="eastAsia" w:hAnsi="宋体" w:cs="宋体"/>
          <w:bCs/>
          <w:color w:val="auto"/>
          <w:sz w:val="21"/>
          <w:szCs w:val="21"/>
          <w:highlight w:val="none"/>
          <w:lang w:val="en-US" w:eastAsia="zh-CN"/>
        </w:rPr>
        <w:t>7</w:t>
      </w:r>
      <w:r>
        <w:rPr>
          <w:rFonts w:hint="default" w:ascii="宋体" w:hAnsi="宋体" w:eastAsia="宋体" w:cs="宋体"/>
          <w:bCs/>
          <w:color w:val="auto"/>
          <w:sz w:val="21"/>
          <w:szCs w:val="21"/>
          <w:highlight w:val="none"/>
          <w:lang w:val="en-US" w:eastAsia="zh-CN"/>
        </w:rPr>
        <w:t>、</w:t>
      </w:r>
      <w:r>
        <w:rPr>
          <w:rFonts w:hint="eastAsia" w:hAnsi="宋体" w:cs="宋体"/>
          <w:bCs/>
          <w:color w:val="auto"/>
          <w:sz w:val="21"/>
          <w:szCs w:val="21"/>
          <w:highlight w:val="none"/>
          <w:lang w:val="en-US" w:eastAsia="zh-CN"/>
        </w:rPr>
        <w:t>养护实施</w:t>
      </w:r>
      <w:r>
        <w:rPr>
          <w:rFonts w:hint="default" w:ascii="宋体" w:hAnsi="宋体" w:eastAsia="宋体" w:cs="宋体"/>
          <w:bCs/>
          <w:color w:val="auto"/>
          <w:sz w:val="21"/>
          <w:szCs w:val="21"/>
          <w:highlight w:val="none"/>
          <w:lang w:val="en-US" w:eastAsia="zh-CN"/>
        </w:rPr>
        <w:t>期间引起的扰民（包括：行车、噪音、污染、损坏居民物品等影响民众生活的因素）由此产生的费用由各单位在投标报价时综合考虑后计入报价内。</w:t>
      </w:r>
      <w:bookmarkEnd w:id="20"/>
    </w:p>
    <w:p>
      <w:pPr>
        <w:pStyle w:val="29"/>
        <w:snapToGrid w:val="0"/>
        <w:spacing w:before="0" w:beforeLines="0" w:after="0" w:afterLines="0" w:line="500" w:lineRule="exact"/>
        <w:ind w:firstLine="420" w:firstLineChars="200"/>
        <w:outlineLvl w:val="0"/>
        <w:rPr>
          <w:rFonts w:hint="default" w:ascii="宋体" w:hAnsi="宋体" w:eastAsia="宋体" w:cs="宋体"/>
          <w:bCs/>
          <w:color w:val="auto"/>
          <w:sz w:val="21"/>
          <w:szCs w:val="21"/>
          <w:highlight w:val="none"/>
          <w:lang w:val="en-US" w:eastAsia="zh-CN"/>
        </w:rPr>
      </w:pPr>
      <w:bookmarkStart w:id="21" w:name="_Toc4271"/>
      <w:r>
        <w:rPr>
          <w:rFonts w:hint="eastAsia" w:hAnsi="宋体" w:cs="宋体"/>
          <w:bCs/>
          <w:color w:val="auto"/>
          <w:sz w:val="21"/>
          <w:szCs w:val="21"/>
          <w:highlight w:val="none"/>
          <w:lang w:val="en-US" w:eastAsia="zh-CN"/>
        </w:rPr>
        <w:t>18</w:t>
      </w:r>
      <w:r>
        <w:rPr>
          <w:rFonts w:hint="default" w:ascii="宋体" w:hAnsi="宋体" w:eastAsia="宋体" w:cs="宋体"/>
          <w:bCs/>
          <w:color w:val="auto"/>
          <w:sz w:val="21"/>
          <w:szCs w:val="21"/>
          <w:highlight w:val="none"/>
          <w:lang w:val="en-US" w:eastAsia="zh-CN"/>
        </w:rPr>
        <w:t>、承包人在</w:t>
      </w:r>
      <w:r>
        <w:rPr>
          <w:rFonts w:hint="eastAsia" w:hAnsi="宋体" w:cs="宋体"/>
          <w:bCs/>
          <w:color w:val="auto"/>
          <w:sz w:val="21"/>
          <w:szCs w:val="21"/>
          <w:highlight w:val="none"/>
          <w:lang w:val="en-US" w:eastAsia="zh-CN"/>
        </w:rPr>
        <w:t>养护实施</w:t>
      </w:r>
      <w:r>
        <w:rPr>
          <w:rFonts w:hint="default" w:ascii="宋体" w:hAnsi="宋体" w:eastAsia="宋体" w:cs="宋体"/>
          <w:bCs/>
          <w:color w:val="auto"/>
          <w:sz w:val="21"/>
          <w:szCs w:val="21"/>
          <w:highlight w:val="none"/>
          <w:lang w:val="en-US" w:eastAsia="zh-CN"/>
        </w:rPr>
        <w:t>中应注意对</w:t>
      </w:r>
      <w:r>
        <w:rPr>
          <w:rFonts w:hint="eastAsia" w:hAnsi="宋体" w:cs="宋体"/>
          <w:bCs/>
          <w:color w:val="auto"/>
          <w:sz w:val="21"/>
          <w:szCs w:val="21"/>
          <w:highlight w:val="none"/>
          <w:lang w:val="en-US" w:eastAsia="zh-CN"/>
        </w:rPr>
        <w:t>养护实施</w:t>
      </w:r>
      <w:r>
        <w:rPr>
          <w:rFonts w:hint="default" w:ascii="宋体" w:hAnsi="宋体" w:eastAsia="宋体" w:cs="宋体"/>
          <w:bCs/>
          <w:color w:val="auto"/>
          <w:sz w:val="21"/>
          <w:szCs w:val="21"/>
          <w:highlight w:val="none"/>
          <w:lang w:val="en-US" w:eastAsia="zh-CN"/>
        </w:rPr>
        <w:t>区域内原有设施及各类公用管线、井盖的保护保护，今后因承包人</w:t>
      </w:r>
      <w:r>
        <w:rPr>
          <w:rFonts w:hint="eastAsia" w:hAnsi="宋体" w:cs="宋体"/>
          <w:bCs/>
          <w:color w:val="auto"/>
          <w:sz w:val="21"/>
          <w:szCs w:val="21"/>
          <w:highlight w:val="none"/>
          <w:lang w:val="en-US" w:eastAsia="zh-CN"/>
        </w:rPr>
        <w:t>养护</w:t>
      </w:r>
      <w:r>
        <w:rPr>
          <w:rFonts w:hint="default" w:ascii="宋体" w:hAnsi="宋体" w:eastAsia="宋体" w:cs="宋体"/>
          <w:bCs/>
          <w:color w:val="auto"/>
          <w:sz w:val="21"/>
          <w:szCs w:val="21"/>
          <w:highlight w:val="none"/>
          <w:lang w:val="en-US" w:eastAsia="zh-CN"/>
        </w:rPr>
        <w:t>原因造成损坏的，承包人应及时修复并承担一切费用；如不及时修复的，招标人将请专业单位进行修复,费用从承包人</w:t>
      </w:r>
      <w:r>
        <w:rPr>
          <w:rFonts w:hint="eastAsia" w:hAnsi="宋体" w:cs="宋体"/>
          <w:bCs/>
          <w:color w:val="auto"/>
          <w:sz w:val="21"/>
          <w:szCs w:val="21"/>
          <w:highlight w:val="none"/>
          <w:lang w:val="en-US" w:eastAsia="zh-CN"/>
        </w:rPr>
        <w:t>合同</w:t>
      </w:r>
      <w:r>
        <w:rPr>
          <w:rFonts w:hint="default" w:ascii="宋体" w:hAnsi="宋体" w:eastAsia="宋体" w:cs="宋体"/>
          <w:bCs/>
          <w:color w:val="auto"/>
          <w:sz w:val="21"/>
          <w:szCs w:val="21"/>
          <w:highlight w:val="none"/>
          <w:lang w:val="en-US" w:eastAsia="zh-CN"/>
        </w:rPr>
        <w:t>款中直接扣除。</w:t>
      </w:r>
      <w:bookmarkEnd w:id="21"/>
    </w:p>
    <w:p>
      <w:pPr>
        <w:pStyle w:val="29"/>
        <w:snapToGrid w:val="0"/>
        <w:spacing w:before="0" w:beforeLines="0" w:after="0" w:afterLines="0" w:line="500" w:lineRule="exact"/>
        <w:ind w:firstLine="420" w:firstLineChars="200"/>
        <w:outlineLvl w:val="0"/>
        <w:rPr>
          <w:rFonts w:hint="default" w:ascii="宋体" w:hAnsi="宋体" w:eastAsia="宋体" w:cs="宋体"/>
          <w:bCs/>
          <w:color w:val="auto"/>
          <w:sz w:val="21"/>
          <w:szCs w:val="21"/>
          <w:highlight w:val="none"/>
          <w:lang w:val="en-US" w:eastAsia="zh-CN"/>
        </w:rPr>
      </w:pPr>
      <w:bookmarkStart w:id="22" w:name="_Toc27339"/>
      <w:r>
        <w:rPr>
          <w:rFonts w:hint="eastAsia" w:hAnsi="宋体" w:cs="宋体"/>
          <w:bCs/>
          <w:color w:val="auto"/>
          <w:sz w:val="21"/>
          <w:szCs w:val="21"/>
          <w:highlight w:val="none"/>
          <w:lang w:val="en-US" w:eastAsia="zh-CN"/>
        </w:rPr>
        <w:t>19</w:t>
      </w:r>
      <w:r>
        <w:rPr>
          <w:rFonts w:hint="default" w:ascii="宋体" w:hAnsi="宋体" w:eastAsia="宋体" w:cs="宋体"/>
          <w:bCs/>
          <w:color w:val="auto"/>
          <w:sz w:val="21"/>
          <w:szCs w:val="21"/>
          <w:highlight w:val="none"/>
          <w:lang w:val="en-US" w:eastAsia="zh-CN"/>
        </w:rPr>
        <w:t>、</w:t>
      </w:r>
      <w:r>
        <w:rPr>
          <w:rFonts w:hint="eastAsia" w:hAnsi="宋体" w:cs="宋体"/>
          <w:bCs/>
          <w:color w:val="auto"/>
          <w:sz w:val="21"/>
          <w:szCs w:val="21"/>
          <w:highlight w:val="none"/>
          <w:lang w:val="en-US" w:eastAsia="zh-CN"/>
        </w:rPr>
        <w:t>养护实施</w:t>
      </w:r>
      <w:r>
        <w:rPr>
          <w:rFonts w:hint="default" w:ascii="宋体" w:hAnsi="宋体" w:eastAsia="宋体" w:cs="宋体"/>
          <w:bCs/>
          <w:color w:val="auto"/>
          <w:sz w:val="21"/>
          <w:szCs w:val="21"/>
          <w:highlight w:val="none"/>
          <w:lang w:val="en-US" w:eastAsia="zh-CN"/>
        </w:rPr>
        <w:t>区域内绿化等修补及现有苗木（含行道树）迁移等工作由投标人承担，所需费用由投标人应充分考虑后计入报价内。</w:t>
      </w:r>
      <w:bookmarkEnd w:id="22"/>
    </w:p>
    <w:p>
      <w:pPr>
        <w:pStyle w:val="29"/>
        <w:snapToGrid w:val="0"/>
        <w:spacing w:before="0" w:beforeLines="0" w:after="0" w:afterLines="0" w:line="500" w:lineRule="exact"/>
        <w:ind w:firstLine="420" w:firstLineChars="200"/>
        <w:outlineLvl w:val="0"/>
        <w:rPr>
          <w:rFonts w:hint="default" w:ascii="宋体" w:hAnsi="宋体" w:eastAsia="宋体" w:cs="宋体"/>
          <w:bCs/>
          <w:color w:val="auto"/>
          <w:sz w:val="21"/>
          <w:szCs w:val="21"/>
          <w:highlight w:val="none"/>
          <w:lang w:val="en-US" w:eastAsia="zh-CN"/>
        </w:rPr>
      </w:pPr>
      <w:bookmarkStart w:id="23" w:name="_Toc17857"/>
      <w:r>
        <w:rPr>
          <w:rFonts w:hint="default" w:ascii="宋体" w:hAnsi="宋体" w:eastAsia="宋体" w:cs="宋体"/>
          <w:bCs/>
          <w:color w:val="auto"/>
          <w:sz w:val="21"/>
          <w:szCs w:val="21"/>
          <w:highlight w:val="none"/>
          <w:lang w:val="en-US" w:eastAsia="zh-CN"/>
        </w:rPr>
        <w:t>2</w:t>
      </w:r>
      <w:r>
        <w:rPr>
          <w:rFonts w:hint="eastAsia" w:hAnsi="宋体" w:cs="宋体"/>
          <w:bCs/>
          <w:color w:val="auto"/>
          <w:sz w:val="21"/>
          <w:szCs w:val="21"/>
          <w:highlight w:val="none"/>
          <w:lang w:val="en-US" w:eastAsia="zh-CN"/>
        </w:rPr>
        <w:t>0</w:t>
      </w:r>
      <w:r>
        <w:rPr>
          <w:rFonts w:hint="default" w:ascii="宋体" w:hAnsi="宋体" w:eastAsia="宋体" w:cs="宋体"/>
          <w:bCs/>
          <w:color w:val="auto"/>
          <w:sz w:val="21"/>
          <w:szCs w:val="21"/>
          <w:highlight w:val="none"/>
          <w:lang w:val="en-US" w:eastAsia="zh-CN"/>
        </w:rPr>
        <w:t>、</w:t>
      </w:r>
      <w:r>
        <w:rPr>
          <w:rFonts w:hint="eastAsia" w:hAnsi="宋体" w:cs="宋体"/>
          <w:bCs/>
          <w:color w:val="auto"/>
          <w:sz w:val="21"/>
          <w:szCs w:val="21"/>
          <w:highlight w:val="none"/>
          <w:lang w:val="en-US" w:eastAsia="zh-CN"/>
        </w:rPr>
        <w:t>养护实施</w:t>
      </w:r>
      <w:r>
        <w:rPr>
          <w:rFonts w:hint="default" w:ascii="宋体" w:hAnsi="宋体" w:eastAsia="宋体" w:cs="宋体"/>
          <w:bCs/>
          <w:color w:val="auto"/>
          <w:sz w:val="21"/>
          <w:szCs w:val="21"/>
          <w:highlight w:val="none"/>
          <w:lang w:val="en-US" w:eastAsia="zh-CN"/>
        </w:rPr>
        <w:t>车辆必须按项目所在地综合行政执法部门的规定办理通行证，缴纳相关保证金，并在规定时间规定线路内通行，投标单位在报价中考虑相关的费用。</w:t>
      </w:r>
      <w:bookmarkEnd w:id="23"/>
    </w:p>
    <w:p>
      <w:pPr>
        <w:pStyle w:val="29"/>
        <w:snapToGrid w:val="0"/>
        <w:spacing w:before="0" w:beforeLines="0" w:after="0" w:afterLines="0" w:line="500" w:lineRule="exact"/>
        <w:ind w:firstLine="420" w:firstLineChars="200"/>
        <w:outlineLvl w:val="0"/>
        <w:rPr>
          <w:rFonts w:hint="default" w:ascii="宋体" w:hAnsi="宋体" w:eastAsia="宋体" w:cs="宋体"/>
          <w:bCs/>
          <w:color w:val="auto"/>
          <w:sz w:val="21"/>
          <w:szCs w:val="21"/>
          <w:highlight w:val="none"/>
          <w:lang w:val="en-US" w:eastAsia="zh-CN"/>
        </w:rPr>
      </w:pPr>
      <w:bookmarkStart w:id="24" w:name="_Toc27826"/>
      <w:r>
        <w:rPr>
          <w:rFonts w:hint="default" w:ascii="宋体" w:hAnsi="宋体" w:eastAsia="宋体" w:cs="宋体"/>
          <w:bCs/>
          <w:color w:val="auto"/>
          <w:sz w:val="21"/>
          <w:szCs w:val="21"/>
          <w:highlight w:val="none"/>
          <w:lang w:val="en-US" w:eastAsia="zh-CN"/>
        </w:rPr>
        <w:t>2</w:t>
      </w:r>
      <w:r>
        <w:rPr>
          <w:rFonts w:hint="eastAsia" w:hAnsi="宋体" w:cs="宋体"/>
          <w:bCs/>
          <w:color w:val="auto"/>
          <w:sz w:val="21"/>
          <w:szCs w:val="21"/>
          <w:highlight w:val="none"/>
          <w:lang w:val="en-US" w:eastAsia="zh-CN"/>
        </w:rPr>
        <w:t>1</w:t>
      </w:r>
      <w:r>
        <w:rPr>
          <w:rFonts w:hint="default" w:ascii="宋体" w:hAnsi="宋体" w:eastAsia="宋体" w:cs="宋体"/>
          <w:bCs/>
          <w:color w:val="auto"/>
          <w:sz w:val="21"/>
          <w:szCs w:val="21"/>
          <w:highlight w:val="none"/>
          <w:lang w:val="en-US" w:eastAsia="zh-CN"/>
        </w:rPr>
        <w:t>、因本项目实施处于疫情期间，承包人须按疫情期间相关文件实施</w:t>
      </w:r>
      <w:r>
        <w:rPr>
          <w:rFonts w:hint="eastAsia" w:hAnsi="宋体" w:cs="宋体"/>
          <w:bCs/>
          <w:color w:val="auto"/>
          <w:sz w:val="21"/>
          <w:szCs w:val="21"/>
          <w:highlight w:val="none"/>
          <w:lang w:val="en-US" w:eastAsia="zh-CN"/>
        </w:rPr>
        <w:t>养护</w:t>
      </w:r>
      <w:r>
        <w:rPr>
          <w:rFonts w:hint="default" w:ascii="宋体" w:hAnsi="宋体" w:eastAsia="宋体" w:cs="宋体"/>
          <w:bCs/>
          <w:color w:val="auto"/>
          <w:sz w:val="21"/>
          <w:szCs w:val="21"/>
          <w:highlight w:val="none"/>
          <w:lang w:val="en-US" w:eastAsia="zh-CN"/>
        </w:rPr>
        <w:t>，该部分费用已包含在投标报价中，不再另行支付。</w:t>
      </w:r>
      <w:bookmarkEnd w:id="24"/>
    </w:p>
    <w:p>
      <w:pPr>
        <w:pStyle w:val="29"/>
        <w:snapToGrid w:val="0"/>
        <w:spacing w:before="0" w:beforeLines="0" w:after="0" w:afterLines="0" w:line="500" w:lineRule="exact"/>
        <w:ind w:firstLine="420" w:firstLineChars="200"/>
        <w:outlineLvl w:val="0"/>
        <w:rPr>
          <w:rFonts w:hint="eastAsia" w:ascii="宋体" w:hAnsi="宋体" w:eastAsia="宋体" w:cs="宋体"/>
          <w:bCs/>
          <w:color w:val="auto"/>
          <w:sz w:val="21"/>
          <w:szCs w:val="21"/>
          <w:highlight w:val="none"/>
          <w:lang w:val="en-US" w:eastAsia="zh-CN"/>
        </w:rPr>
      </w:pPr>
      <w:bookmarkStart w:id="25" w:name="_Toc13386"/>
      <w:r>
        <w:rPr>
          <w:rFonts w:hint="eastAsia" w:hAnsi="宋体" w:cs="宋体"/>
          <w:bCs/>
          <w:color w:val="auto"/>
          <w:sz w:val="21"/>
          <w:szCs w:val="21"/>
          <w:highlight w:val="none"/>
          <w:lang w:val="en-US" w:eastAsia="zh-CN"/>
        </w:rPr>
        <w:t>22</w:t>
      </w:r>
      <w:r>
        <w:rPr>
          <w:rFonts w:hint="eastAsia" w:ascii="宋体" w:hAnsi="宋体" w:eastAsia="宋体" w:cs="宋体"/>
          <w:bCs/>
          <w:color w:val="auto"/>
          <w:sz w:val="21"/>
          <w:szCs w:val="21"/>
          <w:highlight w:val="none"/>
          <w:lang w:val="en-US" w:eastAsia="zh-CN"/>
        </w:rPr>
        <w:t>、养护单位须按月足额发放人员工资，不得存在苛扣、漏发情况，否则按考核办法扣分罚款。</w:t>
      </w:r>
      <w:bookmarkEnd w:id="25"/>
    </w:p>
    <w:p>
      <w:pPr>
        <w:pStyle w:val="29"/>
        <w:snapToGrid w:val="0"/>
        <w:spacing w:before="0" w:beforeLines="0" w:after="0" w:afterLines="0" w:line="500" w:lineRule="exact"/>
        <w:ind w:firstLine="420" w:firstLineChars="200"/>
        <w:outlineLvl w:val="0"/>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2</w:t>
      </w:r>
      <w:r>
        <w:rPr>
          <w:rFonts w:hint="eastAsia" w:hAnsi="宋体" w:cs="宋体"/>
          <w:bCs/>
          <w:color w:val="auto"/>
          <w:sz w:val="21"/>
          <w:szCs w:val="21"/>
          <w:highlight w:val="none"/>
          <w:lang w:val="en-US" w:eastAsia="zh-CN"/>
        </w:rPr>
        <w:t>3</w:t>
      </w:r>
      <w:r>
        <w:rPr>
          <w:rFonts w:hint="eastAsia" w:ascii="宋体" w:hAnsi="宋体" w:eastAsia="宋体" w:cs="宋体"/>
          <w:bCs/>
          <w:color w:val="auto"/>
          <w:sz w:val="21"/>
          <w:szCs w:val="21"/>
          <w:highlight w:val="none"/>
          <w:lang w:val="en-US" w:eastAsia="zh-CN"/>
        </w:rPr>
        <w:t>、与本项目养护相关的器械自行配备，费用包含在投标总价中。</w:t>
      </w:r>
    </w:p>
    <w:p>
      <w:pPr>
        <w:pStyle w:val="29"/>
        <w:snapToGrid w:val="0"/>
        <w:spacing w:before="0" w:beforeLines="0" w:after="0" w:afterLines="0" w:line="500" w:lineRule="exact"/>
        <w:ind w:firstLine="420" w:firstLineChars="200"/>
        <w:outlineLvl w:val="0"/>
        <w:rPr>
          <w:rFonts w:hint="default" w:ascii="宋体" w:hAnsi="宋体" w:eastAsia="宋体" w:cs="宋体"/>
          <w:bCs/>
          <w:color w:val="auto"/>
          <w:sz w:val="21"/>
          <w:szCs w:val="21"/>
          <w:highlight w:val="none"/>
          <w:lang w:val="en-US" w:eastAsia="zh-CN"/>
        </w:rPr>
      </w:pPr>
      <w:r>
        <w:rPr>
          <w:rFonts w:hint="eastAsia" w:hAnsi="宋体" w:cs="宋体"/>
          <w:bCs/>
          <w:color w:val="auto"/>
          <w:sz w:val="21"/>
          <w:szCs w:val="21"/>
          <w:highlight w:val="none"/>
          <w:lang w:val="en-US" w:eastAsia="zh-CN"/>
        </w:rPr>
        <w:t>24、</w:t>
      </w:r>
      <w:r>
        <w:rPr>
          <w:rFonts w:hint="default" w:ascii="宋体" w:hAnsi="宋体" w:eastAsia="宋体" w:cs="宋体"/>
          <w:bCs/>
          <w:color w:val="auto"/>
          <w:sz w:val="21"/>
          <w:szCs w:val="21"/>
          <w:highlight w:val="none"/>
          <w:lang w:val="en-US" w:eastAsia="zh-CN"/>
        </w:rPr>
        <w:t>人员配备要求</w:t>
      </w:r>
    </w:p>
    <w:p>
      <w:pPr>
        <w:pStyle w:val="29"/>
        <w:snapToGrid w:val="0"/>
        <w:spacing w:before="0" w:beforeLines="0" w:after="0" w:afterLines="0" w:line="500" w:lineRule="exact"/>
        <w:ind w:firstLine="420" w:firstLineChars="200"/>
        <w:outlineLvl w:val="0"/>
        <w:rPr>
          <w:rFonts w:hint="default" w:ascii="宋体" w:hAnsi="宋体" w:eastAsia="宋体" w:cs="宋体"/>
          <w:bCs/>
          <w:color w:val="auto"/>
          <w:sz w:val="21"/>
          <w:szCs w:val="21"/>
          <w:highlight w:val="none"/>
          <w:lang w:val="en-US" w:eastAsia="zh-CN"/>
        </w:rPr>
      </w:pPr>
      <w:r>
        <w:rPr>
          <w:rFonts w:hint="eastAsia" w:hAnsi="宋体" w:cs="宋体"/>
          <w:bCs/>
          <w:color w:val="auto"/>
          <w:sz w:val="21"/>
          <w:szCs w:val="21"/>
          <w:highlight w:val="none"/>
          <w:lang w:val="en-US" w:eastAsia="zh-CN"/>
        </w:rPr>
        <w:t>25.</w:t>
      </w:r>
      <w:r>
        <w:rPr>
          <w:rFonts w:hint="default" w:ascii="宋体" w:hAnsi="宋体" w:eastAsia="宋体" w:cs="宋体"/>
          <w:bCs/>
          <w:color w:val="auto"/>
          <w:sz w:val="21"/>
          <w:szCs w:val="21"/>
          <w:highlight w:val="none"/>
          <w:lang w:val="en-US" w:eastAsia="zh-CN"/>
        </w:rPr>
        <w:t>1、本项目人员配备采用定量定员的模式，乙方必须按要求配足。</w:t>
      </w:r>
    </w:p>
    <w:p>
      <w:pPr>
        <w:pStyle w:val="29"/>
        <w:snapToGrid w:val="0"/>
        <w:spacing w:before="0" w:beforeLines="0" w:after="0" w:afterLines="0" w:line="500" w:lineRule="exact"/>
        <w:ind w:firstLine="420" w:firstLineChars="200"/>
        <w:outlineLvl w:val="0"/>
        <w:rPr>
          <w:rFonts w:hint="default"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25.</w:t>
      </w:r>
      <w:r>
        <w:rPr>
          <w:rFonts w:hint="default" w:ascii="宋体" w:hAnsi="宋体" w:eastAsia="宋体" w:cs="宋体"/>
          <w:bCs/>
          <w:color w:val="auto"/>
          <w:sz w:val="21"/>
          <w:szCs w:val="21"/>
          <w:highlight w:val="none"/>
          <w:lang w:val="en-US" w:eastAsia="zh-CN"/>
        </w:rPr>
        <w:t>2、3-10月养护人员不少于</w:t>
      </w:r>
      <w:r>
        <w:rPr>
          <w:rFonts w:hint="eastAsia" w:ascii="宋体" w:hAnsi="宋体" w:eastAsia="宋体" w:cs="宋体"/>
          <w:bCs/>
          <w:color w:val="auto"/>
          <w:sz w:val="21"/>
          <w:szCs w:val="21"/>
          <w:highlight w:val="none"/>
          <w:lang w:val="en-US" w:eastAsia="zh-CN"/>
        </w:rPr>
        <w:t>2</w:t>
      </w:r>
      <w:r>
        <w:rPr>
          <w:rFonts w:hint="eastAsia" w:hAnsi="宋体" w:cs="宋体"/>
          <w:bCs/>
          <w:color w:val="auto"/>
          <w:sz w:val="21"/>
          <w:szCs w:val="21"/>
          <w:highlight w:val="none"/>
          <w:lang w:val="en-US" w:eastAsia="zh-CN"/>
        </w:rPr>
        <w:t>5</w:t>
      </w:r>
      <w:r>
        <w:rPr>
          <w:rFonts w:hint="default" w:ascii="宋体" w:hAnsi="宋体" w:eastAsia="宋体" w:cs="宋体"/>
          <w:bCs/>
          <w:color w:val="auto"/>
          <w:sz w:val="21"/>
          <w:szCs w:val="21"/>
          <w:highlight w:val="none"/>
          <w:lang w:val="en-US" w:eastAsia="zh-CN"/>
        </w:rPr>
        <w:t>人（</w:t>
      </w:r>
      <w:r>
        <w:rPr>
          <w:rFonts w:hint="default" w:ascii="宋体" w:hAnsi="宋体" w:eastAsia="宋体" w:cs="宋体"/>
          <w:b/>
          <w:bCs w:val="0"/>
          <w:color w:val="auto"/>
          <w:sz w:val="21"/>
          <w:szCs w:val="21"/>
          <w:highlight w:val="none"/>
          <w:lang w:val="en-US" w:eastAsia="zh-CN"/>
        </w:rPr>
        <w:t>包括</w:t>
      </w:r>
      <w:r>
        <w:rPr>
          <w:rFonts w:hint="eastAsia" w:hAnsi="宋体" w:cs="宋体"/>
          <w:b/>
          <w:bCs w:val="0"/>
          <w:color w:val="auto"/>
          <w:sz w:val="21"/>
          <w:szCs w:val="21"/>
          <w:highlight w:val="none"/>
          <w:lang w:val="en-US" w:eastAsia="zh-CN"/>
        </w:rPr>
        <w:t>项目负责人</w:t>
      </w:r>
      <w:r>
        <w:rPr>
          <w:rFonts w:hint="eastAsia" w:ascii="宋体" w:hAnsi="宋体" w:eastAsia="宋体" w:cs="宋体"/>
          <w:b/>
          <w:bCs w:val="0"/>
          <w:color w:val="auto"/>
          <w:sz w:val="21"/>
          <w:szCs w:val="21"/>
          <w:highlight w:val="none"/>
          <w:lang w:val="en-US" w:eastAsia="zh-CN"/>
        </w:rPr>
        <w:t>1</w:t>
      </w:r>
      <w:r>
        <w:rPr>
          <w:rFonts w:hint="default" w:ascii="宋体" w:hAnsi="宋体" w:eastAsia="宋体" w:cs="宋体"/>
          <w:b/>
          <w:bCs w:val="0"/>
          <w:color w:val="auto"/>
          <w:sz w:val="21"/>
          <w:szCs w:val="21"/>
          <w:highlight w:val="none"/>
          <w:lang w:val="en-US" w:eastAsia="zh-CN"/>
        </w:rPr>
        <w:t>名</w:t>
      </w:r>
      <w:r>
        <w:rPr>
          <w:rFonts w:hint="eastAsia" w:hAnsi="宋体" w:cs="宋体"/>
          <w:b/>
          <w:bCs w:val="0"/>
          <w:color w:val="auto"/>
          <w:sz w:val="21"/>
          <w:szCs w:val="21"/>
          <w:highlight w:val="none"/>
          <w:lang w:val="en-US" w:eastAsia="zh-CN"/>
        </w:rPr>
        <w:t>，需具有园林绿化相关专业工程师及以上职称</w:t>
      </w:r>
      <w:r>
        <w:rPr>
          <w:rFonts w:hint="default" w:ascii="宋体" w:hAnsi="宋体" w:eastAsia="宋体" w:cs="宋体"/>
          <w:bCs/>
          <w:color w:val="auto"/>
          <w:sz w:val="21"/>
          <w:szCs w:val="21"/>
          <w:highlight w:val="none"/>
          <w:lang w:val="en-US" w:eastAsia="zh-CN"/>
        </w:rPr>
        <w:t>）。其它时期不少于</w:t>
      </w:r>
      <w:r>
        <w:rPr>
          <w:rFonts w:hint="eastAsia" w:ascii="宋体" w:hAnsi="宋体" w:eastAsia="宋体" w:cs="宋体"/>
          <w:bCs/>
          <w:color w:val="auto"/>
          <w:sz w:val="21"/>
          <w:szCs w:val="21"/>
          <w:highlight w:val="none"/>
          <w:lang w:val="en-US" w:eastAsia="zh-CN"/>
        </w:rPr>
        <w:t>1</w:t>
      </w:r>
      <w:r>
        <w:rPr>
          <w:rFonts w:hint="eastAsia" w:hAnsi="宋体" w:cs="宋体"/>
          <w:bCs/>
          <w:color w:val="auto"/>
          <w:sz w:val="21"/>
          <w:szCs w:val="21"/>
          <w:highlight w:val="none"/>
          <w:lang w:val="en-US" w:eastAsia="zh-CN"/>
        </w:rPr>
        <w:t>2</w:t>
      </w:r>
      <w:r>
        <w:rPr>
          <w:rFonts w:hint="default" w:ascii="宋体" w:hAnsi="宋体" w:eastAsia="宋体" w:cs="宋体"/>
          <w:bCs/>
          <w:color w:val="auto"/>
          <w:sz w:val="21"/>
          <w:szCs w:val="21"/>
          <w:highlight w:val="none"/>
          <w:lang w:val="en-US" w:eastAsia="zh-CN"/>
        </w:rPr>
        <w:t>人</w:t>
      </w:r>
      <w:r>
        <w:rPr>
          <w:rFonts w:hint="eastAsia" w:ascii="宋体" w:hAnsi="宋体" w:eastAsia="宋体" w:cs="宋体"/>
          <w:bCs/>
          <w:color w:val="auto"/>
          <w:sz w:val="21"/>
          <w:szCs w:val="21"/>
          <w:highlight w:val="none"/>
          <w:lang w:val="en-US" w:eastAsia="zh-CN"/>
        </w:rPr>
        <w:t>，</w:t>
      </w:r>
      <w:r>
        <w:rPr>
          <w:rFonts w:hint="default" w:ascii="宋体" w:hAnsi="宋体" w:eastAsia="宋体" w:cs="宋体"/>
          <w:bCs/>
          <w:color w:val="auto"/>
          <w:sz w:val="21"/>
          <w:szCs w:val="21"/>
          <w:highlight w:val="none"/>
          <w:lang w:val="en-US" w:eastAsia="zh-CN"/>
        </w:rPr>
        <w:t>（</w:t>
      </w:r>
      <w:r>
        <w:rPr>
          <w:rFonts w:hint="default" w:ascii="宋体" w:hAnsi="宋体" w:eastAsia="宋体" w:cs="宋体"/>
          <w:b/>
          <w:bCs w:val="0"/>
          <w:color w:val="auto"/>
          <w:sz w:val="21"/>
          <w:szCs w:val="21"/>
          <w:highlight w:val="none"/>
          <w:lang w:val="en-US" w:eastAsia="zh-CN"/>
        </w:rPr>
        <w:t>包括</w:t>
      </w:r>
      <w:r>
        <w:rPr>
          <w:rFonts w:hint="eastAsia" w:hAnsi="宋体" w:cs="宋体"/>
          <w:b/>
          <w:bCs w:val="0"/>
          <w:color w:val="auto"/>
          <w:sz w:val="21"/>
          <w:szCs w:val="21"/>
          <w:highlight w:val="none"/>
          <w:lang w:val="en-US" w:eastAsia="zh-CN"/>
        </w:rPr>
        <w:t>项目负责人</w:t>
      </w:r>
      <w:r>
        <w:rPr>
          <w:rFonts w:hint="eastAsia" w:ascii="宋体" w:hAnsi="宋体" w:eastAsia="宋体" w:cs="宋体"/>
          <w:b/>
          <w:bCs w:val="0"/>
          <w:color w:val="auto"/>
          <w:sz w:val="21"/>
          <w:szCs w:val="21"/>
          <w:highlight w:val="none"/>
          <w:lang w:val="en-US" w:eastAsia="zh-CN"/>
        </w:rPr>
        <w:t>1</w:t>
      </w:r>
      <w:r>
        <w:rPr>
          <w:rFonts w:hint="default" w:ascii="宋体" w:hAnsi="宋体" w:eastAsia="宋体" w:cs="宋体"/>
          <w:b/>
          <w:bCs w:val="0"/>
          <w:color w:val="auto"/>
          <w:sz w:val="21"/>
          <w:szCs w:val="21"/>
          <w:highlight w:val="none"/>
          <w:lang w:val="en-US" w:eastAsia="zh-CN"/>
        </w:rPr>
        <w:t>名</w:t>
      </w:r>
      <w:r>
        <w:rPr>
          <w:rFonts w:hint="eastAsia" w:hAnsi="宋体" w:cs="宋体"/>
          <w:b/>
          <w:bCs w:val="0"/>
          <w:color w:val="auto"/>
          <w:sz w:val="21"/>
          <w:szCs w:val="21"/>
          <w:highlight w:val="none"/>
          <w:lang w:val="en-US" w:eastAsia="zh-CN"/>
        </w:rPr>
        <w:t>，需具有园林绿化相关专业工程师及以上职称</w:t>
      </w:r>
      <w:r>
        <w:rPr>
          <w:rFonts w:hint="default" w:ascii="宋体" w:hAnsi="宋体" w:eastAsia="宋体" w:cs="宋体"/>
          <w:bCs/>
          <w:color w:val="auto"/>
          <w:sz w:val="21"/>
          <w:szCs w:val="21"/>
          <w:highlight w:val="none"/>
          <w:lang w:val="en-US" w:eastAsia="zh-CN"/>
        </w:rPr>
        <w:t>）。</w:t>
      </w:r>
    </w:p>
    <w:p>
      <w:pPr>
        <w:pStyle w:val="29"/>
        <w:snapToGrid w:val="0"/>
        <w:spacing w:before="0" w:beforeLines="0" w:after="0" w:afterLines="0" w:line="500" w:lineRule="exact"/>
        <w:ind w:firstLine="420" w:firstLineChars="200"/>
        <w:outlineLvl w:val="0"/>
        <w:rPr>
          <w:rFonts w:hint="default"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25.3、保洁人员不少于</w:t>
      </w:r>
      <w:r>
        <w:rPr>
          <w:rFonts w:hint="eastAsia" w:hAnsi="宋体" w:cs="宋体"/>
          <w:bCs/>
          <w:color w:val="auto"/>
          <w:sz w:val="21"/>
          <w:szCs w:val="21"/>
          <w:highlight w:val="none"/>
          <w:lang w:val="en-US" w:eastAsia="zh-CN"/>
        </w:rPr>
        <w:t>6</w:t>
      </w:r>
      <w:r>
        <w:rPr>
          <w:rFonts w:hint="eastAsia" w:ascii="宋体" w:hAnsi="宋体" w:eastAsia="宋体" w:cs="宋体"/>
          <w:bCs/>
          <w:color w:val="auto"/>
          <w:sz w:val="21"/>
          <w:szCs w:val="21"/>
          <w:highlight w:val="none"/>
          <w:lang w:val="en-US" w:eastAsia="zh-CN"/>
        </w:rPr>
        <w:t>人。</w:t>
      </w:r>
    </w:p>
    <w:p>
      <w:pPr>
        <w:pStyle w:val="29"/>
        <w:snapToGrid w:val="0"/>
        <w:spacing w:before="0" w:beforeLines="0" w:after="0" w:afterLines="0" w:line="500" w:lineRule="exact"/>
        <w:ind w:firstLine="420" w:firstLineChars="200"/>
        <w:outlineLvl w:val="0"/>
        <w:rPr>
          <w:rFonts w:hint="default" w:ascii="宋体" w:hAnsi="宋体" w:eastAsia="宋体" w:cs="宋体"/>
          <w:bCs/>
          <w:color w:val="auto"/>
          <w:sz w:val="21"/>
          <w:szCs w:val="21"/>
          <w:highlight w:val="none"/>
          <w:lang w:val="en-US" w:eastAsia="zh-CN"/>
        </w:rPr>
      </w:pPr>
      <w:r>
        <w:rPr>
          <w:rFonts w:hint="eastAsia" w:hAnsi="宋体" w:cs="宋体"/>
          <w:bCs/>
          <w:color w:val="auto"/>
          <w:sz w:val="21"/>
          <w:szCs w:val="21"/>
          <w:highlight w:val="none"/>
          <w:lang w:val="en-US" w:eastAsia="zh-CN"/>
        </w:rPr>
        <w:t>25.4</w:t>
      </w:r>
      <w:r>
        <w:rPr>
          <w:rFonts w:hint="default" w:ascii="宋体" w:hAnsi="宋体" w:eastAsia="宋体" w:cs="宋体"/>
          <w:bCs/>
          <w:color w:val="auto"/>
          <w:sz w:val="21"/>
          <w:szCs w:val="21"/>
          <w:highlight w:val="none"/>
          <w:lang w:val="en-US" w:eastAsia="zh-CN"/>
        </w:rPr>
        <w:t>、检查时人员不得少于应到数的90%，如发现养护人员配备不足：</w:t>
      </w:r>
    </w:p>
    <w:p>
      <w:pPr>
        <w:pStyle w:val="29"/>
        <w:snapToGrid w:val="0"/>
        <w:spacing w:before="0" w:beforeLines="0" w:after="0" w:afterLines="0" w:line="500" w:lineRule="exact"/>
        <w:ind w:firstLine="420" w:firstLineChars="200"/>
        <w:outlineLvl w:val="0"/>
        <w:rPr>
          <w:rFonts w:hint="default" w:ascii="宋体" w:hAnsi="宋体" w:eastAsia="宋体" w:cs="宋体"/>
          <w:bCs/>
          <w:color w:val="auto"/>
          <w:sz w:val="21"/>
          <w:szCs w:val="21"/>
          <w:highlight w:val="none"/>
          <w:lang w:val="en-US" w:eastAsia="zh-CN"/>
        </w:rPr>
      </w:pPr>
      <w:r>
        <w:rPr>
          <w:rFonts w:hint="default" w:ascii="宋体" w:hAnsi="宋体" w:eastAsia="宋体" w:cs="宋体"/>
          <w:bCs/>
          <w:color w:val="auto"/>
          <w:sz w:val="21"/>
          <w:szCs w:val="21"/>
          <w:highlight w:val="none"/>
          <w:lang w:val="en-US" w:eastAsia="zh-CN"/>
        </w:rPr>
        <w:t>1）每少一名人员扣除当月养护经费1800元，</w:t>
      </w:r>
      <w:r>
        <w:rPr>
          <w:rFonts w:hint="eastAsia" w:hAnsi="宋体" w:cs="宋体"/>
          <w:bCs/>
          <w:color w:val="auto"/>
          <w:sz w:val="21"/>
          <w:szCs w:val="21"/>
          <w:highlight w:val="none"/>
          <w:lang w:val="en-US" w:eastAsia="zh-CN"/>
        </w:rPr>
        <w:t>在季度结算时一并扣除</w:t>
      </w:r>
      <w:r>
        <w:rPr>
          <w:rFonts w:hint="default" w:ascii="宋体" w:hAnsi="宋体" w:eastAsia="宋体" w:cs="宋体"/>
          <w:bCs/>
          <w:color w:val="auto"/>
          <w:sz w:val="21"/>
          <w:szCs w:val="21"/>
          <w:highlight w:val="none"/>
          <w:lang w:val="en-US" w:eastAsia="zh-CN"/>
        </w:rPr>
        <w:t>。</w:t>
      </w:r>
    </w:p>
    <w:p>
      <w:pPr>
        <w:pStyle w:val="29"/>
        <w:snapToGrid w:val="0"/>
        <w:spacing w:before="0" w:beforeLines="0" w:after="0" w:afterLines="0" w:line="500" w:lineRule="exact"/>
        <w:ind w:firstLine="420" w:firstLineChars="200"/>
        <w:outlineLvl w:val="0"/>
        <w:rPr>
          <w:rFonts w:hint="default" w:ascii="宋体" w:hAnsi="宋体" w:eastAsia="宋体" w:cs="宋体"/>
          <w:bCs/>
          <w:color w:val="auto"/>
          <w:sz w:val="21"/>
          <w:szCs w:val="21"/>
          <w:highlight w:val="none"/>
          <w:lang w:val="en-US" w:eastAsia="zh-CN"/>
        </w:rPr>
      </w:pPr>
      <w:r>
        <w:rPr>
          <w:rFonts w:hint="eastAsia" w:hAnsi="宋体" w:cs="宋体"/>
          <w:bCs/>
          <w:color w:val="auto"/>
          <w:sz w:val="21"/>
          <w:szCs w:val="21"/>
          <w:highlight w:val="none"/>
          <w:lang w:val="en-US" w:eastAsia="zh-CN"/>
        </w:rPr>
        <w:t>2</w:t>
      </w:r>
      <w:r>
        <w:rPr>
          <w:rFonts w:hint="default" w:ascii="宋体" w:hAnsi="宋体" w:eastAsia="宋体" w:cs="宋体"/>
          <w:bCs/>
          <w:color w:val="auto"/>
          <w:sz w:val="21"/>
          <w:szCs w:val="21"/>
          <w:highlight w:val="none"/>
          <w:lang w:val="en-US" w:eastAsia="zh-CN"/>
        </w:rPr>
        <w:t>）人员配备少于规定数量的70%时，扣除当月养护费。</w:t>
      </w:r>
    </w:p>
    <w:p>
      <w:pPr>
        <w:pStyle w:val="29"/>
        <w:snapToGrid w:val="0"/>
        <w:spacing w:before="0" w:beforeLines="0" w:after="0" w:afterLines="0" w:line="500" w:lineRule="exact"/>
        <w:ind w:firstLine="420" w:firstLineChars="200"/>
        <w:outlineLvl w:val="0"/>
        <w:rPr>
          <w:rFonts w:hint="default" w:ascii="宋体" w:hAnsi="宋体" w:eastAsia="宋体" w:cs="宋体"/>
          <w:bCs/>
          <w:color w:val="auto"/>
          <w:sz w:val="21"/>
          <w:szCs w:val="21"/>
          <w:highlight w:val="none"/>
          <w:lang w:val="en-US" w:eastAsia="zh-CN"/>
        </w:rPr>
      </w:pPr>
      <w:r>
        <w:rPr>
          <w:rFonts w:hint="eastAsia" w:hAnsi="宋体" w:cs="宋体"/>
          <w:bCs/>
          <w:color w:val="auto"/>
          <w:sz w:val="21"/>
          <w:szCs w:val="21"/>
          <w:highlight w:val="none"/>
          <w:lang w:val="en-US" w:eastAsia="zh-CN"/>
        </w:rPr>
        <w:t>25.5</w:t>
      </w:r>
      <w:r>
        <w:rPr>
          <w:rFonts w:hint="default" w:ascii="宋体" w:hAnsi="宋体" w:eastAsia="宋体" w:cs="宋体"/>
          <w:bCs/>
          <w:color w:val="auto"/>
          <w:sz w:val="21"/>
          <w:szCs w:val="21"/>
          <w:highlight w:val="none"/>
          <w:lang w:val="en-US" w:eastAsia="zh-CN"/>
        </w:rPr>
        <w:t>、暴雨天等不适宜养护作业时，乙方可暂停养护一线作业，必须按排不少于3名男性养护人员随时处置各类事务；平时应建立不少于5人的应急队伍</w:t>
      </w:r>
      <w:r>
        <w:rPr>
          <w:rFonts w:hint="eastAsia" w:hAnsi="宋体" w:cs="宋体"/>
          <w:bCs/>
          <w:color w:val="auto"/>
          <w:sz w:val="21"/>
          <w:szCs w:val="21"/>
          <w:highlight w:val="none"/>
          <w:lang w:val="en-US" w:eastAsia="zh-CN"/>
        </w:rPr>
        <w:t>及应急设备</w:t>
      </w:r>
      <w:r>
        <w:rPr>
          <w:rFonts w:hint="default" w:ascii="宋体" w:hAnsi="宋体" w:eastAsia="宋体" w:cs="宋体"/>
          <w:bCs/>
          <w:color w:val="auto"/>
          <w:sz w:val="21"/>
          <w:szCs w:val="21"/>
          <w:highlight w:val="none"/>
          <w:lang w:val="en-US" w:eastAsia="zh-CN"/>
        </w:rPr>
        <w:t>，24小时应对各类突发事件。</w:t>
      </w:r>
    </w:p>
    <w:p>
      <w:pPr>
        <w:pStyle w:val="29"/>
        <w:snapToGrid w:val="0"/>
        <w:spacing w:before="0" w:beforeLines="0" w:after="0" w:afterLines="0" w:line="500" w:lineRule="exact"/>
        <w:ind w:firstLine="420" w:firstLineChars="200"/>
        <w:outlineLvl w:val="0"/>
        <w:rPr>
          <w:rFonts w:hint="default" w:ascii="宋体" w:hAnsi="宋体" w:eastAsia="宋体" w:cs="宋体"/>
          <w:bCs/>
          <w:color w:val="auto"/>
          <w:sz w:val="21"/>
          <w:szCs w:val="21"/>
          <w:highlight w:val="none"/>
          <w:lang w:val="en-US" w:eastAsia="zh-CN"/>
        </w:rPr>
      </w:pPr>
      <w:r>
        <w:rPr>
          <w:rFonts w:hint="eastAsia" w:hAnsi="宋体" w:cs="宋体"/>
          <w:bCs/>
          <w:color w:val="auto"/>
          <w:sz w:val="21"/>
          <w:szCs w:val="21"/>
          <w:highlight w:val="none"/>
          <w:lang w:val="en-US" w:eastAsia="zh-CN"/>
        </w:rPr>
        <w:t>25.6</w:t>
      </w:r>
      <w:r>
        <w:rPr>
          <w:rFonts w:hint="default" w:ascii="宋体" w:hAnsi="宋体" w:eastAsia="宋体" w:cs="宋体"/>
          <w:bCs/>
          <w:color w:val="auto"/>
          <w:sz w:val="21"/>
          <w:szCs w:val="21"/>
          <w:highlight w:val="none"/>
          <w:lang w:val="en-US" w:eastAsia="zh-CN"/>
        </w:rPr>
        <w:t>、必须落实专人，每天巡查不少于2次，原则上安排在8:00-10:00、14:00-16:00，对巡查中发现的问题原则上当天处理完毕，苗木损坏、设施破损等须立即通知甲方管理人员处理。未及时发现或上报造成的损失由乙方自行承担，现场由乙方恢复原状，费用</w:t>
      </w:r>
      <w:r>
        <w:rPr>
          <w:rFonts w:hint="eastAsia" w:hAnsi="宋体" w:cs="宋体"/>
          <w:bCs/>
          <w:color w:val="auto"/>
          <w:sz w:val="21"/>
          <w:szCs w:val="21"/>
          <w:highlight w:val="none"/>
          <w:lang w:val="en-US" w:eastAsia="zh-CN"/>
        </w:rPr>
        <w:t>在季度结算时一并扣除</w:t>
      </w:r>
      <w:r>
        <w:rPr>
          <w:rFonts w:hint="default" w:ascii="宋体" w:hAnsi="宋体" w:eastAsia="宋体" w:cs="宋体"/>
          <w:bCs/>
          <w:color w:val="auto"/>
          <w:sz w:val="21"/>
          <w:szCs w:val="21"/>
          <w:highlight w:val="none"/>
          <w:lang w:val="en-US" w:eastAsia="zh-CN"/>
        </w:rPr>
        <w:t>。</w:t>
      </w:r>
    </w:p>
    <w:p>
      <w:pPr>
        <w:pStyle w:val="29"/>
        <w:snapToGrid w:val="0"/>
        <w:spacing w:before="0" w:beforeLines="0" w:after="0" w:afterLines="0" w:line="500" w:lineRule="exact"/>
        <w:ind w:firstLine="420" w:firstLineChars="200"/>
        <w:outlineLvl w:val="0"/>
        <w:rPr>
          <w:rFonts w:hint="default" w:ascii="宋体" w:hAnsi="宋体" w:eastAsia="宋体" w:cs="宋体"/>
          <w:bCs/>
          <w:color w:val="auto"/>
          <w:sz w:val="21"/>
          <w:szCs w:val="21"/>
          <w:highlight w:val="none"/>
          <w:lang w:val="en-US" w:eastAsia="zh-CN"/>
        </w:rPr>
      </w:pPr>
      <w:r>
        <w:rPr>
          <w:rFonts w:hint="eastAsia" w:hAnsi="宋体" w:cs="宋体"/>
          <w:bCs/>
          <w:color w:val="auto"/>
          <w:sz w:val="21"/>
          <w:szCs w:val="21"/>
          <w:highlight w:val="none"/>
          <w:lang w:val="en-US" w:eastAsia="zh-CN"/>
        </w:rPr>
        <w:t>25.7</w:t>
      </w:r>
      <w:r>
        <w:rPr>
          <w:rFonts w:hint="default" w:ascii="宋体" w:hAnsi="宋体" w:eastAsia="宋体" w:cs="宋体"/>
          <w:bCs/>
          <w:color w:val="auto"/>
          <w:sz w:val="21"/>
          <w:szCs w:val="21"/>
          <w:highlight w:val="none"/>
          <w:lang w:val="en-US" w:eastAsia="zh-CN"/>
        </w:rPr>
        <w:t>、中标单位须做好区域</w:t>
      </w:r>
      <w:r>
        <w:rPr>
          <w:rFonts w:hint="eastAsia" w:hAnsi="宋体" w:cs="宋体"/>
          <w:bCs/>
          <w:color w:val="auto"/>
          <w:sz w:val="21"/>
          <w:szCs w:val="21"/>
          <w:highlight w:val="none"/>
          <w:lang w:val="en-US" w:eastAsia="zh-CN"/>
        </w:rPr>
        <w:t>绿化</w:t>
      </w:r>
      <w:r>
        <w:rPr>
          <w:rFonts w:hint="default" w:ascii="宋体" w:hAnsi="宋体" w:eastAsia="宋体" w:cs="宋体"/>
          <w:bCs/>
          <w:color w:val="auto"/>
          <w:sz w:val="21"/>
          <w:szCs w:val="21"/>
          <w:highlight w:val="none"/>
          <w:lang w:val="en-US" w:eastAsia="zh-CN"/>
        </w:rPr>
        <w:t>内的日常卫生保洁工作，如出现较多</w:t>
      </w:r>
      <w:r>
        <w:rPr>
          <w:rFonts w:hint="eastAsia" w:hAnsi="宋体" w:cs="宋体"/>
          <w:bCs/>
          <w:color w:val="auto"/>
          <w:sz w:val="21"/>
          <w:szCs w:val="21"/>
          <w:highlight w:val="none"/>
          <w:lang w:val="en-US" w:eastAsia="zh-CN"/>
        </w:rPr>
        <w:t>绿化</w:t>
      </w:r>
      <w:r>
        <w:rPr>
          <w:rFonts w:hint="default" w:ascii="宋体" w:hAnsi="宋体" w:eastAsia="宋体" w:cs="宋体"/>
          <w:bCs/>
          <w:color w:val="auto"/>
          <w:sz w:val="21"/>
          <w:szCs w:val="21"/>
          <w:highlight w:val="none"/>
          <w:lang w:val="en-US" w:eastAsia="zh-CN"/>
        </w:rPr>
        <w:t>垃圾时必须增派人员突击清除。</w:t>
      </w:r>
    </w:p>
    <w:p>
      <w:pPr>
        <w:pStyle w:val="29"/>
        <w:snapToGrid w:val="0"/>
        <w:spacing w:before="0" w:beforeLines="0" w:after="0" w:afterLines="0" w:line="500" w:lineRule="exact"/>
        <w:ind w:firstLine="420" w:firstLineChars="200"/>
        <w:outlineLvl w:val="0"/>
        <w:rPr>
          <w:rFonts w:hint="default"/>
          <w:color w:val="auto"/>
          <w:highlight w:val="none"/>
          <w:lang w:val="en-US" w:eastAsia="zh-CN"/>
        </w:rPr>
      </w:pPr>
      <w:r>
        <w:rPr>
          <w:rFonts w:hint="eastAsia" w:ascii="宋体" w:hAnsi="宋体" w:eastAsia="宋体" w:cs="宋体"/>
          <w:bCs/>
          <w:color w:val="auto"/>
          <w:sz w:val="21"/>
          <w:szCs w:val="21"/>
          <w:highlight w:val="none"/>
          <w:lang w:val="en-US" w:eastAsia="zh-CN"/>
        </w:rPr>
        <w:t>2</w:t>
      </w:r>
      <w:r>
        <w:rPr>
          <w:rFonts w:hint="eastAsia" w:hAnsi="宋体" w:cs="宋体"/>
          <w:bCs/>
          <w:color w:val="auto"/>
          <w:sz w:val="21"/>
          <w:szCs w:val="21"/>
          <w:highlight w:val="none"/>
          <w:lang w:val="en-US" w:eastAsia="zh-CN"/>
        </w:rPr>
        <w:t>6</w:t>
      </w:r>
      <w:r>
        <w:rPr>
          <w:rFonts w:hint="eastAsia" w:ascii="宋体" w:hAnsi="宋体" w:eastAsia="宋体" w:cs="宋体"/>
          <w:bCs/>
          <w:color w:val="auto"/>
          <w:sz w:val="21"/>
          <w:szCs w:val="21"/>
          <w:highlight w:val="none"/>
          <w:lang w:val="en-US" w:eastAsia="zh-CN"/>
        </w:rPr>
        <w:t>、养护单位须有应急</w:t>
      </w:r>
      <w:r>
        <w:rPr>
          <w:rFonts w:hint="eastAsia" w:hAnsi="宋体" w:cs="宋体"/>
          <w:bCs/>
          <w:color w:val="auto"/>
          <w:sz w:val="21"/>
          <w:szCs w:val="21"/>
          <w:highlight w:val="none"/>
          <w:lang w:val="en-US" w:eastAsia="zh-CN"/>
        </w:rPr>
        <w:t>处理相关设施设备</w:t>
      </w:r>
      <w:r>
        <w:rPr>
          <w:rFonts w:hint="eastAsia" w:ascii="宋体" w:hAnsi="宋体" w:eastAsia="宋体" w:cs="宋体"/>
          <w:bCs/>
          <w:color w:val="auto"/>
          <w:sz w:val="21"/>
          <w:szCs w:val="21"/>
          <w:highlight w:val="none"/>
          <w:lang w:val="en-US" w:eastAsia="zh-CN"/>
        </w:rPr>
        <w:t>的仓库，常备应急设备、</w:t>
      </w:r>
      <w:r>
        <w:rPr>
          <w:rFonts w:hint="eastAsia" w:hAnsi="宋体" w:cs="宋体"/>
          <w:bCs/>
          <w:color w:val="auto"/>
          <w:sz w:val="21"/>
          <w:szCs w:val="21"/>
          <w:highlight w:val="none"/>
          <w:lang w:val="en-US" w:eastAsia="zh-CN"/>
        </w:rPr>
        <w:t>车辆及</w:t>
      </w:r>
      <w:r>
        <w:rPr>
          <w:rFonts w:hint="eastAsia" w:ascii="宋体" w:hAnsi="宋体" w:eastAsia="宋体" w:cs="宋体"/>
          <w:bCs/>
          <w:color w:val="auto"/>
          <w:sz w:val="21"/>
          <w:szCs w:val="21"/>
          <w:highlight w:val="none"/>
          <w:lang w:val="en-US" w:eastAsia="zh-CN"/>
        </w:rPr>
        <w:t>防倒伏的支架</w:t>
      </w:r>
      <w:r>
        <w:rPr>
          <w:rFonts w:hint="eastAsia" w:hAnsi="宋体" w:cs="宋体"/>
          <w:bCs/>
          <w:color w:val="auto"/>
          <w:sz w:val="21"/>
          <w:szCs w:val="21"/>
          <w:highlight w:val="none"/>
          <w:lang w:val="en-US" w:eastAsia="zh-CN"/>
        </w:rPr>
        <w:t>（数量应</w:t>
      </w:r>
      <w:r>
        <w:rPr>
          <w:rFonts w:hint="eastAsia" w:ascii="宋体" w:hAnsi="宋体" w:eastAsia="宋体" w:cs="宋体"/>
          <w:bCs/>
          <w:color w:val="auto"/>
          <w:sz w:val="21"/>
          <w:szCs w:val="21"/>
          <w:highlight w:val="none"/>
          <w:lang w:val="en-US" w:eastAsia="zh-CN"/>
        </w:rPr>
        <w:t>满足应急突发所需</w:t>
      </w:r>
      <w:r>
        <w:rPr>
          <w:rFonts w:hint="eastAsia" w:hAnsi="宋体" w:cs="宋体"/>
          <w:bCs/>
          <w:color w:val="auto"/>
          <w:sz w:val="21"/>
          <w:szCs w:val="21"/>
          <w:highlight w:val="none"/>
          <w:lang w:val="en-US" w:eastAsia="zh-CN"/>
        </w:rPr>
        <w:t>）</w:t>
      </w:r>
    </w:p>
    <w:p>
      <w:pPr>
        <w:pStyle w:val="29"/>
        <w:snapToGrid w:val="0"/>
        <w:spacing w:before="0" w:beforeLines="0" w:after="0" w:afterLines="0" w:line="500" w:lineRule="exact"/>
        <w:ind w:firstLine="422" w:firstLineChars="200"/>
        <w:outlineLvl w:val="0"/>
        <w:rPr>
          <w:rFonts w:hint="eastAsia" w:ascii="宋体" w:hAnsi="宋体" w:eastAsia="宋体" w:cs="宋体"/>
          <w:b/>
          <w:color w:val="auto"/>
          <w:sz w:val="21"/>
          <w:szCs w:val="21"/>
          <w:highlight w:val="none"/>
        </w:rPr>
      </w:pPr>
      <w:bookmarkStart w:id="26" w:name="_Toc3313"/>
      <w:bookmarkStart w:id="27" w:name="_Toc23319"/>
      <w:bookmarkStart w:id="28" w:name="_Toc14666"/>
      <w:r>
        <w:rPr>
          <w:rFonts w:hint="eastAsia" w:hAnsi="宋体" w:cs="宋体"/>
          <w:b/>
          <w:color w:val="auto"/>
          <w:sz w:val="21"/>
          <w:szCs w:val="21"/>
          <w:highlight w:val="none"/>
          <w:lang w:val="en-US" w:eastAsia="zh-CN"/>
        </w:rPr>
        <w:t>四</w:t>
      </w:r>
      <w:r>
        <w:rPr>
          <w:rFonts w:hint="eastAsia" w:ascii="宋体" w:hAnsi="宋体" w:eastAsia="宋体" w:cs="宋体"/>
          <w:b/>
          <w:color w:val="auto"/>
          <w:sz w:val="21"/>
          <w:szCs w:val="21"/>
          <w:highlight w:val="none"/>
          <w:lang w:val="en-US" w:eastAsia="zh-CN"/>
        </w:rPr>
        <w:t>、</w:t>
      </w:r>
      <w:r>
        <w:rPr>
          <w:rFonts w:hint="eastAsia" w:ascii="宋体" w:hAnsi="宋体" w:eastAsia="宋体" w:cs="宋体"/>
          <w:b/>
          <w:color w:val="auto"/>
          <w:sz w:val="21"/>
          <w:szCs w:val="21"/>
          <w:highlight w:val="none"/>
        </w:rPr>
        <w:t>商务条款</w:t>
      </w:r>
      <w:bookmarkEnd w:id="26"/>
      <w:bookmarkEnd w:id="27"/>
      <w:bookmarkEnd w:id="28"/>
    </w:p>
    <w:p>
      <w:pPr>
        <w:pStyle w:val="29"/>
        <w:snapToGrid w:val="0"/>
        <w:spacing w:before="0" w:beforeLines="0" w:after="0" w:afterLines="0" w:line="500" w:lineRule="exact"/>
        <w:ind w:firstLine="210" w:firstLineChars="100"/>
        <w:outlineLvl w:val="0"/>
        <w:rPr>
          <w:rFonts w:hint="eastAsia" w:ascii="宋体" w:hAnsi="宋体" w:eastAsia="宋体" w:cs="宋体"/>
          <w:bCs/>
          <w:color w:val="auto"/>
          <w:sz w:val="21"/>
          <w:szCs w:val="21"/>
          <w:highlight w:val="none"/>
          <w:lang w:eastAsia="zh-CN"/>
        </w:rPr>
      </w:pPr>
      <w:bookmarkStart w:id="29" w:name="_Toc16197"/>
      <w:bookmarkStart w:id="30" w:name="_Toc1259"/>
      <w:bookmarkStart w:id="31" w:name="_Toc17563"/>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lang w:val="en-US" w:eastAsia="zh-CN"/>
        </w:rPr>
        <w:t>一</w:t>
      </w: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rPr>
        <w:t>服务期</w:t>
      </w:r>
      <w:r>
        <w:rPr>
          <w:rFonts w:hint="eastAsia" w:ascii="宋体" w:hAnsi="宋体" w:eastAsia="宋体" w:cs="宋体"/>
          <w:bCs/>
          <w:color w:val="auto"/>
          <w:sz w:val="21"/>
          <w:szCs w:val="21"/>
          <w:highlight w:val="none"/>
          <w:lang w:eastAsia="zh-CN"/>
        </w:rPr>
        <w:t>限：自签订合同之日起一年，经考核合格后可</w:t>
      </w:r>
      <w:r>
        <w:rPr>
          <w:rFonts w:hint="eastAsia" w:hAnsi="宋体" w:cs="宋体"/>
          <w:bCs/>
          <w:color w:val="auto"/>
          <w:sz w:val="21"/>
          <w:szCs w:val="21"/>
          <w:highlight w:val="none"/>
          <w:lang w:eastAsia="zh-CN"/>
        </w:rPr>
        <w:t>续签一年，最多续签二年</w:t>
      </w:r>
      <w:r>
        <w:rPr>
          <w:rFonts w:hint="eastAsia" w:hAnsi="宋体" w:cs="宋体"/>
          <w:b w:val="0"/>
          <w:bCs/>
          <w:color w:val="auto"/>
          <w:sz w:val="21"/>
          <w:szCs w:val="21"/>
          <w:highlight w:val="none"/>
          <w:lang w:eastAsia="zh-CN"/>
        </w:rPr>
        <w:t>。</w:t>
      </w:r>
      <w:bookmarkEnd w:id="29"/>
      <w:bookmarkEnd w:id="30"/>
      <w:bookmarkEnd w:id="31"/>
    </w:p>
    <w:p>
      <w:pPr>
        <w:pStyle w:val="29"/>
        <w:numPr>
          <w:ilvl w:val="0"/>
          <w:numId w:val="0"/>
        </w:numPr>
        <w:snapToGrid w:val="0"/>
        <w:spacing w:before="0" w:beforeLines="0" w:after="0" w:afterLines="0" w:line="500" w:lineRule="exact"/>
        <w:ind w:firstLine="210" w:firstLineChars="100"/>
        <w:outlineLvl w:val="0"/>
        <w:rPr>
          <w:rFonts w:hint="eastAsia" w:ascii="宋体" w:hAnsi="宋体" w:eastAsia="宋体" w:cs="宋体"/>
          <w:bCs/>
          <w:color w:val="auto"/>
          <w:sz w:val="21"/>
          <w:szCs w:val="21"/>
          <w:highlight w:val="none"/>
          <w:lang w:eastAsia="zh-CN"/>
        </w:rPr>
      </w:pPr>
      <w:bookmarkStart w:id="32" w:name="_Toc3853"/>
      <w:bookmarkStart w:id="33" w:name="_Toc17593"/>
      <w:bookmarkStart w:id="34" w:name="_Toc24147"/>
      <w:r>
        <w:rPr>
          <w:rFonts w:hint="eastAsia" w:ascii="宋体" w:hAnsi="宋体" w:eastAsia="宋体" w:cs="宋体"/>
          <w:bCs/>
          <w:color w:val="auto"/>
          <w:sz w:val="21"/>
          <w:szCs w:val="21"/>
          <w:highlight w:val="none"/>
          <w:lang w:eastAsia="zh-CN"/>
        </w:rPr>
        <w:t>（二）履约保证金：</w:t>
      </w:r>
      <w:r>
        <w:rPr>
          <w:rFonts w:hint="eastAsia" w:hAnsi="宋体" w:cs="宋体"/>
          <w:bCs/>
          <w:color w:val="auto"/>
          <w:sz w:val="21"/>
          <w:szCs w:val="21"/>
          <w:highlight w:val="none"/>
          <w:lang w:eastAsia="zh-CN"/>
        </w:rPr>
        <w:t>本项目不设置</w:t>
      </w:r>
      <w:r>
        <w:rPr>
          <w:rFonts w:hint="eastAsia" w:ascii="宋体" w:hAnsi="宋体" w:eastAsia="宋体" w:cs="宋体"/>
          <w:bCs/>
          <w:color w:val="auto"/>
          <w:sz w:val="21"/>
          <w:szCs w:val="21"/>
          <w:highlight w:val="none"/>
          <w:lang w:eastAsia="zh-CN"/>
        </w:rPr>
        <w:t>。</w:t>
      </w:r>
      <w:bookmarkEnd w:id="32"/>
      <w:bookmarkEnd w:id="33"/>
      <w:bookmarkEnd w:id="34"/>
    </w:p>
    <w:p>
      <w:pPr>
        <w:pStyle w:val="29"/>
        <w:numPr>
          <w:ilvl w:val="0"/>
          <w:numId w:val="0"/>
        </w:numPr>
        <w:snapToGrid w:val="0"/>
        <w:spacing w:before="0" w:beforeLines="0" w:after="0" w:afterLines="0" w:line="500" w:lineRule="exact"/>
        <w:ind w:firstLine="210" w:firstLineChars="100"/>
        <w:outlineLvl w:val="0"/>
        <w:rPr>
          <w:rFonts w:hint="eastAsia" w:ascii="宋体" w:hAnsi="宋体" w:eastAsia="宋体" w:cs="宋体"/>
          <w:bCs/>
          <w:color w:val="auto"/>
          <w:sz w:val="21"/>
          <w:szCs w:val="21"/>
          <w:highlight w:val="none"/>
        </w:rPr>
      </w:pPr>
      <w:bookmarkStart w:id="35" w:name="_Toc31903"/>
      <w:bookmarkStart w:id="36" w:name="_Toc24157"/>
      <w:bookmarkStart w:id="37" w:name="_Toc9234"/>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lang w:val="en-US" w:eastAsia="zh-CN"/>
        </w:rPr>
        <w:t>三</w:t>
      </w: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rPr>
        <w:t>付款方式：</w:t>
      </w:r>
      <w:bookmarkEnd w:id="35"/>
      <w:bookmarkEnd w:id="36"/>
      <w:bookmarkEnd w:id="37"/>
    </w:p>
    <w:p>
      <w:pPr>
        <w:pStyle w:val="29"/>
        <w:snapToGrid w:val="0"/>
        <w:spacing w:before="0" w:beforeLines="0" w:after="0" w:afterLines="0" w:line="500" w:lineRule="exact"/>
        <w:ind w:firstLine="420" w:firstLineChars="200"/>
        <w:outlineLvl w:val="0"/>
        <w:rPr>
          <w:rFonts w:hint="eastAsia" w:ascii="宋体" w:hAnsi="宋体" w:eastAsia="宋体" w:cs="宋体"/>
          <w:bCs/>
          <w:color w:val="auto"/>
          <w:sz w:val="21"/>
          <w:szCs w:val="21"/>
          <w:highlight w:val="none"/>
        </w:rPr>
      </w:pPr>
      <w:bookmarkStart w:id="38" w:name="_Toc13838"/>
      <w:r>
        <w:rPr>
          <w:rFonts w:hint="eastAsia" w:ascii="宋体" w:hAnsi="宋体" w:eastAsia="宋体" w:cs="宋体"/>
          <w:bCs/>
          <w:color w:val="auto"/>
          <w:sz w:val="21"/>
          <w:szCs w:val="21"/>
          <w:highlight w:val="none"/>
        </w:rPr>
        <w:t>1、政策性条款：</w:t>
      </w:r>
      <w:bookmarkEnd w:id="38"/>
    </w:p>
    <w:p>
      <w:pPr>
        <w:pStyle w:val="29"/>
        <w:numPr>
          <w:ilvl w:val="0"/>
          <w:numId w:val="0"/>
        </w:numPr>
        <w:snapToGrid w:val="0"/>
        <w:spacing w:before="0" w:beforeLines="0" w:after="0" w:afterLines="0" w:line="500" w:lineRule="exact"/>
        <w:ind w:firstLine="420" w:firstLineChars="200"/>
        <w:outlineLvl w:val="0"/>
        <w:rPr>
          <w:rFonts w:hint="eastAsia" w:ascii="宋体" w:hAnsi="宋体" w:eastAsia="宋体" w:cs="宋体"/>
          <w:color w:val="auto"/>
          <w:sz w:val="21"/>
          <w:szCs w:val="21"/>
          <w:highlight w:val="none"/>
          <w:lang w:val="zh-CN"/>
        </w:rPr>
      </w:pPr>
      <w:bookmarkStart w:id="39" w:name="_Toc6457"/>
      <w:r>
        <w:rPr>
          <w:rFonts w:hint="eastAsia" w:ascii="宋体" w:hAnsi="宋体" w:eastAsia="宋体" w:cs="宋体"/>
          <w:color w:val="auto"/>
          <w:sz w:val="21"/>
          <w:szCs w:val="21"/>
          <w:highlight w:val="none"/>
          <w:lang w:val="zh-CN"/>
        </w:rPr>
        <w:t>根据浙《江省财政厅关于坚决打赢疫情防控阻击战进一步做好政府采购资金支持企业发展工作的通知》[浙财采监〔2020〕3号]规定：</w:t>
      </w:r>
      <w:bookmarkEnd w:id="39"/>
    </w:p>
    <w:p>
      <w:pPr>
        <w:pStyle w:val="29"/>
        <w:numPr>
          <w:ilvl w:val="0"/>
          <w:numId w:val="0"/>
        </w:numPr>
        <w:snapToGrid w:val="0"/>
        <w:spacing w:before="0" w:beforeLines="0" w:after="0" w:afterLines="0" w:line="500" w:lineRule="exact"/>
        <w:ind w:firstLine="420" w:firstLineChars="200"/>
        <w:outlineLvl w:val="0"/>
        <w:rPr>
          <w:rFonts w:hint="eastAsia" w:ascii="宋体" w:hAnsi="宋体" w:eastAsia="宋体" w:cs="宋体"/>
          <w:color w:val="auto"/>
          <w:sz w:val="21"/>
          <w:szCs w:val="21"/>
          <w:highlight w:val="none"/>
          <w:lang w:val="zh-CN"/>
        </w:rPr>
      </w:pPr>
      <w:bookmarkStart w:id="40" w:name="_Toc7151"/>
      <w:r>
        <w:rPr>
          <w:rFonts w:hint="eastAsia" w:ascii="宋体" w:hAnsi="宋体" w:eastAsia="宋体" w:cs="宋体"/>
          <w:color w:val="auto"/>
          <w:sz w:val="21"/>
          <w:szCs w:val="21"/>
          <w:highlight w:val="none"/>
          <w:lang w:val="zh-CN"/>
        </w:rPr>
        <w:t>（1）各采购单位应当在政府采购合同中约定预付款，预付款比例原则上不低于合同金额的40％；项目分年安排预算的，每年预付款比例不低于项目年度计划支付资金额的40％。采购项目实施以人工投入为主的，可适当降低预付款比例，但不得低于10%。与疫情防控有关的采购合同最高预付比例可达100%，切实增强供应商履约能力。在签订合同时，供应商明确表示无需预付款或者主动要求降低预付款比例的，采购单位可不适用前述规定。政府采购工程以及与工程建设有关的货物、服务，采用招标方式采购的，预付款从其相关规定。</w:t>
      </w:r>
      <w:bookmarkEnd w:id="40"/>
    </w:p>
    <w:p>
      <w:pPr>
        <w:pStyle w:val="29"/>
        <w:numPr>
          <w:ilvl w:val="0"/>
          <w:numId w:val="0"/>
        </w:numPr>
        <w:snapToGrid w:val="0"/>
        <w:spacing w:before="0" w:beforeLines="0" w:after="0" w:afterLines="0" w:line="500" w:lineRule="exact"/>
        <w:ind w:firstLine="420" w:firstLineChars="200"/>
        <w:outlineLvl w:val="0"/>
        <w:rPr>
          <w:rFonts w:hint="eastAsia" w:ascii="宋体" w:hAnsi="宋体" w:eastAsia="宋体" w:cs="宋体"/>
          <w:color w:val="auto"/>
          <w:sz w:val="21"/>
          <w:szCs w:val="21"/>
          <w:highlight w:val="none"/>
          <w:lang w:val="zh-CN"/>
        </w:rPr>
      </w:pPr>
      <w:bookmarkStart w:id="41" w:name="_Toc3675"/>
      <w:r>
        <w:rPr>
          <w:rFonts w:hint="eastAsia" w:ascii="宋体" w:hAnsi="宋体" w:eastAsia="宋体" w:cs="宋体"/>
          <w:color w:val="auto"/>
          <w:sz w:val="21"/>
          <w:szCs w:val="21"/>
          <w:highlight w:val="none"/>
          <w:lang w:val="zh-CN"/>
        </w:rPr>
        <w:t>（2）政府采购预付款应在合同生效以及具备实施条件后15日内支付。项目分年安排预算的，第二年预付时间为次年相对应月份，以此类推；当年度预付款尚未扣回的，次年不重复安排。</w:t>
      </w:r>
      <w:bookmarkEnd w:id="41"/>
    </w:p>
    <w:p>
      <w:pPr>
        <w:pStyle w:val="29"/>
        <w:numPr>
          <w:ilvl w:val="0"/>
          <w:numId w:val="0"/>
        </w:numPr>
        <w:snapToGrid w:val="0"/>
        <w:spacing w:before="0" w:beforeLines="0" w:after="0" w:afterLines="0" w:line="500" w:lineRule="exact"/>
        <w:ind w:firstLine="420" w:firstLineChars="200"/>
        <w:outlineLvl w:val="0"/>
        <w:rPr>
          <w:rFonts w:hint="eastAsia" w:ascii="宋体" w:hAnsi="宋体" w:eastAsia="宋体" w:cs="宋体"/>
          <w:color w:val="auto"/>
          <w:sz w:val="21"/>
          <w:szCs w:val="21"/>
          <w:highlight w:val="none"/>
          <w:lang w:val="zh-CN"/>
        </w:rPr>
      </w:pPr>
      <w:bookmarkStart w:id="42" w:name="_Toc2527"/>
      <w:r>
        <w:rPr>
          <w:rFonts w:hint="eastAsia" w:ascii="宋体" w:hAnsi="宋体" w:eastAsia="宋体" w:cs="宋体"/>
          <w:color w:val="auto"/>
          <w:sz w:val="21"/>
          <w:szCs w:val="21"/>
          <w:highlight w:val="none"/>
          <w:lang w:val="zh-CN"/>
        </w:rPr>
        <w:t>（3）各采购单位可根据项目特点、供应商信用等情况，决定是否要求供应商提交银行、保险公司等金融机构出具的预付款保函或其他担保措施。疫情期间，对受疫情影响严重的中小微企业应当取消或者减少预付款担保。</w:t>
      </w:r>
      <w:bookmarkEnd w:id="42"/>
    </w:p>
    <w:p>
      <w:pPr>
        <w:pStyle w:val="29"/>
        <w:numPr>
          <w:ilvl w:val="0"/>
          <w:numId w:val="0"/>
        </w:numPr>
        <w:snapToGrid w:val="0"/>
        <w:spacing w:before="0" w:beforeLines="0" w:after="0" w:afterLines="0" w:line="500" w:lineRule="exact"/>
        <w:ind w:firstLine="420" w:firstLineChars="200"/>
        <w:outlineLvl w:val="0"/>
        <w:rPr>
          <w:rFonts w:hint="eastAsia" w:ascii="宋体" w:hAnsi="宋体" w:eastAsia="宋体" w:cs="宋体"/>
          <w:color w:val="auto"/>
          <w:sz w:val="21"/>
          <w:szCs w:val="21"/>
          <w:highlight w:val="none"/>
        </w:rPr>
      </w:pPr>
      <w:bookmarkStart w:id="43" w:name="_Toc10611"/>
      <w:bookmarkStart w:id="44" w:name="_Toc26078"/>
      <w:bookmarkStart w:id="45" w:name="_Toc6062"/>
      <w:r>
        <w:rPr>
          <w:rFonts w:hint="eastAsia" w:ascii="宋体" w:hAnsi="宋体" w:eastAsia="宋体" w:cs="宋体"/>
          <w:color w:val="auto"/>
          <w:sz w:val="21"/>
          <w:szCs w:val="21"/>
          <w:highlight w:val="none"/>
        </w:rPr>
        <w:t>2.</w:t>
      </w:r>
      <w:bookmarkEnd w:id="43"/>
      <w:bookmarkEnd w:id="44"/>
      <w:bookmarkEnd w:id="45"/>
      <w:r>
        <w:rPr>
          <w:rFonts w:hint="eastAsia" w:hAnsi="宋体" w:cs="宋体"/>
          <w:color w:val="auto"/>
          <w:sz w:val="21"/>
          <w:szCs w:val="21"/>
          <w:highlight w:val="none"/>
          <w:lang w:eastAsia="zh-CN"/>
        </w:rPr>
        <w:t>本项目预付款为签订合同价的</w:t>
      </w:r>
      <w:r>
        <w:rPr>
          <w:rFonts w:hint="eastAsia" w:hAnsi="宋体" w:cs="宋体"/>
          <w:color w:val="auto"/>
          <w:sz w:val="21"/>
          <w:szCs w:val="21"/>
          <w:highlight w:val="none"/>
          <w:lang w:val="en-US" w:eastAsia="zh-CN"/>
        </w:rPr>
        <w:t>20%，在合同签订后7日内支付；</w:t>
      </w:r>
      <w:r>
        <w:rPr>
          <w:rFonts w:hint="eastAsia" w:hAnsi="宋体" w:cs="宋体"/>
          <w:color w:val="auto"/>
          <w:sz w:val="21"/>
          <w:szCs w:val="21"/>
          <w:highlight w:val="none"/>
          <w:lang w:val="zh-CN"/>
        </w:rPr>
        <w:t>养护</w:t>
      </w:r>
      <w:r>
        <w:rPr>
          <w:rFonts w:hint="eastAsia" w:ascii="宋体" w:hAnsi="宋体" w:eastAsia="宋体" w:cs="宋体"/>
          <w:color w:val="auto"/>
          <w:sz w:val="21"/>
          <w:szCs w:val="21"/>
          <w:highlight w:val="none"/>
          <w:lang w:val="zh-CN"/>
        </w:rPr>
        <w:t>费每</w:t>
      </w:r>
      <w:r>
        <w:rPr>
          <w:rFonts w:hint="eastAsia" w:hAnsi="宋体" w:cs="宋体"/>
          <w:color w:val="auto"/>
          <w:sz w:val="21"/>
          <w:szCs w:val="21"/>
          <w:highlight w:val="none"/>
          <w:lang w:val="zh-CN"/>
        </w:rPr>
        <w:t>季度</w:t>
      </w:r>
      <w:r>
        <w:rPr>
          <w:rFonts w:hint="eastAsia" w:ascii="宋体" w:hAnsi="宋体" w:eastAsia="宋体" w:cs="宋体"/>
          <w:color w:val="auto"/>
          <w:sz w:val="21"/>
          <w:szCs w:val="21"/>
          <w:highlight w:val="none"/>
          <w:lang w:val="zh-CN"/>
        </w:rPr>
        <w:t>结算一次，采购人按照实际考核结果扣款后在每</w:t>
      </w:r>
      <w:r>
        <w:rPr>
          <w:rFonts w:hint="eastAsia" w:hAnsi="宋体" w:cs="宋体"/>
          <w:color w:val="auto"/>
          <w:sz w:val="21"/>
          <w:szCs w:val="21"/>
          <w:highlight w:val="none"/>
          <w:lang w:val="zh-CN"/>
        </w:rPr>
        <w:t>季度</w:t>
      </w:r>
      <w:r>
        <w:rPr>
          <w:rFonts w:hint="eastAsia" w:ascii="宋体" w:hAnsi="宋体" w:eastAsia="宋体" w:cs="宋体"/>
          <w:color w:val="auto"/>
          <w:sz w:val="21"/>
          <w:szCs w:val="21"/>
          <w:highlight w:val="none"/>
          <w:lang w:val="zh-CN"/>
        </w:rPr>
        <w:t>的</w:t>
      </w:r>
      <w:r>
        <w:rPr>
          <w:rFonts w:hint="eastAsia" w:hAnsi="宋体" w:cs="宋体"/>
          <w:color w:val="auto"/>
          <w:sz w:val="21"/>
          <w:szCs w:val="21"/>
          <w:highlight w:val="none"/>
          <w:lang w:val="zh-CN"/>
        </w:rPr>
        <w:t>最后一个</w:t>
      </w:r>
      <w:r>
        <w:rPr>
          <w:rFonts w:hint="eastAsia" w:ascii="宋体" w:hAnsi="宋体" w:eastAsia="宋体" w:cs="宋体"/>
          <w:color w:val="auto"/>
          <w:sz w:val="21"/>
          <w:szCs w:val="21"/>
          <w:highlight w:val="none"/>
          <w:lang w:val="zh-CN"/>
        </w:rPr>
        <w:t>月向中标单位支付费用（须开税务发票）。</w:t>
      </w:r>
    </w:p>
    <w:p>
      <w:pPr>
        <w:pStyle w:val="29"/>
        <w:snapToGrid w:val="0"/>
        <w:spacing w:before="0" w:beforeLines="0" w:after="0" w:afterLines="0" w:line="500" w:lineRule="exact"/>
        <w:ind w:firstLine="420" w:firstLineChars="200"/>
        <w:outlineLvl w:val="0"/>
        <w:rPr>
          <w:rFonts w:hint="eastAsia" w:ascii="宋体" w:hAnsi="宋体" w:eastAsia="宋体" w:cs="宋体"/>
          <w:bCs/>
          <w:color w:val="auto"/>
          <w:sz w:val="21"/>
          <w:szCs w:val="21"/>
          <w:highlight w:val="none"/>
        </w:rPr>
      </w:pPr>
      <w:bookmarkStart w:id="46" w:name="_Toc17179"/>
      <w:bookmarkStart w:id="47" w:name="_Toc13835"/>
      <w:bookmarkStart w:id="48" w:name="_Toc17445"/>
      <w:r>
        <w:rPr>
          <w:rFonts w:hint="eastAsia" w:ascii="宋体" w:hAnsi="宋体" w:eastAsia="宋体" w:cs="宋体"/>
          <w:bCs/>
          <w:color w:val="auto"/>
          <w:sz w:val="21"/>
          <w:szCs w:val="21"/>
          <w:highlight w:val="none"/>
          <w:lang w:val="en-US" w:eastAsia="zh-CN"/>
        </w:rPr>
        <w:t>十</w:t>
      </w:r>
      <w:r>
        <w:rPr>
          <w:rFonts w:hint="eastAsia" w:ascii="宋体" w:hAnsi="宋体" w:eastAsia="宋体" w:cs="宋体"/>
          <w:bCs/>
          <w:color w:val="auto"/>
          <w:sz w:val="21"/>
          <w:szCs w:val="21"/>
          <w:highlight w:val="none"/>
        </w:rPr>
        <w:t>、考核</w:t>
      </w:r>
      <w:bookmarkEnd w:id="46"/>
      <w:bookmarkEnd w:id="47"/>
      <w:bookmarkEnd w:id="48"/>
    </w:p>
    <w:p>
      <w:pPr>
        <w:pStyle w:val="29"/>
        <w:snapToGrid w:val="0"/>
        <w:spacing w:before="0" w:beforeLines="0" w:after="0" w:afterLines="0" w:line="500" w:lineRule="exact"/>
        <w:ind w:firstLine="420" w:firstLineChars="200"/>
        <w:outlineLvl w:val="0"/>
        <w:rPr>
          <w:rFonts w:hint="eastAsia" w:ascii="宋体" w:hAnsi="宋体" w:eastAsia="宋体" w:cs="宋体"/>
          <w:bCs/>
          <w:color w:val="auto"/>
          <w:sz w:val="21"/>
          <w:szCs w:val="21"/>
          <w:highlight w:val="none"/>
        </w:rPr>
      </w:pPr>
      <w:bookmarkStart w:id="49" w:name="_Toc13502"/>
      <w:bookmarkStart w:id="50" w:name="_Toc119"/>
      <w:bookmarkStart w:id="51" w:name="_Toc15351"/>
      <w:r>
        <w:rPr>
          <w:rFonts w:hint="eastAsia" w:ascii="宋体" w:hAnsi="宋体" w:eastAsia="宋体" w:cs="宋体"/>
          <w:bCs/>
          <w:color w:val="auto"/>
          <w:sz w:val="21"/>
          <w:szCs w:val="21"/>
          <w:highlight w:val="none"/>
        </w:rPr>
        <w:t>按招标内容及要求及考核办法执行。</w:t>
      </w:r>
      <w:bookmarkEnd w:id="49"/>
      <w:bookmarkEnd w:id="50"/>
      <w:bookmarkEnd w:id="51"/>
    </w:p>
    <w:p>
      <w:pPr>
        <w:pStyle w:val="29"/>
        <w:snapToGrid w:val="0"/>
        <w:spacing w:before="0" w:beforeLines="0" w:after="0" w:afterLines="0" w:line="500" w:lineRule="exact"/>
        <w:ind w:firstLine="420" w:firstLineChars="200"/>
        <w:outlineLvl w:val="0"/>
        <w:rPr>
          <w:rFonts w:hint="eastAsia" w:ascii="宋体" w:hAnsi="宋体" w:eastAsia="宋体" w:cs="宋体"/>
          <w:bCs/>
          <w:color w:val="auto"/>
          <w:sz w:val="21"/>
          <w:szCs w:val="21"/>
          <w:highlight w:val="none"/>
        </w:rPr>
      </w:pPr>
      <w:bookmarkStart w:id="52" w:name="_Toc7508"/>
      <w:bookmarkStart w:id="53" w:name="_Toc14410"/>
      <w:bookmarkStart w:id="54" w:name="_Toc3820"/>
      <w:r>
        <w:rPr>
          <w:rFonts w:hint="eastAsia" w:ascii="宋体" w:hAnsi="宋体" w:eastAsia="宋体" w:cs="宋体"/>
          <w:bCs/>
          <w:color w:val="auto"/>
          <w:sz w:val="21"/>
          <w:szCs w:val="21"/>
          <w:highlight w:val="none"/>
          <w:lang w:val="en-US" w:eastAsia="zh-CN"/>
        </w:rPr>
        <w:t>十一</w:t>
      </w:r>
      <w:r>
        <w:rPr>
          <w:rFonts w:hint="eastAsia" w:ascii="宋体" w:hAnsi="宋体" w:eastAsia="宋体" w:cs="宋体"/>
          <w:bCs/>
          <w:color w:val="auto"/>
          <w:sz w:val="21"/>
          <w:szCs w:val="21"/>
          <w:highlight w:val="none"/>
        </w:rPr>
        <w:t>、其他说明</w:t>
      </w:r>
      <w:bookmarkEnd w:id="52"/>
      <w:bookmarkEnd w:id="53"/>
      <w:bookmarkEnd w:id="54"/>
    </w:p>
    <w:p>
      <w:pPr>
        <w:pStyle w:val="29"/>
        <w:snapToGrid w:val="0"/>
        <w:spacing w:before="0" w:beforeLines="0" w:after="0" w:afterLines="0" w:line="500" w:lineRule="exact"/>
        <w:ind w:firstLine="420" w:firstLineChars="200"/>
        <w:outlineLvl w:val="0"/>
        <w:rPr>
          <w:rFonts w:hint="eastAsia" w:ascii="宋体" w:hAnsi="宋体" w:eastAsia="宋体" w:cs="宋体"/>
          <w:bCs/>
          <w:color w:val="auto"/>
          <w:sz w:val="21"/>
          <w:szCs w:val="21"/>
          <w:highlight w:val="none"/>
        </w:rPr>
      </w:pPr>
      <w:bookmarkStart w:id="55" w:name="_Toc16293"/>
      <w:bookmarkStart w:id="56" w:name="_Toc24158"/>
      <w:bookmarkStart w:id="57" w:name="_Toc9593"/>
      <w:r>
        <w:rPr>
          <w:rFonts w:hint="eastAsia" w:ascii="宋体" w:hAnsi="宋体" w:eastAsia="宋体" w:cs="宋体"/>
          <w:bCs/>
          <w:color w:val="auto"/>
          <w:sz w:val="21"/>
          <w:szCs w:val="21"/>
          <w:highlight w:val="none"/>
        </w:rPr>
        <w:t>1、在中标通知书发出后</w:t>
      </w:r>
      <w:r>
        <w:rPr>
          <w:rFonts w:hint="eastAsia" w:ascii="宋体" w:hAnsi="宋体" w:eastAsia="宋体" w:cs="宋体"/>
          <w:bCs/>
          <w:color w:val="auto"/>
          <w:sz w:val="21"/>
          <w:szCs w:val="21"/>
          <w:highlight w:val="none"/>
          <w:lang w:val="en-US" w:eastAsia="zh-CN"/>
        </w:rPr>
        <w:t>30天内</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lang w:eastAsia="zh-CN"/>
        </w:rPr>
        <w:t>中标单位</w:t>
      </w:r>
      <w:r>
        <w:rPr>
          <w:rFonts w:hint="eastAsia" w:ascii="宋体" w:hAnsi="宋体" w:eastAsia="宋体" w:cs="宋体"/>
          <w:bCs/>
          <w:color w:val="auto"/>
          <w:sz w:val="21"/>
          <w:szCs w:val="21"/>
          <w:highlight w:val="none"/>
        </w:rPr>
        <w:t>凭投标承诺到位</w:t>
      </w:r>
      <w:r>
        <w:rPr>
          <w:rFonts w:hint="eastAsia" w:ascii="宋体" w:hAnsi="宋体" w:eastAsia="宋体" w:cs="宋体"/>
          <w:bCs/>
          <w:color w:val="auto"/>
          <w:sz w:val="21"/>
          <w:szCs w:val="21"/>
          <w:highlight w:val="none"/>
          <w:lang w:eastAsia="zh-CN"/>
        </w:rPr>
        <w:t>的</w:t>
      </w:r>
      <w:r>
        <w:rPr>
          <w:rFonts w:hint="eastAsia" w:ascii="宋体" w:hAnsi="宋体" w:eastAsia="宋体" w:cs="宋体"/>
          <w:bCs/>
          <w:color w:val="auto"/>
          <w:sz w:val="21"/>
          <w:szCs w:val="21"/>
          <w:highlight w:val="none"/>
          <w:lang w:val="en-US" w:eastAsia="zh-CN"/>
        </w:rPr>
        <w:t>人员名单和</w:t>
      </w:r>
      <w:r>
        <w:rPr>
          <w:rFonts w:hint="eastAsia" w:ascii="宋体" w:hAnsi="宋体" w:eastAsia="宋体" w:cs="宋体"/>
          <w:bCs/>
          <w:color w:val="auto"/>
          <w:sz w:val="21"/>
          <w:szCs w:val="21"/>
          <w:highlight w:val="none"/>
          <w:lang w:eastAsia="zh-CN"/>
        </w:rPr>
        <w:t>机械设备（</w:t>
      </w:r>
      <w:r>
        <w:rPr>
          <w:rFonts w:hint="eastAsia" w:ascii="宋体" w:hAnsi="宋体" w:eastAsia="宋体" w:cs="宋体"/>
          <w:bCs/>
          <w:color w:val="auto"/>
          <w:sz w:val="21"/>
          <w:szCs w:val="21"/>
          <w:highlight w:val="none"/>
          <w:lang w:val="en-US" w:eastAsia="zh-CN"/>
        </w:rPr>
        <w:t>附自有或租赁相关证明文件</w:t>
      </w:r>
      <w:r>
        <w:rPr>
          <w:rFonts w:hint="eastAsia" w:ascii="宋体" w:hAnsi="宋体" w:eastAsia="宋体" w:cs="宋体"/>
          <w:bCs/>
          <w:color w:val="auto"/>
          <w:sz w:val="21"/>
          <w:szCs w:val="21"/>
          <w:highlight w:val="none"/>
          <w:lang w:eastAsia="zh-CN"/>
        </w:rPr>
        <w:t>）清单与</w:t>
      </w:r>
      <w:r>
        <w:rPr>
          <w:rFonts w:hint="eastAsia" w:ascii="宋体" w:hAnsi="宋体" w:eastAsia="宋体" w:cs="宋体"/>
          <w:bCs/>
          <w:color w:val="auto"/>
          <w:sz w:val="21"/>
          <w:szCs w:val="21"/>
          <w:highlight w:val="none"/>
        </w:rPr>
        <w:t>采购人签订合同，</w:t>
      </w:r>
      <w:r>
        <w:rPr>
          <w:rFonts w:hint="eastAsia" w:ascii="宋体" w:hAnsi="宋体" w:eastAsia="宋体" w:cs="宋体"/>
          <w:bCs/>
          <w:color w:val="auto"/>
          <w:sz w:val="21"/>
          <w:szCs w:val="21"/>
          <w:highlight w:val="none"/>
          <w:lang w:eastAsia="zh-CN"/>
        </w:rPr>
        <w:t>如在规定时间内未提供或提供不全或拒不签合同的，</w:t>
      </w:r>
      <w:r>
        <w:rPr>
          <w:rFonts w:hint="eastAsia" w:ascii="宋体" w:hAnsi="宋体" w:eastAsia="宋体" w:cs="宋体"/>
          <w:bCs/>
          <w:color w:val="auto"/>
          <w:sz w:val="21"/>
          <w:szCs w:val="21"/>
          <w:highlight w:val="none"/>
        </w:rPr>
        <w:t>采购人有权取消</w:t>
      </w:r>
      <w:r>
        <w:rPr>
          <w:rFonts w:hint="eastAsia" w:ascii="宋体" w:hAnsi="宋体" w:eastAsia="宋体" w:cs="宋体"/>
          <w:bCs/>
          <w:color w:val="auto"/>
          <w:sz w:val="21"/>
          <w:szCs w:val="21"/>
          <w:highlight w:val="none"/>
          <w:lang w:eastAsia="zh-CN"/>
        </w:rPr>
        <w:t>中标单位</w:t>
      </w:r>
      <w:r>
        <w:rPr>
          <w:rFonts w:hint="eastAsia" w:ascii="宋体" w:hAnsi="宋体" w:eastAsia="宋体" w:cs="宋体"/>
          <w:bCs/>
          <w:color w:val="auto"/>
          <w:sz w:val="21"/>
          <w:szCs w:val="21"/>
          <w:highlight w:val="none"/>
        </w:rPr>
        <w:t>的中标资格，报财政部门备案后推荐排序居次的中标候选人为</w:t>
      </w:r>
      <w:r>
        <w:rPr>
          <w:rFonts w:hint="eastAsia" w:ascii="宋体" w:hAnsi="宋体" w:eastAsia="宋体" w:cs="宋体"/>
          <w:bCs/>
          <w:color w:val="auto"/>
          <w:sz w:val="21"/>
          <w:szCs w:val="21"/>
          <w:highlight w:val="none"/>
          <w:lang w:eastAsia="zh-CN"/>
        </w:rPr>
        <w:t>中标单位</w:t>
      </w:r>
      <w:r>
        <w:rPr>
          <w:rFonts w:hint="eastAsia" w:ascii="宋体" w:hAnsi="宋体" w:eastAsia="宋体" w:cs="宋体"/>
          <w:bCs/>
          <w:color w:val="auto"/>
          <w:sz w:val="21"/>
          <w:szCs w:val="21"/>
          <w:highlight w:val="none"/>
        </w:rPr>
        <w:t>，或重新招标。</w:t>
      </w:r>
      <w:bookmarkEnd w:id="55"/>
      <w:bookmarkEnd w:id="56"/>
      <w:bookmarkEnd w:id="57"/>
    </w:p>
    <w:p>
      <w:pPr>
        <w:pStyle w:val="29"/>
        <w:snapToGrid w:val="0"/>
        <w:spacing w:before="0" w:beforeLines="0" w:after="0" w:afterLines="0" w:line="500" w:lineRule="exact"/>
        <w:ind w:firstLine="420" w:firstLineChars="200"/>
        <w:outlineLvl w:val="0"/>
        <w:rPr>
          <w:rFonts w:hint="eastAsia" w:ascii="宋体" w:hAnsi="宋体" w:eastAsia="宋体" w:cs="宋体"/>
          <w:bCs/>
          <w:color w:val="auto"/>
          <w:sz w:val="21"/>
          <w:szCs w:val="21"/>
          <w:highlight w:val="none"/>
        </w:rPr>
      </w:pPr>
      <w:bookmarkStart w:id="58" w:name="_Toc21031"/>
      <w:bookmarkStart w:id="59" w:name="_Toc27921"/>
      <w:bookmarkStart w:id="60" w:name="_Toc18979"/>
      <w:r>
        <w:rPr>
          <w:rFonts w:hint="eastAsia" w:ascii="宋体" w:hAnsi="宋体" w:eastAsia="宋体" w:cs="宋体"/>
          <w:bCs/>
          <w:color w:val="auto"/>
          <w:sz w:val="21"/>
          <w:szCs w:val="21"/>
          <w:highlight w:val="none"/>
          <w:lang w:val="en-US" w:eastAsia="zh-CN"/>
        </w:rPr>
        <w:t>2、</w:t>
      </w:r>
      <w:r>
        <w:rPr>
          <w:rFonts w:hint="eastAsia" w:ascii="宋体" w:hAnsi="宋体" w:eastAsia="宋体" w:cs="宋体"/>
          <w:bCs/>
          <w:color w:val="auto"/>
          <w:sz w:val="21"/>
          <w:szCs w:val="21"/>
          <w:highlight w:val="none"/>
          <w:lang w:eastAsia="zh-CN"/>
        </w:rPr>
        <w:t>中标单位</w:t>
      </w:r>
      <w:r>
        <w:rPr>
          <w:rFonts w:hint="eastAsia" w:ascii="宋体" w:hAnsi="宋体" w:eastAsia="宋体" w:cs="宋体"/>
          <w:bCs/>
          <w:color w:val="auto"/>
          <w:sz w:val="21"/>
          <w:szCs w:val="21"/>
          <w:highlight w:val="none"/>
        </w:rPr>
        <w:t>招用工作人员必须按《劳动法》有关规定执行，为工人办理社会保险、职工意外伤害保险等，保障休息休假权利。</w:t>
      </w:r>
      <w:bookmarkEnd w:id="58"/>
      <w:bookmarkEnd w:id="59"/>
      <w:bookmarkStart w:id="61" w:name="_Toc17657"/>
      <w:bookmarkStart w:id="62" w:name="_Toc24411"/>
      <w:r>
        <w:rPr>
          <w:rFonts w:hint="eastAsia" w:ascii="宋体" w:hAnsi="宋体" w:eastAsia="宋体" w:cs="宋体"/>
          <w:bCs/>
          <w:color w:val="auto"/>
          <w:sz w:val="21"/>
          <w:szCs w:val="21"/>
          <w:highlight w:val="none"/>
          <w:lang w:val="en-US" w:eastAsia="zh-CN"/>
        </w:rPr>
        <w:t>3、</w:t>
      </w:r>
      <w:r>
        <w:rPr>
          <w:rFonts w:hint="eastAsia" w:ascii="宋体" w:hAnsi="宋体" w:eastAsia="宋体" w:cs="宋体"/>
          <w:bCs/>
          <w:color w:val="auto"/>
          <w:sz w:val="21"/>
          <w:szCs w:val="21"/>
          <w:highlight w:val="none"/>
          <w:lang w:eastAsia="zh-CN"/>
        </w:rPr>
        <w:t>中标单位</w:t>
      </w:r>
      <w:r>
        <w:rPr>
          <w:rFonts w:hint="eastAsia" w:ascii="宋体" w:hAnsi="宋体" w:eastAsia="宋体" w:cs="宋体"/>
          <w:bCs/>
          <w:color w:val="auto"/>
          <w:sz w:val="21"/>
          <w:szCs w:val="21"/>
          <w:highlight w:val="none"/>
        </w:rPr>
        <w:t>应将保洁人员的分工情况、作息时间、排班计划等告知采购单位。</w:t>
      </w:r>
      <w:bookmarkEnd w:id="60"/>
      <w:bookmarkEnd w:id="61"/>
      <w:bookmarkEnd w:id="62"/>
    </w:p>
    <w:p>
      <w:pPr>
        <w:pStyle w:val="29"/>
        <w:snapToGrid w:val="0"/>
        <w:spacing w:before="0" w:beforeLines="0" w:after="0" w:afterLines="0" w:line="500" w:lineRule="exact"/>
        <w:ind w:firstLine="420" w:firstLineChars="200"/>
        <w:outlineLvl w:val="0"/>
        <w:rPr>
          <w:rFonts w:hint="eastAsia" w:ascii="宋体" w:hAnsi="宋体" w:eastAsia="宋体" w:cs="宋体"/>
          <w:bCs/>
          <w:color w:val="auto"/>
          <w:sz w:val="21"/>
          <w:szCs w:val="21"/>
          <w:highlight w:val="none"/>
        </w:rPr>
      </w:pPr>
      <w:r>
        <w:rPr>
          <w:rFonts w:hint="eastAsia" w:hAnsi="宋体" w:cs="宋体"/>
          <w:bCs/>
          <w:color w:val="auto"/>
          <w:sz w:val="21"/>
          <w:szCs w:val="21"/>
          <w:highlight w:val="none"/>
          <w:lang w:val="en-US" w:eastAsia="zh-CN"/>
        </w:rPr>
        <w:t>3、中标单位在合同签订后应与管理方或管理方委托的第三方对各自区域内的草花、行道树等其他养护内容进行分路段进行明确、清楚的测量，后期实施时将依据上述资料进行养护实施。</w:t>
      </w:r>
      <w:r>
        <w:rPr>
          <w:rFonts w:hint="eastAsia" w:ascii="宋体" w:hAnsi="宋体" w:eastAsia="宋体" w:cs="宋体"/>
          <w:bCs/>
          <w:color w:val="auto"/>
          <w:sz w:val="21"/>
          <w:szCs w:val="21"/>
          <w:highlight w:val="none"/>
        </w:rPr>
        <w:t xml:space="preserve">  </w:t>
      </w:r>
    </w:p>
    <w:p>
      <w:pPr>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br w:type="page"/>
      </w:r>
    </w:p>
    <w:p>
      <w:pPr>
        <w:rPr>
          <w:rFonts w:hint="eastAsia"/>
          <w:color w:val="auto"/>
          <w:highlight w:val="none"/>
          <w:lang w:eastAsia="zh-CN"/>
        </w:rPr>
      </w:pPr>
    </w:p>
    <w:tbl>
      <w:tblPr>
        <w:tblStyle w:val="49"/>
        <w:tblW w:w="954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449"/>
        <w:gridCol w:w="1403"/>
        <w:gridCol w:w="3546"/>
        <w:gridCol w:w="599"/>
        <w:gridCol w:w="876"/>
        <w:gridCol w:w="1000"/>
        <w:gridCol w:w="816"/>
        <w:gridCol w:w="85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3" w:hRule="atLeast"/>
        </w:trPr>
        <w:tc>
          <w:tcPr>
            <w:tcW w:w="9540" w:type="dxa"/>
            <w:gridSpan w:val="8"/>
            <w:tcBorders>
              <w:top w:val="nil"/>
              <w:left w:val="nil"/>
              <w:bottom w:val="nil"/>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24"/>
                <w:szCs w:val="24"/>
                <w:u w:val="none"/>
                <w:lang w:val="en-US" w:eastAsia="zh-CN" w:bidi="ar"/>
              </w:rPr>
              <w:t>工程量清单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1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项目名称</w:t>
            </w:r>
          </w:p>
        </w:tc>
        <w:tc>
          <w:tcPr>
            <w:tcW w:w="35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项目特征</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数量</w:t>
            </w:r>
          </w:p>
        </w:tc>
        <w:tc>
          <w:tcPr>
            <w:tcW w:w="10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全费用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单价</w:t>
            </w:r>
          </w:p>
        </w:tc>
        <w:tc>
          <w:tcPr>
            <w:tcW w:w="7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合价（元）</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2" w:hRule="atLeast"/>
        </w:trPr>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七一广场</w:t>
            </w:r>
          </w:p>
        </w:tc>
        <w:tc>
          <w:tcPr>
            <w:tcW w:w="35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1、内容：所有绿化的养护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2、养护等级：一级养护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3、养护期：一年</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m2</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102903</w:t>
            </w:r>
          </w:p>
        </w:tc>
        <w:tc>
          <w:tcPr>
            <w:tcW w:w="10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c>
          <w:tcPr>
            <w:tcW w:w="7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2" w:hRule="atLeast"/>
        </w:trPr>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湖心岛</w:t>
            </w:r>
          </w:p>
        </w:tc>
        <w:tc>
          <w:tcPr>
            <w:tcW w:w="35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1、内容：所有绿化的养护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2、养护等级：一级养护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3、养护期：一年</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m2</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1981</w:t>
            </w:r>
          </w:p>
        </w:tc>
        <w:tc>
          <w:tcPr>
            <w:tcW w:w="10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c>
          <w:tcPr>
            <w:tcW w:w="7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2" w:hRule="atLeast"/>
        </w:trPr>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沈钧儒纪念馆</w:t>
            </w:r>
          </w:p>
        </w:tc>
        <w:tc>
          <w:tcPr>
            <w:tcW w:w="35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1、内容：所有绿化的养护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2、养护等级：一级养护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3、养护期：一年</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m2</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647</w:t>
            </w:r>
          </w:p>
        </w:tc>
        <w:tc>
          <w:tcPr>
            <w:tcW w:w="10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c>
          <w:tcPr>
            <w:tcW w:w="7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00" w:hRule="atLeast"/>
        </w:trPr>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各场馆内日常馆内绿植</w:t>
            </w:r>
          </w:p>
        </w:tc>
        <w:tc>
          <w:tcPr>
            <w:tcW w:w="35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1、内容：绿植摆放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2、500型盆（约100盆）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3、300型盆（约100盆）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4、100型盆（约200盆）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5、养护期：一年</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0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c>
          <w:tcPr>
            <w:tcW w:w="7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40" w:hRule="atLeast"/>
        </w:trPr>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广场、湖心岛日常摆花</w:t>
            </w:r>
          </w:p>
        </w:tc>
        <w:tc>
          <w:tcPr>
            <w:tcW w:w="35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1、内容：摆花</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2、每次摆花时间为15天</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3、摆放7.1；10.1；1.1；三个节日前后各15天，共计6次。每次约230平。</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4、养护期11个月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5、180型盆与120型盆混摆</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m2</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1380</w:t>
            </w:r>
          </w:p>
        </w:tc>
        <w:tc>
          <w:tcPr>
            <w:tcW w:w="10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c>
          <w:tcPr>
            <w:tcW w:w="7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东码头、国旗台两侧草花种植</w:t>
            </w:r>
          </w:p>
        </w:tc>
        <w:tc>
          <w:tcPr>
            <w:tcW w:w="35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1、内容：花卉种植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2、180型盆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3、每年更换四次备一</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4、养护期：一年</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m2</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1150</w:t>
            </w:r>
          </w:p>
        </w:tc>
        <w:tc>
          <w:tcPr>
            <w:tcW w:w="10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c>
          <w:tcPr>
            <w:tcW w:w="7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trPr>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1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七一广场、湖心岛草花种植</w:t>
            </w:r>
          </w:p>
        </w:tc>
        <w:tc>
          <w:tcPr>
            <w:tcW w:w="35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1、内容：花卉种植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2、120型盆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3、每年更换四次备一</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4、养护期：一年</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m2</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550</w:t>
            </w:r>
          </w:p>
        </w:tc>
        <w:tc>
          <w:tcPr>
            <w:tcW w:w="10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c>
          <w:tcPr>
            <w:tcW w:w="7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1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绿地深度保洁</w:t>
            </w:r>
          </w:p>
        </w:tc>
        <w:tc>
          <w:tcPr>
            <w:tcW w:w="35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1、落叶旺季保洁（3月-5月，9月-11月）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2、落叶淡季保洁（2月,6月-8月，12月）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3、湖心岛新增绿地保洁人员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4、落叶清运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5、按建设单位要求</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0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c>
          <w:tcPr>
            <w:tcW w:w="7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4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41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费用汇总</w:t>
            </w:r>
          </w:p>
        </w:tc>
        <w:tc>
          <w:tcPr>
            <w:tcW w:w="3570"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合计金额小写人民币：</w:t>
            </w:r>
          </w:p>
        </w:tc>
        <w:tc>
          <w:tcPr>
            <w:tcW w:w="0" w:type="auto"/>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p>
        </w:tc>
        <w:tc>
          <w:tcPr>
            <w:tcW w:w="85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含所有</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税费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2" w:hRule="atLeast"/>
        </w:trPr>
        <w:tc>
          <w:tcPr>
            <w:tcW w:w="4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141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3570"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合计金额大写人民币：</w:t>
            </w:r>
          </w:p>
        </w:tc>
        <w:tc>
          <w:tcPr>
            <w:tcW w:w="0" w:type="auto"/>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p>
        </w:tc>
        <w:tc>
          <w:tcPr>
            <w:tcW w:w="8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r>
    </w:tbl>
    <w:p>
      <w:pPr>
        <w:spacing w:line="240" w:lineRule="auto"/>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注：1、报价时按全费用综合单价考虑（含保险（人员保险、财产保险等）税金、规费、管理费、安全文明费、利润等一切为完成本项目涉及的费用），具体数量按实际发生量结算。</w:t>
      </w:r>
    </w:p>
    <w:p>
      <w:pPr>
        <w:pStyle w:val="29"/>
        <w:tabs>
          <w:tab w:val="left" w:pos="1200"/>
        </w:tabs>
        <w:spacing w:before="120" w:after="120" w:line="240" w:lineRule="auto"/>
        <w:rPr>
          <w:rFonts w:hint="eastAsia" w:hAnsi="宋体" w:cs="宋体"/>
          <w:color w:val="auto"/>
          <w:sz w:val="21"/>
          <w:szCs w:val="21"/>
          <w:highlight w:val="none"/>
          <w:lang w:val="en-US" w:eastAsia="zh-CN"/>
        </w:rPr>
      </w:pPr>
      <w:r>
        <w:rPr>
          <w:rFonts w:hint="eastAsia" w:hAnsi="宋体" w:cs="宋体"/>
          <w:color w:val="auto"/>
          <w:sz w:val="21"/>
          <w:szCs w:val="21"/>
          <w:highlight w:val="none"/>
          <w:lang w:val="en-US" w:eastAsia="zh-CN"/>
        </w:rPr>
        <w:t>2、结算时单价按投标时全费用单位计，不因任何因素变更。</w:t>
      </w:r>
    </w:p>
    <w:p>
      <w:pPr>
        <w:pStyle w:val="4"/>
        <w:spacing w:line="240" w:lineRule="auto"/>
        <w:jc w:val="both"/>
        <w:rPr>
          <w:rFonts w:hint="default"/>
          <w:sz w:val="21"/>
          <w:szCs w:val="21"/>
          <w:lang w:val="en-US" w:eastAsia="zh-CN"/>
        </w:rPr>
        <w:sectPr>
          <w:footerReference r:id="rId5" w:type="default"/>
          <w:pgSz w:w="11906" w:h="16838"/>
          <w:pgMar w:top="1440" w:right="1289" w:bottom="1440" w:left="1797" w:header="851" w:footer="851" w:gutter="0"/>
          <w:pgBorders>
            <w:top w:val="none" w:sz="0" w:space="0"/>
            <w:left w:val="none" w:sz="0" w:space="0"/>
            <w:bottom w:val="none" w:sz="0" w:space="0"/>
            <w:right w:val="none" w:sz="0" w:space="0"/>
          </w:pgBorders>
          <w:pgNumType w:fmt="decimal" w:start="1"/>
          <w:cols w:space="720" w:num="1"/>
          <w:docGrid w:linePitch="312" w:charSpace="0"/>
        </w:sectPr>
      </w:pPr>
      <w:r>
        <w:rPr>
          <w:rFonts w:hint="eastAsia" w:ascii="宋体" w:hAnsi="宋体" w:eastAsia="宋体" w:cs="宋体"/>
          <w:b w:val="0"/>
          <w:bCs w:val="0"/>
          <w:color w:val="auto"/>
          <w:kern w:val="2"/>
          <w:sz w:val="21"/>
          <w:szCs w:val="21"/>
          <w:highlight w:val="none"/>
          <w:lang w:val="en-US" w:eastAsia="zh-CN" w:bidi="ar-SA"/>
        </w:rPr>
        <w:t>3、上表序号6“东码头、国旗台两侧草花种植”数量“1150㎡”及序号7“七一广场、湖心岛草花种植”数量“550㎡”均为单次更换花卉种植量，投标人报价时应考虑每年更换四次备一的总费用，不再另行支付任何费用。</w:t>
      </w:r>
    </w:p>
    <w:p>
      <w:pPr>
        <w:pStyle w:val="4"/>
        <w:spacing w:line="240" w:lineRule="auto"/>
        <w:rPr>
          <w:rFonts w:hint="eastAsia" w:ascii="宋体" w:hAnsi="宋体" w:eastAsia="宋体" w:cs="宋体"/>
          <w:color w:val="auto"/>
          <w:sz w:val="28"/>
          <w:szCs w:val="28"/>
          <w:highlight w:val="none"/>
        </w:rPr>
      </w:pPr>
      <w:bookmarkStart w:id="63" w:name="_Toc476"/>
      <w:r>
        <w:rPr>
          <w:rFonts w:hint="eastAsia" w:ascii="宋体" w:hAnsi="宋体" w:eastAsia="宋体" w:cs="宋体"/>
          <w:color w:val="auto"/>
          <w:sz w:val="28"/>
          <w:szCs w:val="28"/>
          <w:highlight w:val="none"/>
        </w:rPr>
        <w:t>考核办法</w:t>
      </w:r>
      <w:bookmarkEnd w:id="63"/>
    </w:p>
    <w:tbl>
      <w:tblPr>
        <w:tblStyle w:val="49"/>
        <w:tblW w:w="90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3"/>
        <w:gridCol w:w="1258"/>
        <w:gridCol w:w="5528"/>
        <w:gridCol w:w="709"/>
        <w:gridCol w:w="8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693" w:type="dxa"/>
            <w:noWrap w:val="0"/>
            <w:vAlign w:val="center"/>
          </w:tcPr>
          <w:p>
            <w:pPr>
              <w:adjustRightInd w:val="0"/>
              <w:snapToGrid w:val="0"/>
              <w:spacing w:line="340" w:lineRule="atLeast"/>
              <w:jc w:val="center"/>
              <w:rPr>
                <w:rFonts w:hint="eastAsia" w:ascii="宋体" w:hAnsi="宋体" w:cs="宋体"/>
                <w:color w:val="auto"/>
                <w:sz w:val="18"/>
                <w:szCs w:val="18"/>
                <w:highlight w:val="none"/>
              </w:rPr>
            </w:pPr>
            <w:r>
              <w:rPr>
                <w:rFonts w:hint="eastAsia" w:ascii="宋体" w:hAnsi="宋体" w:cs="宋体"/>
                <w:color w:val="auto"/>
                <w:sz w:val="18"/>
                <w:szCs w:val="18"/>
                <w:highlight w:val="none"/>
              </w:rPr>
              <w:t>序号</w:t>
            </w:r>
          </w:p>
        </w:tc>
        <w:tc>
          <w:tcPr>
            <w:tcW w:w="1258" w:type="dxa"/>
            <w:noWrap w:val="0"/>
            <w:vAlign w:val="center"/>
          </w:tcPr>
          <w:p>
            <w:pPr>
              <w:adjustRightInd w:val="0"/>
              <w:snapToGrid w:val="0"/>
              <w:spacing w:line="340" w:lineRule="atLeast"/>
              <w:jc w:val="center"/>
              <w:rPr>
                <w:rFonts w:hint="eastAsia" w:ascii="宋体" w:hAnsi="宋体" w:cs="宋体"/>
                <w:color w:val="auto"/>
                <w:sz w:val="18"/>
                <w:szCs w:val="18"/>
                <w:highlight w:val="none"/>
              </w:rPr>
            </w:pPr>
            <w:r>
              <w:rPr>
                <w:rFonts w:hint="eastAsia" w:ascii="宋体" w:hAnsi="宋体" w:cs="宋体"/>
                <w:color w:val="auto"/>
                <w:sz w:val="18"/>
                <w:szCs w:val="18"/>
                <w:highlight w:val="none"/>
              </w:rPr>
              <w:t>项目</w:t>
            </w:r>
          </w:p>
        </w:tc>
        <w:tc>
          <w:tcPr>
            <w:tcW w:w="5528" w:type="dxa"/>
            <w:noWrap w:val="0"/>
            <w:vAlign w:val="center"/>
          </w:tcPr>
          <w:p>
            <w:pPr>
              <w:adjustRightInd w:val="0"/>
              <w:snapToGrid w:val="0"/>
              <w:spacing w:line="340" w:lineRule="atLeast"/>
              <w:jc w:val="center"/>
              <w:rPr>
                <w:rFonts w:hint="eastAsia" w:ascii="宋体" w:hAnsi="宋体" w:cs="宋体"/>
                <w:color w:val="auto"/>
                <w:sz w:val="18"/>
                <w:szCs w:val="18"/>
                <w:highlight w:val="none"/>
              </w:rPr>
            </w:pPr>
            <w:r>
              <w:rPr>
                <w:rFonts w:hint="eastAsia" w:ascii="宋体" w:hAnsi="宋体" w:cs="宋体"/>
                <w:color w:val="auto"/>
                <w:sz w:val="18"/>
                <w:szCs w:val="18"/>
                <w:highlight w:val="none"/>
              </w:rPr>
              <w:t>评分标准</w:t>
            </w:r>
          </w:p>
        </w:tc>
        <w:tc>
          <w:tcPr>
            <w:tcW w:w="709" w:type="dxa"/>
            <w:noWrap w:val="0"/>
            <w:vAlign w:val="center"/>
          </w:tcPr>
          <w:p>
            <w:pPr>
              <w:adjustRightInd w:val="0"/>
              <w:snapToGrid w:val="0"/>
              <w:spacing w:line="340" w:lineRule="atLeast"/>
              <w:jc w:val="center"/>
              <w:rPr>
                <w:rFonts w:hint="eastAsia" w:ascii="宋体" w:hAnsi="宋体" w:cs="宋体"/>
                <w:color w:val="auto"/>
                <w:sz w:val="18"/>
                <w:szCs w:val="18"/>
                <w:highlight w:val="none"/>
              </w:rPr>
            </w:pPr>
            <w:r>
              <w:rPr>
                <w:rFonts w:hint="eastAsia" w:ascii="宋体" w:hAnsi="宋体" w:cs="宋体"/>
                <w:color w:val="auto"/>
                <w:sz w:val="18"/>
                <w:szCs w:val="18"/>
                <w:highlight w:val="none"/>
              </w:rPr>
              <w:t>扣分</w:t>
            </w:r>
          </w:p>
        </w:tc>
        <w:tc>
          <w:tcPr>
            <w:tcW w:w="851" w:type="dxa"/>
            <w:noWrap w:val="0"/>
            <w:vAlign w:val="center"/>
          </w:tcPr>
          <w:p>
            <w:pPr>
              <w:adjustRightInd w:val="0"/>
              <w:snapToGrid w:val="0"/>
              <w:spacing w:line="340" w:lineRule="atLeast"/>
              <w:jc w:val="center"/>
              <w:rPr>
                <w:rFonts w:hint="eastAsia" w:ascii="宋体" w:hAnsi="宋体" w:cs="宋体"/>
                <w:color w:val="auto"/>
                <w:sz w:val="18"/>
                <w:szCs w:val="18"/>
                <w:highlight w:val="none"/>
              </w:rPr>
            </w:pPr>
            <w:r>
              <w:rPr>
                <w:rFonts w:hint="eastAsia" w:ascii="宋体" w:hAnsi="宋体" w:cs="宋体"/>
                <w:color w:val="auto"/>
                <w:sz w:val="18"/>
                <w:szCs w:val="18"/>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693" w:type="dxa"/>
            <w:vMerge w:val="restart"/>
            <w:noWrap w:val="0"/>
            <w:vAlign w:val="center"/>
          </w:tcPr>
          <w:p>
            <w:pPr>
              <w:adjustRightInd w:val="0"/>
              <w:snapToGrid w:val="0"/>
              <w:spacing w:line="340" w:lineRule="atLeast"/>
              <w:ind w:firstLine="171" w:firstLineChars="95"/>
              <w:jc w:val="center"/>
              <w:rPr>
                <w:rFonts w:hint="eastAsia" w:ascii="宋体" w:hAnsi="宋体" w:cs="宋体"/>
                <w:color w:val="auto"/>
                <w:sz w:val="18"/>
                <w:szCs w:val="18"/>
                <w:highlight w:val="none"/>
              </w:rPr>
            </w:pPr>
            <w:r>
              <w:rPr>
                <w:rFonts w:hint="eastAsia" w:ascii="宋体" w:hAnsi="宋体" w:cs="宋体"/>
                <w:color w:val="auto"/>
                <w:sz w:val="18"/>
                <w:szCs w:val="18"/>
                <w:highlight w:val="none"/>
              </w:rPr>
              <w:t>一</w:t>
            </w:r>
          </w:p>
        </w:tc>
        <w:tc>
          <w:tcPr>
            <w:tcW w:w="1258" w:type="dxa"/>
            <w:vMerge w:val="restart"/>
            <w:noWrap w:val="0"/>
            <w:vAlign w:val="center"/>
          </w:tcPr>
          <w:p>
            <w:pPr>
              <w:adjustRightInd w:val="0"/>
              <w:snapToGrid w:val="0"/>
              <w:spacing w:line="340" w:lineRule="atLeast"/>
              <w:jc w:val="center"/>
              <w:rPr>
                <w:rFonts w:hint="eastAsia" w:ascii="宋体" w:hAnsi="宋体" w:cs="宋体"/>
                <w:color w:val="auto"/>
                <w:sz w:val="18"/>
                <w:szCs w:val="18"/>
                <w:highlight w:val="none"/>
              </w:rPr>
            </w:pPr>
            <w:r>
              <w:rPr>
                <w:rFonts w:hint="eastAsia" w:ascii="宋体" w:hAnsi="宋体" w:cs="宋体"/>
                <w:color w:val="auto"/>
                <w:sz w:val="18"/>
                <w:szCs w:val="18"/>
                <w:highlight w:val="none"/>
              </w:rPr>
              <w:t>乔木管理</w:t>
            </w:r>
          </w:p>
        </w:tc>
        <w:tc>
          <w:tcPr>
            <w:tcW w:w="5528" w:type="dxa"/>
            <w:noWrap w:val="0"/>
            <w:vAlign w:val="center"/>
          </w:tcPr>
          <w:p>
            <w:pPr>
              <w:adjustRightInd w:val="0"/>
              <w:snapToGrid w:val="0"/>
              <w:spacing w:line="340" w:lineRule="atLeast"/>
              <w:jc w:val="center"/>
              <w:rPr>
                <w:rFonts w:hint="eastAsia" w:ascii="宋体" w:hAnsi="宋体" w:cs="宋体"/>
                <w:color w:val="auto"/>
                <w:sz w:val="18"/>
                <w:szCs w:val="18"/>
                <w:highlight w:val="none"/>
              </w:rPr>
            </w:pPr>
            <w:r>
              <w:rPr>
                <w:rFonts w:hint="eastAsia" w:ascii="宋体" w:hAnsi="宋体" w:cs="宋体"/>
                <w:color w:val="auto"/>
                <w:sz w:val="18"/>
                <w:szCs w:val="18"/>
                <w:highlight w:val="none"/>
              </w:rPr>
              <w:t>缺株、死株、明显倾斜或倒伏，扣1分/株。乔木未按标准执行修剪，或树冠未达到三级分枝以上或种植倾斜，扣1分/株；树支架、草绳缠绕不规范，扣0.5分/株。</w:t>
            </w:r>
          </w:p>
        </w:tc>
        <w:tc>
          <w:tcPr>
            <w:tcW w:w="709"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693" w:type="dxa"/>
            <w:vMerge w:val="continue"/>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1258" w:type="dxa"/>
            <w:vMerge w:val="continue"/>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5528" w:type="dxa"/>
            <w:noWrap w:val="0"/>
            <w:vAlign w:val="center"/>
          </w:tcPr>
          <w:p>
            <w:pPr>
              <w:adjustRightInd w:val="0"/>
              <w:snapToGrid w:val="0"/>
              <w:spacing w:line="340" w:lineRule="atLeast"/>
              <w:jc w:val="center"/>
              <w:rPr>
                <w:rFonts w:hint="eastAsia" w:ascii="宋体" w:hAnsi="宋体" w:cs="宋体"/>
                <w:color w:val="auto"/>
                <w:sz w:val="18"/>
                <w:szCs w:val="18"/>
                <w:highlight w:val="none"/>
              </w:rPr>
            </w:pPr>
            <w:r>
              <w:rPr>
                <w:rFonts w:hint="eastAsia" w:ascii="宋体" w:hAnsi="宋体" w:cs="宋体"/>
                <w:color w:val="auto"/>
                <w:sz w:val="18"/>
                <w:szCs w:val="18"/>
                <w:highlight w:val="none"/>
              </w:rPr>
              <w:t>有病虫枝、残枝、10cm以上徒长枝，未及时清理、抹芽扣0.5分/株。内膛过密、通风透光不良扣0.5分/株。叶色、叶形不正常（黄叶、焦叶、卷叶、落叶）扣0.5分/株，修剪切口不平整，伤口处理不规范扣0.5分/株。</w:t>
            </w:r>
          </w:p>
        </w:tc>
        <w:tc>
          <w:tcPr>
            <w:tcW w:w="709"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693" w:type="dxa"/>
            <w:vMerge w:val="continue"/>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1258" w:type="dxa"/>
            <w:vMerge w:val="continue"/>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5528" w:type="dxa"/>
            <w:noWrap w:val="0"/>
            <w:vAlign w:val="center"/>
          </w:tcPr>
          <w:p>
            <w:pPr>
              <w:adjustRightInd w:val="0"/>
              <w:snapToGrid w:val="0"/>
              <w:spacing w:line="340" w:lineRule="atLeast"/>
              <w:jc w:val="center"/>
              <w:rPr>
                <w:rFonts w:hint="eastAsia" w:ascii="宋体" w:hAnsi="宋体" w:cs="宋体"/>
                <w:color w:val="auto"/>
                <w:sz w:val="18"/>
                <w:szCs w:val="18"/>
                <w:highlight w:val="none"/>
              </w:rPr>
            </w:pPr>
            <w:r>
              <w:rPr>
                <w:rFonts w:hint="eastAsia" w:ascii="宋体" w:hAnsi="宋体" w:cs="宋体"/>
                <w:color w:val="auto"/>
                <w:sz w:val="18"/>
                <w:szCs w:val="18"/>
                <w:highlight w:val="none"/>
              </w:rPr>
              <w:t>树下绿地无杂草，树冠无悬挂物，树干无钉子、铁丝、晾晒等绑缚物，发现一处扣1分/处。</w:t>
            </w:r>
          </w:p>
        </w:tc>
        <w:tc>
          <w:tcPr>
            <w:tcW w:w="709"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693" w:type="dxa"/>
            <w:vMerge w:val="continue"/>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1258" w:type="dxa"/>
            <w:vMerge w:val="continue"/>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5528" w:type="dxa"/>
            <w:noWrap w:val="0"/>
            <w:vAlign w:val="center"/>
          </w:tcPr>
          <w:p>
            <w:pPr>
              <w:adjustRightInd w:val="0"/>
              <w:snapToGrid w:val="0"/>
              <w:spacing w:line="340" w:lineRule="atLeast"/>
              <w:jc w:val="center"/>
              <w:rPr>
                <w:rFonts w:hint="eastAsia" w:ascii="宋体" w:hAnsi="宋体" w:cs="宋体"/>
                <w:color w:val="auto"/>
                <w:sz w:val="18"/>
                <w:szCs w:val="18"/>
                <w:highlight w:val="none"/>
              </w:rPr>
            </w:pPr>
            <w:r>
              <w:rPr>
                <w:rFonts w:hint="eastAsia" w:ascii="宋体" w:hAnsi="宋体" w:cs="宋体"/>
                <w:color w:val="auto"/>
                <w:sz w:val="18"/>
                <w:szCs w:val="18"/>
                <w:highlight w:val="none"/>
              </w:rPr>
              <w:t>胸径10公分以上乔木主干未涂白，扣0.5分/株；涂白高度未达1.2米，高度未统一的，扣0.5分/株；涂料配比不规范，扣1分/处；涂料堆放不规范或工程结束后未及时清理现场的扣2分/处。</w:t>
            </w:r>
          </w:p>
        </w:tc>
        <w:tc>
          <w:tcPr>
            <w:tcW w:w="709"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693" w:type="dxa"/>
            <w:vMerge w:val="restart"/>
            <w:noWrap w:val="0"/>
            <w:vAlign w:val="center"/>
          </w:tcPr>
          <w:p>
            <w:pPr>
              <w:adjustRightInd w:val="0"/>
              <w:snapToGrid w:val="0"/>
              <w:spacing w:line="340" w:lineRule="atLeast"/>
              <w:jc w:val="center"/>
              <w:rPr>
                <w:rFonts w:hint="eastAsia" w:ascii="宋体" w:hAnsi="宋体" w:cs="宋体"/>
                <w:color w:val="auto"/>
                <w:sz w:val="18"/>
                <w:szCs w:val="18"/>
                <w:highlight w:val="none"/>
              </w:rPr>
            </w:pPr>
            <w:r>
              <w:rPr>
                <w:rFonts w:hint="eastAsia" w:ascii="宋体" w:hAnsi="宋体" w:cs="宋体"/>
                <w:color w:val="auto"/>
                <w:sz w:val="18"/>
                <w:szCs w:val="18"/>
                <w:highlight w:val="none"/>
              </w:rPr>
              <w:t>二</w:t>
            </w:r>
          </w:p>
        </w:tc>
        <w:tc>
          <w:tcPr>
            <w:tcW w:w="1258" w:type="dxa"/>
            <w:vMerge w:val="restart"/>
            <w:noWrap w:val="0"/>
            <w:vAlign w:val="center"/>
          </w:tcPr>
          <w:p>
            <w:pPr>
              <w:adjustRightInd w:val="0"/>
              <w:snapToGrid w:val="0"/>
              <w:spacing w:line="340" w:lineRule="atLeast"/>
              <w:jc w:val="center"/>
              <w:rPr>
                <w:rFonts w:hint="eastAsia" w:ascii="宋体" w:hAnsi="宋体" w:cs="宋体"/>
                <w:color w:val="auto"/>
                <w:sz w:val="18"/>
                <w:szCs w:val="18"/>
                <w:highlight w:val="none"/>
              </w:rPr>
            </w:pPr>
            <w:r>
              <w:rPr>
                <w:rFonts w:hint="eastAsia" w:ascii="宋体" w:hAnsi="宋体" w:cs="宋体"/>
                <w:color w:val="auto"/>
                <w:sz w:val="18"/>
                <w:szCs w:val="18"/>
                <w:highlight w:val="none"/>
              </w:rPr>
              <w:t>灌木、绿篱管理</w:t>
            </w:r>
          </w:p>
        </w:tc>
        <w:tc>
          <w:tcPr>
            <w:tcW w:w="5528" w:type="dxa"/>
            <w:noWrap w:val="0"/>
            <w:vAlign w:val="center"/>
          </w:tcPr>
          <w:p>
            <w:pPr>
              <w:adjustRightInd w:val="0"/>
              <w:snapToGrid w:val="0"/>
              <w:spacing w:line="340" w:lineRule="atLeast"/>
              <w:jc w:val="center"/>
              <w:rPr>
                <w:rFonts w:hint="eastAsia" w:ascii="宋体" w:hAnsi="宋体" w:cs="宋体"/>
                <w:color w:val="auto"/>
                <w:sz w:val="18"/>
                <w:szCs w:val="18"/>
                <w:highlight w:val="none"/>
              </w:rPr>
            </w:pPr>
            <w:r>
              <w:rPr>
                <w:rFonts w:hint="eastAsia" w:ascii="宋体" w:hAnsi="宋体" w:cs="宋体"/>
                <w:color w:val="auto"/>
                <w:sz w:val="18"/>
                <w:szCs w:val="18"/>
                <w:highlight w:val="none"/>
              </w:rPr>
              <w:t>灌木有死株、缺株的扣0.5分/株；绿篱有死株、缺株扣0.5分/㎡；易穿行、踩踏区未设置护绿设施、温馨提示牌等扣1分/处，严重影响整条道路或绿地环境景观的扣2分。</w:t>
            </w:r>
          </w:p>
        </w:tc>
        <w:tc>
          <w:tcPr>
            <w:tcW w:w="709"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0" w:hRule="atLeast"/>
        </w:trPr>
        <w:tc>
          <w:tcPr>
            <w:tcW w:w="693" w:type="dxa"/>
            <w:vMerge w:val="continue"/>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1258" w:type="dxa"/>
            <w:vMerge w:val="continue"/>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5528" w:type="dxa"/>
            <w:noWrap w:val="0"/>
            <w:vAlign w:val="center"/>
          </w:tcPr>
          <w:p>
            <w:pPr>
              <w:adjustRightInd w:val="0"/>
              <w:snapToGrid w:val="0"/>
              <w:spacing w:line="340" w:lineRule="atLeast"/>
              <w:jc w:val="center"/>
              <w:rPr>
                <w:rFonts w:hint="eastAsia" w:ascii="宋体" w:hAnsi="宋体" w:cs="宋体"/>
                <w:color w:val="auto"/>
                <w:sz w:val="18"/>
                <w:szCs w:val="18"/>
                <w:highlight w:val="none"/>
              </w:rPr>
            </w:pPr>
            <w:r>
              <w:rPr>
                <w:rFonts w:hint="eastAsia" w:ascii="宋体" w:hAnsi="宋体" w:cs="宋体"/>
                <w:color w:val="auto"/>
                <w:sz w:val="18"/>
                <w:szCs w:val="18"/>
                <w:highlight w:val="none"/>
              </w:rPr>
              <w:t>绿篱、色块未及时修剪，高度超过10cm或有徒长枝超过15cm的，扣1分/处；过度修剪影响环境景观美观的，扣1分；修剪曲线不流畅、边界不清晰的扣1分/处；绿带内有明显杂草、枯枝残叶、杂物的，扣0.5分/㎡。修剪物未及时清理，扣1分/处。</w:t>
            </w:r>
          </w:p>
        </w:tc>
        <w:tc>
          <w:tcPr>
            <w:tcW w:w="709"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693" w:type="dxa"/>
            <w:vMerge w:val="restart"/>
            <w:noWrap w:val="0"/>
            <w:vAlign w:val="center"/>
          </w:tcPr>
          <w:p>
            <w:pPr>
              <w:adjustRightInd w:val="0"/>
              <w:snapToGrid w:val="0"/>
              <w:spacing w:line="340" w:lineRule="atLeast"/>
              <w:jc w:val="center"/>
              <w:rPr>
                <w:rFonts w:hint="eastAsia" w:ascii="宋体" w:hAnsi="宋体" w:eastAsia="宋体" w:cs="宋体"/>
                <w:color w:val="auto"/>
                <w:sz w:val="18"/>
                <w:szCs w:val="18"/>
                <w:highlight w:val="none"/>
                <w:lang w:eastAsia="zh-CN"/>
              </w:rPr>
            </w:pPr>
            <w:r>
              <w:rPr>
                <w:rFonts w:hint="eastAsia" w:ascii="宋体" w:hAnsi="宋体" w:cs="宋体"/>
                <w:color w:val="auto"/>
                <w:sz w:val="18"/>
                <w:szCs w:val="18"/>
                <w:highlight w:val="none"/>
                <w:lang w:eastAsia="zh-CN"/>
              </w:rPr>
              <w:t>三</w:t>
            </w:r>
          </w:p>
        </w:tc>
        <w:tc>
          <w:tcPr>
            <w:tcW w:w="1258" w:type="dxa"/>
            <w:vMerge w:val="restart"/>
            <w:noWrap w:val="0"/>
            <w:vAlign w:val="center"/>
          </w:tcPr>
          <w:p>
            <w:pPr>
              <w:adjustRightInd w:val="0"/>
              <w:snapToGrid w:val="0"/>
              <w:spacing w:line="340" w:lineRule="atLeast"/>
              <w:jc w:val="center"/>
              <w:rPr>
                <w:rFonts w:hint="eastAsia" w:ascii="宋体" w:hAnsi="宋体" w:eastAsia="宋体" w:cs="宋体"/>
                <w:color w:val="auto"/>
                <w:sz w:val="18"/>
                <w:szCs w:val="18"/>
                <w:highlight w:val="none"/>
                <w:lang w:eastAsia="zh-CN"/>
              </w:rPr>
            </w:pPr>
            <w:r>
              <w:rPr>
                <w:rFonts w:hint="eastAsia" w:ascii="宋体" w:hAnsi="宋体" w:cs="宋体"/>
                <w:color w:val="auto"/>
                <w:sz w:val="18"/>
                <w:szCs w:val="18"/>
                <w:highlight w:val="none"/>
                <w:lang w:eastAsia="zh-CN"/>
              </w:rPr>
              <w:t>草花管理</w:t>
            </w:r>
          </w:p>
        </w:tc>
        <w:tc>
          <w:tcPr>
            <w:tcW w:w="5528" w:type="dxa"/>
            <w:noWrap w:val="0"/>
            <w:vAlign w:val="center"/>
          </w:tcPr>
          <w:p>
            <w:pPr>
              <w:adjustRightInd w:val="0"/>
              <w:snapToGrid w:val="0"/>
              <w:spacing w:line="340" w:lineRule="atLeast"/>
              <w:jc w:val="center"/>
              <w:rPr>
                <w:rFonts w:hint="eastAsia" w:ascii="宋体" w:hAnsi="宋体" w:eastAsia="宋体" w:cs="宋体"/>
                <w:color w:val="auto"/>
                <w:sz w:val="18"/>
                <w:szCs w:val="18"/>
                <w:highlight w:val="none"/>
                <w:lang w:eastAsia="zh-CN"/>
              </w:rPr>
            </w:pPr>
            <w:r>
              <w:rPr>
                <w:rFonts w:hint="eastAsia" w:ascii="宋体" w:hAnsi="宋体" w:cs="宋体"/>
                <w:color w:val="auto"/>
                <w:sz w:val="18"/>
                <w:szCs w:val="18"/>
                <w:highlight w:val="none"/>
              </w:rPr>
              <w:t>草花更换有方案，每次更换内容未申请报批的，扣2分</w:t>
            </w:r>
            <w:r>
              <w:rPr>
                <w:rFonts w:hint="eastAsia" w:ascii="宋体" w:hAnsi="宋体" w:cs="宋体"/>
                <w:color w:val="auto"/>
                <w:sz w:val="18"/>
                <w:szCs w:val="18"/>
                <w:highlight w:val="none"/>
                <w:lang w:eastAsia="zh-CN"/>
              </w:rPr>
              <w:t>；</w:t>
            </w:r>
            <w:r>
              <w:rPr>
                <w:rFonts w:hint="eastAsia" w:ascii="宋体" w:hAnsi="宋体" w:cs="宋体"/>
                <w:color w:val="auto"/>
                <w:sz w:val="18"/>
                <w:szCs w:val="18"/>
                <w:highlight w:val="none"/>
              </w:rPr>
              <w:t>花卉布置形式不合理、造型欠整齐美观的，每处扣1分</w:t>
            </w:r>
            <w:r>
              <w:rPr>
                <w:rFonts w:hint="eastAsia" w:ascii="宋体" w:hAnsi="宋体" w:cs="宋体"/>
                <w:color w:val="auto"/>
                <w:sz w:val="18"/>
                <w:szCs w:val="18"/>
                <w:highlight w:val="none"/>
                <w:lang w:eastAsia="zh-CN"/>
              </w:rPr>
              <w:t>；</w:t>
            </w:r>
            <w:r>
              <w:rPr>
                <w:rFonts w:hint="eastAsia" w:ascii="宋体" w:hAnsi="宋体" w:cs="宋体"/>
                <w:color w:val="auto"/>
                <w:sz w:val="18"/>
                <w:szCs w:val="18"/>
                <w:highlight w:val="none"/>
              </w:rPr>
              <w:t>花卉密度不够、株行距不适宜，造成黄土裸露的，每处扣1分</w:t>
            </w:r>
            <w:r>
              <w:rPr>
                <w:rFonts w:hint="eastAsia" w:ascii="宋体" w:hAnsi="宋体" w:cs="宋体"/>
                <w:color w:val="auto"/>
                <w:sz w:val="18"/>
                <w:szCs w:val="18"/>
                <w:highlight w:val="none"/>
                <w:lang w:eastAsia="zh-CN"/>
              </w:rPr>
              <w:t>；</w:t>
            </w:r>
            <w:r>
              <w:rPr>
                <w:rFonts w:hint="eastAsia" w:ascii="宋体" w:hAnsi="宋体" w:cs="宋体"/>
                <w:color w:val="auto"/>
                <w:sz w:val="18"/>
                <w:szCs w:val="18"/>
                <w:highlight w:val="none"/>
              </w:rPr>
              <w:t>草花生长期出现长势不良的，每处扣0.5分</w:t>
            </w:r>
          </w:p>
        </w:tc>
        <w:tc>
          <w:tcPr>
            <w:tcW w:w="709"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693" w:type="dxa"/>
            <w:vMerge w:val="continue"/>
            <w:noWrap w:val="0"/>
            <w:vAlign w:val="center"/>
          </w:tcPr>
          <w:p>
            <w:pPr>
              <w:adjustRightInd w:val="0"/>
              <w:snapToGrid w:val="0"/>
              <w:spacing w:line="340" w:lineRule="atLeast"/>
              <w:jc w:val="center"/>
              <w:rPr>
                <w:rFonts w:hint="eastAsia" w:ascii="宋体" w:hAnsi="宋体" w:cs="宋体"/>
                <w:color w:val="auto"/>
                <w:sz w:val="18"/>
                <w:szCs w:val="18"/>
                <w:highlight w:val="none"/>
                <w:lang w:eastAsia="zh-CN"/>
              </w:rPr>
            </w:pPr>
          </w:p>
        </w:tc>
        <w:tc>
          <w:tcPr>
            <w:tcW w:w="1258" w:type="dxa"/>
            <w:vMerge w:val="continue"/>
            <w:noWrap w:val="0"/>
            <w:vAlign w:val="center"/>
          </w:tcPr>
          <w:p>
            <w:pPr>
              <w:adjustRightInd w:val="0"/>
              <w:snapToGrid w:val="0"/>
              <w:spacing w:line="340" w:lineRule="atLeast"/>
              <w:jc w:val="center"/>
              <w:rPr>
                <w:rFonts w:hint="eastAsia" w:ascii="宋体" w:hAnsi="宋体" w:cs="宋体"/>
                <w:color w:val="auto"/>
                <w:sz w:val="18"/>
                <w:szCs w:val="18"/>
                <w:highlight w:val="none"/>
                <w:lang w:eastAsia="zh-CN"/>
              </w:rPr>
            </w:pPr>
          </w:p>
        </w:tc>
        <w:tc>
          <w:tcPr>
            <w:tcW w:w="5528" w:type="dxa"/>
            <w:noWrap w:val="0"/>
            <w:vAlign w:val="center"/>
          </w:tcPr>
          <w:p>
            <w:pPr>
              <w:adjustRightInd w:val="0"/>
              <w:snapToGrid w:val="0"/>
              <w:spacing w:line="340" w:lineRule="atLeast"/>
              <w:jc w:val="center"/>
              <w:rPr>
                <w:rFonts w:hint="eastAsia" w:ascii="宋体" w:hAnsi="宋体" w:eastAsia="宋体" w:cs="宋体"/>
                <w:color w:val="auto"/>
                <w:sz w:val="18"/>
                <w:szCs w:val="18"/>
                <w:highlight w:val="none"/>
                <w:lang w:eastAsia="zh-CN"/>
              </w:rPr>
            </w:pPr>
            <w:r>
              <w:rPr>
                <w:rFonts w:hint="eastAsia" w:ascii="宋体" w:hAnsi="宋体" w:cs="宋体"/>
                <w:color w:val="auto"/>
                <w:sz w:val="18"/>
                <w:szCs w:val="18"/>
                <w:highlight w:val="none"/>
              </w:rPr>
              <w:t>花坛防护设施破损，每处扣1分</w:t>
            </w:r>
            <w:r>
              <w:rPr>
                <w:rFonts w:hint="eastAsia" w:ascii="宋体" w:hAnsi="宋体" w:cs="宋体"/>
                <w:color w:val="auto"/>
                <w:sz w:val="18"/>
                <w:szCs w:val="18"/>
                <w:highlight w:val="none"/>
                <w:lang w:eastAsia="zh-CN"/>
              </w:rPr>
              <w:t>；花坛内有明显杂草、枯枝败叶的，每处扣</w:t>
            </w:r>
            <w:r>
              <w:rPr>
                <w:rFonts w:hint="eastAsia" w:ascii="宋体" w:hAnsi="宋体" w:cs="宋体"/>
                <w:color w:val="auto"/>
                <w:sz w:val="18"/>
                <w:szCs w:val="18"/>
                <w:highlight w:val="none"/>
                <w:lang w:val="en-US" w:eastAsia="zh-CN"/>
              </w:rPr>
              <w:t>0.5</w:t>
            </w:r>
            <w:r>
              <w:rPr>
                <w:rFonts w:hint="eastAsia" w:ascii="宋体" w:hAnsi="宋体" w:cs="宋体"/>
                <w:color w:val="auto"/>
                <w:sz w:val="18"/>
                <w:szCs w:val="18"/>
                <w:highlight w:val="none"/>
                <w:lang w:eastAsia="zh-CN"/>
              </w:rPr>
              <w:t>分</w:t>
            </w:r>
          </w:p>
        </w:tc>
        <w:tc>
          <w:tcPr>
            <w:tcW w:w="709"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693" w:type="dxa"/>
            <w:noWrap w:val="0"/>
            <w:vAlign w:val="center"/>
          </w:tcPr>
          <w:p>
            <w:pPr>
              <w:adjustRightInd w:val="0"/>
              <w:snapToGrid w:val="0"/>
              <w:spacing w:line="340" w:lineRule="atLeast"/>
              <w:jc w:val="center"/>
              <w:rPr>
                <w:rFonts w:hint="eastAsia" w:ascii="宋体" w:hAnsi="宋体" w:eastAsia="宋体" w:cs="宋体"/>
                <w:color w:val="auto"/>
                <w:sz w:val="18"/>
                <w:szCs w:val="18"/>
                <w:highlight w:val="none"/>
                <w:lang w:eastAsia="zh-CN"/>
              </w:rPr>
            </w:pPr>
            <w:r>
              <w:rPr>
                <w:rFonts w:hint="eastAsia" w:ascii="宋体" w:hAnsi="宋体" w:cs="宋体"/>
                <w:color w:val="auto"/>
                <w:sz w:val="18"/>
                <w:szCs w:val="18"/>
                <w:highlight w:val="none"/>
                <w:lang w:eastAsia="zh-CN"/>
              </w:rPr>
              <w:t>四</w:t>
            </w:r>
          </w:p>
        </w:tc>
        <w:tc>
          <w:tcPr>
            <w:tcW w:w="1258" w:type="dxa"/>
            <w:noWrap w:val="0"/>
            <w:vAlign w:val="center"/>
          </w:tcPr>
          <w:p>
            <w:pPr>
              <w:adjustRightInd w:val="0"/>
              <w:snapToGrid w:val="0"/>
              <w:spacing w:line="340" w:lineRule="atLeast"/>
              <w:jc w:val="center"/>
              <w:rPr>
                <w:rFonts w:hint="eastAsia" w:ascii="宋体" w:hAnsi="宋体" w:cs="宋体"/>
                <w:color w:val="auto"/>
                <w:sz w:val="18"/>
                <w:szCs w:val="18"/>
                <w:highlight w:val="none"/>
              </w:rPr>
            </w:pPr>
            <w:r>
              <w:rPr>
                <w:rFonts w:hint="eastAsia" w:ascii="宋体" w:hAnsi="宋体" w:cs="宋体"/>
                <w:color w:val="auto"/>
                <w:sz w:val="18"/>
                <w:szCs w:val="18"/>
                <w:highlight w:val="none"/>
              </w:rPr>
              <w:t>肥水管理</w:t>
            </w:r>
          </w:p>
        </w:tc>
        <w:tc>
          <w:tcPr>
            <w:tcW w:w="5528" w:type="dxa"/>
            <w:noWrap w:val="0"/>
            <w:vAlign w:val="center"/>
          </w:tcPr>
          <w:p>
            <w:pPr>
              <w:adjustRightInd w:val="0"/>
              <w:snapToGrid w:val="0"/>
              <w:spacing w:line="340" w:lineRule="atLeast"/>
              <w:jc w:val="center"/>
              <w:rPr>
                <w:rFonts w:hint="eastAsia" w:ascii="宋体" w:hAnsi="宋体" w:cs="宋体"/>
                <w:color w:val="auto"/>
                <w:sz w:val="18"/>
                <w:szCs w:val="18"/>
                <w:highlight w:val="none"/>
              </w:rPr>
            </w:pPr>
            <w:r>
              <w:rPr>
                <w:rFonts w:hint="eastAsia" w:ascii="宋体" w:hAnsi="宋体" w:cs="宋体"/>
                <w:color w:val="auto"/>
                <w:sz w:val="18"/>
                <w:szCs w:val="18"/>
                <w:highlight w:val="none"/>
              </w:rPr>
              <w:t>由于肥、水管理不善造成的枯黄、叶烧现象，乔灌木每株扣0.5分，绿篱、草坪</w:t>
            </w:r>
            <w:r>
              <w:rPr>
                <w:rFonts w:hint="eastAsia" w:ascii="宋体" w:hAnsi="宋体" w:cs="宋体"/>
                <w:color w:val="auto"/>
                <w:sz w:val="18"/>
                <w:szCs w:val="18"/>
                <w:highlight w:val="none"/>
                <w:lang w:eastAsia="zh-CN"/>
              </w:rPr>
              <w:t>、草花</w:t>
            </w:r>
            <w:r>
              <w:rPr>
                <w:rFonts w:hint="eastAsia" w:ascii="宋体" w:hAnsi="宋体" w:cs="宋体"/>
                <w:color w:val="auto"/>
                <w:sz w:val="18"/>
                <w:szCs w:val="18"/>
                <w:highlight w:val="none"/>
              </w:rPr>
              <w:t>每平方米扣0.5分；没有肥水计划扣1分/月；未按标准施肥、灌溉的，每次扣1分。</w:t>
            </w:r>
          </w:p>
        </w:tc>
        <w:tc>
          <w:tcPr>
            <w:tcW w:w="709"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693" w:type="dxa"/>
            <w:noWrap w:val="0"/>
            <w:vAlign w:val="center"/>
          </w:tcPr>
          <w:p>
            <w:pPr>
              <w:adjustRightInd w:val="0"/>
              <w:snapToGrid w:val="0"/>
              <w:spacing w:line="340" w:lineRule="atLeast"/>
              <w:jc w:val="center"/>
              <w:rPr>
                <w:rFonts w:hint="eastAsia" w:ascii="宋体" w:hAnsi="宋体" w:eastAsia="宋体" w:cs="宋体"/>
                <w:color w:val="auto"/>
                <w:sz w:val="18"/>
                <w:szCs w:val="18"/>
                <w:highlight w:val="none"/>
                <w:lang w:eastAsia="zh-CN"/>
              </w:rPr>
            </w:pPr>
            <w:r>
              <w:rPr>
                <w:rFonts w:hint="eastAsia" w:ascii="宋体" w:hAnsi="宋体" w:cs="宋体"/>
                <w:color w:val="auto"/>
                <w:sz w:val="18"/>
                <w:szCs w:val="18"/>
                <w:highlight w:val="none"/>
                <w:lang w:eastAsia="zh-CN"/>
              </w:rPr>
              <w:t>五</w:t>
            </w:r>
          </w:p>
        </w:tc>
        <w:tc>
          <w:tcPr>
            <w:tcW w:w="1258" w:type="dxa"/>
            <w:noWrap w:val="0"/>
            <w:vAlign w:val="center"/>
          </w:tcPr>
          <w:p>
            <w:pPr>
              <w:adjustRightInd w:val="0"/>
              <w:snapToGrid w:val="0"/>
              <w:spacing w:line="340" w:lineRule="atLeast"/>
              <w:jc w:val="center"/>
              <w:rPr>
                <w:rFonts w:hint="eastAsia" w:ascii="宋体" w:hAnsi="宋体" w:cs="宋体"/>
                <w:color w:val="auto"/>
                <w:sz w:val="18"/>
                <w:szCs w:val="18"/>
                <w:highlight w:val="none"/>
              </w:rPr>
            </w:pPr>
            <w:r>
              <w:rPr>
                <w:rFonts w:hint="eastAsia" w:ascii="宋体" w:hAnsi="宋体" w:cs="宋体"/>
                <w:color w:val="auto"/>
                <w:sz w:val="18"/>
                <w:szCs w:val="18"/>
                <w:highlight w:val="none"/>
              </w:rPr>
              <w:t>病虫害防治</w:t>
            </w:r>
          </w:p>
        </w:tc>
        <w:tc>
          <w:tcPr>
            <w:tcW w:w="5528" w:type="dxa"/>
            <w:noWrap w:val="0"/>
            <w:vAlign w:val="center"/>
          </w:tcPr>
          <w:p>
            <w:pPr>
              <w:adjustRightInd w:val="0"/>
              <w:snapToGrid w:val="0"/>
              <w:spacing w:line="340" w:lineRule="atLeast"/>
              <w:jc w:val="center"/>
              <w:rPr>
                <w:rFonts w:hint="eastAsia" w:ascii="宋体" w:hAnsi="宋体" w:cs="宋体"/>
                <w:color w:val="auto"/>
                <w:sz w:val="18"/>
                <w:szCs w:val="18"/>
                <w:highlight w:val="none"/>
              </w:rPr>
            </w:pPr>
            <w:r>
              <w:rPr>
                <w:rFonts w:hint="eastAsia" w:ascii="宋体" w:hAnsi="宋体" w:cs="宋体"/>
                <w:color w:val="auto"/>
                <w:sz w:val="18"/>
                <w:szCs w:val="18"/>
                <w:highlight w:val="none"/>
              </w:rPr>
              <w:t>有明显病虫害危害的，乔灌木扣0.5分/株，绿化带扣0.5分/㎡；用药配比不正确、操作不规范，扣1分/处；无病虫害防治计划的扣1分/月；未经许可，擅自使用违禁药品（如草甘膦等），扣3分。</w:t>
            </w:r>
          </w:p>
        </w:tc>
        <w:tc>
          <w:tcPr>
            <w:tcW w:w="709"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693" w:type="dxa"/>
            <w:noWrap w:val="0"/>
            <w:vAlign w:val="center"/>
          </w:tcPr>
          <w:p>
            <w:pPr>
              <w:adjustRightInd w:val="0"/>
              <w:snapToGrid w:val="0"/>
              <w:spacing w:line="340" w:lineRule="atLeast"/>
              <w:jc w:val="center"/>
              <w:rPr>
                <w:rFonts w:hint="eastAsia" w:ascii="宋体" w:hAnsi="宋体" w:eastAsia="宋体" w:cs="宋体"/>
                <w:color w:val="auto"/>
                <w:sz w:val="18"/>
                <w:szCs w:val="18"/>
                <w:highlight w:val="none"/>
                <w:lang w:eastAsia="zh-CN"/>
              </w:rPr>
            </w:pPr>
            <w:r>
              <w:rPr>
                <w:rFonts w:hint="eastAsia" w:ascii="宋体" w:hAnsi="宋体" w:cs="宋体"/>
                <w:color w:val="auto"/>
                <w:sz w:val="18"/>
                <w:szCs w:val="18"/>
                <w:highlight w:val="none"/>
                <w:lang w:eastAsia="zh-CN"/>
              </w:rPr>
              <w:t>六</w:t>
            </w:r>
          </w:p>
        </w:tc>
        <w:tc>
          <w:tcPr>
            <w:tcW w:w="1258" w:type="dxa"/>
            <w:noWrap w:val="0"/>
            <w:vAlign w:val="center"/>
          </w:tcPr>
          <w:p>
            <w:pPr>
              <w:adjustRightInd w:val="0"/>
              <w:snapToGrid w:val="0"/>
              <w:spacing w:line="340" w:lineRule="atLeast"/>
              <w:jc w:val="center"/>
              <w:rPr>
                <w:rFonts w:hint="eastAsia" w:ascii="宋体" w:hAnsi="宋体" w:cs="宋体"/>
                <w:color w:val="auto"/>
                <w:sz w:val="18"/>
                <w:szCs w:val="18"/>
                <w:highlight w:val="none"/>
              </w:rPr>
            </w:pPr>
            <w:r>
              <w:rPr>
                <w:rFonts w:hint="eastAsia" w:ascii="宋体" w:hAnsi="宋体" w:cs="宋体"/>
                <w:color w:val="auto"/>
                <w:sz w:val="18"/>
                <w:szCs w:val="18"/>
                <w:highlight w:val="none"/>
              </w:rPr>
              <w:t>绿地监管</w:t>
            </w:r>
          </w:p>
        </w:tc>
        <w:tc>
          <w:tcPr>
            <w:tcW w:w="5528" w:type="dxa"/>
            <w:noWrap w:val="0"/>
            <w:vAlign w:val="center"/>
          </w:tcPr>
          <w:p>
            <w:pPr>
              <w:adjustRightInd w:val="0"/>
              <w:snapToGrid w:val="0"/>
              <w:spacing w:line="340" w:lineRule="atLeast"/>
              <w:jc w:val="center"/>
              <w:rPr>
                <w:rFonts w:hint="eastAsia" w:ascii="宋体" w:hAnsi="宋体" w:cs="宋体"/>
                <w:color w:val="auto"/>
                <w:sz w:val="18"/>
                <w:szCs w:val="18"/>
                <w:highlight w:val="none"/>
              </w:rPr>
            </w:pPr>
            <w:r>
              <w:rPr>
                <w:rFonts w:hint="eastAsia" w:ascii="宋体" w:hAnsi="宋体" w:cs="宋体"/>
                <w:color w:val="auto"/>
                <w:sz w:val="18"/>
                <w:szCs w:val="18"/>
                <w:highlight w:val="none"/>
              </w:rPr>
              <w:t>对占绿毁绿现象、破坏绿化景观行为不及时劝阻或上报的，扣1分/次。</w:t>
            </w:r>
          </w:p>
        </w:tc>
        <w:tc>
          <w:tcPr>
            <w:tcW w:w="709"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693" w:type="dxa"/>
            <w:vMerge w:val="restart"/>
            <w:noWrap w:val="0"/>
            <w:vAlign w:val="center"/>
          </w:tcPr>
          <w:p>
            <w:pPr>
              <w:adjustRightInd w:val="0"/>
              <w:snapToGrid w:val="0"/>
              <w:spacing w:line="340" w:lineRule="atLeast"/>
              <w:jc w:val="center"/>
              <w:rPr>
                <w:rFonts w:hint="eastAsia" w:ascii="宋体" w:hAnsi="宋体" w:eastAsia="宋体" w:cs="宋体"/>
                <w:color w:val="auto"/>
                <w:sz w:val="18"/>
                <w:szCs w:val="18"/>
                <w:highlight w:val="none"/>
                <w:lang w:eastAsia="zh-CN"/>
              </w:rPr>
            </w:pPr>
            <w:r>
              <w:rPr>
                <w:rFonts w:hint="eastAsia" w:ascii="宋体" w:hAnsi="宋体" w:cs="宋体"/>
                <w:color w:val="auto"/>
                <w:sz w:val="18"/>
                <w:szCs w:val="18"/>
                <w:highlight w:val="none"/>
                <w:lang w:eastAsia="zh-CN"/>
              </w:rPr>
              <w:t>七</w:t>
            </w:r>
          </w:p>
        </w:tc>
        <w:tc>
          <w:tcPr>
            <w:tcW w:w="1258" w:type="dxa"/>
            <w:vMerge w:val="restart"/>
            <w:noWrap w:val="0"/>
            <w:vAlign w:val="center"/>
          </w:tcPr>
          <w:p>
            <w:pPr>
              <w:adjustRightInd w:val="0"/>
              <w:snapToGrid w:val="0"/>
              <w:spacing w:line="340" w:lineRule="atLeast"/>
              <w:jc w:val="center"/>
              <w:rPr>
                <w:rFonts w:hint="eastAsia" w:ascii="宋体" w:hAnsi="宋体" w:cs="宋体"/>
                <w:color w:val="auto"/>
                <w:sz w:val="18"/>
                <w:szCs w:val="18"/>
                <w:highlight w:val="none"/>
              </w:rPr>
            </w:pPr>
            <w:r>
              <w:rPr>
                <w:rFonts w:hint="eastAsia" w:ascii="宋体" w:hAnsi="宋体" w:cs="宋体"/>
                <w:color w:val="auto"/>
                <w:sz w:val="18"/>
                <w:szCs w:val="18"/>
                <w:highlight w:val="none"/>
              </w:rPr>
              <w:t>安全文明规范</w:t>
            </w:r>
          </w:p>
        </w:tc>
        <w:tc>
          <w:tcPr>
            <w:tcW w:w="5528" w:type="dxa"/>
            <w:noWrap w:val="0"/>
            <w:vAlign w:val="center"/>
          </w:tcPr>
          <w:p>
            <w:pPr>
              <w:adjustRightInd w:val="0"/>
              <w:snapToGrid w:val="0"/>
              <w:spacing w:line="340" w:lineRule="atLeast"/>
              <w:jc w:val="center"/>
              <w:rPr>
                <w:rFonts w:hint="eastAsia" w:ascii="宋体" w:hAnsi="宋体" w:cs="宋体"/>
                <w:color w:val="auto"/>
                <w:sz w:val="18"/>
                <w:szCs w:val="18"/>
                <w:highlight w:val="none"/>
              </w:rPr>
            </w:pPr>
            <w:r>
              <w:rPr>
                <w:rFonts w:hint="eastAsia" w:ascii="宋体" w:hAnsi="宋体" w:cs="宋体"/>
                <w:color w:val="auto"/>
                <w:sz w:val="18"/>
                <w:szCs w:val="18"/>
                <w:highlight w:val="none"/>
              </w:rPr>
              <w:t>养护人员、巡查人员着装不规范（安全措施不到位等）的每发现扣0.5分/人；养护人员到岗率与合同规定不符的，扣0.5分/人；</w:t>
            </w:r>
          </w:p>
        </w:tc>
        <w:tc>
          <w:tcPr>
            <w:tcW w:w="709"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693" w:type="dxa"/>
            <w:vMerge w:val="continue"/>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1258" w:type="dxa"/>
            <w:vMerge w:val="continue"/>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5528" w:type="dxa"/>
            <w:noWrap w:val="0"/>
            <w:vAlign w:val="center"/>
          </w:tcPr>
          <w:p>
            <w:pPr>
              <w:adjustRightInd w:val="0"/>
              <w:snapToGrid w:val="0"/>
              <w:spacing w:line="340" w:lineRule="atLeast"/>
              <w:jc w:val="center"/>
              <w:rPr>
                <w:rFonts w:hint="eastAsia" w:ascii="宋体" w:hAnsi="宋体" w:cs="宋体"/>
                <w:color w:val="auto"/>
                <w:sz w:val="18"/>
                <w:szCs w:val="18"/>
                <w:highlight w:val="none"/>
              </w:rPr>
            </w:pPr>
            <w:r>
              <w:rPr>
                <w:rFonts w:hint="eastAsia" w:ascii="宋体" w:hAnsi="宋体" w:cs="宋体"/>
                <w:color w:val="auto"/>
                <w:sz w:val="18"/>
                <w:szCs w:val="18"/>
                <w:highlight w:val="none"/>
              </w:rPr>
              <w:t>施工场地无防护栏、警示牌等安全文明措施，扣1分/处。</w:t>
            </w:r>
          </w:p>
        </w:tc>
        <w:tc>
          <w:tcPr>
            <w:tcW w:w="709"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693" w:type="dxa"/>
            <w:vMerge w:val="continue"/>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1258" w:type="dxa"/>
            <w:vMerge w:val="continue"/>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5528" w:type="dxa"/>
            <w:noWrap w:val="0"/>
            <w:vAlign w:val="center"/>
          </w:tcPr>
          <w:p>
            <w:pPr>
              <w:adjustRightInd w:val="0"/>
              <w:snapToGrid w:val="0"/>
              <w:spacing w:line="340" w:lineRule="atLeast"/>
              <w:jc w:val="center"/>
              <w:rPr>
                <w:rFonts w:hint="eastAsia" w:ascii="宋体" w:hAnsi="宋体" w:cs="宋体"/>
                <w:color w:val="auto"/>
                <w:sz w:val="18"/>
                <w:szCs w:val="18"/>
                <w:highlight w:val="none"/>
              </w:rPr>
            </w:pPr>
            <w:r>
              <w:rPr>
                <w:rFonts w:hint="eastAsia" w:ascii="宋体" w:hAnsi="宋体" w:cs="宋体"/>
                <w:color w:val="auto"/>
                <w:sz w:val="18"/>
                <w:szCs w:val="18"/>
                <w:highlight w:val="none"/>
              </w:rPr>
              <w:t>喷药作业未按规定时间进行、未设置安全告示标识，扣0.5分/次；剩余药剂、药瓶乱丢弃的，扣0.5分/处；浇灌作业未按规定时间、规定操作要求进行的，扣0.5分/次。</w:t>
            </w:r>
          </w:p>
        </w:tc>
        <w:tc>
          <w:tcPr>
            <w:tcW w:w="709"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693" w:type="dxa"/>
            <w:vMerge w:val="continue"/>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1258" w:type="dxa"/>
            <w:vMerge w:val="continue"/>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5528" w:type="dxa"/>
            <w:noWrap w:val="0"/>
            <w:vAlign w:val="center"/>
          </w:tcPr>
          <w:p>
            <w:pPr>
              <w:adjustRightInd w:val="0"/>
              <w:snapToGrid w:val="0"/>
              <w:spacing w:line="340" w:lineRule="atLeast"/>
              <w:jc w:val="center"/>
              <w:rPr>
                <w:rFonts w:hint="eastAsia" w:ascii="宋体" w:hAnsi="宋体" w:cs="宋体"/>
                <w:color w:val="auto"/>
                <w:sz w:val="18"/>
                <w:szCs w:val="18"/>
                <w:highlight w:val="none"/>
              </w:rPr>
            </w:pPr>
            <w:r>
              <w:rPr>
                <w:rFonts w:hint="eastAsia" w:ascii="宋体" w:hAnsi="宋体" w:cs="宋体"/>
                <w:color w:val="auto"/>
                <w:sz w:val="18"/>
                <w:szCs w:val="18"/>
                <w:highlight w:val="none"/>
              </w:rPr>
              <w:t>焚烧绿化垃圾、修剪物，扣1分/次。</w:t>
            </w:r>
          </w:p>
        </w:tc>
        <w:tc>
          <w:tcPr>
            <w:tcW w:w="709"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693" w:type="dxa"/>
            <w:vMerge w:val="restart"/>
            <w:noWrap w:val="0"/>
            <w:vAlign w:val="center"/>
          </w:tcPr>
          <w:p>
            <w:pPr>
              <w:adjustRightInd w:val="0"/>
              <w:snapToGrid w:val="0"/>
              <w:spacing w:line="340" w:lineRule="atLeast"/>
              <w:jc w:val="center"/>
              <w:rPr>
                <w:rFonts w:hint="eastAsia" w:ascii="宋体" w:hAnsi="宋体" w:eastAsia="宋体" w:cs="宋体"/>
                <w:color w:val="auto"/>
                <w:sz w:val="18"/>
                <w:szCs w:val="18"/>
                <w:highlight w:val="none"/>
                <w:lang w:eastAsia="zh-CN"/>
              </w:rPr>
            </w:pPr>
            <w:r>
              <w:rPr>
                <w:rFonts w:hint="eastAsia" w:ascii="宋体" w:hAnsi="宋体" w:cs="宋体"/>
                <w:color w:val="auto"/>
                <w:sz w:val="18"/>
                <w:szCs w:val="18"/>
                <w:highlight w:val="none"/>
                <w:lang w:eastAsia="zh-CN"/>
              </w:rPr>
              <w:t>八</w:t>
            </w:r>
          </w:p>
        </w:tc>
        <w:tc>
          <w:tcPr>
            <w:tcW w:w="1258" w:type="dxa"/>
            <w:vMerge w:val="restart"/>
            <w:noWrap w:val="0"/>
            <w:vAlign w:val="center"/>
          </w:tcPr>
          <w:p>
            <w:pPr>
              <w:adjustRightInd w:val="0"/>
              <w:snapToGrid w:val="0"/>
              <w:spacing w:line="340" w:lineRule="atLeast"/>
              <w:jc w:val="center"/>
              <w:rPr>
                <w:rFonts w:hint="eastAsia" w:ascii="宋体" w:hAnsi="宋体" w:cs="宋体"/>
                <w:color w:val="auto"/>
                <w:sz w:val="18"/>
                <w:szCs w:val="18"/>
                <w:highlight w:val="none"/>
              </w:rPr>
            </w:pPr>
            <w:r>
              <w:rPr>
                <w:rFonts w:hint="eastAsia" w:ascii="宋体" w:hAnsi="宋体" w:cs="宋体"/>
                <w:color w:val="auto"/>
                <w:sz w:val="18"/>
                <w:szCs w:val="18"/>
                <w:highlight w:val="none"/>
              </w:rPr>
              <w:t>台账资料及其他</w:t>
            </w:r>
          </w:p>
        </w:tc>
        <w:tc>
          <w:tcPr>
            <w:tcW w:w="5528" w:type="dxa"/>
            <w:noWrap w:val="0"/>
            <w:vAlign w:val="center"/>
          </w:tcPr>
          <w:p>
            <w:pPr>
              <w:adjustRightInd w:val="0"/>
              <w:snapToGrid w:val="0"/>
              <w:spacing w:line="340" w:lineRule="atLeast"/>
              <w:jc w:val="center"/>
              <w:rPr>
                <w:rFonts w:hint="eastAsia" w:ascii="宋体" w:hAnsi="宋体" w:cs="宋体"/>
                <w:color w:val="auto"/>
                <w:sz w:val="18"/>
                <w:szCs w:val="18"/>
                <w:highlight w:val="none"/>
              </w:rPr>
            </w:pPr>
            <w:r>
              <w:rPr>
                <w:rFonts w:hint="eastAsia" w:ascii="宋体" w:hAnsi="宋体" w:cs="宋体"/>
                <w:color w:val="auto"/>
                <w:sz w:val="18"/>
                <w:szCs w:val="18"/>
                <w:highlight w:val="none"/>
              </w:rPr>
              <w:t>月度养护计划在每月25日前上报，养护计划应科学合理，未达标的扣1分/次；</w:t>
            </w:r>
          </w:p>
        </w:tc>
        <w:tc>
          <w:tcPr>
            <w:tcW w:w="709"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693" w:type="dxa"/>
            <w:vMerge w:val="continue"/>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1258" w:type="dxa"/>
            <w:vMerge w:val="continue"/>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5528" w:type="dxa"/>
            <w:noWrap w:val="0"/>
            <w:vAlign w:val="center"/>
          </w:tcPr>
          <w:p>
            <w:pPr>
              <w:adjustRightInd w:val="0"/>
              <w:snapToGrid w:val="0"/>
              <w:spacing w:line="340" w:lineRule="atLeast"/>
              <w:jc w:val="center"/>
              <w:rPr>
                <w:rFonts w:hint="eastAsia" w:ascii="宋体" w:hAnsi="宋体" w:cs="宋体"/>
                <w:color w:val="auto"/>
                <w:sz w:val="18"/>
                <w:szCs w:val="18"/>
                <w:highlight w:val="none"/>
              </w:rPr>
            </w:pPr>
            <w:r>
              <w:rPr>
                <w:rFonts w:hint="eastAsia" w:ascii="宋体" w:hAnsi="宋体" w:cs="宋体"/>
                <w:color w:val="auto"/>
                <w:sz w:val="18"/>
                <w:szCs w:val="18"/>
                <w:highlight w:val="none"/>
              </w:rPr>
              <w:t>重大活动保障不力、突发事件处理不当，扣2分/次；出现群众投诉、媒体曝光事件，凡经查证属实，每次扣2分。</w:t>
            </w:r>
          </w:p>
        </w:tc>
        <w:tc>
          <w:tcPr>
            <w:tcW w:w="709"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693" w:type="dxa"/>
            <w:vMerge w:val="continue"/>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1258" w:type="dxa"/>
            <w:vMerge w:val="continue"/>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5528" w:type="dxa"/>
            <w:noWrap w:val="0"/>
            <w:vAlign w:val="center"/>
          </w:tcPr>
          <w:p>
            <w:pPr>
              <w:adjustRightInd w:val="0"/>
              <w:snapToGrid w:val="0"/>
              <w:spacing w:line="340" w:lineRule="atLeast"/>
              <w:jc w:val="center"/>
              <w:rPr>
                <w:rFonts w:hint="eastAsia" w:ascii="宋体" w:hAnsi="宋体" w:cs="宋体"/>
                <w:color w:val="auto"/>
                <w:sz w:val="18"/>
                <w:szCs w:val="18"/>
                <w:highlight w:val="none"/>
              </w:rPr>
            </w:pPr>
            <w:r>
              <w:rPr>
                <w:rFonts w:hint="eastAsia" w:ascii="宋体" w:hAnsi="宋体" w:cs="宋体"/>
                <w:color w:val="auto"/>
                <w:sz w:val="18"/>
                <w:szCs w:val="18"/>
                <w:highlight w:val="none"/>
              </w:rPr>
              <w:t>根据数字城管要求，及时处理派件，提出的问题应在规定时间内完成，如因工作推诿、拖拉造成数字城管单整改不力或重复整改，每次扣2分。</w:t>
            </w:r>
          </w:p>
        </w:tc>
        <w:tc>
          <w:tcPr>
            <w:tcW w:w="709"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693" w:type="dxa"/>
            <w:noWrap w:val="0"/>
            <w:vAlign w:val="center"/>
          </w:tcPr>
          <w:p>
            <w:pPr>
              <w:adjustRightInd w:val="0"/>
              <w:snapToGrid w:val="0"/>
              <w:spacing w:line="340" w:lineRule="atLeast"/>
              <w:jc w:val="center"/>
              <w:rPr>
                <w:rFonts w:hint="eastAsia" w:ascii="宋体" w:hAnsi="宋体" w:eastAsia="宋体" w:cs="宋体"/>
                <w:color w:val="auto"/>
                <w:sz w:val="18"/>
                <w:szCs w:val="18"/>
                <w:highlight w:val="none"/>
                <w:lang w:eastAsia="zh-CN"/>
              </w:rPr>
            </w:pPr>
            <w:r>
              <w:rPr>
                <w:rFonts w:hint="eastAsia" w:ascii="宋体" w:hAnsi="宋体" w:cs="宋体"/>
                <w:color w:val="auto"/>
                <w:sz w:val="18"/>
                <w:szCs w:val="18"/>
                <w:highlight w:val="none"/>
                <w:lang w:eastAsia="zh-CN"/>
              </w:rPr>
              <w:t>九</w:t>
            </w:r>
          </w:p>
        </w:tc>
        <w:tc>
          <w:tcPr>
            <w:tcW w:w="1258" w:type="dxa"/>
            <w:noWrap w:val="0"/>
            <w:vAlign w:val="center"/>
          </w:tcPr>
          <w:p>
            <w:pPr>
              <w:adjustRightInd w:val="0"/>
              <w:snapToGrid w:val="0"/>
              <w:spacing w:line="340" w:lineRule="atLeast"/>
              <w:jc w:val="center"/>
              <w:rPr>
                <w:rFonts w:hint="eastAsia" w:ascii="宋体" w:hAnsi="宋体" w:eastAsia="宋体" w:cs="宋体"/>
                <w:color w:val="auto"/>
                <w:sz w:val="18"/>
                <w:szCs w:val="18"/>
                <w:highlight w:val="none"/>
                <w:lang w:val="en-US" w:eastAsia="zh-CN"/>
              </w:rPr>
            </w:pPr>
            <w:r>
              <w:rPr>
                <w:rFonts w:hint="eastAsia" w:ascii="宋体" w:hAnsi="宋体" w:cs="宋体"/>
                <w:color w:val="auto"/>
                <w:sz w:val="18"/>
                <w:szCs w:val="18"/>
                <w:highlight w:val="none"/>
                <w:lang w:val="en-US" w:eastAsia="zh-CN"/>
              </w:rPr>
              <w:t>保洁</w:t>
            </w:r>
          </w:p>
        </w:tc>
        <w:tc>
          <w:tcPr>
            <w:tcW w:w="5528" w:type="dxa"/>
            <w:noWrap w:val="0"/>
            <w:vAlign w:val="center"/>
          </w:tcPr>
          <w:p>
            <w:pPr>
              <w:adjustRightInd w:val="0"/>
              <w:snapToGrid w:val="0"/>
              <w:spacing w:line="340" w:lineRule="atLeast"/>
              <w:ind w:firstLine="360" w:firstLineChars="200"/>
              <w:jc w:val="left"/>
              <w:rPr>
                <w:rFonts w:hint="eastAsia" w:ascii="宋体" w:hAnsi="宋体" w:cs="宋体"/>
                <w:color w:val="auto"/>
                <w:sz w:val="18"/>
                <w:szCs w:val="18"/>
                <w:highlight w:val="none"/>
                <w:lang w:val="en-US" w:eastAsia="zh-CN"/>
              </w:rPr>
            </w:pPr>
            <w:r>
              <w:rPr>
                <w:rFonts w:hint="eastAsia" w:ascii="宋体" w:hAnsi="宋体" w:cs="宋体"/>
                <w:color w:val="auto"/>
                <w:sz w:val="18"/>
                <w:szCs w:val="18"/>
                <w:highlight w:val="none"/>
                <w:lang w:val="en-US" w:eastAsia="zh-CN"/>
              </w:rPr>
              <w:t>绿地内无包装袋、纸屑、粪便等垃圾，无生活垃圾、建筑垃圾等垃圾堆积、保洁无死角、地面见本色，发现一处扣0.5分。</w:t>
            </w:r>
          </w:p>
          <w:p>
            <w:pPr>
              <w:adjustRightInd w:val="0"/>
              <w:snapToGrid w:val="0"/>
              <w:spacing w:line="340" w:lineRule="atLeast"/>
              <w:ind w:firstLine="360" w:firstLineChars="200"/>
              <w:jc w:val="left"/>
              <w:rPr>
                <w:rFonts w:hint="eastAsia" w:ascii="宋体" w:hAnsi="宋体" w:cs="宋体"/>
                <w:color w:val="auto"/>
                <w:sz w:val="18"/>
                <w:szCs w:val="18"/>
                <w:highlight w:val="none"/>
                <w:lang w:val="en-US" w:eastAsia="zh-CN"/>
              </w:rPr>
            </w:pPr>
            <w:r>
              <w:rPr>
                <w:rFonts w:hint="eastAsia" w:ascii="宋体" w:hAnsi="宋体" w:cs="宋体"/>
                <w:color w:val="auto"/>
                <w:sz w:val="18"/>
                <w:szCs w:val="18"/>
                <w:highlight w:val="none"/>
                <w:lang w:val="en-US" w:eastAsia="zh-CN"/>
              </w:rPr>
              <w:t>保洁范围内的乱张贴、乱涂写，清理不干净的每发现一处扣0.5分。</w:t>
            </w:r>
          </w:p>
          <w:p>
            <w:pPr>
              <w:adjustRightInd w:val="0"/>
              <w:snapToGrid w:val="0"/>
              <w:spacing w:line="340" w:lineRule="atLeast"/>
              <w:ind w:firstLine="360" w:firstLineChars="200"/>
              <w:jc w:val="left"/>
              <w:rPr>
                <w:rFonts w:hint="default" w:ascii="宋体" w:hAnsi="宋体" w:eastAsia="宋体" w:cs="宋体"/>
                <w:bCs/>
                <w:color w:val="auto"/>
                <w:kern w:val="2"/>
                <w:sz w:val="21"/>
                <w:szCs w:val="21"/>
                <w:highlight w:val="none"/>
                <w:lang w:val="en-US" w:eastAsia="zh-CN" w:bidi="ar-SA"/>
              </w:rPr>
            </w:pPr>
            <w:r>
              <w:rPr>
                <w:rFonts w:hint="default" w:ascii="宋体" w:hAnsi="宋体" w:cs="宋体"/>
                <w:color w:val="auto"/>
                <w:sz w:val="18"/>
                <w:szCs w:val="18"/>
                <w:highlight w:val="none"/>
                <w:lang w:val="en-US" w:eastAsia="zh-CN"/>
              </w:rPr>
              <w:t>树根清，行道树树穴无零星垃圾、口香糖、呕吐物、粪便等各类残留物</w:t>
            </w:r>
            <w:r>
              <w:rPr>
                <w:rFonts w:hint="eastAsia" w:ascii="宋体" w:hAnsi="宋体" w:cs="宋体"/>
                <w:color w:val="auto"/>
                <w:sz w:val="18"/>
                <w:szCs w:val="18"/>
                <w:highlight w:val="none"/>
                <w:lang w:val="en-US" w:eastAsia="zh-CN"/>
              </w:rPr>
              <w:t>，每发现一处扣0.5分</w:t>
            </w:r>
            <w:r>
              <w:rPr>
                <w:rFonts w:hint="default" w:ascii="宋体" w:hAnsi="宋体" w:cs="宋体"/>
                <w:color w:val="auto"/>
                <w:sz w:val="18"/>
                <w:szCs w:val="18"/>
                <w:highlight w:val="none"/>
                <w:lang w:val="en-US" w:eastAsia="zh-CN"/>
              </w:rPr>
              <w:t>。</w:t>
            </w:r>
          </w:p>
        </w:tc>
        <w:tc>
          <w:tcPr>
            <w:tcW w:w="709"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693" w:type="dxa"/>
            <w:noWrap w:val="0"/>
            <w:vAlign w:val="center"/>
          </w:tcPr>
          <w:p>
            <w:pPr>
              <w:adjustRightInd w:val="0"/>
              <w:snapToGrid w:val="0"/>
              <w:spacing w:line="340" w:lineRule="atLeast"/>
              <w:jc w:val="center"/>
              <w:rPr>
                <w:rFonts w:hint="eastAsia" w:ascii="宋体" w:hAnsi="宋体" w:eastAsia="宋体" w:cs="宋体"/>
                <w:color w:val="auto"/>
                <w:sz w:val="18"/>
                <w:szCs w:val="18"/>
                <w:highlight w:val="none"/>
                <w:lang w:eastAsia="zh-CN"/>
              </w:rPr>
            </w:pPr>
            <w:r>
              <w:rPr>
                <w:rFonts w:hint="eastAsia" w:ascii="宋体" w:hAnsi="宋体" w:cs="宋体"/>
                <w:color w:val="auto"/>
                <w:sz w:val="18"/>
                <w:szCs w:val="18"/>
                <w:highlight w:val="none"/>
                <w:lang w:eastAsia="zh-CN"/>
              </w:rPr>
              <w:t>十</w:t>
            </w:r>
          </w:p>
        </w:tc>
        <w:tc>
          <w:tcPr>
            <w:tcW w:w="1258" w:type="dxa"/>
            <w:noWrap w:val="0"/>
            <w:vAlign w:val="center"/>
          </w:tcPr>
          <w:p>
            <w:pPr>
              <w:adjustRightInd w:val="0"/>
              <w:snapToGrid w:val="0"/>
              <w:spacing w:line="340" w:lineRule="atLeast"/>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lang w:val="en-US" w:eastAsia="zh-CN"/>
              </w:rPr>
              <w:t>上级部门考核</w:t>
            </w:r>
          </w:p>
        </w:tc>
        <w:tc>
          <w:tcPr>
            <w:tcW w:w="5528" w:type="dxa"/>
            <w:noWrap w:val="0"/>
            <w:vAlign w:val="center"/>
          </w:tcPr>
          <w:p>
            <w:pPr>
              <w:adjustRightInd w:val="0"/>
              <w:snapToGrid w:val="0"/>
              <w:spacing w:line="340" w:lineRule="atLeast"/>
              <w:jc w:val="center"/>
              <w:rPr>
                <w:rFonts w:hint="eastAsia" w:ascii="宋体" w:hAnsi="宋体" w:cs="宋体"/>
                <w:color w:val="auto"/>
                <w:sz w:val="18"/>
                <w:szCs w:val="18"/>
                <w:highlight w:val="none"/>
              </w:rPr>
            </w:pPr>
            <w:r>
              <w:rPr>
                <w:rFonts w:hint="eastAsia" w:ascii="宋体" w:hAnsi="宋体" w:cs="宋体"/>
                <w:color w:val="auto"/>
                <w:sz w:val="18"/>
                <w:szCs w:val="18"/>
                <w:highlight w:val="none"/>
                <w:lang w:val="en-US" w:eastAsia="zh-CN"/>
              </w:rPr>
              <w:t>市、区级部门对范围内巡查、考核发现存在任何相关问题对业主进行处罚、扣分的，再由业主根据1:3比例进行扣分（业主扣1分，养护单位扣3分）；若发生批评、通报批评的则由业主一次性扣10分，并处相应罚款，业主有权解除养护合同。</w:t>
            </w:r>
          </w:p>
        </w:tc>
        <w:tc>
          <w:tcPr>
            <w:tcW w:w="709"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693" w:type="dxa"/>
            <w:noWrap w:val="0"/>
            <w:vAlign w:val="center"/>
          </w:tcPr>
          <w:p>
            <w:pPr>
              <w:adjustRightInd w:val="0"/>
              <w:snapToGrid w:val="0"/>
              <w:spacing w:line="340" w:lineRule="atLeast"/>
              <w:jc w:val="center"/>
              <w:rPr>
                <w:rFonts w:hint="eastAsia" w:ascii="宋体" w:hAnsi="宋体" w:cs="宋体"/>
                <w:color w:val="auto"/>
                <w:sz w:val="18"/>
                <w:szCs w:val="18"/>
                <w:highlight w:val="none"/>
                <w:lang w:eastAsia="zh-CN"/>
              </w:rPr>
            </w:pPr>
            <w:r>
              <w:rPr>
                <w:rFonts w:hint="eastAsia" w:ascii="宋体" w:hAnsi="宋体" w:cs="宋体"/>
                <w:color w:val="auto"/>
                <w:sz w:val="18"/>
                <w:szCs w:val="18"/>
                <w:highlight w:val="none"/>
                <w:lang w:eastAsia="zh-CN"/>
              </w:rPr>
              <w:t>十一</w:t>
            </w:r>
          </w:p>
        </w:tc>
        <w:tc>
          <w:tcPr>
            <w:tcW w:w="1258" w:type="dxa"/>
            <w:noWrap w:val="0"/>
            <w:vAlign w:val="center"/>
          </w:tcPr>
          <w:p>
            <w:pPr>
              <w:adjustRightInd w:val="0"/>
              <w:snapToGrid w:val="0"/>
              <w:spacing w:line="340" w:lineRule="atLeast"/>
              <w:jc w:val="center"/>
              <w:rPr>
                <w:rFonts w:hint="eastAsia" w:ascii="宋体" w:hAnsi="宋体" w:eastAsia="宋体" w:cs="宋体"/>
                <w:color w:val="auto"/>
                <w:sz w:val="18"/>
                <w:szCs w:val="18"/>
                <w:highlight w:val="none"/>
                <w:lang w:val="en-US" w:eastAsia="zh-CN"/>
              </w:rPr>
            </w:pPr>
            <w:r>
              <w:rPr>
                <w:rFonts w:hint="eastAsia" w:ascii="宋体" w:hAnsi="宋体" w:cs="宋体"/>
                <w:color w:val="auto"/>
                <w:sz w:val="18"/>
                <w:szCs w:val="18"/>
                <w:highlight w:val="none"/>
                <w:lang w:val="en-US" w:eastAsia="zh-CN"/>
              </w:rPr>
              <w:t>其他考核</w:t>
            </w:r>
          </w:p>
        </w:tc>
        <w:tc>
          <w:tcPr>
            <w:tcW w:w="5528" w:type="dxa"/>
            <w:noWrap w:val="0"/>
            <w:vAlign w:val="center"/>
          </w:tcPr>
          <w:p>
            <w:pPr>
              <w:adjustRightInd w:val="0"/>
              <w:snapToGrid w:val="0"/>
              <w:spacing w:line="340" w:lineRule="atLeast"/>
              <w:jc w:val="center"/>
              <w:rPr>
                <w:rFonts w:hint="eastAsia" w:ascii="宋体" w:hAnsi="宋体" w:cs="宋体"/>
                <w:color w:val="auto"/>
                <w:sz w:val="18"/>
                <w:szCs w:val="18"/>
                <w:highlight w:val="none"/>
                <w:lang w:val="en-US" w:eastAsia="zh-CN"/>
              </w:rPr>
            </w:pPr>
            <w:r>
              <w:rPr>
                <w:rFonts w:hint="eastAsia" w:ascii="宋体" w:hAnsi="宋体" w:cs="宋体"/>
                <w:color w:val="auto"/>
                <w:sz w:val="18"/>
                <w:szCs w:val="18"/>
                <w:highlight w:val="none"/>
                <w:lang w:val="en-US" w:eastAsia="zh-CN"/>
              </w:rPr>
              <w:t>按省、市相关现行标准考核、扣分、罚款</w:t>
            </w:r>
          </w:p>
        </w:tc>
        <w:tc>
          <w:tcPr>
            <w:tcW w:w="709"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693" w:type="dxa"/>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c>
          <w:tcPr>
            <w:tcW w:w="6786" w:type="dxa"/>
            <w:gridSpan w:val="2"/>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r>
              <w:rPr>
                <w:rFonts w:hint="eastAsia" w:ascii="宋体" w:hAnsi="宋体" w:cs="宋体"/>
                <w:color w:val="auto"/>
                <w:sz w:val="18"/>
                <w:szCs w:val="18"/>
                <w:highlight w:val="none"/>
              </w:rPr>
              <w:t>合计</w:t>
            </w:r>
          </w:p>
        </w:tc>
        <w:tc>
          <w:tcPr>
            <w:tcW w:w="1560" w:type="dxa"/>
            <w:gridSpan w:val="2"/>
            <w:noWrap w:val="0"/>
            <w:vAlign w:val="center"/>
          </w:tcPr>
          <w:p>
            <w:pPr>
              <w:adjustRightInd w:val="0"/>
              <w:snapToGrid w:val="0"/>
              <w:spacing w:line="340" w:lineRule="atLeast"/>
              <w:ind w:firstLine="420"/>
              <w:jc w:val="center"/>
              <w:rPr>
                <w:rFonts w:hint="eastAsia" w:ascii="宋体" w:hAnsi="宋体" w:cs="宋体"/>
                <w:color w:val="auto"/>
                <w:sz w:val="18"/>
                <w:szCs w:val="18"/>
                <w:highlight w:val="none"/>
              </w:rPr>
            </w:pPr>
          </w:p>
        </w:tc>
      </w:tr>
    </w:tbl>
    <w:p>
      <w:pPr>
        <w:adjustRightInd w:val="0"/>
        <w:snapToGrid w:val="0"/>
        <w:spacing w:line="340" w:lineRule="atLeast"/>
        <w:jc w:val="both"/>
        <w:rPr>
          <w:rFonts w:hint="eastAsia" w:ascii="宋体" w:hAnsi="宋体" w:cs="宋体"/>
          <w:color w:val="auto"/>
          <w:sz w:val="18"/>
          <w:szCs w:val="18"/>
          <w:highlight w:val="none"/>
        </w:rPr>
      </w:pPr>
      <w:r>
        <w:rPr>
          <w:rFonts w:hint="eastAsia" w:ascii="宋体" w:hAnsi="宋体" w:cs="宋体"/>
          <w:color w:val="auto"/>
          <w:sz w:val="18"/>
          <w:szCs w:val="18"/>
          <w:highlight w:val="none"/>
        </w:rPr>
        <w:t>备注：1、苗木施肥一年不少于三次，每年4月底、6月底、10月底之前完成追肥工作，施肥量以化肥为例：乔灌木25－50克/棵、绿篱色块8－10克/平方、草坪地被6－7克/平方、四季花卉每季不少于二次、每次8－10克/平方。</w:t>
      </w:r>
    </w:p>
    <w:p>
      <w:pPr>
        <w:ind w:firstLine="360" w:firstLineChars="200"/>
        <w:rPr>
          <w:rFonts w:hint="eastAsia"/>
          <w:color w:val="auto"/>
          <w:highlight w:val="none"/>
        </w:rPr>
      </w:pPr>
      <w:r>
        <w:rPr>
          <w:rFonts w:hint="eastAsia" w:ascii="宋体" w:hAnsi="宋体" w:cs="宋体"/>
          <w:color w:val="auto"/>
          <w:sz w:val="18"/>
          <w:szCs w:val="18"/>
          <w:highlight w:val="none"/>
        </w:rPr>
        <w:t>2、推广使用有机肥，用量是化肥的20-50倍，具体施肥工作报园林处审核同意后方可实施。</w:t>
      </w:r>
    </w:p>
    <w:p>
      <w:pPr>
        <w:spacing w:line="260" w:lineRule="exact"/>
        <w:ind w:firstLine="360" w:firstLineChars="2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考核要求：</w:t>
      </w:r>
    </w:p>
    <w:p>
      <w:pPr>
        <w:spacing w:line="260" w:lineRule="exact"/>
        <w:ind w:firstLine="360" w:firstLineChars="2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1、季度考核结果汇总：每季度</w:t>
      </w:r>
      <w:r>
        <w:rPr>
          <w:rFonts w:hint="eastAsia" w:ascii="宋体" w:hAnsi="宋体" w:cs="宋体"/>
          <w:color w:val="auto"/>
          <w:sz w:val="18"/>
          <w:szCs w:val="18"/>
          <w:highlight w:val="none"/>
          <w:lang w:eastAsia="zh-CN"/>
        </w:rPr>
        <w:t>南湖革命纪念馆</w:t>
      </w:r>
      <w:r>
        <w:rPr>
          <w:rFonts w:hint="eastAsia" w:ascii="宋体" w:hAnsi="宋体" w:eastAsia="宋体" w:cs="宋体"/>
          <w:color w:val="auto"/>
          <w:sz w:val="18"/>
          <w:szCs w:val="18"/>
          <w:highlight w:val="none"/>
        </w:rPr>
        <w:t>根据当季暗查、明查情况进行汇总打分，得出当季度考核分，考核分与季度养护费挂钩。考核实行百分制。考核分值及评分标准详见</w:t>
      </w:r>
      <w:r>
        <w:rPr>
          <w:rFonts w:hint="eastAsia" w:ascii="宋体" w:hAnsi="宋体" w:eastAsia="宋体" w:cs="宋体"/>
          <w:color w:val="auto"/>
          <w:sz w:val="18"/>
          <w:szCs w:val="18"/>
          <w:highlight w:val="none"/>
          <w:lang w:eastAsia="zh-CN"/>
        </w:rPr>
        <w:t>上表</w:t>
      </w:r>
      <w:r>
        <w:rPr>
          <w:rFonts w:hint="eastAsia" w:ascii="宋体" w:hAnsi="宋体" w:eastAsia="宋体" w:cs="宋体"/>
          <w:color w:val="auto"/>
          <w:sz w:val="18"/>
          <w:szCs w:val="18"/>
          <w:highlight w:val="none"/>
        </w:rPr>
        <w:t>。</w:t>
      </w:r>
    </w:p>
    <w:p>
      <w:pPr>
        <w:spacing w:line="260" w:lineRule="exact"/>
        <w:ind w:firstLine="360" w:firstLineChars="2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2、考核结果汇总及运用：根据考核结果，季度考核分得分90分（含）以上为优秀，按实全额核拨养护费；</w:t>
      </w:r>
      <w:r>
        <w:rPr>
          <w:rFonts w:hint="eastAsia" w:ascii="宋体" w:hAnsi="宋体" w:cs="宋体"/>
          <w:color w:val="auto"/>
          <w:sz w:val="18"/>
          <w:szCs w:val="18"/>
          <w:highlight w:val="none"/>
          <w:lang w:val="en-US" w:eastAsia="zh-CN"/>
        </w:rPr>
        <w:t>60分到90分为良</w:t>
      </w:r>
      <w:r>
        <w:rPr>
          <w:rFonts w:hint="eastAsia" w:ascii="宋体" w:hAnsi="宋体" w:eastAsia="宋体" w:cs="宋体"/>
          <w:color w:val="auto"/>
          <w:sz w:val="18"/>
          <w:szCs w:val="18"/>
          <w:highlight w:val="none"/>
        </w:rPr>
        <w:t>，</w:t>
      </w:r>
      <w:r>
        <w:rPr>
          <w:rFonts w:hint="eastAsia" w:ascii="宋体" w:hAnsi="宋体" w:eastAsia="宋体" w:cs="宋体"/>
          <w:color w:val="auto"/>
          <w:sz w:val="18"/>
          <w:szCs w:val="18"/>
          <w:highlight w:val="none"/>
          <w:lang w:eastAsia="zh-CN"/>
        </w:rPr>
        <w:t>低于</w:t>
      </w:r>
      <w:r>
        <w:rPr>
          <w:rFonts w:hint="eastAsia" w:ascii="宋体" w:hAnsi="宋体" w:eastAsia="宋体" w:cs="宋体"/>
          <w:color w:val="auto"/>
          <w:sz w:val="18"/>
          <w:szCs w:val="18"/>
          <w:highlight w:val="none"/>
          <w:lang w:val="en-US" w:eastAsia="zh-CN"/>
        </w:rPr>
        <w:t>90分，</w:t>
      </w:r>
      <w:r>
        <w:rPr>
          <w:rFonts w:hint="eastAsia" w:ascii="宋体" w:hAnsi="宋体" w:eastAsia="宋体" w:cs="宋体"/>
          <w:color w:val="auto"/>
          <w:sz w:val="18"/>
          <w:szCs w:val="18"/>
          <w:highlight w:val="none"/>
        </w:rPr>
        <w:t>每降低</w:t>
      </w:r>
      <w:r>
        <w:rPr>
          <w:rFonts w:hint="eastAsia" w:ascii="宋体" w:hAnsi="宋体" w:eastAsia="宋体" w:cs="宋体"/>
          <w:color w:val="auto"/>
          <w:sz w:val="18"/>
          <w:szCs w:val="18"/>
          <w:highlight w:val="none"/>
          <w:lang w:val="en-US" w:eastAsia="zh-CN"/>
        </w:rPr>
        <w:t>1</w:t>
      </w:r>
      <w:r>
        <w:rPr>
          <w:rFonts w:hint="eastAsia" w:ascii="宋体" w:hAnsi="宋体" w:eastAsia="宋体" w:cs="宋体"/>
          <w:color w:val="auto"/>
          <w:sz w:val="18"/>
          <w:szCs w:val="18"/>
          <w:highlight w:val="none"/>
        </w:rPr>
        <w:t>分，当季养护费扣</w:t>
      </w:r>
      <w:r>
        <w:rPr>
          <w:rFonts w:hint="eastAsia" w:ascii="宋体" w:hAnsi="宋体" w:eastAsia="宋体" w:cs="宋体"/>
          <w:color w:val="auto"/>
          <w:sz w:val="18"/>
          <w:szCs w:val="18"/>
          <w:highlight w:val="none"/>
          <w:lang w:val="en-US" w:eastAsia="zh-CN"/>
        </w:rPr>
        <w:t>2</w:t>
      </w:r>
      <w:r>
        <w:rPr>
          <w:rFonts w:hint="eastAsia" w:ascii="宋体" w:hAnsi="宋体" w:eastAsia="宋体" w:cs="宋体"/>
          <w:color w:val="auto"/>
          <w:sz w:val="18"/>
          <w:szCs w:val="18"/>
          <w:highlight w:val="none"/>
        </w:rPr>
        <w:t>00</w:t>
      </w:r>
      <w:r>
        <w:rPr>
          <w:rFonts w:hint="eastAsia" w:ascii="宋体" w:hAnsi="宋体" w:eastAsia="宋体" w:cs="宋体"/>
          <w:color w:val="auto"/>
          <w:sz w:val="18"/>
          <w:szCs w:val="18"/>
          <w:highlight w:val="none"/>
          <w:lang w:val="en-US" w:eastAsia="zh-CN"/>
        </w:rPr>
        <w:t>0</w:t>
      </w:r>
      <w:r>
        <w:rPr>
          <w:rFonts w:hint="eastAsia" w:ascii="宋体" w:hAnsi="宋体" w:eastAsia="宋体" w:cs="宋体"/>
          <w:color w:val="auto"/>
          <w:sz w:val="18"/>
          <w:szCs w:val="18"/>
          <w:highlight w:val="none"/>
        </w:rPr>
        <w:t>元</w:t>
      </w:r>
      <w:r>
        <w:rPr>
          <w:rFonts w:hint="eastAsia" w:ascii="宋体" w:hAnsi="宋体" w:eastAsia="宋体" w:cs="宋体"/>
          <w:color w:val="auto"/>
          <w:sz w:val="18"/>
          <w:szCs w:val="18"/>
          <w:highlight w:val="none"/>
          <w:lang w:eastAsia="zh-CN"/>
        </w:rPr>
        <w:t>；季度考核分在</w:t>
      </w:r>
      <w:r>
        <w:rPr>
          <w:rFonts w:hint="eastAsia" w:ascii="宋体" w:hAnsi="宋体" w:eastAsia="宋体" w:cs="宋体"/>
          <w:color w:val="auto"/>
          <w:sz w:val="18"/>
          <w:szCs w:val="18"/>
          <w:highlight w:val="none"/>
          <w:lang w:val="en-US" w:eastAsia="zh-CN"/>
        </w:rPr>
        <w:t>60分以下的为不合格，发包人有权直接解除合同，并要求承包人赔偿相应损失</w:t>
      </w:r>
      <w:r>
        <w:rPr>
          <w:rFonts w:hint="eastAsia" w:ascii="宋体" w:hAnsi="宋体" w:eastAsia="宋体" w:cs="宋体"/>
          <w:color w:val="auto"/>
          <w:sz w:val="18"/>
          <w:szCs w:val="18"/>
          <w:highlight w:val="none"/>
        </w:rPr>
        <w:t>。</w:t>
      </w:r>
    </w:p>
    <w:p>
      <w:pPr>
        <w:spacing w:line="260" w:lineRule="exact"/>
        <w:ind w:firstLine="360" w:firstLineChars="200"/>
        <w:rPr>
          <w:rFonts w:hint="default"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3、承包方如有超出合同内约定范围进行无偿施工、养护等内容的，甲方可适当予以加分。</w:t>
      </w:r>
    </w:p>
    <w:p>
      <w:pPr>
        <w:pStyle w:val="4"/>
        <w:rPr>
          <w:rFonts w:hint="eastAsia" w:ascii="宋体" w:hAnsi="宋体" w:eastAsia="宋体" w:cs="宋体"/>
          <w:color w:val="auto"/>
          <w:sz w:val="18"/>
          <w:szCs w:val="18"/>
          <w:highlight w:val="yellow"/>
        </w:rPr>
      </w:pPr>
    </w:p>
    <w:p>
      <w:pPr>
        <w:rPr>
          <w:rFonts w:hint="default"/>
          <w:lang w:val="en-US" w:eastAsia="zh-CN"/>
        </w:rPr>
        <w:sectPr>
          <w:headerReference r:id="rId6" w:type="default"/>
          <w:footerReference r:id="rId7" w:type="default"/>
          <w:pgSz w:w="11910" w:h="16840"/>
          <w:pgMar w:top="980" w:right="1200" w:bottom="800" w:left="1080" w:header="857" w:footer="1004" w:gutter="0"/>
          <w:pgBorders>
            <w:top w:val="none" w:sz="0" w:space="0"/>
            <w:left w:val="none" w:sz="0" w:space="0"/>
            <w:bottom w:val="none" w:sz="0" w:space="0"/>
            <w:right w:val="none" w:sz="0" w:space="0"/>
          </w:pgBorders>
          <w:pgNumType w:fmt="decimal"/>
          <w:cols w:space="720" w:num="1"/>
        </w:sectPr>
      </w:pPr>
    </w:p>
    <w:p>
      <w:pPr>
        <w:snapToGrid w:val="0"/>
        <w:spacing w:beforeLines="50" w:afterLines="50" w:line="360" w:lineRule="auto"/>
        <w:ind w:left="238"/>
        <w:jc w:val="center"/>
        <w:outlineLvl w:val="0"/>
        <w:rPr>
          <w:rFonts w:asciiTheme="minorEastAsia" w:hAnsiTheme="minorEastAsia" w:eastAsiaTheme="minorEastAsia"/>
          <w:b/>
          <w:color w:val="auto"/>
          <w:sz w:val="30"/>
          <w:szCs w:val="30"/>
          <w:highlight w:val="none"/>
        </w:rPr>
      </w:pPr>
      <w:bookmarkStart w:id="64" w:name="_Toc3463"/>
      <w:r>
        <w:rPr>
          <w:rFonts w:hint="eastAsia" w:asciiTheme="minorEastAsia" w:hAnsiTheme="minorEastAsia" w:eastAsiaTheme="minorEastAsia"/>
          <w:b/>
          <w:color w:val="auto"/>
          <w:sz w:val="30"/>
          <w:szCs w:val="30"/>
          <w:highlight w:val="none"/>
        </w:rPr>
        <w:t>第三章 供应商须知</w:t>
      </w:r>
      <w:bookmarkEnd w:id="64"/>
    </w:p>
    <w:p>
      <w:pPr>
        <w:snapToGrid w:val="0"/>
        <w:spacing w:beforeLines="50" w:afterLines="50" w:line="360" w:lineRule="auto"/>
        <w:ind w:left="238"/>
        <w:jc w:val="center"/>
        <w:outlineLvl w:val="1"/>
        <w:rPr>
          <w:rFonts w:asciiTheme="minorEastAsia" w:hAnsiTheme="minorEastAsia" w:eastAsiaTheme="minorEastAsia"/>
          <w:b/>
          <w:color w:val="auto"/>
          <w:sz w:val="30"/>
          <w:szCs w:val="30"/>
          <w:highlight w:val="none"/>
        </w:rPr>
      </w:pPr>
      <w:r>
        <w:rPr>
          <w:rFonts w:hint="eastAsia" w:asciiTheme="minorEastAsia" w:hAnsiTheme="minorEastAsia" w:eastAsiaTheme="minorEastAsia"/>
          <w:b/>
          <w:color w:val="auto"/>
          <w:sz w:val="30"/>
          <w:szCs w:val="30"/>
          <w:highlight w:val="none"/>
        </w:rPr>
        <w:t>电子交易注意事项</w:t>
      </w:r>
    </w:p>
    <w:p>
      <w:pPr>
        <w:spacing w:line="360" w:lineRule="auto"/>
        <w:ind w:firstLine="210" w:firstLineChars="100"/>
        <w:jc w:val="left"/>
        <w:rPr>
          <w:rFonts w:cs="宋体" w:asciiTheme="minorEastAsia" w:hAnsiTheme="minorEastAsia" w:eastAsiaTheme="minorEastAsia"/>
          <w:color w:val="auto"/>
          <w:szCs w:val="21"/>
          <w:highlight w:val="none"/>
          <w:shd w:val="clear" w:color="auto" w:fill="FFFFFF"/>
        </w:rPr>
      </w:pPr>
      <w:r>
        <w:rPr>
          <w:rFonts w:hint="eastAsia" w:cs="宋体" w:asciiTheme="minorEastAsia" w:hAnsiTheme="minorEastAsia" w:eastAsiaTheme="minorEastAsia"/>
          <w:color w:val="auto"/>
          <w:szCs w:val="21"/>
          <w:highlight w:val="none"/>
          <w:shd w:val="clear" w:color="auto" w:fill="FFFFFF"/>
        </w:rPr>
        <w:t>　政府采购项目电子交易活动适用《浙江省政府采购项目电子交易管理暂行办法》，现将相关注意事项告知如下：</w:t>
      </w:r>
    </w:p>
    <w:p>
      <w:pPr>
        <w:spacing w:line="360" w:lineRule="auto"/>
        <w:ind w:firstLine="210" w:firstLineChars="100"/>
        <w:jc w:val="left"/>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　1.代理机构按照招标文件规定的时间通过电子交易平台组织开标、开启投标文件，所有供应商均应当准时在线参加，直至评审结束。</w:t>
      </w:r>
    </w:p>
    <w:p>
      <w:pPr>
        <w:pStyle w:val="45"/>
        <w:spacing w:beforeAutospacing="0" w:afterAutospacing="0" w:line="360" w:lineRule="auto"/>
        <w:ind w:firstLine="210" w:firstLineChars="100"/>
        <w:rPr>
          <w:rFonts w:asciiTheme="minorEastAsia" w:hAnsiTheme="minorEastAsia" w:eastAsiaTheme="minorEastAsia"/>
          <w:color w:val="auto"/>
          <w:kern w:val="2"/>
          <w:sz w:val="21"/>
          <w:szCs w:val="21"/>
          <w:highlight w:val="none"/>
        </w:rPr>
      </w:pPr>
      <w:r>
        <w:rPr>
          <w:rFonts w:hint="eastAsia" w:asciiTheme="minorEastAsia" w:hAnsiTheme="minorEastAsia" w:eastAsiaTheme="minorEastAsia"/>
          <w:color w:val="auto"/>
          <w:kern w:val="2"/>
          <w:sz w:val="21"/>
          <w:szCs w:val="21"/>
          <w:highlight w:val="none"/>
        </w:rPr>
        <w:t>　2.投标文件未按时解密，供应商如提供备份投标文件的，以符合要求的备份投标文件作为依据，否则视为投标文件撤回。投标文件已按时解密的，备份投标文件自动失效。</w:t>
      </w:r>
    </w:p>
    <w:p>
      <w:pPr>
        <w:pStyle w:val="45"/>
        <w:spacing w:beforeAutospacing="0" w:afterAutospacing="0" w:line="360" w:lineRule="auto"/>
        <w:ind w:firstLine="210" w:firstLineChars="100"/>
        <w:rPr>
          <w:rFonts w:asciiTheme="minorEastAsia" w:hAnsiTheme="minorEastAsia" w:eastAsiaTheme="minorEastAsia"/>
          <w:color w:val="auto"/>
          <w:kern w:val="2"/>
          <w:sz w:val="21"/>
          <w:szCs w:val="21"/>
          <w:highlight w:val="none"/>
        </w:rPr>
      </w:pPr>
      <w:r>
        <w:rPr>
          <w:rFonts w:hint="eastAsia" w:asciiTheme="minorEastAsia" w:hAnsiTheme="minorEastAsia" w:eastAsiaTheme="minorEastAsia"/>
          <w:color w:val="auto"/>
          <w:kern w:val="2"/>
          <w:sz w:val="21"/>
          <w:szCs w:val="21"/>
          <w:highlight w:val="none"/>
        </w:rPr>
        <w:t>　3.采购过程中出现以下情形，导致电子交易平台无法正常运行，或者无法保证电子交易的公平、公正和安全时，代理机构可中止电子交易活动：</w:t>
      </w:r>
    </w:p>
    <w:p>
      <w:pPr>
        <w:pStyle w:val="45"/>
        <w:spacing w:beforeAutospacing="0" w:afterAutospacing="0" w:line="360" w:lineRule="auto"/>
        <w:ind w:firstLine="645"/>
        <w:rPr>
          <w:rFonts w:asciiTheme="minorEastAsia" w:hAnsiTheme="minorEastAsia" w:eastAsiaTheme="minorEastAsia"/>
          <w:color w:val="auto"/>
          <w:kern w:val="2"/>
          <w:sz w:val="21"/>
          <w:szCs w:val="21"/>
          <w:highlight w:val="none"/>
        </w:rPr>
      </w:pPr>
      <w:r>
        <w:rPr>
          <w:rFonts w:hint="eastAsia" w:asciiTheme="minorEastAsia" w:hAnsiTheme="minorEastAsia" w:eastAsiaTheme="minorEastAsia"/>
          <w:color w:val="auto"/>
          <w:kern w:val="2"/>
          <w:sz w:val="21"/>
          <w:szCs w:val="21"/>
          <w:highlight w:val="none"/>
        </w:rPr>
        <w:t>（一）电子交易平台发生故障而无法登录访问的； </w:t>
      </w:r>
    </w:p>
    <w:p>
      <w:pPr>
        <w:pStyle w:val="45"/>
        <w:spacing w:beforeAutospacing="0" w:afterAutospacing="0" w:line="360" w:lineRule="auto"/>
        <w:ind w:firstLine="645"/>
        <w:rPr>
          <w:rFonts w:asciiTheme="minorEastAsia" w:hAnsiTheme="minorEastAsia" w:eastAsiaTheme="minorEastAsia"/>
          <w:color w:val="auto"/>
          <w:kern w:val="2"/>
          <w:sz w:val="21"/>
          <w:szCs w:val="21"/>
          <w:highlight w:val="none"/>
        </w:rPr>
      </w:pPr>
      <w:r>
        <w:rPr>
          <w:rFonts w:hint="eastAsia" w:asciiTheme="minorEastAsia" w:hAnsiTheme="minorEastAsia" w:eastAsiaTheme="minorEastAsia"/>
          <w:color w:val="auto"/>
          <w:kern w:val="2"/>
          <w:sz w:val="21"/>
          <w:szCs w:val="21"/>
          <w:highlight w:val="none"/>
        </w:rPr>
        <w:t>（二）电子交易平台应用或数据库出现错误，不能进行正常操作的；</w:t>
      </w:r>
    </w:p>
    <w:p>
      <w:pPr>
        <w:pStyle w:val="45"/>
        <w:spacing w:beforeAutospacing="0" w:afterAutospacing="0" w:line="360" w:lineRule="auto"/>
        <w:ind w:firstLine="645"/>
        <w:rPr>
          <w:rFonts w:asciiTheme="minorEastAsia" w:hAnsiTheme="minorEastAsia" w:eastAsiaTheme="minorEastAsia"/>
          <w:color w:val="auto"/>
          <w:kern w:val="2"/>
          <w:sz w:val="21"/>
          <w:szCs w:val="21"/>
          <w:highlight w:val="none"/>
        </w:rPr>
      </w:pPr>
      <w:r>
        <w:rPr>
          <w:rFonts w:hint="eastAsia" w:asciiTheme="minorEastAsia" w:hAnsiTheme="minorEastAsia" w:eastAsiaTheme="minorEastAsia"/>
          <w:color w:val="auto"/>
          <w:kern w:val="2"/>
          <w:sz w:val="21"/>
          <w:szCs w:val="21"/>
          <w:highlight w:val="none"/>
        </w:rPr>
        <w:t>（三）电子交易平台发现严重安全漏洞，有潜在泄密危险的；</w:t>
      </w:r>
    </w:p>
    <w:p>
      <w:pPr>
        <w:pStyle w:val="45"/>
        <w:spacing w:beforeAutospacing="0" w:afterAutospacing="0" w:line="360" w:lineRule="auto"/>
        <w:ind w:firstLine="645"/>
        <w:rPr>
          <w:rFonts w:asciiTheme="minorEastAsia" w:hAnsiTheme="minorEastAsia" w:eastAsiaTheme="minorEastAsia"/>
          <w:color w:val="auto"/>
          <w:kern w:val="2"/>
          <w:sz w:val="21"/>
          <w:szCs w:val="21"/>
          <w:highlight w:val="none"/>
        </w:rPr>
      </w:pPr>
      <w:r>
        <w:rPr>
          <w:rFonts w:hint="eastAsia" w:asciiTheme="minorEastAsia" w:hAnsiTheme="minorEastAsia" w:eastAsiaTheme="minorEastAsia"/>
          <w:color w:val="auto"/>
          <w:kern w:val="2"/>
          <w:sz w:val="21"/>
          <w:szCs w:val="21"/>
          <w:highlight w:val="none"/>
        </w:rPr>
        <w:t>（四）病毒发作导致不能进行正常操作的； </w:t>
      </w:r>
    </w:p>
    <w:p>
      <w:pPr>
        <w:pStyle w:val="45"/>
        <w:spacing w:beforeAutospacing="0" w:afterAutospacing="0" w:line="360" w:lineRule="auto"/>
        <w:ind w:firstLine="645"/>
        <w:rPr>
          <w:rFonts w:asciiTheme="minorEastAsia" w:hAnsiTheme="minorEastAsia" w:eastAsiaTheme="minorEastAsia"/>
          <w:color w:val="auto"/>
          <w:kern w:val="2"/>
          <w:sz w:val="21"/>
          <w:szCs w:val="21"/>
          <w:highlight w:val="none"/>
        </w:rPr>
      </w:pPr>
      <w:r>
        <w:rPr>
          <w:rFonts w:hint="eastAsia" w:asciiTheme="minorEastAsia" w:hAnsiTheme="minorEastAsia" w:eastAsiaTheme="minorEastAsia"/>
          <w:color w:val="auto"/>
          <w:kern w:val="2"/>
          <w:sz w:val="21"/>
          <w:szCs w:val="21"/>
          <w:highlight w:val="none"/>
        </w:rPr>
        <w:t>（五）其他无法保证电子交易的公平、公正和安全的情况。</w:t>
      </w:r>
    </w:p>
    <w:p>
      <w:pPr>
        <w:pStyle w:val="45"/>
        <w:spacing w:beforeAutospacing="0" w:afterAutospacing="0" w:line="360" w:lineRule="auto"/>
        <w:ind w:firstLine="480"/>
        <w:rPr>
          <w:rFonts w:asciiTheme="minorEastAsia" w:hAnsiTheme="minorEastAsia" w:eastAsiaTheme="minorEastAsia"/>
          <w:color w:val="auto"/>
          <w:kern w:val="2"/>
          <w:sz w:val="21"/>
          <w:szCs w:val="21"/>
          <w:highlight w:val="none"/>
        </w:rPr>
      </w:pPr>
      <w:r>
        <w:rPr>
          <w:rFonts w:hint="eastAsia" w:asciiTheme="minorEastAsia" w:hAnsiTheme="minorEastAsia" w:eastAsiaTheme="minorEastAsia"/>
          <w:color w:val="auto"/>
          <w:kern w:val="2"/>
          <w:sz w:val="21"/>
          <w:szCs w:val="21"/>
          <w:highlight w:val="none"/>
        </w:rPr>
        <w:t>出现前款规定情形，不影响采购公平、公正性的，代理机构可以待上述情形消除后继续组织电子交易活动，也可以决定某些环节以纸质形式进行；影响或可能影响采购公平、公正性的，应当重新采购。</w:t>
      </w:r>
    </w:p>
    <w:p>
      <w:pPr>
        <w:pStyle w:val="45"/>
        <w:spacing w:beforeAutospacing="0" w:afterAutospacing="0" w:line="360" w:lineRule="auto"/>
        <w:ind w:firstLine="480"/>
        <w:rPr>
          <w:rFonts w:asciiTheme="minorEastAsia" w:hAnsiTheme="minorEastAsia" w:eastAsiaTheme="minorEastAsia"/>
          <w:color w:val="auto"/>
          <w:sz w:val="21"/>
          <w:szCs w:val="21"/>
          <w:highlight w:val="none"/>
          <w:shd w:val="clear" w:color="auto" w:fill="FFFFFF"/>
        </w:rPr>
      </w:pPr>
      <w:r>
        <w:rPr>
          <w:rFonts w:hint="eastAsia" w:asciiTheme="minorEastAsia" w:hAnsiTheme="minorEastAsia" w:eastAsiaTheme="minorEastAsia"/>
          <w:color w:val="auto"/>
          <w:sz w:val="21"/>
          <w:szCs w:val="21"/>
          <w:highlight w:val="none"/>
          <w:shd w:val="clear" w:color="auto" w:fill="FFFFFF"/>
        </w:rPr>
        <w:t>4.评审中需要供应商对投标文件作出澄清、说明或者补正的，评审小组和供应商应当通过电子交易平台交换数据电文。供应商需在半小时内提交澄清说明或补正，供应商已经明确表示澄清说明或补正完毕的除外。</w:t>
      </w:r>
    </w:p>
    <w:p>
      <w:pPr>
        <w:pStyle w:val="29"/>
        <w:snapToGrid w:val="0"/>
        <w:spacing w:before="120" w:after="120" w:line="360" w:lineRule="auto"/>
        <w:ind w:firstLine="422" w:firstLineChars="200"/>
        <w:rPr>
          <w:rFonts w:cs="宋体" w:asciiTheme="minorEastAsia" w:hAnsiTheme="minorEastAsia" w:eastAsiaTheme="minorEastAsia"/>
          <w:b/>
          <w:color w:val="auto"/>
          <w:kern w:val="0"/>
          <w:sz w:val="21"/>
          <w:szCs w:val="21"/>
          <w:highlight w:val="none"/>
          <w:shd w:val="clear" w:color="auto" w:fill="FFFFFF"/>
        </w:rPr>
      </w:pPr>
      <w:r>
        <w:rPr>
          <w:rFonts w:hint="eastAsia" w:cs="宋体" w:asciiTheme="minorEastAsia" w:hAnsiTheme="minorEastAsia" w:eastAsiaTheme="minorEastAsia"/>
          <w:b/>
          <w:color w:val="auto"/>
          <w:kern w:val="0"/>
          <w:sz w:val="21"/>
          <w:szCs w:val="21"/>
          <w:highlight w:val="none"/>
          <w:shd w:val="clear" w:color="auto" w:fill="FFFFFF"/>
        </w:rPr>
        <w:t>5.代理机构工作人员通过政采云通知供应商按电子交易项目要求接受询标、宣布开标报价、综合得分、签发中标通知书等事宜</w:t>
      </w:r>
      <w:r>
        <w:rPr>
          <w:rFonts w:hint="eastAsia" w:cs="宋体" w:asciiTheme="minorEastAsia" w:hAnsiTheme="minorEastAsia" w:eastAsiaTheme="minorEastAsia"/>
          <w:color w:val="auto"/>
          <w:kern w:val="0"/>
          <w:sz w:val="21"/>
          <w:szCs w:val="21"/>
          <w:highlight w:val="none"/>
          <w:shd w:val="clear" w:color="auto" w:fill="FFFFFF"/>
        </w:rPr>
        <w:t>。　　　　　</w:t>
      </w:r>
    </w:p>
    <w:p>
      <w:pPr>
        <w:pStyle w:val="48"/>
        <w:ind w:left="0" w:leftChars="0" w:firstLine="0" w:firstLineChars="0"/>
        <w:rPr>
          <w:rFonts w:hint="eastAsia"/>
          <w:color w:val="auto"/>
          <w:highlight w:val="none"/>
        </w:rPr>
        <w:sectPr>
          <w:pgSz w:w="11906" w:h="16838"/>
          <w:pgMar w:top="1440" w:right="1289" w:bottom="1440" w:left="1797" w:header="851" w:footer="851" w:gutter="0"/>
          <w:pgBorders>
            <w:top w:val="none" w:sz="0" w:space="0"/>
            <w:left w:val="none" w:sz="0" w:space="0"/>
            <w:bottom w:val="none" w:sz="0" w:space="0"/>
            <w:right w:val="none" w:sz="0" w:space="0"/>
          </w:pgBorders>
          <w:pgNumType w:fmt="decimal"/>
          <w:cols w:space="720" w:num="1"/>
          <w:docGrid w:linePitch="312" w:charSpace="0"/>
        </w:sectPr>
      </w:pPr>
      <w:r>
        <w:rPr>
          <w:rFonts w:hint="eastAsia" w:cs="宋体" w:asciiTheme="minorEastAsia" w:hAnsiTheme="minorEastAsia" w:eastAsiaTheme="minorEastAsia"/>
          <w:b/>
          <w:color w:val="auto"/>
          <w:kern w:val="0"/>
          <w:sz w:val="21"/>
          <w:szCs w:val="21"/>
          <w:highlight w:val="none"/>
          <w:shd w:val="clear" w:color="auto" w:fill="FFFFFF"/>
        </w:rPr>
        <w:t>6.供应商须在代理机构宣布评审结束、产生中标候选人期间时刻关注政采云，配合专家组工作，如有询标（澄清、质疑），在30分钟内（具体时间以询标函上规定的时间为准备）通过ＣＡ进行回复。过期不按要求回复，视为默认原投标文件内容。</w:t>
      </w:r>
    </w:p>
    <w:bookmarkEnd w:id="2"/>
    <w:p>
      <w:pPr>
        <w:snapToGrid w:val="0"/>
        <w:spacing w:beforeLines="50" w:afterLines="50" w:line="360" w:lineRule="auto"/>
        <w:jc w:val="center"/>
        <w:outlineLvl w:val="1"/>
        <w:rPr>
          <w:rFonts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前附表</w:t>
      </w:r>
    </w:p>
    <w:tbl>
      <w:tblPr>
        <w:tblStyle w:val="49"/>
        <w:tblW w:w="924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69"/>
        <w:gridCol w:w="837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序号</w:t>
            </w:r>
          </w:p>
        </w:tc>
        <w:tc>
          <w:tcPr>
            <w:tcW w:w="837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内容、要求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0"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1</w:t>
            </w:r>
          </w:p>
        </w:tc>
        <w:tc>
          <w:tcPr>
            <w:tcW w:w="8371" w:type="dxa"/>
            <w:tcBorders>
              <w:top w:val="single" w:color="auto" w:sz="4" w:space="0"/>
              <w:left w:val="single" w:color="auto" w:sz="4" w:space="0"/>
              <w:bottom w:val="single" w:color="auto" w:sz="4" w:space="0"/>
              <w:right w:val="single" w:color="auto" w:sz="4" w:space="0"/>
            </w:tcBorders>
            <w:vAlign w:val="center"/>
          </w:tcPr>
          <w:p>
            <w:pPr>
              <w:spacing w:beforeLines="50" w:line="360" w:lineRule="auto"/>
              <w:rPr>
                <w:rFonts w:hint="eastAsia" w:asciiTheme="minorEastAsia" w:hAnsiTheme="minorEastAsia" w:eastAsiaTheme="minorEastAsia"/>
                <w:b/>
                <w:color w:val="auto"/>
                <w:szCs w:val="21"/>
                <w:highlight w:val="none"/>
                <w:lang w:eastAsia="zh-CN"/>
              </w:rPr>
            </w:pPr>
            <w:r>
              <w:rPr>
                <w:rFonts w:hint="eastAsia" w:asciiTheme="minorEastAsia" w:hAnsiTheme="minorEastAsia" w:eastAsiaTheme="minorEastAsia"/>
                <w:color w:val="auto"/>
                <w:szCs w:val="21"/>
                <w:highlight w:val="none"/>
              </w:rPr>
              <w:t>项目名称：</w:t>
            </w:r>
            <w:r>
              <w:rPr>
                <w:rFonts w:hint="eastAsia" w:asciiTheme="minorEastAsia" w:hAnsiTheme="minorEastAsia" w:eastAsiaTheme="minorEastAsia"/>
                <w:bCs/>
                <w:color w:val="auto"/>
                <w:szCs w:val="21"/>
                <w:highlight w:val="none"/>
                <w:lang w:eastAsia="zh-CN"/>
              </w:rPr>
              <w:t>2023年度南湖革命纪念馆及周边绿化养护项目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4"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2</w:t>
            </w:r>
          </w:p>
        </w:tc>
        <w:tc>
          <w:tcPr>
            <w:tcW w:w="837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采购内容：</w:t>
            </w:r>
            <w:r>
              <w:rPr>
                <w:rFonts w:asciiTheme="minorEastAsia" w:hAnsiTheme="minorEastAsia" w:eastAsiaTheme="minorEastAsia"/>
                <w:bCs/>
                <w:color w:val="auto"/>
                <w:szCs w:val="21"/>
                <w:highlight w:val="none"/>
              </w:rPr>
              <w:t>详见第一章公开招标公告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0"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3</w:t>
            </w:r>
          </w:p>
        </w:tc>
        <w:tc>
          <w:tcPr>
            <w:tcW w:w="837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投标报价及费用：</w:t>
            </w:r>
          </w:p>
          <w:p>
            <w:pPr>
              <w:snapToGrid w:val="0"/>
              <w:spacing w:line="360" w:lineRule="auto"/>
              <w:ind w:firstLine="420" w:firstLineChars="200"/>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1</w:t>
            </w:r>
            <w:r>
              <w:rPr>
                <w:rFonts w:hint="eastAsia" w:asciiTheme="minorEastAsia" w:hAnsiTheme="minorEastAsia" w:eastAsiaTheme="minorEastAsia"/>
                <w:color w:val="auto"/>
                <w:szCs w:val="21"/>
                <w:highlight w:val="none"/>
              </w:rPr>
              <w:t>、本项目投标应以人民币报价；</w:t>
            </w:r>
          </w:p>
          <w:p>
            <w:pPr>
              <w:snapToGrid w:val="0"/>
              <w:spacing w:line="360" w:lineRule="auto"/>
              <w:ind w:firstLine="420" w:firstLineChars="200"/>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2</w:t>
            </w:r>
            <w:r>
              <w:rPr>
                <w:rFonts w:hint="eastAsia" w:asciiTheme="minorEastAsia" w:hAnsiTheme="minorEastAsia" w:eastAsiaTheme="minorEastAsia"/>
                <w:color w:val="auto"/>
                <w:szCs w:val="21"/>
                <w:highlight w:val="none"/>
              </w:rPr>
              <w:t>、不论投标结果如何，供应商均应自行承担所有与投标有关的全部费用。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6"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4</w:t>
            </w:r>
          </w:p>
        </w:tc>
        <w:tc>
          <w:tcPr>
            <w:tcW w:w="837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投标保证金：无。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5</w:t>
            </w:r>
          </w:p>
        </w:tc>
        <w:tc>
          <w:tcPr>
            <w:tcW w:w="837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cs="Arial"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现场踏勘：无</w:t>
            </w:r>
            <w:r>
              <w:rPr>
                <w:rFonts w:asciiTheme="minorEastAsia" w:hAnsiTheme="minorEastAsia" w:eastAsiaTheme="minorEastAsia"/>
                <w:color w:val="auto"/>
                <w:szCs w:val="21"/>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6</w:t>
            </w:r>
          </w:p>
        </w:tc>
        <w:tc>
          <w:tcPr>
            <w:tcW w:w="837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开标时间及地点：</w:t>
            </w:r>
            <w:r>
              <w:rPr>
                <w:rFonts w:hint="eastAsia" w:cs="Arial" w:asciiTheme="minorEastAsia" w:hAnsiTheme="minorEastAsia" w:eastAsiaTheme="minorEastAsia"/>
                <w:b/>
                <w:color w:val="auto"/>
                <w:szCs w:val="21"/>
                <w:highlight w:val="none"/>
                <w:lang w:eastAsia="zh-CN"/>
              </w:rPr>
              <w:t>2022年</w:t>
            </w:r>
            <w:r>
              <w:rPr>
                <w:rFonts w:hint="eastAsia" w:cs="Arial" w:asciiTheme="minorEastAsia" w:hAnsiTheme="minorEastAsia" w:eastAsiaTheme="minorEastAsia"/>
                <w:b/>
                <w:color w:val="auto"/>
                <w:szCs w:val="21"/>
                <w:highlight w:val="none"/>
                <w:lang w:val="en-US" w:eastAsia="zh-CN"/>
              </w:rPr>
              <w:t>12</w:t>
            </w:r>
            <w:r>
              <w:rPr>
                <w:rFonts w:hint="eastAsia" w:cs="Arial" w:asciiTheme="minorEastAsia" w:hAnsiTheme="minorEastAsia" w:eastAsiaTheme="minorEastAsia"/>
                <w:b/>
                <w:color w:val="auto"/>
                <w:szCs w:val="21"/>
                <w:highlight w:val="none"/>
                <w:lang w:eastAsia="zh-CN"/>
              </w:rPr>
              <w:t>月</w:t>
            </w:r>
            <w:r>
              <w:rPr>
                <w:rFonts w:hint="eastAsia" w:cs="Arial" w:asciiTheme="minorEastAsia" w:hAnsiTheme="minorEastAsia" w:eastAsiaTheme="minorEastAsia"/>
                <w:b/>
                <w:color w:val="auto"/>
                <w:szCs w:val="21"/>
                <w:highlight w:val="none"/>
                <w:lang w:val="en-US" w:eastAsia="zh-CN"/>
              </w:rPr>
              <w:t>27</w:t>
            </w:r>
            <w:r>
              <w:rPr>
                <w:rFonts w:hint="eastAsia" w:cs="Arial" w:asciiTheme="minorEastAsia" w:hAnsiTheme="minorEastAsia" w:eastAsiaTheme="minorEastAsia"/>
                <w:b/>
                <w:color w:val="auto"/>
                <w:szCs w:val="21"/>
                <w:highlight w:val="none"/>
                <w:lang w:eastAsia="zh-CN"/>
              </w:rPr>
              <w:t>日</w:t>
            </w:r>
            <w:r>
              <w:rPr>
                <w:rFonts w:hint="eastAsia" w:cs="Arial" w:asciiTheme="minorEastAsia" w:hAnsiTheme="minorEastAsia" w:eastAsiaTheme="minorEastAsia"/>
                <w:b/>
                <w:color w:val="auto"/>
                <w:szCs w:val="21"/>
                <w:highlight w:val="none"/>
                <w:lang w:val="en-US" w:eastAsia="zh-CN"/>
              </w:rPr>
              <w:t>14</w:t>
            </w:r>
            <w:r>
              <w:rPr>
                <w:rFonts w:hint="eastAsia" w:cs="Arial" w:asciiTheme="minorEastAsia" w:hAnsiTheme="minorEastAsia" w:eastAsiaTheme="minorEastAsia"/>
                <w:b/>
                <w:color w:val="auto"/>
                <w:szCs w:val="21"/>
                <w:highlight w:val="none"/>
                <w:lang w:eastAsia="zh-CN"/>
              </w:rPr>
              <w:t>点00</w:t>
            </w:r>
            <w:r>
              <w:rPr>
                <w:rFonts w:cs="Arial" w:asciiTheme="minorEastAsia" w:hAnsiTheme="minorEastAsia" w:eastAsiaTheme="minorEastAsia"/>
                <w:b/>
                <w:color w:val="auto"/>
                <w:szCs w:val="21"/>
                <w:highlight w:val="none"/>
              </w:rPr>
              <w:t>分</w:t>
            </w:r>
            <w:r>
              <w:rPr>
                <w:rFonts w:hint="eastAsia" w:ascii="宋体" w:hAnsi="宋体" w:cs="Arial" w:eastAsiaTheme="minorEastAsia"/>
                <w:color w:val="auto"/>
                <w:szCs w:val="21"/>
                <w:highlight w:val="none"/>
              </w:rPr>
              <w:t>嘉兴市银建工程咨询评估有限公司</w:t>
            </w:r>
            <w:r>
              <w:rPr>
                <w:rFonts w:hint="eastAsia" w:ascii="宋体" w:hAnsi="宋体" w:cs="Arial"/>
                <w:color w:val="auto"/>
                <w:szCs w:val="21"/>
                <w:highlight w:val="none"/>
              </w:rPr>
              <w:t>（嘉兴市洪兴路2399号宝地大厦1506室）</w:t>
            </w:r>
            <w:r>
              <w:rPr>
                <w:rFonts w:hint="eastAsia" w:cs="Arial" w:asciiTheme="minorEastAsia" w:hAnsiTheme="minorEastAsia" w:eastAsiaTheme="minorEastAsia"/>
                <w:color w:val="auto"/>
                <w:szCs w:val="21"/>
                <w:highlight w:val="none"/>
              </w:rPr>
              <w:t>。</w:t>
            </w:r>
            <w:r>
              <w:rPr>
                <w:rFonts w:hint="eastAsia" w:cs="Arial" w:asciiTheme="minorEastAsia" w:hAnsiTheme="minorEastAsia" w:eastAsiaTheme="minorEastAsia"/>
                <w:b/>
                <w:color w:val="auto"/>
                <w:szCs w:val="21"/>
                <w:highlight w:val="none"/>
                <w:u w:val="single"/>
              </w:rPr>
              <w:t>供应商无需到开标现场，但须准时在线参加，直至评审结束。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7</w:t>
            </w:r>
          </w:p>
        </w:tc>
        <w:tc>
          <w:tcPr>
            <w:tcW w:w="837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演示：无。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8</w:t>
            </w:r>
          </w:p>
        </w:tc>
        <w:tc>
          <w:tcPr>
            <w:tcW w:w="8371"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评标办法及评分标准：详见第四章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999"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9</w:t>
            </w:r>
          </w:p>
        </w:tc>
        <w:tc>
          <w:tcPr>
            <w:tcW w:w="8371"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评标结果公告：评标结束后2个工作日内，评标结果公告于浙江政府采购网(http://www.zjzfcg.gov.cn/new/)。本项目公告期限为1个工作日，各参加政府采购活动的供应商认为该中标结果和采购过程等使自己的权益受到损害的，可以自本公告期限届满之日（本公告发布之日后第2个工作日）起7个工作日内，以书面形式向采购人或受其委托的代理机构提出质疑。质疑供应商对采购人、代理机构的答复不满意或者采购人、代理机构未在规定的时间内作出答复的，可以再答复期满后十五个工作日内向同级政府采购监督管理部门投诉。质疑函范本、投诉书范本请到浙江政府采购网下载专区下载。</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64"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10</w:t>
            </w:r>
          </w:p>
        </w:tc>
        <w:tc>
          <w:tcPr>
            <w:tcW w:w="8371"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中标公告及中标通知书：中标公告发布于上述媒体，</w:t>
            </w:r>
            <w:r>
              <w:rPr>
                <w:rFonts w:hint="eastAsia" w:cs="宋体" w:asciiTheme="minorEastAsia" w:hAnsiTheme="minorEastAsia" w:eastAsiaTheme="minorEastAsia"/>
                <w:color w:val="auto"/>
                <w:kern w:val="0"/>
                <w:szCs w:val="21"/>
                <w:highlight w:val="none"/>
              </w:rPr>
              <w:t>中标公告期限为1个工作日。在公告中标结果的同时，代理机构向中标人发出中标通知书。</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22"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11</w:t>
            </w:r>
          </w:p>
        </w:tc>
        <w:tc>
          <w:tcPr>
            <w:tcW w:w="837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rPr>
                <w:rFonts w:cs="宋体"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履约保证金:</w:t>
            </w:r>
            <w:r>
              <w:rPr>
                <w:rFonts w:hint="eastAsia" w:cs="宋体" w:asciiTheme="minorEastAsia" w:hAnsiTheme="minorEastAsia" w:eastAsiaTheme="minorEastAsia"/>
                <w:color w:val="auto"/>
                <w:szCs w:val="21"/>
                <w:highlight w:val="none"/>
              </w:rPr>
              <w:t xml:space="preserve"> </w:t>
            </w:r>
            <w:r>
              <w:rPr>
                <w:rFonts w:hint="eastAsia" w:cs="宋体" w:asciiTheme="minorEastAsia" w:hAnsiTheme="minorEastAsia" w:eastAsiaTheme="minorEastAsia"/>
                <w:color w:val="auto"/>
                <w:szCs w:val="21"/>
                <w:highlight w:val="none"/>
                <w:lang w:eastAsia="zh-CN"/>
              </w:rPr>
              <w:t>本项目不设置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1</w:t>
            </w:r>
            <w:r>
              <w:rPr>
                <w:rFonts w:hint="eastAsia" w:asciiTheme="minorEastAsia" w:hAnsiTheme="minorEastAsia" w:eastAsiaTheme="minorEastAsia"/>
                <w:color w:val="auto"/>
                <w:szCs w:val="21"/>
                <w:highlight w:val="none"/>
              </w:rPr>
              <w:t>2</w:t>
            </w:r>
          </w:p>
        </w:tc>
        <w:tc>
          <w:tcPr>
            <w:tcW w:w="8371"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签订合同时间：中标通知书发出后10日内。</w:t>
            </w:r>
            <w:r>
              <w:rPr>
                <w:rFonts w:hint="eastAsia" w:cs="宋体" w:asciiTheme="minorEastAsia" w:hAnsiTheme="minorEastAsia" w:eastAsiaTheme="minorEastAsia"/>
                <w:color w:val="auto"/>
                <w:kern w:val="0"/>
                <w:szCs w:val="21"/>
                <w:highlight w:val="none"/>
              </w:rPr>
              <w:t>建议采购人在对采购结果质疑期（自采购结果公告之日起七个工作日）后与中标人签订政府采购合同。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4"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13</w:t>
            </w:r>
          </w:p>
        </w:tc>
        <w:tc>
          <w:tcPr>
            <w:tcW w:w="8371"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合同公告：本项目政府采购合同将于签订之日起2个工作日内发布于上述媒体，但政府采购合同中涉及国家秘密、商业秘密的内容除外。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1</w:t>
            </w:r>
            <w:r>
              <w:rPr>
                <w:rFonts w:hint="eastAsia" w:asciiTheme="minorEastAsia" w:hAnsiTheme="minorEastAsia" w:eastAsiaTheme="minorEastAsia"/>
                <w:color w:val="auto"/>
                <w:szCs w:val="21"/>
                <w:highlight w:val="none"/>
              </w:rPr>
              <w:t>4</w:t>
            </w:r>
          </w:p>
        </w:tc>
        <w:tc>
          <w:tcPr>
            <w:tcW w:w="8371"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最高限价：</w:t>
            </w:r>
            <w:r>
              <w:rPr>
                <w:rFonts w:hint="eastAsia" w:asciiTheme="minorEastAsia" w:hAnsiTheme="minorEastAsia" w:eastAsiaTheme="minorEastAsia"/>
                <w:b/>
                <w:color w:val="auto"/>
                <w:szCs w:val="21"/>
                <w:highlight w:val="none"/>
                <w:lang w:val="en-US" w:eastAsia="zh-CN"/>
              </w:rPr>
              <w:t>352.6272万元，</w:t>
            </w:r>
            <w:r>
              <w:rPr>
                <w:rFonts w:hint="eastAsia" w:asciiTheme="minorEastAsia" w:hAnsiTheme="minorEastAsia" w:eastAsiaTheme="minorEastAsia"/>
                <w:b/>
                <w:color w:val="auto"/>
                <w:szCs w:val="21"/>
                <w:highlight w:val="none"/>
              </w:rPr>
              <w:t>高于最高限价作废标处理。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5"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1</w:t>
            </w:r>
            <w:r>
              <w:rPr>
                <w:rFonts w:hint="eastAsia" w:asciiTheme="minorEastAsia" w:hAnsiTheme="minorEastAsia" w:eastAsiaTheme="minorEastAsia"/>
                <w:color w:val="auto"/>
                <w:szCs w:val="21"/>
                <w:highlight w:val="none"/>
              </w:rPr>
              <w:t>5</w:t>
            </w:r>
          </w:p>
        </w:tc>
        <w:tc>
          <w:tcPr>
            <w:tcW w:w="8371"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投标文件有效期：</w:t>
            </w:r>
            <w:r>
              <w:rPr>
                <w:rFonts w:hint="eastAsia" w:cs="Arial" w:asciiTheme="minorEastAsia" w:hAnsiTheme="minorEastAsia" w:eastAsiaTheme="minorEastAsia"/>
                <w:color w:val="auto"/>
                <w:szCs w:val="21"/>
                <w:highlight w:val="none"/>
                <w:u w:val="single"/>
              </w:rPr>
              <w:t>90</w:t>
            </w:r>
            <w:r>
              <w:rPr>
                <w:rFonts w:hint="eastAsia" w:cs="Arial" w:asciiTheme="minorEastAsia" w:hAnsiTheme="minorEastAsia" w:eastAsiaTheme="minorEastAsia"/>
                <w:color w:val="auto"/>
                <w:szCs w:val="21"/>
                <w:highlight w:val="none"/>
              </w:rPr>
              <w:t>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2"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16</w:t>
            </w:r>
          </w:p>
        </w:tc>
        <w:tc>
          <w:tcPr>
            <w:tcW w:w="8371"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信用记录：</w:t>
            </w:r>
            <w:r>
              <w:rPr>
                <w:rFonts w:hint="eastAsia" w:cs="Arial" w:asciiTheme="minorEastAsia" w:hAnsiTheme="minorEastAsia" w:eastAsiaTheme="minorEastAsia"/>
                <w:color w:val="auto"/>
                <w:szCs w:val="21"/>
                <w:highlight w:val="none"/>
              </w:rPr>
              <w:t>符合浙财采监【2013】24号《关于规范政府采购供应商资格设定及资格审查的通知》规定,且未被“信用中国”（www.creditchina.gov.cn）和中国政府采购网（www.ccgp.gov.cn）列入失信被执行人、重大税收违法案件当事人名单、政府采购严重违法失信行为记录名单。投标时同时提供自招标公告发布之日起至投标截止日内任意时间的“信用中国”网站（www.creditchina.gov.cn）和中国政府采购网（www.ccgp.gov.cn）供应商信用查询网页截图。</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0"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17</w:t>
            </w:r>
          </w:p>
        </w:tc>
        <w:tc>
          <w:tcPr>
            <w:tcW w:w="8371"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政府采购节能环保产品：无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2"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Theme="minorEastAsia" w:hAnsiTheme="minorEastAsia" w:eastAsiaTheme="minorEastAsia"/>
                <w:color w:val="auto"/>
                <w:szCs w:val="21"/>
                <w:highlight w:val="none"/>
                <w:lang w:eastAsia="zh-CN"/>
              </w:rPr>
            </w:pPr>
            <w:r>
              <w:rPr>
                <w:rFonts w:hint="eastAsia" w:asciiTheme="minorEastAsia" w:hAnsiTheme="minorEastAsia" w:eastAsiaTheme="minorEastAsia"/>
                <w:color w:val="auto"/>
                <w:szCs w:val="21"/>
                <w:highlight w:val="none"/>
              </w:rPr>
              <w:t>1</w:t>
            </w:r>
            <w:r>
              <w:rPr>
                <w:rFonts w:hint="eastAsia" w:asciiTheme="minorEastAsia" w:hAnsiTheme="minorEastAsia" w:eastAsiaTheme="minorEastAsia"/>
                <w:color w:val="auto"/>
                <w:szCs w:val="21"/>
                <w:highlight w:val="none"/>
                <w:lang w:val="en-US" w:eastAsia="zh-CN"/>
              </w:rPr>
              <w:t>8</w:t>
            </w:r>
          </w:p>
        </w:tc>
        <w:tc>
          <w:tcPr>
            <w:tcW w:w="8371"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解释：本招标文件的解释权属于采购单位。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2" w:hRule="atLeast"/>
          <w:jc w:val="center"/>
        </w:trPr>
        <w:tc>
          <w:tcPr>
            <w:tcW w:w="8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default" w:asciiTheme="minorEastAsia" w:hAnsiTheme="minorEastAsia" w:eastAsiaTheme="minorEastAsia"/>
                <w:color w:val="auto"/>
                <w:szCs w:val="21"/>
                <w:highlight w:val="none"/>
                <w:lang w:val="en-US" w:eastAsia="zh-CN"/>
              </w:rPr>
            </w:pPr>
            <w:r>
              <w:rPr>
                <w:rFonts w:hint="eastAsia" w:asciiTheme="minorEastAsia" w:hAnsiTheme="minorEastAsia" w:eastAsiaTheme="minorEastAsia"/>
                <w:color w:val="auto"/>
                <w:szCs w:val="21"/>
                <w:highlight w:val="none"/>
                <w:lang w:val="en-US" w:eastAsia="zh-CN"/>
              </w:rPr>
              <w:t>19</w:t>
            </w:r>
          </w:p>
        </w:tc>
        <w:tc>
          <w:tcPr>
            <w:tcW w:w="8371"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hint="eastAsia" w:asciiTheme="minorEastAsia" w:hAnsiTheme="minorEastAsia" w:eastAsiaTheme="minorEastAsia"/>
                <w:color w:val="auto"/>
                <w:szCs w:val="21"/>
                <w:highlight w:val="none"/>
              </w:rPr>
            </w:pPr>
            <w:r>
              <w:rPr>
                <w:rFonts w:hint="eastAsia" w:ascii="宋体" w:hAnsi="宋体" w:eastAsia="宋体" w:cs="宋体"/>
                <w:color w:val="auto"/>
                <w:kern w:val="0"/>
                <w:szCs w:val="21"/>
                <w:highlight w:val="none"/>
              </w:rPr>
              <w:t>标的：</w:t>
            </w:r>
            <w:r>
              <w:rPr>
                <w:rFonts w:hint="eastAsia" w:ascii="宋体" w:hAnsi="宋体" w:eastAsia="宋体" w:cs="宋体"/>
                <w:color w:val="auto"/>
                <w:kern w:val="0"/>
                <w:szCs w:val="21"/>
                <w:highlight w:val="none"/>
                <w:u w:val="single"/>
              </w:rPr>
              <w:t>2</w:t>
            </w:r>
            <w:r>
              <w:rPr>
                <w:rFonts w:hint="eastAsia" w:ascii="宋体" w:hAnsi="宋体" w:eastAsia="宋体" w:cs="宋体"/>
                <w:color w:val="auto"/>
                <w:kern w:val="0"/>
                <w:szCs w:val="21"/>
                <w:highlight w:val="none"/>
                <w:u w:val="single"/>
                <w:lang w:eastAsia="zh-CN"/>
              </w:rPr>
              <w:t>023年度南湖革命纪念馆及周边绿化养护项目</w:t>
            </w:r>
            <w:r>
              <w:rPr>
                <w:rFonts w:hint="eastAsia" w:ascii="宋体" w:hAnsi="宋体" w:eastAsia="宋体" w:cs="宋体"/>
                <w:color w:val="auto"/>
                <w:kern w:val="0"/>
                <w:szCs w:val="21"/>
                <w:highlight w:val="none"/>
              </w:rPr>
              <w:t>，属于</w:t>
            </w:r>
            <w:r>
              <w:rPr>
                <w:rFonts w:hint="eastAsia" w:ascii="宋体" w:hAnsi="宋体" w:eastAsia="宋体" w:cs="宋体"/>
                <w:color w:val="auto"/>
                <w:kern w:val="0"/>
                <w:szCs w:val="21"/>
                <w:highlight w:val="none"/>
                <w:u w:val="single"/>
              </w:rPr>
              <w:t>（十六）其他未列明行业</w:t>
            </w:r>
            <w:r>
              <w:rPr>
                <w:rFonts w:hint="eastAsia" w:ascii="宋体" w:hAnsi="宋体" w:eastAsia="宋体" w:cs="宋体"/>
                <w:color w:val="auto"/>
                <w:kern w:val="0"/>
                <w:szCs w:val="21"/>
                <w:highlight w:val="none"/>
              </w:rPr>
              <w:t>；</w:t>
            </w:r>
          </w:p>
        </w:tc>
      </w:tr>
    </w:tbl>
    <w:p>
      <w:pPr>
        <w:snapToGrid w:val="0"/>
        <w:spacing w:beforeLines="50" w:afterLines="50" w:line="360" w:lineRule="auto"/>
        <w:ind w:left="238"/>
        <w:jc w:val="center"/>
        <w:outlineLvl w:val="9"/>
        <w:rPr>
          <w:rFonts w:asciiTheme="minorEastAsia" w:hAnsiTheme="minorEastAsia" w:eastAsiaTheme="minorEastAsia"/>
          <w:b/>
          <w:color w:val="auto"/>
          <w:szCs w:val="21"/>
          <w:highlight w:val="none"/>
        </w:rPr>
      </w:pPr>
    </w:p>
    <w:p>
      <w:pPr>
        <w:snapToGrid w:val="0"/>
        <w:spacing w:beforeLines="50" w:afterLines="50" w:line="360" w:lineRule="auto"/>
        <w:ind w:left="238"/>
        <w:jc w:val="center"/>
        <w:outlineLvl w:val="1"/>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一、总  则</w:t>
      </w:r>
    </w:p>
    <w:p>
      <w:pPr>
        <w:snapToGrid w:val="0"/>
        <w:spacing w:line="360" w:lineRule="auto"/>
        <w:ind w:firstLine="413" w:firstLineChars="196"/>
        <w:jc w:val="left"/>
        <w:outlineLvl w:val="1"/>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（一）</w:t>
      </w:r>
      <w:r>
        <w:rPr>
          <w:rFonts w:asciiTheme="minorEastAsia" w:hAnsiTheme="minorEastAsia" w:eastAsiaTheme="minorEastAsia"/>
          <w:b/>
          <w:color w:val="auto"/>
          <w:szCs w:val="21"/>
          <w:highlight w:val="none"/>
        </w:rPr>
        <w:t xml:space="preserve"> 适用范围</w:t>
      </w:r>
    </w:p>
    <w:p>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本招标文件适用于该项目的招标、投标、评标、定标、验收、合同履约、付款等行为（法律、法规另有规定的，从其规定）。</w:t>
      </w:r>
    </w:p>
    <w:p>
      <w:pPr>
        <w:snapToGrid w:val="0"/>
        <w:spacing w:beforeLines="50" w:line="360" w:lineRule="auto"/>
        <w:ind w:firstLine="310" w:firstLineChars="147"/>
        <w:jc w:val="left"/>
        <w:outlineLvl w:val="1"/>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（二）定义</w:t>
      </w:r>
    </w:p>
    <w:p>
      <w:pPr>
        <w:snapToGrid w:val="0"/>
        <w:spacing w:line="360" w:lineRule="auto"/>
        <w:ind w:firstLine="420" w:firstLineChars="20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1</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招标采购人系指组织本次招标的</w:t>
      </w:r>
      <w:r>
        <w:rPr>
          <w:rFonts w:hint="eastAsia" w:asciiTheme="minorEastAsia" w:hAnsiTheme="minorEastAsia" w:eastAsiaTheme="minorEastAsia"/>
          <w:color w:val="auto"/>
          <w:szCs w:val="21"/>
          <w:highlight w:val="none"/>
        </w:rPr>
        <w:t>嘉兴市银建工程咨询评估有限公司（“招标人”）</w:t>
      </w:r>
      <w:r>
        <w:rPr>
          <w:rFonts w:asciiTheme="minorEastAsia" w:hAnsiTheme="minorEastAsia" w:eastAsiaTheme="minorEastAsia"/>
          <w:color w:val="auto"/>
          <w:szCs w:val="21"/>
          <w:highlight w:val="none"/>
        </w:rPr>
        <w:t>和采购</w:t>
      </w:r>
      <w:r>
        <w:rPr>
          <w:rFonts w:hint="eastAsia" w:asciiTheme="minorEastAsia" w:hAnsiTheme="minorEastAsia" w:eastAsiaTheme="minorEastAsia"/>
          <w:color w:val="auto"/>
          <w:szCs w:val="21"/>
          <w:highlight w:val="none"/>
        </w:rPr>
        <w:t>人</w:t>
      </w:r>
      <w:r>
        <w:rPr>
          <w:rFonts w:asciiTheme="minorEastAsia" w:hAnsiTheme="minorEastAsia" w:eastAsiaTheme="minorEastAsia"/>
          <w:color w:val="auto"/>
          <w:szCs w:val="21"/>
          <w:highlight w:val="none"/>
        </w:rPr>
        <w:t>。</w:t>
      </w:r>
    </w:p>
    <w:p>
      <w:pPr>
        <w:snapToGrid w:val="0"/>
        <w:spacing w:line="360" w:lineRule="auto"/>
        <w:ind w:firstLine="420" w:firstLineChars="20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2</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供应商”系指向采购人提交投标文件的单位或个人。</w:t>
      </w:r>
    </w:p>
    <w:p>
      <w:pPr>
        <w:snapToGrid w:val="0"/>
        <w:spacing w:line="360" w:lineRule="auto"/>
        <w:ind w:firstLine="420" w:firstLineChars="20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3</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“产品”系指供方按招标文件规定，须向采购人提供的一切设备、保险、税金、备品备件、工具、手册及其它有关技术资料和材料。</w:t>
      </w:r>
    </w:p>
    <w:p>
      <w:pPr>
        <w:snapToGrid w:val="0"/>
        <w:spacing w:line="360" w:lineRule="auto"/>
        <w:ind w:firstLine="420" w:firstLineChars="20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4</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“服务”系指招标文件规定供应商须承担的安装、调试、技术协助、校准、培训、技术指导以及其他类似的义务。</w:t>
      </w:r>
    </w:p>
    <w:p>
      <w:pPr>
        <w:snapToGrid w:val="0"/>
        <w:spacing w:line="360" w:lineRule="auto"/>
        <w:ind w:firstLine="420" w:firstLineChars="20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5</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“项目”系指供应商按招标文件规定向采购人提供的产品和服务。</w:t>
      </w:r>
    </w:p>
    <w:p>
      <w:pPr>
        <w:snapToGrid w:val="0"/>
        <w:spacing w:line="360" w:lineRule="auto"/>
        <w:ind w:firstLine="420" w:firstLineChars="20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6</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“书面形式”包括信函、传真、电报等。</w:t>
      </w:r>
    </w:p>
    <w:p>
      <w:pPr>
        <w:snapToGrid w:val="0"/>
        <w:spacing w:line="360" w:lineRule="auto"/>
        <w:ind w:left="630" w:leftChars="250" w:hanging="105" w:hangingChars="5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7</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“▲”系指实质性要求条款</w:t>
      </w:r>
      <w:r>
        <w:rPr>
          <w:rFonts w:hint="eastAsia" w:asciiTheme="minorEastAsia" w:hAnsiTheme="minorEastAsia" w:eastAsiaTheme="minorEastAsia"/>
          <w:color w:val="auto"/>
          <w:szCs w:val="21"/>
          <w:highlight w:val="none"/>
        </w:rPr>
        <w:t>，不满足实行性要求条款的投标文件无效。</w:t>
      </w:r>
    </w:p>
    <w:p>
      <w:pPr>
        <w:snapToGrid w:val="0"/>
        <w:spacing w:beforeLines="50" w:line="360" w:lineRule="auto"/>
        <w:ind w:firstLine="413" w:firstLineChars="196"/>
        <w:jc w:val="left"/>
        <w:outlineLvl w:val="1"/>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（三）采购方式</w:t>
      </w:r>
    </w:p>
    <w:p>
      <w:pPr>
        <w:snapToGrid w:val="0"/>
        <w:spacing w:line="360" w:lineRule="auto"/>
        <w:ind w:firstLine="420" w:firstLineChars="20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本次招标采用</w:t>
      </w:r>
      <w:r>
        <w:rPr>
          <w:rFonts w:asciiTheme="minorEastAsia" w:hAnsiTheme="minorEastAsia" w:eastAsiaTheme="minorEastAsia"/>
          <w:b/>
          <w:color w:val="auto"/>
          <w:szCs w:val="21"/>
          <w:highlight w:val="none"/>
          <w:u w:val="single"/>
        </w:rPr>
        <w:t>公开</w:t>
      </w:r>
      <w:r>
        <w:rPr>
          <w:rFonts w:hint="eastAsia" w:asciiTheme="minorEastAsia" w:hAnsiTheme="minorEastAsia" w:eastAsiaTheme="minorEastAsia"/>
          <w:b/>
          <w:color w:val="auto"/>
          <w:szCs w:val="21"/>
          <w:highlight w:val="none"/>
          <w:u w:val="single"/>
        </w:rPr>
        <w:t>招标</w:t>
      </w:r>
      <w:r>
        <w:rPr>
          <w:rFonts w:hint="eastAsia" w:asciiTheme="minorEastAsia" w:hAnsiTheme="minorEastAsia" w:eastAsiaTheme="minorEastAsia"/>
          <w:color w:val="auto"/>
          <w:szCs w:val="21"/>
          <w:highlight w:val="none"/>
        </w:rPr>
        <w:t>采购方式</w:t>
      </w:r>
      <w:r>
        <w:rPr>
          <w:rFonts w:asciiTheme="minorEastAsia" w:hAnsiTheme="minorEastAsia" w:eastAsiaTheme="minorEastAsia"/>
          <w:color w:val="auto"/>
          <w:szCs w:val="21"/>
          <w:highlight w:val="none"/>
        </w:rPr>
        <w:t>进行。</w:t>
      </w:r>
    </w:p>
    <w:p>
      <w:pPr>
        <w:snapToGrid w:val="0"/>
        <w:spacing w:beforeLines="50" w:line="360" w:lineRule="auto"/>
        <w:ind w:firstLine="413" w:firstLineChars="196"/>
        <w:jc w:val="left"/>
        <w:outlineLvl w:val="1"/>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（四）投标委托</w:t>
      </w:r>
    </w:p>
    <w:p>
      <w:pPr>
        <w:pStyle w:val="23"/>
        <w:snapToGrid w:val="0"/>
        <w:spacing w:line="360" w:lineRule="auto"/>
        <w:ind w:firstLine="420" w:firstLineChars="20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如供应商代表不是法定代表人，须有法定代表人出具的授权委托书（格式</w:t>
      </w:r>
      <w:r>
        <w:rPr>
          <w:rFonts w:hint="eastAsia" w:asciiTheme="minorEastAsia" w:hAnsiTheme="minorEastAsia" w:eastAsiaTheme="minorEastAsia"/>
          <w:color w:val="auto"/>
          <w:szCs w:val="21"/>
          <w:highlight w:val="none"/>
        </w:rPr>
        <w:t>详</w:t>
      </w:r>
      <w:r>
        <w:rPr>
          <w:rFonts w:asciiTheme="minorEastAsia" w:hAnsiTheme="minorEastAsia" w:eastAsiaTheme="minorEastAsia"/>
          <w:color w:val="auto"/>
          <w:szCs w:val="21"/>
          <w:highlight w:val="none"/>
        </w:rPr>
        <w:t>见第</w:t>
      </w:r>
      <w:r>
        <w:rPr>
          <w:rFonts w:hint="eastAsia" w:asciiTheme="minorEastAsia" w:hAnsiTheme="minorEastAsia" w:eastAsiaTheme="minorEastAsia"/>
          <w:color w:val="auto"/>
          <w:szCs w:val="21"/>
          <w:highlight w:val="none"/>
        </w:rPr>
        <w:t>六章</w:t>
      </w:r>
      <w:r>
        <w:rPr>
          <w:rFonts w:asciiTheme="minorEastAsia" w:hAnsiTheme="minorEastAsia" w:eastAsiaTheme="minorEastAsia"/>
          <w:color w:val="auto"/>
          <w:szCs w:val="21"/>
          <w:highlight w:val="none"/>
        </w:rPr>
        <w:t>）。</w:t>
      </w:r>
    </w:p>
    <w:p>
      <w:pPr>
        <w:snapToGrid w:val="0"/>
        <w:spacing w:beforeLines="50" w:line="360" w:lineRule="auto"/>
        <w:ind w:firstLine="413" w:firstLineChars="196"/>
        <w:jc w:val="left"/>
        <w:outlineLvl w:val="1"/>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（五）投标费用</w:t>
      </w:r>
    </w:p>
    <w:p>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不论投标结果如何，供应商均应自行承担所有与投标有关的全部费用（招标文件有相反规定除外）。</w:t>
      </w:r>
    </w:p>
    <w:p>
      <w:pPr>
        <w:snapToGrid w:val="0"/>
        <w:spacing w:beforeLines="50" w:line="360" w:lineRule="auto"/>
        <w:ind w:firstLine="413" w:firstLineChars="196"/>
        <w:jc w:val="left"/>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（六）联合体投标</w:t>
      </w:r>
    </w:p>
    <w:p>
      <w:pPr>
        <w:snapToGrid w:val="0"/>
        <w:spacing w:line="360" w:lineRule="auto"/>
        <w:ind w:firstLine="632" w:firstLineChars="300"/>
        <w:jc w:val="left"/>
        <w:rPr>
          <w:rFonts w:cs="Arial" w:asciiTheme="minorEastAsia" w:hAnsiTheme="minorEastAsia" w:eastAsiaTheme="minorEastAsia"/>
          <w:b/>
          <w:color w:val="auto"/>
          <w:szCs w:val="21"/>
          <w:highlight w:val="none"/>
          <w:u w:val="single"/>
        </w:rPr>
      </w:pPr>
      <w:r>
        <w:rPr>
          <w:rFonts w:hint="eastAsia" w:cs="Arial" w:asciiTheme="minorEastAsia" w:hAnsiTheme="minorEastAsia" w:eastAsiaTheme="minorEastAsia"/>
          <w:b/>
          <w:color w:val="auto"/>
          <w:szCs w:val="21"/>
          <w:highlight w:val="none"/>
          <w:u w:val="single"/>
        </w:rPr>
        <w:t>本项目不接受联合体投标。</w:t>
      </w:r>
    </w:p>
    <w:p>
      <w:pPr>
        <w:snapToGrid w:val="0"/>
        <w:spacing w:beforeLines="50" w:line="360" w:lineRule="auto"/>
        <w:ind w:firstLine="413" w:firstLineChars="196"/>
        <w:rPr>
          <w:rFonts w:cs="宋体" w:asciiTheme="minorEastAsia" w:hAnsiTheme="minorEastAsia" w:eastAsiaTheme="minorEastAsia"/>
          <w:b/>
          <w:color w:val="auto"/>
          <w:kern w:val="0"/>
          <w:szCs w:val="21"/>
          <w:highlight w:val="none"/>
        </w:rPr>
      </w:pPr>
      <w:r>
        <w:rPr>
          <w:rFonts w:hint="eastAsia" w:asciiTheme="minorEastAsia" w:hAnsiTheme="minorEastAsia" w:eastAsiaTheme="minorEastAsia"/>
          <w:b/>
          <w:color w:val="auto"/>
          <w:szCs w:val="21"/>
          <w:highlight w:val="none"/>
        </w:rPr>
        <w:t>（七）</w:t>
      </w:r>
      <w:r>
        <w:rPr>
          <w:rFonts w:hint="eastAsia" w:cs="宋体" w:asciiTheme="minorEastAsia" w:hAnsiTheme="minorEastAsia" w:eastAsiaTheme="minorEastAsia"/>
          <w:b/>
          <w:color w:val="auto"/>
          <w:kern w:val="0"/>
          <w:szCs w:val="21"/>
          <w:highlight w:val="none"/>
        </w:rPr>
        <w:t>转包与分包</w:t>
      </w:r>
    </w:p>
    <w:p>
      <w:pPr>
        <w:snapToGrid w:val="0"/>
        <w:spacing w:line="360" w:lineRule="auto"/>
        <w:ind w:firstLine="420" w:firstLineChars="200"/>
        <w:rPr>
          <w:rFonts w:cs="宋体" w:asciiTheme="minorEastAsia" w:hAnsiTheme="minorEastAsia" w:eastAsiaTheme="minorEastAsia"/>
          <w:color w:val="auto"/>
          <w:kern w:val="0"/>
          <w:szCs w:val="21"/>
          <w:highlight w:val="none"/>
        </w:rPr>
      </w:pPr>
      <w:r>
        <w:rPr>
          <w:rFonts w:cs="宋体" w:asciiTheme="minorEastAsia" w:hAnsiTheme="minorEastAsia" w:eastAsiaTheme="minorEastAsia"/>
          <w:color w:val="auto"/>
          <w:kern w:val="0"/>
          <w:szCs w:val="21"/>
          <w:highlight w:val="none"/>
        </w:rPr>
        <w:t>1</w:t>
      </w:r>
      <w:r>
        <w:rPr>
          <w:rFonts w:hint="eastAsia" w:cs="宋体" w:asciiTheme="minorEastAsia" w:hAnsiTheme="minorEastAsia" w:eastAsiaTheme="minorEastAsia"/>
          <w:color w:val="auto"/>
          <w:kern w:val="0"/>
          <w:szCs w:val="21"/>
          <w:highlight w:val="none"/>
        </w:rPr>
        <w:t>.</w:t>
      </w:r>
      <w:r>
        <w:rPr>
          <w:rFonts w:cs="宋体" w:asciiTheme="minorEastAsia" w:hAnsiTheme="minorEastAsia" w:eastAsiaTheme="minorEastAsia"/>
          <w:color w:val="auto"/>
          <w:kern w:val="0"/>
          <w:szCs w:val="21"/>
          <w:highlight w:val="none"/>
        </w:rPr>
        <w:t xml:space="preserve"> 本项目不允许转包。</w:t>
      </w:r>
    </w:p>
    <w:p>
      <w:pPr>
        <w:snapToGrid w:val="0"/>
        <w:spacing w:line="360" w:lineRule="auto"/>
        <w:ind w:firstLine="420" w:firstLineChars="200"/>
        <w:rPr>
          <w:rFonts w:cs="宋体" w:asciiTheme="minorEastAsia" w:hAnsiTheme="minorEastAsia" w:eastAsiaTheme="minorEastAsia"/>
          <w:color w:val="auto"/>
          <w:kern w:val="0"/>
          <w:szCs w:val="21"/>
          <w:highlight w:val="none"/>
        </w:rPr>
      </w:pPr>
      <w:r>
        <w:rPr>
          <w:rFonts w:cs="宋体" w:asciiTheme="minorEastAsia" w:hAnsiTheme="minorEastAsia" w:eastAsiaTheme="minorEastAsia"/>
          <w:color w:val="auto"/>
          <w:kern w:val="0"/>
          <w:szCs w:val="21"/>
          <w:highlight w:val="none"/>
        </w:rPr>
        <w:t>2</w:t>
      </w:r>
      <w:r>
        <w:rPr>
          <w:rFonts w:hint="eastAsia" w:cs="宋体" w:asciiTheme="minorEastAsia" w:hAnsiTheme="minorEastAsia" w:eastAsiaTheme="minorEastAsia"/>
          <w:color w:val="auto"/>
          <w:kern w:val="0"/>
          <w:szCs w:val="21"/>
          <w:highlight w:val="none"/>
        </w:rPr>
        <w:t>.</w:t>
      </w:r>
      <w:r>
        <w:rPr>
          <w:rFonts w:cs="宋体" w:asciiTheme="minorEastAsia" w:hAnsiTheme="minorEastAsia" w:eastAsiaTheme="minorEastAsia"/>
          <w:color w:val="auto"/>
          <w:kern w:val="0"/>
          <w:szCs w:val="21"/>
          <w:highlight w:val="none"/>
        </w:rPr>
        <w:t xml:space="preserve"> 本项目不可以分包</w:t>
      </w:r>
      <w:r>
        <w:rPr>
          <w:rFonts w:hint="eastAsia" w:cs="宋体" w:asciiTheme="minorEastAsia" w:hAnsiTheme="minorEastAsia" w:eastAsiaTheme="minorEastAsia"/>
          <w:color w:val="auto"/>
          <w:kern w:val="0"/>
          <w:szCs w:val="21"/>
          <w:highlight w:val="none"/>
        </w:rPr>
        <w:t>。</w:t>
      </w:r>
    </w:p>
    <w:p>
      <w:pPr>
        <w:snapToGrid w:val="0"/>
        <w:spacing w:beforeLines="50" w:line="360" w:lineRule="auto"/>
        <w:ind w:firstLine="413" w:firstLineChars="196"/>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（八）是否允许采购进口产品</w:t>
      </w:r>
    </w:p>
    <w:p>
      <w:pPr>
        <w:snapToGrid w:val="0"/>
        <w:spacing w:beforeLines="50" w:line="360" w:lineRule="auto"/>
        <w:ind w:firstLine="411" w:firstLineChars="196"/>
        <w:jc w:val="left"/>
        <w:outlineLvl w:val="1"/>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不</w:t>
      </w:r>
      <w:r>
        <w:rPr>
          <w:rFonts w:cs="宋体" w:asciiTheme="minorEastAsia" w:hAnsiTheme="minorEastAsia" w:eastAsiaTheme="minorEastAsia"/>
          <w:color w:val="auto"/>
          <w:kern w:val="0"/>
          <w:szCs w:val="21"/>
          <w:highlight w:val="none"/>
        </w:rPr>
        <w:t>允许</w:t>
      </w:r>
      <w:r>
        <w:rPr>
          <w:rFonts w:hint="eastAsia" w:cs="宋体" w:asciiTheme="minorEastAsia" w:hAnsiTheme="minorEastAsia" w:eastAsiaTheme="minorEastAsia"/>
          <w:color w:val="auto"/>
          <w:kern w:val="0"/>
          <w:szCs w:val="21"/>
          <w:highlight w:val="none"/>
        </w:rPr>
        <w:t>采购进口产品。</w:t>
      </w:r>
    </w:p>
    <w:p>
      <w:pPr>
        <w:snapToGrid w:val="0"/>
        <w:spacing w:beforeLines="50" w:line="360" w:lineRule="auto"/>
        <w:ind w:firstLine="411" w:firstLineChars="196"/>
        <w:jc w:val="left"/>
        <w:outlineLvl w:val="1"/>
        <w:rPr>
          <w:rFonts w:asciiTheme="minorEastAsia" w:hAnsiTheme="minorEastAsia" w:eastAsiaTheme="minorEastAsia"/>
          <w:b/>
          <w:color w:val="auto"/>
          <w:szCs w:val="21"/>
          <w:highlight w:val="none"/>
        </w:rPr>
      </w:pPr>
      <w:r>
        <w:rPr>
          <w:rFonts w:asciiTheme="minorEastAsia" w:hAnsiTheme="minorEastAsia" w:eastAsiaTheme="minorEastAsia"/>
          <w:color w:val="auto"/>
          <w:szCs w:val="21"/>
          <w:highlight w:val="none"/>
        </w:rPr>
        <w:t>▲</w:t>
      </w:r>
      <w:r>
        <w:rPr>
          <w:rFonts w:hint="eastAsia" w:asciiTheme="minorEastAsia" w:hAnsiTheme="minorEastAsia" w:eastAsiaTheme="minorEastAsia"/>
          <w:b/>
          <w:color w:val="auto"/>
          <w:szCs w:val="21"/>
          <w:highlight w:val="none"/>
        </w:rPr>
        <w:t>（九）特别说明：</w:t>
      </w:r>
    </w:p>
    <w:p>
      <w:pPr>
        <w:pStyle w:val="29"/>
        <w:snapToGrid w:val="0"/>
        <w:spacing w:beforeLines="0" w:afterLines="0" w:line="360" w:lineRule="auto"/>
        <w:ind w:left="2" w:leftChars="1" w:firstLine="420" w:firstLineChars="200"/>
        <w:rPr>
          <w:rFonts w:asciiTheme="minorEastAsia" w:hAnsiTheme="minorEastAsia" w:eastAsiaTheme="minorEastAsia"/>
          <w:color w:val="auto"/>
          <w:sz w:val="21"/>
          <w:szCs w:val="21"/>
          <w:highlight w:val="none"/>
        </w:rPr>
      </w:pPr>
      <w:r>
        <w:rPr>
          <w:rFonts w:asciiTheme="minorEastAsia" w:hAnsiTheme="minorEastAsia" w:eastAsiaTheme="minorEastAsia"/>
          <w:color w:val="auto"/>
          <w:sz w:val="21"/>
          <w:szCs w:val="21"/>
          <w:highlight w:val="none"/>
        </w:rPr>
        <w:t>1</w:t>
      </w:r>
      <w:r>
        <w:rPr>
          <w:rFonts w:hint="eastAsia" w:asciiTheme="minorEastAsia" w:hAnsiTheme="minorEastAsia" w:eastAsiaTheme="minorEastAsia"/>
          <w:color w:val="auto"/>
          <w:sz w:val="21"/>
          <w:szCs w:val="21"/>
          <w:highlight w:val="none"/>
        </w:rPr>
        <w:t>.</w:t>
      </w:r>
      <w:r>
        <w:rPr>
          <w:rFonts w:asciiTheme="minorEastAsia" w:hAnsiTheme="minorEastAsia" w:eastAsiaTheme="minorEastAsia"/>
          <w:color w:val="auto"/>
          <w:sz w:val="21"/>
          <w:szCs w:val="21"/>
          <w:highlight w:val="none"/>
        </w:rPr>
        <w:t>供应商投标所使用的资格、信誉、荣誉、业绩与企业认证必须为本法人所拥有。供应商投标所使用的采购项目实施人员必须为本法人员工（或必须为本法人或控股公司正式员工）。</w:t>
      </w:r>
    </w:p>
    <w:p>
      <w:pPr>
        <w:pStyle w:val="29"/>
        <w:snapToGrid w:val="0"/>
        <w:spacing w:beforeLines="0" w:afterLines="0" w:line="360" w:lineRule="auto"/>
        <w:ind w:left="2" w:leftChars="1" w:firstLine="420" w:firstLineChars="200"/>
        <w:rPr>
          <w:rFonts w:asciiTheme="minorEastAsia" w:hAnsiTheme="minorEastAsia" w:eastAsiaTheme="minorEastAsia"/>
          <w:color w:val="auto"/>
          <w:sz w:val="21"/>
          <w:szCs w:val="21"/>
          <w:highlight w:val="none"/>
        </w:rPr>
      </w:pPr>
      <w:r>
        <w:rPr>
          <w:rFonts w:asciiTheme="minorEastAsia" w:hAnsiTheme="minorEastAsia" w:eastAsiaTheme="minorEastAsia"/>
          <w:color w:val="auto"/>
          <w:sz w:val="21"/>
          <w:szCs w:val="21"/>
          <w:highlight w:val="none"/>
        </w:rPr>
        <w:t>2</w:t>
      </w:r>
      <w:r>
        <w:rPr>
          <w:rFonts w:hint="eastAsia" w:asciiTheme="minorEastAsia" w:hAnsiTheme="minorEastAsia" w:eastAsiaTheme="minorEastAsia"/>
          <w:color w:val="auto"/>
          <w:sz w:val="21"/>
          <w:szCs w:val="21"/>
          <w:highlight w:val="none"/>
        </w:rPr>
        <w:t>.</w:t>
      </w:r>
      <w:r>
        <w:rPr>
          <w:rFonts w:asciiTheme="minorEastAsia" w:hAnsiTheme="minorEastAsia" w:eastAsiaTheme="minorEastAsia"/>
          <w:color w:val="auto"/>
          <w:sz w:val="21"/>
          <w:szCs w:val="21"/>
          <w:highlight w:val="none"/>
        </w:rPr>
        <w:t>供应商应仔细阅读招标文件的所有内容，按照招标文件的要求提交投标文件，并对所提供的全部资料的真实性承担法律责任。</w:t>
      </w:r>
    </w:p>
    <w:p>
      <w:pPr>
        <w:pStyle w:val="29"/>
        <w:snapToGrid w:val="0"/>
        <w:spacing w:beforeLines="0" w:afterLines="0" w:line="360" w:lineRule="auto"/>
        <w:ind w:left="2" w:leftChars="1" w:firstLine="420" w:firstLineChars="200"/>
        <w:rPr>
          <w:rFonts w:asciiTheme="minorEastAsia" w:hAnsiTheme="minorEastAsia" w:eastAsiaTheme="minorEastAsia"/>
          <w:color w:val="auto"/>
          <w:sz w:val="21"/>
          <w:szCs w:val="21"/>
          <w:highlight w:val="none"/>
        </w:rPr>
      </w:pPr>
      <w:r>
        <w:rPr>
          <w:rFonts w:asciiTheme="minorEastAsia" w:hAnsiTheme="minorEastAsia" w:eastAsiaTheme="minorEastAsia"/>
          <w:color w:val="auto"/>
          <w:sz w:val="21"/>
          <w:szCs w:val="21"/>
          <w:highlight w:val="none"/>
        </w:rPr>
        <w:t>3</w:t>
      </w:r>
      <w:r>
        <w:rPr>
          <w:rFonts w:hint="eastAsia" w:asciiTheme="minorEastAsia" w:hAnsiTheme="minorEastAsia" w:eastAsiaTheme="minorEastAsia"/>
          <w:color w:val="auto"/>
          <w:sz w:val="21"/>
          <w:szCs w:val="21"/>
          <w:highlight w:val="none"/>
        </w:rPr>
        <w:t>.</w:t>
      </w:r>
      <w:r>
        <w:rPr>
          <w:rFonts w:asciiTheme="minorEastAsia" w:hAnsiTheme="minorEastAsia" w:eastAsiaTheme="minorEastAsia"/>
          <w:color w:val="auto"/>
          <w:sz w:val="21"/>
          <w:szCs w:val="21"/>
          <w:highlight w:val="none"/>
        </w:rPr>
        <w:t>供应商在投标活动中提供任何虚假材料,其投标无效，并报监管部门查处；中标后发现的,中标人须依照《中华人民共和国消费者权益保护法》第49条之规定双倍赔偿采购人</w:t>
      </w:r>
      <w:r>
        <w:rPr>
          <w:rFonts w:hint="eastAsia" w:asciiTheme="minorEastAsia" w:hAnsiTheme="minorEastAsia" w:eastAsiaTheme="minorEastAsia"/>
          <w:color w:val="auto"/>
          <w:sz w:val="21"/>
          <w:szCs w:val="21"/>
          <w:highlight w:val="none"/>
        </w:rPr>
        <w:t>，</w:t>
      </w:r>
      <w:r>
        <w:rPr>
          <w:rFonts w:asciiTheme="minorEastAsia" w:hAnsiTheme="minorEastAsia" w:eastAsiaTheme="minorEastAsia"/>
          <w:color w:val="auto"/>
          <w:sz w:val="21"/>
          <w:szCs w:val="21"/>
          <w:highlight w:val="none"/>
        </w:rPr>
        <w:t>且民事赔偿并不免除违法供应商的行政与刑事责任。</w:t>
      </w:r>
    </w:p>
    <w:p>
      <w:pPr>
        <w:pStyle w:val="29"/>
        <w:snapToGrid w:val="0"/>
        <w:spacing w:beforeLines="0" w:afterLines="0" w:line="360" w:lineRule="auto"/>
        <w:ind w:firstLine="413" w:firstLineChars="196"/>
        <w:outlineLvl w:val="1"/>
        <w:rPr>
          <w:rFonts w:asciiTheme="minorEastAsia" w:hAnsiTheme="minorEastAsia" w:eastAsiaTheme="minorEastAsia"/>
          <w:b/>
          <w:bCs/>
          <w:color w:val="auto"/>
          <w:sz w:val="21"/>
          <w:szCs w:val="21"/>
          <w:highlight w:val="none"/>
        </w:rPr>
      </w:pPr>
      <w:r>
        <w:rPr>
          <w:rFonts w:asciiTheme="minorEastAsia" w:hAnsiTheme="minorEastAsia" w:eastAsiaTheme="minorEastAsia"/>
          <w:b/>
          <w:bCs/>
          <w:color w:val="auto"/>
          <w:sz w:val="21"/>
          <w:szCs w:val="21"/>
          <w:highlight w:val="none"/>
        </w:rPr>
        <w:t>（</w:t>
      </w:r>
      <w:r>
        <w:rPr>
          <w:rFonts w:hint="eastAsia" w:asciiTheme="minorEastAsia" w:hAnsiTheme="minorEastAsia" w:eastAsiaTheme="minorEastAsia"/>
          <w:b/>
          <w:bCs/>
          <w:color w:val="auto"/>
          <w:sz w:val="21"/>
          <w:szCs w:val="21"/>
          <w:highlight w:val="none"/>
        </w:rPr>
        <w:t>十</w:t>
      </w:r>
      <w:r>
        <w:rPr>
          <w:rFonts w:asciiTheme="minorEastAsia" w:hAnsiTheme="minorEastAsia" w:eastAsiaTheme="minorEastAsia"/>
          <w:b/>
          <w:bCs/>
          <w:color w:val="auto"/>
          <w:sz w:val="21"/>
          <w:szCs w:val="21"/>
          <w:highlight w:val="none"/>
        </w:rPr>
        <w:t>）质疑和投诉</w:t>
      </w:r>
    </w:p>
    <w:p>
      <w:pPr>
        <w:pStyle w:val="29"/>
        <w:snapToGrid w:val="0"/>
        <w:spacing w:before="120" w:after="120" w:line="360" w:lineRule="auto"/>
        <w:ind w:firstLine="420" w:firstLineChars="200"/>
        <w:rPr>
          <w:rFonts w:asciiTheme="minorEastAsia" w:hAnsiTheme="minorEastAsia" w:eastAsiaTheme="minorEastAsia"/>
          <w:bCs/>
          <w:color w:val="auto"/>
          <w:sz w:val="21"/>
          <w:szCs w:val="21"/>
          <w:highlight w:val="none"/>
        </w:rPr>
      </w:pPr>
      <w:r>
        <w:rPr>
          <w:rFonts w:hint="eastAsia" w:asciiTheme="minorEastAsia" w:hAnsiTheme="minorEastAsia" w:eastAsiaTheme="minorEastAsia"/>
          <w:bCs/>
          <w:color w:val="auto"/>
          <w:sz w:val="21"/>
          <w:szCs w:val="21"/>
          <w:highlight w:val="none"/>
        </w:rPr>
        <w:t>1.供应商认为招标文件、采购过程、中标或者成交结果使自己的权益受到损害的，可以在知道或者应知其权益受到损害之日起7个工作日内，以书面形式一次性向采购人、代理机构提出针对同一采购程序环节的质疑。质疑供应商对采购人、代理机构的答复不满意，或者采购人、代理机构未在规定时间内作出答复的，可以在答复期满后15个工作日内向规定的财政部门提起投诉。</w:t>
      </w:r>
    </w:p>
    <w:p>
      <w:pPr>
        <w:pStyle w:val="29"/>
        <w:snapToGrid w:val="0"/>
        <w:spacing w:before="120" w:after="120" w:line="360" w:lineRule="auto"/>
        <w:ind w:firstLine="420" w:firstLineChars="200"/>
        <w:rPr>
          <w:rFonts w:asciiTheme="minorEastAsia" w:hAnsiTheme="minorEastAsia" w:eastAsiaTheme="minorEastAsia"/>
          <w:bCs/>
          <w:color w:val="auto"/>
          <w:sz w:val="21"/>
          <w:szCs w:val="21"/>
          <w:highlight w:val="none"/>
        </w:rPr>
      </w:pPr>
      <w:r>
        <w:rPr>
          <w:rFonts w:hint="eastAsia" w:asciiTheme="minorEastAsia" w:hAnsiTheme="minorEastAsia" w:eastAsiaTheme="minorEastAsia"/>
          <w:bCs/>
          <w:color w:val="auto"/>
          <w:sz w:val="21"/>
          <w:szCs w:val="21"/>
          <w:highlight w:val="none"/>
        </w:rPr>
        <w:t>2. 供应商须在法定质疑期内一次性提出针对同一采购程序环节的质疑.</w:t>
      </w:r>
    </w:p>
    <w:p>
      <w:pPr>
        <w:pStyle w:val="29"/>
        <w:snapToGrid w:val="0"/>
        <w:spacing w:before="120" w:after="120" w:line="360" w:lineRule="auto"/>
        <w:ind w:firstLine="420" w:firstLineChars="200"/>
        <w:rPr>
          <w:rFonts w:asciiTheme="minorEastAsia" w:hAnsiTheme="minorEastAsia" w:eastAsiaTheme="minorEastAsia"/>
          <w:bCs/>
          <w:color w:val="auto"/>
          <w:sz w:val="21"/>
          <w:szCs w:val="21"/>
          <w:highlight w:val="none"/>
        </w:rPr>
      </w:pPr>
      <w:r>
        <w:rPr>
          <w:rFonts w:asciiTheme="minorEastAsia" w:hAnsiTheme="minorEastAsia" w:eastAsiaTheme="minorEastAsia"/>
          <w:bCs/>
          <w:color w:val="auto"/>
          <w:sz w:val="21"/>
          <w:szCs w:val="21"/>
          <w:highlight w:val="none"/>
        </w:rPr>
        <w:t>3.</w:t>
      </w:r>
      <w:r>
        <w:rPr>
          <w:rFonts w:hint="eastAsia" w:asciiTheme="minorEastAsia" w:hAnsiTheme="minorEastAsia" w:eastAsiaTheme="minorEastAsia"/>
          <w:bCs/>
          <w:color w:val="auto"/>
          <w:sz w:val="21"/>
          <w:szCs w:val="21"/>
          <w:highlight w:val="none"/>
        </w:rPr>
        <w:t xml:space="preserve"> 供应商认为代理机构在质疑答复程序中启用的调查和复评等程序，在该程序操作过程未明显违反法律禁止性规定时，不得提出疑义。</w:t>
      </w:r>
    </w:p>
    <w:p>
      <w:pPr>
        <w:pStyle w:val="29"/>
        <w:snapToGrid w:val="0"/>
        <w:spacing w:beforeLines="0" w:afterLines="0" w:line="360" w:lineRule="auto"/>
        <w:ind w:firstLine="420" w:firstLineChars="200"/>
        <w:rPr>
          <w:rFonts w:asciiTheme="minorEastAsia" w:hAnsiTheme="minorEastAsia" w:eastAsiaTheme="minorEastAsia"/>
          <w:bCs/>
          <w:color w:val="auto"/>
          <w:sz w:val="21"/>
          <w:szCs w:val="21"/>
          <w:highlight w:val="none"/>
        </w:rPr>
      </w:pPr>
      <w:r>
        <w:rPr>
          <w:rFonts w:asciiTheme="minorEastAsia" w:hAnsiTheme="minorEastAsia" w:eastAsiaTheme="minorEastAsia"/>
          <w:bCs/>
          <w:color w:val="auto"/>
          <w:sz w:val="21"/>
          <w:szCs w:val="21"/>
          <w:highlight w:val="none"/>
        </w:rPr>
        <w:t>4</w:t>
      </w:r>
      <w:r>
        <w:rPr>
          <w:rFonts w:hint="eastAsia" w:asciiTheme="minorEastAsia" w:hAnsiTheme="minorEastAsia" w:eastAsiaTheme="minorEastAsia"/>
          <w:bCs/>
          <w:color w:val="auto"/>
          <w:sz w:val="21"/>
          <w:szCs w:val="21"/>
          <w:highlight w:val="none"/>
        </w:rPr>
        <w:t>.质疑和投诉应当满足《政府采购质疑和投诉办法》（中华人民共和国财政部令第94号）要求。</w:t>
      </w:r>
    </w:p>
    <w:p>
      <w:pPr>
        <w:pStyle w:val="29"/>
        <w:snapToGrid w:val="0"/>
        <w:spacing w:before="120" w:after="120" w:line="360" w:lineRule="auto"/>
        <w:ind w:firstLine="413" w:firstLineChars="196"/>
        <w:jc w:val="center"/>
        <w:outlineLvl w:val="9"/>
        <w:rPr>
          <w:rFonts w:asciiTheme="minorEastAsia" w:hAnsiTheme="minorEastAsia" w:eastAsiaTheme="minorEastAsia"/>
          <w:b/>
          <w:color w:val="auto"/>
          <w:sz w:val="21"/>
          <w:szCs w:val="21"/>
          <w:highlight w:val="none"/>
        </w:rPr>
      </w:pPr>
      <w:bookmarkStart w:id="65" w:name="_Toc406402987"/>
      <w:bookmarkStart w:id="66" w:name="_Toc406402943"/>
    </w:p>
    <w:p>
      <w:pPr>
        <w:pStyle w:val="29"/>
        <w:snapToGrid w:val="0"/>
        <w:spacing w:before="120" w:after="120" w:line="360" w:lineRule="auto"/>
        <w:ind w:firstLine="413" w:firstLineChars="196"/>
        <w:jc w:val="center"/>
        <w:outlineLvl w:val="0"/>
        <w:rPr>
          <w:rFonts w:asciiTheme="minorEastAsia" w:hAnsiTheme="minorEastAsia" w:eastAsiaTheme="minorEastAsia"/>
          <w:b/>
          <w:color w:val="auto"/>
          <w:sz w:val="21"/>
          <w:szCs w:val="21"/>
          <w:highlight w:val="none"/>
        </w:rPr>
      </w:pPr>
      <w:bookmarkStart w:id="67" w:name="_Toc26804"/>
      <w:r>
        <w:rPr>
          <w:rFonts w:asciiTheme="minorEastAsia" w:hAnsiTheme="minorEastAsia" w:eastAsiaTheme="minorEastAsia"/>
          <w:b/>
          <w:color w:val="auto"/>
          <w:sz w:val="21"/>
          <w:szCs w:val="21"/>
          <w:highlight w:val="none"/>
        </w:rPr>
        <w:t>二</w:t>
      </w:r>
      <w:r>
        <w:rPr>
          <w:rFonts w:hint="eastAsia" w:asciiTheme="minorEastAsia" w:hAnsiTheme="minorEastAsia" w:eastAsiaTheme="minorEastAsia"/>
          <w:b/>
          <w:color w:val="auto"/>
          <w:sz w:val="21"/>
          <w:szCs w:val="21"/>
          <w:highlight w:val="none"/>
        </w:rPr>
        <w:t>、</w:t>
      </w:r>
      <w:r>
        <w:rPr>
          <w:rFonts w:asciiTheme="minorEastAsia" w:hAnsiTheme="minorEastAsia" w:eastAsiaTheme="minorEastAsia"/>
          <w:b/>
          <w:color w:val="auto"/>
          <w:sz w:val="21"/>
          <w:szCs w:val="21"/>
          <w:highlight w:val="none"/>
        </w:rPr>
        <w:t>招标文件</w:t>
      </w:r>
      <w:bookmarkEnd w:id="65"/>
      <w:bookmarkEnd w:id="66"/>
      <w:bookmarkEnd w:id="67"/>
    </w:p>
    <w:p>
      <w:pPr>
        <w:snapToGrid w:val="0"/>
        <w:spacing w:line="360" w:lineRule="auto"/>
        <w:ind w:firstLine="413" w:firstLineChars="196"/>
        <w:jc w:val="left"/>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（一）招标文件的构成。本招标文件由以下部份组成：</w:t>
      </w:r>
    </w:p>
    <w:p>
      <w:pPr>
        <w:snapToGrid w:val="0"/>
        <w:spacing w:line="360" w:lineRule="auto"/>
        <w:ind w:firstLine="420" w:firstLineChars="20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1</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招标公告</w:t>
      </w:r>
    </w:p>
    <w:p>
      <w:pPr>
        <w:snapToGrid w:val="0"/>
        <w:spacing w:line="360" w:lineRule="auto"/>
        <w:ind w:firstLine="420" w:firstLineChars="20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2</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招标需求</w:t>
      </w:r>
    </w:p>
    <w:p>
      <w:pPr>
        <w:snapToGrid w:val="0"/>
        <w:spacing w:line="360" w:lineRule="auto"/>
        <w:ind w:firstLine="420" w:firstLineChars="20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3</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供应商须知</w:t>
      </w:r>
    </w:p>
    <w:p>
      <w:pPr>
        <w:snapToGrid w:val="0"/>
        <w:spacing w:line="360" w:lineRule="auto"/>
        <w:ind w:firstLine="420" w:firstLineChars="20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4</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评标办法及标准</w:t>
      </w:r>
    </w:p>
    <w:p>
      <w:pPr>
        <w:snapToGrid w:val="0"/>
        <w:spacing w:line="360" w:lineRule="auto"/>
        <w:ind w:firstLine="420" w:firstLineChars="20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5</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合同主要条款</w:t>
      </w:r>
    </w:p>
    <w:p>
      <w:pPr>
        <w:snapToGrid w:val="0"/>
        <w:spacing w:line="360" w:lineRule="auto"/>
        <w:ind w:firstLine="420" w:firstLineChars="20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6</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投标文件格式</w:t>
      </w:r>
    </w:p>
    <w:p>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7.本项目</w:t>
      </w:r>
      <w:r>
        <w:rPr>
          <w:rFonts w:asciiTheme="minorEastAsia" w:hAnsiTheme="minorEastAsia" w:eastAsiaTheme="minorEastAsia"/>
          <w:color w:val="auto"/>
          <w:szCs w:val="21"/>
          <w:highlight w:val="none"/>
        </w:rPr>
        <w:t>招标文件</w:t>
      </w:r>
      <w:r>
        <w:rPr>
          <w:rFonts w:hint="eastAsia" w:asciiTheme="minorEastAsia" w:hAnsiTheme="minorEastAsia" w:eastAsiaTheme="minorEastAsia"/>
          <w:color w:val="auto"/>
          <w:szCs w:val="21"/>
          <w:highlight w:val="none"/>
        </w:rPr>
        <w:t>的</w:t>
      </w:r>
      <w:r>
        <w:rPr>
          <w:rFonts w:asciiTheme="minorEastAsia" w:hAnsiTheme="minorEastAsia" w:eastAsiaTheme="minorEastAsia"/>
          <w:color w:val="auto"/>
          <w:szCs w:val="21"/>
          <w:highlight w:val="none"/>
        </w:rPr>
        <w:t>澄清、答复、修改、补充的内容</w:t>
      </w:r>
    </w:p>
    <w:p>
      <w:pPr>
        <w:snapToGrid w:val="0"/>
        <w:spacing w:beforeLines="50" w:line="360" w:lineRule="auto"/>
        <w:ind w:firstLine="413" w:firstLineChars="196"/>
        <w:jc w:val="left"/>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（二）供应商的风险</w:t>
      </w:r>
    </w:p>
    <w:p>
      <w:pPr>
        <w:pStyle w:val="41"/>
        <w:spacing w:line="360" w:lineRule="auto"/>
        <w:ind w:firstLine="42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供应商没有按照招标文件要求提供全部资料，或者供应商没有对招标文件在各方面作出实质性响应是供应商的风险，并可能导致其投标为无效标。</w:t>
      </w:r>
    </w:p>
    <w:p>
      <w:pPr>
        <w:pStyle w:val="17"/>
        <w:widowControl w:val="0"/>
        <w:tabs>
          <w:tab w:val="clear" w:pos="454"/>
        </w:tabs>
        <w:snapToGrid w:val="0"/>
        <w:spacing w:beforeLines="50" w:afterLines="0" w:line="360" w:lineRule="auto"/>
        <w:ind w:left="0" w:firstLine="413" w:firstLineChars="196"/>
        <w:rPr>
          <w:rFonts w:asciiTheme="minorEastAsia" w:hAnsiTheme="minorEastAsia" w:eastAsiaTheme="minorEastAsia"/>
          <w:b/>
          <w:color w:val="auto"/>
          <w:sz w:val="21"/>
          <w:szCs w:val="21"/>
          <w:highlight w:val="none"/>
        </w:rPr>
      </w:pPr>
      <w:r>
        <w:rPr>
          <w:rFonts w:hint="eastAsia" w:asciiTheme="minorEastAsia" w:hAnsiTheme="minorEastAsia" w:eastAsiaTheme="minorEastAsia"/>
          <w:b/>
          <w:color w:val="auto"/>
          <w:sz w:val="21"/>
          <w:szCs w:val="21"/>
          <w:highlight w:val="none"/>
        </w:rPr>
        <w:t>（三）招标文件的澄清与修改</w:t>
      </w:r>
    </w:p>
    <w:p>
      <w:pPr>
        <w:pStyle w:val="29"/>
        <w:snapToGrid w:val="0"/>
        <w:spacing w:beforeLines="0" w:afterLines="0" w:line="360" w:lineRule="auto"/>
        <w:ind w:firstLine="420" w:firstLineChars="200"/>
        <w:rPr>
          <w:rFonts w:asciiTheme="minorEastAsia" w:hAnsiTheme="minorEastAsia" w:eastAsiaTheme="minorEastAsia"/>
          <w:color w:val="auto"/>
          <w:sz w:val="21"/>
          <w:szCs w:val="21"/>
          <w:highlight w:val="none"/>
        </w:rPr>
      </w:pPr>
      <w:r>
        <w:rPr>
          <w:rFonts w:asciiTheme="minorEastAsia" w:hAnsiTheme="minorEastAsia" w:eastAsiaTheme="minorEastAsia"/>
          <w:color w:val="auto"/>
          <w:sz w:val="21"/>
          <w:szCs w:val="21"/>
          <w:highlight w:val="none"/>
        </w:rPr>
        <w:t>1</w:t>
      </w:r>
      <w:r>
        <w:rPr>
          <w:rFonts w:hint="eastAsia" w:asciiTheme="minorEastAsia" w:hAnsiTheme="minorEastAsia" w:eastAsiaTheme="minorEastAsia"/>
          <w:color w:val="auto"/>
          <w:sz w:val="21"/>
          <w:szCs w:val="21"/>
          <w:highlight w:val="none"/>
        </w:rPr>
        <w:t>.</w:t>
      </w:r>
      <w:r>
        <w:rPr>
          <w:rFonts w:asciiTheme="minorEastAsia" w:hAnsiTheme="minorEastAsia" w:eastAsiaTheme="minorEastAsia"/>
          <w:bCs/>
          <w:color w:val="auto"/>
          <w:sz w:val="21"/>
          <w:szCs w:val="21"/>
          <w:highlight w:val="none"/>
        </w:rPr>
        <w:t>供应商应认真阅读本招标文件，发现其中有误或有不合理要求的，</w:t>
      </w:r>
      <w:r>
        <w:rPr>
          <w:rFonts w:hint="eastAsia" w:asciiTheme="minorEastAsia" w:hAnsiTheme="minorEastAsia" w:eastAsiaTheme="minorEastAsia"/>
          <w:bCs/>
          <w:color w:val="auto"/>
          <w:sz w:val="21"/>
          <w:szCs w:val="21"/>
          <w:highlight w:val="none"/>
        </w:rPr>
        <w:t>可</w:t>
      </w:r>
      <w:r>
        <w:rPr>
          <w:rFonts w:asciiTheme="minorEastAsia" w:hAnsiTheme="minorEastAsia" w:eastAsiaTheme="minorEastAsia"/>
          <w:bCs/>
          <w:color w:val="auto"/>
          <w:sz w:val="21"/>
          <w:szCs w:val="21"/>
          <w:highlight w:val="none"/>
        </w:rPr>
        <w:t>要求招标采购人澄清</w:t>
      </w:r>
      <w:r>
        <w:rPr>
          <w:rFonts w:asciiTheme="minorEastAsia" w:hAnsiTheme="minorEastAsia" w:eastAsiaTheme="minorEastAsia"/>
          <w:color w:val="auto"/>
          <w:sz w:val="21"/>
          <w:szCs w:val="21"/>
          <w:highlight w:val="none"/>
        </w:rPr>
        <w:t>。</w:t>
      </w:r>
      <w:r>
        <w:rPr>
          <w:rFonts w:hint="eastAsia" w:asciiTheme="minorEastAsia" w:hAnsiTheme="minorEastAsia" w:eastAsiaTheme="minorEastAsia"/>
          <w:color w:val="auto"/>
          <w:sz w:val="21"/>
          <w:szCs w:val="21"/>
          <w:highlight w:val="none"/>
        </w:rPr>
        <w:t>招标采购人</w:t>
      </w:r>
      <w:r>
        <w:rPr>
          <w:rFonts w:asciiTheme="minorEastAsia" w:hAnsiTheme="minorEastAsia" w:eastAsiaTheme="minorEastAsia"/>
          <w:color w:val="auto"/>
          <w:sz w:val="21"/>
          <w:szCs w:val="21"/>
          <w:highlight w:val="none"/>
        </w:rPr>
        <w:t>对已发出的招标文件进行必要澄清</w:t>
      </w:r>
      <w:r>
        <w:rPr>
          <w:rFonts w:hint="eastAsia" w:asciiTheme="minorEastAsia" w:hAnsiTheme="minorEastAsia" w:eastAsiaTheme="minorEastAsia"/>
          <w:color w:val="auto"/>
          <w:sz w:val="21"/>
          <w:szCs w:val="21"/>
          <w:highlight w:val="none"/>
        </w:rPr>
        <w:t>或者</w:t>
      </w:r>
      <w:r>
        <w:rPr>
          <w:rFonts w:asciiTheme="minorEastAsia" w:hAnsiTheme="minorEastAsia" w:eastAsiaTheme="minorEastAsia"/>
          <w:color w:val="auto"/>
          <w:sz w:val="21"/>
          <w:szCs w:val="21"/>
          <w:highlight w:val="none"/>
        </w:rPr>
        <w:t>修改的，应当在招标文件要求提交投标文件截止</w:t>
      </w:r>
      <w:r>
        <w:rPr>
          <w:rFonts w:hint="eastAsia" w:asciiTheme="minorEastAsia" w:hAnsiTheme="minorEastAsia" w:eastAsiaTheme="minorEastAsia"/>
          <w:color w:val="auto"/>
          <w:sz w:val="21"/>
          <w:szCs w:val="21"/>
          <w:highlight w:val="none"/>
        </w:rPr>
        <w:t>十</w:t>
      </w:r>
      <w:r>
        <w:rPr>
          <w:rFonts w:asciiTheme="minorEastAsia" w:hAnsiTheme="minorEastAsia" w:eastAsiaTheme="minorEastAsia"/>
          <w:color w:val="auto"/>
          <w:sz w:val="21"/>
          <w:szCs w:val="21"/>
          <w:highlight w:val="none"/>
        </w:rPr>
        <w:t>五日前，在财政部门指定的政府采购信息发布媒体上发布更正公告，并以书面形式通知所有招标文件</w:t>
      </w:r>
      <w:r>
        <w:rPr>
          <w:rFonts w:hint="eastAsia" w:asciiTheme="minorEastAsia" w:hAnsiTheme="minorEastAsia" w:eastAsiaTheme="minorEastAsia"/>
          <w:color w:val="auto"/>
          <w:sz w:val="21"/>
          <w:szCs w:val="21"/>
          <w:highlight w:val="none"/>
        </w:rPr>
        <w:t>获取</w:t>
      </w:r>
      <w:r>
        <w:rPr>
          <w:rFonts w:asciiTheme="minorEastAsia" w:hAnsiTheme="minorEastAsia" w:eastAsiaTheme="minorEastAsia"/>
          <w:color w:val="auto"/>
          <w:sz w:val="21"/>
          <w:szCs w:val="21"/>
          <w:highlight w:val="none"/>
        </w:rPr>
        <w:t>人。</w:t>
      </w:r>
    </w:p>
    <w:p>
      <w:pPr>
        <w:pStyle w:val="29"/>
        <w:snapToGrid w:val="0"/>
        <w:spacing w:beforeLines="0" w:afterLines="0" w:line="360" w:lineRule="auto"/>
        <w:ind w:firstLine="420" w:firstLineChars="200"/>
        <w:rPr>
          <w:rFonts w:asciiTheme="minorEastAsia" w:hAnsiTheme="minorEastAsia" w:eastAsiaTheme="minorEastAsia"/>
          <w:color w:val="auto"/>
          <w:sz w:val="21"/>
          <w:szCs w:val="21"/>
          <w:highlight w:val="none"/>
        </w:rPr>
      </w:pPr>
      <w:r>
        <w:rPr>
          <w:rFonts w:asciiTheme="minorEastAsia" w:hAnsiTheme="minorEastAsia" w:eastAsiaTheme="minorEastAsia"/>
          <w:color w:val="auto"/>
          <w:sz w:val="21"/>
          <w:szCs w:val="21"/>
          <w:highlight w:val="none"/>
        </w:rPr>
        <w:t>2</w:t>
      </w:r>
      <w:r>
        <w:rPr>
          <w:rFonts w:hint="eastAsia" w:asciiTheme="minorEastAsia" w:hAnsiTheme="minorEastAsia" w:eastAsiaTheme="minorEastAsia"/>
          <w:color w:val="auto"/>
          <w:sz w:val="21"/>
          <w:szCs w:val="21"/>
          <w:highlight w:val="none"/>
        </w:rPr>
        <w:t>.</w:t>
      </w:r>
      <w:r>
        <w:rPr>
          <w:rFonts w:asciiTheme="minorEastAsia" w:hAnsiTheme="minorEastAsia" w:eastAsiaTheme="minorEastAsia"/>
          <w:color w:val="auto"/>
          <w:sz w:val="21"/>
          <w:szCs w:val="21"/>
          <w:highlight w:val="none"/>
        </w:rPr>
        <w:t>招标文件澄清</w:t>
      </w:r>
      <w:r>
        <w:rPr>
          <w:rFonts w:hint="eastAsia" w:asciiTheme="minorEastAsia" w:hAnsiTheme="minorEastAsia" w:eastAsiaTheme="minorEastAsia"/>
          <w:color w:val="auto"/>
          <w:sz w:val="21"/>
          <w:szCs w:val="21"/>
          <w:highlight w:val="none"/>
        </w:rPr>
        <w:t>或者</w:t>
      </w:r>
      <w:r>
        <w:rPr>
          <w:rFonts w:asciiTheme="minorEastAsia" w:hAnsiTheme="minorEastAsia" w:eastAsiaTheme="minorEastAsia"/>
          <w:color w:val="auto"/>
          <w:sz w:val="21"/>
          <w:szCs w:val="21"/>
          <w:highlight w:val="none"/>
        </w:rPr>
        <w:t>修改的内容为招标文件的组成部分。当招标文件与澄清</w:t>
      </w:r>
      <w:r>
        <w:rPr>
          <w:rFonts w:hint="eastAsia" w:asciiTheme="minorEastAsia" w:hAnsiTheme="minorEastAsia" w:eastAsiaTheme="minorEastAsia"/>
          <w:color w:val="auto"/>
          <w:sz w:val="21"/>
          <w:szCs w:val="21"/>
          <w:highlight w:val="none"/>
        </w:rPr>
        <w:t>或者</w:t>
      </w:r>
      <w:r>
        <w:rPr>
          <w:rFonts w:asciiTheme="minorEastAsia" w:hAnsiTheme="minorEastAsia" w:eastAsiaTheme="minorEastAsia"/>
          <w:color w:val="auto"/>
          <w:sz w:val="21"/>
          <w:szCs w:val="21"/>
          <w:highlight w:val="none"/>
        </w:rPr>
        <w:t>修改就同一内容的表述不一致时，以最后发出的书面文件为准。</w:t>
      </w:r>
    </w:p>
    <w:p>
      <w:pPr>
        <w:pStyle w:val="29"/>
        <w:snapToGrid w:val="0"/>
        <w:spacing w:beforeLines="0" w:afterLines="0" w:line="360" w:lineRule="auto"/>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3.对</w:t>
      </w:r>
      <w:r>
        <w:rPr>
          <w:rFonts w:asciiTheme="minorEastAsia" w:hAnsiTheme="minorEastAsia" w:eastAsiaTheme="minorEastAsia"/>
          <w:color w:val="auto"/>
          <w:sz w:val="21"/>
          <w:szCs w:val="21"/>
          <w:highlight w:val="none"/>
        </w:rPr>
        <w:t>招标文件的澄清、答复、修改或补充都应该通过</w:t>
      </w:r>
      <w:r>
        <w:rPr>
          <w:rFonts w:hint="eastAsia" w:asciiTheme="minorEastAsia" w:hAnsiTheme="minorEastAsia" w:eastAsiaTheme="minorEastAsia"/>
          <w:color w:val="auto"/>
          <w:sz w:val="21"/>
          <w:szCs w:val="21"/>
          <w:highlight w:val="none"/>
        </w:rPr>
        <w:t>代理机构</w:t>
      </w:r>
      <w:r>
        <w:rPr>
          <w:rFonts w:asciiTheme="minorEastAsia" w:hAnsiTheme="minorEastAsia" w:eastAsiaTheme="minorEastAsia"/>
          <w:color w:val="auto"/>
          <w:sz w:val="21"/>
          <w:szCs w:val="21"/>
          <w:highlight w:val="none"/>
        </w:rPr>
        <w:t>以法定形式发布，采购人非通过本机构，不得擅自澄清、答复、修改或补充招标文件。</w:t>
      </w:r>
    </w:p>
    <w:p>
      <w:pPr>
        <w:pStyle w:val="29"/>
        <w:snapToGrid w:val="0"/>
        <w:spacing w:beforeLines="0" w:afterLines="0" w:line="360" w:lineRule="auto"/>
        <w:ind w:firstLine="420" w:firstLineChars="200"/>
        <w:rPr>
          <w:rFonts w:asciiTheme="minorEastAsia" w:hAnsiTheme="minorEastAsia" w:eastAsiaTheme="minorEastAsia"/>
          <w:color w:val="auto"/>
          <w:sz w:val="21"/>
          <w:szCs w:val="21"/>
          <w:highlight w:val="none"/>
        </w:rPr>
      </w:pPr>
    </w:p>
    <w:p>
      <w:pPr>
        <w:pStyle w:val="29"/>
        <w:snapToGrid w:val="0"/>
        <w:spacing w:before="120" w:after="120" w:line="360" w:lineRule="auto"/>
        <w:ind w:firstLine="413" w:firstLineChars="196"/>
        <w:jc w:val="center"/>
        <w:outlineLvl w:val="1"/>
        <w:rPr>
          <w:rFonts w:asciiTheme="minorEastAsia" w:hAnsiTheme="minorEastAsia" w:eastAsiaTheme="minorEastAsia"/>
          <w:b/>
          <w:color w:val="auto"/>
          <w:sz w:val="21"/>
          <w:szCs w:val="21"/>
          <w:highlight w:val="none"/>
        </w:rPr>
      </w:pPr>
      <w:r>
        <w:rPr>
          <w:rFonts w:asciiTheme="minorEastAsia" w:hAnsiTheme="minorEastAsia" w:eastAsiaTheme="minorEastAsia"/>
          <w:b/>
          <w:color w:val="auto"/>
          <w:sz w:val="21"/>
          <w:szCs w:val="21"/>
          <w:highlight w:val="none"/>
        </w:rPr>
        <w:t>三、投标文件的编制</w:t>
      </w:r>
    </w:p>
    <w:p>
      <w:pPr>
        <w:pStyle w:val="29"/>
        <w:snapToGrid w:val="0"/>
        <w:spacing w:before="120" w:after="120" w:line="360" w:lineRule="auto"/>
        <w:ind w:firstLine="413" w:firstLineChars="196"/>
        <w:outlineLvl w:val="1"/>
        <w:rPr>
          <w:rFonts w:asciiTheme="minorEastAsia" w:hAnsiTheme="minorEastAsia" w:eastAsiaTheme="minorEastAsia"/>
          <w:b/>
          <w:color w:val="auto"/>
          <w:sz w:val="21"/>
          <w:szCs w:val="21"/>
          <w:highlight w:val="none"/>
        </w:rPr>
      </w:pPr>
      <w:r>
        <w:rPr>
          <w:rFonts w:hint="eastAsia" w:asciiTheme="minorEastAsia" w:hAnsiTheme="minorEastAsia" w:eastAsiaTheme="minorEastAsia"/>
          <w:b/>
          <w:color w:val="auto"/>
          <w:sz w:val="21"/>
          <w:szCs w:val="21"/>
          <w:highlight w:val="none"/>
        </w:rPr>
        <w:t>本项目所涉投标文件格式请详见第六章，未给出的格式请自拟。资信商务及技术文件中不得出现报价，否则投标文件将被视为无效。</w:t>
      </w:r>
    </w:p>
    <w:p>
      <w:pPr>
        <w:pStyle w:val="29"/>
        <w:snapToGrid w:val="0"/>
        <w:spacing w:before="120" w:after="120" w:line="360" w:lineRule="auto"/>
        <w:ind w:firstLine="413" w:firstLineChars="196"/>
        <w:outlineLvl w:val="1"/>
        <w:rPr>
          <w:rFonts w:asciiTheme="minorEastAsia" w:hAnsiTheme="minorEastAsia" w:eastAsiaTheme="minorEastAsia"/>
          <w:b/>
          <w:color w:val="auto"/>
          <w:sz w:val="21"/>
          <w:szCs w:val="21"/>
          <w:highlight w:val="none"/>
        </w:rPr>
      </w:pPr>
      <w:r>
        <w:rPr>
          <w:rFonts w:hint="eastAsia" w:asciiTheme="minorEastAsia" w:hAnsiTheme="minorEastAsia" w:eastAsiaTheme="minorEastAsia"/>
          <w:b/>
          <w:color w:val="auto"/>
          <w:sz w:val="21"/>
          <w:szCs w:val="21"/>
          <w:highlight w:val="none"/>
        </w:rPr>
        <w:t>总体要求</w:t>
      </w:r>
      <w:r>
        <w:rPr>
          <w:rFonts w:asciiTheme="minorEastAsia" w:hAnsiTheme="minorEastAsia" w:eastAsiaTheme="minorEastAsia"/>
          <w:b/>
          <w:color w:val="auto"/>
          <w:sz w:val="21"/>
          <w:szCs w:val="21"/>
          <w:highlight w:val="none"/>
        </w:rPr>
        <w:t>：</w:t>
      </w:r>
    </w:p>
    <w:p>
      <w:pPr>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w:t>
      </w:r>
      <w:r>
        <w:rPr>
          <w:rFonts w:asciiTheme="minorEastAsia" w:hAnsiTheme="minorEastAsia" w:eastAsiaTheme="minorEastAsia"/>
          <w:color w:val="auto"/>
          <w:szCs w:val="21"/>
          <w:highlight w:val="none"/>
        </w:rPr>
        <w:t xml:space="preserve">供应商应仔细阅读招标文件的所有内容，按本文件的要求提供投标文件，并保证所提供的全部资料的真实性，以使其投标文件对招标文件作出实质性响应，否则，投标文件可能视为无效投标文件。 </w:t>
      </w:r>
    </w:p>
    <w:p>
      <w:pPr>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 投标文件及供应商与采购有关的来往通知，函件和文件均应使用中文。</w:t>
      </w:r>
    </w:p>
    <w:p>
      <w:pPr>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 供应商应按本文件中提供的文件格式、内容和要求制作投标文件。</w:t>
      </w:r>
    </w:p>
    <w:p>
      <w:pPr>
        <w:snapToGrid w:val="0"/>
        <w:spacing w:line="360" w:lineRule="auto"/>
        <w:ind w:firstLine="413" w:firstLineChars="196"/>
        <w:jc w:val="left"/>
        <w:outlineLvl w:val="0"/>
        <w:rPr>
          <w:rFonts w:asciiTheme="minorEastAsia" w:hAnsiTheme="minorEastAsia" w:eastAsiaTheme="minorEastAsia"/>
          <w:b/>
          <w:color w:val="auto"/>
          <w:szCs w:val="21"/>
          <w:highlight w:val="none"/>
        </w:rPr>
      </w:pPr>
      <w:bookmarkStart w:id="68" w:name="_Toc406402988"/>
      <w:bookmarkStart w:id="69" w:name="_Toc406402944"/>
      <w:bookmarkStart w:id="70" w:name="_Toc22673"/>
      <w:r>
        <w:rPr>
          <w:rFonts w:hint="eastAsia" w:asciiTheme="minorEastAsia" w:hAnsiTheme="minorEastAsia" w:eastAsiaTheme="minorEastAsia"/>
          <w:b/>
          <w:color w:val="auto"/>
          <w:szCs w:val="21"/>
          <w:highlight w:val="none"/>
        </w:rPr>
        <w:t>（一）投标文件的组成</w:t>
      </w:r>
      <w:bookmarkEnd w:id="68"/>
      <w:bookmarkEnd w:id="69"/>
      <w:bookmarkEnd w:id="70"/>
    </w:p>
    <w:p>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电子投标文件和备份投标文件均由资信技术文件、商务报价文件两部份组成。投标文件中所须加盖公章部分均采用CA签章。</w:t>
      </w:r>
    </w:p>
    <w:p>
      <w:pPr>
        <w:snapToGrid w:val="0"/>
        <w:spacing w:beforeLines="50" w:line="360" w:lineRule="auto"/>
        <w:jc w:val="left"/>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1、资信文件：</w:t>
      </w:r>
    </w:p>
    <w:p>
      <w:pPr>
        <w:snapToGrid w:val="0"/>
        <w:spacing w:line="360" w:lineRule="auto"/>
        <w:jc w:val="left"/>
        <w:rPr>
          <w:rFonts w:asciiTheme="minorEastAsia" w:hAnsiTheme="minorEastAsia" w:eastAsiaTheme="minorEastAsia"/>
          <w:color w:val="auto"/>
          <w:szCs w:val="21"/>
          <w:highlight w:val="none"/>
        </w:rPr>
      </w:pPr>
      <w:bookmarkStart w:id="71" w:name="_Toc406402989"/>
      <w:bookmarkStart w:id="72" w:name="_Toc406402945"/>
      <w:r>
        <w:rPr>
          <w:rFonts w:hint="eastAsia" w:asciiTheme="minorEastAsia" w:hAnsiTheme="minorEastAsia" w:eastAsiaTheme="minorEastAsia"/>
          <w:color w:val="auto"/>
          <w:szCs w:val="21"/>
          <w:highlight w:val="none"/>
        </w:rPr>
        <w:t>（1</w:t>
      </w:r>
      <w:r>
        <w:rPr>
          <w:rFonts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rPr>
        <w:t>投标声明书</w:t>
      </w:r>
      <w:r>
        <w:rPr>
          <w:rFonts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rPr>
        <w:t>（附件1）</w:t>
      </w:r>
    </w:p>
    <w:p>
      <w:pPr>
        <w:snapToGrid w:val="0"/>
        <w:spacing w:line="360" w:lineRule="auto"/>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w:t>
      </w:r>
      <w:r>
        <w:rPr>
          <w:rFonts w:asciiTheme="minorEastAsia" w:hAnsiTheme="minorEastAsia" w:eastAsiaTheme="minorEastAsia"/>
          <w:color w:val="auto"/>
          <w:szCs w:val="21"/>
          <w:highlight w:val="none"/>
        </w:rPr>
        <w:t>）法定代表人授权委托书；</w:t>
      </w:r>
      <w:r>
        <w:rPr>
          <w:rFonts w:hint="eastAsia" w:asciiTheme="minorEastAsia" w:hAnsiTheme="minorEastAsia" w:eastAsiaTheme="minorEastAsia"/>
          <w:color w:val="auto"/>
          <w:szCs w:val="21"/>
          <w:highlight w:val="none"/>
        </w:rPr>
        <w:t>（附件2）</w:t>
      </w:r>
    </w:p>
    <w:p>
      <w:pPr>
        <w:snapToGrid w:val="0"/>
        <w:spacing w:line="360" w:lineRule="auto"/>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w:t>
      </w:r>
      <w:r>
        <w:rPr>
          <w:rFonts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rPr>
        <w:t>关于资格的声明函；（附件3）</w:t>
      </w:r>
    </w:p>
    <w:p>
      <w:pPr>
        <w:snapToGrid w:val="0"/>
        <w:spacing w:line="360" w:lineRule="auto"/>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（4</w:t>
      </w:r>
      <w:r>
        <w:rPr>
          <w:rFonts w:asciiTheme="minorEastAsia" w:hAnsiTheme="minorEastAsia" w:eastAsiaTheme="minorEastAsia"/>
          <w:color w:val="auto"/>
          <w:szCs w:val="21"/>
          <w:highlight w:val="none"/>
        </w:rPr>
        <w:t>）投标人基本情况；</w:t>
      </w:r>
      <w:r>
        <w:rPr>
          <w:rFonts w:hint="eastAsia" w:asciiTheme="minorEastAsia" w:hAnsiTheme="minorEastAsia" w:eastAsiaTheme="minorEastAsia"/>
          <w:color w:val="auto"/>
          <w:szCs w:val="21"/>
          <w:highlight w:val="none"/>
        </w:rPr>
        <w:t>（附件4）</w:t>
      </w:r>
    </w:p>
    <w:p>
      <w:pPr>
        <w:snapToGrid w:val="0"/>
        <w:spacing w:line="360" w:lineRule="auto"/>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（5</w:t>
      </w:r>
      <w:r>
        <w:rPr>
          <w:rFonts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rPr>
        <w:t>业绩表</w:t>
      </w:r>
      <w:r>
        <w:rPr>
          <w:rFonts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rPr>
        <w:t>（附件5）</w:t>
      </w:r>
    </w:p>
    <w:p>
      <w:pPr>
        <w:snapToGrid w:val="0"/>
        <w:spacing w:line="360" w:lineRule="auto"/>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（6</w:t>
      </w:r>
      <w:r>
        <w:rPr>
          <w:rFonts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rPr>
        <w:t>认证证书情况</w:t>
      </w:r>
      <w:r>
        <w:rPr>
          <w:rFonts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rPr>
        <w:t>（附件6）</w:t>
      </w:r>
    </w:p>
    <w:p>
      <w:pPr>
        <w:snapToGrid w:val="0"/>
        <w:spacing w:line="360" w:lineRule="auto"/>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（7</w:t>
      </w:r>
      <w:r>
        <w:rPr>
          <w:rFonts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rPr>
        <w:t>项目组人员配置表（附件7）</w:t>
      </w:r>
    </w:p>
    <w:p>
      <w:pPr>
        <w:snapToGrid w:val="0"/>
        <w:spacing w:line="360" w:lineRule="auto"/>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（8</w:t>
      </w:r>
      <w:r>
        <w:rPr>
          <w:rFonts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rPr>
        <w:t>投入设备清单格式；（附件8）</w:t>
      </w:r>
    </w:p>
    <w:p>
      <w:pPr>
        <w:snapToGrid w:val="0"/>
        <w:spacing w:line="360" w:lineRule="auto"/>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（9）投标人符合政府采购法第二十二条资格的相关证明文件；</w:t>
      </w:r>
    </w:p>
    <w:p>
      <w:pPr>
        <w:snapToGrid w:val="0"/>
        <w:spacing w:line="360" w:lineRule="auto"/>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（10）投标人符合特定条件的相关证明文件；</w:t>
      </w:r>
    </w:p>
    <w:p>
      <w:pPr>
        <w:snapToGrid w:val="0"/>
        <w:spacing w:line="360" w:lineRule="auto"/>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11）提供自招标公告发布之日起至投标截止日内任意时间的“信用中国”网站（www.creditchina.gov.cn）、中国政府采购网（www.ccgp.gov.cn）供应商信用查询网页截图。（以开标当日采购单位或由采购单位委托的评标委员会核实的查询结果为准）。</w:t>
      </w:r>
    </w:p>
    <w:p>
      <w:pPr>
        <w:snapToGrid w:val="0"/>
        <w:spacing w:line="360" w:lineRule="auto"/>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（12）中小企业声明函、残疾人福利性单位声明函及其他符合政策性加分条件的承诺函或证明材料。（附件9、10）</w:t>
      </w:r>
    </w:p>
    <w:p>
      <w:pPr>
        <w:snapToGrid w:val="0"/>
        <w:spacing w:line="360" w:lineRule="auto"/>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（13）未尽事宜请各供应商按评分细则制作技术部份。</w:t>
      </w:r>
    </w:p>
    <w:p>
      <w:pPr>
        <w:snapToGrid w:val="0"/>
        <w:spacing w:line="360" w:lineRule="auto"/>
        <w:jc w:val="left"/>
        <w:rPr>
          <w:rFonts w:asciiTheme="minorEastAsia" w:hAnsiTheme="minorEastAsia" w:eastAsiaTheme="minorEastAsia"/>
          <w:b/>
          <w:bCs/>
          <w:color w:val="auto"/>
          <w:szCs w:val="21"/>
          <w:highlight w:val="none"/>
        </w:rPr>
      </w:pPr>
      <w:r>
        <w:rPr>
          <w:rFonts w:asciiTheme="minorEastAsia" w:hAnsiTheme="minorEastAsia" w:eastAsiaTheme="minorEastAsia"/>
          <w:b/>
          <w:bCs/>
          <w:color w:val="auto"/>
          <w:szCs w:val="21"/>
          <w:highlight w:val="none"/>
        </w:rPr>
        <w:t>2</w:t>
      </w:r>
      <w:r>
        <w:rPr>
          <w:rFonts w:hint="eastAsia" w:asciiTheme="minorEastAsia" w:hAnsiTheme="minorEastAsia" w:eastAsiaTheme="minorEastAsia"/>
          <w:b/>
          <w:bCs/>
          <w:color w:val="auto"/>
          <w:szCs w:val="21"/>
          <w:highlight w:val="none"/>
        </w:rPr>
        <w:t>、</w:t>
      </w:r>
      <w:r>
        <w:rPr>
          <w:rFonts w:asciiTheme="minorEastAsia" w:hAnsiTheme="minorEastAsia" w:eastAsiaTheme="minorEastAsia"/>
          <w:b/>
          <w:bCs/>
          <w:color w:val="auto"/>
          <w:szCs w:val="21"/>
          <w:highlight w:val="none"/>
        </w:rPr>
        <w:t>技术文件</w:t>
      </w:r>
    </w:p>
    <w:p>
      <w:pPr>
        <w:snapToGrid w:val="0"/>
        <w:spacing w:line="360" w:lineRule="auto"/>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w:t>
      </w:r>
      <w:r>
        <w:rPr>
          <w:rFonts w:hint="eastAsia" w:asciiTheme="minorEastAsia" w:hAnsiTheme="minorEastAsia" w:eastAsiaTheme="minorEastAsia"/>
          <w:color w:val="auto"/>
          <w:szCs w:val="21"/>
          <w:highlight w:val="none"/>
          <w:lang w:eastAsia="zh-CN"/>
        </w:rPr>
        <w:t>投标方案</w:t>
      </w:r>
      <w:r>
        <w:rPr>
          <w:rFonts w:hint="eastAsia" w:asciiTheme="minorEastAsia" w:hAnsiTheme="minorEastAsia" w:eastAsiaTheme="minorEastAsia"/>
          <w:color w:val="auto"/>
          <w:szCs w:val="21"/>
          <w:highlight w:val="none"/>
        </w:rPr>
        <w:t>；（格式自拟）</w:t>
      </w:r>
    </w:p>
    <w:p>
      <w:pPr>
        <w:snapToGrid w:val="0"/>
        <w:spacing w:line="360" w:lineRule="auto"/>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（2）服务承诺及质量保障；（格式自拟）</w:t>
      </w:r>
    </w:p>
    <w:p>
      <w:pPr>
        <w:pStyle w:val="48"/>
        <w:ind w:left="0" w:leftChars="0" w:firstLine="0" w:firstLineChars="0"/>
        <w:rPr>
          <w:color w:val="auto"/>
          <w:highlight w:val="none"/>
        </w:rPr>
      </w:pPr>
      <w:r>
        <w:rPr>
          <w:rFonts w:hint="eastAsia" w:asciiTheme="minorEastAsia" w:hAnsiTheme="minorEastAsia"/>
          <w:color w:val="auto"/>
          <w:szCs w:val="21"/>
          <w:highlight w:val="none"/>
        </w:rPr>
        <w:t>（</w:t>
      </w:r>
      <w:r>
        <w:rPr>
          <w:rFonts w:hint="eastAsia" w:asciiTheme="minorEastAsia" w:hAnsiTheme="minorEastAsia"/>
          <w:color w:val="auto"/>
          <w:szCs w:val="21"/>
          <w:highlight w:val="none"/>
          <w:lang w:val="en-US" w:eastAsia="zh-CN"/>
        </w:rPr>
        <w:t>3</w:t>
      </w:r>
      <w:r>
        <w:rPr>
          <w:rFonts w:hint="eastAsia" w:asciiTheme="minorEastAsia" w:hAnsiTheme="minorEastAsia"/>
          <w:color w:val="auto"/>
          <w:szCs w:val="21"/>
          <w:highlight w:val="none"/>
        </w:rPr>
        <w:t>）</w:t>
      </w:r>
      <w:r>
        <w:rPr>
          <w:rFonts w:hint="eastAsia" w:asciiTheme="minorEastAsia" w:hAnsiTheme="minorEastAsia"/>
          <w:color w:val="auto"/>
          <w:szCs w:val="21"/>
          <w:highlight w:val="none"/>
          <w:lang w:val="en-US" w:eastAsia="zh-CN"/>
        </w:rPr>
        <w:t>人员配置</w:t>
      </w:r>
      <w:r>
        <w:rPr>
          <w:rFonts w:hint="eastAsia" w:asciiTheme="minorEastAsia" w:hAnsiTheme="minorEastAsia"/>
          <w:color w:val="auto"/>
          <w:szCs w:val="21"/>
          <w:highlight w:val="none"/>
        </w:rPr>
        <w:t>；（格式自拟）</w:t>
      </w:r>
    </w:p>
    <w:p>
      <w:pPr>
        <w:snapToGrid w:val="0"/>
        <w:spacing w:line="360" w:lineRule="auto"/>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lang w:val="en-US" w:eastAsia="zh-CN"/>
        </w:rPr>
        <w:t>4</w:t>
      </w:r>
      <w:r>
        <w:rPr>
          <w:rFonts w:hint="eastAsia"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lang w:eastAsia="zh-CN"/>
        </w:rPr>
        <w:t>合理化建议</w:t>
      </w:r>
      <w:r>
        <w:rPr>
          <w:rFonts w:hint="eastAsia" w:asciiTheme="minorEastAsia" w:hAnsiTheme="minorEastAsia" w:eastAsiaTheme="minorEastAsia"/>
          <w:color w:val="auto"/>
          <w:szCs w:val="21"/>
          <w:highlight w:val="none"/>
        </w:rPr>
        <w:t>；（格式自拟）</w:t>
      </w:r>
    </w:p>
    <w:p>
      <w:pPr>
        <w:snapToGrid w:val="0"/>
        <w:spacing w:line="360" w:lineRule="auto"/>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lang w:val="en-US" w:eastAsia="zh-CN"/>
        </w:rPr>
        <w:t>5</w:t>
      </w:r>
      <w:r>
        <w:rPr>
          <w:rFonts w:hint="eastAsia" w:asciiTheme="minorEastAsia" w:hAnsiTheme="minorEastAsia" w:eastAsiaTheme="minorEastAsia"/>
          <w:color w:val="auto"/>
          <w:szCs w:val="21"/>
          <w:highlight w:val="none"/>
        </w:rPr>
        <w:t>）投标人认为有必要提供的声明及文件资料。</w:t>
      </w:r>
    </w:p>
    <w:p>
      <w:pPr>
        <w:snapToGrid w:val="0"/>
        <w:spacing w:line="360" w:lineRule="auto"/>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lang w:val="en-US" w:eastAsia="zh-CN"/>
        </w:rPr>
        <w:t>6</w:t>
      </w:r>
      <w:r>
        <w:rPr>
          <w:rFonts w:hint="eastAsia" w:asciiTheme="minorEastAsia" w:hAnsiTheme="minorEastAsia" w:eastAsiaTheme="minorEastAsia"/>
          <w:color w:val="auto"/>
          <w:szCs w:val="21"/>
          <w:highlight w:val="none"/>
        </w:rPr>
        <w:t>）未尽事宜请各投标人按评分细则制作。</w:t>
      </w:r>
    </w:p>
    <w:p>
      <w:pPr>
        <w:snapToGrid w:val="0"/>
        <w:spacing w:line="360" w:lineRule="auto"/>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（注：复印件应加盖投标人公章）</w:t>
      </w:r>
    </w:p>
    <w:p>
      <w:pPr>
        <w:snapToGrid w:val="0"/>
        <w:spacing w:line="360" w:lineRule="auto"/>
        <w:jc w:val="left"/>
        <w:rPr>
          <w:rFonts w:asciiTheme="minorEastAsia" w:hAnsiTheme="minorEastAsia" w:eastAsiaTheme="minorEastAsia"/>
          <w:b/>
          <w:color w:val="auto"/>
          <w:szCs w:val="21"/>
          <w:highlight w:val="none"/>
        </w:rPr>
      </w:pPr>
      <w:r>
        <w:rPr>
          <w:rFonts w:asciiTheme="minorEastAsia" w:hAnsiTheme="minorEastAsia" w:eastAsiaTheme="minorEastAsia"/>
          <w:b/>
          <w:color w:val="auto"/>
          <w:szCs w:val="21"/>
          <w:highlight w:val="none"/>
        </w:rPr>
        <w:t>3</w:t>
      </w:r>
      <w:r>
        <w:rPr>
          <w:rFonts w:hint="eastAsia" w:asciiTheme="minorEastAsia" w:hAnsiTheme="minorEastAsia" w:eastAsiaTheme="minorEastAsia"/>
          <w:b/>
          <w:color w:val="auto"/>
          <w:szCs w:val="21"/>
          <w:highlight w:val="none"/>
        </w:rPr>
        <w:t>、商务</w:t>
      </w:r>
      <w:r>
        <w:rPr>
          <w:rFonts w:asciiTheme="minorEastAsia" w:hAnsiTheme="minorEastAsia" w:eastAsiaTheme="minorEastAsia"/>
          <w:b/>
          <w:color w:val="auto"/>
          <w:szCs w:val="21"/>
          <w:highlight w:val="none"/>
        </w:rPr>
        <w:t>报价文件：</w:t>
      </w:r>
    </w:p>
    <w:p>
      <w:pPr>
        <w:snapToGrid w:val="0"/>
        <w:spacing w:line="360" w:lineRule="auto"/>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（1）投标函；（附件12）</w:t>
      </w:r>
    </w:p>
    <w:p>
      <w:pPr>
        <w:snapToGrid w:val="0"/>
        <w:spacing w:line="360" w:lineRule="auto"/>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w:t>
      </w:r>
      <w:r>
        <w:rPr>
          <w:rFonts w:asciiTheme="minorEastAsia" w:hAnsiTheme="minorEastAsia" w:eastAsiaTheme="minorEastAsia"/>
          <w:color w:val="auto"/>
          <w:szCs w:val="21"/>
          <w:highlight w:val="none"/>
        </w:rPr>
        <w:t>）开标一览表；</w:t>
      </w:r>
      <w:r>
        <w:rPr>
          <w:rFonts w:hint="eastAsia" w:asciiTheme="minorEastAsia" w:hAnsiTheme="minorEastAsia" w:eastAsiaTheme="minorEastAsia"/>
          <w:color w:val="auto"/>
          <w:szCs w:val="21"/>
          <w:highlight w:val="none"/>
        </w:rPr>
        <w:t>（附件13）</w:t>
      </w:r>
    </w:p>
    <w:p>
      <w:pPr>
        <w:pStyle w:val="48"/>
        <w:spacing w:line="360" w:lineRule="auto"/>
        <w:ind w:left="0" w:leftChars="0" w:firstLine="0" w:firstLineChars="0"/>
        <w:rPr>
          <w:color w:val="auto"/>
          <w:highlight w:val="none"/>
        </w:rPr>
      </w:pPr>
      <w:r>
        <w:rPr>
          <w:rFonts w:hint="eastAsia"/>
          <w:color w:val="auto"/>
          <w:highlight w:val="none"/>
        </w:rPr>
        <w:t>（3）明细报价表</w:t>
      </w:r>
      <w:r>
        <w:rPr>
          <w:rFonts w:asciiTheme="minorEastAsia" w:hAnsiTheme="minorEastAsia"/>
          <w:color w:val="auto"/>
          <w:szCs w:val="21"/>
          <w:highlight w:val="none"/>
        </w:rPr>
        <w:t>；</w:t>
      </w:r>
      <w:r>
        <w:rPr>
          <w:rFonts w:hint="eastAsia" w:asciiTheme="minorEastAsia" w:hAnsiTheme="minorEastAsia"/>
          <w:color w:val="auto"/>
          <w:szCs w:val="21"/>
          <w:highlight w:val="none"/>
        </w:rPr>
        <w:t>（附件14）</w:t>
      </w:r>
    </w:p>
    <w:p>
      <w:pPr>
        <w:snapToGrid w:val="0"/>
        <w:spacing w:line="360" w:lineRule="auto"/>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w:t>
      </w:r>
      <w:r>
        <w:rPr>
          <w:rFonts w:asciiTheme="minorEastAsia" w:hAnsiTheme="minorEastAsia" w:eastAsiaTheme="minorEastAsia"/>
          <w:color w:val="auto"/>
          <w:szCs w:val="21"/>
          <w:highlight w:val="none"/>
        </w:rPr>
        <w:t>投标人</w:t>
      </w:r>
      <w:r>
        <w:rPr>
          <w:rFonts w:hint="eastAsia" w:asciiTheme="minorEastAsia" w:hAnsiTheme="minorEastAsia" w:eastAsiaTheme="minorEastAsia"/>
          <w:color w:val="auto"/>
          <w:szCs w:val="21"/>
          <w:highlight w:val="none"/>
        </w:rPr>
        <w:t>针对报价</w:t>
      </w:r>
      <w:r>
        <w:rPr>
          <w:rFonts w:asciiTheme="minorEastAsia" w:hAnsiTheme="minorEastAsia" w:eastAsiaTheme="minorEastAsia"/>
          <w:color w:val="auto"/>
          <w:szCs w:val="21"/>
          <w:highlight w:val="none"/>
        </w:rPr>
        <w:t>需要说明的其他文件和说明</w:t>
      </w:r>
      <w:r>
        <w:rPr>
          <w:rFonts w:hint="eastAsia" w:asciiTheme="minorEastAsia" w:hAnsiTheme="minorEastAsia" w:eastAsiaTheme="minorEastAsia"/>
          <w:color w:val="auto"/>
          <w:szCs w:val="21"/>
          <w:highlight w:val="none"/>
        </w:rPr>
        <w:t>；</w:t>
      </w:r>
    </w:p>
    <w:bookmarkEnd w:id="71"/>
    <w:bookmarkEnd w:id="72"/>
    <w:p>
      <w:pPr>
        <w:snapToGrid w:val="0"/>
        <w:spacing w:line="360" w:lineRule="auto"/>
        <w:jc w:val="left"/>
        <w:rPr>
          <w:rFonts w:asciiTheme="minorEastAsia" w:hAnsiTheme="minorEastAsia" w:eastAsiaTheme="minorEastAsia"/>
          <w:b/>
          <w:color w:val="auto"/>
          <w:szCs w:val="21"/>
          <w:highlight w:val="none"/>
        </w:rPr>
      </w:pPr>
      <w:bookmarkStart w:id="73" w:name="_Toc385854100"/>
      <w:bookmarkStart w:id="74" w:name="_Toc406402990"/>
      <w:bookmarkStart w:id="75" w:name="_Toc402963084"/>
      <w:bookmarkStart w:id="76" w:name="_Toc406402946"/>
      <w:bookmarkStart w:id="77" w:name="_Toc385854146"/>
      <w:bookmarkStart w:id="78" w:name="_Toc402963117"/>
      <w:r>
        <w:rPr>
          <w:rFonts w:asciiTheme="minorEastAsia" w:hAnsiTheme="minorEastAsia" w:eastAsiaTheme="minorEastAsia"/>
          <w:b/>
          <w:color w:val="auto"/>
          <w:szCs w:val="21"/>
          <w:highlight w:val="none"/>
        </w:rPr>
        <w:t>注：</w:t>
      </w:r>
      <w:r>
        <w:rPr>
          <w:rFonts w:hint="eastAsia" w:asciiTheme="minorEastAsia" w:hAnsiTheme="minorEastAsia" w:eastAsiaTheme="minorEastAsia"/>
          <w:b/>
          <w:color w:val="auto"/>
          <w:szCs w:val="21"/>
          <w:highlight w:val="none"/>
        </w:rPr>
        <w:t>1、投标人可根据评分细则按排版自行编制目录。</w:t>
      </w:r>
    </w:p>
    <w:p>
      <w:pPr>
        <w:snapToGrid w:val="0"/>
        <w:spacing w:line="360" w:lineRule="auto"/>
        <w:ind w:firstLine="413" w:firstLineChars="196"/>
        <w:jc w:val="left"/>
        <w:outlineLvl w:val="0"/>
        <w:rPr>
          <w:rFonts w:asciiTheme="minorEastAsia" w:hAnsiTheme="minorEastAsia" w:eastAsiaTheme="minorEastAsia"/>
          <w:b/>
          <w:color w:val="auto"/>
          <w:szCs w:val="21"/>
          <w:highlight w:val="none"/>
        </w:rPr>
      </w:pPr>
      <w:bookmarkStart w:id="79" w:name="_Toc20732"/>
      <w:r>
        <w:rPr>
          <w:rFonts w:hint="eastAsia" w:asciiTheme="minorEastAsia" w:hAnsiTheme="minorEastAsia" w:eastAsiaTheme="minorEastAsia"/>
          <w:b/>
          <w:color w:val="auto"/>
          <w:szCs w:val="21"/>
          <w:highlight w:val="none"/>
        </w:rPr>
        <w:t>（二）投标文件的语言及计量</w:t>
      </w:r>
      <w:bookmarkEnd w:id="73"/>
      <w:bookmarkEnd w:id="74"/>
      <w:bookmarkEnd w:id="75"/>
      <w:bookmarkEnd w:id="76"/>
      <w:bookmarkEnd w:id="77"/>
      <w:bookmarkEnd w:id="78"/>
      <w:bookmarkEnd w:id="79"/>
    </w:p>
    <w:p>
      <w:pPr>
        <w:snapToGrid w:val="0"/>
        <w:spacing w:line="360" w:lineRule="auto"/>
        <w:ind w:firstLine="420" w:firstLineChars="20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1</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投标文件以及投标方与采购人就有关投标事宜的所有来往函电，均应以中文汉语书写。除签名、盖章、专用名称等特殊情形外，以中文汉语以外的文字表述的投标文件视同未提供。</w:t>
      </w:r>
    </w:p>
    <w:p>
      <w:pPr>
        <w:snapToGrid w:val="0"/>
        <w:spacing w:line="360" w:lineRule="auto"/>
        <w:ind w:firstLine="420" w:firstLineChars="20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2</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投标计量单位，招标文件已有明确规定的，使用招标文件规定的计量单位；招标文件没有规定的，应采用中华人民共和国法定计量单位（货币单位：人民币元），否则视同未响应。</w:t>
      </w:r>
    </w:p>
    <w:p>
      <w:pPr>
        <w:snapToGrid w:val="0"/>
        <w:spacing w:beforeLines="50" w:line="360" w:lineRule="auto"/>
        <w:ind w:firstLine="413" w:firstLineChars="196"/>
        <w:jc w:val="left"/>
        <w:outlineLvl w:val="0"/>
        <w:rPr>
          <w:rFonts w:asciiTheme="minorEastAsia" w:hAnsiTheme="minorEastAsia" w:eastAsiaTheme="minorEastAsia"/>
          <w:b/>
          <w:color w:val="auto"/>
          <w:szCs w:val="21"/>
          <w:highlight w:val="none"/>
        </w:rPr>
      </w:pPr>
      <w:bookmarkStart w:id="80" w:name="_Toc385854101"/>
      <w:bookmarkStart w:id="81" w:name="_Toc402963118"/>
      <w:bookmarkStart w:id="82" w:name="_Toc406402947"/>
      <w:bookmarkStart w:id="83" w:name="_Toc402963085"/>
      <w:bookmarkStart w:id="84" w:name="_Toc385854147"/>
      <w:bookmarkStart w:id="85" w:name="_Toc406402991"/>
      <w:bookmarkStart w:id="86" w:name="_Toc27435"/>
      <w:r>
        <w:rPr>
          <w:rFonts w:hint="eastAsia" w:asciiTheme="minorEastAsia" w:hAnsiTheme="minorEastAsia" w:eastAsiaTheme="minorEastAsia"/>
          <w:b/>
          <w:color w:val="auto"/>
          <w:szCs w:val="21"/>
          <w:highlight w:val="none"/>
        </w:rPr>
        <w:t>（三）投标报价</w:t>
      </w:r>
      <w:bookmarkEnd w:id="80"/>
      <w:bookmarkEnd w:id="81"/>
      <w:bookmarkEnd w:id="82"/>
      <w:bookmarkEnd w:id="83"/>
      <w:bookmarkEnd w:id="84"/>
      <w:bookmarkEnd w:id="85"/>
      <w:bookmarkEnd w:id="86"/>
    </w:p>
    <w:p>
      <w:pPr>
        <w:pStyle w:val="29"/>
        <w:snapToGrid w:val="0"/>
        <w:spacing w:beforeLines="0" w:afterLines="0" w:line="360" w:lineRule="auto"/>
        <w:ind w:firstLine="420" w:firstLineChars="200"/>
        <w:jc w:val="left"/>
        <w:rPr>
          <w:rFonts w:asciiTheme="minorEastAsia" w:hAnsiTheme="minorEastAsia" w:eastAsiaTheme="minorEastAsia"/>
          <w:color w:val="auto"/>
          <w:sz w:val="21"/>
          <w:szCs w:val="21"/>
          <w:highlight w:val="none"/>
        </w:rPr>
      </w:pPr>
      <w:r>
        <w:rPr>
          <w:rFonts w:asciiTheme="minorEastAsia" w:hAnsiTheme="minorEastAsia" w:eastAsiaTheme="minorEastAsia"/>
          <w:color w:val="auto"/>
          <w:sz w:val="21"/>
          <w:szCs w:val="21"/>
          <w:highlight w:val="none"/>
        </w:rPr>
        <w:t>1</w:t>
      </w:r>
      <w:r>
        <w:rPr>
          <w:rFonts w:hint="eastAsia" w:asciiTheme="minorEastAsia" w:hAnsiTheme="minorEastAsia" w:eastAsiaTheme="minorEastAsia"/>
          <w:color w:val="auto"/>
          <w:sz w:val="21"/>
          <w:szCs w:val="21"/>
          <w:highlight w:val="none"/>
        </w:rPr>
        <w:t>.</w:t>
      </w:r>
      <w:r>
        <w:rPr>
          <w:rFonts w:asciiTheme="minorEastAsia" w:hAnsiTheme="minorEastAsia" w:eastAsiaTheme="minorEastAsia"/>
          <w:color w:val="auto"/>
          <w:sz w:val="21"/>
          <w:szCs w:val="21"/>
          <w:highlight w:val="none"/>
        </w:rPr>
        <w:t>投标报价应按招标文件中相关附表格式填写。</w:t>
      </w:r>
    </w:p>
    <w:p>
      <w:pPr>
        <w:pStyle w:val="29"/>
        <w:snapToGrid w:val="0"/>
        <w:spacing w:beforeLines="0" w:afterLines="0" w:line="360" w:lineRule="auto"/>
        <w:ind w:firstLine="420" w:firstLineChars="200"/>
        <w:jc w:val="left"/>
        <w:rPr>
          <w:rFonts w:asciiTheme="minorEastAsia" w:hAnsiTheme="minorEastAsia" w:eastAsiaTheme="minorEastAsia"/>
          <w:color w:val="auto"/>
          <w:sz w:val="21"/>
          <w:szCs w:val="21"/>
          <w:highlight w:val="none"/>
        </w:rPr>
      </w:pPr>
      <w:r>
        <w:rPr>
          <w:rFonts w:asciiTheme="minorEastAsia" w:hAnsiTheme="minorEastAsia" w:eastAsiaTheme="minorEastAsia"/>
          <w:color w:val="auto"/>
          <w:sz w:val="21"/>
          <w:szCs w:val="21"/>
          <w:highlight w:val="none"/>
        </w:rPr>
        <w:t>2</w:t>
      </w:r>
      <w:r>
        <w:rPr>
          <w:rFonts w:hint="eastAsia" w:asciiTheme="minorEastAsia" w:hAnsiTheme="minorEastAsia" w:eastAsiaTheme="minorEastAsia"/>
          <w:color w:val="auto"/>
          <w:sz w:val="21"/>
          <w:szCs w:val="21"/>
          <w:highlight w:val="none"/>
        </w:rPr>
        <w:t>.</w:t>
      </w:r>
      <w:r>
        <w:rPr>
          <w:rFonts w:asciiTheme="minorEastAsia" w:hAnsiTheme="minorEastAsia" w:eastAsiaTheme="minorEastAsia"/>
          <w:color w:val="auto"/>
          <w:sz w:val="21"/>
          <w:szCs w:val="21"/>
          <w:highlight w:val="none"/>
        </w:rPr>
        <w:t>投标报价是履行合同的最终价格，应包括货款、标准附件、备品备件、专用工具、包装、运输、装卸、保险、税金、货到就位以及安装、调试、培训、保修</w:t>
      </w:r>
      <w:r>
        <w:rPr>
          <w:rFonts w:hint="eastAsia" w:asciiTheme="minorEastAsia" w:hAnsiTheme="minorEastAsia" w:eastAsiaTheme="minorEastAsia"/>
          <w:color w:val="auto"/>
          <w:sz w:val="21"/>
          <w:szCs w:val="21"/>
          <w:highlight w:val="none"/>
        </w:rPr>
        <w:t>和前期方案编制</w:t>
      </w:r>
      <w:r>
        <w:rPr>
          <w:rFonts w:asciiTheme="minorEastAsia" w:hAnsiTheme="minorEastAsia" w:eastAsiaTheme="minorEastAsia"/>
          <w:color w:val="auto"/>
          <w:sz w:val="21"/>
          <w:szCs w:val="21"/>
          <w:highlight w:val="none"/>
        </w:rPr>
        <w:t>等一切税金和费用。</w:t>
      </w:r>
    </w:p>
    <w:p>
      <w:pPr>
        <w:tabs>
          <w:tab w:val="left" w:pos="525"/>
        </w:tabs>
        <w:snapToGrid w:val="0"/>
        <w:spacing w:line="360" w:lineRule="auto"/>
        <w:ind w:firstLine="420" w:firstLineChars="20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3</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投标文件只允许有一个报价，有选择的</w:t>
      </w:r>
      <w:r>
        <w:rPr>
          <w:rFonts w:hint="eastAsia" w:asciiTheme="minorEastAsia" w:hAnsiTheme="minorEastAsia" w:eastAsiaTheme="minorEastAsia"/>
          <w:color w:val="auto"/>
          <w:szCs w:val="21"/>
          <w:highlight w:val="none"/>
        </w:rPr>
        <w:t>或有条件的</w:t>
      </w:r>
      <w:r>
        <w:rPr>
          <w:rFonts w:asciiTheme="minorEastAsia" w:hAnsiTheme="minorEastAsia" w:eastAsiaTheme="minorEastAsia"/>
          <w:color w:val="auto"/>
          <w:szCs w:val="21"/>
          <w:highlight w:val="none"/>
        </w:rPr>
        <w:t>报价将不予接受。</w:t>
      </w:r>
    </w:p>
    <w:p>
      <w:pPr>
        <w:pStyle w:val="17"/>
        <w:widowControl w:val="0"/>
        <w:tabs>
          <w:tab w:val="clear" w:pos="454"/>
        </w:tabs>
        <w:snapToGrid w:val="0"/>
        <w:spacing w:beforeLines="50" w:afterLines="0" w:line="360" w:lineRule="auto"/>
        <w:ind w:left="0" w:firstLine="413" w:firstLineChars="196"/>
        <w:rPr>
          <w:rFonts w:asciiTheme="minorEastAsia" w:hAnsiTheme="minorEastAsia" w:eastAsiaTheme="minorEastAsia"/>
          <w:b/>
          <w:color w:val="auto"/>
          <w:sz w:val="21"/>
          <w:szCs w:val="21"/>
          <w:highlight w:val="none"/>
        </w:rPr>
      </w:pPr>
      <w:r>
        <w:rPr>
          <w:rFonts w:hint="eastAsia" w:asciiTheme="minorEastAsia" w:hAnsiTheme="minorEastAsia" w:eastAsiaTheme="minorEastAsia"/>
          <w:b/>
          <w:color w:val="auto"/>
          <w:sz w:val="21"/>
          <w:szCs w:val="21"/>
          <w:highlight w:val="none"/>
        </w:rPr>
        <w:t>（四）投标文件的有效期</w:t>
      </w:r>
    </w:p>
    <w:p>
      <w:pPr>
        <w:pStyle w:val="17"/>
        <w:widowControl w:val="0"/>
        <w:tabs>
          <w:tab w:val="left" w:pos="4500"/>
          <w:tab w:val="clear" w:pos="454"/>
        </w:tabs>
        <w:snapToGrid w:val="0"/>
        <w:spacing w:afterLines="0" w:line="360" w:lineRule="auto"/>
        <w:ind w:left="0" w:firstLine="420" w:firstLineChars="200"/>
        <w:rPr>
          <w:rFonts w:asciiTheme="minorEastAsia" w:hAnsiTheme="minorEastAsia" w:eastAsiaTheme="minorEastAsia"/>
          <w:color w:val="auto"/>
          <w:sz w:val="21"/>
          <w:szCs w:val="21"/>
          <w:highlight w:val="none"/>
        </w:rPr>
      </w:pPr>
      <w:r>
        <w:rPr>
          <w:rFonts w:asciiTheme="minorEastAsia" w:hAnsiTheme="minorEastAsia" w:eastAsiaTheme="minorEastAsia"/>
          <w:color w:val="auto"/>
          <w:sz w:val="21"/>
          <w:szCs w:val="21"/>
          <w:highlight w:val="none"/>
        </w:rPr>
        <w:t>1</w:t>
      </w:r>
      <w:r>
        <w:rPr>
          <w:rFonts w:hint="eastAsia" w:asciiTheme="minorEastAsia" w:hAnsiTheme="minorEastAsia" w:eastAsiaTheme="minorEastAsia"/>
          <w:color w:val="auto"/>
          <w:sz w:val="21"/>
          <w:szCs w:val="21"/>
          <w:highlight w:val="none"/>
        </w:rPr>
        <w:t>.</w:t>
      </w:r>
      <w:r>
        <w:rPr>
          <w:rFonts w:asciiTheme="minorEastAsia" w:hAnsiTheme="minorEastAsia" w:eastAsiaTheme="minorEastAsia"/>
          <w:color w:val="auto"/>
          <w:sz w:val="21"/>
          <w:szCs w:val="21"/>
          <w:highlight w:val="none"/>
        </w:rPr>
        <w:t>自投标截止日起</w:t>
      </w:r>
      <w:r>
        <w:rPr>
          <w:rFonts w:hint="eastAsia" w:asciiTheme="minorEastAsia" w:hAnsiTheme="minorEastAsia" w:eastAsiaTheme="minorEastAsia"/>
          <w:color w:val="auto"/>
          <w:sz w:val="21"/>
          <w:szCs w:val="21"/>
          <w:highlight w:val="none"/>
          <w:u w:val="single"/>
        </w:rPr>
        <w:t>90</w:t>
      </w:r>
      <w:r>
        <w:rPr>
          <w:rFonts w:asciiTheme="minorEastAsia" w:hAnsiTheme="minorEastAsia" w:eastAsiaTheme="minorEastAsia"/>
          <w:color w:val="auto"/>
          <w:sz w:val="21"/>
          <w:szCs w:val="21"/>
          <w:highlight w:val="none"/>
        </w:rPr>
        <w:t>天投标</w:t>
      </w:r>
      <w:r>
        <w:rPr>
          <w:rFonts w:hint="eastAsia" w:asciiTheme="minorEastAsia" w:hAnsiTheme="minorEastAsia" w:eastAsiaTheme="minorEastAsia"/>
          <w:color w:val="auto"/>
          <w:sz w:val="21"/>
          <w:szCs w:val="21"/>
          <w:highlight w:val="none"/>
        </w:rPr>
        <w:t>文件</w:t>
      </w:r>
      <w:r>
        <w:rPr>
          <w:rFonts w:asciiTheme="minorEastAsia" w:hAnsiTheme="minorEastAsia" w:eastAsiaTheme="minorEastAsia"/>
          <w:color w:val="auto"/>
          <w:sz w:val="21"/>
          <w:szCs w:val="21"/>
          <w:highlight w:val="none"/>
        </w:rPr>
        <w:t>应保持有效。有效期</w:t>
      </w:r>
      <w:r>
        <w:rPr>
          <w:rFonts w:hint="eastAsia" w:asciiTheme="minorEastAsia" w:hAnsiTheme="minorEastAsia" w:eastAsiaTheme="minorEastAsia"/>
          <w:color w:val="auto"/>
          <w:sz w:val="21"/>
          <w:szCs w:val="21"/>
          <w:highlight w:val="none"/>
        </w:rPr>
        <w:t>不足</w:t>
      </w:r>
      <w:r>
        <w:rPr>
          <w:rFonts w:asciiTheme="minorEastAsia" w:hAnsiTheme="minorEastAsia" w:eastAsiaTheme="minorEastAsia"/>
          <w:color w:val="auto"/>
          <w:sz w:val="21"/>
          <w:szCs w:val="21"/>
          <w:highlight w:val="none"/>
        </w:rPr>
        <w:t>的投标</w:t>
      </w:r>
      <w:r>
        <w:rPr>
          <w:rFonts w:hint="eastAsia" w:asciiTheme="minorEastAsia" w:hAnsiTheme="minorEastAsia" w:eastAsiaTheme="minorEastAsia"/>
          <w:color w:val="auto"/>
          <w:sz w:val="21"/>
          <w:szCs w:val="21"/>
          <w:highlight w:val="none"/>
        </w:rPr>
        <w:t>文件</w:t>
      </w:r>
      <w:r>
        <w:rPr>
          <w:rFonts w:asciiTheme="minorEastAsia" w:hAnsiTheme="minorEastAsia" w:eastAsiaTheme="minorEastAsia"/>
          <w:color w:val="auto"/>
          <w:sz w:val="21"/>
          <w:szCs w:val="21"/>
          <w:highlight w:val="none"/>
        </w:rPr>
        <w:t>将被拒绝。</w:t>
      </w:r>
    </w:p>
    <w:p>
      <w:pPr>
        <w:pStyle w:val="17"/>
        <w:widowControl w:val="0"/>
        <w:tabs>
          <w:tab w:val="clear" w:pos="454"/>
        </w:tabs>
        <w:snapToGrid w:val="0"/>
        <w:spacing w:afterLines="0" w:line="360" w:lineRule="auto"/>
        <w:ind w:left="0" w:firstLine="420" w:firstLineChars="200"/>
        <w:rPr>
          <w:rFonts w:asciiTheme="minorEastAsia" w:hAnsiTheme="minorEastAsia" w:eastAsiaTheme="minorEastAsia"/>
          <w:color w:val="auto"/>
          <w:sz w:val="21"/>
          <w:szCs w:val="21"/>
          <w:highlight w:val="none"/>
        </w:rPr>
      </w:pPr>
      <w:r>
        <w:rPr>
          <w:rFonts w:asciiTheme="minorEastAsia" w:hAnsiTheme="minorEastAsia" w:eastAsiaTheme="minorEastAsia"/>
          <w:color w:val="auto"/>
          <w:sz w:val="21"/>
          <w:szCs w:val="21"/>
          <w:highlight w:val="none"/>
        </w:rPr>
        <w:t>2</w:t>
      </w:r>
      <w:r>
        <w:rPr>
          <w:rFonts w:hint="eastAsia" w:asciiTheme="minorEastAsia" w:hAnsiTheme="minorEastAsia" w:eastAsiaTheme="minorEastAsia"/>
          <w:color w:val="auto"/>
          <w:sz w:val="21"/>
          <w:szCs w:val="21"/>
          <w:highlight w:val="none"/>
        </w:rPr>
        <w:t>.</w:t>
      </w:r>
      <w:r>
        <w:rPr>
          <w:rFonts w:asciiTheme="minorEastAsia" w:hAnsiTheme="minorEastAsia" w:eastAsiaTheme="minorEastAsia"/>
          <w:color w:val="auto"/>
          <w:sz w:val="21"/>
          <w:szCs w:val="21"/>
          <w:highlight w:val="none"/>
        </w:rPr>
        <w:t>在特殊情况下，招标人可与供应商协商延长投标书的有效期，这种要求和答复均以书面形式进行。</w:t>
      </w:r>
    </w:p>
    <w:p>
      <w:pPr>
        <w:snapToGrid w:val="0"/>
        <w:spacing w:line="360" w:lineRule="auto"/>
        <w:ind w:firstLine="420" w:firstLineChars="200"/>
        <w:jc w:val="left"/>
        <w:outlineLvl w:val="0"/>
        <w:rPr>
          <w:rFonts w:asciiTheme="minorEastAsia" w:hAnsiTheme="minorEastAsia" w:eastAsiaTheme="minorEastAsia"/>
          <w:b/>
          <w:color w:val="auto"/>
          <w:szCs w:val="21"/>
          <w:highlight w:val="none"/>
        </w:rPr>
      </w:pPr>
      <w:bookmarkStart w:id="87" w:name="_Toc385854148"/>
      <w:bookmarkStart w:id="88" w:name="_Toc402963119"/>
      <w:bookmarkStart w:id="89" w:name="_Toc402963086"/>
      <w:bookmarkStart w:id="90" w:name="_Toc385854102"/>
      <w:bookmarkStart w:id="91" w:name="_Toc406402948"/>
      <w:bookmarkStart w:id="92" w:name="_Toc406402992"/>
      <w:bookmarkStart w:id="93" w:name="_Toc16383"/>
      <w:r>
        <w:rPr>
          <w:rFonts w:asciiTheme="minorEastAsia" w:hAnsiTheme="minorEastAsia" w:eastAsiaTheme="minorEastAsia"/>
          <w:color w:val="auto"/>
          <w:szCs w:val="21"/>
          <w:highlight w:val="none"/>
        </w:rPr>
        <w:t>3</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供应商可拒绝接受延期要求。同意延长有效期的供应商不能修改投标文件。</w:t>
      </w:r>
      <w:bookmarkEnd w:id="87"/>
      <w:bookmarkEnd w:id="88"/>
      <w:bookmarkEnd w:id="89"/>
      <w:bookmarkEnd w:id="90"/>
      <w:bookmarkEnd w:id="91"/>
      <w:bookmarkEnd w:id="92"/>
      <w:bookmarkEnd w:id="93"/>
    </w:p>
    <w:p>
      <w:pPr>
        <w:snapToGrid w:val="0"/>
        <w:spacing w:line="360" w:lineRule="auto"/>
        <w:ind w:firstLine="420" w:firstLineChars="200"/>
        <w:jc w:val="left"/>
        <w:outlineLvl w:val="0"/>
        <w:rPr>
          <w:rFonts w:asciiTheme="minorEastAsia" w:hAnsiTheme="minorEastAsia" w:eastAsiaTheme="minorEastAsia"/>
          <w:b/>
          <w:color w:val="auto"/>
          <w:szCs w:val="21"/>
          <w:highlight w:val="none"/>
        </w:rPr>
      </w:pPr>
      <w:bookmarkStart w:id="94" w:name="_Toc3664"/>
      <w:bookmarkStart w:id="95" w:name="_Toc402963087"/>
      <w:bookmarkStart w:id="96" w:name="_Toc385854149"/>
      <w:bookmarkStart w:id="97" w:name="_Toc385854103"/>
      <w:bookmarkStart w:id="98" w:name="_Toc402963120"/>
      <w:bookmarkStart w:id="99" w:name="_Toc406402993"/>
      <w:bookmarkStart w:id="100" w:name="_Toc406402949"/>
      <w:r>
        <w:rPr>
          <w:rFonts w:asciiTheme="minorEastAsia" w:hAnsiTheme="minorEastAsia" w:eastAsiaTheme="minorEastAsia"/>
          <w:color w:val="auto"/>
          <w:szCs w:val="21"/>
          <w:highlight w:val="none"/>
        </w:rPr>
        <w:t>4</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中标人的投标文件自开标之日起至合同履行完毕止均应保持有效。</w:t>
      </w:r>
      <w:bookmarkEnd w:id="94"/>
      <w:bookmarkEnd w:id="95"/>
      <w:bookmarkEnd w:id="96"/>
      <w:bookmarkEnd w:id="97"/>
      <w:bookmarkEnd w:id="98"/>
      <w:bookmarkEnd w:id="99"/>
      <w:bookmarkEnd w:id="100"/>
    </w:p>
    <w:p>
      <w:pPr>
        <w:snapToGrid w:val="0"/>
        <w:spacing w:beforeLines="50" w:line="360" w:lineRule="auto"/>
        <w:ind w:firstLine="413" w:firstLineChars="196"/>
        <w:jc w:val="left"/>
        <w:outlineLvl w:val="0"/>
        <w:rPr>
          <w:rFonts w:asciiTheme="minorEastAsia" w:hAnsiTheme="minorEastAsia" w:eastAsiaTheme="minorEastAsia"/>
          <w:b/>
          <w:color w:val="auto"/>
          <w:szCs w:val="21"/>
          <w:highlight w:val="none"/>
        </w:rPr>
      </w:pPr>
      <w:bookmarkStart w:id="101" w:name="_Toc22564"/>
      <w:bookmarkStart w:id="102" w:name="_Toc385854105"/>
      <w:bookmarkStart w:id="103" w:name="_Toc385854151"/>
      <w:bookmarkStart w:id="104" w:name="_Toc406402951"/>
      <w:bookmarkStart w:id="105" w:name="_Toc402963089"/>
      <w:bookmarkStart w:id="106" w:name="_Toc406402995"/>
      <w:bookmarkStart w:id="107" w:name="_Toc402963122"/>
      <w:r>
        <w:rPr>
          <w:rFonts w:hint="eastAsia" w:asciiTheme="minorEastAsia" w:hAnsiTheme="minorEastAsia" w:eastAsiaTheme="minorEastAsia"/>
          <w:b/>
          <w:color w:val="auto"/>
          <w:szCs w:val="21"/>
          <w:highlight w:val="none"/>
        </w:rPr>
        <w:t>（五）投标文件的签署和份数</w:t>
      </w:r>
      <w:bookmarkEnd w:id="101"/>
      <w:bookmarkEnd w:id="102"/>
      <w:bookmarkEnd w:id="103"/>
      <w:bookmarkEnd w:id="104"/>
      <w:bookmarkEnd w:id="105"/>
      <w:bookmarkEnd w:id="106"/>
      <w:bookmarkEnd w:id="107"/>
    </w:p>
    <w:p>
      <w:pPr>
        <w:snapToGrid w:val="0"/>
        <w:spacing w:beforeLines="50" w:line="360" w:lineRule="auto"/>
        <w:ind w:firstLine="411" w:firstLineChars="196"/>
        <w:jc w:val="left"/>
        <w:outlineLvl w:val="0"/>
        <w:rPr>
          <w:rFonts w:asciiTheme="minorEastAsia" w:hAnsiTheme="minorEastAsia" w:eastAsiaTheme="minorEastAsia"/>
          <w:color w:val="auto"/>
          <w:szCs w:val="21"/>
          <w:highlight w:val="none"/>
        </w:rPr>
      </w:pPr>
      <w:bookmarkStart w:id="108" w:name="_Toc19133"/>
      <w:r>
        <w:rPr>
          <w:rFonts w:hint="eastAsia" w:asciiTheme="minorEastAsia" w:hAnsiTheme="minorEastAsia" w:eastAsiaTheme="minorEastAsia"/>
          <w:color w:val="auto"/>
          <w:szCs w:val="21"/>
          <w:highlight w:val="none"/>
        </w:rPr>
        <w:t>电子投标文件按政采云平台供应商电子招投标操作指南（网址：https://help.zcygov.cn/web/site_2/2018/12-28/2573.html）及本招标文件规定的格式和顺序编制电子投标文件并进行关联定位。</w:t>
      </w:r>
      <w:bookmarkEnd w:id="108"/>
    </w:p>
    <w:p>
      <w:pPr>
        <w:snapToGrid w:val="0"/>
        <w:spacing w:line="360" w:lineRule="auto"/>
        <w:ind w:firstLine="413" w:firstLineChars="196"/>
        <w:outlineLvl w:val="2"/>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（六）投标无效的情形</w:t>
      </w:r>
    </w:p>
    <w:p>
      <w:pPr>
        <w:snapToGrid w:val="0"/>
        <w:spacing w:line="360" w:lineRule="auto"/>
        <w:ind w:firstLine="420" w:firstLineChars="200"/>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实质上没有响应招标文件要求的投标将被视为无效投标。供应商修改、补正投标文件后，不影响评标委员会对其投标文件所作的评价和评分结果。</w:t>
      </w:r>
    </w:p>
    <w:p>
      <w:pPr>
        <w:snapToGrid w:val="0"/>
        <w:spacing w:line="360" w:lineRule="auto"/>
        <w:ind w:firstLine="413" w:firstLineChars="196"/>
        <w:rPr>
          <w:rFonts w:asciiTheme="minorEastAsia" w:hAnsiTheme="minorEastAsia" w:eastAsiaTheme="minorEastAsia"/>
          <w:b/>
          <w:color w:val="auto"/>
          <w:szCs w:val="21"/>
          <w:highlight w:val="none"/>
        </w:rPr>
      </w:pPr>
      <w:r>
        <w:rPr>
          <w:rFonts w:asciiTheme="minorEastAsia" w:hAnsiTheme="minorEastAsia" w:eastAsiaTheme="minorEastAsia"/>
          <w:b/>
          <w:color w:val="auto"/>
          <w:szCs w:val="21"/>
          <w:highlight w:val="none"/>
        </w:rPr>
        <w:t>1</w:t>
      </w:r>
      <w:r>
        <w:rPr>
          <w:rFonts w:hint="eastAsia" w:asciiTheme="minorEastAsia" w:hAnsiTheme="minorEastAsia" w:eastAsiaTheme="minorEastAsia"/>
          <w:b/>
          <w:color w:val="auto"/>
          <w:szCs w:val="21"/>
          <w:highlight w:val="none"/>
        </w:rPr>
        <w:t>.</w:t>
      </w:r>
      <w:r>
        <w:rPr>
          <w:rFonts w:asciiTheme="minorEastAsia" w:hAnsiTheme="minorEastAsia" w:eastAsiaTheme="minorEastAsia"/>
          <w:b/>
          <w:color w:val="auto"/>
          <w:szCs w:val="21"/>
          <w:highlight w:val="none"/>
        </w:rPr>
        <w:t>电子投标文件解密失败的，且未在规定时间内提交</w:t>
      </w:r>
      <w:r>
        <w:rPr>
          <w:rFonts w:hint="eastAsia" w:asciiTheme="minorEastAsia" w:hAnsiTheme="minorEastAsia" w:eastAsiaTheme="minorEastAsia"/>
          <w:b/>
          <w:color w:val="auto"/>
          <w:szCs w:val="21"/>
          <w:highlight w:val="none"/>
        </w:rPr>
        <w:t>有效</w:t>
      </w:r>
      <w:r>
        <w:rPr>
          <w:rFonts w:asciiTheme="minorEastAsia" w:hAnsiTheme="minorEastAsia" w:eastAsiaTheme="minorEastAsia"/>
          <w:b/>
          <w:color w:val="auto"/>
          <w:szCs w:val="21"/>
          <w:highlight w:val="none"/>
        </w:rPr>
        <w:t>备份投标文件的</w:t>
      </w:r>
      <w:r>
        <w:rPr>
          <w:rFonts w:hint="eastAsia" w:asciiTheme="minorEastAsia" w:hAnsiTheme="minorEastAsia" w:eastAsiaTheme="minorEastAsia"/>
          <w:b/>
          <w:color w:val="auto"/>
          <w:szCs w:val="21"/>
          <w:highlight w:val="none"/>
        </w:rPr>
        <w:t>。</w:t>
      </w:r>
    </w:p>
    <w:p>
      <w:pPr>
        <w:snapToGrid w:val="0"/>
        <w:spacing w:line="360" w:lineRule="auto"/>
        <w:ind w:firstLine="413" w:firstLineChars="196"/>
        <w:rPr>
          <w:rFonts w:asciiTheme="minorEastAsia" w:hAnsiTheme="minorEastAsia" w:eastAsiaTheme="minorEastAsia"/>
          <w:b/>
          <w:color w:val="auto"/>
          <w:szCs w:val="21"/>
          <w:highlight w:val="none"/>
        </w:rPr>
      </w:pPr>
      <w:r>
        <w:rPr>
          <w:rFonts w:asciiTheme="minorEastAsia" w:hAnsiTheme="minorEastAsia" w:eastAsiaTheme="minorEastAsia"/>
          <w:b/>
          <w:color w:val="auto"/>
          <w:szCs w:val="21"/>
          <w:highlight w:val="none"/>
        </w:rPr>
        <w:t>2.</w:t>
      </w:r>
      <w:r>
        <w:rPr>
          <w:rFonts w:hint="eastAsia" w:asciiTheme="minorEastAsia" w:hAnsiTheme="minorEastAsia" w:eastAsiaTheme="minorEastAsia"/>
          <w:b/>
          <w:color w:val="auto"/>
          <w:szCs w:val="21"/>
          <w:highlight w:val="none"/>
        </w:rPr>
        <w:t>没有通过资格审查的，</w:t>
      </w:r>
      <w:r>
        <w:rPr>
          <w:rFonts w:asciiTheme="minorEastAsia" w:hAnsiTheme="minorEastAsia" w:eastAsiaTheme="minorEastAsia"/>
          <w:b/>
          <w:color w:val="auto"/>
          <w:szCs w:val="21"/>
          <w:highlight w:val="none"/>
        </w:rPr>
        <w:t>投标文件将被视为无效。</w:t>
      </w:r>
    </w:p>
    <w:p>
      <w:pPr>
        <w:snapToGrid w:val="0"/>
        <w:spacing w:line="360" w:lineRule="auto"/>
        <w:ind w:firstLine="413" w:firstLineChars="196"/>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3.</w:t>
      </w:r>
      <w:r>
        <w:rPr>
          <w:rFonts w:asciiTheme="minorEastAsia" w:hAnsiTheme="minorEastAsia" w:eastAsiaTheme="minorEastAsia"/>
          <w:b/>
          <w:color w:val="auto"/>
          <w:szCs w:val="21"/>
          <w:highlight w:val="none"/>
        </w:rPr>
        <w:t>在符合性审查和商务评审时，如发现下列情形之一的，投标文件将被视为无效：</w:t>
      </w:r>
    </w:p>
    <w:p>
      <w:pPr>
        <w:snapToGrid w:val="0"/>
        <w:spacing w:line="360" w:lineRule="auto"/>
        <w:ind w:firstLine="411" w:firstLineChars="196"/>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（1</w:t>
      </w:r>
      <w:r>
        <w:rPr>
          <w:rFonts w:asciiTheme="minorEastAsia" w:hAnsiTheme="minorEastAsia" w:eastAsiaTheme="minorEastAsia"/>
          <w:bCs/>
          <w:color w:val="auto"/>
          <w:szCs w:val="21"/>
          <w:highlight w:val="none"/>
        </w:rPr>
        <w:t>）电子投标文件未按规定要求提供电子签章的</w:t>
      </w:r>
      <w:r>
        <w:rPr>
          <w:rFonts w:hint="eastAsia" w:asciiTheme="minorEastAsia" w:hAnsiTheme="minorEastAsia" w:eastAsiaTheme="minorEastAsia"/>
          <w:bCs/>
          <w:color w:val="auto"/>
          <w:szCs w:val="21"/>
          <w:highlight w:val="none"/>
        </w:rPr>
        <w:t>；</w:t>
      </w:r>
    </w:p>
    <w:p>
      <w:pPr>
        <w:snapToGrid w:val="0"/>
        <w:spacing w:line="360" w:lineRule="auto"/>
        <w:ind w:firstLine="411" w:firstLineChars="196"/>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（2）在资信商务技术文件中出现报价的；</w:t>
      </w:r>
    </w:p>
    <w:p>
      <w:pPr>
        <w:snapToGrid w:val="0"/>
        <w:spacing w:line="360" w:lineRule="auto"/>
        <w:ind w:firstLine="411" w:firstLineChars="196"/>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（3）</w:t>
      </w:r>
      <w:r>
        <w:rPr>
          <w:rFonts w:asciiTheme="minorEastAsia" w:hAnsiTheme="minorEastAsia" w:eastAsiaTheme="minorEastAsia"/>
          <w:bCs/>
          <w:color w:val="auto"/>
          <w:szCs w:val="21"/>
          <w:highlight w:val="none"/>
        </w:rPr>
        <w:t>资格证明文件不全的，或者不符合招标文件标明的资格要求的</w:t>
      </w:r>
      <w:r>
        <w:rPr>
          <w:rFonts w:hint="eastAsia" w:asciiTheme="minorEastAsia" w:hAnsiTheme="minorEastAsia" w:eastAsiaTheme="minorEastAsia"/>
          <w:bCs/>
          <w:color w:val="auto"/>
          <w:szCs w:val="21"/>
          <w:highlight w:val="none"/>
        </w:rPr>
        <w:t>；</w:t>
      </w:r>
    </w:p>
    <w:p>
      <w:pPr>
        <w:snapToGrid w:val="0"/>
        <w:spacing w:line="360" w:lineRule="auto"/>
        <w:ind w:firstLine="411" w:firstLineChars="196"/>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（4</w:t>
      </w:r>
      <w:r>
        <w:rPr>
          <w:rFonts w:asciiTheme="minorEastAsia" w:hAnsiTheme="minorEastAsia" w:eastAsiaTheme="minorEastAsia"/>
          <w:bCs/>
          <w:color w:val="auto"/>
          <w:szCs w:val="21"/>
          <w:highlight w:val="none"/>
        </w:rPr>
        <w:t>）投标文件无法定代表人签字</w:t>
      </w:r>
      <w:r>
        <w:rPr>
          <w:rFonts w:hint="eastAsia" w:asciiTheme="minorEastAsia" w:hAnsiTheme="minorEastAsia" w:eastAsiaTheme="minorEastAsia"/>
          <w:bCs/>
          <w:color w:val="auto"/>
          <w:szCs w:val="21"/>
          <w:highlight w:val="none"/>
        </w:rPr>
        <w:t>（或盖章）</w:t>
      </w:r>
      <w:r>
        <w:rPr>
          <w:rFonts w:asciiTheme="minorEastAsia" w:hAnsiTheme="minorEastAsia" w:eastAsiaTheme="minorEastAsia"/>
          <w:bCs/>
          <w:color w:val="auto"/>
          <w:szCs w:val="21"/>
          <w:highlight w:val="none"/>
        </w:rPr>
        <w:t>,或未</w:t>
      </w:r>
      <w:r>
        <w:rPr>
          <w:rFonts w:hint="eastAsia" w:asciiTheme="minorEastAsia" w:hAnsiTheme="minorEastAsia" w:eastAsiaTheme="minorEastAsia"/>
          <w:bCs/>
          <w:color w:val="auto"/>
          <w:szCs w:val="21"/>
          <w:highlight w:val="none"/>
        </w:rPr>
        <w:t>提供法定代表人授权委托书、投标声明书或者填写项目不齐全的；</w:t>
      </w:r>
    </w:p>
    <w:p>
      <w:pPr>
        <w:snapToGrid w:val="0"/>
        <w:spacing w:line="360" w:lineRule="auto"/>
        <w:ind w:firstLine="411" w:firstLineChars="196"/>
        <w:rPr>
          <w:rFonts w:asciiTheme="minorEastAsia" w:hAnsiTheme="minorEastAsia" w:eastAsiaTheme="minorEastAsia"/>
          <w:bCs/>
          <w:color w:val="auto"/>
          <w:szCs w:val="21"/>
          <w:highlight w:val="none"/>
        </w:rPr>
      </w:pPr>
      <w:r>
        <w:rPr>
          <w:rFonts w:asciiTheme="minorEastAsia" w:hAnsiTheme="minorEastAsia" w:eastAsiaTheme="minorEastAsia"/>
          <w:bCs/>
          <w:color w:val="auto"/>
          <w:szCs w:val="21"/>
          <w:highlight w:val="none"/>
        </w:rPr>
        <w:t>（</w:t>
      </w:r>
      <w:r>
        <w:rPr>
          <w:rFonts w:hint="eastAsia" w:asciiTheme="minorEastAsia" w:hAnsiTheme="minorEastAsia" w:eastAsiaTheme="minorEastAsia"/>
          <w:bCs/>
          <w:color w:val="auto"/>
          <w:szCs w:val="21"/>
          <w:highlight w:val="none"/>
        </w:rPr>
        <w:t>5</w:t>
      </w:r>
      <w:r>
        <w:rPr>
          <w:rFonts w:asciiTheme="minorEastAsia" w:hAnsiTheme="minorEastAsia" w:eastAsiaTheme="minorEastAsia"/>
          <w:bCs/>
          <w:color w:val="auto"/>
          <w:szCs w:val="21"/>
          <w:highlight w:val="none"/>
        </w:rPr>
        <w:t>）</w:t>
      </w:r>
      <w:r>
        <w:rPr>
          <w:rFonts w:hint="eastAsia" w:asciiTheme="minorEastAsia" w:hAnsiTheme="minorEastAsia" w:eastAsiaTheme="minorEastAsia"/>
          <w:bCs/>
          <w:color w:val="auto"/>
          <w:szCs w:val="21"/>
          <w:highlight w:val="none"/>
        </w:rPr>
        <w:t>投标代表人未能出具身份证明或与法定代表人授权委托人身份不符的；</w:t>
      </w:r>
    </w:p>
    <w:p>
      <w:pPr>
        <w:snapToGrid w:val="0"/>
        <w:spacing w:line="360" w:lineRule="auto"/>
        <w:ind w:firstLine="411" w:firstLineChars="196"/>
        <w:rPr>
          <w:rFonts w:asciiTheme="minorEastAsia" w:hAnsiTheme="minorEastAsia" w:eastAsiaTheme="minorEastAsia"/>
          <w:bCs/>
          <w:color w:val="auto"/>
          <w:szCs w:val="21"/>
          <w:highlight w:val="none"/>
        </w:rPr>
      </w:pPr>
      <w:r>
        <w:rPr>
          <w:rFonts w:asciiTheme="minorEastAsia" w:hAnsiTheme="minorEastAsia" w:eastAsiaTheme="minorEastAsia"/>
          <w:bCs/>
          <w:color w:val="auto"/>
          <w:szCs w:val="21"/>
          <w:highlight w:val="none"/>
        </w:rPr>
        <w:t>（</w:t>
      </w:r>
      <w:r>
        <w:rPr>
          <w:rFonts w:hint="eastAsia" w:asciiTheme="minorEastAsia" w:hAnsiTheme="minorEastAsia" w:eastAsiaTheme="minorEastAsia"/>
          <w:bCs/>
          <w:color w:val="auto"/>
          <w:szCs w:val="21"/>
          <w:highlight w:val="none"/>
        </w:rPr>
        <w:t>6</w:t>
      </w:r>
      <w:r>
        <w:rPr>
          <w:rFonts w:asciiTheme="minorEastAsia" w:hAnsiTheme="minorEastAsia" w:eastAsiaTheme="minorEastAsia"/>
          <w:bCs/>
          <w:color w:val="auto"/>
          <w:szCs w:val="21"/>
          <w:highlight w:val="none"/>
        </w:rPr>
        <w:t>）投标文件格式不规范、项目不齐全或者内容虚假的；</w:t>
      </w:r>
    </w:p>
    <w:p>
      <w:pPr>
        <w:snapToGrid w:val="0"/>
        <w:spacing w:line="360" w:lineRule="auto"/>
        <w:ind w:firstLine="411" w:firstLineChars="196"/>
        <w:rPr>
          <w:rFonts w:asciiTheme="minorEastAsia" w:hAnsiTheme="minorEastAsia" w:eastAsiaTheme="minorEastAsia"/>
          <w:bCs/>
          <w:color w:val="auto"/>
          <w:szCs w:val="21"/>
          <w:highlight w:val="none"/>
        </w:rPr>
      </w:pPr>
      <w:r>
        <w:rPr>
          <w:rFonts w:asciiTheme="minorEastAsia" w:hAnsiTheme="minorEastAsia" w:eastAsiaTheme="minorEastAsia"/>
          <w:bCs/>
          <w:color w:val="auto"/>
          <w:szCs w:val="21"/>
          <w:highlight w:val="none"/>
        </w:rPr>
        <w:t>（</w:t>
      </w:r>
      <w:r>
        <w:rPr>
          <w:rFonts w:hint="eastAsia" w:asciiTheme="minorEastAsia" w:hAnsiTheme="minorEastAsia" w:eastAsiaTheme="minorEastAsia"/>
          <w:bCs/>
          <w:color w:val="auto"/>
          <w:szCs w:val="21"/>
          <w:highlight w:val="none"/>
        </w:rPr>
        <w:t>7</w:t>
      </w:r>
      <w:r>
        <w:rPr>
          <w:rFonts w:asciiTheme="minorEastAsia" w:hAnsiTheme="minorEastAsia" w:eastAsiaTheme="minorEastAsia"/>
          <w:bCs/>
          <w:color w:val="auto"/>
          <w:szCs w:val="21"/>
          <w:highlight w:val="none"/>
        </w:rPr>
        <w:t>）投标文件的实质性内容未使用中文表述、意思表述不明确、前后矛盾或者使用计量单位不符合招标文件要求的（经评标委员会认定</w:t>
      </w:r>
      <w:r>
        <w:rPr>
          <w:rFonts w:hint="eastAsia" w:asciiTheme="minorEastAsia" w:hAnsiTheme="minorEastAsia" w:eastAsiaTheme="minorEastAsia"/>
          <w:bCs/>
          <w:color w:val="auto"/>
          <w:szCs w:val="21"/>
          <w:highlight w:val="none"/>
        </w:rPr>
        <w:t>并</w:t>
      </w:r>
      <w:r>
        <w:rPr>
          <w:rFonts w:asciiTheme="minorEastAsia" w:hAnsiTheme="minorEastAsia" w:eastAsiaTheme="minorEastAsia"/>
          <w:bCs/>
          <w:color w:val="auto"/>
          <w:szCs w:val="21"/>
          <w:highlight w:val="none"/>
        </w:rPr>
        <w:t>允许其当场更正的笔误除外）</w:t>
      </w:r>
      <w:r>
        <w:rPr>
          <w:rFonts w:hint="eastAsia" w:asciiTheme="minorEastAsia" w:hAnsiTheme="minorEastAsia" w:eastAsiaTheme="minorEastAsia"/>
          <w:bCs/>
          <w:color w:val="auto"/>
          <w:szCs w:val="21"/>
          <w:highlight w:val="none"/>
        </w:rPr>
        <w:t>；</w:t>
      </w:r>
    </w:p>
    <w:p>
      <w:pPr>
        <w:snapToGrid w:val="0"/>
        <w:spacing w:line="360" w:lineRule="auto"/>
        <w:ind w:firstLine="411" w:firstLineChars="196"/>
        <w:rPr>
          <w:rFonts w:asciiTheme="minorEastAsia" w:hAnsiTheme="minorEastAsia" w:eastAsiaTheme="minorEastAsia"/>
          <w:bCs/>
          <w:color w:val="auto"/>
          <w:szCs w:val="21"/>
          <w:highlight w:val="none"/>
        </w:rPr>
      </w:pPr>
      <w:r>
        <w:rPr>
          <w:rFonts w:asciiTheme="minorEastAsia" w:hAnsiTheme="minorEastAsia" w:eastAsiaTheme="minorEastAsia"/>
          <w:bCs/>
          <w:color w:val="auto"/>
          <w:szCs w:val="21"/>
          <w:highlight w:val="none"/>
        </w:rPr>
        <w:t>（</w:t>
      </w:r>
      <w:r>
        <w:rPr>
          <w:rFonts w:hint="eastAsia" w:asciiTheme="minorEastAsia" w:hAnsiTheme="minorEastAsia" w:eastAsiaTheme="minorEastAsia"/>
          <w:bCs/>
          <w:color w:val="auto"/>
          <w:szCs w:val="21"/>
          <w:highlight w:val="none"/>
        </w:rPr>
        <w:t>8</w:t>
      </w:r>
      <w:r>
        <w:rPr>
          <w:rFonts w:asciiTheme="minorEastAsia" w:hAnsiTheme="minorEastAsia" w:eastAsiaTheme="minorEastAsia"/>
          <w:bCs/>
          <w:color w:val="auto"/>
          <w:szCs w:val="21"/>
          <w:highlight w:val="none"/>
        </w:rPr>
        <w:t>）投标有效期、交货时间、质保期等商务条款不能满足招标文件要求的；</w:t>
      </w:r>
    </w:p>
    <w:p>
      <w:pPr>
        <w:snapToGrid w:val="0"/>
        <w:spacing w:line="360" w:lineRule="auto"/>
        <w:ind w:firstLine="411" w:firstLineChars="196"/>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（9）未实质性</w:t>
      </w:r>
      <w:r>
        <w:rPr>
          <w:rFonts w:asciiTheme="minorEastAsia" w:hAnsiTheme="minorEastAsia" w:eastAsiaTheme="minorEastAsia"/>
          <w:bCs/>
          <w:color w:val="auto"/>
          <w:szCs w:val="21"/>
          <w:highlight w:val="none"/>
        </w:rPr>
        <w:t>响应招标文件要求或者投标文件有招标方不能接受的附加条件的</w:t>
      </w:r>
      <w:r>
        <w:rPr>
          <w:rFonts w:hint="eastAsia" w:asciiTheme="minorEastAsia" w:hAnsiTheme="minorEastAsia" w:eastAsiaTheme="minorEastAsia"/>
          <w:bCs/>
          <w:color w:val="auto"/>
          <w:szCs w:val="21"/>
          <w:highlight w:val="none"/>
        </w:rPr>
        <w:t>；</w:t>
      </w:r>
    </w:p>
    <w:p>
      <w:pPr>
        <w:snapToGrid w:val="0"/>
        <w:spacing w:line="360" w:lineRule="auto"/>
        <w:ind w:firstLine="411" w:firstLineChars="196"/>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（10）不符合本招标文件中的实质性要求条款。</w:t>
      </w:r>
    </w:p>
    <w:p>
      <w:pPr>
        <w:snapToGrid w:val="0"/>
        <w:spacing w:line="360" w:lineRule="auto"/>
        <w:ind w:firstLine="413" w:firstLineChars="196"/>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4.</w:t>
      </w:r>
      <w:r>
        <w:rPr>
          <w:rFonts w:asciiTheme="minorEastAsia" w:hAnsiTheme="minorEastAsia" w:eastAsiaTheme="minorEastAsia"/>
          <w:b/>
          <w:color w:val="auto"/>
          <w:szCs w:val="21"/>
          <w:highlight w:val="none"/>
        </w:rPr>
        <w:t>在技术评审时，如发现下列情形之一的，投标文件将被视为无效：</w:t>
      </w:r>
    </w:p>
    <w:p>
      <w:pPr>
        <w:snapToGrid w:val="0"/>
        <w:spacing w:line="360" w:lineRule="auto"/>
        <w:ind w:firstLine="411" w:firstLineChars="196"/>
        <w:rPr>
          <w:rFonts w:asciiTheme="minorEastAsia" w:hAnsiTheme="minorEastAsia" w:eastAsiaTheme="minorEastAsia"/>
          <w:bCs/>
          <w:color w:val="auto"/>
          <w:szCs w:val="21"/>
          <w:highlight w:val="none"/>
        </w:rPr>
      </w:pPr>
      <w:r>
        <w:rPr>
          <w:rFonts w:asciiTheme="minorEastAsia" w:hAnsiTheme="minorEastAsia" w:eastAsiaTheme="minorEastAsia"/>
          <w:bCs/>
          <w:color w:val="auto"/>
          <w:szCs w:val="21"/>
          <w:highlight w:val="none"/>
        </w:rPr>
        <w:t>（1）未提供或未如实提供投标货物的技术参数，或者投标文件标明的响应或偏离与事实不符或虚假投标的；</w:t>
      </w:r>
    </w:p>
    <w:p>
      <w:pPr>
        <w:snapToGrid w:val="0"/>
        <w:spacing w:line="360" w:lineRule="auto"/>
        <w:ind w:firstLine="411" w:firstLineChars="196"/>
        <w:rPr>
          <w:rFonts w:asciiTheme="minorEastAsia" w:hAnsiTheme="minorEastAsia" w:eastAsiaTheme="minorEastAsia"/>
          <w:bCs/>
          <w:color w:val="auto"/>
          <w:szCs w:val="21"/>
          <w:highlight w:val="none"/>
        </w:rPr>
      </w:pPr>
      <w:r>
        <w:rPr>
          <w:rFonts w:asciiTheme="minorEastAsia" w:hAnsiTheme="minorEastAsia" w:eastAsiaTheme="minorEastAsia"/>
          <w:bCs/>
          <w:color w:val="auto"/>
          <w:szCs w:val="21"/>
          <w:highlight w:val="none"/>
        </w:rPr>
        <w:t>（2）明显不符合招标文件</w:t>
      </w:r>
      <w:r>
        <w:rPr>
          <w:rFonts w:hint="eastAsia" w:asciiTheme="minorEastAsia" w:hAnsiTheme="minorEastAsia" w:eastAsiaTheme="minorEastAsia"/>
          <w:bCs/>
          <w:color w:val="auto"/>
          <w:szCs w:val="21"/>
          <w:highlight w:val="none"/>
        </w:rPr>
        <w:t>要求</w:t>
      </w:r>
      <w:r>
        <w:rPr>
          <w:rFonts w:asciiTheme="minorEastAsia" w:hAnsiTheme="minorEastAsia" w:eastAsiaTheme="minorEastAsia"/>
          <w:bCs/>
          <w:color w:val="auto"/>
          <w:szCs w:val="21"/>
          <w:highlight w:val="none"/>
        </w:rPr>
        <w:t>的规格型号、质量标准，或者</w:t>
      </w:r>
      <w:r>
        <w:rPr>
          <w:rFonts w:hint="eastAsia" w:asciiTheme="minorEastAsia" w:hAnsiTheme="minorEastAsia" w:eastAsiaTheme="minorEastAsia"/>
          <w:bCs/>
          <w:color w:val="auto"/>
          <w:szCs w:val="21"/>
          <w:highlight w:val="none"/>
        </w:rPr>
        <w:t>与</w:t>
      </w:r>
      <w:r>
        <w:rPr>
          <w:rFonts w:asciiTheme="minorEastAsia" w:hAnsiTheme="minorEastAsia" w:eastAsiaTheme="minorEastAsia"/>
          <w:bCs/>
          <w:color w:val="auto"/>
          <w:szCs w:val="21"/>
          <w:highlight w:val="none"/>
        </w:rPr>
        <w:t>招标文件中标“▲”的技术指标、主要功能项目发生实质性偏离的；</w:t>
      </w:r>
    </w:p>
    <w:p>
      <w:pPr>
        <w:snapToGrid w:val="0"/>
        <w:spacing w:line="360" w:lineRule="auto"/>
        <w:ind w:firstLine="411" w:firstLineChars="196"/>
        <w:rPr>
          <w:rFonts w:asciiTheme="minorEastAsia" w:hAnsiTheme="minorEastAsia" w:eastAsiaTheme="minorEastAsia"/>
          <w:bCs/>
          <w:color w:val="auto"/>
          <w:szCs w:val="21"/>
          <w:highlight w:val="none"/>
        </w:rPr>
      </w:pPr>
      <w:r>
        <w:rPr>
          <w:rFonts w:asciiTheme="minorEastAsia" w:hAnsiTheme="minorEastAsia" w:eastAsiaTheme="minorEastAsia"/>
          <w:bCs/>
          <w:color w:val="auto"/>
          <w:szCs w:val="21"/>
          <w:highlight w:val="none"/>
        </w:rPr>
        <w:t>（</w:t>
      </w:r>
      <w:r>
        <w:rPr>
          <w:rFonts w:hint="eastAsia" w:asciiTheme="minorEastAsia" w:hAnsiTheme="minorEastAsia" w:eastAsiaTheme="minorEastAsia"/>
          <w:bCs/>
          <w:color w:val="auto"/>
          <w:szCs w:val="21"/>
          <w:highlight w:val="none"/>
        </w:rPr>
        <w:t>3</w:t>
      </w:r>
      <w:r>
        <w:rPr>
          <w:rFonts w:asciiTheme="minorEastAsia" w:hAnsiTheme="minorEastAsia" w:eastAsiaTheme="minorEastAsia"/>
          <w:bCs/>
          <w:color w:val="auto"/>
          <w:szCs w:val="21"/>
          <w:highlight w:val="none"/>
        </w:rPr>
        <w:t>）投标技术方案不明确，存在一个或一个以上备选（替代）投标方案的；</w:t>
      </w:r>
    </w:p>
    <w:p>
      <w:pPr>
        <w:snapToGrid w:val="0"/>
        <w:spacing w:line="360" w:lineRule="auto"/>
        <w:ind w:firstLine="411" w:firstLineChars="196"/>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（4）与其他参加本次投标供应商的投标文件（技术文件）的文字表述内容相同连续20行以上或者差错相同2处以上的。</w:t>
      </w:r>
    </w:p>
    <w:p>
      <w:pPr>
        <w:snapToGrid w:val="0"/>
        <w:spacing w:line="360" w:lineRule="auto"/>
        <w:ind w:firstLine="413" w:firstLineChars="196"/>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5.</w:t>
      </w:r>
      <w:r>
        <w:rPr>
          <w:rFonts w:asciiTheme="minorEastAsia" w:hAnsiTheme="minorEastAsia" w:eastAsiaTheme="minorEastAsia"/>
          <w:b/>
          <w:color w:val="auto"/>
          <w:szCs w:val="21"/>
          <w:highlight w:val="none"/>
        </w:rPr>
        <w:t>在报价评审时，如发现下列情形之一的，投标文件将被视为无效：</w:t>
      </w:r>
    </w:p>
    <w:p>
      <w:pPr>
        <w:snapToGrid w:val="0"/>
        <w:spacing w:line="360" w:lineRule="auto"/>
        <w:ind w:firstLine="411" w:firstLineChars="196"/>
        <w:rPr>
          <w:rFonts w:asciiTheme="minorEastAsia" w:hAnsiTheme="minorEastAsia" w:eastAsiaTheme="minorEastAsia"/>
          <w:bCs/>
          <w:color w:val="auto"/>
          <w:szCs w:val="21"/>
          <w:highlight w:val="none"/>
        </w:rPr>
      </w:pPr>
      <w:r>
        <w:rPr>
          <w:rFonts w:asciiTheme="minorEastAsia" w:hAnsiTheme="minorEastAsia" w:eastAsiaTheme="minorEastAsia"/>
          <w:bCs/>
          <w:color w:val="auto"/>
          <w:szCs w:val="21"/>
          <w:highlight w:val="none"/>
        </w:rPr>
        <w:t>（1）未采用人民币报价或者未按照招标文件标明的币种报价的；</w:t>
      </w:r>
    </w:p>
    <w:p>
      <w:pPr>
        <w:snapToGrid w:val="0"/>
        <w:spacing w:line="360" w:lineRule="auto"/>
        <w:ind w:firstLine="411" w:firstLineChars="196"/>
        <w:rPr>
          <w:rFonts w:asciiTheme="minorEastAsia" w:hAnsiTheme="minorEastAsia" w:eastAsiaTheme="minorEastAsia"/>
          <w:bCs/>
          <w:color w:val="auto"/>
          <w:szCs w:val="21"/>
          <w:highlight w:val="none"/>
        </w:rPr>
      </w:pPr>
      <w:r>
        <w:rPr>
          <w:rFonts w:asciiTheme="minorEastAsia" w:hAnsiTheme="minorEastAsia" w:eastAsiaTheme="minorEastAsia"/>
          <w:bCs/>
          <w:color w:val="auto"/>
          <w:szCs w:val="21"/>
          <w:highlight w:val="none"/>
        </w:rPr>
        <w:t>（2）报价超出最高限价</w:t>
      </w:r>
      <w:r>
        <w:rPr>
          <w:rFonts w:hint="eastAsia" w:asciiTheme="minorEastAsia" w:hAnsiTheme="minorEastAsia" w:eastAsiaTheme="minorEastAsia"/>
          <w:bCs/>
          <w:color w:val="auto"/>
          <w:szCs w:val="21"/>
          <w:highlight w:val="none"/>
        </w:rPr>
        <w:t>；</w:t>
      </w:r>
    </w:p>
    <w:p>
      <w:pPr>
        <w:snapToGrid w:val="0"/>
        <w:spacing w:line="360" w:lineRule="auto"/>
        <w:ind w:firstLine="411" w:firstLineChars="196"/>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 xml:space="preserve">（3）投标报价具有选择性，或者开标价格与投标文件承诺的优惠（折扣）价格不一致的。 </w:t>
      </w:r>
    </w:p>
    <w:p>
      <w:pPr>
        <w:snapToGrid w:val="0"/>
        <w:spacing w:line="360" w:lineRule="auto"/>
        <w:ind w:firstLine="411" w:firstLineChars="196"/>
        <w:rPr>
          <w:rFonts w:asciiTheme="minorEastAsia" w:hAnsiTheme="minorEastAsia" w:eastAsiaTheme="minorEastAsia"/>
          <w:color w:val="auto"/>
          <w:szCs w:val="21"/>
          <w:highlight w:val="none"/>
        </w:rPr>
      </w:pPr>
      <w:r>
        <w:rPr>
          <w:rFonts w:hint="eastAsia" w:asciiTheme="minorEastAsia" w:hAnsiTheme="minorEastAsia" w:eastAsiaTheme="minorEastAsia"/>
          <w:bCs/>
          <w:color w:val="auto"/>
          <w:szCs w:val="21"/>
          <w:highlight w:val="none"/>
        </w:rPr>
        <w:t xml:space="preserve">（4） 投标报价明细表总额与开标一览表总价不一致，且高于总价5％的。 </w:t>
      </w:r>
    </w:p>
    <w:p>
      <w:pPr>
        <w:snapToGrid w:val="0"/>
        <w:spacing w:line="360" w:lineRule="auto"/>
        <w:ind w:firstLine="413" w:firstLineChars="196"/>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6.</w:t>
      </w:r>
      <w:r>
        <w:rPr>
          <w:rFonts w:asciiTheme="minorEastAsia" w:hAnsiTheme="minorEastAsia" w:eastAsiaTheme="minorEastAsia"/>
          <w:b/>
          <w:color w:val="auto"/>
          <w:szCs w:val="21"/>
          <w:highlight w:val="none"/>
        </w:rPr>
        <w:t>被拒绝的投标文件为无效。</w:t>
      </w:r>
    </w:p>
    <w:p>
      <w:pPr>
        <w:pStyle w:val="23"/>
        <w:snapToGrid w:val="0"/>
        <w:spacing w:line="360" w:lineRule="auto"/>
        <w:ind w:firstLine="413" w:firstLineChars="196"/>
        <w:rPr>
          <w:rFonts w:asciiTheme="minorEastAsia" w:hAnsiTheme="minorEastAsia" w:eastAsiaTheme="minorEastAsia"/>
          <w:b/>
          <w:snapToGrid w:val="0"/>
          <w:color w:val="auto"/>
          <w:szCs w:val="21"/>
          <w:highlight w:val="none"/>
        </w:rPr>
      </w:pPr>
    </w:p>
    <w:p>
      <w:pPr>
        <w:pStyle w:val="23"/>
        <w:snapToGrid w:val="0"/>
        <w:spacing w:line="360" w:lineRule="auto"/>
        <w:ind w:firstLine="413" w:firstLineChars="196"/>
        <w:jc w:val="center"/>
        <w:outlineLvl w:val="1"/>
        <w:rPr>
          <w:rFonts w:asciiTheme="minorEastAsia" w:hAnsiTheme="minorEastAsia" w:eastAsiaTheme="minorEastAsia"/>
          <w:b/>
          <w:snapToGrid w:val="0"/>
          <w:color w:val="auto"/>
          <w:szCs w:val="21"/>
          <w:highlight w:val="none"/>
        </w:rPr>
      </w:pPr>
      <w:r>
        <w:rPr>
          <w:rFonts w:hint="eastAsia" w:asciiTheme="minorEastAsia" w:hAnsiTheme="minorEastAsia" w:eastAsiaTheme="minorEastAsia"/>
          <w:b/>
          <w:color w:val="auto"/>
          <w:szCs w:val="21"/>
          <w:highlight w:val="none"/>
        </w:rPr>
        <w:t>四、开标</w:t>
      </w:r>
    </w:p>
    <w:p>
      <w:pPr>
        <w:pStyle w:val="23"/>
        <w:snapToGrid w:val="0"/>
        <w:spacing w:line="360" w:lineRule="auto"/>
        <w:ind w:firstLine="411" w:firstLineChars="196"/>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1、本项目实行电子开评标，供应商无需到开标现场，但须准时在线参加，直至评审结束。</w:t>
      </w:r>
    </w:p>
    <w:p>
      <w:pPr>
        <w:pStyle w:val="23"/>
        <w:snapToGrid w:val="0"/>
        <w:spacing w:line="360" w:lineRule="auto"/>
        <w:ind w:firstLine="411" w:firstLineChars="196"/>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2、电子开评标及评审程序</w:t>
      </w:r>
    </w:p>
    <w:p>
      <w:pPr>
        <w:pStyle w:val="23"/>
        <w:snapToGrid w:val="0"/>
        <w:spacing w:line="360" w:lineRule="auto"/>
        <w:ind w:firstLine="411" w:firstLineChars="196"/>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 xml:space="preserve">2.1投标截止时间后的半小时内，由各供应商自行对电子投标文件进行解密（请各供应商务必在规定时间内完成电子投标文件的解密工作。 </w:t>
      </w:r>
    </w:p>
    <w:p>
      <w:pPr>
        <w:pStyle w:val="23"/>
        <w:snapToGrid w:val="0"/>
        <w:spacing w:line="360" w:lineRule="auto"/>
        <w:ind w:firstLine="411" w:firstLineChars="196"/>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2.2.采购人或代理机构对供应商的资格审查文件进行</w:t>
      </w:r>
      <w:r>
        <w:rPr>
          <w:rFonts w:asciiTheme="minorEastAsia" w:hAnsiTheme="minorEastAsia" w:eastAsiaTheme="minorEastAsia"/>
          <w:color w:val="auto"/>
          <w:szCs w:val="21"/>
          <w:highlight w:val="none"/>
        </w:rPr>
        <w:t>审查；</w:t>
      </w:r>
      <w:r>
        <w:rPr>
          <w:rFonts w:hint="eastAsia" w:asciiTheme="minorEastAsia" w:hAnsiTheme="minorEastAsia" w:eastAsiaTheme="minorEastAsia"/>
          <w:color w:val="auto"/>
          <w:szCs w:val="21"/>
          <w:highlight w:val="none"/>
        </w:rPr>
        <w:t>评标委员会对供应商的资信商务及技术响应文件进行评审；</w:t>
      </w:r>
    </w:p>
    <w:p>
      <w:pPr>
        <w:pStyle w:val="23"/>
        <w:snapToGrid w:val="0"/>
        <w:spacing w:line="360" w:lineRule="auto"/>
        <w:ind w:firstLine="411" w:firstLineChars="196"/>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2.3评标委员会对报价文件进行评审；</w:t>
      </w:r>
    </w:p>
    <w:p>
      <w:pPr>
        <w:pStyle w:val="23"/>
        <w:snapToGrid w:val="0"/>
        <w:spacing w:line="360" w:lineRule="auto"/>
        <w:ind w:firstLine="411" w:firstLineChars="196"/>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2.4</w:t>
      </w:r>
      <w:r>
        <w:rPr>
          <w:rFonts w:hint="eastAsia" w:asciiTheme="minorEastAsia" w:hAnsiTheme="minorEastAsia" w:eastAsiaTheme="minorEastAsia"/>
          <w:color w:val="auto"/>
          <w:szCs w:val="21"/>
          <w:highlight w:val="none"/>
        </w:rPr>
        <w:t>评标委员会</w:t>
      </w:r>
      <w:r>
        <w:rPr>
          <w:rFonts w:asciiTheme="minorEastAsia" w:hAnsiTheme="minorEastAsia" w:eastAsiaTheme="minorEastAsia"/>
          <w:color w:val="auto"/>
          <w:szCs w:val="21"/>
          <w:highlight w:val="none"/>
        </w:rPr>
        <w:t>撰写评审报告，推荐中标候选人。</w:t>
      </w:r>
    </w:p>
    <w:p>
      <w:pPr>
        <w:pStyle w:val="29"/>
        <w:snapToGrid w:val="0"/>
        <w:spacing w:beforeLines="0" w:afterLines="0" w:line="360" w:lineRule="auto"/>
        <w:ind w:left="772" w:leftChars="267" w:hanging="211" w:hangingChars="100"/>
        <w:jc w:val="center"/>
        <w:outlineLvl w:val="9"/>
        <w:rPr>
          <w:rFonts w:asciiTheme="minorEastAsia" w:hAnsiTheme="minorEastAsia" w:eastAsiaTheme="minorEastAsia"/>
          <w:b/>
          <w:color w:val="auto"/>
          <w:sz w:val="21"/>
          <w:szCs w:val="21"/>
          <w:highlight w:val="none"/>
        </w:rPr>
      </w:pPr>
    </w:p>
    <w:p>
      <w:pPr>
        <w:pStyle w:val="29"/>
        <w:snapToGrid w:val="0"/>
        <w:spacing w:beforeLines="0" w:afterLines="0" w:line="360" w:lineRule="auto"/>
        <w:ind w:left="772" w:leftChars="267" w:hanging="211" w:hangingChars="100"/>
        <w:jc w:val="center"/>
        <w:outlineLvl w:val="1"/>
        <w:rPr>
          <w:rFonts w:asciiTheme="minorEastAsia" w:hAnsiTheme="minorEastAsia" w:eastAsiaTheme="minorEastAsia"/>
          <w:b/>
          <w:color w:val="auto"/>
          <w:sz w:val="21"/>
          <w:szCs w:val="21"/>
          <w:highlight w:val="none"/>
        </w:rPr>
      </w:pPr>
      <w:r>
        <w:rPr>
          <w:rFonts w:hint="eastAsia" w:asciiTheme="minorEastAsia" w:hAnsiTheme="minorEastAsia" w:eastAsiaTheme="minorEastAsia"/>
          <w:b/>
          <w:color w:val="auto"/>
          <w:sz w:val="21"/>
          <w:szCs w:val="21"/>
          <w:highlight w:val="none"/>
        </w:rPr>
        <w:t>五、评标</w:t>
      </w:r>
    </w:p>
    <w:p>
      <w:pPr>
        <w:pStyle w:val="29"/>
        <w:snapToGrid w:val="0"/>
        <w:spacing w:beforeLines="0" w:afterLines="0" w:line="360" w:lineRule="auto"/>
        <w:ind w:left="690" w:leftChars="228" w:hanging="211" w:hangingChars="100"/>
        <w:rPr>
          <w:rFonts w:asciiTheme="minorEastAsia" w:hAnsiTheme="minorEastAsia" w:eastAsiaTheme="minorEastAsia"/>
          <w:b/>
          <w:color w:val="auto"/>
          <w:sz w:val="21"/>
          <w:szCs w:val="21"/>
          <w:highlight w:val="none"/>
        </w:rPr>
      </w:pPr>
      <w:r>
        <w:rPr>
          <w:rFonts w:asciiTheme="minorEastAsia" w:hAnsiTheme="minorEastAsia" w:eastAsiaTheme="minorEastAsia"/>
          <w:b/>
          <w:color w:val="auto"/>
          <w:sz w:val="21"/>
          <w:szCs w:val="21"/>
          <w:highlight w:val="none"/>
        </w:rPr>
        <w:t>（一）组建评标委员会</w:t>
      </w:r>
    </w:p>
    <w:p>
      <w:pPr>
        <w:pStyle w:val="29"/>
        <w:snapToGrid w:val="0"/>
        <w:spacing w:beforeLines="0" w:afterLines="0" w:line="360" w:lineRule="auto"/>
        <w:ind w:firstLine="420" w:firstLineChars="200"/>
        <w:rPr>
          <w:rFonts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kern w:val="0"/>
          <w:sz w:val="21"/>
          <w:szCs w:val="21"/>
          <w:highlight w:val="none"/>
        </w:rPr>
        <w:t>评标委员会由采购人代表和评审专家组成，</w:t>
      </w:r>
      <w:r>
        <w:rPr>
          <w:rFonts w:asciiTheme="minorEastAsia" w:hAnsiTheme="minorEastAsia" w:eastAsiaTheme="minorEastAsia"/>
          <w:color w:val="auto"/>
          <w:sz w:val="21"/>
          <w:szCs w:val="21"/>
          <w:highlight w:val="none"/>
        </w:rPr>
        <w:t>政府采购评审专家</w:t>
      </w:r>
      <w:r>
        <w:rPr>
          <w:rFonts w:hint="eastAsia" w:asciiTheme="minorEastAsia" w:hAnsiTheme="minorEastAsia" w:eastAsiaTheme="minorEastAsia"/>
          <w:color w:val="auto"/>
          <w:sz w:val="21"/>
          <w:szCs w:val="21"/>
          <w:highlight w:val="none"/>
          <w:u w:val="single"/>
          <w:lang w:val="en-US" w:eastAsia="zh-CN"/>
        </w:rPr>
        <w:t>4</w:t>
      </w:r>
      <w:r>
        <w:rPr>
          <w:rFonts w:asciiTheme="minorEastAsia" w:hAnsiTheme="minorEastAsia" w:eastAsiaTheme="minorEastAsia"/>
          <w:color w:val="auto"/>
          <w:sz w:val="21"/>
          <w:szCs w:val="21"/>
          <w:highlight w:val="none"/>
        </w:rPr>
        <w:t>人和采购人代表</w:t>
      </w:r>
      <w:r>
        <w:rPr>
          <w:rFonts w:hint="eastAsia" w:asciiTheme="minorEastAsia" w:hAnsiTheme="minorEastAsia" w:eastAsiaTheme="minorEastAsia"/>
          <w:color w:val="auto"/>
          <w:sz w:val="21"/>
          <w:szCs w:val="21"/>
          <w:highlight w:val="none"/>
          <w:u w:val="single"/>
          <w:lang w:val="en-US" w:eastAsia="zh-CN"/>
        </w:rPr>
        <w:t>1</w:t>
      </w:r>
      <w:r>
        <w:rPr>
          <w:rFonts w:asciiTheme="minorEastAsia" w:hAnsiTheme="minorEastAsia" w:eastAsiaTheme="minorEastAsia"/>
          <w:color w:val="auto"/>
          <w:sz w:val="21"/>
          <w:szCs w:val="21"/>
          <w:highlight w:val="none"/>
        </w:rPr>
        <w:t>人,共</w:t>
      </w:r>
      <w:r>
        <w:rPr>
          <w:rFonts w:hint="eastAsia" w:asciiTheme="minorEastAsia" w:hAnsiTheme="minorEastAsia" w:eastAsiaTheme="minorEastAsia"/>
          <w:color w:val="auto"/>
          <w:sz w:val="21"/>
          <w:szCs w:val="21"/>
          <w:highlight w:val="none"/>
          <w:u w:val="single"/>
          <w:lang w:val="en-US" w:eastAsia="zh-CN"/>
        </w:rPr>
        <w:t>5</w:t>
      </w:r>
      <w:r>
        <w:rPr>
          <w:rFonts w:asciiTheme="minorEastAsia" w:hAnsiTheme="minorEastAsia" w:eastAsiaTheme="minorEastAsia"/>
          <w:color w:val="auto"/>
          <w:sz w:val="21"/>
          <w:szCs w:val="21"/>
          <w:highlight w:val="none"/>
        </w:rPr>
        <w:t>人组成。</w:t>
      </w:r>
    </w:p>
    <w:p>
      <w:pPr>
        <w:widowControl/>
        <w:shd w:val="clear" w:color="auto" w:fill="FFFFFF"/>
        <w:spacing w:line="360" w:lineRule="auto"/>
        <w:ind w:firstLine="420" w:firstLineChars="200"/>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评标委员会负责具体评标事务，并独立履行下列职责：</w:t>
      </w:r>
    </w:p>
    <w:p>
      <w:pPr>
        <w:widowControl/>
        <w:shd w:val="clear" w:color="auto" w:fill="FFFFFF"/>
        <w:spacing w:line="360" w:lineRule="auto"/>
        <w:ind w:firstLine="420" w:firstLineChars="200"/>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1、审查、评价投标文件是否符合招标文件的商务、技术等实质性要求;</w:t>
      </w:r>
    </w:p>
    <w:p>
      <w:pPr>
        <w:widowControl/>
        <w:shd w:val="clear" w:color="auto" w:fill="FFFFFF"/>
        <w:spacing w:line="360" w:lineRule="auto"/>
        <w:ind w:firstLine="420" w:firstLineChars="200"/>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2、要求供应商对投标文件有关事项作出澄清或者说明;</w:t>
      </w:r>
    </w:p>
    <w:p>
      <w:pPr>
        <w:widowControl/>
        <w:shd w:val="clear" w:color="auto" w:fill="FFFFFF"/>
        <w:spacing w:line="360" w:lineRule="auto"/>
        <w:ind w:firstLine="420" w:firstLineChars="200"/>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3、对投标文件进行比较和评价;</w:t>
      </w:r>
    </w:p>
    <w:p>
      <w:pPr>
        <w:widowControl/>
        <w:shd w:val="clear" w:color="auto" w:fill="FFFFFF"/>
        <w:spacing w:line="360" w:lineRule="auto"/>
        <w:ind w:firstLine="420" w:firstLineChars="200"/>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4、确定中标候选人名单，以及根据采购人委托直接确定中标人;</w:t>
      </w:r>
    </w:p>
    <w:p>
      <w:pPr>
        <w:widowControl/>
        <w:shd w:val="clear" w:color="auto" w:fill="FFFFFF"/>
        <w:spacing w:line="360" w:lineRule="auto"/>
        <w:ind w:firstLine="420" w:firstLineChars="200"/>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5、向采购人、代理机构或者有关部门报告评标中发现的违法行为。</w:t>
      </w:r>
    </w:p>
    <w:p>
      <w:pPr>
        <w:widowControl/>
        <w:shd w:val="clear" w:color="auto" w:fill="FFFFFF"/>
        <w:spacing w:line="360" w:lineRule="auto"/>
        <w:ind w:firstLine="422" w:firstLineChars="200"/>
        <w:jc w:val="left"/>
        <w:rPr>
          <w:rFonts w:cs="宋体" w:asciiTheme="minorEastAsia" w:hAnsiTheme="minorEastAsia" w:eastAsiaTheme="minorEastAsia"/>
          <w:b/>
          <w:color w:val="auto"/>
          <w:kern w:val="0"/>
          <w:szCs w:val="21"/>
          <w:highlight w:val="none"/>
          <w:u w:val="single"/>
        </w:rPr>
      </w:pPr>
      <w:r>
        <w:rPr>
          <w:rFonts w:hint="eastAsia" w:cs="宋体" w:asciiTheme="minorEastAsia" w:hAnsiTheme="minorEastAsia" w:eastAsiaTheme="minorEastAsia"/>
          <w:b/>
          <w:color w:val="auto"/>
          <w:kern w:val="0"/>
          <w:szCs w:val="21"/>
          <w:highlight w:val="none"/>
          <w:u w:val="single"/>
        </w:rPr>
        <w:t>除采购人代表、评标现场组织人员外，采购人的其他工作人员以及与评标工作无关的人员不得进入评标现场。</w:t>
      </w:r>
    </w:p>
    <w:p>
      <w:pPr>
        <w:pStyle w:val="29"/>
        <w:snapToGrid w:val="0"/>
        <w:spacing w:beforeLines="0" w:afterLines="0" w:line="360" w:lineRule="auto"/>
        <w:ind w:left="690" w:leftChars="228" w:hanging="211" w:hangingChars="100"/>
        <w:rPr>
          <w:rFonts w:asciiTheme="minorEastAsia" w:hAnsiTheme="minorEastAsia" w:eastAsiaTheme="minorEastAsia"/>
          <w:b/>
          <w:color w:val="auto"/>
          <w:sz w:val="21"/>
          <w:szCs w:val="21"/>
          <w:highlight w:val="none"/>
        </w:rPr>
      </w:pPr>
      <w:r>
        <w:rPr>
          <w:rFonts w:asciiTheme="minorEastAsia" w:hAnsiTheme="minorEastAsia" w:eastAsiaTheme="minorEastAsia"/>
          <w:b/>
          <w:color w:val="auto"/>
          <w:sz w:val="21"/>
          <w:szCs w:val="21"/>
          <w:highlight w:val="none"/>
        </w:rPr>
        <w:t>（二）评标的方式</w:t>
      </w:r>
    </w:p>
    <w:p>
      <w:pPr>
        <w:pStyle w:val="29"/>
        <w:snapToGrid w:val="0"/>
        <w:spacing w:beforeLines="0" w:afterLines="0" w:line="360" w:lineRule="auto"/>
        <w:ind w:left="689" w:leftChars="228" w:hanging="210" w:hangingChars="100"/>
        <w:rPr>
          <w:rFonts w:asciiTheme="minorEastAsia" w:hAnsiTheme="minorEastAsia" w:eastAsiaTheme="minorEastAsia"/>
          <w:color w:val="auto"/>
          <w:sz w:val="21"/>
          <w:szCs w:val="21"/>
          <w:highlight w:val="none"/>
        </w:rPr>
      </w:pPr>
      <w:r>
        <w:rPr>
          <w:rFonts w:asciiTheme="minorEastAsia" w:hAnsiTheme="minorEastAsia" w:eastAsiaTheme="minorEastAsia"/>
          <w:color w:val="auto"/>
          <w:sz w:val="21"/>
          <w:szCs w:val="21"/>
          <w:highlight w:val="none"/>
        </w:rPr>
        <w:t>本项目采用不公开方式评标，评标的依据为招标文件和投标文件。</w:t>
      </w:r>
    </w:p>
    <w:p>
      <w:pPr>
        <w:pStyle w:val="29"/>
        <w:snapToGrid w:val="0"/>
        <w:spacing w:beforeLines="0" w:afterLines="0" w:line="360" w:lineRule="auto"/>
        <w:ind w:left="690" w:leftChars="228" w:hanging="211" w:hangingChars="100"/>
        <w:rPr>
          <w:rFonts w:asciiTheme="minorEastAsia" w:hAnsiTheme="minorEastAsia" w:eastAsiaTheme="minorEastAsia"/>
          <w:b/>
          <w:bCs/>
          <w:color w:val="auto"/>
          <w:sz w:val="21"/>
          <w:szCs w:val="21"/>
          <w:highlight w:val="none"/>
        </w:rPr>
      </w:pPr>
      <w:r>
        <w:rPr>
          <w:rFonts w:asciiTheme="minorEastAsia" w:hAnsiTheme="minorEastAsia" w:eastAsiaTheme="minorEastAsia"/>
          <w:b/>
          <w:color w:val="auto"/>
          <w:sz w:val="21"/>
          <w:szCs w:val="21"/>
          <w:highlight w:val="none"/>
        </w:rPr>
        <w:t>（三）</w:t>
      </w:r>
      <w:r>
        <w:rPr>
          <w:rFonts w:asciiTheme="minorEastAsia" w:hAnsiTheme="minorEastAsia" w:eastAsiaTheme="minorEastAsia"/>
          <w:b/>
          <w:bCs/>
          <w:color w:val="auto"/>
          <w:sz w:val="21"/>
          <w:szCs w:val="21"/>
          <w:highlight w:val="none"/>
        </w:rPr>
        <w:t>评标程序</w:t>
      </w:r>
    </w:p>
    <w:p>
      <w:pPr>
        <w:pStyle w:val="29"/>
        <w:snapToGrid w:val="0"/>
        <w:spacing w:beforeLines="0" w:afterLines="0" w:line="360" w:lineRule="auto"/>
        <w:ind w:firstLine="420" w:firstLineChars="200"/>
        <w:rPr>
          <w:rFonts w:asciiTheme="minorEastAsia" w:hAnsiTheme="minorEastAsia" w:eastAsiaTheme="minorEastAsia"/>
          <w:bCs/>
          <w:color w:val="auto"/>
          <w:sz w:val="21"/>
          <w:szCs w:val="21"/>
          <w:highlight w:val="none"/>
        </w:rPr>
      </w:pPr>
      <w:r>
        <w:rPr>
          <w:rFonts w:hint="eastAsia" w:asciiTheme="minorEastAsia" w:hAnsiTheme="minorEastAsia" w:eastAsiaTheme="minorEastAsia"/>
          <w:bCs/>
          <w:color w:val="auto"/>
          <w:sz w:val="21"/>
          <w:szCs w:val="21"/>
          <w:highlight w:val="none"/>
        </w:rPr>
        <w:t>采购人可以在评标前说明项目背景和采购需求，说明内容不得含有歧视性、倾向性意见，不得超出招标文件所述范围。说明应当提交书面材料，并随招标文件一并存档。</w:t>
      </w:r>
    </w:p>
    <w:p>
      <w:pPr>
        <w:snapToGrid w:val="0"/>
        <w:spacing w:line="360" w:lineRule="auto"/>
        <w:ind w:firstLine="413" w:firstLineChars="196"/>
        <w:rPr>
          <w:rFonts w:asciiTheme="minorEastAsia" w:hAnsiTheme="minorEastAsia" w:eastAsiaTheme="minorEastAsia"/>
          <w:b/>
          <w:bCs/>
          <w:color w:val="auto"/>
          <w:szCs w:val="21"/>
          <w:highlight w:val="none"/>
        </w:rPr>
      </w:pPr>
      <w:r>
        <w:rPr>
          <w:rFonts w:asciiTheme="minorEastAsia" w:hAnsiTheme="minorEastAsia" w:eastAsiaTheme="minorEastAsia"/>
          <w:b/>
          <w:bCs/>
          <w:color w:val="auto"/>
          <w:szCs w:val="21"/>
          <w:highlight w:val="none"/>
        </w:rPr>
        <w:t>1</w:t>
      </w:r>
      <w:r>
        <w:rPr>
          <w:rFonts w:hint="eastAsia" w:asciiTheme="minorEastAsia" w:hAnsiTheme="minorEastAsia" w:eastAsiaTheme="minorEastAsia"/>
          <w:b/>
          <w:bCs/>
          <w:color w:val="auto"/>
          <w:szCs w:val="21"/>
          <w:highlight w:val="none"/>
        </w:rPr>
        <w:t>.</w:t>
      </w:r>
      <w:r>
        <w:rPr>
          <w:rFonts w:asciiTheme="minorEastAsia" w:hAnsiTheme="minorEastAsia" w:eastAsiaTheme="minorEastAsia"/>
          <w:b/>
          <w:bCs/>
          <w:color w:val="auto"/>
          <w:szCs w:val="21"/>
          <w:highlight w:val="none"/>
        </w:rPr>
        <w:t>形式审查</w:t>
      </w:r>
    </w:p>
    <w:p>
      <w:pPr>
        <w:snapToGrid w:val="0"/>
        <w:spacing w:line="360" w:lineRule="auto"/>
        <w:ind w:firstLine="420" w:firstLineChars="200"/>
        <w:rPr>
          <w:rFonts w:asciiTheme="minorEastAsia" w:hAnsiTheme="minorEastAsia" w:eastAsiaTheme="minorEastAsia"/>
          <w:bCs/>
          <w:color w:val="auto"/>
          <w:szCs w:val="21"/>
          <w:highlight w:val="none"/>
        </w:rPr>
      </w:pPr>
      <w:r>
        <w:rPr>
          <w:rFonts w:asciiTheme="minorEastAsia" w:hAnsiTheme="minorEastAsia" w:eastAsiaTheme="minorEastAsia"/>
          <w:bCs/>
          <w:color w:val="auto"/>
          <w:szCs w:val="21"/>
          <w:highlight w:val="none"/>
        </w:rPr>
        <w:t>形式审查</w:t>
      </w:r>
      <w:r>
        <w:rPr>
          <w:rFonts w:hint="eastAsia" w:asciiTheme="minorEastAsia" w:hAnsiTheme="minorEastAsia" w:eastAsiaTheme="minorEastAsia"/>
          <w:bCs/>
          <w:color w:val="auto"/>
          <w:szCs w:val="21"/>
          <w:highlight w:val="none"/>
        </w:rPr>
        <w:t>包括资格审查（除符合性审查以外的关于供应商资格条件等内容）和符合性审查，即对供应商的资格</w:t>
      </w:r>
      <w:r>
        <w:rPr>
          <w:rFonts w:asciiTheme="minorEastAsia" w:hAnsiTheme="minorEastAsia" w:eastAsiaTheme="minorEastAsia"/>
          <w:bCs/>
          <w:color w:val="auto"/>
          <w:szCs w:val="21"/>
          <w:highlight w:val="none"/>
        </w:rPr>
        <w:t>和投标文件的完整性、合法性等进行审查。</w:t>
      </w:r>
      <w:r>
        <w:rPr>
          <w:rFonts w:hint="eastAsia" w:asciiTheme="minorEastAsia" w:hAnsiTheme="minorEastAsia" w:eastAsiaTheme="minorEastAsia"/>
          <w:bCs/>
          <w:color w:val="auto"/>
          <w:szCs w:val="21"/>
          <w:highlight w:val="none"/>
        </w:rPr>
        <w:t>投标文件形式审查未通过的供应商，其投标文件将不再评审。</w:t>
      </w:r>
    </w:p>
    <w:p>
      <w:pPr>
        <w:snapToGrid w:val="0"/>
        <w:spacing w:line="360" w:lineRule="auto"/>
        <w:ind w:firstLine="413" w:firstLineChars="196"/>
        <w:rPr>
          <w:rFonts w:asciiTheme="minorEastAsia" w:hAnsiTheme="minorEastAsia" w:eastAsiaTheme="minorEastAsia"/>
          <w:b/>
          <w:bCs/>
          <w:color w:val="auto"/>
          <w:szCs w:val="21"/>
          <w:highlight w:val="none"/>
        </w:rPr>
      </w:pPr>
      <w:r>
        <w:rPr>
          <w:rFonts w:asciiTheme="minorEastAsia" w:hAnsiTheme="minorEastAsia" w:eastAsiaTheme="minorEastAsia"/>
          <w:b/>
          <w:bCs/>
          <w:color w:val="auto"/>
          <w:szCs w:val="21"/>
          <w:highlight w:val="none"/>
        </w:rPr>
        <w:t>2</w:t>
      </w:r>
      <w:r>
        <w:rPr>
          <w:rFonts w:hint="eastAsia" w:asciiTheme="minorEastAsia" w:hAnsiTheme="minorEastAsia" w:eastAsiaTheme="minorEastAsia"/>
          <w:b/>
          <w:bCs/>
          <w:color w:val="auto"/>
          <w:szCs w:val="21"/>
          <w:highlight w:val="none"/>
        </w:rPr>
        <w:t>.</w:t>
      </w:r>
      <w:r>
        <w:rPr>
          <w:rFonts w:asciiTheme="minorEastAsia" w:hAnsiTheme="minorEastAsia" w:eastAsiaTheme="minorEastAsia"/>
          <w:b/>
          <w:bCs/>
          <w:color w:val="auto"/>
          <w:szCs w:val="21"/>
          <w:highlight w:val="none"/>
        </w:rPr>
        <w:t>实质审查与比较</w:t>
      </w:r>
    </w:p>
    <w:p>
      <w:pPr>
        <w:snapToGrid w:val="0"/>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1）评标委员会审查投标文件的实质性内容是否符合招标文件的实质性要求。</w:t>
      </w:r>
    </w:p>
    <w:p>
      <w:pPr>
        <w:snapToGrid w:val="0"/>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2）评标委员会将根据供应商的投标文件进行审查、核对,如有疑问,将对供应商进行询标,供应商要向评标委员会澄清有关问题,并最终以书面形式进行答复。</w:t>
      </w:r>
    </w:p>
    <w:p>
      <w:pPr>
        <w:snapToGrid w:val="0"/>
        <w:spacing w:line="360" w:lineRule="auto"/>
        <w:ind w:firstLine="420" w:firstLineChars="200"/>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询标</w:t>
      </w:r>
      <w:r>
        <w:rPr>
          <w:rFonts w:hint="eastAsia" w:asciiTheme="minorEastAsia" w:hAnsiTheme="minorEastAsia" w:eastAsiaTheme="minorEastAsia"/>
          <w:color w:val="auto"/>
          <w:szCs w:val="21"/>
          <w:highlight w:val="none"/>
        </w:rPr>
        <w:t>时，供应商代表未到场或者拒绝澄清或者澄清的内容改变了投标文件的实质性内容的，评标委员会有权对该投标文件作出不利于供应商的评判。</w:t>
      </w:r>
    </w:p>
    <w:p>
      <w:pPr>
        <w:snapToGrid w:val="0"/>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3）各供应商的</w:t>
      </w:r>
      <w:r>
        <w:rPr>
          <w:rFonts w:hint="eastAsia" w:asciiTheme="minorEastAsia" w:hAnsiTheme="minorEastAsia" w:eastAsiaTheme="minorEastAsia"/>
          <w:color w:val="auto"/>
          <w:szCs w:val="21"/>
          <w:highlight w:val="none"/>
        </w:rPr>
        <w:t>资信商务及技术分按照评标委员会成员的独立评分结果汇后的算术平均分计算</w:t>
      </w:r>
      <w:r>
        <w:rPr>
          <w:rFonts w:asciiTheme="minorEastAsia" w:hAnsiTheme="minorEastAsia" w:eastAsiaTheme="minorEastAsia"/>
          <w:color w:val="auto"/>
          <w:szCs w:val="21"/>
          <w:highlight w:val="none"/>
        </w:rPr>
        <w:t>。</w:t>
      </w:r>
    </w:p>
    <w:p>
      <w:pPr>
        <w:snapToGrid w:val="0"/>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4）</w:t>
      </w:r>
      <w:r>
        <w:rPr>
          <w:rFonts w:hint="eastAsia" w:asciiTheme="minorEastAsia" w:hAnsiTheme="minorEastAsia" w:eastAsiaTheme="minorEastAsia"/>
          <w:color w:val="auto"/>
          <w:szCs w:val="21"/>
          <w:highlight w:val="none"/>
        </w:rPr>
        <w:t>嘉兴市银建工程咨询评估有限公司工作人员协助</w:t>
      </w:r>
      <w:r>
        <w:rPr>
          <w:rFonts w:asciiTheme="minorEastAsia" w:hAnsiTheme="minorEastAsia" w:eastAsiaTheme="minorEastAsia"/>
          <w:color w:val="auto"/>
          <w:szCs w:val="21"/>
          <w:highlight w:val="none"/>
        </w:rPr>
        <w:t>评标委员会根据</w:t>
      </w:r>
      <w:r>
        <w:rPr>
          <w:rFonts w:hint="eastAsia" w:asciiTheme="minorEastAsia" w:hAnsiTheme="minorEastAsia" w:eastAsiaTheme="minorEastAsia"/>
          <w:color w:val="auto"/>
          <w:szCs w:val="21"/>
          <w:highlight w:val="none"/>
        </w:rPr>
        <w:t>本项目的评分标准操作政府采购业务系统，由系统</w:t>
      </w:r>
      <w:r>
        <w:rPr>
          <w:rFonts w:asciiTheme="minorEastAsia" w:hAnsiTheme="minorEastAsia" w:eastAsiaTheme="minorEastAsia"/>
          <w:color w:val="auto"/>
          <w:szCs w:val="21"/>
          <w:highlight w:val="none"/>
        </w:rPr>
        <w:t>计算各供应商的商务报价得分</w:t>
      </w:r>
      <w:r>
        <w:rPr>
          <w:rFonts w:hint="eastAsia" w:asciiTheme="minorEastAsia" w:hAnsiTheme="minorEastAsia" w:eastAsiaTheme="minorEastAsia"/>
          <w:color w:val="auto"/>
          <w:szCs w:val="21"/>
          <w:highlight w:val="none"/>
        </w:rPr>
        <w:t>。</w:t>
      </w:r>
    </w:p>
    <w:p>
      <w:pPr>
        <w:snapToGrid w:val="0"/>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5）评标委员会完成评标后,评委对各部分得分汇总,</w:t>
      </w:r>
      <w:r>
        <w:rPr>
          <w:rFonts w:hint="eastAsia" w:asciiTheme="minorEastAsia" w:hAnsiTheme="minorEastAsia" w:eastAsiaTheme="minorEastAsia"/>
          <w:color w:val="auto"/>
          <w:szCs w:val="21"/>
          <w:highlight w:val="none"/>
        </w:rPr>
        <w:t>计算</w:t>
      </w:r>
      <w:r>
        <w:rPr>
          <w:rFonts w:asciiTheme="minorEastAsia" w:hAnsiTheme="minorEastAsia" w:eastAsiaTheme="minorEastAsia"/>
          <w:color w:val="auto"/>
          <w:szCs w:val="21"/>
          <w:highlight w:val="none"/>
        </w:rPr>
        <w:t>出本项目</w:t>
      </w:r>
      <w:r>
        <w:rPr>
          <w:rFonts w:hint="eastAsia" w:asciiTheme="minorEastAsia" w:hAnsiTheme="minorEastAsia" w:eastAsiaTheme="minorEastAsia"/>
          <w:color w:val="auto"/>
          <w:szCs w:val="21"/>
          <w:highlight w:val="none"/>
        </w:rPr>
        <w:t>最终得分、性价比、评标价等</w:t>
      </w:r>
      <w:r>
        <w:rPr>
          <w:rFonts w:asciiTheme="minorEastAsia" w:hAnsiTheme="minorEastAsia" w:eastAsiaTheme="minorEastAsia"/>
          <w:color w:val="auto"/>
          <w:szCs w:val="21"/>
          <w:highlight w:val="none"/>
        </w:rPr>
        <w:t>。评标委员会按评标原则推荐中标候选人同时起草评标报告。</w:t>
      </w:r>
    </w:p>
    <w:p>
      <w:pPr>
        <w:snapToGrid w:val="0"/>
        <w:spacing w:line="360" w:lineRule="auto"/>
        <w:ind w:firstLine="422" w:firstLineChars="200"/>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（四）澄清问题的形式</w:t>
      </w:r>
    </w:p>
    <w:p>
      <w:pPr>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对投标文件中含义不明确、同类问题表述不一致或者有明显文字和计算错误的内容，评标委员会可要求供应商作出必要的澄清、说明或者纠正。</w:t>
      </w:r>
    </w:p>
    <w:p>
      <w:pPr>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评标委员会可以在“政采云”平台在线询标或其他有效形式要求供应商对同一份投标文件含义不明确或同类问题表述不一致的内容（招标文件其它地方有规定处理方法的除外）作必要的澄清或说明。供应商应采用在线回复或其他有效形式在询标规定时间内进行澄清或说明，但不得超出投标文件的范围或改变投标文件的实质性内容。凡属于评标委员会在评标中发现的计算错误并进行核实的修改不在此列。</w:t>
      </w:r>
    </w:p>
    <w:p>
      <w:pPr>
        <w:tabs>
          <w:tab w:val="left" w:pos="0"/>
        </w:tabs>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2、如果供应商代表拒绝或</w:t>
      </w:r>
      <w:r>
        <w:rPr>
          <w:rFonts w:asciiTheme="minorEastAsia" w:hAnsiTheme="minorEastAsia" w:eastAsiaTheme="minorEastAsia"/>
          <w:color w:val="auto"/>
          <w:szCs w:val="21"/>
          <w:highlight w:val="none"/>
        </w:rPr>
        <w:t>未</w:t>
      </w:r>
      <w:r>
        <w:rPr>
          <w:rFonts w:hint="eastAsia" w:asciiTheme="minorEastAsia" w:hAnsiTheme="minorEastAsia" w:eastAsiaTheme="minorEastAsia"/>
          <w:color w:val="auto"/>
          <w:szCs w:val="21"/>
          <w:highlight w:val="none"/>
        </w:rPr>
        <w:t>按评标委员会要求在“政采云”平台作出在线回复且无其他有效回复方式的，评标委员会可以对其作出无效标处理。</w:t>
      </w:r>
    </w:p>
    <w:p>
      <w:pPr>
        <w:snapToGrid w:val="0"/>
        <w:spacing w:line="360" w:lineRule="auto"/>
        <w:ind w:firstLine="422" w:firstLineChars="200"/>
        <w:rPr>
          <w:rFonts w:asciiTheme="minorEastAsia" w:hAnsiTheme="minorEastAsia" w:eastAsiaTheme="minorEastAsia"/>
          <w:b/>
          <w:color w:val="auto"/>
          <w:szCs w:val="21"/>
          <w:highlight w:val="none"/>
        </w:rPr>
      </w:pPr>
      <w:r>
        <w:rPr>
          <w:rFonts w:asciiTheme="minorEastAsia" w:hAnsiTheme="minorEastAsia" w:eastAsiaTheme="minorEastAsia"/>
          <w:b/>
          <w:color w:val="auto"/>
          <w:szCs w:val="21"/>
          <w:highlight w:val="none"/>
        </w:rPr>
        <w:t>（五）错误修正</w:t>
      </w:r>
    </w:p>
    <w:p>
      <w:pPr>
        <w:pStyle w:val="29"/>
        <w:snapToGrid w:val="0"/>
        <w:spacing w:beforeLines="0" w:afterLines="0" w:line="360" w:lineRule="auto"/>
        <w:ind w:left="689" w:leftChars="228" w:hanging="210" w:hangingChars="100"/>
        <w:rPr>
          <w:rFonts w:asciiTheme="minorEastAsia" w:hAnsiTheme="minorEastAsia" w:eastAsiaTheme="minorEastAsia"/>
          <w:color w:val="auto"/>
          <w:sz w:val="21"/>
          <w:szCs w:val="21"/>
          <w:highlight w:val="none"/>
        </w:rPr>
      </w:pPr>
      <w:r>
        <w:rPr>
          <w:rFonts w:asciiTheme="minorEastAsia" w:hAnsiTheme="minorEastAsia" w:eastAsiaTheme="minorEastAsia"/>
          <w:color w:val="auto"/>
          <w:sz w:val="21"/>
          <w:szCs w:val="21"/>
          <w:highlight w:val="none"/>
        </w:rPr>
        <w:t>投标文件如果出现计算或表达上的错误，修正错误的原则如下：</w:t>
      </w:r>
    </w:p>
    <w:p>
      <w:pPr>
        <w:snapToGrid w:val="0"/>
        <w:spacing w:line="360" w:lineRule="auto"/>
        <w:ind w:firstLine="420" w:firstLineChars="200"/>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1</w:t>
      </w:r>
      <w:r>
        <w:rPr>
          <w:rFonts w:hint="eastAsia" w:asciiTheme="minorEastAsia" w:hAnsiTheme="minorEastAsia" w:eastAsiaTheme="minorEastAsia"/>
          <w:color w:val="auto"/>
          <w:szCs w:val="21"/>
          <w:highlight w:val="none"/>
        </w:rPr>
        <w:t>.开标一览表总价与投标报价明细表汇总数不一致的，</w:t>
      </w:r>
      <w:r>
        <w:rPr>
          <w:rFonts w:hint="eastAsia" w:cs="Arial" w:asciiTheme="minorEastAsia" w:hAnsiTheme="minorEastAsia" w:eastAsiaTheme="minorEastAsia"/>
          <w:color w:val="auto"/>
          <w:kern w:val="0"/>
          <w:szCs w:val="21"/>
          <w:highlight w:val="none"/>
        </w:rPr>
        <w:t>以开标一览表为准；</w:t>
      </w:r>
    </w:p>
    <w:p>
      <w:pPr>
        <w:pStyle w:val="29"/>
        <w:snapToGrid w:val="0"/>
        <w:spacing w:beforeLines="0" w:afterLines="0" w:line="360" w:lineRule="auto"/>
        <w:ind w:firstLine="420" w:firstLineChars="200"/>
        <w:rPr>
          <w:rFonts w:asciiTheme="minorEastAsia" w:hAnsiTheme="minorEastAsia" w:eastAsiaTheme="minorEastAsia"/>
          <w:color w:val="auto"/>
          <w:sz w:val="21"/>
          <w:szCs w:val="21"/>
          <w:highlight w:val="none"/>
        </w:rPr>
      </w:pPr>
      <w:r>
        <w:rPr>
          <w:rFonts w:asciiTheme="minorEastAsia" w:hAnsiTheme="minorEastAsia" w:eastAsiaTheme="minorEastAsia"/>
          <w:color w:val="auto"/>
          <w:sz w:val="21"/>
          <w:szCs w:val="21"/>
          <w:highlight w:val="none"/>
        </w:rPr>
        <w:t>2</w:t>
      </w:r>
      <w:r>
        <w:rPr>
          <w:rFonts w:hint="eastAsia" w:asciiTheme="minorEastAsia" w:hAnsiTheme="minorEastAsia" w:eastAsiaTheme="minorEastAsia"/>
          <w:color w:val="auto"/>
          <w:sz w:val="21"/>
          <w:szCs w:val="21"/>
          <w:highlight w:val="none"/>
        </w:rPr>
        <w:t>.</w:t>
      </w:r>
      <w:r>
        <w:rPr>
          <w:rFonts w:asciiTheme="minorEastAsia" w:hAnsiTheme="minorEastAsia" w:eastAsiaTheme="minorEastAsia"/>
          <w:color w:val="auto"/>
          <w:sz w:val="21"/>
          <w:szCs w:val="21"/>
          <w:highlight w:val="none"/>
        </w:rPr>
        <w:t>投标文件的大写金额和小写金额不一致的，以大写金额为准；</w:t>
      </w:r>
    </w:p>
    <w:p>
      <w:pPr>
        <w:pStyle w:val="29"/>
        <w:snapToGrid w:val="0"/>
        <w:spacing w:beforeLines="0" w:afterLines="0" w:line="360" w:lineRule="auto"/>
        <w:ind w:firstLine="420" w:firstLineChars="200"/>
        <w:rPr>
          <w:rFonts w:asciiTheme="minorEastAsia" w:hAnsiTheme="minorEastAsia" w:eastAsiaTheme="minorEastAsia"/>
          <w:color w:val="auto"/>
          <w:sz w:val="21"/>
          <w:szCs w:val="21"/>
          <w:highlight w:val="none"/>
        </w:rPr>
      </w:pPr>
      <w:r>
        <w:rPr>
          <w:rFonts w:asciiTheme="minorEastAsia" w:hAnsiTheme="minorEastAsia" w:eastAsiaTheme="minorEastAsia"/>
          <w:color w:val="auto"/>
          <w:sz w:val="21"/>
          <w:szCs w:val="21"/>
          <w:highlight w:val="none"/>
        </w:rPr>
        <w:t>3</w:t>
      </w:r>
      <w:r>
        <w:rPr>
          <w:rFonts w:hint="eastAsia" w:asciiTheme="minorEastAsia" w:hAnsiTheme="minorEastAsia" w:eastAsiaTheme="minorEastAsia"/>
          <w:color w:val="auto"/>
          <w:sz w:val="21"/>
          <w:szCs w:val="21"/>
          <w:highlight w:val="none"/>
        </w:rPr>
        <w:t>.</w:t>
      </w:r>
      <w:r>
        <w:rPr>
          <w:rFonts w:asciiTheme="minorEastAsia" w:hAnsiTheme="minorEastAsia" w:eastAsiaTheme="minorEastAsia"/>
          <w:color w:val="auto"/>
          <w:sz w:val="21"/>
          <w:szCs w:val="21"/>
          <w:highlight w:val="none"/>
        </w:rPr>
        <w:t>总价金额与按单价汇总金额不一致的，以单价金额计算结果为准；</w:t>
      </w:r>
    </w:p>
    <w:p>
      <w:pPr>
        <w:pStyle w:val="29"/>
        <w:snapToGrid w:val="0"/>
        <w:spacing w:beforeLines="0" w:afterLines="0" w:line="360" w:lineRule="auto"/>
        <w:ind w:firstLine="420" w:firstLineChars="200"/>
        <w:rPr>
          <w:rFonts w:asciiTheme="minorEastAsia" w:hAnsiTheme="minorEastAsia" w:eastAsiaTheme="minorEastAsia"/>
          <w:color w:val="auto"/>
          <w:sz w:val="21"/>
          <w:szCs w:val="21"/>
          <w:highlight w:val="none"/>
        </w:rPr>
      </w:pPr>
      <w:r>
        <w:rPr>
          <w:rFonts w:asciiTheme="minorEastAsia" w:hAnsiTheme="minorEastAsia" w:eastAsiaTheme="minorEastAsia"/>
          <w:color w:val="auto"/>
          <w:sz w:val="21"/>
          <w:szCs w:val="21"/>
          <w:highlight w:val="none"/>
        </w:rPr>
        <w:t>4</w:t>
      </w:r>
      <w:r>
        <w:rPr>
          <w:rFonts w:hint="eastAsia" w:asciiTheme="minorEastAsia" w:hAnsiTheme="minorEastAsia" w:eastAsiaTheme="minorEastAsia"/>
          <w:color w:val="auto"/>
          <w:sz w:val="21"/>
          <w:szCs w:val="21"/>
          <w:highlight w:val="none"/>
        </w:rPr>
        <w:t>.</w:t>
      </w:r>
      <w:r>
        <w:rPr>
          <w:rFonts w:asciiTheme="minorEastAsia" w:hAnsiTheme="minorEastAsia" w:eastAsiaTheme="minorEastAsia"/>
          <w:color w:val="auto"/>
          <w:sz w:val="21"/>
          <w:szCs w:val="21"/>
          <w:highlight w:val="none"/>
        </w:rPr>
        <w:t>对不同文字文本投标文件的解释发生异议的，以中文文本为准。</w:t>
      </w:r>
    </w:p>
    <w:p>
      <w:pPr>
        <w:pStyle w:val="29"/>
        <w:snapToGrid w:val="0"/>
        <w:spacing w:beforeLines="0" w:afterLines="0" w:line="360" w:lineRule="auto"/>
        <w:ind w:firstLine="422" w:firstLineChars="200"/>
        <w:rPr>
          <w:rFonts w:asciiTheme="minorEastAsia" w:hAnsiTheme="minorEastAsia" w:eastAsiaTheme="minorEastAsia"/>
          <w:b/>
          <w:bCs/>
          <w:color w:val="auto"/>
          <w:sz w:val="21"/>
          <w:szCs w:val="21"/>
          <w:highlight w:val="none"/>
        </w:rPr>
      </w:pPr>
      <w:r>
        <w:rPr>
          <w:rFonts w:asciiTheme="minorEastAsia" w:hAnsiTheme="minorEastAsia" w:eastAsiaTheme="minorEastAsia"/>
          <w:b/>
          <w:bCs/>
          <w:color w:val="auto"/>
          <w:sz w:val="21"/>
          <w:szCs w:val="21"/>
          <w:highlight w:val="none"/>
        </w:rPr>
        <w:t>按上述修正错误的原则及方法调整或修正投标文件的投标报价，供应商同意</w:t>
      </w:r>
      <w:r>
        <w:rPr>
          <w:rFonts w:hint="eastAsia" w:asciiTheme="minorEastAsia" w:hAnsiTheme="minorEastAsia" w:eastAsiaTheme="minorEastAsia"/>
          <w:b/>
          <w:bCs/>
          <w:color w:val="auto"/>
          <w:sz w:val="21"/>
          <w:szCs w:val="21"/>
          <w:highlight w:val="none"/>
        </w:rPr>
        <w:t>并签字确认</w:t>
      </w:r>
      <w:r>
        <w:rPr>
          <w:rFonts w:asciiTheme="minorEastAsia" w:hAnsiTheme="minorEastAsia" w:eastAsiaTheme="minorEastAsia"/>
          <w:b/>
          <w:bCs/>
          <w:color w:val="auto"/>
          <w:sz w:val="21"/>
          <w:szCs w:val="21"/>
          <w:highlight w:val="none"/>
        </w:rPr>
        <w:t>后，调整后的投标报价对供应商具有约束作用。如果供应商不接受修正后的报价，则其投标将</w:t>
      </w:r>
      <w:r>
        <w:rPr>
          <w:rFonts w:hint="eastAsia" w:asciiTheme="minorEastAsia" w:hAnsiTheme="minorEastAsia" w:eastAsiaTheme="minorEastAsia"/>
          <w:b/>
          <w:bCs/>
          <w:color w:val="auto"/>
          <w:sz w:val="21"/>
          <w:szCs w:val="21"/>
          <w:highlight w:val="none"/>
        </w:rPr>
        <w:t>作为无效投标处理</w:t>
      </w:r>
      <w:r>
        <w:rPr>
          <w:rFonts w:asciiTheme="minorEastAsia" w:hAnsiTheme="minorEastAsia" w:eastAsiaTheme="minorEastAsia"/>
          <w:b/>
          <w:bCs/>
          <w:color w:val="auto"/>
          <w:sz w:val="21"/>
          <w:szCs w:val="21"/>
          <w:highlight w:val="none"/>
        </w:rPr>
        <w:t>。</w:t>
      </w:r>
    </w:p>
    <w:p>
      <w:pPr>
        <w:pStyle w:val="29"/>
        <w:tabs>
          <w:tab w:val="left" w:pos="630"/>
        </w:tabs>
        <w:snapToGrid w:val="0"/>
        <w:spacing w:beforeLines="0" w:afterLines="0" w:line="360" w:lineRule="auto"/>
        <w:ind w:firstLine="413" w:firstLineChars="196"/>
        <w:rPr>
          <w:rFonts w:asciiTheme="minorEastAsia" w:hAnsiTheme="minorEastAsia" w:eastAsiaTheme="minorEastAsia"/>
          <w:b/>
          <w:color w:val="auto"/>
          <w:sz w:val="21"/>
          <w:szCs w:val="21"/>
          <w:highlight w:val="none"/>
        </w:rPr>
      </w:pPr>
      <w:r>
        <w:rPr>
          <w:rFonts w:asciiTheme="minorEastAsia" w:hAnsiTheme="minorEastAsia" w:eastAsiaTheme="minorEastAsia"/>
          <w:b/>
          <w:color w:val="auto"/>
          <w:sz w:val="21"/>
          <w:szCs w:val="21"/>
          <w:highlight w:val="none"/>
        </w:rPr>
        <w:t>（六）评标原则和评标办法</w:t>
      </w:r>
    </w:p>
    <w:p>
      <w:pPr>
        <w:pStyle w:val="29"/>
        <w:snapToGrid w:val="0"/>
        <w:spacing w:beforeLines="0" w:afterLines="0" w:line="360" w:lineRule="auto"/>
        <w:ind w:firstLine="420" w:firstLineChars="200"/>
        <w:rPr>
          <w:rFonts w:asciiTheme="minorEastAsia" w:hAnsiTheme="minorEastAsia" w:eastAsiaTheme="minorEastAsia"/>
          <w:color w:val="auto"/>
          <w:sz w:val="21"/>
          <w:szCs w:val="21"/>
          <w:highlight w:val="none"/>
        </w:rPr>
      </w:pPr>
      <w:r>
        <w:rPr>
          <w:rFonts w:asciiTheme="minorEastAsia" w:hAnsiTheme="minorEastAsia" w:eastAsiaTheme="minorEastAsia"/>
          <w:color w:val="auto"/>
          <w:sz w:val="21"/>
          <w:szCs w:val="21"/>
          <w:highlight w:val="none"/>
        </w:rPr>
        <w:t>1</w:t>
      </w:r>
      <w:r>
        <w:rPr>
          <w:rFonts w:hint="eastAsia" w:asciiTheme="minorEastAsia" w:hAnsiTheme="minorEastAsia" w:eastAsiaTheme="minorEastAsia"/>
          <w:color w:val="auto"/>
          <w:sz w:val="21"/>
          <w:szCs w:val="21"/>
          <w:highlight w:val="none"/>
        </w:rPr>
        <w:t>.</w:t>
      </w:r>
      <w:r>
        <w:rPr>
          <w:rFonts w:asciiTheme="minorEastAsia" w:hAnsiTheme="minorEastAsia" w:eastAsiaTheme="minorEastAsia"/>
          <w:color w:val="auto"/>
          <w:sz w:val="21"/>
          <w:szCs w:val="21"/>
          <w:highlight w:val="none"/>
        </w:rPr>
        <w:t>评标原则。评标委员会必须公平、公正、客观，不带任何倾向性和启发性；不得向外界透露任何与评标有关的内容；任何单位和个人不得干扰、影响评标的正常进行；评标委员会及有关工作人员不得私下与供应商接触。</w:t>
      </w:r>
    </w:p>
    <w:p>
      <w:pPr>
        <w:pStyle w:val="29"/>
        <w:snapToGrid w:val="0"/>
        <w:spacing w:beforeLines="0" w:afterLines="0" w:line="360" w:lineRule="auto"/>
        <w:ind w:firstLine="420" w:firstLineChars="200"/>
        <w:rPr>
          <w:rFonts w:asciiTheme="minorEastAsia" w:hAnsiTheme="minorEastAsia" w:eastAsiaTheme="minorEastAsia"/>
          <w:color w:val="auto"/>
          <w:sz w:val="21"/>
          <w:szCs w:val="21"/>
          <w:highlight w:val="none"/>
        </w:rPr>
      </w:pPr>
      <w:r>
        <w:rPr>
          <w:rFonts w:asciiTheme="minorEastAsia" w:hAnsiTheme="minorEastAsia" w:eastAsiaTheme="minorEastAsia"/>
          <w:color w:val="auto"/>
          <w:sz w:val="21"/>
          <w:szCs w:val="21"/>
          <w:highlight w:val="none"/>
        </w:rPr>
        <w:t>2</w:t>
      </w:r>
      <w:r>
        <w:rPr>
          <w:rFonts w:hint="eastAsia" w:asciiTheme="minorEastAsia" w:hAnsiTheme="minorEastAsia" w:eastAsiaTheme="minorEastAsia"/>
          <w:color w:val="auto"/>
          <w:sz w:val="21"/>
          <w:szCs w:val="21"/>
          <w:highlight w:val="none"/>
        </w:rPr>
        <w:t>.</w:t>
      </w:r>
      <w:r>
        <w:rPr>
          <w:rFonts w:asciiTheme="minorEastAsia" w:hAnsiTheme="minorEastAsia" w:eastAsiaTheme="minorEastAsia"/>
          <w:color w:val="auto"/>
          <w:sz w:val="21"/>
          <w:szCs w:val="21"/>
          <w:highlight w:val="none"/>
        </w:rPr>
        <w:t>评标办法。本项目评标办法是</w:t>
      </w:r>
      <w:r>
        <w:rPr>
          <w:rFonts w:hint="eastAsia" w:asciiTheme="minorEastAsia" w:hAnsiTheme="minorEastAsia" w:eastAsiaTheme="minorEastAsia"/>
          <w:color w:val="auto"/>
          <w:sz w:val="21"/>
          <w:szCs w:val="21"/>
          <w:highlight w:val="none"/>
        </w:rPr>
        <w:t xml:space="preserve"> 综合评标法</w:t>
      </w:r>
      <w:r>
        <w:rPr>
          <w:rFonts w:asciiTheme="minorEastAsia" w:hAnsiTheme="minorEastAsia" w:eastAsiaTheme="minorEastAsia"/>
          <w:color w:val="auto"/>
          <w:sz w:val="21"/>
          <w:szCs w:val="21"/>
          <w:highlight w:val="none"/>
        </w:rPr>
        <w:t xml:space="preserve"> ，具体评标内容及评分标准等详见《第四章：评标办法及评分标准》。</w:t>
      </w:r>
    </w:p>
    <w:p>
      <w:pPr>
        <w:pStyle w:val="29"/>
        <w:snapToGrid w:val="0"/>
        <w:spacing w:beforeLines="0" w:afterLines="0" w:line="360" w:lineRule="auto"/>
        <w:ind w:firstLine="413" w:firstLineChars="196"/>
        <w:rPr>
          <w:rFonts w:asciiTheme="minorEastAsia" w:hAnsiTheme="minorEastAsia" w:eastAsiaTheme="minorEastAsia"/>
          <w:b/>
          <w:color w:val="auto"/>
          <w:sz w:val="21"/>
          <w:szCs w:val="21"/>
          <w:highlight w:val="none"/>
        </w:rPr>
      </w:pPr>
      <w:r>
        <w:rPr>
          <w:rFonts w:asciiTheme="minorEastAsia" w:hAnsiTheme="minorEastAsia" w:eastAsiaTheme="minorEastAsia"/>
          <w:b/>
          <w:color w:val="auto"/>
          <w:sz w:val="21"/>
          <w:szCs w:val="21"/>
          <w:highlight w:val="none"/>
        </w:rPr>
        <w:t>（七）评标过程的监控</w:t>
      </w:r>
    </w:p>
    <w:p>
      <w:pPr>
        <w:pStyle w:val="29"/>
        <w:snapToGrid w:val="0"/>
        <w:spacing w:beforeLines="0" w:afterLines="0" w:line="360" w:lineRule="auto"/>
        <w:ind w:firstLine="420" w:firstLineChars="200"/>
        <w:rPr>
          <w:rFonts w:asciiTheme="minorEastAsia" w:hAnsiTheme="minorEastAsia" w:eastAsiaTheme="minorEastAsia"/>
          <w:color w:val="auto"/>
          <w:sz w:val="21"/>
          <w:szCs w:val="21"/>
          <w:highlight w:val="none"/>
        </w:rPr>
      </w:pPr>
      <w:r>
        <w:rPr>
          <w:rFonts w:asciiTheme="minorEastAsia" w:hAnsiTheme="minorEastAsia" w:eastAsiaTheme="minorEastAsia"/>
          <w:color w:val="auto"/>
          <w:sz w:val="21"/>
          <w:szCs w:val="21"/>
          <w:highlight w:val="none"/>
        </w:rPr>
        <w:t>本项目评标过程实行全程录音、录像监控</w:t>
      </w:r>
      <w:r>
        <w:rPr>
          <w:rFonts w:hint="eastAsia" w:asciiTheme="minorEastAsia" w:hAnsiTheme="minorEastAsia" w:eastAsiaTheme="minorEastAsia"/>
          <w:color w:val="auto"/>
          <w:sz w:val="21"/>
          <w:szCs w:val="21"/>
          <w:highlight w:val="none"/>
        </w:rPr>
        <w:t>。</w:t>
      </w:r>
      <w:r>
        <w:rPr>
          <w:rFonts w:asciiTheme="minorEastAsia" w:hAnsiTheme="minorEastAsia" w:eastAsiaTheme="minorEastAsia"/>
          <w:color w:val="auto"/>
          <w:sz w:val="21"/>
          <w:szCs w:val="21"/>
          <w:highlight w:val="none"/>
        </w:rPr>
        <w:t>供应商在评标过程中所进行的</w:t>
      </w:r>
      <w:r>
        <w:rPr>
          <w:rFonts w:hint="eastAsia" w:asciiTheme="minorEastAsia" w:hAnsiTheme="minorEastAsia" w:eastAsiaTheme="minorEastAsia"/>
          <w:color w:val="auto"/>
          <w:sz w:val="21"/>
          <w:szCs w:val="21"/>
          <w:highlight w:val="none"/>
        </w:rPr>
        <w:t>试</w:t>
      </w:r>
      <w:r>
        <w:rPr>
          <w:rFonts w:asciiTheme="minorEastAsia" w:hAnsiTheme="minorEastAsia" w:eastAsiaTheme="minorEastAsia"/>
          <w:color w:val="auto"/>
          <w:sz w:val="21"/>
          <w:szCs w:val="21"/>
          <w:highlight w:val="none"/>
        </w:rPr>
        <w:t>图影响评标结果的不公正活动，可能导致其投标被拒绝。</w:t>
      </w:r>
    </w:p>
    <w:p>
      <w:pPr>
        <w:pStyle w:val="29"/>
        <w:snapToGrid w:val="0"/>
        <w:spacing w:beforeLines="0" w:afterLines="0" w:line="360" w:lineRule="auto"/>
        <w:outlineLvl w:val="9"/>
        <w:rPr>
          <w:rFonts w:asciiTheme="minorEastAsia" w:hAnsiTheme="minorEastAsia" w:eastAsiaTheme="minorEastAsia"/>
          <w:b/>
          <w:color w:val="auto"/>
          <w:sz w:val="21"/>
          <w:szCs w:val="21"/>
          <w:highlight w:val="none"/>
        </w:rPr>
      </w:pPr>
    </w:p>
    <w:p>
      <w:pPr>
        <w:pStyle w:val="29"/>
        <w:snapToGrid w:val="0"/>
        <w:spacing w:beforeLines="0" w:afterLines="0" w:line="360" w:lineRule="auto"/>
        <w:ind w:firstLine="413" w:firstLineChars="196"/>
        <w:jc w:val="center"/>
        <w:outlineLvl w:val="1"/>
        <w:rPr>
          <w:rFonts w:asciiTheme="minorEastAsia" w:hAnsiTheme="minorEastAsia" w:eastAsiaTheme="minorEastAsia"/>
          <w:b/>
          <w:color w:val="auto"/>
          <w:sz w:val="21"/>
          <w:szCs w:val="21"/>
          <w:highlight w:val="none"/>
        </w:rPr>
      </w:pPr>
      <w:r>
        <w:rPr>
          <w:rFonts w:hint="eastAsia" w:asciiTheme="minorEastAsia" w:hAnsiTheme="minorEastAsia" w:eastAsiaTheme="minorEastAsia"/>
          <w:b/>
          <w:color w:val="auto"/>
          <w:sz w:val="21"/>
          <w:szCs w:val="21"/>
          <w:highlight w:val="none"/>
        </w:rPr>
        <w:t>六、定标</w:t>
      </w:r>
    </w:p>
    <w:p>
      <w:pPr>
        <w:pStyle w:val="29"/>
        <w:snapToGrid w:val="0"/>
        <w:spacing w:beforeLines="0" w:afterLines="0" w:line="360" w:lineRule="auto"/>
        <w:ind w:firstLine="413" w:firstLineChars="196"/>
        <w:rPr>
          <w:rFonts w:asciiTheme="minorEastAsia" w:hAnsiTheme="minorEastAsia" w:eastAsiaTheme="minorEastAsia"/>
          <w:b/>
          <w:bCs/>
          <w:color w:val="auto"/>
          <w:sz w:val="21"/>
          <w:szCs w:val="21"/>
          <w:highlight w:val="none"/>
        </w:rPr>
      </w:pPr>
      <w:r>
        <w:rPr>
          <w:rFonts w:hint="eastAsia" w:asciiTheme="minorEastAsia" w:hAnsiTheme="minorEastAsia" w:eastAsiaTheme="minorEastAsia"/>
          <w:b/>
          <w:bCs/>
          <w:color w:val="auto"/>
          <w:sz w:val="21"/>
          <w:szCs w:val="21"/>
          <w:highlight w:val="none"/>
        </w:rPr>
        <w:t>（一）确定中标人。</w:t>
      </w:r>
    </w:p>
    <w:p>
      <w:pPr>
        <w:snapToGrid w:val="0"/>
        <w:spacing w:line="360" w:lineRule="auto"/>
        <w:ind w:firstLine="420" w:firstLineChars="200"/>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1</w:t>
      </w:r>
      <w:r>
        <w:rPr>
          <w:rFonts w:hint="eastAsia" w:asciiTheme="minorEastAsia" w:hAnsiTheme="minorEastAsia" w:eastAsiaTheme="minorEastAsia"/>
          <w:color w:val="auto"/>
          <w:szCs w:val="21"/>
          <w:highlight w:val="none"/>
        </w:rPr>
        <w:t>.嘉兴市银建工程咨询评估有限公司</w:t>
      </w:r>
      <w:r>
        <w:rPr>
          <w:rFonts w:asciiTheme="minorEastAsia" w:hAnsiTheme="minorEastAsia" w:eastAsiaTheme="minorEastAsia"/>
          <w:color w:val="auto"/>
          <w:szCs w:val="21"/>
          <w:highlight w:val="none"/>
        </w:rPr>
        <w:t>在评标结束后2个工作日内将评标报告交采购人确认，同时在发布招标公告的网站上对评标结果进行</w:t>
      </w:r>
      <w:r>
        <w:rPr>
          <w:rFonts w:hint="eastAsia" w:asciiTheme="minorEastAsia" w:hAnsiTheme="minorEastAsia" w:eastAsiaTheme="minorEastAsia"/>
          <w:color w:val="auto"/>
          <w:szCs w:val="21"/>
          <w:highlight w:val="none"/>
        </w:rPr>
        <w:t>公告</w:t>
      </w:r>
      <w:r>
        <w:rPr>
          <w:rFonts w:asciiTheme="minorEastAsia" w:hAnsiTheme="minorEastAsia" w:eastAsiaTheme="minorEastAsia"/>
          <w:color w:val="auto"/>
          <w:szCs w:val="21"/>
          <w:highlight w:val="none"/>
        </w:rPr>
        <w:t>。</w:t>
      </w:r>
    </w:p>
    <w:p>
      <w:pPr>
        <w:snapToGrid w:val="0"/>
        <w:spacing w:line="360" w:lineRule="auto"/>
        <w:ind w:firstLine="420" w:firstLineChars="200"/>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2</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供应商对评标结果无异议的，采购人应在收到评标报告后5个工作日内对评标结果进行确认。如有供应商对评标结果提出质疑的，采购人可在质疑处理完毕后确定中标人。</w:t>
      </w:r>
    </w:p>
    <w:p>
      <w:pPr>
        <w:snapToGrid w:val="0"/>
        <w:spacing w:line="360" w:lineRule="auto"/>
        <w:ind w:firstLine="420" w:firstLineChars="200"/>
        <w:rPr>
          <w:rFonts w:asciiTheme="minorEastAsia" w:hAnsiTheme="minorEastAsia" w:eastAsiaTheme="minorEastAsia"/>
          <w:b/>
          <w:color w:val="auto"/>
          <w:szCs w:val="21"/>
          <w:highlight w:val="none"/>
        </w:rPr>
      </w:pPr>
      <w:r>
        <w:rPr>
          <w:rFonts w:hint="eastAsia" w:asciiTheme="minorEastAsia" w:hAnsiTheme="minorEastAsia" w:eastAsiaTheme="minorEastAsia"/>
          <w:color w:val="auto"/>
          <w:szCs w:val="21"/>
          <w:highlight w:val="none"/>
        </w:rPr>
        <w:t>3. 在公告中标结果的同时，代理机构向中标人发出中标通知书。</w:t>
      </w:r>
    </w:p>
    <w:p>
      <w:pPr>
        <w:pStyle w:val="29"/>
        <w:snapToGrid w:val="0"/>
        <w:spacing w:beforeLines="0" w:afterLines="0" w:line="360" w:lineRule="auto"/>
        <w:ind w:firstLine="413" w:firstLineChars="196"/>
        <w:jc w:val="center"/>
        <w:outlineLvl w:val="1"/>
        <w:rPr>
          <w:rFonts w:asciiTheme="minorEastAsia" w:hAnsiTheme="minorEastAsia" w:eastAsiaTheme="minorEastAsia"/>
          <w:b/>
          <w:color w:val="auto"/>
          <w:sz w:val="21"/>
          <w:szCs w:val="21"/>
          <w:highlight w:val="none"/>
        </w:rPr>
      </w:pPr>
      <w:r>
        <w:rPr>
          <w:rFonts w:hint="eastAsia" w:asciiTheme="minorEastAsia" w:hAnsiTheme="minorEastAsia" w:eastAsiaTheme="minorEastAsia"/>
          <w:b/>
          <w:color w:val="auto"/>
          <w:sz w:val="21"/>
          <w:szCs w:val="21"/>
          <w:highlight w:val="none"/>
        </w:rPr>
        <w:t>七、合同授予</w:t>
      </w:r>
    </w:p>
    <w:p>
      <w:pPr>
        <w:snapToGrid w:val="0"/>
        <w:spacing w:line="360" w:lineRule="auto"/>
        <w:ind w:firstLine="413" w:firstLineChars="196"/>
        <w:rPr>
          <w:rFonts w:asciiTheme="minorEastAsia" w:hAnsiTheme="minorEastAsia" w:eastAsiaTheme="minorEastAsia"/>
          <w:b/>
          <w:bCs/>
          <w:color w:val="auto"/>
          <w:szCs w:val="21"/>
          <w:highlight w:val="none"/>
        </w:rPr>
      </w:pPr>
      <w:r>
        <w:rPr>
          <w:rFonts w:hint="eastAsia" w:asciiTheme="minorEastAsia" w:hAnsiTheme="minorEastAsia" w:eastAsiaTheme="minorEastAsia"/>
          <w:b/>
          <w:bCs/>
          <w:color w:val="auto"/>
          <w:szCs w:val="21"/>
          <w:highlight w:val="none"/>
        </w:rPr>
        <w:t>（一）签订合同</w:t>
      </w:r>
    </w:p>
    <w:p>
      <w:pPr>
        <w:snapToGrid w:val="0"/>
        <w:spacing w:line="360" w:lineRule="auto"/>
        <w:ind w:firstLine="420" w:firstLineChars="200"/>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1</w:t>
      </w:r>
      <w:r>
        <w:rPr>
          <w:rFonts w:hint="eastAsia" w:asciiTheme="minorEastAsia" w:hAnsiTheme="minorEastAsia" w:eastAsiaTheme="minorEastAsia"/>
          <w:color w:val="auto"/>
          <w:szCs w:val="21"/>
          <w:highlight w:val="none"/>
        </w:rPr>
        <w:t>.采购人与</w:t>
      </w:r>
      <w:r>
        <w:rPr>
          <w:rFonts w:asciiTheme="minorEastAsia" w:hAnsiTheme="minorEastAsia" w:eastAsiaTheme="minorEastAsia"/>
          <w:color w:val="auto"/>
          <w:szCs w:val="21"/>
          <w:highlight w:val="none"/>
        </w:rPr>
        <w:t>中标人应</w:t>
      </w:r>
      <w:r>
        <w:rPr>
          <w:rFonts w:hint="eastAsia" w:asciiTheme="minorEastAsia" w:hAnsiTheme="minorEastAsia" w:eastAsiaTheme="minorEastAsia"/>
          <w:color w:val="auto"/>
          <w:szCs w:val="21"/>
          <w:highlight w:val="none"/>
        </w:rPr>
        <w:t>当在《</w:t>
      </w:r>
      <w:r>
        <w:rPr>
          <w:rFonts w:asciiTheme="minorEastAsia" w:hAnsiTheme="minorEastAsia" w:eastAsiaTheme="minorEastAsia"/>
          <w:color w:val="auto"/>
          <w:szCs w:val="21"/>
          <w:highlight w:val="none"/>
        </w:rPr>
        <w:t>中标通知书</w:t>
      </w:r>
      <w:r>
        <w:rPr>
          <w:rFonts w:hint="eastAsia" w:asciiTheme="minorEastAsia" w:hAnsiTheme="minorEastAsia" w:eastAsiaTheme="minorEastAsia"/>
          <w:color w:val="auto"/>
          <w:szCs w:val="21"/>
          <w:highlight w:val="none"/>
        </w:rPr>
        <w:t>》发出之日起30日内签订政府采购合同。同时，代理机构对合同内容进行审查，如发现与采购结果和投标承诺内容不一致的，将予以纠正。</w:t>
      </w:r>
    </w:p>
    <w:p>
      <w:pPr>
        <w:snapToGrid w:val="0"/>
        <w:spacing w:line="360" w:lineRule="auto"/>
        <w:ind w:firstLine="420" w:firstLineChars="200"/>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2</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中标人拖延、拒签合同的,将被取消中标资格</w:t>
      </w:r>
      <w:r>
        <w:rPr>
          <w:rFonts w:hint="eastAsia" w:asciiTheme="minorEastAsia" w:hAnsiTheme="minorEastAsia" w:eastAsiaTheme="minorEastAsia"/>
          <w:color w:val="auto"/>
          <w:szCs w:val="21"/>
          <w:highlight w:val="none"/>
        </w:rPr>
        <w:t>，并报监督管理部门</w:t>
      </w:r>
      <w:r>
        <w:rPr>
          <w:rFonts w:asciiTheme="minorEastAsia" w:hAnsiTheme="minorEastAsia" w:eastAsiaTheme="minorEastAsia"/>
          <w:color w:val="auto"/>
          <w:szCs w:val="21"/>
          <w:highlight w:val="none"/>
        </w:rPr>
        <w:t>。</w:t>
      </w:r>
    </w:p>
    <w:p>
      <w:pPr>
        <w:spacing w:line="360" w:lineRule="auto"/>
        <w:ind w:firstLine="413" w:firstLineChars="196"/>
        <w:jc w:val="center"/>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八、招标代理费</w:t>
      </w:r>
    </w:p>
    <w:p>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1.招标代理机构向中标人收取招标代理服务费，中标人应在收取《中标通知书》时向采购代理机构交纳招标代理服务费，服务费的收费标准按浙价服〔2003〕77号文规定计算</w:t>
      </w:r>
    </w:p>
    <w:tbl>
      <w:tblPr>
        <w:tblStyle w:val="49"/>
        <w:tblW w:w="4320"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2160"/>
        <w:gridCol w:w="2160"/>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84" w:hRule="atLeast"/>
          <w:jc w:val="center"/>
        </w:trPr>
        <w:tc>
          <w:tcPr>
            <w:tcW w:w="2160" w:type="dxa"/>
            <w:tcBorders>
              <w:top w:val="double" w:color="auto" w:sz="4" w:space="0"/>
              <w:left w:val="double" w:color="auto" w:sz="4" w:space="0"/>
              <w:bottom w:val="single" w:color="auto" w:sz="6" w:space="0"/>
              <w:right w:val="single" w:color="auto" w:sz="6" w:space="0"/>
            </w:tcBorders>
            <w:shd w:val="clear" w:color="auto" w:fill="D9D9D9"/>
            <w:vAlign w:val="center"/>
          </w:tcPr>
          <w:p>
            <w:pPr>
              <w:spacing w:line="360" w:lineRule="auto"/>
              <w:jc w:val="center"/>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中标金额（万元）</w:t>
            </w:r>
          </w:p>
        </w:tc>
        <w:tc>
          <w:tcPr>
            <w:tcW w:w="2160" w:type="dxa"/>
            <w:tcBorders>
              <w:top w:val="double" w:color="auto" w:sz="4" w:space="0"/>
              <w:left w:val="single" w:color="auto" w:sz="6" w:space="0"/>
              <w:bottom w:val="single" w:color="auto" w:sz="6" w:space="0"/>
              <w:right w:val="double" w:color="auto" w:sz="4" w:space="0"/>
            </w:tcBorders>
            <w:shd w:val="clear" w:color="auto" w:fill="D9D9D9"/>
          </w:tcPr>
          <w:p>
            <w:pPr>
              <w:spacing w:line="360" w:lineRule="auto"/>
              <w:jc w:val="center"/>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服务类招标收费费率</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jc w:val="center"/>
        </w:trPr>
        <w:tc>
          <w:tcPr>
            <w:tcW w:w="2160" w:type="dxa"/>
            <w:tcBorders>
              <w:top w:val="single" w:color="auto" w:sz="6" w:space="0"/>
              <w:left w:val="double" w:color="auto" w:sz="4" w:space="0"/>
              <w:bottom w:val="single" w:color="auto" w:sz="6" w:space="0"/>
              <w:right w:val="single" w:color="auto" w:sz="6" w:space="0"/>
            </w:tcBorders>
          </w:tcPr>
          <w:p>
            <w:pPr>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100以下</w:t>
            </w:r>
          </w:p>
        </w:tc>
        <w:tc>
          <w:tcPr>
            <w:tcW w:w="2160" w:type="dxa"/>
            <w:tcBorders>
              <w:top w:val="single" w:color="auto" w:sz="6" w:space="0"/>
              <w:left w:val="single" w:color="auto" w:sz="6" w:space="0"/>
              <w:bottom w:val="single" w:color="auto" w:sz="6" w:space="0"/>
              <w:right w:val="double" w:color="auto" w:sz="4" w:space="0"/>
            </w:tcBorders>
            <w:vAlign w:val="center"/>
          </w:tcPr>
          <w:p>
            <w:pPr>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1.5％</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2160" w:type="dxa"/>
            <w:tcBorders>
              <w:top w:val="single" w:color="auto" w:sz="6" w:space="0"/>
              <w:left w:val="double" w:color="auto" w:sz="4" w:space="0"/>
              <w:bottom w:val="single" w:color="auto" w:sz="6" w:space="0"/>
              <w:right w:val="single" w:color="auto" w:sz="6" w:space="0"/>
            </w:tcBorders>
          </w:tcPr>
          <w:p>
            <w:pPr>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100-500</w:t>
            </w:r>
          </w:p>
        </w:tc>
        <w:tc>
          <w:tcPr>
            <w:tcW w:w="2160" w:type="dxa"/>
            <w:tcBorders>
              <w:top w:val="single" w:color="auto" w:sz="6" w:space="0"/>
              <w:left w:val="single" w:color="auto" w:sz="6" w:space="0"/>
              <w:bottom w:val="single" w:color="auto" w:sz="6" w:space="0"/>
              <w:right w:val="double" w:color="auto" w:sz="4" w:space="0"/>
            </w:tcBorders>
            <w:vAlign w:val="center"/>
          </w:tcPr>
          <w:p>
            <w:pPr>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lang w:val="en-US" w:eastAsia="zh-CN"/>
              </w:rPr>
              <w:t>0.8</w:t>
            </w:r>
            <w:r>
              <w:rPr>
                <w:rFonts w:hint="eastAsia" w:asciiTheme="minorEastAsia" w:hAnsiTheme="minorEastAsia" w:eastAsiaTheme="minorEastAsia"/>
                <w:color w:val="auto"/>
                <w:szCs w:val="21"/>
                <w:highlight w:val="none"/>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2160" w:type="dxa"/>
            <w:tcBorders>
              <w:top w:val="single" w:color="auto" w:sz="6" w:space="0"/>
              <w:left w:val="double" w:color="auto" w:sz="4" w:space="0"/>
              <w:bottom w:val="single" w:color="auto" w:sz="6" w:space="0"/>
              <w:right w:val="single" w:color="auto" w:sz="6" w:space="0"/>
            </w:tcBorders>
          </w:tcPr>
          <w:p>
            <w:pPr>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500-1000</w:t>
            </w:r>
          </w:p>
        </w:tc>
        <w:tc>
          <w:tcPr>
            <w:tcW w:w="2160" w:type="dxa"/>
            <w:tcBorders>
              <w:top w:val="single" w:color="auto" w:sz="6" w:space="0"/>
              <w:left w:val="single" w:color="auto" w:sz="6" w:space="0"/>
              <w:bottom w:val="single" w:color="auto" w:sz="6" w:space="0"/>
              <w:right w:val="double" w:color="auto" w:sz="4" w:space="0"/>
            </w:tcBorders>
            <w:vAlign w:val="center"/>
          </w:tcPr>
          <w:p>
            <w:pPr>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0.</w:t>
            </w:r>
            <w:r>
              <w:rPr>
                <w:rFonts w:hint="eastAsia" w:asciiTheme="minorEastAsia" w:hAnsiTheme="minorEastAsia" w:eastAsiaTheme="minorEastAsia"/>
                <w:color w:val="auto"/>
                <w:szCs w:val="21"/>
                <w:highlight w:val="none"/>
                <w:lang w:val="en-US" w:eastAsia="zh-CN"/>
              </w:rPr>
              <w:t>45</w:t>
            </w:r>
            <w:r>
              <w:rPr>
                <w:rFonts w:hint="eastAsia" w:asciiTheme="minorEastAsia" w:hAnsiTheme="minorEastAsia" w:eastAsiaTheme="minorEastAsia"/>
                <w:color w:val="auto"/>
                <w:szCs w:val="21"/>
                <w:highlight w:val="none"/>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2160" w:type="dxa"/>
            <w:tcBorders>
              <w:top w:val="single" w:color="auto" w:sz="6" w:space="0"/>
              <w:left w:val="double" w:color="auto" w:sz="4" w:space="0"/>
              <w:bottom w:val="double" w:color="auto" w:sz="4" w:space="0"/>
              <w:right w:val="single" w:color="auto" w:sz="6" w:space="0"/>
            </w:tcBorders>
          </w:tcPr>
          <w:p>
            <w:pPr>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1000-5000</w:t>
            </w:r>
          </w:p>
        </w:tc>
        <w:tc>
          <w:tcPr>
            <w:tcW w:w="2160" w:type="dxa"/>
            <w:tcBorders>
              <w:top w:val="single" w:color="auto" w:sz="6" w:space="0"/>
              <w:left w:val="single" w:color="auto" w:sz="6" w:space="0"/>
              <w:bottom w:val="double" w:color="auto" w:sz="4" w:space="0"/>
              <w:right w:val="double" w:color="auto" w:sz="4" w:space="0"/>
            </w:tcBorders>
            <w:vAlign w:val="center"/>
          </w:tcPr>
          <w:p>
            <w:pPr>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0.</w:t>
            </w:r>
            <w:r>
              <w:rPr>
                <w:rFonts w:hint="eastAsia" w:asciiTheme="minorEastAsia" w:hAnsiTheme="minorEastAsia" w:eastAsiaTheme="minorEastAsia"/>
                <w:color w:val="auto"/>
                <w:szCs w:val="21"/>
                <w:highlight w:val="none"/>
                <w:lang w:val="en-US" w:eastAsia="zh-CN"/>
              </w:rPr>
              <w:t>2</w:t>
            </w:r>
            <w:r>
              <w:rPr>
                <w:rFonts w:hint="eastAsia" w:asciiTheme="minorEastAsia" w:hAnsiTheme="minorEastAsia" w:eastAsiaTheme="minorEastAsia"/>
                <w:color w:val="auto"/>
                <w:szCs w:val="21"/>
                <w:highlight w:val="none"/>
              </w:rPr>
              <w:t>5％</w:t>
            </w:r>
          </w:p>
        </w:tc>
      </w:tr>
    </w:tbl>
    <w:p>
      <w:pPr>
        <w:snapToGrid w:val="0"/>
        <w:spacing w:line="360" w:lineRule="auto"/>
        <w:ind w:firstLine="420" w:firstLineChars="20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招标代理服务收费按差额定率累进法计算</w:t>
      </w:r>
      <w:r>
        <w:rPr>
          <w:rFonts w:hint="eastAsia" w:asciiTheme="minorEastAsia" w:hAnsiTheme="minorEastAsia" w:eastAsiaTheme="minorEastAsia"/>
          <w:color w:val="auto"/>
          <w:szCs w:val="21"/>
          <w:highlight w:val="none"/>
        </w:rPr>
        <w:t>。</w:t>
      </w:r>
    </w:p>
    <w:p>
      <w:pPr>
        <w:snapToGrid w:val="0"/>
        <w:spacing w:beforeLines="50" w:afterLines="50" w:line="360" w:lineRule="auto"/>
        <w:ind w:left="238" w:firstLine="210" w:firstLineChars="100"/>
        <w:outlineLvl w:val="1"/>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2.本项目以服务类招标收费标准收取招标代理服务费服务费，对于招标代理服务费不足6000元的，按6000元计收。</w:t>
      </w:r>
    </w:p>
    <w:p>
      <w:pPr>
        <w:snapToGrid w:val="0"/>
        <w:spacing w:beforeLines="50" w:afterLines="50" w:line="360" w:lineRule="auto"/>
        <w:ind w:left="238" w:firstLine="210" w:firstLineChars="100"/>
        <w:outlineLvl w:val="1"/>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3.代理费支付方式：一次性以银行划账、现金或支票的形式支付。</w:t>
      </w:r>
    </w:p>
    <w:p>
      <w:pPr>
        <w:snapToGrid w:val="0"/>
        <w:spacing w:beforeLines="50" w:afterLines="50" w:line="360" w:lineRule="auto"/>
        <w:ind w:left="238" w:firstLine="210" w:firstLineChars="100"/>
        <w:outlineLvl w:val="1"/>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4.代理费以银行划账方式按下列要求提交：</w:t>
      </w:r>
    </w:p>
    <w:p>
      <w:pPr>
        <w:snapToGrid w:val="0"/>
        <w:spacing w:beforeLines="50" w:afterLines="50" w:line="360" w:lineRule="auto"/>
        <w:ind w:left="238" w:firstLine="210" w:firstLineChars="100"/>
        <w:outlineLvl w:val="1"/>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户名：嘉兴市银建工程咨询评估有限公司</w:t>
      </w:r>
    </w:p>
    <w:p>
      <w:pPr>
        <w:snapToGrid w:val="0"/>
        <w:spacing w:beforeLines="50" w:afterLines="50" w:line="360" w:lineRule="auto"/>
        <w:ind w:left="238" w:firstLine="210" w:firstLineChars="100"/>
        <w:outlineLvl w:val="1"/>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开户银行：建行嘉兴分行营业部</w:t>
      </w:r>
    </w:p>
    <w:p>
      <w:pPr>
        <w:snapToGrid w:val="0"/>
        <w:spacing w:beforeLines="50" w:afterLines="50" w:line="360" w:lineRule="auto"/>
        <w:ind w:left="238" w:firstLine="210" w:firstLineChars="100"/>
        <w:outlineLvl w:val="1"/>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账号：3300 1638 0470 5000 4370</w:t>
      </w:r>
    </w:p>
    <w:p>
      <w:pPr>
        <w:snapToGrid w:val="0"/>
        <w:spacing w:beforeLines="50" w:afterLines="50" w:line="360" w:lineRule="auto"/>
        <w:ind w:left="238" w:firstLine="210" w:firstLineChars="100"/>
        <w:outlineLvl w:val="1"/>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5.代理费支付时间：代理费必须在中标人领取《中标通知书》时一次性付清，如果中标人未能按时交纳服务费，采购代理机构/采购人保留追究其责任的权利。</w:t>
      </w:r>
    </w:p>
    <w:p>
      <w:pPr>
        <w:snapToGrid w:val="0"/>
        <w:spacing w:beforeLines="50" w:afterLines="50" w:line="360" w:lineRule="auto"/>
        <w:ind w:left="238" w:firstLine="210" w:firstLineChars="100"/>
        <w:outlineLvl w:val="1"/>
        <w:rPr>
          <w:rFonts w:asciiTheme="minorEastAsia" w:hAnsiTheme="minorEastAsia" w:eastAsiaTheme="minorEastAsia"/>
          <w:b/>
          <w:color w:val="auto"/>
          <w:szCs w:val="21"/>
          <w:highlight w:val="none"/>
        </w:rPr>
      </w:pPr>
      <w:r>
        <w:rPr>
          <w:rFonts w:hint="eastAsia" w:asciiTheme="minorEastAsia" w:hAnsiTheme="minorEastAsia" w:eastAsiaTheme="minorEastAsia"/>
          <w:color w:val="auto"/>
          <w:szCs w:val="21"/>
          <w:highlight w:val="none"/>
        </w:rPr>
        <w:t>6.服务费不在投标报价中单列。</w:t>
      </w:r>
    </w:p>
    <w:p>
      <w:pPr>
        <w:widowControl/>
        <w:jc w:val="left"/>
        <w:rPr>
          <w:rFonts w:asciiTheme="minorEastAsia" w:hAnsiTheme="minorEastAsia" w:eastAsiaTheme="minorEastAsia"/>
          <w:b/>
          <w:color w:val="auto"/>
          <w:szCs w:val="21"/>
          <w:highlight w:val="none"/>
        </w:rPr>
      </w:pPr>
      <w:r>
        <w:rPr>
          <w:rFonts w:asciiTheme="minorEastAsia" w:hAnsiTheme="minorEastAsia" w:eastAsiaTheme="minorEastAsia"/>
          <w:b/>
          <w:color w:val="auto"/>
          <w:szCs w:val="21"/>
          <w:highlight w:val="none"/>
        </w:rPr>
        <w:br w:type="page"/>
      </w:r>
    </w:p>
    <w:p>
      <w:pPr>
        <w:snapToGrid w:val="0"/>
        <w:spacing w:beforeLines="50" w:afterLines="50" w:line="360" w:lineRule="auto"/>
        <w:jc w:val="center"/>
        <w:outlineLvl w:val="0"/>
        <w:rPr>
          <w:rFonts w:asciiTheme="minorEastAsia" w:hAnsiTheme="minorEastAsia" w:eastAsiaTheme="minorEastAsia"/>
          <w:b/>
          <w:color w:val="auto"/>
          <w:sz w:val="30"/>
          <w:szCs w:val="30"/>
          <w:highlight w:val="none"/>
        </w:rPr>
      </w:pPr>
      <w:bookmarkStart w:id="109" w:name="_Toc30563"/>
      <w:r>
        <w:rPr>
          <w:rFonts w:hint="eastAsia" w:asciiTheme="minorEastAsia" w:hAnsiTheme="minorEastAsia" w:eastAsiaTheme="minorEastAsia"/>
          <w:b/>
          <w:color w:val="auto"/>
          <w:sz w:val="30"/>
          <w:szCs w:val="30"/>
          <w:highlight w:val="none"/>
        </w:rPr>
        <w:t>第四章 评分办法及评分标准</w:t>
      </w:r>
      <w:bookmarkEnd w:id="109"/>
    </w:p>
    <w:p>
      <w:pPr>
        <w:spacing w:beforeLines="50" w:afterLines="50" w:line="360" w:lineRule="auto"/>
        <w:ind w:firstLine="420"/>
        <w:jc w:val="center"/>
        <w:rPr>
          <w:rFonts w:asciiTheme="minorEastAsia" w:hAnsiTheme="minorEastAsia" w:eastAsiaTheme="minorEastAsia"/>
          <w:b/>
          <w:bCs/>
          <w:color w:val="auto"/>
          <w:sz w:val="30"/>
          <w:szCs w:val="30"/>
          <w:highlight w:val="none"/>
        </w:rPr>
      </w:pPr>
      <w:r>
        <w:rPr>
          <w:rFonts w:hint="eastAsia" w:asciiTheme="minorEastAsia" w:hAnsiTheme="minorEastAsia" w:eastAsiaTheme="minorEastAsia"/>
          <w:b/>
          <w:bCs/>
          <w:color w:val="auto"/>
          <w:sz w:val="30"/>
          <w:szCs w:val="30"/>
          <w:highlight w:val="none"/>
        </w:rPr>
        <w:t>评标办法前附表</w:t>
      </w:r>
    </w:p>
    <w:tbl>
      <w:tblPr>
        <w:tblStyle w:val="49"/>
        <w:tblW w:w="9294"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17"/>
        <w:gridCol w:w="7046"/>
        <w:gridCol w:w="756"/>
        <w:gridCol w:w="87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02" w:hRule="atLeast"/>
          <w:jc w:val="center"/>
        </w:trPr>
        <w:tc>
          <w:tcPr>
            <w:tcW w:w="617" w:type="dxa"/>
            <w:tcBorders>
              <w:top w:val="single" w:color="auto" w:sz="12" w:space="0"/>
              <w:left w:val="single" w:color="auto" w:sz="12" w:space="0"/>
              <w:bottom w:val="single" w:color="auto" w:sz="6" w:space="0"/>
              <w:right w:val="single" w:color="auto" w:sz="6" w:space="0"/>
            </w:tcBorders>
            <w:noWrap w:val="0"/>
            <w:vAlign w:val="center"/>
          </w:tcPr>
          <w:p>
            <w:pPr>
              <w:pStyle w:val="23"/>
              <w:spacing w:before="120" w:beforeLines="50" w:afterLines="50" w:line="240" w:lineRule="auto"/>
              <w:ind w:left="0" w:leftChars="0" w:firstLine="0" w:firstLineChars="0"/>
              <w:rPr>
                <w:rFonts w:hint="eastAsia" w:ascii="宋体" w:hAnsi="宋体" w:eastAsia="宋体" w:cs="宋体"/>
                <w:color w:val="auto"/>
                <w:kern w:val="2"/>
                <w:szCs w:val="21"/>
                <w:highlight w:val="none"/>
              </w:rPr>
            </w:pPr>
            <w:r>
              <w:rPr>
                <w:rFonts w:hint="eastAsia" w:ascii="宋体" w:hAnsi="宋体" w:eastAsia="宋体" w:cs="宋体"/>
                <w:color w:val="auto"/>
                <w:kern w:val="2"/>
                <w:szCs w:val="21"/>
                <w:highlight w:val="none"/>
                <w:lang w:eastAsia="zh-CN"/>
              </w:rPr>
              <w:t>序</w:t>
            </w:r>
            <w:r>
              <w:rPr>
                <w:rFonts w:hint="eastAsia" w:ascii="宋体" w:hAnsi="宋体" w:eastAsia="宋体" w:cs="宋体"/>
                <w:color w:val="auto"/>
                <w:kern w:val="2"/>
                <w:szCs w:val="21"/>
                <w:highlight w:val="none"/>
              </w:rPr>
              <w:t>号</w:t>
            </w:r>
          </w:p>
        </w:tc>
        <w:tc>
          <w:tcPr>
            <w:tcW w:w="7046" w:type="dxa"/>
            <w:tcBorders>
              <w:top w:val="single" w:color="auto" w:sz="12" w:space="0"/>
              <w:left w:val="single" w:color="auto" w:sz="4" w:space="0"/>
              <w:bottom w:val="single" w:color="auto" w:sz="6" w:space="0"/>
              <w:right w:val="single" w:color="auto" w:sz="12" w:space="0"/>
            </w:tcBorders>
            <w:noWrap w:val="0"/>
            <w:vAlign w:val="center"/>
          </w:tcPr>
          <w:p>
            <w:pPr>
              <w:pStyle w:val="23"/>
              <w:spacing w:before="120" w:beforeLines="50" w:afterLines="50" w:line="240" w:lineRule="auto"/>
              <w:ind w:firstLine="420" w:firstLineChars="200"/>
              <w:jc w:val="center"/>
              <w:rPr>
                <w:rFonts w:hint="eastAsia" w:ascii="宋体" w:hAnsi="宋体" w:eastAsia="宋体" w:cs="宋体"/>
                <w:color w:val="auto"/>
                <w:kern w:val="2"/>
                <w:szCs w:val="21"/>
                <w:highlight w:val="none"/>
              </w:rPr>
            </w:pPr>
            <w:r>
              <w:rPr>
                <w:rFonts w:hint="eastAsia" w:ascii="宋体" w:hAnsi="宋体" w:eastAsia="宋体" w:cs="宋体"/>
                <w:color w:val="auto"/>
                <w:kern w:val="2"/>
                <w:szCs w:val="21"/>
                <w:highlight w:val="none"/>
              </w:rPr>
              <w:t>评分内容和标准</w:t>
            </w:r>
          </w:p>
        </w:tc>
        <w:tc>
          <w:tcPr>
            <w:tcW w:w="756" w:type="dxa"/>
            <w:tcBorders>
              <w:top w:val="single" w:color="auto" w:sz="12" w:space="0"/>
              <w:left w:val="single" w:color="auto" w:sz="4" w:space="0"/>
              <w:bottom w:val="single" w:color="auto" w:sz="6"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eastAsia" w:ascii="宋体" w:hAnsi="宋体" w:eastAsia="宋体" w:cs="宋体"/>
                <w:color w:val="auto"/>
                <w:kern w:val="2"/>
                <w:szCs w:val="21"/>
                <w:highlight w:val="none"/>
                <w:lang w:val="en-US" w:eastAsia="zh-CN"/>
              </w:rPr>
            </w:pPr>
            <w:r>
              <w:rPr>
                <w:rFonts w:hint="eastAsia" w:ascii="宋体" w:hAnsi="宋体" w:eastAsia="宋体" w:cs="宋体"/>
                <w:color w:val="auto"/>
                <w:kern w:val="2"/>
                <w:szCs w:val="21"/>
                <w:highlight w:val="none"/>
                <w:lang w:val="en-US" w:eastAsia="zh-CN"/>
              </w:rPr>
              <w:t>最高分值</w:t>
            </w:r>
          </w:p>
        </w:tc>
        <w:tc>
          <w:tcPr>
            <w:tcW w:w="875" w:type="dxa"/>
            <w:tcBorders>
              <w:top w:val="single" w:color="auto" w:sz="12" w:space="0"/>
              <w:left w:val="single" w:color="auto" w:sz="4" w:space="0"/>
              <w:bottom w:val="single" w:color="auto" w:sz="6"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eastAsia" w:ascii="宋体" w:hAnsi="宋体" w:eastAsia="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类别</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00" w:hRule="atLeast"/>
          <w:jc w:val="center"/>
        </w:trPr>
        <w:tc>
          <w:tcPr>
            <w:tcW w:w="8419" w:type="dxa"/>
            <w:gridSpan w:val="3"/>
            <w:tcBorders>
              <w:top w:val="single" w:color="auto" w:sz="6" w:space="0"/>
              <w:left w:val="single" w:color="auto" w:sz="12" w:space="0"/>
              <w:bottom w:val="single" w:color="auto" w:sz="6"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eastAsia" w:ascii="宋体" w:hAnsi="宋体" w:cs="宋体"/>
                <w:color w:val="auto"/>
                <w:kern w:val="2"/>
                <w:szCs w:val="21"/>
                <w:highlight w:val="none"/>
                <w:lang w:val="en-US" w:eastAsia="zh-CN"/>
              </w:rPr>
            </w:pPr>
            <w:r>
              <w:rPr>
                <w:rFonts w:hint="eastAsia" w:asciiTheme="minorEastAsia" w:hAnsiTheme="minorEastAsia" w:eastAsiaTheme="minorEastAsia"/>
                <w:b/>
                <w:bCs/>
                <w:color w:val="auto"/>
                <w:szCs w:val="21"/>
                <w:highlight w:val="none"/>
              </w:rPr>
              <w:t>资信技术分（90分）</w:t>
            </w:r>
          </w:p>
        </w:tc>
        <w:tc>
          <w:tcPr>
            <w:tcW w:w="875" w:type="dxa"/>
            <w:tcBorders>
              <w:top w:val="single" w:color="auto" w:sz="6" w:space="0"/>
              <w:left w:val="single" w:color="auto" w:sz="12" w:space="0"/>
              <w:bottom w:val="single" w:color="auto" w:sz="6"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eastAsia" w:asciiTheme="minorEastAsia" w:hAnsiTheme="minorEastAsia" w:eastAsiaTheme="minorEastAsia"/>
                <w:b/>
                <w:bCs/>
                <w:color w:val="auto"/>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12" w:hRule="atLeast"/>
          <w:jc w:val="center"/>
        </w:trPr>
        <w:tc>
          <w:tcPr>
            <w:tcW w:w="617" w:type="dxa"/>
            <w:tcBorders>
              <w:top w:val="single" w:color="auto" w:sz="6" w:space="0"/>
              <w:left w:val="single" w:color="auto" w:sz="12" w:space="0"/>
              <w:bottom w:val="single" w:color="auto" w:sz="6" w:space="0"/>
              <w:right w:val="single" w:color="auto" w:sz="6" w:space="0"/>
            </w:tcBorders>
            <w:noWrap w:val="0"/>
            <w:vAlign w:val="center"/>
          </w:tcPr>
          <w:p>
            <w:pPr>
              <w:pStyle w:val="23"/>
              <w:spacing w:before="120" w:beforeLines="50" w:afterLines="50" w:line="240" w:lineRule="auto"/>
              <w:ind w:left="0" w:leftChars="0" w:firstLine="0" w:firstLineChars="0"/>
              <w:jc w:val="center"/>
              <w:rPr>
                <w:rFonts w:hint="eastAsia" w:ascii="宋体" w:hAnsi="宋体" w:eastAsia="宋体" w:cs="宋体"/>
                <w:color w:val="auto"/>
                <w:kern w:val="2"/>
                <w:szCs w:val="21"/>
                <w:highlight w:val="none"/>
                <w:lang w:val="en-US" w:eastAsia="zh-CN"/>
              </w:rPr>
            </w:pPr>
            <w:r>
              <w:rPr>
                <w:rFonts w:hint="eastAsia" w:ascii="宋体" w:hAnsi="宋体" w:eastAsia="宋体" w:cs="宋体"/>
                <w:color w:val="auto"/>
                <w:kern w:val="2"/>
                <w:szCs w:val="21"/>
                <w:highlight w:val="none"/>
                <w:lang w:val="en-US" w:eastAsia="zh-CN"/>
              </w:rPr>
              <w:t>1</w:t>
            </w:r>
          </w:p>
        </w:tc>
        <w:tc>
          <w:tcPr>
            <w:tcW w:w="7046" w:type="dxa"/>
            <w:tcBorders>
              <w:top w:val="single" w:color="auto" w:sz="6" w:space="0"/>
              <w:left w:val="single" w:color="auto" w:sz="4" w:space="0"/>
              <w:bottom w:val="single" w:color="auto" w:sz="6" w:space="0"/>
              <w:right w:val="single" w:color="auto" w:sz="12" w:space="0"/>
            </w:tcBorders>
            <w:noWrap w:val="0"/>
            <w:vAlign w:val="center"/>
          </w:tcPr>
          <w:p>
            <w:pPr>
              <w:pStyle w:val="23"/>
              <w:spacing w:before="120" w:beforeLines="50" w:afterLines="50" w:line="240" w:lineRule="auto"/>
              <w:ind w:left="0" w:leftChars="0" w:firstLine="0" w:firstLineChars="0"/>
              <w:rPr>
                <w:rFonts w:hint="eastAsia" w:ascii="宋体" w:hAnsi="宋体" w:cs="宋体"/>
                <w:color w:val="auto"/>
                <w:kern w:val="2"/>
                <w:szCs w:val="21"/>
                <w:highlight w:val="none"/>
                <w:lang w:val="en-US" w:eastAsia="zh-CN"/>
              </w:rPr>
            </w:pPr>
            <w:r>
              <w:rPr>
                <w:rFonts w:hint="eastAsia" w:ascii="宋体" w:hAnsi="宋体" w:cs="宋体"/>
                <w:color w:val="auto"/>
                <w:kern w:val="2"/>
                <w:szCs w:val="21"/>
                <w:highlight w:val="none"/>
                <w:lang w:val="zh-CN"/>
              </w:rPr>
              <w:t>投标人</w:t>
            </w:r>
            <w:r>
              <w:rPr>
                <w:rFonts w:hint="eastAsia" w:ascii="宋体" w:hAnsi="宋体" w:eastAsia="宋体" w:cs="宋体"/>
                <w:color w:val="auto"/>
                <w:kern w:val="2"/>
                <w:szCs w:val="21"/>
                <w:highlight w:val="none"/>
                <w:lang w:val="zh-CN"/>
              </w:rPr>
              <w:t>根据</w:t>
            </w:r>
            <w:r>
              <w:rPr>
                <w:rFonts w:hint="eastAsia" w:ascii="宋体" w:hAnsi="宋体" w:eastAsia="宋体" w:cs="宋体"/>
                <w:color w:val="auto"/>
                <w:kern w:val="2"/>
                <w:szCs w:val="21"/>
                <w:highlight w:val="none"/>
                <w:lang w:val="en-US" w:eastAsia="zh-CN"/>
              </w:rPr>
              <w:t>道路</w:t>
            </w:r>
            <w:r>
              <w:rPr>
                <w:rFonts w:hint="eastAsia" w:ascii="宋体" w:hAnsi="宋体" w:eastAsia="宋体" w:cs="宋体"/>
                <w:color w:val="auto"/>
                <w:kern w:val="2"/>
                <w:szCs w:val="21"/>
                <w:highlight w:val="none"/>
                <w:lang w:val="zh-CN"/>
              </w:rPr>
              <w:t>分布及养护区域等特点</w:t>
            </w:r>
            <w:r>
              <w:rPr>
                <w:rFonts w:hint="eastAsia" w:ascii="宋体" w:hAnsi="宋体" w:cs="宋体"/>
                <w:color w:val="auto"/>
                <w:kern w:val="2"/>
                <w:szCs w:val="21"/>
                <w:highlight w:val="none"/>
                <w:lang w:val="en-US" w:eastAsia="zh-CN"/>
              </w:rPr>
              <w:t>:</w:t>
            </w:r>
          </w:p>
          <w:p>
            <w:pPr>
              <w:pStyle w:val="23"/>
              <w:spacing w:before="120" w:beforeLines="50" w:afterLines="50" w:line="240" w:lineRule="auto"/>
              <w:ind w:left="0" w:leftChars="0" w:firstLine="0" w:firstLineChars="0"/>
              <w:rPr>
                <w:rFonts w:hint="eastAsia"/>
                <w:highlight w:val="none"/>
                <w:lang w:val="en-US" w:eastAsia="zh-CN"/>
              </w:rPr>
            </w:pPr>
            <w:r>
              <w:rPr>
                <w:rFonts w:hint="eastAsia"/>
                <w:highlight w:val="none"/>
              </w:rPr>
              <w:t>对项目整体认识程度、表述是否完整、清晰</w:t>
            </w:r>
            <w:r>
              <w:rPr>
                <w:rFonts w:hint="eastAsia"/>
                <w:highlight w:val="none"/>
                <w:lang w:eastAsia="zh-CN"/>
              </w:rPr>
              <w:t>（</w:t>
            </w:r>
            <w:r>
              <w:rPr>
                <w:rFonts w:hint="eastAsia"/>
                <w:highlight w:val="none"/>
                <w:lang w:val="en-US" w:eastAsia="zh-CN"/>
              </w:rPr>
              <w:t>0-2分）；</w:t>
            </w:r>
          </w:p>
          <w:p>
            <w:pPr>
              <w:pStyle w:val="23"/>
              <w:spacing w:before="120" w:beforeLines="50" w:afterLines="50" w:line="240" w:lineRule="auto"/>
              <w:ind w:left="0" w:leftChars="0" w:firstLine="0" w:firstLineChars="0"/>
              <w:rPr>
                <w:rFonts w:hint="eastAsia" w:ascii="宋体" w:hAnsi="宋体" w:cs="宋体"/>
                <w:color w:val="auto"/>
                <w:kern w:val="2"/>
                <w:szCs w:val="21"/>
                <w:highlight w:val="none"/>
                <w:lang w:val="zh-CN"/>
              </w:rPr>
            </w:pPr>
            <w:r>
              <w:rPr>
                <w:rFonts w:hint="eastAsia"/>
                <w:highlight w:val="none"/>
                <w:lang w:val="en-US" w:eastAsia="zh-CN"/>
              </w:rPr>
              <w:t>对项目</w:t>
            </w:r>
            <w:r>
              <w:rPr>
                <w:rFonts w:hint="eastAsia" w:ascii="宋体" w:hAnsi="宋体" w:eastAsia="宋体" w:cs="宋体"/>
                <w:color w:val="auto"/>
                <w:kern w:val="2"/>
                <w:szCs w:val="21"/>
                <w:highlight w:val="none"/>
                <w:lang w:val="zh-CN"/>
              </w:rPr>
              <w:t>工作总体设想</w:t>
            </w:r>
            <w:r>
              <w:rPr>
                <w:rFonts w:hint="eastAsia"/>
                <w:highlight w:val="none"/>
              </w:rPr>
              <w:t>是否清晰合理、符合规范要求</w:t>
            </w:r>
            <w:r>
              <w:rPr>
                <w:rFonts w:hint="eastAsia"/>
                <w:highlight w:val="none"/>
                <w:lang w:eastAsia="zh-CN"/>
              </w:rPr>
              <w:t>（</w:t>
            </w:r>
            <w:r>
              <w:rPr>
                <w:rFonts w:hint="eastAsia"/>
                <w:highlight w:val="none"/>
                <w:lang w:val="en-US" w:eastAsia="zh-CN"/>
              </w:rPr>
              <w:t>0-2分）</w:t>
            </w:r>
            <w:r>
              <w:rPr>
                <w:rFonts w:hint="eastAsia" w:ascii="宋体" w:hAnsi="宋体" w:cs="宋体"/>
                <w:color w:val="auto"/>
                <w:kern w:val="2"/>
                <w:szCs w:val="21"/>
                <w:highlight w:val="none"/>
                <w:lang w:val="zh-CN"/>
              </w:rPr>
              <w:t>；</w:t>
            </w:r>
          </w:p>
          <w:p>
            <w:pPr>
              <w:pStyle w:val="23"/>
              <w:spacing w:before="120" w:beforeLines="50" w:afterLines="50" w:line="240" w:lineRule="auto"/>
              <w:ind w:left="0" w:leftChars="0" w:firstLine="0" w:firstLineChars="0"/>
              <w:rPr>
                <w:rFonts w:hint="eastAsia" w:ascii="宋体" w:hAnsi="宋体" w:eastAsia="宋体" w:cs="宋体"/>
                <w:color w:val="auto"/>
                <w:kern w:val="2"/>
                <w:szCs w:val="21"/>
                <w:highlight w:val="none"/>
                <w:lang w:val="zh-CN" w:eastAsia="zh-CN"/>
              </w:rPr>
            </w:pPr>
            <w:r>
              <w:rPr>
                <w:rFonts w:hint="eastAsia" w:ascii="宋体" w:hAnsi="宋体" w:eastAsia="宋体" w:cs="宋体"/>
                <w:color w:val="auto"/>
                <w:kern w:val="2"/>
                <w:szCs w:val="21"/>
                <w:highlight w:val="none"/>
                <w:lang w:val="zh-CN"/>
              </w:rPr>
              <w:t>工作重点等</w:t>
            </w:r>
            <w:r>
              <w:rPr>
                <w:rFonts w:hint="eastAsia" w:ascii="宋体" w:hAnsi="宋体" w:cs="宋体"/>
                <w:color w:val="auto"/>
                <w:kern w:val="2"/>
                <w:szCs w:val="21"/>
                <w:highlight w:val="none"/>
                <w:lang w:val="zh-CN"/>
              </w:rPr>
              <w:t>情况的理解</w:t>
            </w:r>
            <w:r>
              <w:rPr>
                <w:rFonts w:hint="eastAsia"/>
                <w:highlight w:val="none"/>
                <w:lang w:eastAsia="zh-CN"/>
              </w:rPr>
              <w:t>（</w:t>
            </w:r>
            <w:r>
              <w:rPr>
                <w:rFonts w:hint="eastAsia"/>
                <w:highlight w:val="none"/>
                <w:lang w:val="en-US" w:eastAsia="zh-CN"/>
              </w:rPr>
              <w:t>0-2分）。</w:t>
            </w:r>
          </w:p>
        </w:tc>
        <w:tc>
          <w:tcPr>
            <w:tcW w:w="756" w:type="dxa"/>
            <w:tcBorders>
              <w:top w:val="single" w:color="auto" w:sz="6" w:space="0"/>
              <w:left w:val="single" w:color="auto" w:sz="4" w:space="0"/>
              <w:bottom w:val="single" w:color="auto" w:sz="6"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default" w:ascii="宋体" w:hAnsi="宋体" w:eastAsia="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6</w:t>
            </w:r>
          </w:p>
        </w:tc>
        <w:tc>
          <w:tcPr>
            <w:tcW w:w="875" w:type="dxa"/>
            <w:tcBorders>
              <w:top w:val="single" w:color="auto" w:sz="6" w:space="0"/>
              <w:left w:val="single" w:color="auto" w:sz="4" w:space="0"/>
              <w:bottom w:val="single" w:color="auto" w:sz="6"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eastAsia"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主观分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12" w:hRule="atLeast"/>
          <w:jc w:val="center"/>
        </w:trPr>
        <w:tc>
          <w:tcPr>
            <w:tcW w:w="617" w:type="dxa"/>
            <w:tcBorders>
              <w:top w:val="single" w:color="auto" w:sz="6" w:space="0"/>
              <w:left w:val="single" w:color="auto" w:sz="12" w:space="0"/>
              <w:bottom w:val="single" w:color="auto" w:sz="6" w:space="0"/>
              <w:right w:val="single" w:color="auto" w:sz="6" w:space="0"/>
            </w:tcBorders>
            <w:noWrap w:val="0"/>
            <w:vAlign w:val="center"/>
          </w:tcPr>
          <w:p>
            <w:pPr>
              <w:pStyle w:val="23"/>
              <w:spacing w:before="120" w:beforeLines="50" w:afterLines="50" w:line="240" w:lineRule="auto"/>
              <w:ind w:left="0" w:leftChars="0" w:firstLine="0" w:firstLineChars="0"/>
              <w:jc w:val="center"/>
              <w:rPr>
                <w:rFonts w:hint="eastAsia" w:ascii="宋体" w:hAnsi="宋体" w:eastAsia="宋体" w:cs="宋体"/>
                <w:color w:val="auto"/>
                <w:kern w:val="2"/>
                <w:szCs w:val="21"/>
                <w:highlight w:val="none"/>
                <w:lang w:val="en-US" w:eastAsia="zh-CN"/>
              </w:rPr>
            </w:pPr>
            <w:r>
              <w:rPr>
                <w:rFonts w:hint="eastAsia" w:ascii="宋体" w:hAnsi="宋体" w:eastAsia="宋体" w:cs="宋体"/>
                <w:color w:val="auto"/>
                <w:kern w:val="2"/>
                <w:szCs w:val="21"/>
                <w:highlight w:val="none"/>
                <w:lang w:val="en-US" w:eastAsia="zh-CN"/>
              </w:rPr>
              <w:t>2</w:t>
            </w:r>
          </w:p>
        </w:tc>
        <w:tc>
          <w:tcPr>
            <w:tcW w:w="7046" w:type="dxa"/>
            <w:tcBorders>
              <w:top w:val="single" w:color="auto" w:sz="6" w:space="0"/>
              <w:left w:val="single" w:color="auto" w:sz="4" w:space="0"/>
              <w:bottom w:val="single" w:color="auto" w:sz="6" w:space="0"/>
              <w:right w:val="single" w:color="auto" w:sz="12" w:space="0"/>
            </w:tcBorders>
            <w:noWrap w:val="0"/>
            <w:vAlign w:val="center"/>
          </w:tcPr>
          <w:p>
            <w:pPr>
              <w:pStyle w:val="23"/>
              <w:spacing w:before="120" w:beforeLines="50" w:afterLines="50" w:line="240" w:lineRule="auto"/>
              <w:ind w:left="0" w:leftChars="0" w:firstLine="0" w:firstLineChars="0"/>
              <w:rPr>
                <w:rFonts w:hint="default" w:ascii="宋体" w:hAnsi="宋体" w:eastAsia="宋体" w:cs="宋体"/>
                <w:color w:val="auto"/>
                <w:kern w:val="2"/>
                <w:szCs w:val="21"/>
                <w:highlight w:val="none"/>
                <w:lang w:val="en-US" w:eastAsia="zh-CN"/>
              </w:rPr>
            </w:pPr>
            <w:r>
              <w:rPr>
                <w:rFonts w:hint="default" w:ascii="宋体" w:hAnsi="宋体" w:eastAsia="宋体" w:cs="宋体"/>
                <w:color w:val="auto"/>
                <w:kern w:val="2"/>
                <w:szCs w:val="21"/>
                <w:highlight w:val="none"/>
                <w:lang w:val="en-US" w:eastAsia="zh-CN"/>
              </w:rPr>
              <w:t>根据养护日常作业内容，交通工具，养护作业人员详细安排</w:t>
            </w:r>
            <w:r>
              <w:rPr>
                <w:rFonts w:hint="eastAsia" w:ascii="宋体" w:hAnsi="宋体" w:cs="宋体"/>
                <w:color w:val="auto"/>
                <w:kern w:val="2"/>
                <w:szCs w:val="21"/>
                <w:highlight w:val="none"/>
                <w:lang w:val="en-US" w:eastAsia="zh-CN"/>
              </w:rPr>
              <w:t>合理性、完善性</w:t>
            </w:r>
            <w:r>
              <w:rPr>
                <w:rFonts w:hint="eastAsia"/>
                <w:highlight w:val="none"/>
                <w:lang w:eastAsia="zh-CN"/>
              </w:rPr>
              <w:t>（</w:t>
            </w:r>
            <w:r>
              <w:rPr>
                <w:rFonts w:hint="eastAsia"/>
                <w:highlight w:val="none"/>
                <w:lang w:val="en-US" w:eastAsia="zh-CN"/>
              </w:rPr>
              <w:t>0，1-3分）；</w:t>
            </w:r>
          </w:p>
          <w:p>
            <w:pPr>
              <w:pStyle w:val="23"/>
              <w:spacing w:before="120" w:beforeLines="50" w:afterLines="50" w:line="240" w:lineRule="auto"/>
              <w:ind w:left="0" w:leftChars="0" w:firstLine="0" w:firstLineChars="0"/>
              <w:rPr>
                <w:rFonts w:hint="default" w:ascii="宋体" w:hAnsi="宋体" w:eastAsia="宋体" w:cs="宋体"/>
                <w:color w:val="auto"/>
                <w:kern w:val="2"/>
                <w:szCs w:val="21"/>
                <w:highlight w:val="none"/>
                <w:lang w:val="en-US" w:eastAsia="zh-CN"/>
              </w:rPr>
            </w:pPr>
            <w:r>
              <w:rPr>
                <w:rFonts w:hint="default" w:ascii="宋体" w:hAnsi="宋体" w:eastAsia="宋体" w:cs="宋体"/>
                <w:color w:val="auto"/>
                <w:kern w:val="2"/>
                <w:szCs w:val="21"/>
                <w:highlight w:val="none"/>
                <w:lang w:val="en-US" w:eastAsia="zh-CN"/>
              </w:rPr>
              <w:t>养护设备配置分配，防治病虫害及抗击自然灾害的具体保证措施等</w:t>
            </w:r>
            <w:r>
              <w:rPr>
                <w:rFonts w:hint="eastAsia" w:ascii="宋体" w:hAnsi="宋体" w:cs="宋体"/>
                <w:color w:val="auto"/>
                <w:kern w:val="2"/>
                <w:szCs w:val="21"/>
                <w:highlight w:val="none"/>
                <w:lang w:val="en-US" w:eastAsia="zh-CN"/>
              </w:rPr>
              <w:t>的是否全面、合理、可行</w:t>
            </w:r>
            <w:r>
              <w:rPr>
                <w:rFonts w:hint="eastAsia"/>
                <w:highlight w:val="none"/>
                <w:lang w:eastAsia="zh-CN"/>
              </w:rPr>
              <w:t>（</w:t>
            </w:r>
            <w:r>
              <w:rPr>
                <w:rFonts w:hint="eastAsia"/>
                <w:highlight w:val="none"/>
                <w:lang w:val="en-US" w:eastAsia="zh-CN"/>
              </w:rPr>
              <w:t>0，1-3分）。</w:t>
            </w:r>
          </w:p>
        </w:tc>
        <w:tc>
          <w:tcPr>
            <w:tcW w:w="756" w:type="dxa"/>
            <w:tcBorders>
              <w:top w:val="single" w:color="auto" w:sz="6" w:space="0"/>
              <w:left w:val="single" w:color="auto" w:sz="4" w:space="0"/>
              <w:bottom w:val="single" w:color="auto" w:sz="6"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eastAsia" w:ascii="宋体" w:hAnsi="宋体" w:eastAsia="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6</w:t>
            </w:r>
          </w:p>
        </w:tc>
        <w:tc>
          <w:tcPr>
            <w:tcW w:w="875" w:type="dxa"/>
            <w:tcBorders>
              <w:top w:val="single" w:color="auto" w:sz="6" w:space="0"/>
              <w:left w:val="single" w:color="auto" w:sz="4" w:space="0"/>
              <w:bottom w:val="single" w:color="auto" w:sz="6"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eastAsia"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主观分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286" w:hRule="atLeast"/>
          <w:jc w:val="center"/>
        </w:trPr>
        <w:tc>
          <w:tcPr>
            <w:tcW w:w="617" w:type="dxa"/>
            <w:tcBorders>
              <w:top w:val="single" w:color="auto" w:sz="6" w:space="0"/>
              <w:left w:val="single" w:color="auto" w:sz="12" w:space="0"/>
              <w:bottom w:val="single" w:color="auto" w:sz="6" w:space="0"/>
              <w:right w:val="single" w:color="auto" w:sz="6" w:space="0"/>
            </w:tcBorders>
            <w:noWrap w:val="0"/>
            <w:vAlign w:val="center"/>
          </w:tcPr>
          <w:p>
            <w:pPr>
              <w:pStyle w:val="23"/>
              <w:spacing w:before="120" w:beforeLines="50" w:afterLines="50" w:line="240" w:lineRule="auto"/>
              <w:ind w:left="0" w:leftChars="0" w:firstLine="0" w:firstLineChars="0"/>
              <w:jc w:val="center"/>
              <w:rPr>
                <w:rFonts w:hint="eastAsia" w:ascii="宋体" w:hAnsi="宋体" w:eastAsia="宋体" w:cs="宋体"/>
                <w:color w:val="auto"/>
                <w:kern w:val="2"/>
                <w:szCs w:val="21"/>
                <w:highlight w:val="none"/>
                <w:lang w:val="en-US" w:eastAsia="zh-CN"/>
              </w:rPr>
            </w:pPr>
            <w:r>
              <w:rPr>
                <w:rFonts w:hint="eastAsia" w:ascii="宋体" w:hAnsi="宋体" w:eastAsia="宋体" w:cs="宋体"/>
                <w:color w:val="auto"/>
                <w:kern w:val="2"/>
                <w:szCs w:val="21"/>
                <w:highlight w:val="none"/>
                <w:lang w:val="en-US" w:eastAsia="zh-CN"/>
              </w:rPr>
              <w:t>3</w:t>
            </w:r>
          </w:p>
        </w:tc>
        <w:tc>
          <w:tcPr>
            <w:tcW w:w="7046" w:type="dxa"/>
            <w:tcBorders>
              <w:top w:val="single" w:color="auto" w:sz="6" w:space="0"/>
              <w:left w:val="single" w:color="auto" w:sz="4" w:space="0"/>
              <w:bottom w:val="single" w:color="auto" w:sz="6" w:space="0"/>
              <w:right w:val="single" w:color="auto" w:sz="12" w:space="0"/>
            </w:tcBorders>
            <w:noWrap w:val="0"/>
            <w:vAlign w:val="center"/>
          </w:tcPr>
          <w:p>
            <w:pPr>
              <w:pStyle w:val="23"/>
              <w:spacing w:before="120" w:beforeLines="50" w:afterLines="50" w:line="240" w:lineRule="auto"/>
              <w:ind w:left="0" w:leftChars="0" w:firstLine="0" w:firstLineChars="0"/>
              <w:rPr>
                <w:rFonts w:hint="eastAsia" w:ascii="宋体" w:hAnsi="宋体" w:eastAsia="宋体" w:cs="宋体"/>
                <w:color w:val="auto"/>
                <w:kern w:val="2"/>
                <w:szCs w:val="21"/>
                <w:highlight w:val="none"/>
                <w:lang w:eastAsia="zh-CN"/>
              </w:rPr>
            </w:pPr>
            <w:r>
              <w:rPr>
                <w:rFonts w:hint="eastAsia" w:ascii="宋体" w:hAnsi="宋体" w:eastAsia="宋体" w:cs="宋体"/>
                <w:color w:val="auto"/>
                <w:kern w:val="2"/>
                <w:szCs w:val="21"/>
                <w:highlight w:val="none"/>
                <w:lang w:eastAsia="zh-CN"/>
              </w:rPr>
              <w:t>根据作业质量标准，检查考核办法，作业人员安全教育、劳动保护、安全管理制度</w:t>
            </w:r>
            <w:r>
              <w:rPr>
                <w:rFonts w:hint="eastAsia" w:ascii="宋体" w:hAnsi="宋体" w:cs="宋体"/>
                <w:color w:val="auto"/>
                <w:kern w:val="2"/>
                <w:szCs w:val="21"/>
                <w:highlight w:val="none"/>
                <w:lang w:eastAsia="zh-CN"/>
              </w:rPr>
              <w:t>、</w:t>
            </w:r>
            <w:r>
              <w:rPr>
                <w:rFonts w:hint="eastAsia" w:ascii="宋体" w:hAnsi="宋体" w:eastAsia="宋体" w:cs="宋体"/>
                <w:color w:val="auto"/>
                <w:kern w:val="2"/>
                <w:szCs w:val="21"/>
                <w:highlight w:val="none"/>
                <w:lang w:eastAsia="zh-CN"/>
              </w:rPr>
              <w:t>安全文明礼貌的承诺及保证措施、作业人员统一着装、重大接待任务及重要节假日加班措施、意外事件应急预案等情况酌情评分</w:t>
            </w:r>
            <w:r>
              <w:rPr>
                <w:rFonts w:hint="eastAsia"/>
                <w:highlight w:val="none"/>
                <w:lang w:eastAsia="zh-CN"/>
              </w:rPr>
              <w:t>（</w:t>
            </w:r>
            <w:r>
              <w:rPr>
                <w:rFonts w:hint="eastAsia"/>
                <w:highlight w:val="none"/>
                <w:lang w:val="en-US" w:eastAsia="zh-CN"/>
              </w:rPr>
              <w:t>0，3-6分）</w:t>
            </w:r>
          </w:p>
        </w:tc>
        <w:tc>
          <w:tcPr>
            <w:tcW w:w="756" w:type="dxa"/>
            <w:tcBorders>
              <w:top w:val="single" w:color="auto" w:sz="6" w:space="0"/>
              <w:left w:val="single" w:color="auto" w:sz="4" w:space="0"/>
              <w:bottom w:val="single" w:color="auto" w:sz="6"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default" w:ascii="宋体" w:hAnsi="宋体" w:eastAsia="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6</w:t>
            </w:r>
          </w:p>
        </w:tc>
        <w:tc>
          <w:tcPr>
            <w:tcW w:w="875" w:type="dxa"/>
            <w:tcBorders>
              <w:top w:val="single" w:color="auto" w:sz="6" w:space="0"/>
              <w:left w:val="single" w:color="auto" w:sz="4" w:space="0"/>
              <w:bottom w:val="single" w:color="auto" w:sz="6"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eastAsia"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主观分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947" w:hRule="atLeast"/>
          <w:jc w:val="center"/>
        </w:trPr>
        <w:tc>
          <w:tcPr>
            <w:tcW w:w="617" w:type="dxa"/>
            <w:tcBorders>
              <w:top w:val="single" w:color="auto" w:sz="4" w:space="0"/>
              <w:left w:val="single" w:color="auto" w:sz="12" w:space="0"/>
              <w:bottom w:val="single" w:color="auto" w:sz="6" w:space="0"/>
              <w:right w:val="single" w:color="auto" w:sz="6" w:space="0"/>
            </w:tcBorders>
            <w:noWrap w:val="0"/>
            <w:vAlign w:val="center"/>
          </w:tcPr>
          <w:p>
            <w:pPr>
              <w:pStyle w:val="23"/>
              <w:spacing w:before="120" w:beforeLines="50" w:afterLines="50" w:line="240" w:lineRule="auto"/>
              <w:ind w:left="0" w:leftChars="0" w:firstLine="0" w:firstLineChars="0"/>
              <w:jc w:val="center"/>
              <w:rPr>
                <w:rFonts w:hint="eastAsia" w:ascii="宋体" w:hAnsi="宋体" w:eastAsia="宋体" w:cs="宋体"/>
                <w:color w:val="auto"/>
                <w:kern w:val="2"/>
                <w:szCs w:val="21"/>
                <w:highlight w:val="none"/>
                <w:lang w:val="en-US" w:eastAsia="zh-CN"/>
              </w:rPr>
            </w:pPr>
            <w:r>
              <w:rPr>
                <w:rFonts w:hint="eastAsia" w:ascii="宋体" w:hAnsi="宋体" w:eastAsia="宋体" w:cs="宋体"/>
                <w:color w:val="auto"/>
                <w:kern w:val="2"/>
                <w:szCs w:val="21"/>
                <w:highlight w:val="none"/>
                <w:lang w:val="en-US" w:eastAsia="zh-CN"/>
              </w:rPr>
              <w:t>4</w:t>
            </w:r>
          </w:p>
        </w:tc>
        <w:tc>
          <w:tcPr>
            <w:tcW w:w="7046" w:type="dxa"/>
            <w:tcBorders>
              <w:top w:val="single" w:color="auto" w:sz="4" w:space="0"/>
              <w:left w:val="single" w:color="auto" w:sz="6" w:space="0"/>
              <w:bottom w:val="single" w:color="auto" w:sz="6" w:space="0"/>
              <w:right w:val="single" w:color="auto" w:sz="12" w:space="0"/>
            </w:tcBorders>
            <w:noWrap w:val="0"/>
            <w:vAlign w:val="center"/>
          </w:tcPr>
          <w:p>
            <w:pPr>
              <w:pStyle w:val="23"/>
              <w:spacing w:before="120" w:beforeLines="50" w:afterLines="50" w:line="240" w:lineRule="auto"/>
              <w:ind w:left="0" w:leftChars="0" w:firstLine="0" w:firstLineChars="0"/>
              <w:jc w:val="both"/>
              <w:rPr>
                <w:rFonts w:hint="eastAsia" w:ascii="宋体" w:hAnsi="宋体" w:eastAsia="宋体" w:cs="宋体"/>
                <w:color w:val="auto"/>
                <w:kern w:val="2"/>
                <w:szCs w:val="21"/>
                <w:highlight w:val="none"/>
                <w:lang w:eastAsia="zh-CN"/>
              </w:rPr>
            </w:pPr>
            <w:r>
              <w:rPr>
                <w:rFonts w:hint="eastAsia" w:ascii="宋体" w:hAnsi="宋体" w:eastAsia="宋体" w:cs="宋体"/>
                <w:color w:val="auto"/>
                <w:kern w:val="2"/>
                <w:szCs w:val="21"/>
                <w:highlight w:val="none"/>
                <w:lang w:eastAsia="zh-CN"/>
              </w:rPr>
              <w:t>根据投标单位针对投标标项绿化养护计划安排：充分研究绿地植物品种及群落形式养护需要，制定全年合理的养护计划安排，包括合理详细的病虫害防治、施肥、修剪、除草、设施维护等工作安排及时间节点控制，并结合特点突出重点养护工作（0或</w:t>
            </w:r>
            <w:r>
              <w:rPr>
                <w:rFonts w:hint="eastAsia" w:ascii="宋体" w:hAnsi="宋体" w:cs="宋体"/>
                <w:color w:val="auto"/>
                <w:kern w:val="2"/>
                <w:szCs w:val="21"/>
                <w:highlight w:val="none"/>
                <w:lang w:val="en-US" w:eastAsia="zh-CN"/>
              </w:rPr>
              <w:t>3</w:t>
            </w:r>
            <w:r>
              <w:rPr>
                <w:rFonts w:hint="eastAsia" w:ascii="宋体" w:hAnsi="宋体" w:eastAsia="宋体" w:cs="宋体"/>
                <w:color w:val="auto"/>
                <w:kern w:val="2"/>
                <w:szCs w:val="21"/>
                <w:highlight w:val="none"/>
                <w:lang w:eastAsia="zh-CN"/>
              </w:rPr>
              <w:t>-</w:t>
            </w:r>
            <w:r>
              <w:rPr>
                <w:rFonts w:hint="eastAsia" w:ascii="宋体" w:hAnsi="宋体" w:cs="宋体"/>
                <w:color w:val="auto"/>
                <w:kern w:val="2"/>
                <w:szCs w:val="21"/>
                <w:highlight w:val="none"/>
                <w:lang w:val="en-US" w:eastAsia="zh-CN"/>
              </w:rPr>
              <w:t>6</w:t>
            </w:r>
            <w:r>
              <w:rPr>
                <w:rFonts w:hint="eastAsia" w:ascii="宋体" w:hAnsi="宋体" w:eastAsia="宋体" w:cs="宋体"/>
                <w:color w:val="auto"/>
                <w:kern w:val="2"/>
                <w:szCs w:val="21"/>
                <w:highlight w:val="none"/>
                <w:lang w:eastAsia="zh-CN"/>
              </w:rPr>
              <w:t>分）</w:t>
            </w:r>
          </w:p>
        </w:tc>
        <w:tc>
          <w:tcPr>
            <w:tcW w:w="756" w:type="dxa"/>
            <w:tcBorders>
              <w:top w:val="single" w:color="auto" w:sz="4" w:space="0"/>
              <w:left w:val="single" w:color="auto" w:sz="6" w:space="0"/>
              <w:bottom w:val="single" w:color="auto" w:sz="6"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eastAsia" w:ascii="宋体" w:hAnsi="宋体" w:eastAsia="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6</w:t>
            </w:r>
          </w:p>
        </w:tc>
        <w:tc>
          <w:tcPr>
            <w:tcW w:w="875" w:type="dxa"/>
            <w:tcBorders>
              <w:top w:val="single" w:color="auto" w:sz="4" w:space="0"/>
              <w:left w:val="single" w:color="auto" w:sz="6" w:space="0"/>
              <w:bottom w:val="single" w:color="auto" w:sz="6"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eastAsia"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主观分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76" w:hRule="atLeast"/>
          <w:jc w:val="center"/>
        </w:trPr>
        <w:tc>
          <w:tcPr>
            <w:tcW w:w="617" w:type="dxa"/>
            <w:tcBorders>
              <w:top w:val="single" w:color="auto" w:sz="4" w:space="0"/>
              <w:left w:val="single" w:color="auto" w:sz="12" w:space="0"/>
              <w:bottom w:val="single" w:color="auto" w:sz="6" w:space="0"/>
              <w:right w:val="single" w:color="auto" w:sz="6" w:space="0"/>
            </w:tcBorders>
            <w:noWrap w:val="0"/>
            <w:vAlign w:val="center"/>
          </w:tcPr>
          <w:p>
            <w:pPr>
              <w:pStyle w:val="23"/>
              <w:spacing w:before="120" w:beforeLines="50" w:afterLines="50" w:line="240" w:lineRule="auto"/>
              <w:ind w:left="0" w:leftChars="0" w:firstLine="0" w:firstLineChars="0"/>
              <w:jc w:val="center"/>
              <w:rPr>
                <w:rFonts w:hint="eastAsia" w:ascii="宋体" w:hAnsi="宋体" w:eastAsia="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5</w:t>
            </w:r>
          </w:p>
        </w:tc>
        <w:tc>
          <w:tcPr>
            <w:tcW w:w="7046" w:type="dxa"/>
            <w:tcBorders>
              <w:top w:val="single" w:color="auto" w:sz="4" w:space="0"/>
              <w:left w:val="single" w:color="auto" w:sz="6" w:space="0"/>
              <w:bottom w:val="single" w:color="auto" w:sz="6" w:space="0"/>
              <w:right w:val="single" w:color="auto" w:sz="12" w:space="0"/>
            </w:tcBorders>
            <w:noWrap w:val="0"/>
            <w:vAlign w:val="center"/>
          </w:tcPr>
          <w:p>
            <w:pPr>
              <w:pStyle w:val="23"/>
              <w:spacing w:before="120" w:beforeLines="50" w:afterLines="50" w:line="240" w:lineRule="auto"/>
              <w:ind w:left="0" w:leftChars="0" w:firstLine="0" w:firstLineChars="0"/>
              <w:rPr>
                <w:rFonts w:hint="default" w:ascii="宋体" w:hAnsi="宋体" w:eastAsia="宋体" w:cs="宋体"/>
                <w:color w:val="auto"/>
                <w:kern w:val="2"/>
                <w:szCs w:val="21"/>
                <w:highlight w:val="none"/>
                <w:lang w:val="en-US" w:eastAsia="zh-CN"/>
              </w:rPr>
            </w:pPr>
            <w:r>
              <w:rPr>
                <w:rFonts w:hint="eastAsia" w:asciiTheme="minorEastAsia" w:hAnsiTheme="minorEastAsia" w:eastAsiaTheme="minorEastAsia"/>
                <w:bCs/>
                <w:color w:val="000000" w:themeColor="text1"/>
                <w:szCs w:val="21"/>
                <w:highlight w:val="none"/>
                <w14:textFill>
                  <w14:solidFill>
                    <w14:schemeClr w14:val="tx1"/>
                  </w14:solidFill>
                </w14:textFill>
              </w:rPr>
              <w:t>投标人制定确保本项目的</w:t>
            </w:r>
            <w:r>
              <w:rPr>
                <w:rFonts w:asciiTheme="minorEastAsia" w:hAnsiTheme="minorEastAsia" w:eastAsiaTheme="minorEastAsia"/>
                <w:bCs/>
                <w:color w:val="000000" w:themeColor="text1"/>
                <w:szCs w:val="21"/>
                <w:highlight w:val="none"/>
                <w14:textFill>
                  <w14:solidFill>
                    <w14:schemeClr w14:val="tx1"/>
                  </w14:solidFill>
                </w14:textFill>
              </w:rPr>
              <w:t>保证措施，</w:t>
            </w:r>
            <w:r>
              <w:rPr>
                <w:rFonts w:hint="eastAsia" w:asciiTheme="minorEastAsia" w:hAnsiTheme="minorEastAsia" w:eastAsiaTheme="minorEastAsia"/>
                <w:bCs/>
                <w:color w:val="000000" w:themeColor="text1"/>
                <w:szCs w:val="21"/>
                <w:highlight w:val="none"/>
                <w14:textFill>
                  <w14:solidFill>
                    <w14:schemeClr w14:val="tx1"/>
                  </w14:solidFill>
                </w14:textFill>
              </w:rPr>
              <w:t>内部</w:t>
            </w:r>
            <w:r>
              <w:rPr>
                <w:rFonts w:asciiTheme="minorEastAsia" w:hAnsiTheme="minorEastAsia" w:eastAsiaTheme="minorEastAsia"/>
                <w:bCs/>
                <w:color w:val="000000" w:themeColor="text1"/>
                <w:szCs w:val="21"/>
                <w:highlight w:val="none"/>
                <w14:textFill>
                  <w14:solidFill>
                    <w14:schemeClr w14:val="tx1"/>
                  </w14:solidFill>
                </w14:textFill>
              </w:rPr>
              <w:t>校审制度齐全</w:t>
            </w:r>
            <w:r>
              <w:rPr>
                <w:rFonts w:hint="eastAsia" w:asciiTheme="minorEastAsia" w:hAnsiTheme="minorEastAsia" w:eastAsiaTheme="minorEastAsia"/>
                <w:bCs/>
                <w:color w:val="000000" w:themeColor="text1"/>
                <w:szCs w:val="21"/>
                <w:highlight w:val="none"/>
                <w14:textFill>
                  <w14:solidFill>
                    <w14:schemeClr w14:val="tx1"/>
                  </w14:solidFill>
                </w14:textFill>
              </w:rPr>
              <w:t>、</w:t>
            </w:r>
            <w:r>
              <w:rPr>
                <w:rFonts w:asciiTheme="minorEastAsia" w:hAnsiTheme="minorEastAsia" w:eastAsiaTheme="minorEastAsia"/>
                <w:bCs/>
                <w:color w:val="000000" w:themeColor="text1"/>
                <w:szCs w:val="21"/>
                <w:highlight w:val="none"/>
                <w14:textFill>
                  <w14:solidFill>
                    <w14:schemeClr w14:val="tx1"/>
                  </w14:solidFill>
                </w14:textFill>
              </w:rPr>
              <w:t>质量保证措施和管理体系合理</w:t>
            </w:r>
            <w:r>
              <w:rPr>
                <w:rFonts w:hint="eastAsia" w:asciiTheme="minorEastAsia" w:hAnsiTheme="minorEastAsia" w:eastAsiaTheme="minorEastAsia"/>
                <w:bCs/>
                <w:color w:val="000000" w:themeColor="text1"/>
                <w:szCs w:val="21"/>
                <w:highlight w:val="none"/>
                <w14:textFill>
                  <w14:solidFill>
                    <w14:schemeClr w14:val="tx1"/>
                  </w14:solidFill>
                </w14:textFill>
              </w:rPr>
              <w:t>、</w:t>
            </w:r>
            <w:r>
              <w:rPr>
                <w:rFonts w:asciiTheme="minorEastAsia" w:hAnsiTheme="minorEastAsia" w:eastAsiaTheme="minorEastAsia"/>
                <w:bCs/>
                <w:color w:val="000000" w:themeColor="text1"/>
                <w:szCs w:val="21"/>
                <w:highlight w:val="none"/>
                <w14:textFill>
                  <w14:solidFill>
                    <w14:schemeClr w14:val="tx1"/>
                  </w14:solidFill>
                </w14:textFill>
              </w:rPr>
              <w:t>详实，质量</w:t>
            </w:r>
            <w:r>
              <w:rPr>
                <w:rFonts w:hint="eastAsia" w:asciiTheme="minorEastAsia" w:hAnsiTheme="minorEastAsia" w:eastAsiaTheme="minorEastAsia"/>
                <w:bCs/>
                <w:color w:val="000000" w:themeColor="text1"/>
                <w:szCs w:val="21"/>
                <w:highlight w:val="none"/>
                <w14:textFill>
                  <w14:solidFill>
                    <w14:schemeClr w14:val="tx1"/>
                  </w14:solidFill>
                </w14:textFill>
              </w:rPr>
              <w:t>措施方案有效</w:t>
            </w:r>
            <w:r>
              <w:rPr>
                <w:rFonts w:hint="eastAsia" w:asciiTheme="minorEastAsia" w:hAnsiTheme="minorEastAsia" w:eastAsiaTheme="minorEastAsia"/>
                <w:bCs/>
                <w:color w:val="000000" w:themeColor="text1"/>
                <w:szCs w:val="21"/>
                <w:highlight w:val="none"/>
                <w:lang w:eastAsia="zh-CN"/>
                <w14:textFill>
                  <w14:solidFill>
                    <w14:schemeClr w14:val="tx1"/>
                  </w14:solidFill>
                </w14:textFill>
              </w:rPr>
              <w:t>进行打分</w:t>
            </w:r>
            <w:r>
              <w:rPr>
                <w:rFonts w:hint="eastAsia" w:asciiTheme="minorEastAsia" w:hAnsiTheme="minorEastAsia" w:eastAsiaTheme="minorEastAsia"/>
                <w:bCs/>
                <w:color w:val="000000" w:themeColor="text1"/>
                <w:szCs w:val="21"/>
                <w:highlight w:val="none"/>
                <w14:textFill>
                  <w14:solidFill>
                    <w14:schemeClr w14:val="tx1"/>
                  </w14:solidFill>
                </w14:textFill>
              </w:rPr>
              <w:t>。</w:t>
            </w:r>
            <w:r>
              <w:rPr>
                <w:rFonts w:hint="eastAsia" w:asciiTheme="minorEastAsia" w:hAnsiTheme="minorEastAsia" w:eastAsiaTheme="minorEastAsia"/>
                <w:color w:val="000000" w:themeColor="text1"/>
                <w:szCs w:val="21"/>
                <w:highlight w:val="none"/>
                <w14:textFill>
                  <w14:solidFill>
                    <w14:schemeClr w14:val="tx1"/>
                  </w14:solidFill>
                </w14:textFill>
              </w:rPr>
              <w:t>（</w:t>
            </w:r>
            <w:r>
              <w:rPr>
                <w:rFonts w:hint="eastAsia" w:asciiTheme="minorEastAsia" w:hAnsiTheme="minorEastAsia" w:eastAsiaTheme="minorEastAsia"/>
                <w:color w:val="000000" w:themeColor="text1"/>
                <w:szCs w:val="21"/>
                <w:highlight w:val="none"/>
                <w:lang w:val="en-US" w:eastAsia="zh-CN"/>
                <w14:textFill>
                  <w14:solidFill>
                    <w14:schemeClr w14:val="tx1"/>
                  </w14:solidFill>
                </w14:textFill>
              </w:rPr>
              <w:t>2</w:t>
            </w:r>
            <w:r>
              <w:rPr>
                <w:rFonts w:hint="eastAsia" w:asciiTheme="minorEastAsia" w:hAnsiTheme="minorEastAsia" w:eastAsiaTheme="minorEastAsia"/>
                <w:color w:val="000000" w:themeColor="text1"/>
                <w:szCs w:val="21"/>
                <w:highlight w:val="none"/>
                <w14:textFill>
                  <w14:solidFill>
                    <w14:schemeClr w14:val="tx1"/>
                  </w14:solidFill>
                </w14:textFill>
              </w:rPr>
              <w:t>-5分）</w:t>
            </w:r>
          </w:p>
        </w:tc>
        <w:tc>
          <w:tcPr>
            <w:tcW w:w="756" w:type="dxa"/>
            <w:tcBorders>
              <w:top w:val="single" w:color="auto" w:sz="4" w:space="0"/>
              <w:left w:val="single" w:color="auto" w:sz="6" w:space="0"/>
              <w:bottom w:val="single" w:color="auto" w:sz="6"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default" w:ascii="宋体" w:hAnsi="宋体" w:eastAsia="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5</w:t>
            </w:r>
          </w:p>
        </w:tc>
        <w:tc>
          <w:tcPr>
            <w:tcW w:w="875" w:type="dxa"/>
            <w:tcBorders>
              <w:top w:val="single" w:color="auto" w:sz="4" w:space="0"/>
              <w:left w:val="single" w:color="auto" w:sz="6" w:space="0"/>
              <w:bottom w:val="single" w:color="auto" w:sz="6"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eastAsia"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主观分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970" w:hRule="atLeast"/>
          <w:jc w:val="center"/>
        </w:trPr>
        <w:tc>
          <w:tcPr>
            <w:tcW w:w="617" w:type="dxa"/>
            <w:tcBorders>
              <w:top w:val="single" w:color="auto" w:sz="4" w:space="0"/>
              <w:left w:val="single" w:color="auto" w:sz="12" w:space="0"/>
              <w:bottom w:val="single" w:color="auto" w:sz="6" w:space="0"/>
              <w:right w:val="single" w:color="auto" w:sz="6" w:space="0"/>
            </w:tcBorders>
            <w:noWrap w:val="0"/>
            <w:vAlign w:val="center"/>
          </w:tcPr>
          <w:p>
            <w:pPr>
              <w:pStyle w:val="23"/>
              <w:spacing w:before="120" w:beforeLines="50" w:afterLines="50" w:line="240" w:lineRule="auto"/>
              <w:ind w:left="0" w:leftChars="0" w:firstLine="0" w:firstLineChars="0"/>
              <w:jc w:val="center"/>
              <w:rPr>
                <w:rFonts w:hint="default"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6</w:t>
            </w:r>
          </w:p>
        </w:tc>
        <w:tc>
          <w:tcPr>
            <w:tcW w:w="7046" w:type="dxa"/>
            <w:tcBorders>
              <w:top w:val="single" w:color="auto" w:sz="4" w:space="0"/>
              <w:left w:val="single" w:color="auto" w:sz="6" w:space="0"/>
              <w:bottom w:val="single" w:color="auto" w:sz="4" w:space="0"/>
              <w:right w:val="single" w:color="auto" w:sz="12" w:space="0"/>
            </w:tcBorders>
            <w:noWrap w:val="0"/>
            <w:vAlign w:val="center"/>
          </w:tcPr>
          <w:p>
            <w:pPr>
              <w:pStyle w:val="23"/>
              <w:spacing w:before="120" w:beforeLines="50" w:afterLines="50" w:line="240" w:lineRule="auto"/>
              <w:ind w:left="0" w:leftChars="0" w:firstLine="0" w:firstLineChars="0"/>
              <w:rPr>
                <w:rFonts w:hint="eastAsia" w:ascii="宋体" w:hAnsi="宋体" w:cs="宋体"/>
                <w:color w:val="auto"/>
                <w:kern w:val="2"/>
                <w:szCs w:val="21"/>
                <w:highlight w:val="none"/>
                <w:lang w:val="en-US" w:eastAsia="zh-CN"/>
              </w:rPr>
            </w:pPr>
            <w:r>
              <w:rPr>
                <w:rFonts w:hint="eastAsia" w:ascii="宋体" w:hAnsi="宋体" w:cs="宋体"/>
                <w:color w:val="000000" w:themeColor="text1"/>
                <w:szCs w:val="21"/>
                <w:highlight w:val="none"/>
                <w14:textFill>
                  <w14:solidFill>
                    <w14:schemeClr w14:val="tx1"/>
                  </w14:solidFill>
                </w14:textFill>
              </w:rPr>
              <w:t>投标人提供重点难点分析报告，阐述项目实施过程中将会遇到的问题，包括工作要点、关键点作分级分析，层级清晰，分析深刻透彻，有针对性的，对现场情况全面了解情况进行综合比较打分。（0</w:t>
            </w:r>
            <w:r>
              <w:rPr>
                <w:rFonts w:hint="eastAsia" w:ascii="宋体" w:hAnsi="宋体" w:cs="宋体"/>
                <w:color w:val="000000" w:themeColor="text1"/>
                <w:szCs w:val="21"/>
                <w:highlight w:val="none"/>
                <w:lang w:val="en-US" w:eastAsia="zh-CN"/>
                <w14:textFill>
                  <w14:solidFill>
                    <w14:schemeClr w14:val="tx1"/>
                  </w14:solidFill>
                </w14:textFill>
              </w:rPr>
              <w:t>,3</w:t>
            </w:r>
            <w:r>
              <w:rPr>
                <w:rFonts w:ascii="宋体" w:hAnsi="宋体" w:cs="宋体"/>
                <w:color w:val="000000" w:themeColor="text1"/>
                <w:szCs w:val="21"/>
                <w:highlight w:val="none"/>
                <w14:textFill>
                  <w14:solidFill>
                    <w14:schemeClr w14:val="tx1"/>
                  </w14:solidFill>
                </w14:textFill>
              </w:rPr>
              <w:t>-</w:t>
            </w:r>
            <w:r>
              <w:rPr>
                <w:rFonts w:hint="eastAsia" w:ascii="宋体" w:hAnsi="宋体" w:cs="宋体"/>
                <w:color w:val="000000" w:themeColor="text1"/>
                <w:szCs w:val="21"/>
                <w:highlight w:val="none"/>
                <w:lang w:val="en-US" w:eastAsia="zh-CN"/>
                <w14:textFill>
                  <w14:solidFill>
                    <w14:schemeClr w14:val="tx1"/>
                  </w14:solidFill>
                </w14:textFill>
              </w:rPr>
              <w:t>6</w:t>
            </w:r>
            <w:r>
              <w:rPr>
                <w:rFonts w:hint="eastAsia" w:ascii="宋体" w:hAnsi="宋体" w:cs="宋体"/>
                <w:color w:val="000000" w:themeColor="text1"/>
                <w:szCs w:val="21"/>
                <w:highlight w:val="none"/>
                <w14:textFill>
                  <w14:solidFill>
                    <w14:schemeClr w14:val="tx1"/>
                  </w14:solidFill>
                </w14:textFill>
              </w:rPr>
              <w:t>分）</w:t>
            </w:r>
          </w:p>
        </w:tc>
        <w:tc>
          <w:tcPr>
            <w:tcW w:w="756" w:type="dxa"/>
            <w:tcBorders>
              <w:top w:val="single" w:color="auto" w:sz="4" w:space="0"/>
              <w:left w:val="single" w:color="auto" w:sz="6" w:space="0"/>
              <w:bottom w:val="single" w:color="auto" w:sz="4"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default"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6</w:t>
            </w:r>
          </w:p>
        </w:tc>
        <w:tc>
          <w:tcPr>
            <w:tcW w:w="875" w:type="dxa"/>
            <w:tcBorders>
              <w:top w:val="single" w:color="auto" w:sz="4" w:space="0"/>
              <w:left w:val="single" w:color="auto" w:sz="6" w:space="0"/>
              <w:bottom w:val="single" w:color="auto" w:sz="4"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eastAsia"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主观分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90" w:hRule="atLeast"/>
          <w:jc w:val="center"/>
        </w:trPr>
        <w:tc>
          <w:tcPr>
            <w:tcW w:w="617" w:type="dxa"/>
            <w:tcBorders>
              <w:top w:val="single" w:color="auto" w:sz="4" w:space="0"/>
              <w:left w:val="single" w:color="auto" w:sz="12" w:space="0"/>
              <w:bottom w:val="single" w:color="auto" w:sz="6" w:space="0"/>
              <w:right w:val="single" w:color="auto" w:sz="6" w:space="0"/>
            </w:tcBorders>
            <w:noWrap w:val="0"/>
            <w:vAlign w:val="center"/>
          </w:tcPr>
          <w:p>
            <w:pPr>
              <w:pStyle w:val="23"/>
              <w:spacing w:before="120" w:beforeLines="50" w:afterLines="50" w:line="240" w:lineRule="auto"/>
              <w:ind w:left="0" w:leftChars="0" w:firstLine="0" w:firstLineChars="0"/>
              <w:jc w:val="center"/>
              <w:rPr>
                <w:rFonts w:hint="default"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7</w:t>
            </w:r>
          </w:p>
        </w:tc>
        <w:tc>
          <w:tcPr>
            <w:tcW w:w="7046" w:type="dxa"/>
            <w:tcBorders>
              <w:top w:val="single" w:color="auto" w:sz="4" w:space="0"/>
              <w:left w:val="single" w:color="auto" w:sz="6" w:space="0"/>
              <w:bottom w:val="single" w:color="auto" w:sz="4" w:space="0"/>
              <w:right w:val="single" w:color="auto" w:sz="12" w:space="0"/>
            </w:tcBorders>
            <w:noWrap w:val="0"/>
            <w:vAlign w:val="center"/>
          </w:tcPr>
          <w:p>
            <w:pPr>
              <w:pStyle w:val="23"/>
              <w:spacing w:before="120" w:beforeLines="50" w:afterLines="50" w:line="240" w:lineRule="auto"/>
              <w:ind w:left="0" w:leftChars="0" w:firstLine="0" w:firstLineChars="0"/>
              <w:rPr>
                <w:rFonts w:hint="eastAsia" w:ascii="宋体" w:hAnsi="宋体" w:cs="宋体"/>
                <w:color w:val="auto"/>
                <w:kern w:val="2"/>
                <w:szCs w:val="21"/>
                <w:highlight w:val="none"/>
                <w:lang w:val="en-US" w:eastAsia="zh-CN"/>
              </w:rPr>
            </w:pPr>
            <w:r>
              <w:rPr>
                <w:rFonts w:hint="eastAsia" w:ascii="宋体" w:hAnsi="宋体" w:cs="宋体"/>
                <w:strike w:val="0"/>
                <w:dstrike w:val="0"/>
                <w:color w:val="auto"/>
                <w:kern w:val="2"/>
                <w:szCs w:val="21"/>
                <w:highlight w:val="none"/>
                <w:lang w:val="en-US" w:eastAsia="zh-CN"/>
              </w:rPr>
              <w:t>根据投标人参照实际情况提供的草花种植（养护）方案及七一广场节假日摆花方案完整、全面、方案合理化、有效化情况</w:t>
            </w:r>
            <w:r>
              <w:rPr>
                <w:rFonts w:hint="eastAsia" w:ascii="宋体" w:hAnsi="宋体" w:eastAsia="宋体" w:cs="宋体"/>
                <w:color w:val="auto"/>
                <w:kern w:val="2"/>
                <w:szCs w:val="21"/>
                <w:highlight w:val="none"/>
                <w:lang w:val="zh-CN"/>
              </w:rPr>
              <w:t>综合打分</w:t>
            </w:r>
            <w:r>
              <w:rPr>
                <w:rFonts w:hint="eastAsia" w:ascii="宋体" w:hAnsi="宋体" w:cs="宋体"/>
                <w:color w:val="auto"/>
                <w:kern w:val="2"/>
                <w:szCs w:val="21"/>
                <w:highlight w:val="none"/>
                <w:lang w:val="zh-CN"/>
              </w:rPr>
              <w:t>（</w:t>
            </w:r>
            <w:r>
              <w:rPr>
                <w:rFonts w:hint="eastAsia" w:ascii="宋体" w:hAnsi="宋体" w:cs="宋体"/>
                <w:color w:val="auto"/>
                <w:kern w:val="2"/>
                <w:szCs w:val="21"/>
                <w:highlight w:val="none"/>
                <w:lang w:val="en-US" w:eastAsia="zh-CN"/>
              </w:rPr>
              <w:t>4-8分）</w:t>
            </w:r>
          </w:p>
        </w:tc>
        <w:tc>
          <w:tcPr>
            <w:tcW w:w="756" w:type="dxa"/>
            <w:tcBorders>
              <w:top w:val="single" w:color="auto" w:sz="4" w:space="0"/>
              <w:left w:val="single" w:color="auto" w:sz="6" w:space="0"/>
              <w:bottom w:val="single" w:color="auto" w:sz="4"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default" w:ascii="宋体" w:hAnsi="宋体" w:cs="宋体"/>
                <w:color w:val="auto"/>
                <w:kern w:val="2"/>
                <w:szCs w:val="21"/>
                <w:highlight w:val="none"/>
                <w:lang w:val="en-US" w:eastAsia="zh-CN"/>
              </w:rPr>
            </w:pPr>
            <w:r>
              <w:rPr>
                <w:rFonts w:hint="eastAsia" w:ascii="宋体" w:hAnsi="宋体" w:cs="宋体"/>
                <w:strike w:val="0"/>
                <w:dstrike w:val="0"/>
                <w:color w:val="auto"/>
                <w:kern w:val="2"/>
                <w:szCs w:val="21"/>
                <w:highlight w:val="none"/>
                <w:lang w:val="en-US" w:eastAsia="zh-CN"/>
              </w:rPr>
              <w:t>8</w:t>
            </w:r>
          </w:p>
        </w:tc>
        <w:tc>
          <w:tcPr>
            <w:tcW w:w="875" w:type="dxa"/>
            <w:tcBorders>
              <w:top w:val="single" w:color="auto" w:sz="4" w:space="0"/>
              <w:left w:val="single" w:color="auto" w:sz="6" w:space="0"/>
              <w:bottom w:val="single" w:color="auto" w:sz="4"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eastAsia"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主观分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90" w:hRule="atLeast"/>
          <w:jc w:val="center"/>
        </w:trPr>
        <w:tc>
          <w:tcPr>
            <w:tcW w:w="617" w:type="dxa"/>
            <w:tcBorders>
              <w:top w:val="single" w:color="auto" w:sz="4" w:space="0"/>
              <w:left w:val="single" w:color="auto" w:sz="12" w:space="0"/>
              <w:bottom w:val="single" w:color="auto" w:sz="6" w:space="0"/>
              <w:right w:val="single" w:color="auto" w:sz="6" w:space="0"/>
            </w:tcBorders>
            <w:noWrap w:val="0"/>
            <w:vAlign w:val="center"/>
          </w:tcPr>
          <w:p>
            <w:pPr>
              <w:pStyle w:val="23"/>
              <w:spacing w:before="120" w:beforeLines="50" w:afterLines="50" w:line="240" w:lineRule="auto"/>
              <w:ind w:left="0" w:leftChars="0" w:firstLine="0" w:firstLineChars="0"/>
              <w:jc w:val="center"/>
              <w:rPr>
                <w:rFonts w:hint="default" w:ascii="宋体" w:hAnsi="宋体" w:eastAsia="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8</w:t>
            </w:r>
          </w:p>
        </w:tc>
        <w:tc>
          <w:tcPr>
            <w:tcW w:w="7046" w:type="dxa"/>
            <w:tcBorders>
              <w:top w:val="single" w:color="auto" w:sz="4" w:space="0"/>
              <w:left w:val="single" w:color="auto" w:sz="6" w:space="0"/>
              <w:bottom w:val="single" w:color="auto" w:sz="4" w:space="0"/>
              <w:right w:val="single" w:color="auto" w:sz="12" w:space="0"/>
            </w:tcBorders>
            <w:noWrap w:val="0"/>
            <w:vAlign w:val="center"/>
          </w:tcPr>
          <w:p>
            <w:pPr>
              <w:pStyle w:val="23"/>
              <w:spacing w:before="120" w:beforeLines="50" w:afterLines="50" w:line="240" w:lineRule="auto"/>
              <w:ind w:left="0" w:leftChars="0" w:firstLine="0" w:firstLineChars="0"/>
              <w:rPr>
                <w:rFonts w:hint="default" w:ascii="宋体" w:hAnsi="宋体" w:eastAsia="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提出关于本项目的相关合理化建议，可实行程度酌情打分</w:t>
            </w:r>
            <w:r>
              <w:rPr>
                <w:rFonts w:hint="eastAsia" w:ascii="宋体" w:hAnsi="宋体" w:eastAsia="宋体" w:cs="宋体"/>
                <w:color w:val="auto"/>
                <w:kern w:val="2"/>
                <w:szCs w:val="21"/>
                <w:highlight w:val="none"/>
                <w:lang w:val="zh-CN" w:eastAsia="zh-CN"/>
              </w:rPr>
              <w:t>（</w:t>
            </w:r>
            <w:r>
              <w:rPr>
                <w:rFonts w:hint="eastAsia" w:ascii="宋体" w:hAnsi="宋体" w:cs="宋体"/>
                <w:color w:val="auto"/>
                <w:kern w:val="2"/>
                <w:szCs w:val="21"/>
                <w:highlight w:val="none"/>
                <w:lang w:val="en-US" w:eastAsia="zh-CN"/>
              </w:rPr>
              <w:t>3</w:t>
            </w:r>
            <w:r>
              <w:rPr>
                <w:rFonts w:hint="eastAsia" w:ascii="宋体" w:hAnsi="宋体" w:eastAsia="宋体" w:cs="宋体"/>
                <w:color w:val="auto"/>
                <w:kern w:val="2"/>
                <w:szCs w:val="21"/>
                <w:highlight w:val="none"/>
                <w:lang w:val="zh-CN" w:eastAsia="zh-CN"/>
              </w:rPr>
              <w:t>-</w:t>
            </w:r>
            <w:r>
              <w:rPr>
                <w:rFonts w:hint="eastAsia" w:ascii="宋体" w:hAnsi="宋体" w:cs="宋体"/>
                <w:color w:val="auto"/>
                <w:kern w:val="2"/>
                <w:szCs w:val="21"/>
                <w:highlight w:val="none"/>
                <w:lang w:val="en-US" w:eastAsia="zh-CN"/>
              </w:rPr>
              <w:t>6分）</w:t>
            </w:r>
          </w:p>
        </w:tc>
        <w:tc>
          <w:tcPr>
            <w:tcW w:w="756" w:type="dxa"/>
            <w:tcBorders>
              <w:top w:val="single" w:color="auto" w:sz="4" w:space="0"/>
              <w:left w:val="single" w:color="auto" w:sz="6" w:space="0"/>
              <w:bottom w:val="single" w:color="auto" w:sz="4"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default"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6</w:t>
            </w:r>
          </w:p>
        </w:tc>
        <w:tc>
          <w:tcPr>
            <w:tcW w:w="875" w:type="dxa"/>
            <w:tcBorders>
              <w:top w:val="single" w:color="auto" w:sz="4" w:space="0"/>
              <w:left w:val="single" w:color="auto" w:sz="6" w:space="0"/>
              <w:bottom w:val="single" w:color="auto" w:sz="4"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eastAsia"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主观分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168" w:hRule="atLeast"/>
          <w:jc w:val="center"/>
        </w:trPr>
        <w:tc>
          <w:tcPr>
            <w:tcW w:w="617" w:type="dxa"/>
            <w:tcBorders>
              <w:top w:val="single" w:color="auto" w:sz="6" w:space="0"/>
              <w:left w:val="single" w:color="auto" w:sz="12" w:space="0"/>
              <w:bottom w:val="single" w:color="auto" w:sz="6" w:space="0"/>
              <w:right w:val="single" w:color="auto" w:sz="6" w:space="0"/>
            </w:tcBorders>
            <w:noWrap w:val="0"/>
            <w:vAlign w:val="center"/>
          </w:tcPr>
          <w:p>
            <w:pPr>
              <w:pStyle w:val="23"/>
              <w:spacing w:before="120" w:beforeLines="50" w:afterLines="50" w:line="240" w:lineRule="auto"/>
              <w:ind w:left="0" w:leftChars="0" w:firstLine="0" w:firstLineChars="0"/>
              <w:jc w:val="center"/>
              <w:rPr>
                <w:rFonts w:hint="default" w:ascii="宋体" w:hAnsi="宋体" w:cs="宋体"/>
                <w:strike w:val="0"/>
                <w:dstrike w:val="0"/>
                <w:color w:val="auto"/>
                <w:kern w:val="2"/>
                <w:szCs w:val="21"/>
                <w:highlight w:val="none"/>
                <w:lang w:val="en-US" w:eastAsia="zh-CN"/>
              </w:rPr>
            </w:pPr>
            <w:r>
              <w:rPr>
                <w:rFonts w:hint="eastAsia" w:ascii="宋体" w:hAnsi="宋体" w:cs="宋体"/>
                <w:strike w:val="0"/>
                <w:dstrike w:val="0"/>
                <w:color w:val="auto"/>
                <w:kern w:val="2"/>
                <w:szCs w:val="21"/>
                <w:highlight w:val="none"/>
                <w:lang w:val="en-US" w:eastAsia="zh-CN"/>
              </w:rPr>
              <w:t>9</w:t>
            </w:r>
          </w:p>
        </w:tc>
        <w:tc>
          <w:tcPr>
            <w:tcW w:w="7046" w:type="dxa"/>
            <w:tcBorders>
              <w:top w:val="single" w:color="auto" w:sz="6" w:space="0"/>
              <w:left w:val="single" w:color="auto" w:sz="6" w:space="0"/>
              <w:bottom w:val="single" w:color="auto" w:sz="6" w:space="0"/>
              <w:right w:val="single" w:color="auto" w:sz="12" w:space="0"/>
            </w:tcBorders>
            <w:noWrap w:val="0"/>
            <w:vAlign w:val="center"/>
          </w:tcPr>
          <w:p>
            <w:pPr>
              <w:pStyle w:val="23"/>
              <w:spacing w:before="120" w:beforeLines="50" w:afterLines="50" w:line="240" w:lineRule="auto"/>
              <w:ind w:left="0" w:leftChars="0" w:firstLine="0" w:firstLineChars="0"/>
              <w:rPr>
                <w:rFonts w:hint="eastAsia" w:ascii="宋体" w:hAnsi="宋体" w:cs="宋体"/>
                <w:strike w:val="0"/>
                <w:dstrike w:val="0"/>
                <w:color w:val="auto"/>
                <w:kern w:val="2"/>
                <w:szCs w:val="21"/>
                <w:highlight w:val="none"/>
                <w:lang w:val="en-US" w:eastAsia="zh-CN"/>
              </w:rPr>
            </w:pPr>
            <w:r>
              <w:rPr>
                <w:rFonts w:hint="eastAsia" w:ascii="宋体" w:hAnsi="宋体" w:cs="宋体"/>
                <w:strike w:val="0"/>
                <w:dstrike w:val="0"/>
                <w:color w:val="auto"/>
                <w:kern w:val="2"/>
                <w:szCs w:val="21"/>
                <w:highlight w:val="none"/>
                <w:lang w:val="en-US" w:eastAsia="zh-CN"/>
              </w:rPr>
              <w:t>投标人具有完善的应急预案措施，应急预案包括：针对台风暴雨天气（1分）、梅雨季节（1分）、冰雪霜冻天气（1分）、污雨水井或管道或化粪池堵塞（2分）或污水外溢情况（2分）、发生火灾（1分）</w:t>
            </w:r>
          </w:p>
        </w:tc>
        <w:tc>
          <w:tcPr>
            <w:tcW w:w="756" w:type="dxa"/>
            <w:tcBorders>
              <w:top w:val="single" w:color="auto" w:sz="6" w:space="0"/>
              <w:left w:val="single" w:color="auto" w:sz="6" w:space="0"/>
              <w:bottom w:val="single" w:color="auto" w:sz="6"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default" w:ascii="宋体" w:hAnsi="宋体" w:cs="宋体"/>
                <w:strike w:val="0"/>
                <w:dstrike w:val="0"/>
                <w:color w:val="auto"/>
                <w:kern w:val="2"/>
                <w:szCs w:val="21"/>
                <w:highlight w:val="none"/>
                <w:lang w:val="en-US" w:eastAsia="zh-CN"/>
              </w:rPr>
            </w:pPr>
            <w:r>
              <w:rPr>
                <w:rFonts w:hint="eastAsia" w:ascii="宋体" w:hAnsi="宋体" w:cs="宋体"/>
                <w:strike w:val="0"/>
                <w:dstrike w:val="0"/>
                <w:color w:val="auto"/>
                <w:kern w:val="2"/>
                <w:szCs w:val="21"/>
                <w:highlight w:val="none"/>
                <w:lang w:val="en-US" w:eastAsia="zh-CN"/>
              </w:rPr>
              <w:t>8</w:t>
            </w:r>
          </w:p>
        </w:tc>
        <w:tc>
          <w:tcPr>
            <w:tcW w:w="875" w:type="dxa"/>
            <w:tcBorders>
              <w:top w:val="single" w:color="auto" w:sz="6" w:space="0"/>
              <w:left w:val="single" w:color="auto" w:sz="6" w:space="0"/>
              <w:bottom w:val="single" w:color="auto" w:sz="6"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eastAsia"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客观分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27" w:hRule="atLeast"/>
          <w:jc w:val="center"/>
        </w:trPr>
        <w:tc>
          <w:tcPr>
            <w:tcW w:w="617" w:type="dxa"/>
            <w:tcBorders>
              <w:top w:val="single" w:color="auto" w:sz="6" w:space="0"/>
              <w:left w:val="single" w:color="auto" w:sz="12" w:space="0"/>
              <w:bottom w:val="single" w:color="auto" w:sz="6" w:space="0"/>
              <w:right w:val="single" w:color="auto" w:sz="6" w:space="0"/>
            </w:tcBorders>
            <w:noWrap w:val="0"/>
            <w:vAlign w:val="center"/>
          </w:tcPr>
          <w:p>
            <w:pPr>
              <w:pStyle w:val="23"/>
              <w:spacing w:before="120" w:beforeLines="50" w:afterLines="50" w:line="240" w:lineRule="auto"/>
              <w:ind w:left="0" w:leftChars="0" w:firstLine="0" w:firstLineChars="0"/>
              <w:jc w:val="center"/>
              <w:rPr>
                <w:rFonts w:hint="default" w:ascii="宋体" w:hAnsi="宋体" w:cs="宋体"/>
                <w:strike w:val="0"/>
                <w:dstrike w:val="0"/>
                <w:color w:val="auto"/>
                <w:kern w:val="2"/>
                <w:szCs w:val="21"/>
                <w:highlight w:val="none"/>
                <w:lang w:val="en-US" w:eastAsia="zh-CN"/>
              </w:rPr>
            </w:pPr>
            <w:r>
              <w:rPr>
                <w:rFonts w:hint="eastAsia" w:ascii="宋体" w:hAnsi="宋体" w:cs="宋体"/>
                <w:strike w:val="0"/>
                <w:dstrike w:val="0"/>
                <w:color w:val="auto"/>
                <w:kern w:val="2"/>
                <w:szCs w:val="21"/>
                <w:highlight w:val="none"/>
                <w:lang w:val="en-US" w:eastAsia="zh-CN"/>
              </w:rPr>
              <w:t>10</w:t>
            </w:r>
          </w:p>
        </w:tc>
        <w:tc>
          <w:tcPr>
            <w:tcW w:w="7046" w:type="dxa"/>
            <w:tcBorders>
              <w:top w:val="single" w:color="auto" w:sz="6" w:space="0"/>
              <w:left w:val="single" w:color="auto" w:sz="6" w:space="0"/>
              <w:bottom w:val="single" w:color="auto" w:sz="6" w:space="0"/>
              <w:right w:val="single" w:color="auto" w:sz="12" w:space="0"/>
            </w:tcBorders>
            <w:noWrap w:val="0"/>
            <w:vAlign w:val="center"/>
          </w:tcPr>
          <w:p>
            <w:pPr>
              <w:pStyle w:val="23"/>
              <w:spacing w:before="120" w:beforeLines="50" w:afterLines="50" w:line="240" w:lineRule="auto"/>
              <w:ind w:left="0" w:leftChars="0" w:firstLine="0" w:firstLineChars="0"/>
              <w:rPr>
                <w:rFonts w:hint="eastAsia" w:ascii="宋体" w:hAnsi="宋体" w:cs="宋体"/>
                <w:strike w:val="0"/>
                <w:dstrike w:val="0"/>
                <w:color w:val="auto"/>
                <w:kern w:val="2"/>
                <w:szCs w:val="21"/>
                <w:highlight w:val="none"/>
                <w:lang w:val="en-US" w:eastAsia="zh-CN"/>
              </w:rPr>
            </w:pPr>
            <w:r>
              <w:rPr>
                <w:rFonts w:hint="eastAsia" w:ascii="宋体" w:hAnsi="宋体" w:cs="宋体"/>
                <w:strike w:val="0"/>
                <w:dstrike w:val="0"/>
                <w:color w:val="auto"/>
                <w:kern w:val="2"/>
                <w:szCs w:val="21"/>
                <w:highlight w:val="none"/>
                <w:lang w:val="en-US" w:eastAsia="zh-CN"/>
              </w:rPr>
              <w:t>投标人具有健全的台账管理制度得4分。</w:t>
            </w:r>
          </w:p>
        </w:tc>
        <w:tc>
          <w:tcPr>
            <w:tcW w:w="756" w:type="dxa"/>
            <w:tcBorders>
              <w:top w:val="single" w:color="auto" w:sz="6" w:space="0"/>
              <w:left w:val="single" w:color="auto" w:sz="6" w:space="0"/>
              <w:bottom w:val="single" w:color="auto" w:sz="6"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eastAsia" w:ascii="宋体" w:hAnsi="宋体" w:cs="宋体"/>
                <w:strike w:val="0"/>
                <w:dstrike w:val="0"/>
                <w:color w:val="auto"/>
                <w:kern w:val="2"/>
                <w:szCs w:val="21"/>
                <w:highlight w:val="none"/>
                <w:lang w:val="en-US" w:eastAsia="zh-CN"/>
              </w:rPr>
            </w:pPr>
            <w:r>
              <w:rPr>
                <w:rFonts w:hint="eastAsia" w:ascii="宋体" w:hAnsi="宋体" w:cs="宋体"/>
                <w:strike w:val="0"/>
                <w:dstrike w:val="0"/>
                <w:color w:val="auto"/>
                <w:kern w:val="2"/>
                <w:szCs w:val="21"/>
                <w:highlight w:val="none"/>
                <w:lang w:val="en-US" w:eastAsia="zh-CN"/>
              </w:rPr>
              <w:t>4</w:t>
            </w:r>
          </w:p>
        </w:tc>
        <w:tc>
          <w:tcPr>
            <w:tcW w:w="875" w:type="dxa"/>
            <w:tcBorders>
              <w:top w:val="single" w:color="auto" w:sz="6" w:space="0"/>
              <w:left w:val="single" w:color="auto" w:sz="6" w:space="0"/>
              <w:bottom w:val="single" w:color="auto" w:sz="6"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eastAsia"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客观分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38" w:hRule="atLeast"/>
          <w:jc w:val="center"/>
        </w:trPr>
        <w:tc>
          <w:tcPr>
            <w:tcW w:w="617" w:type="dxa"/>
            <w:tcBorders>
              <w:top w:val="single" w:color="auto" w:sz="6" w:space="0"/>
              <w:left w:val="single" w:color="auto" w:sz="12" w:space="0"/>
              <w:bottom w:val="single" w:color="auto" w:sz="6" w:space="0"/>
              <w:right w:val="single" w:color="auto" w:sz="6" w:space="0"/>
            </w:tcBorders>
            <w:noWrap w:val="0"/>
            <w:vAlign w:val="center"/>
          </w:tcPr>
          <w:p>
            <w:pPr>
              <w:pStyle w:val="23"/>
              <w:spacing w:before="120" w:beforeLines="50" w:afterLines="50" w:line="240" w:lineRule="auto"/>
              <w:ind w:left="0" w:leftChars="0" w:firstLine="0" w:firstLineChars="0"/>
              <w:jc w:val="center"/>
              <w:rPr>
                <w:rFonts w:hint="default" w:ascii="宋体" w:hAnsi="宋体" w:eastAsia="宋体" w:cs="宋体"/>
                <w:strike w:val="0"/>
                <w:dstrike w:val="0"/>
                <w:color w:val="auto"/>
                <w:kern w:val="2"/>
                <w:szCs w:val="21"/>
                <w:highlight w:val="none"/>
                <w:lang w:val="en-US" w:eastAsia="zh-CN"/>
              </w:rPr>
            </w:pPr>
            <w:r>
              <w:rPr>
                <w:rFonts w:hint="eastAsia" w:ascii="宋体" w:hAnsi="宋体" w:cs="宋体"/>
                <w:strike w:val="0"/>
                <w:dstrike w:val="0"/>
                <w:color w:val="auto"/>
                <w:kern w:val="2"/>
                <w:szCs w:val="21"/>
                <w:highlight w:val="none"/>
                <w:lang w:val="en-US" w:eastAsia="zh-CN"/>
              </w:rPr>
              <w:t>11</w:t>
            </w:r>
          </w:p>
        </w:tc>
        <w:tc>
          <w:tcPr>
            <w:tcW w:w="7046" w:type="dxa"/>
            <w:tcBorders>
              <w:top w:val="single" w:color="auto" w:sz="6" w:space="0"/>
              <w:left w:val="single" w:color="auto" w:sz="6" w:space="0"/>
              <w:bottom w:val="single" w:color="auto" w:sz="6" w:space="0"/>
              <w:right w:val="single" w:color="auto" w:sz="12" w:space="0"/>
            </w:tcBorders>
            <w:noWrap w:val="0"/>
            <w:vAlign w:val="center"/>
          </w:tcPr>
          <w:p>
            <w:pPr>
              <w:pStyle w:val="23"/>
              <w:spacing w:before="120" w:beforeLines="50" w:afterLines="50" w:line="240" w:lineRule="auto"/>
              <w:ind w:left="0" w:leftChars="0" w:firstLine="0" w:firstLineChars="0"/>
              <w:rPr>
                <w:rFonts w:hint="default" w:ascii="宋体" w:hAnsi="宋体" w:eastAsia="宋体" w:cs="宋体"/>
                <w:strike w:val="0"/>
                <w:dstrike w:val="0"/>
                <w:color w:val="auto"/>
                <w:kern w:val="2"/>
                <w:szCs w:val="21"/>
                <w:highlight w:val="none"/>
                <w:lang w:val="en-US" w:eastAsia="zh-CN"/>
              </w:rPr>
            </w:pPr>
            <w:r>
              <w:rPr>
                <w:rFonts w:hint="eastAsia" w:ascii="宋体" w:hAnsi="宋体" w:cs="宋体"/>
                <w:strike w:val="0"/>
                <w:dstrike w:val="0"/>
                <w:color w:val="auto"/>
                <w:kern w:val="2"/>
                <w:szCs w:val="21"/>
                <w:highlight w:val="none"/>
                <w:lang w:val="en-US" w:eastAsia="zh-CN"/>
              </w:rPr>
              <w:t>投标人具有合理、全面、详细的监督自查方案得4分。</w:t>
            </w:r>
          </w:p>
        </w:tc>
        <w:tc>
          <w:tcPr>
            <w:tcW w:w="756" w:type="dxa"/>
            <w:tcBorders>
              <w:top w:val="single" w:color="auto" w:sz="6" w:space="0"/>
              <w:left w:val="single" w:color="auto" w:sz="6" w:space="0"/>
              <w:bottom w:val="single" w:color="auto" w:sz="6"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default" w:ascii="宋体" w:hAnsi="宋体" w:eastAsia="宋体" w:cs="宋体"/>
                <w:strike w:val="0"/>
                <w:dstrike w:val="0"/>
                <w:color w:val="auto"/>
                <w:kern w:val="2"/>
                <w:szCs w:val="21"/>
                <w:highlight w:val="none"/>
                <w:lang w:val="en-US" w:eastAsia="zh-CN"/>
              </w:rPr>
            </w:pPr>
            <w:r>
              <w:rPr>
                <w:rFonts w:hint="eastAsia" w:ascii="宋体" w:hAnsi="宋体" w:cs="宋体"/>
                <w:strike w:val="0"/>
                <w:dstrike w:val="0"/>
                <w:color w:val="auto"/>
                <w:kern w:val="2"/>
                <w:szCs w:val="21"/>
                <w:highlight w:val="none"/>
                <w:lang w:val="en-US" w:eastAsia="zh-CN"/>
              </w:rPr>
              <w:t>4</w:t>
            </w:r>
          </w:p>
        </w:tc>
        <w:tc>
          <w:tcPr>
            <w:tcW w:w="875" w:type="dxa"/>
            <w:tcBorders>
              <w:top w:val="single" w:color="auto" w:sz="6" w:space="0"/>
              <w:left w:val="single" w:color="auto" w:sz="6" w:space="0"/>
              <w:bottom w:val="single" w:color="auto" w:sz="6"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eastAsia" w:ascii="宋体" w:hAnsi="宋体" w:cs="宋体"/>
                <w:strike w:val="0"/>
                <w:dstrike w:val="0"/>
                <w:color w:val="auto"/>
                <w:kern w:val="2"/>
                <w:szCs w:val="21"/>
                <w:highlight w:val="none"/>
                <w:lang w:val="en-US" w:eastAsia="zh-CN"/>
              </w:rPr>
            </w:pPr>
            <w:r>
              <w:rPr>
                <w:rFonts w:hint="eastAsia" w:ascii="宋体" w:hAnsi="宋体" w:cs="宋体"/>
                <w:color w:val="auto"/>
                <w:kern w:val="2"/>
                <w:szCs w:val="21"/>
                <w:highlight w:val="none"/>
                <w:lang w:val="en-US" w:eastAsia="zh-CN"/>
              </w:rPr>
              <w:t>客观分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75" w:hRule="atLeast"/>
          <w:jc w:val="center"/>
        </w:trPr>
        <w:tc>
          <w:tcPr>
            <w:tcW w:w="617" w:type="dxa"/>
            <w:tcBorders>
              <w:top w:val="single" w:color="auto" w:sz="6" w:space="0"/>
              <w:left w:val="single" w:color="auto" w:sz="12" w:space="0"/>
              <w:bottom w:val="single" w:color="auto" w:sz="12" w:space="0"/>
              <w:right w:val="single" w:color="auto" w:sz="6" w:space="0"/>
            </w:tcBorders>
            <w:noWrap w:val="0"/>
            <w:vAlign w:val="center"/>
          </w:tcPr>
          <w:p>
            <w:pPr>
              <w:pStyle w:val="23"/>
              <w:spacing w:before="120" w:beforeLines="50" w:afterLines="50" w:line="240" w:lineRule="auto"/>
              <w:ind w:left="0" w:leftChars="0" w:firstLine="0" w:firstLineChars="0"/>
              <w:jc w:val="center"/>
              <w:rPr>
                <w:rFonts w:hint="default"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12</w:t>
            </w:r>
          </w:p>
        </w:tc>
        <w:tc>
          <w:tcPr>
            <w:tcW w:w="7046" w:type="dxa"/>
            <w:tcBorders>
              <w:top w:val="single" w:color="auto" w:sz="6" w:space="0"/>
              <w:left w:val="single" w:color="auto" w:sz="6" w:space="0"/>
              <w:bottom w:val="single" w:color="auto" w:sz="12" w:space="0"/>
              <w:right w:val="single" w:color="auto" w:sz="12" w:space="0"/>
            </w:tcBorders>
            <w:noWrap w:val="0"/>
            <w:vAlign w:val="center"/>
          </w:tcPr>
          <w:p>
            <w:pPr>
              <w:pStyle w:val="23"/>
              <w:spacing w:before="120" w:beforeLines="50" w:afterLines="50" w:line="240" w:lineRule="auto"/>
              <w:ind w:left="0" w:leftChars="0" w:firstLine="0" w:firstLineChars="0"/>
              <w:rPr>
                <w:rFonts w:hint="eastAsia" w:ascii="宋体" w:hAnsi="宋体" w:cs="宋体"/>
                <w:strike w:val="0"/>
                <w:dstrike w:val="0"/>
                <w:color w:val="auto"/>
                <w:kern w:val="2"/>
                <w:szCs w:val="21"/>
                <w:highlight w:val="none"/>
                <w:lang w:val="en-US" w:eastAsia="zh-CN"/>
              </w:rPr>
            </w:pPr>
            <w:r>
              <w:rPr>
                <w:rFonts w:hint="eastAsia" w:ascii="宋体" w:hAnsi="宋体" w:cs="宋体"/>
                <w:color w:val="auto"/>
                <w:kern w:val="2"/>
                <w:szCs w:val="21"/>
                <w:highlight w:val="none"/>
                <w:lang w:val="en-US" w:eastAsia="zh-CN"/>
              </w:rPr>
              <w:t>投标单位具有详细完善的园林垃圾的处理方案得4分。</w:t>
            </w:r>
          </w:p>
        </w:tc>
        <w:tc>
          <w:tcPr>
            <w:tcW w:w="756" w:type="dxa"/>
            <w:tcBorders>
              <w:top w:val="single" w:color="auto" w:sz="6" w:space="0"/>
              <w:left w:val="single" w:color="auto" w:sz="6" w:space="0"/>
              <w:bottom w:val="single" w:color="auto" w:sz="12"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eastAsia"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4</w:t>
            </w:r>
          </w:p>
        </w:tc>
        <w:tc>
          <w:tcPr>
            <w:tcW w:w="875" w:type="dxa"/>
            <w:tcBorders>
              <w:top w:val="single" w:color="auto" w:sz="6" w:space="0"/>
              <w:left w:val="single" w:color="auto" w:sz="6" w:space="0"/>
              <w:bottom w:val="single" w:color="auto" w:sz="12"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eastAsia"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客观分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28" w:hRule="atLeast"/>
          <w:jc w:val="center"/>
        </w:trPr>
        <w:tc>
          <w:tcPr>
            <w:tcW w:w="617" w:type="dxa"/>
            <w:tcBorders>
              <w:top w:val="single" w:color="auto" w:sz="6" w:space="0"/>
              <w:left w:val="single" w:color="auto" w:sz="12" w:space="0"/>
              <w:bottom w:val="single" w:color="auto" w:sz="12" w:space="0"/>
              <w:right w:val="single" w:color="auto" w:sz="6" w:space="0"/>
            </w:tcBorders>
            <w:noWrap w:val="0"/>
            <w:vAlign w:val="center"/>
          </w:tcPr>
          <w:p>
            <w:pPr>
              <w:pStyle w:val="23"/>
              <w:spacing w:before="120" w:beforeLines="50" w:afterLines="50" w:line="240" w:lineRule="auto"/>
              <w:ind w:left="0" w:leftChars="0" w:firstLine="0" w:firstLineChars="0"/>
              <w:jc w:val="center"/>
              <w:rPr>
                <w:rFonts w:hint="default"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13</w:t>
            </w:r>
          </w:p>
        </w:tc>
        <w:tc>
          <w:tcPr>
            <w:tcW w:w="7046" w:type="dxa"/>
            <w:tcBorders>
              <w:top w:val="single" w:color="auto" w:sz="6" w:space="0"/>
              <w:left w:val="single" w:color="auto" w:sz="6" w:space="0"/>
              <w:bottom w:val="single" w:color="auto" w:sz="12" w:space="0"/>
              <w:right w:val="single" w:color="auto" w:sz="12" w:space="0"/>
            </w:tcBorders>
            <w:noWrap w:val="0"/>
            <w:vAlign w:val="center"/>
          </w:tcPr>
          <w:p>
            <w:pPr>
              <w:pStyle w:val="23"/>
              <w:spacing w:before="120" w:beforeLines="50" w:afterLines="50" w:line="240" w:lineRule="auto"/>
              <w:ind w:left="0" w:leftChars="0" w:firstLine="0" w:firstLineChars="0"/>
              <w:rPr>
                <w:rFonts w:hint="eastAsia" w:ascii="宋体" w:hAnsi="宋体" w:eastAsia="宋体" w:cs="宋体"/>
                <w:color w:val="auto"/>
                <w:kern w:val="2"/>
                <w:szCs w:val="21"/>
                <w:highlight w:val="none"/>
                <w:lang w:val="zh-CN" w:eastAsia="zh-CN"/>
              </w:rPr>
            </w:pPr>
            <w:r>
              <w:rPr>
                <w:rFonts w:hint="eastAsia" w:ascii="宋体" w:hAnsi="宋体" w:cs="宋体"/>
                <w:strike w:val="0"/>
                <w:dstrike w:val="0"/>
                <w:color w:val="auto"/>
                <w:kern w:val="2"/>
                <w:szCs w:val="21"/>
                <w:highlight w:val="none"/>
                <w:lang w:val="en-US" w:eastAsia="zh-CN"/>
              </w:rPr>
              <w:t>投标人自有或租赁登高车（或高空作业平台机械）的有一辆得4分，最高得4分。（投标人自有设备的须提供购买发票</w:t>
            </w:r>
            <w:r>
              <w:rPr>
                <w:rFonts w:hint="eastAsia" w:ascii="宋体" w:hAnsi="宋体" w:cs="宋体"/>
                <w:b/>
                <w:bCs/>
                <w:strike w:val="0"/>
                <w:dstrike w:val="0"/>
                <w:color w:val="auto"/>
                <w:kern w:val="2"/>
                <w:szCs w:val="21"/>
                <w:highlight w:val="none"/>
                <w:lang w:val="en-US" w:eastAsia="zh-CN"/>
              </w:rPr>
              <w:t>清晰的</w:t>
            </w:r>
            <w:r>
              <w:rPr>
                <w:rFonts w:hint="eastAsia" w:ascii="宋体" w:hAnsi="宋体" w:cs="宋体"/>
                <w:strike w:val="0"/>
                <w:dstrike w:val="0"/>
                <w:color w:val="auto"/>
                <w:kern w:val="2"/>
                <w:szCs w:val="21"/>
                <w:highlight w:val="none"/>
                <w:lang w:val="en-US" w:eastAsia="zh-CN"/>
              </w:rPr>
              <w:t>复印件及车辆照片，租赁的须提供</w:t>
            </w:r>
            <w:r>
              <w:rPr>
                <w:rFonts w:hint="eastAsia" w:ascii="宋体" w:hAnsi="宋体" w:cs="宋体"/>
                <w:b/>
                <w:bCs/>
                <w:strike w:val="0"/>
                <w:dstrike w:val="0"/>
                <w:color w:val="auto"/>
                <w:kern w:val="2"/>
                <w:szCs w:val="21"/>
                <w:highlight w:val="none"/>
                <w:lang w:val="en-US" w:eastAsia="zh-CN"/>
              </w:rPr>
              <w:t>清晰的</w:t>
            </w:r>
            <w:r>
              <w:rPr>
                <w:rFonts w:hint="eastAsia" w:ascii="宋体" w:hAnsi="宋体" w:cs="宋体"/>
                <w:strike w:val="0"/>
                <w:dstrike w:val="0"/>
                <w:color w:val="auto"/>
                <w:kern w:val="2"/>
                <w:szCs w:val="21"/>
                <w:highlight w:val="none"/>
                <w:lang w:val="en-US" w:eastAsia="zh-CN"/>
              </w:rPr>
              <w:t>租赁协议复印件及车辆照片。登高车须提供车辆行驶证及车辆照片</w:t>
            </w:r>
            <w:r>
              <w:rPr>
                <w:rFonts w:hint="eastAsia" w:ascii="宋体" w:hAnsi="宋体" w:cs="宋体"/>
                <w:b/>
                <w:bCs/>
                <w:strike w:val="0"/>
                <w:dstrike w:val="0"/>
                <w:color w:val="auto"/>
                <w:kern w:val="2"/>
                <w:szCs w:val="21"/>
                <w:highlight w:val="none"/>
                <w:lang w:val="en-US" w:eastAsia="zh-CN"/>
              </w:rPr>
              <w:t>清晰的</w:t>
            </w:r>
            <w:r>
              <w:rPr>
                <w:rFonts w:hint="eastAsia" w:ascii="宋体" w:hAnsi="宋体" w:cs="宋体"/>
                <w:strike w:val="0"/>
                <w:dstrike w:val="0"/>
                <w:color w:val="auto"/>
                <w:kern w:val="2"/>
                <w:szCs w:val="21"/>
                <w:highlight w:val="none"/>
                <w:lang w:val="en-US" w:eastAsia="zh-CN"/>
              </w:rPr>
              <w:t>扫描件且车牌一致；高空作业平台机械须提供产品合格证及车辆照片</w:t>
            </w:r>
            <w:r>
              <w:rPr>
                <w:rFonts w:hint="eastAsia" w:ascii="宋体" w:hAnsi="宋体" w:cs="宋体"/>
                <w:b/>
                <w:bCs/>
                <w:strike w:val="0"/>
                <w:dstrike w:val="0"/>
                <w:color w:val="auto"/>
                <w:kern w:val="2"/>
                <w:szCs w:val="21"/>
                <w:highlight w:val="none"/>
                <w:lang w:val="en-US" w:eastAsia="zh-CN"/>
              </w:rPr>
              <w:t>清晰的</w:t>
            </w:r>
            <w:r>
              <w:rPr>
                <w:rFonts w:hint="eastAsia" w:ascii="宋体" w:hAnsi="宋体" w:cs="宋体"/>
                <w:strike w:val="0"/>
                <w:dstrike w:val="0"/>
                <w:color w:val="auto"/>
                <w:kern w:val="2"/>
                <w:szCs w:val="21"/>
                <w:highlight w:val="none"/>
                <w:lang w:val="en-US" w:eastAsia="zh-CN"/>
              </w:rPr>
              <w:t>扫描件，不提供不得分）</w:t>
            </w:r>
          </w:p>
        </w:tc>
        <w:tc>
          <w:tcPr>
            <w:tcW w:w="756" w:type="dxa"/>
            <w:tcBorders>
              <w:top w:val="single" w:color="auto" w:sz="6" w:space="0"/>
              <w:left w:val="single" w:color="auto" w:sz="6" w:space="0"/>
              <w:bottom w:val="single" w:color="auto" w:sz="12"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default"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4</w:t>
            </w:r>
          </w:p>
        </w:tc>
        <w:tc>
          <w:tcPr>
            <w:tcW w:w="875" w:type="dxa"/>
            <w:tcBorders>
              <w:top w:val="single" w:color="auto" w:sz="6" w:space="0"/>
              <w:left w:val="single" w:color="auto" w:sz="6" w:space="0"/>
              <w:bottom w:val="single" w:color="auto" w:sz="12"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eastAsia"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客观分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28" w:hRule="atLeast"/>
          <w:jc w:val="center"/>
        </w:trPr>
        <w:tc>
          <w:tcPr>
            <w:tcW w:w="617" w:type="dxa"/>
            <w:tcBorders>
              <w:top w:val="single" w:color="auto" w:sz="6" w:space="0"/>
              <w:left w:val="single" w:color="auto" w:sz="12" w:space="0"/>
              <w:bottom w:val="single" w:color="auto" w:sz="12" w:space="0"/>
              <w:right w:val="single" w:color="auto" w:sz="6" w:space="0"/>
            </w:tcBorders>
            <w:noWrap w:val="0"/>
            <w:vAlign w:val="center"/>
          </w:tcPr>
          <w:p>
            <w:pPr>
              <w:pStyle w:val="23"/>
              <w:spacing w:before="120" w:beforeLines="50" w:afterLines="50" w:line="240" w:lineRule="auto"/>
              <w:ind w:left="0" w:leftChars="0" w:firstLine="0" w:firstLineChars="0"/>
              <w:jc w:val="center"/>
              <w:rPr>
                <w:rFonts w:hint="default"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14</w:t>
            </w:r>
          </w:p>
        </w:tc>
        <w:tc>
          <w:tcPr>
            <w:tcW w:w="7046" w:type="dxa"/>
            <w:tcBorders>
              <w:top w:val="single" w:color="auto" w:sz="6" w:space="0"/>
              <w:left w:val="single" w:color="auto" w:sz="6" w:space="0"/>
              <w:bottom w:val="single" w:color="auto" w:sz="12" w:space="0"/>
              <w:right w:val="single" w:color="auto" w:sz="12" w:space="0"/>
            </w:tcBorders>
            <w:noWrap w:val="0"/>
            <w:vAlign w:val="center"/>
          </w:tcPr>
          <w:p>
            <w:pPr>
              <w:pStyle w:val="23"/>
              <w:spacing w:before="120" w:beforeLines="50" w:afterLines="50" w:line="240" w:lineRule="auto"/>
              <w:ind w:left="0" w:leftChars="0" w:firstLine="0" w:firstLineChars="0"/>
              <w:rPr>
                <w:rFonts w:hint="eastAsia" w:ascii="宋体" w:hAnsi="宋体" w:cs="宋体"/>
                <w:strike w:val="0"/>
                <w:dstrike w:val="0"/>
                <w:color w:val="auto"/>
                <w:kern w:val="2"/>
                <w:szCs w:val="21"/>
                <w:highlight w:val="none"/>
                <w:lang w:val="en-US" w:eastAsia="zh-CN"/>
              </w:rPr>
            </w:pPr>
            <w:r>
              <w:rPr>
                <w:rFonts w:hint="eastAsia" w:ascii="宋体" w:hAnsi="宋体" w:cs="宋体"/>
                <w:strike w:val="0"/>
                <w:dstrike w:val="0"/>
                <w:color w:val="auto"/>
                <w:kern w:val="2"/>
                <w:szCs w:val="21"/>
                <w:highlight w:val="none"/>
                <w:lang w:val="en-US" w:eastAsia="zh-CN"/>
              </w:rPr>
              <w:t>投标人自有或租赁8吨（及以上）洒水车的有一辆得4分，最高得4分。（投标人自有设备的须提供购买发票</w:t>
            </w:r>
            <w:r>
              <w:rPr>
                <w:rFonts w:hint="eastAsia" w:ascii="宋体" w:hAnsi="宋体" w:cs="宋体"/>
                <w:b/>
                <w:bCs/>
                <w:strike w:val="0"/>
                <w:dstrike w:val="0"/>
                <w:color w:val="auto"/>
                <w:kern w:val="2"/>
                <w:szCs w:val="21"/>
                <w:highlight w:val="none"/>
                <w:lang w:val="en-US" w:eastAsia="zh-CN"/>
              </w:rPr>
              <w:t>清晰的</w:t>
            </w:r>
            <w:r>
              <w:rPr>
                <w:rFonts w:hint="eastAsia" w:ascii="宋体" w:hAnsi="宋体" w:cs="宋体"/>
                <w:strike w:val="0"/>
                <w:dstrike w:val="0"/>
                <w:color w:val="auto"/>
                <w:kern w:val="2"/>
                <w:szCs w:val="21"/>
                <w:highlight w:val="none"/>
                <w:lang w:val="en-US" w:eastAsia="zh-CN"/>
              </w:rPr>
              <w:t>复印件及车辆照片，租赁的须提供</w:t>
            </w:r>
            <w:r>
              <w:rPr>
                <w:rFonts w:hint="eastAsia" w:ascii="宋体" w:hAnsi="宋体" w:cs="宋体"/>
                <w:b/>
                <w:bCs/>
                <w:strike w:val="0"/>
                <w:dstrike w:val="0"/>
                <w:color w:val="auto"/>
                <w:kern w:val="2"/>
                <w:szCs w:val="21"/>
                <w:highlight w:val="none"/>
                <w:lang w:val="en-US" w:eastAsia="zh-CN"/>
              </w:rPr>
              <w:t>清晰的</w:t>
            </w:r>
            <w:r>
              <w:rPr>
                <w:rFonts w:hint="eastAsia" w:ascii="宋体" w:hAnsi="宋体" w:cs="宋体"/>
                <w:strike w:val="0"/>
                <w:dstrike w:val="0"/>
                <w:color w:val="auto"/>
                <w:kern w:val="2"/>
                <w:szCs w:val="21"/>
                <w:highlight w:val="none"/>
                <w:lang w:val="en-US" w:eastAsia="zh-CN"/>
              </w:rPr>
              <w:t>租赁协议复印件及车辆照片；且需提供洒水车吨量的证明文件，不提供不得分。）</w:t>
            </w:r>
          </w:p>
        </w:tc>
        <w:tc>
          <w:tcPr>
            <w:tcW w:w="756" w:type="dxa"/>
            <w:tcBorders>
              <w:top w:val="single" w:color="auto" w:sz="6" w:space="0"/>
              <w:left w:val="single" w:color="auto" w:sz="6" w:space="0"/>
              <w:bottom w:val="single" w:color="auto" w:sz="12"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default"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4</w:t>
            </w:r>
          </w:p>
        </w:tc>
        <w:tc>
          <w:tcPr>
            <w:tcW w:w="875" w:type="dxa"/>
            <w:tcBorders>
              <w:top w:val="single" w:color="auto" w:sz="6" w:space="0"/>
              <w:left w:val="single" w:color="auto" w:sz="6" w:space="0"/>
              <w:bottom w:val="single" w:color="auto" w:sz="12"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eastAsia"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客观分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28" w:hRule="atLeast"/>
          <w:jc w:val="center"/>
        </w:trPr>
        <w:tc>
          <w:tcPr>
            <w:tcW w:w="617" w:type="dxa"/>
            <w:tcBorders>
              <w:top w:val="single" w:color="auto" w:sz="6" w:space="0"/>
              <w:left w:val="single" w:color="auto" w:sz="12" w:space="0"/>
              <w:bottom w:val="single" w:color="auto" w:sz="12" w:space="0"/>
              <w:right w:val="single" w:color="auto" w:sz="6" w:space="0"/>
            </w:tcBorders>
            <w:noWrap w:val="0"/>
            <w:vAlign w:val="center"/>
          </w:tcPr>
          <w:p>
            <w:pPr>
              <w:pStyle w:val="23"/>
              <w:spacing w:before="120" w:beforeLines="50" w:afterLines="50" w:line="240" w:lineRule="auto"/>
              <w:ind w:left="0" w:leftChars="0" w:firstLine="0" w:firstLineChars="0"/>
              <w:jc w:val="center"/>
              <w:rPr>
                <w:rFonts w:hint="default"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15</w:t>
            </w:r>
          </w:p>
        </w:tc>
        <w:tc>
          <w:tcPr>
            <w:tcW w:w="7046" w:type="dxa"/>
            <w:tcBorders>
              <w:top w:val="single" w:color="auto" w:sz="6" w:space="0"/>
              <w:left w:val="single" w:color="auto" w:sz="6" w:space="0"/>
              <w:bottom w:val="single" w:color="auto" w:sz="12" w:space="0"/>
              <w:right w:val="single" w:color="auto" w:sz="12" w:space="0"/>
            </w:tcBorders>
            <w:noWrap w:val="0"/>
            <w:vAlign w:val="center"/>
          </w:tcPr>
          <w:p>
            <w:pPr>
              <w:pStyle w:val="23"/>
              <w:spacing w:before="120" w:beforeLines="50" w:afterLines="50" w:line="240" w:lineRule="auto"/>
              <w:ind w:left="0" w:leftChars="0" w:firstLine="0" w:firstLineChars="0"/>
              <w:rPr>
                <w:rFonts w:hint="eastAsia" w:ascii="宋体" w:hAnsi="宋体" w:eastAsia="宋体" w:cs="宋体"/>
                <w:color w:val="auto"/>
                <w:kern w:val="2"/>
                <w:szCs w:val="21"/>
                <w:highlight w:val="none"/>
                <w:lang w:val="zh-CN" w:eastAsia="zh-CN"/>
              </w:rPr>
            </w:pPr>
            <w:r>
              <w:rPr>
                <w:rFonts w:hint="eastAsia" w:ascii="宋体" w:hAnsi="宋体" w:cs="宋体"/>
                <w:strike w:val="0"/>
                <w:dstrike w:val="0"/>
                <w:color w:val="auto"/>
                <w:kern w:val="2"/>
                <w:szCs w:val="21"/>
                <w:highlight w:val="none"/>
                <w:lang w:val="en-US" w:eastAsia="zh-CN"/>
              </w:rPr>
              <w:t>投标人自有或租赁自卸车（或随车吊）的有一辆得4分，最高得4分。（投标人自有设备的须提供购买发票</w:t>
            </w:r>
            <w:r>
              <w:rPr>
                <w:rFonts w:hint="eastAsia" w:ascii="宋体" w:hAnsi="宋体" w:cs="宋体"/>
                <w:b/>
                <w:bCs/>
                <w:strike w:val="0"/>
                <w:dstrike w:val="0"/>
                <w:color w:val="auto"/>
                <w:kern w:val="2"/>
                <w:szCs w:val="21"/>
                <w:highlight w:val="none"/>
                <w:lang w:val="en-US" w:eastAsia="zh-CN"/>
              </w:rPr>
              <w:t>清晰的</w:t>
            </w:r>
            <w:r>
              <w:rPr>
                <w:rFonts w:hint="eastAsia" w:ascii="宋体" w:hAnsi="宋体" w:cs="宋体"/>
                <w:strike w:val="0"/>
                <w:dstrike w:val="0"/>
                <w:color w:val="auto"/>
                <w:kern w:val="2"/>
                <w:szCs w:val="21"/>
                <w:highlight w:val="none"/>
                <w:lang w:val="en-US" w:eastAsia="zh-CN"/>
              </w:rPr>
              <w:t>复印件及车辆照片，租赁的须提供</w:t>
            </w:r>
            <w:r>
              <w:rPr>
                <w:rFonts w:hint="eastAsia" w:ascii="宋体" w:hAnsi="宋体" w:cs="宋体"/>
                <w:b/>
                <w:bCs/>
                <w:strike w:val="0"/>
                <w:dstrike w:val="0"/>
                <w:color w:val="auto"/>
                <w:kern w:val="2"/>
                <w:szCs w:val="21"/>
                <w:highlight w:val="none"/>
                <w:lang w:val="en-US" w:eastAsia="zh-CN"/>
              </w:rPr>
              <w:t>清晰的</w:t>
            </w:r>
            <w:r>
              <w:rPr>
                <w:rFonts w:hint="eastAsia" w:ascii="宋体" w:hAnsi="宋体" w:cs="宋体"/>
                <w:strike w:val="0"/>
                <w:dstrike w:val="0"/>
                <w:color w:val="auto"/>
                <w:kern w:val="2"/>
                <w:szCs w:val="21"/>
                <w:highlight w:val="none"/>
                <w:lang w:val="en-US" w:eastAsia="zh-CN"/>
              </w:rPr>
              <w:t>租赁协议复印件及车辆照片，不提供不得分。）</w:t>
            </w:r>
          </w:p>
        </w:tc>
        <w:tc>
          <w:tcPr>
            <w:tcW w:w="756" w:type="dxa"/>
            <w:tcBorders>
              <w:top w:val="single" w:color="auto" w:sz="6" w:space="0"/>
              <w:left w:val="single" w:color="auto" w:sz="6" w:space="0"/>
              <w:bottom w:val="single" w:color="auto" w:sz="12"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default"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4</w:t>
            </w:r>
          </w:p>
        </w:tc>
        <w:tc>
          <w:tcPr>
            <w:tcW w:w="875" w:type="dxa"/>
            <w:tcBorders>
              <w:top w:val="single" w:color="auto" w:sz="6" w:space="0"/>
              <w:left w:val="single" w:color="auto" w:sz="6" w:space="0"/>
              <w:bottom w:val="single" w:color="auto" w:sz="12"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eastAsia"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客观分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137" w:hRule="atLeast"/>
          <w:jc w:val="center"/>
        </w:trPr>
        <w:tc>
          <w:tcPr>
            <w:tcW w:w="617" w:type="dxa"/>
            <w:tcBorders>
              <w:top w:val="single" w:color="auto" w:sz="6" w:space="0"/>
              <w:left w:val="single" w:color="auto" w:sz="12" w:space="0"/>
              <w:bottom w:val="single" w:color="auto" w:sz="12" w:space="0"/>
              <w:right w:val="single" w:color="auto" w:sz="6" w:space="0"/>
            </w:tcBorders>
            <w:noWrap w:val="0"/>
            <w:vAlign w:val="center"/>
          </w:tcPr>
          <w:p>
            <w:pPr>
              <w:pStyle w:val="23"/>
              <w:spacing w:before="120" w:beforeLines="50" w:afterLines="50" w:line="240" w:lineRule="auto"/>
              <w:ind w:left="0" w:leftChars="0" w:firstLine="0" w:firstLineChars="0"/>
              <w:jc w:val="center"/>
              <w:rPr>
                <w:rFonts w:hint="default"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16</w:t>
            </w:r>
          </w:p>
        </w:tc>
        <w:tc>
          <w:tcPr>
            <w:tcW w:w="7046" w:type="dxa"/>
            <w:tcBorders>
              <w:top w:val="single" w:color="auto" w:sz="6" w:space="0"/>
              <w:left w:val="single" w:color="auto" w:sz="6" w:space="0"/>
              <w:bottom w:val="single" w:color="auto" w:sz="12" w:space="0"/>
              <w:right w:val="single" w:color="auto" w:sz="12" w:space="0"/>
            </w:tcBorders>
            <w:noWrap w:val="0"/>
            <w:vAlign w:val="center"/>
          </w:tcPr>
          <w:p>
            <w:pPr>
              <w:pStyle w:val="23"/>
              <w:spacing w:before="120" w:beforeLines="50" w:afterLines="50" w:line="240" w:lineRule="auto"/>
              <w:ind w:left="0" w:leftChars="0" w:firstLine="0" w:firstLineChars="0"/>
              <w:rPr>
                <w:rFonts w:hint="default" w:ascii="宋体" w:hAnsi="宋体" w:eastAsia="宋体" w:cs="宋体"/>
                <w:color w:val="auto"/>
                <w:kern w:val="2"/>
                <w:szCs w:val="21"/>
                <w:highlight w:val="none"/>
                <w:lang w:val="en-US" w:eastAsia="zh-CN"/>
              </w:rPr>
            </w:pPr>
            <w:r>
              <w:rPr>
                <w:rFonts w:hint="eastAsia" w:ascii="宋体" w:hAnsi="宋体" w:cs="宋体"/>
                <w:color w:val="auto"/>
                <w:kern w:val="2"/>
                <w:szCs w:val="21"/>
                <w:highlight w:val="none"/>
                <w:lang w:val="zh-CN" w:eastAsia="zh-CN"/>
              </w:rPr>
              <w:t>拟投入本项目项目组成员中每有一人具有园林绿化</w:t>
            </w:r>
            <w:r>
              <w:rPr>
                <w:rFonts w:hint="eastAsia" w:ascii="宋体" w:hAnsi="宋体" w:cs="宋体"/>
                <w:color w:val="auto"/>
                <w:kern w:val="2"/>
                <w:szCs w:val="21"/>
                <w:highlight w:val="none"/>
                <w:lang w:val="en-US" w:eastAsia="zh-CN"/>
              </w:rPr>
              <w:t>相关专业工程师及以上职称的得2.5分，最高得5分。（提供职称证书复印件，不提供不得分）</w:t>
            </w:r>
          </w:p>
        </w:tc>
        <w:tc>
          <w:tcPr>
            <w:tcW w:w="756" w:type="dxa"/>
            <w:tcBorders>
              <w:top w:val="single" w:color="auto" w:sz="6" w:space="0"/>
              <w:left w:val="single" w:color="auto" w:sz="6" w:space="0"/>
              <w:bottom w:val="single" w:color="auto" w:sz="12"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default"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5</w:t>
            </w:r>
          </w:p>
        </w:tc>
        <w:tc>
          <w:tcPr>
            <w:tcW w:w="875" w:type="dxa"/>
            <w:tcBorders>
              <w:top w:val="single" w:color="auto" w:sz="6" w:space="0"/>
              <w:left w:val="single" w:color="auto" w:sz="6" w:space="0"/>
              <w:bottom w:val="single" w:color="auto" w:sz="12"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eastAsia"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客观分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124" w:hRule="atLeast"/>
          <w:jc w:val="center"/>
        </w:trPr>
        <w:tc>
          <w:tcPr>
            <w:tcW w:w="617" w:type="dxa"/>
            <w:tcBorders>
              <w:top w:val="single" w:color="auto" w:sz="6" w:space="0"/>
              <w:left w:val="single" w:color="auto" w:sz="12" w:space="0"/>
              <w:bottom w:val="single" w:color="auto" w:sz="12" w:space="0"/>
              <w:right w:val="single" w:color="auto" w:sz="6" w:space="0"/>
            </w:tcBorders>
            <w:noWrap w:val="0"/>
            <w:vAlign w:val="center"/>
          </w:tcPr>
          <w:p>
            <w:pPr>
              <w:pStyle w:val="23"/>
              <w:spacing w:before="120" w:beforeLines="50" w:afterLines="50" w:line="240" w:lineRule="auto"/>
              <w:ind w:left="0" w:leftChars="0" w:firstLine="0" w:firstLineChars="0"/>
              <w:jc w:val="center"/>
              <w:rPr>
                <w:rFonts w:hint="default"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17</w:t>
            </w:r>
          </w:p>
        </w:tc>
        <w:tc>
          <w:tcPr>
            <w:tcW w:w="7046" w:type="dxa"/>
            <w:tcBorders>
              <w:top w:val="single" w:color="auto" w:sz="6" w:space="0"/>
              <w:left w:val="single" w:color="auto" w:sz="6" w:space="0"/>
              <w:bottom w:val="single" w:color="auto" w:sz="12" w:space="0"/>
              <w:right w:val="single" w:color="auto" w:sz="12" w:space="0"/>
            </w:tcBorders>
            <w:noWrap w:val="0"/>
            <w:vAlign w:val="center"/>
          </w:tcPr>
          <w:p>
            <w:pPr>
              <w:pStyle w:val="23"/>
              <w:spacing w:before="120" w:beforeLines="50" w:afterLines="50" w:line="240" w:lineRule="auto"/>
              <w:ind w:left="0" w:leftChars="0" w:firstLine="0" w:firstLineChars="0"/>
              <w:rPr>
                <w:rFonts w:hint="default" w:ascii="宋体" w:hAnsi="宋体" w:eastAsia="宋体" w:cs="宋体"/>
                <w:color w:val="auto"/>
                <w:kern w:val="2"/>
                <w:szCs w:val="21"/>
                <w:highlight w:val="none"/>
                <w:lang w:val="en-US" w:eastAsia="zh-CN"/>
              </w:rPr>
            </w:pPr>
            <w:r>
              <w:rPr>
                <w:rFonts w:hint="eastAsia" w:ascii="宋体" w:hAnsi="宋体" w:cs="宋体"/>
                <w:color w:val="auto"/>
                <w:kern w:val="2"/>
                <w:szCs w:val="21"/>
                <w:highlight w:val="none"/>
                <w:lang w:val="zh-CN" w:eastAsia="zh-CN"/>
              </w:rPr>
              <w:t>投标人自</w:t>
            </w:r>
            <w:r>
              <w:rPr>
                <w:rFonts w:hint="eastAsia" w:ascii="宋体" w:hAnsi="宋体" w:cs="宋体"/>
                <w:color w:val="auto"/>
                <w:kern w:val="2"/>
                <w:szCs w:val="21"/>
                <w:highlight w:val="none"/>
                <w:lang w:val="en-US" w:eastAsia="zh-CN"/>
              </w:rPr>
              <w:t>2019年1月1日以来承担过类似项目业绩的，每个得0.5分，最高得1分。（提供中标通知书或合同的扫描件，时间以中标通知书签发时间或合同签订时间为准）</w:t>
            </w:r>
          </w:p>
        </w:tc>
        <w:tc>
          <w:tcPr>
            <w:tcW w:w="756" w:type="dxa"/>
            <w:tcBorders>
              <w:top w:val="single" w:color="auto" w:sz="6" w:space="0"/>
              <w:left w:val="single" w:color="auto" w:sz="6" w:space="0"/>
              <w:bottom w:val="single" w:color="auto" w:sz="12"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default"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1</w:t>
            </w:r>
          </w:p>
        </w:tc>
        <w:tc>
          <w:tcPr>
            <w:tcW w:w="875" w:type="dxa"/>
            <w:tcBorders>
              <w:top w:val="single" w:color="auto" w:sz="6" w:space="0"/>
              <w:left w:val="single" w:color="auto" w:sz="6" w:space="0"/>
              <w:bottom w:val="single" w:color="auto" w:sz="12"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eastAsia"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客观分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28" w:hRule="atLeast"/>
          <w:jc w:val="center"/>
        </w:trPr>
        <w:tc>
          <w:tcPr>
            <w:tcW w:w="617" w:type="dxa"/>
            <w:tcBorders>
              <w:top w:val="single" w:color="auto" w:sz="6" w:space="0"/>
              <w:left w:val="single" w:color="auto" w:sz="12" w:space="0"/>
              <w:bottom w:val="single" w:color="auto" w:sz="12" w:space="0"/>
              <w:right w:val="single" w:color="auto" w:sz="6" w:space="0"/>
            </w:tcBorders>
            <w:noWrap w:val="0"/>
            <w:vAlign w:val="center"/>
          </w:tcPr>
          <w:p>
            <w:pPr>
              <w:pStyle w:val="23"/>
              <w:spacing w:before="120" w:beforeLines="50" w:afterLines="50" w:line="240" w:lineRule="auto"/>
              <w:ind w:left="0" w:leftChars="0" w:firstLine="0" w:firstLineChars="0"/>
              <w:jc w:val="center"/>
              <w:rPr>
                <w:rFonts w:hint="default"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18</w:t>
            </w:r>
          </w:p>
        </w:tc>
        <w:tc>
          <w:tcPr>
            <w:tcW w:w="7046" w:type="dxa"/>
            <w:tcBorders>
              <w:top w:val="single" w:color="auto" w:sz="6" w:space="0"/>
              <w:left w:val="single" w:color="auto" w:sz="6" w:space="0"/>
              <w:bottom w:val="single" w:color="auto" w:sz="12" w:space="0"/>
              <w:right w:val="single" w:color="auto" w:sz="12" w:space="0"/>
            </w:tcBorders>
            <w:noWrap w:val="0"/>
            <w:vAlign w:val="center"/>
          </w:tcPr>
          <w:p>
            <w:pPr>
              <w:pStyle w:val="23"/>
              <w:spacing w:before="120" w:beforeLines="50" w:afterLines="50" w:line="240" w:lineRule="auto"/>
              <w:ind w:left="0" w:leftChars="0" w:firstLine="0" w:firstLineChars="0"/>
              <w:rPr>
                <w:rFonts w:hint="eastAsia" w:ascii="宋体" w:hAnsi="宋体" w:cs="宋体"/>
                <w:color w:val="auto"/>
                <w:kern w:val="2"/>
                <w:szCs w:val="21"/>
                <w:highlight w:val="none"/>
                <w:lang w:val="zh-CN" w:eastAsia="zh-CN"/>
              </w:rPr>
            </w:pPr>
            <w:r>
              <w:rPr>
                <w:rFonts w:hint="eastAsia" w:ascii="宋体" w:hAnsi="宋体"/>
                <w:color w:val="000000" w:themeColor="text1"/>
                <w:szCs w:val="21"/>
                <w:highlight w:val="none"/>
                <w14:textFill>
                  <w14:solidFill>
                    <w14:schemeClr w14:val="tx1"/>
                  </w14:solidFill>
                </w14:textFill>
              </w:rPr>
              <w:t>投标人凡在投标截止时间前三年内受到行政处罚、行政处理（含通报）或记入不良行为的，此项得0分；若无处罚、行政处理（含通报）或记入不良行为的得3分（投标单位自行提供，如有不良记录又虚假隐瞒的，一经发现将取消投标资格）。（自行提供承诺书）（0-3分）</w:t>
            </w:r>
          </w:p>
        </w:tc>
        <w:tc>
          <w:tcPr>
            <w:tcW w:w="756" w:type="dxa"/>
            <w:tcBorders>
              <w:top w:val="single" w:color="auto" w:sz="6" w:space="0"/>
              <w:left w:val="single" w:color="auto" w:sz="6" w:space="0"/>
              <w:bottom w:val="single" w:color="auto" w:sz="12"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default"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3</w:t>
            </w:r>
          </w:p>
        </w:tc>
        <w:tc>
          <w:tcPr>
            <w:tcW w:w="875" w:type="dxa"/>
            <w:tcBorders>
              <w:top w:val="single" w:color="auto" w:sz="6" w:space="0"/>
              <w:left w:val="single" w:color="auto" w:sz="6" w:space="0"/>
              <w:bottom w:val="single" w:color="auto" w:sz="12"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eastAsia"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客观分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10" w:hRule="atLeast"/>
          <w:jc w:val="center"/>
        </w:trPr>
        <w:tc>
          <w:tcPr>
            <w:tcW w:w="8419" w:type="dxa"/>
            <w:gridSpan w:val="3"/>
            <w:tcBorders>
              <w:top w:val="single" w:color="auto" w:sz="6" w:space="0"/>
              <w:left w:val="single" w:color="auto" w:sz="12" w:space="0"/>
              <w:bottom w:val="single" w:color="auto" w:sz="6"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default" w:ascii="宋体" w:hAnsi="宋体" w:cs="宋体"/>
                <w:color w:val="auto"/>
                <w:kern w:val="2"/>
                <w:szCs w:val="21"/>
                <w:highlight w:val="none"/>
                <w:lang w:val="en-US" w:eastAsia="zh-CN"/>
              </w:rPr>
            </w:pPr>
            <w:r>
              <w:rPr>
                <w:rFonts w:hint="eastAsia" w:ascii="宋体" w:hAnsi="宋体" w:cs="宋体"/>
                <w:b/>
                <w:bCs/>
                <w:color w:val="auto"/>
                <w:kern w:val="2"/>
                <w:szCs w:val="21"/>
                <w:highlight w:val="none"/>
                <w:lang w:val="en-US" w:eastAsia="zh-CN"/>
              </w:rPr>
              <w:t>商务报价分（10分）</w:t>
            </w:r>
          </w:p>
        </w:tc>
        <w:tc>
          <w:tcPr>
            <w:tcW w:w="875" w:type="dxa"/>
            <w:tcBorders>
              <w:top w:val="single" w:color="auto" w:sz="6" w:space="0"/>
              <w:left w:val="single" w:color="auto" w:sz="12" w:space="0"/>
              <w:bottom w:val="single" w:color="auto" w:sz="6"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eastAsia" w:ascii="宋体" w:hAnsi="宋体" w:cs="宋体"/>
                <w:b/>
                <w:bCs/>
                <w:color w:val="auto"/>
                <w:kern w:val="2"/>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28" w:hRule="atLeast"/>
          <w:jc w:val="center"/>
        </w:trPr>
        <w:tc>
          <w:tcPr>
            <w:tcW w:w="617" w:type="dxa"/>
            <w:tcBorders>
              <w:top w:val="single" w:color="auto" w:sz="6" w:space="0"/>
              <w:left w:val="single" w:color="auto" w:sz="12" w:space="0"/>
              <w:bottom w:val="single" w:color="auto" w:sz="12" w:space="0"/>
              <w:right w:val="single" w:color="auto" w:sz="6" w:space="0"/>
            </w:tcBorders>
            <w:noWrap w:val="0"/>
            <w:vAlign w:val="center"/>
          </w:tcPr>
          <w:p>
            <w:pPr>
              <w:pStyle w:val="23"/>
              <w:spacing w:before="120" w:beforeLines="50" w:afterLines="50" w:line="240" w:lineRule="auto"/>
              <w:ind w:left="0" w:leftChars="0" w:firstLine="0" w:firstLineChars="0"/>
              <w:jc w:val="center"/>
              <w:rPr>
                <w:rFonts w:hint="default"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1</w:t>
            </w:r>
          </w:p>
        </w:tc>
        <w:tc>
          <w:tcPr>
            <w:tcW w:w="7046" w:type="dxa"/>
            <w:tcBorders>
              <w:top w:val="single" w:color="auto" w:sz="6" w:space="0"/>
              <w:left w:val="single" w:color="auto" w:sz="6" w:space="0"/>
              <w:bottom w:val="single" w:color="auto" w:sz="12" w:space="0"/>
              <w:right w:val="single" w:color="auto" w:sz="12" w:space="0"/>
            </w:tcBorders>
            <w:noWrap w:val="0"/>
            <w:vAlign w:val="center"/>
          </w:tcPr>
          <w:p>
            <w:pPr>
              <w:pStyle w:val="23"/>
              <w:spacing w:before="120" w:beforeLines="50" w:afterLines="50" w:line="240" w:lineRule="auto"/>
              <w:ind w:left="0" w:leftChars="0" w:firstLine="0" w:firstLineChars="0"/>
              <w:rPr>
                <w:rFonts w:hint="eastAsia" w:ascii="宋体" w:hAnsi="宋体" w:eastAsia="宋体" w:cs="宋体"/>
                <w:color w:val="auto"/>
                <w:kern w:val="2"/>
                <w:szCs w:val="21"/>
                <w:highlight w:val="none"/>
                <w:lang w:val="zh-CN" w:eastAsia="zh-CN"/>
              </w:rPr>
            </w:pPr>
            <w:r>
              <w:rPr>
                <w:rFonts w:hint="eastAsia" w:ascii="宋体" w:hAnsi="宋体" w:eastAsia="宋体" w:cs="宋体"/>
                <w:color w:val="auto"/>
                <w:kern w:val="2"/>
                <w:szCs w:val="21"/>
                <w:highlight w:val="none"/>
                <w:lang w:val="zh-CN" w:eastAsia="zh-CN"/>
              </w:rPr>
              <w:t>有效投标报价的最低价作为评标基准价，其最低报价为满分；按［投标报价得分=（评标基准价/投标报价）×10］的计算公式计算。</w:t>
            </w:r>
          </w:p>
          <w:p>
            <w:pPr>
              <w:pStyle w:val="23"/>
              <w:spacing w:before="120" w:beforeLines="50" w:afterLines="50" w:line="240" w:lineRule="auto"/>
              <w:ind w:left="0" w:leftChars="0" w:firstLine="0" w:firstLineChars="0"/>
              <w:rPr>
                <w:rFonts w:hint="eastAsia" w:ascii="宋体" w:hAnsi="宋体" w:eastAsia="宋体" w:cs="宋体"/>
                <w:color w:val="auto"/>
                <w:kern w:val="2"/>
                <w:szCs w:val="21"/>
                <w:highlight w:val="none"/>
                <w:lang w:val="zh-CN" w:eastAsia="zh-CN"/>
              </w:rPr>
            </w:pPr>
            <w:r>
              <w:rPr>
                <w:rFonts w:hint="eastAsia" w:ascii="宋体" w:hAnsi="宋体" w:eastAsia="宋体" w:cs="宋体"/>
                <w:color w:val="auto"/>
                <w:kern w:val="2"/>
                <w:szCs w:val="21"/>
                <w:highlight w:val="none"/>
                <w:lang w:val="zh-CN" w:eastAsia="zh-CN"/>
              </w:rPr>
              <w:t>评标过程中，不得去掉报价中的最高报价和最低报价。</w:t>
            </w:r>
          </w:p>
          <w:p>
            <w:pPr>
              <w:pStyle w:val="23"/>
              <w:spacing w:before="120" w:beforeLines="50" w:afterLines="50" w:line="240" w:lineRule="auto"/>
              <w:ind w:left="0" w:leftChars="0" w:firstLine="0" w:firstLineChars="0"/>
              <w:rPr>
                <w:rFonts w:hint="eastAsia" w:ascii="宋体" w:hAnsi="宋体" w:eastAsia="宋体" w:cs="宋体"/>
                <w:color w:val="auto"/>
                <w:kern w:val="2"/>
                <w:szCs w:val="21"/>
                <w:highlight w:val="none"/>
                <w:lang w:val="zh-CN" w:eastAsia="zh-CN"/>
              </w:rPr>
            </w:pPr>
            <w:r>
              <w:rPr>
                <w:rFonts w:hint="eastAsia" w:ascii="宋体" w:hAnsi="宋体" w:eastAsia="宋体" w:cs="宋体"/>
                <w:color w:val="auto"/>
                <w:kern w:val="2"/>
                <w:szCs w:val="21"/>
                <w:highlight w:val="none"/>
                <w:lang w:val="zh-CN" w:eastAsia="zh-CN"/>
              </w:rPr>
              <w:t>因落实政府采购政策需要进行价格调整的，以调整后的价格计算评标基准价和投标报价。</w:t>
            </w:r>
          </w:p>
        </w:tc>
        <w:tc>
          <w:tcPr>
            <w:tcW w:w="756" w:type="dxa"/>
            <w:tcBorders>
              <w:top w:val="single" w:color="auto" w:sz="6" w:space="0"/>
              <w:left w:val="single" w:color="auto" w:sz="6" w:space="0"/>
              <w:bottom w:val="single" w:color="auto" w:sz="12"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default" w:ascii="宋体" w:hAnsi="宋体" w:cs="宋体"/>
                <w:color w:val="auto"/>
                <w:kern w:val="2"/>
                <w:szCs w:val="21"/>
                <w:highlight w:val="none"/>
                <w:lang w:val="en-US" w:eastAsia="zh-CN"/>
              </w:rPr>
            </w:pPr>
            <w:r>
              <w:rPr>
                <w:rFonts w:hint="eastAsia" w:ascii="宋体" w:hAnsi="宋体" w:cs="宋体"/>
                <w:color w:val="auto"/>
                <w:kern w:val="2"/>
                <w:szCs w:val="21"/>
                <w:highlight w:val="none"/>
                <w:lang w:val="en-US" w:eastAsia="zh-CN"/>
              </w:rPr>
              <w:t>10分</w:t>
            </w:r>
          </w:p>
        </w:tc>
        <w:tc>
          <w:tcPr>
            <w:tcW w:w="875" w:type="dxa"/>
            <w:tcBorders>
              <w:top w:val="single" w:color="auto" w:sz="6" w:space="0"/>
              <w:left w:val="single" w:color="auto" w:sz="6" w:space="0"/>
              <w:bottom w:val="single" w:color="auto" w:sz="12" w:space="0"/>
              <w:right w:val="single" w:color="auto" w:sz="12" w:space="0"/>
            </w:tcBorders>
            <w:noWrap w:val="0"/>
            <w:vAlign w:val="center"/>
          </w:tcPr>
          <w:p>
            <w:pPr>
              <w:pStyle w:val="23"/>
              <w:spacing w:before="120" w:beforeLines="50" w:afterLines="50" w:line="240" w:lineRule="auto"/>
              <w:ind w:left="0" w:leftChars="0" w:firstLine="0" w:firstLineChars="0"/>
              <w:jc w:val="center"/>
              <w:rPr>
                <w:rFonts w:hint="eastAsia" w:ascii="宋体" w:hAnsi="宋体" w:cs="宋体"/>
                <w:color w:val="auto"/>
                <w:kern w:val="2"/>
                <w:szCs w:val="21"/>
                <w:highlight w:val="none"/>
                <w:lang w:val="en-US" w:eastAsia="zh-CN"/>
              </w:rPr>
            </w:pPr>
          </w:p>
        </w:tc>
      </w:tr>
    </w:tbl>
    <w:p>
      <w:pPr>
        <w:snapToGrid w:val="0"/>
        <w:spacing w:line="360" w:lineRule="auto"/>
        <w:rPr>
          <w:rFonts w:hint="eastAsia" w:ascii="宋体" w:hAnsi="宋体" w:eastAsia="宋体" w:cs="宋体"/>
          <w:b/>
          <w:color w:val="auto"/>
          <w:szCs w:val="21"/>
          <w:highlight w:val="none"/>
        </w:rPr>
      </w:pPr>
      <w:bookmarkStart w:id="114" w:name="_GoBack"/>
      <w:bookmarkEnd w:id="114"/>
      <w:r>
        <w:rPr>
          <w:rFonts w:ascii="Calibri" w:hAnsi="Calibri" w:eastAsia="仿宋" w:cs="Calibri"/>
          <w:color w:val="auto"/>
          <w:sz w:val="20"/>
          <w:szCs w:val="20"/>
          <w:highlight w:val="none"/>
          <w:shd w:val="clear" w:color="auto" w:fill="FFFFFF"/>
        </w:rPr>
        <w:t> </w:t>
      </w:r>
      <w:r>
        <w:rPr>
          <w:rFonts w:hint="eastAsia" w:ascii="宋体" w:hAnsi="宋体" w:eastAsia="宋体" w:cs="宋体"/>
          <w:color w:val="auto"/>
          <w:szCs w:val="21"/>
          <w:highlight w:val="none"/>
          <w:shd w:val="clear" w:color="auto" w:fill="FFFFFF"/>
        </w:rPr>
        <w:t>*</w:t>
      </w:r>
      <w:r>
        <w:rPr>
          <w:rFonts w:hint="eastAsia" w:ascii="宋体" w:hAnsi="宋体" w:eastAsia="宋体" w:cs="宋体"/>
          <w:b/>
          <w:color w:val="auto"/>
          <w:szCs w:val="21"/>
          <w:highlight w:val="none"/>
        </w:rPr>
        <w:t>备注：</w:t>
      </w:r>
      <w:r>
        <w:rPr>
          <w:rFonts w:hint="eastAsia" w:ascii="宋体" w:hAnsi="宋体" w:eastAsia="宋体" w:cs="宋体"/>
          <w:bCs/>
          <w:color w:val="auto"/>
          <w:szCs w:val="21"/>
          <w:highlight w:val="none"/>
        </w:rPr>
        <w:t>上述内容缺项不得分，</w:t>
      </w:r>
      <w:r>
        <w:rPr>
          <w:rFonts w:hint="eastAsia" w:ascii="宋体" w:hAnsi="宋体" w:eastAsia="宋体" w:cs="宋体"/>
          <w:color w:val="auto"/>
          <w:szCs w:val="21"/>
          <w:highlight w:val="none"/>
        </w:rPr>
        <w:t>投标人编制投标文件（商务技术文件部分）时，建议按此目录（序号和内容）提供评标标准相应的商务技术资料。 </w:t>
      </w:r>
    </w:p>
    <w:p>
      <w:pPr>
        <w:snapToGrid w:val="0"/>
        <w:spacing w:line="360"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一、评标方法</w:t>
      </w:r>
    </w:p>
    <w:p>
      <w:pPr>
        <w:adjustRightInd/>
        <w:spacing w:line="360" w:lineRule="auto"/>
        <w:ind w:firstLine="413" w:firstLineChars="196"/>
        <w:rPr>
          <w:rFonts w:hint="eastAsia" w:ascii="宋体" w:hAnsi="宋体" w:eastAsia="宋体" w:cs="宋体"/>
          <w:color w:val="auto"/>
          <w:kern w:val="0"/>
          <w:szCs w:val="21"/>
          <w:highlight w:val="none"/>
        </w:rPr>
      </w:pPr>
      <w:r>
        <w:rPr>
          <w:rFonts w:hint="eastAsia" w:ascii="宋体" w:hAnsi="宋体" w:eastAsia="宋体" w:cs="宋体"/>
          <w:b/>
          <w:color w:val="auto"/>
          <w:kern w:val="0"/>
          <w:szCs w:val="21"/>
          <w:highlight w:val="none"/>
        </w:rPr>
        <w:t>1.本项目采用综合评分法。</w:t>
      </w:r>
      <w:r>
        <w:rPr>
          <w:rFonts w:hint="eastAsia" w:ascii="宋体" w:hAnsi="宋体" w:eastAsia="宋体" w:cs="宋体"/>
          <w:color w:val="auto"/>
          <w:kern w:val="0"/>
          <w:szCs w:val="21"/>
          <w:highlight w:val="none"/>
        </w:rPr>
        <w:t>综合评分法，是指投标文件满足招标文件全部实质性要求，且按照评审因素的量化指标评审得分最高的投标人为中标候选人的评标方法。</w:t>
      </w:r>
    </w:p>
    <w:p>
      <w:pPr>
        <w:adjustRightInd/>
        <w:spacing w:line="360" w:lineRule="auto"/>
        <w:rPr>
          <w:rFonts w:hint="eastAsia" w:ascii="宋体" w:hAnsi="宋体" w:eastAsia="宋体" w:cs="宋体"/>
          <w:color w:val="auto"/>
          <w:kern w:val="0"/>
          <w:szCs w:val="21"/>
          <w:highlight w:val="none"/>
        </w:rPr>
      </w:pPr>
      <w:r>
        <w:rPr>
          <w:rFonts w:hint="eastAsia" w:ascii="宋体" w:hAnsi="宋体" w:eastAsia="宋体" w:cs="宋体"/>
          <w:b/>
          <w:color w:val="auto"/>
          <w:szCs w:val="21"/>
          <w:highlight w:val="none"/>
        </w:rPr>
        <w:t>二、评标标准</w:t>
      </w:r>
    </w:p>
    <w:p>
      <w:pPr>
        <w:spacing w:line="360" w:lineRule="auto"/>
        <w:ind w:firstLine="413" w:firstLineChars="196"/>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2.评标标准：</w:t>
      </w:r>
      <w:r>
        <w:rPr>
          <w:rFonts w:hint="eastAsia" w:ascii="宋体" w:hAnsi="宋体" w:eastAsia="宋体" w:cs="宋体"/>
          <w:color w:val="auto"/>
          <w:kern w:val="0"/>
          <w:szCs w:val="21"/>
          <w:highlight w:val="none"/>
        </w:rPr>
        <w:t>见评标办法前附表。</w:t>
      </w:r>
    </w:p>
    <w:p>
      <w:pPr>
        <w:spacing w:line="360" w:lineRule="auto"/>
        <w:outlineLvl w:val="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三、评标程序</w:t>
      </w:r>
    </w:p>
    <w:p>
      <w:pPr>
        <w:spacing w:line="360" w:lineRule="auto"/>
        <w:ind w:firstLine="413" w:firstLineChars="196"/>
        <w:rPr>
          <w:rFonts w:hint="eastAsia" w:ascii="宋体" w:hAnsi="宋体" w:eastAsia="宋体" w:cs="宋体"/>
          <w:color w:val="auto"/>
          <w:kern w:val="0"/>
          <w:szCs w:val="21"/>
          <w:highlight w:val="none"/>
        </w:rPr>
      </w:pPr>
      <w:r>
        <w:rPr>
          <w:rFonts w:hint="eastAsia" w:ascii="宋体" w:hAnsi="宋体" w:eastAsia="宋体" w:cs="宋体"/>
          <w:b/>
          <w:color w:val="auto"/>
          <w:kern w:val="0"/>
          <w:szCs w:val="21"/>
          <w:highlight w:val="none"/>
        </w:rPr>
        <w:t>3.1符合性审查。</w:t>
      </w:r>
      <w:r>
        <w:rPr>
          <w:rFonts w:hint="eastAsia" w:ascii="宋体" w:hAnsi="宋体" w:eastAsia="宋体" w:cs="宋体"/>
          <w:color w:val="auto"/>
          <w:kern w:val="0"/>
          <w:szCs w:val="21"/>
          <w:highlight w:val="none"/>
        </w:rPr>
        <w:t>评标委员会应当对符合资格的投标人的投标文件进行符合性审查，以确定其是否满足招标文件的实质性要求。不满足招标文件的实质性要求的，投标无效。</w:t>
      </w:r>
    </w:p>
    <w:p>
      <w:pPr>
        <w:spacing w:line="360" w:lineRule="auto"/>
        <w:ind w:firstLine="413" w:firstLineChars="196"/>
        <w:rPr>
          <w:rFonts w:hint="eastAsia" w:ascii="宋体" w:hAnsi="宋体" w:eastAsia="宋体" w:cs="宋体"/>
          <w:color w:val="auto"/>
          <w:kern w:val="0"/>
          <w:szCs w:val="21"/>
          <w:highlight w:val="none"/>
        </w:rPr>
      </w:pPr>
      <w:r>
        <w:rPr>
          <w:rFonts w:hint="eastAsia" w:ascii="宋体" w:hAnsi="宋体" w:eastAsia="宋体" w:cs="宋体"/>
          <w:b/>
          <w:color w:val="auto"/>
          <w:kern w:val="0"/>
          <w:szCs w:val="21"/>
          <w:highlight w:val="none"/>
        </w:rPr>
        <w:t>3.2 比较与评价。</w:t>
      </w:r>
      <w:r>
        <w:rPr>
          <w:rFonts w:hint="eastAsia" w:ascii="宋体" w:hAnsi="宋体" w:eastAsia="宋体" w:cs="宋体"/>
          <w:color w:val="auto"/>
          <w:kern w:val="0"/>
          <w:szCs w:val="21"/>
          <w:highlight w:val="none"/>
        </w:rPr>
        <w:t>评标委员会应当按照招标文件中规定的评标方法和标准，对符合性审查合格的投标文件进行商务和技术评估，综合比较与评价。</w:t>
      </w:r>
    </w:p>
    <w:p>
      <w:pPr>
        <w:spacing w:line="360" w:lineRule="auto"/>
        <w:ind w:firstLine="413" w:firstLineChars="196"/>
        <w:rPr>
          <w:rFonts w:hint="eastAsia" w:ascii="宋体" w:hAnsi="宋体" w:eastAsia="宋体" w:cs="宋体"/>
          <w:color w:val="auto"/>
          <w:kern w:val="0"/>
          <w:szCs w:val="21"/>
          <w:highlight w:val="none"/>
        </w:rPr>
      </w:pPr>
      <w:r>
        <w:rPr>
          <w:rFonts w:hint="eastAsia" w:ascii="宋体" w:hAnsi="宋体" w:eastAsia="宋体" w:cs="宋体"/>
          <w:b/>
          <w:color w:val="auto"/>
          <w:kern w:val="0"/>
          <w:szCs w:val="21"/>
          <w:highlight w:val="none"/>
        </w:rPr>
        <w:t>3.3汇总商务技术得分。</w:t>
      </w:r>
      <w:r>
        <w:rPr>
          <w:rFonts w:hint="eastAsia" w:ascii="宋体" w:hAnsi="宋体" w:eastAsia="宋体" w:cs="宋体"/>
          <w:color w:val="auto"/>
          <w:kern w:val="0"/>
          <w:szCs w:val="21"/>
          <w:highlight w:val="none"/>
        </w:rPr>
        <w:t>评标委员会各成员应当独立对每个投标人的商务和技术文件进行评价，并汇总商务技术得分情况。</w:t>
      </w:r>
    </w:p>
    <w:p>
      <w:pPr>
        <w:spacing w:line="360" w:lineRule="auto"/>
        <w:ind w:firstLine="413" w:firstLineChars="196"/>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3.4报价评审。</w:t>
      </w:r>
    </w:p>
    <w:p>
      <w:pPr>
        <w:pStyle w:val="160"/>
        <w:spacing w:before="0"/>
        <w:ind w:firstLine="445" w:firstLineChars="212"/>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3.4.1投标文件报价出现前后不一致的，按照下列规定修正：</w:t>
      </w:r>
    </w:p>
    <w:p>
      <w:pPr>
        <w:pStyle w:val="160"/>
        <w:spacing w:before="0"/>
        <w:ind w:firstLine="42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3.4.1.1投标文件中开标一览表(报价表)内容与投标文件中相应内容不一致的，以开标一览表(报价表)为准;</w:t>
      </w:r>
    </w:p>
    <w:p>
      <w:pPr>
        <w:pStyle w:val="160"/>
        <w:spacing w:before="0"/>
        <w:ind w:firstLine="42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3.4.1.2大写金额和小写金额不一致的，以大写金额为准;</w:t>
      </w:r>
    </w:p>
    <w:p>
      <w:pPr>
        <w:pStyle w:val="160"/>
        <w:spacing w:before="0"/>
        <w:ind w:firstLine="42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3.4.1.3单价金额小数点或者百分比有明显错位的，以开标一览表的总价为准，并修改单价;</w:t>
      </w:r>
    </w:p>
    <w:p>
      <w:pPr>
        <w:pStyle w:val="160"/>
        <w:spacing w:before="0"/>
        <w:ind w:firstLine="42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3.4.1.4总价金额与按单价汇总金额不一致的，以单价金额计算结果为准。</w:t>
      </w:r>
    </w:p>
    <w:p>
      <w:pPr>
        <w:pStyle w:val="160"/>
        <w:spacing w:before="0"/>
        <w:ind w:firstLine="42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3.4.1.5同时出现两种以上不一致的，按照3.4.1规定的顺序修正。修正后的报价按照财政部第87号令《政府采购货物和服务招标投标管理办法》第五十一条第二款的规定经投标人确认后产生约束力。</w:t>
      </w:r>
    </w:p>
    <w:p>
      <w:pPr>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3.4.2投标文件出现不是唯一的、有选择性投标报价的，投标无效。</w:t>
      </w:r>
    </w:p>
    <w:p>
      <w:pPr>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3.4.3投标报价超过招标文件中规定的预算金额或者最高限价的，投标无效。</w:t>
      </w:r>
    </w:p>
    <w:p>
      <w:pPr>
        <w:pStyle w:val="160"/>
        <w:spacing w:before="0"/>
        <w:ind w:firstLine="42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60"/>
        <w:spacing w:before="0"/>
        <w:ind w:firstLine="42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3.4.5对于未预留份额专门面向中小企业的政府采购货物或服务项目，以及预留份额政府采购货物或服务项目中的非预留部分标项，对小型和微型企业的投标报价给予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pPr>
        <w:spacing w:line="360" w:lineRule="auto"/>
        <w:ind w:firstLine="422" w:firstLineChars="200"/>
        <w:rPr>
          <w:rFonts w:hint="eastAsia" w:ascii="宋体" w:hAnsi="宋体" w:eastAsia="宋体" w:cs="宋体"/>
          <w:color w:val="auto"/>
          <w:kern w:val="0"/>
          <w:szCs w:val="21"/>
          <w:highlight w:val="none"/>
        </w:rPr>
      </w:pPr>
      <w:r>
        <w:rPr>
          <w:rFonts w:hint="eastAsia" w:ascii="宋体" w:hAnsi="宋体" w:eastAsia="宋体" w:cs="宋体"/>
          <w:b/>
          <w:color w:val="auto"/>
          <w:kern w:val="0"/>
          <w:szCs w:val="21"/>
          <w:highlight w:val="none"/>
        </w:rPr>
        <w:t>3.5排序与推荐。</w:t>
      </w:r>
      <w:r>
        <w:rPr>
          <w:rFonts w:hint="eastAsia" w:ascii="宋体" w:hAnsi="宋体" w:eastAsia="宋体" w:cs="宋体"/>
          <w:color w:val="auto"/>
          <w:kern w:val="0"/>
          <w:szCs w:val="21"/>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ind w:firstLine="420" w:firstLineChars="200"/>
        <w:rPr>
          <w:rFonts w:hint="eastAsia" w:ascii="宋体" w:hAnsi="宋体" w:eastAsia="宋体" w:cs="宋体"/>
          <w:b/>
          <w:color w:val="auto"/>
          <w:kern w:val="0"/>
          <w:szCs w:val="21"/>
          <w:highlight w:val="none"/>
        </w:rPr>
      </w:pPr>
      <w:r>
        <w:rPr>
          <w:rFonts w:hint="eastAsia" w:ascii="宋体" w:hAnsi="宋体" w:eastAsia="宋体" w:cs="宋体"/>
          <w:color w:val="auto"/>
          <w:kern w:val="0"/>
          <w:szCs w:val="21"/>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13" w:firstLineChars="196"/>
        <w:rPr>
          <w:rFonts w:hint="eastAsia" w:ascii="宋体" w:hAnsi="宋体" w:eastAsia="宋体" w:cs="宋体"/>
          <w:color w:val="auto"/>
          <w:kern w:val="0"/>
          <w:szCs w:val="21"/>
          <w:highlight w:val="none"/>
        </w:rPr>
      </w:pPr>
      <w:r>
        <w:rPr>
          <w:rFonts w:hint="eastAsia" w:ascii="宋体" w:hAnsi="宋体" w:eastAsia="宋体" w:cs="宋体"/>
          <w:b/>
          <w:color w:val="auto"/>
          <w:kern w:val="0"/>
          <w:szCs w:val="21"/>
          <w:highlight w:val="none"/>
        </w:rPr>
        <w:t>3.6编写评标报告。</w:t>
      </w:r>
      <w:r>
        <w:rPr>
          <w:rFonts w:hint="eastAsia" w:ascii="宋体" w:hAnsi="宋体" w:eastAsia="宋体" w:cs="宋体"/>
          <w:color w:val="auto"/>
          <w:kern w:val="0"/>
          <w:szCs w:val="21"/>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四、评标中的其他事项</w:t>
      </w:r>
    </w:p>
    <w:p>
      <w:pPr>
        <w:pStyle w:val="160"/>
        <w:spacing w:before="0"/>
        <w:ind w:firstLine="413" w:firstLineChars="196"/>
        <w:rPr>
          <w:rFonts w:hint="eastAsia" w:ascii="宋体" w:hAnsi="宋体" w:eastAsia="宋体" w:cs="宋体"/>
          <w:color w:val="auto"/>
          <w:kern w:val="0"/>
          <w:sz w:val="21"/>
          <w:szCs w:val="21"/>
          <w:highlight w:val="none"/>
        </w:rPr>
      </w:pPr>
      <w:r>
        <w:rPr>
          <w:rFonts w:hint="eastAsia" w:ascii="宋体" w:hAnsi="宋体" w:eastAsia="宋体" w:cs="宋体"/>
          <w:b/>
          <w:color w:val="auto"/>
          <w:kern w:val="0"/>
          <w:sz w:val="21"/>
          <w:szCs w:val="21"/>
          <w:highlight w:val="none"/>
        </w:rPr>
        <w:t>4.1投标人澄清、说明或者补正。</w:t>
      </w:r>
      <w:r>
        <w:rPr>
          <w:rFonts w:hint="eastAsia" w:ascii="宋体" w:hAnsi="宋体" w:eastAsia="宋体" w:cs="宋体"/>
          <w:color w:val="auto"/>
          <w:kern w:val="0"/>
          <w:sz w:val="21"/>
          <w:szCs w:val="21"/>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3"/>
        <w:spacing w:line="360" w:lineRule="auto"/>
        <w:ind w:left="954" w:leftChars="226" w:hanging="479" w:firstLineChars="0"/>
        <w:rPr>
          <w:rFonts w:hint="eastAsia" w:ascii="宋体" w:hAnsi="宋体" w:eastAsia="宋体" w:cs="宋体"/>
          <w:color w:val="auto"/>
          <w:sz w:val="21"/>
          <w:szCs w:val="21"/>
          <w:highlight w:val="none"/>
        </w:rPr>
      </w:pPr>
      <w:r>
        <w:rPr>
          <w:rFonts w:hint="eastAsia" w:ascii="宋体" w:hAnsi="宋体" w:eastAsia="宋体" w:cs="宋体"/>
          <w:b/>
          <w:color w:val="auto"/>
          <w:kern w:val="0"/>
          <w:sz w:val="21"/>
          <w:szCs w:val="21"/>
          <w:highlight w:val="none"/>
        </w:rPr>
        <w:t>4.2投标无效。</w:t>
      </w:r>
      <w:r>
        <w:rPr>
          <w:rFonts w:hint="eastAsia" w:ascii="宋体" w:hAnsi="宋体" w:eastAsia="宋体" w:cs="宋体"/>
          <w:color w:val="auto"/>
          <w:sz w:val="21"/>
          <w:szCs w:val="21"/>
          <w:highlight w:val="none"/>
        </w:rPr>
        <w:t>有下列情况之一的，投标无效：</w:t>
      </w:r>
    </w:p>
    <w:p>
      <w:pPr>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4.2.1投标人不具备招标文件中规定的资格要求的（投标人未提供有效的资格文件的，视为投标人不具备招标文件中规定的资格要求）；</w:t>
      </w:r>
    </w:p>
    <w:p>
      <w:pPr>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4.2.2投标文件未按照招标文件要求签署、盖章的；</w:t>
      </w:r>
    </w:p>
    <w:p>
      <w:pPr>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4.2.3采购人拟采购的产品属于政府强制采购的节能产品品目清单范围的，投标人未按招标文件要求提供国家确定的认证机构出具的、处于有效期之内的节能产品认证证书的；</w:t>
      </w:r>
    </w:p>
    <w:p>
      <w:pPr>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4.2.4投标文件含有采购人不能接受的附加条件的；</w:t>
      </w:r>
    </w:p>
    <w:p>
      <w:pPr>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4.2.5投标文件中承诺的投标有效期少于招标文件中载明的投标有效期的；</w:t>
      </w:r>
    </w:p>
    <w:p>
      <w:pPr>
        <w:snapToGrid w:val="0"/>
        <w:spacing w:line="360" w:lineRule="auto"/>
        <w:ind w:firstLine="105" w:firstLineChars="5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4.2.6投标文件出现不是唯一的、有选择性投标报价的;</w:t>
      </w:r>
    </w:p>
    <w:p>
      <w:pPr>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4.2.7投标报价超过招标文件中规定的预算金额或者最高限价的;</w:t>
      </w:r>
    </w:p>
    <w:p>
      <w:pPr>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4.2.9投标人对根据修正原则修正后的报价不确认的；</w:t>
      </w:r>
    </w:p>
    <w:p>
      <w:pPr>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4.2.10投标人提供虚假材料投标的；</w:t>
      </w:r>
    </w:p>
    <w:p>
      <w:pPr>
        <w:spacing w:line="360" w:lineRule="auto"/>
        <w:ind w:firstLine="210" w:firstLineChars="1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  4.2.11投标人有恶意串通、妨碍其他投标人的竞争行为、损害采购人或者其他投标人的合法权益情形的；</w:t>
      </w:r>
    </w:p>
    <w:p>
      <w:pPr>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4.2.12投标人仅提交备份投标文件，没有在电子交易平台传输递交投标文件的，投标无效；</w:t>
      </w:r>
    </w:p>
    <w:p>
      <w:pPr>
        <w:pStyle w:val="5"/>
        <w:tabs>
          <w:tab w:val="left" w:pos="432"/>
        </w:tabs>
        <w:ind w:left="430" w:leftChars="205"/>
        <w:rPr>
          <w:rFonts w:hint="eastAsia" w:ascii="宋体" w:hAnsi="宋体" w:eastAsia="宋体" w:cs="宋体"/>
          <w:b w:val="0"/>
          <w:bCs w:val="0"/>
          <w:color w:val="auto"/>
          <w:kern w:val="0"/>
          <w:sz w:val="21"/>
          <w:szCs w:val="21"/>
          <w:highlight w:val="none"/>
          <w:lang w:val="en-US"/>
        </w:rPr>
      </w:pPr>
      <w:r>
        <w:rPr>
          <w:rFonts w:hint="eastAsia" w:ascii="宋体" w:hAnsi="宋体" w:eastAsia="宋体" w:cs="宋体"/>
          <w:b w:val="0"/>
          <w:bCs w:val="0"/>
          <w:color w:val="auto"/>
          <w:kern w:val="0"/>
          <w:sz w:val="21"/>
          <w:szCs w:val="21"/>
          <w:highlight w:val="none"/>
          <w:lang w:val="en-US"/>
        </w:rPr>
        <w:t>4.2.13 投标文件不满足招标文件的其它实质性要求的；</w:t>
      </w:r>
    </w:p>
    <w:p>
      <w:pPr>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4.2.14法律、法规、规章（适用本市的）及省级以上规范性文件（适用本市的）规定的其他无效情形。</w:t>
      </w:r>
    </w:p>
    <w:p>
      <w:pPr>
        <w:pStyle w:val="23"/>
        <w:snapToGrid w:val="0"/>
        <w:spacing w:line="360" w:lineRule="auto"/>
        <w:ind w:firstLine="413" w:firstLineChars="196"/>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5.废标。</w:t>
      </w:r>
      <w:r>
        <w:rPr>
          <w:rFonts w:hint="eastAsia" w:ascii="宋体" w:hAnsi="宋体" w:eastAsia="宋体" w:cs="宋体"/>
          <w:color w:val="auto"/>
          <w:sz w:val="21"/>
          <w:szCs w:val="21"/>
          <w:highlight w:val="none"/>
        </w:rPr>
        <w:t>根据《中华人民共和国政府采购法》第三十六条之规定，在采购中，出现下列情形之一的，应予废标：</w:t>
      </w:r>
    </w:p>
    <w:p>
      <w:pPr>
        <w:pStyle w:val="23"/>
        <w:snapToGrid w:val="0"/>
        <w:spacing w:line="360" w:lineRule="auto"/>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5.1符合专业条件的供应商或者对招标文件作实质响应的供应商不足3家的；</w:t>
      </w:r>
    </w:p>
    <w:p>
      <w:pPr>
        <w:pStyle w:val="23"/>
        <w:snapToGrid w:val="0"/>
        <w:spacing w:line="360" w:lineRule="auto"/>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5.2出现影响采购公正的违法、违规行为的；</w:t>
      </w:r>
    </w:p>
    <w:p>
      <w:pPr>
        <w:pStyle w:val="23"/>
        <w:snapToGrid w:val="0"/>
        <w:spacing w:line="360" w:lineRule="auto"/>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5.3投标人的报价均超过了采购预算，采购人不能支付的；</w:t>
      </w:r>
    </w:p>
    <w:p>
      <w:pPr>
        <w:pStyle w:val="23"/>
        <w:snapToGrid w:val="0"/>
        <w:spacing w:line="360" w:lineRule="auto"/>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5.4因重大变故，采购任务取消的。</w:t>
      </w:r>
    </w:p>
    <w:p>
      <w:pPr>
        <w:pStyle w:val="23"/>
        <w:snapToGrid w:val="0"/>
        <w:spacing w:line="360" w:lineRule="auto"/>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废标后，采购机构应当将废标理由通知所有投标人。</w:t>
      </w:r>
    </w:p>
    <w:p>
      <w:pPr>
        <w:pStyle w:val="23"/>
        <w:snapToGrid w:val="0"/>
        <w:spacing w:line="360" w:lineRule="auto"/>
        <w:ind w:firstLine="517" w:firstLineChars="245"/>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6.修改招标文件，重新组织采购活动。</w:t>
      </w:r>
      <w:r>
        <w:rPr>
          <w:rFonts w:hint="eastAsia" w:ascii="宋体" w:hAnsi="宋体" w:eastAsia="宋体" w:cs="宋体"/>
          <w:color w:val="auto"/>
          <w:sz w:val="21"/>
          <w:szCs w:val="21"/>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23"/>
        <w:snapToGrid w:val="0"/>
        <w:spacing w:line="360" w:lineRule="auto"/>
        <w:ind w:firstLine="517" w:firstLineChars="245"/>
        <w:rPr>
          <w:rFonts w:hint="eastAsia" w:ascii="宋体" w:hAnsi="宋体" w:eastAsia="宋体" w:cs="宋体"/>
          <w:color w:val="auto"/>
          <w:sz w:val="21"/>
          <w:szCs w:val="21"/>
          <w:highlight w:val="none"/>
        </w:rPr>
      </w:pPr>
      <w:r>
        <w:rPr>
          <w:rFonts w:hint="eastAsia" w:ascii="宋体" w:hAnsi="宋体" w:eastAsia="宋体" w:cs="宋体"/>
          <w:b/>
          <w:color w:val="auto"/>
          <w:kern w:val="0"/>
          <w:sz w:val="21"/>
          <w:szCs w:val="21"/>
          <w:highlight w:val="none"/>
        </w:rPr>
        <w:t>7.重新开展采购。</w:t>
      </w:r>
      <w:r>
        <w:rPr>
          <w:rFonts w:hint="eastAsia" w:ascii="宋体" w:hAnsi="宋体" w:eastAsia="宋体" w:cs="宋体"/>
          <w:color w:val="auto"/>
          <w:sz w:val="21"/>
          <w:szCs w:val="21"/>
          <w:highlight w:val="none"/>
        </w:rPr>
        <w:t>有政府采购法第七十一条、第七十二条规定的违法行为之一，影响或者可能影响中标、成交结果的，依照下列规定处理：</w:t>
      </w:r>
    </w:p>
    <w:p>
      <w:pPr>
        <w:pStyle w:val="23"/>
        <w:snapToGrid w:val="0"/>
        <w:spacing w:line="360" w:lineRule="auto"/>
        <w:ind w:firstLine="525" w:firstLineChars="25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7.1未确定中标或者中标人的，终止本次政府采购活动，重新开展政府采购活动。</w:t>
      </w:r>
    </w:p>
    <w:p>
      <w:pPr>
        <w:pStyle w:val="23"/>
        <w:snapToGrid w:val="0"/>
        <w:spacing w:line="360" w:lineRule="auto"/>
        <w:ind w:firstLine="525" w:firstLineChars="25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7.2已确定中标或者中标人但尚未签订政府采购合同的，中标或者成交结果无效，从合格的中标或者成交候选人中另行确定中标或者中标人；没有合格的中标或者成交候选人的，重新开展政府采购活动。</w:t>
      </w:r>
    </w:p>
    <w:p>
      <w:pPr>
        <w:pStyle w:val="23"/>
        <w:snapToGrid w:val="0"/>
        <w:spacing w:line="360" w:lineRule="auto"/>
        <w:ind w:firstLine="525" w:firstLineChars="25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7.3政府采购合同已签订但尚未履行的，撤销合同，从合格的中标或者成交候选人中另行确定中标或者中标人；没有合格的中标或者成交候选人的，重新开展政府采购活动。</w:t>
      </w:r>
    </w:p>
    <w:p>
      <w:pPr>
        <w:pStyle w:val="23"/>
        <w:snapToGrid w:val="0"/>
        <w:spacing w:line="360" w:lineRule="auto"/>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7.4政府采购合同已经履行，给采购人、供应商造成损失的，由责任人承担赔偿责任。</w:t>
      </w:r>
    </w:p>
    <w:p>
      <w:pPr>
        <w:snapToGrid w:val="0"/>
        <w:spacing w:beforeLines="50" w:afterLines="50" w:line="360" w:lineRule="auto"/>
        <w:outlineLvl w:val="9"/>
        <w:rPr>
          <w:rFonts w:hint="eastAsia" w:ascii="宋体" w:hAnsi="宋体" w:eastAsia="宋体" w:cs="宋体"/>
          <w:b/>
          <w:color w:val="auto"/>
          <w:sz w:val="30"/>
          <w:szCs w:val="30"/>
          <w:highlight w:val="none"/>
        </w:rPr>
      </w:pPr>
      <w:r>
        <w:rPr>
          <w:rFonts w:hint="eastAsia" w:ascii="宋体" w:hAnsi="宋体" w:eastAsia="宋体" w:cs="宋体"/>
          <w:color w:val="auto"/>
          <w:sz w:val="21"/>
          <w:szCs w:val="21"/>
          <w:highlight w:val="none"/>
        </w:rPr>
        <w:t>7.5政府采购当事人有其他违反政府采购法</w:t>
      </w:r>
      <w:r>
        <w:rPr>
          <w:rFonts w:hint="eastAsia" w:ascii="宋体" w:hAnsi="宋体" w:eastAsia="宋体" w:cs="宋体"/>
          <w:color w:val="auto"/>
          <w:kern w:val="0"/>
          <w:sz w:val="21"/>
          <w:szCs w:val="21"/>
          <w:highlight w:val="none"/>
        </w:rPr>
        <w:t>或者政府采购法实施条例等法律法规规定</w:t>
      </w:r>
      <w:r>
        <w:rPr>
          <w:rFonts w:hint="eastAsia" w:ascii="宋体" w:hAnsi="宋体" w:eastAsia="宋体" w:cs="宋体"/>
          <w:color w:val="auto"/>
          <w:sz w:val="21"/>
          <w:szCs w:val="21"/>
          <w:highlight w:val="none"/>
        </w:rPr>
        <w:t>的行为，经改正后仍然影响或者可能影响中标、成交结果或者依法被认定为中标、成交无效的，依照7.1-7.4规定处理。</w:t>
      </w:r>
    </w:p>
    <w:p>
      <w:pPr>
        <w:widowControl/>
        <w:jc w:val="left"/>
        <w:rPr>
          <w:rFonts w:asciiTheme="minorEastAsia" w:hAnsiTheme="minorEastAsia" w:eastAsiaTheme="minorEastAsia"/>
          <w:b/>
          <w:color w:val="auto"/>
          <w:sz w:val="30"/>
          <w:szCs w:val="30"/>
          <w:highlight w:val="none"/>
        </w:rPr>
      </w:pPr>
      <w:r>
        <w:rPr>
          <w:rFonts w:asciiTheme="minorEastAsia" w:hAnsiTheme="minorEastAsia" w:eastAsiaTheme="minorEastAsia"/>
          <w:b/>
          <w:color w:val="auto"/>
          <w:sz w:val="30"/>
          <w:szCs w:val="30"/>
          <w:highlight w:val="none"/>
        </w:rPr>
        <w:br w:type="page"/>
      </w:r>
    </w:p>
    <w:p>
      <w:pPr>
        <w:snapToGrid w:val="0"/>
        <w:spacing w:beforeLines="50" w:afterLines="50" w:line="360" w:lineRule="auto"/>
        <w:ind w:left="238"/>
        <w:jc w:val="center"/>
        <w:outlineLvl w:val="0"/>
        <w:rPr>
          <w:rFonts w:asciiTheme="minorEastAsia" w:hAnsiTheme="minorEastAsia" w:eastAsiaTheme="minorEastAsia"/>
          <w:b/>
          <w:color w:val="auto"/>
          <w:sz w:val="30"/>
          <w:szCs w:val="30"/>
          <w:highlight w:val="none"/>
        </w:rPr>
      </w:pPr>
      <w:bookmarkStart w:id="110" w:name="_Toc17937"/>
      <w:r>
        <w:rPr>
          <w:rFonts w:hint="eastAsia" w:asciiTheme="minorEastAsia" w:hAnsiTheme="minorEastAsia" w:eastAsiaTheme="minorEastAsia"/>
          <w:b/>
          <w:color w:val="auto"/>
          <w:sz w:val="30"/>
          <w:szCs w:val="30"/>
          <w:highlight w:val="none"/>
        </w:rPr>
        <w:t>第五章  嘉兴市政府采购合同（指引）</w:t>
      </w:r>
      <w:bookmarkEnd w:id="110"/>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cs="Arial" w:asciiTheme="minorEastAsia" w:hAnsiTheme="minorEastAsia" w:eastAsiaTheme="minorEastAsia"/>
          <w:color w:val="auto"/>
          <w:kern w:val="0"/>
          <w:szCs w:val="21"/>
          <w:highlight w:val="none"/>
          <w:lang w:eastAsia="zh-CN"/>
        </w:rPr>
      </w:pPr>
      <w:r>
        <w:rPr>
          <w:rFonts w:hint="eastAsia" w:cs="Arial" w:asciiTheme="minorEastAsia" w:hAnsiTheme="minorEastAsia" w:eastAsiaTheme="minorEastAsia"/>
          <w:color w:val="auto"/>
          <w:kern w:val="0"/>
          <w:szCs w:val="21"/>
          <w:highlight w:val="none"/>
        </w:rPr>
        <w:t>招标编号：</w:t>
      </w:r>
      <w:r>
        <w:rPr>
          <w:rFonts w:hint="eastAsia" w:cs="Arial" w:asciiTheme="minorEastAsia" w:hAnsiTheme="minorEastAsia" w:eastAsiaTheme="minorEastAsia"/>
          <w:color w:val="auto"/>
          <w:kern w:val="0"/>
          <w:szCs w:val="21"/>
          <w:highlight w:val="none"/>
          <w:lang w:eastAsia="zh-CN"/>
        </w:rPr>
        <w:t>银建-JXYJ-L（2022）49号</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cs="Arial" w:asciiTheme="minorEastAsia" w:hAnsiTheme="minorEastAsia" w:eastAsiaTheme="minorEastAsia"/>
          <w:color w:val="auto"/>
          <w:kern w:val="0"/>
          <w:szCs w:val="21"/>
          <w:highlight w:val="none"/>
          <w:lang w:eastAsia="zh-CN"/>
        </w:rPr>
      </w:pPr>
      <w:r>
        <w:rPr>
          <w:rFonts w:hint="eastAsia" w:cs="Arial" w:asciiTheme="minorEastAsia" w:hAnsiTheme="minorEastAsia" w:eastAsiaTheme="minorEastAsia"/>
          <w:color w:val="auto"/>
          <w:kern w:val="0"/>
          <w:szCs w:val="21"/>
          <w:highlight w:val="none"/>
        </w:rPr>
        <w:t>合同编号：</w:t>
      </w:r>
      <w:r>
        <w:rPr>
          <w:rFonts w:hint="eastAsia" w:cs="Arial" w:asciiTheme="minorEastAsia" w:hAnsiTheme="minorEastAsia" w:eastAsiaTheme="minorEastAsia"/>
          <w:color w:val="auto"/>
          <w:kern w:val="0"/>
          <w:szCs w:val="21"/>
          <w:highlight w:val="none"/>
          <w:lang w:eastAsia="zh-CN"/>
        </w:rPr>
        <w:t>银建-JXYJ-L（2022）49号</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default" w:cs="Arial" w:asciiTheme="minorEastAsia" w:hAnsiTheme="minorEastAsia" w:eastAsiaTheme="minorEastAsia"/>
          <w:color w:val="auto"/>
          <w:kern w:val="0"/>
          <w:szCs w:val="21"/>
          <w:highlight w:val="none"/>
          <w:u w:val="single"/>
          <w:lang w:val="en-US" w:eastAsia="zh-CN"/>
        </w:rPr>
      </w:pPr>
      <w:r>
        <w:rPr>
          <w:rFonts w:hint="eastAsia" w:cs="Arial" w:asciiTheme="minorEastAsia" w:hAnsiTheme="minorEastAsia" w:eastAsiaTheme="minorEastAsia"/>
          <w:color w:val="auto"/>
          <w:kern w:val="0"/>
          <w:szCs w:val="21"/>
          <w:highlight w:val="none"/>
        </w:rPr>
        <w:t>政府采购计划（预算）确认书号</w:t>
      </w:r>
      <w:r>
        <w:rPr>
          <w:rFonts w:hint="eastAsia" w:eastAsiaTheme="minorEastAsia"/>
          <w:color w:val="auto"/>
          <w:highlight w:val="none"/>
          <w:u w:val="single"/>
          <w:lang w:val="en-US" w:eastAsia="zh-CN"/>
        </w:rPr>
        <w:t xml:space="preserve">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cs="Arial" w:asciiTheme="minorEastAsia" w:hAnsiTheme="minorEastAsia" w:eastAsiaTheme="minorEastAsia"/>
          <w:color w:val="auto"/>
          <w:kern w:val="0"/>
          <w:szCs w:val="21"/>
          <w:highlight w:val="none"/>
          <w:lang w:eastAsia="zh-CN"/>
        </w:rPr>
      </w:pPr>
      <w:r>
        <w:rPr>
          <w:rFonts w:hint="eastAsia" w:cs="Arial" w:asciiTheme="minorEastAsia" w:hAnsiTheme="minorEastAsia" w:eastAsiaTheme="minorEastAsia"/>
          <w:color w:val="auto"/>
          <w:kern w:val="0"/>
          <w:szCs w:val="21"/>
          <w:highlight w:val="none"/>
        </w:rPr>
        <w:t>采购人（以下称甲方）：</w:t>
      </w:r>
      <w:r>
        <w:rPr>
          <w:rFonts w:hint="eastAsia" w:cs="Arial" w:asciiTheme="minorEastAsia" w:hAnsiTheme="minorEastAsia" w:eastAsiaTheme="minorEastAsia"/>
          <w:color w:val="auto"/>
          <w:kern w:val="0"/>
          <w:szCs w:val="21"/>
          <w:highlight w:val="none"/>
          <w:lang w:eastAsia="zh-CN"/>
        </w:rPr>
        <w:t>南湖革命纪念馆</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Cs w:val="21"/>
          <w:highlight w:val="none"/>
        </w:rPr>
      </w:pPr>
      <w:r>
        <w:rPr>
          <w:rFonts w:hint="eastAsia" w:cs="Arial" w:asciiTheme="minorEastAsia" w:hAnsiTheme="minorEastAsia" w:eastAsiaTheme="minorEastAsia"/>
          <w:color w:val="auto"/>
          <w:kern w:val="0"/>
          <w:szCs w:val="21"/>
          <w:highlight w:val="none"/>
        </w:rPr>
        <w:t>供应商（以下称乙方）：</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Cs w:val="21"/>
          <w:highlight w:val="none"/>
        </w:rPr>
      </w:pPr>
      <w:r>
        <w:rPr>
          <w:rFonts w:hint="eastAsia" w:cs="Arial" w:asciiTheme="minorEastAsia" w:hAnsiTheme="minorEastAsia" w:eastAsiaTheme="minorEastAsia"/>
          <w:color w:val="auto"/>
          <w:kern w:val="0"/>
          <w:szCs w:val="21"/>
          <w:highlight w:val="none"/>
        </w:rPr>
        <w:t>代理机构：嘉兴市银建工程咨询评估有限公司</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Cs w:val="21"/>
          <w:highlight w:val="none"/>
        </w:rPr>
      </w:pPr>
      <w:r>
        <w:rPr>
          <w:rFonts w:hint="eastAsia" w:cs="Arial" w:asciiTheme="minorEastAsia" w:hAnsiTheme="minorEastAsia" w:eastAsiaTheme="minorEastAsia"/>
          <w:color w:val="auto"/>
          <w:kern w:val="0"/>
          <w:szCs w:val="21"/>
          <w:highlight w:val="none"/>
        </w:rPr>
        <w:t>采购方式：公开招标</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cs="Arial" w:asciiTheme="minorEastAsia" w:hAnsiTheme="minorEastAsia" w:eastAsiaTheme="minorEastAsia"/>
          <w:color w:val="auto"/>
          <w:kern w:val="0"/>
          <w:szCs w:val="21"/>
          <w:highlight w:val="none"/>
        </w:rPr>
      </w:pPr>
      <w:r>
        <w:rPr>
          <w:rFonts w:hint="eastAsia" w:cs="Arial" w:asciiTheme="minorEastAsia" w:hAnsiTheme="minorEastAsia" w:eastAsiaTheme="minorEastAsia"/>
          <w:color w:val="auto"/>
          <w:kern w:val="0"/>
          <w:szCs w:val="21"/>
          <w:highlight w:val="none"/>
        </w:rPr>
        <w:t>根据《中华人民共和国政府采购法》、《民法典》等法律法规的规定，甲乙双方按照</w:t>
      </w:r>
      <w:r>
        <w:rPr>
          <w:rFonts w:hint="eastAsia" w:cs="Arial" w:asciiTheme="minorEastAsia" w:hAnsiTheme="minorEastAsia" w:eastAsiaTheme="minorEastAsia"/>
          <w:color w:val="auto"/>
          <w:szCs w:val="21"/>
          <w:highlight w:val="none"/>
          <w:u w:val="single"/>
          <w:lang w:eastAsia="zh-CN"/>
        </w:rPr>
        <w:t>2023年度南湖革命纪念馆及周边绿化养护项目</w:t>
      </w:r>
      <w:r>
        <w:rPr>
          <w:rFonts w:hint="eastAsia" w:cs="Arial" w:asciiTheme="minorEastAsia" w:hAnsiTheme="minorEastAsia" w:eastAsiaTheme="minorEastAsia"/>
          <w:color w:val="auto"/>
          <w:kern w:val="0"/>
          <w:szCs w:val="21"/>
          <w:highlight w:val="none"/>
        </w:rPr>
        <w:t>采购结果签订本合同。</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b/>
          <w:color w:val="auto"/>
          <w:kern w:val="0"/>
          <w:szCs w:val="21"/>
          <w:highlight w:val="none"/>
        </w:rPr>
      </w:pPr>
      <w:r>
        <w:rPr>
          <w:rFonts w:hint="eastAsia" w:cs="Arial" w:asciiTheme="minorEastAsia" w:hAnsiTheme="minorEastAsia" w:eastAsiaTheme="minorEastAsia"/>
          <w:b/>
          <w:color w:val="auto"/>
          <w:kern w:val="0"/>
          <w:szCs w:val="21"/>
          <w:highlight w:val="none"/>
        </w:rPr>
        <w:t>第一条 合同组成</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Cs w:val="21"/>
          <w:highlight w:val="none"/>
        </w:rPr>
      </w:pPr>
      <w:r>
        <w:rPr>
          <w:rFonts w:hint="eastAsia" w:cs="Arial" w:asciiTheme="minorEastAsia" w:hAnsiTheme="minorEastAsia" w:eastAsiaTheme="minorEastAsia"/>
          <w:color w:val="auto"/>
          <w:kern w:val="0"/>
          <w:szCs w:val="21"/>
          <w:highlight w:val="none"/>
        </w:rPr>
        <w:t>本次政府采购活动的相关文件为本合同的组成部分，这些文件包括但不限于：</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Cs w:val="21"/>
          <w:highlight w:val="none"/>
        </w:rPr>
      </w:pPr>
      <w:r>
        <w:rPr>
          <w:rFonts w:hint="eastAsia" w:cs="Arial" w:asciiTheme="minorEastAsia" w:hAnsiTheme="minorEastAsia" w:eastAsiaTheme="minorEastAsia"/>
          <w:color w:val="auto"/>
          <w:kern w:val="0"/>
          <w:szCs w:val="21"/>
          <w:highlight w:val="none"/>
        </w:rPr>
        <w:t>（1）本合同文本；</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Cs w:val="21"/>
          <w:highlight w:val="none"/>
        </w:rPr>
      </w:pPr>
      <w:r>
        <w:rPr>
          <w:rFonts w:hint="eastAsia" w:cs="Arial" w:asciiTheme="minorEastAsia" w:hAnsiTheme="minorEastAsia" w:eastAsiaTheme="minorEastAsia"/>
          <w:color w:val="auto"/>
          <w:kern w:val="0"/>
          <w:szCs w:val="21"/>
          <w:highlight w:val="none"/>
        </w:rPr>
        <w:t>（2）招标文件与采购投标文件；</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Cs w:val="21"/>
          <w:highlight w:val="none"/>
        </w:rPr>
      </w:pPr>
      <w:r>
        <w:rPr>
          <w:rFonts w:hint="eastAsia" w:cs="Arial" w:asciiTheme="minorEastAsia" w:hAnsiTheme="minorEastAsia" w:eastAsiaTheme="minorEastAsia"/>
          <w:color w:val="auto"/>
          <w:kern w:val="0"/>
          <w:szCs w:val="21"/>
          <w:highlight w:val="none"/>
        </w:rPr>
        <w:t>（3）中标或成交通知书；</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Cs w:val="21"/>
          <w:highlight w:val="none"/>
        </w:rPr>
      </w:pPr>
      <w:r>
        <w:rPr>
          <w:rFonts w:hint="eastAsia" w:cs="Arial" w:asciiTheme="minorEastAsia" w:hAnsiTheme="minorEastAsia" w:eastAsiaTheme="minorEastAsia"/>
          <w:color w:val="auto"/>
          <w:kern w:val="0"/>
          <w:szCs w:val="21"/>
          <w:highlight w:val="none"/>
        </w:rPr>
        <w:t>组成本合同的所有文件必须为书面形式。政府采购合同备案时，须提供以上（1）、（3）两项，如由社会中介机构代理，须提供代理协议，合同如有变更的，须提供变更协议。</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Cs w:val="21"/>
          <w:highlight w:val="none"/>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b/>
          <w:color w:val="auto"/>
          <w:kern w:val="0"/>
          <w:szCs w:val="21"/>
          <w:highlight w:val="none"/>
        </w:rPr>
      </w:pPr>
      <w:r>
        <w:rPr>
          <w:rFonts w:hint="eastAsia" w:cs="Arial" w:asciiTheme="minorEastAsia" w:hAnsiTheme="minorEastAsia" w:eastAsiaTheme="minorEastAsia"/>
          <w:b/>
          <w:color w:val="auto"/>
          <w:kern w:val="0"/>
          <w:szCs w:val="21"/>
          <w:highlight w:val="none"/>
        </w:rPr>
        <w:t>第二条 合同标的</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Cs w:val="21"/>
          <w:highlight w:val="none"/>
        </w:rPr>
      </w:pPr>
      <w:r>
        <w:rPr>
          <w:rFonts w:hint="eastAsia" w:cs="Arial" w:asciiTheme="minorEastAsia" w:hAnsiTheme="minorEastAsia" w:eastAsiaTheme="minorEastAsia"/>
          <w:color w:val="auto"/>
          <w:kern w:val="0"/>
          <w:szCs w:val="21"/>
          <w:highlight w:val="none"/>
        </w:rPr>
        <w:t>本次采购的是</w:t>
      </w:r>
    </w:p>
    <w:tbl>
      <w:tblPr>
        <w:tblStyle w:val="49"/>
        <w:tblW w:w="10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8"/>
        <w:gridCol w:w="4004"/>
        <w:gridCol w:w="1211"/>
        <w:gridCol w:w="808"/>
        <w:gridCol w:w="1816"/>
        <w:gridCol w:w="18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908" w:type="dxa"/>
            <w:gridSpan w:val="2"/>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序号</w:t>
            </w:r>
          </w:p>
        </w:tc>
        <w:tc>
          <w:tcPr>
            <w:tcW w:w="4004" w:type="dxa"/>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项目名称</w:t>
            </w:r>
          </w:p>
        </w:tc>
        <w:tc>
          <w:tcPr>
            <w:tcW w:w="1211" w:type="dxa"/>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单位</w:t>
            </w:r>
          </w:p>
        </w:tc>
        <w:tc>
          <w:tcPr>
            <w:tcW w:w="808" w:type="dxa"/>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数量</w:t>
            </w:r>
          </w:p>
        </w:tc>
        <w:tc>
          <w:tcPr>
            <w:tcW w:w="1816" w:type="dxa"/>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预算金额</w:t>
            </w:r>
            <w:r>
              <w:rPr>
                <w:rFonts w:asciiTheme="minorEastAsia" w:hAnsiTheme="minorEastAsia" w:eastAsiaTheme="minorEastAsia"/>
                <w:b/>
                <w:color w:val="auto"/>
                <w:szCs w:val="21"/>
                <w:highlight w:val="none"/>
              </w:rPr>
              <w:t>(</w:t>
            </w:r>
            <w:r>
              <w:rPr>
                <w:rFonts w:hint="eastAsia" w:asciiTheme="minorEastAsia" w:hAnsiTheme="minorEastAsia" w:eastAsiaTheme="minorEastAsia"/>
                <w:b/>
                <w:color w:val="auto"/>
                <w:szCs w:val="21"/>
                <w:highlight w:val="none"/>
              </w:rPr>
              <w:t>元</w:t>
            </w:r>
            <w:r>
              <w:rPr>
                <w:rFonts w:asciiTheme="minorEastAsia" w:hAnsiTheme="minorEastAsia" w:eastAsiaTheme="minorEastAsia"/>
                <w:b/>
                <w:color w:val="auto"/>
                <w:szCs w:val="21"/>
                <w:highlight w:val="none"/>
              </w:rPr>
              <w:t>)</w:t>
            </w:r>
          </w:p>
        </w:tc>
        <w:tc>
          <w:tcPr>
            <w:tcW w:w="1816" w:type="dxa"/>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采购金额</w:t>
            </w:r>
            <w:r>
              <w:rPr>
                <w:rFonts w:asciiTheme="minorEastAsia" w:hAnsiTheme="minorEastAsia" w:eastAsiaTheme="minorEastAsia"/>
                <w:b/>
                <w:color w:val="auto"/>
                <w:szCs w:val="21"/>
                <w:highlight w:val="none"/>
              </w:rPr>
              <w:t>(</w:t>
            </w:r>
            <w:r>
              <w:rPr>
                <w:rFonts w:hint="eastAsia" w:asciiTheme="minorEastAsia" w:hAnsiTheme="minorEastAsia" w:eastAsiaTheme="minorEastAsia"/>
                <w:b/>
                <w:color w:val="auto"/>
                <w:szCs w:val="21"/>
                <w:highlight w:val="none"/>
              </w:rPr>
              <w:t>元</w:t>
            </w:r>
            <w:r>
              <w:rPr>
                <w:rFonts w:asciiTheme="minorEastAsia" w:hAnsiTheme="minorEastAsia" w:eastAsiaTheme="minorEastAsia"/>
                <w:b/>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900"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Theme="minorEastAsia" w:hAnsiTheme="minorEastAsia" w:eastAsiaTheme="minorEastAsia"/>
                <w:color w:val="auto"/>
                <w:szCs w:val="21"/>
                <w:highlight w:val="none"/>
              </w:rPr>
            </w:pPr>
          </w:p>
        </w:tc>
        <w:tc>
          <w:tcPr>
            <w:tcW w:w="4012" w:type="dxa"/>
            <w:gridSpan w:val="2"/>
            <w:tcBorders>
              <w:top w:val="single" w:color="auto" w:sz="4" w:space="0"/>
              <w:left w:val="single" w:color="auto" w:sz="4" w:space="0"/>
              <w:bottom w:val="single" w:color="auto" w:sz="4" w:space="0"/>
              <w:right w:val="single" w:color="auto" w:sz="4" w:space="0"/>
            </w:tcBorders>
          </w:tcPr>
          <w:p>
            <w:pPr>
              <w:spacing w:before="156" w:after="156" w:line="360" w:lineRule="auto"/>
              <w:rPr>
                <w:rFonts w:asciiTheme="minorEastAsia" w:hAnsiTheme="minorEastAsia" w:eastAsiaTheme="minorEastAsia"/>
                <w:color w:val="auto"/>
                <w:szCs w:val="21"/>
                <w:highlight w:val="none"/>
              </w:rPr>
            </w:pPr>
          </w:p>
        </w:tc>
        <w:tc>
          <w:tcPr>
            <w:tcW w:w="1211"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Theme="minorEastAsia" w:hAnsiTheme="minorEastAsia" w:eastAsiaTheme="minorEastAsia"/>
                <w:color w:val="auto"/>
                <w:szCs w:val="21"/>
                <w:highlight w:val="none"/>
              </w:rPr>
            </w:pPr>
          </w:p>
        </w:tc>
        <w:tc>
          <w:tcPr>
            <w:tcW w:w="808"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Theme="minorEastAsia" w:hAnsiTheme="minorEastAsia" w:eastAsiaTheme="minorEastAsia"/>
                <w:color w:val="auto"/>
                <w:szCs w:val="21"/>
                <w:highlight w:val="none"/>
              </w:rPr>
            </w:pPr>
          </w:p>
        </w:tc>
        <w:tc>
          <w:tcPr>
            <w:tcW w:w="1816"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Theme="minorEastAsia" w:hAnsiTheme="minorEastAsia" w:eastAsiaTheme="minorEastAsia"/>
                <w:color w:val="auto"/>
                <w:szCs w:val="21"/>
                <w:highlight w:val="none"/>
              </w:rPr>
            </w:pPr>
          </w:p>
        </w:tc>
        <w:tc>
          <w:tcPr>
            <w:tcW w:w="1816"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900" w:type="dxa"/>
            <w:tcBorders>
              <w:top w:val="single" w:color="auto" w:sz="4" w:space="0"/>
              <w:left w:val="single" w:color="auto" w:sz="4" w:space="0"/>
              <w:bottom w:val="single" w:color="auto" w:sz="4" w:space="0"/>
              <w:right w:val="single" w:color="auto" w:sz="4" w:space="0"/>
            </w:tcBorders>
          </w:tcPr>
          <w:p>
            <w:pPr>
              <w:spacing w:before="156" w:after="156" w:line="360" w:lineRule="auto"/>
              <w:jc w:val="center"/>
              <w:rPr>
                <w:rFonts w:asciiTheme="minorEastAsia" w:hAnsiTheme="minorEastAsia" w:eastAsiaTheme="minorEastAsia"/>
                <w:b/>
                <w:color w:val="auto"/>
                <w:szCs w:val="21"/>
                <w:highlight w:val="none"/>
              </w:rPr>
            </w:pPr>
          </w:p>
        </w:tc>
        <w:tc>
          <w:tcPr>
            <w:tcW w:w="5223" w:type="dxa"/>
            <w:gridSpan w:val="3"/>
            <w:tcBorders>
              <w:top w:val="single" w:color="auto" w:sz="4" w:space="0"/>
              <w:left w:val="single" w:color="auto" w:sz="4" w:space="0"/>
              <w:bottom w:val="single" w:color="auto" w:sz="4" w:space="0"/>
              <w:right w:val="single" w:color="auto" w:sz="4" w:space="0"/>
            </w:tcBorders>
          </w:tcPr>
          <w:p>
            <w:pPr>
              <w:spacing w:before="156" w:after="156" w:line="360" w:lineRule="auto"/>
              <w:jc w:val="center"/>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合计</w:t>
            </w:r>
          </w:p>
        </w:tc>
        <w:tc>
          <w:tcPr>
            <w:tcW w:w="808"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Theme="minorEastAsia" w:hAnsiTheme="minorEastAsia" w:eastAsiaTheme="minorEastAsia"/>
                <w:color w:val="auto"/>
                <w:szCs w:val="21"/>
                <w:highlight w:val="none"/>
              </w:rPr>
            </w:pPr>
          </w:p>
        </w:tc>
        <w:tc>
          <w:tcPr>
            <w:tcW w:w="1816"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Theme="minorEastAsia" w:hAnsiTheme="minorEastAsia" w:eastAsiaTheme="minorEastAsia"/>
                <w:color w:val="auto"/>
                <w:szCs w:val="21"/>
                <w:highlight w:val="none"/>
              </w:rPr>
            </w:pPr>
          </w:p>
        </w:tc>
        <w:tc>
          <w:tcPr>
            <w:tcW w:w="1816" w:type="dxa"/>
            <w:tcBorders>
              <w:top w:val="single" w:color="auto" w:sz="4" w:space="0"/>
              <w:left w:val="single" w:color="auto" w:sz="4" w:space="0"/>
              <w:bottom w:val="single" w:color="auto" w:sz="4" w:space="0"/>
              <w:right w:val="single" w:color="auto" w:sz="4" w:space="0"/>
            </w:tcBorders>
          </w:tcPr>
          <w:p>
            <w:pPr>
              <w:spacing w:before="156" w:after="156" w:line="360" w:lineRule="auto"/>
              <w:rPr>
                <w:rFonts w:asciiTheme="minorEastAsia" w:hAnsiTheme="minorEastAsia" w:eastAsiaTheme="minorEastAsia"/>
                <w:color w:val="auto"/>
                <w:szCs w:val="21"/>
                <w:highlight w:val="none"/>
              </w:rPr>
            </w:pPr>
          </w:p>
        </w:tc>
      </w:tr>
    </w:tbl>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Cs w:val="21"/>
          <w:highlight w:val="none"/>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b/>
          <w:color w:val="auto"/>
          <w:kern w:val="0"/>
          <w:szCs w:val="21"/>
          <w:highlight w:val="none"/>
        </w:rPr>
      </w:pPr>
      <w:r>
        <w:rPr>
          <w:rFonts w:hint="eastAsia" w:cs="Arial" w:asciiTheme="minorEastAsia" w:hAnsiTheme="minorEastAsia" w:eastAsiaTheme="minorEastAsia"/>
          <w:b/>
          <w:color w:val="auto"/>
          <w:kern w:val="0"/>
          <w:szCs w:val="21"/>
          <w:highlight w:val="none"/>
        </w:rPr>
        <w:t>第三条 合同价款及付款方式</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Cs w:val="21"/>
          <w:highlight w:val="none"/>
        </w:rPr>
      </w:pPr>
      <w:r>
        <w:rPr>
          <w:rFonts w:hint="eastAsia" w:cs="Arial" w:asciiTheme="minorEastAsia" w:hAnsiTheme="minorEastAsia" w:eastAsiaTheme="minorEastAsia"/>
          <w:color w:val="auto"/>
          <w:kern w:val="0"/>
          <w:szCs w:val="21"/>
          <w:highlight w:val="none"/>
        </w:rPr>
        <w:t>1、本合同项下总价款为（大写）人民币，分项价款在“投标报价表”中明确。</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Cs w:val="21"/>
          <w:highlight w:val="none"/>
        </w:rPr>
      </w:pPr>
      <w:r>
        <w:rPr>
          <w:rFonts w:hint="eastAsia" w:cs="Arial" w:asciiTheme="minorEastAsia" w:hAnsiTheme="minorEastAsia" w:eastAsiaTheme="minorEastAsia"/>
          <w:color w:val="auto"/>
          <w:kern w:val="0"/>
          <w:szCs w:val="21"/>
          <w:highlight w:val="none"/>
        </w:rPr>
        <w:t>2、本合同总价款包括货物设计、材料、制造、包装、运输、安装、调试、检测、售后服务、税费等全部费用。</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Cs w:val="21"/>
          <w:highlight w:val="none"/>
        </w:rPr>
      </w:pPr>
      <w:r>
        <w:rPr>
          <w:rFonts w:hint="eastAsia" w:cs="Arial" w:asciiTheme="minorEastAsia" w:hAnsiTheme="minorEastAsia" w:eastAsiaTheme="minorEastAsia"/>
          <w:color w:val="auto"/>
          <w:kern w:val="0"/>
          <w:szCs w:val="21"/>
          <w:highlight w:val="none"/>
        </w:rPr>
        <w:t>3、本合同付款方式为以下第</w:t>
      </w:r>
      <w:r>
        <w:rPr>
          <w:rFonts w:hint="eastAsia" w:cs="Arial" w:asciiTheme="minorEastAsia" w:hAnsiTheme="minorEastAsia" w:eastAsiaTheme="minorEastAsia"/>
          <w:color w:val="auto"/>
          <w:kern w:val="0"/>
          <w:szCs w:val="21"/>
          <w:highlight w:val="none"/>
          <w:u w:val="single"/>
        </w:rPr>
        <w:t xml:space="preserve">    （2）      </w:t>
      </w:r>
      <w:r>
        <w:rPr>
          <w:rFonts w:hint="eastAsia" w:cs="Arial" w:asciiTheme="minorEastAsia" w:hAnsiTheme="minorEastAsia" w:eastAsiaTheme="minorEastAsia"/>
          <w:color w:val="auto"/>
          <w:kern w:val="0"/>
          <w:szCs w:val="21"/>
          <w:highlight w:val="none"/>
        </w:rPr>
        <w:t>项：</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Cs w:val="21"/>
          <w:highlight w:val="none"/>
        </w:rPr>
      </w:pPr>
      <w:r>
        <w:rPr>
          <w:rFonts w:hint="eastAsia" w:cs="Arial" w:asciiTheme="minorEastAsia" w:hAnsiTheme="minorEastAsia" w:eastAsiaTheme="minorEastAsia"/>
          <w:color w:val="auto"/>
          <w:kern w:val="0"/>
          <w:szCs w:val="21"/>
          <w:highlight w:val="none"/>
        </w:rPr>
        <w:t>（1）本合同项下的采购资金系甲方自行支付，付款程序为</w:t>
      </w:r>
      <w:r>
        <w:rPr>
          <w:rFonts w:hint="eastAsia" w:cs="Arial" w:asciiTheme="minorEastAsia" w:hAnsiTheme="minorEastAsia" w:eastAsiaTheme="minorEastAsia"/>
          <w:color w:val="auto"/>
          <w:kern w:val="0"/>
          <w:szCs w:val="21"/>
          <w:highlight w:val="none"/>
          <w:u w:val="single"/>
        </w:rPr>
        <w:t xml:space="preserve">          </w:t>
      </w:r>
      <w:r>
        <w:rPr>
          <w:rFonts w:hint="eastAsia" w:cs="Arial" w:asciiTheme="minorEastAsia" w:hAnsiTheme="minorEastAsia" w:eastAsiaTheme="minorEastAsia"/>
          <w:color w:val="auto"/>
          <w:kern w:val="0"/>
          <w:szCs w:val="21"/>
          <w:highlight w:val="none"/>
        </w:rPr>
        <w:t>；</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b/>
          <w:color w:val="auto"/>
          <w:kern w:val="0"/>
          <w:szCs w:val="21"/>
          <w:highlight w:val="none"/>
          <w:u w:val="single"/>
        </w:rPr>
      </w:pPr>
      <w:r>
        <w:rPr>
          <w:rFonts w:hint="eastAsia" w:cs="Arial" w:asciiTheme="minorEastAsia" w:hAnsiTheme="minorEastAsia" w:eastAsiaTheme="minorEastAsia"/>
          <w:color w:val="auto"/>
          <w:kern w:val="0"/>
          <w:szCs w:val="21"/>
          <w:highlight w:val="none"/>
        </w:rPr>
        <w:t>（2）本合同项下的采购资金须财政直接支付，付款程序为</w:t>
      </w:r>
      <w:r>
        <w:rPr>
          <w:rFonts w:hint="eastAsia" w:cs="Arial" w:asciiTheme="minorEastAsia" w:hAnsiTheme="minorEastAsia" w:eastAsiaTheme="minorEastAsia"/>
          <w:color w:val="auto"/>
          <w:kern w:val="0"/>
          <w:szCs w:val="21"/>
          <w:highlight w:val="none"/>
          <w:u w:val="single"/>
        </w:rPr>
        <w:t xml:space="preserve">        </w:t>
      </w:r>
      <w:r>
        <w:rPr>
          <w:rFonts w:hint="eastAsia" w:cs="Arial" w:asciiTheme="minorEastAsia" w:hAnsiTheme="minorEastAsia" w:eastAsiaTheme="minorEastAsia"/>
          <w:color w:val="auto"/>
          <w:kern w:val="0"/>
          <w:szCs w:val="21"/>
          <w:highlight w:val="none"/>
        </w:rPr>
        <w:t>；</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Cs w:val="21"/>
          <w:highlight w:val="none"/>
        </w:rPr>
      </w:pPr>
      <w:r>
        <w:rPr>
          <w:rFonts w:hint="eastAsia" w:cs="Arial" w:asciiTheme="minorEastAsia" w:hAnsiTheme="minorEastAsia" w:eastAsiaTheme="minorEastAsia"/>
          <w:color w:val="auto"/>
          <w:kern w:val="0"/>
          <w:szCs w:val="21"/>
          <w:highlight w:val="none"/>
        </w:rPr>
        <w:t>（3）其他方式：</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Cs w:val="21"/>
          <w:highlight w:val="none"/>
        </w:rPr>
      </w:pPr>
      <w:r>
        <w:rPr>
          <w:rFonts w:hint="eastAsia" w:cs="Arial" w:asciiTheme="minorEastAsia" w:hAnsiTheme="minorEastAsia" w:eastAsiaTheme="minorEastAsia"/>
          <w:color w:val="auto"/>
          <w:kern w:val="0"/>
          <w:szCs w:val="21"/>
          <w:highlight w:val="none"/>
        </w:rPr>
        <w:t>若收取了履约保证金，则不应重复设置尾款支付条件。</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b/>
          <w:color w:val="auto"/>
          <w:kern w:val="0"/>
          <w:szCs w:val="21"/>
          <w:highlight w:val="none"/>
        </w:rPr>
      </w:pPr>
      <w:r>
        <w:rPr>
          <w:rFonts w:hint="eastAsia" w:cs="Arial" w:asciiTheme="minorEastAsia" w:hAnsiTheme="minorEastAsia" w:eastAsiaTheme="minorEastAsia"/>
          <w:b/>
          <w:color w:val="auto"/>
          <w:kern w:val="0"/>
          <w:szCs w:val="21"/>
          <w:highlight w:val="none"/>
        </w:rPr>
        <w:t>第四条 履约保证金</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b/>
          <w:color w:val="auto"/>
          <w:kern w:val="0"/>
          <w:szCs w:val="21"/>
          <w:highlight w:val="none"/>
        </w:rPr>
      </w:pPr>
      <w:r>
        <w:rPr>
          <w:rFonts w:hint="eastAsia" w:cs="Arial" w:asciiTheme="minorEastAsia" w:hAnsiTheme="minorEastAsia" w:eastAsiaTheme="minorEastAsia"/>
          <w:color w:val="auto"/>
          <w:kern w:val="0"/>
          <w:szCs w:val="21"/>
          <w:highlight w:val="none"/>
        </w:rPr>
        <w:t>按以下第_________项处理：</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Cs w:val="21"/>
          <w:highlight w:val="none"/>
        </w:rPr>
      </w:pPr>
      <w:r>
        <w:rPr>
          <w:rFonts w:hint="eastAsia" w:cs="Arial" w:asciiTheme="minorEastAsia" w:hAnsiTheme="minorEastAsia" w:eastAsiaTheme="minorEastAsia"/>
          <w:color w:val="auto"/>
          <w:kern w:val="0"/>
          <w:szCs w:val="21"/>
          <w:highlight w:val="none"/>
        </w:rPr>
        <w:t>1、本项目设置履约保证金，乙方应于_________（时间）向甲方提交履约保证金_________元（不得高于本合同金额的5%）。履约保证金在_________（时间）退还乙方。</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Cs w:val="21"/>
          <w:highlight w:val="none"/>
        </w:rPr>
      </w:pPr>
      <w:r>
        <w:rPr>
          <w:rFonts w:hint="eastAsia" w:cs="Arial" w:asciiTheme="minorEastAsia" w:hAnsiTheme="minorEastAsia" w:eastAsiaTheme="minorEastAsia"/>
          <w:color w:val="auto"/>
          <w:kern w:val="0"/>
          <w:szCs w:val="21"/>
          <w:highlight w:val="none"/>
        </w:rPr>
        <w:t>2、本项目不设置履约保证金。</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cs="Arial" w:asciiTheme="minorEastAsia" w:hAnsiTheme="minorEastAsia" w:eastAsiaTheme="minorEastAsia"/>
          <w:color w:val="auto"/>
          <w:kern w:val="0"/>
          <w:szCs w:val="21"/>
          <w:highlight w:val="none"/>
        </w:rPr>
      </w:pP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第五条 合同的变更和终止</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除《政府采购法》第49条、第50条第二款规定的情形外，本合同一经签订，甲乙双方不得擅自终止合同或对合同实质性条款进行变更。确有特殊情况的，须经同级财政部门备案。</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hAnsiTheme="minorEastAsia" w:eastAsiaTheme="minorEastAsia"/>
          <w:b/>
          <w:color w:val="auto"/>
          <w:szCs w:val="21"/>
          <w:highlight w:val="none"/>
        </w:rPr>
      </w:pP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第六条 合同的转让与分包</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乙方不得擅自部分或全部转让其应履行的合同义务。</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hAnsiTheme="minorEastAsia" w:eastAsiaTheme="minorEastAsia"/>
          <w:b/>
          <w:color w:val="auto"/>
          <w:szCs w:val="21"/>
          <w:highlight w:val="none"/>
        </w:rPr>
      </w:pP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第七条 争议的解决</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1、因履行本合同引起的或与本合同有关的争议，甲、乙双方应首先通过友好协商解决，如果协商不能解决争议，则采取以下第</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种方式解决争议：</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（1）向甲方所在地有管辖权的人民法院提起诉讼；</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（2）向仲裁委员申请仲裁。</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第八条 合同备案及其他</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本合同一式五份，甲乙双方各执二份， 一份送招标代理机构存档。</w:t>
      </w:r>
    </w:p>
    <w:p>
      <w:pPr>
        <w:snapToGrid w:val="0"/>
        <w:spacing w:beforeLines="50" w:afterLines="50" w:line="360" w:lineRule="auto"/>
        <w:jc w:val="center"/>
        <w:outlineLvl w:val="9"/>
        <w:rPr>
          <w:rFonts w:cs="Arial" w:asciiTheme="minorEastAsia" w:hAnsiTheme="minorEastAsia" w:eastAsiaTheme="minorEastAsia"/>
          <w:b/>
          <w:color w:val="auto"/>
          <w:kern w:val="0"/>
          <w:szCs w:val="21"/>
          <w:highlight w:val="none"/>
        </w:rPr>
      </w:pPr>
    </w:p>
    <w:p>
      <w:pPr>
        <w:snapToGrid w:val="0"/>
        <w:spacing w:beforeLines="50" w:afterLines="50" w:line="360" w:lineRule="auto"/>
        <w:jc w:val="center"/>
        <w:outlineLvl w:val="0"/>
        <w:rPr>
          <w:rFonts w:cs="Arial" w:asciiTheme="minorEastAsia" w:hAnsiTheme="minorEastAsia" w:eastAsiaTheme="minorEastAsia"/>
          <w:b/>
          <w:color w:val="auto"/>
          <w:kern w:val="0"/>
          <w:szCs w:val="21"/>
          <w:highlight w:val="none"/>
        </w:rPr>
      </w:pPr>
      <w:bookmarkStart w:id="111" w:name="_Toc30292"/>
      <w:r>
        <w:rPr>
          <w:rFonts w:hint="eastAsia" w:cs="Arial" w:asciiTheme="minorEastAsia" w:hAnsiTheme="minorEastAsia" w:eastAsiaTheme="minorEastAsia"/>
          <w:b/>
          <w:color w:val="auto"/>
          <w:kern w:val="0"/>
          <w:szCs w:val="21"/>
          <w:highlight w:val="none"/>
        </w:rPr>
        <w:t>二、特殊专用条款部分（双方协商拟定）</w:t>
      </w:r>
      <w:bookmarkEnd w:id="111"/>
    </w:p>
    <w:p>
      <w:pPr>
        <w:pStyle w:val="29"/>
        <w:snapToGrid w:val="0"/>
        <w:spacing w:before="120" w:after="120"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甲方：乙方：</w:t>
      </w:r>
    </w:p>
    <w:p>
      <w:pPr>
        <w:pStyle w:val="29"/>
        <w:snapToGrid w:val="0"/>
        <w:spacing w:before="120" w:after="120"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地址：地址：</w:t>
      </w:r>
    </w:p>
    <w:p>
      <w:pPr>
        <w:pStyle w:val="29"/>
        <w:snapToGrid w:val="0"/>
        <w:spacing w:before="120" w:after="120"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法定代表人或被授权人：法定代表人或被授权人：</w:t>
      </w:r>
    </w:p>
    <w:p>
      <w:pPr>
        <w:pStyle w:val="29"/>
        <w:snapToGrid w:val="0"/>
        <w:spacing w:before="120" w:after="120"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签订地点：</w:t>
      </w:r>
    </w:p>
    <w:p>
      <w:pPr>
        <w:pStyle w:val="29"/>
        <w:snapToGrid w:val="0"/>
        <w:spacing w:before="120" w:after="120" w:line="360" w:lineRule="auto"/>
        <w:rPr>
          <w:rFonts w:hint="eastAsia"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签订日期：年月日</w:t>
      </w:r>
    </w:p>
    <w:p>
      <w:pPr>
        <w:rPr>
          <w:rFonts w:hint="eastAsia"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br w:type="page"/>
      </w:r>
    </w:p>
    <w:p>
      <w:pPr>
        <w:spacing w:line="360" w:lineRule="auto"/>
        <w:ind w:firstLine="482"/>
        <w:jc w:val="center"/>
        <w:outlineLvl w:val="1"/>
        <w:rPr>
          <w:rFonts w:hint="eastAsia" w:ascii="微软雅黑" w:hAnsi="微软雅黑" w:eastAsia="微软雅黑"/>
          <w:b/>
          <w:color w:val="auto"/>
          <w:sz w:val="32"/>
          <w:szCs w:val="32"/>
          <w:highlight w:val="none"/>
        </w:rPr>
      </w:pPr>
      <w:r>
        <w:rPr>
          <w:rFonts w:hint="eastAsia" w:ascii="微软雅黑" w:hAnsi="微软雅黑" w:eastAsia="微软雅黑"/>
          <w:b/>
          <w:color w:val="auto"/>
          <w:sz w:val="32"/>
          <w:szCs w:val="32"/>
          <w:highlight w:val="none"/>
        </w:rPr>
        <w:t>合同协议条款</w:t>
      </w:r>
    </w:p>
    <w:p>
      <w:pPr>
        <w:numPr>
          <w:ilvl w:val="0"/>
          <w:numId w:val="7"/>
        </w:numPr>
        <w:spacing w:line="360"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词语定义合同文件</w:t>
      </w:r>
    </w:p>
    <w:p>
      <w:pPr>
        <w:spacing w:line="360" w:lineRule="auto"/>
        <w:ind w:left="48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 词语定义</w:t>
      </w:r>
    </w:p>
    <w:p>
      <w:pPr>
        <w:spacing w:line="360" w:lineRule="auto"/>
        <w:ind w:left="482"/>
        <w:rPr>
          <w:rFonts w:hint="eastAsia" w:ascii="宋体" w:hAnsi="宋体" w:eastAsia="宋体" w:cs="宋体"/>
          <w:color w:val="auto"/>
          <w:szCs w:val="21"/>
          <w:highlight w:val="none"/>
        </w:rPr>
      </w:pPr>
      <w:r>
        <w:rPr>
          <w:rFonts w:hint="eastAsia" w:ascii="宋体" w:hAnsi="宋体" w:eastAsia="宋体" w:cs="宋体"/>
          <w:color w:val="auto"/>
          <w:szCs w:val="21"/>
          <w:highlight w:val="none"/>
        </w:rPr>
        <w:t>下列词语除补充条款另有约定外，应具有本条所赋予的定义：</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1.1协议条款：是根据法律、行政法规规定及养护要求的需要订立，通用于本项目实施的条款。</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1.2补充条款：是双方根据有关法律、行政法规规定，结合项目实际情况，经协商达成意见的条款，是对协议条款内容的具体化、补充或修改。</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1.3发包人：指在协议书中约定，被发包人接受的具有</w:t>
      </w:r>
      <w:r>
        <w:rPr>
          <w:rFonts w:hint="eastAsia" w:ascii="宋体" w:hAnsi="宋体" w:cs="宋体"/>
          <w:color w:val="auto"/>
          <w:szCs w:val="21"/>
          <w:highlight w:val="none"/>
          <w:lang w:eastAsia="zh-CN"/>
        </w:rPr>
        <w:t>养护</w:t>
      </w:r>
      <w:r>
        <w:rPr>
          <w:rFonts w:hint="eastAsia" w:ascii="宋体" w:hAnsi="宋体" w:eastAsia="宋体" w:cs="宋体"/>
          <w:color w:val="auto"/>
          <w:szCs w:val="21"/>
          <w:highlight w:val="none"/>
        </w:rPr>
        <w:t>主体资格的当事人。</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1.4 承包人：指在协议书中约定，被发包人接受的具有</w:t>
      </w:r>
      <w:r>
        <w:rPr>
          <w:rFonts w:hint="eastAsia" w:ascii="宋体" w:hAnsi="宋体" w:cs="宋体"/>
          <w:color w:val="auto"/>
          <w:szCs w:val="21"/>
          <w:highlight w:val="none"/>
          <w:lang w:eastAsia="zh-CN"/>
        </w:rPr>
        <w:t>养护</w:t>
      </w:r>
      <w:r>
        <w:rPr>
          <w:rFonts w:hint="eastAsia" w:ascii="宋体" w:hAnsi="宋体" w:eastAsia="宋体" w:cs="宋体"/>
          <w:color w:val="auto"/>
          <w:szCs w:val="21"/>
          <w:highlight w:val="none"/>
        </w:rPr>
        <w:t>承包主体资格的当事人。</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1.5项目：</w:t>
      </w:r>
      <w:r>
        <w:rPr>
          <w:rFonts w:hint="eastAsia" w:ascii="宋体" w:hAnsi="宋体" w:cs="宋体"/>
          <w:color w:val="auto"/>
          <w:szCs w:val="21"/>
          <w:highlight w:val="none"/>
          <w:lang w:eastAsia="zh-CN"/>
        </w:rPr>
        <w:t>2023年度南湖革命纪念馆及周边绿化养护项目</w:t>
      </w:r>
      <w:r>
        <w:rPr>
          <w:rFonts w:hint="eastAsia" w:ascii="宋体" w:hAnsi="宋体" w:eastAsia="宋体" w:cs="宋体"/>
          <w:color w:val="auto"/>
          <w:szCs w:val="21"/>
          <w:highlight w:val="none"/>
        </w:rPr>
        <w:t>。</w:t>
      </w:r>
    </w:p>
    <w:p>
      <w:pPr>
        <w:spacing w:line="360" w:lineRule="auto"/>
        <w:ind w:left="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1.6月日指日历月日</w:t>
      </w:r>
    </w:p>
    <w:p>
      <w:pPr>
        <w:spacing w:line="360" w:lineRule="auto"/>
        <w:ind w:firstLine="48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 语言文字和适用法律、标准及规范</w:t>
      </w:r>
    </w:p>
    <w:p>
      <w:pPr>
        <w:spacing w:line="360" w:lineRule="auto"/>
        <w:ind w:firstLine="482"/>
        <w:rPr>
          <w:rFonts w:hint="eastAsia" w:ascii="宋体" w:hAnsi="宋体" w:eastAsia="宋体" w:cs="宋体"/>
          <w:color w:val="auto"/>
          <w:szCs w:val="21"/>
          <w:highlight w:val="none"/>
        </w:rPr>
      </w:pPr>
      <w:r>
        <w:rPr>
          <w:rFonts w:hint="eastAsia" w:ascii="宋体" w:hAnsi="宋体" w:eastAsia="宋体" w:cs="宋体"/>
          <w:color w:val="auto"/>
          <w:szCs w:val="21"/>
          <w:highlight w:val="none"/>
        </w:rPr>
        <w:t>2.1语言文字</w:t>
      </w:r>
    </w:p>
    <w:p>
      <w:pPr>
        <w:spacing w:line="360" w:lineRule="auto"/>
        <w:ind w:firstLine="482"/>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本合同文件使用汉语书写和解释、说明。</w:t>
      </w:r>
    </w:p>
    <w:p>
      <w:pPr>
        <w:spacing w:line="360" w:lineRule="auto"/>
        <w:ind w:firstLine="482"/>
        <w:rPr>
          <w:rFonts w:hint="eastAsia" w:ascii="宋体" w:hAnsi="宋体" w:eastAsia="宋体" w:cs="宋体"/>
          <w:color w:val="auto"/>
          <w:szCs w:val="21"/>
          <w:highlight w:val="none"/>
        </w:rPr>
      </w:pPr>
      <w:r>
        <w:rPr>
          <w:rFonts w:hint="eastAsia" w:ascii="宋体" w:hAnsi="宋体" w:eastAsia="宋体" w:cs="宋体"/>
          <w:color w:val="auto"/>
          <w:szCs w:val="21"/>
          <w:highlight w:val="none"/>
        </w:rPr>
        <w:t>2.2适用法律法规</w:t>
      </w:r>
    </w:p>
    <w:p>
      <w:pPr>
        <w:spacing w:line="360" w:lineRule="auto"/>
        <w:ind w:firstLine="482"/>
        <w:rPr>
          <w:rFonts w:hint="eastAsia" w:ascii="宋体" w:hAnsi="宋体" w:eastAsia="宋体" w:cs="宋体"/>
          <w:color w:val="auto"/>
          <w:szCs w:val="21"/>
          <w:highlight w:val="none"/>
        </w:rPr>
      </w:pPr>
      <w:r>
        <w:rPr>
          <w:rFonts w:hint="eastAsia" w:ascii="宋体" w:hAnsi="宋体" w:eastAsia="宋体" w:cs="宋体"/>
          <w:color w:val="auto"/>
          <w:szCs w:val="21"/>
          <w:highlight w:val="none"/>
        </w:rPr>
        <w:t>适用中华人民共和国的法律、法规和嘉兴市的地方法规；</w:t>
      </w:r>
    </w:p>
    <w:p>
      <w:pPr>
        <w:spacing w:line="360" w:lineRule="auto"/>
        <w:ind w:firstLine="482"/>
        <w:rPr>
          <w:rFonts w:hint="eastAsia" w:ascii="宋体" w:hAnsi="宋体" w:eastAsia="宋体" w:cs="宋体"/>
          <w:color w:val="auto"/>
          <w:szCs w:val="21"/>
          <w:highlight w:val="none"/>
        </w:rPr>
      </w:pPr>
      <w:r>
        <w:rPr>
          <w:rFonts w:hint="eastAsia" w:ascii="宋体" w:hAnsi="宋体" w:eastAsia="宋体" w:cs="宋体"/>
          <w:color w:val="auto"/>
          <w:szCs w:val="21"/>
          <w:highlight w:val="none"/>
        </w:rPr>
        <w:t>2.3适用标准、规范</w:t>
      </w:r>
    </w:p>
    <w:p>
      <w:pPr>
        <w:spacing w:line="360" w:lineRule="auto"/>
        <w:ind w:firstLine="482"/>
        <w:rPr>
          <w:rFonts w:hint="eastAsia" w:ascii="宋体" w:hAnsi="宋体" w:eastAsia="宋体" w:cs="宋体"/>
          <w:color w:val="auto"/>
          <w:szCs w:val="21"/>
          <w:highlight w:val="none"/>
        </w:rPr>
      </w:pPr>
      <w:r>
        <w:rPr>
          <w:rFonts w:hint="eastAsia" w:ascii="宋体" w:hAnsi="宋体" w:eastAsia="宋体" w:cs="宋体"/>
          <w:color w:val="auto"/>
          <w:szCs w:val="21"/>
          <w:highlight w:val="none"/>
        </w:rPr>
        <w:t>综合养护质量规范</w:t>
      </w:r>
    </w:p>
    <w:p>
      <w:pPr>
        <w:spacing w:line="360" w:lineRule="auto"/>
        <w:ind w:firstLine="48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二、双方一般权利和义务</w:t>
      </w:r>
    </w:p>
    <w:p>
      <w:pPr>
        <w:spacing w:line="360" w:lineRule="auto"/>
        <w:ind w:firstLine="482"/>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3 甲方代表</w:t>
      </w:r>
    </w:p>
    <w:p>
      <w:pPr>
        <w:spacing w:line="360" w:lineRule="auto"/>
        <w:ind w:firstLine="482"/>
        <w:rPr>
          <w:rFonts w:hint="eastAsia" w:ascii="宋体" w:hAnsi="宋体" w:eastAsia="宋体" w:cs="宋体"/>
          <w:color w:val="auto"/>
          <w:szCs w:val="21"/>
          <w:highlight w:val="none"/>
        </w:rPr>
      </w:pPr>
      <w:r>
        <w:rPr>
          <w:rFonts w:hint="eastAsia" w:ascii="宋体" w:hAnsi="宋体" w:eastAsia="宋体" w:cs="宋体"/>
          <w:color w:val="auto"/>
          <w:szCs w:val="21"/>
          <w:highlight w:val="none"/>
        </w:rPr>
        <w:t>甲方指派</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为甲方代表，全面负责日常养护作业的管理工作。</w:t>
      </w:r>
    </w:p>
    <w:p>
      <w:pPr>
        <w:spacing w:line="360" w:lineRule="auto"/>
        <w:ind w:firstLine="482"/>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4 乙方代表</w:t>
      </w:r>
    </w:p>
    <w:p>
      <w:pPr>
        <w:spacing w:line="360" w:lineRule="auto"/>
        <w:ind w:firstLine="482"/>
        <w:rPr>
          <w:rFonts w:hint="eastAsia" w:ascii="宋体" w:hAnsi="宋体" w:eastAsia="宋体" w:cs="宋体"/>
          <w:color w:val="auto"/>
          <w:szCs w:val="21"/>
          <w:highlight w:val="none"/>
        </w:rPr>
      </w:pPr>
      <w:r>
        <w:rPr>
          <w:rFonts w:hint="eastAsia" w:ascii="宋体" w:hAnsi="宋体" w:eastAsia="宋体" w:cs="宋体"/>
          <w:color w:val="auto"/>
          <w:szCs w:val="21"/>
          <w:highlight w:val="none"/>
        </w:rPr>
        <w:t>4.1乙方指派</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为养护项目负责人，具体负责本养护作业工作，并用书面材料报甲方备案。</w:t>
      </w:r>
    </w:p>
    <w:p>
      <w:pPr>
        <w:spacing w:line="360" w:lineRule="auto"/>
        <w:ind w:firstLine="482"/>
        <w:rPr>
          <w:rFonts w:hint="eastAsia" w:ascii="宋体" w:hAnsi="宋体" w:eastAsia="宋体" w:cs="宋体"/>
          <w:color w:val="auto"/>
          <w:szCs w:val="21"/>
          <w:highlight w:val="none"/>
        </w:rPr>
      </w:pPr>
      <w:r>
        <w:rPr>
          <w:rFonts w:hint="eastAsia" w:ascii="宋体" w:hAnsi="宋体" w:eastAsia="宋体" w:cs="宋体"/>
          <w:color w:val="auto"/>
          <w:szCs w:val="21"/>
          <w:highlight w:val="none"/>
        </w:rPr>
        <w:t>4.2项目负责人等有关人员必须按时参加由甲方召开的养护例会和各种必须参加的会议。</w:t>
      </w:r>
    </w:p>
    <w:p>
      <w:pPr>
        <w:spacing w:line="360" w:lineRule="auto"/>
        <w:ind w:firstLine="482"/>
        <w:rPr>
          <w:rFonts w:hint="eastAsia" w:ascii="宋体" w:hAnsi="宋体" w:eastAsia="宋体" w:cs="宋体"/>
          <w:color w:val="auto"/>
          <w:szCs w:val="21"/>
          <w:highlight w:val="none"/>
        </w:rPr>
      </w:pPr>
      <w:r>
        <w:rPr>
          <w:rFonts w:hint="eastAsia" w:ascii="宋体" w:hAnsi="宋体" w:eastAsia="宋体" w:cs="宋体"/>
          <w:color w:val="auto"/>
          <w:szCs w:val="21"/>
          <w:highlight w:val="none"/>
        </w:rPr>
        <w:t>4.3乙方如需更换项目负责人，应至少提前7天以书面形式通知甲方，并征得甲方同意。后任继续行使合同文件的前任的职权，履行前任的义务。</w:t>
      </w:r>
    </w:p>
    <w:p>
      <w:pPr>
        <w:spacing w:line="360" w:lineRule="auto"/>
        <w:ind w:firstLine="482"/>
        <w:rPr>
          <w:rFonts w:hint="eastAsia" w:ascii="宋体" w:hAnsi="宋体" w:eastAsia="宋体" w:cs="宋体"/>
          <w:color w:val="auto"/>
          <w:szCs w:val="21"/>
          <w:highlight w:val="none"/>
        </w:rPr>
      </w:pPr>
      <w:r>
        <w:rPr>
          <w:rFonts w:hint="eastAsia" w:ascii="宋体" w:hAnsi="宋体" w:eastAsia="宋体" w:cs="宋体"/>
          <w:color w:val="auto"/>
          <w:szCs w:val="21"/>
          <w:highlight w:val="none"/>
        </w:rPr>
        <w:t>4.4甲方可以与乙方协商，建议更换其认为不称职的项目负责人。</w:t>
      </w:r>
    </w:p>
    <w:p>
      <w:pPr>
        <w:spacing w:line="360" w:lineRule="auto"/>
        <w:ind w:firstLine="482"/>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5 甲方工作</w:t>
      </w:r>
    </w:p>
    <w:p>
      <w:pPr>
        <w:spacing w:line="360" w:lineRule="auto"/>
        <w:ind w:firstLine="482"/>
        <w:rPr>
          <w:rFonts w:hint="eastAsia" w:ascii="宋体" w:hAnsi="宋体" w:eastAsia="宋体" w:cs="宋体"/>
          <w:color w:val="auto"/>
          <w:szCs w:val="21"/>
          <w:highlight w:val="none"/>
        </w:rPr>
      </w:pPr>
      <w:r>
        <w:rPr>
          <w:rFonts w:hint="eastAsia" w:ascii="宋体" w:hAnsi="宋体" w:eastAsia="宋体" w:cs="宋体"/>
          <w:color w:val="auto"/>
          <w:szCs w:val="21"/>
          <w:highlight w:val="none"/>
        </w:rPr>
        <w:t>5.1组织召开养护作业技术交底会。</w:t>
      </w:r>
    </w:p>
    <w:p>
      <w:pPr>
        <w:spacing w:line="360" w:lineRule="auto"/>
        <w:ind w:firstLine="482"/>
        <w:rPr>
          <w:rFonts w:hint="eastAsia" w:ascii="宋体" w:hAnsi="宋体" w:eastAsia="宋体" w:cs="宋体"/>
          <w:color w:val="auto"/>
          <w:szCs w:val="21"/>
          <w:highlight w:val="none"/>
        </w:rPr>
      </w:pPr>
      <w:r>
        <w:rPr>
          <w:rFonts w:hint="eastAsia" w:ascii="宋体" w:hAnsi="宋体" w:eastAsia="宋体" w:cs="宋体"/>
          <w:color w:val="auto"/>
          <w:szCs w:val="21"/>
          <w:highlight w:val="none"/>
        </w:rPr>
        <w:t>5.2协助乙方办理养护所需的有关证件，批件等。</w:t>
      </w:r>
    </w:p>
    <w:p>
      <w:pPr>
        <w:spacing w:line="360" w:lineRule="auto"/>
        <w:ind w:firstLine="482"/>
        <w:rPr>
          <w:rFonts w:hint="eastAsia" w:ascii="宋体" w:hAnsi="宋体" w:eastAsia="宋体" w:cs="宋体"/>
          <w:color w:val="auto"/>
          <w:szCs w:val="21"/>
          <w:highlight w:val="none"/>
        </w:rPr>
      </w:pPr>
      <w:r>
        <w:rPr>
          <w:rFonts w:hint="eastAsia" w:ascii="宋体" w:hAnsi="宋体" w:eastAsia="宋体" w:cs="宋体"/>
          <w:color w:val="auto"/>
          <w:szCs w:val="21"/>
          <w:highlight w:val="none"/>
        </w:rPr>
        <w:t>5.3负责乙方的日常养护作业的管理和检查(定期检查和抽查相结合)。每个月约定月底对乙方作出养护工作计划布置和对养护工作进行考核(全年考核不少于12次)，考核按有关养护工作考核标准并结合甲方养护工作计划要求综合进行年终综合考核考评。</w:t>
      </w:r>
    </w:p>
    <w:p>
      <w:pPr>
        <w:spacing w:line="360" w:lineRule="auto"/>
        <w:ind w:firstLine="482"/>
        <w:rPr>
          <w:rFonts w:hint="eastAsia" w:ascii="宋体" w:hAnsi="宋体" w:eastAsia="宋体" w:cs="宋体"/>
          <w:color w:val="auto"/>
          <w:szCs w:val="21"/>
          <w:highlight w:val="none"/>
        </w:rPr>
      </w:pPr>
      <w:r>
        <w:rPr>
          <w:rFonts w:hint="eastAsia" w:ascii="宋体" w:hAnsi="宋体" w:eastAsia="宋体" w:cs="宋体"/>
          <w:color w:val="auto"/>
          <w:szCs w:val="21"/>
          <w:highlight w:val="none"/>
        </w:rPr>
        <w:t>5.4甲方对乙方的养护质量进行检查并进行每月考核，考核结果作为支付养护经费的依据。</w:t>
      </w:r>
    </w:p>
    <w:p>
      <w:pPr>
        <w:spacing w:line="360" w:lineRule="auto"/>
        <w:ind w:firstLine="482"/>
        <w:rPr>
          <w:rFonts w:hint="eastAsia" w:ascii="宋体" w:hAnsi="宋体" w:eastAsia="宋体" w:cs="宋体"/>
          <w:color w:val="auto"/>
          <w:szCs w:val="21"/>
          <w:highlight w:val="none"/>
        </w:rPr>
      </w:pPr>
      <w:r>
        <w:rPr>
          <w:rFonts w:hint="eastAsia" w:ascii="宋体" w:hAnsi="宋体" w:eastAsia="宋体" w:cs="宋体"/>
          <w:color w:val="auto"/>
          <w:szCs w:val="21"/>
          <w:highlight w:val="none"/>
        </w:rPr>
        <w:t>5.5负责合同期间的行政许可审批及协调工作，如遇突发事件，协调乙方在作业过程中与其他管理部门的关系。</w:t>
      </w:r>
    </w:p>
    <w:p>
      <w:pPr>
        <w:spacing w:line="360" w:lineRule="auto"/>
        <w:ind w:firstLine="482"/>
        <w:rPr>
          <w:rFonts w:hint="eastAsia" w:ascii="宋体" w:hAnsi="宋体" w:eastAsia="宋体" w:cs="宋体"/>
          <w:color w:val="auto"/>
          <w:szCs w:val="21"/>
          <w:highlight w:val="none"/>
        </w:rPr>
      </w:pPr>
      <w:r>
        <w:rPr>
          <w:rFonts w:hint="eastAsia" w:ascii="宋体" w:hAnsi="宋体" w:eastAsia="宋体" w:cs="宋体"/>
          <w:color w:val="auto"/>
          <w:szCs w:val="21"/>
          <w:highlight w:val="none"/>
        </w:rPr>
        <w:t>5.6进行绿化养护工作业务指导。</w:t>
      </w:r>
    </w:p>
    <w:p>
      <w:pPr>
        <w:spacing w:line="360" w:lineRule="auto"/>
        <w:ind w:firstLine="482"/>
        <w:rPr>
          <w:rFonts w:hint="eastAsia" w:ascii="宋体" w:hAnsi="宋体" w:eastAsia="宋体" w:cs="宋体"/>
          <w:color w:val="auto"/>
          <w:szCs w:val="21"/>
          <w:highlight w:val="none"/>
        </w:rPr>
      </w:pPr>
      <w:r>
        <w:rPr>
          <w:rFonts w:hint="eastAsia" w:ascii="宋体" w:hAnsi="宋体" w:eastAsia="宋体" w:cs="宋体"/>
          <w:color w:val="auto"/>
          <w:szCs w:val="21"/>
          <w:highlight w:val="none"/>
        </w:rPr>
        <w:t>5.7甲方应作的其他工作，双方在补充条款内约定。</w:t>
      </w:r>
    </w:p>
    <w:p>
      <w:pPr>
        <w:spacing w:line="360" w:lineRule="auto"/>
        <w:ind w:firstLine="482"/>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6 乙方工作</w:t>
      </w:r>
    </w:p>
    <w:p>
      <w:pPr>
        <w:spacing w:line="360" w:lineRule="auto"/>
        <w:ind w:firstLine="482"/>
        <w:rPr>
          <w:rFonts w:hint="eastAsia" w:ascii="宋体" w:hAnsi="宋体" w:eastAsia="宋体" w:cs="宋体"/>
          <w:color w:val="auto"/>
          <w:szCs w:val="21"/>
          <w:highlight w:val="none"/>
        </w:rPr>
      </w:pPr>
      <w:r>
        <w:rPr>
          <w:rFonts w:hint="eastAsia" w:ascii="宋体" w:hAnsi="宋体" w:eastAsia="宋体" w:cs="宋体"/>
          <w:color w:val="auto"/>
          <w:szCs w:val="21"/>
          <w:highlight w:val="none"/>
        </w:rPr>
        <w:t>6.1乙方提交养护工作计划经甲方核定后，由乙方承担日常养护作业。</w:t>
      </w:r>
    </w:p>
    <w:p>
      <w:pPr>
        <w:spacing w:line="360" w:lineRule="auto"/>
        <w:ind w:firstLine="482"/>
        <w:rPr>
          <w:rFonts w:hint="eastAsia" w:ascii="宋体" w:hAnsi="宋体" w:eastAsia="宋体" w:cs="宋体"/>
          <w:color w:val="auto"/>
          <w:szCs w:val="21"/>
          <w:highlight w:val="none"/>
        </w:rPr>
      </w:pPr>
      <w:r>
        <w:rPr>
          <w:rFonts w:hint="eastAsia" w:ascii="宋体" w:hAnsi="宋体" w:eastAsia="宋体" w:cs="宋体"/>
          <w:color w:val="auto"/>
          <w:szCs w:val="21"/>
          <w:highlight w:val="none"/>
        </w:rPr>
        <w:t>6.2做好日、周统计报表，并按时做好月、季、年度上报养护工作完成情况表，按甲方要求及时上报。</w:t>
      </w:r>
    </w:p>
    <w:p>
      <w:pPr>
        <w:spacing w:line="360" w:lineRule="auto"/>
        <w:ind w:firstLine="482"/>
        <w:rPr>
          <w:rFonts w:hint="eastAsia" w:ascii="宋体" w:hAnsi="宋体" w:eastAsia="宋体" w:cs="宋体"/>
          <w:color w:val="auto"/>
          <w:szCs w:val="21"/>
          <w:highlight w:val="none"/>
        </w:rPr>
      </w:pPr>
      <w:r>
        <w:rPr>
          <w:rFonts w:hint="eastAsia" w:ascii="宋体" w:hAnsi="宋体" w:eastAsia="宋体" w:cs="宋体"/>
          <w:color w:val="auto"/>
          <w:szCs w:val="21"/>
          <w:highlight w:val="none"/>
        </w:rPr>
        <w:t>6.3应按甲方提出的以周围建筑物和各种管线的要求落实保护措施；</w:t>
      </w:r>
    </w:p>
    <w:p>
      <w:pPr>
        <w:spacing w:line="360" w:lineRule="auto"/>
        <w:ind w:firstLine="482"/>
        <w:rPr>
          <w:rFonts w:hint="eastAsia" w:ascii="宋体" w:hAnsi="宋体" w:eastAsia="宋体" w:cs="宋体"/>
          <w:color w:val="auto"/>
          <w:szCs w:val="21"/>
          <w:highlight w:val="none"/>
        </w:rPr>
      </w:pPr>
      <w:r>
        <w:rPr>
          <w:rFonts w:hint="eastAsia" w:ascii="宋体" w:hAnsi="宋体" w:eastAsia="宋体" w:cs="宋体"/>
          <w:color w:val="auto"/>
          <w:szCs w:val="21"/>
          <w:highlight w:val="none"/>
        </w:rPr>
        <w:t>6.4建立巡视报告制，每天有专人进行对绿化等设施的巡视，并做好每日巡视记录。发现养护范围内绿化缺损，适时补种，并把结果报告甲方；</w:t>
      </w:r>
    </w:p>
    <w:p>
      <w:pPr>
        <w:spacing w:line="360" w:lineRule="auto"/>
        <w:ind w:firstLine="482" w:firstLineChars="200"/>
        <w:rPr>
          <w:rFonts w:hint="eastAsia" w:ascii="宋体" w:hAnsi="宋体" w:eastAsia="宋体" w:cs="宋体"/>
          <w:b/>
          <w:color w:val="auto"/>
          <w:szCs w:val="21"/>
          <w:highlight w:val="none"/>
        </w:rPr>
      </w:pPr>
      <w:r>
        <w:rPr>
          <w:rFonts w:hint="eastAsia" w:ascii="宋体" w:hAnsi="宋体" w:eastAsia="宋体" w:cs="宋体"/>
          <w:b/>
          <w:color w:val="auto"/>
          <w:sz w:val="24"/>
          <w:highlight w:val="none"/>
        </w:rPr>
        <w:t xml:space="preserve"> </w:t>
      </w:r>
      <w:r>
        <w:rPr>
          <w:rFonts w:hint="eastAsia" w:ascii="宋体" w:hAnsi="宋体" w:eastAsia="宋体" w:cs="宋体"/>
          <w:b/>
          <w:color w:val="auto"/>
          <w:szCs w:val="21"/>
          <w:highlight w:val="none"/>
        </w:rPr>
        <w:t>巡视中发现区域内有违章搭建及无证占绿、乱种植等现象，由乙方负责处理，必须当场予以制止，并清理干净，恢复原样。养护区域内的所有附属设施均由乙方负责维修、安装。</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6.5超出常规小修范围的工作，需提前报甲方审批；</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6.6及时解决来信、来访，并根据甲方要求及时处理；</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6.7按时完成甲方交办的其它突击性任务和指令性任务；</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6.8认真做好防台防汛等工作；</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6.9加强法定节假日的正常养护工作；</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6.10清除杂草是一经常性的工作，但除草以春季为一年中的关键，应集中除杂草1-2次。一年中严禁杂草结籽，减少第二年的杂草种原；</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6.11注意病虫害的防治。抓住重点防治时期进行早期预防是其关键。病害以提前预防为主，虫害遵循治早治小的原则，树每年3次以上。药剂种类、浓度根据实际需要确定并报甲方备案，要严格操作规程，使病虫害有明显抑制；树木冬季应刷白，高度为乔木1米，乔状灌木0.5米；</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6.12注意养护区的排灌水。主要是梅雨、台汛和阵雨积水，出现积水时要及时排出，一般积水不得超过4小时，应做好排水沟渠的通畅，灌排设施的完整，结合临时排水等措施进行，避免因积水而造成植物的死亡。灌溉必须根据气候条件的变化灵活掌握。一般来说，春季到初夏，苗木处于旺盛生长期，南方雨水多，只要灌溉三四次即可，初夏如果高温又干旱，必须增加灌水次数，秋季，为了让苗木组织充实和木质化，准备越冬，一般不灌水。冬季，南方不灌水；</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6.13苗木初始补植时需要适当施肥，促进苗木生长，肥料种类、数量由乙方根据实际情况确定并报甲方核准备案，以保持良好生长势；</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6.1</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因乙方管理不到位而引起的安全事故责任由乙方承担。</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6.1</w:t>
      </w: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rPr>
        <w:t>乙方应作的其他工作，双方在补充条款内约定。</w:t>
      </w:r>
    </w:p>
    <w:p>
      <w:pPr>
        <w:spacing w:line="360" w:lineRule="auto"/>
        <w:ind w:firstLine="48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四、养护组织设计</w:t>
      </w:r>
    </w:p>
    <w:p>
      <w:pPr>
        <w:spacing w:line="360" w:lineRule="auto"/>
        <w:ind w:firstLine="48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7 进度计划</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7.1乙方在本合同生效后15天内上报全年养护作业维修计划，并结合季节特点，制定季度、月度养护计划、材料计划送交甲方。甲方在7天内予以确认。</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7.2乙方必须按甲方确认的进度计划组织养护作业，接受甲方对进度的检查、监督。养护作业实际进度与经确认的进度计划不一致时，乙方应按甲方的要求提出改进措施，经甲方代表确认后执行。因乙方的原因导致实际进度与计划进度不符，乙方无权就改进措施提出追加合同价款。</w:t>
      </w:r>
    </w:p>
    <w:p>
      <w:pPr>
        <w:spacing w:line="360" w:lineRule="auto"/>
        <w:ind w:firstLine="48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五、质量与考核</w:t>
      </w:r>
    </w:p>
    <w:p>
      <w:pPr>
        <w:spacing w:line="360" w:lineRule="auto"/>
        <w:ind w:firstLine="48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8 质量标准</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养护质量标准参照补充条款约定的质量标准。因乙方原因使养护质量达不到约定的质量标准，乙方承担违约责任。</w:t>
      </w:r>
    </w:p>
    <w:p>
      <w:pPr>
        <w:spacing w:line="360" w:lineRule="auto"/>
        <w:ind w:firstLine="48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9 检查和考核</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9.1乙方应认真按照补充条款中约定的质量标准进行养护，随时接受甲方的检查和考核，为检查和考核提供便利条件。</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9.2对于养护质量或</w:t>
      </w:r>
      <w:r>
        <w:rPr>
          <w:rFonts w:hint="eastAsia" w:ascii="宋体" w:hAnsi="宋体" w:cs="宋体"/>
          <w:color w:val="auto"/>
          <w:szCs w:val="21"/>
          <w:highlight w:val="none"/>
          <w:lang w:eastAsia="zh-CN"/>
        </w:rPr>
        <w:t>养护</w:t>
      </w:r>
      <w:r>
        <w:rPr>
          <w:rFonts w:hint="eastAsia" w:ascii="宋体" w:hAnsi="宋体" w:eastAsia="宋体" w:cs="宋体"/>
          <w:color w:val="auto"/>
          <w:szCs w:val="21"/>
          <w:highlight w:val="none"/>
        </w:rPr>
        <w:t>期不符合要求的，甲方先通知限期整改，乙方逾期不整改的或整改效果不符合要求的，由甲方派其他队伍整改，费用在乙方养护费用中扣除。</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9.3甲方按照补充条款中约定的考核办法及奖惩措施进行考核。</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9.4乙方经考核确实不能承担养护作业的，甲方有权无条件单方终止合同。乙方接甲方通知后24小时内必须无条件清退出场，由此造成的损失由乙方承担，原已完成的工作量按实结算。</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9.5甲方结合养护新特点和行业颁布的最新标准，甲方有修改考核标准的权利。</w:t>
      </w:r>
    </w:p>
    <w:p>
      <w:pPr>
        <w:spacing w:line="360" w:lineRule="auto"/>
        <w:ind w:firstLine="482"/>
        <w:rPr>
          <w:rFonts w:hint="eastAsia" w:ascii="宋体" w:hAnsi="宋体" w:eastAsia="宋体" w:cs="宋体"/>
          <w:b/>
          <w:color w:val="auto"/>
          <w:szCs w:val="21"/>
          <w:highlight w:val="none"/>
          <w:lang w:eastAsia="zh-CN"/>
        </w:rPr>
      </w:pPr>
      <w:r>
        <w:rPr>
          <w:rFonts w:hint="eastAsia" w:ascii="宋体" w:hAnsi="宋体" w:eastAsia="宋体" w:cs="宋体"/>
          <w:b/>
          <w:color w:val="auto"/>
          <w:szCs w:val="21"/>
          <w:highlight w:val="none"/>
        </w:rPr>
        <w:t>六、安全文明</w:t>
      </w:r>
      <w:r>
        <w:rPr>
          <w:rFonts w:hint="eastAsia" w:ascii="宋体" w:hAnsi="宋体" w:cs="宋体"/>
          <w:b/>
          <w:color w:val="auto"/>
          <w:szCs w:val="21"/>
          <w:highlight w:val="none"/>
          <w:lang w:eastAsia="zh-CN"/>
        </w:rPr>
        <w:t>工作</w:t>
      </w:r>
    </w:p>
    <w:p>
      <w:pPr>
        <w:spacing w:line="360" w:lineRule="auto"/>
        <w:ind w:firstLine="48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10 安全文明</w:t>
      </w:r>
      <w:r>
        <w:rPr>
          <w:rFonts w:hint="eastAsia" w:ascii="宋体" w:hAnsi="宋体" w:cs="宋体"/>
          <w:b/>
          <w:color w:val="auto"/>
          <w:szCs w:val="21"/>
          <w:highlight w:val="none"/>
          <w:lang w:eastAsia="zh-CN"/>
        </w:rPr>
        <w:t>工作</w:t>
      </w:r>
      <w:r>
        <w:rPr>
          <w:rFonts w:hint="eastAsia" w:ascii="宋体" w:hAnsi="宋体" w:eastAsia="宋体" w:cs="宋体"/>
          <w:b/>
          <w:color w:val="auto"/>
          <w:szCs w:val="21"/>
          <w:highlight w:val="none"/>
        </w:rPr>
        <w:t>与检查</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10.1乙方应遵循有关规定及行业规范，严格按照操作规程作业，并随时接受甲方或有关部门的监督检查和社会监督，采取必要的安全防护措施，消除事故隐患。</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10.2由于乙方管理不善，引起政府职能部门处罚和限期整改，或安全措施不力造成事故的责任和因此发生的费用，由乙方承担。</w:t>
      </w:r>
    </w:p>
    <w:p>
      <w:pPr>
        <w:spacing w:line="360" w:lineRule="auto"/>
        <w:ind w:firstLine="48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11 安全防护</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11.1养护作业人员应做好各项安全防范措施，必须着装上岗操作。</w:t>
      </w:r>
    </w:p>
    <w:p>
      <w:pPr>
        <w:spacing w:line="360" w:lineRule="auto"/>
        <w:ind w:firstLine="482"/>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12 事故处理</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12.1发生重大伤亡及其他安全事故，乙方就有关规定立即上报有关部门并通知甲方代表，同时按政府有关部门要求处理由事故责任方承担发生的费用。</w:t>
      </w:r>
    </w:p>
    <w:p>
      <w:pPr>
        <w:spacing w:line="360" w:lineRule="auto"/>
        <w:ind w:firstLine="48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七、合同价款与支付</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13 合同价款及调整</w:t>
      </w:r>
    </w:p>
    <w:p>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Cs w:val="21"/>
          <w:highlight w:val="none"/>
        </w:rPr>
        <w:t>13.1合同价款由甲、乙双方依据中标通知书中的中标价格在协议书内约定。</w:t>
      </w:r>
    </w:p>
    <w:p>
      <w:pPr>
        <w:spacing w:line="360" w:lineRule="auto"/>
        <w:ind w:firstLine="480"/>
        <w:rPr>
          <w:rFonts w:hint="eastAsia" w:ascii="宋体" w:hAnsi="宋体" w:eastAsia="宋体" w:cs="宋体"/>
          <w:b/>
          <w:color w:val="auto"/>
          <w:sz w:val="24"/>
          <w:highlight w:val="none"/>
          <w:u w:val="single"/>
        </w:rPr>
      </w:pPr>
      <w:r>
        <w:rPr>
          <w:rFonts w:hint="eastAsia" w:ascii="宋体" w:hAnsi="宋体" w:eastAsia="宋体" w:cs="宋体"/>
          <w:color w:val="auto"/>
          <w:sz w:val="24"/>
          <w:highlight w:val="none"/>
        </w:rPr>
        <w:t>13.2</w:t>
      </w:r>
      <w:r>
        <w:rPr>
          <w:rFonts w:hint="eastAsia" w:ascii="宋体" w:hAnsi="宋体" w:eastAsia="宋体" w:cs="宋体"/>
          <w:b/>
          <w:bCs/>
          <w:color w:val="auto"/>
          <w:sz w:val="24"/>
          <w:highlight w:val="none"/>
        </w:rPr>
        <w:t>本合同价款采用固定单价合同</w:t>
      </w:r>
      <w:r>
        <w:rPr>
          <w:rFonts w:hint="eastAsia" w:ascii="宋体" w:hAnsi="宋体" w:eastAsia="宋体" w:cs="宋体"/>
          <w:b/>
          <w:color w:val="auto"/>
          <w:sz w:val="24"/>
          <w:highlight w:val="none"/>
        </w:rPr>
        <w:t>。</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13.3双方约定合同价款的其他调整因素：</w:t>
      </w:r>
    </w:p>
    <w:p>
      <w:pPr>
        <w:spacing w:line="360" w:lineRule="auto"/>
        <w:ind w:firstLine="315" w:firstLineChars="15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(1)合同执行期间如遇政策性调整，以有关管理部门的文件为准。</w:t>
      </w:r>
    </w:p>
    <w:p>
      <w:pPr>
        <w:spacing w:line="360" w:lineRule="auto"/>
        <w:ind w:firstLine="426"/>
        <w:rPr>
          <w:rFonts w:hint="eastAsia" w:ascii="宋体" w:hAnsi="宋体" w:eastAsia="宋体" w:cs="宋体"/>
          <w:color w:val="auto"/>
          <w:szCs w:val="21"/>
          <w:highlight w:val="none"/>
        </w:rPr>
      </w:pPr>
      <w:r>
        <w:rPr>
          <w:rFonts w:hint="eastAsia" w:ascii="宋体" w:hAnsi="宋体" w:eastAsia="宋体" w:cs="宋体"/>
          <w:color w:val="auto"/>
          <w:szCs w:val="21"/>
          <w:highlight w:val="none"/>
        </w:rPr>
        <w:t>(2)双方在补充条款中约定的其他调整因素。</w:t>
      </w:r>
    </w:p>
    <w:p>
      <w:pPr>
        <w:spacing w:line="360" w:lineRule="auto"/>
        <w:ind w:firstLine="482"/>
        <w:rPr>
          <w:rFonts w:hint="eastAsia" w:ascii="宋体" w:hAnsi="宋体" w:eastAsia="宋体" w:cs="宋体"/>
          <w:color w:val="auto"/>
          <w:szCs w:val="21"/>
          <w:highlight w:val="none"/>
        </w:rPr>
      </w:pPr>
      <w:r>
        <w:rPr>
          <w:rFonts w:hint="eastAsia" w:ascii="宋体" w:hAnsi="宋体" w:eastAsia="宋体" w:cs="宋体"/>
          <w:color w:val="auto"/>
          <w:szCs w:val="21"/>
          <w:highlight w:val="none"/>
        </w:rPr>
        <w:t>合同价款的变更由双方以补充合同形式予以确定。</w:t>
      </w:r>
    </w:p>
    <w:p>
      <w:pPr>
        <w:spacing w:line="360" w:lineRule="auto"/>
        <w:ind w:firstLine="48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14 合同价款支付</w:t>
      </w:r>
    </w:p>
    <w:p>
      <w:pPr>
        <w:spacing w:line="360" w:lineRule="auto"/>
        <w:ind w:firstLine="480"/>
        <w:rPr>
          <w:rFonts w:hint="eastAsia" w:ascii="宋体" w:hAnsi="宋体" w:eastAsia="宋体" w:cs="宋体"/>
          <w:b/>
          <w:color w:val="auto"/>
          <w:sz w:val="24"/>
          <w:highlight w:val="none"/>
        </w:rPr>
      </w:pPr>
      <w:r>
        <w:rPr>
          <w:rFonts w:hint="eastAsia" w:ascii="宋体" w:hAnsi="宋体" w:eastAsia="宋体" w:cs="宋体"/>
          <w:b/>
          <w:color w:val="auto"/>
          <w:sz w:val="24"/>
          <w:highlight w:val="none"/>
          <w:lang w:val="zh-CN"/>
        </w:rPr>
        <w:t>养护费每季度结算一次，采购人按照实际考核结果扣款后在每季度的次月向中标单位支付费用（须开税务发票）</w:t>
      </w:r>
      <w:r>
        <w:rPr>
          <w:rFonts w:hint="eastAsia" w:ascii="宋体" w:hAnsi="宋体" w:eastAsia="宋体" w:cs="宋体"/>
          <w:b/>
          <w:color w:val="auto"/>
          <w:sz w:val="24"/>
          <w:highlight w:val="none"/>
        </w:rPr>
        <w:t>。</w:t>
      </w:r>
    </w:p>
    <w:p>
      <w:pPr>
        <w:spacing w:line="360" w:lineRule="auto"/>
        <w:ind w:firstLine="48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15履约保证金</w:t>
      </w:r>
    </w:p>
    <w:p>
      <w:pPr>
        <w:spacing w:line="46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本项目不设置履约保证金。</w:t>
      </w:r>
    </w:p>
    <w:p>
      <w:pPr>
        <w:spacing w:line="360" w:lineRule="auto"/>
        <w:ind w:firstLine="48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八、材料设备供应</w:t>
      </w:r>
    </w:p>
    <w:p>
      <w:pPr>
        <w:spacing w:line="360" w:lineRule="auto"/>
        <w:ind w:firstLine="48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16材料设备供应</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16.1养护维修所需的材料、制品、工具、设备等，原则上均由乙方自行解决，如遇特殊情况，按补充条款约定的方式采购或配备。</w:t>
      </w:r>
    </w:p>
    <w:p>
      <w:pPr>
        <w:spacing w:line="360" w:lineRule="auto"/>
        <w:ind w:firstLine="48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九、违约和争议</w:t>
      </w:r>
    </w:p>
    <w:p>
      <w:pPr>
        <w:spacing w:line="360" w:lineRule="auto"/>
        <w:ind w:firstLine="48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17 违约</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17.1甲方代表不能及时给出很必要指令、确认、批准，不能按合同约定履行自己的各项义务、以及发生其它使合同无法履行的行为，应承担违约责任(包括支付违约导致乙方增加经济支出和从应之日起计算的应支付款项的利息)。</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17.2乙方不能达到所承诺的养护、维修质量标准，乙方按协议条款支付违约金，赔偿因违约给甲方造成的损失。</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17.3因一方违约使合同不能履行，另一方欲终止或解除全部合同，应提前10天通知违约方后，方可终止或解除合同，由违约方承担违约责任。</w:t>
      </w:r>
    </w:p>
    <w:p>
      <w:pPr>
        <w:spacing w:line="360" w:lineRule="auto"/>
        <w:ind w:firstLine="48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18 争议</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18.1甲乙双方因合同发生争议，要求调解、仲裁、起诉的，采用以下一种方式解决：</w:t>
      </w:r>
    </w:p>
    <w:p>
      <w:pPr>
        <w:numPr>
          <w:ilvl w:val="0"/>
          <w:numId w:val="8"/>
        </w:num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甲乙双方协商</w:t>
      </w:r>
    </w:p>
    <w:p>
      <w:pPr>
        <w:numPr>
          <w:ilvl w:val="0"/>
          <w:numId w:val="8"/>
        </w:num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向有管辖权的经济合同仲裁机关申请仲裁；</w:t>
      </w:r>
    </w:p>
    <w:p>
      <w:pPr>
        <w:numPr>
          <w:ilvl w:val="0"/>
          <w:numId w:val="8"/>
        </w:num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向有管辖权的人民法院起诉。</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18.2发生争议后，除出现以下情况的，双方都应继续履行合同，保持养护连续性：</w:t>
      </w:r>
    </w:p>
    <w:p>
      <w:pPr>
        <w:numPr>
          <w:ilvl w:val="0"/>
          <w:numId w:val="9"/>
        </w:num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合同确已无法履行；</w:t>
      </w:r>
    </w:p>
    <w:p>
      <w:pPr>
        <w:numPr>
          <w:ilvl w:val="0"/>
          <w:numId w:val="9"/>
        </w:num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双方协议停止养护作业；</w:t>
      </w:r>
    </w:p>
    <w:p>
      <w:pPr>
        <w:numPr>
          <w:ilvl w:val="0"/>
          <w:numId w:val="9"/>
        </w:num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仲裁机关要求停止养护作业；</w:t>
      </w:r>
    </w:p>
    <w:p>
      <w:pPr>
        <w:numPr>
          <w:ilvl w:val="0"/>
          <w:numId w:val="9"/>
        </w:num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法院要求停止养护作业。</w:t>
      </w:r>
    </w:p>
    <w:p>
      <w:pPr>
        <w:spacing w:line="360" w:lineRule="auto"/>
        <w:ind w:left="48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十、合同中止</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19.1承包范围内的养护管理项目，乙方不得采取任何形式实施分包和转包，凡违反此规定的，甲方将立即取消乙方的承包资格，中止养护承包合同的履行，由此产生的一切法律责任和经济损失由乙方承担；</w:t>
      </w:r>
    </w:p>
    <w:p>
      <w:pPr>
        <w:spacing w:line="360" w:lineRule="auto"/>
        <w:ind w:firstLine="480"/>
        <w:rPr>
          <w:rFonts w:hint="eastAsia" w:ascii="宋体" w:hAnsi="宋体" w:eastAsia="宋体" w:cs="宋体"/>
          <w:b/>
          <w:color w:val="auto"/>
          <w:szCs w:val="21"/>
          <w:highlight w:val="none"/>
        </w:rPr>
      </w:pPr>
      <w:r>
        <w:rPr>
          <w:rFonts w:hint="eastAsia" w:ascii="宋体" w:hAnsi="宋体" w:eastAsia="宋体" w:cs="宋体"/>
          <w:color w:val="auto"/>
          <w:szCs w:val="21"/>
          <w:highlight w:val="none"/>
        </w:rPr>
        <w:t>19.2</w:t>
      </w:r>
      <w:r>
        <w:rPr>
          <w:rFonts w:hint="eastAsia" w:ascii="宋体" w:hAnsi="宋体" w:eastAsia="宋体" w:cs="宋体"/>
          <w:b/>
          <w:color w:val="auto"/>
          <w:szCs w:val="21"/>
          <w:highlight w:val="none"/>
        </w:rPr>
        <w:t>养护期为</w:t>
      </w:r>
      <w:r>
        <w:rPr>
          <w:rFonts w:hint="eastAsia" w:ascii="宋体" w:hAnsi="宋体" w:eastAsia="宋体" w:cs="宋体"/>
          <w:b/>
          <w:color w:val="auto"/>
          <w:szCs w:val="21"/>
          <w:highlight w:val="none"/>
          <w:lang w:val="en-US" w:eastAsia="zh-CN"/>
        </w:rPr>
        <w:t>1</w:t>
      </w:r>
      <w:r>
        <w:rPr>
          <w:rFonts w:hint="eastAsia" w:ascii="宋体" w:hAnsi="宋体" w:eastAsia="宋体" w:cs="宋体"/>
          <w:b/>
          <w:color w:val="auto"/>
          <w:szCs w:val="21"/>
          <w:highlight w:val="none"/>
        </w:rPr>
        <w:t>年。</w:t>
      </w:r>
    </w:p>
    <w:p>
      <w:pPr>
        <w:spacing w:line="360" w:lineRule="auto"/>
        <w:ind w:firstLine="48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十一、其他</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20.1在本合同执行过程中如遇和国家政策、地方法规的有关规定不符时，按有关政策法规执行。</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20.2如遇自然灾害和不可抗力造成损失的，经双方协商解决。</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20.3本合同如有未尽事宜，双方可通过协商补充协议解决。</w:t>
      </w:r>
    </w:p>
    <w:p>
      <w:pPr>
        <w:spacing w:line="360" w:lineRule="auto"/>
        <w:ind w:firstLine="48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十二、合同生效与终止</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21.1双方在合同协议书中约定合同生效方式。</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21.2双方履行合同全部义务，合同付款支付完毕后，本合同即告终止。</w:t>
      </w:r>
    </w:p>
    <w:p>
      <w:pPr>
        <w:spacing w:line="360" w:lineRule="auto"/>
        <w:ind w:firstLine="48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十三、合同份数</w:t>
      </w:r>
    </w:p>
    <w:p>
      <w:pP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22.1本合同正本二份，具有同等效力。由甲方、乙方分别保存一份。</w:t>
      </w:r>
    </w:p>
    <w:p>
      <w:pPr>
        <w:ind w:firstLine="420" w:firstLineChars="200"/>
        <w:rPr>
          <w:rFonts w:hint="eastAsia" w:ascii="宋体" w:hAnsi="宋体" w:eastAsia="宋体" w:cs="宋体"/>
          <w:color w:val="auto"/>
          <w:highlight w:val="none"/>
        </w:rPr>
      </w:pPr>
      <w:r>
        <w:rPr>
          <w:rFonts w:hint="eastAsia" w:ascii="宋体" w:hAnsi="宋体" w:eastAsia="宋体" w:cs="宋体"/>
          <w:color w:val="auto"/>
          <w:szCs w:val="21"/>
          <w:highlight w:val="none"/>
        </w:rPr>
        <w:t>22.2本合同副本六份，由甲乙双方分别保存三份。</w:t>
      </w:r>
    </w:p>
    <w:p>
      <w:pPr>
        <w:pStyle w:val="29"/>
        <w:adjustRightInd w:val="0"/>
        <w:spacing w:before="120" w:after="120" w:line="360" w:lineRule="auto"/>
        <w:rPr>
          <w:rFonts w:asciiTheme="minorEastAsia" w:hAnsiTheme="minorEastAsia" w:eastAsiaTheme="minorEastAsia"/>
          <w:bCs/>
          <w:color w:val="auto"/>
          <w:sz w:val="21"/>
          <w:szCs w:val="21"/>
          <w:highlight w:val="none"/>
        </w:rPr>
      </w:pPr>
    </w:p>
    <w:p>
      <w:pPr>
        <w:pStyle w:val="29"/>
        <w:adjustRightInd w:val="0"/>
        <w:spacing w:before="120" w:after="120" w:line="360" w:lineRule="auto"/>
        <w:rPr>
          <w:rFonts w:asciiTheme="minorEastAsia" w:hAnsiTheme="minorEastAsia" w:eastAsiaTheme="minorEastAsia"/>
          <w:bCs/>
          <w:color w:val="auto"/>
          <w:sz w:val="21"/>
          <w:szCs w:val="21"/>
          <w:highlight w:val="none"/>
        </w:rPr>
        <w:sectPr>
          <w:pgSz w:w="11906" w:h="16838"/>
          <w:pgMar w:top="1440" w:right="1289" w:bottom="1440" w:left="1797" w:header="851" w:footer="851" w:gutter="0"/>
          <w:pgBorders>
            <w:top w:val="none" w:sz="0" w:space="0"/>
            <w:left w:val="none" w:sz="0" w:space="0"/>
            <w:bottom w:val="none" w:sz="0" w:space="0"/>
            <w:right w:val="none" w:sz="0" w:space="0"/>
          </w:pgBorders>
          <w:pgNumType w:fmt="decimal"/>
          <w:cols w:space="720" w:num="1"/>
          <w:docGrid w:linePitch="312" w:charSpace="0"/>
        </w:sectPr>
      </w:pPr>
    </w:p>
    <w:p>
      <w:pPr>
        <w:pStyle w:val="29"/>
        <w:adjustRightInd w:val="0"/>
        <w:spacing w:before="120" w:after="120" w:line="360" w:lineRule="auto"/>
        <w:jc w:val="center"/>
        <w:rPr>
          <w:rFonts w:asciiTheme="minorEastAsia" w:hAnsiTheme="minorEastAsia" w:eastAsiaTheme="minorEastAsia"/>
          <w:bCs/>
          <w:color w:val="auto"/>
          <w:sz w:val="21"/>
          <w:szCs w:val="21"/>
          <w:highlight w:val="none"/>
        </w:rPr>
      </w:pPr>
      <w:r>
        <w:rPr>
          <w:rFonts w:hint="eastAsia" w:cs="宋体" w:asciiTheme="minorEastAsia" w:hAnsiTheme="minorEastAsia" w:eastAsiaTheme="minorEastAsia"/>
          <w:b/>
          <w:bCs/>
          <w:color w:val="auto"/>
          <w:kern w:val="0"/>
          <w:sz w:val="21"/>
          <w:szCs w:val="21"/>
          <w:highlight w:val="none"/>
        </w:rPr>
        <w:t>政 府 采 购 项 目 验 收 单</w:t>
      </w:r>
    </w:p>
    <w:p>
      <w:pPr>
        <w:widowControl/>
        <w:spacing w:line="360" w:lineRule="auto"/>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按照《政府采购委托汇总确认书》嘉兴市财政局临[2022]11707号，采购编号</w:t>
      </w:r>
      <w:r>
        <w:rPr>
          <w:rFonts w:hint="eastAsia" w:cs="宋体" w:asciiTheme="minorEastAsia" w:hAnsiTheme="minorEastAsia" w:eastAsiaTheme="minorEastAsia"/>
          <w:color w:val="auto"/>
          <w:kern w:val="0"/>
          <w:szCs w:val="21"/>
          <w:highlight w:val="none"/>
          <w:lang w:eastAsia="zh-CN"/>
        </w:rPr>
        <w:t>银建-JXYJ-L（2022）49号</w:t>
      </w:r>
      <w:r>
        <w:rPr>
          <w:rFonts w:hint="eastAsia" w:cs="宋体" w:asciiTheme="minorEastAsia" w:hAnsiTheme="minorEastAsia" w:eastAsiaTheme="minorEastAsia"/>
          <w:color w:val="auto"/>
          <w:kern w:val="0"/>
          <w:szCs w:val="21"/>
          <w:highlight w:val="none"/>
        </w:rPr>
        <w:t>,合同号：</w:t>
      </w:r>
      <w:r>
        <w:rPr>
          <w:rFonts w:hint="eastAsia" w:cs="宋体" w:asciiTheme="minorEastAsia" w:hAnsiTheme="minorEastAsia" w:eastAsiaTheme="minorEastAsia"/>
          <w:color w:val="auto"/>
          <w:kern w:val="0"/>
          <w:szCs w:val="21"/>
          <w:highlight w:val="none"/>
          <w:lang w:eastAsia="zh-CN"/>
        </w:rPr>
        <w:t>银建-JXYJ-L（2022）49号</w:t>
      </w:r>
      <w:r>
        <w:rPr>
          <w:rFonts w:hint="eastAsia" w:cs="宋体" w:asciiTheme="minorEastAsia" w:hAnsiTheme="minorEastAsia" w:eastAsiaTheme="minorEastAsia"/>
          <w:color w:val="auto"/>
          <w:kern w:val="0"/>
          <w:szCs w:val="21"/>
          <w:highlight w:val="none"/>
        </w:rPr>
        <w:t>以下项目已采购到位并验收合格。</w:t>
      </w:r>
    </w:p>
    <w:tbl>
      <w:tblPr>
        <w:tblStyle w:val="49"/>
        <w:tblW w:w="14080" w:type="dxa"/>
        <w:tblInd w:w="93" w:type="dxa"/>
        <w:tblLayout w:type="fixed"/>
        <w:tblCellMar>
          <w:top w:w="0" w:type="dxa"/>
          <w:left w:w="108" w:type="dxa"/>
          <w:bottom w:w="0" w:type="dxa"/>
          <w:right w:w="108" w:type="dxa"/>
        </w:tblCellMar>
      </w:tblPr>
      <w:tblGrid>
        <w:gridCol w:w="4620"/>
        <w:gridCol w:w="4840"/>
        <w:gridCol w:w="1280"/>
        <w:gridCol w:w="1600"/>
        <w:gridCol w:w="1740"/>
      </w:tblGrid>
      <w:tr>
        <w:tblPrEx>
          <w:tblCellMar>
            <w:top w:w="0" w:type="dxa"/>
            <w:left w:w="108" w:type="dxa"/>
            <w:bottom w:w="0" w:type="dxa"/>
            <w:right w:w="108" w:type="dxa"/>
          </w:tblCellMar>
        </w:tblPrEx>
        <w:trPr>
          <w:trHeight w:val="870" w:hRule="atLeast"/>
        </w:trPr>
        <w:tc>
          <w:tcPr>
            <w:tcW w:w="4620" w:type="dxa"/>
            <w:tcBorders>
              <w:top w:val="single" w:color="auto" w:sz="4" w:space="0"/>
              <w:left w:val="single" w:color="auto" w:sz="4" w:space="0"/>
              <w:bottom w:val="nil"/>
              <w:right w:val="single" w:color="auto" w:sz="4" w:space="0"/>
            </w:tcBorders>
            <w:vAlign w:val="center"/>
          </w:tcPr>
          <w:p>
            <w:pPr>
              <w:widowControl/>
              <w:spacing w:line="360" w:lineRule="auto"/>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采购货物（服务，工程）名称</w:t>
            </w:r>
          </w:p>
        </w:tc>
        <w:tc>
          <w:tcPr>
            <w:tcW w:w="4840" w:type="dxa"/>
            <w:tcBorders>
              <w:top w:val="single" w:color="auto" w:sz="4" w:space="0"/>
              <w:left w:val="nil"/>
              <w:bottom w:val="nil"/>
              <w:right w:val="single" w:color="auto" w:sz="4" w:space="0"/>
            </w:tcBorders>
            <w:vAlign w:val="center"/>
          </w:tcPr>
          <w:p>
            <w:pPr>
              <w:widowControl/>
              <w:spacing w:line="360" w:lineRule="auto"/>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规格、型号</w:t>
            </w:r>
          </w:p>
        </w:tc>
        <w:tc>
          <w:tcPr>
            <w:tcW w:w="1280" w:type="dxa"/>
            <w:tcBorders>
              <w:top w:val="single" w:color="auto" w:sz="4" w:space="0"/>
              <w:left w:val="nil"/>
              <w:bottom w:val="nil"/>
              <w:right w:val="single" w:color="auto" w:sz="4" w:space="0"/>
            </w:tcBorders>
            <w:vAlign w:val="center"/>
          </w:tcPr>
          <w:p>
            <w:pPr>
              <w:widowControl/>
              <w:spacing w:line="360" w:lineRule="auto"/>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数量</w:t>
            </w:r>
          </w:p>
        </w:tc>
        <w:tc>
          <w:tcPr>
            <w:tcW w:w="1600" w:type="dxa"/>
            <w:tcBorders>
              <w:top w:val="single" w:color="auto" w:sz="4" w:space="0"/>
              <w:left w:val="nil"/>
              <w:bottom w:val="nil"/>
              <w:right w:val="single" w:color="auto" w:sz="4" w:space="0"/>
            </w:tcBorders>
            <w:vAlign w:val="center"/>
          </w:tcPr>
          <w:p>
            <w:pPr>
              <w:widowControl/>
              <w:spacing w:line="360" w:lineRule="auto"/>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核定总价</w:t>
            </w:r>
          </w:p>
        </w:tc>
        <w:tc>
          <w:tcPr>
            <w:tcW w:w="1740" w:type="dxa"/>
            <w:tcBorders>
              <w:top w:val="single" w:color="auto" w:sz="4" w:space="0"/>
              <w:left w:val="nil"/>
              <w:bottom w:val="single" w:color="auto" w:sz="4" w:space="0"/>
              <w:right w:val="single" w:color="auto" w:sz="4" w:space="0"/>
            </w:tcBorders>
            <w:vAlign w:val="center"/>
          </w:tcPr>
          <w:p>
            <w:pPr>
              <w:widowControl/>
              <w:spacing w:line="360" w:lineRule="auto"/>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采购人</w:t>
            </w:r>
          </w:p>
          <w:p>
            <w:pPr>
              <w:widowControl/>
              <w:spacing w:line="360" w:lineRule="auto"/>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验收意见</w:t>
            </w:r>
          </w:p>
        </w:tc>
      </w:tr>
      <w:tr>
        <w:tblPrEx>
          <w:tblCellMar>
            <w:top w:w="0" w:type="dxa"/>
            <w:left w:w="108" w:type="dxa"/>
            <w:bottom w:w="0" w:type="dxa"/>
            <w:right w:w="108" w:type="dxa"/>
          </w:tblCellMar>
        </w:tblPrEx>
        <w:trPr>
          <w:trHeight w:val="746" w:hRule="atLeast"/>
        </w:trPr>
        <w:tc>
          <w:tcPr>
            <w:tcW w:w="4620"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　</w:t>
            </w:r>
          </w:p>
        </w:tc>
        <w:tc>
          <w:tcPr>
            <w:tcW w:w="4840" w:type="dxa"/>
            <w:tcBorders>
              <w:top w:val="single" w:color="auto" w:sz="4" w:space="0"/>
              <w:left w:val="nil"/>
              <w:bottom w:val="single" w:color="auto" w:sz="4" w:space="0"/>
              <w:right w:val="single" w:color="auto" w:sz="4" w:space="0"/>
            </w:tcBorders>
            <w:vAlign w:val="center"/>
          </w:tcPr>
          <w:p>
            <w:pPr>
              <w:widowControl/>
              <w:spacing w:line="360" w:lineRule="auto"/>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　</w:t>
            </w:r>
          </w:p>
        </w:tc>
        <w:tc>
          <w:tcPr>
            <w:tcW w:w="1280" w:type="dxa"/>
            <w:tcBorders>
              <w:top w:val="single" w:color="auto" w:sz="4" w:space="0"/>
              <w:left w:val="nil"/>
              <w:bottom w:val="single" w:color="auto" w:sz="4" w:space="0"/>
              <w:right w:val="single" w:color="auto" w:sz="4" w:space="0"/>
            </w:tcBorders>
            <w:vAlign w:val="center"/>
          </w:tcPr>
          <w:p>
            <w:pPr>
              <w:widowControl/>
              <w:spacing w:line="360" w:lineRule="auto"/>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　</w:t>
            </w:r>
          </w:p>
        </w:tc>
        <w:tc>
          <w:tcPr>
            <w:tcW w:w="1600" w:type="dxa"/>
            <w:tcBorders>
              <w:top w:val="single" w:color="auto" w:sz="4" w:space="0"/>
              <w:left w:val="nil"/>
              <w:bottom w:val="single" w:color="auto" w:sz="4" w:space="0"/>
              <w:right w:val="single" w:color="auto" w:sz="4" w:space="0"/>
            </w:tcBorders>
            <w:vAlign w:val="center"/>
          </w:tcPr>
          <w:p>
            <w:pPr>
              <w:widowControl/>
              <w:spacing w:line="360" w:lineRule="auto"/>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　</w:t>
            </w:r>
          </w:p>
        </w:tc>
        <w:tc>
          <w:tcPr>
            <w:tcW w:w="1740" w:type="dxa"/>
            <w:tcBorders>
              <w:top w:val="nil"/>
              <w:left w:val="nil"/>
              <w:bottom w:val="single" w:color="auto" w:sz="4" w:space="0"/>
              <w:right w:val="single" w:color="auto" w:sz="4" w:space="0"/>
            </w:tcBorders>
            <w:vAlign w:val="bottom"/>
          </w:tcPr>
          <w:p>
            <w:pPr>
              <w:widowControl/>
              <w:spacing w:line="360" w:lineRule="auto"/>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　</w:t>
            </w:r>
          </w:p>
        </w:tc>
      </w:tr>
      <w:tr>
        <w:tblPrEx>
          <w:tblCellMar>
            <w:top w:w="0" w:type="dxa"/>
            <w:left w:w="108" w:type="dxa"/>
            <w:bottom w:w="0" w:type="dxa"/>
            <w:right w:w="108" w:type="dxa"/>
          </w:tblCellMar>
        </w:tblPrEx>
        <w:trPr>
          <w:trHeight w:val="750" w:hRule="atLeast"/>
        </w:trPr>
        <w:tc>
          <w:tcPr>
            <w:tcW w:w="4620" w:type="dxa"/>
            <w:tcBorders>
              <w:top w:val="nil"/>
              <w:left w:val="single" w:color="auto" w:sz="4" w:space="0"/>
              <w:bottom w:val="single" w:color="auto" w:sz="4" w:space="0"/>
              <w:right w:val="single" w:color="auto" w:sz="4" w:space="0"/>
            </w:tcBorders>
            <w:vAlign w:val="center"/>
          </w:tcPr>
          <w:p>
            <w:pPr>
              <w:widowControl/>
              <w:spacing w:line="360" w:lineRule="auto"/>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合计总价款（人民币）</w:t>
            </w:r>
          </w:p>
        </w:tc>
        <w:tc>
          <w:tcPr>
            <w:tcW w:w="9460" w:type="dxa"/>
            <w:gridSpan w:val="4"/>
            <w:tcBorders>
              <w:top w:val="nil"/>
              <w:left w:val="nil"/>
              <w:bottom w:val="single" w:color="auto" w:sz="4" w:space="0"/>
              <w:right w:val="single" w:color="000000" w:sz="4" w:space="0"/>
            </w:tcBorders>
            <w:vAlign w:val="center"/>
          </w:tcPr>
          <w:p>
            <w:pPr>
              <w:widowControl/>
              <w:spacing w:line="360" w:lineRule="auto"/>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 xml:space="preserve">人民币元整。       ￥: </w:t>
            </w:r>
          </w:p>
        </w:tc>
      </w:tr>
      <w:tr>
        <w:tblPrEx>
          <w:tblCellMar>
            <w:top w:w="0" w:type="dxa"/>
            <w:left w:w="108" w:type="dxa"/>
            <w:bottom w:w="0" w:type="dxa"/>
            <w:right w:w="108" w:type="dxa"/>
          </w:tblCellMar>
        </w:tblPrEx>
        <w:trPr>
          <w:trHeight w:val="690" w:hRule="atLeast"/>
        </w:trPr>
        <w:tc>
          <w:tcPr>
            <w:tcW w:w="4620" w:type="dxa"/>
            <w:tcBorders>
              <w:top w:val="nil"/>
              <w:left w:val="single" w:color="auto" w:sz="4" w:space="0"/>
              <w:bottom w:val="nil"/>
              <w:right w:val="nil"/>
            </w:tcBorders>
            <w:vAlign w:val="bottom"/>
          </w:tcPr>
          <w:p>
            <w:pPr>
              <w:widowControl/>
              <w:spacing w:line="360" w:lineRule="auto"/>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 xml:space="preserve">供货单位（盖章）：                     </w:t>
            </w:r>
          </w:p>
        </w:tc>
        <w:tc>
          <w:tcPr>
            <w:tcW w:w="4840" w:type="dxa"/>
            <w:tcBorders>
              <w:top w:val="nil"/>
              <w:left w:val="nil"/>
              <w:bottom w:val="nil"/>
              <w:right w:val="nil"/>
            </w:tcBorders>
            <w:vAlign w:val="center"/>
          </w:tcPr>
          <w:p>
            <w:pPr>
              <w:widowControl/>
              <w:spacing w:line="360" w:lineRule="auto"/>
              <w:jc w:val="righ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采购人（盖章）:</w:t>
            </w:r>
          </w:p>
        </w:tc>
        <w:tc>
          <w:tcPr>
            <w:tcW w:w="2880" w:type="dxa"/>
            <w:gridSpan w:val="2"/>
            <w:tcBorders>
              <w:top w:val="nil"/>
              <w:left w:val="nil"/>
              <w:bottom w:val="nil"/>
              <w:right w:val="nil"/>
            </w:tcBorders>
            <w:vAlign w:val="bottom"/>
          </w:tcPr>
          <w:p>
            <w:pPr>
              <w:widowControl/>
              <w:spacing w:line="360" w:lineRule="auto"/>
              <w:jc w:val="left"/>
              <w:rPr>
                <w:rFonts w:cs="宋体" w:asciiTheme="minorEastAsia" w:hAnsiTheme="minorEastAsia" w:eastAsiaTheme="minorEastAsia"/>
                <w:color w:val="auto"/>
                <w:kern w:val="0"/>
                <w:szCs w:val="21"/>
                <w:highlight w:val="none"/>
              </w:rPr>
            </w:pPr>
          </w:p>
        </w:tc>
        <w:tc>
          <w:tcPr>
            <w:tcW w:w="1740" w:type="dxa"/>
            <w:tcBorders>
              <w:top w:val="nil"/>
              <w:left w:val="nil"/>
              <w:bottom w:val="nil"/>
              <w:right w:val="single" w:color="auto" w:sz="4" w:space="0"/>
            </w:tcBorders>
            <w:vAlign w:val="bottom"/>
          </w:tcPr>
          <w:p>
            <w:pPr>
              <w:widowControl/>
              <w:spacing w:line="360" w:lineRule="auto"/>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　</w:t>
            </w:r>
          </w:p>
        </w:tc>
      </w:tr>
      <w:tr>
        <w:tblPrEx>
          <w:tblCellMar>
            <w:top w:w="0" w:type="dxa"/>
            <w:left w:w="108" w:type="dxa"/>
            <w:bottom w:w="0" w:type="dxa"/>
            <w:right w:w="108" w:type="dxa"/>
          </w:tblCellMar>
        </w:tblPrEx>
        <w:trPr>
          <w:trHeight w:val="525" w:hRule="atLeast"/>
        </w:trPr>
        <w:tc>
          <w:tcPr>
            <w:tcW w:w="4620" w:type="dxa"/>
            <w:tcBorders>
              <w:top w:val="nil"/>
              <w:left w:val="single" w:color="auto" w:sz="4" w:space="0"/>
              <w:bottom w:val="nil"/>
              <w:right w:val="nil"/>
            </w:tcBorders>
            <w:vAlign w:val="bottom"/>
          </w:tcPr>
          <w:p>
            <w:pPr>
              <w:widowControl/>
              <w:spacing w:line="360" w:lineRule="auto"/>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经办项目负责人：</w:t>
            </w:r>
          </w:p>
        </w:tc>
        <w:tc>
          <w:tcPr>
            <w:tcW w:w="4840" w:type="dxa"/>
            <w:tcBorders>
              <w:top w:val="nil"/>
              <w:left w:val="nil"/>
              <w:bottom w:val="nil"/>
              <w:right w:val="nil"/>
            </w:tcBorders>
            <w:vAlign w:val="center"/>
          </w:tcPr>
          <w:p>
            <w:pPr>
              <w:widowControl/>
              <w:spacing w:line="360" w:lineRule="auto"/>
              <w:jc w:val="righ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项目验收组组长：</w:t>
            </w:r>
          </w:p>
        </w:tc>
        <w:tc>
          <w:tcPr>
            <w:tcW w:w="2880" w:type="dxa"/>
            <w:gridSpan w:val="2"/>
            <w:tcBorders>
              <w:top w:val="nil"/>
              <w:left w:val="nil"/>
              <w:bottom w:val="nil"/>
              <w:right w:val="nil"/>
            </w:tcBorders>
            <w:vAlign w:val="bottom"/>
          </w:tcPr>
          <w:p>
            <w:pPr>
              <w:widowControl/>
              <w:spacing w:line="360" w:lineRule="auto"/>
              <w:jc w:val="left"/>
              <w:rPr>
                <w:rFonts w:cs="宋体" w:asciiTheme="minorEastAsia" w:hAnsiTheme="minorEastAsia" w:eastAsiaTheme="minorEastAsia"/>
                <w:color w:val="auto"/>
                <w:kern w:val="0"/>
                <w:szCs w:val="21"/>
                <w:highlight w:val="none"/>
              </w:rPr>
            </w:pPr>
          </w:p>
        </w:tc>
        <w:tc>
          <w:tcPr>
            <w:tcW w:w="1740" w:type="dxa"/>
            <w:tcBorders>
              <w:top w:val="nil"/>
              <w:left w:val="nil"/>
              <w:bottom w:val="nil"/>
              <w:right w:val="single" w:color="auto" w:sz="4" w:space="0"/>
            </w:tcBorders>
            <w:vAlign w:val="bottom"/>
          </w:tcPr>
          <w:p>
            <w:pPr>
              <w:widowControl/>
              <w:spacing w:line="360" w:lineRule="auto"/>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　</w:t>
            </w:r>
          </w:p>
        </w:tc>
      </w:tr>
      <w:tr>
        <w:tblPrEx>
          <w:tblCellMar>
            <w:top w:w="0" w:type="dxa"/>
            <w:left w:w="108" w:type="dxa"/>
            <w:bottom w:w="0" w:type="dxa"/>
            <w:right w:w="108" w:type="dxa"/>
          </w:tblCellMar>
        </w:tblPrEx>
        <w:trPr>
          <w:trHeight w:val="525" w:hRule="atLeast"/>
        </w:trPr>
        <w:tc>
          <w:tcPr>
            <w:tcW w:w="4620" w:type="dxa"/>
            <w:tcBorders>
              <w:top w:val="nil"/>
              <w:left w:val="single" w:color="auto" w:sz="4" w:space="0"/>
              <w:bottom w:val="nil"/>
              <w:right w:val="nil"/>
            </w:tcBorders>
            <w:vAlign w:val="bottom"/>
          </w:tcPr>
          <w:p>
            <w:pPr>
              <w:widowControl/>
              <w:spacing w:line="360" w:lineRule="auto"/>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联系电话：</w:t>
            </w:r>
          </w:p>
        </w:tc>
        <w:tc>
          <w:tcPr>
            <w:tcW w:w="4840" w:type="dxa"/>
            <w:tcBorders>
              <w:top w:val="nil"/>
              <w:left w:val="nil"/>
              <w:bottom w:val="nil"/>
              <w:right w:val="nil"/>
            </w:tcBorders>
            <w:vAlign w:val="center"/>
          </w:tcPr>
          <w:p>
            <w:pPr>
              <w:widowControl/>
              <w:spacing w:line="360" w:lineRule="auto"/>
              <w:jc w:val="righ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联系电话：</w:t>
            </w:r>
          </w:p>
        </w:tc>
        <w:tc>
          <w:tcPr>
            <w:tcW w:w="1280" w:type="dxa"/>
            <w:tcBorders>
              <w:top w:val="nil"/>
              <w:left w:val="nil"/>
              <w:bottom w:val="nil"/>
              <w:right w:val="nil"/>
            </w:tcBorders>
            <w:vAlign w:val="bottom"/>
          </w:tcPr>
          <w:p>
            <w:pPr>
              <w:widowControl/>
              <w:spacing w:line="360" w:lineRule="auto"/>
              <w:jc w:val="left"/>
              <w:rPr>
                <w:rFonts w:cs="宋体" w:asciiTheme="minorEastAsia" w:hAnsiTheme="minorEastAsia" w:eastAsiaTheme="minorEastAsia"/>
                <w:color w:val="auto"/>
                <w:kern w:val="0"/>
                <w:szCs w:val="21"/>
                <w:highlight w:val="none"/>
              </w:rPr>
            </w:pPr>
          </w:p>
        </w:tc>
        <w:tc>
          <w:tcPr>
            <w:tcW w:w="1600" w:type="dxa"/>
            <w:tcBorders>
              <w:top w:val="nil"/>
              <w:left w:val="nil"/>
              <w:bottom w:val="nil"/>
              <w:right w:val="nil"/>
            </w:tcBorders>
            <w:vAlign w:val="bottom"/>
          </w:tcPr>
          <w:p>
            <w:pPr>
              <w:widowControl/>
              <w:spacing w:line="360" w:lineRule="auto"/>
              <w:jc w:val="left"/>
              <w:rPr>
                <w:rFonts w:cs="宋体" w:asciiTheme="minorEastAsia" w:hAnsiTheme="minorEastAsia" w:eastAsiaTheme="minorEastAsia"/>
                <w:color w:val="auto"/>
                <w:kern w:val="0"/>
                <w:szCs w:val="21"/>
                <w:highlight w:val="none"/>
              </w:rPr>
            </w:pPr>
          </w:p>
        </w:tc>
        <w:tc>
          <w:tcPr>
            <w:tcW w:w="1740" w:type="dxa"/>
            <w:tcBorders>
              <w:top w:val="nil"/>
              <w:left w:val="nil"/>
              <w:bottom w:val="nil"/>
              <w:right w:val="single" w:color="auto" w:sz="4" w:space="0"/>
            </w:tcBorders>
            <w:vAlign w:val="bottom"/>
          </w:tcPr>
          <w:p>
            <w:pPr>
              <w:widowControl/>
              <w:spacing w:line="360" w:lineRule="auto"/>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　</w:t>
            </w:r>
          </w:p>
        </w:tc>
      </w:tr>
      <w:tr>
        <w:tblPrEx>
          <w:tblCellMar>
            <w:top w:w="0" w:type="dxa"/>
            <w:left w:w="108" w:type="dxa"/>
            <w:bottom w:w="0" w:type="dxa"/>
            <w:right w:w="108" w:type="dxa"/>
          </w:tblCellMar>
        </w:tblPrEx>
        <w:trPr>
          <w:trHeight w:val="540" w:hRule="atLeast"/>
        </w:trPr>
        <w:tc>
          <w:tcPr>
            <w:tcW w:w="4620" w:type="dxa"/>
            <w:tcBorders>
              <w:top w:val="nil"/>
              <w:left w:val="single" w:color="auto" w:sz="4" w:space="0"/>
              <w:bottom w:val="nil"/>
              <w:right w:val="nil"/>
            </w:tcBorders>
            <w:vAlign w:val="bottom"/>
          </w:tcPr>
          <w:p>
            <w:pPr>
              <w:widowControl/>
              <w:spacing w:line="360" w:lineRule="auto"/>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开户银行：</w:t>
            </w:r>
          </w:p>
        </w:tc>
        <w:tc>
          <w:tcPr>
            <w:tcW w:w="4840" w:type="dxa"/>
            <w:tcBorders>
              <w:top w:val="nil"/>
              <w:left w:val="nil"/>
              <w:bottom w:val="nil"/>
              <w:right w:val="nil"/>
            </w:tcBorders>
            <w:vAlign w:val="center"/>
          </w:tcPr>
          <w:p>
            <w:pPr>
              <w:widowControl/>
              <w:spacing w:line="360" w:lineRule="auto"/>
              <w:jc w:val="righ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项目验收组成员（签名）：</w:t>
            </w:r>
          </w:p>
        </w:tc>
        <w:tc>
          <w:tcPr>
            <w:tcW w:w="1280" w:type="dxa"/>
            <w:tcBorders>
              <w:top w:val="nil"/>
              <w:left w:val="nil"/>
              <w:bottom w:val="nil"/>
              <w:right w:val="nil"/>
            </w:tcBorders>
            <w:vAlign w:val="bottom"/>
          </w:tcPr>
          <w:p>
            <w:pPr>
              <w:widowControl/>
              <w:spacing w:line="360" w:lineRule="auto"/>
              <w:jc w:val="left"/>
              <w:rPr>
                <w:rFonts w:cs="宋体" w:asciiTheme="minorEastAsia" w:hAnsiTheme="minorEastAsia" w:eastAsiaTheme="minorEastAsia"/>
                <w:color w:val="auto"/>
                <w:kern w:val="0"/>
                <w:szCs w:val="21"/>
                <w:highlight w:val="none"/>
              </w:rPr>
            </w:pPr>
          </w:p>
        </w:tc>
        <w:tc>
          <w:tcPr>
            <w:tcW w:w="1600" w:type="dxa"/>
            <w:tcBorders>
              <w:top w:val="nil"/>
              <w:left w:val="nil"/>
              <w:bottom w:val="nil"/>
              <w:right w:val="nil"/>
            </w:tcBorders>
            <w:vAlign w:val="bottom"/>
          </w:tcPr>
          <w:p>
            <w:pPr>
              <w:widowControl/>
              <w:spacing w:line="360" w:lineRule="auto"/>
              <w:jc w:val="left"/>
              <w:rPr>
                <w:rFonts w:cs="宋体" w:asciiTheme="minorEastAsia" w:hAnsiTheme="minorEastAsia" w:eastAsiaTheme="minorEastAsia"/>
                <w:color w:val="auto"/>
                <w:kern w:val="0"/>
                <w:szCs w:val="21"/>
                <w:highlight w:val="none"/>
              </w:rPr>
            </w:pPr>
          </w:p>
        </w:tc>
        <w:tc>
          <w:tcPr>
            <w:tcW w:w="1740" w:type="dxa"/>
            <w:tcBorders>
              <w:top w:val="nil"/>
              <w:left w:val="nil"/>
              <w:bottom w:val="nil"/>
              <w:right w:val="single" w:color="auto" w:sz="4" w:space="0"/>
            </w:tcBorders>
            <w:vAlign w:val="bottom"/>
          </w:tcPr>
          <w:p>
            <w:pPr>
              <w:widowControl/>
              <w:spacing w:line="360" w:lineRule="auto"/>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　</w:t>
            </w:r>
          </w:p>
        </w:tc>
      </w:tr>
      <w:tr>
        <w:tblPrEx>
          <w:tblCellMar>
            <w:top w:w="0" w:type="dxa"/>
            <w:left w:w="108" w:type="dxa"/>
            <w:bottom w:w="0" w:type="dxa"/>
            <w:right w:w="108" w:type="dxa"/>
          </w:tblCellMar>
        </w:tblPrEx>
        <w:trPr>
          <w:trHeight w:val="675" w:hRule="atLeast"/>
        </w:trPr>
        <w:tc>
          <w:tcPr>
            <w:tcW w:w="4620" w:type="dxa"/>
            <w:tcBorders>
              <w:top w:val="nil"/>
              <w:left w:val="single" w:color="auto" w:sz="4" w:space="0"/>
              <w:bottom w:val="single" w:color="auto" w:sz="4" w:space="0"/>
              <w:right w:val="nil"/>
            </w:tcBorders>
            <w:vAlign w:val="center"/>
          </w:tcPr>
          <w:p>
            <w:pPr>
              <w:widowControl/>
              <w:spacing w:line="360" w:lineRule="auto"/>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银行帐号：</w:t>
            </w:r>
          </w:p>
        </w:tc>
        <w:tc>
          <w:tcPr>
            <w:tcW w:w="4840" w:type="dxa"/>
            <w:tcBorders>
              <w:top w:val="nil"/>
              <w:left w:val="nil"/>
              <w:bottom w:val="single" w:color="auto" w:sz="4" w:space="0"/>
              <w:right w:val="nil"/>
            </w:tcBorders>
            <w:vAlign w:val="bottom"/>
          </w:tcPr>
          <w:p>
            <w:pPr>
              <w:widowControl/>
              <w:spacing w:line="360" w:lineRule="auto"/>
              <w:jc w:val="left"/>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　</w:t>
            </w:r>
          </w:p>
        </w:tc>
        <w:tc>
          <w:tcPr>
            <w:tcW w:w="4620" w:type="dxa"/>
            <w:gridSpan w:val="3"/>
            <w:tcBorders>
              <w:top w:val="nil"/>
              <w:left w:val="nil"/>
              <w:bottom w:val="single" w:color="auto" w:sz="4" w:space="0"/>
              <w:right w:val="single" w:color="000000" w:sz="4" w:space="0"/>
            </w:tcBorders>
            <w:vAlign w:val="center"/>
          </w:tcPr>
          <w:p>
            <w:pPr>
              <w:widowControl/>
              <w:spacing w:line="360" w:lineRule="auto"/>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验收时间：       年     月     日</w:t>
            </w:r>
          </w:p>
        </w:tc>
      </w:tr>
      <w:tr>
        <w:tblPrEx>
          <w:tblCellMar>
            <w:top w:w="0" w:type="dxa"/>
            <w:left w:w="108" w:type="dxa"/>
            <w:bottom w:w="0" w:type="dxa"/>
            <w:right w:w="108" w:type="dxa"/>
          </w:tblCellMar>
        </w:tblPrEx>
        <w:trPr>
          <w:trHeight w:val="345" w:hRule="atLeast"/>
        </w:trPr>
        <w:tc>
          <w:tcPr>
            <w:tcW w:w="14080" w:type="dxa"/>
            <w:gridSpan w:val="5"/>
            <w:tcBorders>
              <w:top w:val="single" w:color="auto" w:sz="4" w:space="0"/>
              <w:left w:val="nil"/>
              <w:bottom w:val="nil"/>
              <w:right w:val="nil"/>
            </w:tcBorders>
            <w:vAlign w:val="center"/>
          </w:tcPr>
          <w:p>
            <w:pPr>
              <w:widowControl/>
              <w:spacing w:line="360" w:lineRule="auto"/>
              <w:jc w:val="center"/>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本单一式四联：第一联采购人留存，第二联作为财政支付凭证，第三联供货单位留存，第四联采购办存档备查。</w:t>
            </w:r>
          </w:p>
        </w:tc>
      </w:tr>
    </w:tbl>
    <w:p>
      <w:pPr>
        <w:pStyle w:val="29"/>
        <w:adjustRightInd w:val="0"/>
        <w:spacing w:before="120" w:after="120" w:line="360" w:lineRule="auto"/>
        <w:rPr>
          <w:rFonts w:asciiTheme="minorEastAsia" w:hAnsiTheme="minorEastAsia" w:eastAsiaTheme="minorEastAsia"/>
          <w:bCs/>
          <w:color w:val="auto"/>
          <w:sz w:val="21"/>
          <w:szCs w:val="21"/>
          <w:highlight w:val="none"/>
        </w:rPr>
        <w:sectPr>
          <w:pgSz w:w="16838" w:h="11906" w:orient="landscape"/>
          <w:pgMar w:top="1797" w:right="1440" w:bottom="1797" w:left="1440" w:header="851" w:footer="851" w:gutter="0"/>
          <w:pgBorders>
            <w:top w:val="none" w:sz="0" w:space="0"/>
            <w:left w:val="none" w:sz="0" w:space="0"/>
            <w:bottom w:val="none" w:sz="0" w:space="0"/>
            <w:right w:val="none" w:sz="0" w:space="0"/>
          </w:pgBorders>
          <w:pgNumType w:fmt="decimal"/>
          <w:cols w:space="720" w:num="1"/>
          <w:docGrid w:linePitch="312" w:charSpace="0"/>
        </w:sectPr>
      </w:pPr>
    </w:p>
    <w:p>
      <w:pPr>
        <w:snapToGrid w:val="0"/>
        <w:spacing w:beforeLines="50" w:afterLines="50" w:line="360" w:lineRule="auto"/>
        <w:ind w:left="238"/>
        <w:jc w:val="center"/>
        <w:outlineLvl w:val="0"/>
        <w:rPr>
          <w:rFonts w:asciiTheme="minorEastAsia" w:hAnsiTheme="minorEastAsia" w:eastAsiaTheme="minorEastAsia"/>
          <w:b/>
          <w:color w:val="auto"/>
          <w:sz w:val="30"/>
          <w:szCs w:val="30"/>
          <w:highlight w:val="none"/>
        </w:rPr>
      </w:pPr>
      <w:bookmarkStart w:id="112" w:name="_Toc530"/>
      <w:r>
        <w:rPr>
          <w:rFonts w:hint="eastAsia" w:asciiTheme="minorEastAsia" w:hAnsiTheme="minorEastAsia" w:eastAsiaTheme="minorEastAsia"/>
          <w:b/>
          <w:color w:val="auto"/>
          <w:sz w:val="30"/>
          <w:szCs w:val="30"/>
          <w:highlight w:val="none"/>
        </w:rPr>
        <w:t>第六章  投标文件格式</w:t>
      </w:r>
      <w:bookmarkEnd w:id="112"/>
    </w:p>
    <w:p>
      <w:pPr>
        <w:snapToGrid w:val="0"/>
        <w:spacing w:line="360" w:lineRule="auto"/>
        <w:jc w:val="center"/>
        <w:outlineLvl w:val="9"/>
        <w:rPr>
          <w:rFonts w:asciiTheme="minorEastAsia" w:hAnsiTheme="minorEastAsia" w:eastAsiaTheme="minorEastAsia"/>
          <w:b/>
          <w:bCs/>
          <w:color w:val="auto"/>
          <w:szCs w:val="21"/>
          <w:highlight w:val="none"/>
        </w:rPr>
      </w:pPr>
    </w:p>
    <w:p>
      <w:pPr>
        <w:snapToGrid w:val="0"/>
        <w:spacing w:line="360" w:lineRule="auto"/>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1.投标文件封面格式：</w:t>
      </w:r>
    </w:p>
    <w:p>
      <w:pPr>
        <w:snapToGrid w:val="0"/>
        <w:spacing w:line="360" w:lineRule="auto"/>
        <w:rPr>
          <w:rFonts w:asciiTheme="minorEastAsia" w:hAnsiTheme="minorEastAsia" w:eastAsiaTheme="minorEastAsia"/>
          <w:b/>
          <w:bCs/>
          <w:color w:val="auto"/>
          <w:szCs w:val="21"/>
          <w:highlight w:val="none"/>
        </w:rPr>
      </w:pPr>
    </w:p>
    <w:p>
      <w:pPr>
        <w:snapToGrid w:val="0"/>
        <w:spacing w:line="360" w:lineRule="auto"/>
        <w:jc w:val="center"/>
        <w:rPr>
          <w:rFonts w:asciiTheme="minorEastAsia" w:hAnsiTheme="minorEastAsia" w:eastAsiaTheme="minorEastAsia"/>
          <w:b/>
          <w:bCs/>
          <w:color w:val="auto"/>
          <w:szCs w:val="21"/>
          <w:highlight w:val="none"/>
        </w:rPr>
      </w:pPr>
      <w:r>
        <w:rPr>
          <w:rFonts w:hint="eastAsia" w:asciiTheme="minorEastAsia" w:hAnsiTheme="minorEastAsia" w:eastAsiaTheme="minorEastAsia"/>
          <w:b/>
          <w:bCs/>
          <w:color w:val="auto"/>
          <w:szCs w:val="21"/>
          <w:highlight w:val="none"/>
        </w:rPr>
        <w:t>资信技术文件</w:t>
      </w:r>
    </w:p>
    <w:p>
      <w:pPr>
        <w:snapToGrid w:val="0"/>
        <w:spacing w:line="360" w:lineRule="auto"/>
        <w:ind w:firstLine="934" w:firstLineChars="445"/>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项目名称：</w:t>
      </w:r>
    </w:p>
    <w:p>
      <w:pPr>
        <w:snapToGrid w:val="0"/>
        <w:spacing w:line="360" w:lineRule="auto"/>
        <w:ind w:firstLine="934" w:firstLineChars="445"/>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项目编号：</w:t>
      </w:r>
    </w:p>
    <w:p>
      <w:pPr>
        <w:pStyle w:val="18"/>
        <w:snapToGrid w:val="0"/>
        <w:spacing w:line="360" w:lineRule="auto"/>
        <w:ind w:firstLine="978" w:firstLineChars="466"/>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投标人名称（盖章）：</w:t>
      </w:r>
    </w:p>
    <w:p>
      <w:pPr>
        <w:pStyle w:val="18"/>
        <w:snapToGrid w:val="0"/>
        <w:spacing w:line="360" w:lineRule="auto"/>
        <w:ind w:firstLine="978" w:firstLineChars="466"/>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投标人地址：</w:t>
      </w:r>
    </w:p>
    <w:p>
      <w:pPr>
        <w:snapToGrid w:val="0"/>
        <w:spacing w:line="360" w:lineRule="auto"/>
        <w:ind w:firstLine="645"/>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年月日</w:t>
      </w:r>
    </w:p>
    <w:p>
      <w:pPr>
        <w:snapToGrid w:val="0"/>
        <w:spacing w:line="360" w:lineRule="auto"/>
        <w:rPr>
          <w:rFonts w:asciiTheme="minorEastAsia" w:hAnsiTheme="minorEastAsia" w:eastAsiaTheme="minorEastAsia"/>
          <w:b/>
          <w:color w:val="auto"/>
          <w:szCs w:val="21"/>
          <w:highlight w:val="none"/>
        </w:rPr>
      </w:pPr>
    </w:p>
    <w:p>
      <w:pPr>
        <w:snapToGrid w:val="0"/>
        <w:spacing w:line="360" w:lineRule="auto"/>
        <w:rPr>
          <w:rFonts w:asciiTheme="minorEastAsia" w:hAnsiTheme="minorEastAsia" w:eastAsiaTheme="minorEastAsia"/>
          <w:b/>
          <w:color w:val="auto"/>
          <w:szCs w:val="21"/>
          <w:highlight w:val="none"/>
        </w:rPr>
      </w:pPr>
    </w:p>
    <w:p>
      <w:pPr>
        <w:snapToGrid w:val="0"/>
        <w:spacing w:line="360" w:lineRule="auto"/>
        <w:rPr>
          <w:rFonts w:asciiTheme="minorEastAsia" w:hAnsiTheme="minorEastAsia" w:eastAsiaTheme="minorEastAsia"/>
          <w:b/>
          <w:color w:val="auto"/>
          <w:szCs w:val="21"/>
          <w:highlight w:val="none"/>
        </w:rPr>
      </w:pPr>
    </w:p>
    <w:p>
      <w:pPr>
        <w:snapToGrid w:val="0"/>
        <w:spacing w:line="360" w:lineRule="auto"/>
        <w:jc w:val="center"/>
        <w:rPr>
          <w:rFonts w:asciiTheme="minorEastAsia" w:hAnsiTheme="minorEastAsia" w:eastAsiaTheme="minorEastAsia"/>
          <w:b/>
          <w:bCs/>
          <w:color w:val="auto"/>
          <w:szCs w:val="21"/>
          <w:highlight w:val="none"/>
        </w:rPr>
      </w:pPr>
      <w:r>
        <w:rPr>
          <w:rFonts w:hint="eastAsia" w:asciiTheme="minorEastAsia" w:hAnsiTheme="minorEastAsia" w:eastAsiaTheme="minorEastAsia"/>
          <w:b/>
          <w:bCs/>
          <w:color w:val="auto"/>
          <w:szCs w:val="21"/>
          <w:highlight w:val="none"/>
        </w:rPr>
        <w:t>商务报价文件</w:t>
      </w:r>
    </w:p>
    <w:p>
      <w:pPr>
        <w:snapToGrid w:val="0"/>
        <w:spacing w:line="360" w:lineRule="auto"/>
        <w:rPr>
          <w:rFonts w:asciiTheme="minorEastAsia" w:hAnsiTheme="minorEastAsia" w:eastAsiaTheme="minorEastAsia"/>
          <w:bCs/>
          <w:color w:val="auto"/>
          <w:szCs w:val="21"/>
          <w:highlight w:val="none"/>
        </w:rPr>
      </w:pPr>
    </w:p>
    <w:p>
      <w:pPr>
        <w:snapToGrid w:val="0"/>
        <w:spacing w:line="360" w:lineRule="auto"/>
        <w:ind w:firstLine="934" w:firstLineChars="445"/>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项目名称：</w:t>
      </w:r>
    </w:p>
    <w:p>
      <w:pPr>
        <w:snapToGrid w:val="0"/>
        <w:spacing w:line="360" w:lineRule="auto"/>
        <w:ind w:firstLine="1050" w:firstLineChars="500"/>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项目编号：</w:t>
      </w:r>
    </w:p>
    <w:p>
      <w:pPr>
        <w:pStyle w:val="18"/>
        <w:snapToGrid w:val="0"/>
        <w:spacing w:line="360" w:lineRule="auto"/>
        <w:ind w:firstLine="978" w:firstLineChars="466"/>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投标人名称（盖章）：</w:t>
      </w:r>
    </w:p>
    <w:p>
      <w:pPr>
        <w:pStyle w:val="18"/>
        <w:snapToGrid w:val="0"/>
        <w:spacing w:line="360" w:lineRule="auto"/>
        <w:ind w:firstLine="978" w:firstLineChars="466"/>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投标人地址：</w:t>
      </w:r>
    </w:p>
    <w:p>
      <w:pPr>
        <w:snapToGrid w:val="0"/>
        <w:spacing w:line="360" w:lineRule="auto"/>
        <w:ind w:firstLine="645"/>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年月日</w:t>
      </w:r>
    </w:p>
    <w:p>
      <w:pPr>
        <w:spacing w:line="360" w:lineRule="auto"/>
        <w:rPr>
          <w:rFonts w:asciiTheme="minorEastAsia" w:hAnsiTheme="minorEastAsia" w:eastAsiaTheme="minorEastAsia"/>
          <w:color w:val="auto"/>
          <w:szCs w:val="21"/>
          <w:highlight w:val="none"/>
        </w:rPr>
      </w:pPr>
    </w:p>
    <w:p>
      <w:pPr>
        <w:snapToGrid w:val="0"/>
        <w:spacing w:line="360" w:lineRule="auto"/>
        <w:jc w:val="left"/>
        <w:rPr>
          <w:rFonts w:asciiTheme="minorEastAsia" w:hAnsiTheme="minorEastAsia" w:eastAsiaTheme="minorEastAsia"/>
          <w:b/>
          <w:color w:val="auto"/>
          <w:szCs w:val="21"/>
          <w:highlight w:val="none"/>
        </w:rPr>
      </w:pPr>
    </w:p>
    <w:p>
      <w:pPr>
        <w:snapToGrid w:val="0"/>
        <w:spacing w:line="360" w:lineRule="auto"/>
        <w:jc w:val="left"/>
        <w:rPr>
          <w:rFonts w:asciiTheme="minorEastAsia" w:hAnsiTheme="minorEastAsia" w:eastAsiaTheme="minorEastAsia"/>
          <w:b/>
          <w:color w:val="auto"/>
          <w:szCs w:val="21"/>
          <w:highlight w:val="none"/>
        </w:rPr>
      </w:pPr>
    </w:p>
    <w:p>
      <w:pPr>
        <w:snapToGrid w:val="0"/>
        <w:spacing w:line="360" w:lineRule="auto"/>
        <w:jc w:val="left"/>
        <w:rPr>
          <w:rFonts w:asciiTheme="minorEastAsia" w:hAnsiTheme="minorEastAsia" w:eastAsiaTheme="minorEastAsia"/>
          <w:b/>
          <w:color w:val="auto"/>
          <w:szCs w:val="21"/>
          <w:highlight w:val="none"/>
        </w:rPr>
      </w:pPr>
    </w:p>
    <w:p>
      <w:pPr>
        <w:snapToGrid w:val="0"/>
        <w:spacing w:line="360" w:lineRule="auto"/>
        <w:jc w:val="left"/>
        <w:rPr>
          <w:rFonts w:asciiTheme="minorEastAsia" w:hAnsiTheme="minorEastAsia" w:eastAsiaTheme="minorEastAsia"/>
          <w:b/>
          <w:color w:val="auto"/>
          <w:szCs w:val="21"/>
          <w:highlight w:val="none"/>
        </w:rPr>
      </w:pPr>
    </w:p>
    <w:p>
      <w:pPr>
        <w:snapToGrid w:val="0"/>
        <w:spacing w:line="360" w:lineRule="auto"/>
        <w:jc w:val="left"/>
        <w:rPr>
          <w:rFonts w:asciiTheme="minorEastAsia" w:hAnsiTheme="minorEastAsia" w:eastAsiaTheme="minorEastAsia"/>
          <w:b/>
          <w:color w:val="auto"/>
          <w:szCs w:val="21"/>
          <w:highlight w:val="none"/>
        </w:rPr>
      </w:pPr>
    </w:p>
    <w:p>
      <w:pPr>
        <w:snapToGrid w:val="0"/>
        <w:spacing w:line="360" w:lineRule="auto"/>
        <w:jc w:val="left"/>
        <w:rPr>
          <w:rFonts w:asciiTheme="minorEastAsia" w:hAnsiTheme="minorEastAsia" w:eastAsiaTheme="minorEastAsia"/>
          <w:b/>
          <w:color w:val="auto"/>
          <w:szCs w:val="21"/>
          <w:highlight w:val="none"/>
        </w:rPr>
      </w:pPr>
    </w:p>
    <w:p>
      <w:pPr>
        <w:snapToGrid w:val="0"/>
        <w:spacing w:line="360" w:lineRule="auto"/>
        <w:jc w:val="left"/>
        <w:rPr>
          <w:rFonts w:asciiTheme="minorEastAsia" w:hAnsiTheme="minorEastAsia" w:eastAsiaTheme="minorEastAsia"/>
          <w:b/>
          <w:color w:val="auto"/>
          <w:szCs w:val="21"/>
          <w:highlight w:val="none"/>
        </w:rPr>
      </w:pPr>
    </w:p>
    <w:p>
      <w:pPr>
        <w:snapToGrid w:val="0"/>
        <w:spacing w:line="360" w:lineRule="auto"/>
        <w:jc w:val="left"/>
        <w:rPr>
          <w:rFonts w:asciiTheme="minorEastAsia" w:hAnsiTheme="minorEastAsia" w:eastAsiaTheme="minorEastAsia"/>
          <w:b/>
          <w:color w:val="auto"/>
          <w:szCs w:val="21"/>
          <w:highlight w:val="none"/>
        </w:rPr>
      </w:pPr>
    </w:p>
    <w:p>
      <w:pPr>
        <w:snapToGrid w:val="0"/>
        <w:spacing w:line="360" w:lineRule="auto"/>
        <w:jc w:val="left"/>
        <w:rPr>
          <w:rFonts w:asciiTheme="minorEastAsia" w:hAnsiTheme="minorEastAsia" w:eastAsiaTheme="minorEastAsia"/>
          <w:b/>
          <w:color w:val="auto"/>
          <w:szCs w:val="21"/>
          <w:highlight w:val="none"/>
        </w:rPr>
      </w:pPr>
    </w:p>
    <w:p>
      <w:pPr>
        <w:pStyle w:val="48"/>
        <w:ind w:firstLine="404"/>
        <w:rPr>
          <w:color w:val="auto"/>
          <w:highlight w:val="none"/>
        </w:rPr>
      </w:pPr>
    </w:p>
    <w:p>
      <w:pPr>
        <w:pStyle w:val="48"/>
        <w:ind w:firstLine="404"/>
        <w:rPr>
          <w:color w:val="auto"/>
          <w:highlight w:val="none"/>
        </w:rPr>
      </w:pPr>
    </w:p>
    <w:p>
      <w:pPr>
        <w:pStyle w:val="48"/>
        <w:ind w:firstLine="404"/>
        <w:rPr>
          <w:color w:val="auto"/>
          <w:highlight w:val="none"/>
        </w:rPr>
      </w:pPr>
    </w:p>
    <w:p>
      <w:pPr>
        <w:snapToGrid w:val="0"/>
        <w:spacing w:line="360" w:lineRule="auto"/>
        <w:jc w:val="left"/>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2.</w:t>
      </w:r>
    </w:p>
    <w:p>
      <w:pPr>
        <w:snapToGrid w:val="0"/>
        <w:spacing w:line="360" w:lineRule="auto"/>
        <w:jc w:val="center"/>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投标声明书（附件1）</w:t>
      </w:r>
    </w:p>
    <w:p>
      <w:pPr>
        <w:spacing w:line="360" w:lineRule="auto"/>
        <w:rPr>
          <w:rFonts w:hint="eastAsia" w:asciiTheme="minorEastAsia" w:hAnsiTheme="minorEastAsia" w:eastAsiaTheme="minorEastAsia"/>
          <w:color w:val="auto"/>
          <w:szCs w:val="21"/>
          <w:highlight w:val="none"/>
          <w:lang w:eastAsia="zh-CN"/>
        </w:rPr>
      </w:pPr>
      <w:r>
        <w:rPr>
          <w:rFonts w:hint="eastAsia" w:asciiTheme="minorEastAsia" w:hAnsiTheme="minorEastAsia" w:eastAsiaTheme="minorEastAsia"/>
          <w:color w:val="auto"/>
          <w:szCs w:val="21"/>
          <w:highlight w:val="none"/>
        </w:rPr>
        <w:t>致：</w:t>
      </w:r>
      <w:r>
        <w:rPr>
          <w:rFonts w:hint="eastAsia" w:asciiTheme="minorEastAsia" w:hAnsiTheme="minorEastAsia" w:eastAsiaTheme="minorEastAsia"/>
          <w:color w:val="auto"/>
          <w:szCs w:val="21"/>
          <w:highlight w:val="none"/>
          <w:lang w:eastAsia="zh-CN"/>
        </w:rPr>
        <w:t>南湖革命纪念馆</w:t>
      </w:r>
    </w:p>
    <w:p>
      <w:pPr>
        <w:snapToGrid w:val="0"/>
        <w:spacing w:beforeLines="50" w:after="50" w:line="360" w:lineRule="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（投标单位名称）系中华人民共和国合法企业，经营地址。</w:t>
      </w:r>
    </w:p>
    <w:p>
      <w:pPr>
        <w:snapToGrid w:val="0"/>
        <w:spacing w:beforeLines="50" w:after="50" w:line="360" w:lineRule="auto"/>
        <w:ind w:firstLine="645"/>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我（姓名）系（投标人名称）的法定代表人，我方愿意参加贵方组织的的投标，为便于贵方公正、择优地确定中标人及其投标产品和服务，我方就本次投标有关事项郑重声明如下：</w:t>
      </w:r>
    </w:p>
    <w:p>
      <w:pPr>
        <w:snapToGrid w:val="0"/>
        <w:spacing w:line="360" w:lineRule="auto"/>
        <w:ind w:firstLine="420" w:firstLineChars="200"/>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1.</w:t>
      </w:r>
      <w:r>
        <w:rPr>
          <w:rFonts w:hint="eastAsia" w:asciiTheme="minorEastAsia" w:hAnsiTheme="minorEastAsia" w:eastAsiaTheme="minorEastAsia"/>
          <w:color w:val="auto"/>
          <w:szCs w:val="21"/>
          <w:highlight w:val="none"/>
        </w:rPr>
        <w:t>我方向贵方提交的所有投标文件、资料都是准确的和真实的。</w:t>
      </w:r>
    </w:p>
    <w:p>
      <w:pPr>
        <w:snapToGrid w:val="0"/>
        <w:spacing w:beforeLines="50" w:line="360" w:lineRule="auto"/>
        <w:ind w:firstLine="420" w:firstLineChars="200"/>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2.</w:t>
      </w:r>
      <w:r>
        <w:rPr>
          <w:rFonts w:hint="eastAsia" w:asciiTheme="minorEastAsia" w:hAnsiTheme="minorEastAsia" w:eastAsiaTheme="minorEastAsia"/>
          <w:color w:val="auto"/>
          <w:szCs w:val="21"/>
          <w:highlight w:val="none"/>
        </w:rPr>
        <w:t>我方不是招标单位的附属机构；在获知本项目采购信息后，与招标单位聘请的为此项目提供咨询服务的公司及其附属机构没有任何联系。</w:t>
      </w:r>
    </w:p>
    <w:p>
      <w:pPr>
        <w:snapToGrid w:val="0"/>
        <w:spacing w:beforeLines="50"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 xml:space="preserve">3.我方承诺具有履行合同所必需的设备和专业技术能力； </w:t>
      </w:r>
    </w:p>
    <w:p>
      <w:pPr>
        <w:snapToGrid w:val="0"/>
        <w:spacing w:beforeLines="50"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 xml:space="preserve">4. 我方承诺具有良好的商业信誉和健全的财务会计制度；（附财务报表）（格式自拟） </w:t>
      </w:r>
    </w:p>
    <w:p>
      <w:pPr>
        <w:snapToGrid w:val="0"/>
        <w:spacing w:beforeLines="50"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 xml:space="preserve">5.我方承诺有依法缴纳税收和社会保障资金的良好记录；（附依法缴纳税费或依法免缴税费的证明）（格式自拟） </w:t>
      </w:r>
    </w:p>
    <w:p>
      <w:pPr>
        <w:snapToGrid w:val="0"/>
        <w:spacing w:beforeLines="50" w:line="360" w:lineRule="auto"/>
        <w:ind w:firstLine="420" w:firstLineChars="200"/>
        <w:rPr>
          <w:rFonts w:asciiTheme="minorEastAsia" w:hAnsiTheme="minorEastAsia" w:eastAsiaTheme="minorEastAsia"/>
          <w:color w:val="auto"/>
          <w:szCs w:val="21"/>
          <w:highlight w:val="none"/>
          <w:u w:val="single"/>
        </w:rPr>
      </w:pPr>
      <w:r>
        <w:rPr>
          <w:rFonts w:hint="eastAsia" w:asciiTheme="minorEastAsia" w:hAnsiTheme="minorEastAsia" w:eastAsiaTheme="minorEastAsia"/>
          <w:color w:val="auto"/>
          <w:szCs w:val="21"/>
          <w:highlight w:val="none"/>
        </w:rPr>
        <w:t>6.我方承诺参加政府采购活动前三年内，在经营活动中没有重大违法记录；（若有，请如实填写；</w:t>
      </w:r>
      <w:r>
        <w:rPr>
          <w:rFonts w:hint="eastAsia" w:asciiTheme="minorEastAsia" w:hAnsiTheme="minorEastAsia" w:eastAsiaTheme="minorEastAsia"/>
          <w:color w:val="auto"/>
          <w:szCs w:val="21"/>
          <w:highlight w:val="none"/>
          <w:u w:val="single"/>
        </w:rPr>
        <w:t>　　　　　　　　　　　　</w:t>
      </w:r>
    </w:p>
    <w:p>
      <w:pPr>
        <w:snapToGrid w:val="0"/>
        <w:spacing w:beforeLines="50" w:line="360" w:lineRule="auto"/>
        <w:ind w:firstLine="420" w:firstLineChars="200"/>
        <w:rPr>
          <w:rFonts w:asciiTheme="minorEastAsia" w:hAnsiTheme="minorEastAsia" w:eastAsiaTheme="minorEastAsia"/>
          <w:color w:val="auto"/>
          <w:szCs w:val="21"/>
          <w:highlight w:val="none"/>
          <w:u w:val="single"/>
        </w:rPr>
      </w:pPr>
      <w:r>
        <w:rPr>
          <w:rFonts w:hint="eastAsia" w:asciiTheme="minorEastAsia" w:hAnsiTheme="minorEastAsia" w:eastAsiaTheme="minorEastAsia"/>
          <w:color w:val="auto"/>
          <w:szCs w:val="21"/>
          <w:highlight w:val="none"/>
          <w:u w:val="single"/>
        </w:rPr>
        <w:t>　　　　　　　　　　　　　　　　　　　　　　　　　　　　　　　　　　　　</w:t>
      </w:r>
    </w:p>
    <w:p>
      <w:pPr>
        <w:snapToGrid w:val="0"/>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7</w:t>
      </w:r>
      <w:r>
        <w:rPr>
          <w:rFonts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rPr>
        <w:t>以上事项如有虚假或隐瞒，我方愿意承担一切后果，并不再寻求任何旨在减轻或免除法律责任的辩解。</w:t>
      </w:r>
    </w:p>
    <w:p>
      <w:pPr>
        <w:spacing w:line="360" w:lineRule="auto"/>
        <w:ind w:firstLine="527" w:firstLineChars="250"/>
        <w:jc w:val="center"/>
        <w:rPr>
          <w:rFonts w:asciiTheme="minorEastAsia" w:hAnsiTheme="minorEastAsia" w:eastAsiaTheme="minorEastAsia"/>
          <w:b/>
          <w:color w:val="auto"/>
          <w:szCs w:val="21"/>
          <w:highlight w:val="none"/>
        </w:rPr>
      </w:pPr>
    </w:p>
    <w:p>
      <w:pPr>
        <w:spacing w:beforeLines="50" w:line="360" w:lineRule="auto"/>
        <w:ind w:firstLine="1500" w:firstLineChars="600"/>
        <w:rPr>
          <w:rFonts w:asciiTheme="minorEastAsia" w:hAnsiTheme="minorEastAsia" w:eastAsiaTheme="minorEastAsia"/>
          <w:color w:val="auto"/>
          <w:szCs w:val="21"/>
          <w:highlight w:val="none"/>
        </w:rPr>
      </w:pPr>
      <w:r>
        <w:rPr>
          <w:rFonts w:asciiTheme="minorEastAsia" w:hAnsiTheme="minorEastAsia" w:eastAsiaTheme="minorEastAsia"/>
          <w:color w:val="auto"/>
          <w:spacing w:val="20"/>
          <w:szCs w:val="21"/>
          <w:highlight w:val="none"/>
        </w:rPr>
        <w:t>法定代表人或委托代理人</w:t>
      </w:r>
      <w:r>
        <w:rPr>
          <w:rFonts w:hint="eastAsia" w:asciiTheme="minorEastAsia" w:hAnsiTheme="minorEastAsia" w:eastAsiaTheme="minorEastAsia"/>
          <w:color w:val="auto"/>
          <w:spacing w:val="20"/>
          <w:szCs w:val="21"/>
          <w:highlight w:val="none"/>
        </w:rPr>
        <w:t>签名（或盖章）：</w:t>
      </w:r>
    </w:p>
    <w:p>
      <w:pPr>
        <w:spacing w:line="360" w:lineRule="auto"/>
        <w:ind w:firstLine="500" w:firstLineChars="200"/>
        <w:rPr>
          <w:rFonts w:asciiTheme="minorEastAsia" w:hAnsiTheme="minorEastAsia" w:eastAsiaTheme="minorEastAsia"/>
          <w:color w:val="auto"/>
          <w:spacing w:val="20"/>
          <w:szCs w:val="21"/>
          <w:highlight w:val="none"/>
          <w:u w:val="single"/>
        </w:rPr>
      </w:pPr>
      <w:r>
        <w:rPr>
          <w:rFonts w:hint="eastAsia" w:asciiTheme="minorEastAsia" w:hAnsiTheme="minorEastAsia" w:eastAsiaTheme="minorEastAsia"/>
          <w:color w:val="auto"/>
          <w:spacing w:val="20"/>
          <w:szCs w:val="21"/>
          <w:highlight w:val="none"/>
        </w:rPr>
        <w:t xml:space="preserve">                            投标人盖章：</w:t>
      </w:r>
    </w:p>
    <w:p>
      <w:pPr>
        <w:spacing w:line="360" w:lineRule="auto"/>
        <w:ind w:firstLine="500" w:firstLineChars="200"/>
        <w:rPr>
          <w:rFonts w:asciiTheme="minorEastAsia" w:hAnsiTheme="minorEastAsia" w:eastAsiaTheme="minorEastAsia"/>
          <w:color w:val="auto"/>
          <w:spacing w:val="20"/>
          <w:szCs w:val="21"/>
          <w:highlight w:val="none"/>
          <w:u w:val="single"/>
        </w:rPr>
      </w:pPr>
      <w:r>
        <w:rPr>
          <w:rFonts w:hint="eastAsia" w:asciiTheme="minorEastAsia" w:hAnsiTheme="minorEastAsia" w:eastAsiaTheme="minorEastAsia"/>
          <w:color w:val="auto"/>
          <w:spacing w:val="20"/>
          <w:szCs w:val="21"/>
          <w:highlight w:val="none"/>
        </w:rPr>
        <w:t xml:space="preserve">                            日     期：</w:t>
      </w:r>
    </w:p>
    <w:p>
      <w:pPr>
        <w:pStyle w:val="29"/>
        <w:snapToGrid w:val="0"/>
        <w:spacing w:beforeLines="0" w:afterLines="0" w:line="360" w:lineRule="auto"/>
        <w:rPr>
          <w:rFonts w:asciiTheme="minorEastAsia" w:hAnsiTheme="minorEastAsia" w:eastAsiaTheme="minorEastAsia"/>
          <w:color w:val="auto"/>
          <w:sz w:val="21"/>
          <w:szCs w:val="21"/>
          <w:highlight w:val="none"/>
        </w:rPr>
      </w:pPr>
    </w:p>
    <w:p>
      <w:pPr>
        <w:snapToGrid w:val="0"/>
        <w:spacing w:line="360" w:lineRule="auto"/>
        <w:rPr>
          <w:rFonts w:asciiTheme="minorEastAsia" w:hAnsiTheme="minorEastAsia" w:eastAsiaTheme="minorEastAsia"/>
          <w:b/>
          <w:color w:val="auto"/>
          <w:szCs w:val="21"/>
          <w:highlight w:val="none"/>
        </w:rPr>
      </w:pPr>
    </w:p>
    <w:p>
      <w:pPr>
        <w:snapToGrid w:val="0"/>
        <w:spacing w:line="360" w:lineRule="auto"/>
        <w:rPr>
          <w:rFonts w:asciiTheme="minorEastAsia" w:hAnsiTheme="minorEastAsia" w:eastAsiaTheme="minorEastAsia"/>
          <w:b/>
          <w:color w:val="auto"/>
          <w:szCs w:val="21"/>
          <w:highlight w:val="none"/>
        </w:rPr>
      </w:pPr>
    </w:p>
    <w:p>
      <w:pPr>
        <w:snapToGrid w:val="0"/>
        <w:spacing w:line="360" w:lineRule="auto"/>
        <w:rPr>
          <w:rFonts w:asciiTheme="minorEastAsia" w:hAnsiTheme="minorEastAsia" w:eastAsiaTheme="minorEastAsia"/>
          <w:b/>
          <w:color w:val="auto"/>
          <w:szCs w:val="21"/>
          <w:highlight w:val="none"/>
        </w:rPr>
      </w:pPr>
    </w:p>
    <w:p>
      <w:pPr>
        <w:snapToGrid w:val="0"/>
        <w:spacing w:line="360" w:lineRule="auto"/>
        <w:rPr>
          <w:rFonts w:asciiTheme="minorEastAsia" w:hAnsiTheme="minorEastAsia" w:eastAsiaTheme="minorEastAsia"/>
          <w:b/>
          <w:color w:val="auto"/>
          <w:szCs w:val="21"/>
          <w:highlight w:val="none"/>
        </w:rPr>
      </w:pPr>
    </w:p>
    <w:p>
      <w:pPr>
        <w:snapToGrid w:val="0"/>
        <w:spacing w:line="360" w:lineRule="auto"/>
        <w:rPr>
          <w:rFonts w:asciiTheme="minorEastAsia" w:hAnsiTheme="minorEastAsia" w:eastAsiaTheme="minorEastAsia"/>
          <w:b/>
          <w:color w:val="auto"/>
          <w:szCs w:val="21"/>
          <w:highlight w:val="none"/>
        </w:rPr>
      </w:pPr>
    </w:p>
    <w:p>
      <w:pPr>
        <w:pStyle w:val="48"/>
        <w:ind w:firstLine="404"/>
        <w:rPr>
          <w:color w:val="auto"/>
          <w:highlight w:val="none"/>
        </w:rPr>
      </w:pPr>
    </w:p>
    <w:p>
      <w:pPr>
        <w:pStyle w:val="48"/>
        <w:ind w:firstLine="404"/>
        <w:rPr>
          <w:color w:val="auto"/>
          <w:highlight w:val="none"/>
        </w:rPr>
      </w:pPr>
    </w:p>
    <w:p>
      <w:pPr>
        <w:pStyle w:val="48"/>
        <w:ind w:firstLine="404"/>
        <w:rPr>
          <w:color w:val="auto"/>
          <w:highlight w:val="none"/>
        </w:rPr>
      </w:pPr>
    </w:p>
    <w:p>
      <w:pPr>
        <w:snapToGrid w:val="0"/>
        <w:spacing w:line="360" w:lineRule="auto"/>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3.</w:t>
      </w:r>
    </w:p>
    <w:p>
      <w:pPr>
        <w:snapToGrid w:val="0"/>
        <w:spacing w:line="360" w:lineRule="auto"/>
        <w:jc w:val="center"/>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法定代表人授权委托书（附件2）</w:t>
      </w:r>
    </w:p>
    <w:p>
      <w:pPr>
        <w:pStyle w:val="48"/>
        <w:spacing w:line="360" w:lineRule="auto"/>
        <w:ind w:firstLine="404"/>
        <w:rPr>
          <w:color w:val="auto"/>
          <w:highlight w:val="none"/>
        </w:rPr>
      </w:pPr>
    </w:p>
    <w:p>
      <w:pPr>
        <w:snapToGrid w:val="0"/>
        <w:spacing w:line="360" w:lineRule="auto"/>
        <w:rPr>
          <w:rFonts w:asciiTheme="minorEastAsia" w:hAnsiTheme="minorEastAsia" w:eastAsiaTheme="minorEastAsia"/>
          <w:b/>
          <w:bCs/>
          <w:color w:val="auto"/>
          <w:szCs w:val="21"/>
          <w:highlight w:val="none"/>
        </w:rPr>
      </w:pPr>
      <w:r>
        <w:rPr>
          <w:rFonts w:hint="eastAsia" w:asciiTheme="minorEastAsia" w:hAnsiTheme="minorEastAsia" w:eastAsiaTheme="minorEastAsia"/>
          <w:bCs/>
          <w:color w:val="auto"/>
          <w:szCs w:val="21"/>
          <w:highlight w:val="none"/>
        </w:rPr>
        <w:t>致：</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u w:val="single"/>
          <w:lang w:eastAsia="zh-CN"/>
        </w:rPr>
        <w:t>南湖革命纪念馆</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（招标采购单位名称）：</w:t>
      </w:r>
    </w:p>
    <w:p>
      <w:pPr>
        <w:snapToGrid w:val="0"/>
        <w:spacing w:line="360" w:lineRule="auto"/>
        <w:ind w:firstLine="630" w:firstLineChars="3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我（姓名）系（投标人名称）的法定代表人，现授权委托本单位在职职工（姓名）以我方的名义参加</w:t>
      </w:r>
      <w:r>
        <w:rPr>
          <w:rFonts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u w:val="single"/>
          <w:lang w:eastAsia="zh-CN"/>
        </w:rPr>
        <w:t>2023年度南湖革命纪念馆及周边绿化养护项目</w:t>
      </w:r>
      <w:r>
        <w:rPr>
          <w:rFonts w:hint="eastAsia" w:asciiTheme="minorEastAsia" w:hAnsiTheme="minorEastAsia" w:eastAsiaTheme="minorEastAsia"/>
          <w:color w:val="auto"/>
          <w:szCs w:val="21"/>
          <w:highlight w:val="none"/>
        </w:rPr>
        <w:t>的投标活动，并代表我方全权办理针对上述项目的投标、开标、评标、签约等具体事务和签署相关文件。</w:t>
      </w:r>
    </w:p>
    <w:p>
      <w:pPr>
        <w:snapToGrid w:val="0"/>
        <w:spacing w:line="360" w:lineRule="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我方对被授权人的签名事项负全部责任。</w:t>
      </w:r>
    </w:p>
    <w:p>
      <w:pPr>
        <w:snapToGrid w:val="0"/>
        <w:spacing w:line="360" w:lineRule="auto"/>
        <w:ind w:firstLine="48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u w:val="single"/>
        </w:rPr>
        <w:t>在撤销授权的书面通知以前，本授权书一直有效。</w:t>
      </w:r>
      <w:r>
        <w:rPr>
          <w:rFonts w:hint="eastAsia" w:asciiTheme="minorEastAsia" w:hAnsiTheme="minorEastAsia" w:eastAsiaTheme="minorEastAsia"/>
          <w:color w:val="auto"/>
          <w:szCs w:val="21"/>
          <w:highlight w:val="none"/>
        </w:rPr>
        <w:t>被授权人在授权书有效期内签署的所有文件不因授权的撤销而失效。</w:t>
      </w:r>
    </w:p>
    <w:p>
      <w:pPr>
        <w:snapToGrid w:val="0"/>
        <w:spacing w:line="360" w:lineRule="auto"/>
        <w:ind w:firstLine="48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被授权人无转委托权，特此委托。</w:t>
      </w:r>
    </w:p>
    <w:p>
      <w:pPr>
        <w:snapToGrid w:val="0"/>
        <w:spacing w:line="360" w:lineRule="auto"/>
        <w:rPr>
          <w:rFonts w:asciiTheme="minorEastAsia" w:hAnsiTheme="minorEastAsia" w:eastAsiaTheme="minorEastAsia"/>
          <w:color w:val="auto"/>
          <w:szCs w:val="21"/>
          <w:highlight w:val="none"/>
        </w:rPr>
      </w:pPr>
    </w:p>
    <w:p>
      <w:pPr>
        <w:snapToGrid w:val="0"/>
        <w:spacing w:beforeLines="50" w:after="50" w:line="360" w:lineRule="auto"/>
        <w:rPr>
          <w:rFonts w:asciiTheme="minorEastAsia" w:hAnsiTheme="minorEastAsia" w:eastAsiaTheme="minorEastAsia"/>
          <w:color w:val="auto"/>
          <w:szCs w:val="21"/>
          <w:highlight w:val="none"/>
          <w:u w:val="single"/>
        </w:rPr>
      </w:pPr>
      <w:r>
        <w:rPr>
          <w:rFonts w:hint="eastAsia" w:asciiTheme="minorEastAsia" w:hAnsiTheme="minorEastAsia" w:eastAsiaTheme="minorEastAsia"/>
          <w:color w:val="auto"/>
          <w:szCs w:val="21"/>
          <w:highlight w:val="none"/>
        </w:rPr>
        <w:t>法定代表人签字：                     被授权人签字：</w:t>
      </w:r>
    </w:p>
    <w:p>
      <w:pPr>
        <w:snapToGrid w:val="0"/>
        <w:spacing w:beforeLines="50" w:after="50" w:line="360" w:lineRule="auto"/>
        <w:rPr>
          <w:rFonts w:asciiTheme="minorEastAsia" w:hAnsiTheme="minorEastAsia" w:eastAsiaTheme="minorEastAsia"/>
          <w:color w:val="auto"/>
          <w:szCs w:val="21"/>
          <w:highlight w:val="none"/>
          <w:u w:val="single"/>
        </w:rPr>
      </w:pPr>
      <w:r>
        <w:rPr>
          <w:rFonts w:hint="eastAsia" w:asciiTheme="minorEastAsia" w:hAnsiTheme="minorEastAsia" w:eastAsiaTheme="minorEastAsia"/>
          <w:color w:val="auto"/>
          <w:szCs w:val="21"/>
          <w:highlight w:val="none"/>
        </w:rPr>
        <w:t>法定代表人身份证号：                  被授权人身份证号：</w:t>
      </w:r>
    </w:p>
    <w:p>
      <w:pPr>
        <w:snapToGrid w:val="0"/>
        <w:spacing w:beforeLines="50" w:after="50" w:line="360" w:lineRule="auto"/>
        <w:rPr>
          <w:rFonts w:asciiTheme="minorEastAsia" w:hAnsiTheme="minorEastAsia" w:eastAsiaTheme="minorEastAsia"/>
          <w:color w:val="auto"/>
          <w:szCs w:val="21"/>
          <w:highlight w:val="none"/>
        </w:rPr>
      </w:pPr>
    </w:p>
    <w:p>
      <w:pPr>
        <w:snapToGrid w:val="0"/>
        <w:spacing w:beforeLines="50" w:after="50" w:line="360" w:lineRule="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法定代表人身份证（正反面）       被授权人身份证（正反面）</w:t>
      </w:r>
    </w:p>
    <w:p>
      <w:pPr>
        <w:snapToGrid w:val="0"/>
        <w:spacing w:line="360" w:lineRule="auto"/>
        <w:rPr>
          <w:rFonts w:asciiTheme="minorEastAsia" w:hAnsiTheme="minorEastAsia" w:eastAsiaTheme="minorEastAsia"/>
          <w:color w:val="auto"/>
          <w:szCs w:val="21"/>
          <w:highlight w:val="none"/>
        </w:rPr>
      </w:pPr>
    </w:p>
    <w:p>
      <w:pPr>
        <w:snapToGrid w:val="0"/>
        <w:spacing w:line="360" w:lineRule="auto"/>
        <w:ind w:firstLine="200"/>
        <w:jc w:val="right"/>
        <w:rPr>
          <w:rFonts w:asciiTheme="minorEastAsia" w:hAnsiTheme="minorEastAsia" w:eastAsiaTheme="minorEastAsia"/>
          <w:color w:val="auto"/>
          <w:szCs w:val="21"/>
          <w:highlight w:val="none"/>
          <w:u w:val="single"/>
        </w:rPr>
      </w:pPr>
    </w:p>
    <w:p>
      <w:pPr>
        <w:spacing w:beforeLines="50" w:line="360" w:lineRule="auto"/>
        <w:rPr>
          <w:rFonts w:asciiTheme="minorEastAsia" w:hAnsiTheme="minorEastAsia" w:eastAsiaTheme="minorEastAsia"/>
          <w:color w:val="auto"/>
          <w:szCs w:val="21"/>
          <w:highlight w:val="none"/>
        </w:rPr>
      </w:pPr>
    </w:p>
    <w:p>
      <w:pPr>
        <w:spacing w:line="360" w:lineRule="auto"/>
        <w:ind w:firstLine="500" w:firstLineChars="200"/>
        <w:rPr>
          <w:rFonts w:asciiTheme="minorEastAsia" w:hAnsiTheme="minorEastAsia" w:eastAsiaTheme="minorEastAsia"/>
          <w:color w:val="auto"/>
          <w:spacing w:val="20"/>
          <w:szCs w:val="21"/>
          <w:highlight w:val="none"/>
          <w:u w:val="single"/>
        </w:rPr>
      </w:pPr>
      <w:r>
        <w:rPr>
          <w:rFonts w:hint="eastAsia" w:asciiTheme="minorEastAsia" w:hAnsiTheme="minorEastAsia" w:eastAsiaTheme="minorEastAsia"/>
          <w:color w:val="auto"/>
          <w:spacing w:val="20"/>
          <w:szCs w:val="21"/>
          <w:highlight w:val="none"/>
        </w:rPr>
        <w:t xml:space="preserve">                            投标人盖章：</w:t>
      </w:r>
    </w:p>
    <w:p>
      <w:pPr>
        <w:tabs>
          <w:tab w:val="left" w:pos="1418"/>
        </w:tabs>
        <w:spacing w:line="360" w:lineRule="auto"/>
        <w:rPr>
          <w:rFonts w:asciiTheme="minorEastAsia" w:hAnsiTheme="minorEastAsia" w:eastAsiaTheme="minorEastAsia"/>
          <w:b/>
          <w:color w:val="auto"/>
          <w:szCs w:val="21"/>
          <w:highlight w:val="none"/>
        </w:rPr>
      </w:pPr>
      <w:r>
        <w:rPr>
          <w:rFonts w:hint="eastAsia" w:asciiTheme="minorEastAsia" w:hAnsiTheme="minorEastAsia" w:eastAsiaTheme="minorEastAsia"/>
          <w:color w:val="auto"/>
          <w:spacing w:val="20"/>
          <w:szCs w:val="21"/>
          <w:highlight w:val="none"/>
        </w:rPr>
        <w:t xml:space="preserve">                                日     期：</w:t>
      </w:r>
    </w:p>
    <w:p>
      <w:pPr>
        <w:snapToGrid w:val="0"/>
        <w:spacing w:line="360" w:lineRule="auto"/>
        <w:ind w:firstLine="210" w:firstLineChars="100"/>
        <w:jc w:val="right"/>
        <w:rPr>
          <w:rFonts w:asciiTheme="minorEastAsia" w:hAnsiTheme="minorEastAsia" w:eastAsiaTheme="minorEastAsia"/>
          <w:color w:val="auto"/>
          <w:szCs w:val="21"/>
          <w:highlight w:val="none"/>
        </w:rPr>
      </w:pPr>
    </w:p>
    <w:p>
      <w:pPr>
        <w:snapToGrid w:val="0"/>
        <w:spacing w:line="360" w:lineRule="auto"/>
        <w:rPr>
          <w:rFonts w:asciiTheme="minorEastAsia" w:hAnsiTheme="minorEastAsia" w:eastAsiaTheme="minorEastAsia"/>
          <w:color w:val="auto"/>
          <w:szCs w:val="21"/>
          <w:highlight w:val="none"/>
        </w:rPr>
      </w:pPr>
    </w:p>
    <w:p>
      <w:pPr>
        <w:snapToGrid w:val="0"/>
        <w:spacing w:line="360" w:lineRule="auto"/>
        <w:rPr>
          <w:rFonts w:asciiTheme="minorEastAsia" w:hAnsiTheme="minorEastAsia" w:eastAsiaTheme="minorEastAsia"/>
          <w:color w:val="auto"/>
          <w:szCs w:val="21"/>
          <w:highlight w:val="none"/>
        </w:rPr>
      </w:pPr>
    </w:p>
    <w:p>
      <w:pPr>
        <w:snapToGrid w:val="0"/>
        <w:spacing w:line="360" w:lineRule="auto"/>
        <w:rPr>
          <w:rFonts w:asciiTheme="minorEastAsia" w:hAnsiTheme="minorEastAsia" w:eastAsiaTheme="minorEastAsia"/>
          <w:b/>
          <w:color w:val="auto"/>
          <w:szCs w:val="21"/>
          <w:highlight w:val="none"/>
        </w:rPr>
      </w:pPr>
    </w:p>
    <w:p>
      <w:pPr>
        <w:snapToGrid w:val="0"/>
        <w:spacing w:line="360" w:lineRule="auto"/>
        <w:rPr>
          <w:rFonts w:asciiTheme="minorEastAsia" w:hAnsiTheme="minorEastAsia" w:eastAsiaTheme="minorEastAsia"/>
          <w:b/>
          <w:color w:val="auto"/>
          <w:szCs w:val="21"/>
          <w:highlight w:val="none"/>
        </w:rPr>
      </w:pPr>
    </w:p>
    <w:p>
      <w:pPr>
        <w:snapToGrid w:val="0"/>
        <w:spacing w:line="360" w:lineRule="auto"/>
        <w:rPr>
          <w:rFonts w:asciiTheme="minorEastAsia" w:hAnsiTheme="minorEastAsia" w:eastAsiaTheme="minorEastAsia"/>
          <w:b/>
          <w:color w:val="auto"/>
          <w:szCs w:val="21"/>
          <w:highlight w:val="none"/>
        </w:rPr>
      </w:pPr>
    </w:p>
    <w:p>
      <w:pPr>
        <w:snapToGrid w:val="0"/>
        <w:spacing w:line="360" w:lineRule="auto"/>
        <w:rPr>
          <w:rFonts w:asciiTheme="minorEastAsia" w:hAnsiTheme="minorEastAsia" w:eastAsiaTheme="minorEastAsia"/>
          <w:b/>
          <w:color w:val="auto"/>
          <w:szCs w:val="21"/>
          <w:highlight w:val="none"/>
        </w:rPr>
      </w:pPr>
    </w:p>
    <w:p>
      <w:pPr>
        <w:snapToGrid w:val="0"/>
        <w:spacing w:line="360" w:lineRule="auto"/>
        <w:rPr>
          <w:rFonts w:asciiTheme="minorEastAsia" w:hAnsiTheme="minorEastAsia" w:eastAsiaTheme="minorEastAsia"/>
          <w:b/>
          <w:color w:val="auto"/>
          <w:szCs w:val="21"/>
          <w:highlight w:val="none"/>
        </w:rPr>
      </w:pPr>
    </w:p>
    <w:p>
      <w:pPr>
        <w:snapToGrid w:val="0"/>
        <w:spacing w:line="360" w:lineRule="auto"/>
        <w:rPr>
          <w:rFonts w:asciiTheme="minorEastAsia" w:hAnsiTheme="minorEastAsia" w:eastAsiaTheme="minorEastAsia"/>
          <w:b/>
          <w:color w:val="auto"/>
          <w:szCs w:val="21"/>
          <w:highlight w:val="none"/>
        </w:rPr>
      </w:pPr>
    </w:p>
    <w:p>
      <w:pPr>
        <w:pStyle w:val="48"/>
        <w:ind w:firstLine="404"/>
        <w:rPr>
          <w:color w:val="auto"/>
          <w:highlight w:val="none"/>
        </w:rPr>
      </w:pPr>
    </w:p>
    <w:p>
      <w:pPr>
        <w:snapToGrid w:val="0"/>
        <w:spacing w:line="360" w:lineRule="auto"/>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4.</w:t>
      </w:r>
    </w:p>
    <w:p>
      <w:pPr>
        <w:snapToGrid w:val="0"/>
        <w:spacing w:line="360" w:lineRule="auto"/>
        <w:jc w:val="center"/>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关于资格的声明函（附件3）</w:t>
      </w:r>
    </w:p>
    <w:p>
      <w:pPr>
        <w:spacing w:line="360" w:lineRule="auto"/>
        <w:rPr>
          <w:rFonts w:asciiTheme="minorEastAsia" w:hAnsiTheme="minorEastAsia" w:eastAsiaTheme="minorEastAsia"/>
          <w:color w:val="auto"/>
          <w:szCs w:val="21"/>
          <w:highlight w:val="none"/>
        </w:rPr>
      </w:pPr>
    </w:p>
    <w:p>
      <w:pPr>
        <w:spacing w:line="360" w:lineRule="auto"/>
        <w:rPr>
          <w:rFonts w:hint="eastAsia" w:asciiTheme="minorEastAsia" w:hAnsiTheme="minorEastAsia" w:eastAsiaTheme="minorEastAsia"/>
          <w:color w:val="auto"/>
          <w:szCs w:val="21"/>
          <w:highlight w:val="none"/>
          <w:lang w:eastAsia="zh-CN"/>
        </w:rPr>
      </w:pPr>
      <w:r>
        <w:rPr>
          <w:rFonts w:hint="eastAsia" w:asciiTheme="minorEastAsia" w:hAnsiTheme="minorEastAsia" w:eastAsiaTheme="minorEastAsia"/>
          <w:color w:val="auto"/>
          <w:szCs w:val="21"/>
          <w:highlight w:val="none"/>
        </w:rPr>
        <w:t>致：</w:t>
      </w:r>
      <w:r>
        <w:rPr>
          <w:rFonts w:hint="eastAsia" w:asciiTheme="minorEastAsia" w:hAnsiTheme="minorEastAsia" w:eastAsiaTheme="minorEastAsia"/>
          <w:color w:val="auto"/>
          <w:szCs w:val="21"/>
          <w:highlight w:val="none"/>
          <w:u w:val="single"/>
          <w:lang w:eastAsia="zh-CN"/>
        </w:rPr>
        <w:t>南湖革命纪念馆</w:t>
      </w:r>
    </w:p>
    <w:p>
      <w:pPr>
        <w:spacing w:line="360" w:lineRule="auto"/>
        <w:ind w:firstLine="645"/>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关于贵方</w:t>
      </w:r>
      <w:r>
        <w:rPr>
          <w:rFonts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u w:val="single"/>
          <w:lang w:eastAsia="zh-CN"/>
        </w:rPr>
        <w:t>2023年度南湖革命纪念馆及周边绿化养护项目</w:t>
      </w:r>
      <w:r>
        <w:rPr>
          <w:rFonts w:asciiTheme="minorEastAsia" w:hAnsiTheme="minorEastAsia" w:eastAsiaTheme="minorEastAsia"/>
          <w:color w:val="auto"/>
          <w:szCs w:val="21"/>
          <w:highlight w:val="none"/>
        </w:rPr>
        <w:t>招标</w:t>
      </w:r>
      <w:r>
        <w:rPr>
          <w:rFonts w:hint="eastAsia" w:asciiTheme="minorEastAsia" w:hAnsiTheme="minorEastAsia" w:eastAsiaTheme="minorEastAsia"/>
          <w:color w:val="auto"/>
          <w:szCs w:val="21"/>
          <w:highlight w:val="none"/>
        </w:rPr>
        <w:t>项目</w:t>
      </w:r>
      <w:r>
        <w:rPr>
          <w:rFonts w:asciiTheme="minorEastAsia" w:hAnsiTheme="minorEastAsia" w:eastAsiaTheme="minorEastAsia"/>
          <w:color w:val="auto"/>
          <w:szCs w:val="21"/>
          <w:highlight w:val="none"/>
        </w:rPr>
        <w:t>，本签字人愿意参加投标，提供</w:t>
      </w:r>
      <w:r>
        <w:rPr>
          <w:rFonts w:hint="eastAsia" w:asciiTheme="minorEastAsia" w:hAnsiTheme="minorEastAsia" w:eastAsiaTheme="minorEastAsia"/>
          <w:color w:val="auto"/>
          <w:szCs w:val="21"/>
          <w:highlight w:val="none"/>
        </w:rPr>
        <w:t>招标文件</w:t>
      </w:r>
      <w:r>
        <w:rPr>
          <w:rFonts w:asciiTheme="minorEastAsia" w:hAnsiTheme="minorEastAsia" w:eastAsiaTheme="minorEastAsia"/>
          <w:color w:val="auto"/>
          <w:szCs w:val="21"/>
          <w:highlight w:val="none"/>
        </w:rPr>
        <w:t>规定的</w:t>
      </w:r>
      <w:r>
        <w:rPr>
          <w:rFonts w:hint="eastAsia" w:asciiTheme="minorEastAsia" w:hAnsiTheme="minorEastAsia" w:eastAsiaTheme="minorEastAsia"/>
          <w:color w:val="auto"/>
          <w:szCs w:val="21"/>
          <w:highlight w:val="none"/>
        </w:rPr>
        <w:t>要求及服务，</w:t>
      </w:r>
      <w:r>
        <w:rPr>
          <w:rFonts w:asciiTheme="minorEastAsia" w:hAnsiTheme="minorEastAsia" w:eastAsiaTheme="minorEastAsia"/>
          <w:color w:val="auto"/>
          <w:szCs w:val="21"/>
          <w:highlight w:val="none"/>
        </w:rPr>
        <w:t>并证实提交的下列文件和说明是准确的和真实的</w:t>
      </w:r>
      <w:r>
        <w:rPr>
          <w:rFonts w:hint="eastAsia" w:asciiTheme="minorEastAsia" w:hAnsiTheme="minorEastAsia" w:eastAsiaTheme="minorEastAsia"/>
          <w:color w:val="auto"/>
          <w:szCs w:val="21"/>
          <w:highlight w:val="none"/>
        </w:rPr>
        <w:t>：</w:t>
      </w:r>
    </w:p>
    <w:p>
      <w:pPr>
        <w:spacing w:line="360" w:lineRule="auto"/>
        <w:ind w:firstLine="315" w:firstLineChars="150"/>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1、</w:t>
      </w:r>
      <w:r>
        <w:rPr>
          <w:rFonts w:hint="eastAsia" w:asciiTheme="minorEastAsia" w:hAnsiTheme="minorEastAsia" w:eastAsiaTheme="minorEastAsia"/>
          <w:color w:val="auto"/>
          <w:szCs w:val="21"/>
          <w:highlight w:val="none"/>
        </w:rPr>
        <w:t>投标人概况。</w:t>
      </w:r>
    </w:p>
    <w:p>
      <w:pPr>
        <w:spacing w:line="360" w:lineRule="auto"/>
        <w:ind w:firstLine="315" w:firstLineChars="15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2、有效期内的法人营业执照副本复印件（加盖公章）、</w:t>
      </w:r>
    </w:p>
    <w:p>
      <w:pPr>
        <w:spacing w:line="360" w:lineRule="auto"/>
        <w:ind w:firstLine="315" w:firstLineChars="15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3、招标文件要求的相关资格资质证明文件及附件资料复印件（加盖公章）。</w:t>
      </w:r>
    </w:p>
    <w:p>
      <w:pPr>
        <w:spacing w:line="360" w:lineRule="auto"/>
        <w:ind w:firstLine="315" w:firstLineChars="15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4、投标人认为有必要提供的声明及文件资料。</w:t>
      </w:r>
    </w:p>
    <w:p>
      <w:pPr>
        <w:spacing w:line="360" w:lineRule="auto"/>
        <w:ind w:firstLine="315" w:firstLineChars="15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N、</w:t>
      </w:r>
      <w:r>
        <w:rPr>
          <w:rFonts w:asciiTheme="minorEastAsia" w:hAnsiTheme="minorEastAsia" w:eastAsiaTheme="minorEastAsia"/>
          <w:color w:val="auto"/>
          <w:szCs w:val="21"/>
          <w:highlight w:val="none"/>
        </w:rPr>
        <w:t>……</w:t>
      </w:r>
    </w:p>
    <w:p>
      <w:pPr>
        <w:spacing w:beforeLines="50" w:line="360" w:lineRule="auto"/>
        <w:ind w:firstLine="2750" w:firstLineChars="1100"/>
        <w:rPr>
          <w:rFonts w:asciiTheme="minorEastAsia" w:hAnsiTheme="minorEastAsia" w:eastAsiaTheme="minorEastAsia"/>
          <w:color w:val="auto"/>
          <w:spacing w:val="20"/>
          <w:szCs w:val="21"/>
          <w:highlight w:val="none"/>
        </w:rPr>
      </w:pPr>
    </w:p>
    <w:p>
      <w:pPr>
        <w:spacing w:beforeLines="50" w:line="360" w:lineRule="auto"/>
        <w:ind w:firstLine="2750" w:firstLineChars="1100"/>
        <w:rPr>
          <w:rFonts w:asciiTheme="minorEastAsia" w:hAnsiTheme="minorEastAsia" w:eastAsiaTheme="minorEastAsia"/>
          <w:color w:val="auto"/>
          <w:spacing w:val="20"/>
          <w:szCs w:val="21"/>
          <w:highlight w:val="none"/>
        </w:rPr>
      </w:pPr>
    </w:p>
    <w:p>
      <w:pPr>
        <w:spacing w:beforeLines="50" w:line="360" w:lineRule="auto"/>
        <w:ind w:firstLine="2750" w:firstLineChars="1100"/>
        <w:rPr>
          <w:rFonts w:asciiTheme="minorEastAsia" w:hAnsiTheme="minorEastAsia" w:eastAsiaTheme="minorEastAsia"/>
          <w:color w:val="auto"/>
          <w:szCs w:val="21"/>
          <w:highlight w:val="none"/>
        </w:rPr>
      </w:pPr>
      <w:r>
        <w:rPr>
          <w:rFonts w:asciiTheme="minorEastAsia" w:hAnsiTheme="minorEastAsia" w:eastAsiaTheme="minorEastAsia"/>
          <w:color w:val="auto"/>
          <w:spacing w:val="20"/>
          <w:szCs w:val="21"/>
          <w:highlight w:val="none"/>
        </w:rPr>
        <w:t>法定代表人或委托代理人</w:t>
      </w:r>
      <w:r>
        <w:rPr>
          <w:rFonts w:hint="eastAsia" w:asciiTheme="minorEastAsia" w:hAnsiTheme="minorEastAsia" w:eastAsiaTheme="minorEastAsia"/>
          <w:color w:val="auto"/>
          <w:spacing w:val="20"/>
          <w:szCs w:val="21"/>
          <w:highlight w:val="none"/>
        </w:rPr>
        <w:t>签名：</w:t>
      </w:r>
    </w:p>
    <w:p>
      <w:pPr>
        <w:spacing w:line="360" w:lineRule="auto"/>
        <w:ind w:firstLine="500" w:firstLineChars="200"/>
        <w:rPr>
          <w:rFonts w:asciiTheme="minorEastAsia" w:hAnsiTheme="minorEastAsia" w:eastAsiaTheme="minorEastAsia"/>
          <w:color w:val="auto"/>
          <w:spacing w:val="20"/>
          <w:szCs w:val="21"/>
          <w:highlight w:val="none"/>
          <w:u w:val="single"/>
        </w:rPr>
      </w:pPr>
      <w:r>
        <w:rPr>
          <w:rFonts w:hint="eastAsia" w:asciiTheme="minorEastAsia" w:hAnsiTheme="minorEastAsia" w:eastAsiaTheme="minorEastAsia"/>
          <w:color w:val="auto"/>
          <w:spacing w:val="20"/>
          <w:szCs w:val="21"/>
          <w:highlight w:val="none"/>
        </w:rPr>
        <w:t xml:space="preserve">                            投标人盖章：</w:t>
      </w:r>
    </w:p>
    <w:p>
      <w:pPr>
        <w:tabs>
          <w:tab w:val="left" w:pos="1418"/>
        </w:tabs>
        <w:spacing w:line="360" w:lineRule="auto"/>
        <w:rPr>
          <w:rFonts w:asciiTheme="minorEastAsia" w:hAnsiTheme="minorEastAsia" w:eastAsiaTheme="minorEastAsia"/>
          <w:b/>
          <w:color w:val="auto"/>
          <w:szCs w:val="21"/>
          <w:highlight w:val="none"/>
        </w:rPr>
      </w:pPr>
      <w:r>
        <w:rPr>
          <w:rFonts w:hint="eastAsia" w:asciiTheme="minorEastAsia" w:hAnsiTheme="minorEastAsia" w:eastAsiaTheme="minorEastAsia"/>
          <w:color w:val="auto"/>
          <w:spacing w:val="20"/>
          <w:szCs w:val="21"/>
          <w:highlight w:val="none"/>
        </w:rPr>
        <w:t xml:space="preserve">                                日     期：</w:t>
      </w:r>
    </w:p>
    <w:p>
      <w:pPr>
        <w:spacing w:line="360" w:lineRule="auto"/>
        <w:jc w:val="center"/>
        <w:rPr>
          <w:rFonts w:asciiTheme="minorEastAsia" w:hAnsiTheme="minorEastAsia" w:eastAsiaTheme="minorEastAsia"/>
          <w:b/>
          <w:color w:val="auto"/>
          <w:szCs w:val="21"/>
          <w:highlight w:val="none"/>
        </w:rPr>
      </w:pPr>
    </w:p>
    <w:p>
      <w:pPr>
        <w:spacing w:line="360" w:lineRule="auto"/>
        <w:jc w:val="center"/>
        <w:rPr>
          <w:rFonts w:asciiTheme="minorEastAsia" w:hAnsiTheme="minorEastAsia" w:eastAsiaTheme="minorEastAsia"/>
          <w:b/>
          <w:color w:val="auto"/>
          <w:szCs w:val="21"/>
          <w:highlight w:val="none"/>
        </w:rPr>
      </w:pPr>
    </w:p>
    <w:p>
      <w:pPr>
        <w:spacing w:line="360" w:lineRule="auto"/>
        <w:jc w:val="center"/>
        <w:rPr>
          <w:rFonts w:asciiTheme="minorEastAsia" w:hAnsiTheme="minorEastAsia" w:eastAsiaTheme="minorEastAsia"/>
          <w:b/>
          <w:color w:val="auto"/>
          <w:szCs w:val="21"/>
          <w:highlight w:val="none"/>
        </w:rPr>
      </w:pPr>
    </w:p>
    <w:p>
      <w:pPr>
        <w:spacing w:line="360" w:lineRule="auto"/>
        <w:jc w:val="center"/>
        <w:rPr>
          <w:rFonts w:asciiTheme="minorEastAsia" w:hAnsiTheme="minorEastAsia" w:eastAsiaTheme="minorEastAsia"/>
          <w:b/>
          <w:color w:val="auto"/>
          <w:szCs w:val="21"/>
          <w:highlight w:val="none"/>
        </w:rPr>
      </w:pPr>
    </w:p>
    <w:p>
      <w:pPr>
        <w:spacing w:line="360" w:lineRule="auto"/>
        <w:jc w:val="center"/>
        <w:rPr>
          <w:rFonts w:asciiTheme="minorEastAsia" w:hAnsiTheme="minorEastAsia" w:eastAsiaTheme="minorEastAsia"/>
          <w:b/>
          <w:color w:val="auto"/>
          <w:szCs w:val="21"/>
          <w:highlight w:val="none"/>
        </w:rPr>
      </w:pPr>
    </w:p>
    <w:p>
      <w:pPr>
        <w:spacing w:line="360" w:lineRule="auto"/>
        <w:jc w:val="center"/>
        <w:rPr>
          <w:rFonts w:asciiTheme="minorEastAsia" w:hAnsiTheme="minorEastAsia" w:eastAsiaTheme="minorEastAsia"/>
          <w:b/>
          <w:color w:val="auto"/>
          <w:szCs w:val="21"/>
          <w:highlight w:val="none"/>
        </w:rPr>
      </w:pPr>
    </w:p>
    <w:p>
      <w:pPr>
        <w:spacing w:line="360" w:lineRule="auto"/>
        <w:rPr>
          <w:rFonts w:asciiTheme="minorEastAsia" w:hAnsiTheme="minorEastAsia" w:eastAsiaTheme="minorEastAsia"/>
          <w:b/>
          <w:color w:val="auto"/>
          <w:szCs w:val="21"/>
          <w:highlight w:val="none"/>
        </w:rPr>
      </w:pPr>
    </w:p>
    <w:p>
      <w:pPr>
        <w:spacing w:line="360" w:lineRule="auto"/>
        <w:jc w:val="center"/>
        <w:rPr>
          <w:rFonts w:asciiTheme="minorEastAsia" w:hAnsiTheme="minorEastAsia" w:eastAsiaTheme="minorEastAsia"/>
          <w:b/>
          <w:color w:val="auto"/>
          <w:szCs w:val="21"/>
          <w:highlight w:val="none"/>
        </w:rPr>
      </w:pPr>
    </w:p>
    <w:p>
      <w:pPr>
        <w:spacing w:line="360" w:lineRule="auto"/>
        <w:jc w:val="center"/>
        <w:rPr>
          <w:rFonts w:asciiTheme="minorEastAsia" w:hAnsiTheme="minorEastAsia" w:eastAsiaTheme="minorEastAsia"/>
          <w:b/>
          <w:color w:val="auto"/>
          <w:szCs w:val="21"/>
          <w:highlight w:val="none"/>
        </w:rPr>
      </w:pPr>
    </w:p>
    <w:p>
      <w:pPr>
        <w:spacing w:line="360" w:lineRule="auto"/>
        <w:rPr>
          <w:rFonts w:asciiTheme="minorEastAsia" w:hAnsiTheme="minorEastAsia" w:eastAsiaTheme="minorEastAsia"/>
          <w:b/>
          <w:color w:val="auto"/>
          <w:szCs w:val="21"/>
          <w:highlight w:val="none"/>
        </w:rPr>
      </w:pPr>
    </w:p>
    <w:p>
      <w:pPr>
        <w:spacing w:line="360" w:lineRule="auto"/>
        <w:rPr>
          <w:rFonts w:asciiTheme="minorEastAsia" w:hAnsiTheme="minorEastAsia" w:eastAsiaTheme="minorEastAsia"/>
          <w:b/>
          <w:color w:val="auto"/>
          <w:szCs w:val="21"/>
          <w:highlight w:val="none"/>
        </w:rPr>
      </w:pPr>
    </w:p>
    <w:p>
      <w:pPr>
        <w:spacing w:line="360" w:lineRule="auto"/>
        <w:rPr>
          <w:rFonts w:asciiTheme="minorEastAsia" w:hAnsiTheme="minorEastAsia" w:eastAsiaTheme="minorEastAsia"/>
          <w:b/>
          <w:color w:val="auto"/>
          <w:szCs w:val="21"/>
          <w:highlight w:val="none"/>
        </w:rPr>
      </w:pPr>
    </w:p>
    <w:p>
      <w:pPr>
        <w:spacing w:line="360" w:lineRule="auto"/>
        <w:rPr>
          <w:rFonts w:asciiTheme="minorEastAsia" w:hAnsiTheme="minorEastAsia" w:eastAsiaTheme="minorEastAsia"/>
          <w:b/>
          <w:color w:val="auto"/>
          <w:szCs w:val="21"/>
          <w:highlight w:val="none"/>
        </w:rPr>
      </w:pPr>
    </w:p>
    <w:p>
      <w:pPr>
        <w:spacing w:line="360" w:lineRule="auto"/>
        <w:rPr>
          <w:rFonts w:asciiTheme="minorEastAsia" w:hAnsiTheme="minorEastAsia" w:eastAsiaTheme="minorEastAsia"/>
          <w:b/>
          <w:color w:val="auto"/>
          <w:szCs w:val="21"/>
          <w:highlight w:val="none"/>
        </w:rPr>
      </w:pPr>
    </w:p>
    <w:p>
      <w:pPr>
        <w:spacing w:line="360" w:lineRule="auto"/>
        <w:rPr>
          <w:rFonts w:asciiTheme="minorEastAsia" w:hAnsiTheme="minorEastAsia" w:eastAsiaTheme="minorEastAsia"/>
          <w:b/>
          <w:color w:val="auto"/>
          <w:szCs w:val="21"/>
          <w:highlight w:val="none"/>
        </w:rPr>
      </w:pPr>
    </w:p>
    <w:p>
      <w:pPr>
        <w:spacing w:line="360" w:lineRule="auto"/>
        <w:rPr>
          <w:rFonts w:asciiTheme="minorEastAsia" w:hAnsiTheme="minorEastAsia" w:eastAsiaTheme="minorEastAsia"/>
          <w:b/>
          <w:color w:val="auto"/>
          <w:szCs w:val="21"/>
          <w:highlight w:val="none"/>
        </w:rPr>
      </w:pPr>
    </w:p>
    <w:p>
      <w:pPr>
        <w:spacing w:line="360" w:lineRule="auto"/>
        <w:rPr>
          <w:rFonts w:asciiTheme="minorEastAsia" w:hAnsiTheme="minorEastAsia" w:eastAsiaTheme="minorEastAsia"/>
          <w:b/>
          <w:color w:val="auto"/>
          <w:szCs w:val="21"/>
          <w:highlight w:val="none"/>
        </w:rPr>
      </w:pPr>
    </w:p>
    <w:p>
      <w:pPr>
        <w:spacing w:line="360" w:lineRule="auto"/>
        <w:rPr>
          <w:rFonts w:asciiTheme="minorEastAsia" w:hAnsiTheme="minorEastAsia" w:eastAsiaTheme="minorEastAsia"/>
          <w:b/>
          <w:color w:val="auto"/>
          <w:szCs w:val="21"/>
          <w:highlight w:val="none"/>
        </w:rPr>
      </w:pPr>
    </w:p>
    <w:p>
      <w:pPr>
        <w:spacing w:line="360" w:lineRule="auto"/>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5.</w:t>
      </w:r>
    </w:p>
    <w:p>
      <w:pPr>
        <w:spacing w:line="360" w:lineRule="auto"/>
        <w:jc w:val="center"/>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投标人基本情况表 （附件4）</w:t>
      </w:r>
    </w:p>
    <w:tbl>
      <w:tblPr>
        <w:tblStyle w:val="49"/>
        <w:tblW w:w="8610" w:type="dxa"/>
        <w:tblInd w:w="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0"/>
        <w:gridCol w:w="1813"/>
        <w:gridCol w:w="2538"/>
        <w:gridCol w:w="1530"/>
        <w:gridCol w:w="20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9" w:hRule="atLeast"/>
        </w:trPr>
        <w:tc>
          <w:tcPr>
            <w:tcW w:w="650" w:type="dxa"/>
            <w:vMerge w:val="restart"/>
            <w:vAlign w:val="center"/>
          </w:tcPr>
          <w:p>
            <w:pPr>
              <w:spacing w:line="360" w:lineRule="auto"/>
              <w:jc w:val="center"/>
              <w:rPr>
                <w:rFonts w:asciiTheme="minorEastAsia" w:hAnsiTheme="minorEastAsia" w:eastAsiaTheme="minorEastAsia"/>
                <w:color w:val="auto"/>
                <w:szCs w:val="21"/>
                <w:highlight w:val="none"/>
              </w:rPr>
            </w:pPr>
          </w:p>
          <w:p>
            <w:pPr>
              <w:spacing w:line="360" w:lineRule="auto"/>
              <w:jc w:val="center"/>
              <w:rPr>
                <w:rFonts w:asciiTheme="minorEastAsia" w:hAnsiTheme="minorEastAsia" w:eastAsiaTheme="minorEastAsia"/>
                <w:color w:val="auto"/>
                <w:szCs w:val="21"/>
                <w:highlight w:val="none"/>
              </w:rPr>
            </w:pPr>
          </w:p>
          <w:p>
            <w:pPr>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w:t>
            </w:r>
          </w:p>
          <w:p>
            <w:pPr>
              <w:spacing w:line="360" w:lineRule="auto"/>
              <w:jc w:val="center"/>
              <w:rPr>
                <w:rFonts w:asciiTheme="minorEastAsia" w:hAnsiTheme="minorEastAsia" w:eastAsiaTheme="minorEastAsia"/>
                <w:color w:val="auto"/>
                <w:szCs w:val="21"/>
                <w:highlight w:val="none"/>
              </w:rPr>
            </w:pPr>
          </w:p>
          <w:p>
            <w:pPr>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标</w:t>
            </w:r>
          </w:p>
          <w:p>
            <w:pPr>
              <w:spacing w:line="360" w:lineRule="auto"/>
              <w:jc w:val="center"/>
              <w:rPr>
                <w:rFonts w:asciiTheme="minorEastAsia" w:hAnsiTheme="minorEastAsia" w:eastAsiaTheme="minorEastAsia"/>
                <w:color w:val="auto"/>
                <w:szCs w:val="21"/>
                <w:highlight w:val="none"/>
              </w:rPr>
            </w:pPr>
          </w:p>
          <w:p>
            <w:pPr>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人</w:t>
            </w:r>
          </w:p>
          <w:p>
            <w:pPr>
              <w:spacing w:line="360" w:lineRule="auto"/>
              <w:jc w:val="center"/>
              <w:rPr>
                <w:rFonts w:asciiTheme="minorEastAsia" w:hAnsiTheme="minorEastAsia" w:eastAsiaTheme="minorEastAsia"/>
                <w:color w:val="auto"/>
                <w:szCs w:val="21"/>
                <w:highlight w:val="none"/>
              </w:rPr>
            </w:pPr>
          </w:p>
          <w:p>
            <w:pPr>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概</w:t>
            </w:r>
          </w:p>
          <w:p>
            <w:pPr>
              <w:spacing w:line="360" w:lineRule="auto"/>
              <w:jc w:val="center"/>
              <w:rPr>
                <w:rFonts w:asciiTheme="minorEastAsia" w:hAnsiTheme="minorEastAsia" w:eastAsiaTheme="minorEastAsia"/>
                <w:color w:val="auto"/>
                <w:szCs w:val="21"/>
                <w:highlight w:val="none"/>
              </w:rPr>
            </w:pPr>
          </w:p>
          <w:p>
            <w:pPr>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况</w:t>
            </w:r>
          </w:p>
        </w:tc>
        <w:tc>
          <w:tcPr>
            <w:tcW w:w="1813" w:type="dxa"/>
            <w:vAlign w:val="center"/>
          </w:tcPr>
          <w:p>
            <w:pPr>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公司名称</w:t>
            </w:r>
          </w:p>
        </w:tc>
        <w:tc>
          <w:tcPr>
            <w:tcW w:w="6147" w:type="dxa"/>
            <w:gridSpan w:val="3"/>
            <w:vAlign w:val="center"/>
          </w:tcPr>
          <w:p>
            <w:pPr>
              <w:spacing w:line="360" w:lineRule="auto"/>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2" w:hRule="atLeast"/>
        </w:trPr>
        <w:tc>
          <w:tcPr>
            <w:tcW w:w="650" w:type="dxa"/>
            <w:vMerge w:val="continue"/>
            <w:vAlign w:val="center"/>
          </w:tcPr>
          <w:p>
            <w:pPr>
              <w:spacing w:line="360" w:lineRule="auto"/>
              <w:jc w:val="center"/>
              <w:rPr>
                <w:rFonts w:asciiTheme="minorEastAsia" w:hAnsiTheme="minorEastAsia" w:eastAsiaTheme="minorEastAsia"/>
                <w:color w:val="auto"/>
                <w:szCs w:val="21"/>
                <w:highlight w:val="none"/>
              </w:rPr>
            </w:pPr>
          </w:p>
        </w:tc>
        <w:tc>
          <w:tcPr>
            <w:tcW w:w="1813" w:type="dxa"/>
            <w:vAlign w:val="center"/>
          </w:tcPr>
          <w:p>
            <w:pPr>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地址</w:t>
            </w:r>
          </w:p>
        </w:tc>
        <w:tc>
          <w:tcPr>
            <w:tcW w:w="6147" w:type="dxa"/>
            <w:gridSpan w:val="3"/>
            <w:vAlign w:val="center"/>
          </w:tcPr>
          <w:p>
            <w:pPr>
              <w:spacing w:line="360" w:lineRule="auto"/>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2" w:hRule="atLeast"/>
        </w:trPr>
        <w:tc>
          <w:tcPr>
            <w:tcW w:w="650" w:type="dxa"/>
            <w:vMerge w:val="continue"/>
            <w:vAlign w:val="center"/>
          </w:tcPr>
          <w:p>
            <w:pPr>
              <w:spacing w:line="360" w:lineRule="auto"/>
              <w:jc w:val="center"/>
              <w:rPr>
                <w:rFonts w:asciiTheme="minorEastAsia" w:hAnsiTheme="minorEastAsia" w:eastAsiaTheme="minorEastAsia"/>
                <w:color w:val="auto"/>
                <w:szCs w:val="21"/>
                <w:highlight w:val="none"/>
              </w:rPr>
            </w:pPr>
          </w:p>
        </w:tc>
        <w:tc>
          <w:tcPr>
            <w:tcW w:w="1813" w:type="dxa"/>
            <w:vAlign w:val="center"/>
          </w:tcPr>
          <w:p>
            <w:pPr>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经营范围</w:t>
            </w:r>
          </w:p>
        </w:tc>
        <w:tc>
          <w:tcPr>
            <w:tcW w:w="6147" w:type="dxa"/>
            <w:gridSpan w:val="3"/>
            <w:vAlign w:val="center"/>
          </w:tcPr>
          <w:p>
            <w:pPr>
              <w:spacing w:line="360" w:lineRule="auto"/>
              <w:ind w:firstLine="420" w:firstLineChars="200"/>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2" w:hRule="atLeast"/>
        </w:trPr>
        <w:tc>
          <w:tcPr>
            <w:tcW w:w="650" w:type="dxa"/>
            <w:vMerge w:val="continue"/>
            <w:vAlign w:val="center"/>
          </w:tcPr>
          <w:p>
            <w:pPr>
              <w:spacing w:line="360" w:lineRule="auto"/>
              <w:jc w:val="center"/>
              <w:rPr>
                <w:rFonts w:asciiTheme="minorEastAsia" w:hAnsiTheme="minorEastAsia" w:eastAsiaTheme="minorEastAsia"/>
                <w:color w:val="auto"/>
                <w:szCs w:val="21"/>
                <w:highlight w:val="none"/>
              </w:rPr>
            </w:pPr>
          </w:p>
        </w:tc>
        <w:tc>
          <w:tcPr>
            <w:tcW w:w="1813" w:type="dxa"/>
            <w:vAlign w:val="center"/>
          </w:tcPr>
          <w:p>
            <w:pPr>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成立时间</w:t>
            </w:r>
          </w:p>
        </w:tc>
        <w:tc>
          <w:tcPr>
            <w:tcW w:w="2538" w:type="dxa"/>
            <w:vAlign w:val="center"/>
          </w:tcPr>
          <w:p>
            <w:pPr>
              <w:spacing w:line="360" w:lineRule="auto"/>
              <w:jc w:val="center"/>
              <w:rPr>
                <w:rFonts w:asciiTheme="minorEastAsia" w:hAnsiTheme="minorEastAsia" w:eastAsiaTheme="minorEastAsia"/>
                <w:color w:val="auto"/>
                <w:szCs w:val="21"/>
                <w:highlight w:val="none"/>
              </w:rPr>
            </w:pPr>
          </w:p>
        </w:tc>
        <w:tc>
          <w:tcPr>
            <w:tcW w:w="1530" w:type="dxa"/>
            <w:vAlign w:val="center"/>
          </w:tcPr>
          <w:p>
            <w:pPr>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经济性质</w:t>
            </w:r>
          </w:p>
        </w:tc>
        <w:tc>
          <w:tcPr>
            <w:tcW w:w="2079" w:type="dxa"/>
            <w:vAlign w:val="center"/>
          </w:tcPr>
          <w:p>
            <w:pPr>
              <w:spacing w:line="360" w:lineRule="auto"/>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3" w:hRule="atLeast"/>
        </w:trPr>
        <w:tc>
          <w:tcPr>
            <w:tcW w:w="650" w:type="dxa"/>
            <w:vMerge w:val="continue"/>
            <w:vAlign w:val="center"/>
          </w:tcPr>
          <w:p>
            <w:pPr>
              <w:spacing w:line="360" w:lineRule="auto"/>
              <w:jc w:val="center"/>
              <w:rPr>
                <w:rFonts w:asciiTheme="minorEastAsia" w:hAnsiTheme="minorEastAsia" w:eastAsiaTheme="minorEastAsia"/>
                <w:color w:val="auto"/>
                <w:szCs w:val="21"/>
                <w:highlight w:val="none"/>
              </w:rPr>
            </w:pPr>
          </w:p>
        </w:tc>
        <w:tc>
          <w:tcPr>
            <w:tcW w:w="1813" w:type="dxa"/>
            <w:vAlign w:val="center"/>
          </w:tcPr>
          <w:p>
            <w:pPr>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法定代表人</w:t>
            </w:r>
          </w:p>
        </w:tc>
        <w:tc>
          <w:tcPr>
            <w:tcW w:w="2538" w:type="dxa"/>
            <w:vAlign w:val="center"/>
          </w:tcPr>
          <w:p>
            <w:pPr>
              <w:spacing w:line="360" w:lineRule="auto"/>
              <w:jc w:val="center"/>
              <w:rPr>
                <w:rFonts w:asciiTheme="minorEastAsia" w:hAnsiTheme="minorEastAsia" w:eastAsiaTheme="minorEastAsia"/>
                <w:color w:val="auto"/>
                <w:szCs w:val="21"/>
                <w:highlight w:val="none"/>
              </w:rPr>
            </w:pPr>
          </w:p>
        </w:tc>
        <w:tc>
          <w:tcPr>
            <w:tcW w:w="1530" w:type="dxa"/>
            <w:vAlign w:val="center"/>
          </w:tcPr>
          <w:p>
            <w:pPr>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联系电话</w:t>
            </w:r>
          </w:p>
        </w:tc>
        <w:tc>
          <w:tcPr>
            <w:tcW w:w="2079" w:type="dxa"/>
            <w:vAlign w:val="center"/>
          </w:tcPr>
          <w:p>
            <w:pPr>
              <w:spacing w:line="360" w:lineRule="auto"/>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2" w:hRule="atLeast"/>
        </w:trPr>
        <w:tc>
          <w:tcPr>
            <w:tcW w:w="650" w:type="dxa"/>
            <w:vMerge w:val="continue"/>
            <w:vAlign w:val="center"/>
          </w:tcPr>
          <w:p>
            <w:pPr>
              <w:spacing w:line="360" w:lineRule="auto"/>
              <w:jc w:val="center"/>
              <w:rPr>
                <w:rFonts w:asciiTheme="minorEastAsia" w:hAnsiTheme="minorEastAsia" w:eastAsiaTheme="minorEastAsia"/>
                <w:color w:val="auto"/>
                <w:szCs w:val="21"/>
                <w:highlight w:val="none"/>
              </w:rPr>
            </w:pPr>
          </w:p>
        </w:tc>
        <w:tc>
          <w:tcPr>
            <w:tcW w:w="1813" w:type="dxa"/>
            <w:vAlign w:val="center"/>
          </w:tcPr>
          <w:p>
            <w:pPr>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注册资金</w:t>
            </w:r>
          </w:p>
        </w:tc>
        <w:tc>
          <w:tcPr>
            <w:tcW w:w="2538" w:type="dxa"/>
            <w:vAlign w:val="center"/>
          </w:tcPr>
          <w:p>
            <w:pPr>
              <w:spacing w:line="360" w:lineRule="auto"/>
              <w:jc w:val="center"/>
              <w:rPr>
                <w:rFonts w:asciiTheme="minorEastAsia" w:hAnsiTheme="minorEastAsia" w:eastAsiaTheme="minorEastAsia"/>
                <w:color w:val="auto"/>
                <w:szCs w:val="21"/>
                <w:highlight w:val="none"/>
              </w:rPr>
            </w:pPr>
          </w:p>
        </w:tc>
        <w:tc>
          <w:tcPr>
            <w:tcW w:w="1530" w:type="dxa"/>
            <w:vAlign w:val="center"/>
          </w:tcPr>
          <w:p>
            <w:pPr>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人员数</w:t>
            </w:r>
          </w:p>
        </w:tc>
        <w:tc>
          <w:tcPr>
            <w:tcW w:w="2079" w:type="dxa"/>
            <w:vAlign w:val="center"/>
          </w:tcPr>
          <w:p>
            <w:pPr>
              <w:spacing w:line="360" w:lineRule="auto"/>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1" w:hRule="atLeast"/>
        </w:trPr>
        <w:tc>
          <w:tcPr>
            <w:tcW w:w="650" w:type="dxa"/>
            <w:vMerge w:val="continue"/>
            <w:vAlign w:val="center"/>
          </w:tcPr>
          <w:p>
            <w:pPr>
              <w:spacing w:line="360" w:lineRule="auto"/>
              <w:jc w:val="center"/>
              <w:rPr>
                <w:rFonts w:asciiTheme="minorEastAsia" w:hAnsiTheme="minorEastAsia" w:eastAsiaTheme="minorEastAsia"/>
                <w:color w:val="auto"/>
                <w:szCs w:val="21"/>
                <w:highlight w:val="none"/>
              </w:rPr>
            </w:pPr>
          </w:p>
        </w:tc>
        <w:tc>
          <w:tcPr>
            <w:tcW w:w="1813" w:type="dxa"/>
            <w:vAlign w:val="center"/>
          </w:tcPr>
          <w:p>
            <w:pPr>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资产总额</w:t>
            </w:r>
          </w:p>
        </w:tc>
        <w:tc>
          <w:tcPr>
            <w:tcW w:w="2538" w:type="dxa"/>
            <w:vAlign w:val="center"/>
          </w:tcPr>
          <w:p>
            <w:pPr>
              <w:spacing w:line="360" w:lineRule="auto"/>
              <w:jc w:val="center"/>
              <w:rPr>
                <w:rFonts w:asciiTheme="minorEastAsia" w:hAnsiTheme="minorEastAsia" w:eastAsiaTheme="minorEastAsia"/>
                <w:color w:val="auto"/>
                <w:szCs w:val="21"/>
                <w:highlight w:val="none"/>
              </w:rPr>
            </w:pPr>
          </w:p>
        </w:tc>
        <w:tc>
          <w:tcPr>
            <w:tcW w:w="1530" w:type="dxa"/>
            <w:vAlign w:val="center"/>
          </w:tcPr>
          <w:p>
            <w:pPr>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净资产</w:t>
            </w:r>
          </w:p>
        </w:tc>
        <w:tc>
          <w:tcPr>
            <w:tcW w:w="2079" w:type="dxa"/>
            <w:vAlign w:val="center"/>
          </w:tcPr>
          <w:p>
            <w:pPr>
              <w:spacing w:line="360" w:lineRule="auto"/>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92" w:hRule="atLeast"/>
        </w:trPr>
        <w:tc>
          <w:tcPr>
            <w:tcW w:w="650" w:type="dxa"/>
            <w:vMerge w:val="continue"/>
            <w:vAlign w:val="center"/>
          </w:tcPr>
          <w:p>
            <w:pPr>
              <w:spacing w:line="360" w:lineRule="auto"/>
              <w:jc w:val="center"/>
              <w:rPr>
                <w:rFonts w:asciiTheme="minorEastAsia" w:hAnsiTheme="minorEastAsia" w:eastAsiaTheme="minorEastAsia"/>
                <w:color w:val="auto"/>
                <w:szCs w:val="21"/>
                <w:highlight w:val="none"/>
              </w:rPr>
            </w:pPr>
          </w:p>
        </w:tc>
        <w:tc>
          <w:tcPr>
            <w:tcW w:w="1813" w:type="dxa"/>
            <w:vAlign w:val="center"/>
          </w:tcPr>
          <w:p>
            <w:pPr>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是否依法纳税</w:t>
            </w:r>
          </w:p>
        </w:tc>
        <w:tc>
          <w:tcPr>
            <w:tcW w:w="2538" w:type="dxa"/>
            <w:vAlign w:val="center"/>
          </w:tcPr>
          <w:p>
            <w:pPr>
              <w:spacing w:line="360" w:lineRule="auto"/>
              <w:jc w:val="center"/>
              <w:rPr>
                <w:rFonts w:asciiTheme="minorEastAsia" w:hAnsiTheme="minorEastAsia" w:eastAsiaTheme="minorEastAsia"/>
                <w:color w:val="auto"/>
                <w:szCs w:val="21"/>
                <w:highlight w:val="none"/>
              </w:rPr>
            </w:pPr>
          </w:p>
        </w:tc>
        <w:tc>
          <w:tcPr>
            <w:tcW w:w="1530" w:type="dxa"/>
            <w:vAlign w:val="center"/>
          </w:tcPr>
          <w:p>
            <w:pPr>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是否参加社保</w:t>
            </w:r>
          </w:p>
        </w:tc>
        <w:tc>
          <w:tcPr>
            <w:tcW w:w="2079" w:type="dxa"/>
            <w:vAlign w:val="center"/>
          </w:tcPr>
          <w:p>
            <w:pPr>
              <w:spacing w:line="360" w:lineRule="auto"/>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12" w:hRule="atLeast"/>
        </w:trPr>
        <w:tc>
          <w:tcPr>
            <w:tcW w:w="650" w:type="dxa"/>
            <w:vMerge w:val="continue"/>
            <w:vAlign w:val="center"/>
          </w:tcPr>
          <w:p>
            <w:pPr>
              <w:spacing w:line="360" w:lineRule="auto"/>
              <w:jc w:val="center"/>
              <w:rPr>
                <w:rFonts w:asciiTheme="minorEastAsia" w:hAnsiTheme="minorEastAsia" w:eastAsiaTheme="minorEastAsia"/>
                <w:color w:val="auto"/>
                <w:szCs w:val="21"/>
                <w:highlight w:val="none"/>
              </w:rPr>
            </w:pPr>
          </w:p>
        </w:tc>
        <w:tc>
          <w:tcPr>
            <w:tcW w:w="7960" w:type="dxa"/>
            <w:gridSpan w:val="4"/>
          </w:tcPr>
          <w:p>
            <w:pPr>
              <w:spacing w:line="360" w:lineRule="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单位优势及特点：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trPr>
        <w:tc>
          <w:tcPr>
            <w:tcW w:w="8610" w:type="dxa"/>
            <w:gridSpan w:val="5"/>
            <w:vAlign w:val="center"/>
          </w:tcPr>
          <w:p>
            <w:pPr>
              <w:spacing w:line="360" w:lineRule="auto"/>
              <w:jc w:val="righ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（单位公章）年   月   日</w:t>
            </w:r>
          </w:p>
        </w:tc>
      </w:tr>
    </w:tbl>
    <w:p>
      <w:pPr>
        <w:spacing w:beforeLines="50" w:line="360" w:lineRule="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 xml:space="preserve">   注：附营业执照。</w:t>
      </w:r>
    </w:p>
    <w:p>
      <w:pPr>
        <w:snapToGrid w:val="0"/>
        <w:spacing w:line="360" w:lineRule="auto"/>
        <w:rPr>
          <w:rFonts w:asciiTheme="minorEastAsia" w:hAnsiTheme="minorEastAsia" w:eastAsiaTheme="minorEastAsia"/>
          <w:b/>
          <w:color w:val="auto"/>
          <w:spacing w:val="20"/>
          <w:szCs w:val="21"/>
          <w:highlight w:val="none"/>
        </w:rPr>
      </w:pPr>
    </w:p>
    <w:p>
      <w:pPr>
        <w:snapToGrid w:val="0"/>
        <w:spacing w:line="360" w:lineRule="auto"/>
        <w:rPr>
          <w:rFonts w:asciiTheme="minorEastAsia" w:hAnsiTheme="minorEastAsia" w:eastAsiaTheme="minorEastAsia"/>
          <w:b/>
          <w:bCs/>
          <w:color w:val="auto"/>
          <w:kern w:val="44"/>
          <w:szCs w:val="21"/>
          <w:highlight w:val="none"/>
        </w:rPr>
      </w:pPr>
    </w:p>
    <w:p>
      <w:pPr>
        <w:snapToGrid w:val="0"/>
        <w:spacing w:line="360" w:lineRule="auto"/>
        <w:rPr>
          <w:rFonts w:asciiTheme="minorEastAsia" w:hAnsiTheme="minorEastAsia" w:eastAsiaTheme="minorEastAsia"/>
          <w:b/>
          <w:bCs/>
          <w:color w:val="auto"/>
          <w:kern w:val="44"/>
          <w:szCs w:val="21"/>
          <w:highlight w:val="none"/>
        </w:rPr>
      </w:pPr>
    </w:p>
    <w:p>
      <w:pPr>
        <w:snapToGrid w:val="0"/>
        <w:spacing w:line="360" w:lineRule="auto"/>
        <w:rPr>
          <w:rFonts w:asciiTheme="minorEastAsia" w:hAnsiTheme="minorEastAsia" w:eastAsiaTheme="minorEastAsia"/>
          <w:b/>
          <w:bCs/>
          <w:color w:val="auto"/>
          <w:kern w:val="44"/>
          <w:szCs w:val="21"/>
          <w:highlight w:val="none"/>
        </w:rPr>
      </w:pPr>
    </w:p>
    <w:p>
      <w:pPr>
        <w:snapToGrid w:val="0"/>
        <w:spacing w:line="360" w:lineRule="auto"/>
        <w:rPr>
          <w:rFonts w:asciiTheme="minorEastAsia" w:hAnsiTheme="minorEastAsia" w:eastAsiaTheme="minorEastAsia"/>
          <w:b/>
          <w:bCs/>
          <w:color w:val="auto"/>
          <w:kern w:val="44"/>
          <w:szCs w:val="21"/>
          <w:highlight w:val="none"/>
        </w:rPr>
      </w:pPr>
    </w:p>
    <w:p>
      <w:pPr>
        <w:snapToGrid w:val="0"/>
        <w:spacing w:line="360" w:lineRule="auto"/>
        <w:rPr>
          <w:rFonts w:asciiTheme="minorEastAsia" w:hAnsiTheme="minorEastAsia" w:eastAsiaTheme="minorEastAsia"/>
          <w:b/>
          <w:bCs/>
          <w:color w:val="auto"/>
          <w:kern w:val="44"/>
          <w:szCs w:val="21"/>
          <w:highlight w:val="none"/>
        </w:rPr>
      </w:pPr>
    </w:p>
    <w:p>
      <w:pPr>
        <w:snapToGrid w:val="0"/>
        <w:spacing w:line="360" w:lineRule="auto"/>
        <w:rPr>
          <w:rFonts w:asciiTheme="minorEastAsia" w:hAnsiTheme="minorEastAsia" w:eastAsiaTheme="minorEastAsia"/>
          <w:b/>
          <w:bCs/>
          <w:color w:val="auto"/>
          <w:kern w:val="44"/>
          <w:szCs w:val="21"/>
          <w:highlight w:val="none"/>
        </w:rPr>
      </w:pPr>
    </w:p>
    <w:p>
      <w:pPr>
        <w:snapToGrid w:val="0"/>
        <w:spacing w:line="360" w:lineRule="auto"/>
        <w:rPr>
          <w:rFonts w:asciiTheme="minorEastAsia" w:hAnsiTheme="minorEastAsia" w:eastAsiaTheme="minorEastAsia"/>
          <w:b/>
          <w:bCs/>
          <w:color w:val="auto"/>
          <w:kern w:val="44"/>
          <w:szCs w:val="21"/>
          <w:highlight w:val="none"/>
        </w:rPr>
      </w:pPr>
    </w:p>
    <w:p>
      <w:pPr>
        <w:snapToGrid w:val="0"/>
        <w:spacing w:line="360" w:lineRule="auto"/>
        <w:rPr>
          <w:rFonts w:asciiTheme="minorEastAsia" w:hAnsiTheme="minorEastAsia" w:eastAsiaTheme="minorEastAsia"/>
          <w:b/>
          <w:bCs/>
          <w:color w:val="auto"/>
          <w:kern w:val="44"/>
          <w:szCs w:val="21"/>
          <w:highlight w:val="none"/>
        </w:rPr>
      </w:pPr>
    </w:p>
    <w:p>
      <w:pPr>
        <w:snapToGrid w:val="0"/>
        <w:spacing w:line="360" w:lineRule="auto"/>
        <w:rPr>
          <w:rFonts w:asciiTheme="minorEastAsia" w:hAnsiTheme="minorEastAsia" w:eastAsiaTheme="minorEastAsia"/>
          <w:b/>
          <w:bCs/>
          <w:color w:val="auto"/>
          <w:kern w:val="44"/>
          <w:szCs w:val="21"/>
          <w:highlight w:val="none"/>
        </w:rPr>
      </w:pPr>
    </w:p>
    <w:p>
      <w:pPr>
        <w:snapToGrid w:val="0"/>
        <w:spacing w:line="360" w:lineRule="auto"/>
        <w:rPr>
          <w:rFonts w:asciiTheme="minorEastAsia" w:hAnsiTheme="minorEastAsia" w:eastAsiaTheme="minorEastAsia"/>
          <w:b/>
          <w:color w:val="auto"/>
          <w:spacing w:val="20"/>
          <w:szCs w:val="21"/>
          <w:highlight w:val="none"/>
        </w:rPr>
      </w:pPr>
      <w:r>
        <w:rPr>
          <w:rFonts w:hint="eastAsia" w:asciiTheme="minorEastAsia" w:hAnsiTheme="minorEastAsia" w:eastAsiaTheme="minorEastAsia"/>
          <w:b/>
          <w:color w:val="auto"/>
          <w:spacing w:val="20"/>
          <w:szCs w:val="21"/>
          <w:highlight w:val="none"/>
        </w:rPr>
        <w:t>6 .</w:t>
      </w:r>
    </w:p>
    <w:p>
      <w:pPr>
        <w:snapToGrid w:val="0"/>
        <w:spacing w:line="360" w:lineRule="auto"/>
        <w:jc w:val="center"/>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业绩一览表（附件5）</w:t>
      </w:r>
    </w:p>
    <w:tbl>
      <w:tblPr>
        <w:tblStyle w:val="49"/>
        <w:tblW w:w="9907" w:type="dxa"/>
        <w:tblInd w:w="-61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7"/>
        <w:gridCol w:w="2067"/>
        <w:gridCol w:w="2067"/>
        <w:gridCol w:w="1720"/>
        <w:gridCol w:w="20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987" w:type="dxa"/>
            <w:vAlign w:val="center"/>
          </w:tcPr>
          <w:p>
            <w:pPr>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序号</w:t>
            </w:r>
          </w:p>
        </w:tc>
        <w:tc>
          <w:tcPr>
            <w:tcW w:w="2067" w:type="dxa"/>
            <w:vAlign w:val="center"/>
          </w:tcPr>
          <w:p>
            <w:pPr>
              <w:autoSpaceDE w:val="0"/>
              <w:autoSpaceDN w:val="0"/>
              <w:adjustRightInd w:val="0"/>
              <w:snapToGrid w:val="0"/>
              <w:spacing w:line="360" w:lineRule="auto"/>
              <w:jc w:val="center"/>
              <w:rPr>
                <w:rFonts w:asciiTheme="minorEastAsia" w:hAnsiTheme="minorEastAsia" w:eastAsiaTheme="minorEastAsia"/>
                <w:color w:val="auto"/>
                <w:szCs w:val="21"/>
                <w:highlight w:val="none"/>
                <w:lang w:val="zh-CN"/>
              </w:rPr>
            </w:pPr>
            <w:r>
              <w:rPr>
                <w:rFonts w:hint="eastAsia" w:asciiTheme="minorEastAsia" w:hAnsiTheme="minorEastAsia" w:eastAsiaTheme="minorEastAsia"/>
                <w:color w:val="auto"/>
                <w:szCs w:val="21"/>
                <w:highlight w:val="none"/>
              </w:rPr>
              <w:t>项目名称</w:t>
            </w:r>
          </w:p>
        </w:tc>
        <w:tc>
          <w:tcPr>
            <w:tcW w:w="2067" w:type="dxa"/>
            <w:vAlign w:val="center"/>
          </w:tcPr>
          <w:p>
            <w:pPr>
              <w:autoSpaceDE w:val="0"/>
              <w:autoSpaceDN w:val="0"/>
              <w:adjustRightInd w:val="0"/>
              <w:snapToGrid w:val="0"/>
              <w:spacing w:line="360" w:lineRule="auto"/>
              <w:jc w:val="center"/>
              <w:rPr>
                <w:rFonts w:asciiTheme="minorEastAsia" w:hAnsiTheme="minorEastAsia" w:eastAsiaTheme="minorEastAsia"/>
                <w:color w:val="auto"/>
                <w:szCs w:val="21"/>
                <w:highlight w:val="none"/>
                <w:lang w:val="zh-CN"/>
              </w:rPr>
            </w:pPr>
            <w:r>
              <w:rPr>
                <w:rFonts w:hint="eastAsia" w:asciiTheme="minorEastAsia" w:hAnsiTheme="minorEastAsia" w:eastAsiaTheme="minorEastAsia"/>
                <w:color w:val="auto"/>
                <w:szCs w:val="21"/>
                <w:highlight w:val="none"/>
                <w:lang w:val="zh-CN"/>
              </w:rPr>
              <w:t>项目金额</w:t>
            </w:r>
          </w:p>
          <w:p>
            <w:pPr>
              <w:autoSpaceDE w:val="0"/>
              <w:autoSpaceDN w:val="0"/>
              <w:adjustRightInd w:val="0"/>
              <w:snapToGrid w:val="0"/>
              <w:spacing w:line="360" w:lineRule="auto"/>
              <w:jc w:val="center"/>
              <w:rPr>
                <w:rFonts w:asciiTheme="minorEastAsia" w:hAnsiTheme="minorEastAsia" w:eastAsiaTheme="minorEastAsia"/>
                <w:color w:val="auto"/>
                <w:szCs w:val="21"/>
                <w:highlight w:val="none"/>
                <w:lang w:val="zh-CN"/>
              </w:rPr>
            </w:pPr>
            <w:r>
              <w:rPr>
                <w:rFonts w:hint="eastAsia" w:asciiTheme="minorEastAsia" w:hAnsiTheme="minorEastAsia" w:eastAsiaTheme="minorEastAsia"/>
                <w:color w:val="auto"/>
                <w:szCs w:val="21"/>
                <w:highlight w:val="none"/>
                <w:lang w:val="zh-CN"/>
              </w:rPr>
              <w:t>（</w:t>
            </w:r>
            <w:r>
              <w:rPr>
                <w:rFonts w:hint="eastAsia" w:asciiTheme="minorEastAsia" w:hAnsiTheme="minorEastAsia" w:eastAsiaTheme="minorEastAsia"/>
                <w:color w:val="auto"/>
                <w:szCs w:val="21"/>
                <w:highlight w:val="none"/>
              </w:rPr>
              <w:t>万元）</w:t>
            </w:r>
          </w:p>
        </w:tc>
        <w:tc>
          <w:tcPr>
            <w:tcW w:w="1720" w:type="dxa"/>
            <w:vAlign w:val="center"/>
          </w:tcPr>
          <w:p>
            <w:pPr>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合同时间</w:t>
            </w:r>
          </w:p>
        </w:tc>
        <w:tc>
          <w:tcPr>
            <w:tcW w:w="2066" w:type="dxa"/>
            <w:vAlign w:val="center"/>
          </w:tcPr>
          <w:p>
            <w:pPr>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98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1720"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6"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98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1720"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6"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98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1720"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6"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98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1720"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6"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98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1720"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6"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98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1720"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6"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98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1720"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6"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98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1720"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6"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98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1720"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6"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98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1720"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6"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98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1720"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6"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98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1720"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6"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98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1720"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6"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98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1720"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6"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98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1720"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6"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98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7"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1720"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c>
          <w:tcPr>
            <w:tcW w:w="2066" w:type="dxa"/>
            <w:vAlign w:val="center"/>
          </w:tcPr>
          <w:p>
            <w:pPr>
              <w:spacing w:line="360" w:lineRule="auto"/>
              <w:ind w:firstLine="525" w:firstLineChars="250"/>
              <w:jc w:val="center"/>
              <w:rPr>
                <w:rFonts w:asciiTheme="minorEastAsia" w:hAnsiTheme="minorEastAsia" w:eastAsiaTheme="minorEastAsia"/>
                <w:color w:val="auto"/>
                <w:szCs w:val="21"/>
                <w:highlight w:val="none"/>
              </w:rPr>
            </w:pPr>
          </w:p>
        </w:tc>
      </w:tr>
    </w:tbl>
    <w:p>
      <w:pPr>
        <w:pStyle w:val="29"/>
        <w:tabs>
          <w:tab w:val="left" w:pos="1200"/>
        </w:tabs>
        <w:spacing w:before="120" w:after="120"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注：1、以上项目须提供合同复印件加盖单位公章.</w:t>
      </w:r>
    </w:p>
    <w:p>
      <w:pPr>
        <w:pStyle w:val="29"/>
        <w:tabs>
          <w:tab w:val="left" w:pos="1200"/>
        </w:tabs>
        <w:spacing w:before="120" w:after="120" w:line="360" w:lineRule="auto"/>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2、本表可在不改变格式的情况下根据具体需要自行增减。</w:t>
      </w:r>
    </w:p>
    <w:p>
      <w:pPr>
        <w:snapToGrid w:val="0"/>
        <w:spacing w:line="360" w:lineRule="auto"/>
        <w:rPr>
          <w:rFonts w:asciiTheme="minorEastAsia" w:hAnsiTheme="minorEastAsia" w:eastAsiaTheme="minorEastAsia"/>
          <w:color w:val="auto"/>
          <w:spacing w:val="20"/>
          <w:szCs w:val="21"/>
          <w:highlight w:val="none"/>
        </w:rPr>
      </w:pPr>
    </w:p>
    <w:p>
      <w:pPr>
        <w:snapToGrid w:val="0"/>
        <w:spacing w:line="360" w:lineRule="auto"/>
        <w:rPr>
          <w:rFonts w:asciiTheme="minorEastAsia" w:hAnsiTheme="minorEastAsia" w:eastAsiaTheme="minorEastAsia"/>
          <w:color w:val="auto"/>
          <w:spacing w:val="20"/>
          <w:szCs w:val="21"/>
          <w:highlight w:val="none"/>
        </w:rPr>
      </w:pPr>
    </w:p>
    <w:p>
      <w:pPr>
        <w:snapToGrid w:val="0"/>
        <w:spacing w:line="360" w:lineRule="auto"/>
        <w:rPr>
          <w:rFonts w:asciiTheme="minorEastAsia" w:hAnsiTheme="minorEastAsia" w:eastAsiaTheme="minorEastAsia"/>
          <w:color w:val="auto"/>
          <w:spacing w:val="20"/>
          <w:szCs w:val="21"/>
          <w:highlight w:val="none"/>
        </w:rPr>
      </w:pPr>
    </w:p>
    <w:p>
      <w:pPr>
        <w:snapToGrid w:val="0"/>
        <w:spacing w:line="360" w:lineRule="auto"/>
        <w:rPr>
          <w:rFonts w:asciiTheme="minorEastAsia" w:hAnsiTheme="minorEastAsia" w:eastAsiaTheme="minorEastAsia"/>
          <w:color w:val="auto"/>
          <w:spacing w:val="20"/>
          <w:szCs w:val="21"/>
          <w:highlight w:val="none"/>
        </w:rPr>
      </w:pPr>
    </w:p>
    <w:p>
      <w:pPr>
        <w:pStyle w:val="48"/>
        <w:ind w:firstLine="404"/>
        <w:rPr>
          <w:color w:val="auto"/>
          <w:highlight w:val="none"/>
        </w:rPr>
      </w:pPr>
    </w:p>
    <w:p>
      <w:pPr>
        <w:snapToGrid w:val="0"/>
        <w:spacing w:line="360" w:lineRule="auto"/>
        <w:rPr>
          <w:rFonts w:asciiTheme="minorEastAsia" w:hAnsiTheme="minorEastAsia" w:eastAsiaTheme="minorEastAsia"/>
          <w:b/>
          <w:color w:val="auto"/>
          <w:spacing w:val="20"/>
          <w:szCs w:val="21"/>
          <w:highlight w:val="none"/>
        </w:rPr>
      </w:pPr>
      <w:r>
        <w:rPr>
          <w:rFonts w:hint="eastAsia" w:asciiTheme="minorEastAsia" w:hAnsiTheme="minorEastAsia" w:eastAsiaTheme="minorEastAsia"/>
          <w:b/>
          <w:color w:val="auto"/>
          <w:spacing w:val="20"/>
          <w:szCs w:val="21"/>
          <w:highlight w:val="none"/>
        </w:rPr>
        <w:t>7.</w:t>
      </w:r>
    </w:p>
    <w:p>
      <w:pPr>
        <w:snapToGrid w:val="0"/>
        <w:spacing w:line="360" w:lineRule="auto"/>
        <w:jc w:val="center"/>
        <w:rPr>
          <w:rFonts w:asciiTheme="minorEastAsia" w:hAnsiTheme="minorEastAsia" w:eastAsiaTheme="minorEastAsia"/>
          <w:b/>
          <w:color w:val="auto"/>
          <w:spacing w:val="20"/>
          <w:szCs w:val="21"/>
          <w:highlight w:val="none"/>
        </w:rPr>
      </w:pPr>
      <w:r>
        <w:rPr>
          <w:rFonts w:hint="eastAsia" w:asciiTheme="minorEastAsia" w:hAnsiTheme="minorEastAsia" w:eastAsiaTheme="minorEastAsia"/>
          <w:b/>
          <w:color w:val="auto"/>
          <w:spacing w:val="20"/>
          <w:szCs w:val="21"/>
          <w:highlight w:val="none"/>
        </w:rPr>
        <w:t>认证证书情况（附件6）</w:t>
      </w:r>
    </w:p>
    <w:tbl>
      <w:tblPr>
        <w:tblStyle w:val="49"/>
        <w:tblW w:w="8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4"/>
        <w:gridCol w:w="2321"/>
        <w:gridCol w:w="1900"/>
        <w:gridCol w:w="1477"/>
        <w:gridCol w:w="17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trPr>
        <w:tc>
          <w:tcPr>
            <w:tcW w:w="1034" w:type="dxa"/>
          </w:tcPr>
          <w:p>
            <w:pPr>
              <w:spacing w:line="360" w:lineRule="auto"/>
              <w:jc w:val="center"/>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序号</w:t>
            </w:r>
          </w:p>
        </w:tc>
        <w:tc>
          <w:tcPr>
            <w:tcW w:w="2321" w:type="dxa"/>
          </w:tcPr>
          <w:p>
            <w:pPr>
              <w:spacing w:line="360" w:lineRule="auto"/>
              <w:jc w:val="center"/>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名称</w:t>
            </w:r>
          </w:p>
        </w:tc>
        <w:tc>
          <w:tcPr>
            <w:tcW w:w="1900" w:type="dxa"/>
          </w:tcPr>
          <w:p>
            <w:pPr>
              <w:spacing w:line="360" w:lineRule="auto"/>
              <w:jc w:val="center"/>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获得时间</w:t>
            </w:r>
          </w:p>
        </w:tc>
        <w:tc>
          <w:tcPr>
            <w:tcW w:w="1477" w:type="dxa"/>
          </w:tcPr>
          <w:p>
            <w:pPr>
              <w:spacing w:line="360" w:lineRule="auto"/>
              <w:jc w:val="center"/>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认证机构</w:t>
            </w:r>
          </w:p>
        </w:tc>
        <w:tc>
          <w:tcPr>
            <w:tcW w:w="1796" w:type="dxa"/>
          </w:tcPr>
          <w:p>
            <w:pPr>
              <w:spacing w:line="360" w:lineRule="auto"/>
              <w:jc w:val="center"/>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1034" w:type="dxa"/>
          </w:tcPr>
          <w:p>
            <w:pPr>
              <w:spacing w:line="360" w:lineRule="auto"/>
              <w:jc w:val="center"/>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1</w:t>
            </w:r>
          </w:p>
        </w:tc>
        <w:tc>
          <w:tcPr>
            <w:tcW w:w="2321" w:type="dxa"/>
          </w:tcPr>
          <w:p>
            <w:pPr>
              <w:spacing w:line="360" w:lineRule="auto"/>
              <w:rPr>
                <w:rFonts w:asciiTheme="minorEastAsia" w:hAnsiTheme="minorEastAsia" w:eastAsiaTheme="minorEastAsia"/>
                <w:bCs/>
                <w:color w:val="auto"/>
                <w:szCs w:val="21"/>
                <w:highlight w:val="none"/>
              </w:rPr>
            </w:pPr>
          </w:p>
        </w:tc>
        <w:tc>
          <w:tcPr>
            <w:tcW w:w="1900" w:type="dxa"/>
          </w:tcPr>
          <w:p>
            <w:pPr>
              <w:spacing w:line="360" w:lineRule="auto"/>
              <w:rPr>
                <w:rFonts w:asciiTheme="minorEastAsia" w:hAnsiTheme="minorEastAsia" w:eastAsiaTheme="minorEastAsia"/>
                <w:bCs/>
                <w:color w:val="auto"/>
                <w:szCs w:val="21"/>
                <w:highlight w:val="none"/>
              </w:rPr>
            </w:pPr>
          </w:p>
        </w:tc>
        <w:tc>
          <w:tcPr>
            <w:tcW w:w="1477" w:type="dxa"/>
          </w:tcPr>
          <w:p>
            <w:pPr>
              <w:spacing w:line="360" w:lineRule="auto"/>
              <w:rPr>
                <w:rFonts w:asciiTheme="minorEastAsia" w:hAnsiTheme="minorEastAsia" w:eastAsiaTheme="minorEastAsia"/>
                <w:bCs/>
                <w:color w:val="auto"/>
                <w:szCs w:val="21"/>
                <w:highlight w:val="none"/>
              </w:rPr>
            </w:pPr>
          </w:p>
        </w:tc>
        <w:tc>
          <w:tcPr>
            <w:tcW w:w="1796" w:type="dxa"/>
          </w:tcPr>
          <w:p>
            <w:pPr>
              <w:spacing w:line="360" w:lineRule="auto"/>
              <w:rPr>
                <w:rFonts w:asciiTheme="minorEastAsia" w:hAnsiTheme="minorEastAsia" w:eastAsiaTheme="minorEastAsia"/>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1034" w:type="dxa"/>
          </w:tcPr>
          <w:p>
            <w:pPr>
              <w:spacing w:line="360" w:lineRule="auto"/>
              <w:jc w:val="center"/>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2</w:t>
            </w:r>
          </w:p>
        </w:tc>
        <w:tc>
          <w:tcPr>
            <w:tcW w:w="2321" w:type="dxa"/>
          </w:tcPr>
          <w:p>
            <w:pPr>
              <w:spacing w:line="360" w:lineRule="auto"/>
              <w:rPr>
                <w:rFonts w:asciiTheme="minorEastAsia" w:hAnsiTheme="minorEastAsia" w:eastAsiaTheme="minorEastAsia"/>
                <w:bCs/>
                <w:color w:val="auto"/>
                <w:szCs w:val="21"/>
                <w:highlight w:val="none"/>
              </w:rPr>
            </w:pPr>
          </w:p>
        </w:tc>
        <w:tc>
          <w:tcPr>
            <w:tcW w:w="1900" w:type="dxa"/>
          </w:tcPr>
          <w:p>
            <w:pPr>
              <w:spacing w:line="360" w:lineRule="auto"/>
              <w:rPr>
                <w:rFonts w:asciiTheme="minorEastAsia" w:hAnsiTheme="minorEastAsia" w:eastAsiaTheme="minorEastAsia"/>
                <w:bCs/>
                <w:color w:val="auto"/>
                <w:szCs w:val="21"/>
                <w:highlight w:val="none"/>
              </w:rPr>
            </w:pPr>
          </w:p>
        </w:tc>
        <w:tc>
          <w:tcPr>
            <w:tcW w:w="1477" w:type="dxa"/>
          </w:tcPr>
          <w:p>
            <w:pPr>
              <w:spacing w:line="360" w:lineRule="auto"/>
              <w:rPr>
                <w:rFonts w:asciiTheme="minorEastAsia" w:hAnsiTheme="minorEastAsia" w:eastAsiaTheme="minorEastAsia"/>
                <w:bCs/>
                <w:color w:val="auto"/>
                <w:szCs w:val="21"/>
                <w:highlight w:val="none"/>
              </w:rPr>
            </w:pPr>
          </w:p>
        </w:tc>
        <w:tc>
          <w:tcPr>
            <w:tcW w:w="1796" w:type="dxa"/>
          </w:tcPr>
          <w:p>
            <w:pPr>
              <w:spacing w:line="360" w:lineRule="auto"/>
              <w:rPr>
                <w:rFonts w:asciiTheme="minorEastAsia" w:hAnsiTheme="minorEastAsia" w:eastAsiaTheme="minorEastAsia"/>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1034" w:type="dxa"/>
          </w:tcPr>
          <w:p>
            <w:pPr>
              <w:spacing w:line="360" w:lineRule="auto"/>
              <w:jc w:val="center"/>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3</w:t>
            </w:r>
          </w:p>
        </w:tc>
        <w:tc>
          <w:tcPr>
            <w:tcW w:w="2321" w:type="dxa"/>
          </w:tcPr>
          <w:p>
            <w:pPr>
              <w:spacing w:line="360" w:lineRule="auto"/>
              <w:rPr>
                <w:rFonts w:asciiTheme="minorEastAsia" w:hAnsiTheme="minorEastAsia" w:eastAsiaTheme="minorEastAsia"/>
                <w:bCs/>
                <w:color w:val="auto"/>
                <w:szCs w:val="21"/>
                <w:highlight w:val="none"/>
              </w:rPr>
            </w:pPr>
          </w:p>
        </w:tc>
        <w:tc>
          <w:tcPr>
            <w:tcW w:w="1900" w:type="dxa"/>
          </w:tcPr>
          <w:p>
            <w:pPr>
              <w:spacing w:line="360" w:lineRule="auto"/>
              <w:rPr>
                <w:rFonts w:asciiTheme="minorEastAsia" w:hAnsiTheme="minorEastAsia" w:eastAsiaTheme="minorEastAsia"/>
                <w:bCs/>
                <w:color w:val="auto"/>
                <w:szCs w:val="21"/>
                <w:highlight w:val="none"/>
              </w:rPr>
            </w:pPr>
          </w:p>
        </w:tc>
        <w:tc>
          <w:tcPr>
            <w:tcW w:w="1477" w:type="dxa"/>
          </w:tcPr>
          <w:p>
            <w:pPr>
              <w:spacing w:line="360" w:lineRule="auto"/>
              <w:rPr>
                <w:rFonts w:asciiTheme="minorEastAsia" w:hAnsiTheme="minorEastAsia" w:eastAsiaTheme="minorEastAsia"/>
                <w:bCs/>
                <w:color w:val="auto"/>
                <w:szCs w:val="21"/>
                <w:highlight w:val="none"/>
              </w:rPr>
            </w:pPr>
          </w:p>
        </w:tc>
        <w:tc>
          <w:tcPr>
            <w:tcW w:w="1796" w:type="dxa"/>
          </w:tcPr>
          <w:p>
            <w:pPr>
              <w:spacing w:line="360" w:lineRule="auto"/>
              <w:rPr>
                <w:rFonts w:asciiTheme="minorEastAsia" w:hAnsiTheme="minorEastAsia" w:eastAsiaTheme="minorEastAsia"/>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1034" w:type="dxa"/>
          </w:tcPr>
          <w:p>
            <w:pPr>
              <w:spacing w:line="360" w:lineRule="auto"/>
              <w:jc w:val="center"/>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4</w:t>
            </w:r>
          </w:p>
        </w:tc>
        <w:tc>
          <w:tcPr>
            <w:tcW w:w="2321" w:type="dxa"/>
          </w:tcPr>
          <w:p>
            <w:pPr>
              <w:spacing w:line="360" w:lineRule="auto"/>
              <w:rPr>
                <w:rFonts w:asciiTheme="minorEastAsia" w:hAnsiTheme="minorEastAsia" w:eastAsiaTheme="minorEastAsia"/>
                <w:bCs/>
                <w:color w:val="auto"/>
                <w:szCs w:val="21"/>
                <w:highlight w:val="none"/>
              </w:rPr>
            </w:pPr>
          </w:p>
        </w:tc>
        <w:tc>
          <w:tcPr>
            <w:tcW w:w="1900" w:type="dxa"/>
          </w:tcPr>
          <w:p>
            <w:pPr>
              <w:spacing w:line="360" w:lineRule="auto"/>
              <w:rPr>
                <w:rFonts w:asciiTheme="minorEastAsia" w:hAnsiTheme="minorEastAsia" w:eastAsiaTheme="minorEastAsia"/>
                <w:bCs/>
                <w:color w:val="auto"/>
                <w:szCs w:val="21"/>
                <w:highlight w:val="none"/>
              </w:rPr>
            </w:pPr>
          </w:p>
        </w:tc>
        <w:tc>
          <w:tcPr>
            <w:tcW w:w="1477" w:type="dxa"/>
          </w:tcPr>
          <w:p>
            <w:pPr>
              <w:spacing w:line="360" w:lineRule="auto"/>
              <w:rPr>
                <w:rFonts w:asciiTheme="minorEastAsia" w:hAnsiTheme="minorEastAsia" w:eastAsiaTheme="minorEastAsia"/>
                <w:bCs/>
                <w:color w:val="auto"/>
                <w:szCs w:val="21"/>
                <w:highlight w:val="none"/>
              </w:rPr>
            </w:pPr>
          </w:p>
        </w:tc>
        <w:tc>
          <w:tcPr>
            <w:tcW w:w="1796" w:type="dxa"/>
          </w:tcPr>
          <w:p>
            <w:pPr>
              <w:spacing w:line="360" w:lineRule="auto"/>
              <w:rPr>
                <w:rFonts w:asciiTheme="minorEastAsia" w:hAnsiTheme="minorEastAsia" w:eastAsiaTheme="minorEastAsia"/>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1034" w:type="dxa"/>
          </w:tcPr>
          <w:p>
            <w:pPr>
              <w:spacing w:line="360" w:lineRule="auto"/>
              <w:jc w:val="center"/>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5</w:t>
            </w:r>
          </w:p>
        </w:tc>
        <w:tc>
          <w:tcPr>
            <w:tcW w:w="2321" w:type="dxa"/>
          </w:tcPr>
          <w:p>
            <w:pPr>
              <w:spacing w:line="360" w:lineRule="auto"/>
              <w:rPr>
                <w:rFonts w:asciiTheme="minorEastAsia" w:hAnsiTheme="minorEastAsia" w:eastAsiaTheme="minorEastAsia"/>
                <w:bCs/>
                <w:color w:val="auto"/>
                <w:szCs w:val="21"/>
                <w:highlight w:val="none"/>
              </w:rPr>
            </w:pPr>
          </w:p>
        </w:tc>
        <w:tc>
          <w:tcPr>
            <w:tcW w:w="1900" w:type="dxa"/>
          </w:tcPr>
          <w:p>
            <w:pPr>
              <w:spacing w:line="360" w:lineRule="auto"/>
              <w:rPr>
                <w:rFonts w:asciiTheme="minorEastAsia" w:hAnsiTheme="minorEastAsia" w:eastAsiaTheme="minorEastAsia"/>
                <w:bCs/>
                <w:color w:val="auto"/>
                <w:szCs w:val="21"/>
                <w:highlight w:val="none"/>
              </w:rPr>
            </w:pPr>
          </w:p>
        </w:tc>
        <w:tc>
          <w:tcPr>
            <w:tcW w:w="1477" w:type="dxa"/>
          </w:tcPr>
          <w:p>
            <w:pPr>
              <w:spacing w:line="360" w:lineRule="auto"/>
              <w:rPr>
                <w:rFonts w:asciiTheme="minorEastAsia" w:hAnsiTheme="minorEastAsia" w:eastAsiaTheme="minorEastAsia"/>
                <w:bCs/>
                <w:color w:val="auto"/>
                <w:szCs w:val="21"/>
                <w:highlight w:val="none"/>
              </w:rPr>
            </w:pPr>
          </w:p>
        </w:tc>
        <w:tc>
          <w:tcPr>
            <w:tcW w:w="1796" w:type="dxa"/>
          </w:tcPr>
          <w:p>
            <w:pPr>
              <w:spacing w:line="360" w:lineRule="auto"/>
              <w:rPr>
                <w:rFonts w:asciiTheme="minorEastAsia" w:hAnsiTheme="minorEastAsia" w:eastAsiaTheme="minorEastAsia"/>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1034" w:type="dxa"/>
          </w:tcPr>
          <w:p>
            <w:pPr>
              <w:spacing w:line="360" w:lineRule="auto"/>
              <w:jc w:val="center"/>
              <w:rPr>
                <w:rFonts w:asciiTheme="minorEastAsia" w:hAnsiTheme="minorEastAsia" w:eastAsiaTheme="minorEastAsia"/>
                <w:bCs/>
                <w:color w:val="auto"/>
                <w:szCs w:val="21"/>
                <w:highlight w:val="none"/>
              </w:rPr>
            </w:pPr>
            <w:r>
              <w:rPr>
                <w:rFonts w:asciiTheme="minorEastAsia" w:hAnsiTheme="minorEastAsia" w:eastAsiaTheme="minorEastAsia"/>
                <w:bCs/>
                <w:color w:val="auto"/>
                <w:szCs w:val="21"/>
                <w:highlight w:val="none"/>
              </w:rPr>
              <w:t>……</w:t>
            </w:r>
          </w:p>
        </w:tc>
        <w:tc>
          <w:tcPr>
            <w:tcW w:w="2321" w:type="dxa"/>
          </w:tcPr>
          <w:p>
            <w:pPr>
              <w:spacing w:line="360" w:lineRule="auto"/>
              <w:jc w:val="center"/>
              <w:rPr>
                <w:rFonts w:asciiTheme="minorEastAsia" w:hAnsiTheme="minorEastAsia" w:eastAsiaTheme="minorEastAsia"/>
                <w:bCs/>
                <w:color w:val="auto"/>
                <w:szCs w:val="21"/>
                <w:highlight w:val="none"/>
              </w:rPr>
            </w:pPr>
          </w:p>
        </w:tc>
        <w:tc>
          <w:tcPr>
            <w:tcW w:w="1900" w:type="dxa"/>
          </w:tcPr>
          <w:p>
            <w:pPr>
              <w:spacing w:line="360" w:lineRule="auto"/>
              <w:jc w:val="center"/>
              <w:rPr>
                <w:rFonts w:asciiTheme="minorEastAsia" w:hAnsiTheme="minorEastAsia" w:eastAsiaTheme="minorEastAsia"/>
                <w:bCs/>
                <w:color w:val="auto"/>
                <w:szCs w:val="21"/>
                <w:highlight w:val="none"/>
              </w:rPr>
            </w:pPr>
          </w:p>
        </w:tc>
        <w:tc>
          <w:tcPr>
            <w:tcW w:w="1477" w:type="dxa"/>
          </w:tcPr>
          <w:p>
            <w:pPr>
              <w:spacing w:line="360" w:lineRule="auto"/>
              <w:jc w:val="center"/>
              <w:rPr>
                <w:rFonts w:asciiTheme="minorEastAsia" w:hAnsiTheme="minorEastAsia" w:eastAsiaTheme="minorEastAsia"/>
                <w:bCs/>
                <w:color w:val="auto"/>
                <w:szCs w:val="21"/>
                <w:highlight w:val="none"/>
              </w:rPr>
            </w:pPr>
          </w:p>
        </w:tc>
        <w:tc>
          <w:tcPr>
            <w:tcW w:w="1796" w:type="dxa"/>
          </w:tcPr>
          <w:p>
            <w:pPr>
              <w:spacing w:line="360" w:lineRule="auto"/>
              <w:jc w:val="center"/>
              <w:rPr>
                <w:rFonts w:asciiTheme="minorEastAsia" w:hAnsiTheme="minorEastAsia" w:eastAsiaTheme="minorEastAsia"/>
                <w:bCs/>
                <w:color w:val="auto"/>
                <w:szCs w:val="21"/>
                <w:highlight w:val="none"/>
              </w:rPr>
            </w:pPr>
          </w:p>
        </w:tc>
      </w:tr>
    </w:tbl>
    <w:p>
      <w:pPr>
        <w:pStyle w:val="29"/>
        <w:tabs>
          <w:tab w:val="left" w:pos="1200"/>
        </w:tabs>
        <w:spacing w:before="120" w:after="120" w:line="360" w:lineRule="auto"/>
        <w:ind w:left="886" w:leftChars="22" w:hanging="840" w:hangingChars="4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注：1、以上项目须提供证书复印件加盖单位公章。</w:t>
      </w:r>
      <w:bookmarkStart w:id="113" w:name="OLE_LINK7"/>
    </w:p>
    <w:p>
      <w:pPr>
        <w:snapToGrid w:val="0"/>
        <w:spacing w:line="360" w:lineRule="auto"/>
        <w:ind w:firstLine="211" w:firstLineChars="100"/>
        <w:jc w:val="left"/>
        <w:rPr>
          <w:rFonts w:asciiTheme="minorEastAsia" w:hAnsiTheme="minorEastAsia" w:eastAsiaTheme="minorEastAsia"/>
          <w:b/>
          <w:bCs/>
          <w:color w:val="auto"/>
          <w:szCs w:val="21"/>
          <w:highlight w:val="none"/>
        </w:rPr>
      </w:pPr>
      <w:r>
        <w:rPr>
          <w:rFonts w:hint="eastAsia" w:asciiTheme="minorEastAsia" w:hAnsiTheme="minorEastAsia" w:eastAsiaTheme="minorEastAsia"/>
          <w:b/>
          <w:bCs/>
          <w:color w:val="auto"/>
          <w:szCs w:val="21"/>
          <w:highlight w:val="none"/>
        </w:rPr>
        <w:t>8.</w:t>
      </w:r>
      <w:bookmarkEnd w:id="113"/>
    </w:p>
    <w:p>
      <w:pPr>
        <w:snapToGrid w:val="0"/>
        <w:spacing w:line="360" w:lineRule="auto"/>
        <w:ind w:firstLine="211" w:firstLineChars="100"/>
        <w:jc w:val="center"/>
        <w:rPr>
          <w:rFonts w:asciiTheme="minorEastAsia" w:hAnsiTheme="minorEastAsia" w:eastAsiaTheme="minorEastAsia"/>
          <w:b/>
          <w:bCs/>
          <w:color w:val="auto"/>
          <w:szCs w:val="21"/>
          <w:highlight w:val="none"/>
        </w:rPr>
      </w:pPr>
      <w:r>
        <w:rPr>
          <w:rFonts w:hint="eastAsia" w:asciiTheme="minorEastAsia" w:hAnsiTheme="minorEastAsia" w:eastAsiaTheme="minorEastAsia"/>
          <w:b/>
          <w:bCs/>
          <w:color w:val="auto"/>
          <w:szCs w:val="21"/>
          <w:highlight w:val="none"/>
        </w:rPr>
        <w:t>项目组人员配置表（附件7）</w:t>
      </w:r>
    </w:p>
    <w:tbl>
      <w:tblPr>
        <w:tblStyle w:val="49"/>
        <w:tblW w:w="8786"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11"/>
        <w:gridCol w:w="1745"/>
        <w:gridCol w:w="988"/>
        <w:gridCol w:w="1276"/>
        <w:gridCol w:w="1730"/>
        <w:gridCol w:w="223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 w:hRule="atLeast"/>
        </w:trPr>
        <w:tc>
          <w:tcPr>
            <w:tcW w:w="811"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序号</w:t>
            </w:r>
          </w:p>
        </w:tc>
        <w:tc>
          <w:tcPr>
            <w:tcW w:w="1745"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姓名</w:t>
            </w:r>
          </w:p>
        </w:tc>
        <w:tc>
          <w:tcPr>
            <w:tcW w:w="988"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专业</w:t>
            </w:r>
          </w:p>
        </w:tc>
        <w:tc>
          <w:tcPr>
            <w:tcW w:w="1276"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分组情况</w:t>
            </w:r>
          </w:p>
        </w:tc>
        <w:tc>
          <w:tcPr>
            <w:tcW w:w="1730" w:type="dxa"/>
            <w:tcBorders>
              <w:top w:val="single" w:color="auto" w:sz="4" w:space="0"/>
              <w:left w:val="single" w:color="auto" w:sz="4" w:space="0"/>
              <w:bottom w:val="single" w:color="auto" w:sz="4" w:space="0"/>
              <w:right w:val="single" w:color="auto" w:sz="4" w:space="0"/>
            </w:tcBorders>
          </w:tcPr>
          <w:p>
            <w:pPr>
              <w:adjustRightInd w:val="0"/>
              <w:spacing w:line="360" w:lineRule="auto"/>
              <w:jc w:val="center"/>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职称</w:t>
            </w:r>
          </w:p>
        </w:tc>
        <w:tc>
          <w:tcPr>
            <w:tcW w:w="2236" w:type="dxa"/>
            <w:tcBorders>
              <w:top w:val="single" w:color="auto" w:sz="4" w:space="0"/>
              <w:left w:val="single" w:color="auto" w:sz="4" w:space="0"/>
              <w:bottom w:val="single" w:color="auto" w:sz="4" w:space="0"/>
              <w:right w:val="single" w:color="auto" w:sz="4" w:space="0"/>
            </w:tcBorders>
          </w:tcPr>
          <w:p>
            <w:pPr>
              <w:adjustRightInd w:val="0"/>
              <w:spacing w:line="360" w:lineRule="auto"/>
              <w:jc w:val="center"/>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工作经验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 w:hRule="atLeast"/>
        </w:trPr>
        <w:tc>
          <w:tcPr>
            <w:tcW w:w="811"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1</w:t>
            </w:r>
          </w:p>
        </w:tc>
        <w:tc>
          <w:tcPr>
            <w:tcW w:w="1745"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asciiTheme="minorEastAsia" w:hAnsiTheme="minorEastAsia" w:eastAsiaTheme="minorEastAsia"/>
                <w:color w:val="auto"/>
                <w:szCs w:val="21"/>
                <w:highlight w:val="none"/>
              </w:rPr>
            </w:pPr>
          </w:p>
        </w:tc>
        <w:tc>
          <w:tcPr>
            <w:tcW w:w="988"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cs="Arial" w:asciiTheme="minorEastAsia" w:hAnsiTheme="minorEastAsia" w:eastAsiaTheme="minorEastAsia"/>
                <w:color w:val="auto"/>
                <w:szCs w:val="21"/>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cs="Arial" w:asciiTheme="minorEastAsia" w:hAnsiTheme="minorEastAsia" w:eastAsiaTheme="minorEastAsia"/>
                <w:color w:val="auto"/>
                <w:szCs w:val="21"/>
                <w:highlight w:val="none"/>
              </w:rPr>
            </w:pPr>
          </w:p>
        </w:tc>
        <w:tc>
          <w:tcPr>
            <w:tcW w:w="1730" w:type="dxa"/>
            <w:tcBorders>
              <w:top w:val="single" w:color="auto" w:sz="4" w:space="0"/>
              <w:left w:val="single" w:color="auto" w:sz="4" w:space="0"/>
              <w:bottom w:val="single" w:color="auto" w:sz="4" w:space="0"/>
              <w:right w:val="single" w:color="auto" w:sz="4" w:space="0"/>
            </w:tcBorders>
          </w:tcPr>
          <w:p>
            <w:pPr>
              <w:adjustRightInd w:val="0"/>
              <w:spacing w:line="360" w:lineRule="auto"/>
              <w:jc w:val="center"/>
              <w:rPr>
                <w:rFonts w:cs="Arial" w:asciiTheme="minorEastAsia" w:hAnsiTheme="minorEastAsia" w:eastAsiaTheme="minorEastAsia"/>
                <w:color w:val="auto"/>
                <w:szCs w:val="21"/>
                <w:highlight w:val="none"/>
              </w:rPr>
            </w:pPr>
          </w:p>
        </w:tc>
        <w:tc>
          <w:tcPr>
            <w:tcW w:w="2236" w:type="dxa"/>
            <w:tcBorders>
              <w:top w:val="single" w:color="auto" w:sz="4" w:space="0"/>
              <w:left w:val="single" w:color="auto" w:sz="4" w:space="0"/>
              <w:bottom w:val="single" w:color="auto" w:sz="4" w:space="0"/>
              <w:right w:val="single" w:color="auto" w:sz="4" w:space="0"/>
            </w:tcBorders>
          </w:tcPr>
          <w:p>
            <w:pPr>
              <w:adjustRightInd w:val="0"/>
              <w:spacing w:line="360" w:lineRule="auto"/>
              <w:jc w:val="center"/>
              <w:rPr>
                <w:rFonts w:cs="Arial"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481" w:hRule="atLeast"/>
        </w:trPr>
        <w:tc>
          <w:tcPr>
            <w:tcW w:w="811"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2</w:t>
            </w:r>
          </w:p>
        </w:tc>
        <w:tc>
          <w:tcPr>
            <w:tcW w:w="1745"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asciiTheme="minorEastAsia" w:hAnsiTheme="minorEastAsia" w:eastAsiaTheme="minorEastAsia"/>
                <w:color w:val="auto"/>
                <w:szCs w:val="21"/>
                <w:highlight w:val="none"/>
              </w:rPr>
            </w:pPr>
          </w:p>
        </w:tc>
        <w:tc>
          <w:tcPr>
            <w:tcW w:w="988"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right"/>
              <w:rPr>
                <w:rFonts w:cs="Arial" w:asciiTheme="minorEastAsia" w:hAnsiTheme="minorEastAsia" w:eastAsiaTheme="minorEastAsia"/>
                <w:color w:val="auto"/>
                <w:szCs w:val="21"/>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right"/>
              <w:rPr>
                <w:rFonts w:cs="Arial" w:asciiTheme="minorEastAsia" w:hAnsiTheme="minorEastAsia" w:eastAsiaTheme="minorEastAsia"/>
                <w:color w:val="auto"/>
                <w:szCs w:val="21"/>
                <w:highlight w:val="none"/>
              </w:rPr>
            </w:pPr>
          </w:p>
        </w:tc>
        <w:tc>
          <w:tcPr>
            <w:tcW w:w="1730" w:type="dxa"/>
            <w:tcBorders>
              <w:top w:val="single" w:color="auto" w:sz="4" w:space="0"/>
              <w:left w:val="single" w:color="auto" w:sz="4" w:space="0"/>
              <w:bottom w:val="single" w:color="auto" w:sz="4" w:space="0"/>
              <w:right w:val="single" w:color="auto" w:sz="4" w:space="0"/>
            </w:tcBorders>
          </w:tcPr>
          <w:p>
            <w:pPr>
              <w:adjustRightInd w:val="0"/>
              <w:spacing w:line="360" w:lineRule="auto"/>
              <w:jc w:val="right"/>
              <w:rPr>
                <w:rFonts w:cs="Arial" w:asciiTheme="minorEastAsia" w:hAnsiTheme="minorEastAsia" w:eastAsiaTheme="minorEastAsia"/>
                <w:color w:val="auto"/>
                <w:szCs w:val="21"/>
                <w:highlight w:val="none"/>
              </w:rPr>
            </w:pPr>
          </w:p>
        </w:tc>
        <w:tc>
          <w:tcPr>
            <w:tcW w:w="2236" w:type="dxa"/>
            <w:tcBorders>
              <w:top w:val="single" w:color="auto" w:sz="4" w:space="0"/>
              <w:left w:val="single" w:color="auto" w:sz="4" w:space="0"/>
              <w:bottom w:val="single" w:color="auto" w:sz="4" w:space="0"/>
              <w:right w:val="single" w:color="auto" w:sz="4" w:space="0"/>
            </w:tcBorders>
          </w:tcPr>
          <w:p>
            <w:pPr>
              <w:adjustRightInd w:val="0"/>
              <w:spacing w:line="360" w:lineRule="auto"/>
              <w:jc w:val="right"/>
              <w:rPr>
                <w:rFonts w:cs="Arial"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481" w:hRule="atLeast"/>
        </w:trPr>
        <w:tc>
          <w:tcPr>
            <w:tcW w:w="811"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3</w:t>
            </w:r>
          </w:p>
        </w:tc>
        <w:tc>
          <w:tcPr>
            <w:tcW w:w="1745"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asciiTheme="minorEastAsia" w:hAnsiTheme="minorEastAsia" w:eastAsiaTheme="minorEastAsia"/>
                <w:b/>
                <w:bCs/>
                <w:color w:val="auto"/>
                <w:szCs w:val="21"/>
                <w:highlight w:val="none"/>
              </w:rPr>
            </w:pPr>
          </w:p>
        </w:tc>
        <w:tc>
          <w:tcPr>
            <w:tcW w:w="988"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right"/>
              <w:rPr>
                <w:rFonts w:cs="Arial" w:asciiTheme="minorEastAsia" w:hAnsiTheme="minorEastAsia" w:eastAsiaTheme="minorEastAsia"/>
                <w:color w:val="auto"/>
                <w:szCs w:val="21"/>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right"/>
              <w:rPr>
                <w:rFonts w:cs="Arial" w:asciiTheme="minorEastAsia" w:hAnsiTheme="minorEastAsia" w:eastAsiaTheme="minorEastAsia"/>
                <w:color w:val="auto"/>
                <w:szCs w:val="21"/>
                <w:highlight w:val="none"/>
              </w:rPr>
            </w:pPr>
          </w:p>
        </w:tc>
        <w:tc>
          <w:tcPr>
            <w:tcW w:w="1730" w:type="dxa"/>
            <w:tcBorders>
              <w:top w:val="single" w:color="auto" w:sz="4" w:space="0"/>
              <w:left w:val="single" w:color="auto" w:sz="4" w:space="0"/>
              <w:bottom w:val="single" w:color="auto" w:sz="4" w:space="0"/>
              <w:right w:val="single" w:color="auto" w:sz="4" w:space="0"/>
            </w:tcBorders>
          </w:tcPr>
          <w:p>
            <w:pPr>
              <w:adjustRightInd w:val="0"/>
              <w:spacing w:line="360" w:lineRule="auto"/>
              <w:jc w:val="right"/>
              <w:rPr>
                <w:rFonts w:cs="Arial" w:asciiTheme="minorEastAsia" w:hAnsiTheme="minorEastAsia" w:eastAsiaTheme="minorEastAsia"/>
                <w:color w:val="auto"/>
                <w:szCs w:val="21"/>
                <w:highlight w:val="none"/>
              </w:rPr>
            </w:pPr>
          </w:p>
        </w:tc>
        <w:tc>
          <w:tcPr>
            <w:tcW w:w="2236" w:type="dxa"/>
            <w:tcBorders>
              <w:top w:val="single" w:color="auto" w:sz="4" w:space="0"/>
              <w:left w:val="single" w:color="auto" w:sz="4" w:space="0"/>
              <w:bottom w:val="single" w:color="auto" w:sz="4" w:space="0"/>
              <w:right w:val="single" w:color="auto" w:sz="4" w:space="0"/>
            </w:tcBorders>
          </w:tcPr>
          <w:p>
            <w:pPr>
              <w:adjustRightInd w:val="0"/>
              <w:spacing w:line="360" w:lineRule="auto"/>
              <w:jc w:val="right"/>
              <w:rPr>
                <w:rFonts w:cs="Arial"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481" w:hRule="atLeast"/>
        </w:trPr>
        <w:tc>
          <w:tcPr>
            <w:tcW w:w="811"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4</w:t>
            </w:r>
          </w:p>
        </w:tc>
        <w:tc>
          <w:tcPr>
            <w:tcW w:w="1745"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asciiTheme="minorEastAsia" w:hAnsiTheme="minorEastAsia" w:eastAsiaTheme="minorEastAsia"/>
                <w:color w:val="auto"/>
                <w:szCs w:val="21"/>
                <w:highlight w:val="none"/>
              </w:rPr>
            </w:pPr>
          </w:p>
        </w:tc>
        <w:tc>
          <w:tcPr>
            <w:tcW w:w="988"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right"/>
              <w:rPr>
                <w:rFonts w:cs="Arial" w:asciiTheme="minorEastAsia" w:hAnsiTheme="minorEastAsia" w:eastAsiaTheme="minorEastAsia"/>
                <w:color w:val="auto"/>
                <w:szCs w:val="21"/>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right"/>
              <w:rPr>
                <w:rFonts w:cs="Arial" w:asciiTheme="minorEastAsia" w:hAnsiTheme="minorEastAsia" w:eastAsiaTheme="minorEastAsia"/>
                <w:color w:val="auto"/>
                <w:szCs w:val="21"/>
                <w:highlight w:val="none"/>
              </w:rPr>
            </w:pPr>
          </w:p>
        </w:tc>
        <w:tc>
          <w:tcPr>
            <w:tcW w:w="1730" w:type="dxa"/>
            <w:tcBorders>
              <w:top w:val="single" w:color="auto" w:sz="4" w:space="0"/>
              <w:left w:val="single" w:color="auto" w:sz="4" w:space="0"/>
              <w:bottom w:val="single" w:color="auto" w:sz="4" w:space="0"/>
              <w:right w:val="single" w:color="auto" w:sz="4" w:space="0"/>
            </w:tcBorders>
          </w:tcPr>
          <w:p>
            <w:pPr>
              <w:adjustRightInd w:val="0"/>
              <w:spacing w:line="360" w:lineRule="auto"/>
              <w:jc w:val="right"/>
              <w:rPr>
                <w:rFonts w:cs="Arial" w:asciiTheme="minorEastAsia" w:hAnsiTheme="minorEastAsia" w:eastAsiaTheme="minorEastAsia"/>
                <w:color w:val="auto"/>
                <w:szCs w:val="21"/>
                <w:highlight w:val="none"/>
              </w:rPr>
            </w:pPr>
          </w:p>
        </w:tc>
        <w:tc>
          <w:tcPr>
            <w:tcW w:w="2236" w:type="dxa"/>
            <w:tcBorders>
              <w:top w:val="single" w:color="auto" w:sz="4" w:space="0"/>
              <w:left w:val="single" w:color="auto" w:sz="4" w:space="0"/>
              <w:bottom w:val="single" w:color="auto" w:sz="4" w:space="0"/>
              <w:right w:val="single" w:color="auto" w:sz="4" w:space="0"/>
            </w:tcBorders>
          </w:tcPr>
          <w:p>
            <w:pPr>
              <w:adjustRightInd w:val="0"/>
              <w:spacing w:line="360" w:lineRule="auto"/>
              <w:jc w:val="right"/>
              <w:rPr>
                <w:rFonts w:cs="Arial"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481" w:hRule="atLeast"/>
        </w:trPr>
        <w:tc>
          <w:tcPr>
            <w:tcW w:w="811"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5</w:t>
            </w:r>
          </w:p>
        </w:tc>
        <w:tc>
          <w:tcPr>
            <w:tcW w:w="1745"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asciiTheme="minorEastAsia" w:hAnsiTheme="minorEastAsia" w:eastAsiaTheme="minorEastAsia"/>
                <w:color w:val="auto"/>
                <w:szCs w:val="21"/>
                <w:highlight w:val="none"/>
              </w:rPr>
            </w:pPr>
          </w:p>
        </w:tc>
        <w:tc>
          <w:tcPr>
            <w:tcW w:w="988"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right"/>
              <w:rPr>
                <w:rFonts w:cs="Arial" w:asciiTheme="minorEastAsia" w:hAnsiTheme="minorEastAsia" w:eastAsiaTheme="minorEastAsia"/>
                <w:color w:val="auto"/>
                <w:szCs w:val="21"/>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right"/>
              <w:rPr>
                <w:rFonts w:cs="Arial" w:asciiTheme="minorEastAsia" w:hAnsiTheme="minorEastAsia" w:eastAsiaTheme="minorEastAsia"/>
                <w:color w:val="auto"/>
                <w:szCs w:val="21"/>
                <w:highlight w:val="none"/>
              </w:rPr>
            </w:pPr>
          </w:p>
        </w:tc>
        <w:tc>
          <w:tcPr>
            <w:tcW w:w="1730" w:type="dxa"/>
            <w:tcBorders>
              <w:top w:val="single" w:color="auto" w:sz="4" w:space="0"/>
              <w:left w:val="single" w:color="auto" w:sz="4" w:space="0"/>
              <w:bottom w:val="single" w:color="auto" w:sz="4" w:space="0"/>
              <w:right w:val="single" w:color="auto" w:sz="4" w:space="0"/>
            </w:tcBorders>
          </w:tcPr>
          <w:p>
            <w:pPr>
              <w:adjustRightInd w:val="0"/>
              <w:spacing w:line="360" w:lineRule="auto"/>
              <w:jc w:val="right"/>
              <w:rPr>
                <w:rFonts w:cs="Arial" w:asciiTheme="minorEastAsia" w:hAnsiTheme="minorEastAsia" w:eastAsiaTheme="minorEastAsia"/>
                <w:color w:val="auto"/>
                <w:szCs w:val="21"/>
                <w:highlight w:val="none"/>
              </w:rPr>
            </w:pPr>
          </w:p>
        </w:tc>
        <w:tc>
          <w:tcPr>
            <w:tcW w:w="2236" w:type="dxa"/>
            <w:tcBorders>
              <w:top w:val="single" w:color="auto" w:sz="4" w:space="0"/>
              <w:left w:val="single" w:color="auto" w:sz="4" w:space="0"/>
              <w:bottom w:val="single" w:color="auto" w:sz="4" w:space="0"/>
              <w:right w:val="single" w:color="auto" w:sz="4" w:space="0"/>
            </w:tcBorders>
          </w:tcPr>
          <w:p>
            <w:pPr>
              <w:adjustRightInd w:val="0"/>
              <w:spacing w:line="360" w:lineRule="auto"/>
              <w:jc w:val="right"/>
              <w:rPr>
                <w:rFonts w:cs="Arial"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481" w:hRule="atLeast"/>
        </w:trPr>
        <w:tc>
          <w:tcPr>
            <w:tcW w:w="811"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6</w:t>
            </w:r>
          </w:p>
        </w:tc>
        <w:tc>
          <w:tcPr>
            <w:tcW w:w="1745"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asciiTheme="minorEastAsia" w:hAnsiTheme="minorEastAsia" w:eastAsiaTheme="minorEastAsia"/>
                <w:color w:val="auto"/>
                <w:szCs w:val="21"/>
                <w:highlight w:val="none"/>
              </w:rPr>
            </w:pPr>
          </w:p>
        </w:tc>
        <w:tc>
          <w:tcPr>
            <w:tcW w:w="988"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right"/>
              <w:rPr>
                <w:rFonts w:cs="Arial" w:asciiTheme="minorEastAsia" w:hAnsiTheme="minorEastAsia" w:eastAsiaTheme="minorEastAsia"/>
                <w:color w:val="auto"/>
                <w:szCs w:val="21"/>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right"/>
              <w:rPr>
                <w:rFonts w:cs="Arial" w:asciiTheme="minorEastAsia" w:hAnsiTheme="minorEastAsia" w:eastAsiaTheme="minorEastAsia"/>
                <w:color w:val="auto"/>
                <w:szCs w:val="21"/>
                <w:highlight w:val="none"/>
              </w:rPr>
            </w:pPr>
          </w:p>
        </w:tc>
        <w:tc>
          <w:tcPr>
            <w:tcW w:w="1730" w:type="dxa"/>
            <w:tcBorders>
              <w:top w:val="single" w:color="auto" w:sz="4" w:space="0"/>
              <w:left w:val="single" w:color="auto" w:sz="4" w:space="0"/>
              <w:bottom w:val="single" w:color="auto" w:sz="4" w:space="0"/>
              <w:right w:val="single" w:color="auto" w:sz="4" w:space="0"/>
            </w:tcBorders>
          </w:tcPr>
          <w:p>
            <w:pPr>
              <w:adjustRightInd w:val="0"/>
              <w:spacing w:line="360" w:lineRule="auto"/>
              <w:jc w:val="right"/>
              <w:rPr>
                <w:rFonts w:cs="Arial" w:asciiTheme="minorEastAsia" w:hAnsiTheme="minorEastAsia" w:eastAsiaTheme="minorEastAsia"/>
                <w:color w:val="auto"/>
                <w:szCs w:val="21"/>
                <w:highlight w:val="none"/>
              </w:rPr>
            </w:pPr>
          </w:p>
        </w:tc>
        <w:tc>
          <w:tcPr>
            <w:tcW w:w="2236" w:type="dxa"/>
            <w:tcBorders>
              <w:top w:val="single" w:color="auto" w:sz="4" w:space="0"/>
              <w:left w:val="single" w:color="auto" w:sz="4" w:space="0"/>
              <w:bottom w:val="single" w:color="auto" w:sz="4" w:space="0"/>
              <w:right w:val="single" w:color="auto" w:sz="4" w:space="0"/>
            </w:tcBorders>
          </w:tcPr>
          <w:p>
            <w:pPr>
              <w:adjustRightInd w:val="0"/>
              <w:spacing w:line="360" w:lineRule="auto"/>
              <w:jc w:val="right"/>
              <w:rPr>
                <w:rFonts w:cs="Arial"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481" w:hRule="atLeast"/>
        </w:trPr>
        <w:tc>
          <w:tcPr>
            <w:tcW w:w="811"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7</w:t>
            </w:r>
          </w:p>
        </w:tc>
        <w:tc>
          <w:tcPr>
            <w:tcW w:w="1745"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asciiTheme="minorEastAsia" w:hAnsiTheme="minorEastAsia" w:eastAsiaTheme="minorEastAsia"/>
                <w:color w:val="auto"/>
                <w:szCs w:val="21"/>
                <w:highlight w:val="none"/>
              </w:rPr>
            </w:pPr>
          </w:p>
        </w:tc>
        <w:tc>
          <w:tcPr>
            <w:tcW w:w="988"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right"/>
              <w:rPr>
                <w:rFonts w:cs="Arial" w:asciiTheme="minorEastAsia" w:hAnsiTheme="minorEastAsia" w:eastAsiaTheme="minorEastAsia"/>
                <w:color w:val="auto"/>
                <w:szCs w:val="21"/>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right"/>
              <w:rPr>
                <w:rFonts w:cs="Arial" w:asciiTheme="minorEastAsia" w:hAnsiTheme="minorEastAsia" w:eastAsiaTheme="minorEastAsia"/>
                <w:color w:val="auto"/>
                <w:szCs w:val="21"/>
                <w:highlight w:val="none"/>
              </w:rPr>
            </w:pPr>
          </w:p>
        </w:tc>
        <w:tc>
          <w:tcPr>
            <w:tcW w:w="1730" w:type="dxa"/>
            <w:tcBorders>
              <w:top w:val="single" w:color="auto" w:sz="4" w:space="0"/>
              <w:left w:val="single" w:color="auto" w:sz="4" w:space="0"/>
              <w:bottom w:val="single" w:color="auto" w:sz="4" w:space="0"/>
              <w:right w:val="single" w:color="auto" w:sz="4" w:space="0"/>
            </w:tcBorders>
          </w:tcPr>
          <w:p>
            <w:pPr>
              <w:adjustRightInd w:val="0"/>
              <w:spacing w:line="360" w:lineRule="auto"/>
              <w:jc w:val="right"/>
              <w:rPr>
                <w:rFonts w:cs="Arial" w:asciiTheme="minorEastAsia" w:hAnsiTheme="minorEastAsia" w:eastAsiaTheme="minorEastAsia"/>
                <w:color w:val="auto"/>
                <w:szCs w:val="21"/>
                <w:highlight w:val="none"/>
              </w:rPr>
            </w:pPr>
          </w:p>
        </w:tc>
        <w:tc>
          <w:tcPr>
            <w:tcW w:w="2236" w:type="dxa"/>
            <w:tcBorders>
              <w:top w:val="single" w:color="auto" w:sz="4" w:space="0"/>
              <w:left w:val="single" w:color="auto" w:sz="4" w:space="0"/>
              <w:bottom w:val="single" w:color="auto" w:sz="4" w:space="0"/>
              <w:right w:val="single" w:color="auto" w:sz="4" w:space="0"/>
            </w:tcBorders>
          </w:tcPr>
          <w:p>
            <w:pPr>
              <w:adjustRightInd w:val="0"/>
              <w:spacing w:line="360" w:lineRule="auto"/>
              <w:jc w:val="right"/>
              <w:rPr>
                <w:rFonts w:cs="Arial"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481" w:hRule="atLeast"/>
        </w:trPr>
        <w:tc>
          <w:tcPr>
            <w:tcW w:w="811"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8</w:t>
            </w:r>
          </w:p>
        </w:tc>
        <w:tc>
          <w:tcPr>
            <w:tcW w:w="1745"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asciiTheme="minorEastAsia" w:hAnsiTheme="minorEastAsia" w:eastAsiaTheme="minorEastAsia"/>
                <w:color w:val="auto"/>
                <w:spacing w:val="-20"/>
                <w:szCs w:val="21"/>
                <w:highlight w:val="none"/>
              </w:rPr>
            </w:pPr>
          </w:p>
        </w:tc>
        <w:tc>
          <w:tcPr>
            <w:tcW w:w="988"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right"/>
              <w:rPr>
                <w:rFonts w:cs="Arial" w:asciiTheme="minorEastAsia" w:hAnsiTheme="minorEastAsia" w:eastAsiaTheme="minorEastAsia"/>
                <w:color w:val="auto"/>
                <w:szCs w:val="21"/>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right"/>
              <w:rPr>
                <w:rFonts w:cs="Arial" w:asciiTheme="minorEastAsia" w:hAnsiTheme="minorEastAsia" w:eastAsiaTheme="minorEastAsia"/>
                <w:color w:val="auto"/>
                <w:szCs w:val="21"/>
                <w:highlight w:val="none"/>
              </w:rPr>
            </w:pPr>
          </w:p>
        </w:tc>
        <w:tc>
          <w:tcPr>
            <w:tcW w:w="1730" w:type="dxa"/>
            <w:tcBorders>
              <w:top w:val="single" w:color="auto" w:sz="4" w:space="0"/>
              <w:left w:val="single" w:color="auto" w:sz="4" w:space="0"/>
              <w:bottom w:val="single" w:color="auto" w:sz="4" w:space="0"/>
              <w:right w:val="single" w:color="auto" w:sz="4" w:space="0"/>
            </w:tcBorders>
          </w:tcPr>
          <w:p>
            <w:pPr>
              <w:adjustRightInd w:val="0"/>
              <w:spacing w:line="360" w:lineRule="auto"/>
              <w:jc w:val="right"/>
              <w:rPr>
                <w:rFonts w:cs="Arial" w:asciiTheme="minorEastAsia" w:hAnsiTheme="minorEastAsia" w:eastAsiaTheme="minorEastAsia"/>
                <w:color w:val="auto"/>
                <w:szCs w:val="21"/>
                <w:highlight w:val="none"/>
              </w:rPr>
            </w:pPr>
          </w:p>
        </w:tc>
        <w:tc>
          <w:tcPr>
            <w:tcW w:w="2236" w:type="dxa"/>
            <w:tcBorders>
              <w:top w:val="single" w:color="auto" w:sz="4" w:space="0"/>
              <w:left w:val="single" w:color="auto" w:sz="4" w:space="0"/>
              <w:bottom w:val="single" w:color="auto" w:sz="4" w:space="0"/>
              <w:right w:val="single" w:color="auto" w:sz="4" w:space="0"/>
            </w:tcBorders>
          </w:tcPr>
          <w:p>
            <w:pPr>
              <w:adjustRightInd w:val="0"/>
              <w:spacing w:line="360" w:lineRule="auto"/>
              <w:jc w:val="right"/>
              <w:rPr>
                <w:rFonts w:cs="Arial"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481" w:hRule="atLeast"/>
        </w:trPr>
        <w:tc>
          <w:tcPr>
            <w:tcW w:w="811"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9</w:t>
            </w:r>
          </w:p>
        </w:tc>
        <w:tc>
          <w:tcPr>
            <w:tcW w:w="1745"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asciiTheme="minorEastAsia" w:hAnsiTheme="minorEastAsia" w:eastAsiaTheme="minorEastAsia"/>
                <w:color w:val="auto"/>
                <w:spacing w:val="-20"/>
                <w:szCs w:val="21"/>
                <w:highlight w:val="none"/>
              </w:rPr>
            </w:pPr>
          </w:p>
        </w:tc>
        <w:tc>
          <w:tcPr>
            <w:tcW w:w="988"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right"/>
              <w:rPr>
                <w:rFonts w:cs="Arial" w:asciiTheme="minorEastAsia" w:hAnsiTheme="minorEastAsia" w:eastAsiaTheme="minorEastAsia"/>
                <w:color w:val="auto"/>
                <w:szCs w:val="21"/>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right"/>
              <w:rPr>
                <w:rFonts w:cs="Arial" w:asciiTheme="minorEastAsia" w:hAnsiTheme="minorEastAsia" w:eastAsiaTheme="minorEastAsia"/>
                <w:color w:val="auto"/>
                <w:szCs w:val="21"/>
                <w:highlight w:val="none"/>
              </w:rPr>
            </w:pPr>
          </w:p>
        </w:tc>
        <w:tc>
          <w:tcPr>
            <w:tcW w:w="1730" w:type="dxa"/>
            <w:tcBorders>
              <w:top w:val="single" w:color="auto" w:sz="4" w:space="0"/>
              <w:left w:val="single" w:color="auto" w:sz="4" w:space="0"/>
              <w:bottom w:val="single" w:color="auto" w:sz="4" w:space="0"/>
              <w:right w:val="single" w:color="auto" w:sz="4" w:space="0"/>
            </w:tcBorders>
          </w:tcPr>
          <w:p>
            <w:pPr>
              <w:adjustRightInd w:val="0"/>
              <w:spacing w:line="360" w:lineRule="auto"/>
              <w:jc w:val="right"/>
              <w:rPr>
                <w:rFonts w:cs="Arial" w:asciiTheme="minorEastAsia" w:hAnsiTheme="minorEastAsia" w:eastAsiaTheme="minorEastAsia"/>
                <w:color w:val="auto"/>
                <w:szCs w:val="21"/>
                <w:highlight w:val="none"/>
              </w:rPr>
            </w:pPr>
          </w:p>
        </w:tc>
        <w:tc>
          <w:tcPr>
            <w:tcW w:w="2236" w:type="dxa"/>
            <w:tcBorders>
              <w:top w:val="single" w:color="auto" w:sz="4" w:space="0"/>
              <w:left w:val="single" w:color="auto" w:sz="4" w:space="0"/>
              <w:bottom w:val="single" w:color="auto" w:sz="4" w:space="0"/>
              <w:right w:val="single" w:color="auto" w:sz="4" w:space="0"/>
            </w:tcBorders>
          </w:tcPr>
          <w:p>
            <w:pPr>
              <w:adjustRightInd w:val="0"/>
              <w:spacing w:line="360" w:lineRule="auto"/>
              <w:jc w:val="right"/>
              <w:rPr>
                <w:rFonts w:cs="Arial"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481" w:hRule="atLeast"/>
        </w:trPr>
        <w:tc>
          <w:tcPr>
            <w:tcW w:w="811"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10</w:t>
            </w:r>
          </w:p>
        </w:tc>
        <w:tc>
          <w:tcPr>
            <w:tcW w:w="1745"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w:t>
            </w:r>
          </w:p>
        </w:tc>
        <w:tc>
          <w:tcPr>
            <w:tcW w:w="988"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right"/>
              <w:rPr>
                <w:rFonts w:cs="Arial" w:asciiTheme="minorEastAsia" w:hAnsiTheme="minorEastAsia" w:eastAsiaTheme="minorEastAsia"/>
                <w:color w:val="auto"/>
                <w:szCs w:val="21"/>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right"/>
              <w:rPr>
                <w:rFonts w:cs="Arial" w:asciiTheme="minorEastAsia" w:hAnsiTheme="minorEastAsia" w:eastAsiaTheme="minorEastAsia"/>
                <w:color w:val="auto"/>
                <w:szCs w:val="21"/>
                <w:highlight w:val="none"/>
              </w:rPr>
            </w:pPr>
          </w:p>
        </w:tc>
        <w:tc>
          <w:tcPr>
            <w:tcW w:w="1730" w:type="dxa"/>
            <w:tcBorders>
              <w:top w:val="single" w:color="auto" w:sz="4" w:space="0"/>
              <w:left w:val="single" w:color="auto" w:sz="4" w:space="0"/>
              <w:bottom w:val="single" w:color="auto" w:sz="4" w:space="0"/>
              <w:right w:val="single" w:color="auto" w:sz="4" w:space="0"/>
            </w:tcBorders>
          </w:tcPr>
          <w:p>
            <w:pPr>
              <w:adjustRightInd w:val="0"/>
              <w:spacing w:line="360" w:lineRule="auto"/>
              <w:jc w:val="right"/>
              <w:rPr>
                <w:rFonts w:cs="Arial" w:asciiTheme="minorEastAsia" w:hAnsiTheme="minorEastAsia" w:eastAsiaTheme="minorEastAsia"/>
                <w:color w:val="auto"/>
                <w:szCs w:val="21"/>
                <w:highlight w:val="none"/>
              </w:rPr>
            </w:pPr>
          </w:p>
        </w:tc>
        <w:tc>
          <w:tcPr>
            <w:tcW w:w="2236" w:type="dxa"/>
            <w:tcBorders>
              <w:top w:val="single" w:color="auto" w:sz="4" w:space="0"/>
              <w:left w:val="single" w:color="auto" w:sz="4" w:space="0"/>
              <w:bottom w:val="single" w:color="auto" w:sz="4" w:space="0"/>
              <w:right w:val="single" w:color="auto" w:sz="4" w:space="0"/>
            </w:tcBorders>
          </w:tcPr>
          <w:p>
            <w:pPr>
              <w:adjustRightInd w:val="0"/>
              <w:spacing w:line="360" w:lineRule="auto"/>
              <w:jc w:val="right"/>
              <w:rPr>
                <w:rFonts w:cs="Arial"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481" w:hRule="atLeast"/>
        </w:trPr>
        <w:tc>
          <w:tcPr>
            <w:tcW w:w="2556" w:type="dxa"/>
            <w:gridSpan w:val="2"/>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cs="Arial" w:asciiTheme="minorEastAsia" w:hAnsiTheme="minorEastAsia" w:eastAsiaTheme="minorEastAsia"/>
                <w:b/>
                <w:color w:val="auto"/>
                <w:szCs w:val="21"/>
                <w:highlight w:val="none"/>
              </w:rPr>
            </w:pPr>
            <w:r>
              <w:rPr>
                <w:rFonts w:hint="eastAsia" w:cs="Arial" w:asciiTheme="minorEastAsia" w:hAnsiTheme="minorEastAsia" w:eastAsiaTheme="minorEastAsia"/>
                <w:b/>
                <w:color w:val="auto"/>
                <w:szCs w:val="21"/>
                <w:highlight w:val="none"/>
              </w:rPr>
              <w:t>合计总人数</w:t>
            </w:r>
          </w:p>
        </w:tc>
        <w:tc>
          <w:tcPr>
            <w:tcW w:w="6230" w:type="dxa"/>
            <w:gridSpan w:val="4"/>
            <w:tcBorders>
              <w:top w:val="single" w:color="auto" w:sz="4" w:space="0"/>
              <w:left w:val="single" w:color="auto" w:sz="4" w:space="0"/>
              <w:bottom w:val="single" w:color="auto" w:sz="4" w:space="0"/>
              <w:right w:val="single" w:color="auto" w:sz="4" w:space="0"/>
            </w:tcBorders>
            <w:vAlign w:val="center"/>
          </w:tcPr>
          <w:p>
            <w:pPr>
              <w:adjustRightInd w:val="0"/>
              <w:spacing w:line="360" w:lineRule="auto"/>
              <w:jc w:val="center"/>
              <w:rPr>
                <w:rFonts w:cs="Arial" w:asciiTheme="minorEastAsia" w:hAnsiTheme="minorEastAsia" w:eastAsiaTheme="minorEastAsia"/>
                <w:color w:val="auto"/>
                <w:szCs w:val="21"/>
                <w:highlight w:val="none"/>
              </w:rPr>
            </w:pPr>
          </w:p>
        </w:tc>
      </w:tr>
    </w:tbl>
    <w:p>
      <w:pPr>
        <w:adjustRightInd w:val="0"/>
        <w:snapToGrid w:val="0"/>
        <w:spacing w:line="360" w:lineRule="auto"/>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注：1、上表中行数不够可自加。</w:t>
      </w:r>
    </w:p>
    <w:p>
      <w:pPr>
        <w:adjustRightInd w:val="0"/>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2、注册证书、学历证书、职称证书、社保证明等资料复印件加盖单位公章附后。</w:t>
      </w:r>
    </w:p>
    <w:p>
      <w:pPr>
        <w:snapToGrid w:val="0"/>
        <w:spacing w:line="360" w:lineRule="auto"/>
        <w:ind w:firstLine="200"/>
        <w:jc w:val="right"/>
        <w:rPr>
          <w:rFonts w:asciiTheme="minorEastAsia" w:hAnsiTheme="minorEastAsia" w:eastAsiaTheme="minorEastAsia"/>
          <w:color w:val="auto"/>
          <w:szCs w:val="21"/>
          <w:highlight w:val="none"/>
        </w:rPr>
      </w:pPr>
    </w:p>
    <w:p>
      <w:pPr>
        <w:snapToGrid w:val="0"/>
        <w:spacing w:line="360" w:lineRule="auto"/>
        <w:ind w:firstLine="211" w:firstLineChars="100"/>
        <w:jc w:val="left"/>
        <w:rPr>
          <w:rFonts w:asciiTheme="minorEastAsia" w:hAnsiTheme="minorEastAsia" w:eastAsiaTheme="minorEastAsia"/>
          <w:b/>
          <w:bCs/>
          <w:color w:val="auto"/>
          <w:szCs w:val="21"/>
          <w:highlight w:val="none"/>
        </w:rPr>
      </w:pPr>
    </w:p>
    <w:p>
      <w:pPr>
        <w:pStyle w:val="48"/>
        <w:spacing w:line="360" w:lineRule="auto"/>
        <w:ind w:firstLine="404"/>
        <w:rPr>
          <w:color w:val="auto"/>
          <w:highlight w:val="none"/>
        </w:rPr>
      </w:pPr>
    </w:p>
    <w:p>
      <w:pPr>
        <w:pStyle w:val="48"/>
        <w:spacing w:line="360" w:lineRule="auto"/>
        <w:ind w:firstLine="404"/>
        <w:rPr>
          <w:color w:val="auto"/>
          <w:highlight w:val="none"/>
        </w:rPr>
      </w:pPr>
    </w:p>
    <w:p>
      <w:pPr>
        <w:snapToGrid w:val="0"/>
        <w:spacing w:line="360" w:lineRule="auto"/>
        <w:ind w:firstLine="211" w:firstLineChars="100"/>
        <w:jc w:val="left"/>
        <w:rPr>
          <w:rFonts w:asciiTheme="minorEastAsia" w:hAnsiTheme="minorEastAsia" w:eastAsiaTheme="minorEastAsia"/>
          <w:b/>
          <w:bCs/>
          <w:color w:val="auto"/>
          <w:szCs w:val="21"/>
          <w:highlight w:val="none"/>
        </w:rPr>
      </w:pPr>
      <w:r>
        <w:rPr>
          <w:rFonts w:hint="eastAsia" w:asciiTheme="minorEastAsia" w:hAnsiTheme="minorEastAsia" w:eastAsiaTheme="minorEastAsia"/>
          <w:b/>
          <w:bCs/>
          <w:color w:val="auto"/>
          <w:szCs w:val="21"/>
          <w:highlight w:val="none"/>
        </w:rPr>
        <w:t>9.</w:t>
      </w:r>
    </w:p>
    <w:p>
      <w:pPr>
        <w:snapToGrid w:val="0"/>
        <w:spacing w:line="360" w:lineRule="auto"/>
        <w:ind w:firstLine="211" w:firstLineChars="100"/>
        <w:jc w:val="center"/>
        <w:rPr>
          <w:rFonts w:asciiTheme="minorEastAsia" w:hAnsiTheme="minorEastAsia" w:eastAsiaTheme="minorEastAsia"/>
          <w:b/>
          <w:bCs/>
          <w:color w:val="auto"/>
          <w:szCs w:val="21"/>
          <w:highlight w:val="none"/>
        </w:rPr>
      </w:pPr>
      <w:r>
        <w:rPr>
          <w:rFonts w:hint="eastAsia" w:asciiTheme="minorEastAsia" w:hAnsiTheme="minorEastAsia" w:eastAsiaTheme="minorEastAsia"/>
          <w:b/>
          <w:bCs/>
          <w:color w:val="auto"/>
          <w:szCs w:val="21"/>
          <w:highlight w:val="none"/>
        </w:rPr>
        <w:t>投入设备清单格式（附件8）</w:t>
      </w:r>
    </w:p>
    <w:tbl>
      <w:tblPr>
        <w:tblStyle w:val="49"/>
        <w:tblW w:w="860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0" w:type="dxa"/>
          <w:bottom w:w="0" w:type="dxa"/>
          <w:right w:w="0" w:type="dxa"/>
        </w:tblCellMar>
      </w:tblPr>
      <w:tblGrid>
        <w:gridCol w:w="973"/>
        <w:gridCol w:w="3011"/>
        <w:gridCol w:w="2410"/>
        <w:gridCol w:w="1134"/>
        <w:gridCol w:w="107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601" w:hRule="atLeast"/>
        </w:trPr>
        <w:tc>
          <w:tcPr>
            <w:tcW w:w="973"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snapToGrid w:val="0"/>
              <w:spacing w:line="360" w:lineRule="auto"/>
              <w:jc w:val="center"/>
              <w:rPr>
                <w:rFonts w:ascii="微软雅黑" w:hAnsi="微软雅黑" w:eastAsia="微软雅黑"/>
                <w:color w:val="auto"/>
                <w:szCs w:val="21"/>
                <w:highlight w:val="none"/>
              </w:rPr>
            </w:pPr>
            <w:r>
              <w:rPr>
                <w:rFonts w:ascii="微软雅黑" w:hAnsi="微软雅黑" w:eastAsia="微软雅黑"/>
                <w:color w:val="auto"/>
                <w:szCs w:val="21"/>
                <w:highlight w:val="none"/>
              </w:rPr>
              <w:t>序号</w:t>
            </w:r>
          </w:p>
        </w:tc>
        <w:tc>
          <w:tcPr>
            <w:tcW w:w="3011" w:type="dxa"/>
            <w:tcBorders>
              <w:top w:val="single" w:color="auto" w:sz="4" w:space="0"/>
              <w:left w:val="single" w:color="auto" w:sz="4" w:space="0"/>
              <w:bottom w:val="single" w:color="auto" w:sz="2" w:space="0"/>
              <w:right w:val="single" w:color="auto" w:sz="4" w:space="0"/>
            </w:tcBorders>
            <w:vAlign w:val="center"/>
          </w:tcPr>
          <w:p>
            <w:pPr>
              <w:snapToGrid w:val="0"/>
              <w:spacing w:line="360" w:lineRule="auto"/>
              <w:jc w:val="center"/>
              <w:rPr>
                <w:rFonts w:ascii="微软雅黑" w:hAnsi="微软雅黑" w:eastAsia="微软雅黑"/>
                <w:color w:val="auto"/>
                <w:szCs w:val="21"/>
                <w:highlight w:val="none"/>
              </w:rPr>
            </w:pPr>
            <w:r>
              <w:rPr>
                <w:rFonts w:hint="eastAsia" w:ascii="微软雅黑" w:hAnsi="微软雅黑" w:eastAsia="微软雅黑"/>
                <w:color w:val="auto"/>
                <w:szCs w:val="21"/>
                <w:highlight w:val="none"/>
              </w:rPr>
              <w:t>名称</w:t>
            </w:r>
          </w:p>
        </w:tc>
        <w:tc>
          <w:tcPr>
            <w:tcW w:w="2410" w:type="dxa"/>
            <w:tcBorders>
              <w:top w:val="single" w:color="auto" w:sz="4" w:space="0"/>
              <w:left w:val="single" w:color="auto" w:sz="4" w:space="0"/>
              <w:bottom w:val="single" w:color="auto" w:sz="2" w:space="0"/>
              <w:right w:val="single" w:color="auto" w:sz="4" w:space="0"/>
            </w:tcBorders>
            <w:vAlign w:val="center"/>
          </w:tcPr>
          <w:p>
            <w:pPr>
              <w:snapToGrid w:val="0"/>
              <w:spacing w:line="360" w:lineRule="auto"/>
              <w:jc w:val="center"/>
              <w:rPr>
                <w:rFonts w:ascii="微软雅黑" w:hAnsi="微软雅黑" w:eastAsia="微软雅黑"/>
                <w:color w:val="auto"/>
                <w:szCs w:val="21"/>
                <w:highlight w:val="none"/>
              </w:rPr>
            </w:pPr>
            <w:r>
              <w:rPr>
                <w:rFonts w:hint="eastAsia" w:ascii="微软雅黑" w:hAnsi="微软雅黑" w:eastAsia="微软雅黑"/>
                <w:color w:val="auto"/>
                <w:szCs w:val="21"/>
                <w:highlight w:val="none"/>
              </w:rPr>
              <w:t>规格型号</w:t>
            </w:r>
          </w:p>
        </w:tc>
        <w:tc>
          <w:tcPr>
            <w:tcW w:w="1134" w:type="dxa"/>
            <w:tcBorders>
              <w:top w:val="single" w:color="auto" w:sz="4" w:space="0"/>
              <w:left w:val="single" w:color="auto" w:sz="4" w:space="0"/>
              <w:bottom w:val="single" w:color="auto" w:sz="2" w:space="0"/>
              <w:right w:val="single" w:color="auto" w:sz="4" w:space="0"/>
            </w:tcBorders>
            <w:tcMar>
              <w:top w:w="15" w:type="dxa"/>
              <w:left w:w="15" w:type="dxa"/>
              <w:bottom w:w="0" w:type="dxa"/>
              <w:right w:w="15" w:type="dxa"/>
            </w:tcMar>
            <w:vAlign w:val="center"/>
          </w:tcPr>
          <w:p>
            <w:pPr>
              <w:snapToGrid w:val="0"/>
              <w:spacing w:line="360" w:lineRule="auto"/>
              <w:jc w:val="center"/>
              <w:rPr>
                <w:rFonts w:ascii="微软雅黑" w:hAnsi="微软雅黑" w:eastAsia="微软雅黑"/>
                <w:color w:val="auto"/>
                <w:szCs w:val="21"/>
                <w:highlight w:val="none"/>
              </w:rPr>
            </w:pPr>
            <w:r>
              <w:rPr>
                <w:rFonts w:hint="eastAsia" w:ascii="微软雅黑" w:hAnsi="微软雅黑" w:eastAsia="微软雅黑"/>
                <w:color w:val="auto"/>
                <w:szCs w:val="21"/>
                <w:highlight w:val="none"/>
              </w:rPr>
              <w:t>产地</w:t>
            </w:r>
          </w:p>
        </w:tc>
        <w:tc>
          <w:tcPr>
            <w:tcW w:w="1076" w:type="dxa"/>
            <w:tcBorders>
              <w:top w:val="single" w:color="auto" w:sz="4" w:space="0"/>
              <w:left w:val="single" w:color="auto" w:sz="4" w:space="0"/>
              <w:bottom w:val="single" w:color="auto" w:sz="2" w:space="0"/>
              <w:right w:val="single" w:color="auto" w:sz="4" w:space="0"/>
            </w:tcBorders>
          </w:tcPr>
          <w:p>
            <w:pPr>
              <w:snapToGrid w:val="0"/>
              <w:spacing w:line="360" w:lineRule="auto"/>
              <w:jc w:val="center"/>
              <w:rPr>
                <w:rFonts w:ascii="微软雅黑" w:hAnsi="微软雅黑" w:eastAsia="微软雅黑"/>
                <w:color w:val="auto"/>
                <w:szCs w:val="21"/>
                <w:highlight w:val="none"/>
              </w:rPr>
            </w:pPr>
            <w:r>
              <w:rPr>
                <w:rFonts w:hint="eastAsia" w:ascii="微软雅黑" w:hAnsi="微软雅黑" w:eastAsia="微软雅黑"/>
                <w:color w:val="auto"/>
                <w:szCs w:val="21"/>
                <w:highlight w:val="none"/>
              </w:rPr>
              <w:t>单价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285" w:hRule="atLeast"/>
        </w:trPr>
        <w:tc>
          <w:tcPr>
            <w:tcW w:w="973" w:type="dxa"/>
            <w:tcBorders>
              <w:top w:val="single" w:color="auto" w:sz="4" w:space="0"/>
              <w:left w:val="single" w:color="auto" w:sz="4" w:space="0"/>
              <w:bottom w:val="single" w:color="auto" w:sz="4" w:space="0"/>
              <w:right w:val="single" w:color="auto" w:sz="2" w:space="0"/>
            </w:tcBorders>
            <w:tcMar>
              <w:top w:w="15" w:type="dxa"/>
              <w:left w:w="15" w:type="dxa"/>
              <w:bottom w:w="0" w:type="dxa"/>
              <w:right w:w="15" w:type="dxa"/>
            </w:tcMar>
            <w:vAlign w:val="center"/>
          </w:tcPr>
          <w:p>
            <w:pPr>
              <w:snapToGrid w:val="0"/>
              <w:spacing w:line="360" w:lineRule="auto"/>
              <w:jc w:val="center"/>
              <w:rPr>
                <w:rFonts w:ascii="微软雅黑" w:hAnsi="微软雅黑" w:eastAsia="微软雅黑"/>
                <w:color w:val="auto"/>
                <w:szCs w:val="21"/>
                <w:highlight w:val="none"/>
              </w:rPr>
            </w:pPr>
            <w:r>
              <w:rPr>
                <w:rFonts w:ascii="微软雅黑" w:hAnsi="微软雅黑" w:eastAsia="微软雅黑"/>
                <w:color w:val="auto"/>
                <w:szCs w:val="21"/>
                <w:highlight w:val="none"/>
              </w:rPr>
              <w:t>1</w:t>
            </w:r>
          </w:p>
        </w:tc>
        <w:tc>
          <w:tcPr>
            <w:tcW w:w="3011" w:type="dxa"/>
            <w:tcBorders>
              <w:top w:val="single" w:color="auto" w:sz="2" w:space="0"/>
              <w:left w:val="single" w:color="auto" w:sz="2" w:space="0"/>
              <w:bottom w:val="single" w:color="auto" w:sz="6" w:space="0"/>
              <w:right w:val="single" w:color="auto" w:sz="4" w:space="0"/>
            </w:tcBorders>
            <w:vAlign w:val="center"/>
          </w:tcPr>
          <w:p>
            <w:pPr>
              <w:snapToGrid w:val="0"/>
              <w:spacing w:line="360" w:lineRule="auto"/>
              <w:jc w:val="center"/>
              <w:rPr>
                <w:rFonts w:ascii="微软雅黑" w:hAnsi="微软雅黑" w:eastAsia="微软雅黑"/>
                <w:color w:val="auto"/>
                <w:szCs w:val="21"/>
                <w:highlight w:val="none"/>
              </w:rPr>
            </w:pPr>
          </w:p>
        </w:tc>
        <w:tc>
          <w:tcPr>
            <w:tcW w:w="2410" w:type="dxa"/>
            <w:tcBorders>
              <w:top w:val="single" w:color="auto" w:sz="2" w:space="0"/>
              <w:left w:val="single" w:color="auto" w:sz="4" w:space="0"/>
              <w:bottom w:val="single" w:color="auto" w:sz="6" w:space="0"/>
              <w:right w:val="single" w:color="auto" w:sz="6" w:space="0"/>
            </w:tcBorders>
            <w:vAlign w:val="center"/>
          </w:tcPr>
          <w:p>
            <w:pPr>
              <w:snapToGrid w:val="0"/>
              <w:spacing w:line="360" w:lineRule="auto"/>
              <w:jc w:val="center"/>
              <w:rPr>
                <w:rFonts w:ascii="微软雅黑" w:hAnsi="微软雅黑" w:eastAsia="微软雅黑"/>
                <w:color w:val="auto"/>
                <w:szCs w:val="21"/>
                <w:highlight w:val="none"/>
              </w:rPr>
            </w:pPr>
          </w:p>
        </w:tc>
        <w:tc>
          <w:tcPr>
            <w:tcW w:w="1134" w:type="dxa"/>
            <w:tcBorders>
              <w:top w:val="single" w:color="auto" w:sz="2" w:space="0"/>
              <w:left w:val="single" w:color="auto" w:sz="6" w:space="0"/>
              <w:bottom w:val="single" w:color="auto" w:sz="6" w:space="0"/>
              <w:right w:val="single" w:color="auto" w:sz="6" w:space="0"/>
            </w:tcBorders>
            <w:tcMar>
              <w:top w:w="15" w:type="dxa"/>
              <w:left w:w="15" w:type="dxa"/>
              <w:bottom w:w="0" w:type="dxa"/>
              <w:right w:w="15" w:type="dxa"/>
            </w:tcMar>
            <w:vAlign w:val="center"/>
          </w:tcPr>
          <w:p>
            <w:pPr>
              <w:snapToGrid w:val="0"/>
              <w:spacing w:line="360" w:lineRule="auto"/>
              <w:jc w:val="center"/>
              <w:rPr>
                <w:rFonts w:ascii="微软雅黑" w:hAnsi="微软雅黑" w:eastAsia="微软雅黑"/>
                <w:color w:val="auto"/>
                <w:szCs w:val="21"/>
                <w:highlight w:val="none"/>
              </w:rPr>
            </w:pPr>
          </w:p>
        </w:tc>
        <w:tc>
          <w:tcPr>
            <w:tcW w:w="1076" w:type="dxa"/>
            <w:tcBorders>
              <w:top w:val="single" w:color="auto" w:sz="2" w:space="0"/>
              <w:left w:val="single" w:color="auto" w:sz="6" w:space="0"/>
              <w:bottom w:val="single" w:color="auto" w:sz="6" w:space="0"/>
              <w:right w:val="single" w:color="auto" w:sz="6" w:space="0"/>
            </w:tcBorders>
            <w:vAlign w:val="center"/>
          </w:tcPr>
          <w:p>
            <w:pPr>
              <w:snapToGrid w:val="0"/>
              <w:spacing w:line="360" w:lineRule="auto"/>
              <w:jc w:val="center"/>
              <w:rPr>
                <w:rFonts w:ascii="微软雅黑" w:hAnsi="微软雅黑" w:eastAsia="微软雅黑"/>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285" w:hRule="atLeast"/>
        </w:trPr>
        <w:tc>
          <w:tcPr>
            <w:tcW w:w="973" w:type="dxa"/>
            <w:tcBorders>
              <w:top w:val="single" w:color="auto" w:sz="4" w:space="0"/>
              <w:left w:val="single" w:color="auto" w:sz="4" w:space="0"/>
              <w:bottom w:val="single" w:color="auto" w:sz="4" w:space="0"/>
              <w:right w:val="single" w:color="auto" w:sz="2" w:space="0"/>
            </w:tcBorders>
            <w:tcMar>
              <w:top w:w="15" w:type="dxa"/>
              <w:left w:w="15" w:type="dxa"/>
              <w:bottom w:w="0" w:type="dxa"/>
              <w:right w:w="15" w:type="dxa"/>
            </w:tcMar>
            <w:vAlign w:val="center"/>
          </w:tcPr>
          <w:p>
            <w:pPr>
              <w:snapToGrid w:val="0"/>
              <w:spacing w:line="360" w:lineRule="auto"/>
              <w:jc w:val="center"/>
              <w:rPr>
                <w:rFonts w:ascii="微软雅黑" w:hAnsi="微软雅黑" w:eastAsia="微软雅黑"/>
                <w:color w:val="auto"/>
                <w:szCs w:val="21"/>
                <w:highlight w:val="none"/>
              </w:rPr>
            </w:pPr>
            <w:r>
              <w:rPr>
                <w:rFonts w:ascii="微软雅黑" w:hAnsi="微软雅黑" w:eastAsia="微软雅黑"/>
                <w:color w:val="auto"/>
                <w:szCs w:val="21"/>
                <w:highlight w:val="none"/>
              </w:rPr>
              <w:t>2</w:t>
            </w:r>
          </w:p>
        </w:tc>
        <w:tc>
          <w:tcPr>
            <w:tcW w:w="3011" w:type="dxa"/>
            <w:tcBorders>
              <w:top w:val="single" w:color="auto" w:sz="6" w:space="0"/>
              <w:left w:val="single" w:color="auto" w:sz="2" w:space="0"/>
              <w:bottom w:val="single" w:color="auto" w:sz="6" w:space="0"/>
              <w:right w:val="single" w:color="auto" w:sz="4" w:space="0"/>
            </w:tcBorders>
            <w:vAlign w:val="center"/>
          </w:tcPr>
          <w:p>
            <w:pPr>
              <w:snapToGrid w:val="0"/>
              <w:spacing w:line="360" w:lineRule="auto"/>
              <w:jc w:val="center"/>
              <w:rPr>
                <w:rFonts w:ascii="微软雅黑" w:hAnsi="微软雅黑" w:eastAsia="微软雅黑"/>
                <w:color w:val="auto"/>
                <w:szCs w:val="21"/>
                <w:highlight w:val="none"/>
              </w:rPr>
            </w:pPr>
          </w:p>
        </w:tc>
        <w:tc>
          <w:tcPr>
            <w:tcW w:w="2410" w:type="dxa"/>
            <w:tcBorders>
              <w:top w:val="single" w:color="auto" w:sz="6" w:space="0"/>
              <w:left w:val="single" w:color="auto" w:sz="4" w:space="0"/>
              <w:bottom w:val="single" w:color="auto" w:sz="6" w:space="0"/>
              <w:right w:val="single" w:color="auto" w:sz="6" w:space="0"/>
            </w:tcBorders>
            <w:vAlign w:val="center"/>
          </w:tcPr>
          <w:p>
            <w:pPr>
              <w:snapToGrid w:val="0"/>
              <w:spacing w:line="360" w:lineRule="auto"/>
              <w:jc w:val="center"/>
              <w:rPr>
                <w:rFonts w:ascii="微软雅黑" w:hAnsi="微软雅黑" w:eastAsia="微软雅黑"/>
                <w:color w:val="auto"/>
                <w:szCs w:val="21"/>
                <w:highlight w:val="none"/>
              </w:rPr>
            </w:pPr>
          </w:p>
        </w:tc>
        <w:tc>
          <w:tcPr>
            <w:tcW w:w="1134" w:type="dxa"/>
            <w:tcBorders>
              <w:top w:val="single" w:color="auto" w:sz="6" w:space="0"/>
              <w:left w:val="single" w:color="auto" w:sz="6" w:space="0"/>
              <w:bottom w:val="single" w:color="auto" w:sz="6" w:space="0"/>
              <w:right w:val="single" w:color="auto" w:sz="6" w:space="0"/>
            </w:tcBorders>
            <w:tcMar>
              <w:top w:w="15" w:type="dxa"/>
              <w:left w:w="15" w:type="dxa"/>
              <w:bottom w:w="0" w:type="dxa"/>
              <w:right w:w="15" w:type="dxa"/>
            </w:tcMar>
            <w:vAlign w:val="center"/>
          </w:tcPr>
          <w:p>
            <w:pPr>
              <w:snapToGrid w:val="0"/>
              <w:spacing w:line="360" w:lineRule="auto"/>
              <w:jc w:val="center"/>
              <w:rPr>
                <w:rFonts w:ascii="微软雅黑" w:hAnsi="微软雅黑" w:eastAsia="微软雅黑"/>
                <w:color w:val="auto"/>
                <w:szCs w:val="21"/>
                <w:highlight w:val="none"/>
              </w:rPr>
            </w:pPr>
          </w:p>
        </w:tc>
        <w:tc>
          <w:tcPr>
            <w:tcW w:w="1076" w:type="dxa"/>
            <w:tcBorders>
              <w:top w:val="single" w:color="auto" w:sz="6" w:space="0"/>
              <w:left w:val="single" w:color="auto" w:sz="6" w:space="0"/>
              <w:bottom w:val="single" w:color="auto" w:sz="6" w:space="0"/>
              <w:right w:val="single" w:color="auto" w:sz="6" w:space="0"/>
            </w:tcBorders>
            <w:vAlign w:val="center"/>
          </w:tcPr>
          <w:p>
            <w:pPr>
              <w:snapToGrid w:val="0"/>
              <w:spacing w:line="360" w:lineRule="auto"/>
              <w:jc w:val="center"/>
              <w:rPr>
                <w:rFonts w:ascii="微软雅黑" w:hAnsi="微软雅黑" w:eastAsia="微软雅黑"/>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285" w:hRule="atLeast"/>
        </w:trPr>
        <w:tc>
          <w:tcPr>
            <w:tcW w:w="973" w:type="dxa"/>
            <w:tcBorders>
              <w:top w:val="single" w:color="auto" w:sz="4" w:space="0"/>
              <w:left w:val="single" w:color="auto" w:sz="4" w:space="0"/>
              <w:bottom w:val="single" w:color="auto" w:sz="4" w:space="0"/>
              <w:right w:val="single" w:color="auto" w:sz="2" w:space="0"/>
            </w:tcBorders>
            <w:tcMar>
              <w:top w:w="15" w:type="dxa"/>
              <w:left w:w="15" w:type="dxa"/>
              <w:bottom w:w="0" w:type="dxa"/>
              <w:right w:w="15" w:type="dxa"/>
            </w:tcMar>
            <w:vAlign w:val="center"/>
          </w:tcPr>
          <w:p>
            <w:pPr>
              <w:snapToGrid w:val="0"/>
              <w:spacing w:line="360" w:lineRule="auto"/>
              <w:jc w:val="center"/>
              <w:rPr>
                <w:rFonts w:ascii="微软雅黑" w:hAnsi="微软雅黑" w:eastAsia="微软雅黑"/>
                <w:color w:val="auto"/>
                <w:szCs w:val="21"/>
                <w:highlight w:val="none"/>
              </w:rPr>
            </w:pPr>
            <w:r>
              <w:rPr>
                <w:rFonts w:ascii="微软雅黑" w:hAnsi="微软雅黑" w:eastAsia="微软雅黑"/>
                <w:color w:val="auto"/>
                <w:szCs w:val="21"/>
                <w:highlight w:val="none"/>
              </w:rPr>
              <w:t>3</w:t>
            </w:r>
          </w:p>
        </w:tc>
        <w:tc>
          <w:tcPr>
            <w:tcW w:w="3011" w:type="dxa"/>
            <w:tcBorders>
              <w:top w:val="single" w:color="auto" w:sz="6" w:space="0"/>
              <w:left w:val="single" w:color="auto" w:sz="2" w:space="0"/>
              <w:bottom w:val="single" w:color="auto" w:sz="6" w:space="0"/>
              <w:right w:val="single" w:color="auto" w:sz="4" w:space="0"/>
            </w:tcBorders>
            <w:vAlign w:val="center"/>
          </w:tcPr>
          <w:p>
            <w:pPr>
              <w:snapToGrid w:val="0"/>
              <w:spacing w:line="360" w:lineRule="auto"/>
              <w:jc w:val="center"/>
              <w:rPr>
                <w:rFonts w:ascii="微软雅黑" w:hAnsi="微软雅黑" w:eastAsia="微软雅黑"/>
                <w:color w:val="auto"/>
                <w:szCs w:val="21"/>
                <w:highlight w:val="none"/>
              </w:rPr>
            </w:pPr>
          </w:p>
        </w:tc>
        <w:tc>
          <w:tcPr>
            <w:tcW w:w="2410" w:type="dxa"/>
            <w:tcBorders>
              <w:top w:val="single" w:color="auto" w:sz="6" w:space="0"/>
              <w:left w:val="single" w:color="auto" w:sz="4" w:space="0"/>
              <w:bottom w:val="single" w:color="auto" w:sz="6" w:space="0"/>
              <w:right w:val="single" w:color="auto" w:sz="6" w:space="0"/>
            </w:tcBorders>
            <w:vAlign w:val="center"/>
          </w:tcPr>
          <w:p>
            <w:pPr>
              <w:snapToGrid w:val="0"/>
              <w:spacing w:line="360" w:lineRule="auto"/>
              <w:jc w:val="center"/>
              <w:rPr>
                <w:rFonts w:ascii="微软雅黑" w:hAnsi="微软雅黑" w:eastAsia="微软雅黑"/>
                <w:color w:val="auto"/>
                <w:szCs w:val="21"/>
                <w:highlight w:val="none"/>
              </w:rPr>
            </w:pPr>
          </w:p>
        </w:tc>
        <w:tc>
          <w:tcPr>
            <w:tcW w:w="1134" w:type="dxa"/>
            <w:tcBorders>
              <w:top w:val="single" w:color="auto" w:sz="6" w:space="0"/>
              <w:left w:val="single" w:color="auto" w:sz="6" w:space="0"/>
              <w:bottom w:val="single" w:color="auto" w:sz="6" w:space="0"/>
              <w:right w:val="single" w:color="auto" w:sz="6" w:space="0"/>
            </w:tcBorders>
            <w:tcMar>
              <w:top w:w="15" w:type="dxa"/>
              <w:left w:w="15" w:type="dxa"/>
              <w:bottom w:w="0" w:type="dxa"/>
              <w:right w:w="15" w:type="dxa"/>
            </w:tcMar>
            <w:vAlign w:val="center"/>
          </w:tcPr>
          <w:p>
            <w:pPr>
              <w:snapToGrid w:val="0"/>
              <w:spacing w:line="360" w:lineRule="auto"/>
              <w:jc w:val="center"/>
              <w:rPr>
                <w:rFonts w:ascii="微软雅黑" w:hAnsi="微软雅黑" w:eastAsia="微软雅黑"/>
                <w:color w:val="auto"/>
                <w:szCs w:val="21"/>
                <w:highlight w:val="none"/>
              </w:rPr>
            </w:pPr>
          </w:p>
        </w:tc>
        <w:tc>
          <w:tcPr>
            <w:tcW w:w="1076" w:type="dxa"/>
            <w:tcBorders>
              <w:top w:val="single" w:color="auto" w:sz="6" w:space="0"/>
              <w:left w:val="single" w:color="auto" w:sz="6" w:space="0"/>
              <w:bottom w:val="single" w:color="auto" w:sz="6" w:space="0"/>
              <w:right w:val="single" w:color="auto" w:sz="6" w:space="0"/>
            </w:tcBorders>
            <w:vAlign w:val="center"/>
          </w:tcPr>
          <w:p>
            <w:pPr>
              <w:snapToGrid w:val="0"/>
              <w:spacing w:line="360" w:lineRule="auto"/>
              <w:jc w:val="center"/>
              <w:rPr>
                <w:rFonts w:ascii="微软雅黑" w:hAnsi="微软雅黑" w:eastAsia="微软雅黑"/>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285" w:hRule="atLeast"/>
        </w:trPr>
        <w:tc>
          <w:tcPr>
            <w:tcW w:w="973" w:type="dxa"/>
            <w:tcBorders>
              <w:top w:val="single" w:color="auto" w:sz="4" w:space="0"/>
              <w:left w:val="single" w:color="auto" w:sz="4" w:space="0"/>
              <w:bottom w:val="single" w:color="auto" w:sz="4" w:space="0"/>
              <w:right w:val="single" w:color="auto" w:sz="2" w:space="0"/>
            </w:tcBorders>
            <w:tcMar>
              <w:top w:w="15" w:type="dxa"/>
              <w:left w:w="15" w:type="dxa"/>
              <w:bottom w:w="0" w:type="dxa"/>
              <w:right w:w="15" w:type="dxa"/>
            </w:tcMar>
            <w:vAlign w:val="center"/>
          </w:tcPr>
          <w:p>
            <w:pPr>
              <w:snapToGrid w:val="0"/>
              <w:spacing w:line="360" w:lineRule="auto"/>
              <w:jc w:val="center"/>
              <w:rPr>
                <w:rFonts w:ascii="微软雅黑" w:hAnsi="微软雅黑" w:eastAsia="微软雅黑"/>
                <w:color w:val="auto"/>
                <w:szCs w:val="21"/>
                <w:highlight w:val="none"/>
              </w:rPr>
            </w:pPr>
            <w:r>
              <w:rPr>
                <w:rFonts w:ascii="微软雅黑" w:hAnsi="微软雅黑" w:eastAsia="微软雅黑"/>
                <w:color w:val="auto"/>
                <w:szCs w:val="21"/>
                <w:highlight w:val="none"/>
              </w:rPr>
              <w:t>4</w:t>
            </w:r>
          </w:p>
        </w:tc>
        <w:tc>
          <w:tcPr>
            <w:tcW w:w="3011" w:type="dxa"/>
            <w:tcBorders>
              <w:top w:val="single" w:color="auto" w:sz="6" w:space="0"/>
              <w:left w:val="single" w:color="auto" w:sz="2" w:space="0"/>
              <w:bottom w:val="single" w:color="auto" w:sz="6" w:space="0"/>
              <w:right w:val="single" w:color="auto" w:sz="4" w:space="0"/>
            </w:tcBorders>
            <w:vAlign w:val="center"/>
          </w:tcPr>
          <w:p>
            <w:pPr>
              <w:snapToGrid w:val="0"/>
              <w:spacing w:line="360" w:lineRule="auto"/>
              <w:jc w:val="center"/>
              <w:rPr>
                <w:rFonts w:ascii="微软雅黑" w:hAnsi="微软雅黑" w:eastAsia="微软雅黑"/>
                <w:color w:val="auto"/>
                <w:szCs w:val="21"/>
                <w:highlight w:val="none"/>
              </w:rPr>
            </w:pPr>
          </w:p>
        </w:tc>
        <w:tc>
          <w:tcPr>
            <w:tcW w:w="2410" w:type="dxa"/>
            <w:tcBorders>
              <w:top w:val="single" w:color="auto" w:sz="6" w:space="0"/>
              <w:left w:val="single" w:color="auto" w:sz="4" w:space="0"/>
              <w:bottom w:val="single" w:color="auto" w:sz="6" w:space="0"/>
              <w:right w:val="single" w:color="auto" w:sz="6" w:space="0"/>
            </w:tcBorders>
            <w:vAlign w:val="center"/>
          </w:tcPr>
          <w:p>
            <w:pPr>
              <w:snapToGrid w:val="0"/>
              <w:spacing w:line="360" w:lineRule="auto"/>
              <w:jc w:val="center"/>
              <w:rPr>
                <w:rFonts w:ascii="微软雅黑" w:hAnsi="微软雅黑" w:eastAsia="微软雅黑"/>
                <w:color w:val="auto"/>
                <w:szCs w:val="21"/>
                <w:highlight w:val="none"/>
              </w:rPr>
            </w:pPr>
          </w:p>
        </w:tc>
        <w:tc>
          <w:tcPr>
            <w:tcW w:w="1134" w:type="dxa"/>
            <w:tcBorders>
              <w:top w:val="single" w:color="auto" w:sz="6" w:space="0"/>
              <w:left w:val="single" w:color="auto" w:sz="6" w:space="0"/>
              <w:bottom w:val="single" w:color="auto" w:sz="6" w:space="0"/>
              <w:right w:val="single" w:color="auto" w:sz="6" w:space="0"/>
            </w:tcBorders>
            <w:tcMar>
              <w:top w:w="15" w:type="dxa"/>
              <w:left w:w="15" w:type="dxa"/>
              <w:bottom w:w="0" w:type="dxa"/>
              <w:right w:w="15" w:type="dxa"/>
            </w:tcMar>
            <w:vAlign w:val="center"/>
          </w:tcPr>
          <w:p>
            <w:pPr>
              <w:snapToGrid w:val="0"/>
              <w:spacing w:line="360" w:lineRule="auto"/>
              <w:jc w:val="center"/>
              <w:rPr>
                <w:rFonts w:ascii="微软雅黑" w:hAnsi="微软雅黑" w:eastAsia="微软雅黑"/>
                <w:color w:val="auto"/>
                <w:szCs w:val="21"/>
                <w:highlight w:val="none"/>
              </w:rPr>
            </w:pPr>
          </w:p>
        </w:tc>
        <w:tc>
          <w:tcPr>
            <w:tcW w:w="1076" w:type="dxa"/>
            <w:tcBorders>
              <w:top w:val="single" w:color="auto" w:sz="6" w:space="0"/>
              <w:left w:val="single" w:color="auto" w:sz="6" w:space="0"/>
              <w:bottom w:val="single" w:color="auto" w:sz="6" w:space="0"/>
              <w:right w:val="single" w:color="auto" w:sz="6" w:space="0"/>
            </w:tcBorders>
            <w:vAlign w:val="center"/>
          </w:tcPr>
          <w:p>
            <w:pPr>
              <w:snapToGrid w:val="0"/>
              <w:spacing w:line="360" w:lineRule="auto"/>
              <w:jc w:val="center"/>
              <w:rPr>
                <w:rFonts w:ascii="微软雅黑" w:hAnsi="微软雅黑" w:eastAsia="微软雅黑"/>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285" w:hRule="atLeast"/>
        </w:trPr>
        <w:tc>
          <w:tcPr>
            <w:tcW w:w="973" w:type="dxa"/>
            <w:tcBorders>
              <w:top w:val="single" w:color="auto" w:sz="4" w:space="0"/>
              <w:left w:val="single" w:color="auto" w:sz="4" w:space="0"/>
              <w:bottom w:val="single" w:color="auto" w:sz="4" w:space="0"/>
              <w:right w:val="single" w:color="auto" w:sz="2" w:space="0"/>
            </w:tcBorders>
            <w:tcMar>
              <w:top w:w="15" w:type="dxa"/>
              <w:left w:w="15" w:type="dxa"/>
              <w:bottom w:w="0" w:type="dxa"/>
              <w:right w:w="15" w:type="dxa"/>
            </w:tcMar>
            <w:vAlign w:val="center"/>
          </w:tcPr>
          <w:p>
            <w:pPr>
              <w:snapToGrid w:val="0"/>
              <w:spacing w:line="360" w:lineRule="auto"/>
              <w:jc w:val="center"/>
              <w:rPr>
                <w:rFonts w:ascii="微软雅黑" w:hAnsi="微软雅黑" w:eastAsia="微软雅黑"/>
                <w:color w:val="auto"/>
                <w:szCs w:val="21"/>
                <w:highlight w:val="none"/>
              </w:rPr>
            </w:pPr>
            <w:r>
              <w:rPr>
                <w:rFonts w:ascii="微软雅黑" w:hAnsi="微软雅黑" w:eastAsia="微软雅黑"/>
                <w:color w:val="auto"/>
                <w:szCs w:val="21"/>
                <w:highlight w:val="none"/>
              </w:rPr>
              <w:t>5</w:t>
            </w:r>
          </w:p>
        </w:tc>
        <w:tc>
          <w:tcPr>
            <w:tcW w:w="3011" w:type="dxa"/>
            <w:tcBorders>
              <w:top w:val="single" w:color="auto" w:sz="6" w:space="0"/>
              <w:left w:val="single" w:color="auto" w:sz="2" w:space="0"/>
              <w:bottom w:val="single" w:color="auto" w:sz="6" w:space="0"/>
              <w:right w:val="single" w:color="auto" w:sz="4" w:space="0"/>
            </w:tcBorders>
            <w:vAlign w:val="center"/>
          </w:tcPr>
          <w:p>
            <w:pPr>
              <w:snapToGrid w:val="0"/>
              <w:spacing w:line="360" w:lineRule="auto"/>
              <w:jc w:val="center"/>
              <w:rPr>
                <w:rFonts w:ascii="微软雅黑" w:hAnsi="微软雅黑" w:eastAsia="微软雅黑"/>
                <w:color w:val="auto"/>
                <w:szCs w:val="21"/>
                <w:highlight w:val="none"/>
              </w:rPr>
            </w:pPr>
          </w:p>
        </w:tc>
        <w:tc>
          <w:tcPr>
            <w:tcW w:w="2410" w:type="dxa"/>
            <w:tcBorders>
              <w:top w:val="single" w:color="auto" w:sz="6" w:space="0"/>
              <w:left w:val="single" w:color="auto" w:sz="4" w:space="0"/>
              <w:bottom w:val="single" w:color="auto" w:sz="6" w:space="0"/>
              <w:right w:val="single" w:color="auto" w:sz="6" w:space="0"/>
            </w:tcBorders>
            <w:vAlign w:val="center"/>
          </w:tcPr>
          <w:p>
            <w:pPr>
              <w:snapToGrid w:val="0"/>
              <w:spacing w:line="360" w:lineRule="auto"/>
              <w:jc w:val="center"/>
              <w:rPr>
                <w:rFonts w:ascii="微软雅黑" w:hAnsi="微软雅黑" w:eastAsia="微软雅黑"/>
                <w:color w:val="auto"/>
                <w:szCs w:val="21"/>
                <w:highlight w:val="none"/>
              </w:rPr>
            </w:pPr>
          </w:p>
        </w:tc>
        <w:tc>
          <w:tcPr>
            <w:tcW w:w="1134" w:type="dxa"/>
            <w:tcBorders>
              <w:top w:val="single" w:color="auto" w:sz="6" w:space="0"/>
              <w:left w:val="single" w:color="auto" w:sz="6" w:space="0"/>
              <w:bottom w:val="single" w:color="auto" w:sz="6" w:space="0"/>
              <w:right w:val="single" w:color="auto" w:sz="6" w:space="0"/>
            </w:tcBorders>
            <w:tcMar>
              <w:top w:w="15" w:type="dxa"/>
              <w:left w:w="15" w:type="dxa"/>
              <w:bottom w:w="0" w:type="dxa"/>
              <w:right w:w="15" w:type="dxa"/>
            </w:tcMar>
            <w:vAlign w:val="center"/>
          </w:tcPr>
          <w:p>
            <w:pPr>
              <w:snapToGrid w:val="0"/>
              <w:spacing w:line="360" w:lineRule="auto"/>
              <w:jc w:val="center"/>
              <w:rPr>
                <w:rFonts w:ascii="微软雅黑" w:hAnsi="微软雅黑" w:eastAsia="微软雅黑"/>
                <w:color w:val="auto"/>
                <w:szCs w:val="21"/>
                <w:highlight w:val="none"/>
              </w:rPr>
            </w:pPr>
          </w:p>
        </w:tc>
        <w:tc>
          <w:tcPr>
            <w:tcW w:w="1076" w:type="dxa"/>
            <w:tcBorders>
              <w:top w:val="single" w:color="auto" w:sz="6" w:space="0"/>
              <w:left w:val="single" w:color="auto" w:sz="6" w:space="0"/>
              <w:bottom w:val="single" w:color="auto" w:sz="6" w:space="0"/>
              <w:right w:val="single" w:color="auto" w:sz="6" w:space="0"/>
            </w:tcBorders>
            <w:vAlign w:val="center"/>
          </w:tcPr>
          <w:p>
            <w:pPr>
              <w:snapToGrid w:val="0"/>
              <w:spacing w:line="360" w:lineRule="auto"/>
              <w:jc w:val="center"/>
              <w:rPr>
                <w:rFonts w:ascii="微软雅黑" w:hAnsi="微软雅黑" w:eastAsia="微软雅黑"/>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285" w:hRule="atLeast"/>
        </w:trPr>
        <w:tc>
          <w:tcPr>
            <w:tcW w:w="973" w:type="dxa"/>
            <w:tcBorders>
              <w:top w:val="single" w:color="auto" w:sz="4" w:space="0"/>
              <w:left w:val="single" w:color="auto" w:sz="4" w:space="0"/>
              <w:bottom w:val="single" w:color="auto" w:sz="4" w:space="0"/>
              <w:right w:val="single" w:color="auto" w:sz="2" w:space="0"/>
            </w:tcBorders>
            <w:tcMar>
              <w:top w:w="15" w:type="dxa"/>
              <w:left w:w="15" w:type="dxa"/>
              <w:bottom w:w="0" w:type="dxa"/>
              <w:right w:w="15" w:type="dxa"/>
            </w:tcMar>
            <w:vAlign w:val="center"/>
          </w:tcPr>
          <w:p>
            <w:pPr>
              <w:snapToGrid w:val="0"/>
              <w:spacing w:line="360" w:lineRule="auto"/>
              <w:jc w:val="center"/>
              <w:rPr>
                <w:rFonts w:ascii="微软雅黑" w:hAnsi="微软雅黑" w:eastAsia="微软雅黑"/>
                <w:color w:val="auto"/>
                <w:szCs w:val="21"/>
                <w:highlight w:val="none"/>
              </w:rPr>
            </w:pPr>
            <w:r>
              <w:rPr>
                <w:rFonts w:ascii="微软雅黑" w:hAnsi="微软雅黑" w:eastAsia="微软雅黑"/>
                <w:color w:val="auto"/>
                <w:szCs w:val="21"/>
                <w:highlight w:val="none"/>
              </w:rPr>
              <w:t>6</w:t>
            </w:r>
          </w:p>
        </w:tc>
        <w:tc>
          <w:tcPr>
            <w:tcW w:w="3011" w:type="dxa"/>
            <w:tcBorders>
              <w:top w:val="single" w:color="auto" w:sz="6" w:space="0"/>
              <w:left w:val="single" w:color="auto" w:sz="2" w:space="0"/>
              <w:bottom w:val="single" w:color="auto" w:sz="6" w:space="0"/>
              <w:right w:val="single" w:color="auto" w:sz="4" w:space="0"/>
            </w:tcBorders>
            <w:vAlign w:val="center"/>
          </w:tcPr>
          <w:p>
            <w:pPr>
              <w:snapToGrid w:val="0"/>
              <w:spacing w:line="360" w:lineRule="auto"/>
              <w:jc w:val="center"/>
              <w:rPr>
                <w:rFonts w:ascii="微软雅黑" w:hAnsi="微软雅黑" w:eastAsia="微软雅黑"/>
                <w:color w:val="auto"/>
                <w:szCs w:val="21"/>
                <w:highlight w:val="none"/>
              </w:rPr>
            </w:pPr>
          </w:p>
        </w:tc>
        <w:tc>
          <w:tcPr>
            <w:tcW w:w="2410" w:type="dxa"/>
            <w:tcBorders>
              <w:top w:val="single" w:color="auto" w:sz="6" w:space="0"/>
              <w:left w:val="single" w:color="auto" w:sz="4" w:space="0"/>
              <w:bottom w:val="single" w:color="auto" w:sz="6" w:space="0"/>
              <w:right w:val="single" w:color="auto" w:sz="6" w:space="0"/>
            </w:tcBorders>
            <w:vAlign w:val="center"/>
          </w:tcPr>
          <w:p>
            <w:pPr>
              <w:snapToGrid w:val="0"/>
              <w:spacing w:line="360" w:lineRule="auto"/>
              <w:jc w:val="center"/>
              <w:rPr>
                <w:rFonts w:ascii="微软雅黑" w:hAnsi="微软雅黑" w:eastAsia="微软雅黑"/>
                <w:color w:val="auto"/>
                <w:szCs w:val="21"/>
                <w:highlight w:val="none"/>
              </w:rPr>
            </w:pPr>
          </w:p>
        </w:tc>
        <w:tc>
          <w:tcPr>
            <w:tcW w:w="1134" w:type="dxa"/>
            <w:tcBorders>
              <w:top w:val="single" w:color="auto" w:sz="6" w:space="0"/>
              <w:left w:val="single" w:color="auto" w:sz="6" w:space="0"/>
              <w:bottom w:val="single" w:color="auto" w:sz="6" w:space="0"/>
              <w:right w:val="single" w:color="auto" w:sz="6" w:space="0"/>
            </w:tcBorders>
            <w:tcMar>
              <w:top w:w="15" w:type="dxa"/>
              <w:left w:w="15" w:type="dxa"/>
              <w:bottom w:w="0" w:type="dxa"/>
              <w:right w:w="15" w:type="dxa"/>
            </w:tcMar>
            <w:vAlign w:val="center"/>
          </w:tcPr>
          <w:p>
            <w:pPr>
              <w:snapToGrid w:val="0"/>
              <w:spacing w:line="360" w:lineRule="auto"/>
              <w:jc w:val="center"/>
              <w:rPr>
                <w:rFonts w:ascii="微软雅黑" w:hAnsi="微软雅黑" w:eastAsia="微软雅黑"/>
                <w:color w:val="auto"/>
                <w:szCs w:val="21"/>
                <w:highlight w:val="none"/>
              </w:rPr>
            </w:pPr>
          </w:p>
        </w:tc>
        <w:tc>
          <w:tcPr>
            <w:tcW w:w="1076" w:type="dxa"/>
            <w:tcBorders>
              <w:top w:val="single" w:color="auto" w:sz="6" w:space="0"/>
              <w:left w:val="single" w:color="auto" w:sz="6" w:space="0"/>
              <w:bottom w:val="single" w:color="auto" w:sz="6" w:space="0"/>
              <w:right w:val="single" w:color="auto" w:sz="6" w:space="0"/>
            </w:tcBorders>
            <w:vAlign w:val="center"/>
          </w:tcPr>
          <w:p>
            <w:pPr>
              <w:snapToGrid w:val="0"/>
              <w:spacing w:line="360" w:lineRule="auto"/>
              <w:jc w:val="center"/>
              <w:rPr>
                <w:rFonts w:ascii="微软雅黑" w:hAnsi="微软雅黑" w:eastAsia="微软雅黑"/>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285" w:hRule="atLeast"/>
        </w:trPr>
        <w:tc>
          <w:tcPr>
            <w:tcW w:w="973" w:type="dxa"/>
            <w:tcBorders>
              <w:top w:val="single" w:color="auto" w:sz="4" w:space="0"/>
              <w:left w:val="single" w:color="auto" w:sz="4" w:space="0"/>
              <w:bottom w:val="single" w:color="auto" w:sz="4" w:space="0"/>
              <w:right w:val="single" w:color="auto" w:sz="2" w:space="0"/>
            </w:tcBorders>
            <w:tcMar>
              <w:top w:w="15" w:type="dxa"/>
              <w:left w:w="15" w:type="dxa"/>
              <w:bottom w:w="0" w:type="dxa"/>
              <w:right w:w="15" w:type="dxa"/>
            </w:tcMar>
            <w:vAlign w:val="center"/>
          </w:tcPr>
          <w:p>
            <w:pPr>
              <w:snapToGrid w:val="0"/>
              <w:spacing w:line="360" w:lineRule="auto"/>
              <w:jc w:val="center"/>
              <w:rPr>
                <w:rFonts w:ascii="微软雅黑" w:hAnsi="微软雅黑" w:eastAsia="微软雅黑"/>
                <w:color w:val="auto"/>
                <w:szCs w:val="21"/>
                <w:highlight w:val="none"/>
              </w:rPr>
            </w:pPr>
          </w:p>
        </w:tc>
        <w:tc>
          <w:tcPr>
            <w:tcW w:w="3011" w:type="dxa"/>
            <w:tcBorders>
              <w:top w:val="single" w:color="auto" w:sz="6" w:space="0"/>
              <w:left w:val="single" w:color="auto" w:sz="2" w:space="0"/>
              <w:bottom w:val="single" w:color="auto" w:sz="6" w:space="0"/>
              <w:right w:val="single" w:color="auto" w:sz="4" w:space="0"/>
            </w:tcBorders>
            <w:vAlign w:val="center"/>
          </w:tcPr>
          <w:p>
            <w:pPr>
              <w:snapToGrid w:val="0"/>
              <w:spacing w:line="360" w:lineRule="auto"/>
              <w:jc w:val="center"/>
              <w:rPr>
                <w:rFonts w:ascii="微软雅黑" w:hAnsi="微软雅黑" w:eastAsia="微软雅黑"/>
                <w:color w:val="auto"/>
                <w:szCs w:val="21"/>
                <w:highlight w:val="none"/>
              </w:rPr>
            </w:pPr>
          </w:p>
        </w:tc>
        <w:tc>
          <w:tcPr>
            <w:tcW w:w="2410" w:type="dxa"/>
            <w:tcBorders>
              <w:top w:val="single" w:color="auto" w:sz="6" w:space="0"/>
              <w:left w:val="single" w:color="auto" w:sz="4" w:space="0"/>
              <w:bottom w:val="single" w:color="auto" w:sz="6" w:space="0"/>
              <w:right w:val="single" w:color="auto" w:sz="6" w:space="0"/>
            </w:tcBorders>
            <w:vAlign w:val="center"/>
          </w:tcPr>
          <w:p>
            <w:pPr>
              <w:snapToGrid w:val="0"/>
              <w:spacing w:line="360" w:lineRule="auto"/>
              <w:jc w:val="center"/>
              <w:rPr>
                <w:rFonts w:ascii="微软雅黑" w:hAnsi="微软雅黑" w:eastAsia="微软雅黑"/>
                <w:color w:val="auto"/>
                <w:szCs w:val="21"/>
                <w:highlight w:val="none"/>
              </w:rPr>
            </w:pPr>
          </w:p>
        </w:tc>
        <w:tc>
          <w:tcPr>
            <w:tcW w:w="1134" w:type="dxa"/>
            <w:tcBorders>
              <w:top w:val="single" w:color="auto" w:sz="6" w:space="0"/>
              <w:left w:val="single" w:color="auto" w:sz="6" w:space="0"/>
              <w:bottom w:val="single" w:color="auto" w:sz="6" w:space="0"/>
              <w:right w:val="single" w:color="auto" w:sz="6" w:space="0"/>
            </w:tcBorders>
            <w:tcMar>
              <w:top w:w="15" w:type="dxa"/>
              <w:left w:w="15" w:type="dxa"/>
              <w:bottom w:w="0" w:type="dxa"/>
              <w:right w:w="15" w:type="dxa"/>
            </w:tcMar>
            <w:vAlign w:val="center"/>
          </w:tcPr>
          <w:p>
            <w:pPr>
              <w:snapToGrid w:val="0"/>
              <w:spacing w:line="360" w:lineRule="auto"/>
              <w:jc w:val="center"/>
              <w:rPr>
                <w:rFonts w:ascii="微软雅黑" w:hAnsi="微软雅黑" w:eastAsia="微软雅黑"/>
                <w:color w:val="auto"/>
                <w:szCs w:val="21"/>
                <w:highlight w:val="none"/>
              </w:rPr>
            </w:pPr>
          </w:p>
        </w:tc>
        <w:tc>
          <w:tcPr>
            <w:tcW w:w="1076" w:type="dxa"/>
            <w:tcBorders>
              <w:top w:val="single" w:color="auto" w:sz="6" w:space="0"/>
              <w:left w:val="single" w:color="auto" w:sz="6" w:space="0"/>
              <w:bottom w:val="single" w:color="auto" w:sz="6" w:space="0"/>
              <w:right w:val="single" w:color="auto" w:sz="6" w:space="0"/>
            </w:tcBorders>
            <w:vAlign w:val="center"/>
          </w:tcPr>
          <w:p>
            <w:pPr>
              <w:snapToGrid w:val="0"/>
              <w:spacing w:line="360" w:lineRule="auto"/>
              <w:jc w:val="center"/>
              <w:rPr>
                <w:rFonts w:ascii="微软雅黑" w:hAnsi="微软雅黑" w:eastAsia="微软雅黑"/>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285" w:hRule="atLeast"/>
        </w:trPr>
        <w:tc>
          <w:tcPr>
            <w:tcW w:w="973" w:type="dxa"/>
            <w:tcBorders>
              <w:top w:val="single" w:color="auto" w:sz="4" w:space="0"/>
              <w:left w:val="single" w:color="auto" w:sz="4" w:space="0"/>
              <w:bottom w:val="single" w:color="auto" w:sz="4" w:space="0"/>
              <w:right w:val="single" w:color="auto" w:sz="2" w:space="0"/>
            </w:tcBorders>
            <w:tcMar>
              <w:top w:w="15" w:type="dxa"/>
              <w:left w:w="15" w:type="dxa"/>
              <w:bottom w:w="0" w:type="dxa"/>
              <w:right w:w="15" w:type="dxa"/>
            </w:tcMar>
            <w:vAlign w:val="center"/>
          </w:tcPr>
          <w:p>
            <w:pPr>
              <w:snapToGrid w:val="0"/>
              <w:spacing w:line="360" w:lineRule="auto"/>
              <w:rPr>
                <w:rFonts w:ascii="微软雅黑" w:hAnsi="微软雅黑" w:eastAsia="微软雅黑"/>
                <w:color w:val="auto"/>
                <w:szCs w:val="21"/>
                <w:highlight w:val="none"/>
              </w:rPr>
            </w:pPr>
          </w:p>
        </w:tc>
        <w:tc>
          <w:tcPr>
            <w:tcW w:w="3011" w:type="dxa"/>
            <w:tcBorders>
              <w:top w:val="single" w:color="auto" w:sz="6" w:space="0"/>
              <w:left w:val="single" w:color="auto" w:sz="2" w:space="0"/>
              <w:bottom w:val="single" w:color="auto" w:sz="2" w:space="0"/>
              <w:right w:val="single" w:color="auto" w:sz="4" w:space="0"/>
            </w:tcBorders>
            <w:vAlign w:val="center"/>
          </w:tcPr>
          <w:p>
            <w:pPr>
              <w:snapToGrid w:val="0"/>
              <w:spacing w:line="360" w:lineRule="auto"/>
              <w:rPr>
                <w:rFonts w:ascii="微软雅黑" w:hAnsi="微软雅黑" w:eastAsia="微软雅黑"/>
                <w:color w:val="auto"/>
                <w:szCs w:val="21"/>
                <w:highlight w:val="none"/>
              </w:rPr>
            </w:pPr>
          </w:p>
        </w:tc>
        <w:tc>
          <w:tcPr>
            <w:tcW w:w="2410" w:type="dxa"/>
            <w:tcBorders>
              <w:top w:val="single" w:color="auto" w:sz="6" w:space="0"/>
              <w:left w:val="single" w:color="auto" w:sz="4" w:space="0"/>
              <w:bottom w:val="single" w:color="auto" w:sz="2" w:space="0"/>
              <w:right w:val="single" w:color="auto" w:sz="6" w:space="0"/>
            </w:tcBorders>
            <w:vAlign w:val="center"/>
          </w:tcPr>
          <w:p>
            <w:pPr>
              <w:snapToGrid w:val="0"/>
              <w:spacing w:line="360" w:lineRule="auto"/>
              <w:rPr>
                <w:rFonts w:ascii="微软雅黑" w:hAnsi="微软雅黑" w:eastAsia="微软雅黑"/>
                <w:color w:val="auto"/>
                <w:szCs w:val="21"/>
                <w:highlight w:val="none"/>
              </w:rPr>
            </w:pPr>
          </w:p>
        </w:tc>
        <w:tc>
          <w:tcPr>
            <w:tcW w:w="1134" w:type="dxa"/>
            <w:tcBorders>
              <w:top w:val="single" w:color="auto" w:sz="6" w:space="0"/>
              <w:left w:val="single" w:color="auto" w:sz="6" w:space="0"/>
              <w:bottom w:val="single" w:color="auto" w:sz="2" w:space="0"/>
              <w:right w:val="single" w:color="auto" w:sz="6" w:space="0"/>
            </w:tcBorders>
            <w:tcMar>
              <w:top w:w="15" w:type="dxa"/>
              <w:left w:w="15" w:type="dxa"/>
              <w:bottom w:w="0" w:type="dxa"/>
              <w:right w:w="15" w:type="dxa"/>
            </w:tcMar>
            <w:vAlign w:val="center"/>
          </w:tcPr>
          <w:p>
            <w:pPr>
              <w:snapToGrid w:val="0"/>
              <w:spacing w:line="360" w:lineRule="auto"/>
              <w:rPr>
                <w:rFonts w:ascii="微软雅黑" w:hAnsi="微软雅黑" w:eastAsia="微软雅黑"/>
                <w:color w:val="auto"/>
                <w:szCs w:val="21"/>
                <w:highlight w:val="none"/>
              </w:rPr>
            </w:pPr>
          </w:p>
        </w:tc>
        <w:tc>
          <w:tcPr>
            <w:tcW w:w="1076" w:type="dxa"/>
            <w:tcBorders>
              <w:top w:val="single" w:color="auto" w:sz="6" w:space="0"/>
              <w:left w:val="single" w:color="auto" w:sz="6" w:space="0"/>
              <w:bottom w:val="single" w:color="auto" w:sz="2" w:space="0"/>
              <w:right w:val="single" w:color="auto" w:sz="6" w:space="0"/>
            </w:tcBorders>
          </w:tcPr>
          <w:p>
            <w:pPr>
              <w:snapToGrid w:val="0"/>
              <w:spacing w:line="360" w:lineRule="auto"/>
              <w:rPr>
                <w:rFonts w:ascii="微软雅黑" w:hAnsi="微软雅黑" w:eastAsia="微软雅黑"/>
                <w:color w:val="auto"/>
                <w:szCs w:val="21"/>
                <w:highlight w:val="none"/>
              </w:rPr>
            </w:pPr>
          </w:p>
        </w:tc>
      </w:tr>
    </w:tbl>
    <w:p>
      <w:pPr>
        <w:pStyle w:val="29"/>
        <w:snapToGrid w:val="0"/>
        <w:spacing w:beforeLines="0" w:afterLines="0" w:line="360" w:lineRule="auto"/>
        <w:rPr>
          <w:rFonts w:asciiTheme="minorEastAsia" w:hAnsiTheme="minorEastAsia" w:eastAsiaTheme="minorEastAsia"/>
          <w:b/>
          <w:color w:val="auto"/>
          <w:sz w:val="21"/>
          <w:szCs w:val="21"/>
          <w:highlight w:val="none"/>
        </w:rPr>
      </w:pPr>
    </w:p>
    <w:p>
      <w:pPr>
        <w:pStyle w:val="29"/>
        <w:snapToGrid w:val="0"/>
        <w:spacing w:beforeLines="0" w:afterLines="0" w:line="360" w:lineRule="auto"/>
        <w:rPr>
          <w:rFonts w:asciiTheme="minorEastAsia" w:hAnsiTheme="minorEastAsia" w:eastAsiaTheme="minorEastAsia"/>
          <w:b/>
          <w:color w:val="auto"/>
          <w:sz w:val="21"/>
          <w:szCs w:val="21"/>
          <w:highlight w:val="none"/>
        </w:rPr>
      </w:pPr>
    </w:p>
    <w:p>
      <w:pPr>
        <w:pStyle w:val="29"/>
        <w:snapToGrid w:val="0"/>
        <w:spacing w:beforeLines="0" w:afterLines="0" w:line="360" w:lineRule="auto"/>
        <w:rPr>
          <w:rFonts w:asciiTheme="minorEastAsia" w:hAnsiTheme="minorEastAsia" w:eastAsiaTheme="minorEastAsia"/>
          <w:b/>
          <w:color w:val="auto"/>
          <w:sz w:val="21"/>
          <w:szCs w:val="21"/>
          <w:highlight w:val="none"/>
        </w:rPr>
      </w:pPr>
    </w:p>
    <w:p>
      <w:pPr>
        <w:pStyle w:val="29"/>
        <w:snapToGrid w:val="0"/>
        <w:spacing w:beforeLines="0" w:afterLines="0" w:line="360" w:lineRule="auto"/>
        <w:rPr>
          <w:rFonts w:asciiTheme="minorEastAsia" w:hAnsiTheme="minorEastAsia" w:eastAsiaTheme="minorEastAsia"/>
          <w:b/>
          <w:color w:val="auto"/>
          <w:sz w:val="21"/>
          <w:szCs w:val="21"/>
          <w:highlight w:val="none"/>
        </w:rPr>
      </w:pPr>
    </w:p>
    <w:p>
      <w:pPr>
        <w:pStyle w:val="29"/>
        <w:snapToGrid w:val="0"/>
        <w:spacing w:beforeLines="0" w:afterLines="0" w:line="360" w:lineRule="auto"/>
        <w:rPr>
          <w:rFonts w:asciiTheme="minorEastAsia" w:hAnsiTheme="minorEastAsia" w:eastAsiaTheme="minorEastAsia"/>
          <w:b/>
          <w:color w:val="auto"/>
          <w:sz w:val="21"/>
          <w:szCs w:val="21"/>
          <w:highlight w:val="none"/>
        </w:rPr>
      </w:pPr>
    </w:p>
    <w:p>
      <w:pPr>
        <w:pStyle w:val="29"/>
        <w:snapToGrid w:val="0"/>
        <w:spacing w:beforeLines="0" w:afterLines="0" w:line="360" w:lineRule="auto"/>
        <w:rPr>
          <w:rFonts w:asciiTheme="minorEastAsia" w:hAnsiTheme="minorEastAsia" w:eastAsiaTheme="minorEastAsia"/>
          <w:b/>
          <w:color w:val="auto"/>
          <w:sz w:val="21"/>
          <w:szCs w:val="21"/>
          <w:highlight w:val="none"/>
        </w:rPr>
      </w:pPr>
    </w:p>
    <w:p>
      <w:pPr>
        <w:pStyle w:val="29"/>
        <w:snapToGrid w:val="0"/>
        <w:spacing w:beforeLines="0" w:afterLines="0" w:line="360" w:lineRule="auto"/>
        <w:rPr>
          <w:rFonts w:asciiTheme="minorEastAsia" w:hAnsiTheme="minorEastAsia" w:eastAsiaTheme="minorEastAsia"/>
          <w:b/>
          <w:color w:val="auto"/>
          <w:sz w:val="21"/>
          <w:szCs w:val="21"/>
          <w:highlight w:val="none"/>
        </w:rPr>
      </w:pPr>
    </w:p>
    <w:p>
      <w:pPr>
        <w:pStyle w:val="29"/>
        <w:snapToGrid w:val="0"/>
        <w:spacing w:beforeLines="0" w:afterLines="0" w:line="360" w:lineRule="auto"/>
        <w:rPr>
          <w:rFonts w:asciiTheme="minorEastAsia" w:hAnsiTheme="minorEastAsia" w:eastAsiaTheme="minorEastAsia"/>
          <w:b/>
          <w:color w:val="auto"/>
          <w:sz w:val="21"/>
          <w:szCs w:val="21"/>
          <w:highlight w:val="none"/>
        </w:rPr>
      </w:pPr>
    </w:p>
    <w:p>
      <w:pPr>
        <w:pStyle w:val="29"/>
        <w:snapToGrid w:val="0"/>
        <w:spacing w:beforeLines="0" w:afterLines="0" w:line="360" w:lineRule="auto"/>
        <w:rPr>
          <w:rFonts w:asciiTheme="minorEastAsia" w:hAnsiTheme="minorEastAsia" w:eastAsiaTheme="minorEastAsia"/>
          <w:b/>
          <w:color w:val="auto"/>
          <w:sz w:val="21"/>
          <w:szCs w:val="21"/>
          <w:highlight w:val="none"/>
        </w:rPr>
      </w:pPr>
    </w:p>
    <w:p>
      <w:pPr>
        <w:pStyle w:val="29"/>
        <w:snapToGrid w:val="0"/>
        <w:spacing w:beforeLines="0" w:afterLines="0" w:line="360" w:lineRule="auto"/>
        <w:rPr>
          <w:rFonts w:asciiTheme="minorEastAsia" w:hAnsiTheme="minorEastAsia" w:eastAsiaTheme="minorEastAsia"/>
          <w:b/>
          <w:color w:val="auto"/>
          <w:sz w:val="21"/>
          <w:szCs w:val="21"/>
          <w:highlight w:val="none"/>
        </w:rPr>
      </w:pPr>
    </w:p>
    <w:p>
      <w:pPr>
        <w:pStyle w:val="29"/>
        <w:snapToGrid w:val="0"/>
        <w:spacing w:beforeLines="0" w:afterLines="0" w:line="360" w:lineRule="auto"/>
        <w:rPr>
          <w:rFonts w:asciiTheme="minorEastAsia" w:hAnsiTheme="minorEastAsia" w:eastAsiaTheme="minorEastAsia"/>
          <w:b/>
          <w:color w:val="auto"/>
          <w:sz w:val="21"/>
          <w:szCs w:val="21"/>
          <w:highlight w:val="none"/>
        </w:rPr>
      </w:pPr>
    </w:p>
    <w:p>
      <w:pPr>
        <w:pStyle w:val="29"/>
        <w:snapToGrid w:val="0"/>
        <w:spacing w:beforeLines="0" w:afterLines="0" w:line="360" w:lineRule="auto"/>
        <w:rPr>
          <w:rFonts w:asciiTheme="minorEastAsia" w:hAnsiTheme="minorEastAsia" w:eastAsiaTheme="minorEastAsia"/>
          <w:b/>
          <w:color w:val="auto"/>
          <w:sz w:val="21"/>
          <w:szCs w:val="21"/>
          <w:highlight w:val="none"/>
        </w:rPr>
      </w:pPr>
    </w:p>
    <w:p>
      <w:pPr>
        <w:pStyle w:val="29"/>
        <w:snapToGrid w:val="0"/>
        <w:spacing w:beforeLines="0" w:afterLines="0" w:line="360" w:lineRule="auto"/>
        <w:rPr>
          <w:rFonts w:asciiTheme="minorEastAsia" w:hAnsiTheme="minorEastAsia" w:eastAsiaTheme="minorEastAsia"/>
          <w:b/>
          <w:color w:val="auto"/>
          <w:sz w:val="21"/>
          <w:szCs w:val="21"/>
          <w:highlight w:val="none"/>
        </w:rPr>
      </w:pPr>
    </w:p>
    <w:p>
      <w:pPr>
        <w:pStyle w:val="29"/>
        <w:snapToGrid w:val="0"/>
        <w:spacing w:beforeLines="0" w:afterLines="0" w:line="360" w:lineRule="auto"/>
        <w:rPr>
          <w:rFonts w:asciiTheme="minorEastAsia" w:hAnsiTheme="minorEastAsia" w:eastAsiaTheme="minorEastAsia"/>
          <w:b/>
          <w:color w:val="auto"/>
          <w:sz w:val="21"/>
          <w:szCs w:val="21"/>
          <w:highlight w:val="none"/>
        </w:rPr>
      </w:pPr>
    </w:p>
    <w:p>
      <w:pPr>
        <w:pStyle w:val="29"/>
        <w:snapToGrid w:val="0"/>
        <w:spacing w:beforeLines="0" w:afterLines="0" w:line="360" w:lineRule="auto"/>
        <w:rPr>
          <w:rFonts w:asciiTheme="minorEastAsia" w:hAnsiTheme="minorEastAsia" w:eastAsiaTheme="minorEastAsia"/>
          <w:b/>
          <w:color w:val="auto"/>
          <w:sz w:val="21"/>
          <w:szCs w:val="21"/>
          <w:highlight w:val="none"/>
        </w:rPr>
      </w:pPr>
    </w:p>
    <w:p>
      <w:pPr>
        <w:pStyle w:val="29"/>
        <w:snapToGrid w:val="0"/>
        <w:spacing w:beforeLines="0" w:afterLines="0" w:line="360" w:lineRule="auto"/>
        <w:rPr>
          <w:rFonts w:asciiTheme="minorEastAsia" w:hAnsiTheme="minorEastAsia" w:eastAsiaTheme="minorEastAsia"/>
          <w:b/>
          <w:color w:val="auto"/>
          <w:sz w:val="21"/>
          <w:szCs w:val="21"/>
          <w:highlight w:val="none"/>
        </w:rPr>
      </w:pPr>
    </w:p>
    <w:p>
      <w:pPr>
        <w:pStyle w:val="29"/>
        <w:snapToGrid w:val="0"/>
        <w:spacing w:beforeLines="0" w:afterLines="0" w:line="360" w:lineRule="auto"/>
        <w:rPr>
          <w:rFonts w:asciiTheme="minorEastAsia" w:hAnsiTheme="minorEastAsia" w:eastAsiaTheme="minorEastAsia"/>
          <w:b/>
          <w:color w:val="auto"/>
          <w:sz w:val="21"/>
          <w:szCs w:val="21"/>
          <w:highlight w:val="none"/>
        </w:rPr>
      </w:pPr>
    </w:p>
    <w:p>
      <w:pPr>
        <w:pStyle w:val="29"/>
        <w:snapToGrid w:val="0"/>
        <w:spacing w:beforeLines="0" w:afterLines="0" w:line="360" w:lineRule="auto"/>
        <w:rPr>
          <w:rFonts w:asciiTheme="minorEastAsia" w:hAnsiTheme="minorEastAsia" w:eastAsiaTheme="minorEastAsia"/>
          <w:b/>
          <w:color w:val="auto"/>
          <w:sz w:val="21"/>
          <w:szCs w:val="21"/>
          <w:highlight w:val="none"/>
        </w:rPr>
      </w:pPr>
    </w:p>
    <w:p>
      <w:pPr>
        <w:pStyle w:val="29"/>
        <w:snapToGrid w:val="0"/>
        <w:spacing w:beforeLines="0" w:afterLines="0" w:line="360" w:lineRule="auto"/>
        <w:rPr>
          <w:rFonts w:asciiTheme="minorEastAsia" w:hAnsiTheme="minorEastAsia" w:eastAsiaTheme="minorEastAsia"/>
          <w:b/>
          <w:color w:val="auto"/>
          <w:sz w:val="21"/>
          <w:szCs w:val="21"/>
          <w:highlight w:val="none"/>
        </w:rPr>
      </w:pPr>
    </w:p>
    <w:p>
      <w:pPr>
        <w:pStyle w:val="29"/>
        <w:snapToGrid w:val="0"/>
        <w:spacing w:beforeLines="0" w:afterLines="0" w:line="360" w:lineRule="auto"/>
        <w:rPr>
          <w:rFonts w:asciiTheme="minorEastAsia" w:hAnsiTheme="minorEastAsia" w:eastAsiaTheme="minorEastAsia"/>
          <w:b/>
          <w:color w:val="auto"/>
          <w:sz w:val="21"/>
          <w:szCs w:val="21"/>
          <w:highlight w:val="none"/>
        </w:rPr>
      </w:pPr>
      <w:r>
        <w:rPr>
          <w:rFonts w:hint="eastAsia" w:asciiTheme="minorEastAsia" w:hAnsiTheme="minorEastAsia" w:eastAsiaTheme="minorEastAsia"/>
          <w:b/>
          <w:color w:val="auto"/>
          <w:sz w:val="21"/>
          <w:szCs w:val="21"/>
          <w:highlight w:val="none"/>
        </w:rPr>
        <w:t>10、</w:t>
      </w:r>
    </w:p>
    <w:p>
      <w:pPr>
        <w:spacing w:line="360" w:lineRule="auto"/>
        <w:jc w:val="center"/>
        <w:rPr>
          <w:rFonts w:ascii="仿宋" w:hAnsi="仿宋" w:eastAsia="仿宋"/>
          <w:b/>
          <w:sz w:val="32"/>
          <w:szCs w:val="32"/>
        </w:rPr>
      </w:pPr>
      <w:r>
        <w:rPr>
          <w:rFonts w:hint="eastAsia" w:ascii="仿宋" w:hAnsi="仿宋" w:eastAsia="仿宋" w:cs="仿宋_GB2312"/>
          <w:b/>
          <w:sz w:val="32"/>
          <w:szCs w:val="32"/>
        </w:rPr>
        <w:t>中小企业声明函</w:t>
      </w:r>
      <w:r>
        <w:rPr>
          <w:rFonts w:hint="eastAsia" w:ascii="仿宋" w:hAnsi="仿宋" w:eastAsia="仿宋"/>
          <w:b/>
          <w:sz w:val="32"/>
          <w:szCs w:val="32"/>
        </w:rPr>
        <w:t>（工程、服务）</w:t>
      </w:r>
    </w:p>
    <w:p>
      <w:pPr>
        <w:spacing w:line="360" w:lineRule="auto"/>
        <w:rPr>
          <w:rFonts w:ascii="仿宋" w:hAnsi="仿宋" w:eastAsia="仿宋"/>
        </w:rPr>
      </w:pPr>
    </w:p>
    <w:p>
      <w:pPr>
        <w:spacing w:line="360" w:lineRule="auto"/>
        <w:ind w:firstLine="315" w:firstLineChars="150"/>
        <w:jc w:val="left"/>
        <w:rPr>
          <w:rFonts w:hint="eastAsia" w:ascii="宋体" w:hAnsi="宋体" w:eastAsia="宋体" w:cs="宋体"/>
          <w:sz w:val="21"/>
          <w:szCs w:val="21"/>
        </w:rPr>
      </w:pPr>
      <w:r>
        <w:rPr>
          <w:rFonts w:hint="eastAsia" w:ascii="宋体" w:hAnsi="宋体" w:eastAsia="宋体" w:cs="宋体"/>
          <w:sz w:val="21"/>
          <w:szCs w:val="21"/>
        </w:rPr>
        <w:t>本公司（联合体）郑重声明，根据《政府采购促进中小企业发展管理办法》（财库﹝2020﹞46 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1.</w:t>
      </w:r>
      <w:r>
        <w:rPr>
          <w:rFonts w:hint="eastAsia" w:ascii="宋体" w:hAnsi="宋体" w:eastAsia="宋体" w:cs="宋体"/>
          <w:sz w:val="21"/>
          <w:szCs w:val="21"/>
          <w:u w:val="single"/>
        </w:rPr>
        <w:t>（标的名称）</w:t>
      </w:r>
      <w:r>
        <w:rPr>
          <w:rFonts w:hint="eastAsia" w:ascii="宋体" w:hAnsi="宋体" w:eastAsia="宋体" w:cs="宋体"/>
          <w:sz w:val="21"/>
          <w:szCs w:val="21"/>
        </w:rPr>
        <w:t>，属于</w:t>
      </w:r>
      <w:r>
        <w:rPr>
          <w:rFonts w:hint="eastAsia" w:ascii="宋体" w:hAnsi="宋体" w:eastAsia="宋体" w:cs="宋体"/>
          <w:sz w:val="21"/>
          <w:szCs w:val="21"/>
          <w:u w:val="single"/>
        </w:rPr>
        <w:t>（采购文件中明确的所属行业）</w:t>
      </w:r>
      <w:r>
        <w:rPr>
          <w:rFonts w:hint="eastAsia" w:ascii="宋体" w:hAnsi="宋体" w:eastAsia="宋体" w:cs="宋体"/>
          <w:sz w:val="21"/>
          <w:szCs w:val="21"/>
        </w:rPr>
        <w:t xml:space="preserve"> ；承建（承接）企业为 </w:t>
      </w:r>
      <w:r>
        <w:rPr>
          <w:rFonts w:hint="eastAsia" w:ascii="宋体" w:hAnsi="宋体" w:eastAsia="宋体" w:cs="宋体"/>
          <w:sz w:val="21"/>
          <w:szCs w:val="21"/>
          <w:u w:val="single"/>
        </w:rPr>
        <w:t>（企业名称）</w:t>
      </w:r>
      <w:r>
        <w:rPr>
          <w:rFonts w:hint="eastAsia" w:ascii="宋体" w:hAnsi="宋体" w:eastAsia="宋体" w:cs="宋体"/>
          <w:sz w:val="21"/>
          <w:szCs w:val="21"/>
        </w:rPr>
        <w:t xml:space="preserve"> ，从业人员人，营业收入为万元，资产总额为万元属于</w:t>
      </w:r>
      <w:r>
        <w:rPr>
          <w:rFonts w:hint="eastAsia" w:ascii="宋体" w:hAnsi="宋体" w:eastAsia="宋体" w:cs="宋体"/>
          <w:sz w:val="21"/>
          <w:szCs w:val="21"/>
          <w:u w:val="single"/>
        </w:rPr>
        <w:t xml:space="preserve"> （中型企业、小型企业、微型企业） </w:t>
      </w:r>
      <w:r>
        <w:rPr>
          <w:rFonts w:hint="eastAsia" w:ascii="宋体" w:hAnsi="宋体" w:eastAsia="宋体" w:cs="宋体"/>
          <w:sz w:val="21"/>
          <w:szCs w:val="21"/>
        </w:rPr>
        <w:t>；</w:t>
      </w:r>
    </w:p>
    <w:p>
      <w:pPr>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2.</w:t>
      </w:r>
      <w:r>
        <w:rPr>
          <w:rFonts w:hint="eastAsia" w:ascii="宋体" w:hAnsi="宋体" w:eastAsia="宋体" w:cs="宋体"/>
          <w:sz w:val="21"/>
          <w:szCs w:val="21"/>
          <w:u w:val="single"/>
        </w:rPr>
        <w:t>（标的名称）</w:t>
      </w:r>
      <w:r>
        <w:rPr>
          <w:rFonts w:hint="eastAsia" w:ascii="宋体" w:hAnsi="宋体" w:eastAsia="宋体" w:cs="宋体"/>
          <w:sz w:val="21"/>
          <w:szCs w:val="21"/>
        </w:rPr>
        <w:t>，属于</w:t>
      </w:r>
      <w:r>
        <w:rPr>
          <w:rFonts w:hint="eastAsia" w:ascii="宋体" w:hAnsi="宋体" w:eastAsia="宋体" w:cs="宋体"/>
          <w:sz w:val="21"/>
          <w:szCs w:val="21"/>
          <w:u w:val="single"/>
        </w:rPr>
        <w:t>（采购文件中明确的所属行业）</w:t>
      </w:r>
      <w:r>
        <w:rPr>
          <w:rFonts w:hint="eastAsia" w:ascii="宋体" w:hAnsi="宋体" w:eastAsia="宋体" w:cs="宋体"/>
          <w:sz w:val="21"/>
          <w:szCs w:val="21"/>
        </w:rPr>
        <w:t xml:space="preserve"> ；承建（承接）企业为 </w:t>
      </w:r>
      <w:r>
        <w:rPr>
          <w:rFonts w:hint="eastAsia" w:ascii="宋体" w:hAnsi="宋体" w:eastAsia="宋体" w:cs="宋体"/>
          <w:sz w:val="21"/>
          <w:szCs w:val="21"/>
          <w:u w:val="single"/>
        </w:rPr>
        <w:t>（企业名称）</w:t>
      </w:r>
      <w:r>
        <w:rPr>
          <w:rFonts w:hint="eastAsia" w:ascii="宋体" w:hAnsi="宋体" w:eastAsia="宋体" w:cs="宋体"/>
          <w:sz w:val="21"/>
          <w:szCs w:val="21"/>
        </w:rPr>
        <w:t xml:space="preserve"> ，从业人员人，营业收入为万元，资产总额为万元属于</w:t>
      </w:r>
      <w:r>
        <w:rPr>
          <w:rFonts w:hint="eastAsia" w:ascii="宋体" w:hAnsi="宋体" w:eastAsia="宋体" w:cs="宋体"/>
          <w:sz w:val="21"/>
          <w:szCs w:val="21"/>
          <w:u w:val="single"/>
        </w:rPr>
        <w:t xml:space="preserve"> （中型企业、小型企业、微型企业） </w:t>
      </w:r>
      <w:r>
        <w:rPr>
          <w:rFonts w:hint="eastAsia" w:ascii="宋体" w:hAnsi="宋体" w:eastAsia="宋体" w:cs="宋体"/>
          <w:sz w:val="21"/>
          <w:szCs w:val="21"/>
        </w:rPr>
        <w:t>；</w:t>
      </w:r>
    </w:p>
    <w:p>
      <w:pPr>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w:t>
      </w:r>
    </w:p>
    <w:p>
      <w:pPr>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以上企业，不属于大企业的分支机构，不存在控股股东为大企业的情形，也不存在与大企业的负责人为同一人的情形。</w:t>
      </w:r>
    </w:p>
    <w:p>
      <w:pPr>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本企业对上述声明内容的真实性负责。如有虚假，将依法承担相应责任。</w:t>
      </w:r>
    </w:p>
    <w:p>
      <w:pPr>
        <w:spacing w:line="360" w:lineRule="auto"/>
        <w:ind w:right="1760"/>
        <w:jc w:val="right"/>
        <w:rPr>
          <w:rFonts w:hint="eastAsia" w:ascii="宋体" w:hAnsi="宋体" w:eastAsia="宋体" w:cs="宋体"/>
          <w:sz w:val="21"/>
          <w:szCs w:val="21"/>
        </w:rPr>
      </w:pPr>
      <w:r>
        <w:rPr>
          <w:rFonts w:hint="eastAsia" w:ascii="宋体" w:hAnsi="宋体" w:eastAsia="宋体" w:cs="宋体"/>
          <w:sz w:val="21"/>
          <w:szCs w:val="21"/>
        </w:rPr>
        <w:t>投标人名称（电子签名）：</w:t>
      </w:r>
    </w:p>
    <w:p>
      <w:pPr>
        <w:spacing w:line="360" w:lineRule="auto"/>
        <w:ind w:right="1120" w:firstLine="4095" w:firstLineChars="1950"/>
        <w:rPr>
          <w:rFonts w:hint="eastAsia" w:ascii="宋体" w:hAnsi="宋体" w:eastAsia="宋体" w:cs="宋体"/>
          <w:sz w:val="21"/>
          <w:szCs w:val="21"/>
        </w:rPr>
      </w:pPr>
      <w:r>
        <w:rPr>
          <w:rFonts w:hint="eastAsia" w:ascii="宋体" w:hAnsi="宋体" w:eastAsia="宋体" w:cs="宋体"/>
          <w:sz w:val="21"/>
          <w:szCs w:val="21"/>
        </w:rPr>
        <w:t>日期：</w:t>
      </w:r>
    </w:p>
    <w:p>
      <w:pPr>
        <w:spacing w:line="360" w:lineRule="auto"/>
        <w:ind w:firstLine="310" w:firstLineChars="147"/>
        <w:jc w:val="left"/>
        <w:rPr>
          <w:rFonts w:hint="eastAsia" w:ascii="宋体" w:hAnsi="宋体" w:eastAsia="宋体" w:cs="宋体"/>
          <w:b/>
          <w:sz w:val="21"/>
          <w:szCs w:val="21"/>
        </w:rPr>
      </w:pPr>
      <w:r>
        <w:rPr>
          <w:rFonts w:hint="eastAsia" w:ascii="宋体" w:hAnsi="宋体" w:eastAsia="宋体" w:cs="宋体"/>
          <w:b/>
          <w:sz w:val="21"/>
          <w:szCs w:val="21"/>
        </w:rPr>
        <w:t>从业人员、营业收入、资产总额填报上一年度数据，无上一年度数据的新成立企业可不填报。</w:t>
      </w:r>
    </w:p>
    <w:p>
      <w:pPr>
        <w:spacing w:line="360" w:lineRule="auto"/>
        <w:ind w:right="420"/>
        <w:rPr>
          <w:rFonts w:hint="eastAsia" w:ascii="宋体" w:hAnsi="宋体" w:eastAsia="宋体" w:cs="宋体"/>
          <w:sz w:val="21"/>
          <w:szCs w:val="21"/>
        </w:rPr>
      </w:pPr>
    </w:p>
    <w:p>
      <w:pPr>
        <w:snapToGrid w:val="0"/>
        <w:spacing w:line="360" w:lineRule="auto"/>
        <w:rPr>
          <w:rFonts w:asciiTheme="minorEastAsia" w:hAnsiTheme="minorEastAsia" w:eastAsiaTheme="minorEastAsia"/>
          <w:color w:val="auto"/>
          <w:szCs w:val="21"/>
          <w:highlight w:val="none"/>
        </w:rPr>
      </w:pPr>
      <w:r>
        <w:rPr>
          <w:rFonts w:hint="eastAsia" w:ascii="宋体" w:hAnsi="宋体" w:eastAsia="宋体" w:cs="宋体"/>
          <w:sz w:val="21"/>
          <w:szCs w:val="21"/>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napToGrid w:val="0"/>
        <w:spacing w:line="360" w:lineRule="auto"/>
        <w:rPr>
          <w:rFonts w:asciiTheme="minorEastAsia" w:hAnsiTheme="minorEastAsia" w:eastAsiaTheme="minorEastAsia"/>
          <w:color w:val="auto"/>
          <w:spacing w:val="20"/>
          <w:szCs w:val="21"/>
          <w:highlight w:val="none"/>
        </w:rPr>
      </w:pPr>
    </w:p>
    <w:p>
      <w:pPr>
        <w:pStyle w:val="48"/>
        <w:spacing w:line="360" w:lineRule="auto"/>
        <w:ind w:left="0" w:leftChars="0" w:firstLine="0" w:firstLineChars="0"/>
        <w:rPr>
          <w:rFonts w:hAnsi="宋体"/>
          <w:b/>
          <w:bCs/>
          <w:color w:val="auto"/>
          <w:szCs w:val="21"/>
          <w:highlight w:val="none"/>
        </w:rPr>
      </w:pPr>
    </w:p>
    <w:p>
      <w:pPr>
        <w:pStyle w:val="48"/>
        <w:spacing w:line="360" w:lineRule="auto"/>
        <w:ind w:left="0" w:leftChars="0" w:firstLine="0" w:firstLineChars="0"/>
        <w:rPr>
          <w:rFonts w:hAnsi="宋体"/>
          <w:b/>
          <w:bCs/>
          <w:color w:val="auto"/>
          <w:szCs w:val="21"/>
          <w:highlight w:val="none"/>
        </w:rPr>
      </w:pPr>
    </w:p>
    <w:p>
      <w:pPr>
        <w:pStyle w:val="48"/>
        <w:spacing w:line="360" w:lineRule="auto"/>
        <w:ind w:left="0" w:leftChars="0" w:firstLine="0" w:firstLineChars="0"/>
        <w:rPr>
          <w:rFonts w:hAnsi="宋体"/>
          <w:b/>
          <w:bCs/>
          <w:color w:val="auto"/>
          <w:szCs w:val="21"/>
          <w:highlight w:val="none"/>
        </w:rPr>
      </w:pPr>
    </w:p>
    <w:p>
      <w:pPr>
        <w:rPr>
          <w:rFonts w:hint="eastAsia"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br w:type="page"/>
      </w:r>
    </w:p>
    <w:p>
      <w:pPr>
        <w:snapToGrid w:val="0"/>
        <w:spacing w:line="360" w:lineRule="auto"/>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1</w:t>
      </w:r>
      <w:r>
        <w:rPr>
          <w:rFonts w:hint="eastAsia" w:asciiTheme="minorEastAsia" w:hAnsiTheme="minorEastAsia" w:eastAsiaTheme="minorEastAsia"/>
          <w:b/>
          <w:color w:val="auto"/>
          <w:szCs w:val="21"/>
          <w:highlight w:val="none"/>
          <w:lang w:val="en-US" w:eastAsia="zh-CN"/>
        </w:rPr>
        <w:t>1</w:t>
      </w:r>
      <w:r>
        <w:rPr>
          <w:rFonts w:hint="eastAsia" w:asciiTheme="minorEastAsia" w:hAnsiTheme="minorEastAsia" w:eastAsiaTheme="minorEastAsia"/>
          <w:b/>
          <w:color w:val="auto"/>
          <w:szCs w:val="21"/>
          <w:highlight w:val="none"/>
        </w:rPr>
        <w:t>.</w:t>
      </w:r>
    </w:p>
    <w:p>
      <w:pPr>
        <w:snapToGrid w:val="0"/>
        <w:spacing w:line="360" w:lineRule="auto"/>
        <w:jc w:val="center"/>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投标函</w:t>
      </w:r>
      <w:r>
        <w:rPr>
          <w:rFonts w:hint="eastAsia" w:asciiTheme="minorEastAsia" w:hAnsiTheme="minorEastAsia" w:eastAsiaTheme="minorEastAsia"/>
          <w:b/>
          <w:bCs/>
          <w:color w:val="auto"/>
          <w:szCs w:val="21"/>
          <w:highlight w:val="none"/>
        </w:rPr>
        <w:t>（附件11）</w:t>
      </w:r>
    </w:p>
    <w:p>
      <w:pPr>
        <w:adjustRightInd w:val="0"/>
        <w:snapToGrid w:val="0"/>
        <w:spacing w:line="360" w:lineRule="auto"/>
        <w:rPr>
          <w:rFonts w:hint="eastAsia" w:asciiTheme="minorEastAsia" w:hAnsiTheme="minorEastAsia" w:eastAsiaTheme="minorEastAsia"/>
          <w:color w:val="auto"/>
          <w:szCs w:val="21"/>
          <w:highlight w:val="none"/>
          <w:lang w:eastAsia="zh-CN"/>
        </w:rPr>
      </w:pPr>
      <w:r>
        <w:rPr>
          <w:rFonts w:hint="eastAsia" w:asciiTheme="minorEastAsia" w:hAnsiTheme="minorEastAsia" w:eastAsiaTheme="minorEastAsia"/>
          <w:color w:val="auto"/>
          <w:szCs w:val="21"/>
          <w:highlight w:val="none"/>
        </w:rPr>
        <w:t>致：</w:t>
      </w:r>
      <w:r>
        <w:rPr>
          <w:rFonts w:hint="eastAsia" w:asciiTheme="minorEastAsia" w:hAnsiTheme="minorEastAsia" w:eastAsiaTheme="minorEastAsia"/>
          <w:color w:val="auto"/>
          <w:szCs w:val="21"/>
          <w:highlight w:val="none"/>
          <w:lang w:eastAsia="zh-CN"/>
        </w:rPr>
        <w:t>南湖革命纪念馆</w:t>
      </w:r>
    </w:p>
    <w:p>
      <w:pPr>
        <w:adjustRightInd w:val="0"/>
        <w:snapToGrid w:val="0"/>
        <w:spacing w:line="360" w:lineRule="auto"/>
        <w:ind w:firstLine="420" w:firstLineChars="200"/>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根据贵方为的</w:t>
      </w:r>
      <w:r>
        <w:rPr>
          <w:rFonts w:hint="eastAsia" w:asciiTheme="minorEastAsia" w:hAnsiTheme="minorEastAsia" w:eastAsiaTheme="minorEastAsia"/>
          <w:color w:val="auto"/>
          <w:szCs w:val="21"/>
          <w:highlight w:val="none"/>
          <w:u w:val="single"/>
          <w:lang w:eastAsia="zh-CN"/>
        </w:rPr>
        <w:t>2023年度南湖革命纪念馆及周边绿化养护项目</w:t>
      </w:r>
      <w:r>
        <w:rPr>
          <w:rFonts w:hint="eastAsia" w:asciiTheme="minorEastAsia" w:hAnsiTheme="minorEastAsia" w:eastAsiaTheme="minorEastAsia"/>
          <w:color w:val="auto"/>
          <w:szCs w:val="21"/>
          <w:highlight w:val="none"/>
        </w:rPr>
        <w:t>招</w:t>
      </w:r>
      <w:r>
        <w:rPr>
          <w:rFonts w:asciiTheme="minorEastAsia" w:hAnsiTheme="minorEastAsia" w:eastAsiaTheme="minorEastAsia"/>
          <w:color w:val="auto"/>
          <w:szCs w:val="21"/>
          <w:highlight w:val="none"/>
        </w:rPr>
        <w:t>标</w:t>
      </w:r>
      <w:r>
        <w:rPr>
          <w:rFonts w:hint="eastAsia" w:asciiTheme="minorEastAsia" w:hAnsiTheme="minorEastAsia" w:eastAsiaTheme="minorEastAsia"/>
          <w:color w:val="auto"/>
          <w:szCs w:val="21"/>
          <w:highlight w:val="none"/>
        </w:rPr>
        <w:t>公告</w:t>
      </w:r>
      <w:r>
        <w:rPr>
          <w:rFonts w:asciiTheme="minorEastAsia" w:hAnsiTheme="minorEastAsia" w:eastAsiaTheme="minorEastAsia"/>
          <w:color w:val="auto"/>
          <w:szCs w:val="21"/>
          <w:highlight w:val="none"/>
        </w:rPr>
        <w:t>，签字代表____________________（</w:t>
      </w:r>
      <w:r>
        <w:rPr>
          <w:rFonts w:hint="eastAsia" w:asciiTheme="minorEastAsia" w:hAnsiTheme="minorEastAsia" w:eastAsiaTheme="minorEastAsia"/>
          <w:color w:val="auto"/>
          <w:szCs w:val="21"/>
          <w:highlight w:val="none"/>
        </w:rPr>
        <w:t>法人</w:t>
      </w:r>
      <w:r>
        <w:rPr>
          <w:rFonts w:asciiTheme="minorEastAsia" w:hAnsiTheme="minorEastAsia" w:eastAsiaTheme="minorEastAsia"/>
          <w:color w:val="auto"/>
          <w:szCs w:val="21"/>
          <w:highlight w:val="none"/>
        </w:rPr>
        <w:t>全名）经正式授权</w:t>
      </w:r>
      <w:r>
        <w:rPr>
          <w:rFonts w:hint="eastAsia" w:asciiTheme="minorEastAsia" w:hAnsiTheme="minorEastAsia" w:eastAsiaTheme="minorEastAsia"/>
          <w:color w:val="auto"/>
          <w:szCs w:val="21"/>
          <w:highlight w:val="none"/>
        </w:rPr>
        <w:t>（被授权人）</w:t>
      </w:r>
      <w:r>
        <w:rPr>
          <w:rFonts w:asciiTheme="minorEastAsia" w:hAnsiTheme="minorEastAsia" w:eastAsiaTheme="minorEastAsia"/>
          <w:color w:val="auto"/>
          <w:szCs w:val="21"/>
          <w:highlight w:val="none"/>
        </w:rPr>
        <w:t>并代表投标</w:t>
      </w:r>
      <w:r>
        <w:rPr>
          <w:rFonts w:hint="eastAsia" w:asciiTheme="minorEastAsia" w:hAnsiTheme="minorEastAsia" w:eastAsiaTheme="minorEastAsia"/>
          <w:color w:val="auto"/>
          <w:szCs w:val="21"/>
          <w:highlight w:val="none"/>
        </w:rPr>
        <w:t>人</w:t>
      </w:r>
      <w:r>
        <w:rPr>
          <w:rFonts w:asciiTheme="minorEastAsia" w:hAnsiTheme="minorEastAsia" w:eastAsiaTheme="minorEastAsia"/>
          <w:color w:val="auto"/>
          <w:szCs w:val="21"/>
          <w:highlight w:val="none"/>
        </w:rPr>
        <w:t>________________________________________（投标</w:t>
      </w:r>
      <w:r>
        <w:rPr>
          <w:rFonts w:hint="eastAsia" w:asciiTheme="minorEastAsia" w:hAnsiTheme="minorEastAsia" w:eastAsiaTheme="minorEastAsia"/>
          <w:color w:val="auto"/>
          <w:szCs w:val="21"/>
          <w:highlight w:val="none"/>
        </w:rPr>
        <w:t>人</w:t>
      </w:r>
      <w:r>
        <w:rPr>
          <w:rFonts w:asciiTheme="minorEastAsia" w:hAnsiTheme="minorEastAsia" w:eastAsiaTheme="minorEastAsia"/>
          <w:color w:val="auto"/>
          <w:szCs w:val="21"/>
          <w:highlight w:val="none"/>
        </w:rPr>
        <w:t>名称）提交</w:t>
      </w:r>
      <w:r>
        <w:rPr>
          <w:rFonts w:hint="eastAsia" w:asciiTheme="minorEastAsia" w:hAnsiTheme="minorEastAsia" w:eastAsiaTheme="minorEastAsia"/>
          <w:color w:val="auto"/>
          <w:szCs w:val="21"/>
          <w:highlight w:val="none"/>
        </w:rPr>
        <w:t>投标文件、开标过程中的工作</w:t>
      </w:r>
      <w:r>
        <w:rPr>
          <w:rFonts w:asciiTheme="minorEastAsia" w:hAnsiTheme="minorEastAsia" w:eastAsiaTheme="minorEastAsia"/>
          <w:color w:val="auto"/>
          <w:szCs w:val="21"/>
          <w:highlight w:val="none"/>
        </w:rPr>
        <w:t>。</w:t>
      </w:r>
    </w:p>
    <w:p>
      <w:pPr>
        <w:adjustRightInd w:val="0"/>
        <w:snapToGrid w:val="0"/>
        <w:spacing w:line="360" w:lineRule="auto"/>
        <w:ind w:firstLine="420" w:firstLineChars="200"/>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据此函，</w:t>
      </w:r>
      <w:r>
        <w:rPr>
          <w:rFonts w:hint="eastAsia" w:asciiTheme="minorEastAsia" w:hAnsiTheme="minorEastAsia" w:eastAsiaTheme="minorEastAsia"/>
          <w:color w:val="auto"/>
          <w:szCs w:val="21"/>
          <w:highlight w:val="none"/>
        </w:rPr>
        <w:t>签字代表宣布同意如下：</w:t>
      </w:r>
    </w:p>
    <w:p>
      <w:pPr>
        <w:adjustRightInd w:val="0"/>
        <w:snapToGrid w:val="0"/>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1、投标人已详细审查全部“招标文件”，包括修改文件（如有的话）以及全部参考资料和有关附件，已经了解我方对于招标文件、采购过程、采购结果有依法进行询问、质疑、投诉的权利及相关渠道和要求。</w:t>
      </w:r>
    </w:p>
    <w:p>
      <w:pPr>
        <w:adjustRightInd w:val="0"/>
        <w:snapToGrid w:val="0"/>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2、投标人在投标之前已经与贵方进行了充分的沟通，完全理解并接受招标文件的各项规定和要求，对招标文件的合理性、合法性不再有异议。</w:t>
      </w:r>
    </w:p>
    <w:p>
      <w:pPr>
        <w:adjustRightInd w:val="0"/>
        <w:snapToGrid w:val="0"/>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3、本投标有效期自开标日起 90个日历天</w:t>
      </w:r>
      <w:r>
        <w:rPr>
          <w:rFonts w:asciiTheme="minorEastAsia" w:hAnsiTheme="minorEastAsia" w:eastAsiaTheme="minorEastAsia"/>
          <w:color w:val="auto"/>
          <w:szCs w:val="21"/>
          <w:highlight w:val="none"/>
        </w:rPr>
        <w:t>。</w:t>
      </w:r>
    </w:p>
    <w:p>
      <w:pPr>
        <w:adjustRightInd w:val="0"/>
        <w:snapToGrid w:val="0"/>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4、如中标，本投标文件至本项目合同履行完毕止均保持有效，本投标人将按“招标文件”及政府采购法律、法规的规定履行合同责任和义务。</w:t>
      </w:r>
    </w:p>
    <w:p>
      <w:pPr>
        <w:adjustRightInd w:val="0"/>
        <w:snapToGrid w:val="0"/>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5、投标人同意按照贵方要求提供与投标有关的一切数据或资料，并保证其真实性、合法性。</w:t>
      </w:r>
    </w:p>
    <w:p>
      <w:pPr>
        <w:adjustRightInd w:val="0"/>
        <w:snapToGrid w:val="0"/>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6、与本投标有关的一切正式往来信函请寄：</w:t>
      </w:r>
    </w:p>
    <w:p>
      <w:pPr>
        <w:adjustRightInd w:val="0"/>
        <w:snapToGrid w:val="0"/>
        <w:spacing w:line="360" w:lineRule="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地址：</w:t>
      </w:r>
      <w:r>
        <w:rPr>
          <w:rFonts w:asciiTheme="minorEastAsia" w:hAnsiTheme="minorEastAsia" w:eastAsiaTheme="minorEastAsia"/>
          <w:color w:val="auto"/>
          <w:szCs w:val="21"/>
          <w:highlight w:val="none"/>
        </w:rPr>
        <w:t>____________________邮编：__________</w:t>
      </w:r>
      <w:r>
        <w:rPr>
          <w:rFonts w:hint="eastAsia" w:asciiTheme="minorEastAsia" w:hAnsiTheme="minorEastAsia" w:eastAsiaTheme="minorEastAsia"/>
          <w:color w:val="auto"/>
          <w:szCs w:val="21"/>
          <w:highlight w:val="none"/>
        </w:rPr>
        <w:t xml:space="preserve">   电话：</w:t>
      </w:r>
      <w:r>
        <w:rPr>
          <w:rFonts w:asciiTheme="minorEastAsia" w:hAnsiTheme="minorEastAsia" w:eastAsiaTheme="minorEastAsia"/>
          <w:color w:val="auto"/>
          <w:szCs w:val="21"/>
          <w:highlight w:val="none"/>
        </w:rPr>
        <w:t>______________</w:t>
      </w:r>
    </w:p>
    <w:p>
      <w:pPr>
        <w:adjustRightInd w:val="0"/>
        <w:snapToGrid w:val="0"/>
        <w:spacing w:line="360" w:lineRule="auto"/>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传真：______________</w:t>
      </w:r>
      <w:r>
        <w:rPr>
          <w:rFonts w:hint="eastAsia" w:asciiTheme="minorEastAsia" w:hAnsiTheme="minorEastAsia" w:eastAsiaTheme="minorEastAsia"/>
          <w:color w:val="auto"/>
          <w:szCs w:val="21"/>
          <w:highlight w:val="none"/>
        </w:rPr>
        <w:t>投标人代表姓名</w:t>
      </w:r>
      <w:r>
        <w:rPr>
          <w:rFonts w:asciiTheme="minorEastAsia" w:hAnsiTheme="minorEastAsia" w:eastAsiaTheme="minorEastAsia"/>
          <w:color w:val="auto"/>
          <w:szCs w:val="21"/>
          <w:highlight w:val="none"/>
        </w:rPr>
        <w:t xml:space="preserve"> ___________ 职务：______________</w:t>
      </w:r>
    </w:p>
    <w:p>
      <w:pPr>
        <w:adjustRightInd w:val="0"/>
        <w:snapToGrid w:val="0"/>
        <w:spacing w:line="360" w:lineRule="auto"/>
        <w:rPr>
          <w:rFonts w:asciiTheme="minorEastAsia" w:hAnsiTheme="minorEastAsia" w:eastAsiaTheme="minorEastAsia"/>
          <w:color w:val="auto"/>
          <w:szCs w:val="21"/>
          <w:highlight w:val="none"/>
        </w:rPr>
      </w:pPr>
    </w:p>
    <w:p>
      <w:pPr>
        <w:adjustRightInd w:val="0"/>
        <w:snapToGrid w:val="0"/>
        <w:spacing w:line="360" w:lineRule="auto"/>
        <w:rPr>
          <w:rFonts w:asciiTheme="minorEastAsia" w:hAnsiTheme="minorEastAsia" w:eastAsiaTheme="minorEastAsia"/>
          <w:color w:val="auto"/>
          <w:szCs w:val="21"/>
          <w:highlight w:val="none"/>
        </w:rPr>
      </w:pPr>
    </w:p>
    <w:p>
      <w:pPr>
        <w:adjustRightInd w:val="0"/>
        <w:snapToGrid w:val="0"/>
        <w:spacing w:line="360" w:lineRule="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投标人名称</w:t>
      </w:r>
      <w:r>
        <w:rPr>
          <w:rFonts w:asciiTheme="minorEastAsia" w:hAnsiTheme="minorEastAsia" w:eastAsiaTheme="minorEastAsia"/>
          <w:color w:val="auto"/>
          <w:szCs w:val="21"/>
          <w:highlight w:val="none"/>
        </w:rPr>
        <w:t>(盖章):___________________</w:t>
      </w:r>
    </w:p>
    <w:p>
      <w:pPr>
        <w:adjustRightInd w:val="0"/>
        <w:snapToGrid w:val="0"/>
        <w:spacing w:line="360" w:lineRule="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 xml:space="preserve">开户银行：   </w:t>
      </w:r>
    </w:p>
    <w:p>
      <w:pPr>
        <w:adjustRightInd w:val="0"/>
        <w:snapToGrid w:val="0"/>
        <w:spacing w:line="360" w:lineRule="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银行帐号：</w:t>
      </w:r>
    </w:p>
    <w:p>
      <w:pPr>
        <w:spacing w:beforeLines="50" w:line="360" w:lineRule="auto"/>
        <w:ind w:firstLine="1375" w:firstLineChars="550"/>
        <w:rPr>
          <w:rFonts w:asciiTheme="minorEastAsia" w:hAnsiTheme="minorEastAsia" w:eastAsiaTheme="minorEastAsia"/>
          <w:color w:val="auto"/>
          <w:spacing w:val="20"/>
          <w:szCs w:val="21"/>
          <w:highlight w:val="none"/>
        </w:rPr>
      </w:pPr>
    </w:p>
    <w:p>
      <w:pPr>
        <w:spacing w:beforeLines="50" w:line="360" w:lineRule="auto"/>
        <w:ind w:firstLine="1375" w:firstLineChars="550"/>
        <w:rPr>
          <w:rFonts w:asciiTheme="minorEastAsia" w:hAnsiTheme="minorEastAsia" w:eastAsiaTheme="minorEastAsia"/>
          <w:color w:val="auto"/>
          <w:szCs w:val="21"/>
          <w:highlight w:val="none"/>
        </w:rPr>
      </w:pPr>
      <w:r>
        <w:rPr>
          <w:rFonts w:asciiTheme="minorEastAsia" w:hAnsiTheme="minorEastAsia" w:eastAsiaTheme="minorEastAsia"/>
          <w:color w:val="auto"/>
          <w:spacing w:val="20"/>
          <w:szCs w:val="21"/>
          <w:highlight w:val="none"/>
        </w:rPr>
        <w:t>法定代表人或委托代理人</w:t>
      </w:r>
      <w:r>
        <w:rPr>
          <w:rFonts w:hint="eastAsia" w:asciiTheme="minorEastAsia" w:hAnsiTheme="minorEastAsia" w:eastAsiaTheme="minorEastAsia"/>
          <w:color w:val="auto"/>
          <w:spacing w:val="20"/>
          <w:szCs w:val="21"/>
          <w:highlight w:val="none"/>
        </w:rPr>
        <w:t>签名（或盖章）：</w:t>
      </w:r>
    </w:p>
    <w:p>
      <w:pPr>
        <w:spacing w:line="360" w:lineRule="auto"/>
        <w:ind w:firstLine="500" w:firstLineChars="200"/>
        <w:rPr>
          <w:rFonts w:asciiTheme="minorEastAsia" w:hAnsiTheme="minorEastAsia" w:eastAsiaTheme="minorEastAsia"/>
          <w:color w:val="auto"/>
          <w:spacing w:val="20"/>
          <w:szCs w:val="21"/>
          <w:highlight w:val="none"/>
          <w:u w:val="single"/>
        </w:rPr>
      </w:pPr>
      <w:r>
        <w:rPr>
          <w:rFonts w:hint="eastAsia" w:asciiTheme="minorEastAsia" w:hAnsiTheme="minorEastAsia" w:eastAsiaTheme="minorEastAsia"/>
          <w:color w:val="auto"/>
          <w:spacing w:val="20"/>
          <w:szCs w:val="21"/>
          <w:highlight w:val="none"/>
        </w:rPr>
        <w:t xml:space="preserve">                            投标人盖章：</w:t>
      </w:r>
    </w:p>
    <w:p>
      <w:pPr>
        <w:spacing w:line="360" w:lineRule="auto"/>
        <w:ind w:firstLine="500" w:firstLineChars="200"/>
        <w:rPr>
          <w:rFonts w:asciiTheme="minorEastAsia" w:hAnsiTheme="minorEastAsia" w:eastAsiaTheme="minorEastAsia"/>
          <w:color w:val="auto"/>
          <w:spacing w:val="20"/>
          <w:szCs w:val="21"/>
          <w:highlight w:val="none"/>
          <w:u w:val="single"/>
        </w:rPr>
      </w:pPr>
      <w:r>
        <w:rPr>
          <w:rFonts w:hint="eastAsia" w:asciiTheme="minorEastAsia" w:hAnsiTheme="minorEastAsia" w:eastAsiaTheme="minorEastAsia"/>
          <w:color w:val="auto"/>
          <w:spacing w:val="20"/>
          <w:szCs w:val="21"/>
          <w:highlight w:val="none"/>
        </w:rPr>
        <w:t xml:space="preserve">                            日     期：</w:t>
      </w:r>
    </w:p>
    <w:p>
      <w:pPr>
        <w:spacing w:line="360" w:lineRule="auto"/>
        <w:ind w:firstLine="527" w:firstLineChars="250"/>
        <w:jc w:val="center"/>
        <w:rPr>
          <w:rFonts w:asciiTheme="minorEastAsia" w:hAnsiTheme="minorEastAsia" w:eastAsiaTheme="minorEastAsia"/>
          <w:b/>
          <w:color w:val="auto"/>
          <w:szCs w:val="21"/>
          <w:highlight w:val="none"/>
        </w:rPr>
      </w:pPr>
    </w:p>
    <w:p>
      <w:pPr>
        <w:snapToGrid w:val="0"/>
        <w:spacing w:line="360" w:lineRule="auto"/>
        <w:rPr>
          <w:rFonts w:asciiTheme="minorEastAsia" w:hAnsiTheme="minorEastAsia" w:eastAsiaTheme="minorEastAsia"/>
          <w:b/>
          <w:color w:val="auto"/>
          <w:szCs w:val="21"/>
          <w:highlight w:val="none"/>
        </w:rPr>
      </w:pPr>
    </w:p>
    <w:p>
      <w:pPr>
        <w:pStyle w:val="48"/>
        <w:ind w:firstLine="404"/>
        <w:rPr>
          <w:color w:val="auto"/>
          <w:highlight w:val="none"/>
        </w:rPr>
      </w:pPr>
    </w:p>
    <w:p>
      <w:pPr>
        <w:snapToGrid w:val="0"/>
        <w:spacing w:line="360" w:lineRule="auto"/>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1</w:t>
      </w:r>
      <w:r>
        <w:rPr>
          <w:rFonts w:hint="eastAsia" w:asciiTheme="minorEastAsia" w:hAnsiTheme="minorEastAsia" w:eastAsiaTheme="minorEastAsia"/>
          <w:b/>
          <w:color w:val="auto"/>
          <w:szCs w:val="21"/>
          <w:highlight w:val="none"/>
          <w:lang w:val="en-US" w:eastAsia="zh-CN"/>
        </w:rPr>
        <w:t>2</w:t>
      </w:r>
      <w:r>
        <w:rPr>
          <w:rFonts w:hint="eastAsia" w:asciiTheme="minorEastAsia" w:hAnsiTheme="minorEastAsia" w:eastAsiaTheme="minorEastAsia"/>
          <w:b/>
          <w:color w:val="auto"/>
          <w:szCs w:val="21"/>
          <w:highlight w:val="none"/>
        </w:rPr>
        <w:t>、</w:t>
      </w:r>
    </w:p>
    <w:p>
      <w:pPr>
        <w:snapToGrid w:val="0"/>
        <w:spacing w:line="360" w:lineRule="auto"/>
        <w:jc w:val="center"/>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开标一览表（附件12）</w:t>
      </w:r>
    </w:p>
    <w:p>
      <w:pPr>
        <w:adjustRightInd w:val="0"/>
        <w:spacing w:line="360" w:lineRule="auto"/>
        <w:jc w:val="center"/>
        <w:rPr>
          <w:rFonts w:cs="Arial" w:asciiTheme="minorEastAsia" w:hAnsiTheme="minorEastAsia" w:eastAsiaTheme="minorEastAsia"/>
          <w:color w:val="auto"/>
          <w:szCs w:val="21"/>
          <w:highlight w:val="none"/>
        </w:rPr>
      </w:pPr>
    </w:p>
    <w:tbl>
      <w:tblPr>
        <w:tblStyle w:val="49"/>
        <w:tblW w:w="869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15"/>
        <w:gridCol w:w="2222"/>
        <w:gridCol w:w="2046"/>
        <w:gridCol w:w="18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3" w:hRule="atLeast"/>
        </w:trPr>
        <w:tc>
          <w:tcPr>
            <w:tcW w:w="2615" w:type="dxa"/>
            <w:vAlign w:val="center"/>
          </w:tcPr>
          <w:p>
            <w:pPr>
              <w:adjustRightInd w:val="0"/>
              <w:spacing w:line="360" w:lineRule="auto"/>
              <w:jc w:val="center"/>
              <w:rPr>
                <w:rFonts w:cs="Arial" w:asciiTheme="minorEastAsia" w:hAnsiTheme="minorEastAsia" w:eastAsiaTheme="minorEastAsia"/>
                <w:b/>
                <w:color w:val="auto"/>
                <w:szCs w:val="21"/>
                <w:highlight w:val="none"/>
              </w:rPr>
            </w:pPr>
            <w:r>
              <w:rPr>
                <w:rFonts w:hint="eastAsia" w:cs="Arial" w:asciiTheme="minorEastAsia" w:hAnsiTheme="minorEastAsia" w:eastAsiaTheme="minorEastAsia"/>
                <w:b/>
                <w:color w:val="auto"/>
                <w:szCs w:val="21"/>
                <w:highlight w:val="none"/>
              </w:rPr>
              <w:t>项目名称</w:t>
            </w:r>
          </w:p>
        </w:tc>
        <w:tc>
          <w:tcPr>
            <w:tcW w:w="2222" w:type="dxa"/>
            <w:vAlign w:val="center"/>
          </w:tcPr>
          <w:p>
            <w:pPr>
              <w:adjustRightInd w:val="0"/>
              <w:spacing w:line="360" w:lineRule="auto"/>
              <w:jc w:val="center"/>
              <w:rPr>
                <w:rFonts w:cs="Arial" w:asciiTheme="minorEastAsia" w:hAnsiTheme="minorEastAsia" w:eastAsiaTheme="minorEastAsia"/>
                <w:b/>
                <w:color w:val="auto"/>
                <w:szCs w:val="21"/>
                <w:highlight w:val="none"/>
              </w:rPr>
            </w:pPr>
            <w:r>
              <w:rPr>
                <w:rFonts w:hint="eastAsia" w:cs="Arial" w:asciiTheme="minorEastAsia" w:hAnsiTheme="minorEastAsia" w:eastAsiaTheme="minorEastAsia"/>
                <w:b/>
                <w:color w:val="auto"/>
                <w:szCs w:val="21"/>
                <w:highlight w:val="none"/>
              </w:rPr>
              <w:t>投标报价（万元）</w:t>
            </w:r>
          </w:p>
        </w:tc>
        <w:tc>
          <w:tcPr>
            <w:tcW w:w="2046" w:type="dxa"/>
            <w:vAlign w:val="center"/>
          </w:tcPr>
          <w:p>
            <w:pPr>
              <w:adjustRightInd w:val="0"/>
              <w:spacing w:line="360" w:lineRule="auto"/>
              <w:jc w:val="center"/>
              <w:rPr>
                <w:rFonts w:cs="Arial" w:asciiTheme="minorEastAsia" w:hAnsiTheme="minorEastAsia" w:eastAsiaTheme="minorEastAsia"/>
                <w:b/>
                <w:color w:val="auto"/>
                <w:szCs w:val="21"/>
                <w:highlight w:val="none"/>
              </w:rPr>
            </w:pPr>
            <w:r>
              <w:rPr>
                <w:rFonts w:hint="eastAsia" w:cs="Arial" w:asciiTheme="minorEastAsia" w:hAnsiTheme="minorEastAsia" w:eastAsiaTheme="minorEastAsia"/>
                <w:b/>
                <w:color w:val="auto"/>
                <w:szCs w:val="21"/>
                <w:highlight w:val="none"/>
              </w:rPr>
              <w:t>项目负责人</w:t>
            </w:r>
          </w:p>
        </w:tc>
        <w:tc>
          <w:tcPr>
            <w:tcW w:w="1807" w:type="dxa"/>
            <w:vAlign w:val="center"/>
          </w:tcPr>
          <w:p>
            <w:pPr>
              <w:adjustRightInd w:val="0"/>
              <w:spacing w:line="360" w:lineRule="auto"/>
              <w:jc w:val="center"/>
              <w:rPr>
                <w:rFonts w:cs="Arial" w:asciiTheme="minorEastAsia" w:hAnsiTheme="minorEastAsia" w:eastAsiaTheme="minorEastAsia"/>
                <w:b/>
                <w:color w:val="auto"/>
                <w:szCs w:val="21"/>
                <w:highlight w:val="none"/>
              </w:rPr>
            </w:pPr>
            <w:r>
              <w:rPr>
                <w:rFonts w:hint="eastAsia" w:cs="Arial" w:asciiTheme="minorEastAsia" w:hAnsiTheme="minorEastAsia" w:eastAsiaTheme="minorEastAsia"/>
                <w:b/>
                <w:color w:val="auto"/>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3" w:hRule="atLeast"/>
        </w:trPr>
        <w:tc>
          <w:tcPr>
            <w:tcW w:w="2615" w:type="dxa"/>
            <w:vAlign w:val="center"/>
          </w:tcPr>
          <w:p>
            <w:pPr>
              <w:adjustRightInd w:val="0"/>
              <w:spacing w:line="360" w:lineRule="auto"/>
              <w:jc w:val="center"/>
              <w:rPr>
                <w:rFonts w:hint="eastAsia" w:cs="Arial" w:asciiTheme="minorEastAsia" w:hAnsiTheme="minorEastAsia" w:eastAsiaTheme="minorEastAsia"/>
                <w:color w:val="auto"/>
                <w:szCs w:val="21"/>
                <w:highlight w:val="none"/>
                <w:lang w:eastAsia="zh-CN"/>
              </w:rPr>
            </w:pPr>
            <w:r>
              <w:rPr>
                <w:rFonts w:hint="eastAsia" w:cs="Arial" w:asciiTheme="minorEastAsia" w:hAnsiTheme="minorEastAsia" w:eastAsiaTheme="minorEastAsia"/>
                <w:color w:val="auto"/>
                <w:szCs w:val="21"/>
                <w:highlight w:val="none"/>
                <w:lang w:eastAsia="zh-CN"/>
              </w:rPr>
              <w:t>2023年度南湖革命纪念馆及周边绿化养护项目</w:t>
            </w:r>
          </w:p>
        </w:tc>
        <w:tc>
          <w:tcPr>
            <w:tcW w:w="2222" w:type="dxa"/>
            <w:vAlign w:val="center"/>
          </w:tcPr>
          <w:p>
            <w:pPr>
              <w:adjustRightInd w:val="0"/>
              <w:spacing w:line="360" w:lineRule="auto"/>
              <w:jc w:val="center"/>
              <w:rPr>
                <w:rFonts w:cs="Arial" w:asciiTheme="minorEastAsia" w:hAnsiTheme="minorEastAsia" w:eastAsiaTheme="minorEastAsia"/>
                <w:color w:val="auto"/>
                <w:szCs w:val="21"/>
                <w:highlight w:val="none"/>
              </w:rPr>
            </w:pPr>
          </w:p>
        </w:tc>
        <w:tc>
          <w:tcPr>
            <w:tcW w:w="2046" w:type="dxa"/>
            <w:vAlign w:val="center"/>
          </w:tcPr>
          <w:p>
            <w:pPr>
              <w:adjustRightInd w:val="0"/>
              <w:spacing w:line="360" w:lineRule="auto"/>
              <w:jc w:val="center"/>
              <w:rPr>
                <w:rFonts w:cs="Arial" w:asciiTheme="minorEastAsia" w:hAnsiTheme="minorEastAsia" w:eastAsiaTheme="minorEastAsia"/>
                <w:color w:val="auto"/>
                <w:szCs w:val="21"/>
                <w:highlight w:val="none"/>
              </w:rPr>
            </w:pPr>
          </w:p>
        </w:tc>
        <w:tc>
          <w:tcPr>
            <w:tcW w:w="1807" w:type="dxa"/>
            <w:vAlign w:val="center"/>
          </w:tcPr>
          <w:p>
            <w:pPr>
              <w:adjustRightInd w:val="0"/>
              <w:spacing w:line="360" w:lineRule="auto"/>
              <w:jc w:val="center"/>
              <w:rPr>
                <w:rFonts w:hint="eastAsia" w:cs="Arial" w:asciiTheme="minorEastAsia" w:hAnsiTheme="minorEastAsia" w:eastAsiaTheme="minorEastAsia"/>
                <w:color w:val="auto"/>
                <w:szCs w:val="21"/>
                <w:highlight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3" w:hRule="atLeast"/>
        </w:trPr>
        <w:tc>
          <w:tcPr>
            <w:tcW w:w="8690" w:type="dxa"/>
            <w:gridSpan w:val="4"/>
            <w:vAlign w:val="center"/>
          </w:tcPr>
          <w:p>
            <w:pPr>
              <w:adjustRightInd w:val="0"/>
              <w:spacing w:line="360" w:lineRule="auto"/>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 xml:space="preserve">人民币大写：                               </w:t>
            </w:r>
          </w:p>
        </w:tc>
      </w:tr>
    </w:tbl>
    <w:p>
      <w:pPr>
        <w:spacing w:line="360" w:lineRule="auto"/>
        <w:rPr>
          <w:rFonts w:asciiTheme="minorEastAsia" w:hAnsiTheme="minorEastAsia" w:eastAsiaTheme="minorEastAsia"/>
          <w:b/>
          <w:color w:val="auto"/>
          <w:szCs w:val="21"/>
          <w:highlight w:val="none"/>
        </w:rPr>
      </w:pPr>
    </w:p>
    <w:p>
      <w:pPr>
        <w:adjustRightInd w:val="0"/>
        <w:spacing w:line="360" w:lineRule="auto"/>
        <w:rPr>
          <w:rFonts w:asciiTheme="minorEastAsia" w:hAnsiTheme="minorEastAsia" w:eastAsiaTheme="minorEastAsia"/>
          <w:color w:val="auto"/>
          <w:szCs w:val="21"/>
          <w:highlight w:val="none"/>
        </w:rPr>
      </w:pPr>
    </w:p>
    <w:p>
      <w:pPr>
        <w:spacing w:beforeLines="50" w:line="360" w:lineRule="auto"/>
        <w:ind w:firstLine="1375" w:firstLineChars="550"/>
        <w:rPr>
          <w:rFonts w:asciiTheme="minorEastAsia" w:hAnsiTheme="minorEastAsia" w:eastAsiaTheme="minorEastAsia"/>
          <w:color w:val="auto"/>
          <w:szCs w:val="21"/>
          <w:highlight w:val="none"/>
        </w:rPr>
      </w:pPr>
      <w:r>
        <w:rPr>
          <w:rFonts w:asciiTheme="minorEastAsia" w:hAnsiTheme="minorEastAsia" w:eastAsiaTheme="minorEastAsia"/>
          <w:color w:val="auto"/>
          <w:spacing w:val="20"/>
          <w:szCs w:val="21"/>
          <w:highlight w:val="none"/>
        </w:rPr>
        <w:t>法定代表人或委托代理人</w:t>
      </w:r>
      <w:r>
        <w:rPr>
          <w:rFonts w:hint="eastAsia" w:asciiTheme="minorEastAsia" w:hAnsiTheme="minorEastAsia" w:eastAsiaTheme="minorEastAsia"/>
          <w:color w:val="auto"/>
          <w:spacing w:val="20"/>
          <w:szCs w:val="21"/>
          <w:highlight w:val="none"/>
        </w:rPr>
        <w:t>签名（或盖章）：</w:t>
      </w:r>
    </w:p>
    <w:p>
      <w:pPr>
        <w:spacing w:line="360" w:lineRule="auto"/>
        <w:ind w:firstLine="500" w:firstLineChars="200"/>
        <w:rPr>
          <w:rFonts w:asciiTheme="minorEastAsia" w:hAnsiTheme="minorEastAsia" w:eastAsiaTheme="minorEastAsia"/>
          <w:color w:val="auto"/>
          <w:spacing w:val="20"/>
          <w:szCs w:val="21"/>
          <w:highlight w:val="none"/>
          <w:u w:val="single"/>
        </w:rPr>
      </w:pPr>
      <w:r>
        <w:rPr>
          <w:rFonts w:hint="eastAsia" w:asciiTheme="minorEastAsia" w:hAnsiTheme="minorEastAsia" w:eastAsiaTheme="minorEastAsia"/>
          <w:color w:val="auto"/>
          <w:spacing w:val="20"/>
          <w:szCs w:val="21"/>
          <w:highlight w:val="none"/>
        </w:rPr>
        <w:t xml:space="preserve">                            投标人盖章：</w:t>
      </w:r>
    </w:p>
    <w:p>
      <w:pPr>
        <w:spacing w:line="360" w:lineRule="auto"/>
        <w:ind w:firstLine="500" w:firstLineChars="200"/>
        <w:rPr>
          <w:rFonts w:asciiTheme="minorEastAsia" w:hAnsiTheme="minorEastAsia" w:eastAsiaTheme="minorEastAsia"/>
          <w:color w:val="auto"/>
          <w:spacing w:val="20"/>
          <w:szCs w:val="21"/>
          <w:highlight w:val="none"/>
          <w:u w:val="single"/>
        </w:rPr>
      </w:pPr>
      <w:r>
        <w:rPr>
          <w:rFonts w:hint="eastAsia" w:asciiTheme="minorEastAsia" w:hAnsiTheme="minorEastAsia" w:eastAsiaTheme="minorEastAsia"/>
          <w:color w:val="auto"/>
          <w:spacing w:val="20"/>
          <w:szCs w:val="21"/>
          <w:highlight w:val="none"/>
        </w:rPr>
        <w:t xml:space="preserve">                            日     期：</w:t>
      </w:r>
    </w:p>
    <w:p>
      <w:pPr>
        <w:rPr>
          <w:rFonts w:hint="eastAsia"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br w:type="page"/>
      </w:r>
    </w:p>
    <w:p>
      <w:pPr>
        <w:snapToGrid w:val="0"/>
        <w:spacing w:line="360" w:lineRule="auto"/>
        <w:rPr>
          <w:rFonts w:hint="eastAsia" w:asciiTheme="minorEastAsia" w:hAnsiTheme="minorEastAsia" w:eastAsiaTheme="minorEastAsia"/>
          <w:b/>
          <w:color w:val="auto"/>
          <w:szCs w:val="21"/>
          <w:highlight w:val="none"/>
          <w:lang w:val="en-US" w:eastAsia="zh-CN"/>
        </w:rPr>
      </w:pPr>
      <w:r>
        <w:rPr>
          <w:rFonts w:hint="eastAsia" w:asciiTheme="minorEastAsia" w:hAnsiTheme="minorEastAsia" w:eastAsiaTheme="minorEastAsia"/>
          <w:b/>
          <w:color w:val="auto"/>
          <w:szCs w:val="21"/>
          <w:highlight w:val="none"/>
        </w:rPr>
        <w:t>1</w:t>
      </w:r>
      <w:r>
        <w:rPr>
          <w:rFonts w:hint="eastAsia" w:asciiTheme="minorEastAsia" w:hAnsiTheme="minorEastAsia" w:eastAsiaTheme="minorEastAsia"/>
          <w:b/>
          <w:color w:val="auto"/>
          <w:szCs w:val="21"/>
          <w:highlight w:val="none"/>
          <w:lang w:val="en-US" w:eastAsia="zh-CN"/>
        </w:rPr>
        <w:t>2.1、</w:t>
      </w:r>
    </w:p>
    <w:tbl>
      <w:tblPr>
        <w:tblStyle w:val="49"/>
        <w:tblpPr w:leftFromText="180" w:rightFromText="180" w:vertAnchor="text" w:horzAnchor="page" w:tblpX="680" w:tblpY="480"/>
        <w:tblOverlap w:val="never"/>
        <w:tblW w:w="1078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25"/>
        <w:gridCol w:w="1590"/>
        <w:gridCol w:w="3795"/>
        <w:gridCol w:w="737"/>
        <w:gridCol w:w="876"/>
        <w:gridCol w:w="1000"/>
        <w:gridCol w:w="1017"/>
        <w:gridCol w:w="94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trPr>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项目名称</w:t>
            </w:r>
          </w:p>
        </w:tc>
        <w:tc>
          <w:tcPr>
            <w:tcW w:w="37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项目特征</w:t>
            </w:r>
          </w:p>
        </w:tc>
        <w:tc>
          <w:tcPr>
            <w:tcW w:w="7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w:t>
            </w:r>
          </w:p>
        </w:tc>
        <w:tc>
          <w:tcPr>
            <w:tcW w:w="8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数量</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全费用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单价</w:t>
            </w:r>
          </w:p>
        </w:tc>
        <w:tc>
          <w:tcPr>
            <w:tcW w:w="10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合价（元）</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2" w:hRule="atLeast"/>
        </w:trPr>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七一广场</w:t>
            </w:r>
          </w:p>
        </w:tc>
        <w:tc>
          <w:tcPr>
            <w:tcW w:w="37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1、内容：所有绿化的养护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2、养护等级：一级养护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3、养护期：一年</w:t>
            </w:r>
          </w:p>
        </w:tc>
        <w:tc>
          <w:tcPr>
            <w:tcW w:w="7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m2</w:t>
            </w:r>
          </w:p>
        </w:tc>
        <w:tc>
          <w:tcPr>
            <w:tcW w:w="8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102903</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c>
          <w:tcPr>
            <w:tcW w:w="10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2" w:hRule="atLeast"/>
        </w:trPr>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湖心岛</w:t>
            </w:r>
          </w:p>
        </w:tc>
        <w:tc>
          <w:tcPr>
            <w:tcW w:w="37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1、内容：所有绿化的养护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2、养护等级：一级养护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3、养护期：一年</w:t>
            </w:r>
          </w:p>
        </w:tc>
        <w:tc>
          <w:tcPr>
            <w:tcW w:w="7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m2</w:t>
            </w:r>
          </w:p>
        </w:tc>
        <w:tc>
          <w:tcPr>
            <w:tcW w:w="8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1981</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c>
          <w:tcPr>
            <w:tcW w:w="10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7" w:hRule="atLeast"/>
        </w:trPr>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沈钧儒纪念馆</w:t>
            </w:r>
          </w:p>
        </w:tc>
        <w:tc>
          <w:tcPr>
            <w:tcW w:w="37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1、内容：所有绿化的养护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2、养护等级：一级养护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3、养护期：一年</w:t>
            </w:r>
          </w:p>
        </w:tc>
        <w:tc>
          <w:tcPr>
            <w:tcW w:w="7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m2</w:t>
            </w:r>
          </w:p>
        </w:tc>
        <w:tc>
          <w:tcPr>
            <w:tcW w:w="8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647</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c>
          <w:tcPr>
            <w:tcW w:w="10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15" w:hRule="atLeast"/>
        </w:trPr>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各场馆内日常馆内绿植</w:t>
            </w:r>
          </w:p>
        </w:tc>
        <w:tc>
          <w:tcPr>
            <w:tcW w:w="37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1、内容：绿植摆放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2、500型盆（约100盆）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3、300型盆（约100盆）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4、100型盆（约200盆）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5、养护期：一年</w:t>
            </w:r>
          </w:p>
        </w:tc>
        <w:tc>
          <w:tcPr>
            <w:tcW w:w="7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w:t>
            </w:r>
          </w:p>
        </w:tc>
        <w:tc>
          <w:tcPr>
            <w:tcW w:w="8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c>
          <w:tcPr>
            <w:tcW w:w="10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40" w:hRule="atLeast"/>
        </w:trPr>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广场、湖心岛日常摆花</w:t>
            </w:r>
          </w:p>
        </w:tc>
        <w:tc>
          <w:tcPr>
            <w:tcW w:w="37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1、内容：摆花</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2、每次摆花时间为15天</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3、摆放7.1；10.1；1.1；三个节日前后各15天，共计6次。每次约230平。</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4、养护期11个月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5、180型盆与120型盆混摆</w:t>
            </w:r>
          </w:p>
        </w:tc>
        <w:tc>
          <w:tcPr>
            <w:tcW w:w="7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m2</w:t>
            </w:r>
          </w:p>
        </w:tc>
        <w:tc>
          <w:tcPr>
            <w:tcW w:w="8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1380</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c>
          <w:tcPr>
            <w:tcW w:w="10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东码头、国旗台两侧草花种植</w:t>
            </w:r>
          </w:p>
        </w:tc>
        <w:tc>
          <w:tcPr>
            <w:tcW w:w="37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1、内容：花卉种植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2、180型盆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3、每年更换四次备一</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4、养护期：一年</w:t>
            </w:r>
          </w:p>
        </w:tc>
        <w:tc>
          <w:tcPr>
            <w:tcW w:w="7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m2</w:t>
            </w:r>
          </w:p>
        </w:tc>
        <w:tc>
          <w:tcPr>
            <w:tcW w:w="8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1150</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c>
          <w:tcPr>
            <w:tcW w:w="10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七一广场、湖心岛草花种植</w:t>
            </w:r>
          </w:p>
        </w:tc>
        <w:tc>
          <w:tcPr>
            <w:tcW w:w="37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1、内容：花卉种植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2、120型盆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3、每年更换四次备一</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4、养护期：一年</w:t>
            </w:r>
          </w:p>
        </w:tc>
        <w:tc>
          <w:tcPr>
            <w:tcW w:w="7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m2</w:t>
            </w:r>
          </w:p>
        </w:tc>
        <w:tc>
          <w:tcPr>
            <w:tcW w:w="8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550</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c>
          <w:tcPr>
            <w:tcW w:w="10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82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绿地深度保洁</w:t>
            </w:r>
          </w:p>
        </w:tc>
        <w:tc>
          <w:tcPr>
            <w:tcW w:w="37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1、落叶旺季保洁（3月-5月，9月-11月）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2、落叶淡季保洁（2月,6月-8月，12月）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3、湖心岛新增绿地保洁人员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4、落叶清运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5、按建设单位要求</w:t>
            </w:r>
          </w:p>
        </w:tc>
        <w:tc>
          <w:tcPr>
            <w:tcW w:w="7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w:t>
            </w:r>
          </w:p>
        </w:tc>
        <w:tc>
          <w:tcPr>
            <w:tcW w:w="8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c>
          <w:tcPr>
            <w:tcW w:w="10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2" w:hRule="atLeast"/>
        </w:trPr>
        <w:tc>
          <w:tcPr>
            <w:tcW w:w="82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59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费用汇总</w:t>
            </w:r>
          </w:p>
        </w:tc>
        <w:tc>
          <w:tcPr>
            <w:tcW w:w="3795"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合计金额小写人民币：</w:t>
            </w:r>
          </w:p>
        </w:tc>
        <w:tc>
          <w:tcPr>
            <w:tcW w:w="363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p>
        </w:tc>
        <w:tc>
          <w:tcPr>
            <w:tcW w:w="94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含所有</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税费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82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159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3795"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合计金额大写人民币：</w:t>
            </w:r>
          </w:p>
        </w:tc>
        <w:tc>
          <w:tcPr>
            <w:tcW w:w="363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r>
    </w:tbl>
    <w:p>
      <w:pPr>
        <w:jc w:val="center"/>
        <w:rPr>
          <w:rFonts w:hint="eastAsia" w:eastAsia="宋体"/>
          <w:lang w:eastAsia="zh-CN"/>
        </w:rPr>
      </w:pPr>
      <w:r>
        <w:rPr>
          <w:rFonts w:hint="eastAsia"/>
          <w:b/>
          <w:bCs/>
          <w:lang w:eastAsia="zh-CN"/>
        </w:rPr>
        <w:t>报价明细表</w:t>
      </w:r>
    </w:p>
    <w:p>
      <w:pPr>
        <w:spacing w:line="240" w:lineRule="auto"/>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注：1、报价时按全费用综合单价考虑（含保险（人员保险、财产保险等）税金、规费、管理费、安全文明费、利润等一切为完成本项目涉及的费用），具体数量按实际发生量结算。</w:t>
      </w:r>
    </w:p>
    <w:p>
      <w:pPr>
        <w:pStyle w:val="29"/>
        <w:tabs>
          <w:tab w:val="left" w:pos="1200"/>
        </w:tabs>
        <w:spacing w:before="120" w:after="120" w:line="240" w:lineRule="auto"/>
        <w:rPr>
          <w:rFonts w:hint="eastAsia" w:hAnsi="宋体" w:cs="宋体"/>
          <w:color w:val="auto"/>
          <w:sz w:val="21"/>
          <w:szCs w:val="21"/>
          <w:highlight w:val="none"/>
          <w:lang w:val="en-US" w:eastAsia="zh-CN"/>
        </w:rPr>
      </w:pPr>
      <w:r>
        <w:rPr>
          <w:rFonts w:hint="eastAsia" w:hAnsi="宋体" w:cs="宋体"/>
          <w:color w:val="auto"/>
          <w:sz w:val="21"/>
          <w:szCs w:val="21"/>
          <w:highlight w:val="none"/>
          <w:lang w:val="en-US" w:eastAsia="zh-CN"/>
        </w:rPr>
        <w:t>2、结算时单价按投标时全费用单位计，不因任何因素变更。</w:t>
      </w:r>
    </w:p>
    <w:p>
      <w:pPr>
        <w:spacing w:line="240" w:lineRule="auto"/>
      </w:pPr>
      <w:r>
        <w:rPr>
          <w:rFonts w:hint="eastAsia"/>
          <w:lang w:val="en-US" w:eastAsia="zh-CN"/>
        </w:rPr>
        <w:t>3、</w:t>
      </w:r>
      <w:r>
        <w:rPr>
          <w:rFonts w:hint="eastAsia"/>
          <w:lang w:eastAsia="zh-CN"/>
        </w:rPr>
        <w:t>上表序号</w:t>
      </w:r>
      <w:r>
        <w:rPr>
          <w:rFonts w:hint="eastAsia"/>
          <w:lang w:val="en-US" w:eastAsia="zh-CN"/>
        </w:rPr>
        <w:t>6“东码头、国旗台两侧草花种植”数量“1150㎡”及序号7“七一广场、湖心岛草花种植”数量“550㎡”均为单次更换花卉种植量，投标人报价时应考虑每年更换四次备一的总费用，不再另行支付任何费用。</w:t>
      </w:r>
    </w:p>
    <w:p>
      <w:pPr>
        <w:spacing w:line="240" w:lineRule="auto"/>
        <w:ind w:firstLine="3750" w:firstLineChars="1500"/>
        <w:rPr>
          <w:rFonts w:ascii="宋体" w:hAnsi="宋体"/>
          <w:color w:val="auto"/>
          <w:spacing w:val="20"/>
          <w:szCs w:val="21"/>
          <w:highlight w:val="none"/>
          <w:u w:val="single"/>
        </w:rPr>
      </w:pPr>
      <w:r>
        <w:rPr>
          <w:rFonts w:ascii="宋体" w:hAnsi="宋体"/>
          <w:color w:val="auto"/>
          <w:spacing w:val="20"/>
          <w:szCs w:val="21"/>
          <w:highlight w:val="none"/>
        </w:rPr>
        <w:t>法定代表人或委托代理人</w:t>
      </w:r>
      <w:r>
        <w:rPr>
          <w:rFonts w:hint="eastAsia" w:ascii="宋体" w:hAnsi="宋体"/>
          <w:color w:val="auto"/>
          <w:spacing w:val="20"/>
          <w:szCs w:val="21"/>
          <w:highlight w:val="none"/>
        </w:rPr>
        <w:t>签名：</w:t>
      </w:r>
    </w:p>
    <w:p>
      <w:pPr>
        <w:spacing w:line="240" w:lineRule="auto"/>
        <w:ind w:firstLine="500" w:firstLineChars="200"/>
        <w:rPr>
          <w:rFonts w:ascii="宋体" w:hAnsi="宋体"/>
          <w:color w:val="auto"/>
          <w:spacing w:val="20"/>
          <w:szCs w:val="21"/>
          <w:highlight w:val="none"/>
          <w:u w:val="single"/>
        </w:rPr>
      </w:pPr>
      <w:r>
        <w:rPr>
          <w:rFonts w:hint="eastAsia" w:ascii="宋体" w:hAnsi="宋体"/>
          <w:color w:val="auto"/>
          <w:spacing w:val="20"/>
          <w:szCs w:val="21"/>
          <w:highlight w:val="none"/>
        </w:rPr>
        <w:t xml:space="preserve">                                    投标单位盖章：</w:t>
      </w:r>
    </w:p>
    <w:p>
      <w:pPr>
        <w:spacing w:line="240" w:lineRule="auto"/>
        <w:ind w:firstLine="525" w:firstLineChars="250"/>
        <w:jc w:val="center"/>
        <w:rPr>
          <w:rFonts w:ascii="宋体" w:hAnsi="宋体"/>
          <w:b/>
          <w:color w:val="auto"/>
          <w:szCs w:val="21"/>
          <w:highlight w:val="none"/>
        </w:rPr>
      </w:pPr>
      <w:r>
        <w:rPr>
          <w:rFonts w:hint="eastAsia" w:ascii="宋体" w:hAnsi="宋体"/>
          <w:color w:val="auto"/>
          <w:szCs w:val="21"/>
          <w:highlight w:val="none"/>
        </w:rPr>
        <w:t xml:space="preserve">                                         日        期：</w:t>
      </w:r>
    </w:p>
    <w:p>
      <w:pPr>
        <w:rPr>
          <w:rFonts w:ascii="宋体" w:hAnsi="宋体"/>
          <w:b/>
          <w:color w:val="auto"/>
          <w:szCs w:val="21"/>
          <w:highlight w:val="none"/>
        </w:rPr>
      </w:pPr>
      <w:r>
        <w:rPr>
          <w:rFonts w:ascii="宋体" w:hAnsi="宋体"/>
          <w:b/>
          <w:color w:val="auto"/>
          <w:szCs w:val="21"/>
          <w:highlight w:val="none"/>
        </w:rPr>
        <w:br w:type="page"/>
      </w:r>
    </w:p>
    <w:p>
      <w:pPr>
        <w:snapToGrid w:val="0"/>
        <w:spacing w:line="360" w:lineRule="auto"/>
        <w:rPr>
          <w:color w:val="auto"/>
          <w:highlight w:val="none"/>
        </w:rPr>
      </w:pPr>
      <w:r>
        <w:rPr>
          <w:rFonts w:hint="eastAsia" w:asciiTheme="minorEastAsia" w:hAnsiTheme="minorEastAsia" w:eastAsiaTheme="minorEastAsia"/>
          <w:b/>
          <w:color w:val="auto"/>
          <w:szCs w:val="21"/>
          <w:highlight w:val="none"/>
        </w:rPr>
        <w:t>1</w:t>
      </w:r>
      <w:r>
        <w:rPr>
          <w:rFonts w:hint="eastAsia" w:asciiTheme="minorEastAsia" w:hAnsiTheme="minorEastAsia" w:eastAsiaTheme="minorEastAsia"/>
          <w:b/>
          <w:color w:val="auto"/>
          <w:szCs w:val="21"/>
          <w:highlight w:val="none"/>
          <w:lang w:val="en-US" w:eastAsia="zh-CN"/>
        </w:rPr>
        <w:t>3</w:t>
      </w:r>
      <w:r>
        <w:rPr>
          <w:rFonts w:hint="eastAsia" w:asciiTheme="minorEastAsia" w:hAnsiTheme="minorEastAsia" w:eastAsiaTheme="minorEastAsia"/>
          <w:b/>
          <w:color w:val="auto"/>
          <w:szCs w:val="21"/>
          <w:highlight w:val="none"/>
        </w:rPr>
        <w:t>、</w:t>
      </w:r>
    </w:p>
    <w:p>
      <w:pPr>
        <w:jc w:val="center"/>
        <w:rPr>
          <w:rFonts w:hint="eastAsia" w:ascii="宋体" w:hAnsi="宋体"/>
          <w:b/>
          <w:color w:val="auto"/>
          <w:spacing w:val="20"/>
          <w:szCs w:val="21"/>
          <w:highlight w:val="none"/>
          <w:lang w:eastAsia="zh-CN"/>
        </w:rPr>
      </w:pPr>
      <w:r>
        <w:rPr>
          <w:rFonts w:hint="eastAsia" w:ascii="宋体" w:hAnsi="宋体"/>
          <w:b/>
          <w:color w:val="auto"/>
          <w:spacing w:val="20"/>
          <w:szCs w:val="21"/>
          <w:highlight w:val="none"/>
          <w:lang w:eastAsia="zh-CN"/>
        </w:rPr>
        <w:t>承诺函</w:t>
      </w:r>
    </w:p>
    <w:p>
      <w:pPr>
        <w:spacing w:line="360" w:lineRule="auto"/>
        <w:ind w:firstLine="420" w:firstLineChars="200"/>
        <w:rPr>
          <w:rFonts w:hint="eastAsia" w:ascii="宋体" w:hAnsi="宋体" w:cs="宋体"/>
          <w:color w:val="auto"/>
          <w:sz w:val="21"/>
          <w:szCs w:val="21"/>
          <w:highlight w:val="none"/>
          <w:lang w:val="en-US" w:eastAsia="zh-CN"/>
        </w:rPr>
      </w:pPr>
    </w:p>
    <w:p>
      <w:pPr>
        <w:spacing w:line="360" w:lineRule="auto"/>
        <w:ind w:firstLine="420" w:firstLineChars="200"/>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我公司承诺在中标后按不低于招标文件[养护人员：3-10月养护人员不少于25人（包括项目负责人1名，需具有园林绿化相关专业工程师及以上职称）。其它时期不少于12人，（包括项目负责人1名，需具有园林绿化相关专业工程师及以上职称）。（保洁 人员：保洁人员不少于6人。的人员要求到位，否则我司自愿接受相关处罚扣款，人员到位严重不足的，我司自愿解除合同，并赔偿相关损失。</w:t>
      </w:r>
    </w:p>
    <w:p>
      <w:pPr>
        <w:pStyle w:val="5"/>
        <w:rPr>
          <w:rFonts w:hint="eastAsia" w:ascii="宋体" w:hAnsi="宋体" w:cs="宋体"/>
          <w:color w:val="auto"/>
          <w:sz w:val="21"/>
          <w:szCs w:val="21"/>
          <w:highlight w:val="none"/>
          <w:lang w:val="en-US" w:eastAsia="zh-CN"/>
        </w:rPr>
      </w:pPr>
    </w:p>
    <w:p>
      <w:pPr>
        <w:spacing w:beforeLines="50" w:line="360" w:lineRule="auto"/>
        <w:ind w:firstLine="1375" w:firstLineChars="550"/>
        <w:jc w:val="right"/>
        <w:rPr>
          <w:rFonts w:asciiTheme="minorEastAsia" w:hAnsiTheme="minorEastAsia" w:eastAsiaTheme="minorEastAsia"/>
          <w:color w:val="auto"/>
          <w:szCs w:val="21"/>
          <w:highlight w:val="none"/>
        </w:rPr>
      </w:pPr>
      <w:r>
        <w:rPr>
          <w:rFonts w:asciiTheme="minorEastAsia" w:hAnsiTheme="minorEastAsia" w:eastAsiaTheme="minorEastAsia"/>
          <w:color w:val="auto"/>
          <w:spacing w:val="20"/>
          <w:szCs w:val="21"/>
          <w:highlight w:val="none"/>
        </w:rPr>
        <w:t>法定代表人或委托代理人</w:t>
      </w:r>
      <w:r>
        <w:rPr>
          <w:rFonts w:hint="eastAsia" w:asciiTheme="minorEastAsia" w:hAnsiTheme="minorEastAsia" w:eastAsiaTheme="minorEastAsia"/>
          <w:color w:val="auto"/>
          <w:spacing w:val="20"/>
          <w:szCs w:val="21"/>
          <w:highlight w:val="none"/>
        </w:rPr>
        <w:t>签名（或盖章）：</w:t>
      </w:r>
    </w:p>
    <w:p>
      <w:pPr>
        <w:spacing w:line="360" w:lineRule="auto"/>
        <w:ind w:firstLine="500" w:firstLineChars="200"/>
        <w:jc w:val="right"/>
        <w:rPr>
          <w:rFonts w:asciiTheme="minorEastAsia" w:hAnsiTheme="minorEastAsia" w:eastAsiaTheme="minorEastAsia"/>
          <w:color w:val="auto"/>
          <w:spacing w:val="20"/>
          <w:szCs w:val="21"/>
          <w:highlight w:val="none"/>
          <w:u w:val="single"/>
        </w:rPr>
      </w:pPr>
      <w:r>
        <w:rPr>
          <w:rFonts w:hint="eastAsia" w:asciiTheme="minorEastAsia" w:hAnsiTheme="minorEastAsia" w:eastAsiaTheme="minorEastAsia"/>
          <w:color w:val="auto"/>
          <w:spacing w:val="20"/>
          <w:szCs w:val="21"/>
          <w:highlight w:val="none"/>
        </w:rPr>
        <w:t xml:space="preserve">                            投标人盖章：</w:t>
      </w:r>
    </w:p>
    <w:p>
      <w:pPr>
        <w:jc w:val="right"/>
        <w:rPr>
          <w:rFonts w:hint="eastAsia"/>
          <w:color w:val="auto"/>
          <w:highlight w:val="none"/>
          <w:lang w:eastAsia="zh-CN"/>
        </w:rPr>
      </w:pPr>
      <w:r>
        <w:rPr>
          <w:rFonts w:hint="eastAsia" w:asciiTheme="minorEastAsia" w:hAnsiTheme="minorEastAsia" w:eastAsiaTheme="minorEastAsia"/>
          <w:color w:val="auto"/>
          <w:spacing w:val="20"/>
          <w:szCs w:val="21"/>
          <w:highlight w:val="none"/>
        </w:rPr>
        <w:t xml:space="preserve">                            日     期：</w:t>
      </w:r>
    </w:p>
    <w:p>
      <w:pPr>
        <w:rPr>
          <w:rFonts w:hint="eastAsia" w:cs="Times New Roman" w:asciiTheme="minorEastAsia" w:hAnsiTheme="minorEastAsia"/>
          <w:b/>
          <w:color w:val="auto"/>
          <w:spacing w:val="0"/>
          <w:szCs w:val="21"/>
          <w:highlight w:val="none"/>
          <w:lang w:eastAsia="zh-CN"/>
        </w:rPr>
      </w:pPr>
      <w:r>
        <w:rPr>
          <w:rFonts w:hint="eastAsia" w:cs="Times New Roman" w:asciiTheme="minorEastAsia" w:hAnsiTheme="minorEastAsia"/>
          <w:b/>
          <w:color w:val="auto"/>
          <w:spacing w:val="0"/>
          <w:szCs w:val="21"/>
          <w:highlight w:val="none"/>
          <w:lang w:eastAsia="zh-CN"/>
        </w:rPr>
        <w:br w:type="page"/>
      </w:r>
    </w:p>
    <w:p>
      <w:pPr>
        <w:pStyle w:val="48"/>
        <w:ind w:left="0" w:leftChars="0" w:firstLine="0" w:firstLineChars="0"/>
        <w:jc w:val="center"/>
        <w:rPr>
          <w:rFonts w:hint="eastAsia" w:cs="Times New Roman" w:asciiTheme="minorEastAsia" w:hAnsiTheme="minorEastAsia" w:eastAsiaTheme="minorEastAsia"/>
          <w:b/>
          <w:color w:val="auto"/>
          <w:spacing w:val="0"/>
          <w:szCs w:val="21"/>
          <w:highlight w:val="none"/>
          <w:lang w:eastAsia="zh-CN"/>
        </w:rPr>
      </w:pPr>
      <w:r>
        <w:rPr>
          <w:rFonts w:hint="eastAsia" w:cs="Times New Roman" w:asciiTheme="minorEastAsia" w:hAnsiTheme="minorEastAsia"/>
          <w:b/>
          <w:color w:val="auto"/>
          <w:spacing w:val="0"/>
          <w:szCs w:val="21"/>
          <w:highlight w:val="none"/>
          <w:lang w:eastAsia="zh-CN"/>
        </w:rPr>
        <w:t>其他投标人认为需要递交的资料</w:t>
      </w:r>
    </w:p>
    <w:p>
      <w:pPr>
        <w:pStyle w:val="48"/>
        <w:ind w:left="0" w:leftChars="0" w:firstLine="0" w:firstLineChars="0"/>
        <w:jc w:val="center"/>
        <w:rPr>
          <w:color w:val="auto"/>
          <w:highlight w:val="none"/>
        </w:rPr>
      </w:pPr>
      <w:r>
        <w:rPr>
          <w:rFonts w:hint="eastAsia"/>
          <w:color w:val="auto"/>
          <w:highlight w:val="none"/>
        </w:rPr>
        <w:t>（格式自拟）</w:t>
      </w:r>
    </w:p>
    <w:sectPr>
      <w:footerReference r:id="rId8" w:type="default"/>
      <w:footerReference r:id="rId9" w:type="even"/>
      <w:pgSz w:w="11906" w:h="16838"/>
      <w:pgMar w:top="1440" w:right="1797" w:bottom="1440" w:left="1797" w:header="851" w:footer="851" w:gutter="0"/>
      <w:pgBorders>
        <w:top w:val="none" w:sz="0" w:space="0"/>
        <w:left w:val="none" w:sz="0" w:space="0"/>
        <w:bottom w:val="none" w:sz="0" w:space="0"/>
        <w:right w:val="none" w:sz="0" w:space="0"/>
      </w:pgBorders>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2FF" w:usb1="400004FF" w:usb2="00000000" w:usb3="00000000" w:csb0="2000019F" w:csb1="00000000"/>
  </w:font>
  <w:font w:name="Calibri Light">
    <w:panose1 w:val="020F0302020204030204"/>
    <w:charset w:val="00"/>
    <w:family w:val="swiss"/>
    <w:pitch w:val="default"/>
    <w:sig w:usb0="A00002EF" w:usb1="4000207B" w:usb2="00000000" w:usb3="00000000" w:csb0="2000019F" w:csb1="00000000"/>
  </w:font>
  <w:font w:name="微软雅黑 Light">
    <w:altName w:val="黑体"/>
    <w:panose1 w:val="020B0502040204020203"/>
    <w:charset w:val="7A"/>
    <w:family w:val="swiss"/>
    <w:pitch w:val="default"/>
    <w:sig w:usb0="00000000" w:usb1="00000000" w:usb2="00000016" w:usb3="00000000" w:csb0="0004001F" w:csb1="00000000"/>
  </w:font>
  <w:font w:name="Songti SC Regular">
    <w:altName w:val="微软雅黑"/>
    <w:panose1 w:val="00000000000000000000"/>
    <w:charset w:val="50"/>
    <w:family w:val="auto"/>
    <w:pitch w:val="default"/>
    <w:sig w:usb0="00000000" w:usb1="00000000" w:usb2="00000010" w:usb3="00000000" w:csb0="0004009F" w:csb1="00000000"/>
  </w:font>
  <w:font w:name="微软雅黑">
    <w:panose1 w:val="020B0503020204020204"/>
    <w:charset w:val="86"/>
    <w:family w:val="auto"/>
    <w:pitch w:val="default"/>
    <w:sig w:usb0="80000287" w:usb1="280F3C52" w:usb2="00000016" w:usb3="00000000" w:csb0="0004001F" w:csb1="00000000"/>
  </w:font>
  <w:font w:name="Helvetica">
    <w:altName w:val="Arial"/>
    <w:panose1 w:val="020B0604020202020204"/>
    <w:charset w:val="00"/>
    <w:family w:val="swiss"/>
    <w:pitch w:val="default"/>
    <w:sig w:usb0="00000000" w:usb1="00000000" w:usb2="00000000" w:usb3="00000000" w:csb0="00000001" w:csb1="00000000"/>
  </w:font>
  <w:font w:name="Tahoma">
    <w:panose1 w:val="020B0604030504040204"/>
    <w:charset w:val="00"/>
    <w:family w:val="swiss"/>
    <w:pitch w:val="default"/>
    <w:sig w:usb0="E1002EFF" w:usb1="C000605B" w:usb2="00000029" w:usb3="00000000" w:csb0="200101FF" w:csb1="20280000"/>
  </w:font>
  <w:font w:name="Arial Unicode MS">
    <w:altName w:val="宋体"/>
    <w:panose1 w:val="020B0604020202020204"/>
    <w:charset w:val="86"/>
    <w:family w:val="auto"/>
    <w:pitch w:val="default"/>
    <w:sig w:usb0="00000000" w:usb1="00000000" w:usb2="0000003F" w:usb3="00000000" w:csb0="603F01FF" w:csb1="FFFF0000"/>
  </w:font>
  <w:font w:name="Verdana">
    <w:panose1 w:val="020B0604030504040204"/>
    <w:charset w:val="00"/>
    <w:family w:val="swiss"/>
    <w:pitch w:val="default"/>
    <w:sig w:usb0="A10006FF" w:usb1="4000205B" w:usb2="00000010" w:usb3="00000000" w:csb0="2000019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ind w:right="720"/>
      <w:rPr>
        <w:sz w:val="21"/>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ind w:right="720"/>
      <w:rPr>
        <w:sz w:val="21"/>
        <w:szCs w:val="21"/>
      </w:rPr>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4"/>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34"/>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0"/>
      </w:rPr>
    </w:pPr>
    <w:r>
      <w:rPr>
        <w:sz w:val="20"/>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4"/>
                          </w:pPr>
                          <w:r>
                            <w:fldChar w:fldCharType="begin"/>
                          </w:r>
                          <w:r>
                            <w:instrText xml:space="preserve"> PAGE  \* MERGEFORMAT </w:instrText>
                          </w:r>
                          <w:r>
                            <w:fldChar w:fldCharType="separate"/>
                          </w:r>
                          <w:r>
                            <w:t>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34"/>
                    </w:pPr>
                    <w:r>
                      <w:fldChar w:fldCharType="begin"/>
                    </w:r>
                    <w:r>
                      <w:instrText xml:space="preserve"> PAGE  \* MERGEFORMAT </w:instrText>
                    </w:r>
                    <w:r>
                      <w:fldChar w:fldCharType="separate"/>
                    </w:r>
                    <w:r>
                      <w:t>9</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ind w:right="360" w:firstLine="360"/>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4"/>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34"/>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framePr w:wrap="around" w:vAnchor="text" w:hAnchor="margin" w:xAlign="outside" w:y="1"/>
      <w:rPr>
        <w:rStyle w:val="53"/>
      </w:rPr>
    </w:pPr>
    <w:r>
      <w:fldChar w:fldCharType="begin"/>
    </w:r>
    <w:r>
      <w:rPr>
        <w:rStyle w:val="53"/>
      </w:rPr>
      <w:instrText xml:space="preserve">PAGE  </w:instrText>
    </w:r>
    <w:r>
      <w:fldChar w:fldCharType="end"/>
    </w:r>
  </w:p>
  <w:p>
    <w:pPr>
      <w:pStyle w:val="34"/>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7F"/>
    <w:multiLevelType w:val="singleLevel"/>
    <w:tmpl w:val="FFFFFF7F"/>
    <w:lvl w:ilvl="0" w:tentative="0">
      <w:start w:val="1"/>
      <w:numFmt w:val="decimal"/>
      <w:pStyle w:val="15"/>
      <w:lvlText w:val="%1."/>
      <w:lvlJc w:val="left"/>
      <w:pPr>
        <w:tabs>
          <w:tab w:val="left" w:pos="780"/>
        </w:tabs>
        <w:ind w:left="780" w:leftChars="200" w:hanging="360" w:hangingChars="200"/>
      </w:pPr>
    </w:lvl>
  </w:abstractNum>
  <w:abstractNum w:abstractNumId="1">
    <w:nsid w:val="00000002"/>
    <w:multiLevelType w:val="multilevel"/>
    <w:tmpl w:val="00000002"/>
    <w:lvl w:ilvl="0" w:tentative="0">
      <w:start w:val="1"/>
      <w:numFmt w:val="bullet"/>
      <w:pStyle w:val="325"/>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2">
    <w:nsid w:val="00000012"/>
    <w:multiLevelType w:val="singleLevel"/>
    <w:tmpl w:val="00000012"/>
    <w:lvl w:ilvl="0" w:tentative="0">
      <w:start w:val="1"/>
      <w:numFmt w:val="decimal"/>
      <w:pStyle w:val="24"/>
      <w:lvlText w:val="%1."/>
      <w:lvlJc w:val="left"/>
      <w:pPr>
        <w:tabs>
          <w:tab w:val="left" w:pos="1200"/>
        </w:tabs>
        <w:ind w:left="1200" w:hanging="360"/>
      </w:pPr>
    </w:lvl>
  </w:abstractNum>
  <w:abstractNum w:abstractNumId="3">
    <w:nsid w:val="0C827B20"/>
    <w:multiLevelType w:val="multilevel"/>
    <w:tmpl w:val="0C827B20"/>
    <w:lvl w:ilvl="0" w:tentative="0">
      <w:start w:val="1"/>
      <w:numFmt w:val="decimal"/>
      <w:lvlText w:val="(%1)"/>
      <w:lvlJc w:val="left"/>
      <w:pPr>
        <w:tabs>
          <w:tab w:val="left" w:pos="840"/>
        </w:tabs>
        <w:ind w:left="840" w:hanging="360"/>
      </w:pPr>
      <w:rPr>
        <w:rFonts w:hint="eastAsia"/>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4">
    <w:nsid w:val="1B89059A"/>
    <w:multiLevelType w:val="multilevel"/>
    <w:tmpl w:val="1B89059A"/>
    <w:lvl w:ilvl="0" w:tentative="0">
      <w:start w:val="1"/>
      <w:numFmt w:val="decimal"/>
      <w:pStyle w:val="222"/>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3F28AE5C"/>
    <w:multiLevelType w:val="singleLevel"/>
    <w:tmpl w:val="3F28AE5C"/>
    <w:lvl w:ilvl="0" w:tentative="0">
      <w:start w:val="2"/>
      <w:numFmt w:val="chineseCounting"/>
      <w:suff w:val="space"/>
      <w:lvlText w:val="第%1章"/>
      <w:lvlJc w:val="left"/>
      <w:rPr>
        <w:rFonts w:hint="eastAsia"/>
      </w:rPr>
    </w:lvl>
  </w:abstractNum>
  <w:abstractNum w:abstractNumId="6">
    <w:nsid w:val="61C45857"/>
    <w:multiLevelType w:val="multilevel"/>
    <w:tmpl w:val="61C45857"/>
    <w:lvl w:ilvl="0" w:tentative="0">
      <w:start w:val="1"/>
      <w:numFmt w:val="none"/>
      <w:lvlText w:val="一、"/>
      <w:lvlJc w:val="left"/>
      <w:pPr>
        <w:tabs>
          <w:tab w:val="left" w:pos="962"/>
        </w:tabs>
        <w:ind w:left="962" w:hanging="480"/>
      </w:pPr>
      <w:rPr>
        <w:rFonts w:hint="eastAsia"/>
      </w:rPr>
    </w:lvl>
    <w:lvl w:ilvl="1" w:tentative="0">
      <w:start w:val="1"/>
      <w:numFmt w:val="decimal"/>
      <w:lvlText w:val="(%2)"/>
      <w:lvlJc w:val="left"/>
      <w:pPr>
        <w:tabs>
          <w:tab w:val="left" w:pos="1262"/>
        </w:tabs>
        <w:ind w:left="1262" w:hanging="360"/>
      </w:pPr>
      <w:rPr>
        <w:rFonts w:hint="eastAsia"/>
      </w:rPr>
    </w:lvl>
    <w:lvl w:ilvl="2" w:tentative="0">
      <w:start w:val="1"/>
      <w:numFmt w:val="lowerRoman"/>
      <w:lvlText w:val="%3."/>
      <w:lvlJc w:val="right"/>
      <w:pPr>
        <w:tabs>
          <w:tab w:val="left" w:pos="1742"/>
        </w:tabs>
        <w:ind w:left="1742" w:hanging="420"/>
      </w:pPr>
    </w:lvl>
    <w:lvl w:ilvl="3" w:tentative="0">
      <w:start w:val="1"/>
      <w:numFmt w:val="decimal"/>
      <w:lvlText w:val="%4."/>
      <w:lvlJc w:val="left"/>
      <w:pPr>
        <w:tabs>
          <w:tab w:val="left" w:pos="2162"/>
        </w:tabs>
        <w:ind w:left="2162" w:hanging="420"/>
      </w:pPr>
    </w:lvl>
    <w:lvl w:ilvl="4" w:tentative="0">
      <w:start w:val="1"/>
      <w:numFmt w:val="lowerLetter"/>
      <w:lvlText w:val="%5)"/>
      <w:lvlJc w:val="left"/>
      <w:pPr>
        <w:tabs>
          <w:tab w:val="left" w:pos="2582"/>
        </w:tabs>
        <w:ind w:left="2582" w:hanging="420"/>
      </w:pPr>
    </w:lvl>
    <w:lvl w:ilvl="5" w:tentative="0">
      <w:start w:val="1"/>
      <w:numFmt w:val="lowerRoman"/>
      <w:lvlText w:val="%6."/>
      <w:lvlJc w:val="right"/>
      <w:pPr>
        <w:tabs>
          <w:tab w:val="left" w:pos="3002"/>
        </w:tabs>
        <w:ind w:left="3002" w:hanging="420"/>
      </w:pPr>
    </w:lvl>
    <w:lvl w:ilvl="6" w:tentative="0">
      <w:start w:val="1"/>
      <w:numFmt w:val="decimal"/>
      <w:lvlText w:val="%7."/>
      <w:lvlJc w:val="left"/>
      <w:pPr>
        <w:tabs>
          <w:tab w:val="left" w:pos="3422"/>
        </w:tabs>
        <w:ind w:left="3422" w:hanging="420"/>
      </w:pPr>
    </w:lvl>
    <w:lvl w:ilvl="7" w:tentative="0">
      <w:start w:val="1"/>
      <w:numFmt w:val="lowerLetter"/>
      <w:lvlText w:val="%8)"/>
      <w:lvlJc w:val="left"/>
      <w:pPr>
        <w:tabs>
          <w:tab w:val="left" w:pos="3842"/>
        </w:tabs>
        <w:ind w:left="3842" w:hanging="420"/>
      </w:pPr>
    </w:lvl>
    <w:lvl w:ilvl="8" w:tentative="0">
      <w:start w:val="1"/>
      <w:numFmt w:val="lowerRoman"/>
      <w:lvlText w:val="%9."/>
      <w:lvlJc w:val="right"/>
      <w:pPr>
        <w:tabs>
          <w:tab w:val="left" w:pos="4262"/>
        </w:tabs>
        <w:ind w:left="4262" w:hanging="420"/>
      </w:pPr>
    </w:lvl>
  </w:abstractNum>
  <w:abstractNum w:abstractNumId="7">
    <w:nsid w:val="663B4382"/>
    <w:multiLevelType w:val="multilevel"/>
    <w:tmpl w:val="663B4382"/>
    <w:lvl w:ilvl="0" w:tentative="0">
      <w:start w:val="1"/>
      <w:numFmt w:val="decimal"/>
      <w:lvlText w:val="（%1）"/>
      <w:lvlJc w:val="left"/>
      <w:pPr>
        <w:tabs>
          <w:tab w:val="left" w:pos="420"/>
        </w:tabs>
        <w:ind w:left="420" w:hanging="420"/>
      </w:pPr>
    </w:lvl>
    <w:lvl w:ilvl="1" w:tentative="0">
      <w:start w:val="1"/>
      <w:numFmt w:val="decimal"/>
      <w:lvlText w:val="%2)"/>
      <w:lvlJc w:val="left"/>
      <w:pPr>
        <w:tabs>
          <w:tab w:val="left" w:pos="960"/>
        </w:tabs>
        <w:ind w:left="960" w:hanging="420"/>
      </w:pPr>
      <w:rPr>
        <w:color w:val="auto"/>
      </w:rPr>
    </w:lvl>
    <w:lvl w:ilvl="2" w:tentative="0">
      <w:start w:val="1"/>
      <w:numFmt w:val="decimal"/>
      <w:pStyle w:val="342"/>
      <w:lvlText w:val="3.%3"/>
      <w:lvlJc w:val="left"/>
      <w:pPr>
        <w:tabs>
          <w:tab w:val="left" w:pos="0"/>
        </w:tabs>
        <w:ind w:left="454" w:hanging="454"/>
      </w:pPr>
    </w:lvl>
    <w:lvl w:ilvl="3" w:tentative="0">
      <w:start w:val="1"/>
      <w:numFmt w:val="decimal"/>
      <w:lvlText w:val="%4)"/>
      <w:lvlJc w:val="left"/>
      <w:pPr>
        <w:tabs>
          <w:tab w:val="left" w:pos="1680"/>
        </w:tabs>
        <w:ind w:left="1680" w:hanging="420"/>
      </w:pPr>
    </w:lvl>
    <w:lvl w:ilvl="4" w:tentative="0">
      <w:start w:val="1"/>
      <w:numFmt w:val="decimal"/>
      <w:lvlText w:val="%5）"/>
      <w:lvlJc w:val="left"/>
      <w:pPr>
        <w:tabs>
          <w:tab w:val="left" w:pos="2400"/>
        </w:tabs>
        <w:ind w:left="2400" w:hanging="7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7C1349CD"/>
    <w:multiLevelType w:val="multilevel"/>
    <w:tmpl w:val="7C1349CD"/>
    <w:lvl w:ilvl="0" w:tentative="0">
      <w:start w:val="1"/>
      <w:numFmt w:val="decimal"/>
      <w:lvlText w:val="(%1)"/>
      <w:lvlJc w:val="left"/>
      <w:pPr>
        <w:tabs>
          <w:tab w:val="left" w:pos="840"/>
        </w:tabs>
        <w:ind w:left="840" w:hanging="360"/>
      </w:pPr>
      <w:rPr>
        <w:rFonts w:hint="eastAsia"/>
      </w:rPr>
    </w:lvl>
    <w:lvl w:ilvl="1" w:tentative="0">
      <w:start w:val="1"/>
      <w:numFmt w:val="japaneseCounting"/>
      <w:lvlText w:val="%2、"/>
      <w:lvlJc w:val="left"/>
      <w:pPr>
        <w:tabs>
          <w:tab w:val="left" w:pos="1380"/>
        </w:tabs>
        <w:ind w:left="1380" w:hanging="480"/>
      </w:pPr>
      <w:rPr>
        <w:rFonts w:hint="eastAsia"/>
      </w:rPr>
    </w:lvl>
    <w:lvl w:ilvl="2" w:tentative="0">
      <w:start w:val="3"/>
      <w:numFmt w:val="decimal"/>
      <w:lvlText w:val="%3、"/>
      <w:lvlJc w:val="left"/>
      <w:pPr>
        <w:tabs>
          <w:tab w:val="left" w:pos="1680"/>
        </w:tabs>
        <w:ind w:left="1680" w:hanging="360"/>
      </w:pPr>
      <w:rPr>
        <w:rFonts w:hint="eastAsia"/>
      </w:r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num w:numId="1">
    <w:abstractNumId w:val="0"/>
  </w:num>
  <w:num w:numId="2">
    <w:abstractNumId w:val="2"/>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6"/>
  </w:num>
  <w:num w:numId="8">
    <w:abstractNumId w:val="8"/>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E1ZTg2ZDFjNjIzYTlkOGY4N2RhNTQ1ZWI3NzA3MmQifQ=="/>
  </w:docVars>
  <w:rsids>
    <w:rsidRoot w:val="00E84DDF"/>
    <w:rsid w:val="000006D6"/>
    <w:rsid w:val="000007C1"/>
    <w:rsid w:val="00000F42"/>
    <w:rsid w:val="00004784"/>
    <w:rsid w:val="0000497C"/>
    <w:rsid w:val="00004BA8"/>
    <w:rsid w:val="0000547D"/>
    <w:rsid w:val="000054D5"/>
    <w:rsid w:val="00005717"/>
    <w:rsid w:val="0000574F"/>
    <w:rsid w:val="00005FBD"/>
    <w:rsid w:val="0000660E"/>
    <w:rsid w:val="00006C34"/>
    <w:rsid w:val="00007ED6"/>
    <w:rsid w:val="00007FD8"/>
    <w:rsid w:val="00010B37"/>
    <w:rsid w:val="00011484"/>
    <w:rsid w:val="00012B75"/>
    <w:rsid w:val="00012D19"/>
    <w:rsid w:val="0001481D"/>
    <w:rsid w:val="00015250"/>
    <w:rsid w:val="000153B6"/>
    <w:rsid w:val="0001696B"/>
    <w:rsid w:val="00016EFA"/>
    <w:rsid w:val="00017078"/>
    <w:rsid w:val="00017139"/>
    <w:rsid w:val="00020463"/>
    <w:rsid w:val="0002203B"/>
    <w:rsid w:val="000236DE"/>
    <w:rsid w:val="000243BD"/>
    <w:rsid w:val="0002453B"/>
    <w:rsid w:val="00025095"/>
    <w:rsid w:val="00026117"/>
    <w:rsid w:val="0002734E"/>
    <w:rsid w:val="000279E1"/>
    <w:rsid w:val="00030323"/>
    <w:rsid w:val="000306C5"/>
    <w:rsid w:val="00030781"/>
    <w:rsid w:val="00033A3A"/>
    <w:rsid w:val="00034DFB"/>
    <w:rsid w:val="000350DF"/>
    <w:rsid w:val="0003593F"/>
    <w:rsid w:val="00037FBA"/>
    <w:rsid w:val="00040353"/>
    <w:rsid w:val="000406D5"/>
    <w:rsid w:val="0004112D"/>
    <w:rsid w:val="000442D0"/>
    <w:rsid w:val="000448B0"/>
    <w:rsid w:val="00044A78"/>
    <w:rsid w:val="00046C1A"/>
    <w:rsid w:val="00046F7F"/>
    <w:rsid w:val="0004736C"/>
    <w:rsid w:val="0004775A"/>
    <w:rsid w:val="0005038C"/>
    <w:rsid w:val="000512FA"/>
    <w:rsid w:val="0005189A"/>
    <w:rsid w:val="00051AFD"/>
    <w:rsid w:val="00051C7F"/>
    <w:rsid w:val="00052543"/>
    <w:rsid w:val="00052A69"/>
    <w:rsid w:val="00053E79"/>
    <w:rsid w:val="00054F19"/>
    <w:rsid w:val="00055974"/>
    <w:rsid w:val="00056BD6"/>
    <w:rsid w:val="000574E3"/>
    <w:rsid w:val="0006115B"/>
    <w:rsid w:val="0006636F"/>
    <w:rsid w:val="0006714A"/>
    <w:rsid w:val="00067695"/>
    <w:rsid w:val="000703C3"/>
    <w:rsid w:val="0007121F"/>
    <w:rsid w:val="000721E0"/>
    <w:rsid w:val="00072A26"/>
    <w:rsid w:val="00072C4D"/>
    <w:rsid w:val="00073A40"/>
    <w:rsid w:val="00073B10"/>
    <w:rsid w:val="000775ED"/>
    <w:rsid w:val="000776C8"/>
    <w:rsid w:val="00080C78"/>
    <w:rsid w:val="0008153D"/>
    <w:rsid w:val="0008271D"/>
    <w:rsid w:val="00082751"/>
    <w:rsid w:val="000854C7"/>
    <w:rsid w:val="000860E4"/>
    <w:rsid w:val="000864E4"/>
    <w:rsid w:val="00086AE8"/>
    <w:rsid w:val="00087AF2"/>
    <w:rsid w:val="00090646"/>
    <w:rsid w:val="000908F0"/>
    <w:rsid w:val="00094180"/>
    <w:rsid w:val="00094F35"/>
    <w:rsid w:val="0009506D"/>
    <w:rsid w:val="00096C10"/>
    <w:rsid w:val="00097418"/>
    <w:rsid w:val="000A0A78"/>
    <w:rsid w:val="000A0B92"/>
    <w:rsid w:val="000A0DAA"/>
    <w:rsid w:val="000A1F84"/>
    <w:rsid w:val="000A2D6C"/>
    <w:rsid w:val="000A4D2D"/>
    <w:rsid w:val="000A4E11"/>
    <w:rsid w:val="000A5264"/>
    <w:rsid w:val="000A7432"/>
    <w:rsid w:val="000B0171"/>
    <w:rsid w:val="000B12FB"/>
    <w:rsid w:val="000B1905"/>
    <w:rsid w:val="000B24C0"/>
    <w:rsid w:val="000B3409"/>
    <w:rsid w:val="000B38B1"/>
    <w:rsid w:val="000B39B4"/>
    <w:rsid w:val="000B3E91"/>
    <w:rsid w:val="000B50F8"/>
    <w:rsid w:val="000B5C0B"/>
    <w:rsid w:val="000B62CB"/>
    <w:rsid w:val="000B6594"/>
    <w:rsid w:val="000B679E"/>
    <w:rsid w:val="000C062A"/>
    <w:rsid w:val="000C0B77"/>
    <w:rsid w:val="000C13B5"/>
    <w:rsid w:val="000C1DC3"/>
    <w:rsid w:val="000C1FDC"/>
    <w:rsid w:val="000C2B91"/>
    <w:rsid w:val="000C2E3C"/>
    <w:rsid w:val="000C4769"/>
    <w:rsid w:val="000C5926"/>
    <w:rsid w:val="000C5C4C"/>
    <w:rsid w:val="000C68AF"/>
    <w:rsid w:val="000D0D9C"/>
    <w:rsid w:val="000D0F7D"/>
    <w:rsid w:val="000D1611"/>
    <w:rsid w:val="000D20F5"/>
    <w:rsid w:val="000D2925"/>
    <w:rsid w:val="000D2CC2"/>
    <w:rsid w:val="000D355A"/>
    <w:rsid w:val="000D730E"/>
    <w:rsid w:val="000D7584"/>
    <w:rsid w:val="000D7946"/>
    <w:rsid w:val="000D79AD"/>
    <w:rsid w:val="000D7FE8"/>
    <w:rsid w:val="000E026B"/>
    <w:rsid w:val="000E02B0"/>
    <w:rsid w:val="000E0887"/>
    <w:rsid w:val="000E130D"/>
    <w:rsid w:val="000E1367"/>
    <w:rsid w:val="000E17E0"/>
    <w:rsid w:val="000E36F3"/>
    <w:rsid w:val="000E4311"/>
    <w:rsid w:val="000E6EA1"/>
    <w:rsid w:val="000E7016"/>
    <w:rsid w:val="000F00D5"/>
    <w:rsid w:val="000F06F5"/>
    <w:rsid w:val="000F0F10"/>
    <w:rsid w:val="000F11B9"/>
    <w:rsid w:val="000F1D13"/>
    <w:rsid w:val="000F2856"/>
    <w:rsid w:val="000F2E81"/>
    <w:rsid w:val="000F32C5"/>
    <w:rsid w:val="000F34A9"/>
    <w:rsid w:val="000F3E6E"/>
    <w:rsid w:val="000F3F81"/>
    <w:rsid w:val="000F45B8"/>
    <w:rsid w:val="000F46D5"/>
    <w:rsid w:val="000F5C07"/>
    <w:rsid w:val="00100C8B"/>
    <w:rsid w:val="00101883"/>
    <w:rsid w:val="001032A9"/>
    <w:rsid w:val="00103A0A"/>
    <w:rsid w:val="00103EBB"/>
    <w:rsid w:val="0010432C"/>
    <w:rsid w:val="0010475B"/>
    <w:rsid w:val="001048CE"/>
    <w:rsid w:val="00104BF1"/>
    <w:rsid w:val="00105407"/>
    <w:rsid w:val="0010593F"/>
    <w:rsid w:val="00105D08"/>
    <w:rsid w:val="00105F41"/>
    <w:rsid w:val="00106196"/>
    <w:rsid w:val="00106325"/>
    <w:rsid w:val="00107334"/>
    <w:rsid w:val="00107925"/>
    <w:rsid w:val="00107B1A"/>
    <w:rsid w:val="00107F4C"/>
    <w:rsid w:val="00110001"/>
    <w:rsid w:val="0011069B"/>
    <w:rsid w:val="0011115C"/>
    <w:rsid w:val="0011147B"/>
    <w:rsid w:val="001126B1"/>
    <w:rsid w:val="001126E5"/>
    <w:rsid w:val="0011274A"/>
    <w:rsid w:val="001128B0"/>
    <w:rsid w:val="00114A2E"/>
    <w:rsid w:val="00115B11"/>
    <w:rsid w:val="0011668B"/>
    <w:rsid w:val="001168E1"/>
    <w:rsid w:val="00117D33"/>
    <w:rsid w:val="00120F7B"/>
    <w:rsid w:val="00121288"/>
    <w:rsid w:val="00121B6F"/>
    <w:rsid w:val="0012666B"/>
    <w:rsid w:val="001267AA"/>
    <w:rsid w:val="00126875"/>
    <w:rsid w:val="0012694D"/>
    <w:rsid w:val="00126FC5"/>
    <w:rsid w:val="00130192"/>
    <w:rsid w:val="001301C5"/>
    <w:rsid w:val="00130725"/>
    <w:rsid w:val="00131B61"/>
    <w:rsid w:val="00131E3E"/>
    <w:rsid w:val="00132B8E"/>
    <w:rsid w:val="00133278"/>
    <w:rsid w:val="0013352C"/>
    <w:rsid w:val="00134008"/>
    <w:rsid w:val="001341DF"/>
    <w:rsid w:val="001361FE"/>
    <w:rsid w:val="00136C35"/>
    <w:rsid w:val="0014246C"/>
    <w:rsid w:val="00142EBC"/>
    <w:rsid w:val="00142F5E"/>
    <w:rsid w:val="001437F0"/>
    <w:rsid w:val="00144BEA"/>
    <w:rsid w:val="0014503B"/>
    <w:rsid w:val="00145AAF"/>
    <w:rsid w:val="001463AC"/>
    <w:rsid w:val="00146400"/>
    <w:rsid w:val="0014725B"/>
    <w:rsid w:val="00147E87"/>
    <w:rsid w:val="00150673"/>
    <w:rsid w:val="00150936"/>
    <w:rsid w:val="00150C28"/>
    <w:rsid w:val="00151420"/>
    <w:rsid w:val="00151891"/>
    <w:rsid w:val="00152B1B"/>
    <w:rsid w:val="00152E79"/>
    <w:rsid w:val="00154D37"/>
    <w:rsid w:val="0015546E"/>
    <w:rsid w:val="00155FF4"/>
    <w:rsid w:val="001562FF"/>
    <w:rsid w:val="001568BA"/>
    <w:rsid w:val="00157202"/>
    <w:rsid w:val="001649F3"/>
    <w:rsid w:val="00164AF6"/>
    <w:rsid w:val="00166BAB"/>
    <w:rsid w:val="001670D2"/>
    <w:rsid w:val="00167282"/>
    <w:rsid w:val="00167E16"/>
    <w:rsid w:val="001702BE"/>
    <w:rsid w:val="00170404"/>
    <w:rsid w:val="00171A20"/>
    <w:rsid w:val="001737F8"/>
    <w:rsid w:val="00175C43"/>
    <w:rsid w:val="00175F92"/>
    <w:rsid w:val="00176C72"/>
    <w:rsid w:val="00176EA3"/>
    <w:rsid w:val="00176F39"/>
    <w:rsid w:val="00177C05"/>
    <w:rsid w:val="00180AC1"/>
    <w:rsid w:val="00182295"/>
    <w:rsid w:val="00182317"/>
    <w:rsid w:val="00182995"/>
    <w:rsid w:val="0018332B"/>
    <w:rsid w:val="0018379A"/>
    <w:rsid w:val="00183CDF"/>
    <w:rsid w:val="00183F6F"/>
    <w:rsid w:val="001845A5"/>
    <w:rsid w:val="00184BFA"/>
    <w:rsid w:val="00185F77"/>
    <w:rsid w:val="00186E75"/>
    <w:rsid w:val="001870B8"/>
    <w:rsid w:val="00187113"/>
    <w:rsid w:val="00187732"/>
    <w:rsid w:val="00187E57"/>
    <w:rsid w:val="0019023B"/>
    <w:rsid w:val="00190726"/>
    <w:rsid w:val="001911AC"/>
    <w:rsid w:val="001920B1"/>
    <w:rsid w:val="00192241"/>
    <w:rsid w:val="001933FB"/>
    <w:rsid w:val="00193A4E"/>
    <w:rsid w:val="001956D9"/>
    <w:rsid w:val="00196739"/>
    <w:rsid w:val="001972CF"/>
    <w:rsid w:val="001976F2"/>
    <w:rsid w:val="00197893"/>
    <w:rsid w:val="00197A93"/>
    <w:rsid w:val="001A0209"/>
    <w:rsid w:val="001A274C"/>
    <w:rsid w:val="001A3566"/>
    <w:rsid w:val="001A3635"/>
    <w:rsid w:val="001A3837"/>
    <w:rsid w:val="001A39AA"/>
    <w:rsid w:val="001A3E31"/>
    <w:rsid w:val="001A4B28"/>
    <w:rsid w:val="001A4DEA"/>
    <w:rsid w:val="001A4F43"/>
    <w:rsid w:val="001A6324"/>
    <w:rsid w:val="001A6466"/>
    <w:rsid w:val="001A6E3E"/>
    <w:rsid w:val="001A7E6D"/>
    <w:rsid w:val="001B0006"/>
    <w:rsid w:val="001B0C96"/>
    <w:rsid w:val="001B34DA"/>
    <w:rsid w:val="001B3C76"/>
    <w:rsid w:val="001B42D3"/>
    <w:rsid w:val="001B4F93"/>
    <w:rsid w:val="001B5272"/>
    <w:rsid w:val="001B6187"/>
    <w:rsid w:val="001B735B"/>
    <w:rsid w:val="001B7E2B"/>
    <w:rsid w:val="001C16A8"/>
    <w:rsid w:val="001C23BE"/>
    <w:rsid w:val="001C3759"/>
    <w:rsid w:val="001C4D28"/>
    <w:rsid w:val="001C609E"/>
    <w:rsid w:val="001C70B8"/>
    <w:rsid w:val="001D1850"/>
    <w:rsid w:val="001D1FF0"/>
    <w:rsid w:val="001D229A"/>
    <w:rsid w:val="001D2E59"/>
    <w:rsid w:val="001D31CB"/>
    <w:rsid w:val="001D33E0"/>
    <w:rsid w:val="001D44E2"/>
    <w:rsid w:val="001D53A3"/>
    <w:rsid w:val="001D5A62"/>
    <w:rsid w:val="001D66E6"/>
    <w:rsid w:val="001D76F7"/>
    <w:rsid w:val="001D7F61"/>
    <w:rsid w:val="001E09D9"/>
    <w:rsid w:val="001E0ABA"/>
    <w:rsid w:val="001E0D12"/>
    <w:rsid w:val="001E1313"/>
    <w:rsid w:val="001E18BB"/>
    <w:rsid w:val="001E24E8"/>
    <w:rsid w:val="001E2D73"/>
    <w:rsid w:val="001E402D"/>
    <w:rsid w:val="001E48D2"/>
    <w:rsid w:val="001E4D05"/>
    <w:rsid w:val="001E57B9"/>
    <w:rsid w:val="001F0045"/>
    <w:rsid w:val="001F0E4E"/>
    <w:rsid w:val="001F184B"/>
    <w:rsid w:val="001F4807"/>
    <w:rsid w:val="001F601C"/>
    <w:rsid w:val="001F670D"/>
    <w:rsid w:val="001F7840"/>
    <w:rsid w:val="001F7A46"/>
    <w:rsid w:val="002026D3"/>
    <w:rsid w:val="00202CF4"/>
    <w:rsid w:val="00203CD7"/>
    <w:rsid w:val="002044AA"/>
    <w:rsid w:val="002069C1"/>
    <w:rsid w:val="002071AE"/>
    <w:rsid w:val="002078F2"/>
    <w:rsid w:val="00207A5D"/>
    <w:rsid w:val="00207D92"/>
    <w:rsid w:val="00212A79"/>
    <w:rsid w:val="00212CAF"/>
    <w:rsid w:val="00213398"/>
    <w:rsid w:val="00213E5D"/>
    <w:rsid w:val="00213FD1"/>
    <w:rsid w:val="00214B2F"/>
    <w:rsid w:val="00216C72"/>
    <w:rsid w:val="00216DE6"/>
    <w:rsid w:val="00217D41"/>
    <w:rsid w:val="00220052"/>
    <w:rsid w:val="002202BA"/>
    <w:rsid w:val="00221369"/>
    <w:rsid w:val="00225021"/>
    <w:rsid w:val="0022579A"/>
    <w:rsid w:val="00225BCD"/>
    <w:rsid w:val="00226154"/>
    <w:rsid w:val="00226B69"/>
    <w:rsid w:val="00226B89"/>
    <w:rsid w:val="00226CEA"/>
    <w:rsid w:val="00230DF5"/>
    <w:rsid w:val="002322A0"/>
    <w:rsid w:val="00232874"/>
    <w:rsid w:val="0023390A"/>
    <w:rsid w:val="002342DE"/>
    <w:rsid w:val="002350EA"/>
    <w:rsid w:val="002355B4"/>
    <w:rsid w:val="002357C6"/>
    <w:rsid w:val="00236BBA"/>
    <w:rsid w:val="002375F9"/>
    <w:rsid w:val="00241126"/>
    <w:rsid w:val="00241335"/>
    <w:rsid w:val="00241E77"/>
    <w:rsid w:val="00242494"/>
    <w:rsid w:val="002438D5"/>
    <w:rsid w:val="00245B47"/>
    <w:rsid w:val="00245D41"/>
    <w:rsid w:val="0024782E"/>
    <w:rsid w:val="002507F6"/>
    <w:rsid w:val="00254E99"/>
    <w:rsid w:val="00254FFD"/>
    <w:rsid w:val="00256A23"/>
    <w:rsid w:val="00260A56"/>
    <w:rsid w:val="00260C34"/>
    <w:rsid w:val="0026153F"/>
    <w:rsid w:val="002616BB"/>
    <w:rsid w:val="00262834"/>
    <w:rsid w:val="00263AD4"/>
    <w:rsid w:val="002642F6"/>
    <w:rsid w:val="00264513"/>
    <w:rsid w:val="002650BA"/>
    <w:rsid w:val="002661C0"/>
    <w:rsid w:val="002675D7"/>
    <w:rsid w:val="00267D03"/>
    <w:rsid w:val="00270195"/>
    <w:rsid w:val="002713BB"/>
    <w:rsid w:val="00272B28"/>
    <w:rsid w:val="00272CCE"/>
    <w:rsid w:val="00272FC5"/>
    <w:rsid w:val="0027384F"/>
    <w:rsid w:val="00273FB9"/>
    <w:rsid w:val="002740A4"/>
    <w:rsid w:val="002741D8"/>
    <w:rsid w:val="002744BA"/>
    <w:rsid w:val="002745F8"/>
    <w:rsid w:val="00276DEC"/>
    <w:rsid w:val="00284528"/>
    <w:rsid w:val="00285B7F"/>
    <w:rsid w:val="00286666"/>
    <w:rsid w:val="00286DF7"/>
    <w:rsid w:val="00287A67"/>
    <w:rsid w:val="00290F46"/>
    <w:rsid w:val="00291947"/>
    <w:rsid w:val="00292C6A"/>
    <w:rsid w:val="00293AD5"/>
    <w:rsid w:val="00293EA7"/>
    <w:rsid w:val="00294D16"/>
    <w:rsid w:val="002953A4"/>
    <w:rsid w:val="00295934"/>
    <w:rsid w:val="00295EA4"/>
    <w:rsid w:val="00296275"/>
    <w:rsid w:val="00296D8D"/>
    <w:rsid w:val="002A0D16"/>
    <w:rsid w:val="002A3318"/>
    <w:rsid w:val="002A4353"/>
    <w:rsid w:val="002A472B"/>
    <w:rsid w:val="002A5162"/>
    <w:rsid w:val="002A552D"/>
    <w:rsid w:val="002A5D1A"/>
    <w:rsid w:val="002A5F67"/>
    <w:rsid w:val="002A6895"/>
    <w:rsid w:val="002A7584"/>
    <w:rsid w:val="002B0600"/>
    <w:rsid w:val="002B0E03"/>
    <w:rsid w:val="002B135E"/>
    <w:rsid w:val="002B1D35"/>
    <w:rsid w:val="002B211B"/>
    <w:rsid w:val="002B484C"/>
    <w:rsid w:val="002B516C"/>
    <w:rsid w:val="002B542F"/>
    <w:rsid w:val="002C0DDE"/>
    <w:rsid w:val="002C12E2"/>
    <w:rsid w:val="002C14A7"/>
    <w:rsid w:val="002C197B"/>
    <w:rsid w:val="002C23E2"/>
    <w:rsid w:val="002C29A7"/>
    <w:rsid w:val="002C2B4F"/>
    <w:rsid w:val="002C40A7"/>
    <w:rsid w:val="002C52E1"/>
    <w:rsid w:val="002C5F0E"/>
    <w:rsid w:val="002C6775"/>
    <w:rsid w:val="002C6E91"/>
    <w:rsid w:val="002C7659"/>
    <w:rsid w:val="002D14EF"/>
    <w:rsid w:val="002D15FB"/>
    <w:rsid w:val="002D1D7C"/>
    <w:rsid w:val="002D2808"/>
    <w:rsid w:val="002D2C22"/>
    <w:rsid w:val="002D2C78"/>
    <w:rsid w:val="002D33A0"/>
    <w:rsid w:val="002D362E"/>
    <w:rsid w:val="002D3F64"/>
    <w:rsid w:val="002D4894"/>
    <w:rsid w:val="002D4E17"/>
    <w:rsid w:val="002D63CC"/>
    <w:rsid w:val="002D788C"/>
    <w:rsid w:val="002D7E49"/>
    <w:rsid w:val="002E0C3F"/>
    <w:rsid w:val="002E0FA0"/>
    <w:rsid w:val="002E10FD"/>
    <w:rsid w:val="002E2AC7"/>
    <w:rsid w:val="002E338E"/>
    <w:rsid w:val="002E3FEC"/>
    <w:rsid w:val="002E4221"/>
    <w:rsid w:val="002E5B56"/>
    <w:rsid w:val="002E71E5"/>
    <w:rsid w:val="002E76B2"/>
    <w:rsid w:val="002F0EA5"/>
    <w:rsid w:val="002F206C"/>
    <w:rsid w:val="002F38FA"/>
    <w:rsid w:val="002F428C"/>
    <w:rsid w:val="002F45F8"/>
    <w:rsid w:val="002F4B33"/>
    <w:rsid w:val="002F4D31"/>
    <w:rsid w:val="002F563F"/>
    <w:rsid w:val="002F5A6D"/>
    <w:rsid w:val="002F709B"/>
    <w:rsid w:val="002F719A"/>
    <w:rsid w:val="002F72C4"/>
    <w:rsid w:val="002F7FF0"/>
    <w:rsid w:val="003007E9"/>
    <w:rsid w:val="003018D6"/>
    <w:rsid w:val="00302B2D"/>
    <w:rsid w:val="00302E28"/>
    <w:rsid w:val="0030422F"/>
    <w:rsid w:val="003045DB"/>
    <w:rsid w:val="00304644"/>
    <w:rsid w:val="00304707"/>
    <w:rsid w:val="00304DC3"/>
    <w:rsid w:val="0030521F"/>
    <w:rsid w:val="0030656D"/>
    <w:rsid w:val="00306CAE"/>
    <w:rsid w:val="003106B2"/>
    <w:rsid w:val="0031088C"/>
    <w:rsid w:val="00310C53"/>
    <w:rsid w:val="00310E84"/>
    <w:rsid w:val="00311441"/>
    <w:rsid w:val="003118B2"/>
    <w:rsid w:val="00312B0D"/>
    <w:rsid w:val="00313044"/>
    <w:rsid w:val="003137C3"/>
    <w:rsid w:val="00315A20"/>
    <w:rsid w:val="00316739"/>
    <w:rsid w:val="00316D59"/>
    <w:rsid w:val="0031772D"/>
    <w:rsid w:val="00321069"/>
    <w:rsid w:val="003223FE"/>
    <w:rsid w:val="00322503"/>
    <w:rsid w:val="00322C66"/>
    <w:rsid w:val="00322EB8"/>
    <w:rsid w:val="0032376C"/>
    <w:rsid w:val="00323E8C"/>
    <w:rsid w:val="00324B62"/>
    <w:rsid w:val="00324CC5"/>
    <w:rsid w:val="00325616"/>
    <w:rsid w:val="00325C5B"/>
    <w:rsid w:val="00326832"/>
    <w:rsid w:val="00330293"/>
    <w:rsid w:val="0033126E"/>
    <w:rsid w:val="00331FB8"/>
    <w:rsid w:val="00333C2A"/>
    <w:rsid w:val="00333F71"/>
    <w:rsid w:val="0033496D"/>
    <w:rsid w:val="00334D8F"/>
    <w:rsid w:val="00334DC6"/>
    <w:rsid w:val="00335669"/>
    <w:rsid w:val="00335F6A"/>
    <w:rsid w:val="00336DF8"/>
    <w:rsid w:val="00340D54"/>
    <w:rsid w:val="003427F1"/>
    <w:rsid w:val="003434E6"/>
    <w:rsid w:val="0034354F"/>
    <w:rsid w:val="0034428A"/>
    <w:rsid w:val="00345E61"/>
    <w:rsid w:val="00346B1D"/>
    <w:rsid w:val="00347729"/>
    <w:rsid w:val="0035037F"/>
    <w:rsid w:val="003504DD"/>
    <w:rsid w:val="003505FB"/>
    <w:rsid w:val="00351B35"/>
    <w:rsid w:val="00353080"/>
    <w:rsid w:val="00353FCF"/>
    <w:rsid w:val="003548CC"/>
    <w:rsid w:val="00354D50"/>
    <w:rsid w:val="00354E8A"/>
    <w:rsid w:val="003570D2"/>
    <w:rsid w:val="00357542"/>
    <w:rsid w:val="0035769C"/>
    <w:rsid w:val="00357C73"/>
    <w:rsid w:val="00357E24"/>
    <w:rsid w:val="00360D62"/>
    <w:rsid w:val="003626AC"/>
    <w:rsid w:val="00363199"/>
    <w:rsid w:val="003647F1"/>
    <w:rsid w:val="003655B2"/>
    <w:rsid w:val="003656B2"/>
    <w:rsid w:val="00365797"/>
    <w:rsid w:val="003666B0"/>
    <w:rsid w:val="003679D2"/>
    <w:rsid w:val="00370BAC"/>
    <w:rsid w:val="0037228F"/>
    <w:rsid w:val="00372AB4"/>
    <w:rsid w:val="00373016"/>
    <w:rsid w:val="00373997"/>
    <w:rsid w:val="003745E4"/>
    <w:rsid w:val="0037460A"/>
    <w:rsid w:val="00374B58"/>
    <w:rsid w:val="00374DD4"/>
    <w:rsid w:val="00375B22"/>
    <w:rsid w:val="00375F24"/>
    <w:rsid w:val="00376278"/>
    <w:rsid w:val="00376536"/>
    <w:rsid w:val="00376572"/>
    <w:rsid w:val="00376ADE"/>
    <w:rsid w:val="00377E6C"/>
    <w:rsid w:val="0038146F"/>
    <w:rsid w:val="003815A9"/>
    <w:rsid w:val="0038164B"/>
    <w:rsid w:val="00381AD5"/>
    <w:rsid w:val="00382291"/>
    <w:rsid w:val="0038307F"/>
    <w:rsid w:val="0038399A"/>
    <w:rsid w:val="0038417A"/>
    <w:rsid w:val="00384C13"/>
    <w:rsid w:val="00385B77"/>
    <w:rsid w:val="00385BD6"/>
    <w:rsid w:val="00385CDD"/>
    <w:rsid w:val="00386763"/>
    <w:rsid w:val="00386C7C"/>
    <w:rsid w:val="003871C9"/>
    <w:rsid w:val="00390B41"/>
    <w:rsid w:val="00391288"/>
    <w:rsid w:val="00391D08"/>
    <w:rsid w:val="003938F1"/>
    <w:rsid w:val="00394F1D"/>
    <w:rsid w:val="003954C5"/>
    <w:rsid w:val="003960BB"/>
    <w:rsid w:val="00397F80"/>
    <w:rsid w:val="003A035E"/>
    <w:rsid w:val="003A0B0E"/>
    <w:rsid w:val="003A0FCD"/>
    <w:rsid w:val="003A1691"/>
    <w:rsid w:val="003A246F"/>
    <w:rsid w:val="003A2985"/>
    <w:rsid w:val="003A2BA8"/>
    <w:rsid w:val="003A313F"/>
    <w:rsid w:val="003A4CD7"/>
    <w:rsid w:val="003A5AE9"/>
    <w:rsid w:val="003A72EF"/>
    <w:rsid w:val="003A7F9F"/>
    <w:rsid w:val="003B0176"/>
    <w:rsid w:val="003B026E"/>
    <w:rsid w:val="003B0423"/>
    <w:rsid w:val="003B0721"/>
    <w:rsid w:val="003B0C7A"/>
    <w:rsid w:val="003B287D"/>
    <w:rsid w:val="003B389A"/>
    <w:rsid w:val="003B4317"/>
    <w:rsid w:val="003B60B2"/>
    <w:rsid w:val="003B79C7"/>
    <w:rsid w:val="003B7FB4"/>
    <w:rsid w:val="003C0207"/>
    <w:rsid w:val="003C083E"/>
    <w:rsid w:val="003C3DB1"/>
    <w:rsid w:val="003C3E45"/>
    <w:rsid w:val="003C4CFB"/>
    <w:rsid w:val="003C56F0"/>
    <w:rsid w:val="003C6DE8"/>
    <w:rsid w:val="003C6E2D"/>
    <w:rsid w:val="003D0059"/>
    <w:rsid w:val="003D0186"/>
    <w:rsid w:val="003D37BA"/>
    <w:rsid w:val="003D42BB"/>
    <w:rsid w:val="003D5151"/>
    <w:rsid w:val="003D53BA"/>
    <w:rsid w:val="003D7B8E"/>
    <w:rsid w:val="003E0424"/>
    <w:rsid w:val="003E195F"/>
    <w:rsid w:val="003E1F35"/>
    <w:rsid w:val="003E21B2"/>
    <w:rsid w:val="003E4AE5"/>
    <w:rsid w:val="003E598E"/>
    <w:rsid w:val="003E6061"/>
    <w:rsid w:val="003E6471"/>
    <w:rsid w:val="003E6723"/>
    <w:rsid w:val="003E733B"/>
    <w:rsid w:val="003E7CF4"/>
    <w:rsid w:val="003F01A5"/>
    <w:rsid w:val="003F0418"/>
    <w:rsid w:val="003F0493"/>
    <w:rsid w:val="003F1060"/>
    <w:rsid w:val="003F2CDA"/>
    <w:rsid w:val="003F2DCC"/>
    <w:rsid w:val="003F3384"/>
    <w:rsid w:val="003F3BF4"/>
    <w:rsid w:val="003F4C5E"/>
    <w:rsid w:val="003F4E65"/>
    <w:rsid w:val="003F543A"/>
    <w:rsid w:val="00400F02"/>
    <w:rsid w:val="00401170"/>
    <w:rsid w:val="0040129F"/>
    <w:rsid w:val="00402720"/>
    <w:rsid w:val="00403909"/>
    <w:rsid w:val="004039A3"/>
    <w:rsid w:val="00404E4B"/>
    <w:rsid w:val="00405A57"/>
    <w:rsid w:val="00410716"/>
    <w:rsid w:val="004109CE"/>
    <w:rsid w:val="00413902"/>
    <w:rsid w:val="004145DD"/>
    <w:rsid w:val="0041595B"/>
    <w:rsid w:val="0041601C"/>
    <w:rsid w:val="00416032"/>
    <w:rsid w:val="004168EC"/>
    <w:rsid w:val="00417A77"/>
    <w:rsid w:val="00417B61"/>
    <w:rsid w:val="00420D19"/>
    <w:rsid w:val="0042167D"/>
    <w:rsid w:val="00421D0F"/>
    <w:rsid w:val="00422A39"/>
    <w:rsid w:val="00422C25"/>
    <w:rsid w:val="00423295"/>
    <w:rsid w:val="00424242"/>
    <w:rsid w:val="00425923"/>
    <w:rsid w:val="00425F86"/>
    <w:rsid w:val="00426D91"/>
    <w:rsid w:val="004301DB"/>
    <w:rsid w:val="004307C4"/>
    <w:rsid w:val="00430B68"/>
    <w:rsid w:val="0043326A"/>
    <w:rsid w:val="004334A8"/>
    <w:rsid w:val="0043379D"/>
    <w:rsid w:val="00433967"/>
    <w:rsid w:val="004345D2"/>
    <w:rsid w:val="004356AB"/>
    <w:rsid w:val="00435F42"/>
    <w:rsid w:val="004369F3"/>
    <w:rsid w:val="00436C95"/>
    <w:rsid w:val="00437A5C"/>
    <w:rsid w:val="004406B4"/>
    <w:rsid w:val="00440FC0"/>
    <w:rsid w:val="004432DF"/>
    <w:rsid w:val="0044392C"/>
    <w:rsid w:val="00443988"/>
    <w:rsid w:val="00443A0B"/>
    <w:rsid w:val="00444543"/>
    <w:rsid w:val="00444C89"/>
    <w:rsid w:val="00444F33"/>
    <w:rsid w:val="00445006"/>
    <w:rsid w:val="00446905"/>
    <w:rsid w:val="00446D7E"/>
    <w:rsid w:val="00447274"/>
    <w:rsid w:val="00447482"/>
    <w:rsid w:val="00450827"/>
    <w:rsid w:val="00451C24"/>
    <w:rsid w:val="004524FB"/>
    <w:rsid w:val="004532B1"/>
    <w:rsid w:val="004554FA"/>
    <w:rsid w:val="00455E37"/>
    <w:rsid w:val="00456069"/>
    <w:rsid w:val="004574E8"/>
    <w:rsid w:val="004603FA"/>
    <w:rsid w:val="00462725"/>
    <w:rsid w:val="00464C97"/>
    <w:rsid w:val="004654E4"/>
    <w:rsid w:val="004657C1"/>
    <w:rsid w:val="0047031C"/>
    <w:rsid w:val="00470E06"/>
    <w:rsid w:val="00470EBE"/>
    <w:rsid w:val="0047107B"/>
    <w:rsid w:val="0047137E"/>
    <w:rsid w:val="00471DB9"/>
    <w:rsid w:val="00472697"/>
    <w:rsid w:val="004764A5"/>
    <w:rsid w:val="004768D1"/>
    <w:rsid w:val="00477B2E"/>
    <w:rsid w:val="00477E47"/>
    <w:rsid w:val="00477F1B"/>
    <w:rsid w:val="0048081A"/>
    <w:rsid w:val="004818D7"/>
    <w:rsid w:val="00481F32"/>
    <w:rsid w:val="004844E1"/>
    <w:rsid w:val="00484B85"/>
    <w:rsid w:val="00484C3C"/>
    <w:rsid w:val="00485E3D"/>
    <w:rsid w:val="00486E0A"/>
    <w:rsid w:val="00487E10"/>
    <w:rsid w:val="00490EF9"/>
    <w:rsid w:val="004910D9"/>
    <w:rsid w:val="00492469"/>
    <w:rsid w:val="00492A0F"/>
    <w:rsid w:val="004932AE"/>
    <w:rsid w:val="004955CF"/>
    <w:rsid w:val="004960BD"/>
    <w:rsid w:val="004979A6"/>
    <w:rsid w:val="004A0C68"/>
    <w:rsid w:val="004A2BFB"/>
    <w:rsid w:val="004A378C"/>
    <w:rsid w:val="004A395D"/>
    <w:rsid w:val="004A3BC9"/>
    <w:rsid w:val="004A5911"/>
    <w:rsid w:val="004A7168"/>
    <w:rsid w:val="004A77E1"/>
    <w:rsid w:val="004A7FDB"/>
    <w:rsid w:val="004B020C"/>
    <w:rsid w:val="004B16BC"/>
    <w:rsid w:val="004B1A61"/>
    <w:rsid w:val="004B260E"/>
    <w:rsid w:val="004B2818"/>
    <w:rsid w:val="004B3CE5"/>
    <w:rsid w:val="004B5123"/>
    <w:rsid w:val="004B5842"/>
    <w:rsid w:val="004B5A2E"/>
    <w:rsid w:val="004B788C"/>
    <w:rsid w:val="004B7DEB"/>
    <w:rsid w:val="004B7EAD"/>
    <w:rsid w:val="004C05AB"/>
    <w:rsid w:val="004C06F0"/>
    <w:rsid w:val="004C0BBB"/>
    <w:rsid w:val="004C1841"/>
    <w:rsid w:val="004C1A3E"/>
    <w:rsid w:val="004C1E2D"/>
    <w:rsid w:val="004C215D"/>
    <w:rsid w:val="004C39A8"/>
    <w:rsid w:val="004C39C6"/>
    <w:rsid w:val="004C3C01"/>
    <w:rsid w:val="004C3F76"/>
    <w:rsid w:val="004C4125"/>
    <w:rsid w:val="004C4FEC"/>
    <w:rsid w:val="004C5590"/>
    <w:rsid w:val="004C5F35"/>
    <w:rsid w:val="004C6B47"/>
    <w:rsid w:val="004D1141"/>
    <w:rsid w:val="004D177F"/>
    <w:rsid w:val="004D1935"/>
    <w:rsid w:val="004D1C27"/>
    <w:rsid w:val="004D1D70"/>
    <w:rsid w:val="004D200A"/>
    <w:rsid w:val="004D2C81"/>
    <w:rsid w:val="004D3A51"/>
    <w:rsid w:val="004D3C57"/>
    <w:rsid w:val="004D3C61"/>
    <w:rsid w:val="004D5BAF"/>
    <w:rsid w:val="004D5ECB"/>
    <w:rsid w:val="004D6328"/>
    <w:rsid w:val="004E0E13"/>
    <w:rsid w:val="004E2F75"/>
    <w:rsid w:val="004E58A6"/>
    <w:rsid w:val="004E72A3"/>
    <w:rsid w:val="004E7E6F"/>
    <w:rsid w:val="004F038B"/>
    <w:rsid w:val="004F066D"/>
    <w:rsid w:val="004F0828"/>
    <w:rsid w:val="004F0F9D"/>
    <w:rsid w:val="004F193F"/>
    <w:rsid w:val="004F1BF1"/>
    <w:rsid w:val="004F2167"/>
    <w:rsid w:val="004F2B82"/>
    <w:rsid w:val="004F39A4"/>
    <w:rsid w:val="004F5A57"/>
    <w:rsid w:val="004F5E85"/>
    <w:rsid w:val="004F63D3"/>
    <w:rsid w:val="00500443"/>
    <w:rsid w:val="00500A06"/>
    <w:rsid w:val="00501035"/>
    <w:rsid w:val="0050168C"/>
    <w:rsid w:val="00502CF0"/>
    <w:rsid w:val="005031BC"/>
    <w:rsid w:val="00504773"/>
    <w:rsid w:val="0050503A"/>
    <w:rsid w:val="00505261"/>
    <w:rsid w:val="005052E0"/>
    <w:rsid w:val="005057D4"/>
    <w:rsid w:val="00505986"/>
    <w:rsid w:val="0050686D"/>
    <w:rsid w:val="00507D87"/>
    <w:rsid w:val="0051051A"/>
    <w:rsid w:val="00511AB4"/>
    <w:rsid w:val="005134D0"/>
    <w:rsid w:val="00514A01"/>
    <w:rsid w:val="00514D1E"/>
    <w:rsid w:val="00517DE9"/>
    <w:rsid w:val="0052020C"/>
    <w:rsid w:val="005216E6"/>
    <w:rsid w:val="00521EFD"/>
    <w:rsid w:val="0052215D"/>
    <w:rsid w:val="00523916"/>
    <w:rsid w:val="00524891"/>
    <w:rsid w:val="005251EA"/>
    <w:rsid w:val="0052540C"/>
    <w:rsid w:val="00527A0F"/>
    <w:rsid w:val="00527A67"/>
    <w:rsid w:val="0053102E"/>
    <w:rsid w:val="0053196A"/>
    <w:rsid w:val="005327EF"/>
    <w:rsid w:val="0053336D"/>
    <w:rsid w:val="0053382A"/>
    <w:rsid w:val="00535342"/>
    <w:rsid w:val="005362A5"/>
    <w:rsid w:val="005363F9"/>
    <w:rsid w:val="005369AA"/>
    <w:rsid w:val="00536B9B"/>
    <w:rsid w:val="00536F87"/>
    <w:rsid w:val="005374E6"/>
    <w:rsid w:val="005403B9"/>
    <w:rsid w:val="00540484"/>
    <w:rsid w:val="00540DFC"/>
    <w:rsid w:val="005412C9"/>
    <w:rsid w:val="00543498"/>
    <w:rsid w:val="00543B0F"/>
    <w:rsid w:val="005445CB"/>
    <w:rsid w:val="00544601"/>
    <w:rsid w:val="005448FA"/>
    <w:rsid w:val="005449AF"/>
    <w:rsid w:val="005451CC"/>
    <w:rsid w:val="0054533C"/>
    <w:rsid w:val="00546507"/>
    <w:rsid w:val="00546B98"/>
    <w:rsid w:val="0054772E"/>
    <w:rsid w:val="00547DDC"/>
    <w:rsid w:val="0055013C"/>
    <w:rsid w:val="005501D1"/>
    <w:rsid w:val="005504B4"/>
    <w:rsid w:val="00550805"/>
    <w:rsid w:val="0055150C"/>
    <w:rsid w:val="00551634"/>
    <w:rsid w:val="005521BE"/>
    <w:rsid w:val="00552AF3"/>
    <w:rsid w:val="00552E09"/>
    <w:rsid w:val="00552E11"/>
    <w:rsid w:val="005531C2"/>
    <w:rsid w:val="005532AD"/>
    <w:rsid w:val="00553611"/>
    <w:rsid w:val="005555DC"/>
    <w:rsid w:val="00560313"/>
    <w:rsid w:val="00560C8C"/>
    <w:rsid w:val="00560CF4"/>
    <w:rsid w:val="0056107E"/>
    <w:rsid w:val="00561403"/>
    <w:rsid w:val="005619FB"/>
    <w:rsid w:val="005623B3"/>
    <w:rsid w:val="0056269C"/>
    <w:rsid w:val="005632E7"/>
    <w:rsid w:val="005640CC"/>
    <w:rsid w:val="00564734"/>
    <w:rsid w:val="00564B5E"/>
    <w:rsid w:val="00564C83"/>
    <w:rsid w:val="0056512A"/>
    <w:rsid w:val="0056561A"/>
    <w:rsid w:val="00565F95"/>
    <w:rsid w:val="0056643F"/>
    <w:rsid w:val="00566506"/>
    <w:rsid w:val="00566A8F"/>
    <w:rsid w:val="0056734B"/>
    <w:rsid w:val="00567981"/>
    <w:rsid w:val="00567B7B"/>
    <w:rsid w:val="00567C62"/>
    <w:rsid w:val="00567CD1"/>
    <w:rsid w:val="00570ED2"/>
    <w:rsid w:val="005719F7"/>
    <w:rsid w:val="005724D8"/>
    <w:rsid w:val="005727A7"/>
    <w:rsid w:val="0057280F"/>
    <w:rsid w:val="00573088"/>
    <w:rsid w:val="0057331F"/>
    <w:rsid w:val="005745D9"/>
    <w:rsid w:val="005753CE"/>
    <w:rsid w:val="0057558F"/>
    <w:rsid w:val="00575779"/>
    <w:rsid w:val="005762F4"/>
    <w:rsid w:val="00577A2F"/>
    <w:rsid w:val="00577CCD"/>
    <w:rsid w:val="00577FC6"/>
    <w:rsid w:val="00582052"/>
    <w:rsid w:val="00582ABD"/>
    <w:rsid w:val="00584527"/>
    <w:rsid w:val="00584AA7"/>
    <w:rsid w:val="00586632"/>
    <w:rsid w:val="005904B4"/>
    <w:rsid w:val="00591555"/>
    <w:rsid w:val="00591995"/>
    <w:rsid w:val="0059262E"/>
    <w:rsid w:val="00592B37"/>
    <w:rsid w:val="005930AB"/>
    <w:rsid w:val="005938F7"/>
    <w:rsid w:val="00593BC4"/>
    <w:rsid w:val="00595C0C"/>
    <w:rsid w:val="00595E0B"/>
    <w:rsid w:val="005961EF"/>
    <w:rsid w:val="00596BBE"/>
    <w:rsid w:val="005A0488"/>
    <w:rsid w:val="005A1B49"/>
    <w:rsid w:val="005A216A"/>
    <w:rsid w:val="005A2CA3"/>
    <w:rsid w:val="005A2F01"/>
    <w:rsid w:val="005A3D45"/>
    <w:rsid w:val="005A5070"/>
    <w:rsid w:val="005A5586"/>
    <w:rsid w:val="005A5F6B"/>
    <w:rsid w:val="005A6AD9"/>
    <w:rsid w:val="005A6EA5"/>
    <w:rsid w:val="005A7AE8"/>
    <w:rsid w:val="005B0102"/>
    <w:rsid w:val="005B01B3"/>
    <w:rsid w:val="005B0B19"/>
    <w:rsid w:val="005B2D05"/>
    <w:rsid w:val="005B4191"/>
    <w:rsid w:val="005B5521"/>
    <w:rsid w:val="005B5A8A"/>
    <w:rsid w:val="005B63BC"/>
    <w:rsid w:val="005B652B"/>
    <w:rsid w:val="005B6637"/>
    <w:rsid w:val="005C1994"/>
    <w:rsid w:val="005C2156"/>
    <w:rsid w:val="005C2E7D"/>
    <w:rsid w:val="005C3C65"/>
    <w:rsid w:val="005C3D0E"/>
    <w:rsid w:val="005C4EA2"/>
    <w:rsid w:val="005C5490"/>
    <w:rsid w:val="005C590C"/>
    <w:rsid w:val="005C7588"/>
    <w:rsid w:val="005C79AA"/>
    <w:rsid w:val="005D1054"/>
    <w:rsid w:val="005D151A"/>
    <w:rsid w:val="005D1F26"/>
    <w:rsid w:val="005D2BF5"/>
    <w:rsid w:val="005D2EBC"/>
    <w:rsid w:val="005D33B2"/>
    <w:rsid w:val="005D363F"/>
    <w:rsid w:val="005D3B44"/>
    <w:rsid w:val="005D4299"/>
    <w:rsid w:val="005D4C08"/>
    <w:rsid w:val="005D4E58"/>
    <w:rsid w:val="005D7E1A"/>
    <w:rsid w:val="005E2E8A"/>
    <w:rsid w:val="005E353A"/>
    <w:rsid w:val="005E7654"/>
    <w:rsid w:val="005E7F6C"/>
    <w:rsid w:val="005F1CC6"/>
    <w:rsid w:val="005F2115"/>
    <w:rsid w:val="005F27AC"/>
    <w:rsid w:val="005F2EB9"/>
    <w:rsid w:val="005F2F58"/>
    <w:rsid w:val="005F3931"/>
    <w:rsid w:val="005F42FB"/>
    <w:rsid w:val="005F4E15"/>
    <w:rsid w:val="005F52C6"/>
    <w:rsid w:val="005F57D9"/>
    <w:rsid w:val="005F5D23"/>
    <w:rsid w:val="005F5D9A"/>
    <w:rsid w:val="005F5E6D"/>
    <w:rsid w:val="005F618F"/>
    <w:rsid w:val="005F7190"/>
    <w:rsid w:val="00600601"/>
    <w:rsid w:val="00601472"/>
    <w:rsid w:val="00601566"/>
    <w:rsid w:val="00601781"/>
    <w:rsid w:val="0060384B"/>
    <w:rsid w:val="00604386"/>
    <w:rsid w:val="00604CA1"/>
    <w:rsid w:val="00605CE4"/>
    <w:rsid w:val="0060659E"/>
    <w:rsid w:val="00607182"/>
    <w:rsid w:val="006077B1"/>
    <w:rsid w:val="006106D6"/>
    <w:rsid w:val="00612012"/>
    <w:rsid w:val="00613A67"/>
    <w:rsid w:val="00613BEC"/>
    <w:rsid w:val="0061645B"/>
    <w:rsid w:val="0061775D"/>
    <w:rsid w:val="006179B4"/>
    <w:rsid w:val="00620951"/>
    <w:rsid w:val="0062102D"/>
    <w:rsid w:val="00621914"/>
    <w:rsid w:val="00621988"/>
    <w:rsid w:val="00622DE5"/>
    <w:rsid w:val="00623BED"/>
    <w:rsid w:val="0062554F"/>
    <w:rsid w:val="006270A0"/>
    <w:rsid w:val="00627309"/>
    <w:rsid w:val="00627818"/>
    <w:rsid w:val="006304A2"/>
    <w:rsid w:val="00631449"/>
    <w:rsid w:val="0063188D"/>
    <w:rsid w:val="00632007"/>
    <w:rsid w:val="0063448C"/>
    <w:rsid w:val="00634C0B"/>
    <w:rsid w:val="00634DE5"/>
    <w:rsid w:val="00635163"/>
    <w:rsid w:val="006369F2"/>
    <w:rsid w:val="00640DF4"/>
    <w:rsid w:val="00642594"/>
    <w:rsid w:val="00642ACA"/>
    <w:rsid w:val="00644159"/>
    <w:rsid w:val="006446B6"/>
    <w:rsid w:val="0064568F"/>
    <w:rsid w:val="006479BC"/>
    <w:rsid w:val="00650349"/>
    <w:rsid w:val="00650865"/>
    <w:rsid w:val="00650EAD"/>
    <w:rsid w:val="00651A2B"/>
    <w:rsid w:val="00651A6B"/>
    <w:rsid w:val="00652BBB"/>
    <w:rsid w:val="00653F67"/>
    <w:rsid w:val="006544D0"/>
    <w:rsid w:val="0065451D"/>
    <w:rsid w:val="006553A4"/>
    <w:rsid w:val="0065628E"/>
    <w:rsid w:val="00656FBF"/>
    <w:rsid w:val="00663E86"/>
    <w:rsid w:val="0066425B"/>
    <w:rsid w:val="006642B7"/>
    <w:rsid w:val="00664738"/>
    <w:rsid w:val="00666C85"/>
    <w:rsid w:val="00670329"/>
    <w:rsid w:val="00672B57"/>
    <w:rsid w:val="00672EC7"/>
    <w:rsid w:val="006737F5"/>
    <w:rsid w:val="006743B7"/>
    <w:rsid w:val="00674418"/>
    <w:rsid w:val="00674A21"/>
    <w:rsid w:val="006772E4"/>
    <w:rsid w:val="006773CF"/>
    <w:rsid w:val="00677F40"/>
    <w:rsid w:val="00680815"/>
    <w:rsid w:val="00680F9A"/>
    <w:rsid w:val="00681B56"/>
    <w:rsid w:val="00682534"/>
    <w:rsid w:val="00683CAB"/>
    <w:rsid w:val="0068526E"/>
    <w:rsid w:val="00685E11"/>
    <w:rsid w:val="00687709"/>
    <w:rsid w:val="006903A6"/>
    <w:rsid w:val="006905E5"/>
    <w:rsid w:val="00690870"/>
    <w:rsid w:val="00691CA4"/>
    <w:rsid w:val="00692493"/>
    <w:rsid w:val="006926EE"/>
    <w:rsid w:val="006927CC"/>
    <w:rsid w:val="00692E8E"/>
    <w:rsid w:val="00693596"/>
    <w:rsid w:val="006936A4"/>
    <w:rsid w:val="006941EA"/>
    <w:rsid w:val="0069451C"/>
    <w:rsid w:val="00696AA6"/>
    <w:rsid w:val="006A1402"/>
    <w:rsid w:val="006A28AF"/>
    <w:rsid w:val="006A3247"/>
    <w:rsid w:val="006A5433"/>
    <w:rsid w:val="006A5B28"/>
    <w:rsid w:val="006A6180"/>
    <w:rsid w:val="006A61CE"/>
    <w:rsid w:val="006A6CC8"/>
    <w:rsid w:val="006A7DFF"/>
    <w:rsid w:val="006A7FE9"/>
    <w:rsid w:val="006A7FF7"/>
    <w:rsid w:val="006B026D"/>
    <w:rsid w:val="006B07C0"/>
    <w:rsid w:val="006B0CD3"/>
    <w:rsid w:val="006B195C"/>
    <w:rsid w:val="006B1A41"/>
    <w:rsid w:val="006B34AA"/>
    <w:rsid w:val="006B361C"/>
    <w:rsid w:val="006B424D"/>
    <w:rsid w:val="006B44F6"/>
    <w:rsid w:val="006B5827"/>
    <w:rsid w:val="006B60AA"/>
    <w:rsid w:val="006B6135"/>
    <w:rsid w:val="006B63D2"/>
    <w:rsid w:val="006B7FC5"/>
    <w:rsid w:val="006C0EB4"/>
    <w:rsid w:val="006C367A"/>
    <w:rsid w:val="006D073E"/>
    <w:rsid w:val="006D0B43"/>
    <w:rsid w:val="006D2D57"/>
    <w:rsid w:val="006D3B39"/>
    <w:rsid w:val="006D4A61"/>
    <w:rsid w:val="006D4D09"/>
    <w:rsid w:val="006D5582"/>
    <w:rsid w:val="006D62A6"/>
    <w:rsid w:val="006D6813"/>
    <w:rsid w:val="006D7709"/>
    <w:rsid w:val="006E1C56"/>
    <w:rsid w:val="006E2521"/>
    <w:rsid w:val="006E2C2B"/>
    <w:rsid w:val="006E5524"/>
    <w:rsid w:val="006E56B8"/>
    <w:rsid w:val="006F0032"/>
    <w:rsid w:val="006F2084"/>
    <w:rsid w:val="006F6A42"/>
    <w:rsid w:val="006F6A8B"/>
    <w:rsid w:val="006F6D30"/>
    <w:rsid w:val="006F7635"/>
    <w:rsid w:val="00700D6D"/>
    <w:rsid w:val="0070148C"/>
    <w:rsid w:val="007017C5"/>
    <w:rsid w:val="00705178"/>
    <w:rsid w:val="00705641"/>
    <w:rsid w:val="00705AAD"/>
    <w:rsid w:val="00705D50"/>
    <w:rsid w:val="00705D82"/>
    <w:rsid w:val="0070635B"/>
    <w:rsid w:val="00706E4D"/>
    <w:rsid w:val="00706E77"/>
    <w:rsid w:val="0070740E"/>
    <w:rsid w:val="0070778A"/>
    <w:rsid w:val="007106E6"/>
    <w:rsid w:val="00710737"/>
    <w:rsid w:val="007108B5"/>
    <w:rsid w:val="00713357"/>
    <w:rsid w:val="00713701"/>
    <w:rsid w:val="0071613A"/>
    <w:rsid w:val="00717FCC"/>
    <w:rsid w:val="00720F26"/>
    <w:rsid w:val="00721584"/>
    <w:rsid w:val="00721AB5"/>
    <w:rsid w:val="00722172"/>
    <w:rsid w:val="00722D20"/>
    <w:rsid w:val="00723C00"/>
    <w:rsid w:val="00724545"/>
    <w:rsid w:val="00726E96"/>
    <w:rsid w:val="007307D3"/>
    <w:rsid w:val="00730D2C"/>
    <w:rsid w:val="00731047"/>
    <w:rsid w:val="00731B24"/>
    <w:rsid w:val="00732256"/>
    <w:rsid w:val="00733171"/>
    <w:rsid w:val="00733505"/>
    <w:rsid w:val="00733C1D"/>
    <w:rsid w:val="00734AD6"/>
    <w:rsid w:val="00734B2F"/>
    <w:rsid w:val="00736ECA"/>
    <w:rsid w:val="00741CE0"/>
    <w:rsid w:val="00741DAA"/>
    <w:rsid w:val="00742A73"/>
    <w:rsid w:val="00743D2A"/>
    <w:rsid w:val="00743D49"/>
    <w:rsid w:val="00745489"/>
    <w:rsid w:val="00745E82"/>
    <w:rsid w:val="00747125"/>
    <w:rsid w:val="00747194"/>
    <w:rsid w:val="007506F5"/>
    <w:rsid w:val="00750D29"/>
    <w:rsid w:val="00750F3D"/>
    <w:rsid w:val="007510B8"/>
    <w:rsid w:val="00751452"/>
    <w:rsid w:val="0075199F"/>
    <w:rsid w:val="00753136"/>
    <w:rsid w:val="0075436A"/>
    <w:rsid w:val="00754437"/>
    <w:rsid w:val="0075641B"/>
    <w:rsid w:val="0075664D"/>
    <w:rsid w:val="0075680C"/>
    <w:rsid w:val="00756DC3"/>
    <w:rsid w:val="00761888"/>
    <w:rsid w:val="00761F0F"/>
    <w:rsid w:val="00762145"/>
    <w:rsid w:val="007624FD"/>
    <w:rsid w:val="007628BB"/>
    <w:rsid w:val="0076360E"/>
    <w:rsid w:val="0076627A"/>
    <w:rsid w:val="007675D7"/>
    <w:rsid w:val="00767870"/>
    <w:rsid w:val="007709FA"/>
    <w:rsid w:val="00770A2F"/>
    <w:rsid w:val="0077137B"/>
    <w:rsid w:val="00771CC7"/>
    <w:rsid w:val="007720FF"/>
    <w:rsid w:val="0077304E"/>
    <w:rsid w:val="00773200"/>
    <w:rsid w:val="007737F1"/>
    <w:rsid w:val="00773C1A"/>
    <w:rsid w:val="00773F0E"/>
    <w:rsid w:val="00773F24"/>
    <w:rsid w:val="00774041"/>
    <w:rsid w:val="00774638"/>
    <w:rsid w:val="007757BC"/>
    <w:rsid w:val="00775CD3"/>
    <w:rsid w:val="007771AD"/>
    <w:rsid w:val="00777CC9"/>
    <w:rsid w:val="00781D3C"/>
    <w:rsid w:val="00782859"/>
    <w:rsid w:val="00782BEF"/>
    <w:rsid w:val="007832CB"/>
    <w:rsid w:val="00783882"/>
    <w:rsid w:val="00783976"/>
    <w:rsid w:val="00784A8A"/>
    <w:rsid w:val="00784A95"/>
    <w:rsid w:val="00784FBD"/>
    <w:rsid w:val="00786C2D"/>
    <w:rsid w:val="00791498"/>
    <w:rsid w:val="007917E1"/>
    <w:rsid w:val="007918A3"/>
    <w:rsid w:val="00791C4B"/>
    <w:rsid w:val="00791DA2"/>
    <w:rsid w:val="00792C1B"/>
    <w:rsid w:val="0079369E"/>
    <w:rsid w:val="00793EB2"/>
    <w:rsid w:val="0079493D"/>
    <w:rsid w:val="00794F31"/>
    <w:rsid w:val="007958CA"/>
    <w:rsid w:val="00795F8F"/>
    <w:rsid w:val="00796E28"/>
    <w:rsid w:val="007A023C"/>
    <w:rsid w:val="007A0797"/>
    <w:rsid w:val="007A21BA"/>
    <w:rsid w:val="007A48F3"/>
    <w:rsid w:val="007A4AE4"/>
    <w:rsid w:val="007A4EBD"/>
    <w:rsid w:val="007B04D1"/>
    <w:rsid w:val="007B06B5"/>
    <w:rsid w:val="007B2432"/>
    <w:rsid w:val="007B2757"/>
    <w:rsid w:val="007B4C3C"/>
    <w:rsid w:val="007B52B5"/>
    <w:rsid w:val="007B6C50"/>
    <w:rsid w:val="007B7DCA"/>
    <w:rsid w:val="007B7F84"/>
    <w:rsid w:val="007C0A32"/>
    <w:rsid w:val="007C0CA1"/>
    <w:rsid w:val="007C1092"/>
    <w:rsid w:val="007C1CC8"/>
    <w:rsid w:val="007C1D1C"/>
    <w:rsid w:val="007C1E55"/>
    <w:rsid w:val="007C2E69"/>
    <w:rsid w:val="007C3710"/>
    <w:rsid w:val="007C39F3"/>
    <w:rsid w:val="007C6497"/>
    <w:rsid w:val="007C6C0F"/>
    <w:rsid w:val="007C7244"/>
    <w:rsid w:val="007C74B2"/>
    <w:rsid w:val="007C79AE"/>
    <w:rsid w:val="007C7A8B"/>
    <w:rsid w:val="007D076A"/>
    <w:rsid w:val="007D162B"/>
    <w:rsid w:val="007D1C2E"/>
    <w:rsid w:val="007D26F6"/>
    <w:rsid w:val="007D2C29"/>
    <w:rsid w:val="007D2EE6"/>
    <w:rsid w:val="007D3718"/>
    <w:rsid w:val="007D37EA"/>
    <w:rsid w:val="007D4098"/>
    <w:rsid w:val="007D445E"/>
    <w:rsid w:val="007D49FC"/>
    <w:rsid w:val="007D4F54"/>
    <w:rsid w:val="007D7C49"/>
    <w:rsid w:val="007E27DC"/>
    <w:rsid w:val="007E2A8F"/>
    <w:rsid w:val="007E4036"/>
    <w:rsid w:val="007E4400"/>
    <w:rsid w:val="007E4D79"/>
    <w:rsid w:val="007E5910"/>
    <w:rsid w:val="007E5E1B"/>
    <w:rsid w:val="007E73B1"/>
    <w:rsid w:val="007E7E6E"/>
    <w:rsid w:val="007F010E"/>
    <w:rsid w:val="007F0B09"/>
    <w:rsid w:val="007F0D52"/>
    <w:rsid w:val="007F1057"/>
    <w:rsid w:val="007F189B"/>
    <w:rsid w:val="007F2F06"/>
    <w:rsid w:val="007F350F"/>
    <w:rsid w:val="007F3708"/>
    <w:rsid w:val="007F3CAC"/>
    <w:rsid w:val="007F42C2"/>
    <w:rsid w:val="007F49DF"/>
    <w:rsid w:val="007F52B2"/>
    <w:rsid w:val="007F6FBB"/>
    <w:rsid w:val="007F752D"/>
    <w:rsid w:val="0080075C"/>
    <w:rsid w:val="00802774"/>
    <w:rsid w:val="00802C13"/>
    <w:rsid w:val="00803DAB"/>
    <w:rsid w:val="00804B06"/>
    <w:rsid w:val="0080668F"/>
    <w:rsid w:val="00806EB8"/>
    <w:rsid w:val="00810FEF"/>
    <w:rsid w:val="008119A3"/>
    <w:rsid w:val="00811A07"/>
    <w:rsid w:val="00813342"/>
    <w:rsid w:val="008133A5"/>
    <w:rsid w:val="00813BF7"/>
    <w:rsid w:val="00814116"/>
    <w:rsid w:val="008143F5"/>
    <w:rsid w:val="008156B1"/>
    <w:rsid w:val="008176EE"/>
    <w:rsid w:val="00817B9D"/>
    <w:rsid w:val="008210ED"/>
    <w:rsid w:val="0082261B"/>
    <w:rsid w:val="0082469A"/>
    <w:rsid w:val="00825967"/>
    <w:rsid w:val="00827691"/>
    <w:rsid w:val="008307AA"/>
    <w:rsid w:val="00830D1F"/>
    <w:rsid w:val="00830DFB"/>
    <w:rsid w:val="0083138D"/>
    <w:rsid w:val="0083187B"/>
    <w:rsid w:val="0083267B"/>
    <w:rsid w:val="00832AA8"/>
    <w:rsid w:val="00832B3A"/>
    <w:rsid w:val="00833719"/>
    <w:rsid w:val="00833C2E"/>
    <w:rsid w:val="00834C48"/>
    <w:rsid w:val="00835E6D"/>
    <w:rsid w:val="00836295"/>
    <w:rsid w:val="00836B26"/>
    <w:rsid w:val="00837A0F"/>
    <w:rsid w:val="00837AFB"/>
    <w:rsid w:val="00841241"/>
    <w:rsid w:val="00841F1E"/>
    <w:rsid w:val="008420EC"/>
    <w:rsid w:val="00843160"/>
    <w:rsid w:val="0084417D"/>
    <w:rsid w:val="0084472E"/>
    <w:rsid w:val="00844F1E"/>
    <w:rsid w:val="00845EBF"/>
    <w:rsid w:val="00845EE9"/>
    <w:rsid w:val="00847D24"/>
    <w:rsid w:val="00850C87"/>
    <w:rsid w:val="00850F98"/>
    <w:rsid w:val="00851057"/>
    <w:rsid w:val="00851197"/>
    <w:rsid w:val="0085179A"/>
    <w:rsid w:val="00851D2C"/>
    <w:rsid w:val="00851E1C"/>
    <w:rsid w:val="00852075"/>
    <w:rsid w:val="00852242"/>
    <w:rsid w:val="00854273"/>
    <w:rsid w:val="00854BB2"/>
    <w:rsid w:val="00855630"/>
    <w:rsid w:val="00855E5F"/>
    <w:rsid w:val="00856494"/>
    <w:rsid w:val="00856A62"/>
    <w:rsid w:val="00856EC1"/>
    <w:rsid w:val="0085724B"/>
    <w:rsid w:val="008608F7"/>
    <w:rsid w:val="00862679"/>
    <w:rsid w:val="00863A58"/>
    <w:rsid w:val="00864349"/>
    <w:rsid w:val="008644E0"/>
    <w:rsid w:val="0086579D"/>
    <w:rsid w:val="00865920"/>
    <w:rsid w:val="00866073"/>
    <w:rsid w:val="00871598"/>
    <w:rsid w:val="0087224A"/>
    <w:rsid w:val="0087276E"/>
    <w:rsid w:val="0087432C"/>
    <w:rsid w:val="00874ADB"/>
    <w:rsid w:val="008773C1"/>
    <w:rsid w:val="008777FE"/>
    <w:rsid w:val="00881402"/>
    <w:rsid w:val="00883BA0"/>
    <w:rsid w:val="0088451E"/>
    <w:rsid w:val="008846D8"/>
    <w:rsid w:val="00885CB0"/>
    <w:rsid w:val="00886522"/>
    <w:rsid w:val="008877DB"/>
    <w:rsid w:val="008920A1"/>
    <w:rsid w:val="008928EE"/>
    <w:rsid w:val="008937B9"/>
    <w:rsid w:val="00894619"/>
    <w:rsid w:val="00894E65"/>
    <w:rsid w:val="00895722"/>
    <w:rsid w:val="008959A5"/>
    <w:rsid w:val="008A174C"/>
    <w:rsid w:val="008A17C7"/>
    <w:rsid w:val="008A276F"/>
    <w:rsid w:val="008A298A"/>
    <w:rsid w:val="008A35CC"/>
    <w:rsid w:val="008A3BAC"/>
    <w:rsid w:val="008A561E"/>
    <w:rsid w:val="008A5DFB"/>
    <w:rsid w:val="008A6641"/>
    <w:rsid w:val="008A70B4"/>
    <w:rsid w:val="008B024C"/>
    <w:rsid w:val="008B2834"/>
    <w:rsid w:val="008B2E03"/>
    <w:rsid w:val="008B37B0"/>
    <w:rsid w:val="008B7447"/>
    <w:rsid w:val="008B78F0"/>
    <w:rsid w:val="008B7957"/>
    <w:rsid w:val="008C2BE9"/>
    <w:rsid w:val="008C2C30"/>
    <w:rsid w:val="008C3B3D"/>
    <w:rsid w:val="008C4262"/>
    <w:rsid w:val="008C4904"/>
    <w:rsid w:val="008C5716"/>
    <w:rsid w:val="008C6C8D"/>
    <w:rsid w:val="008C7CD6"/>
    <w:rsid w:val="008D1464"/>
    <w:rsid w:val="008D20B9"/>
    <w:rsid w:val="008D24FD"/>
    <w:rsid w:val="008D3D9B"/>
    <w:rsid w:val="008D589F"/>
    <w:rsid w:val="008D6866"/>
    <w:rsid w:val="008D6900"/>
    <w:rsid w:val="008D6E50"/>
    <w:rsid w:val="008D6F5F"/>
    <w:rsid w:val="008E2314"/>
    <w:rsid w:val="008E497A"/>
    <w:rsid w:val="008E5040"/>
    <w:rsid w:val="008E552A"/>
    <w:rsid w:val="008F14CB"/>
    <w:rsid w:val="008F22BB"/>
    <w:rsid w:val="008F2CA3"/>
    <w:rsid w:val="008F2FA8"/>
    <w:rsid w:val="008F2FCE"/>
    <w:rsid w:val="008F4249"/>
    <w:rsid w:val="008F52A7"/>
    <w:rsid w:val="008F5D03"/>
    <w:rsid w:val="008F662B"/>
    <w:rsid w:val="008F668C"/>
    <w:rsid w:val="008F7692"/>
    <w:rsid w:val="009018C0"/>
    <w:rsid w:val="00901BE9"/>
    <w:rsid w:val="00902C14"/>
    <w:rsid w:val="00903196"/>
    <w:rsid w:val="00903274"/>
    <w:rsid w:val="00907A43"/>
    <w:rsid w:val="00910460"/>
    <w:rsid w:val="00911C23"/>
    <w:rsid w:val="00912D7D"/>
    <w:rsid w:val="00912E37"/>
    <w:rsid w:val="00913329"/>
    <w:rsid w:val="00913FFB"/>
    <w:rsid w:val="00915B60"/>
    <w:rsid w:val="00916194"/>
    <w:rsid w:val="00916DE7"/>
    <w:rsid w:val="0091713A"/>
    <w:rsid w:val="00920BB3"/>
    <w:rsid w:val="00920C68"/>
    <w:rsid w:val="009218B1"/>
    <w:rsid w:val="00922065"/>
    <w:rsid w:val="00922681"/>
    <w:rsid w:val="00923BAB"/>
    <w:rsid w:val="00923BE4"/>
    <w:rsid w:val="00924DAC"/>
    <w:rsid w:val="00925365"/>
    <w:rsid w:val="009258E3"/>
    <w:rsid w:val="00925B09"/>
    <w:rsid w:val="009271B8"/>
    <w:rsid w:val="009274EE"/>
    <w:rsid w:val="00927F32"/>
    <w:rsid w:val="00930A86"/>
    <w:rsid w:val="00930CC5"/>
    <w:rsid w:val="00930D90"/>
    <w:rsid w:val="00931463"/>
    <w:rsid w:val="00931734"/>
    <w:rsid w:val="00931A43"/>
    <w:rsid w:val="00932C2F"/>
    <w:rsid w:val="0093300B"/>
    <w:rsid w:val="0093351C"/>
    <w:rsid w:val="00934259"/>
    <w:rsid w:val="00934D30"/>
    <w:rsid w:val="00940179"/>
    <w:rsid w:val="00941B6E"/>
    <w:rsid w:val="00942545"/>
    <w:rsid w:val="0094448C"/>
    <w:rsid w:val="009448DA"/>
    <w:rsid w:val="00945FE4"/>
    <w:rsid w:val="0094680E"/>
    <w:rsid w:val="00946F72"/>
    <w:rsid w:val="00950DC1"/>
    <w:rsid w:val="009517C1"/>
    <w:rsid w:val="00952494"/>
    <w:rsid w:val="009527F2"/>
    <w:rsid w:val="0095296A"/>
    <w:rsid w:val="00953174"/>
    <w:rsid w:val="0095371D"/>
    <w:rsid w:val="00953A22"/>
    <w:rsid w:val="00954549"/>
    <w:rsid w:val="0095582B"/>
    <w:rsid w:val="00956E8A"/>
    <w:rsid w:val="00960628"/>
    <w:rsid w:val="00961A14"/>
    <w:rsid w:val="00961A22"/>
    <w:rsid w:val="009627E5"/>
    <w:rsid w:val="00962B36"/>
    <w:rsid w:val="00962B91"/>
    <w:rsid w:val="00962C86"/>
    <w:rsid w:val="00962E6D"/>
    <w:rsid w:val="0096360F"/>
    <w:rsid w:val="00963DBD"/>
    <w:rsid w:val="00964286"/>
    <w:rsid w:val="00964E80"/>
    <w:rsid w:val="009663B7"/>
    <w:rsid w:val="0096688A"/>
    <w:rsid w:val="00970231"/>
    <w:rsid w:val="00970423"/>
    <w:rsid w:val="00970BB8"/>
    <w:rsid w:val="00970EB3"/>
    <w:rsid w:val="00971383"/>
    <w:rsid w:val="00972DD4"/>
    <w:rsid w:val="00972E4C"/>
    <w:rsid w:val="009731B8"/>
    <w:rsid w:val="009737A1"/>
    <w:rsid w:val="009745F9"/>
    <w:rsid w:val="009756C7"/>
    <w:rsid w:val="00975FAF"/>
    <w:rsid w:val="0097629F"/>
    <w:rsid w:val="00976A34"/>
    <w:rsid w:val="00977138"/>
    <w:rsid w:val="00977346"/>
    <w:rsid w:val="00977361"/>
    <w:rsid w:val="00980C43"/>
    <w:rsid w:val="00980DF6"/>
    <w:rsid w:val="009829A6"/>
    <w:rsid w:val="009835EF"/>
    <w:rsid w:val="009878DC"/>
    <w:rsid w:val="00990B11"/>
    <w:rsid w:val="009915AE"/>
    <w:rsid w:val="00992943"/>
    <w:rsid w:val="00992A4B"/>
    <w:rsid w:val="00993C05"/>
    <w:rsid w:val="009943A7"/>
    <w:rsid w:val="00995C43"/>
    <w:rsid w:val="00995C4D"/>
    <w:rsid w:val="009961EC"/>
    <w:rsid w:val="009963DA"/>
    <w:rsid w:val="009963FE"/>
    <w:rsid w:val="009975A4"/>
    <w:rsid w:val="009979D6"/>
    <w:rsid w:val="009A1EF3"/>
    <w:rsid w:val="009A3841"/>
    <w:rsid w:val="009A3B26"/>
    <w:rsid w:val="009A43D6"/>
    <w:rsid w:val="009A43FD"/>
    <w:rsid w:val="009A47E6"/>
    <w:rsid w:val="009A53B2"/>
    <w:rsid w:val="009A56F9"/>
    <w:rsid w:val="009A5CC4"/>
    <w:rsid w:val="009B125C"/>
    <w:rsid w:val="009B1A2C"/>
    <w:rsid w:val="009B1B1D"/>
    <w:rsid w:val="009B228A"/>
    <w:rsid w:val="009B42AE"/>
    <w:rsid w:val="009B4FBB"/>
    <w:rsid w:val="009B6F7A"/>
    <w:rsid w:val="009B7579"/>
    <w:rsid w:val="009B75E8"/>
    <w:rsid w:val="009B7CA8"/>
    <w:rsid w:val="009C0AC7"/>
    <w:rsid w:val="009C17B9"/>
    <w:rsid w:val="009C1B73"/>
    <w:rsid w:val="009C2C1A"/>
    <w:rsid w:val="009C33A8"/>
    <w:rsid w:val="009C4392"/>
    <w:rsid w:val="009C4D2C"/>
    <w:rsid w:val="009C5431"/>
    <w:rsid w:val="009C5EB8"/>
    <w:rsid w:val="009C7313"/>
    <w:rsid w:val="009C785D"/>
    <w:rsid w:val="009D1531"/>
    <w:rsid w:val="009D19E6"/>
    <w:rsid w:val="009D3444"/>
    <w:rsid w:val="009D4047"/>
    <w:rsid w:val="009D5F98"/>
    <w:rsid w:val="009D62E1"/>
    <w:rsid w:val="009D69D6"/>
    <w:rsid w:val="009E01F4"/>
    <w:rsid w:val="009E0663"/>
    <w:rsid w:val="009E0862"/>
    <w:rsid w:val="009E1277"/>
    <w:rsid w:val="009E3483"/>
    <w:rsid w:val="009E35C4"/>
    <w:rsid w:val="009E40F3"/>
    <w:rsid w:val="009E4CE4"/>
    <w:rsid w:val="009E60EF"/>
    <w:rsid w:val="009E632C"/>
    <w:rsid w:val="009E6753"/>
    <w:rsid w:val="009E7BA5"/>
    <w:rsid w:val="009F0486"/>
    <w:rsid w:val="009F0626"/>
    <w:rsid w:val="009F08F1"/>
    <w:rsid w:val="009F30FE"/>
    <w:rsid w:val="009F31B9"/>
    <w:rsid w:val="009F6011"/>
    <w:rsid w:val="009F645F"/>
    <w:rsid w:val="009F67DF"/>
    <w:rsid w:val="009F755E"/>
    <w:rsid w:val="00A001A8"/>
    <w:rsid w:val="00A00E01"/>
    <w:rsid w:val="00A02E98"/>
    <w:rsid w:val="00A03AA5"/>
    <w:rsid w:val="00A0538A"/>
    <w:rsid w:val="00A05A76"/>
    <w:rsid w:val="00A06115"/>
    <w:rsid w:val="00A06597"/>
    <w:rsid w:val="00A06811"/>
    <w:rsid w:val="00A06985"/>
    <w:rsid w:val="00A128BA"/>
    <w:rsid w:val="00A15C37"/>
    <w:rsid w:val="00A16B4F"/>
    <w:rsid w:val="00A20A20"/>
    <w:rsid w:val="00A212FD"/>
    <w:rsid w:val="00A24749"/>
    <w:rsid w:val="00A26143"/>
    <w:rsid w:val="00A26728"/>
    <w:rsid w:val="00A2687C"/>
    <w:rsid w:val="00A2784A"/>
    <w:rsid w:val="00A300C1"/>
    <w:rsid w:val="00A30AB0"/>
    <w:rsid w:val="00A30F23"/>
    <w:rsid w:val="00A30FC7"/>
    <w:rsid w:val="00A312F4"/>
    <w:rsid w:val="00A316B1"/>
    <w:rsid w:val="00A31911"/>
    <w:rsid w:val="00A32F01"/>
    <w:rsid w:val="00A333E8"/>
    <w:rsid w:val="00A33AF8"/>
    <w:rsid w:val="00A34179"/>
    <w:rsid w:val="00A3463C"/>
    <w:rsid w:val="00A34EE5"/>
    <w:rsid w:val="00A357BF"/>
    <w:rsid w:val="00A3591A"/>
    <w:rsid w:val="00A36D12"/>
    <w:rsid w:val="00A36F38"/>
    <w:rsid w:val="00A37793"/>
    <w:rsid w:val="00A37989"/>
    <w:rsid w:val="00A37F0C"/>
    <w:rsid w:val="00A42537"/>
    <w:rsid w:val="00A43AD0"/>
    <w:rsid w:val="00A44C82"/>
    <w:rsid w:val="00A45BEA"/>
    <w:rsid w:val="00A46EA3"/>
    <w:rsid w:val="00A47547"/>
    <w:rsid w:val="00A475D7"/>
    <w:rsid w:val="00A47FFA"/>
    <w:rsid w:val="00A5052B"/>
    <w:rsid w:val="00A50FF6"/>
    <w:rsid w:val="00A51718"/>
    <w:rsid w:val="00A523B7"/>
    <w:rsid w:val="00A52473"/>
    <w:rsid w:val="00A52540"/>
    <w:rsid w:val="00A53F06"/>
    <w:rsid w:val="00A54355"/>
    <w:rsid w:val="00A54A4A"/>
    <w:rsid w:val="00A54E0A"/>
    <w:rsid w:val="00A55071"/>
    <w:rsid w:val="00A55EE7"/>
    <w:rsid w:val="00A562DB"/>
    <w:rsid w:val="00A56313"/>
    <w:rsid w:val="00A56FCE"/>
    <w:rsid w:val="00A573D3"/>
    <w:rsid w:val="00A57E59"/>
    <w:rsid w:val="00A6074E"/>
    <w:rsid w:val="00A60A29"/>
    <w:rsid w:val="00A616B6"/>
    <w:rsid w:val="00A61E96"/>
    <w:rsid w:val="00A62B77"/>
    <w:rsid w:val="00A6373A"/>
    <w:rsid w:val="00A65A86"/>
    <w:rsid w:val="00A662DF"/>
    <w:rsid w:val="00A675B4"/>
    <w:rsid w:val="00A67BB8"/>
    <w:rsid w:val="00A67F51"/>
    <w:rsid w:val="00A713B2"/>
    <w:rsid w:val="00A7223E"/>
    <w:rsid w:val="00A7230D"/>
    <w:rsid w:val="00A72C4E"/>
    <w:rsid w:val="00A736E9"/>
    <w:rsid w:val="00A76953"/>
    <w:rsid w:val="00A770FC"/>
    <w:rsid w:val="00A77420"/>
    <w:rsid w:val="00A806A1"/>
    <w:rsid w:val="00A83116"/>
    <w:rsid w:val="00A83486"/>
    <w:rsid w:val="00A83C17"/>
    <w:rsid w:val="00A8698D"/>
    <w:rsid w:val="00A87F54"/>
    <w:rsid w:val="00A903EC"/>
    <w:rsid w:val="00A9646D"/>
    <w:rsid w:val="00A9710F"/>
    <w:rsid w:val="00A97724"/>
    <w:rsid w:val="00AA03E5"/>
    <w:rsid w:val="00AA07C7"/>
    <w:rsid w:val="00AA102B"/>
    <w:rsid w:val="00AA1817"/>
    <w:rsid w:val="00AA1DC3"/>
    <w:rsid w:val="00AA22E6"/>
    <w:rsid w:val="00AA3236"/>
    <w:rsid w:val="00AA35F1"/>
    <w:rsid w:val="00AA4573"/>
    <w:rsid w:val="00AA4C8B"/>
    <w:rsid w:val="00AA6820"/>
    <w:rsid w:val="00AA70BE"/>
    <w:rsid w:val="00AB2D11"/>
    <w:rsid w:val="00AB3490"/>
    <w:rsid w:val="00AB3EB2"/>
    <w:rsid w:val="00AB4D4E"/>
    <w:rsid w:val="00AB579D"/>
    <w:rsid w:val="00AB5AFC"/>
    <w:rsid w:val="00AB5BF7"/>
    <w:rsid w:val="00AB6133"/>
    <w:rsid w:val="00AB62EB"/>
    <w:rsid w:val="00AB705A"/>
    <w:rsid w:val="00AB77F3"/>
    <w:rsid w:val="00AC2F74"/>
    <w:rsid w:val="00AC57C1"/>
    <w:rsid w:val="00AC630D"/>
    <w:rsid w:val="00AC68AE"/>
    <w:rsid w:val="00AD0126"/>
    <w:rsid w:val="00AD0D4B"/>
    <w:rsid w:val="00AD146F"/>
    <w:rsid w:val="00AD1F1D"/>
    <w:rsid w:val="00AD2050"/>
    <w:rsid w:val="00AD2F27"/>
    <w:rsid w:val="00AD3165"/>
    <w:rsid w:val="00AD3AD0"/>
    <w:rsid w:val="00AD47B1"/>
    <w:rsid w:val="00AD5A82"/>
    <w:rsid w:val="00AD7652"/>
    <w:rsid w:val="00AD76D1"/>
    <w:rsid w:val="00AD775F"/>
    <w:rsid w:val="00AE125F"/>
    <w:rsid w:val="00AE1278"/>
    <w:rsid w:val="00AE1718"/>
    <w:rsid w:val="00AE2CA5"/>
    <w:rsid w:val="00AE560C"/>
    <w:rsid w:val="00AE67B5"/>
    <w:rsid w:val="00AE7BA5"/>
    <w:rsid w:val="00AF01BD"/>
    <w:rsid w:val="00AF08A9"/>
    <w:rsid w:val="00AF272C"/>
    <w:rsid w:val="00AF2FEF"/>
    <w:rsid w:val="00AF33AA"/>
    <w:rsid w:val="00AF3540"/>
    <w:rsid w:val="00AF4693"/>
    <w:rsid w:val="00AF53F7"/>
    <w:rsid w:val="00AF61F3"/>
    <w:rsid w:val="00B008B1"/>
    <w:rsid w:val="00B01F92"/>
    <w:rsid w:val="00B02F55"/>
    <w:rsid w:val="00B030A1"/>
    <w:rsid w:val="00B035C1"/>
    <w:rsid w:val="00B045E4"/>
    <w:rsid w:val="00B0502D"/>
    <w:rsid w:val="00B0625F"/>
    <w:rsid w:val="00B06A90"/>
    <w:rsid w:val="00B07E5D"/>
    <w:rsid w:val="00B10B8D"/>
    <w:rsid w:val="00B11664"/>
    <w:rsid w:val="00B12D95"/>
    <w:rsid w:val="00B133AF"/>
    <w:rsid w:val="00B14769"/>
    <w:rsid w:val="00B151A1"/>
    <w:rsid w:val="00B162D6"/>
    <w:rsid w:val="00B16638"/>
    <w:rsid w:val="00B170F0"/>
    <w:rsid w:val="00B224EA"/>
    <w:rsid w:val="00B23E41"/>
    <w:rsid w:val="00B2467D"/>
    <w:rsid w:val="00B2537D"/>
    <w:rsid w:val="00B2626F"/>
    <w:rsid w:val="00B271F7"/>
    <w:rsid w:val="00B2726F"/>
    <w:rsid w:val="00B301A8"/>
    <w:rsid w:val="00B318F4"/>
    <w:rsid w:val="00B325B3"/>
    <w:rsid w:val="00B34381"/>
    <w:rsid w:val="00B34902"/>
    <w:rsid w:val="00B36CEA"/>
    <w:rsid w:val="00B37522"/>
    <w:rsid w:val="00B37A3B"/>
    <w:rsid w:val="00B37E07"/>
    <w:rsid w:val="00B4055B"/>
    <w:rsid w:val="00B413A0"/>
    <w:rsid w:val="00B414F8"/>
    <w:rsid w:val="00B42570"/>
    <w:rsid w:val="00B42D64"/>
    <w:rsid w:val="00B4364E"/>
    <w:rsid w:val="00B5039E"/>
    <w:rsid w:val="00B505E7"/>
    <w:rsid w:val="00B507B9"/>
    <w:rsid w:val="00B50C07"/>
    <w:rsid w:val="00B516C8"/>
    <w:rsid w:val="00B523CE"/>
    <w:rsid w:val="00B53FA0"/>
    <w:rsid w:val="00B54305"/>
    <w:rsid w:val="00B554ED"/>
    <w:rsid w:val="00B578F2"/>
    <w:rsid w:val="00B60E21"/>
    <w:rsid w:val="00B6103D"/>
    <w:rsid w:val="00B61527"/>
    <w:rsid w:val="00B63336"/>
    <w:rsid w:val="00B63C0B"/>
    <w:rsid w:val="00B65911"/>
    <w:rsid w:val="00B65C88"/>
    <w:rsid w:val="00B6619F"/>
    <w:rsid w:val="00B67BA7"/>
    <w:rsid w:val="00B708B0"/>
    <w:rsid w:val="00B7155C"/>
    <w:rsid w:val="00B716CF"/>
    <w:rsid w:val="00B71B04"/>
    <w:rsid w:val="00B72950"/>
    <w:rsid w:val="00B729BE"/>
    <w:rsid w:val="00B72F39"/>
    <w:rsid w:val="00B73043"/>
    <w:rsid w:val="00B7374F"/>
    <w:rsid w:val="00B7401B"/>
    <w:rsid w:val="00B75960"/>
    <w:rsid w:val="00B76220"/>
    <w:rsid w:val="00B769B0"/>
    <w:rsid w:val="00B7712F"/>
    <w:rsid w:val="00B77356"/>
    <w:rsid w:val="00B80F24"/>
    <w:rsid w:val="00B81A8F"/>
    <w:rsid w:val="00B81DBA"/>
    <w:rsid w:val="00B81FAA"/>
    <w:rsid w:val="00B821E9"/>
    <w:rsid w:val="00B84B7A"/>
    <w:rsid w:val="00B85E94"/>
    <w:rsid w:val="00B90B09"/>
    <w:rsid w:val="00B92563"/>
    <w:rsid w:val="00B93DFC"/>
    <w:rsid w:val="00B93FCA"/>
    <w:rsid w:val="00B946F2"/>
    <w:rsid w:val="00B94C0C"/>
    <w:rsid w:val="00B94D77"/>
    <w:rsid w:val="00B9552A"/>
    <w:rsid w:val="00B96A0C"/>
    <w:rsid w:val="00B9779F"/>
    <w:rsid w:val="00BA0740"/>
    <w:rsid w:val="00BA0C27"/>
    <w:rsid w:val="00BA14CC"/>
    <w:rsid w:val="00BA1915"/>
    <w:rsid w:val="00BA2E31"/>
    <w:rsid w:val="00BA397B"/>
    <w:rsid w:val="00BA4141"/>
    <w:rsid w:val="00BA4334"/>
    <w:rsid w:val="00BA441B"/>
    <w:rsid w:val="00BA476E"/>
    <w:rsid w:val="00BA51EE"/>
    <w:rsid w:val="00BA5E77"/>
    <w:rsid w:val="00BA6B93"/>
    <w:rsid w:val="00BA6FA4"/>
    <w:rsid w:val="00BA74D9"/>
    <w:rsid w:val="00BA767C"/>
    <w:rsid w:val="00BA7EEE"/>
    <w:rsid w:val="00BB01A8"/>
    <w:rsid w:val="00BB09A2"/>
    <w:rsid w:val="00BB1170"/>
    <w:rsid w:val="00BB1DEF"/>
    <w:rsid w:val="00BB1EB3"/>
    <w:rsid w:val="00BB2CB4"/>
    <w:rsid w:val="00BB32C9"/>
    <w:rsid w:val="00BB3400"/>
    <w:rsid w:val="00BB4ECF"/>
    <w:rsid w:val="00BB6005"/>
    <w:rsid w:val="00BB64AC"/>
    <w:rsid w:val="00BB6521"/>
    <w:rsid w:val="00BB74C7"/>
    <w:rsid w:val="00BB7C22"/>
    <w:rsid w:val="00BB7E82"/>
    <w:rsid w:val="00BC0E59"/>
    <w:rsid w:val="00BC13F7"/>
    <w:rsid w:val="00BC1B88"/>
    <w:rsid w:val="00BC1D9B"/>
    <w:rsid w:val="00BC221E"/>
    <w:rsid w:val="00BC227C"/>
    <w:rsid w:val="00BC3047"/>
    <w:rsid w:val="00BC3C74"/>
    <w:rsid w:val="00BC4139"/>
    <w:rsid w:val="00BC4254"/>
    <w:rsid w:val="00BC46C6"/>
    <w:rsid w:val="00BC546B"/>
    <w:rsid w:val="00BC5837"/>
    <w:rsid w:val="00BC6A74"/>
    <w:rsid w:val="00BC7688"/>
    <w:rsid w:val="00BC7C9B"/>
    <w:rsid w:val="00BD0857"/>
    <w:rsid w:val="00BD0943"/>
    <w:rsid w:val="00BD14E5"/>
    <w:rsid w:val="00BD260D"/>
    <w:rsid w:val="00BD31E0"/>
    <w:rsid w:val="00BD34B7"/>
    <w:rsid w:val="00BD35FC"/>
    <w:rsid w:val="00BD391A"/>
    <w:rsid w:val="00BD3938"/>
    <w:rsid w:val="00BD54C1"/>
    <w:rsid w:val="00BD63AA"/>
    <w:rsid w:val="00BD74AF"/>
    <w:rsid w:val="00BE0500"/>
    <w:rsid w:val="00BE1639"/>
    <w:rsid w:val="00BE24C3"/>
    <w:rsid w:val="00BE28B8"/>
    <w:rsid w:val="00BE29F1"/>
    <w:rsid w:val="00BE2DB0"/>
    <w:rsid w:val="00BE344A"/>
    <w:rsid w:val="00BE4CC6"/>
    <w:rsid w:val="00BE755A"/>
    <w:rsid w:val="00BE7D34"/>
    <w:rsid w:val="00BF00AF"/>
    <w:rsid w:val="00BF1BED"/>
    <w:rsid w:val="00BF2A60"/>
    <w:rsid w:val="00BF2CB9"/>
    <w:rsid w:val="00BF3944"/>
    <w:rsid w:val="00BF5273"/>
    <w:rsid w:val="00BF58A0"/>
    <w:rsid w:val="00BF6256"/>
    <w:rsid w:val="00BF6421"/>
    <w:rsid w:val="00BF7046"/>
    <w:rsid w:val="00BF7B4E"/>
    <w:rsid w:val="00C01125"/>
    <w:rsid w:val="00C01886"/>
    <w:rsid w:val="00C01F44"/>
    <w:rsid w:val="00C02078"/>
    <w:rsid w:val="00C02B68"/>
    <w:rsid w:val="00C0496E"/>
    <w:rsid w:val="00C04CEA"/>
    <w:rsid w:val="00C04D3D"/>
    <w:rsid w:val="00C0503C"/>
    <w:rsid w:val="00C05170"/>
    <w:rsid w:val="00C05649"/>
    <w:rsid w:val="00C0566A"/>
    <w:rsid w:val="00C05DD6"/>
    <w:rsid w:val="00C07C8C"/>
    <w:rsid w:val="00C07FDD"/>
    <w:rsid w:val="00C1166F"/>
    <w:rsid w:val="00C129F7"/>
    <w:rsid w:val="00C13C82"/>
    <w:rsid w:val="00C14D67"/>
    <w:rsid w:val="00C1544B"/>
    <w:rsid w:val="00C15A9A"/>
    <w:rsid w:val="00C1717D"/>
    <w:rsid w:val="00C21DDF"/>
    <w:rsid w:val="00C22824"/>
    <w:rsid w:val="00C22B93"/>
    <w:rsid w:val="00C2389A"/>
    <w:rsid w:val="00C239AB"/>
    <w:rsid w:val="00C25062"/>
    <w:rsid w:val="00C25BD3"/>
    <w:rsid w:val="00C2619F"/>
    <w:rsid w:val="00C2649C"/>
    <w:rsid w:val="00C268B4"/>
    <w:rsid w:val="00C27349"/>
    <w:rsid w:val="00C30296"/>
    <w:rsid w:val="00C302A1"/>
    <w:rsid w:val="00C309AF"/>
    <w:rsid w:val="00C3145C"/>
    <w:rsid w:val="00C31E7A"/>
    <w:rsid w:val="00C32AD0"/>
    <w:rsid w:val="00C32ED9"/>
    <w:rsid w:val="00C33195"/>
    <w:rsid w:val="00C34673"/>
    <w:rsid w:val="00C3545E"/>
    <w:rsid w:val="00C35E71"/>
    <w:rsid w:val="00C3625D"/>
    <w:rsid w:val="00C372CD"/>
    <w:rsid w:val="00C3758F"/>
    <w:rsid w:val="00C37F0B"/>
    <w:rsid w:val="00C40662"/>
    <w:rsid w:val="00C40AB7"/>
    <w:rsid w:val="00C41048"/>
    <w:rsid w:val="00C4203D"/>
    <w:rsid w:val="00C423BA"/>
    <w:rsid w:val="00C42871"/>
    <w:rsid w:val="00C43A26"/>
    <w:rsid w:val="00C44285"/>
    <w:rsid w:val="00C4485C"/>
    <w:rsid w:val="00C45E24"/>
    <w:rsid w:val="00C4629B"/>
    <w:rsid w:val="00C4767A"/>
    <w:rsid w:val="00C51781"/>
    <w:rsid w:val="00C51849"/>
    <w:rsid w:val="00C5286E"/>
    <w:rsid w:val="00C53381"/>
    <w:rsid w:val="00C54214"/>
    <w:rsid w:val="00C5466E"/>
    <w:rsid w:val="00C547F8"/>
    <w:rsid w:val="00C57C72"/>
    <w:rsid w:val="00C64130"/>
    <w:rsid w:val="00C646B5"/>
    <w:rsid w:val="00C65B7F"/>
    <w:rsid w:val="00C65C01"/>
    <w:rsid w:val="00C6728B"/>
    <w:rsid w:val="00C67CEE"/>
    <w:rsid w:val="00C71764"/>
    <w:rsid w:val="00C7373E"/>
    <w:rsid w:val="00C73CD4"/>
    <w:rsid w:val="00C73E0F"/>
    <w:rsid w:val="00C74A21"/>
    <w:rsid w:val="00C75DAD"/>
    <w:rsid w:val="00C76490"/>
    <w:rsid w:val="00C77C6B"/>
    <w:rsid w:val="00C81AFF"/>
    <w:rsid w:val="00C8227A"/>
    <w:rsid w:val="00C8348D"/>
    <w:rsid w:val="00C860EF"/>
    <w:rsid w:val="00C86D0A"/>
    <w:rsid w:val="00C87179"/>
    <w:rsid w:val="00C91870"/>
    <w:rsid w:val="00C93024"/>
    <w:rsid w:val="00C9394A"/>
    <w:rsid w:val="00C95EBC"/>
    <w:rsid w:val="00C96392"/>
    <w:rsid w:val="00C976A0"/>
    <w:rsid w:val="00C97EC3"/>
    <w:rsid w:val="00CA093B"/>
    <w:rsid w:val="00CA0E38"/>
    <w:rsid w:val="00CA1519"/>
    <w:rsid w:val="00CA207E"/>
    <w:rsid w:val="00CA230C"/>
    <w:rsid w:val="00CA2AB8"/>
    <w:rsid w:val="00CA3C59"/>
    <w:rsid w:val="00CA3F92"/>
    <w:rsid w:val="00CA5B5D"/>
    <w:rsid w:val="00CA6CCE"/>
    <w:rsid w:val="00CA7A43"/>
    <w:rsid w:val="00CB02E5"/>
    <w:rsid w:val="00CB1CC9"/>
    <w:rsid w:val="00CB1D5B"/>
    <w:rsid w:val="00CB3E1B"/>
    <w:rsid w:val="00CB420B"/>
    <w:rsid w:val="00CB43A6"/>
    <w:rsid w:val="00CB49BE"/>
    <w:rsid w:val="00CB4B44"/>
    <w:rsid w:val="00CB5E40"/>
    <w:rsid w:val="00CB7255"/>
    <w:rsid w:val="00CB7F58"/>
    <w:rsid w:val="00CC19F2"/>
    <w:rsid w:val="00CC383B"/>
    <w:rsid w:val="00CC4F61"/>
    <w:rsid w:val="00CC5100"/>
    <w:rsid w:val="00CC55FE"/>
    <w:rsid w:val="00CC6428"/>
    <w:rsid w:val="00CC6EBC"/>
    <w:rsid w:val="00CC72F0"/>
    <w:rsid w:val="00CC7EC8"/>
    <w:rsid w:val="00CD1F25"/>
    <w:rsid w:val="00CD21B7"/>
    <w:rsid w:val="00CD2A94"/>
    <w:rsid w:val="00CD2DF9"/>
    <w:rsid w:val="00CD30E1"/>
    <w:rsid w:val="00CD311D"/>
    <w:rsid w:val="00CD65E3"/>
    <w:rsid w:val="00CD6AF0"/>
    <w:rsid w:val="00CE03F0"/>
    <w:rsid w:val="00CE0D0E"/>
    <w:rsid w:val="00CE115F"/>
    <w:rsid w:val="00CE1D25"/>
    <w:rsid w:val="00CE288C"/>
    <w:rsid w:val="00CE480A"/>
    <w:rsid w:val="00CE5263"/>
    <w:rsid w:val="00CE60C7"/>
    <w:rsid w:val="00CE6A5D"/>
    <w:rsid w:val="00CE6FE0"/>
    <w:rsid w:val="00CE7D4F"/>
    <w:rsid w:val="00CE7DC7"/>
    <w:rsid w:val="00CF008B"/>
    <w:rsid w:val="00CF0714"/>
    <w:rsid w:val="00CF2077"/>
    <w:rsid w:val="00CF22E7"/>
    <w:rsid w:val="00CF25FC"/>
    <w:rsid w:val="00CF2CEA"/>
    <w:rsid w:val="00CF2F14"/>
    <w:rsid w:val="00CF35DB"/>
    <w:rsid w:val="00CF3642"/>
    <w:rsid w:val="00CF5BAF"/>
    <w:rsid w:val="00CF6113"/>
    <w:rsid w:val="00CF7148"/>
    <w:rsid w:val="00D00DC5"/>
    <w:rsid w:val="00D00E92"/>
    <w:rsid w:val="00D00FA9"/>
    <w:rsid w:val="00D0204C"/>
    <w:rsid w:val="00D02BF0"/>
    <w:rsid w:val="00D04078"/>
    <w:rsid w:val="00D063A7"/>
    <w:rsid w:val="00D10A62"/>
    <w:rsid w:val="00D11505"/>
    <w:rsid w:val="00D115B1"/>
    <w:rsid w:val="00D117E6"/>
    <w:rsid w:val="00D11823"/>
    <w:rsid w:val="00D11B3C"/>
    <w:rsid w:val="00D121BB"/>
    <w:rsid w:val="00D13CBE"/>
    <w:rsid w:val="00D14400"/>
    <w:rsid w:val="00D15733"/>
    <w:rsid w:val="00D158F7"/>
    <w:rsid w:val="00D16198"/>
    <w:rsid w:val="00D1638E"/>
    <w:rsid w:val="00D16739"/>
    <w:rsid w:val="00D16FF2"/>
    <w:rsid w:val="00D17622"/>
    <w:rsid w:val="00D17BA9"/>
    <w:rsid w:val="00D211ED"/>
    <w:rsid w:val="00D21CA2"/>
    <w:rsid w:val="00D2558D"/>
    <w:rsid w:val="00D25BB7"/>
    <w:rsid w:val="00D26424"/>
    <w:rsid w:val="00D2682E"/>
    <w:rsid w:val="00D27AED"/>
    <w:rsid w:val="00D3081F"/>
    <w:rsid w:val="00D31160"/>
    <w:rsid w:val="00D31BC9"/>
    <w:rsid w:val="00D32288"/>
    <w:rsid w:val="00D32836"/>
    <w:rsid w:val="00D32C27"/>
    <w:rsid w:val="00D33D26"/>
    <w:rsid w:val="00D340F0"/>
    <w:rsid w:val="00D34C73"/>
    <w:rsid w:val="00D3501F"/>
    <w:rsid w:val="00D35401"/>
    <w:rsid w:val="00D35558"/>
    <w:rsid w:val="00D36385"/>
    <w:rsid w:val="00D36588"/>
    <w:rsid w:val="00D37449"/>
    <w:rsid w:val="00D40079"/>
    <w:rsid w:val="00D40369"/>
    <w:rsid w:val="00D42182"/>
    <w:rsid w:val="00D42C8E"/>
    <w:rsid w:val="00D4543D"/>
    <w:rsid w:val="00D4591E"/>
    <w:rsid w:val="00D476AB"/>
    <w:rsid w:val="00D50904"/>
    <w:rsid w:val="00D509B5"/>
    <w:rsid w:val="00D50BB2"/>
    <w:rsid w:val="00D51401"/>
    <w:rsid w:val="00D51736"/>
    <w:rsid w:val="00D51AFE"/>
    <w:rsid w:val="00D52B28"/>
    <w:rsid w:val="00D53BD2"/>
    <w:rsid w:val="00D54078"/>
    <w:rsid w:val="00D54721"/>
    <w:rsid w:val="00D54B04"/>
    <w:rsid w:val="00D54D88"/>
    <w:rsid w:val="00D54F4D"/>
    <w:rsid w:val="00D55465"/>
    <w:rsid w:val="00D60F3E"/>
    <w:rsid w:val="00D611B2"/>
    <w:rsid w:val="00D619C7"/>
    <w:rsid w:val="00D622D2"/>
    <w:rsid w:val="00D6251F"/>
    <w:rsid w:val="00D63256"/>
    <w:rsid w:val="00D633E8"/>
    <w:rsid w:val="00D63CAA"/>
    <w:rsid w:val="00D64773"/>
    <w:rsid w:val="00D653FF"/>
    <w:rsid w:val="00D65839"/>
    <w:rsid w:val="00D65C04"/>
    <w:rsid w:val="00D65C7B"/>
    <w:rsid w:val="00D6617F"/>
    <w:rsid w:val="00D66FDA"/>
    <w:rsid w:val="00D675D3"/>
    <w:rsid w:val="00D70AA0"/>
    <w:rsid w:val="00D71A19"/>
    <w:rsid w:val="00D727D7"/>
    <w:rsid w:val="00D74229"/>
    <w:rsid w:val="00D74C62"/>
    <w:rsid w:val="00D76415"/>
    <w:rsid w:val="00D7680D"/>
    <w:rsid w:val="00D771F9"/>
    <w:rsid w:val="00D77729"/>
    <w:rsid w:val="00D80B96"/>
    <w:rsid w:val="00D8106D"/>
    <w:rsid w:val="00D8182B"/>
    <w:rsid w:val="00D81A33"/>
    <w:rsid w:val="00D81F9F"/>
    <w:rsid w:val="00D82EC8"/>
    <w:rsid w:val="00D836FE"/>
    <w:rsid w:val="00D83E28"/>
    <w:rsid w:val="00D83F36"/>
    <w:rsid w:val="00D843D6"/>
    <w:rsid w:val="00D86700"/>
    <w:rsid w:val="00D90E22"/>
    <w:rsid w:val="00D91577"/>
    <w:rsid w:val="00D917CC"/>
    <w:rsid w:val="00D917D7"/>
    <w:rsid w:val="00D91E2C"/>
    <w:rsid w:val="00D91F3C"/>
    <w:rsid w:val="00D932FB"/>
    <w:rsid w:val="00D9407E"/>
    <w:rsid w:val="00D94590"/>
    <w:rsid w:val="00D94AC1"/>
    <w:rsid w:val="00D9505D"/>
    <w:rsid w:val="00D95449"/>
    <w:rsid w:val="00D961AC"/>
    <w:rsid w:val="00DA0553"/>
    <w:rsid w:val="00DA112F"/>
    <w:rsid w:val="00DA1DC7"/>
    <w:rsid w:val="00DA252C"/>
    <w:rsid w:val="00DA289C"/>
    <w:rsid w:val="00DA2DD8"/>
    <w:rsid w:val="00DA39F9"/>
    <w:rsid w:val="00DA49A7"/>
    <w:rsid w:val="00DA4A7F"/>
    <w:rsid w:val="00DA4C1F"/>
    <w:rsid w:val="00DA593F"/>
    <w:rsid w:val="00DB0950"/>
    <w:rsid w:val="00DB0BDE"/>
    <w:rsid w:val="00DB146A"/>
    <w:rsid w:val="00DB4729"/>
    <w:rsid w:val="00DB4DAA"/>
    <w:rsid w:val="00DB5AA4"/>
    <w:rsid w:val="00DB5CD1"/>
    <w:rsid w:val="00DB6506"/>
    <w:rsid w:val="00DB72E3"/>
    <w:rsid w:val="00DB78BB"/>
    <w:rsid w:val="00DB7FF4"/>
    <w:rsid w:val="00DC01AF"/>
    <w:rsid w:val="00DC092A"/>
    <w:rsid w:val="00DC1DDB"/>
    <w:rsid w:val="00DC20BD"/>
    <w:rsid w:val="00DC4464"/>
    <w:rsid w:val="00DC59B6"/>
    <w:rsid w:val="00DC6F74"/>
    <w:rsid w:val="00DC6FA8"/>
    <w:rsid w:val="00DC7337"/>
    <w:rsid w:val="00DC7D30"/>
    <w:rsid w:val="00DC7E6C"/>
    <w:rsid w:val="00DD022B"/>
    <w:rsid w:val="00DD07C4"/>
    <w:rsid w:val="00DD09B3"/>
    <w:rsid w:val="00DD1B20"/>
    <w:rsid w:val="00DD30E5"/>
    <w:rsid w:val="00DD3811"/>
    <w:rsid w:val="00DD3BD2"/>
    <w:rsid w:val="00DD48CE"/>
    <w:rsid w:val="00DD5571"/>
    <w:rsid w:val="00DD6600"/>
    <w:rsid w:val="00DD69A3"/>
    <w:rsid w:val="00DD724E"/>
    <w:rsid w:val="00DE0180"/>
    <w:rsid w:val="00DE081F"/>
    <w:rsid w:val="00DE2698"/>
    <w:rsid w:val="00DE36FD"/>
    <w:rsid w:val="00DE3738"/>
    <w:rsid w:val="00DE40C8"/>
    <w:rsid w:val="00DE5B16"/>
    <w:rsid w:val="00DE602F"/>
    <w:rsid w:val="00DE6F79"/>
    <w:rsid w:val="00DE79C0"/>
    <w:rsid w:val="00DE7F76"/>
    <w:rsid w:val="00DF039F"/>
    <w:rsid w:val="00DF0A20"/>
    <w:rsid w:val="00DF0B80"/>
    <w:rsid w:val="00DF138D"/>
    <w:rsid w:val="00DF203A"/>
    <w:rsid w:val="00DF2E1E"/>
    <w:rsid w:val="00DF33ED"/>
    <w:rsid w:val="00DF3472"/>
    <w:rsid w:val="00DF4115"/>
    <w:rsid w:val="00DF4986"/>
    <w:rsid w:val="00DF4BF8"/>
    <w:rsid w:val="00DF4C83"/>
    <w:rsid w:val="00DF4F0B"/>
    <w:rsid w:val="00DF50CF"/>
    <w:rsid w:val="00DF5585"/>
    <w:rsid w:val="00DF61A6"/>
    <w:rsid w:val="00DF6678"/>
    <w:rsid w:val="00DF73EC"/>
    <w:rsid w:val="00DF740C"/>
    <w:rsid w:val="00E01458"/>
    <w:rsid w:val="00E01F55"/>
    <w:rsid w:val="00E0213F"/>
    <w:rsid w:val="00E0513F"/>
    <w:rsid w:val="00E05940"/>
    <w:rsid w:val="00E0599F"/>
    <w:rsid w:val="00E05C63"/>
    <w:rsid w:val="00E0622E"/>
    <w:rsid w:val="00E070A7"/>
    <w:rsid w:val="00E109A3"/>
    <w:rsid w:val="00E10F86"/>
    <w:rsid w:val="00E112E9"/>
    <w:rsid w:val="00E13489"/>
    <w:rsid w:val="00E1363C"/>
    <w:rsid w:val="00E13CA5"/>
    <w:rsid w:val="00E13DC4"/>
    <w:rsid w:val="00E14052"/>
    <w:rsid w:val="00E1633B"/>
    <w:rsid w:val="00E17130"/>
    <w:rsid w:val="00E179BC"/>
    <w:rsid w:val="00E2017B"/>
    <w:rsid w:val="00E210D0"/>
    <w:rsid w:val="00E226C1"/>
    <w:rsid w:val="00E22DAE"/>
    <w:rsid w:val="00E23AE9"/>
    <w:rsid w:val="00E23C52"/>
    <w:rsid w:val="00E2477F"/>
    <w:rsid w:val="00E24E3C"/>
    <w:rsid w:val="00E25DB1"/>
    <w:rsid w:val="00E26D85"/>
    <w:rsid w:val="00E300FA"/>
    <w:rsid w:val="00E316FB"/>
    <w:rsid w:val="00E319DD"/>
    <w:rsid w:val="00E31D1C"/>
    <w:rsid w:val="00E32069"/>
    <w:rsid w:val="00E329CE"/>
    <w:rsid w:val="00E329ED"/>
    <w:rsid w:val="00E33139"/>
    <w:rsid w:val="00E33702"/>
    <w:rsid w:val="00E353BC"/>
    <w:rsid w:val="00E353D0"/>
    <w:rsid w:val="00E35404"/>
    <w:rsid w:val="00E35DD4"/>
    <w:rsid w:val="00E36F78"/>
    <w:rsid w:val="00E4105F"/>
    <w:rsid w:val="00E41807"/>
    <w:rsid w:val="00E41CE0"/>
    <w:rsid w:val="00E41E13"/>
    <w:rsid w:val="00E42546"/>
    <w:rsid w:val="00E43761"/>
    <w:rsid w:val="00E4388F"/>
    <w:rsid w:val="00E43ED3"/>
    <w:rsid w:val="00E461FD"/>
    <w:rsid w:val="00E46A83"/>
    <w:rsid w:val="00E502CE"/>
    <w:rsid w:val="00E506BC"/>
    <w:rsid w:val="00E5149A"/>
    <w:rsid w:val="00E515BF"/>
    <w:rsid w:val="00E51EC1"/>
    <w:rsid w:val="00E525A5"/>
    <w:rsid w:val="00E5261F"/>
    <w:rsid w:val="00E52A4F"/>
    <w:rsid w:val="00E52E8F"/>
    <w:rsid w:val="00E53FCB"/>
    <w:rsid w:val="00E545DB"/>
    <w:rsid w:val="00E55591"/>
    <w:rsid w:val="00E56228"/>
    <w:rsid w:val="00E57356"/>
    <w:rsid w:val="00E578CC"/>
    <w:rsid w:val="00E610BF"/>
    <w:rsid w:val="00E61B6B"/>
    <w:rsid w:val="00E61CB3"/>
    <w:rsid w:val="00E61DB3"/>
    <w:rsid w:val="00E620EE"/>
    <w:rsid w:val="00E62EF1"/>
    <w:rsid w:val="00E639FB"/>
    <w:rsid w:val="00E67953"/>
    <w:rsid w:val="00E702C3"/>
    <w:rsid w:val="00E70737"/>
    <w:rsid w:val="00E716AB"/>
    <w:rsid w:val="00E72C43"/>
    <w:rsid w:val="00E73128"/>
    <w:rsid w:val="00E736C3"/>
    <w:rsid w:val="00E741F1"/>
    <w:rsid w:val="00E74547"/>
    <w:rsid w:val="00E75B4C"/>
    <w:rsid w:val="00E75CCC"/>
    <w:rsid w:val="00E763DC"/>
    <w:rsid w:val="00E7721F"/>
    <w:rsid w:val="00E7726D"/>
    <w:rsid w:val="00E80F60"/>
    <w:rsid w:val="00E83F12"/>
    <w:rsid w:val="00E84D9F"/>
    <w:rsid w:val="00E84DDF"/>
    <w:rsid w:val="00E84EB1"/>
    <w:rsid w:val="00E857DB"/>
    <w:rsid w:val="00E85C6F"/>
    <w:rsid w:val="00E85FB0"/>
    <w:rsid w:val="00E86BBC"/>
    <w:rsid w:val="00E87E9A"/>
    <w:rsid w:val="00E91309"/>
    <w:rsid w:val="00E91559"/>
    <w:rsid w:val="00E92798"/>
    <w:rsid w:val="00E92BAA"/>
    <w:rsid w:val="00E9392F"/>
    <w:rsid w:val="00E939CA"/>
    <w:rsid w:val="00E93B3B"/>
    <w:rsid w:val="00E948C1"/>
    <w:rsid w:val="00E9517E"/>
    <w:rsid w:val="00E958A1"/>
    <w:rsid w:val="00EA0DCD"/>
    <w:rsid w:val="00EA185A"/>
    <w:rsid w:val="00EA1B53"/>
    <w:rsid w:val="00EA343F"/>
    <w:rsid w:val="00EA401B"/>
    <w:rsid w:val="00EA4224"/>
    <w:rsid w:val="00EA59B7"/>
    <w:rsid w:val="00EA60A9"/>
    <w:rsid w:val="00EA63CE"/>
    <w:rsid w:val="00EB034C"/>
    <w:rsid w:val="00EB0405"/>
    <w:rsid w:val="00EB1AE4"/>
    <w:rsid w:val="00EB2AEF"/>
    <w:rsid w:val="00EB3067"/>
    <w:rsid w:val="00EB35D1"/>
    <w:rsid w:val="00EB37C1"/>
    <w:rsid w:val="00EB3D1F"/>
    <w:rsid w:val="00EB3D80"/>
    <w:rsid w:val="00EB5552"/>
    <w:rsid w:val="00EB6484"/>
    <w:rsid w:val="00EB6F19"/>
    <w:rsid w:val="00EB6FAA"/>
    <w:rsid w:val="00EB7821"/>
    <w:rsid w:val="00EC02C4"/>
    <w:rsid w:val="00EC0BD2"/>
    <w:rsid w:val="00EC18A6"/>
    <w:rsid w:val="00EC2790"/>
    <w:rsid w:val="00EC2EDF"/>
    <w:rsid w:val="00EC32B6"/>
    <w:rsid w:val="00EC365C"/>
    <w:rsid w:val="00EC3962"/>
    <w:rsid w:val="00EC3EA8"/>
    <w:rsid w:val="00EC46E9"/>
    <w:rsid w:val="00EC5C45"/>
    <w:rsid w:val="00EC650A"/>
    <w:rsid w:val="00EC6BC3"/>
    <w:rsid w:val="00EC6D8F"/>
    <w:rsid w:val="00EC6E1D"/>
    <w:rsid w:val="00EC72EB"/>
    <w:rsid w:val="00EC74EA"/>
    <w:rsid w:val="00EC7EE9"/>
    <w:rsid w:val="00ED0979"/>
    <w:rsid w:val="00ED0BDE"/>
    <w:rsid w:val="00ED12DE"/>
    <w:rsid w:val="00ED1B4A"/>
    <w:rsid w:val="00ED1D32"/>
    <w:rsid w:val="00ED1EC4"/>
    <w:rsid w:val="00ED23AF"/>
    <w:rsid w:val="00ED3099"/>
    <w:rsid w:val="00ED3327"/>
    <w:rsid w:val="00ED338B"/>
    <w:rsid w:val="00ED4208"/>
    <w:rsid w:val="00ED5902"/>
    <w:rsid w:val="00ED6C78"/>
    <w:rsid w:val="00ED7A8B"/>
    <w:rsid w:val="00ED7EB3"/>
    <w:rsid w:val="00EE0744"/>
    <w:rsid w:val="00EE16C0"/>
    <w:rsid w:val="00EE1722"/>
    <w:rsid w:val="00EE1FB0"/>
    <w:rsid w:val="00EE2564"/>
    <w:rsid w:val="00EE3FA2"/>
    <w:rsid w:val="00EE47A6"/>
    <w:rsid w:val="00EE4DC6"/>
    <w:rsid w:val="00EE5041"/>
    <w:rsid w:val="00EE6691"/>
    <w:rsid w:val="00EF03B7"/>
    <w:rsid w:val="00EF0614"/>
    <w:rsid w:val="00EF0B92"/>
    <w:rsid w:val="00EF0DC3"/>
    <w:rsid w:val="00EF1A67"/>
    <w:rsid w:val="00EF1A99"/>
    <w:rsid w:val="00EF4062"/>
    <w:rsid w:val="00EF4B1E"/>
    <w:rsid w:val="00EF5C1A"/>
    <w:rsid w:val="00EF66C4"/>
    <w:rsid w:val="00EF720F"/>
    <w:rsid w:val="00EF74BC"/>
    <w:rsid w:val="00EF7719"/>
    <w:rsid w:val="00F0028C"/>
    <w:rsid w:val="00F01A2F"/>
    <w:rsid w:val="00F01DE2"/>
    <w:rsid w:val="00F01E7B"/>
    <w:rsid w:val="00F02136"/>
    <w:rsid w:val="00F0238E"/>
    <w:rsid w:val="00F029D2"/>
    <w:rsid w:val="00F03373"/>
    <w:rsid w:val="00F04695"/>
    <w:rsid w:val="00F04CD9"/>
    <w:rsid w:val="00F04D00"/>
    <w:rsid w:val="00F05E42"/>
    <w:rsid w:val="00F0625E"/>
    <w:rsid w:val="00F1182A"/>
    <w:rsid w:val="00F1207D"/>
    <w:rsid w:val="00F12DAA"/>
    <w:rsid w:val="00F14038"/>
    <w:rsid w:val="00F151A2"/>
    <w:rsid w:val="00F15EE1"/>
    <w:rsid w:val="00F15FB0"/>
    <w:rsid w:val="00F1608A"/>
    <w:rsid w:val="00F16A83"/>
    <w:rsid w:val="00F17698"/>
    <w:rsid w:val="00F17918"/>
    <w:rsid w:val="00F17958"/>
    <w:rsid w:val="00F1796A"/>
    <w:rsid w:val="00F21206"/>
    <w:rsid w:val="00F225F5"/>
    <w:rsid w:val="00F22DF9"/>
    <w:rsid w:val="00F2358C"/>
    <w:rsid w:val="00F23D91"/>
    <w:rsid w:val="00F24E04"/>
    <w:rsid w:val="00F27A5C"/>
    <w:rsid w:val="00F30365"/>
    <w:rsid w:val="00F31B2D"/>
    <w:rsid w:val="00F32242"/>
    <w:rsid w:val="00F3466C"/>
    <w:rsid w:val="00F36F47"/>
    <w:rsid w:val="00F408E3"/>
    <w:rsid w:val="00F428F9"/>
    <w:rsid w:val="00F44915"/>
    <w:rsid w:val="00F4509A"/>
    <w:rsid w:val="00F46BBA"/>
    <w:rsid w:val="00F46EAE"/>
    <w:rsid w:val="00F47472"/>
    <w:rsid w:val="00F47FA3"/>
    <w:rsid w:val="00F508B3"/>
    <w:rsid w:val="00F52791"/>
    <w:rsid w:val="00F53889"/>
    <w:rsid w:val="00F5479B"/>
    <w:rsid w:val="00F550F5"/>
    <w:rsid w:val="00F55A21"/>
    <w:rsid w:val="00F55DCF"/>
    <w:rsid w:val="00F56001"/>
    <w:rsid w:val="00F57B06"/>
    <w:rsid w:val="00F57E48"/>
    <w:rsid w:val="00F61128"/>
    <w:rsid w:val="00F61341"/>
    <w:rsid w:val="00F6236C"/>
    <w:rsid w:val="00F62FD7"/>
    <w:rsid w:val="00F63D45"/>
    <w:rsid w:val="00F63ED7"/>
    <w:rsid w:val="00F643AF"/>
    <w:rsid w:val="00F65145"/>
    <w:rsid w:val="00F652B9"/>
    <w:rsid w:val="00F6635C"/>
    <w:rsid w:val="00F67691"/>
    <w:rsid w:val="00F67AC9"/>
    <w:rsid w:val="00F67AD8"/>
    <w:rsid w:val="00F718E6"/>
    <w:rsid w:val="00F7195A"/>
    <w:rsid w:val="00F719A6"/>
    <w:rsid w:val="00F723C6"/>
    <w:rsid w:val="00F72931"/>
    <w:rsid w:val="00F72FFF"/>
    <w:rsid w:val="00F74332"/>
    <w:rsid w:val="00F75370"/>
    <w:rsid w:val="00F76D4C"/>
    <w:rsid w:val="00F82D8F"/>
    <w:rsid w:val="00F83FB7"/>
    <w:rsid w:val="00F84894"/>
    <w:rsid w:val="00F85537"/>
    <w:rsid w:val="00F8557E"/>
    <w:rsid w:val="00F869B6"/>
    <w:rsid w:val="00F86C73"/>
    <w:rsid w:val="00F87600"/>
    <w:rsid w:val="00F904B2"/>
    <w:rsid w:val="00F92737"/>
    <w:rsid w:val="00F92983"/>
    <w:rsid w:val="00F92C16"/>
    <w:rsid w:val="00F93175"/>
    <w:rsid w:val="00F945A3"/>
    <w:rsid w:val="00F94ED0"/>
    <w:rsid w:val="00F95286"/>
    <w:rsid w:val="00F9557A"/>
    <w:rsid w:val="00F95982"/>
    <w:rsid w:val="00F970CD"/>
    <w:rsid w:val="00F970DD"/>
    <w:rsid w:val="00FA1E81"/>
    <w:rsid w:val="00FA201B"/>
    <w:rsid w:val="00FA2909"/>
    <w:rsid w:val="00FA2DB6"/>
    <w:rsid w:val="00FA2E49"/>
    <w:rsid w:val="00FA310C"/>
    <w:rsid w:val="00FA6BB2"/>
    <w:rsid w:val="00FA6C10"/>
    <w:rsid w:val="00FA7600"/>
    <w:rsid w:val="00FA7DB4"/>
    <w:rsid w:val="00FB116C"/>
    <w:rsid w:val="00FB1188"/>
    <w:rsid w:val="00FB1916"/>
    <w:rsid w:val="00FB1CDE"/>
    <w:rsid w:val="00FB29B9"/>
    <w:rsid w:val="00FB31BF"/>
    <w:rsid w:val="00FB361D"/>
    <w:rsid w:val="00FB4679"/>
    <w:rsid w:val="00FB4B60"/>
    <w:rsid w:val="00FB56C9"/>
    <w:rsid w:val="00FB62CB"/>
    <w:rsid w:val="00FB68A4"/>
    <w:rsid w:val="00FB68F8"/>
    <w:rsid w:val="00FB7332"/>
    <w:rsid w:val="00FB747E"/>
    <w:rsid w:val="00FB7610"/>
    <w:rsid w:val="00FB7D28"/>
    <w:rsid w:val="00FC00E4"/>
    <w:rsid w:val="00FC072C"/>
    <w:rsid w:val="00FC1A11"/>
    <w:rsid w:val="00FC28D0"/>
    <w:rsid w:val="00FC311A"/>
    <w:rsid w:val="00FC3852"/>
    <w:rsid w:val="00FC3ABF"/>
    <w:rsid w:val="00FC4263"/>
    <w:rsid w:val="00FC4BC1"/>
    <w:rsid w:val="00FC5396"/>
    <w:rsid w:val="00FC6962"/>
    <w:rsid w:val="00FC7F79"/>
    <w:rsid w:val="00FD04D7"/>
    <w:rsid w:val="00FD0E07"/>
    <w:rsid w:val="00FD1908"/>
    <w:rsid w:val="00FD2227"/>
    <w:rsid w:val="00FD28E4"/>
    <w:rsid w:val="00FD3076"/>
    <w:rsid w:val="00FD4A2A"/>
    <w:rsid w:val="00FD4C0C"/>
    <w:rsid w:val="00FD5DB4"/>
    <w:rsid w:val="00FD5E7D"/>
    <w:rsid w:val="00FD6DEB"/>
    <w:rsid w:val="00FD7BC7"/>
    <w:rsid w:val="00FE1171"/>
    <w:rsid w:val="00FE19F7"/>
    <w:rsid w:val="00FE1CD5"/>
    <w:rsid w:val="00FE235A"/>
    <w:rsid w:val="00FE2846"/>
    <w:rsid w:val="00FE3DCB"/>
    <w:rsid w:val="00FE471A"/>
    <w:rsid w:val="00FE4AC1"/>
    <w:rsid w:val="00FE51AA"/>
    <w:rsid w:val="00FE53E0"/>
    <w:rsid w:val="00FE63AA"/>
    <w:rsid w:val="00FF035E"/>
    <w:rsid w:val="00FF0A15"/>
    <w:rsid w:val="00FF1430"/>
    <w:rsid w:val="00FF225F"/>
    <w:rsid w:val="00FF4428"/>
    <w:rsid w:val="00FF44B6"/>
    <w:rsid w:val="00FF46DA"/>
    <w:rsid w:val="00FF4770"/>
    <w:rsid w:val="00FF52F7"/>
    <w:rsid w:val="00FF5A4F"/>
    <w:rsid w:val="00FF5AA9"/>
    <w:rsid w:val="00FF5ADB"/>
    <w:rsid w:val="00FF61D4"/>
    <w:rsid w:val="00FF663E"/>
    <w:rsid w:val="00FF66EE"/>
    <w:rsid w:val="00FF78CC"/>
    <w:rsid w:val="01A156F8"/>
    <w:rsid w:val="040D2D33"/>
    <w:rsid w:val="04442270"/>
    <w:rsid w:val="055D3D7E"/>
    <w:rsid w:val="06117F79"/>
    <w:rsid w:val="0662732E"/>
    <w:rsid w:val="06B57A35"/>
    <w:rsid w:val="074D1FB6"/>
    <w:rsid w:val="0750180E"/>
    <w:rsid w:val="07D55FEF"/>
    <w:rsid w:val="085632C3"/>
    <w:rsid w:val="08A57F5F"/>
    <w:rsid w:val="0A506CB7"/>
    <w:rsid w:val="0A572864"/>
    <w:rsid w:val="0BD73B39"/>
    <w:rsid w:val="0D386E82"/>
    <w:rsid w:val="0E3B5D80"/>
    <w:rsid w:val="0FCE5D2A"/>
    <w:rsid w:val="10B46A31"/>
    <w:rsid w:val="121A54B0"/>
    <w:rsid w:val="13AE28A6"/>
    <w:rsid w:val="13CD7354"/>
    <w:rsid w:val="14A003D1"/>
    <w:rsid w:val="14E13731"/>
    <w:rsid w:val="15DC4C07"/>
    <w:rsid w:val="1603288D"/>
    <w:rsid w:val="1624689E"/>
    <w:rsid w:val="1A0B2424"/>
    <w:rsid w:val="1B3E72A5"/>
    <w:rsid w:val="1C38044D"/>
    <w:rsid w:val="1D2D24D6"/>
    <w:rsid w:val="1DB22AF9"/>
    <w:rsid w:val="1E8C30B2"/>
    <w:rsid w:val="1E932147"/>
    <w:rsid w:val="20072DF7"/>
    <w:rsid w:val="21BB015D"/>
    <w:rsid w:val="22194943"/>
    <w:rsid w:val="22334556"/>
    <w:rsid w:val="226B5779"/>
    <w:rsid w:val="24096964"/>
    <w:rsid w:val="24FB5382"/>
    <w:rsid w:val="24FB6F38"/>
    <w:rsid w:val="29B32078"/>
    <w:rsid w:val="2C4E0743"/>
    <w:rsid w:val="2C6A166B"/>
    <w:rsid w:val="2DC07ADD"/>
    <w:rsid w:val="2E541BEB"/>
    <w:rsid w:val="2E774DC8"/>
    <w:rsid w:val="2FA26D23"/>
    <w:rsid w:val="306D4A9B"/>
    <w:rsid w:val="31321F99"/>
    <w:rsid w:val="31E23903"/>
    <w:rsid w:val="34603CB7"/>
    <w:rsid w:val="35672368"/>
    <w:rsid w:val="35837B4B"/>
    <w:rsid w:val="35F62E0E"/>
    <w:rsid w:val="38DF6D5E"/>
    <w:rsid w:val="39012615"/>
    <w:rsid w:val="3A9638A2"/>
    <w:rsid w:val="3AFA6B2D"/>
    <w:rsid w:val="3CB029DD"/>
    <w:rsid w:val="3D624A2B"/>
    <w:rsid w:val="3EAE2050"/>
    <w:rsid w:val="3F041AD9"/>
    <w:rsid w:val="3FEA57E4"/>
    <w:rsid w:val="423B4E6C"/>
    <w:rsid w:val="43F3458A"/>
    <w:rsid w:val="45B31A61"/>
    <w:rsid w:val="45D34FB6"/>
    <w:rsid w:val="46245A13"/>
    <w:rsid w:val="46DD4550"/>
    <w:rsid w:val="47033A9A"/>
    <w:rsid w:val="48CA6795"/>
    <w:rsid w:val="49FA03B9"/>
    <w:rsid w:val="4C0B019B"/>
    <w:rsid w:val="4C231F8F"/>
    <w:rsid w:val="4C811519"/>
    <w:rsid w:val="4D5D1394"/>
    <w:rsid w:val="4DC105B9"/>
    <w:rsid w:val="4E5E6ACE"/>
    <w:rsid w:val="4EA3285D"/>
    <w:rsid w:val="4FD17D78"/>
    <w:rsid w:val="502F2AFF"/>
    <w:rsid w:val="52394071"/>
    <w:rsid w:val="52BE47B3"/>
    <w:rsid w:val="52D34A56"/>
    <w:rsid w:val="533C2574"/>
    <w:rsid w:val="534A49DB"/>
    <w:rsid w:val="540154EC"/>
    <w:rsid w:val="549661BE"/>
    <w:rsid w:val="54D90D6B"/>
    <w:rsid w:val="565817C1"/>
    <w:rsid w:val="56C95F43"/>
    <w:rsid w:val="57673C54"/>
    <w:rsid w:val="578F46AB"/>
    <w:rsid w:val="58552D55"/>
    <w:rsid w:val="586357E1"/>
    <w:rsid w:val="59841B2F"/>
    <w:rsid w:val="5A835EEC"/>
    <w:rsid w:val="5BE60354"/>
    <w:rsid w:val="5C5A4637"/>
    <w:rsid w:val="5D035D66"/>
    <w:rsid w:val="5D3A60F6"/>
    <w:rsid w:val="610A4A53"/>
    <w:rsid w:val="618D0DDA"/>
    <w:rsid w:val="61D651BA"/>
    <w:rsid w:val="6238577C"/>
    <w:rsid w:val="62E86106"/>
    <w:rsid w:val="65321727"/>
    <w:rsid w:val="654020E2"/>
    <w:rsid w:val="67E75A9C"/>
    <w:rsid w:val="67F82C4F"/>
    <w:rsid w:val="684D717D"/>
    <w:rsid w:val="692D52EC"/>
    <w:rsid w:val="6A4E2C73"/>
    <w:rsid w:val="6ACA7F96"/>
    <w:rsid w:val="6B564F76"/>
    <w:rsid w:val="71947DA3"/>
    <w:rsid w:val="72E90C5B"/>
    <w:rsid w:val="73E63CEC"/>
    <w:rsid w:val="766E015F"/>
    <w:rsid w:val="79627ECB"/>
    <w:rsid w:val="7D135351"/>
    <w:rsid w:val="7E61579F"/>
    <w:rsid w:val="7EDE60CE"/>
    <w:rsid w:val="7F840320"/>
    <w:rsid w:val="BEFE6508"/>
    <w:rsid w:val="FB9F87DD"/>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iPriority="39" w:semiHidden="0" w:name="toc 3"/>
    <w:lsdException w:qFormat="1" w:uiPriority="0" w:semiHidden="0" w:name="toc 4"/>
    <w:lsdException w:qFormat="1" w:uiPriority="0" w:semiHidden="0" w:name="toc 5"/>
    <w:lsdException w:qFormat="1" w:uiPriority="0" w:semiHidden="0" w:name="toc 6"/>
    <w:lsdException w:qFormat="1" w:uiPriority="0" w:semiHidden="0" w:name="toc 7"/>
    <w:lsdException w:qFormat="1" w:uiPriority="0" w:semiHidden="0" w:name="toc 8"/>
    <w:lsdException w:qFormat="1" w:uiPriority="0" w:semiHidden="0" w:name="toc 9"/>
    <w:lsdException w:qFormat="1" w:unhideWhenUsed="0" w:uiPriority="0" w:semiHidden="0" w:name="Normal Indent"/>
    <w:lsdException w:uiPriority="99" w:name="footnote text"/>
    <w:lsdException w:qFormat="1" w:uiPriority="0" w:semiHidden="0" w:name="annotation text"/>
    <w:lsdException w:qFormat="1" w:unhideWhenUsed="0" w:uiPriority="0" w:semiHidden="0" w:name="header"/>
    <w:lsdException w:qFormat="1" w:unhideWhenUsed="0"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qFormat="1" w:uiPriority="0" w:semiHidden="0"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qFormat="1" w:uiPriority="99" w:name="List Number 2"/>
    <w:lsdException w:qFormat="1" w:unhideWhenUsed="0" w:uiPriority="0" w:semiHidden="0"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0"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4">
    <w:name w:val="heading 1"/>
    <w:basedOn w:val="1"/>
    <w:next w:val="1"/>
    <w:link w:val="61"/>
    <w:qFormat/>
    <w:uiPriority w:val="9"/>
    <w:pPr>
      <w:keepNext/>
      <w:keepLines/>
      <w:spacing w:before="340" w:after="330" w:line="578" w:lineRule="auto"/>
      <w:jc w:val="center"/>
      <w:outlineLvl w:val="0"/>
    </w:pPr>
    <w:rPr>
      <w:b/>
      <w:bCs/>
      <w:kern w:val="44"/>
      <w:sz w:val="32"/>
      <w:szCs w:val="44"/>
      <w:lang w:val="zh-CN"/>
    </w:rPr>
  </w:style>
  <w:style w:type="paragraph" w:styleId="5">
    <w:name w:val="heading 2"/>
    <w:basedOn w:val="1"/>
    <w:next w:val="6"/>
    <w:link w:val="62"/>
    <w:qFormat/>
    <w:uiPriority w:val="9"/>
    <w:pPr>
      <w:keepNext/>
      <w:keepLines/>
      <w:spacing w:before="260" w:after="260" w:line="416" w:lineRule="auto"/>
      <w:outlineLvl w:val="1"/>
    </w:pPr>
    <w:rPr>
      <w:rFonts w:ascii="Arial" w:hAnsi="Arial" w:eastAsia="黑体"/>
      <w:b/>
      <w:bCs/>
      <w:sz w:val="32"/>
      <w:szCs w:val="32"/>
      <w:lang w:val="zh-CN"/>
    </w:rPr>
  </w:style>
  <w:style w:type="paragraph" w:styleId="7">
    <w:name w:val="heading 3"/>
    <w:basedOn w:val="1"/>
    <w:next w:val="1"/>
    <w:link w:val="63"/>
    <w:qFormat/>
    <w:uiPriority w:val="9"/>
    <w:pPr>
      <w:keepNext/>
      <w:keepLines/>
      <w:spacing w:before="260" w:after="260" w:line="416" w:lineRule="auto"/>
      <w:outlineLvl w:val="2"/>
    </w:pPr>
    <w:rPr>
      <w:b/>
      <w:bCs/>
      <w:sz w:val="32"/>
      <w:szCs w:val="32"/>
      <w:lang w:val="zh-CN"/>
    </w:rPr>
  </w:style>
  <w:style w:type="paragraph" w:styleId="8">
    <w:name w:val="heading 4"/>
    <w:basedOn w:val="1"/>
    <w:next w:val="1"/>
    <w:link w:val="64"/>
    <w:qFormat/>
    <w:uiPriority w:val="0"/>
    <w:pPr>
      <w:keepNext/>
      <w:keepLines/>
      <w:spacing w:before="280" w:after="290" w:line="374" w:lineRule="auto"/>
      <w:outlineLvl w:val="3"/>
    </w:pPr>
    <w:rPr>
      <w:rFonts w:ascii="Arial" w:hAnsi="Arial" w:eastAsia="黑体"/>
      <w:b/>
      <w:bCs/>
      <w:kern w:val="0"/>
      <w:sz w:val="28"/>
      <w:szCs w:val="28"/>
      <w:lang w:val="zh-CN"/>
    </w:rPr>
  </w:style>
  <w:style w:type="paragraph" w:styleId="9">
    <w:name w:val="heading 5"/>
    <w:basedOn w:val="1"/>
    <w:next w:val="1"/>
    <w:link w:val="65"/>
    <w:qFormat/>
    <w:uiPriority w:val="0"/>
    <w:pPr>
      <w:keepNext/>
      <w:keepLines/>
      <w:tabs>
        <w:tab w:val="left" w:pos="1701"/>
      </w:tabs>
      <w:spacing w:before="280" w:after="290" w:line="360" w:lineRule="auto"/>
      <w:outlineLvl w:val="4"/>
    </w:pPr>
    <w:rPr>
      <w:rFonts w:ascii="楷体_GB2312" w:eastAsia="楷体_GB2312"/>
      <w:b/>
      <w:bCs/>
      <w:kern w:val="0"/>
      <w:sz w:val="24"/>
      <w:szCs w:val="28"/>
      <w:lang w:val="zh-CN"/>
    </w:rPr>
  </w:style>
  <w:style w:type="paragraph" w:styleId="10">
    <w:name w:val="heading 6"/>
    <w:basedOn w:val="9"/>
    <w:next w:val="1"/>
    <w:link w:val="66"/>
    <w:qFormat/>
    <w:uiPriority w:val="0"/>
    <w:pPr>
      <w:keepNext w:val="0"/>
      <w:keepLines w:val="0"/>
      <w:tabs>
        <w:tab w:val="left" w:pos="2940"/>
        <w:tab w:val="clear" w:pos="1701"/>
      </w:tabs>
      <w:adjustRightInd w:val="0"/>
      <w:spacing w:before="0" w:after="0" w:line="400" w:lineRule="exact"/>
      <w:textAlignment w:val="baseline"/>
      <w:outlineLvl w:val="5"/>
    </w:pPr>
    <w:rPr>
      <w:rFonts w:ascii="Calibri" w:eastAsia="宋体"/>
      <w:b w:val="0"/>
      <w:bCs w:val="0"/>
      <w:szCs w:val="20"/>
    </w:rPr>
  </w:style>
  <w:style w:type="paragraph" w:styleId="11">
    <w:name w:val="heading 7"/>
    <w:basedOn w:val="10"/>
    <w:next w:val="1"/>
    <w:link w:val="67"/>
    <w:qFormat/>
    <w:uiPriority w:val="0"/>
    <w:pPr>
      <w:tabs>
        <w:tab w:val="left" w:pos="3360"/>
        <w:tab w:val="clear" w:pos="2940"/>
      </w:tabs>
      <w:outlineLvl w:val="6"/>
    </w:pPr>
  </w:style>
  <w:style w:type="paragraph" w:styleId="12">
    <w:name w:val="heading 8"/>
    <w:basedOn w:val="11"/>
    <w:next w:val="1"/>
    <w:link w:val="68"/>
    <w:qFormat/>
    <w:uiPriority w:val="0"/>
    <w:pPr>
      <w:tabs>
        <w:tab w:val="left" w:pos="3780"/>
        <w:tab w:val="clear" w:pos="3360"/>
      </w:tabs>
      <w:outlineLvl w:val="7"/>
    </w:pPr>
  </w:style>
  <w:style w:type="paragraph" w:styleId="13">
    <w:name w:val="heading 9"/>
    <w:basedOn w:val="12"/>
    <w:next w:val="1"/>
    <w:link w:val="69"/>
    <w:qFormat/>
    <w:uiPriority w:val="0"/>
    <w:pPr>
      <w:tabs>
        <w:tab w:val="left" w:pos="480"/>
        <w:tab w:val="left" w:pos="4200"/>
        <w:tab w:val="clear" w:pos="3780"/>
      </w:tabs>
      <w:outlineLvl w:val="8"/>
    </w:pPr>
  </w:style>
  <w:style w:type="character" w:default="1" w:styleId="51">
    <w:name w:val="Default Paragraph Font"/>
    <w:semiHidden/>
    <w:unhideWhenUsed/>
    <w:qFormat/>
    <w:uiPriority w:val="1"/>
  </w:style>
  <w:style w:type="table" w:default="1" w:styleId="49">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74"/>
    <w:qFormat/>
    <w:uiPriority w:val="0"/>
    <w:pPr>
      <w:spacing w:after="120"/>
    </w:pPr>
    <w:rPr>
      <w:rFonts w:asciiTheme="minorHAnsi" w:hAnsiTheme="minorHAnsi" w:eastAsiaTheme="minorEastAsia" w:cstheme="minorBidi"/>
      <w:sz w:val="28"/>
    </w:rPr>
  </w:style>
  <w:style w:type="paragraph" w:styleId="3">
    <w:name w:val="Body Text First Indent"/>
    <w:basedOn w:val="2"/>
    <w:next w:val="1"/>
    <w:link w:val="367"/>
    <w:unhideWhenUsed/>
    <w:qFormat/>
    <w:uiPriority w:val="99"/>
    <w:pPr>
      <w:ind w:firstLine="420" w:firstLineChars="100"/>
    </w:pPr>
    <w:rPr>
      <w:rFonts w:ascii="Calibri" w:hAnsi="Calibri" w:eastAsia="宋体" w:cs="Times New Roman"/>
      <w:kern w:val="0"/>
      <w:sz w:val="21"/>
    </w:rPr>
  </w:style>
  <w:style w:type="paragraph" w:customStyle="1" w:styleId="6">
    <w:name w:val="标准正文"/>
    <w:basedOn w:val="1"/>
    <w:qFormat/>
    <w:uiPriority w:val="0"/>
    <w:pPr>
      <w:spacing w:line="360" w:lineRule="auto"/>
      <w:ind w:firstLine="200" w:firstLineChars="200"/>
    </w:pPr>
    <w:rPr>
      <w:sz w:val="24"/>
      <w:szCs w:val="20"/>
    </w:rPr>
  </w:style>
  <w:style w:type="paragraph" w:styleId="14">
    <w:name w:val="toc 7"/>
    <w:basedOn w:val="1"/>
    <w:next w:val="1"/>
    <w:unhideWhenUsed/>
    <w:qFormat/>
    <w:uiPriority w:val="0"/>
    <w:pPr>
      <w:ind w:left="2520" w:leftChars="1200"/>
    </w:pPr>
    <w:rPr>
      <w:rFonts w:cs="宋体"/>
      <w:sz w:val="24"/>
    </w:rPr>
  </w:style>
  <w:style w:type="paragraph" w:styleId="15">
    <w:name w:val="List Number 2"/>
    <w:basedOn w:val="1"/>
    <w:semiHidden/>
    <w:unhideWhenUsed/>
    <w:qFormat/>
    <w:uiPriority w:val="99"/>
    <w:pPr>
      <w:numPr>
        <w:ilvl w:val="0"/>
        <w:numId w:val="1"/>
      </w:numPr>
      <w:contextualSpacing/>
    </w:pPr>
  </w:style>
  <w:style w:type="paragraph" w:styleId="16">
    <w:name w:val="table of authorities"/>
    <w:basedOn w:val="1"/>
    <w:next w:val="1"/>
    <w:unhideWhenUsed/>
    <w:qFormat/>
    <w:uiPriority w:val="0"/>
    <w:pPr>
      <w:ind w:left="420" w:leftChars="200"/>
    </w:pPr>
  </w:style>
  <w:style w:type="paragraph" w:styleId="17">
    <w:name w:val="List Number"/>
    <w:basedOn w:val="1"/>
    <w:qFormat/>
    <w:uiPriority w:val="0"/>
    <w:pPr>
      <w:widowControl/>
      <w:tabs>
        <w:tab w:val="left" w:pos="454"/>
        <w:tab w:val="left" w:pos="720"/>
      </w:tabs>
      <w:spacing w:afterLines="50"/>
      <w:ind w:left="454" w:hanging="284"/>
      <w:jc w:val="left"/>
    </w:pPr>
    <w:rPr>
      <w:kern w:val="0"/>
      <w:sz w:val="24"/>
      <w:szCs w:val="20"/>
    </w:rPr>
  </w:style>
  <w:style w:type="paragraph" w:styleId="18">
    <w:name w:val="Normal Indent"/>
    <w:basedOn w:val="1"/>
    <w:link w:val="70"/>
    <w:qFormat/>
    <w:uiPriority w:val="0"/>
    <w:pPr>
      <w:ind w:firstLine="420"/>
    </w:pPr>
    <w:rPr>
      <w:rFonts w:asciiTheme="minorHAnsi" w:hAnsiTheme="minorHAnsi" w:cstheme="minorBidi"/>
      <w:szCs w:val="22"/>
    </w:rPr>
  </w:style>
  <w:style w:type="paragraph" w:styleId="19">
    <w:name w:val="caption"/>
    <w:basedOn w:val="1"/>
    <w:next w:val="1"/>
    <w:qFormat/>
    <w:uiPriority w:val="0"/>
    <w:pPr>
      <w:spacing w:before="152" w:after="160"/>
    </w:pPr>
    <w:rPr>
      <w:rFonts w:ascii="Arial" w:hAnsi="Arial" w:eastAsia="黑体" w:cs="Arial"/>
      <w:sz w:val="20"/>
      <w:szCs w:val="20"/>
    </w:rPr>
  </w:style>
  <w:style w:type="paragraph" w:styleId="20">
    <w:name w:val="Document Map"/>
    <w:basedOn w:val="1"/>
    <w:link w:val="71"/>
    <w:qFormat/>
    <w:uiPriority w:val="0"/>
    <w:rPr>
      <w:rFonts w:ascii="宋体" w:hAnsiTheme="minorHAnsi" w:eastAsiaTheme="minorEastAsia" w:cstheme="minorBidi"/>
      <w:sz w:val="18"/>
      <w:szCs w:val="18"/>
    </w:rPr>
  </w:style>
  <w:style w:type="paragraph" w:styleId="21">
    <w:name w:val="annotation text"/>
    <w:basedOn w:val="1"/>
    <w:link w:val="72"/>
    <w:unhideWhenUsed/>
    <w:qFormat/>
    <w:uiPriority w:val="0"/>
    <w:pPr>
      <w:jc w:val="left"/>
    </w:pPr>
  </w:style>
  <w:style w:type="paragraph" w:styleId="22">
    <w:name w:val="Body Text 3"/>
    <w:basedOn w:val="1"/>
    <w:link w:val="73"/>
    <w:qFormat/>
    <w:uiPriority w:val="0"/>
    <w:pPr>
      <w:snapToGrid w:val="0"/>
      <w:spacing w:before="50" w:after="50"/>
    </w:pPr>
    <w:rPr>
      <w:rFonts w:hAnsi="宋体" w:eastAsia="仿宋_GB2312" w:asciiTheme="minorHAnsi" w:cstheme="minorBidi"/>
      <w:b/>
      <w:bCs/>
      <w:sz w:val="24"/>
      <w:szCs w:val="22"/>
    </w:rPr>
  </w:style>
  <w:style w:type="paragraph" w:styleId="23">
    <w:name w:val="Body Text Indent"/>
    <w:basedOn w:val="1"/>
    <w:next w:val="1"/>
    <w:link w:val="59"/>
    <w:unhideWhenUsed/>
    <w:qFormat/>
    <w:uiPriority w:val="99"/>
    <w:pPr>
      <w:spacing w:after="120"/>
      <w:ind w:left="420" w:leftChars="200"/>
    </w:pPr>
  </w:style>
  <w:style w:type="paragraph" w:styleId="24">
    <w:name w:val="List Number 3"/>
    <w:basedOn w:val="1"/>
    <w:qFormat/>
    <w:uiPriority w:val="0"/>
    <w:pPr>
      <w:numPr>
        <w:ilvl w:val="0"/>
        <w:numId w:val="2"/>
      </w:numPr>
    </w:pPr>
  </w:style>
  <w:style w:type="paragraph" w:styleId="25">
    <w:name w:val="List 2"/>
    <w:basedOn w:val="1"/>
    <w:qFormat/>
    <w:uiPriority w:val="0"/>
    <w:pPr>
      <w:ind w:left="100" w:leftChars="200" w:hanging="200" w:hangingChars="200"/>
    </w:pPr>
    <w:rPr>
      <w:sz w:val="28"/>
    </w:rPr>
  </w:style>
  <w:style w:type="paragraph" w:styleId="26">
    <w:name w:val="Block Text"/>
    <w:basedOn w:val="1"/>
    <w:qFormat/>
    <w:uiPriority w:val="0"/>
    <w:pPr>
      <w:adjustRightInd w:val="0"/>
      <w:snapToGrid w:val="0"/>
      <w:spacing w:line="300" w:lineRule="auto"/>
      <w:ind w:left="958" w:right="-120" w:rightChars="-120"/>
      <w:jc w:val="left"/>
    </w:pPr>
    <w:rPr>
      <w:rFonts w:hint="eastAsia" w:ascii="宋体" w:hAnsi="宋体"/>
      <w:sz w:val="28"/>
      <w:szCs w:val="20"/>
    </w:rPr>
  </w:style>
  <w:style w:type="paragraph" w:styleId="27">
    <w:name w:val="toc 5"/>
    <w:basedOn w:val="1"/>
    <w:next w:val="1"/>
    <w:unhideWhenUsed/>
    <w:qFormat/>
    <w:uiPriority w:val="0"/>
    <w:pPr>
      <w:ind w:left="1680" w:leftChars="800"/>
    </w:pPr>
    <w:rPr>
      <w:rFonts w:cs="宋体"/>
      <w:sz w:val="24"/>
    </w:rPr>
  </w:style>
  <w:style w:type="paragraph" w:styleId="28">
    <w:name w:val="toc 3"/>
    <w:basedOn w:val="1"/>
    <w:next w:val="1"/>
    <w:unhideWhenUsed/>
    <w:qFormat/>
    <w:uiPriority w:val="39"/>
    <w:pPr>
      <w:ind w:left="840" w:leftChars="400"/>
    </w:pPr>
    <w:rPr>
      <w:rFonts w:cs="宋体"/>
      <w:sz w:val="24"/>
    </w:rPr>
  </w:style>
  <w:style w:type="paragraph" w:styleId="29">
    <w:name w:val="Plain Text"/>
    <w:basedOn w:val="1"/>
    <w:next w:val="1"/>
    <w:link w:val="75"/>
    <w:qFormat/>
    <w:uiPriority w:val="0"/>
    <w:pPr>
      <w:spacing w:beforeLines="50" w:afterLines="50" w:line="400" w:lineRule="exact"/>
    </w:pPr>
    <w:rPr>
      <w:rFonts w:ascii="宋体" w:hAnsi="Courier New" w:cstheme="minorBidi"/>
      <w:sz w:val="24"/>
    </w:rPr>
  </w:style>
  <w:style w:type="paragraph" w:styleId="30">
    <w:name w:val="toc 8"/>
    <w:basedOn w:val="1"/>
    <w:next w:val="1"/>
    <w:unhideWhenUsed/>
    <w:qFormat/>
    <w:uiPriority w:val="0"/>
    <w:pPr>
      <w:ind w:left="2940" w:leftChars="1400"/>
    </w:pPr>
    <w:rPr>
      <w:rFonts w:cs="宋体"/>
      <w:sz w:val="24"/>
    </w:rPr>
  </w:style>
  <w:style w:type="paragraph" w:styleId="31">
    <w:name w:val="Date"/>
    <w:basedOn w:val="1"/>
    <w:next w:val="1"/>
    <w:link w:val="76"/>
    <w:qFormat/>
    <w:uiPriority w:val="0"/>
    <w:pPr>
      <w:ind w:left="2500" w:leftChars="2500"/>
    </w:pPr>
    <w:rPr>
      <w:rFonts w:eastAsia="楷体_GB2312" w:asciiTheme="minorHAnsi" w:hAnsiTheme="minorHAnsi" w:cstheme="minorBidi"/>
      <w:sz w:val="32"/>
      <w:szCs w:val="22"/>
    </w:rPr>
  </w:style>
  <w:style w:type="paragraph" w:styleId="32">
    <w:name w:val="Body Text Indent 2"/>
    <w:basedOn w:val="1"/>
    <w:link w:val="77"/>
    <w:qFormat/>
    <w:uiPriority w:val="0"/>
    <w:pPr>
      <w:snapToGrid w:val="0"/>
      <w:ind w:firstLine="542" w:firstLineChars="225"/>
    </w:pPr>
    <w:rPr>
      <w:rFonts w:ascii="仿宋_GB2312" w:hAnsi="宋体" w:cs="Arial" w:eastAsiaTheme="minorEastAsia"/>
      <w:b/>
      <w:bCs/>
      <w:color w:val="000000"/>
      <w:sz w:val="24"/>
    </w:rPr>
  </w:style>
  <w:style w:type="paragraph" w:styleId="33">
    <w:name w:val="Balloon Text"/>
    <w:basedOn w:val="1"/>
    <w:link w:val="78"/>
    <w:qFormat/>
    <w:uiPriority w:val="99"/>
    <w:rPr>
      <w:rFonts w:asciiTheme="minorHAnsi" w:hAnsiTheme="minorHAnsi" w:eastAsiaTheme="minorEastAsia" w:cstheme="minorBidi"/>
      <w:sz w:val="18"/>
      <w:szCs w:val="18"/>
    </w:rPr>
  </w:style>
  <w:style w:type="paragraph" w:styleId="34">
    <w:name w:val="footer"/>
    <w:basedOn w:val="1"/>
    <w:link w:val="79"/>
    <w:qFormat/>
    <w:uiPriority w:val="99"/>
    <w:pPr>
      <w:tabs>
        <w:tab w:val="center" w:pos="4153"/>
        <w:tab w:val="right" w:pos="8306"/>
      </w:tabs>
      <w:snapToGrid w:val="0"/>
      <w:jc w:val="left"/>
    </w:pPr>
    <w:rPr>
      <w:rFonts w:eastAsia="黑体" w:asciiTheme="minorHAnsi" w:hAnsiTheme="minorHAnsi" w:cstheme="minorBidi"/>
      <w:snapToGrid w:val="0"/>
      <w:sz w:val="18"/>
      <w:szCs w:val="18"/>
    </w:rPr>
  </w:style>
  <w:style w:type="paragraph" w:styleId="35">
    <w:name w:val="header"/>
    <w:basedOn w:val="1"/>
    <w:link w:val="80"/>
    <w:qFormat/>
    <w:uiPriority w:val="0"/>
    <w:pPr>
      <w:pBdr>
        <w:bottom w:val="single" w:color="auto" w:sz="6" w:space="1"/>
      </w:pBdr>
      <w:tabs>
        <w:tab w:val="center" w:pos="4153"/>
        <w:tab w:val="right" w:pos="8306"/>
      </w:tabs>
      <w:snapToGrid w:val="0"/>
      <w:jc w:val="center"/>
    </w:pPr>
    <w:rPr>
      <w:rFonts w:eastAsia="仿宋_GB2312" w:asciiTheme="minorHAnsi" w:hAnsiTheme="minorHAnsi" w:cstheme="minorBidi"/>
      <w:sz w:val="18"/>
      <w:szCs w:val="22"/>
    </w:rPr>
  </w:style>
  <w:style w:type="paragraph" w:styleId="36">
    <w:name w:val="toc 1"/>
    <w:basedOn w:val="1"/>
    <w:next w:val="1"/>
    <w:qFormat/>
    <w:uiPriority w:val="39"/>
  </w:style>
  <w:style w:type="paragraph" w:styleId="37">
    <w:name w:val="toc 4"/>
    <w:basedOn w:val="1"/>
    <w:next w:val="1"/>
    <w:unhideWhenUsed/>
    <w:qFormat/>
    <w:uiPriority w:val="0"/>
    <w:pPr>
      <w:ind w:left="1260" w:leftChars="600"/>
    </w:pPr>
    <w:rPr>
      <w:rFonts w:cs="宋体"/>
      <w:sz w:val="24"/>
    </w:rPr>
  </w:style>
  <w:style w:type="paragraph" w:styleId="38">
    <w:name w:val="Subtitle"/>
    <w:basedOn w:val="1"/>
    <w:next w:val="1"/>
    <w:link w:val="81"/>
    <w:qFormat/>
    <w:uiPriority w:val="0"/>
    <w:pPr>
      <w:jc w:val="left"/>
    </w:pPr>
    <w:rPr>
      <w:rFonts w:ascii="Cambria" w:hAnsi="Cambria" w:cs="宋体" w:eastAsiaTheme="minorEastAsia"/>
      <w:bCs/>
      <w:kern w:val="28"/>
      <w:sz w:val="18"/>
      <w:szCs w:val="32"/>
    </w:rPr>
  </w:style>
  <w:style w:type="paragraph" w:styleId="39">
    <w:name w:val="List"/>
    <w:basedOn w:val="1"/>
    <w:link w:val="358"/>
    <w:qFormat/>
    <w:uiPriority w:val="0"/>
    <w:pPr>
      <w:ind w:left="200" w:hanging="200" w:hangingChars="200"/>
    </w:pPr>
    <w:rPr>
      <w:sz w:val="28"/>
    </w:rPr>
  </w:style>
  <w:style w:type="paragraph" w:styleId="40">
    <w:name w:val="toc 6"/>
    <w:basedOn w:val="1"/>
    <w:next w:val="1"/>
    <w:unhideWhenUsed/>
    <w:qFormat/>
    <w:uiPriority w:val="0"/>
    <w:pPr>
      <w:ind w:left="2100" w:leftChars="1000"/>
    </w:pPr>
    <w:rPr>
      <w:rFonts w:cs="宋体"/>
      <w:sz w:val="24"/>
    </w:rPr>
  </w:style>
  <w:style w:type="paragraph" w:styleId="41">
    <w:name w:val="Body Text Indent 3"/>
    <w:basedOn w:val="1"/>
    <w:link w:val="82"/>
    <w:qFormat/>
    <w:uiPriority w:val="0"/>
    <w:pPr>
      <w:snapToGrid w:val="0"/>
      <w:ind w:firstLine="480" w:firstLineChars="200"/>
      <w:jc w:val="left"/>
    </w:pPr>
    <w:rPr>
      <w:rFonts w:ascii="仿宋_GB2312" w:hAnsi="宋体" w:eastAsia="仿宋_GB2312" w:cstheme="minorBidi"/>
      <w:color w:val="000000"/>
      <w:sz w:val="24"/>
    </w:rPr>
  </w:style>
  <w:style w:type="paragraph" w:styleId="42">
    <w:name w:val="toc 2"/>
    <w:basedOn w:val="1"/>
    <w:next w:val="1"/>
    <w:qFormat/>
    <w:uiPriority w:val="39"/>
    <w:pPr>
      <w:ind w:left="420" w:leftChars="200"/>
    </w:pPr>
  </w:style>
  <w:style w:type="paragraph" w:styleId="43">
    <w:name w:val="toc 9"/>
    <w:basedOn w:val="1"/>
    <w:next w:val="1"/>
    <w:unhideWhenUsed/>
    <w:qFormat/>
    <w:uiPriority w:val="0"/>
    <w:pPr>
      <w:ind w:left="3360" w:leftChars="1600"/>
    </w:pPr>
    <w:rPr>
      <w:rFonts w:cs="宋体"/>
      <w:sz w:val="24"/>
    </w:rPr>
  </w:style>
  <w:style w:type="paragraph" w:styleId="44">
    <w:name w:val="Body Text 2"/>
    <w:basedOn w:val="1"/>
    <w:link w:val="83"/>
    <w:qFormat/>
    <w:uiPriority w:val="0"/>
    <w:pPr>
      <w:widowControl/>
      <w:snapToGrid w:val="0"/>
      <w:spacing w:before="50" w:afterLines="50" w:line="400" w:lineRule="exact"/>
      <w:jc w:val="left"/>
    </w:pPr>
    <w:rPr>
      <w:rFonts w:ascii="宋体" w:hAnsi="宋体" w:eastAsiaTheme="minorEastAsia" w:cstheme="minorBidi"/>
      <w:color w:val="000000"/>
      <w:sz w:val="24"/>
    </w:rPr>
  </w:style>
  <w:style w:type="paragraph" w:styleId="45">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46">
    <w:name w:val="Title"/>
    <w:basedOn w:val="1"/>
    <w:next w:val="1"/>
    <w:link w:val="84"/>
    <w:qFormat/>
    <w:uiPriority w:val="0"/>
    <w:pPr>
      <w:spacing w:before="240" w:after="60"/>
      <w:jc w:val="center"/>
      <w:outlineLvl w:val="0"/>
    </w:pPr>
    <w:rPr>
      <w:rFonts w:ascii="Calibri Light" w:hAnsi="Calibri Light" w:eastAsiaTheme="minorEastAsia" w:cstheme="minorBidi"/>
      <w:b/>
      <w:bCs/>
      <w:sz w:val="32"/>
      <w:szCs w:val="32"/>
    </w:rPr>
  </w:style>
  <w:style w:type="paragraph" w:styleId="47">
    <w:name w:val="annotation subject"/>
    <w:basedOn w:val="21"/>
    <w:next w:val="21"/>
    <w:link w:val="85"/>
    <w:qFormat/>
    <w:uiPriority w:val="0"/>
    <w:rPr>
      <w:rFonts w:asciiTheme="minorHAnsi" w:hAnsiTheme="minorHAnsi" w:eastAsiaTheme="minorEastAsia" w:cstheme="minorBidi"/>
      <w:b/>
      <w:bCs/>
    </w:rPr>
  </w:style>
  <w:style w:type="paragraph" w:styleId="48">
    <w:name w:val="Body Text First Indent 2"/>
    <w:basedOn w:val="23"/>
    <w:link w:val="60"/>
    <w:qFormat/>
    <w:uiPriority w:val="0"/>
    <w:pPr>
      <w:ind w:firstLine="420" w:firstLineChars="200"/>
    </w:pPr>
    <w:rPr>
      <w:rFonts w:ascii="宋体" w:hAnsi="Courier New" w:eastAsiaTheme="minorEastAsia" w:cstheme="minorBidi"/>
      <w:spacing w:val="-4"/>
    </w:rPr>
  </w:style>
  <w:style w:type="table" w:styleId="50">
    <w:name w:val="Table Grid"/>
    <w:basedOn w:val="49"/>
    <w:qFormat/>
    <w:uiPriority w:val="0"/>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52">
    <w:name w:val="Strong"/>
    <w:qFormat/>
    <w:uiPriority w:val="22"/>
    <w:rPr>
      <w:b/>
      <w:bCs/>
    </w:rPr>
  </w:style>
  <w:style w:type="character" w:styleId="53">
    <w:name w:val="page number"/>
    <w:basedOn w:val="51"/>
    <w:qFormat/>
    <w:uiPriority w:val="0"/>
  </w:style>
  <w:style w:type="character" w:styleId="54">
    <w:name w:val="FollowedHyperlink"/>
    <w:qFormat/>
    <w:uiPriority w:val="0"/>
    <w:rPr>
      <w:color w:val="800080"/>
      <w:u w:val="single"/>
    </w:rPr>
  </w:style>
  <w:style w:type="character" w:styleId="55">
    <w:name w:val="Emphasis"/>
    <w:qFormat/>
    <w:uiPriority w:val="20"/>
    <w:rPr>
      <w:i/>
      <w:iCs/>
    </w:rPr>
  </w:style>
  <w:style w:type="character" w:styleId="56">
    <w:name w:val="Hyperlink"/>
    <w:qFormat/>
    <w:uiPriority w:val="99"/>
    <w:rPr>
      <w:color w:val="0000FF"/>
      <w:u w:val="single"/>
    </w:rPr>
  </w:style>
  <w:style w:type="character" w:styleId="57">
    <w:name w:val="annotation reference"/>
    <w:qFormat/>
    <w:uiPriority w:val="0"/>
    <w:rPr>
      <w:sz w:val="21"/>
      <w:szCs w:val="21"/>
    </w:rPr>
  </w:style>
  <w:style w:type="paragraph" w:customStyle="1" w:styleId="58">
    <w:name w:val="无间距1"/>
    <w:qFormat/>
    <w:uiPriority w:val="0"/>
    <w:pPr>
      <w:widowControl w:val="0"/>
      <w:jc w:val="both"/>
    </w:pPr>
    <w:rPr>
      <w:rFonts w:ascii="Calibri" w:hAnsi="Calibri" w:eastAsia="微软雅黑 Light" w:cs="Times New Roman"/>
      <w:kern w:val="2"/>
      <w:sz w:val="24"/>
      <w:szCs w:val="22"/>
      <w:lang w:val="en-US" w:eastAsia="zh-CN" w:bidi="ar-SA"/>
    </w:rPr>
  </w:style>
  <w:style w:type="character" w:customStyle="1" w:styleId="59">
    <w:name w:val="正文文本缩进 Char3"/>
    <w:basedOn w:val="51"/>
    <w:link w:val="23"/>
    <w:qFormat/>
    <w:uiPriority w:val="99"/>
    <w:rPr>
      <w:rFonts w:ascii="Calibri" w:hAnsi="Calibri" w:eastAsia="宋体" w:cs="Times New Roman"/>
      <w:szCs w:val="24"/>
    </w:rPr>
  </w:style>
  <w:style w:type="character" w:customStyle="1" w:styleId="60">
    <w:name w:val="正文首行缩进 2 Char2"/>
    <w:link w:val="48"/>
    <w:qFormat/>
    <w:uiPriority w:val="0"/>
    <w:rPr>
      <w:rFonts w:ascii="宋体" w:hAnsi="Courier New"/>
      <w:spacing w:val="-4"/>
      <w:szCs w:val="24"/>
    </w:rPr>
  </w:style>
  <w:style w:type="character" w:customStyle="1" w:styleId="61">
    <w:name w:val="标题 1 Char1"/>
    <w:link w:val="4"/>
    <w:qFormat/>
    <w:uiPriority w:val="0"/>
    <w:rPr>
      <w:rFonts w:ascii="Calibri" w:hAnsi="Calibri" w:eastAsia="宋体" w:cs="Times New Roman"/>
      <w:b/>
      <w:bCs/>
      <w:kern w:val="44"/>
      <w:sz w:val="32"/>
      <w:szCs w:val="44"/>
      <w:lang w:val="zh-CN" w:eastAsia="zh-CN"/>
    </w:rPr>
  </w:style>
  <w:style w:type="character" w:customStyle="1" w:styleId="62">
    <w:name w:val="标题 2 Char2"/>
    <w:link w:val="5"/>
    <w:qFormat/>
    <w:uiPriority w:val="9"/>
    <w:rPr>
      <w:rFonts w:ascii="Arial" w:hAnsi="Arial" w:eastAsia="黑体" w:cs="Times New Roman"/>
      <w:b/>
      <w:bCs/>
      <w:sz w:val="32"/>
      <w:szCs w:val="32"/>
      <w:lang w:val="zh-CN" w:eastAsia="zh-CN"/>
    </w:rPr>
  </w:style>
  <w:style w:type="character" w:customStyle="1" w:styleId="63">
    <w:name w:val="标题 3 Char1"/>
    <w:link w:val="7"/>
    <w:qFormat/>
    <w:uiPriority w:val="9"/>
    <w:rPr>
      <w:rFonts w:ascii="Calibri" w:hAnsi="Calibri" w:eastAsia="宋体" w:cs="Times New Roman"/>
      <w:b/>
      <w:bCs/>
      <w:sz w:val="32"/>
      <w:szCs w:val="32"/>
      <w:lang w:val="zh-CN" w:eastAsia="zh-CN"/>
    </w:rPr>
  </w:style>
  <w:style w:type="character" w:customStyle="1" w:styleId="64">
    <w:name w:val="标题 4 Char1"/>
    <w:link w:val="8"/>
    <w:qFormat/>
    <w:uiPriority w:val="0"/>
    <w:rPr>
      <w:rFonts w:ascii="Arial" w:hAnsi="Arial" w:eastAsia="黑体" w:cs="Times New Roman"/>
      <w:b/>
      <w:bCs/>
      <w:kern w:val="0"/>
      <w:sz w:val="28"/>
      <w:szCs w:val="28"/>
      <w:lang w:val="zh-CN" w:eastAsia="zh-CN"/>
    </w:rPr>
  </w:style>
  <w:style w:type="character" w:customStyle="1" w:styleId="65">
    <w:name w:val="标题 5 Char1"/>
    <w:link w:val="9"/>
    <w:qFormat/>
    <w:uiPriority w:val="0"/>
    <w:rPr>
      <w:rFonts w:ascii="楷体_GB2312" w:hAnsi="Calibri" w:eastAsia="楷体_GB2312" w:cs="Times New Roman"/>
      <w:b/>
      <w:bCs/>
      <w:kern w:val="0"/>
      <w:sz w:val="24"/>
      <w:szCs w:val="28"/>
      <w:lang w:val="zh-CN" w:eastAsia="zh-CN"/>
    </w:rPr>
  </w:style>
  <w:style w:type="character" w:customStyle="1" w:styleId="66">
    <w:name w:val="标题 6 Char1"/>
    <w:link w:val="10"/>
    <w:qFormat/>
    <w:uiPriority w:val="0"/>
    <w:rPr>
      <w:rFonts w:ascii="Calibri" w:hAnsi="Calibri" w:eastAsia="宋体" w:cs="Times New Roman"/>
      <w:kern w:val="0"/>
      <w:sz w:val="24"/>
      <w:szCs w:val="20"/>
      <w:lang w:val="zh-CN" w:eastAsia="zh-CN"/>
    </w:rPr>
  </w:style>
  <w:style w:type="character" w:customStyle="1" w:styleId="67">
    <w:name w:val="标题 7 Char1"/>
    <w:link w:val="11"/>
    <w:qFormat/>
    <w:uiPriority w:val="0"/>
    <w:rPr>
      <w:rFonts w:ascii="Calibri" w:hAnsi="Calibri" w:eastAsia="宋体" w:cs="Times New Roman"/>
      <w:kern w:val="0"/>
      <w:sz w:val="24"/>
      <w:szCs w:val="20"/>
      <w:lang w:val="zh-CN" w:eastAsia="zh-CN"/>
    </w:rPr>
  </w:style>
  <w:style w:type="character" w:customStyle="1" w:styleId="68">
    <w:name w:val="标题 8 Char1"/>
    <w:link w:val="12"/>
    <w:qFormat/>
    <w:uiPriority w:val="0"/>
    <w:rPr>
      <w:rFonts w:ascii="Calibri" w:hAnsi="Calibri" w:eastAsia="宋体" w:cs="Times New Roman"/>
      <w:kern w:val="0"/>
      <w:sz w:val="24"/>
      <w:szCs w:val="20"/>
      <w:lang w:val="zh-CN" w:eastAsia="zh-CN"/>
    </w:rPr>
  </w:style>
  <w:style w:type="character" w:customStyle="1" w:styleId="69">
    <w:name w:val="标题 9 Char1"/>
    <w:link w:val="13"/>
    <w:qFormat/>
    <w:uiPriority w:val="0"/>
    <w:rPr>
      <w:rFonts w:ascii="Calibri" w:hAnsi="Calibri" w:eastAsia="宋体" w:cs="Times New Roman"/>
      <w:kern w:val="0"/>
      <w:sz w:val="24"/>
      <w:szCs w:val="20"/>
      <w:lang w:val="zh-CN" w:eastAsia="zh-CN"/>
    </w:rPr>
  </w:style>
  <w:style w:type="character" w:customStyle="1" w:styleId="70">
    <w:name w:val="正文缩进 Char1"/>
    <w:link w:val="18"/>
    <w:qFormat/>
    <w:uiPriority w:val="0"/>
    <w:rPr>
      <w:rFonts w:eastAsia="宋体"/>
    </w:rPr>
  </w:style>
  <w:style w:type="character" w:customStyle="1" w:styleId="71">
    <w:name w:val="文档结构图 Char3"/>
    <w:link w:val="20"/>
    <w:qFormat/>
    <w:uiPriority w:val="0"/>
    <w:rPr>
      <w:rFonts w:ascii="宋体"/>
      <w:sz w:val="18"/>
      <w:szCs w:val="18"/>
    </w:rPr>
  </w:style>
  <w:style w:type="character" w:customStyle="1" w:styleId="72">
    <w:name w:val="批注文字 Char3"/>
    <w:basedOn w:val="51"/>
    <w:link w:val="21"/>
    <w:semiHidden/>
    <w:qFormat/>
    <w:uiPriority w:val="99"/>
    <w:rPr>
      <w:rFonts w:ascii="Calibri" w:hAnsi="Calibri" w:eastAsia="宋体" w:cs="Times New Roman"/>
      <w:szCs w:val="24"/>
    </w:rPr>
  </w:style>
  <w:style w:type="character" w:customStyle="1" w:styleId="73">
    <w:name w:val="正文文本 3 Char3"/>
    <w:link w:val="22"/>
    <w:qFormat/>
    <w:uiPriority w:val="0"/>
    <w:rPr>
      <w:rFonts w:hAnsi="宋体" w:eastAsia="仿宋_GB2312"/>
      <w:b/>
      <w:bCs/>
      <w:sz w:val="24"/>
    </w:rPr>
  </w:style>
  <w:style w:type="character" w:customStyle="1" w:styleId="74">
    <w:name w:val="正文文本 Char3"/>
    <w:link w:val="2"/>
    <w:qFormat/>
    <w:uiPriority w:val="0"/>
    <w:rPr>
      <w:sz w:val="28"/>
      <w:szCs w:val="24"/>
    </w:rPr>
  </w:style>
  <w:style w:type="character" w:customStyle="1" w:styleId="75">
    <w:name w:val="纯文本 Char5"/>
    <w:link w:val="29"/>
    <w:qFormat/>
    <w:uiPriority w:val="0"/>
    <w:rPr>
      <w:rFonts w:ascii="宋体" w:hAnsi="Courier New" w:eastAsia="宋体"/>
      <w:sz w:val="24"/>
      <w:szCs w:val="24"/>
    </w:rPr>
  </w:style>
  <w:style w:type="character" w:customStyle="1" w:styleId="76">
    <w:name w:val="日期 Char3"/>
    <w:link w:val="31"/>
    <w:qFormat/>
    <w:uiPriority w:val="0"/>
    <w:rPr>
      <w:rFonts w:eastAsia="楷体_GB2312"/>
      <w:sz w:val="32"/>
    </w:rPr>
  </w:style>
  <w:style w:type="character" w:customStyle="1" w:styleId="77">
    <w:name w:val="正文文本缩进 2 Char3"/>
    <w:link w:val="32"/>
    <w:qFormat/>
    <w:uiPriority w:val="0"/>
    <w:rPr>
      <w:rFonts w:ascii="仿宋_GB2312" w:hAnsi="宋体" w:cs="Arial"/>
      <w:b/>
      <w:bCs/>
      <w:color w:val="000000"/>
      <w:sz w:val="24"/>
      <w:szCs w:val="24"/>
    </w:rPr>
  </w:style>
  <w:style w:type="character" w:customStyle="1" w:styleId="78">
    <w:name w:val="批注框文本 Char3"/>
    <w:link w:val="33"/>
    <w:qFormat/>
    <w:locked/>
    <w:uiPriority w:val="99"/>
    <w:rPr>
      <w:sz w:val="18"/>
      <w:szCs w:val="18"/>
    </w:rPr>
  </w:style>
  <w:style w:type="character" w:customStyle="1" w:styleId="79">
    <w:name w:val="页脚 Char3"/>
    <w:link w:val="34"/>
    <w:qFormat/>
    <w:locked/>
    <w:uiPriority w:val="99"/>
    <w:rPr>
      <w:rFonts w:eastAsia="黑体"/>
      <w:snapToGrid w:val="0"/>
      <w:sz w:val="18"/>
      <w:szCs w:val="18"/>
    </w:rPr>
  </w:style>
  <w:style w:type="character" w:customStyle="1" w:styleId="80">
    <w:name w:val="页眉 Char3"/>
    <w:link w:val="35"/>
    <w:qFormat/>
    <w:uiPriority w:val="99"/>
    <w:rPr>
      <w:rFonts w:eastAsia="仿宋_GB2312"/>
      <w:sz w:val="18"/>
    </w:rPr>
  </w:style>
  <w:style w:type="character" w:customStyle="1" w:styleId="81">
    <w:name w:val="副标题 Char3"/>
    <w:link w:val="38"/>
    <w:qFormat/>
    <w:uiPriority w:val="0"/>
    <w:rPr>
      <w:rFonts w:ascii="Cambria" w:hAnsi="Cambria" w:cs="宋体"/>
      <w:bCs/>
      <w:kern w:val="28"/>
      <w:sz w:val="18"/>
      <w:szCs w:val="32"/>
    </w:rPr>
  </w:style>
  <w:style w:type="character" w:customStyle="1" w:styleId="82">
    <w:name w:val="正文文本缩进 3 Char3"/>
    <w:link w:val="41"/>
    <w:qFormat/>
    <w:uiPriority w:val="0"/>
    <w:rPr>
      <w:rFonts w:ascii="仿宋_GB2312" w:hAnsi="宋体" w:eastAsia="仿宋_GB2312"/>
      <w:color w:val="000000"/>
      <w:sz w:val="24"/>
      <w:szCs w:val="24"/>
    </w:rPr>
  </w:style>
  <w:style w:type="character" w:customStyle="1" w:styleId="83">
    <w:name w:val="正文文本 2 Char3"/>
    <w:link w:val="44"/>
    <w:qFormat/>
    <w:uiPriority w:val="0"/>
    <w:rPr>
      <w:rFonts w:ascii="宋体" w:hAnsi="宋体"/>
      <w:color w:val="000000"/>
      <w:sz w:val="24"/>
      <w:szCs w:val="24"/>
    </w:rPr>
  </w:style>
  <w:style w:type="character" w:customStyle="1" w:styleId="84">
    <w:name w:val="标题 Char4"/>
    <w:link w:val="46"/>
    <w:qFormat/>
    <w:uiPriority w:val="0"/>
    <w:rPr>
      <w:rFonts w:ascii="Calibri Light" w:hAnsi="Calibri Light"/>
      <w:b/>
      <w:bCs/>
      <w:sz w:val="32"/>
      <w:szCs w:val="32"/>
    </w:rPr>
  </w:style>
  <w:style w:type="character" w:customStyle="1" w:styleId="85">
    <w:name w:val="批注主题 Char4"/>
    <w:link w:val="47"/>
    <w:qFormat/>
    <w:uiPriority w:val="0"/>
    <w:rPr>
      <w:b/>
      <w:bCs/>
      <w:szCs w:val="24"/>
    </w:rPr>
  </w:style>
  <w:style w:type="character" w:customStyle="1" w:styleId="86">
    <w:name w:val="标题 1 Char"/>
    <w:basedOn w:val="51"/>
    <w:qFormat/>
    <w:uiPriority w:val="9"/>
    <w:rPr>
      <w:rFonts w:ascii="Calibri" w:hAnsi="Calibri" w:eastAsia="宋体" w:cs="Times New Roman"/>
      <w:b/>
      <w:bCs/>
      <w:kern w:val="44"/>
      <w:sz w:val="44"/>
      <w:szCs w:val="44"/>
    </w:rPr>
  </w:style>
  <w:style w:type="character" w:customStyle="1" w:styleId="87">
    <w:name w:val="标题 2 Char"/>
    <w:basedOn w:val="51"/>
    <w:qFormat/>
    <w:uiPriority w:val="9"/>
    <w:rPr>
      <w:rFonts w:asciiTheme="majorHAnsi" w:hAnsiTheme="majorHAnsi" w:eastAsiaTheme="majorEastAsia" w:cstheme="majorBidi"/>
      <w:b/>
      <w:bCs/>
      <w:sz w:val="32"/>
      <w:szCs w:val="32"/>
    </w:rPr>
  </w:style>
  <w:style w:type="character" w:customStyle="1" w:styleId="88">
    <w:name w:val="标题 3 Char"/>
    <w:basedOn w:val="51"/>
    <w:qFormat/>
    <w:uiPriority w:val="9"/>
    <w:rPr>
      <w:rFonts w:ascii="Calibri" w:hAnsi="Calibri" w:eastAsia="宋体" w:cs="Times New Roman"/>
      <w:b/>
      <w:bCs/>
      <w:sz w:val="32"/>
      <w:szCs w:val="32"/>
    </w:rPr>
  </w:style>
  <w:style w:type="character" w:customStyle="1" w:styleId="89">
    <w:name w:val="标题 4 Char"/>
    <w:basedOn w:val="51"/>
    <w:qFormat/>
    <w:uiPriority w:val="0"/>
    <w:rPr>
      <w:rFonts w:asciiTheme="majorHAnsi" w:hAnsiTheme="majorHAnsi" w:eastAsiaTheme="majorEastAsia" w:cstheme="majorBidi"/>
      <w:b/>
      <w:bCs/>
      <w:sz w:val="28"/>
      <w:szCs w:val="28"/>
    </w:rPr>
  </w:style>
  <w:style w:type="character" w:customStyle="1" w:styleId="90">
    <w:name w:val="标题 5 Char"/>
    <w:basedOn w:val="51"/>
    <w:qFormat/>
    <w:uiPriority w:val="0"/>
    <w:rPr>
      <w:rFonts w:ascii="Calibri" w:hAnsi="Calibri" w:eastAsia="宋体" w:cs="Times New Roman"/>
      <w:b/>
      <w:bCs/>
      <w:sz w:val="28"/>
      <w:szCs w:val="28"/>
    </w:rPr>
  </w:style>
  <w:style w:type="character" w:customStyle="1" w:styleId="91">
    <w:name w:val="标题 6 Char"/>
    <w:basedOn w:val="51"/>
    <w:qFormat/>
    <w:uiPriority w:val="0"/>
    <w:rPr>
      <w:rFonts w:asciiTheme="majorHAnsi" w:hAnsiTheme="majorHAnsi" w:eastAsiaTheme="majorEastAsia" w:cstheme="majorBidi"/>
      <w:b/>
      <w:bCs/>
      <w:sz w:val="24"/>
      <w:szCs w:val="24"/>
    </w:rPr>
  </w:style>
  <w:style w:type="character" w:customStyle="1" w:styleId="92">
    <w:name w:val="标题 7 Char"/>
    <w:basedOn w:val="51"/>
    <w:qFormat/>
    <w:uiPriority w:val="0"/>
    <w:rPr>
      <w:rFonts w:ascii="Calibri" w:hAnsi="Calibri" w:eastAsia="宋体" w:cs="Times New Roman"/>
      <w:b/>
      <w:bCs/>
      <w:sz w:val="24"/>
      <w:szCs w:val="24"/>
    </w:rPr>
  </w:style>
  <w:style w:type="character" w:customStyle="1" w:styleId="93">
    <w:name w:val="标题 8 Char"/>
    <w:basedOn w:val="51"/>
    <w:qFormat/>
    <w:uiPriority w:val="0"/>
    <w:rPr>
      <w:rFonts w:asciiTheme="majorHAnsi" w:hAnsiTheme="majorHAnsi" w:eastAsiaTheme="majorEastAsia" w:cstheme="majorBidi"/>
      <w:sz w:val="24"/>
      <w:szCs w:val="24"/>
    </w:rPr>
  </w:style>
  <w:style w:type="character" w:customStyle="1" w:styleId="94">
    <w:name w:val="标题 9 Char"/>
    <w:basedOn w:val="51"/>
    <w:qFormat/>
    <w:uiPriority w:val="0"/>
    <w:rPr>
      <w:rFonts w:asciiTheme="majorHAnsi" w:hAnsiTheme="majorHAnsi" w:eastAsiaTheme="majorEastAsia" w:cstheme="majorBidi"/>
      <w:szCs w:val="21"/>
    </w:rPr>
  </w:style>
  <w:style w:type="character" w:customStyle="1" w:styleId="95">
    <w:name w:val="纯文本 字符"/>
    <w:qFormat/>
    <w:uiPriority w:val="0"/>
    <w:rPr>
      <w:rFonts w:ascii="宋体" w:hAnsi="Courier New" w:eastAsia="宋体"/>
      <w:kern w:val="2"/>
      <w:sz w:val="21"/>
      <w:lang w:val="en-US" w:eastAsia="zh-CN" w:bidi="ar-SA"/>
    </w:rPr>
  </w:style>
  <w:style w:type="character" w:customStyle="1" w:styleId="96">
    <w:name w:val="列出段落 Char1"/>
    <w:link w:val="97"/>
    <w:qFormat/>
    <w:uiPriority w:val="34"/>
    <w:rPr>
      <w:rFonts w:ascii="Calibri" w:hAnsi="Calibri"/>
      <w:sz w:val="24"/>
    </w:rPr>
  </w:style>
  <w:style w:type="paragraph" w:styleId="97">
    <w:name w:val="List Paragraph"/>
    <w:basedOn w:val="1"/>
    <w:link w:val="96"/>
    <w:qFormat/>
    <w:uiPriority w:val="34"/>
    <w:pPr>
      <w:spacing w:line="360" w:lineRule="auto"/>
      <w:ind w:firstLine="420" w:firstLineChars="200"/>
    </w:pPr>
    <w:rPr>
      <w:rFonts w:eastAsiaTheme="minorEastAsia" w:cstheme="minorBidi"/>
      <w:sz w:val="24"/>
      <w:szCs w:val="22"/>
    </w:rPr>
  </w:style>
  <w:style w:type="character" w:customStyle="1" w:styleId="98">
    <w:name w:val="日期 Char1"/>
    <w:qFormat/>
    <w:uiPriority w:val="0"/>
    <w:rPr>
      <w:kern w:val="2"/>
      <w:sz w:val="21"/>
      <w:szCs w:val="24"/>
    </w:rPr>
  </w:style>
  <w:style w:type="character" w:customStyle="1" w:styleId="99">
    <w:name w:val="正文文本 Char1"/>
    <w:qFormat/>
    <w:uiPriority w:val="0"/>
    <w:rPr>
      <w:kern w:val="2"/>
      <w:sz w:val="21"/>
      <w:szCs w:val="24"/>
    </w:rPr>
  </w:style>
  <w:style w:type="character" w:customStyle="1" w:styleId="100">
    <w:name w:val="para1"/>
    <w:qFormat/>
    <w:uiPriority w:val="99"/>
    <w:rPr>
      <w:rFonts w:hint="default" w:ascii="Arial" w:hAnsi="Arial" w:cs="Arial"/>
      <w:sz w:val="18"/>
      <w:szCs w:val="18"/>
    </w:rPr>
  </w:style>
  <w:style w:type="character" w:customStyle="1" w:styleId="101">
    <w:name w:val="页脚 Char"/>
    <w:qFormat/>
    <w:locked/>
    <w:uiPriority w:val="99"/>
    <w:rPr>
      <w:rFonts w:eastAsia="黑体"/>
      <w:snapToGrid w:val="0"/>
      <w:sz w:val="18"/>
      <w:szCs w:val="18"/>
    </w:rPr>
  </w:style>
  <w:style w:type="character" w:customStyle="1" w:styleId="102">
    <w:name w:val="font31"/>
    <w:qFormat/>
    <w:uiPriority w:val="0"/>
    <w:rPr>
      <w:rFonts w:hint="default" w:ascii="Times New Roman" w:hAnsi="Times New Roman" w:cs="Times New Roman"/>
      <w:b/>
      <w:color w:val="000000"/>
      <w:sz w:val="24"/>
      <w:szCs w:val="24"/>
      <w:u w:val="none"/>
    </w:rPr>
  </w:style>
  <w:style w:type="character" w:customStyle="1" w:styleId="103">
    <w:name w:val="font91"/>
    <w:qFormat/>
    <w:uiPriority w:val="0"/>
    <w:rPr>
      <w:rFonts w:hint="eastAsia" w:ascii="宋体" w:hAnsi="宋体" w:eastAsia="宋体" w:cs="宋体"/>
      <w:b/>
      <w:color w:val="000000"/>
      <w:sz w:val="24"/>
      <w:szCs w:val="24"/>
      <w:u w:val="none"/>
    </w:rPr>
  </w:style>
  <w:style w:type="character" w:customStyle="1" w:styleId="104">
    <w:name w:val="文档结构图 Char1"/>
    <w:semiHidden/>
    <w:qFormat/>
    <w:uiPriority w:val="99"/>
    <w:rPr>
      <w:rFonts w:hint="eastAsia" w:ascii="宋体" w:hAnsi="宋体" w:eastAsia="宋体"/>
      <w:kern w:val="2"/>
      <w:sz w:val="18"/>
      <w:szCs w:val="18"/>
    </w:rPr>
  </w:style>
  <w:style w:type="character" w:customStyle="1" w:styleId="105">
    <w:name w:val="正文2 Char Char"/>
    <w:qFormat/>
    <w:uiPriority w:val="0"/>
    <w:rPr>
      <w:rFonts w:hint="default" w:ascii="Times New Roman" w:hAnsi="Times New Roman" w:cs="Times New Roman"/>
      <w:kern w:val="2"/>
      <w:sz w:val="24"/>
    </w:rPr>
  </w:style>
  <w:style w:type="character" w:customStyle="1" w:styleId="106">
    <w:name w:val="批注主题 Char"/>
    <w:qFormat/>
    <w:uiPriority w:val="0"/>
    <w:rPr>
      <w:b/>
      <w:bCs/>
      <w:kern w:val="2"/>
      <w:sz w:val="21"/>
      <w:szCs w:val="24"/>
    </w:rPr>
  </w:style>
  <w:style w:type="character" w:customStyle="1" w:styleId="107">
    <w:name w:val="正文文本缩进 2 Char1"/>
    <w:qFormat/>
    <w:uiPriority w:val="0"/>
    <w:rPr>
      <w:kern w:val="2"/>
      <w:sz w:val="21"/>
      <w:szCs w:val="24"/>
    </w:rPr>
  </w:style>
  <w:style w:type="character" w:customStyle="1" w:styleId="108">
    <w:name w:val="huei12b1"/>
    <w:qFormat/>
    <w:uiPriority w:val="0"/>
    <w:rPr>
      <w:b/>
      <w:bCs/>
      <w:color w:val="333333"/>
      <w:sz w:val="20"/>
      <w:szCs w:val="20"/>
    </w:rPr>
  </w:style>
  <w:style w:type="character" w:customStyle="1" w:styleId="109">
    <w:name w:val="标题 3 字符1"/>
    <w:qFormat/>
    <w:uiPriority w:val="0"/>
    <w:rPr>
      <w:b/>
      <w:bCs/>
      <w:kern w:val="2"/>
      <w:sz w:val="32"/>
      <w:szCs w:val="32"/>
    </w:rPr>
  </w:style>
  <w:style w:type="character" w:customStyle="1" w:styleId="110">
    <w:name w:val="font61"/>
    <w:qFormat/>
    <w:uiPriority w:val="0"/>
    <w:rPr>
      <w:rFonts w:hint="default" w:ascii="Times New Roman" w:hAnsi="Times New Roman" w:cs="Times New Roman"/>
      <w:color w:val="000000"/>
      <w:sz w:val="24"/>
      <w:szCs w:val="24"/>
      <w:u w:val="none"/>
    </w:rPr>
  </w:style>
  <w:style w:type="character" w:customStyle="1" w:styleId="111">
    <w:name w:val="font81"/>
    <w:qFormat/>
    <w:uiPriority w:val="0"/>
    <w:rPr>
      <w:rFonts w:hint="default" w:ascii="Times New Roman" w:hAnsi="Times New Roman" w:cs="Times New Roman"/>
      <w:b/>
      <w:color w:val="000000"/>
      <w:sz w:val="24"/>
      <w:szCs w:val="24"/>
      <w:u w:val="none"/>
    </w:rPr>
  </w:style>
  <w:style w:type="character" w:customStyle="1" w:styleId="112">
    <w:name w:val="纯文本 字符1"/>
    <w:qFormat/>
    <w:uiPriority w:val="0"/>
    <w:rPr>
      <w:rFonts w:ascii="宋体" w:hAnsi="Courier New" w:eastAsia="宋体"/>
      <w:kern w:val="2"/>
      <w:sz w:val="24"/>
      <w:szCs w:val="24"/>
      <w:lang w:val="en-US" w:eastAsia="zh-CN" w:bidi="ar-SA"/>
    </w:rPr>
  </w:style>
  <w:style w:type="character" w:customStyle="1" w:styleId="113">
    <w:name w:val="font41"/>
    <w:qFormat/>
    <w:uiPriority w:val="0"/>
    <w:rPr>
      <w:rFonts w:ascii="Arial" w:hAnsi="Arial" w:cs="Arial"/>
      <w:color w:val="333333"/>
      <w:sz w:val="18"/>
      <w:szCs w:val="18"/>
      <w:u w:val="none"/>
    </w:rPr>
  </w:style>
  <w:style w:type="character" w:customStyle="1" w:styleId="114">
    <w:name w:val="标题 Char"/>
    <w:qFormat/>
    <w:uiPriority w:val="0"/>
    <w:rPr>
      <w:rFonts w:ascii="Cambria" w:hAnsi="Cambria" w:cs="Times New Roman"/>
      <w:b/>
      <w:bCs/>
      <w:kern w:val="2"/>
      <w:sz w:val="32"/>
      <w:szCs w:val="32"/>
    </w:rPr>
  </w:style>
  <w:style w:type="character" w:customStyle="1" w:styleId="115">
    <w:name w:val="页脚 Char1"/>
    <w:semiHidden/>
    <w:qFormat/>
    <w:uiPriority w:val="99"/>
    <w:rPr>
      <w:kern w:val="2"/>
      <w:sz w:val="18"/>
      <w:szCs w:val="18"/>
    </w:rPr>
  </w:style>
  <w:style w:type="character" w:customStyle="1" w:styleId="116">
    <w:name w:val="无"/>
    <w:qFormat/>
    <w:uiPriority w:val="0"/>
  </w:style>
  <w:style w:type="character" w:customStyle="1" w:styleId="117">
    <w:name w:val="标题 Char1"/>
    <w:qFormat/>
    <w:uiPriority w:val="10"/>
    <w:rPr>
      <w:rFonts w:ascii="Cambria" w:hAnsi="Cambria" w:cs="Times New Roman"/>
      <w:b/>
      <w:bCs/>
      <w:kern w:val="2"/>
      <w:sz w:val="32"/>
      <w:szCs w:val="32"/>
    </w:rPr>
  </w:style>
  <w:style w:type="character" w:customStyle="1" w:styleId="118">
    <w:name w:val="纯文本 Char2"/>
    <w:qFormat/>
    <w:uiPriority w:val="0"/>
    <w:rPr>
      <w:rFonts w:hint="eastAsia" w:ascii="宋体" w:hAnsi="Courier New" w:eastAsia="宋体" w:cs="Courier New"/>
      <w:kern w:val="2"/>
      <w:sz w:val="21"/>
      <w:szCs w:val="21"/>
    </w:rPr>
  </w:style>
  <w:style w:type="character" w:customStyle="1" w:styleId="119">
    <w:name w:val="批注主题 Char2"/>
    <w:qFormat/>
    <w:uiPriority w:val="0"/>
    <w:rPr>
      <w:b/>
      <w:bCs/>
      <w:kern w:val="2"/>
      <w:sz w:val="21"/>
      <w:szCs w:val="24"/>
    </w:rPr>
  </w:style>
  <w:style w:type="character" w:customStyle="1" w:styleId="120">
    <w:name w:val="列出段落 Char"/>
    <w:qFormat/>
    <w:uiPriority w:val="34"/>
    <w:rPr>
      <w:rFonts w:ascii="Calibri" w:hAnsi="Calibri"/>
      <w:kern w:val="2"/>
      <w:sz w:val="24"/>
      <w:szCs w:val="22"/>
    </w:rPr>
  </w:style>
  <w:style w:type="character" w:customStyle="1" w:styleId="121">
    <w:name w:val="批注主题 Char1"/>
    <w:qFormat/>
    <w:uiPriority w:val="0"/>
    <w:rPr>
      <w:b/>
      <w:bCs/>
      <w:kern w:val="2"/>
      <w:sz w:val="21"/>
      <w:szCs w:val="24"/>
    </w:rPr>
  </w:style>
  <w:style w:type="character" w:customStyle="1" w:styleId="122">
    <w:name w:val="批注文字 Char1"/>
    <w:qFormat/>
    <w:uiPriority w:val="0"/>
    <w:rPr>
      <w:kern w:val="2"/>
      <w:sz w:val="21"/>
      <w:szCs w:val="24"/>
    </w:rPr>
  </w:style>
  <w:style w:type="character" w:customStyle="1" w:styleId="123">
    <w:name w:val="段落行文 Char"/>
    <w:link w:val="124"/>
    <w:qFormat/>
    <w:locked/>
    <w:uiPriority w:val="0"/>
    <w:rPr>
      <w:rFonts w:ascii="仿宋_GB2312" w:eastAsia="仿宋_GB2312"/>
      <w:sz w:val="24"/>
      <w:szCs w:val="24"/>
    </w:rPr>
  </w:style>
  <w:style w:type="paragraph" w:customStyle="1" w:styleId="124">
    <w:name w:val="段落行文"/>
    <w:basedOn w:val="1"/>
    <w:link w:val="123"/>
    <w:qFormat/>
    <w:uiPriority w:val="0"/>
    <w:pPr>
      <w:adjustRightInd w:val="0"/>
      <w:snapToGrid w:val="0"/>
      <w:spacing w:line="480" w:lineRule="auto"/>
      <w:ind w:firstLine="480" w:firstLineChars="200"/>
    </w:pPr>
    <w:rPr>
      <w:rFonts w:ascii="仿宋_GB2312" w:eastAsia="仿宋_GB2312" w:hAnsiTheme="minorHAnsi" w:cstheme="minorBidi"/>
      <w:sz w:val="24"/>
    </w:rPr>
  </w:style>
  <w:style w:type="character" w:customStyle="1" w:styleId="125">
    <w:name w:val="标题 Char2"/>
    <w:qFormat/>
    <w:uiPriority w:val="0"/>
    <w:rPr>
      <w:rFonts w:ascii="Calibri Light" w:hAnsi="Calibri Light"/>
      <w:b/>
      <w:bCs/>
      <w:kern w:val="2"/>
      <w:sz w:val="32"/>
      <w:szCs w:val="32"/>
    </w:rPr>
  </w:style>
  <w:style w:type="character" w:customStyle="1" w:styleId="126">
    <w:name w:val="未处理的提及1"/>
    <w:unhideWhenUsed/>
    <w:qFormat/>
    <w:uiPriority w:val="99"/>
    <w:rPr>
      <w:color w:val="605E5C"/>
      <w:shd w:val="clear" w:color="auto" w:fill="E1DFDD"/>
    </w:rPr>
  </w:style>
  <w:style w:type="character" w:customStyle="1" w:styleId="127">
    <w:name w:val="Char Char"/>
    <w:qFormat/>
    <w:uiPriority w:val="0"/>
    <w:rPr>
      <w:rFonts w:ascii="宋体" w:hAnsi="Courier New" w:eastAsia="楷体_GB2312"/>
      <w:kern w:val="2"/>
      <w:sz w:val="26"/>
      <w:lang w:val="en-US" w:eastAsia="zh-CN" w:bidi="ar-SA"/>
    </w:rPr>
  </w:style>
  <w:style w:type="character" w:customStyle="1" w:styleId="128">
    <w:name w:val="font11"/>
    <w:qFormat/>
    <w:uiPriority w:val="0"/>
    <w:rPr>
      <w:rFonts w:hint="eastAsia" w:ascii="宋体" w:hAnsi="宋体" w:eastAsia="宋体" w:cs="宋体"/>
      <w:color w:val="000000"/>
      <w:sz w:val="24"/>
      <w:szCs w:val="24"/>
      <w:u w:val="none"/>
    </w:rPr>
  </w:style>
  <w:style w:type="character" w:customStyle="1" w:styleId="129">
    <w:name w:val="批注文字 Char"/>
    <w:qFormat/>
    <w:uiPriority w:val="0"/>
    <w:rPr>
      <w:kern w:val="2"/>
      <w:sz w:val="21"/>
      <w:szCs w:val="24"/>
    </w:rPr>
  </w:style>
  <w:style w:type="character" w:customStyle="1" w:styleId="130">
    <w:name w:val="正文文本缩进 3 Char"/>
    <w:qFormat/>
    <w:uiPriority w:val="0"/>
    <w:rPr>
      <w:rFonts w:ascii="仿宋_GB2312" w:hAnsi="宋体" w:eastAsia="仿宋_GB2312"/>
      <w:color w:val="000000"/>
      <w:kern w:val="2"/>
      <w:sz w:val="24"/>
      <w:szCs w:val="24"/>
    </w:rPr>
  </w:style>
  <w:style w:type="character" w:customStyle="1" w:styleId="131">
    <w:name w:val="正文文本缩进 Char1"/>
    <w:qFormat/>
    <w:uiPriority w:val="99"/>
    <w:rPr>
      <w:kern w:val="2"/>
      <w:sz w:val="21"/>
      <w:szCs w:val="24"/>
    </w:rPr>
  </w:style>
  <w:style w:type="character" w:customStyle="1" w:styleId="132">
    <w:name w:val="无间隔 Char"/>
    <w:link w:val="133"/>
    <w:qFormat/>
    <w:locked/>
    <w:uiPriority w:val="1"/>
    <w:rPr>
      <w:rFonts w:ascii="楷体_GB2312" w:eastAsia="楷体_GB2312"/>
      <w:sz w:val="24"/>
    </w:rPr>
  </w:style>
  <w:style w:type="paragraph" w:customStyle="1" w:styleId="133">
    <w:name w:val="无间隔11"/>
    <w:link w:val="132"/>
    <w:qFormat/>
    <w:uiPriority w:val="1"/>
    <w:pPr>
      <w:widowControl w:val="0"/>
      <w:jc w:val="both"/>
    </w:pPr>
    <w:rPr>
      <w:rFonts w:ascii="楷体_GB2312" w:eastAsia="楷体_GB2312" w:hAnsiTheme="minorHAnsi" w:cstheme="minorBidi"/>
      <w:kern w:val="2"/>
      <w:sz w:val="24"/>
      <w:szCs w:val="22"/>
      <w:lang w:val="en-US" w:eastAsia="zh-CN" w:bidi="ar-SA"/>
    </w:rPr>
  </w:style>
  <w:style w:type="character" w:customStyle="1" w:styleId="134">
    <w:name w:val="正文文本缩进 字符"/>
    <w:qFormat/>
    <w:uiPriority w:val="0"/>
    <w:rPr>
      <w:rFonts w:ascii="宋体" w:hAnsi="Courier New"/>
      <w:spacing w:val="-4"/>
      <w:kern w:val="2"/>
      <w:sz w:val="18"/>
    </w:rPr>
  </w:style>
  <w:style w:type="character" w:customStyle="1" w:styleId="135">
    <w:name w:val="正文文本 2 Char"/>
    <w:qFormat/>
    <w:uiPriority w:val="0"/>
    <w:rPr>
      <w:rFonts w:ascii="宋体" w:hAnsi="宋体"/>
      <w:color w:val="000000"/>
      <w:kern w:val="2"/>
      <w:sz w:val="24"/>
      <w:szCs w:val="24"/>
    </w:rPr>
  </w:style>
  <w:style w:type="character" w:customStyle="1" w:styleId="136">
    <w:name w:val="纯文本 Char Char Char2"/>
    <w:qFormat/>
    <w:locked/>
    <w:uiPriority w:val="0"/>
    <w:rPr>
      <w:rFonts w:ascii="宋体" w:hAnsi="Courier New" w:eastAsia="宋体"/>
      <w:kern w:val="2"/>
      <w:sz w:val="21"/>
      <w:szCs w:val="20"/>
      <w:lang w:val="en-US" w:eastAsia="zh-CN" w:bidi="ar-SA"/>
    </w:rPr>
  </w:style>
  <w:style w:type="character" w:customStyle="1" w:styleId="137">
    <w:name w:val="正文首行缩进 2 Char"/>
    <w:qFormat/>
    <w:uiPriority w:val="0"/>
    <w:rPr>
      <w:rFonts w:ascii="宋体" w:hAnsi="Courier New"/>
      <w:spacing w:val="-4"/>
      <w:kern w:val="2"/>
      <w:sz w:val="21"/>
      <w:szCs w:val="24"/>
    </w:rPr>
  </w:style>
  <w:style w:type="character" w:customStyle="1" w:styleId="138">
    <w:name w:val="正文文本 3 Char1"/>
    <w:qFormat/>
    <w:uiPriority w:val="0"/>
    <w:rPr>
      <w:kern w:val="2"/>
      <w:sz w:val="16"/>
      <w:szCs w:val="16"/>
    </w:rPr>
  </w:style>
  <w:style w:type="character" w:customStyle="1" w:styleId="139">
    <w:name w:val="正文文本缩进 Char2"/>
    <w:qFormat/>
    <w:uiPriority w:val="0"/>
    <w:rPr>
      <w:rFonts w:ascii="宋体" w:hAnsi="Courier New"/>
      <w:spacing w:val="-4"/>
      <w:kern w:val="2"/>
      <w:sz w:val="18"/>
    </w:rPr>
  </w:style>
  <w:style w:type="character" w:customStyle="1" w:styleId="140">
    <w:name w:val="页眉 Char1"/>
    <w:semiHidden/>
    <w:qFormat/>
    <w:uiPriority w:val="99"/>
    <w:rPr>
      <w:kern w:val="2"/>
      <w:sz w:val="18"/>
      <w:szCs w:val="18"/>
    </w:rPr>
  </w:style>
  <w:style w:type="character" w:customStyle="1" w:styleId="141">
    <w:name w:val="页眉 Char"/>
    <w:qFormat/>
    <w:uiPriority w:val="99"/>
    <w:rPr>
      <w:rFonts w:eastAsia="仿宋_GB2312"/>
      <w:kern w:val="2"/>
      <w:sz w:val="18"/>
    </w:rPr>
  </w:style>
  <w:style w:type="character" w:customStyle="1" w:styleId="142">
    <w:name w:val="font21"/>
    <w:qFormat/>
    <w:uiPriority w:val="0"/>
    <w:rPr>
      <w:rFonts w:ascii="Arial" w:hAnsi="Arial" w:cs="Arial"/>
      <w:color w:val="333333"/>
      <w:sz w:val="18"/>
      <w:szCs w:val="18"/>
      <w:u w:val="none"/>
    </w:rPr>
  </w:style>
  <w:style w:type="character" w:customStyle="1" w:styleId="143">
    <w:name w:val="正文文本 3 Char"/>
    <w:qFormat/>
    <w:uiPriority w:val="0"/>
    <w:rPr>
      <w:rFonts w:hAnsi="宋体" w:eastAsia="仿宋_GB2312"/>
      <w:b/>
      <w:bCs/>
      <w:kern w:val="2"/>
      <w:sz w:val="24"/>
    </w:rPr>
  </w:style>
  <w:style w:type="character" w:customStyle="1" w:styleId="144">
    <w:name w:val="文档结构图 Char"/>
    <w:qFormat/>
    <w:uiPriority w:val="0"/>
    <w:rPr>
      <w:rFonts w:ascii="宋体"/>
      <w:kern w:val="2"/>
      <w:sz w:val="18"/>
      <w:szCs w:val="18"/>
    </w:rPr>
  </w:style>
  <w:style w:type="character" w:customStyle="1" w:styleId="145">
    <w:name w:val="纯文本 Char"/>
    <w:qFormat/>
    <w:uiPriority w:val="99"/>
    <w:rPr>
      <w:rFonts w:ascii="宋体" w:hAnsi="Courier New" w:eastAsia="宋体"/>
      <w:kern w:val="2"/>
      <w:sz w:val="24"/>
      <w:szCs w:val="24"/>
      <w:lang w:val="en-US" w:eastAsia="zh-CN" w:bidi="ar-SA"/>
    </w:rPr>
  </w:style>
  <w:style w:type="character" w:customStyle="1" w:styleId="146">
    <w:name w:val="批注框文本 Char"/>
    <w:qFormat/>
    <w:locked/>
    <w:uiPriority w:val="99"/>
    <w:rPr>
      <w:kern w:val="2"/>
      <w:sz w:val="18"/>
      <w:szCs w:val="18"/>
    </w:rPr>
  </w:style>
  <w:style w:type="character" w:customStyle="1" w:styleId="147">
    <w:name w:val="纯文本 Char1_0"/>
    <w:link w:val="148"/>
    <w:qFormat/>
    <w:uiPriority w:val="0"/>
    <w:rPr>
      <w:rFonts w:ascii="宋体" w:hAnsi="Courier New"/>
    </w:rPr>
  </w:style>
  <w:style w:type="paragraph" w:customStyle="1" w:styleId="148">
    <w:name w:val="纯文本_0"/>
    <w:basedOn w:val="1"/>
    <w:link w:val="147"/>
    <w:qFormat/>
    <w:uiPriority w:val="0"/>
    <w:rPr>
      <w:rFonts w:ascii="宋体" w:hAnsi="Courier New" w:eastAsiaTheme="minorEastAsia" w:cstheme="minorBidi"/>
      <w:szCs w:val="22"/>
    </w:rPr>
  </w:style>
  <w:style w:type="character" w:customStyle="1" w:styleId="149">
    <w:name w:val="apple-converted-space"/>
    <w:qFormat/>
    <w:uiPriority w:val="0"/>
  </w:style>
  <w:style w:type="character" w:customStyle="1" w:styleId="150">
    <w:name w:val="正文文本缩进 Char"/>
    <w:qFormat/>
    <w:uiPriority w:val="99"/>
    <w:rPr>
      <w:rFonts w:ascii="宋体" w:hAnsi="Courier New"/>
      <w:spacing w:val="-4"/>
      <w:kern w:val="2"/>
      <w:sz w:val="18"/>
    </w:rPr>
  </w:style>
  <w:style w:type="character" w:customStyle="1" w:styleId="151">
    <w:name w:val="批注文字 字符"/>
    <w:qFormat/>
    <w:uiPriority w:val="0"/>
    <w:rPr>
      <w:kern w:val="2"/>
      <w:sz w:val="21"/>
    </w:rPr>
  </w:style>
  <w:style w:type="character" w:customStyle="1" w:styleId="152">
    <w:name w:val="标题 2 Char1"/>
    <w:qFormat/>
    <w:uiPriority w:val="0"/>
    <w:rPr>
      <w:rFonts w:ascii="Arial" w:hAnsi="Arial" w:eastAsia="黑体"/>
      <w:b/>
      <w:bCs/>
      <w:kern w:val="2"/>
      <w:sz w:val="32"/>
      <w:szCs w:val="32"/>
    </w:rPr>
  </w:style>
  <w:style w:type="character" w:customStyle="1" w:styleId="153">
    <w:name w:val="gheadertext1"/>
    <w:qFormat/>
    <w:uiPriority w:val="0"/>
    <w:rPr>
      <w:rFonts w:hint="default" w:ascii="Arial" w:hAnsi="Arial" w:cs="Arial"/>
      <w:b/>
      <w:bCs/>
      <w:color w:val="005E00"/>
      <w:sz w:val="26"/>
      <w:szCs w:val="26"/>
    </w:rPr>
  </w:style>
  <w:style w:type="character" w:customStyle="1" w:styleId="154">
    <w:name w:val="纯文本 Char3"/>
    <w:qFormat/>
    <w:uiPriority w:val="0"/>
    <w:rPr>
      <w:rFonts w:ascii="宋体" w:hAnsi="Courier New" w:eastAsia="宋体"/>
      <w:kern w:val="2"/>
      <w:sz w:val="24"/>
      <w:szCs w:val="24"/>
      <w:lang w:val="en-US" w:eastAsia="zh-CN" w:bidi="ar-SA"/>
    </w:rPr>
  </w:style>
  <w:style w:type="character" w:customStyle="1" w:styleId="155">
    <w:name w:val="正文文本 Char"/>
    <w:qFormat/>
    <w:uiPriority w:val="0"/>
    <w:rPr>
      <w:kern w:val="2"/>
      <w:sz w:val="28"/>
      <w:szCs w:val="24"/>
    </w:rPr>
  </w:style>
  <w:style w:type="character" w:customStyle="1" w:styleId="156">
    <w:name w:val="副标题 Char1"/>
    <w:qFormat/>
    <w:uiPriority w:val="0"/>
    <w:rPr>
      <w:rFonts w:hint="default" w:ascii="Cambria" w:hAnsi="Cambria" w:cs="Times New Roman"/>
      <w:b/>
      <w:bCs/>
      <w:kern w:val="28"/>
      <w:sz w:val="32"/>
      <w:szCs w:val="32"/>
    </w:rPr>
  </w:style>
  <w:style w:type="character" w:customStyle="1" w:styleId="157">
    <w:name w:val="font121"/>
    <w:qFormat/>
    <w:uiPriority w:val="0"/>
    <w:rPr>
      <w:rFonts w:hint="eastAsia" w:ascii="宋体" w:hAnsi="宋体" w:eastAsia="宋体" w:cs="宋体"/>
      <w:color w:val="FF0000"/>
      <w:sz w:val="20"/>
      <w:szCs w:val="20"/>
      <w:u w:val="none"/>
    </w:rPr>
  </w:style>
  <w:style w:type="character" w:customStyle="1" w:styleId="158">
    <w:name w:val="unnamed1"/>
    <w:basedOn w:val="51"/>
    <w:qFormat/>
    <w:uiPriority w:val="0"/>
  </w:style>
  <w:style w:type="character" w:customStyle="1" w:styleId="159">
    <w:name w:val="正文2 Char"/>
    <w:link w:val="160"/>
    <w:qFormat/>
    <w:locked/>
    <w:uiPriority w:val="0"/>
    <w:rPr>
      <w:sz w:val="24"/>
    </w:rPr>
  </w:style>
  <w:style w:type="paragraph" w:customStyle="1" w:styleId="160">
    <w:name w:val="正文2"/>
    <w:basedOn w:val="1"/>
    <w:link w:val="159"/>
    <w:qFormat/>
    <w:uiPriority w:val="0"/>
    <w:pPr>
      <w:spacing w:before="156" w:line="360" w:lineRule="auto"/>
      <w:ind w:firstLine="510" w:firstLineChars="200"/>
    </w:pPr>
    <w:rPr>
      <w:rFonts w:asciiTheme="minorHAnsi" w:hAnsiTheme="minorHAnsi" w:eastAsiaTheme="minorEastAsia" w:cstheme="minorBidi"/>
      <w:sz w:val="24"/>
      <w:szCs w:val="22"/>
    </w:rPr>
  </w:style>
  <w:style w:type="character" w:customStyle="1" w:styleId="161">
    <w:name w:val="正文文本缩进 2 Char"/>
    <w:qFormat/>
    <w:uiPriority w:val="0"/>
    <w:rPr>
      <w:rFonts w:ascii="仿宋_GB2312" w:hAnsi="宋体" w:cs="Arial"/>
      <w:b/>
      <w:bCs/>
      <w:color w:val="000000"/>
      <w:kern w:val="2"/>
      <w:sz w:val="24"/>
      <w:szCs w:val="24"/>
    </w:rPr>
  </w:style>
  <w:style w:type="character" w:customStyle="1" w:styleId="162">
    <w:name w:val="正文文本 Char Char"/>
    <w:qFormat/>
    <w:uiPriority w:val="0"/>
    <w:rPr>
      <w:kern w:val="2"/>
      <w:sz w:val="28"/>
      <w:szCs w:val="24"/>
    </w:rPr>
  </w:style>
  <w:style w:type="character" w:customStyle="1" w:styleId="163">
    <w:name w:val="标准正文格式 Char Char"/>
    <w:link w:val="164"/>
    <w:qFormat/>
    <w:uiPriority w:val="0"/>
    <w:rPr>
      <w:rFonts w:ascii="宋体" w:eastAsia="仿宋_GB2312" w:cs="宋体"/>
      <w:color w:val="000000"/>
      <w:sz w:val="24"/>
    </w:rPr>
  </w:style>
  <w:style w:type="paragraph" w:customStyle="1" w:styleId="164">
    <w:name w:val="标准正文格式"/>
    <w:basedOn w:val="1"/>
    <w:link w:val="163"/>
    <w:qFormat/>
    <w:uiPriority w:val="0"/>
    <w:pPr>
      <w:widowControl/>
      <w:adjustRightInd w:val="0"/>
      <w:spacing w:before="60" w:after="120" w:line="360" w:lineRule="auto"/>
      <w:ind w:firstLine="200" w:firstLineChars="200"/>
      <w:textAlignment w:val="baseline"/>
    </w:pPr>
    <w:rPr>
      <w:rFonts w:ascii="宋体" w:eastAsia="仿宋_GB2312" w:cs="宋体" w:hAnsiTheme="minorHAnsi"/>
      <w:color w:val="000000"/>
      <w:sz w:val="24"/>
      <w:szCs w:val="22"/>
    </w:rPr>
  </w:style>
  <w:style w:type="character" w:customStyle="1" w:styleId="165">
    <w:name w:val="font51"/>
    <w:qFormat/>
    <w:uiPriority w:val="0"/>
    <w:rPr>
      <w:rFonts w:ascii="Arial" w:hAnsi="Arial" w:cs="Arial"/>
      <w:color w:val="333333"/>
      <w:sz w:val="18"/>
      <w:szCs w:val="18"/>
      <w:u w:val="none"/>
    </w:rPr>
  </w:style>
  <w:style w:type="character" w:customStyle="1" w:styleId="166">
    <w:name w:val="标书正文 Char Char"/>
    <w:link w:val="167"/>
    <w:qFormat/>
    <w:uiPriority w:val="0"/>
    <w:rPr>
      <w:color w:val="000000"/>
      <w:sz w:val="24"/>
    </w:rPr>
  </w:style>
  <w:style w:type="paragraph" w:customStyle="1" w:styleId="167">
    <w:name w:val="标书正文"/>
    <w:basedOn w:val="1"/>
    <w:link w:val="166"/>
    <w:qFormat/>
    <w:uiPriority w:val="0"/>
    <w:pPr>
      <w:spacing w:line="360" w:lineRule="auto"/>
      <w:ind w:firstLine="200" w:firstLineChars="200"/>
      <w:jc w:val="left"/>
    </w:pPr>
    <w:rPr>
      <w:rFonts w:asciiTheme="minorHAnsi" w:hAnsiTheme="minorHAnsi" w:eastAsiaTheme="minorEastAsia" w:cstheme="minorBidi"/>
      <w:color w:val="000000"/>
      <w:sz w:val="24"/>
      <w:szCs w:val="22"/>
    </w:rPr>
  </w:style>
  <w:style w:type="character" w:customStyle="1" w:styleId="168">
    <w:name w:val="c lh15"/>
    <w:qFormat/>
    <w:uiPriority w:val="0"/>
    <w:rPr>
      <w:sz w:val="28"/>
      <w:szCs w:val="20"/>
    </w:rPr>
  </w:style>
  <w:style w:type="character" w:customStyle="1" w:styleId="169">
    <w:name w:val="style1"/>
    <w:qFormat/>
    <w:uiPriority w:val="0"/>
    <w:rPr>
      <w:sz w:val="28"/>
      <w:szCs w:val="20"/>
    </w:rPr>
  </w:style>
  <w:style w:type="character" w:customStyle="1" w:styleId="170">
    <w:name w:val="批注框文本 Char1"/>
    <w:semiHidden/>
    <w:qFormat/>
    <w:uiPriority w:val="99"/>
    <w:rPr>
      <w:kern w:val="2"/>
      <w:sz w:val="18"/>
      <w:szCs w:val="18"/>
    </w:rPr>
  </w:style>
  <w:style w:type="character" w:customStyle="1" w:styleId="171">
    <w:name w:val="lineb1"/>
    <w:qFormat/>
    <w:uiPriority w:val="0"/>
  </w:style>
  <w:style w:type="character" w:customStyle="1" w:styleId="172">
    <w:name w:val="zbggmain style9"/>
    <w:basedOn w:val="51"/>
    <w:qFormat/>
    <w:uiPriority w:val="0"/>
  </w:style>
  <w:style w:type="character" w:customStyle="1" w:styleId="173">
    <w:name w:val="正文文本 2 Char1"/>
    <w:qFormat/>
    <w:uiPriority w:val="0"/>
    <w:rPr>
      <w:kern w:val="2"/>
      <w:sz w:val="21"/>
      <w:szCs w:val="24"/>
    </w:rPr>
  </w:style>
  <w:style w:type="character" w:customStyle="1" w:styleId="174">
    <w:name w:val="font71"/>
    <w:qFormat/>
    <w:uiPriority w:val="0"/>
    <w:rPr>
      <w:rFonts w:hint="default" w:ascii="Times New Roman" w:hAnsi="Times New Roman" w:cs="Times New Roman"/>
      <w:color w:val="000000"/>
      <w:sz w:val="24"/>
      <w:szCs w:val="24"/>
      <w:u w:val="none"/>
    </w:rPr>
  </w:style>
  <w:style w:type="character" w:customStyle="1" w:styleId="175">
    <w:name w:val="书籍标题1"/>
    <w:qFormat/>
    <w:uiPriority w:val="33"/>
    <w:rPr>
      <w:rFonts w:eastAsia="Songti SC Regular"/>
      <w:bCs/>
      <w:smallCaps/>
      <w:spacing w:val="5"/>
      <w:sz w:val="32"/>
    </w:rPr>
  </w:style>
  <w:style w:type="character" w:customStyle="1" w:styleId="176">
    <w:name w:val="副标题 Char"/>
    <w:qFormat/>
    <w:uiPriority w:val="0"/>
    <w:rPr>
      <w:rFonts w:ascii="Cambria" w:hAnsi="Cambria" w:cs="宋体"/>
      <w:bCs/>
      <w:kern w:val="28"/>
      <w:sz w:val="18"/>
      <w:szCs w:val="32"/>
    </w:rPr>
  </w:style>
  <w:style w:type="character" w:customStyle="1" w:styleId="177">
    <w:name w:val="正文缩进 字符1"/>
    <w:qFormat/>
    <w:uiPriority w:val="0"/>
    <w:rPr>
      <w:rFonts w:eastAsia="宋体"/>
      <w:kern w:val="2"/>
      <w:sz w:val="21"/>
      <w:lang w:val="en-US" w:eastAsia="zh-CN" w:bidi="ar-SA"/>
    </w:rPr>
  </w:style>
  <w:style w:type="character" w:customStyle="1" w:styleId="178">
    <w:name w:val="apple-style-span"/>
    <w:qFormat/>
    <w:uiPriority w:val="0"/>
  </w:style>
  <w:style w:type="character" w:customStyle="1" w:styleId="179">
    <w:name w:val="正文文本缩进 3 Char1"/>
    <w:qFormat/>
    <w:uiPriority w:val="0"/>
    <w:rPr>
      <w:kern w:val="2"/>
      <w:sz w:val="16"/>
      <w:szCs w:val="16"/>
    </w:rPr>
  </w:style>
  <w:style w:type="character" w:customStyle="1" w:styleId="180">
    <w:name w:val="正文文本缩进 字符1"/>
    <w:qFormat/>
    <w:uiPriority w:val="0"/>
    <w:rPr>
      <w:rFonts w:ascii="宋体" w:hAnsi="Courier New"/>
      <w:spacing w:val="-4"/>
      <w:kern w:val="2"/>
      <w:sz w:val="18"/>
    </w:rPr>
  </w:style>
  <w:style w:type="character" w:customStyle="1" w:styleId="181">
    <w:name w:val="font112"/>
    <w:qFormat/>
    <w:uiPriority w:val="0"/>
    <w:rPr>
      <w:rFonts w:hint="eastAsia" w:ascii="宋体" w:hAnsi="宋体" w:eastAsia="宋体" w:cs="宋体"/>
      <w:color w:val="000000"/>
      <w:sz w:val="20"/>
      <w:szCs w:val="20"/>
      <w:u w:val="none"/>
    </w:rPr>
  </w:style>
  <w:style w:type="character" w:customStyle="1" w:styleId="182">
    <w:name w:val="表正文 Char"/>
    <w:qFormat/>
    <w:uiPriority w:val="0"/>
    <w:rPr>
      <w:rFonts w:eastAsia="宋体"/>
      <w:kern w:val="2"/>
      <w:sz w:val="21"/>
      <w:lang w:val="en-US" w:eastAsia="zh-CN" w:bidi="ar-SA"/>
    </w:rPr>
  </w:style>
  <w:style w:type="character" w:customStyle="1" w:styleId="183">
    <w:name w:val="标题 1 Char Char"/>
    <w:qFormat/>
    <w:uiPriority w:val="0"/>
    <w:rPr>
      <w:rFonts w:eastAsia="宋体"/>
      <w:b/>
      <w:spacing w:val="-2"/>
      <w:sz w:val="24"/>
      <w:lang w:val="en-US" w:eastAsia="zh-CN" w:bidi="ar-SA"/>
    </w:rPr>
  </w:style>
  <w:style w:type="character" w:customStyle="1" w:styleId="184">
    <w:name w:val="style8"/>
    <w:qFormat/>
    <w:uiPriority w:val="0"/>
    <w:rPr>
      <w:sz w:val="28"/>
      <w:szCs w:val="20"/>
    </w:rPr>
  </w:style>
  <w:style w:type="character" w:customStyle="1" w:styleId="185">
    <w:name w:val="日期 Char"/>
    <w:qFormat/>
    <w:uiPriority w:val="0"/>
    <w:rPr>
      <w:rFonts w:eastAsia="楷体_GB2312"/>
      <w:kern w:val="2"/>
      <w:sz w:val="32"/>
    </w:rPr>
  </w:style>
  <w:style w:type="character" w:customStyle="1" w:styleId="186">
    <w:name w:val="正文缩进 Char"/>
    <w:qFormat/>
    <w:uiPriority w:val="0"/>
    <w:rPr>
      <w:rFonts w:eastAsia="宋体"/>
      <w:kern w:val="2"/>
      <w:sz w:val="21"/>
      <w:lang w:val="en-US" w:eastAsia="zh-CN" w:bidi="ar-SA"/>
    </w:rPr>
  </w:style>
  <w:style w:type="character" w:customStyle="1" w:styleId="187">
    <w:name w:val="批注文字 Char2"/>
    <w:qFormat/>
    <w:uiPriority w:val="0"/>
    <w:rPr>
      <w:kern w:val="2"/>
      <w:sz w:val="21"/>
    </w:rPr>
  </w:style>
  <w:style w:type="character" w:customStyle="1" w:styleId="188">
    <w:name w:val="论文正文样式 Char Char"/>
    <w:link w:val="189"/>
    <w:qFormat/>
    <w:locked/>
    <w:uiPriority w:val="0"/>
    <w:rPr>
      <w:szCs w:val="21"/>
    </w:rPr>
  </w:style>
  <w:style w:type="paragraph" w:customStyle="1" w:styleId="189">
    <w:name w:val="论文正文样式"/>
    <w:basedOn w:val="1"/>
    <w:link w:val="188"/>
    <w:qFormat/>
    <w:uiPriority w:val="0"/>
    <w:pPr>
      <w:spacing w:line="360" w:lineRule="auto"/>
    </w:pPr>
    <w:rPr>
      <w:rFonts w:asciiTheme="minorHAnsi" w:hAnsiTheme="minorHAnsi" w:eastAsiaTheme="minorEastAsia" w:cstheme="minorBidi"/>
      <w:szCs w:val="21"/>
    </w:rPr>
  </w:style>
  <w:style w:type="character" w:customStyle="1" w:styleId="190">
    <w:name w:val="纯文本 Char1"/>
    <w:qFormat/>
    <w:uiPriority w:val="0"/>
    <w:rPr>
      <w:rFonts w:ascii="宋体" w:hAnsi="Courier New" w:eastAsia="宋体"/>
      <w:kern w:val="2"/>
      <w:sz w:val="24"/>
      <w:szCs w:val="24"/>
      <w:lang w:val="en-US" w:eastAsia="zh-CN" w:bidi="ar-SA"/>
    </w:rPr>
  </w:style>
  <w:style w:type="character" w:customStyle="1" w:styleId="191">
    <w:name w:val="font01"/>
    <w:qFormat/>
    <w:uiPriority w:val="0"/>
    <w:rPr>
      <w:rFonts w:hint="eastAsia" w:ascii="宋体" w:hAnsi="宋体" w:eastAsia="宋体" w:cs="宋体"/>
      <w:b/>
      <w:color w:val="000000"/>
      <w:sz w:val="24"/>
      <w:szCs w:val="24"/>
      <w:u w:val="none"/>
    </w:rPr>
  </w:style>
  <w:style w:type="character" w:customStyle="1" w:styleId="192">
    <w:name w:val="论文正文样式 Char"/>
    <w:qFormat/>
    <w:uiPriority w:val="0"/>
    <w:rPr>
      <w:rFonts w:hint="default" w:ascii="Times New Roman" w:hAnsi="Times New Roman" w:cs="Times New Roman"/>
      <w:kern w:val="2"/>
      <w:sz w:val="21"/>
      <w:szCs w:val="21"/>
    </w:rPr>
  </w:style>
  <w:style w:type="character" w:customStyle="1" w:styleId="193">
    <w:name w:val="书籍标题111"/>
    <w:qFormat/>
    <w:uiPriority w:val="33"/>
    <w:rPr>
      <w:rFonts w:eastAsia="Songti SC Regular"/>
      <w:bCs/>
      <w:smallCaps/>
      <w:spacing w:val="5"/>
      <w:sz w:val="32"/>
    </w:rPr>
  </w:style>
  <w:style w:type="paragraph" w:customStyle="1" w:styleId="194">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95">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cs="宋体"/>
      <w:color w:val="0000FF"/>
      <w:kern w:val="0"/>
      <w:sz w:val="20"/>
      <w:szCs w:val="20"/>
    </w:rPr>
  </w:style>
  <w:style w:type="paragraph" w:customStyle="1" w:styleId="196">
    <w:name w:val="Default"/>
    <w:qFormat/>
    <w:uiPriority w:val="0"/>
    <w:pPr>
      <w:widowControl w:val="0"/>
      <w:autoSpaceDE w:val="0"/>
      <w:autoSpaceDN w:val="0"/>
      <w:adjustRightInd w:val="0"/>
      <w:spacing w:before="120" w:after="120"/>
    </w:pPr>
    <w:rPr>
      <w:rFonts w:ascii="宋体" w:hAnsi="Calibri" w:eastAsia="宋体" w:cs="宋体"/>
      <w:color w:val="000000"/>
      <w:sz w:val="24"/>
      <w:szCs w:val="24"/>
      <w:lang w:val="en-US" w:eastAsia="zh-CN" w:bidi="ar-SA"/>
    </w:rPr>
  </w:style>
  <w:style w:type="paragraph" w:customStyle="1" w:styleId="197">
    <w:name w:val="xl98"/>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黑体" w:hAnsi="宋体" w:eastAsia="黑体" w:cs="宋体"/>
      <w:kern w:val="0"/>
      <w:sz w:val="20"/>
      <w:szCs w:val="20"/>
    </w:rPr>
  </w:style>
  <w:style w:type="paragraph" w:customStyle="1" w:styleId="198">
    <w:name w:val="列出段落2"/>
    <w:basedOn w:val="1"/>
    <w:qFormat/>
    <w:uiPriority w:val="0"/>
    <w:pPr>
      <w:ind w:firstLine="420" w:firstLineChars="200"/>
    </w:pPr>
    <w:rPr>
      <w:rFonts w:cs="宋体"/>
      <w:sz w:val="24"/>
      <w:szCs w:val="22"/>
    </w:rPr>
  </w:style>
  <w:style w:type="paragraph" w:customStyle="1" w:styleId="199">
    <w:name w:val="xl10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character" w:customStyle="1" w:styleId="200">
    <w:name w:val="正文首行缩进 2 Char1"/>
    <w:basedOn w:val="59"/>
    <w:qFormat/>
    <w:uiPriority w:val="0"/>
    <w:rPr>
      <w:rFonts w:ascii="Calibri" w:hAnsi="Calibri" w:eastAsia="宋体" w:cs="Times New Roman"/>
      <w:szCs w:val="24"/>
    </w:rPr>
  </w:style>
  <w:style w:type="paragraph" w:customStyle="1" w:styleId="201">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黑体" w:hAnsi="宋体" w:eastAsia="黑体" w:cs="宋体"/>
      <w:kern w:val="0"/>
      <w:sz w:val="20"/>
      <w:szCs w:val="20"/>
    </w:rPr>
  </w:style>
  <w:style w:type="paragraph" w:customStyle="1" w:styleId="202">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203">
    <w:name w:val="font7"/>
    <w:basedOn w:val="1"/>
    <w:qFormat/>
    <w:uiPriority w:val="0"/>
    <w:pPr>
      <w:widowControl/>
      <w:spacing w:before="100" w:beforeAutospacing="1" w:after="100" w:afterAutospacing="1"/>
      <w:jc w:val="left"/>
    </w:pPr>
    <w:rPr>
      <w:rFonts w:ascii="宋体" w:hAnsi="宋体" w:cs="宋体"/>
      <w:color w:val="0000FF"/>
      <w:kern w:val="0"/>
      <w:sz w:val="20"/>
      <w:szCs w:val="20"/>
    </w:rPr>
  </w:style>
  <w:style w:type="character" w:customStyle="1" w:styleId="204">
    <w:name w:val="批注主题 Char3"/>
    <w:basedOn w:val="72"/>
    <w:semiHidden/>
    <w:qFormat/>
    <w:uiPriority w:val="99"/>
    <w:rPr>
      <w:rFonts w:ascii="Calibri" w:hAnsi="Calibri" w:eastAsia="宋体" w:cs="Times New Roman"/>
      <w:b/>
      <w:bCs/>
      <w:szCs w:val="24"/>
    </w:rPr>
  </w:style>
  <w:style w:type="paragraph" w:styleId="205">
    <w:name w:val="No Spacing"/>
    <w:qFormat/>
    <w:uiPriority w:val="1"/>
    <w:rPr>
      <w:rFonts w:ascii="Calibri" w:hAnsi="Calibri" w:eastAsia="宋体" w:cs="宋体"/>
      <w:sz w:val="22"/>
      <w:szCs w:val="22"/>
      <w:lang w:val="en-US" w:eastAsia="zh-CN" w:bidi="ar-SA"/>
    </w:rPr>
  </w:style>
  <w:style w:type="paragraph" w:customStyle="1" w:styleId="206">
    <w:name w:val="xl12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cs="宋体"/>
      <w:color w:val="0000FF"/>
      <w:kern w:val="0"/>
      <w:sz w:val="20"/>
      <w:szCs w:val="20"/>
    </w:rPr>
  </w:style>
  <w:style w:type="character" w:customStyle="1" w:styleId="207">
    <w:name w:val="正文文本 Char2"/>
    <w:basedOn w:val="51"/>
    <w:semiHidden/>
    <w:qFormat/>
    <w:uiPriority w:val="99"/>
    <w:rPr>
      <w:rFonts w:ascii="Calibri" w:hAnsi="Calibri" w:eastAsia="宋体" w:cs="Times New Roman"/>
      <w:szCs w:val="24"/>
    </w:rPr>
  </w:style>
  <w:style w:type="paragraph" w:customStyle="1" w:styleId="208">
    <w:name w:val="af17cgridlangnp1033langf"/>
    <w:qFormat/>
    <w:uiPriority w:val="0"/>
    <w:pPr>
      <w:widowControl w:val="0"/>
      <w:autoSpaceDE w:val="0"/>
      <w:autoSpaceDN w:val="0"/>
      <w:adjustRightInd w:val="0"/>
      <w:spacing w:before="156" w:line="360" w:lineRule="atLeast"/>
      <w:ind w:left="567" w:firstLine="510"/>
      <w:jc w:val="both"/>
    </w:pPr>
    <w:rPr>
      <w:rFonts w:ascii="Calibri" w:hAnsi="Calibri" w:eastAsia="宋体" w:cs="Times New Roman"/>
      <w:lang w:val="en-US" w:eastAsia="zh-CN" w:bidi="ar-SA"/>
    </w:rPr>
  </w:style>
  <w:style w:type="character" w:customStyle="1" w:styleId="209">
    <w:name w:val="正文文本缩进 3 Char2"/>
    <w:basedOn w:val="51"/>
    <w:semiHidden/>
    <w:qFormat/>
    <w:uiPriority w:val="99"/>
    <w:rPr>
      <w:rFonts w:ascii="Calibri" w:hAnsi="Calibri" w:eastAsia="宋体" w:cs="Times New Roman"/>
      <w:sz w:val="16"/>
      <w:szCs w:val="16"/>
    </w:rPr>
  </w:style>
  <w:style w:type="paragraph" w:customStyle="1" w:styleId="210">
    <w:name w:val="Char Char Char Char"/>
    <w:basedOn w:val="1"/>
    <w:qFormat/>
    <w:uiPriority w:val="99"/>
    <w:pPr>
      <w:widowControl/>
      <w:jc w:val="left"/>
    </w:pPr>
    <w:rPr>
      <w:rFonts w:cs="宋体"/>
      <w:kern w:val="0"/>
      <w:sz w:val="24"/>
    </w:rPr>
  </w:style>
  <w:style w:type="paragraph" w:customStyle="1" w:styleId="211">
    <w:name w:val="Char Char Char Char Char Char Char1"/>
    <w:basedOn w:val="1"/>
    <w:qFormat/>
    <w:uiPriority w:val="0"/>
    <w:rPr>
      <w:rFonts w:ascii="Arial" w:hAnsi="Arial" w:cs="Arial"/>
      <w:szCs w:val="21"/>
    </w:rPr>
  </w:style>
  <w:style w:type="paragraph" w:customStyle="1" w:styleId="212">
    <w:name w:val="font9"/>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13">
    <w:name w:val="样式1"/>
    <w:basedOn w:val="1"/>
    <w:qFormat/>
    <w:uiPriority w:val="99"/>
    <w:pPr>
      <w:tabs>
        <w:tab w:val="left" w:pos="709"/>
        <w:tab w:val="left" w:pos="6780"/>
      </w:tabs>
      <w:adjustRightInd w:val="0"/>
      <w:ind w:left="6780" w:leftChars="400" w:hanging="360" w:hangingChars="200"/>
      <w:textAlignment w:val="baseline"/>
    </w:pPr>
    <w:rPr>
      <w:rFonts w:ascii="宋体" w:hAnsi="宋体" w:cs="宋体"/>
      <w:kern w:val="0"/>
      <w:szCs w:val="21"/>
    </w:rPr>
  </w:style>
  <w:style w:type="paragraph" w:customStyle="1" w:styleId="214">
    <w:name w:val="xl10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18"/>
      <w:szCs w:val="18"/>
    </w:rPr>
  </w:style>
  <w:style w:type="paragraph" w:customStyle="1" w:styleId="215">
    <w:name w:val="正文缩进1"/>
    <w:basedOn w:val="1"/>
    <w:next w:val="23"/>
    <w:qFormat/>
    <w:uiPriority w:val="0"/>
    <w:pPr>
      <w:autoSpaceDE w:val="0"/>
      <w:autoSpaceDN w:val="0"/>
      <w:adjustRightInd w:val="0"/>
      <w:snapToGrid w:val="0"/>
      <w:spacing w:after="120" w:line="360" w:lineRule="auto"/>
      <w:ind w:left="420" w:firstLine="480"/>
    </w:pPr>
    <w:rPr>
      <w:rFonts w:cs="宋体"/>
      <w:sz w:val="24"/>
      <w:szCs w:val="20"/>
    </w:rPr>
  </w:style>
  <w:style w:type="character" w:customStyle="1" w:styleId="216">
    <w:name w:val="批注框文本 Char2"/>
    <w:basedOn w:val="51"/>
    <w:semiHidden/>
    <w:qFormat/>
    <w:uiPriority w:val="99"/>
    <w:rPr>
      <w:rFonts w:ascii="Calibri" w:hAnsi="Calibri" w:eastAsia="宋体" w:cs="Times New Roman"/>
      <w:sz w:val="18"/>
      <w:szCs w:val="18"/>
    </w:rPr>
  </w:style>
  <w:style w:type="paragraph" w:customStyle="1" w:styleId="217">
    <w:name w:val="xl113"/>
    <w:basedOn w:val="1"/>
    <w:qFormat/>
    <w:uiPriority w:val="0"/>
    <w:pPr>
      <w:widowControl/>
      <w:spacing w:before="100" w:beforeAutospacing="1" w:after="100" w:afterAutospacing="1"/>
      <w:jc w:val="center"/>
    </w:pPr>
    <w:rPr>
      <w:rFonts w:ascii="宋体" w:hAnsi="宋体" w:cs="宋体"/>
      <w:kern w:val="0"/>
      <w:sz w:val="20"/>
      <w:szCs w:val="20"/>
    </w:rPr>
  </w:style>
  <w:style w:type="paragraph" w:customStyle="1" w:styleId="218">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cs="宋体"/>
      <w:color w:val="000000"/>
      <w:kern w:val="0"/>
      <w:sz w:val="20"/>
      <w:szCs w:val="20"/>
    </w:rPr>
  </w:style>
  <w:style w:type="character" w:customStyle="1" w:styleId="219">
    <w:name w:val="文档结构图 Char2"/>
    <w:basedOn w:val="51"/>
    <w:semiHidden/>
    <w:qFormat/>
    <w:uiPriority w:val="99"/>
    <w:rPr>
      <w:rFonts w:ascii="宋体" w:hAnsi="Calibri" w:eastAsia="宋体" w:cs="Times New Roman"/>
      <w:sz w:val="18"/>
      <w:szCs w:val="18"/>
    </w:rPr>
  </w:style>
  <w:style w:type="character" w:customStyle="1" w:styleId="220">
    <w:name w:val="日期 Char2"/>
    <w:basedOn w:val="51"/>
    <w:semiHidden/>
    <w:qFormat/>
    <w:uiPriority w:val="99"/>
    <w:rPr>
      <w:rFonts w:ascii="Calibri" w:hAnsi="Calibri" w:eastAsia="宋体" w:cs="Times New Roman"/>
      <w:szCs w:val="24"/>
    </w:rPr>
  </w:style>
  <w:style w:type="paragraph" w:customStyle="1" w:styleId="221">
    <w:name w:val="Char Char12"/>
    <w:basedOn w:val="1"/>
    <w:qFormat/>
    <w:uiPriority w:val="0"/>
    <w:rPr>
      <w:szCs w:val="21"/>
    </w:rPr>
  </w:style>
  <w:style w:type="paragraph" w:customStyle="1" w:styleId="222">
    <w:name w:val="Char2"/>
    <w:basedOn w:val="1"/>
    <w:qFormat/>
    <w:uiPriority w:val="0"/>
    <w:pPr>
      <w:numPr>
        <w:ilvl w:val="0"/>
        <w:numId w:val="3"/>
      </w:numPr>
      <w:tabs>
        <w:tab w:val="left" w:pos="1200"/>
        <w:tab w:val="clear" w:pos="420"/>
      </w:tabs>
    </w:pPr>
    <w:rPr>
      <w:rFonts w:cs="宋体"/>
      <w:sz w:val="24"/>
    </w:rPr>
  </w:style>
  <w:style w:type="paragraph" w:customStyle="1" w:styleId="223">
    <w:name w:val="XH BodyTextV1"/>
    <w:basedOn w:val="1"/>
    <w:qFormat/>
    <w:uiPriority w:val="0"/>
    <w:pPr>
      <w:spacing w:after="120" w:line="288" w:lineRule="auto"/>
      <w:jc w:val="left"/>
    </w:pPr>
    <w:rPr>
      <w:rFonts w:cs="宋体"/>
      <w:b/>
      <w:color w:val="FF0000"/>
      <w:sz w:val="24"/>
      <w:szCs w:val="22"/>
    </w:rPr>
  </w:style>
  <w:style w:type="character" w:customStyle="1" w:styleId="224">
    <w:name w:val="正文文本 3 Char2"/>
    <w:basedOn w:val="51"/>
    <w:semiHidden/>
    <w:qFormat/>
    <w:uiPriority w:val="99"/>
    <w:rPr>
      <w:rFonts w:ascii="Calibri" w:hAnsi="Calibri" w:eastAsia="宋体" w:cs="Times New Roman"/>
      <w:sz w:val="16"/>
      <w:szCs w:val="16"/>
    </w:rPr>
  </w:style>
  <w:style w:type="paragraph" w:customStyle="1" w:styleId="225">
    <w:name w:val="正文 New New New New New New"/>
    <w:qFormat/>
    <w:uiPriority w:val="0"/>
    <w:pPr>
      <w:widowControl w:val="0"/>
      <w:jc w:val="both"/>
    </w:pPr>
    <w:rPr>
      <w:rFonts w:ascii="Calibri" w:hAnsi="Calibri" w:eastAsia="宋体" w:cs="Times New Roman"/>
      <w:kern w:val="2"/>
      <w:sz w:val="21"/>
      <w:lang w:val="en-US" w:eastAsia="zh-CN" w:bidi="ar-SA"/>
    </w:rPr>
  </w:style>
  <w:style w:type="paragraph" w:customStyle="1" w:styleId="226">
    <w:name w:val="xl11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227">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24"/>
    </w:rPr>
  </w:style>
  <w:style w:type="paragraph" w:customStyle="1" w:styleId="228">
    <w:name w:val="样式 仿宋_GB2312 五号 黑色 行距: 单倍行距"/>
    <w:basedOn w:val="1"/>
    <w:qFormat/>
    <w:uiPriority w:val="0"/>
    <w:pPr>
      <w:snapToGrid w:val="0"/>
    </w:pPr>
    <w:rPr>
      <w:rFonts w:ascii="仿宋_GB2312" w:eastAsia="仿宋_GB2312" w:cs="宋体"/>
      <w:color w:val="000000"/>
      <w:sz w:val="24"/>
      <w:szCs w:val="20"/>
    </w:rPr>
  </w:style>
  <w:style w:type="paragraph" w:customStyle="1" w:styleId="229">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character" w:customStyle="1" w:styleId="230">
    <w:name w:val="页眉 Char2"/>
    <w:basedOn w:val="51"/>
    <w:semiHidden/>
    <w:qFormat/>
    <w:uiPriority w:val="99"/>
    <w:rPr>
      <w:rFonts w:ascii="Calibri" w:hAnsi="Calibri" w:eastAsia="宋体" w:cs="Times New Roman"/>
      <w:sz w:val="18"/>
      <w:szCs w:val="18"/>
    </w:rPr>
  </w:style>
  <w:style w:type="paragraph" w:customStyle="1" w:styleId="231">
    <w:name w:val="xl1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24"/>
    </w:rPr>
  </w:style>
  <w:style w:type="paragraph" w:customStyle="1" w:styleId="232">
    <w:name w:val="Char Char Char Char Char Char"/>
    <w:basedOn w:val="1"/>
    <w:qFormat/>
    <w:uiPriority w:val="0"/>
    <w:pPr>
      <w:ind w:firstLine="200" w:firstLineChars="200"/>
    </w:pPr>
  </w:style>
  <w:style w:type="character" w:customStyle="1" w:styleId="233">
    <w:name w:val="页脚 Char2"/>
    <w:basedOn w:val="51"/>
    <w:semiHidden/>
    <w:qFormat/>
    <w:uiPriority w:val="99"/>
    <w:rPr>
      <w:rFonts w:ascii="Calibri" w:hAnsi="Calibri" w:eastAsia="宋体" w:cs="Times New Roman"/>
      <w:sz w:val="18"/>
      <w:szCs w:val="18"/>
    </w:rPr>
  </w:style>
  <w:style w:type="paragraph" w:customStyle="1" w:styleId="234">
    <w:name w:val="Table Text"/>
    <w:basedOn w:val="1"/>
    <w:qFormat/>
    <w:uiPriority w:val="0"/>
    <w:pPr>
      <w:topLinePunct/>
      <w:adjustRightInd w:val="0"/>
      <w:snapToGrid w:val="0"/>
      <w:spacing w:before="80" w:after="80" w:line="240" w:lineRule="atLeast"/>
      <w:jc w:val="left"/>
    </w:pPr>
    <w:rPr>
      <w:rFonts w:cs="Arial"/>
      <w:kern w:val="0"/>
      <w:sz w:val="24"/>
      <w:szCs w:val="21"/>
    </w:rPr>
  </w:style>
  <w:style w:type="character" w:customStyle="1" w:styleId="235">
    <w:name w:val="正文文本缩进 2 Char2"/>
    <w:basedOn w:val="51"/>
    <w:semiHidden/>
    <w:qFormat/>
    <w:uiPriority w:val="99"/>
    <w:rPr>
      <w:rFonts w:ascii="Calibri" w:hAnsi="Calibri" w:eastAsia="宋体" w:cs="Times New Roman"/>
      <w:szCs w:val="24"/>
    </w:rPr>
  </w:style>
  <w:style w:type="paragraph" w:customStyle="1" w:styleId="236">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黑体" w:hAnsi="宋体" w:eastAsia="黑体" w:cs="宋体"/>
      <w:color w:val="000000"/>
      <w:kern w:val="0"/>
      <w:sz w:val="20"/>
      <w:szCs w:val="20"/>
    </w:rPr>
  </w:style>
  <w:style w:type="character" w:customStyle="1" w:styleId="237">
    <w:name w:val="纯文本 Char4"/>
    <w:basedOn w:val="51"/>
    <w:qFormat/>
    <w:uiPriority w:val="0"/>
    <w:rPr>
      <w:rFonts w:ascii="宋体" w:hAnsi="Courier New" w:eastAsia="宋体" w:cs="Courier New"/>
      <w:szCs w:val="21"/>
    </w:rPr>
  </w:style>
  <w:style w:type="paragraph" w:customStyle="1" w:styleId="238">
    <w:name w:val="xl31"/>
    <w:basedOn w:val="1"/>
    <w:qFormat/>
    <w:uiPriority w:val="0"/>
    <w:pPr>
      <w:widowControl/>
      <w:pBdr>
        <w:bottom w:val="single" w:color="auto" w:sz="4" w:space="0"/>
        <w:right w:val="single" w:color="auto" w:sz="4" w:space="0"/>
      </w:pBdr>
      <w:spacing w:before="100" w:beforeAutospacing="1" w:after="100" w:afterAutospacing="1"/>
      <w:jc w:val="center"/>
    </w:pPr>
    <w:rPr>
      <w:rFonts w:ascii="宋体" w:hAnsi="宋体" w:cs="宋体"/>
      <w:kern w:val="0"/>
      <w:szCs w:val="21"/>
    </w:rPr>
  </w:style>
  <w:style w:type="paragraph" w:customStyle="1" w:styleId="239">
    <w:name w:val="Char Char1 Char1"/>
    <w:basedOn w:val="1"/>
    <w:qFormat/>
    <w:uiPriority w:val="0"/>
    <w:pPr>
      <w:tabs>
        <w:tab w:val="left" w:pos="360"/>
      </w:tabs>
    </w:pPr>
    <w:rPr>
      <w:rFonts w:cs="宋体"/>
      <w:sz w:val="24"/>
    </w:rPr>
  </w:style>
  <w:style w:type="paragraph" w:customStyle="1" w:styleId="240">
    <w:name w:val="xl93"/>
    <w:basedOn w:val="1"/>
    <w:qFormat/>
    <w:uiPriority w:val="0"/>
    <w:pPr>
      <w:widowControl/>
      <w:spacing w:before="100" w:beforeAutospacing="1" w:after="100" w:afterAutospacing="1"/>
      <w:jc w:val="left"/>
    </w:pPr>
    <w:rPr>
      <w:rFonts w:ascii="宋体" w:hAnsi="宋体" w:cs="宋体"/>
      <w:color w:val="0000FF"/>
      <w:kern w:val="0"/>
      <w:sz w:val="24"/>
    </w:rPr>
  </w:style>
  <w:style w:type="character" w:customStyle="1" w:styleId="241">
    <w:name w:val="副标题 Char2"/>
    <w:basedOn w:val="51"/>
    <w:qFormat/>
    <w:uiPriority w:val="11"/>
    <w:rPr>
      <w:rFonts w:eastAsia="宋体" w:asciiTheme="majorHAnsi" w:hAnsiTheme="majorHAnsi" w:cstheme="majorBidi"/>
      <w:b/>
      <w:bCs/>
      <w:kern w:val="28"/>
      <w:sz w:val="32"/>
      <w:szCs w:val="32"/>
    </w:rPr>
  </w:style>
  <w:style w:type="paragraph" w:customStyle="1" w:styleId="242">
    <w:name w:val="正文 New"/>
    <w:qFormat/>
    <w:uiPriority w:val="0"/>
    <w:pPr>
      <w:widowControl w:val="0"/>
      <w:jc w:val="both"/>
    </w:pPr>
    <w:rPr>
      <w:rFonts w:ascii="Calibri" w:hAnsi="Calibri" w:eastAsia="宋体" w:cs="Times New Roman"/>
      <w:kern w:val="2"/>
      <w:sz w:val="21"/>
      <w:szCs w:val="24"/>
      <w:lang w:val="en-US" w:eastAsia="zh-CN" w:bidi="ar-SA"/>
    </w:rPr>
  </w:style>
  <w:style w:type="paragraph" w:customStyle="1" w:styleId="243">
    <w:name w:val="样式 首行缩进:  2 字符 段后: 0.5 行"/>
    <w:basedOn w:val="1"/>
    <w:qFormat/>
    <w:uiPriority w:val="0"/>
    <w:pPr>
      <w:spacing w:line="360" w:lineRule="auto"/>
      <w:ind w:firstLine="480" w:firstLineChars="200"/>
    </w:pPr>
    <w:rPr>
      <w:rFonts w:ascii="宋体" w:hAnsi="宋体" w:cs="宋体"/>
      <w:sz w:val="24"/>
    </w:rPr>
  </w:style>
  <w:style w:type="character" w:customStyle="1" w:styleId="244">
    <w:name w:val="标题 Char3"/>
    <w:basedOn w:val="51"/>
    <w:qFormat/>
    <w:uiPriority w:val="10"/>
    <w:rPr>
      <w:rFonts w:eastAsia="宋体" w:asciiTheme="majorHAnsi" w:hAnsiTheme="majorHAnsi" w:cstheme="majorBidi"/>
      <w:b/>
      <w:bCs/>
      <w:sz w:val="32"/>
      <w:szCs w:val="32"/>
    </w:rPr>
  </w:style>
  <w:style w:type="paragraph" w:customStyle="1" w:styleId="245">
    <w:name w:val="正文段"/>
    <w:basedOn w:val="1"/>
    <w:qFormat/>
    <w:uiPriority w:val="0"/>
    <w:pPr>
      <w:widowControl/>
      <w:snapToGrid w:val="0"/>
      <w:spacing w:afterLines="50"/>
      <w:ind w:firstLine="200" w:firstLineChars="200"/>
    </w:pPr>
    <w:rPr>
      <w:kern w:val="0"/>
      <w:sz w:val="24"/>
      <w:szCs w:val="20"/>
    </w:rPr>
  </w:style>
  <w:style w:type="paragraph" w:customStyle="1" w:styleId="246">
    <w:name w:val="font10"/>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247">
    <w:name w:val="Char Char7 Char"/>
    <w:basedOn w:val="1"/>
    <w:qFormat/>
    <w:uiPriority w:val="0"/>
    <w:pPr>
      <w:tabs>
        <w:tab w:val="left" w:pos="425"/>
      </w:tabs>
      <w:ind w:left="420" w:leftChars="200" w:firstLine="270" w:firstLineChars="150"/>
    </w:pPr>
    <w:rPr>
      <w:rFonts w:ascii="宋体" w:hAnsi="宋体" w:cs="Arial"/>
      <w:color w:val="5E5E5E"/>
      <w:kern w:val="0"/>
      <w:szCs w:val="21"/>
    </w:rPr>
  </w:style>
  <w:style w:type="paragraph" w:customStyle="1" w:styleId="248">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249">
    <w:name w:val="Char1"/>
    <w:basedOn w:val="1"/>
    <w:qFormat/>
    <w:uiPriority w:val="99"/>
    <w:rPr>
      <w:rFonts w:ascii="仿宋_GB2312" w:eastAsia="仿宋_GB2312"/>
      <w:b/>
      <w:sz w:val="32"/>
      <w:szCs w:val="32"/>
    </w:rPr>
  </w:style>
  <w:style w:type="paragraph" w:customStyle="1" w:styleId="250">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character" w:customStyle="1" w:styleId="251">
    <w:name w:val="正文文本 2 Char2"/>
    <w:basedOn w:val="51"/>
    <w:semiHidden/>
    <w:qFormat/>
    <w:uiPriority w:val="99"/>
    <w:rPr>
      <w:rFonts w:ascii="Calibri" w:hAnsi="Calibri" w:eastAsia="宋体" w:cs="Times New Roman"/>
      <w:szCs w:val="24"/>
    </w:rPr>
  </w:style>
  <w:style w:type="paragraph" w:customStyle="1" w:styleId="252">
    <w:name w:val="无间隔1"/>
    <w:qFormat/>
    <w:uiPriority w:val="0"/>
    <w:rPr>
      <w:rFonts w:ascii="Calibri" w:hAnsi="Calibri" w:eastAsia="宋体" w:cs="Times New Roman"/>
      <w:sz w:val="22"/>
      <w:szCs w:val="22"/>
      <w:lang w:val="en-US" w:eastAsia="zh-CN" w:bidi="ar-SA"/>
    </w:rPr>
  </w:style>
  <w:style w:type="paragraph" w:customStyle="1" w:styleId="253">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18"/>
      <w:szCs w:val="18"/>
    </w:rPr>
  </w:style>
  <w:style w:type="paragraph" w:customStyle="1" w:styleId="254">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黑体" w:hAnsi="宋体" w:eastAsia="黑体" w:cs="宋体"/>
      <w:color w:val="000000"/>
      <w:kern w:val="0"/>
      <w:sz w:val="20"/>
      <w:szCs w:val="20"/>
    </w:rPr>
  </w:style>
  <w:style w:type="paragraph" w:customStyle="1" w:styleId="255">
    <w:name w:val="表内文字"/>
    <w:basedOn w:val="1"/>
    <w:qFormat/>
    <w:uiPriority w:val="0"/>
    <w:pPr>
      <w:tabs>
        <w:tab w:val="left" w:pos="1418"/>
      </w:tabs>
      <w:spacing w:line="360" w:lineRule="auto"/>
      <w:jc w:val="center"/>
    </w:pPr>
    <w:rPr>
      <w:rFonts w:ascii="仿宋_GB2312" w:eastAsia="仿宋_GB2312"/>
      <w:spacing w:val="-20"/>
      <w:kern w:val="0"/>
      <w:sz w:val="24"/>
    </w:rPr>
  </w:style>
  <w:style w:type="paragraph" w:customStyle="1" w:styleId="256">
    <w:name w:val="xl106"/>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257">
    <w:name w:val="Char Char Char Char Char Char1"/>
    <w:basedOn w:val="1"/>
    <w:qFormat/>
    <w:uiPriority w:val="0"/>
    <w:pPr>
      <w:widowControl/>
      <w:spacing w:after="160" w:line="240" w:lineRule="exact"/>
      <w:jc w:val="left"/>
    </w:pPr>
    <w:rPr>
      <w:kern w:val="0"/>
      <w:szCs w:val="20"/>
    </w:rPr>
  </w:style>
  <w:style w:type="paragraph" w:customStyle="1" w:styleId="258">
    <w:name w:val="xl8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FF"/>
      <w:kern w:val="0"/>
      <w:sz w:val="20"/>
      <w:szCs w:val="20"/>
    </w:rPr>
  </w:style>
  <w:style w:type="paragraph" w:customStyle="1" w:styleId="259">
    <w:name w:val="样式 标题4 + 首行缩进:  1.47 字符"/>
    <w:basedOn w:val="1"/>
    <w:qFormat/>
    <w:uiPriority w:val="0"/>
    <w:pPr>
      <w:keepNext/>
      <w:keepLines/>
      <w:spacing w:before="60" w:after="60" w:line="377" w:lineRule="auto"/>
      <w:ind w:firstLine="147" w:firstLineChars="147"/>
      <w:outlineLvl w:val="3"/>
    </w:pPr>
    <w:rPr>
      <w:rFonts w:ascii="Arial" w:hAnsi="Arial" w:cs="宋体"/>
      <w:b/>
      <w:bCs/>
      <w:sz w:val="24"/>
      <w:szCs w:val="20"/>
    </w:rPr>
  </w:style>
  <w:style w:type="paragraph" w:customStyle="1" w:styleId="2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261">
    <w:name w:val="xl1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262">
    <w:name w:val="xl1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263">
    <w:name w:val="段落样式"/>
    <w:basedOn w:val="1"/>
    <w:qFormat/>
    <w:uiPriority w:val="0"/>
    <w:pPr>
      <w:spacing w:line="360" w:lineRule="auto"/>
    </w:pPr>
    <w:rPr>
      <w:rFonts w:cs="宋体"/>
      <w:sz w:val="24"/>
      <w:szCs w:val="20"/>
    </w:rPr>
  </w:style>
  <w:style w:type="paragraph" w:customStyle="1" w:styleId="264">
    <w:name w:val="Char Char1 Char"/>
    <w:basedOn w:val="1"/>
    <w:qFormat/>
    <w:uiPriority w:val="0"/>
    <w:pPr>
      <w:tabs>
        <w:tab w:val="left" w:pos="360"/>
      </w:tabs>
    </w:pPr>
    <w:rPr>
      <w:rFonts w:cs="宋体"/>
      <w:sz w:val="24"/>
    </w:rPr>
  </w:style>
  <w:style w:type="paragraph" w:customStyle="1" w:styleId="265">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20"/>
      <w:szCs w:val="20"/>
    </w:rPr>
  </w:style>
  <w:style w:type="paragraph" w:customStyle="1" w:styleId="266">
    <w:name w:val="列出段落1"/>
    <w:basedOn w:val="1"/>
    <w:qFormat/>
    <w:uiPriority w:val="99"/>
    <w:pPr>
      <w:ind w:firstLine="420" w:firstLineChars="200"/>
    </w:pPr>
    <w:rPr>
      <w:rFonts w:cs="宋体"/>
      <w:sz w:val="24"/>
      <w:szCs w:val="22"/>
    </w:rPr>
  </w:style>
  <w:style w:type="paragraph" w:customStyle="1" w:styleId="267">
    <w:name w:val="xl11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FF"/>
      <w:kern w:val="0"/>
      <w:sz w:val="20"/>
      <w:szCs w:val="20"/>
    </w:rPr>
  </w:style>
  <w:style w:type="paragraph" w:customStyle="1" w:styleId="268">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20"/>
      <w:szCs w:val="20"/>
    </w:rPr>
  </w:style>
  <w:style w:type="paragraph" w:customStyle="1" w:styleId="269">
    <w:name w:val="xl10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18"/>
      <w:szCs w:val="18"/>
    </w:rPr>
  </w:style>
  <w:style w:type="paragraph" w:customStyle="1" w:styleId="270">
    <w:name w:val="Char Char Char Char Char Char Char"/>
    <w:basedOn w:val="1"/>
    <w:qFormat/>
    <w:uiPriority w:val="0"/>
    <w:rPr>
      <w:rFonts w:cs="宋体"/>
      <w:sz w:val="24"/>
      <w:szCs w:val="21"/>
    </w:rPr>
  </w:style>
  <w:style w:type="paragraph" w:customStyle="1" w:styleId="271">
    <w:name w:val="Char Char Char Char1"/>
    <w:basedOn w:val="1"/>
    <w:qFormat/>
    <w:uiPriority w:val="0"/>
    <w:pPr>
      <w:widowControl/>
      <w:jc w:val="left"/>
    </w:pPr>
    <w:rPr>
      <w:rFonts w:cs="宋体"/>
      <w:kern w:val="0"/>
      <w:sz w:val="24"/>
    </w:rPr>
  </w:style>
  <w:style w:type="paragraph" w:customStyle="1" w:styleId="272">
    <w:name w:val="xl1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273">
    <w:name w:val="TOC 标题1"/>
    <w:basedOn w:val="4"/>
    <w:next w:val="1"/>
    <w:qFormat/>
    <w:uiPriority w:val="0"/>
    <w:pPr>
      <w:widowControl/>
      <w:spacing w:before="480" w:after="0" w:line="276" w:lineRule="auto"/>
      <w:jc w:val="left"/>
      <w:outlineLvl w:val="9"/>
    </w:pPr>
    <w:rPr>
      <w:rFonts w:ascii="Cambria" w:hAnsi="Cambria" w:cs="宋体"/>
      <w:color w:val="365F91"/>
      <w:kern w:val="0"/>
      <w:sz w:val="28"/>
      <w:szCs w:val="28"/>
    </w:rPr>
  </w:style>
  <w:style w:type="paragraph" w:customStyle="1" w:styleId="274">
    <w:name w:val="itemlist"/>
    <w:basedOn w:val="1"/>
    <w:qFormat/>
    <w:uiPriority w:val="0"/>
    <w:pPr>
      <w:widowControl/>
      <w:spacing w:before="100" w:beforeAutospacing="1" w:after="100" w:afterAutospacing="1"/>
      <w:jc w:val="left"/>
    </w:pPr>
    <w:rPr>
      <w:rFonts w:ascii="宋体" w:hAnsi="宋体" w:cs="宋体"/>
      <w:kern w:val="0"/>
      <w:sz w:val="24"/>
    </w:rPr>
  </w:style>
  <w:style w:type="paragraph" w:customStyle="1" w:styleId="275">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FF"/>
      <w:kern w:val="0"/>
      <w:sz w:val="18"/>
      <w:szCs w:val="18"/>
    </w:rPr>
  </w:style>
  <w:style w:type="paragraph" w:customStyle="1" w:styleId="276">
    <w:name w:val="xl10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4"/>
    </w:rPr>
  </w:style>
  <w:style w:type="paragraph" w:customStyle="1" w:styleId="277">
    <w:name w:val="列出段落11"/>
    <w:basedOn w:val="1"/>
    <w:qFormat/>
    <w:uiPriority w:val="0"/>
    <w:pPr>
      <w:ind w:firstLine="420" w:firstLineChars="200"/>
    </w:pPr>
    <w:rPr>
      <w:rFonts w:cs="宋体"/>
      <w:sz w:val="24"/>
    </w:rPr>
  </w:style>
  <w:style w:type="paragraph" w:customStyle="1" w:styleId="278">
    <w:name w:val="xl10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279">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cs="宋体"/>
      <w:kern w:val="0"/>
      <w:sz w:val="18"/>
      <w:szCs w:val="18"/>
    </w:rPr>
  </w:style>
  <w:style w:type="paragraph" w:customStyle="1" w:styleId="280">
    <w:name w:val="xl9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16"/>
      <w:szCs w:val="16"/>
    </w:rPr>
  </w:style>
  <w:style w:type="paragraph" w:customStyle="1" w:styleId="281">
    <w:name w:val="xl112"/>
    <w:basedOn w:val="1"/>
    <w:qFormat/>
    <w:uiPriority w:val="0"/>
    <w:pPr>
      <w:widowControl/>
      <w:pBdr>
        <w:top w:val="single" w:color="000000" w:sz="4" w:space="0"/>
        <w:bottom w:val="single" w:color="000000" w:sz="4" w:space="0"/>
        <w:right w:val="single" w:color="000000" w:sz="4" w:space="0"/>
      </w:pBdr>
      <w:spacing w:before="100" w:beforeAutospacing="1" w:after="100" w:afterAutospacing="1"/>
      <w:jc w:val="center"/>
    </w:pPr>
    <w:rPr>
      <w:rFonts w:ascii="宋体" w:hAnsi="宋体" w:cs="宋体"/>
      <w:kern w:val="0"/>
      <w:sz w:val="20"/>
      <w:szCs w:val="20"/>
    </w:rPr>
  </w:style>
  <w:style w:type="paragraph" w:customStyle="1" w:styleId="282">
    <w:name w:val="p0"/>
    <w:basedOn w:val="1"/>
    <w:qFormat/>
    <w:uiPriority w:val="0"/>
    <w:pPr>
      <w:widowControl/>
      <w:spacing w:before="100" w:beforeAutospacing="1" w:after="100" w:afterAutospacing="1"/>
      <w:jc w:val="left"/>
    </w:pPr>
    <w:rPr>
      <w:rFonts w:ascii="宋体" w:hAnsi="宋体"/>
      <w:kern w:val="0"/>
      <w:sz w:val="24"/>
      <w:szCs w:val="20"/>
    </w:rPr>
  </w:style>
  <w:style w:type="paragraph" w:customStyle="1" w:styleId="283">
    <w:name w:val="_Style 192"/>
    <w:next w:val="1"/>
    <w:qFormat/>
    <w:uiPriority w:val="0"/>
    <w:pPr>
      <w:widowControl w:val="0"/>
      <w:jc w:val="both"/>
    </w:pPr>
    <w:rPr>
      <w:rFonts w:ascii="Calibri" w:hAnsi="Calibri" w:eastAsia="宋体" w:cs="Times New Roman"/>
      <w:kern w:val="2"/>
      <w:sz w:val="21"/>
      <w:szCs w:val="24"/>
      <w:lang w:val="en-US" w:eastAsia="zh-CN" w:bidi="ar-SA"/>
    </w:rPr>
  </w:style>
  <w:style w:type="paragraph" w:customStyle="1" w:styleId="284">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20"/>
      <w:szCs w:val="20"/>
    </w:rPr>
  </w:style>
  <w:style w:type="paragraph" w:customStyle="1" w:styleId="285">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286">
    <w:name w:val="xl12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FF"/>
      <w:kern w:val="0"/>
      <w:sz w:val="18"/>
      <w:szCs w:val="18"/>
    </w:rPr>
  </w:style>
  <w:style w:type="paragraph" w:customStyle="1" w:styleId="287">
    <w:name w:val="*正文"/>
    <w:basedOn w:val="1"/>
    <w:qFormat/>
    <w:uiPriority w:val="0"/>
    <w:pPr>
      <w:spacing w:line="360" w:lineRule="auto"/>
      <w:ind w:firstLine="480" w:firstLineChars="200"/>
    </w:pPr>
    <w:rPr>
      <w:rFonts w:cs="仿宋_GB2312"/>
      <w:sz w:val="24"/>
    </w:rPr>
  </w:style>
  <w:style w:type="paragraph" w:customStyle="1" w:styleId="288">
    <w:name w:val="xl1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289">
    <w:name w:val="Char Char2"/>
    <w:basedOn w:val="20"/>
    <w:semiHidden/>
    <w:qFormat/>
    <w:uiPriority w:val="0"/>
    <w:pPr>
      <w:shd w:val="clear" w:color="auto" w:fill="000080"/>
      <w:jc w:val="left"/>
    </w:pPr>
    <w:rPr>
      <w:rFonts w:ascii="Tahoma" w:hAnsi="Tahoma" w:cs="Tahoma"/>
      <w:kern w:val="0"/>
      <w:szCs w:val="24"/>
    </w:rPr>
  </w:style>
  <w:style w:type="paragraph" w:customStyle="1" w:styleId="290">
    <w:name w:val="xl1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291">
    <w:name w:val="xl1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292">
    <w:name w:val="font8"/>
    <w:basedOn w:val="1"/>
    <w:qFormat/>
    <w:uiPriority w:val="0"/>
    <w:pPr>
      <w:widowControl/>
      <w:spacing w:before="100" w:beforeAutospacing="1" w:after="100" w:afterAutospacing="1"/>
      <w:jc w:val="left"/>
    </w:pPr>
    <w:rPr>
      <w:rFonts w:cs="宋体"/>
      <w:color w:val="0000FF"/>
      <w:kern w:val="0"/>
      <w:sz w:val="20"/>
      <w:szCs w:val="20"/>
    </w:rPr>
  </w:style>
  <w:style w:type="paragraph" w:customStyle="1" w:styleId="293">
    <w:name w:val="xl114"/>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s="宋体"/>
      <w:kern w:val="0"/>
      <w:sz w:val="18"/>
      <w:szCs w:val="18"/>
    </w:rPr>
  </w:style>
  <w:style w:type="paragraph" w:customStyle="1" w:styleId="294">
    <w:name w:val="font6"/>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295">
    <w:name w:val="默认段落字体 Para Char Char Char Char Char Char Char Char Char1 Char Char Char Char"/>
    <w:basedOn w:val="1"/>
    <w:qFormat/>
    <w:uiPriority w:val="0"/>
    <w:rPr>
      <w:rFonts w:ascii="Tahoma" w:hAnsi="Tahoma"/>
      <w:sz w:val="24"/>
      <w:szCs w:val="20"/>
    </w:rPr>
  </w:style>
  <w:style w:type="paragraph" w:customStyle="1" w:styleId="296">
    <w:name w:val="xl9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18"/>
      <w:szCs w:val="18"/>
    </w:rPr>
  </w:style>
  <w:style w:type="paragraph" w:customStyle="1" w:styleId="297">
    <w:name w:val="xl11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cs="宋体"/>
      <w:kern w:val="0"/>
      <w:sz w:val="20"/>
      <w:szCs w:val="20"/>
    </w:rPr>
  </w:style>
  <w:style w:type="paragraph" w:customStyle="1" w:styleId="298">
    <w:name w:val="Char4"/>
    <w:basedOn w:val="1"/>
    <w:qFormat/>
    <w:uiPriority w:val="0"/>
    <w:rPr>
      <w:rFonts w:ascii="仿宋_GB2312" w:eastAsia="仿宋_GB2312" w:cs="宋体"/>
      <w:b/>
      <w:sz w:val="32"/>
      <w:szCs w:val="32"/>
    </w:rPr>
  </w:style>
  <w:style w:type="paragraph" w:customStyle="1" w:styleId="299">
    <w:name w:val="1"/>
    <w:basedOn w:val="4"/>
    <w:qFormat/>
    <w:uiPriority w:val="0"/>
    <w:pPr>
      <w:adjustRightInd w:val="0"/>
      <w:snapToGrid w:val="0"/>
      <w:spacing w:before="240" w:after="240" w:line="348" w:lineRule="auto"/>
    </w:pPr>
    <w:rPr>
      <w:rFonts w:cs="宋体"/>
    </w:rPr>
  </w:style>
  <w:style w:type="paragraph" w:customStyle="1" w:styleId="300">
    <w:name w:val="xl11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18"/>
      <w:szCs w:val="18"/>
    </w:rPr>
  </w:style>
  <w:style w:type="paragraph" w:customStyle="1" w:styleId="301">
    <w:name w:val="xl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FF"/>
      <w:kern w:val="0"/>
      <w:sz w:val="18"/>
      <w:szCs w:val="18"/>
    </w:rPr>
  </w:style>
  <w:style w:type="paragraph" w:customStyle="1" w:styleId="302">
    <w:name w:val="xl11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303">
    <w:name w:val="纯文本2"/>
    <w:basedOn w:val="1"/>
    <w:qFormat/>
    <w:uiPriority w:val="0"/>
    <w:pPr>
      <w:adjustRightInd w:val="0"/>
      <w:textAlignment w:val="baseline"/>
    </w:pPr>
    <w:rPr>
      <w:rFonts w:ascii="宋体" w:hAnsi="Courier New" w:eastAsia="楷体_GB2312" w:cs="宋体"/>
      <w:sz w:val="26"/>
      <w:szCs w:val="20"/>
    </w:rPr>
  </w:style>
  <w:style w:type="paragraph" w:customStyle="1" w:styleId="304">
    <w:name w:val="1 Char Char Char Char"/>
    <w:basedOn w:val="1"/>
    <w:qFormat/>
    <w:uiPriority w:val="0"/>
    <w:rPr>
      <w:rFonts w:ascii="Tahoma" w:hAnsi="Tahoma"/>
      <w:sz w:val="24"/>
      <w:szCs w:val="20"/>
    </w:rPr>
  </w:style>
  <w:style w:type="paragraph" w:customStyle="1" w:styleId="305">
    <w:name w:val="xl83"/>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306">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307">
    <w:name w:val="xl8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cs="宋体"/>
      <w:kern w:val="0"/>
      <w:sz w:val="24"/>
      <w:szCs w:val="21"/>
    </w:rPr>
  </w:style>
  <w:style w:type="paragraph" w:customStyle="1" w:styleId="308">
    <w:name w:val="字元 字元"/>
    <w:basedOn w:val="1"/>
    <w:qFormat/>
    <w:uiPriority w:val="0"/>
    <w:pPr>
      <w:widowControl/>
      <w:spacing w:after="160" w:line="240" w:lineRule="exact"/>
      <w:jc w:val="left"/>
    </w:pPr>
    <w:rPr>
      <w:rFonts w:cs="宋体"/>
      <w:sz w:val="28"/>
      <w:szCs w:val="20"/>
    </w:rPr>
  </w:style>
  <w:style w:type="paragraph" w:customStyle="1" w:styleId="309">
    <w:name w:val="xl82"/>
    <w:basedOn w:val="1"/>
    <w:qFormat/>
    <w:uiPriority w:val="0"/>
    <w:pPr>
      <w:widowControl/>
      <w:pBdr>
        <w:top w:val="single" w:color="000000" w:sz="4" w:space="0"/>
        <w:bottom w:val="single" w:color="000000" w:sz="4" w:space="0"/>
        <w:right w:val="single" w:color="000000" w:sz="4" w:space="0"/>
      </w:pBdr>
      <w:spacing w:before="100" w:beforeAutospacing="1" w:after="100" w:afterAutospacing="1"/>
      <w:jc w:val="center"/>
    </w:pPr>
    <w:rPr>
      <w:rFonts w:cs="宋体"/>
      <w:kern w:val="0"/>
      <w:sz w:val="24"/>
      <w:szCs w:val="21"/>
    </w:rPr>
  </w:style>
  <w:style w:type="paragraph" w:customStyle="1" w:styleId="310">
    <w:name w:val="Char Char Char Char Char Char Char Char Char"/>
    <w:basedOn w:val="1"/>
    <w:qFormat/>
    <w:uiPriority w:val="0"/>
    <w:rPr>
      <w:rFonts w:cs="宋体"/>
    </w:rPr>
  </w:style>
  <w:style w:type="paragraph" w:customStyle="1" w:styleId="311">
    <w:name w:val="Char Char Char1 Char Char Char Char"/>
    <w:basedOn w:val="1"/>
    <w:qFormat/>
    <w:uiPriority w:val="0"/>
    <w:pPr>
      <w:widowControl/>
      <w:spacing w:after="160" w:line="240" w:lineRule="exact"/>
      <w:jc w:val="left"/>
    </w:pPr>
  </w:style>
  <w:style w:type="paragraph" w:customStyle="1" w:styleId="312">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18"/>
      <w:szCs w:val="18"/>
    </w:rPr>
  </w:style>
  <w:style w:type="paragraph" w:customStyle="1" w:styleId="313">
    <w:name w:val="xl1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314">
    <w:name w:val="表格"/>
    <w:basedOn w:val="1"/>
    <w:qFormat/>
    <w:uiPriority w:val="0"/>
    <w:pPr>
      <w:spacing w:line="400" w:lineRule="exact"/>
    </w:pPr>
    <w:rPr>
      <w:rFonts w:cs="宋体"/>
      <w:sz w:val="24"/>
    </w:rPr>
  </w:style>
  <w:style w:type="paragraph" w:customStyle="1" w:styleId="315">
    <w:name w:val="纯文本1"/>
    <w:basedOn w:val="1"/>
    <w:qFormat/>
    <w:uiPriority w:val="0"/>
    <w:pPr>
      <w:adjustRightInd w:val="0"/>
      <w:textAlignment w:val="baseline"/>
    </w:pPr>
    <w:rPr>
      <w:rFonts w:ascii="宋体" w:hAnsi="Courier New" w:eastAsia="楷体_GB2312" w:cs="宋体"/>
      <w:sz w:val="26"/>
      <w:szCs w:val="20"/>
    </w:rPr>
  </w:style>
  <w:style w:type="paragraph" w:customStyle="1" w:styleId="316">
    <w:name w:val="正文－恩普"/>
    <w:basedOn w:val="18"/>
    <w:qFormat/>
    <w:uiPriority w:val="0"/>
    <w:pPr>
      <w:widowControl/>
      <w:spacing w:afterLines="50" w:line="360" w:lineRule="auto"/>
      <w:ind w:firstLine="480" w:firstLineChars="200"/>
      <w:jc w:val="left"/>
    </w:pPr>
    <w:rPr>
      <w:rFonts w:cs="宋体"/>
      <w:sz w:val="24"/>
    </w:rPr>
  </w:style>
  <w:style w:type="paragraph" w:customStyle="1" w:styleId="317">
    <w:name w:val="Char"/>
    <w:basedOn w:val="4"/>
    <w:qFormat/>
    <w:uiPriority w:val="0"/>
    <w:pPr>
      <w:adjustRightInd w:val="0"/>
      <w:snapToGrid w:val="0"/>
      <w:spacing w:before="240" w:after="240" w:line="348" w:lineRule="auto"/>
    </w:pPr>
  </w:style>
  <w:style w:type="paragraph" w:customStyle="1" w:styleId="318">
    <w:name w:val="Char21"/>
    <w:basedOn w:val="1"/>
    <w:qFormat/>
    <w:uiPriority w:val="0"/>
    <w:pPr>
      <w:tabs>
        <w:tab w:val="left" w:pos="360"/>
      </w:tabs>
      <w:ind w:left="360" w:hanging="360" w:hangingChars="200"/>
    </w:pPr>
    <w:rPr>
      <w:rFonts w:cs="宋体"/>
      <w:sz w:val="24"/>
    </w:rPr>
  </w:style>
  <w:style w:type="paragraph" w:customStyle="1" w:styleId="319">
    <w:name w:val="xl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18"/>
      <w:szCs w:val="18"/>
    </w:rPr>
  </w:style>
  <w:style w:type="paragraph" w:customStyle="1" w:styleId="320">
    <w:name w:val="Char31"/>
    <w:basedOn w:val="1"/>
    <w:qFormat/>
    <w:uiPriority w:val="0"/>
    <w:pPr>
      <w:tabs>
        <w:tab w:val="left" w:pos="360"/>
      </w:tabs>
    </w:pPr>
  </w:style>
  <w:style w:type="paragraph" w:customStyle="1" w:styleId="321">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322">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FF"/>
      <w:kern w:val="0"/>
      <w:sz w:val="18"/>
      <w:szCs w:val="18"/>
    </w:rPr>
  </w:style>
  <w:style w:type="paragraph" w:customStyle="1" w:styleId="323">
    <w:name w:val="_Style 42"/>
    <w:next w:val="1"/>
    <w:qFormat/>
    <w:uiPriority w:val="0"/>
    <w:pPr>
      <w:widowControl w:val="0"/>
      <w:jc w:val="both"/>
    </w:pPr>
    <w:rPr>
      <w:rFonts w:ascii="Calibri" w:hAnsi="Calibri" w:eastAsia="宋体" w:cs="Times New Roman"/>
      <w:kern w:val="2"/>
      <w:sz w:val="21"/>
      <w:szCs w:val="24"/>
      <w:lang w:val="en-US" w:eastAsia="zh-CN" w:bidi="ar-SA"/>
    </w:rPr>
  </w:style>
  <w:style w:type="paragraph" w:customStyle="1" w:styleId="324">
    <w:name w:val="正文1"/>
    <w:qFormat/>
    <w:uiPriority w:val="0"/>
    <w:pPr>
      <w:widowControl w:val="0"/>
      <w:jc w:val="both"/>
    </w:pPr>
    <w:rPr>
      <w:rFonts w:hint="eastAsia" w:ascii="Calibri" w:hAnsi="Calibri" w:eastAsia="宋体" w:cs="宋体"/>
      <w:kern w:val="2"/>
      <w:sz w:val="21"/>
      <w:lang w:val="en-US" w:eastAsia="zh-CN" w:bidi="ar-SA"/>
    </w:rPr>
  </w:style>
  <w:style w:type="paragraph" w:customStyle="1" w:styleId="325">
    <w:name w:val="列表内容"/>
    <w:basedOn w:val="1"/>
    <w:next w:val="1"/>
    <w:qFormat/>
    <w:uiPriority w:val="0"/>
    <w:pPr>
      <w:widowControl/>
      <w:numPr>
        <w:ilvl w:val="0"/>
        <w:numId w:val="4"/>
      </w:numPr>
      <w:jc w:val="left"/>
    </w:pPr>
    <w:rPr>
      <w:rFonts w:cs="宋体"/>
      <w:kern w:val="0"/>
      <w:sz w:val="18"/>
      <w:szCs w:val="20"/>
    </w:rPr>
  </w:style>
  <w:style w:type="paragraph" w:customStyle="1" w:styleId="326">
    <w:name w:val="xl35"/>
    <w:basedOn w:val="1"/>
    <w:qFormat/>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cs="宋体"/>
      <w:kern w:val="0"/>
      <w:sz w:val="24"/>
    </w:rPr>
  </w:style>
  <w:style w:type="paragraph" w:customStyle="1" w:styleId="327">
    <w:name w:val="默认段落字体 Para Char Char Char Char"/>
    <w:basedOn w:val="1"/>
    <w:qFormat/>
    <w:uiPriority w:val="0"/>
  </w:style>
  <w:style w:type="paragraph" w:customStyle="1" w:styleId="328">
    <w:name w:val="a2"/>
    <w:basedOn w:val="1"/>
    <w:qFormat/>
    <w:uiPriority w:val="0"/>
    <w:pPr>
      <w:widowControl/>
      <w:spacing w:before="100" w:beforeAutospacing="1" w:after="100" w:afterAutospacing="1"/>
      <w:jc w:val="left"/>
    </w:pPr>
    <w:rPr>
      <w:rFonts w:ascii="宋体" w:hAnsi="宋体" w:cs="宋体"/>
      <w:kern w:val="0"/>
      <w:sz w:val="24"/>
    </w:rPr>
  </w:style>
  <w:style w:type="paragraph" w:customStyle="1" w:styleId="329">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330">
    <w:name w:val="xl1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331">
    <w:name w:val="标题6"/>
    <w:basedOn w:val="1"/>
    <w:next w:val="4"/>
    <w:qFormat/>
    <w:uiPriority w:val="0"/>
    <w:pPr>
      <w:widowControl/>
      <w:snapToGrid w:val="0"/>
      <w:spacing w:beforeLines="50" w:afterLines="50" w:line="520" w:lineRule="atLeast"/>
      <w:ind w:firstLine="200" w:firstLineChars="200"/>
    </w:pPr>
    <w:rPr>
      <w:rFonts w:cs="Arial"/>
      <w:b/>
      <w:sz w:val="24"/>
    </w:rPr>
  </w:style>
  <w:style w:type="paragraph" w:customStyle="1" w:styleId="332">
    <w:name w:val="--规划正文"/>
    <w:basedOn w:val="1"/>
    <w:qFormat/>
    <w:uiPriority w:val="0"/>
    <w:pPr>
      <w:widowControl/>
      <w:suppressAutoHyphens/>
      <w:spacing w:line="360" w:lineRule="auto"/>
      <w:ind w:firstLine="200"/>
      <w:jc w:val="left"/>
    </w:pPr>
    <w:rPr>
      <w:kern w:val="1"/>
      <w:szCs w:val="20"/>
      <w:lang w:eastAsia="ar-SA"/>
    </w:rPr>
  </w:style>
  <w:style w:type="paragraph" w:customStyle="1" w:styleId="333">
    <w:name w:val="xl1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334">
    <w:name w:val="Char11"/>
    <w:basedOn w:val="1"/>
    <w:qFormat/>
    <w:uiPriority w:val="0"/>
    <w:pPr>
      <w:widowControl/>
      <w:spacing w:after="160" w:line="240" w:lineRule="exact"/>
      <w:jc w:val="left"/>
    </w:pPr>
    <w:rPr>
      <w:rFonts w:ascii="Verdana" w:hAnsi="Verdana" w:cs="宋体"/>
      <w:kern w:val="0"/>
      <w:sz w:val="20"/>
      <w:szCs w:val="20"/>
      <w:lang w:eastAsia="en-US"/>
    </w:rPr>
  </w:style>
  <w:style w:type="paragraph" w:customStyle="1" w:styleId="335">
    <w:name w:val="Char Char7 Char Char Char Char"/>
    <w:basedOn w:val="1"/>
    <w:qFormat/>
    <w:uiPriority w:val="0"/>
    <w:pPr>
      <w:spacing w:line="360" w:lineRule="auto"/>
      <w:ind w:firstLine="200" w:firstLineChars="200"/>
    </w:pPr>
    <w:rPr>
      <w:rFonts w:ascii="Tahoma" w:hAnsi="Tahoma" w:eastAsia="楷体_GB2312" w:cs="宋体"/>
      <w:sz w:val="24"/>
      <w:szCs w:val="20"/>
    </w:rPr>
  </w:style>
  <w:style w:type="paragraph" w:customStyle="1" w:styleId="336">
    <w:name w:val="正文3"/>
    <w:qFormat/>
    <w:uiPriority w:val="0"/>
    <w:pPr>
      <w:widowControl w:val="0"/>
      <w:jc w:val="both"/>
    </w:pPr>
    <w:rPr>
      <w:rFonts w:hint="eastAsia" w:ascii="Calibri" w:hAnsi="Calibri" w:eastAsia="宋体" w:cs="Times New Roman"/>
      <w:kern w:val="2"/>
      <w:sz w:val="21"/>
      <w:lang w:val="en-US" w:eastAsia="zh-CN" w:bidi="ar-SA"/>
    </w:rPr>
  </w:style>
  <w:style w:type="paragraph" w:customStyle="1" w:styleId="337">
    <w:name w:val="xl11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20"/>
      <w:szCs w:val="20"/>
    </w:rPr>
  </w:style>
  <w:style w:type="paragraph" w:customStyle="1" w:styleId="338">
    <w:name w:val="p19"/>
    <w:basedOn w:val="1"/>
    <w:qFormat/>
    <w:uiPriority w:val="0"/>
    <w:pPr>
      <w:widowControl/>
      <w:spacing w:line="300" w:lineRule="auto"/>
      <w:jc w:val="left"/>
    </w:pPr>
    <w:rPr>
      <w:rFonts w:ascii="Arial" w:hAnsi="Arial" w:cs="Arial"/>
      <w:kern w:val="0"/>
      <w:szCs w:val="21"/>
    </w:rPr>
  </w:style>
  <w:style w:type="paragraph" w:customStyle="1" w:styleId="339">
    <w:name w:val="样式 样式 宋体 + 首行缩进:  2 字符"/>
    <w:basedOn w:val="1"/>
    <w:qFormat/>
    <w:uiPriority w:val="0"/>
    <w:pPr>
      <w:spacing w:line="360" w:lineRule="auto"/>
      <w:ind w:firstLine="560" w:firstLineChars="200"/>
      <w:jc w:val="left"/>
    </w:pPr>
    <w:rPr>
      <w:rFonts w:ascii="仿宋_GB2312" w:hAnsi="仿宋" w:eastAsia="仿宋_GB2312" w:cs="宋体"/>
      <w:sz w:val="28"/>
      <w:szCs w:val="20"/>
    </w:rPr>
  </w:style>
  <w:style w:type="paragraph" w:customStyle="1" w:styleId="340">
    <w:name w:val="正文文字2"/>
    <w:basedOn w:val="2"/>
    <w:qFormat/>
    <w:uiPriority w:val="0"/>
    <w:pPr>
      <w:adjustRightInd w:val="0"/>
      <w:spacing w:after="60" w:line="360" w:lineRule="atLeast"/>
      <w:ind w:left="72" w:leftChars="30" w:right="72" w:rightChars="30"/>
      <w:jc w:val="center"/>
    </w:pPr>
    <w:rPr>
      <w:rFonts w:ascii="Arial" w:eastAsia="黑体"/>
      <w:kern w:val="0"/>
      <w:sz w:val="21"/>
      <w:szCs w:val="20"/>
    </w:rPr>
  </w:style>
  <w:style w:type="paragraph" w:customStyle="1" w:styleId="341">
    <w:name w:val="Char3"/>
    <w:basedOn w:val="1"/>
    <w:qFormat/>
    <w:uiPriority w:val="0"/>
    <w:pPr>
      <w:widowControl/>
      <w:spacing w:after="160" w:line="240" w:lineRule="exact"/>
      <w:jc w:val="left"/>
    </w:pPr>
    <w:rPr>
      <w:rFonts w:ascii="Verdana" w:hAnsi="Verdana" w:eastAsia="仿宋_GB2312" w:cs="宋体"/>
      <w:kern w:val="0"/>
      <w:sz w:val="24"/>
      <w:szCs w:val="20"/>
      <w:lang w:eastAsia="en-US"/>
    </w:rPr>
  </w:style>
  <w:style w:type="paragraph" w:customStyle="1" w:styleId="342">
    <w:name w:val="样式 标题 3 + 小四 非加粗 段前: 0 磅 段后: 0 磅 行距: 单倍行距"/>
    <w:basedOn w:val="7"/>
    <w:qFormat/>
    <w:uiPriority w:val="0"/>
    <w:pPr>
      <w:keepNext w:val="0"/>
      <w:keepLines w:val="0"/>
      <w:numPr>
        <w:ilvl w:val="2"/>
        <w:numId w:val="5"/>
      </w:numPr>
      <w:spacing w:before="120" w:after="120" w:line="240" w:lineRule="auto"/>
      <w:jc w:val="left"/>
    </w:pPr>
    <w:rPr>
      <w:rFonts w:cs="宋体"/>
      <w:b w:val="0"/>
      <w:bCs w:val="0"/>
      <w:color w:val="000000"/>
      <w:kern w:val="0"/>
      <w:sz w:val="24"/>
      <w:szCs w:val="20"/>
    </w:rPr>
  </w:style>
  <w:style w:type="paragraph" w:customStyle="1" w:styleId="343">
    <w:name w:val="TOC 标题2"/>
    <w:basedOn w:val="4"/>
    <w:next w:val="1"/>
    <w:qFormat/>
    <w:uiPriority w:val="0"/>
    <w:pPr>
      <w:widowControl/>
      <w:spacing w:before="480" w:after="0" w:line="276" w:lineRule="auto"/>
      <w:jc w:val="left"/>
      <w:outlineLvl w:val="9"/>
    </w:pPr>
    <w:rPr>
      <w:rFonts w:ascii="Cambria" w:hAnsi="Cambria"/>
      <w:color w:val="365F91"/>
      <w:kern w:val="0"/>
      <w:sz w:val="28"/>
      <w:szCs w:val="28"/>
    </w:rPr>
  </w:style>
  <w:style w:type="paragraph" w:customStyle="1" w:styleId="344">
    <w:name w:val="xl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345">
    <w:name w:val="xl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346">
    <w:name w:val="Table Paragraph"/>
    <w:basedOn w:val="1"/>
    <w:qFormat/>
    <w:uiPriority w:val="1"/>
    <w:rPr>
      <w:rFonts w:ascii="宋体" w:hAnsi="宋体" w:cs="宋体"/>
      <w:sz w:val="24"/>
      <w:lang w:val="zh-CN" w:bidi="zh-CN"/>
    </w:rPr>
  </w:style>
  <w:style w:type="paragraph" w:customStyle="1" w:styleId="347">
    <w:name w:val="纯文本3"/>
    <w:basedOn w:val="1"/>
    <w:qFormat/>
    <w:uiPriority w:val="0"/>
    <w:pPr>
      <w:adjustRightInd w:val="0"/>
      <w:textAlignment w:val="baseline"/>
    </w:pPr>
    <w:rPr>
      <w:rFonts w:ascii="宋体" w:hAnsi="Courier New" w:eastAsia="楷体_GB2312"/>
      <w:sz w:val="26"/>
      <w:szCs w:val="20"/>
    </w:rPr>
  </w:style>
  <w:style w:type="paragraph" w:customStyle="1" w:styleId="348">
    <w:name w:val="xl11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FF"/>
      <w:kern w:val="0"/>
      <w:sz w:val="18"/>
      <w:szCs w:val="18"/>
    </w:rPr>
  </w:style>
  <w:style w:type="paragraph" w:customStyle="1" w:styleId="349">
    <w:name w:val="Char Char Char Char Char Char Char2"/>
    <w:basedOn w:val="1"/>
    <w:qFormat/>
    <w:uiPriority w:val="0"/>
    <w:rPr>
      <w:szCs w:val="21"/>
    </w:rPr>
  </w:style>
  <w:style w:type="paragraph" w:customStyle="1" w:styleId="350">
    <w:name w:val="Char Char Char Char Char Char Char Char Char Char"/>
    <w:basedOn w:val="1"/>
    <w:qFormat/>
    <w:uiPriority w:val="0"/>
    <w:pPr>
      <w:widowControl/>
      <w:spacing w:after="160" w:line="360" w:lineRule="auto"/>
      <w:jc w:val="left"/>
    </w:pPr>
    <w:rPr>
      <w:rFonts w:ascii="Verdana" w:hAnsi="Verdana" w:cs="Verdana"/>
      <w:kern w:val="0"/>
      <w:sz w:val="24"/>
      <w:szCs w:val="21"/>
      <w:lang w:eastAsia="en-US"/>
    </w:rPr>
  </w:style>
  <w:style w:type="table" w:customStyle="1" w:styleId="351">
    <w:name w:val="网格型1"/>
    <w:basedOn w:val="49"/>
    <w:qFormat/>
    <w:uiPriority w:val="0"/>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352">
    <w:name w:val="List Paragraph1"/>
    <w:basedOn w:val="1"/>
    <w:qFormat/>
    <w:uiPriority w:val="0"/>
    <w:pPr>
      <w:ind w:firstLine="420" w:firstLineChars="200"/>
    </w:pPr>
    <w:rPr>
      <w:szCs w:val="22"/>
    </w:rPr>
  </w:style>
  <w:style w:type="character" w:customStyle="1" w:styleId="353">
    <w:name w:val="NormalCharacter"/>
    <w:qFormat/>
    <w:uiPriority w:val="0"/>
  </w:style>
  <w:style w:type="paragraph" w:customStyle="1" w:styleId="354">
    <w:name w:val="TOC 标题3"/>
    <w:basedOn w:val="4"/>
    <w:next w:val="1"/>
    <w:unhideWhenUsed/>
    <w:qFormat/>
    <w:uiPriority w:val="39"/>
    <w:pPr>
      <w:widowControl/>
      <w:spacing w:before="480" w:after="0" w:line="276" w:lineRule="auto"/>
      <w:jc w:val="left"/>
      <w:outlineLvl w:val="9"/>
    </w:pPr>
    <w:rPr>
      <w:rFonts w:ascii="Cambria" w:hAnsi="Cambria"/>
      <w:color w:val="365F91"/>
      <w:kern w:val="0"/>
      <w:sz w:val="28"/>
      <w:szCs w:val="28"/>
      <w:lang w:val="en-US"/>
    </w:rPr>
  </w:style>
  <w:style w:type="character" w:customStyle="1" w:styleId="355">
    <w:name w:val="fontstyle01"/>
    <w:basedOn w:val="51"/>
    <w:qFormat/>
    <w:uiPriority w:val="0"/>
    <w:rPr>
      <w:rFonts w:hint="eastAsia" w:ascii="宋体" w:hAnsi="宋体" w:eastAsia="宋体"/>
      <w:color w:val="000000"/>
      <w:sz w:val="24"/>
      <w:szCs w:val="24"/>
    </w:rPr>
  </w:style>
  <w:style w:type="character" w:customStyle="1" w:styleId="356">
    <w:name w:val="fontstyle11"/>
    <w:basedOn w:val="51"/>
    <w:qFormat/>
    <w:uiPriority w:val="0"/>
    <w:rPr>
      <w:rFonts w:hint="default" w:ascii="Arial" w:hAnsi="Arial" w:cs="Arial"/>
      <w:color w:val="000000"/>
      <w:sz w:val="24"/>
      <w:szCs w:val="24"/>
    </w:rPr>
  </w:style>
  <w:style w:type="character" w:customStyle="1" w:styleId="357">
    <w:name w:val="fontstyle31"/>
    <w:basedOn w:val="51"/>
    <w:qFormat/>
    <w:uiPriority w:val="0"/>
    <w:rPr>
      <w:rFonts w:hint="default" w:ascii="Times New Roman" w:hAnsi="Times New Roman" w:cs="Times New Roman"/>
      <w:color w:val="000000"/>
      <w:sz w:val="18"/>
      <w:szCs w:val="18"/>
    </w:rPr>
  </w:style>
  <w:style w:type="character" w:customStyle="1" w:styleId="358">
    <w:name w:val="列表 Char"/>
    <w:link w:val="39"/>
    <w:qFormat/>
    <w:uiPriority w:val="0"/>
    <w:rPr>
      <w:rFonts w:ascii="Calibri" w:hAnsi="Calibri"/>
      <w:kern w:val="2"/>
      <w:sz w:val="28"/>
      <w:szCs w:val="24"/>
    </w:rPr>
  </w:style>
  <w:style w:type="character" w:customStyle="1" w:styleId="359">
    <w:name w:val="书籍标题11"/>
    <w:qFormat/>
    <w:uiPriority w:val="33"/>
    <w:rPr>
      <w:rFonts w:eastAsia="Songti SC Regular"/>
      <w:bCs/>
      <w:smallCaps/>
      <w:spacing w:val="5"/>
      <w:sz w:val="32"/>
    </w:rPr>
  </w:style>
  <w:style w:type="character" w:customStyle="1" w:styleId="360">
    <w:name w:val="UserStyle_117"/>
    <w:link w:val="361"/>
    <w:qFormat/>
    <w:uiPriority w:val="0"/>
    <w:rPr>
      <w:rFonts w:ascii="宋体" w:hAnsi="Courier New"/>
      <w:sz w:val="24"/>
      <w:szCs w:val="24"/>
    </w:rPr>
  </w:style>
  <w:style w:type="paragraph" w:customStyle="1" w:styleId="361">
    <w:name w:val="PlainText"/>
    <w:basedOn w:val="1"/>
    <w:link w:val="360"/>
    <w:qFormat/>
    <w:uiPriority w:val="0"/>
    <w:pPr>
      <w:widowControl/>
      <w:spacing w:before="156" w:after="156" w:line="400" w:lineRule="exact"/>
      <w:textAlignment w:val="baseline"/>
    </w:pPr>
    <w:rPr>
      <w:rFonts w:ascii="宋体" w:hAnsi="Courier New"/>
      <w:kern w:val="0"/>
      <w:sz w:val="24"/>
    </w:rPr>
  </w:style>
  <w:style w:type="character" w:customStyle="1" w:styleId="362">
    <w:name w:val="Char Char7"/>
    <w:qFormat/>
    <w:uiPriority w:val="0"/>
    <w:rPr>
      <w:rFonts w:ascii="Times New Roman" w:hAnsi="Times New Roman" w:eastAsia="宋体" w:cs="Times New Roman"/>
      <w:szCs w:val="24"/>
    </w:rPr>
  </w:style>
  <w:style w:type="paragraph" w:customStyle="1" w:styleId="363">
    <w:name w:val="2"/>
    <w:qFormat/>
    <w:uiPriority w:val="0"/>
    <w:rPr>
      <w:rFonts w:ascii="Times New Roman" w:hAnsi="Times New Roman" w:eastAsia="宋体" w:cs="Times New Roman"/>
      <w:lang w:val="en-US" w:eastAsia="zh-CN" w:bidi="ar-SA"/>
    </w:rPr>
  </w:style>
  <w:style w:type="paragraph" w:customStyle="1" w:styleId="364">
    <w:name w:val="Char Char4"/>
    <w:basedOn w:val="1"/>
    <w:qFormat/>
    <w:uiPriority w:val="0"/>
    <w:pPr>
      <w:widowControl/>
      <w:spacing w:after="160" w:line="240" w:lineRule="exact"/>
      <w:jc w:val="left"/>
    </w:pPr>
    <w:rPr>
      <w:rFonts w:ascii="Times New Roman" w:hAnsi="Times New Roman"/>
      <w:sz w:val="28"/>
      <w:szCs w:val="20"/>
    </w:rPr>
  </w:style>
  <w:style w:type="paragraph" w:customStyle="1" w:styleId="365">
    <w:name w:val="样式3"/>
    <w:basedOn w:val="1"/>
    <w:qFormat/>
    <w:uiPriority w:val="99"/>
    <w:pPr>
      <w:ind w:hanging="132"/>
    </w:pPr>
    <w:rPr>
      <w:rFonts w:ascii="Times New Roman" w:hAnsi="Times New Roman"/>
    </w:rPr>
  </w:style>
  <w:style w:type="paragraph" w:customStyle="1" w:styleId="366">
    <w:name w:val="样式2"/>
    <w:basedOn w:val="1"/>
    <w:qFormat/>
    <w:uiPriority w:val="99"/>
    <w:pPr>
      <w:tabs>
        <w:tab w:val="left" w:pos="420"/>
      </w:tabs>
      <w:ind w:left="420" w:hanging="132"/>
      <w:jc w:val="center"/>
    </w:pPr>
    <w:rPr>
      <w:rFonts w:ascii="Times New Roman" w:hAnsi="Times New Roman"/>
      <w:szCs w:val="21"/>
    </w:rPr>
  </w:style>
  <w:style w:type="character" w:customStyle="1" w:styleId="367">
    <w:name w:val="正文首行缩进 Char"/>
    <w:basedOn w:val="74"/>
    <w:link w:val="3"/>
    <w:qFormat/>
    <w:uiPriority w:val="99"/>
    <w:rPr>
      <w:rFonts w:ascii="Calibri" w:hAnsi="Calibri"/>
      <w:sz w:val="21"/>
      <w:szCs w:val="24"/>
    </w:rPr>
  </w:style>
  <w:style w:type="character" w:customStyle="1" w:styleId="368">
    <w:name w:val="fontstyle21"/>
    <w:basedOn w:val="51"/>
    <w:qFormat/>
    <w:uiPriority w:val="0"/>
    <w:rPr>
      <w:rFonts w:hint="default" w:ascii="Arial" w:hAnsi="Arial" w:cs="Arial"/>
      <w:color w:val="000000"/>
      <w:sz w:val="24"/>
      <w:szCs w:val="24"/>
    </w:rPr>
  </w:style>
  <w:style w:type="paragraph" w:customStyle="1" w:styleId="369">
    <w:name w:val="段"/>
    <w:qFormat/>
    <w:uiPriority w:val="0"/>
    <w:pPr>
      <w:autoSpaceDE w:val="0"/>
      <w:autoSpaceDN w:val="0"/>
      <w:ind w:firstLine="200" w:firstLineChars="200"/>
      <w:jc w:val="both"/>
    </w:pPr>
    <w:rPr>
      <w:rFonts w:ascii="宋体" w:hAnsi="Calibri" w:eastAsia="宋体" w:cs="Times New Roman"/>
      <w:sz w:val="21"/>
      <w:lang w:val="en-US" w:eastAsia="zh-CN" w:bidi="ar-SA"/>
    </w:rPr>
  </w:style>
  <w:style w:type="paragraph" w:customStyle="1" w:styleId="370">
    <w:name w:val="WPSOffice手动目录 1"/>
    <w:qFormat/>
    <w:uiPriority w:val="0"/>
    <w:pPr>
      <w:ind w:leftChars="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China</Company>
  <Pages>52</Pages>
  <Words>29813</Words>
  <Characters>31643</Characters>
  <Lines>200</Lines>
  <Paragraphs>56</Paragraphs>
  <TotalTime>0</TotalTime>
  <ScaleCrop>false</ScaleCrop>
  <LinksUpToDate>false</LinksUpToDate>
  <CharactersWithSpaces>32570</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2022-02-07T10:18:00Z</dcterms:created>
  <dc:creator>嘉兴市建新工程造价咨询事务所有限公司</dc:creator>
  <cp:lastModifiedBy>银建、李</cp:lastModifiedBy>
  <cp:lastPrinted>2022-02-07T03:01:00Z</cp:lastPrinted>
  <dcterms:modified xsi:type="dcterms:W3CDTF">2022-12-09T02:24:02Z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70627ADEF9EF476082491F7659FCA32F</vt:lpwstr>
  </property>
  <property fmtid="{D5CDD505-2E9C-101B-9397-08002B2CF9AE}" pid="4" name="woTemplateTypoMode" linkTarget="0">
    <vt:lpwstr>web</vt:lpwstr>
  </property>
  <property fmtid="{D5CDD505-2E9C-101B-9397-08002B2CF9AE}" pid="5" name="woTemplate" linkTarget="0">
    <vt:i4>1</vt:i4>
  </property>
  <property fmtid="{D5CDD505-2E9C-101B-9397-08002B2CF9AE}" pid="6" name="commondata">
    <vt:lpwstr>eyJoZGlkIjoiMmE1ZTg2ZDFjNjIzYTlkOGY4N2RhNTQ1ZWI3NzA3MmQifQ==</vt:lpwstr>
  </property>
</Properties>
</file>