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宋体"/>
          <w:b/>
          <w:bCs/>
          <w:sz w:val="24"/>
        </w:rPr>
      </w:pPr>
    </w:p>
    <w:p>
      <w:pPr>
        <w:spacing w:line="360" w:lineRule="auto"/>
        <w:jc w:val="center"/>
        <w:rPr>
          <w:rFonts w:ascii="宋体" w:hAnsi="宋体" w:cs="宋体"/>
          <w:b/>
          <w:bCs/>
          <w:sz w:val="52"/>
          <w:szCs w:val="52"/>
        </w:rPr>
      </w:pPr>
      <w:r>
        <w:rPr>
          <w:rFonts w:hint="eastAsia" w:ascii="宋体" w:hAnsi="宋体" w:cs="宋体"/>
          <w:b/>
          <w:bCs/>
          <w:sz w:val="52"/>
          <w:szCs w:val="52"/>
        </w:rPr>
        <w:t>嘉兴市本级巡游出租汽车智能终端</w:t>
      </w:r>
    </w:p>
    <w:p>
      <w:pPr>
        <w:spacing w:line="360" w:lineRule="auto"/>
        <w:jc w:val="center"/>
      </w:pPr>
      <w:r>
        <w:rPr>
          <w:rFonts w:hint="eastAsia" w:ascii="宋体" w:hAnsi="宋体" w:cs="宋体"/>
          <w:b/>
          <w:bCs/>
          <w:sz w:val="52"/>
          <w:szCs w:val="52"/>
        </w:rPr>
        <w:t xml:space="preserve">技术改造项目 </w:t>
      </w:r>
    </w:p>
    <w:p>
      <w:pPr>
        <w:spacing w:line="700" w:lineRule="exact"/>
        <w:jc w:val="center"/>
        <w:rPr>
          <w:rFonts w:ascii="宋体" w:hAnsi="宋体"/>
          <w:b/>
          <w:bCs/>
          <w:spacing w:val="20"/>
          <w:sz w:val="72"/>
          <w:szCs w:val="44"/>
        </w:rPr>
      </w:pPr>
      <w:r>
        <w:rPr>
          <w:rFonts w:hint="eastAsia" w:ascii="宋体" w:hAnsi="宋体"/>
          <w:b/>
          <w:bCs/>
          <w:spacing w:val="20"/>
          <w:sz w:val="72"/>
          <w:szCs w:val="44"/>
        </w:rPr>
        <w:t>公</w:t>
      </w:r>
    </w:p>
    <w:p>
      <w:pPr>
        <w:spacing w:line="700" w:lineRule="exact"/>
        <w:jc w:val="center"/>
        <w:rPr>
          <w:rFonts w:ascii="宋体" w:hAnsi="宋体"/>
          <w:b/>
          <w:bCs/>
          <w:spacing w:val="20"/>
          <w:sz w:val="72"/>
          <w:szCs w:val="44"/>
        </w:rPr>
      </w:pPr>
    </w:p>
    <w:p>
      <w:pPr>
        <w:spacing w:line="700" w:lineRule="exact"/>
        <w:jc w:val="center"/>
        <w:rPr>
          <w:rFonts w:ascii="宋体" w:hAnsi="宋体"/>
          <w:b/>
          <w:bCs/>
          <w:spacing w:val="20"/>
          <w:sz w:val="72"/>
          <w:szCs w:val="44"/>
        </w:rPr>
      </w:pPr>
      <w:r>
        <w:rPr>
          <w:rFonts w:hint="eastAsia" w:ascii="宋体" w:hAnsi="宋体"/>
          <w:b/>
          <w:bCs/>
          <w:spacing w:val="20"/>
          <w:sz w:val="72"/>
          <w:szCs w:val="44"/>
        </w:rPr>
        <w:t>开</w:t>
      </w:r>
    </w:p>
    <w:p>
      <w:pPr>
        <w:spacing w:line="700" w:lineRule="exact"/>
        <w:jc w:val="center"/>
        <w:rPr>
          <w:rFonts w:ascii="宋体" w:hAnsi="宋体"/>
          <w:b/>
          <w:bCs/>
          <w:spacing w:val="20"/>
          <w:sz w:val="72"/>
          <w:szCs w:val="44"/>
        </w:rPr>
      </w:pPr>
    </w:p>
    <w:p>
      <w:pPr>
        <w:spacing w:line="700" w:lineRule="exact"/>
        <w:jc w:val="center"/>
        <w:rPr>
          <w:rFonts w:ascii="宋体" w:hAnsi="宋体"/>
          <w:b/>
          <w:bCs/>
          <w:spacing w:val="20"/>
          <w:sz w:val="72"/>
          <w:szCs w:val="44"/>
        </w:rPr>
      </w:pPr>
      <w:r>
        <w:rPr>
          <w:rFonts w:hint="eastAsia" w:ascii="宋体" w:hAnsi="宋体"/>
          <w:b/>
          <w:bCs/>
          <w:spacing w:val="20"/>
          <w:sz w:val="72"/>
          <w:szCs w:val="44"/>
        </w:rPr>
        <w:t>招</w:t>
      </w:r>
    </w:p>
    <w:p>
      <w:pPr>
        <w:spacing w:line="700" w:lineRule="exact"/>
        <w:ind w:firstLine="4195" w:firstLineChars="550"/>
        <w:jc w:val="center"/>
        <w:rPr>
          <w:rFonts w:ascii="宋体" w:hAnsi="宋体"/>
          <w:b/>
          <w:bCs/>
          <w:spacing w:val="20"/>
          <w:sz w:val="72"/>
          <w:szCs w:val="44"/>
        </w:rPr>
      </w:pPr>
    </w:p>
    <w:p>
      <w:pPr>
        <w:spacing w:line="700" w:lineRule="exact"/>
        <w:jc w:val="center"/>
        <w:rPr>
          <w:rFonts w:ascii="宋体" w:hAnsi="宋体"/>
          <w:b/>
          <w:bCs/>
          <w:spacing w:val="20"/>
          <w:sz w:val="72"/>
          <w:szCs w:val="44"/>
        </w:rPr>
      </w:pPr>
      <w:r>
        <w:rPr>
          <w:rFonts w:hint="eastAsia" w:ascii="宋体" w:hAnsi="宋体"/>
          <w:b/>
          <w:bCs/>
          <w:spacing w:val="20"/>
          <w:sz w:val="72"/>
          <w:szCs w:val="44"/>
        </w:rPr>
        <w:t>标</w:t>
      </w:r>
    </w:p>
    <w:p>
      <w:pPr>
        <w:spacing w:line="700" w:lineRule="exact"/>
        <w:ind w:firstLine="4195" w:firstLineChars="550"/>
        <w:jc w:val="center"/>
        <w:rPr>
          <w:rFonts w:ascii="宋体" w:hAnsi="宋体"/>
          <w:b/>
          <w:bCs/>
          <w:spacing w:val="20"/>
          <w:sz w:val="72"/>
          <w:szCs w:val="44"/>
        </w:rPr>
      </w:pPr>
    </w:p>
    <w:p>
      <w:pPr>
        <w:spacing w:line="700" w:lineRule="exact"/>
        <w:jc w:val="center"/>
        <w:rPr>
          <w:rFonts w:ascii="宋体" w:hAnsi="宋体"/>
          <w:b/>
          <w:bCs/>
          <w:spacing w:val="20"/>
          <w:sz w:val="72"/>
          <w:szCs w:val="44"/>
        </w:rPr>
      </w:pPr>
      <w:r>
        <w:rPr>
          <w:rFonts w:hint="eastAsia" w:ascii="宋体" w:hAnsi="宋体"/>
          <w:b/>
          <w:bCs/>
          <w:spacing w:val="20"/>
          <w:sz w:val="72"/>
          <w:szCs w:val="44"/>
        </w:rPr>
        <w:t>文</w:t>
      </w:r>
    </w:p>
    <w:p>
      <w:pPr>
        <w:spacing w:line="700" w:lineRule="exact"/>
        <w:ind w:firstLine="4195" w:firstLineChars="550"/>
        <w:jc w:val="center"/>
        <w:rPr>
          <w:rFonts w:ascii="宋体" w:hAnsi="宋体"/>
          <w:b/>
          <w:bCs/>
          <w:spacing w:val="20"/>
          <w:sz w:val="72"/>
          <w:szCs w:val="44"/>
        </w:rPr>
      </w:pPr>
    </w:p>
    <w:p>
      <w:pPr>
        <w:spacing w:line="700" w:lineRule="exact"/>
        <w:jc w:val="center"/>
        <w:rPr>
          <w:rFonts w:ascii="宋体" w:hAnsi="宋体"/>
          <w:b/>
          <w:bCs/>
          <w:spacing w:val="20"/>
          <w:sz w:val="72"/>
          <w:szCs w:val="44"/>
        </w:rPr>
      </w:pPr>
      <w:r>
        <w:rPr>
          <w:rFonts w:hint="eastAsia" w:ascii="宋体" w:hAnsi="宋体"/>
          <w:b/>
          <w:bCs/>
          <w:spacing w:val="20"/>
          <w:sz w:val="72"/>
          <w:szCs w:val="44"/>
        </w:rPr>
        <w:t>件</w:t>
      </w:r>
    </w:p>
    <w:p>
      <w:pPr>
        <w:spacing w:line="500" w:lineRule="exact"/>
        <w:ind w:firstLine="643" w:firstLineChars="200"/>
        <w:jc w:val="left"/>
        <w:rPr>
          <w:rFonts w:ascii="宋体" w:hAnsi="宋体"/>
          <w:b/>
          <w:bCs/>
          <w:sz w:val="32"/>
          <w:szCs w:val="32"/>
        </w:rPr>
      </w:pPr>
    </w:p>
    <w:p>
      <w:pPr>
        <w:spacing w:line="500" w:lineRule="exact"/>
        <w:ind w:firstLine="643" w:firstLineChars="200"/>
        <w:jc w:val="left"/>
        <w:rPr>
          <w:rFonts w:ascii="宋体" w:hAnsi="宋体"/>
          <w:b/>
          <w:bCs/>
          <w:sz w:val="32"/>
          <w:szCs w:val="32"/>
        </w:rPr>
      </w:pPr>
      <w:r>
        <w:rPr>
          <w:rFonts w:hint="eastAsia" w:ascii="宋体" w:hAnsi="宋体"/>
          <w:b/>
          <w:bCs/>
          <w:sz w:val="32"/>
          <w:szCs w:val="32"/>
        </w:rPr>
        <w:t>项目编号：JXMYZFCG-2020-032</w:t>
      </w:r>
    </w:p>
    <w:p>
      <w:pPr>
        <w:spacing w:line="500" w:lineRule="exact"/>
        <w:ind w:firstLine="643" w:firstLineChars="200"/>
        <w:jc w:val="left"/>
        <w:rPr>
          <w:rFonts w:ascii="宋体" w:hAnsi="宋体"/>
          <w:b/>
          <w:bCs/>
          <w:sz w:val="32"/>
          <w:szCs w:val="32"/>
        </w:rPr>
      </w:pPr>
      <w:r>
        <w:rPr>
          <w:rFonts w:hint="eastAsia" w:ascii="宋体" w:hAnsi="宋体"/>
          <w:b/>
          <w:bCs/>
          <w:sz w:val="32"/>
          <w:szCs w:val="32"/>
        </w:rPr>
        <w:t xml:space="preserve">采购单位：嘉兴市公路与运输管理中心 </w:t>
      </w:r>
    </w:p>
    <w:p>
      <w:pPr>
        <w:spacing w:line="500" w:lineRule="exact"/>
        <w:ind w:firstLine="643" w:firstLineChars="200"/>
        <w:jc w:val="left"/>
        <w:rPr>
          <w:rFonts w:ascii="宋体" w:hAnsi="宋体"/>
          <w:b/>
          <w:bCs/>
          <w:sz w:val="32"/>
          <w:szCs w:val="32"/>
        </w:rPr>
      </w:pPr>
      <w:r>
        <w:rPr>
          <w:rFonts w:hint="eastAsia" w:ascii="宋体" w:hAnsi="宋体"/>
          <w:b/>
          <w:bCs/>
          <w:sz w:val="32"/>
          <w:szCs w:val="32"/>
        </w:rPr>
        <w:t>代理机构：嘉兴市明扬工程咨询有限公司</w:t>
      </w:r>
    </w:p>
    <w:p>
      <w:pPr>
        <w:spacing w:line="500" w:lineRule="exact"/>
        <w:ind w:firstLine="643" w:firstLineChars="200"/>
        <w:jc w:val="left"/>
        <w:rPr>
          <w:rFonts w:ascii="宋体" w:hAnsi="宋体"/>
          <w:b/>
          <w:bCs/>
          <w:sz w:val="32"/>
          <w:szCs w:val="32"/>
        </w:rPr>
      </w:pPr>
      <w:r>
        <w:rPr>
          <w:rFonts w:hint="eastAsia" w:ascii="宋体" w:hAnsi="宋体"/>
          <w:b/>
          <w:bCs/>
          <w:sz w:val="32"/>
          <w:szCs w:val="32"/>
        </w:rPr>
        <w:t>备案单位：嘉兴市财政局</w:t>
      </w:r>
    </w:p>
    <w:p>
      <w:pPr>
        <w:pStyle w:val="16"/>
        <w:spacing w:beforeLines="50" w:line="500" w:lineRule="exact"/>
        <w:jc w:val="center"/>
        <w:rPr>
          <w:rFonts w:ascii="楷体_GB2312" w:hAnsi="宋体" w:eastAsia="楷体_GB2312"/>
          <w:sz w:val="30"/>
          <w:szCs w:val="30"/>
        </w:rPr>
      </w:pPr>
      <w:r>
        <w:rPr>
          <w:rFonts w:hint="eastAsia" w:hAnsi="宋体" w:eastAsia="楷体_GB2312"/>
          <w:b/>
          <w:bCs/>
          <w:sz w:val="32"/>
          <w:szCs w:val="32"/>
        </w:rPr>
        <w:t>2020年10月</w:t>
      </w:r>
    </w:p>
    <w:p/>
    <w:p>
      <w:pPr>
        <w:pStyle w:val="16"/>
        <w:spacing w:beforeLines="50" w:line="360" w:lineRule="auto"/>
        <w:jc w:val="center"/>
        <w:rPr>
          <w:rFonts w:hAnsi="宋体"/>
          <w:b/>
          <w:sz w:val="48"/>
          <w:szCs w:val="48"/>
        </w:rPr>
      </w:pPr>
      <w:r>
        <w:rPr>
          <w:rFonts w:hint="eastAsia" w:hAnsi="宋体"/>
          <w:b/>
          <w:sz w:val="48"/>
          <w:szCs w:val="48"/>
        </w:rPr>
        <w:t>目 录</w:t>
      </w:r>
    </w:p>
    <w:p>
      <w:pPr>
        <w:pStyle w:val="22"/>
        <w:tabs>
          <w:tab w:val="right" w:leader="dot" w:pos="9412"/>
        </w:tabs>
        <w:spacing w:line="560" w:lineRule="exact"/>
        <w:rPr>
          <w:rFonts w:ascii="宋体" w:hAnsi="宋体" w:cs="宋体"/>
          <w:sz w:val="28"/>
          <w:szCs w:val="28"/>
        </w:rPr>
      </w:pPr>
      <w:r>
        <w:rPr>
          <w:rFonts w:hint="eastAsia" w:ascii="宋体" w:hAnsi="宋体" w:cs="宋体"/>
          <w:sz w:val="24"/>
        </w:rPr>
        <w:fldChar w:fldCharType="begin"/>
      </w:r>
      <w:r>
        <w:rPr>
          <w:rFonts w:hint="eastAsia" w:ascii="宋体" w:hAnsi="宋体" w:cs="宋体"/>
          <w:sz w:val="24"/>
        </w:rPr>
        <w:instrText xml:space="preserve"> TOC \o "1-2" \h \z \u </w:instrText>
      </w:r>
      <w:r>
        <w:rPr>
          <w:rFonts w:hint="eastAsia" w:ascii="宋体" w:hAnsi="宋体" w:cs="宋体"/>
          <w:sz w:val="24"/>
        </w:rPr>
        <w:fldChar w:fldCharType="separate"/>
      </w:r>
      <w:r>
        <w:fldChar w:fldCharType="begin"/>
      </w:r>
      <w:r>
        <w:instrText xml:space="preserve"> HYPERLINK \l "_Toc28666" </w:instrText>
      </w:r>
      <w:r>
        <w:fldChar w:fldCharType="separate"/>
      </w:r>
      <w:r>
        <w:rPr>
          <w:rFonts w:hint="eastAsia" w:ascii="宋体" w:hAnsi="宋体" w:cs="宋体"/>
          <w:sz w:val="28"/>
          <w:szCs w:val="28"/>
        </w:rPr>
        <w:t>第一章  公开招标采购公告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_Toc28666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22"/>
        <w:tabs>
          <w:tab w:val="right" w:leader="dot" w:pos="9412"/>
        </w:tabs>
        <w:spacing w:line="560" w:lineRule="exact"/>
        <w:rPr>
          <w:rFonts w:ascii="宋体" w:hAnsi="宋体" w:cs="宋体"/>
          <w:sz w:val="28"/>
          <w:szCs w:val="28"/>
        </w:rPr>
      </w:pPr>
      <w:r>
        <w:fldChar w:fldCharType="begin"/>
      </w:r>
      <w:r>
        <w:instrText xml:space="preserve"> HYPERLINK \l "_Toc31883" </w:instrText>
      </w:r>
      <w:r>
        <w:fldChar w:fldCharType="separate"/>
      </w:r>
      <w:r>
        <w:rPr>
          <w:rFonts w:hint="eastAsia" w:ascii="宋体" w:hAnsi="宋体" w:cs="宋体"/>
          <w:sz w:val="28"/>
          <w:szCs w:val="28"/>
        </w:rPr>
        <w:t>第二章   招标项目需求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_Toc31883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22"/>
        <w:tabs>
          <w:tab w:val="right" w:leader="dot" w:pos="9412"/>
        </w:tabs>
        <w:spacing w:line="560" w:lineRule="exact"/>
        <w:rPr>
          <w:rFonts w:ascii="宋体" w:hAnsi="宋体" w:cs="宋体"/>
          <w:sz w:val="28"/>
          <w:szCs w:val="28"/>
        </w:rPr>
      </w:pPr>
      <w:r>
        <w:fldChar w:fldCharType="begin"/>
      </w:r>
      <w:r>
        <w:instrText xml:space="preserve"> HYPERLINK \l "_Toc12463" </w:instrText>
      </w:r>
      <w:r>
        <w:fldChar w:fldCharType="separate"/>
      </w:r>
      <w:r>
        <w:rPr>
          <w:rFonts w:hint="eastAsia" w:ascii="宋体" w:hAnsi="宋体" w:cs="宋体"/>
          <w:sz w:val="28"/>
          <w:szCs w:val="28"/>
        </w:rPr>
        <w:t>第三章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_Toc12463 </w:instrText>
      </w:r>
      <w:r>
        <w:rPr>
          <w:rFonts w:hint="eastAsia" w:ascii="宋体" w:hAnsi="宋体" w:cs="宋体"/>
          <w:sz w:val="28"/>
          <w:szCs w:val="28"/>
        </w:rPr>
        <w:fldChar w:fldCharType="separate"/>
      </w:r>
      <w:r>
        <w:rPr>
          <w:rFonts w:hint="eastAsia"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412"/>
        </w:tabs>
        <w:spacing w:line="560" w:lineRule="exact"/>
        <w:rPr>
          <w:rFonts w:ascii="宋体" w:hAnsi="宋体" w:cs="宋体"/>
          <w:sz w:val="28"/>
          <w:szCs w:val="28"/>
        </w:rPr>
      </w:pPr>
      <w:r>
        <w:fldChar w:fldCharType="begin"/>
      </w:r>
      <w:r>
        <w:instrText xml:space="preserve"> HYPERLINK \l "_Toc32301" </w:instrText>
      </w:r>
      <w:r>
        <w:fldChar w:fldCharType="separate"/>
      </w:r>
      <w:r>
        <w:rPr>
          <w:rFonts w:hint="eastAsia" w:ascii="宋体" w:hAnsi="宋体" w:cs="宋体"/>
          <w:sz w:val="28"/>
          <w:szCs w:val="28"/>
        </w:rPr>
        <w:t>前附表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_Toc32301 </w:instrText>
      </w:r>
      <w:r>
        <w:rPr>
          <w:rFonts w:hint="eastAsia" w:ascii="宋体" w:hAnsi="宋体" w:cs="宋体"/>
          <w:sz w:val="28"/>
          <w:szCs w:val="28"/>
        </w:rPr>
        <w:fldChar w:fldCharType="separate"/>
      </w:r>
      <w:r>
        <w:rPr>
          <w:rFonts w:hint="eastAsia"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412"/>
        </w:tabs>
        <w:spacing w:line="560" w:lineRule="exact"/>
        <w:rPr>
          <w:rFonts w:ascii="宋体" w:hAnsi="宋体" w:cs="宋体"/>
          <w:sz w:val="28"/>
          <w:szCs w:val="28"/>
        </w:rPr>
      </w:pPr>
      <w:r>
        <w:fldChar w:fldCharType="begin"/>
      </w:r>
      <w:r>
        <w:instrText xml:space="preserve"> HYPERLINK \l "_Toc12707" </w:instrText>
      </w:r>
      <w:r>
        <w:fldChar w:fldCharType="separate"/>
      </w:r>
      <w:r>
        <w:rPr>
          <w:rFonts w:hint="eastAsia" w:ascii="宋体" w:hAnsi="宋体" w:cs="宋体"/>
          <w:sz w:val="28"/>
          <w:szCs w:val="28"/>
        </w:rPr>
        <w:t>一、总  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_Toc12707 </w:instrText>
      </w:r>
      <w:r>
        <w:rPr>
          <w:rFonts w:hint="eastAsia" w:ascii="宋体" w:hAnsi="宋体" w:cs="宋体"/>
          <w:sz w:val="28"/>
          <w:szCs w:val="28"/>
        </w:rPr>
        <w:fldChar w:fldCharType="separate"/>
      </w:r>
      <w:r>
        <w:rPr>
          <w:rFonts w:hint="eastAsia" w:ascii="宋体" w:hAnsi="宋体" w:cs="宋体"/>
          <w:sz w:val="28"/>
          <w:szCs w:val="28"/>
        </w:rPr>
        <w:t>30</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412"/>
        </w:tabs>
        <w:spacing w:line="560" w:lineRule="exact"/>
        <w:rPr>
          <w:rFonts w:ascii="宋体" w:hAnsi="宋体" w:cs="宋体"/>
          <w:sz w:val="28"/>
          <w:szCs w:val="28"/>
        </w:rPr>
      </w:pPr>
      <w:r>
        <w:fldChar w:fldCharType="begin"/>
      </w:r>
      <w:r>
        <w:instrText xml:space="preserve"> HYPERLINK \l "_Toc30304" </w:instrText>
      </w:r>
      <w:r>
        <w:fldChar w:fldCharType="separate"/>
      </w:r>
      <w:r>
        <w:rPr>
          <w:rFonts w:hint="eastAsia" w:ascii="宋体" w:hAnsi="宋体" w:cs="宋体"/>
          <w:sz w:val="28"/>
          <w:szCs w:val="28"/>
        </w:rPr>
        <w:t>二、招标文件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_Toc30304 </w:instrText>
      </w:r>
      <w:r>
        <w:rPr>
          <w:rFonts w:hint="eastAsia" w:ascii="宋体" w:hAnsi="宋体" w:cs="宋体"/>
          <w:sz w:val="28"/>
          <w:szCs w:val="28"/>
        </w:rPr>
        <w:fldChar w:fldCharType="separate"/>
      </w:r>
      <w:r>
        <w:rPr>
          <w:rFonts w:hint="eastAsia"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412"/>
        </w:tabs>
        <w:spacing w:line="560" w:lineRule="exact"/>
        <w:rPr>
          <w:rFonts w:ascii="宋体" w:hAnsi="宋体" w:cs="宋体"/>
          <w:sz w:val="28"/>
          <w:szCs w:val="28"/>
        </w:rPr>
      </w:pPr>
      <w:r>
        <w:fldChar w:fldCharType="begin"/>
      </w:r>
      <w:r>
        <w:instrText xml:space="preserve"> HYPERLINK \l "_Toc12793" </w:instrText>
      </w:r>
      <w:r>
        <w:fldChar w:fldCharType="separate"/>
      </w:r>
      <w:r>
        <w:rPr>
          <w:rFonts w:hint="eastAsia" w:ascii="宋体" w:hAnsi="宋体" w:cs="宋体"/>
          <w:sz w:val="28"/>
          <w:szCs w:val="28"/>
        </w:rPr>
        <w:t>三、投标文件的编制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_Toc12793 </w:instrText>
      </w:r>
      <w:r>
        <w:rPr>
          <w:rFonts w:hint="eastAsia" w:ascii="宋体" w:hAnsi="宋体" w:cs="宋体"/>
          <w:sz w:val="28"/>
          <w:szCs w:val="28"/>
        </w:rPr>
        <w:fldChar w:fldCharType="separate"/>
      </w:r>
      <w:r>
        <w:rPr>
          <w:rFonts w:hint="eastAsia"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412"/>
        </w:tabs>
        <w:spacing w:line="560" w:lineRule="exact"/>
        <w:rPr>
          <w:rFonts w:ascii="宋体" w:hAnsi="宋体" w:cs="宋体"/>
          <w:sz w:val="28"/>
          <w:szCs w:val="28"/>
        </w:rPr>
      </w:pPr>
      <w:r>
        <w:fldChar w:fldCharType="begin"/>
      </w:r>
      <w:r>
        <w:instrText xml:space="preserve"> HYPERLINK \l "_Toc26367" </w:instrText>
      </w:r>
      <w:r>
        <w:fldChar w:fldCharType="separate"/>
      </w:r>
      <w:r>
        <w:rPr>
          <w:rFonts w:hint="eastAsia" w:ascii="宋体" w:hAnsi="宋体" w:cs="宋体"/>
          <w:sz w:val="28"/>
          <w:szCs w:val="28"/>
        </w:rPr>
        <w:t>四、开标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_Toc26367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412"/>
        </w:tabs>
        <w:spacing w:line="560" w:lineRule="exact"/>
        <w:rPr>
          <w:rFonts w:ascii="宋体" w:hAnsi="宋体" w:cs="宋体"/>
          <w:sz w:val="28"/>
          <w:szCs w:val="28"/>
        </w:rPr>
      </w:pPr>
      <w:r>
        <w:fldChar w:fldCharType="begin"/>
      </w:r>
      <w:r>
        <w:instrText xml:space="preserve"> HYPERLINK \l "_Toc11062" </w:instrText>
      </w:r>
      <w:r>
        <w:fldChar w:fldCharType="separate"/>
      </w:r>
      <w:r>
        <w:rPr>
          <w:rFonts w:hint="eastAsia" w:ascii="宋体" w:hAnsi="宋体" w:cs="宋体"/>
          <w:sz w:val="28"/>
          <w:szCs w:val="28"/>
        </w:rPr>
        <w:t>五、评标</w:t>
      </w:r>
      <w:r>
        <w:rPr>
          <w:rFonts w:hint="eastAsia" w:ascii="宋体" w:hAnsi="宋体" w:cs="宋体"/>
          <w:sz w:val="28"/>
          <w:szCs w:val="28"/>
        </w:rPr>
        <w:tab/>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PAGEREF _Toc11062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412"/>
        </w:tabs>
        <w:spacing w:line="560" w:lineRule="exact"/>
        <w:rPr>
          <w:rFonts w:ascii="宋体" w:hAnsi="宋体" w:cs="宋体"/>
          <w:sz w:val="28"/>
          <w:szCs w:val="28"/>
        </w:rPr>
      </w:pPr>
      <w:r>
        <w:fldChar w:fldCharType="begin"/>
      </w:r>
      <w:r>
        <w:instrText xml:space="preserve"> HYPERLINK \l "_Toc20851" </w:instrText>
      </w:r>
      <w:r>
        <w:fldChar w:fldCharType="separate"/>
      </w:r>
      <w:r>
        <w:rPr>
          <w:rFonts w:hint="eastAsia" w:ascii="宋体" w:hAnsi="宋体" w:cs="宋体"/>
          <w:sz w:val="28"/>
          <w:szCs w:val="28"/>
        </w:rPr>
        <w:t>六、定标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_Toc20851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412"/>
        </w:tabs>
        <w:spacing w:line="560" w:lineRule="exact"/>
        <w:rPr>
          <w:rFonts w:ascii="宋体" w:hAnsi="宋体" w:cs="宋体"/>
          <w:sz w:val="28"/>
          <w:szCs w:val="28"/>
        </w:rPr>
      </w:pPr>
      <w:r>
        <w:fldChar w:fldCharType="begin"/>
      </w:r>
      <w:r>
        <w:instrText xml:space="preserve"> HYPERLINK \l "_Toc7621" </w:instrText>
      </w:r>
      <w:r>
        <w:fldChar w:fldCharType="separate"/>
      </w:r>
      <w:r>
        <w:rPr>
          <w:rFonts w:hint="eastAsia" w:ascii="宋体" w:hAnsi="宋体" w:cs="宋体"/>
          <w:sz w:val="28"/>
          <w:szCs w:val="28"/>
        </w:rPr>
        <w:t>七、合同授予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_Toc7621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sz w:val="28"/>
          <w:szCs w:val="28"/>
        </w:rPr>
        <w:fldChar w:fldCharType="end"/>
      </w:r>
    </w:p>
    <w:p>
      <w:pPr>
        <w:pStyle w:val="22"/>
        <w:tabs>
          <w:tab w:val="right" w:leader="dot" w:pos="9412"/>
        </w:tabs>
        <w:spacing w:line="560" w:lineRule="exact"/>
        <w:rPr>
          <w:rFonts w:ascii="宋体" w:hAnsi="宋体" w:cs="宋体"/>
          <w:sz w:val="28"/>
          <w:szCs w:val="28"/>
        </w:rPr>
      </w:pPr>
      <w:r>
        <w:fldChar w:fldCharType="begin"/>
      </w:r>
      <w:r>
        <w:instrText xml:space="preserve"> HYPERLINK \l "_Toc29856" </w:instrText>
      </w:r>
      <w:r>
        <w:fldChar w:fldCharType="separate"/>
      </w:r>
      <w:r>
        <w:rPr>
          <w:rFonts w:hint="eastAsia" w:ascii="宋体" w:hAnsi="宋体" w:cs="宋体"/>
          <w:sz w:val="28"/>
          <w:szCs w:val="28"/>
        </w:rPr>
        <w:t>第四章评标办法及评分标准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_Toc29856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fldChar w:fldCharType="end"/>
      </w:r>
    </w:p>
    <w:p>
      <w:pPr>
        <w:pStyle w:val="22"/>
        <w:tabs>
          <w:tab w:val="right" w:leader="dot" w:pos="9412"/>
        </w:tabs>
        <w:spacing w:line="560" w:lineRule="exact"/>
        <w:rPr>
          <w:rFonts w:ascii="宋体" w:hAnsi="宋体" w:cs="宋体"/>
          <w:sz w:val="28"/>
          <w:szCs w:val="28"/>
        </w:rPr>
      </w:pPr>
      <w:r>
        <w:fldChar w:fldCharType="begin"/>
      </w:r>
      <w:r>
        <w:instrText xml:space="preserve"> HYPERLINK \l "_Toc16143" </w:instrText>
      </w:r>
      <w:r>
        <w:fldChar w:fldCharType="separate"/>
      </w:r>
      <w:r>
        <w:rPr>
          <w:rFonts w:hint="eastAsia" w:ascii="宋体" w:hAnsi="宋体" w:cs="宋体"/>
          <w:sz w:val="28"/>
          <w:szCs w:val="28"/>
        </w:rPr>
        <w:t>第五章 嘉兴市本级巡游出租汽车智能终端技术改造项目政府采购合同（货物）</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_Toc16143 </w:instrText>
      </w:r>
      <w:r>
        <w:rPr>
          <w:rFonts w:hint="eastAsia" w:ascii="宋体" w:hAnsi="宋体" w:cs="宋体"/>
          <w:sz w:val="28"/>
          <w:szCs w:val="28"/>
        </w:rPr>
        <w:fldChar w:fldCharType="separate"/>
      </w:r>
      <w:r>
        <w:rPr>
          <w:rFonts w:hint="eastAsia" w:ascii="宋体" w:hAnsi="宋体" w:cs="宋体"/>
          <w:sz w:val="28"/>
          <w:szCs w:val="28"/>
        </w:rPr>
        <w:t>44</w:t>
      </w:r>
      <w:r>
        <w:rPr>
          <w:rFonts w:hint="eastAsia" w:ascii="宋体" w:hAnsi="宋体" w:cs="宋体"/>
          <w:sz w:val="28"/>
          <w:szCs w:val="28"/>
        </w:rPr>
        <w:fldChar w:fldCharType="end"/>
      </w:r>
      <w:r>
        <w:rPr>
          <w:rFonts w:hint="eastAsia" w:ascii="宋体" w:hAnsi="宋体" w:cs="宋体"/>
          <w:sz w:val="28"/>
          <w:szCs w:val="28"/>
        </w:rPr>
        <w:fldChar w:fldCharType="end"/>
      </w:r>
    </w:p>
    <w:p>
      <w:pPr>
        <w:pStyle w:val="22"/>
        <w:tabs>
          <w:tab w:val="right" w:leader="dot" w:pos="9412"/>
        </w:tabs>
        <w:spacing w:line="560" w:lineRule="exact"/>
        <w:rPr>
          <w:rFonts w:ascii="宋体" w:hAnsi="宋体" w:cs="宋体"/>
          <w:sz w:val="28"/>
          <w:szCs w:val="28"/>
        </w:rPr>
      </w:pPr>
      <w:r>
        <w:fldChar w:fldCharType="begin"/>
      </w:r>
      <w:r>
        <w:instrText xml:space="preserve"> HYPERLINK \l "_Toc26552" </w:instrText>
      </w:r>
      <w:r>
        <w:fldChar w:fldCharType="separate"/>
      </w:r>
      <w:r>
        <w:rPr>
          <w:rFonts w:hint="eastAsia" w:ascii="宋体" w:hAnsi="宋体" w:cs="宋体"/>
          <w:sz w:val="28"/>
          <w:szCs w:val="28"/>
        </w:rPr>
        <w:t>第六章  投标相关文件格式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_Toc26552 </w:instrText>
      </w:r>
      <w:r>
        <w:rPr>
          <w:rFonts w:hint="eastAsia" w:ascii="宋体" w:hAnsi="宋体" w:cs="宋体"/>
          <w:sz w:val="28"/>
          <w:szCs w:val="28"/>
        </w:rPr>
        <w:fldChar w:fldCharType="separate"/>
      </w:r>
      <w:r>
        <w:rPr>
          <w:rFonts w:hint="eastAsia" w:ascii="宋体" w:hAnsi="宋体" w:cs="宋体"/>
          <w:sz w:val="28"/>
          <w:szCs w:val="28"/>
        </w:rPr>
        <w:t>49</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412"/>
        </w:tabs>
        <w:spacing w:line="560" w:lineRule="exact"/>
        <w:ind w:left="0" w:leftChars="0"/>
        <w:rPr>
          <w:sz w:val="28"/>
          <w:szCs w:val="28"/>
        </w:rPr>
      </w:pPr>
    </w:p>
    <w:p>
      <w:pPr>
        <w:spacing w:line="480" w:lineRule="auto"/>
        <w:jc w:val="center"/>
        <w:rPr>
          <w:rFonts w:ascii="宋体" w:hAnsi="宋体" w:cs="宋体"/>
          <w:sz w:val="24"/>
        </w:rPr>
      </w:pPr>
      <w:r>
        <w:rPr>
          <w:rFonts w:hint="eastAsia" w:ascii="宋体" w:hAnsi="宋体" w:cs="宋体"/>
        </w:rPr>
        <w:fldChar w:fldCharType="end"/>
      </w:r>
    </w:p>
    <w:p>
      <w:pPr>
        <w:spacing w:line="520" w:lineRule="exact"/>
        <w:rPr>
          <w:rFonts w:ascii="宋体" w:hAnsi="宋体"/>
          <w:sz w:val="24"/>
        </w:rPr>
      </w:pPr>
      <w:bookmarkStart w:id="91" w:name="_GoBack"/>
      <w:bookmarkEnd w:id="91"/>
    </w:p>
    <w:p>
      <w:pPr>
        <w:spacing w:line="520" w:lineRule="exact"/>
        <w:rPr>
          <w:rFonts w:ascii="宋体" w:hAnsi="宋体"/>
          <w:b/>
          <w:sz w:val="24"/>
        </w:rPr>
      </w:pPr>
    </w:p>
    <w:p>
      <w:pPr>
        <w:spacing w:line="520" w:lineRule="exact"/>
        <w:rPr>
          <w:rFonts w:ascii="宋体" w:hAnsi="宋体"/>
          <w:b/>
          <w:sz w:val="24"/>
        </w:rPr>
      </w:pPr>
    </w:p>
    <w:p>
      <w:pPr>
        <w:spacing w:line="460" w:lineRule="exact"/>
        <w:outlineLvl w:val="0"/>
        <w:rPr>
          <w:rFonts w:ascii="宋体" w:hAnsi="宋体"/>
          <w:b/>
          <w:sz w:val="32"/>
          <w:szCs w:val="32"/>
        </w:rPr>
      </w:pPr>
    </w:p>
    <w:p>
      <w:pPr>
        <w:pStyle w:val="25"/>
        <w:rPr>
          <w:rFonts w:ascii="宋体" w:hAnsi="宋体"/>
          <w:b/>
          <w:sz w:val="32"/>
          <w:szCs w:val="32"/>
        </w:rPr>
      </w:pPr>
    </w:p>
    <w:p>
      <w:pPr>
        <w:rPr>
          <w:rFonts w:ascii="宋体" w:hAnsi="宋体"/>
          <w:b/>
          <w:sz w:val="32"/>
          <w:szCs w:val="32"/>
        </w:rPr>
      </w:pPr>
    </w:p>
    <w:p>
      <w:pPr>
        <w:rPr>
          <w:rFonts w:ascii="宋体" w:hAnsi="宋体"/>
          <w:b/>
          <w:sz w:val="32"/>
          <w:szCs w:val="32"/>
        </w:rPr>
      </w:pPr>
      <w:bookmarkStart w:id="0" w:name="_Toc28666"/>
      <w:r>
        <w:rPr>
          <w:rFonts w:hint="eastAsia" w:ascii="宋体" w:hAnsi="宋体"/>
          <w:b/>
          <w:sz w:val="32"/>
          <w:szCs w:val="32"/>
        </w:rPr>
        <w:br w:type="page"/>
      </w:r>
    </w:p>
    <w:p>
      <w:pPr>
        <w:spacing w:line="460" w:lineRule="exact"/>
        <w:jc w:val="center"/>
        <w:outlineLvl w:val="0"/>
        <w:rPr>
          <w:rFonts w:ascii="宋体" w:hAnsi="宋体"/>
          <w:b/>
          <w:sz w:val="32"/>
          <w:szCs w:val="32"/>
        </w:rPr>
      </w:pPr>
      <w:r>
        <w:rPr>
          <w:rFonts w:hint="eastAsia" w:ascii="宋体" w:hAnsi="宋体"/>
          <w:b/>
          <w:sz w:val="32"/>
          <w:szCs w:val="32"/>
        </w:rPr>
        <w:t>第一章  公开招标采购公告</w:t>
      </w:r>
      <w:bookmarkEnd w:id="0"/>
    </w:p>
    <w:p>
      <w:pPr>
        <w:pStyle w:val="67"/>
        <w:spacing w:afterLines="0" w:line="360" w:lineRule="auto"/>
        <w:ind w:firstLine="420"/>
        <w:jc w:val="left"/>
        <w:rPr>
          <w:rFonts w:ascii="宋体" w:hAnsi="宋体"/>
          <w:sz w:val="21"/>
          <w:szCs w:val="21"/>
        </w:rPr>
      </w:pPr>
      <w:bookmarkStart w:id="1" w:name="_Toc177870534"/>
      <w:r>
        <w:rPr>
          <w:rFonts w:hint="eastAsia" w:ascii="宋体" w:hAnsi="宋体" w:cs="仿宋_GB2312"/>
          <w:sz w:val="21"/>
          <w:szCs w:val="21"/>
          <w:lang w:val="zh-CN"/>
        </w:rPr>
        <w:t>根据《中华人民共和国政府采购法》</w:t>
      </w:r>
      <w:r>
        <w:rPr>
          <w:rFonts w:hint="eastAsia" w:hAnsi="宋体"/>
          <w:sz w:val="21"/>
          <w:szCs w:val="18"/>
        </w:rPr>
        <w:t>《</w:t>
      </w:r>
      <w:r>
        <w:rPr>
          <w:rFonts w:hAnsi="宋体"/>
          <w:sz w:val="21"/>
          <w:szCs w:val="18"/>
        </w:rPr>
        <w:t>中华人民共和国政府采购法实施条例</w:t>
      </w:r>
      <w:r>
        <w:rPr>
          <w:rFonts w:hint="eastAsia" w:hAnsi="宋体"/>
          <w:sz w:val="21"/>
          <w:szCs w:val="18"/>
        </w:rPr>
        <w:t>》</w:t>
      </w:r>
      <w:r>
        <w:rPr>
          <w:rFonts w:hAnsi="宋体"/>
          <w:sz w:val="21"/>
          <w:szCs w:val="18"/>
        </w:rPr>
        <w:t>《政府采购货物和服务招标投标管理办法》</w:t>
      </w:r>
      <w:r>
        <w:rPr>
          <w:rFonts w:hint="eastAsia" w:hAnsi="宋体"/>
          <w:sz w:val="21"/>
          <w:szCs w:val="18"/>
        </w:rPr>
        <w:t>和《浙江省</w:t>
      </w:r>
      <w:r>
        <w:rPr>
          <w:rFonts w:hAnsi="宋体"/>
          <w:sz w:val="21"/>
          <w:szCs w:val="18"/>
        </w:rPr>
        <w:t>政府采购项目电子交易管理暂行办法</w:t>
      </w:r>
      <w:r>
        <w:rPr>
          <w:rFonts w:hint="eastAsia" w:hAnsi="宋体"/>
          <w:sz w:val="21"/>
          <w:szCs w:val="18"/>
        </w:rPr>
        <w:t>》</w:t>
      </w:r>
      <w:r>
        <w:rPr>
          <w:rFonts w:hint="eastAsia" w:ascii="宋体" w:hAnsi="宋体" w:cs="仿宋_GB2312"/>
          <w:sz w:val="21"/>
          <w:szCs w:val="21"/>
          <w:lang w:val="zh-CN"/>
        </w:rPr>
        <w:t>等有关法律规定，经</w:t>
      </w:r>
      <w:r>
        <w:rPr>
          <w:rFonts w:hint="eastAsia" w:ascii="宋体" w:hAnsi="宋体" w:cs="仿宋_GB2312"/>
          <w:sz w:val="21"/>
          <w:szCs w:val="21"/>
        </w:rPr>
        <w:t>嘉兴市</w:t>
      </w:r>
      <w:r>
        <w:rPr>
          <w:rFonts w:hint="eastAsia" w:ascii="宋体" w:hAnsi="宋体" w:cs="仿宋_GB2312"/>
          <w:sz w:val="21"/>
          <w:szCs w:val="21"/>
          <w:lang w:val="zh-CN"/>
        </w:rPr>
        <w:t>财政局JM-00038</w:t>
      </w:r>
      <w:r>
        <w:rPr>
          <w:rFonts w:hint="eastAsia" w:ascii="宋体" w:hAnsi="宋体" w:cs="仿宋_GB2312"/>
          <w:sz w:val="21"/>
          <w:szCs w:val="21"/>
        </w:rPr>
        <w:t>970号</w:t>
      </w:r>
      <w:r>
        <w:rPr>
          <w:rFonts w:hint="eastAsia" w:ascii="宋体" w:hAnsi="宋体" w:cs="仿宋_GB2312"/>
          <w:sz w:val="21"/>
          <w:szCs w:val="21"/>
          <w:lang w:val="zh-CN"/>
        </w:rPr>
        <w:t>确认书批准，嘉兴市明扬工程咨询有限公司</w:t>
      </w:r>
      <w:r>
        <w:rPr>
          <w:rFonts w:hint="eastAsia" w:ascii="宋体" w:hAnsi="宋体"/>
          <w:sz w:val="21"/>
          <w:szCs w:val="21"/>
        </w:rPr>
        <w:t>受嘉兴市公路与运输管理中心委托，就</w:t>
      </w:r>
      <w:r>
        <w:rPr>
          <w:rFonts w:hint="eastAsia"/>
          <w:sz w:val="21"/>
          <w:szCs w:val="21"/>
        </w:rPr>
        <w:t>嘉兴市本级巡游出租汽车智能终端技术改造项目</w:t>
      </w:r>
      <w:r>
        <w:rPr>
          <w:rFonts w:hint="eastAsia" w:ascii="宋体" w:hAnsi="宋体"/>
          <w:sz w:val="21"/>
          <w:szCs w:val="21"/>
        </w:rPr>
        <w:t>进行公开招标，欢迎国内合格的供应商前来投标，现将有关事项公告如下：</w:t>
      </w:r>
    </w:p>
    <w:p>
      <w:pPr>
        <w:pStyle w:val="28"/>
        <w:spacing w:before="0" w:beforeAutospacing="0" w:after="0" w:afterAutospacing="0" w:line="400" w:lineRule="exact"/>
        <w:jc w:val="both"/>
        <w:rPr>
          <w:sz w:val="21"/>
          <w:szCs w:val="21"/>
        </w:rPr>
      </w:pPr>
      <w:r>
        <w:rPr>
          <w:rStyle w:val="36"/>
          <w:rFonts w:hint="eastAsia"/>
          <w:sz w:val="21"/>
          <w:szCs w:val="21"/>
        </w:rPr>
        <w:t>一、项目基本情况</w:t>
      </w:r>
    </w:p>
    <w:p>
      <w:pPr>
        <w:pStyle w:val="28"/>
        <w:spacing w:before="0" w:beforeAutospacing="0" w:after="0" w:afterAutospacing="0" w:line="400" w:lineRule="exact"/>
        <w:ind w:firstLine="630"/>
        <w:rPr>
          <w:sz w:val="21"/>
          <w:szCs w:val="21"/>
        </w:rPr>
      </w:pPr>
      <w:r>
        <w:rPr>
          <w:rFonts w:hint="eastAsia"/>
          <w:sz w:val="21"/>
          <w:szCs w:val="21"/>
        </w:rPr>
        <w:t>项目编号：JXMYZFCG-2020-032 </w:t>
      </w:r>
    </w:p>
    <w:p>
      <w:pPr>
        <w:pStyle w:val="28"/>
        <w:spacing w:before="0" w:beforeAutospacing="0" w:after="0" w:afterAutospacing="0" w:line="400" w:lineRule="exact"/>
        <w:ind w:firstLine="630"/>
        <w:rPr>
          <w:sz w:val="21"/>
          <w:szCs w:val="21"/>
        </w:rPr>
      </w:pPr>
      <w:r>
        <w:rPr>
          <w:rFonts w:hint="eastAsia"/>
          <w:sz w:val="21"/>
          <w:szCs w:val="21"/>
        </w:rPr>
        <w:t>项目名称：嘉兴市本级巡游出租汽车智能终端技术改造项目</w:t>
      </w:r>
    </w:p>
    <w:p>
      <w:pPr>
        <w:pStyle w:val="28"/>
        <w:spacing w:before="0" w:beforeAutospacing="0" w:after="0" w:afterAutospacing="0" w:line="400" w:lineRule="exact"/>
        <w:ind w:firstLine="630"/>
        <w:rPr>
          <w:sz w:val="21"/>
          <w:szCs w:val="21"/>
        </w:rPr>
      </w:pPr>
      <w:r>
        <w:rPr>
          <w:rFonts w:hint="eastAsia"/>
          <w:sz w:val="21"/>
          <w:szCs w:val="21"/>
        </w:rPr>
        <w:t>预算金额（元）：10392620元</w:t>
      </w:r>
    </w:p>
    <w:p>
      <w:pPr>
        <w:pStyle w:val="28"/>
        <w:spacing w:before="0" w:beforeAutospacing="0" w:after="0" w:afterAutospacing="0" w:line="400" w:lineRule="exact"/>
        <w:ind w:firstLine="630"/>
        <w:rPr>
          <w:sz w:val="21"/>
          <w:szCs w:val="21"/>
        </w:rPr>
      </w:pPr>
      <w:r>
        <w:rPr>
          <w:rFonts w:hint="eastAsia"/>
          <w:sz w:val="21"/>
          <w:szCs w:val="21"/>
        </w:rPr>
        <w:t>最高限价（元）：10392620元</w:t>
      </w:r>
    </w:p>
    <w:p>
      <w:pPr>
        <w:pStyle w:val="28"/>
        <w:spacing w:before="0" w:beforeAutospacing="0" w:after="0" w:afterAutospacing="0" w:line="400" w:lineRule="exact"/>
        <w:ind w:firstLine="525" w:firstLineChars="250"/>
        <w:rPr>
          <w:sz w:val="21"/>
          <w:szCs w:val="21"/>
        </w:rPr>
      </w:pPr>
      <w:r>
        <w:rPr>
          <w:rStyle w:val="86"/>
          <w:rFonts w:hint="eastAsia"/>
          <w:sz w:val="21"/>
          <w:szCs w:val="21"/>
        </w:rPr>
        <w:t>采购需求：</w:t>
      </w:r>
    </w:p>
    <w:tbl>
      <w:tblPr>
        <w:tblStyle w:val="33"/>
        <w:tblW w:w="53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9"/>
        <w:gridCol w:w="3243"/>
        <w:gridCol w:w="681"/>
        <w:gridCol w:w="1256"/>
        <w:gridCol w:w="710"/>
        <w:gridCol w:w="226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jc w:val="center"/>
        </w:trPr>
        <w:tc>
          <w:tcPr>
            <w:tcW w:w="436" w:type="pct"/>
            <w:noWrap/>
            <w:tcMar>
              <w:top w:w="84" w:type="dxa"/>
              <w:left w:w="167" w:type="dxa"/>
              <w:bottom w:w="84" w:type="dxa"/>
              <w:right w:w="167" w:type="dxa"/>
            </w:tcMar>
            <w:vAlign w:val="center"/>
          </w:tcPr>
          <w:p>
            <w:pPr>
              <w:widowControl/>
              <w:wordWrap w:val="0"/>
              <w:spacing w:line="240" w:lineRule="exact"/>
              <w:jc w:val="center"/>
              <w:rPr>
                <w:rFonts w:ascii="宋体" w:hAnsi="宋体" w:cs="宋体"/>
                <w:b/>
                <w:bCs/>
                <w:kern w:val="0"/>
                <w:szCs w:val="21"/>
              </w:rPr>
            </w:pPr>
            <w:r>
              <w:rPr>
                <w:rFonts w:hint="eastAsia" w:ascii="宋体" w:hAnsi="宋体" w:cs="宋体"/>
                <w:b/>
                <w:bCs/>
                <w:kern w:val="0"/>
                <w:szCs w:val="21"/>
              </w:rPr>
              <w:t>序号</w:t>
            </w:r>
          </w:p>
        </w:tc>
        <w:tc>
          <w:tcPr>
            <w:tcW w:w="1555" w:type="pct"/>
            <w:noWrap/>
            <w:tcMar>
              <w:top w:w="84" w:type="dxa"/>
              <w:left w:w="167" w:type="dxa"/>
              <w:bottom w:w="84" w:type="dxa"/>
              <w:right w:w="167" w:type="dxa"/>
            </w:tcMar>
            <w:vAlign w:val="center"/>
          </w:tcPr>
          <w:p>
            <w:pPr>
              <w:widowControl/>
              <w:wordWrap w:val="0"/>
              <w:spacing w:line="240" w:lineRule="exact"/>
              <w:jc w:val="center"/>
              <w:rPr>
                <w:rFonts w:ascii="宋体" w:hAnsi="宋体" w:cs="宋体"/>
                <w:b/>
                <w:bCs/>
                <w:kern w:val="0"/>
                <w:szCs w:val="21"/>
              </w:rPr>
            </w:pPr>
            <w:r>
              <w:rPr>
                <w:rFonts w:hint="eastAsia" w:ascii="宋体" w:hAnsi="宋体" w:cs="宋体"/>
                <w:b/>
                <w:bCs/>
                <w:kern w:val="0"/>
                <w:szCs w:val="21"/>
              </w:rPr>
              <w:t>项目名称</w:t>
            </w:r>
          </w:p>
        </w:tc>
        <w:tc>
          <w:tcPr>
            <w:tcW w:w="327" w:type="pct"/>
            <w:noWrap/>
            <w:tcMar>
              <w:top w:w="84" w:type="dxa"/>
              <w:left w:w="167" w:type="dxa"/>
              <w:bottom w:w="84" w:type="dxa"/>
              <w:right w:w="167" w:type="dxa"/>
            </w:tcMar>
            <w:vAlign w:val="center"/>
          </w:tcPr>
          <w:p>
            <w:pPr>
              <w:widowControl/>
              <w:wordWrap w:val="0"/>
              <w:spacing w:line="240" w:lineRule="exact"/>
              <w:jc w:val="center"/>
              <w:rPr>
                <w:rFonts w:ascii="宋体" w:hAnsi="宋体" w:cs="宋体"/>
                <w:b/>
                <w:bCs/>
                <w:kern w:val="0"/>
                <w:szCs w:val="21"/>
              </w:rPr>
            </w:pPr>
            <w:r>
              <w:rPr>
                <w:rFonts w:hint="eastAsia" w:ascii="宋体" w:hAnsi="宋体" w:cs="宋体"/>
                <w:b/>
                <w:bCs/>
                <w:kern w:val="0"/>
                <w:szCs w:val="21"/>
              </w:rPr>
              <w:t>数量</w:t>
            </w:r>
          </w:p>
        </w:tc>
        <w:tc>
          <w:tcPr>
            <w:tcW w:w="602" w:type="pct"/>
            <w:noWrap/>
            <w:tcMar>
              <w:top w:w="84" w:type="dxa"/>
              <w:left w:w="167" w:type="dxa"/>
              <w:bottom w:w="84" w:type="dxa"/>
              <w:right w:w="167" w:type="dxa"/>
            </w:tcMar>
            <w:vAlign w:val="center"/>
          </w:tcPr>
          <w:p>
            <w:pPr>
              <w:widowControl/>
              <w:wordWrap w:val="0"/>
              <w:spacing w:line="240" w:lineRule="exact"/>
              <w:jc w:val="center"/>
              <w:rPr>
                <w:rFonts w:ascii="宋体" w:hAnsi="宋体" w:cs="宋体"/>
                <w:b/>
                <w:bCs/>
                <w:kern w:val="0"/>
                <w:szCs w:val="21"/>
              </w:rPr>
            </w:pPr>
            <w:r>
              <w:rPr>
                <w:rFonts w:hint="eastAsia" w:ascii="宋体" w:hAnsi="宋体" w:cs="宋体"/>
                <w:b/>
                <w:bCs/>
                <w:kern w:val="0"/>
                <w:szCs w:val="21"/>
              </w:rPr>
              <w:t>预算金额(元)</w:t>
            </w:r>
          </w:p>
        </w:tc>
        <w:tc>
          <w:tcPr>
            <w:tcW w:w="341" w:type="pct"/>
            <w:noWrap/>
            <w:tcMar>
              <w:top w:w="84" w:type="dxa"/>
              <w:left w:w="167" w:type="dxa"/>
              <w:bottom w:w="84" w:type="dxa"/>
              <w:right w:w="167" w:type="dxa"/>
            </w:tcMar>
            <w:vAlign w:val="center"/>
          </w:tcPr>
          <w:p>
            <w:pPr>
              <w:widowControl/>
              <w:wordWrap w:val="0"/>
              <w:spacing w:line="240" w:lineRule="exact"/>
              <w:jc w:val="center"/>
              <w:rPr>
                <w:rFonts w:ascii="宋体" w:hAnsi="宋体" w:cs="宋体"/>
                <w:b/>
                <w:bCs/>
                <w:kern w:val="0"/>
                <w:szCs w:val="21"/>
              </w:rPr>
            </w:pPr>
            <w:r>
              <w:rPr>
                <w:rFonts w:hint="eastAsia" w:ascii="宋体" w:hAnsi="宋体" w:cs="宋体"/>
                <w:b/>
                <w:bCs/>
                <w:kern w:val="0"/>
                <w:szCs w:val="21"/>
              </w:rPr>
              <w:t>单位</w:t>
            </w:r>
          </w:p>
        </w:tc>
        <w:tc>
          <w:tcPr>
            <w:tcW w:w="1084" w:type="pct"/>
            <w:noWrap/>
            <w:tcMar>
              <w:top w:w="84" w:type="dxa"/>
              <w:left w:w="167" w:type="dxa"/>
              <w:bottom w:w="84" w:type="dxa"/>
              <w:right w:w="167" w:type="dxa"/>
            </w:tcMar>
            <w:vAlign w:val="center"/>
          </w:tcPr>
          <w:p>
            <w:pPr>
              <w:widowControl/>
              <w:wordWrap w:val="0"/>
              <w:spacing w:line="240" w:lineRule="exact"/>
              <w:jc w:val="center"/>
              <w:rPr>
                <w:rFonts w:ascii="宋体" w:hAnsi="宋体" w:cs="宋体"/>
                <w:b/>
                <w:bCs/>
                <w:kern w:val="0"/>
                <w:szCs w:val="21"/>
              </w:rPr>
            </w:pPr>
            <w:r>
              <w:rPr>
                <w:rFonts w:hint="eastAsia" w:ascii="宋体" w:hAnsi="宋体" w:cs="宋体"/>
                <w:b/>
                <w:bCs/>
                <w:kern w:val="0"/>
                <w:szCs w:val="21"/>
              </w:rPr>
              <w:t>简要规格描述</w:t>
            </w:r>
          </w:p>
        </w:tc>
        <w:tc>
          <w:tcPr>
            <w:tcW w:w="650" w:type="pct"/>
            <w:noWrap/>
            <w:tcMar>
              <w:top w:w="84" w:type="dxa"/>
              <w:left w:w="167" w:type="dxa"/>
              <w:bottom w:w="84" w:type="dxa"/>
              <w:right w:w="167" w:type="dxa"/>
            </w:tcMar>
            <w:vAlign w:val="center"/>
          </w:tcPr>
          <w:p>
            <w:pPr>
              <w:widowControl/>
              <w:wordWrap w:val="0"/>
              <w:spacing w:line="240" w:lineRule="exact"/>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jc w:val="center"/>
        </w:trPr>
        <w:tc>
          <w:tcPr>
            <w:tcW w:w="436" w:type="pct"/>
            <w:noWrap/>
            <w:tcMar>
              <w:top w:w="84" w:type="dxa"/>
              <w:left w:w="167" w:type="dxa"/>
              <w:bottom w:w="84" w:type="dxa"/>
              <w:right w:w="167" w:type="dxa"/>
            </w:tcMar>
            <w:vAlign w:val="center"/>
          </w:tcPr>
          <w:p>
            <w:pPr>
              <w:widowControl/>
              <w:wordWrap w:val="0"/>
              <w:spacing w:line="240" w:lineRule="exact"/>
              <w:jc w:val="center"/>
              <w:rPr>
                <w:rFonts w:ascii="宋体" w:hAnsi="宋体" w:cs="宋体"/>
                <w:kern w:val="0"/>
                <w:szCs w:val="21"/>
              </w:rPr>
            </w:pPr>
            <w:r>
              <w:rPr>
                <w:rFonts w:hint="eastAsia" w:ascii="宋体" w:hAnsi="宋体" w:cs="宋体"/>
                <w:kern w:val="0"/>
                <w:szCs w:val="21"/>
              </w:rPr>
              <w:t>1</w:t>
            </w:r>
          </w:p>
        </w:tc>
        <w:tc>
          <w:tcPr>
            <w:tcW w:w="1555" w:type="pct"/>
            <w:noWrap/>
            <w:tcMar>
              <w:top w:w="84" w:type="dxa"/>
              <w:left w:w="167" w:type="dxa"/>
              <w:bottom w:w="84" w:type="dxa"/>
              <w:right w:w="167" w:type="dxa"/>
            </w:tcMar>
            <w:vAlign w:val="center"/>
          </w:tcPr>
          <w:p>
            <w:pPr>
              <w:spacing w:line="240" w:lineRule="exact"/>
              <w:jc w:val="center"/>
              <w:rPr>
                <w:rFonts w:ascii="宋体" w:hAnsi="宋体" w:cs="宋体"/>
                <w:szCs w:val="21"/>
              </w:rPr>
            </w:pPr>
            <w:r>
              <w:rPr>
                <w:rFonts w:hint="eastAsia"/>
                <w:szCs w:val="21"/>
              </w:rPr>
              <w:t>嘉兴市本级巡游出租汽车智能终端技术改造项目</w:t>
            </w:r>
          </w:p>
        </w:tc>
        <w:tc>
          <w:tcPr>
            <w:tcW w:w="327" w:type="pct"/>
            <w:noWrap/>
            <w:tcMar>
              <w:top w:w="84" w:type="dxa"/>
              <w:left w:w="167" w:type="dxa"/>
              <w:bottom w:w="84" w:type="dxa"/>
              <w:right w:w="167" w:type="dxa"/>
            </w:tcMar>
            <w:vAlign w:val="center"/>
          </w:tcPr>
          <w:p>
            <w:pPr>
              <w:spacing w:line="240" w:lineRule="exact"/>
              <w:jc w:val="center"/>
              <w:rPr>
                <w:rFonts w:ascii="宋体" w:hAnsi="宋体" w:cs="宋体"/>
                <w:szCs w:val="21"/>
              </w:rPr>
            </w:pPr>
            <w:r>
              <w:rPr>
                <w:rFonts w:hint="eastAsia" w:ascii="宋体" w:hAnsi="宋体" w:cs="宋体"/>
                <w:szCs w:val="21"/>
              </w:rPr>
              <w:t>1</w:t>
            </w:r>
          </w:p>
        </w:tc>
        <w:tc>
          <w:tcPr>
            <w:tcW w:w="602" w:type="pct"/>
            <w:noWrap/>
            <w:tcMar>
              <w:top w:w="84" w:type="dxa"/>
              <w:left w:w="167" w:type="dxa"/>
              <w:bottom w:w="84" w:type="dxa"/>
              <w:right w:w="167" w:type="dxa"/>
            </w:tcMar>
            <w:vAlign w:val="center"/>
          </w:tcPr>
          <w:p>
            <w:pPr>
              <w:widowControl/>
              <w:wordWrap w:val="0"/>
              <w:spacing w:line="240" w:lineRule="exact"/>
              <w:jc w:val="center"/>
              <w:rPr>
                <w:rFonts w:ascii="宋体" w:hAnsi="宋体" w:cs="宋体"/>
                <w:smallCaps/>
                <w:kern w:val="0"/>
                <w:szCs w:val="21"/>
              </w:rPr>
            </w:pPr>
            <w:r>
              <w:rPr>
                <w:rFonts w:hint="eastAsia"/>
                <w:szCs w:val="21"/>
              </w:rPr>
              <w:t>10392620</w:t>
            </w:r>
          </w:p>
        </w:tc>
        <w:tc>
          <w:tcPr>
            <w:tcW w:w="341" w:type="pct"/>
            <w:noWrap/>
            <w:tcMar>
              <w:top w:w="84" w:type="dxa"/>
              <w:left w:w="167" w:type="dxa"/>
              <w:bottom w:w="84" w:type="dxa"/>
              <w:right w:w="167" w:type="dxa"/>
            </w:tcMar>
            <w:vAlign w:val="center"/>
          </w:tcPr>
          <w:p>
            <w:pPr>
              <w:spacing w:line="240" w:lineRule="exact"/>
              <w:jc w:val="center"/>
              <w:rPr>
                <w:rFonts w:ascii="宋体" w:hAnsi="宋体" w:cs="宋体"/>
                <w:szCs w:val="21"/>
              </w:rPr>
            </w:pPr>
            <w:r>
              <w:rPr>
                <w:rFonts w:hint="eastAsia" w:ascii="宋体" w:hAnsi="宋体" w:cs="宋体"/>
                <w:szCs w:val="21"/>
              </w:rPr>
              <w:t>项</w:t>
            </w:r>
          </w:p>
        </w:tc>
        <w:tc>
          <w:tcPr>
            <w:tcW w:w="1084" w:type="pct"/>
            <w:noWrap/>
            <w:tcMar>
              <w:top w:w="84" w:type="dxa"/>
              <w:left w:w="167" w:type="dxa"/>
              <w:bottom w:w="84" w:type="dxa"/>
              <w:right w:w="167" w:type="dxa"/>
            </w:tcMar>
            <w:vAlign w:val="center"/>
          </w:tcPr>
          <w:p>
            <w:pPr>
              <w:pStyle w:val="25"/>
              <w:spacing w:line="240" w:lineRule="exact"/>
              <w:ind w:left="0" w:firstLine="0"/>
              <w:jc w:val="center"/>
              <w:rPr>
                <w:rFonts w:ascii="宋体" w:hAnsi="宋体" w:cs="宋体"/>
                <w:kern w:val="0"/>
                <w:sz w:val="21"/>
                <w:szCs w:val="21"/>
              </w:rPr>
            </w:pPr>
            <w:r>
              <w:rPr>
                <w:rFonts w:hint="eastAsia" w:ascii="宋体" w:hAnsi="宋体" w:cs="宋体"/>
                <w:kern w:val="0"/>
                <w:sz w:val="21"/>
                <w:szCs w:val="21"/>
              </w:rPr>
              <w:t>详见招标文件《第二章  招标项目需求》</w:t>
            </w:r>
          </w:p>
        </w:tc>
        <w:tc>
          <w:tcPr>
            <w:tcW w:w="650" w:type="pct"/>
            <w:noWrap/>
            <w:tcMar>
              <w:top w:w="84" w:type="dxa"/>
              <w:left w:w="167" w:type="dxa"/>
              <w:bottom w:w="84" w:type="dxa"/>
              <w:right w:w="167" w:type="dxa"/>
            </w:tcMar>
            <w:vAlign w:val="center"/>
          </w:tcPr>
          <w:p>
            <w:pPr>
              <w:widowControl/>
              <w:spacing w:line="240" w:lineRule="exact"/>
              <w:jc w:val="center"/>
              <w:rPr>
                <w:rFonts w:ascii="宋体" w:hAnsi="宋体" w:cs="宋体"/>
                <w:kern w:val="0"/>
                <w:szCs w:val="21"/>
              </w:rPr>
            </w:pPr>
            <w:r>
              <w:rPr>
                <w:rFonts w:hint="eastAsia" w:ascii="宋体" w:hAnsi="宋体" w:cs="宋体"/>
                <w:smallCaps/>
                <w:kern w:val="0"/>
                <w:szCs w:val="21"/>
              </w:rPr>
              <w:t>需检定</w:t>
            </w:r>
          </w:p>
        </w:tc>
      </w:tr>
    </w:tbl>
    <w:p>
      <w:pPr>
        <w:spacing w:line="400" w:lineRule="exact"/>
        <w:ind w:firstLine="420" w:firstLineChars="200"/>
        <w:rPr>
          <w:rFonts w:ascii="宋体" w:hAnsi="宋体" w:cs="宋体"/>
          <w:szCs w:val="21"/>
        </w:rPr>
      </w:pPr>
      <w:r>
        <w:rPr>
          <w:rFonts w:hint="eastAsia" w:ascii="宋体" w:hAnsi="宋体" w:cs="宋体"/>
          <w:szCs w:val="21"/>
        </w:rPr>
        <w:t>合同履行期限：自合同签订后</w:t>
      </w:r>
      <w:r>
        <w:rPr>
          <w:rFonts w:ascii="宋体" w:hAnsi="宋体" w:cs="宋体"/>
          <w:szCs w:val="21"/>
        </w:rPr>
        <w:t>120</w:t>
      </w:r>
      <w:r>
        <w:rPr>
          <w:rFonts w:hint="eastAsia" w:ascii="宋体" w:hAnsi="宋体" w:cs="宋体"/>
          <w:szCs w:val="21"/>
        </w:rPr>
        <w:t>天内完成设备安装、调试，</w:t>
      </w:r>
      <w:r>
        <w:rPr>
          <w:rFonts w:ascii="宋体" w:hAnsi="宋体" w:cs="宋体"/>
          <w:szCs w:val="21"/>
        </w:rPr>
        <w:t>180天内完成项目建设。</w:t>
      </w:r>
    </w:p>
    <w:p>
      <w:pPr>
        <w:pStyle w:val="28"/>
        <w:spacing w:before="0" w:beforeAutospacing="0" w:after="0" w:afterAutospacing="0" w:line="400" w:lineRule="exact"/>
        <w:rPr>
          <w:sz w:val="21"/>
          <w:szCs w:val="21"/>
        </w:rPr>
      </w:pPr>
      <w:r>
        <w:rPr>
          <w:rFonts w:hint="eastAsia"/>
          <w:sz w:val="21"/>
          <w:szCs w:val="21"/>
        </w:rPr>
        <w:t xml:space="preserve">   </w:t>
      </w:r>
      <w:r>
        <w:rPr>
          <w:rFonts w:hint="eastAsia" w:cs="宋体"/>
          <w:kern w:val="2"/>
          <w:sz w:val="21"/>
          <w:szCs w:val="21"/>
        </w:rPr>
        <w:t>本项目（否）接受联合体投标。</w:t>
      </w:r>
    </w:p>
    <w:p>
      <w:pPr>
        <w:pStyle w:val="28"/>
        <w:spacing w:before="0" w:beforeAutospacing="0" w:after="0" w:afterAutospacing="0" w:line="400" w:lineRule="exact"/>
        <w:jc w:val="both"/>
        <w:rPr>
          <w:sz w:val="21"/>
          <w:szCs w:val="21"/>
        </w:rPr>
      </w:pPr>
      <w:r>
        <w:rPr>
          <w:rStyle w:val="36"/>
          <w:rFonts w:hint="eastAsia"/>
          <w:sz w:val="21"/>
          <w:szCs w:val="21"/>
        </w:rPr>
        <w:t>二、申请人的资格要求：</w:t>
      </w:r>
    </w:p>
    <w:p>
      <w:pPr>
        <w:pStyle w:val="28"/>
        <w:spacing w:before="0" w:beforeAutospacing="0" w:after="0" w:afterAutospacing="0" w:line="400" w:lineRule="exact"/>
        <w:rPr>
          <w:sz w:val="21"/>
          <w:szCs w:val="21"/>
        </w:rPr>
      </w:pPr>
      <w:r>
        <w:rPr>
          <w:rFonts w:hint="eastAsia"/>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8"/>
        <w:spacing w:before="0" w:beforeAutospacing="0" w:after="0" w:afterAutospacing="0" w:line="400" w:lineRule="exact"/>
        <w:rPr>
          <w:sz w:val="21"/>
          <w:szCs w:val="21"/>
        </w:rPr>
      </w:pPr>
      <w:r>
        <w:rPr>
          <w:rFonts w:hint="eastAsia"/>
          <w:sz w:val="21"/>
          <w:szCs w:val="21"/>
        </w:rPr>
        <w:t>    2、落实政府采购政策需满足的资格要求：（1）根据《政府采购促进中小企业发展暂行办法》（财库[2011]181号）的规定，投标人为小型或微型企业且所投产品为小型或微型企业生产的，其投标报价扣除6%后参与评审。 投标文件中须同时提供：《小微企业声明函》、“国家企业信用信息公示系统——小微企业名录”页面查询结果（查询时间为投标前一周内，并加盖单位公章）。(注：未提供以上材料的，均不给予价格扣除)（2）根据《关于政府采购支持监狱企业发展有关问题的通知》（财库[2014]68号）的规定，投标人如为监狱企业且所投产品为小型或微型企业生产的，其投标报价扣除6%后参与评审。 投标文件中须同时提供：投标人的省级以上监狱管理局、戒毒管理局（含新疆生产建设兵团）出具的属于监狱企业的证明文件（格式自拟），未提供完整证明材料的，投标报价不予扣减。（3）根据《财政部、民政部、中国残疾人联合会关于促进残疾人就业政府采购政策的通知》（财库〔2017〕141号）的规定，残疾人福利性单位视同小型、微型企业，享受评审中价格扣除政策。 投标文件中须提供：《残疾人福利性单位声明函》，未提供完整证明材料的，投标报价不予扣减。 </w:t>
      </w:r>
    </w:p>
    <w:p>
      <w:pPr>
        <w:pStyle w:val="28"/>
        <w:spacing w:before="0" w:beforeAutospacing="0" w:after="0" w:afterAutospacing="0" w:line="400" w:lineRule="exact"/>
        <w:rPr>
          <w:sz w:val="21"/>
          <w:szCs w:val="21"/>
        </w:rPr>
      </w:pPr>
      <w:r>
        <w:rPr>
          <w:rFonts w:hint="eastAsia"/>
          <w:sz w:val="21"/>
          <w:szCs w:val="21"/>
        </w:rPr>
        <w:t>    3、本项目的特定资格要求：无</w:t>
      </w:r>
    </w:p>
    <w:p>
      <w:pPr>
        <w:pStyle w:val="28"/>
        <w:spacing w:before="0" w:beforeAutospacing="0" w:after="0" w:afterAutospacing="0" w:line="400" w:lineRule="exact"/>
        <w:jc w:val="both"/>
        <w:rPr>
          <w:rStyle w:val="36"/>
          <w:sz w:val="21"/>
          <w:szCs w:val="21"/>
        </w:rPr>
      </w:pPr>
      <w:r>
        <w:rPr>
          <w:rStyle w:val="36"/>
          <w:rFonts w:hint="eastAsia"/>
          <w:sz w:val="21"/>
          <w:szCs w:val="21"/>
        </w:rPr>
        <w:t>三、获取招标文件</w:t>
      </w:r>
    </w:p>
    <w:p>
      <w:pPr>
        <w:pStyle w:val="28"/>
        <w:spacing w:before="0" w:beforeAutospacing="0" w:after="0" w:afterAutospacing="0" w:line="400" w:lineRule="exact"/>
        <w:rPr>
          <w:rFonts w:cs="宋体"/>
          <w:sz w:val="21"/>
          <w:szCs w:val="21"/>
        </w:rPr>
      </w:pPr>
      <w:r>
        <w:rPr>
          <w:rFonts w:hint="eastAsia"/>
          <w:sz w:val="21"/>
          <w:szCs w:val="21"/>
        </w:rPr>
        <w:t>   </w:t>
      </w:r>
      <w:r>
        <w:rPr>
          <w:rFonts w:hint="eastAsia" w:cs="宋体"/>
          <w:sz w:val="21"/>
          <w:szCs w:val="21"/>
        </w:rPr>
        <w:t xml:space="preserve"> 时间：</w:t>
      </w:r>
      <w:r>
        <w:rPr>
          <w:rFonts w:hint="eastAsia" w:cs="宋体"/>
          <w:sz w:val="21"/>
          <w:szCs w:val="21"/>
          <w:u w:val="single"/>
        </w:rPr>
        <w:t> </w:t>
      </w:r>
      <w:r>
        <w:rPr>
          <w:rStyle w:val="87"/>
          <w:rFonts w:hint="eastAsia" w:cs="宋体"/>
          <w:color w:val="FF0000"/>
          <w:sz w:val="21"/>
          <w:szCs w:val="21"/>
          <w:u w:val="single"/>
        </w:rPr>
        <w:t>2020年10月  日</w:t>
      </w:r>
      <w:r>
        <w:rPr>
          <w:rFonts w:hint="eastAsia" w:cs="宋体"/>
          <w:color w:val="FF0000"/>
          <w:sz w:val="21"/>
          <w:szCs w:val="21"/>
          <w:u w:val="single"/>
        </w:rPr>
        <w:t> </w:t>
      </w:r>
      <w:r>
        <w:rPr>
          <w:rFonts w:hint="eastAsia" w:cs="宋体"/>
          <w:color w:val="FF0000"/>
          <w:sz w:val="21"/>
          <w:szCs w:val="21"/>
        </w:rPr>
        <w:t>至</w:t>
      </w:r>
      <w:r>
        <w:rPr>
          <w:rFonts w:hint="eastAsia" w:cs="宋体"/>
          <w:color w:val="FF0000"/>
          <w:sz w:val="21"/>
          <w:szCs w:val="21"/>
          <w:u w:val="single"/>
        </w:rPr>
        <w:t> </w:t>
      </w:r>
      <w:r>
        <w:rPr>
          <w:rStyle w:val="87"/>
          <w:rFonts w:hint="eastAsia" w:cs="宋体"/>
          <w:color w:val="FF0000"/>
          <w:sz w:val="21"/>
          <w:szCs w:val="21"/>
          <w:u w:val="single"/>
        </w:rPr>
        <w:t>2020年11月  日</w:t>
      </w:r>
      <w:r>
        <w:rPr>
          <w:rFonts w:hint="eastAsia" w:cs="宋体"/>
          <w:sz w:val="21"/>
          <w:szCs w:val="21"/>
          <w:u w:val="single"/>
        </w:rPr>
        <w:t> </w:t>
      </w:r>
      <w:r>
        <w:rPr>
          <w:rFonts w:hint="eastAsia" w:cs="宋体"/>
          <w:sz w:val="21"/>
          <w:szCs w:val="21"/>
        </w:rPr>
        <w:t>，每天上午</w:t>
      </w:r>
      <w:r>
        <w:rPr>
          <w:rFonts w:hint="eastAsia" w:cs="宋体"/>
          <w:sz w:val="21"/>
          <w:szCs w:val="21"/>
          <w:u w:val="single"/>
        </w:rPr>
        <w:t> </w:t>
      </w:r>
      <w:r>
        <w:rPr>
          <w:rStyle w:val="87"/>
          <w:rFonts w:hint="eastAsia" w:cs="宋体"/>
          <w:sz w:val="21"/>
          <w:szCs w:val="21"/>
          <w:u w:val="single"/>
        </w:rPr>
        <w:t>00:00至12:00</w:t>
      </w:r>
      <w:r>
        <w:rPr>
          <w:rFonts w:hint="eastAsia" w:cs="宋体"/>
          <w:sz w:val="21"/>
          <w:szCs w:val="21"/>
        </w:rPr>
        <w:t> ，下午</w:t>
      </w:r>
      <w:r>
        <w:rPr>
          <w:rFonts w:hint="eastAsia" w:cs="宋体"/>
          <w:sz w:val="21"/>
          <w:szCs w:val="21"/>
          <w:u w:val="single"/>
        </w:rPr>
        <w:t> </w:t>
      </w:r>
      <w:r>
        <w:rPr>
          <w:rStyle w:val="87"/>
          <w:rFonts w:hint="eastAsia" w:cs="宋体"/>
          <w:sz w:val="21"/>
          <w:szCs w:val="21"/>
          <w:u w:val="single"/>
        </w:rPr>
        <w:t>12:00至23:59</w:t>
      </w:r>
      <w:r>
        <w:rPr>
          <w:rFonts w:hint="eastAsia" w:cs="宋体"/>
          <w:sz w:val="21"/>
          <w:szCs w:val="21"/>
          <w:u w:val="single"/>
        </w:rPr>
        <w:t> </w:t>
      </w:r>
      <w:r>
        <w:rPr>
          <w:rFonts w:hint="eastAsia" w:cs="宋体"/>
          <w:sz w:val="21"/>
          <w:szCs w:val="21"/>
        </w:rPr>
        <w:t>（北京时间，线上获取法定节假日均可，线下获取文件法定节假日除外）</w:t>
      </w:r>
    </w:p>
    <w:p>
      <w:pPr>
        <w:pStyle w:val="28"/>
        <w:spacing w:before="0" w:beforeAutospacing="0" w:after="0" w:afterAutospacing="0" w:line="400" w:lineRule="exact"/>
        <w:ind w:firstLine="525" w:firstLineChars="250"/>
        <w:rPr>
          <w:rFonts w:cs="宋体"/>
          <w:sz w:val="21"/>
          <w:szCs w:val="21"/>
        </w:rPr>
      </w:pPr>
      <w:r>
        <w:rPr>
          <w:rFonts w:hint="eastAsia" w:cs="宋体"/>
          <w:sz w:val="21"/>
          <w:szCs w:val="21"/>
        </w:rPr>
        <w:t>地点（网址）：</w:t>
      </w:r>
      <w:r>
        <w:rPr>
          <w:rStyle w:val="87"/>
          <w:rFonts w:hint="eastAsia" w:cs="宋体"/>
          <w:sz w:val="21"/>
          <w:szCs w:val="21"/>
        </w:rPr>
        <w:t>浙江政府采购网https://login.zcygov.cn/login</w:t>
      </w:r>
      <w:r>
        <w:rPr>
          <w:rFonts w:hint="eastAsia" w:cs="宋体"/>
          <w:sz w:val="21"/>
          <w:szCs w:val="21"/>
        </w:rPr>
        <w:t>  </w:t>
      </w:r>
    </w:p>
    <w:p>
      <w:pPr>
        <w:pStyle w:val="28"/>
        <w:spacing w:before="0" w:beforeAutospacing="0" w:after="0" w:afterAutospacing="0" w:line="400" w:lineRule="exact"/>
        <w:ind w:firstLine="525" w:firstLineChars="250"/>
        <w:rPr>
          <w:sz w:val="21"/>
          <w:szCs w:val="21"/>
        </w:rPr>
      </w:pPr>
      <w:r>
        <w:rPr>
          <w:rFonts w:hint="eastAsia"/>
          <w:sz w:val="21"/>
          <w:szCs w:val="21"/>
        </w:rPr>
        <w:t>方式：采购公告发布后，在政采云平台已完成注册的供应商登陆系统，申请获取招标文件，待审核通过后，可免费下载招标文件。如果“已申请”标签页显示状态为“审核通过”即为报名成功。路径：用户中心——项目采购——获取招标文件管理。在“已获取”的状态下，供应商可下载查看招标文件。</w:t>
      </w:r>
    </w:p>
    <w:p>
      <w:pPr>
        <w:pStyle w:val="28"/>
        <w:spacing w:before="0" w:beforeAutospacing="0" w:after="0" w:afterAutospacing="0" w:line="400" w:lineRule="exact"/>
        <w:rPr>
          <w:sz w:val="21"/>
          <w:szCs w:val="21"/>
        </w:rPr>
      </w:pPr>
      <w:r>
        <w:rPr>
          <w:rFonts w:hint="eastAsia"/>
          <w:sz w:val="21"/>
          <w:szCs w:val="21"/>
        </w:rPr>
        <w:t>    售价（元）：0 </w:t>
      </w:r>
    </w:p>
    <w:p>
      <w:pPr>
        <w:pStyle w:val="28"/>
        <w:spacing w:before="0" w:beforeAutospacing="0" w:after="0" w:afterAutospacing="0" w:line="400" w:lineRule="exact"/>
        <w:jc w:val="both"/>
        <w:rPr>
          <w:rStyle w:val="36"/>
          <w:sz w:val="21"/>
          <w:szCs w:val="21"/>
        </w:rPr>
      </w:pPr>
      <w:r>
        <w:rPr>
          <w:rStyle w:val="36"/>
          <w:rFonts w:hint="eastAsia"/>
          <w:sz w:val="21"/>
          <w:szCs w:val="21"/>
        </w:rPr>
        <w:t>四、提交投标文件截止时间、开标时间和地点</w:t>
      </w:r>
    </w:p>
    <w:p>
      <w:pPr>
        <w:pStyle w:val="28"/>
        <w:spacing w:before="0" w:beforeAutospacing="0" w:after="0" w:afterAutospacing="0" w:line="400" w:lineRule="exact"/>
        <w:rPr>
          <w:rFonts w:cs="宋体"/>
          <w:sz w:val="21"/>
          <w:szCs w:val="21"/>
        </w:rPr>
      </w:pPr>
      <w:r>
        <w:rPr>
          <w:rFonts w:hint="eastAsia"/>
          <w:sz w:val="21"/>
          <w:szCs w:val="21"/>
        </w:rPr>
        <w:t xml:space="preserve">    </w:t>
      </w:r>
      <w:r>
        <w:rPr>
          <w:rFonts w:hint="eastAsia" w:cs="宋体"/>
          <w:sz w:val="21"/>
          <w:szCs w:val="21"/>
        </w:rPr>
        <w:t>提交投标文件截止时间：</w:t>
      </w:r>
      <w:r>
        <w:rPr>
          <w:rFonts w:hint="eastAsia" w:cs="宋体"/>
          <w:sz w:val="21"/>
          <w:szCs w:val="21"/>
          <w:u w:val="single"/>
        </w:rPr>
        <w:t> </w:t>
      </w:r>
      <w:r>
        <w:rPr>
          <w:rStyle w:val="87"/>
          <w:rFonts w:hint="eastAsia" w:cs="宋体"/>
          <w:color w:val="FF0000"/>
          <w:sz w:val="21"/>
          <w:szCs w:val="21"/>
          <w:u w:val="single"/>
        </w:rPr>
        <w:t>2020年11月 日9:30</w:t>
      </w:r>
      <w:r>
        <w:rPr>
          <w:rFonts w:hint="eastAsia" w:cs="宋体"/>
          <w:sz w:val="21"/>
          <w:szCs w:val="21"/>
          <w:u w:val="single"/>
        </w:rPr>
        <w:t> </w:t>
      </w:r>
      <w:r>
        <w:rPr>
          <w:rFonts w:hint="eastAsia" w:cs="宋体"/>
          <w:sz w:val="21"/>
          <w:szCs w:val="21"/>
        </w:rPr>
        <w:t>（北京时间）</w:t>
      </w:r>
    </w:p>
    <w:p>
      <w:pPr>
        <w:pStyle w:val="28"/>
        <w:spacing w:before="0" w:beforeAutospacing="0" w:after="0" w:afterAutospacing="0" w:line="400" w:lineRule="exact"/>
        <w:rPr>
          <w:rFonts w:cs="宋体"/>
          <w:sz w:val="21"/>
          <w:szCs w:val="21"/>
        </w:rPr>
      </w:pPr>
      <w:r>
        <w:rPr>
          <w:rFonts w:hint="eastAsia" w:cs="宋体"/>
          <w:sz w:val="21"/>
          <w:szCs w:val="21"/>
        </w:rPr>
        <w:t>    投标地点（网址）：</w:t>
      </w:r>
      <w:r>
        <w:rPr>
          <w:rFonts w:hint="eastAsia" w:cs="宋体"/>
          <w:sz w:val="21"/>
          <w:szCs w:val="21"/>
          <w:u w:val="single"/>
        </w:rPr>
        <w:t> </w:t>
      </w:r>
      <w:r>
        <w:rPr>
          <w:rStyle w:val="87"/>
          <w:rFonts w:hint="eastAsia" w:cs="宋体"/>
          <w:sz w:val="21"/>
          <w:szCs w:val="21"/>
          <w:u w:val="single"/>
        </w:rPr>
        <w:t>“政采云”平台电子投标</w:t>
      </w:r>
      <w:r>
        <w:rPr>
          <w:rFonts w:hint="eastAsia" w:cs="宋体"/>
          <w:sz w:val="21"/>
          <w:szCs w:val="21"/>
          <w:u w:val="single"/>
        </w:rPr>
        <w:t> </w:t>
      </w:r>
    </w:p>
    <w:p>
      <w:pPr>
        <w:pStyle w:val="28"/>
        <w:spacing w:before="0" w:beforeAutospacing="0" w:after="0" w:afterAutospacing="0" w:line="400" w:lineRule="exact"/>
        <w:rPr>
          <w:rFonts w:cs="宋体"/>
          <w:sz w:val="21"/>
          <w:szCs w:val="21"/>
        </w:rPr>
      </w:pPr>
      <w:r>
        <w:rPr>
          <w:rFonts w:hint="eastAsia" w:cs="宋体"/>
          <w:sz w:val="21"/>
          <w:szCs w:val="21"/>
        </w:rPr>
        <w:t>    开标时间：</w:t>
      </w:r>
      <w:r>
        <w:rPr>
          <w:rFonts w:hint="eastAsia" w:cs="宋体"/>
          <w:sz w:val="21"/>
          <w:szCs w:val="21"/>
          <w:u w:val="single"/>
        </w:rPr>
        <w:t> </w:t>
      </w:r>
      <w:r>
        <w:rPr>
          <w:rStyle w:val="87"/>
          <w:rFonts w:hint="eastAsia" w:cs="宋体"/>
          <w:color w:val="FF0000"/>
          <w:sz w:val="21"/>
          <w:szCs w:val="21"/>
          <w:u w:val="single"/>
        </w:rPr>
        <w:t>2020年11月 日9:30</w:t>
      </w:r>
      <w:r>
        <w:rPr>
          <w:rFonts w:hint="eastAsia" w:cs="宋体"/>
          <w:sz w:val="21"/>
          <w:szCs w:val="21"/>
          <w:u w:val="single"/>
        </w:rPr>
        <w:t>  </w:t>
      </w:r>
    </w:p>
    <w:p>
      <w:pPr>
        <w:pStyle w:val="28"/>
        <w:spacing w:before="0" w:beforeAutospacing="0" w:after="0" w:afterAutospacing="0" w:line="400" w:lineRule="exact"/>
        <w:rPr>
          <w:rFonts w:cs="宋体"/>
          <w:sz w:val="21"/>
          <w:szCs w:val="21"/>
        </w:rPr>
      </w:pPr>
      <w:r>
        <w:rPr>
          <w:rFonts w:hint="eastAsia" w:cs="宋体"/>
          <w:sz w:val="21"/>
          <w:szCs w:val="21"/>
        </w:rPr>
        <w:t>    开标地点（网址）：嘉兴市公共资源交易中心开标室(嘉兴市广场路350号,蒋水港桥西侧)</w:t>
      </w:r>
    </w:p>
    <w:p>
      <w:pPr>
        <w:pStyle w:val="28"/>
        <w:spacing w:before="0" w:beforeAutospacing="0" w:after="0" w:afterAutospacing="0" w:line="400" w:lineRule="exact"/>
        <w:jc w:val="both"/>
        <w:rPr>
          <w:sz w:val="21"/>
          <w:szCs w:val="21"/>
        </w:rPr>
      </w:pPr>
      <w:r>
        <w:rPr>
          <w:rStyle w:val="36"/>
          <w:rFonts w:hint="eastAsia"/>
          <w:sz w:val="21"/>
          <w:szCs w:val="21"/>
        </w:rPr>
        <w:t>五、公告期限</w:t>
      </w:r>
    </w:p>
    <w:p>
      <w:pPr>
        <w:pStyle w:val="28"/>
        <w:spacing w:before="0" w:beforeAutospacing="0" w:after="0" w:afterAutospacing="0" w:line="400" w:lineRule="exact"/>
        <w:rPr>
          <w:sz w:val="21"/>
          <w:szCs w:val="21"/>
        </w:rPr>
      </w:pPr>
      <w:r>
        <w:rPr>
          <w:rFonts w:hint="eastAsia"/>
          <w:sz w:val="21"/>
          <w:szCs w:val="21"/>
        </w:rPr>
        <w:t>    自本公告发布之日起5个工作日。</w:t>
      </w:r>
    </w:p>
    <w:p>
      <w:pPr>
        <w:pStyle w:val="28"/>
        <w:spacing w:before="0" w:beforeAutospacing="0" w:after="0" w:afterAutospacing="0" w:line="400" w:lineRule="exact"/>
        <w:jc w:val="both"/>
        <w:rPr>
          <w:sz w:val="21"/>
          <w:szCs w:val="21"/>
        </w:rPr>
      </w:pPr>
      <w:r>
        <w:rPr>
          <w:rStyle w:val="36"/>
          <w:rFonts w:hint="eastAsia"/>
          <w:sz w:val="21"/>
          <w:szCs w:val="21"/>
        </w:rPr>
        <w:t>六、其他补充事宜</w:t>
      </w:r>
    </w:p>
    <w:p>
      <w:pPr>
        <w:pStyle w:val="28"/>
        <w:spacing w:before="0" w:beforeAutospacing="0" w:after="0" w:afterAutospacing="0" w:line="400" w:lineRule="exact"/>
        <w:rPr>
          <w:sz w:val="21"/>
          <w:szCs w:val="21"/>
        </w:rPr>
      </w:pPr>
      <w:r>
        <w:rPr>
          <w:rFonts w:hint="eastAsia"/>
          <w:sz w:val="21"/>
          <w:szCs w:val="21"/>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8"/>
        <w:spacing w:before="0" w:beforeAutospacing="0" w:after="0" w:afterAutospacing="0" w:line="400" w:lineRule="exact"/>
        <w:rPr>
          <w:rFonts w:cs="宋体"/>
          <w:sz w:val="21"/>
          <w:szCs w:val="21"/>
        </w:rPr>
      </w:pPr>
      <w:r>
        <w:rPr>
          <w:rFonts w:hint="eastAsia"/>
          <w:sz w:val="21"/>
          <w:szCs w:val="21"/>
        </w:rPr>
        <w:t>   ​2、本采购项目，中标单位与采购人签订的政府采购合同适用于嘉兴市政府采购贷款政策，简称“政采贷”，具体内容可参阅政府采购贷款流程：</w:t>
      </w:r>
      <w:r>
        <w:fldChar w:fldCharType="begin"/>
      </w:r>
      <w:r>
        <w:instrText xml:space="preserve"> HYPERLINK "http://www.jxzbtb.cn/zxfw/005012/20181016/7e541bf4-ad29-4286-ace8-d12c1b2c54fc.html%E3%80%82" </w:instrText>
      </w:r>
      <w:r>
        <w:fldChar w:fldCharType="separate"/>
      </w:r>
      <w:r>
        <w:rPr>
          <w:rStyle w:val="38"/>
          <w:rFonts w:hint="eastAsia" w:ascii="宋体" w:hAnsi="宋体" w:eastAsia="宋体" w:cs="宋体"/>
          <w:color w:val="auto"/>
          <w:sz w:val="21"/>
          <w:szCs w:val="21"/>
        </w:rPr>
        <w:t>http://www.jxzbtb.cn/zxfw/005012/20181016/7e541bf4-ad29-4286-ace8-d12c1b2c54fc.html。</w:t>
      </w:r>
      <w:r>
        <w:rPr>
          <w:rStyle w:val="38"/>
          <w:rFonts w:hint="eastAsia" w:ascii="宋体" w:hAnsi="宋体" w:eastAsia="宋体" w:cs="宋体"/>
          <w:color w:val="auto"/>
          <w:sz w:val="21"/>
          <w:szCs w:val="21"/>
        </w:rPr>
        <w:fldChar w:fldCharType="end"/>
      </w:r>
    </w:p>
    <w:p>
      <w:pPr>
        <w:pStyle w:val="28"/>
        <w:spacing w:before="0" w:beforeAutospacing="0" w:after="0" w:afterAutospacing="0" w:line="400" w:lineRule="exact"/>
        <w:ind w:firstLine="420"/>
        <w:rPr>
          <w:sz w:val="21"/>
          <w:szCs w:val="21"/>
        </w:rPr>
      </w:pPr>
      <w:r>
        <w:rPr>
          <w:rFonts w:hint="eastAsia"/>
          <w:sz w:val="21"/>
          <w:szCs w:val="21"/>
        </w:rPr>
        <w:t>3、投标说明：</w:t>
      </w:r>
    </w:p>
    <w:p>
      <w:pPr>
        <w:pStyle w:val="28"/>
        <w:spacing w:before="0" w:beforeAutospacing="0" w:after="0" w:afterAutospacing="0" w:line="400" w:lineRule="exact"/>
        <w:ind w:firstLine="420"/>
        <w:rPr>
          <w:sz w:val="21"/>
          <w:szCs w:val="21"/>
        </w:rPr>
      </w:pPr>
      <w:r>
        <w:rPr>
          <w:rFonts w:hint="eastAsia"/>
          <w:sz w:val="21"/>
          <w:szCs w:val="21"/>
        </w:rPr>
        <w:t>3.１、本项目按照《浙江省财政厅关于印发浙江省政府采购项目电子交易管理暂行办法的通知》实行电子交易。</w:t>
      </w:r>
    </w:p>
    <w:p>
      <w:pPr>
        <w:pStyle w:val="28"/>
        <w:spacing w:before="0" w:beforeAutospacing="0" w:after="0" w:afterAutospacing="0" w:line="400" w:lineRule="exact"/>
        <w:ind w:firstLine="420"/>
        <w:rPr>
          <w:sz w:val="21"/>
          <w:szCs w:val="21"/>
        </w:rPr>
      </w:pPr>
      <w:r>
        <w:rPr>
          <w:rFonts w:hint="eastAsia"/>
          <w:sz w:val="21"/>
          <w:szCs w:val="21"/>
        </w:rPr>
        <w:t>3.2、供应商注册</w:t>
      </w:r>
    </w:p>
    <w:p>
      <w:pPr>
        <w:pStyle w:val="28"/>
        <w:spacing w:before="0" w:beforeAutospacing="0" w:after="0" w:afterAutospacing="0" w:line="400" w:lineRule="exact"/>
        <w:ind w:firstLine="420"/>
        <w:rPr>
          <w:sz w:val="21"/>
          <w:szCs w:val="21"/>
        </w:rPr>
      </w:pPr>
      <w:r>
        <w:rPr>
          <w:rFonts w:hint="eastAsia"/>
          <w:sz w:val="21"/>
          <w:szCs w:val="21"/>
        </w:rPr>
        <w:t>3.2.1、注册网址：</w:t>
      </w:r>
    </w:p>
    <w:p>
      <w:pPr>
        <w:pStyle w:val="28"/>
        <w:spacing w:before="0" w:beforeAutospacing="0" w:after="0" w:afterAutospacing="0" w:line="400" w:lineRule="exact"/>
        <w:ind w:firstLine="420"/>
        <w:rPr>
          <w:rFonts w:cs="宋体"/>
          <w:sz w:val="21"/>
          <w:szCs w:val="21"/>
        </w:rPr>
      </w:pPr>
      <w:r>
        <w:rPr>
          <w:rFonts w:hint="eastAsia"/>
          <w:sz w:val="21"/>
          <w:szCs w:val="21"/>
        </w:rPr>
        <w:t>浙江政府采购网：</w:t>
      </w:r>
      <w:r>
        <w:fldChar w:fldCharType="begin"/>
      </w:r>
      <w:r>
        <w:instrText xml:space="preserve"> HYPERLINK "https://middle.zcygov.cn/settle-front/" \l "/registry" </w:instrText>
      </w:r>
      <w:r>
        <w:fldChar w:fldCharType="separate"/>
      </w:r>
      <w:r>
        <w:rPr>
          <w:rStyle w:val="38"/>
          <w:rFonts w:hint="eastAsia" w:ascii="宋体" w:hAnsi="宋体" w:eastAsia="宋体" w:cs="宋体"/>
          <w:color w:val="auto"/>
          <w:sz w:val="21"/>
          <w:szCs w:val="21"/>
        </w:rPr>
        <w:t>https://middle.zcygov.cn/settle-front/#/registry</w:t>
      </w:r>
      <w:r>
        <w:rPr>
          <w:rStyle w:val="38"/>
          <w:rFonts w:hint="eastAsia" w:ascii="宋体" w:hAnsi="宋体" w:eastAsia="宋体" w:cs="宋体"/>
          <w:color w:val="auto"/>
          <w:sz w:val="21"/>
          <w:szCs w:val="21"/>
        </w:rPr>
        <w:fldChar w:fldCharType="end"/>
      </w:r>
    </w:p>
    <w:p>
      <w:pPr>
        <w:pStyle w:val="28"/>
        <w:spacing w:before="0" w:beforeAutospacing="0" w:after="0" w:afterAutospacing="0" w:line="400" w:lineRule="exact"/>
        <w:ind w:firstLine="420"/>
        <w:rPr>
          <w:sz w:val="21"/>
          <w:szCs w:val="21"/>
        </w:rPr>
      </w:pPr>
      <w:r>
        <w:rPr>
          <w:rFonts w:hint="eastAsia"/>
          <w:sz w:val="21"/>
          <w:szCs w:val="21"/>
        </w:rPr>
        <w:t>3.2.2、供应商按照《浙江省政府采购供应商注册和诚信管理暂行办法》要求执行。</w:t>
      </w:r>
    </w:p>
    <w:p>
      <w:pPr>
        <w:pStyle w:val="28"/>
        <w:spacing w:before="0" w:beforeAutospacing="0" w:after="0" w:afterAutospacing="0" w:line="400" w:lineRule="exact"/>
        <w:ind w:firstLine="420"/>
        <w:rPr>
          <w:sz w:val="21"/>
          <w:szCs w:val="21"/>
        </w:rPr>
      </w:pPr>
      <w:r>
        <w:rPr>
          <w:rFonts w:hint="eastAsia"/>
          <w:sz w:val="21"/>
          <w:szCs w:val="21"/>
        </w:rPr>
        <w:t>4、投标文件制作注意事项</w:t>
      </w:r>
    </w:p>
    <w:p>
      <w:pPr>
        <w:pStyle w:val="28"/>
        <w:spacing w:before="0" w:beforeAutospacing="0" w:after="0" w:afterAutospacing="0" w:line="400" w:lineRule="exact"/>
        <w:ind w:firstLine="420"/>
        <w:rPr>
          <w:sz w:val="21"/>
          <w:szCs w:val="21"/>
        </w:rPr>
      </w:pPr>
      <w:r>
        <w:rPr>
          <w:rFonts w:hint="eastAsia"/>
          <w:sz w:val="21"/>
          <w:szCs w:val="21"/>
        </w:rPr>
        <w:t>4.1、供应商将政采云电子交易客户端下载、安装完成后，可通过账号密码或CA登录客户端进行投标文件制作。</w:t>
      </w:r>
      <w:r>
        <w:rPr>
          <w:rFonts w:hint="eastAsia"/>
          <w:sz w:val="21"/>
          <w:szCs w:val="21"/>
        </w:rPr>
        <w:br w:type="textWrapping"/>
      </w:r>
      <w:r>
        <w:rPr>
          <w:rFonts w:hint="eastAsia"/>
          <w:sz w:val="21"/>
          <w:szCs w:val="21"/>
        </w:rPr>
        <w:t>　　注：供应商先要申领CA，拿到CA后需要在政采云平台进行绑定，CA相关操作可参考《CA申领操作指南》和《CA管理操作指南》。完成CA数字证书办理在资料齐全的情况下预计7个工作日左右，建议供应商获取招标文件后立即办理。　　　</w:t>
      </w:r>
    </w:p>
    <w:p>
      <w:pPr>
        <w:pStyle w:val="28"/>
        <w:spacing w:before="0" w:beforeAutospacing="0" w:after="0" w:afterAutospacing="0" w:line="400" w:lineRule="exact"/>
        <w:ind w:firstLine="420"/>
        <w:rPr>
          <w:rFonts w:cs="宋体"/>
          <w:sz w:val="21"/>
          <w:szCs w:val="21"/>
        </w:rPr>
      </w:pPr>
      <w:r>
        <w:rPr>
          <w:rFonts w:hint="eastAsia" w:cs="宋体"/>
          <w:sz w:val="21"/>
          <w:szCs w:val="21"/>
        </w:rPr>
        <w:t>4.2、电子交易操作指南：</w:t>
      </w:r>
      <w:r>
        <w:fldChar w:fldCharType="begin"/>
      </w:r>
      <w:r>
        <w:instrText xml:space="preserve"> HYPERLINK "https://help.zcygov.cn/web/site_2/2018/12-28/2573.html" </w:instrText>
      </w:r>
      <w:r>
        <w:fldChar w:fldCharType="separate"/>
      </w:r>
      <w:r>
        <w:rPr>
          <w:rStyle w:val="38"/>
          <w:rFonts w:hint="eastAsia" w:ascii="宋体" w:hAnsi="宋体" w:eastAsia="宋体" w:cs="宋体"/>
          <w:color w:val="auto"/>
          <w:sz w:val="21"/>
          <w:szCs w:val="21"/>
        </w:rPr>
        <w:t>https://help.zcygov.cn/web/site_2/2018/12-28/2573.html</w:t>
      </w:r>
      <w:r>
        <w:rPr>
          <w:rStyle w:val="38"/>
          <w:rFonts w:hint="eastAsia" w:ascii="宋体" w:hAnsi="宋体" w:eastAsia="宋体" w:cs="宋体"/>
          <w:color w:val="auto"/>
          <w:sz w:val="21"/>
          <w:szCs w:val="21"/>
        </w:rPr>
        <w:fldChar w:fldCharType="end"/>
      </w:r>
      <w:r>
        <w:rPr>
          <w:rFonts w:hint="eastAsia" w:cs="宋体"/>
          <w:sz w:val="21"/>
          <w:szCs w:val="21"/>
        </w:rPr>
        <w:br w:type="textWrapping"/>
      </w:r>
      <w:r>
        <w:rPr>
          <w:rFonts w:hint="eastAsia" w:cs="宋体"/>
          <w:sz w:val="21"/>
          <w:szCs w:val="21"/>
        </w:rPr>
        <w:t>《CA申领操作指南》：</w:t>
      </w:r>
      <w:r>
        <w:fldChar w:fldCharType="begin"/>
      </w:r>
      <w:r>
        <w:instrText xml:space="preserve"> HYPERLINK "https://help.zcygov.cn/web/site_2/2018/11-29/2452.html" \t "_blank" </w:instrText>
      </w:r>
      <w:r>
        <w:fldChar w:fldCharType="separate"/>
      </w:r>
      <w:r>
        <w:rPr>
          <w:rStyle w:val="38"/>
          <w:rFonts w:hint="eastAsia" w:ascii="宋体" w:hAnsi="宋体" w:eastAsia="宋体" w:cs="宋体"/>
          <w:color w:val="auto"/>
          <w:sz w:val="21"/>
          <w:szCs w:val="21"/>
        </w:rPr>
        <w:t>https://help.zcygov.cn/web/site_2/2018/11-29/2452.html</w:t>
      </w:r>
      <w:r>
        <w:rPr>
          <w:rStyle w:val="38"/>
          <w:rFonts w:hint="eastAsia" w:ascii="宋体" w:hAnsi="宋体" w:eastAsia="宋体" w:cs="宋体"/>
          <w:color w:val="auto"/>
          <w:sz w:val="21"/>
          <w:szCs w:val="21"/>
        </w:rPr>
        <w:fldChar w:fldCharType="end"/>
      </w:r>
      <w:r>
        <w:rPr>
          <w:rFonts w:hint="eastAsia" w:cs="宋体"/>
          <w:sz w:val="21"/>
          <w:szCs w:val="21"/>
        </w:rPr>
        <w:br w:type="textWrapping"/>
      </w:r>
      <w:r>
        <w:rPr>
          <w:rFonts w:hint="eastAsia" w:cs="宋体"/>
          <w:sz w:val="21"/>
          <w:szCs w:val="21"/>
        </w:rPr>
        <w:t>《CA管理操作指南》：</w:t>
      </w:r>
      <w:r>
        <w:fldChar w:fldCharType="begin"/>
      </w:r>
      <w:r>
        <w:instrText xml:space="preserve"> HYPERLINK "https://help.zcygov.cn/web/site_2/2019/08-20/3405.html" \t "_blank" </w:instrText>
      </w:r>
      <w:r>
        <w:fldChar w:fldCharType="separate"/>
      </w:r>
      <w:r>
        <w:rPr>
          <w:rStyle w:val="38"/>
          <w:rFonts w:hint="eastAsia" w:ascii="宋体" w:hAnsi="宋体" w:eastAsia="宋体" w:cs="宋体"/>
          <w:color w:val="auto"/>
          <w:sz w:val="21"/>
          <w:szCs w:val="21"/>
        </w:rPr>
        <w:t>https://help.zcygov.cn/web/site_2/2019/08-20/3405.html</w:t>
      </w:r>
      <w:r>
        <w:rPr>
          <w:rStyle w:val="38"/>
          <w:rFonts w:hint="eastAsia" w:ascii="宋体" w:hAnsi="宋体" w:eastAsia="宋体" w:cs="宋体"/>
          <w:color w:val="auto"/>
          <w:sz w:val="21"/>
          <w:szCs w:val="21"/>
        </w:rPr>
        <w:fldChar w:fldCharType="end"/>
      </w:r>
      <w:r>
        <w:rPr>
          <w:rFonts w:hint="eastAsia" w:cs="宋体"/>
          <w:sz w:val="21"/>
          <w:szCs w:val="21"/>
        </w:rPr>
        <w:br w:type="textWrapping"/>
      </w:r>
      <w:r>
        <w:rPr>
          <w:rFonts w:hint="eastAsia" w:cs="宋体"/>
          <w:sz w:val="21"/>
          <w:szCs w:val="21"/>
        </w:rPr>
        <w:t>《CA驱动和申领流程》</w:t>
      </w:r>
      <w:r>
        <w:fldChar w:fldCharType="begin"/>
      </w:r>
      <w:r>
        <w:instrText xml:space="preserve"> HYPERLINK "http://zfcg.czt.zj.gov.cn/bidClientTemplate/2019-05-27/12945.html" \t "_blank" </w:instrText>
      </w:r>
      <w:r>
        <w:fldChar w:fldCharType="separate"/>
      </w:r>
      <w:r>
        <w:rPr>
          <w:rStyle w:val="38"/>
          <w:rFonts w:hint="eastAsia" w:ascii="宋体" w:hAnsi="宋体" w:eastAsia="宋体" w:cs="宋体"/>
          <w:color w:val="auto"/>
          <w:sz w:val="21"/>
          <w:szCs w:val="21"/>
        </w:rPr>
        <w:t>http://zfcg.czt.zj.gov.cn/bidClientTemplate/2019-05-27/12945.html</w:t>
      </w:r>
      <w:r>
        <w:rPr>
          <w:rStyle w:val="38"/>
          <w:rFonts w:hint="eastAsia" w:ascii="宋体" w:hAnsi="宋体" w:eastAsia="宋体" w:cs="宋体"/>
          <w:color w:val="auto"/>
          <w:sz w:val="21"/>
          <w:szCs w:val="21"/>
        </w:rPr>
        <w:fldChar w:fldCharType="end"/>
      </w:r>
      <w:r>
        <w:rPr>
          <w:rFonts w:hint="eastAsia" w:cs="宋体"/>
          <w:sz w:val="21"/>
          <w:szCs w:val="21"/>
        </w:rPr>
        <w:br w:type="textWrapping"/>
      </w:r>
      <w:r>
        <w:rPr>
          <w:rFonts w:hint="eastAsia" w:cs="宋体"/>
          <w:sz w:val="21"/>
          <w:szCs w:val="21"/>
        </w:rPr>
        <w:t>注：ＣＡ证书遗失补办、延期、解锁、质保等业务可以在联连客户端上进行操作；使用政采云投标客户端时，建议使用WIN7及以上操作系统。</w:t>
      </w:r>
    </w:p>
    <w:p>
      <w:pPr>
        <w:pStyle w:val="28"/>
        <w:spacing w:before="0" w:beforeAutospacing="0" w:after="0" w:afterAutospacing="0" w:line="400" w:lineRule="exact"/>
        <w:ind w:firstLine="420"/>
        <w:rPr>
          <w:rFonts w:cs="宋体"/>
          <w:sz w:val="21"/>
          <w:szCs w:val="21"/>
        </w:rPr>
      </w:pPr>
      <w:r>
        <w:rPr>
          <w:rFonts w:hint="eastAsia" w:cs="宋体"/>
          <w:sz w:val="21"/>
          <w:szCs w:val="21"/>
        </w:rPr>
        <w:t>5、政采云咨询电话：400-881-7190；</w:t>
      </w:r>
    </w:p>
    <w:p>
      <w:pPr>
        <w:pStyle w:val="28"/>
        <w:spacing w:before="0" w:beforeAutospacing="0" w:after="0" w:afterAutospacing="0" w:line="400" w:lineRule="exact"/>
        <w:ind w:firstLine="420"/>
        <w:rPr>
          <w:rFonts w:cs="宋体"/>
          <w:sz w:val="21"/>
          <w:szCs w:val="21"/>
        </w:rPr>
      </w:pPr>
      <w:r>
        <w:rPr>
          <w:rFonts w:hint="eastAsia" w:cs="宋体"/>
          <w:sz w:val="21"/>
          <w:szCs w:val="21"/>
        </w:rPr>
        <w:t>政采云平台服务中心：</w:t>
      </w:r>
      <w:r>
        <w:fldChar w:fldCharType="begin"/>
      </w:r>
      <w:r>
        <w:instrText xml:space="preserve"> HYPERLINK "https://service.zcygov.cn/" \l "/" \t "_blank" </w:instrText>
      </w:r>
      <w:r>
        <w:fldChar w:fldCharType="separate"/>
      </w:r>
      <w:r>
        <w:rPr>
          <w:rStyle w:val="38"/>
          <w:rFonts w:hint="eastAsia" w:ascii="宋体" w:hAnsi="宋体" w:eastAsia="宋体" w:cs="宋体"/>
          <w:color w:val="auto"/>
          <w:sz w:val="21"/>
          <w:szCs w:val="21"/>
        </w:rPr>
        <w:t>https://service.zcygov.cn/#/</w:t>
      </w:r>
      <w:r>
        <w:rPr>
          <w:rStyle w:val="38"/>
          <w:rFonts w:hint="eastAsia" w:ascii="宋体" w:hAnsi="宋体" w:eastAsia="宋体" w:cs="宋体"/>
          <w:color w:val="auto"/>
          <w:sz w:val="21"/>
          <w:szCs w:val="21"/>
        </w:rPr>
        <w:fldChar w:fldCharType="end"/>
      </w:r>
    </w:p>
    <w:p>
      <w:pPr>
        <w:pStyle w:val="28"/>
        <w:spacing w:before="0" w:beforeAutospacing="0" w:after="0" w:afterAutospacing="0" w:line="400" w:lineRule="exact"/>
        <w:ind w:firstLine="420"/>
        <w:rPr>
          <w:rFonts w:cs="宋体"/>
          <w:sz w:val="21"/>
          <w:szCs w:val="21"/>
        </w:rPr>
      </w:pPr>
      <w:r>
        <w:rPr>
          <w:rFonts w:hint="eastAsia" w:cs="宋体"/>
          <w:sz w:val="21"/>
          <w:szCs w:val="21"/>
        </w:rPr>
        <w:t>6、汇信（ＣＡ）客服电话：400-888-4636</w:t>
      </w:r>
    </w:p>
    <w:p>
      <w:pPr>
        <w:pStyle w:val="28"/>
        <w:spacing w:before="0" w:beforeAutospacing="0" w:after="0" w:afterAutospacing="0" w:line="400" w:lineRule="exact"/>
        <w:ind w:firstLine="420"/>
        <w:rPr>
          <w:rFonts w:cs="宋体"/>
          <w:sz w:val="21"/>
          <w:szCs w:val="21"/>
        </w:rPr>
      </w:pPr>
      <w:r>
        <w:rPr>
          <w:rFonts w:hint="eastAsia" w:cs="宋体"/>
          <w:sz w:val="21"/>
          <w:szCs w:val="21"/>
        </w:rPr>
        <w:t>7、投标文件提交注意事项：</w:t>
      </w:r>
    </w:p>
    <w:p>
      <w:pPr>
        <w:pStyle w:val="28"/>
        <w:spacing w:before="0" w:beforeAutospacing="0" w:after="0" w:afterAutospacing="0" w:line="400" w:lineRule="exact"/>
        <w:ind w:firstLine="420"/>
        <w:rPr>
          <w:rFonts w:cs="宋体"/>
          <w:sz w:val="21"/>
          <w:szCs w:val="21"/>
        </w:rPr>
      </w:pPr>
      <w:r>
        <w:rPr>
          <w:rFonts w:hint="eastAsia" w:cs="宋体"/>
          <w:sz w:val="21"/>
          <w:szCs w:val="21"/>
        </w:rPr>
        <w:t xml:space="preserve">7.1、供应商进行电子投标应安装客户端软件，并按照招标文件和电子交易平台的要求编制并加密投标文件。供应商未按规定加密的投标文件，代理机构应当拒收。 </w:t>
      </w:r>
    </w:p>
    <w:p>
      <w:pPr>
        <w:pStyle w:val="28"/>
        <w:spacing w:before="0" w:beforeAutospacing="0" w:after="0" w:afterAutospacing="0" w:line="400" w:lineRule="exact"/>
        <w:ind w:firstLine="420"/>
        <w:rPr>
          <w:rFonts w:cs="宋体"/>
          <w:sz w:val="21"/>
          <w:szCs w:val="21"/>
        </w:rPr>
      </w:pPr>
      <w:r>
        <w:rPr>
          <w:rFonts w:hint="eastAsia" w:cs="宋体"/>
          <w:sz w:val="21"/>
          <w:szCs w:val="21"/>
        </w:rPr>
        <w:t xml:space="preserve">7.2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pPr>
        <w:pStyle w:val="28"/>
        <w:spacing w:before="0" w:beforeAutospacing="0" w:after="0" w:afterAutospacing="0" w:line="400" w:lineRule="exact"/>
        <w:ind w:firstLine="420"/>
        <w:rPr>
          <w:rFonts w:cs="宋体"/>
          <w:sz w:val="21"/>
          <w:szCs w:val="21"/>
        </w:rPr>
      </w:pPr>
      <w:r>
        <w:rPr>
          <w:rFonts w:hint="eastAsia" w:cs="宋体"/>
          <w:sz w:val="21"/>
          <w:szCs w:val="21"/>
        </w:rPr>
        <w:t>7.3、为确保采购项目顺利实施，避免因解密失败导致供应商投标无效，供应商在电子交易平台传输提交投标文件后，将政采云平台上最后生成的具备电子签章的备份电子投标文件（文件后缀名为.bfbs）1份在投标截止时间前以电子邮件方式发送至采购代理机构联系人电子邮箱28509616@qq.com。 </w:t>
      </w:r>
    </w:p>
    <w:p>
      <w:pPr>
        <w:pStyle w:val="28"/>
        <w:spacing w:before="0" w:beforeAutospacing="0" w:after="0" w:afterAutospacing="0" w:line="400" w:lineRule="exact"/>
        <w:ind w:firstLine="420"/>
        <w:rPr>
          <w:rFonts w:cs="宋体"/>
          <w:sz w:val="21"/>
          <w:szCs w:val="21"/>
        </w:rPr>
      </w:pPr>
      <w:r>
        <w:rPr>
          <w:rFonts w:hint="eastAsia" w:cs="宋体"/>
          <w:sz w:val="21"/>
          <w:szCs w:val="21"/>
        </w:rPr>
        <w:t>7.4、备份电子投标文件制作为非强制性，但如遇供应商电子投标文件解密失败等情况造成无效标，后果由供应商自负。　　　　　　　　　　　</w:t>
      </w:r>
    </w:p>
    <w:p>
      <w:pPr>
        <w:pStyle w:val="28"/>
        <w:spacing w:before="0" w:beforeAutospacing="0" w:after="0" w:afterAutospacing="0" w:line="400" w:lineRule="exact"/>
        <w:jc w:val="both"/>
        <w:rPr>
          <w:sz w:val="21"/>
          <w:szCs w:val="21"/>
        </w:rPr>
      </w:pPr>
      <w:r>
        <w:rPr>
          <w:rStyle w:val="36"/>
          <w:rFonts w:hint="eastAsia"/>
          <w:sz w:val="21"/>
          <w:szCs w:val="21"/>
        </w:rPr>
        <w:t>七、对本次招标提出询问、质疑、投诉，请按以下方式联系。</w:t>
      </w:r>
      <w:r>
        <w:rPr>
          <w:rFonts w:hint="eastAsia"/>
          <w:sz w:val="21"/>
          <w:szCs w:val="21"/>
        </w:rPr>
        <w:t>　　　　　　　　　　　　</w:t>
      </w:r>
    </w:p>
    <w:p>
      <w:pPr>
        <w:pStyle w:val="28"/>
        <w:spacing w:before="0" w:beforeAutospacing="0" w:after="0" w:afterAutospacing="0" w:line="400" w:lineRule="exact"/>
        <w:rPr>
          <w:sz w:val="21"/>
          <w:szCs w:val="21"/>
        </w:rPr>
      </w:pPr>
      <w:r>
        <w:rPr>
          <w:rFonts w:hint="eastAsia"/>
          <w:sz w:val="21"/>
          <w:szCs w:val="21"/>
        </w:rPr>
        <w:t>    1、采购人信息</w:t>
      </w:r>
    </w:p>
    <w:p>
      <w:pPr>
        <w:pStyle w:val="28"/>
        <w:spacing w:before="0" w:beforeAutospacing="0" w:after="0" w:afterAutospacing="0" w:line="400" w:lineRule="exact"/>
        <w:rPr>
          <w:sz w:val="21"/>
          <w:szCs w:val="21"/>
        </w:rPr>
      </w:pPr>
      <w:r>
        <w:rPr>
          <w:rFonts w:hint="eastAsia"/>
          <w:sz w:val="21"/>
          <w:szCs w:val="21"/>
        </w:rPr>
        <w:t>    名    称：嘉兴市公路与运输管理中心</w:t>
      </w:r>
    </w:p>
    <w:p>
      <w:pPr>
        <w:pStyle w:val="28"/>
        <w:spacing w:before="0" w:beforeAutospacing="0" w:after="0" w:afterAutospacing="0" w:line="400" w:lineRule="exact"/>
        <w:ind w:firstLine="630"/>
        <w:rPr>
          <w:sz w:val="21"/>
          <w:szCs w:val="21"/>
        </w:rPr>
      </w:pPr>
      <w:r>
        <w:rPr>
          <w:rFonts w:hint="eastAsia"/>
          <w:sz w:val="21"/>
          <w:szCs w:val="21"/>
        </w:rPr>
        <w:t>地    址：浙江省嘉兴市秀洲区洪兴路1197号运管大楼</w:t>
      </w:r>
    </w:p>
    <w:p>
      <w:pPr>
        <w:pStyle w:val="28"/>
        <w:spacing w:before="0" w:beforeAutospacing="0" w:after="0" w:afterAutospacing="0" w:line="400" w:lineRule="exact"/>
        <w:ind w:firstLine="630"/>
        <w:rPr>
          <w:sz w:val="21"/>
          <w:szCs w:val="21"/>
        </w:rPr>
      </w:pPr>
      <w:r>
        <w:rPr>
          <w:rFonts w:hint="eastAsia"/>
          <w:sz w:val="21"/>
          <w:szCs w:val="21"/>
        </w:rPr>
        <w:t>传    真： </w:t>
      </w:r>
      <w:r>
        <w:rPr>
          <w:rStyle w:val="87"/>
          <w:rFonts w:hint="eastAsia"/>
          <w:sz w:val="21"/>
          <w:szCs w:val="21"/>
        </w:rPr>
        <w:t>/</w:t>
      </w:r>
      <w:r>
        <w:rPr>
          <w:rFonts w:hint="eastAsia"/>
          <w:sz w:val="21"/>
          <w:szCs w:val="21"/>
        </w:rPr>
        <w:t>  　　</w:t>
      </w:r>
    </w:p>
    <w:p>
      <w:pPr>
        <w:pStyle w:val="28"/>
        <w:spacing w:before="0" w:beforeAutospacing="0" w:after="0" w:afterAutospacing="0" w:line="400" w:lineRule="exact"/>
        <w:rPr>
          <w:sz w:val="21"/>
          <w:szCs w:val="21"/>
        </w:rPr>
      </w:pPr>
      <w:r>
        <w:rPr>
          <w:rFonts w:hint="eastAsia"/>
          <w:sz w:val="21"/>
          <w:szCs w:val="21"/>
        </w:rPr>
        <w:t>    项目联系人（询问）：丁先生</w:t>
      </w:r>
      <w:r>
        <w:rPr>
          <w:rStyle w:val="87"/>
          <w:rFonts w:hint="eastAsia"/>
          <w:sz w:val="21"/>
          <w:szCs w:val="21"/>
        </w:rPr>
        <w:t xml:space="preserve">          </w:t>
      </w:r>
    </w:p>
    <w:p>
      <w:pPr>
        <w:pStyle w:val="28"/>
        <w:spacing w:before="0" w:beforeAutospacing="0" w:after="0" w:afterAutospacing="0" w:line="400" w:lineRule="exact"/>
        <w:rPr>
          <w:sz w:val="21"/>
          <w:szCs w:val="21"/>
        </w:rPr>
      </w:pPr>
      <w:r>
        <w:rPr>
          <w:rFonts w:hint="eastAsia"/>
          <w:sz w:val="21"/>
          <w:szCs w:val="21"/>
        </w:rPr>
        <w:t>    项目联系方式（询问）：0573-82037430</w:t>
      </w:r>
      <w:r>
        <w:rPr>
          <w:rFonts w:hint="eastAsia"/>
          <w:sz w:val="21"/>
          <w:szCs w:val="21"/>
        </w:rPr>
        <w:br w:type="textWrapping"/>
      </w:r>
      <w:r>
        <w:rPr>
          <w:rFonts w:hint="eastAsia"/>
          <w:sz w:val="21"/>
          <w:szCs w:val="21"/>
        </w:rPr>
        <w:t xml:space="preserve">    质疑联系人：付先生                 </w:t>
      </w:r>
    </w:p>
    <w:p>
      <w:pPr>
        <w:pStyle w:val="28"/>
        <w:spacing w:before="0" w:beforeAutospacing="0" w:after="0" w:afterAutospacing="0" w:line="400" w:lineRule="exact"/>
        <w:rPr>
          <w:sz w:val="21"/>
          <w:szCs w:val="21"/>
        </w:rPr>
      </w:pPr>
      <w:r>
        <w:rPr>
          <w:rFonts w:hint="eastAsia"/>
          <w:sz w:val="21"/>
          <w:szCs w:val="21"/>
        </w:rPr>
        <w:t>    质疑联系方式：0573-82711972</w:t>
      </w:r>
      <w:r>
        <w:rPr>
          <w:rFonts w:hint="eastAsia" w:ascii="仿宋_GB2312"/>
          <w:sz w:val="21"/>
          <w:szCs w:val="21"/>
        </w:rPr>
        <w:br w:type="textWrapping"/>
      </w:r>
      <w:r>
        <w:rPr>
          <w:rFonts w:hint="eastAsia"/>
          <w:sz w:val="21"/>
          <w:szCs w:val="21"/>
        </w:rPr>
        <w:t>    2、采购代理机构信息</w:t>
      </w:r>
    </w:p>
    <w:p>
      <w:pPr>
        <w:pStyle w:val="28"/>
        <w:spacing w:before="0" w:beforeAutospacing="0" w:after="0" w:afterAutospacing="0" w:line="400" w:lineRule="exact"/>
        <w:rPr>
          <w:sz w:val="21"/>
          <w:szCs w:val="21"/>
        </w:rPr>
      </w:pPr>
      <w:r>
        <w:rPr>
          <w:rFonts w:hint="eastAsia"/>
          <w:sz w:val="21"/>
          <w:szCs w:val="21"/>
        </w:rPr>
        <w:t>    名    称：嘉兴市明扬工程咨询有限公司</w:t>
      </w:r>
    </w:p>
    <w:p>
      <w:pPr>
        <w:pStyle w:val="28"/>
        <w:spacing w:before="0" w:beforeAutospacing="0" w:after="0" w:afterAutospacing="0" w:line="400" w:lineRule="exact"/>
        <w:ind w:firstLine="630"/>
        <w:rPr>
          <w:sz w:val="21"/>
          <w:szCs w:val="21"/>
        </w:rPr>
      </w:pPr>
      <w:r>
        <w:rPr>
          <w:rFonts w:hint="eastAsia"/>
          <w:sz w:val="21"/>
          <w:szCs w:val="21"/>
        </w:rPr>
        <w:t>地    址：浙江省嘉兴市长水路116号百瑞大厦5</w:t>
      </w:r>
      <w:r>
        <w:rPr>
          <w:rFonts w:hint="eastAsia"/>
          <w:szCs w:val="21"/>
        </w:rPr>
        <w:t>楼</w:t>
      </w:r>
      <w:r>
        <w:rPr>
          <w:rFonts w:hint="eastAsia"/>
          <w:sz w:val="21"/>
          <w:szCs w:val="21"/>
        </w:rPr>
        <w:t xml:space="preserve">    </w:t>
      </w:r>
    </w:p>
    <w:p>
      <w:pPr>
        <w:pStyle w:val="28"/>
        <w:spacing w:before="0" w:beforeAutospacing="0" w:after="0" w:afterAutospacing="0" w:line="400" w:lineRule="exact"/>
        <w:ind w:firstLine="630"/>
        <w:rPr>
          <w:sz w:val="21"/>
          <w:szCs w:val="21"/>
        </w:rPr>
      </w:pPr>
      <w:r>
        <w:rPr>
          <w:rFonts w:hint="eastAsia"/>
          <w:sz w:val="21"/>
          <w:szCs w:val="21"/>
        </w:rPr>
        <w:t>传    真：0573-89997908</w:t>
      </w:r>
    </w:p>
    <w:p>
      <w:pPr>
        <w:pStyle w:val="28"/>
        <w:spacing w:before="0" w:beforeAutospacing="0" w:after="0" w:afterAutospacing="0" w:line="400" w:lineRule="exact"/>
        <w:rPr>
          <w:sz w:val="21"/>
          <w:szCs w:val="21"/>
        </w:rPr>
      </w:pPr>
      <w:r>
        <w:rPr>
          <w:rFonts w:hint="eastAsia"/>
          <w:sz w:val="21"/>
          <w:szCs w:val="21"/>
        </w:rPr>
        <w:t>    项目联系人（询问）：李闽</w:t>
      </w:r>
    </w:p>
    <w:p>
      <w:pPr>
        <w:pStyle w:val="28"/>
        <w:spacing w:before="0" w:beforeAutospacing="0" w:after="0" w:afterAutospacing="0" w:line="400" w:lineRule="exact"/>
        <w:rPr>
          <w:rFonts w:cs="宋体"/>
          <w:sz w:val="21"/>
          <w:szCs w:val="21"/>
        </w:rPr>
      </w:pPr>
      <w:r>
        <w:rPr>
          <w:rFonts w:hint="eastAsia"/>
          <w:sz w:val="21"/>
          <w:szCs w:val="21"/>
        </w:rPr>
        <w:t>    项目联系方式（询问）</w:t>
      </w:r>
      <w:r>
        <w:rPr>
          <w:rFonts w:hint="eastAsia" w:cs="宋体"/>
          <w:sz w:val="21"/>
          <w:szCs w:val="21"/>
        </w:rPr>
        <w:t>：</w:t>
      </w:r>
      <w:r>
        <w:rPr>
          <w:rStyle w:val="87"/>
          <w:rFonts w:hint="eastAsia" w:cs="宋体"/>
          <w:sz w:val="21"/>
          <w:szCs w:val="21"/>
        </w:rPr>
        <w:t>0573-89997908</w:t>
      </w:r>
      <w:r>
        <w:rPr>
          <w:rFonts w:hint="eastAsia" w:cs="宋体"/>
          <w:sz w:val="21"/>
          <w:szCs w:val="21"/>
        </w:rPr>
        <w:t>  13757337675</w:t>
      </w:r>
    </w:p>
    <w:p>
      <w:pPr>
        <w:pStyle w:val="28"/>
        <w:spacing w:before="0" w:beforeAutospacing="0" w:after="0" w:afterAutospacing="0" w:line="400" w:lineRule="exact"/>
        <w:rPr>
          <w:rFonts w:cs="宋体"/>
          <w:sz w:val="21"/>
          <w:szCs w:val="21"/>
        </w:rPr>
      </w:pPr>
      <w:r>
        <w:rPr>
          <w:rFonts w:hint="eastAsia" w:cs="宋体"/>
          <w:sz w:val="21"/>
          <w:szCs w:val="21"/>
        </w:rPr>
        <w:t>    质疑联系人： </w:t>
      </w:r>
      <w:r>
        <w:rPr>
          <w:rStyle w:val="87"/>
          <w:rFonts w:hint="eastAsia" w:cs="宋体"/>
          <w:sz w:val="21"/>
          <w:szCs w:val="21"/>
        </w:rPr>
        <w:t>诸菊妹</w:t>
      </w:r>
      <w:r>
        <w:rPr>
          <w:rFonts w:hint="eastAsia" w:cs="宋体"/>
          <w:sz w:val="21"/>
          <w:szCs w:val="21"/>
        </w:rPr>
        <w:t> </w:t>
      </w:r>
    </w:p>
    <w:p>
      <w:pPr>
        <w:pStyle w:val="28"/>
        <w:spacing w:before="0" w:beforeAutospacing="0" w:after="0" w:afterAutospacing="0" w:line="400" w:lineRule="exact"/>
        <w:rPr>
          <w:sz w:val="21"/>
          <w:szCs w:val="21"/>
        </w:rPr>
      </w:pPr>
      <w:r>
        <w:rPr>
          <w:rFonts w:hint="eastAsia" w:cs="宋体"/>
          <w:sz w:val="21"/>
          <w:szCs w:val="21"/>
        </w:rPr>
        <w:t>    质疑联系方式：</w:t>
      </w:r>
      <w:r>
        <w:rPr>
          <w:rStyle w:val="87"/>
          <w:rFonts w:hint="eastAsia" w:cs="宋体"/>
          <w:sz w:val="21"/>
          <w:szCs w:val="21"/>
        </w:rPr>
        <w:t>0573-89997908  15858362909</w:t>
      </w:r>
      <w:r>
        <w:rPr>
          <w:rFonts w:hint="eastAsia" w:cs="宋体"/>
          <w:sz w:val="21"/>
          <w:szCs w:val="21"/>
        </w:rPr>
        <w:br w:type="textWrapping"/>
      </w:r>
      <w:r>
        <w:rPr>
          <w:rFonts w:hint="eastAsia"/>
          <w:sz w:val="21"/>
          <w:szCs w:val="21"/>
        </w:rPr>
        <w:t>    3、同级政府采购监督管理部门</w:t>
      </w:r>
    </w:p>
    <w:p>
      <w:pPr>
        <w:pStyle w:val="28"/>
        <w:spacing w:before="0" w:beforeAutospacing="0" w:after="0" w:afterAutospacing="0" w:line="400" w:lineRule="exact"/>
        <w:rPr>
          <w:rStyle w:val="87"/>
          <w:sz w:val="21"/>
          <w:szCs w:val="21"/>
        </w:rPr>
      </w:pPr>
      <w:r>
        <w:rPr>
          <w:rFonts w:hint="eastAsia"/>
          <w:sz w:val="21"/>
          <w:szCs w:val="21"/>
        </w:rPr>
        <w:t>    名    称：</w:t>
      </w:r>
      <w:r>
        <w:rPr>
          <w:rFonts w:hint="eastAsia" w:cs="Arial"/>
          <w:sz w:val="21"/>
          <w:szCs w:val="21"/>
        </w:rPr>
        <w:t>嘉兴市财政局</w:t>
      </w:r>
    </w:p>
    <w:p>
      <w:pPr>
        <w:pStyle w:val="28"/>
        <w:spacing w:before="0" w:beforeAutospacing="0" w:after="0" w:afterAutospacing="0" w:line="400" w:lineRule="exact"/>
        <w:rPr>
          <w:sz w:val="21"/>
          <w:szCs w:val="21"/>
        </w:rPr>
      </w:pPr>
      <w:r>
        <w:rPr>
          <w:rFonts w:hint="eastAsia"/>
          <w:sz w:val="21"/>
          <w:szCs w:val="21"/>
        </w:rPr>
        <w:t>    地    址</w:t>
      </w:r>
      <w:r>
        <w:rPr>
          <w:rFonts w:hint="eastAsia" w:cs="Arial"/>
          <w:sz w:val="21"/>
          <w:szCs w:val="21"/>
        </w:rPr>
        <w:t>：</w:t>
      </w:r>
      <w:r>
        <w:rPr>
          <w:rFonts w:hint="eastAsia"/>
          <w:sz w:val="21"/>
          <w:szCs w:val="21"/>
        </w:rPr>
        <w:t>浙江省嘉兴市南湖区环城西路55号　　</w:t>
      </w:r>
    </w:p>
    <w:p>
      <w:pPr>
        <w:pStyle w:val="28"/>
        <w:spacing w:before="0" w:beforeAutospacing="0" w:after="0" w:afterAutospacing="0" w:line="400" w:lineRule="exact"/>
        <w:rPr>
          <w:sz w:val="21"/>
          <w:szCs w:val="21"/>
        </w:rPr>
      </w:pPr>
      <w:r>
        <w:rPr>
          <w:rFonts w:hint="eastAsia"/>
          <w:sz w:val="21"/>
          <w:szCs w:val="21"/>
        </w:rPr>
        <w:t>    传    真： / 　   </w:t>
      </w:r>
    </w:p>
    <w:p>
      <w:pPr>
        <w:pStyle w:val="28"/>
        <w:spacing w:before="0" w:beforeAutospacing="0" w:after="0" w:afterAutospacing="0" w:line="400" w:lineRule="exact"/>
        <w:rPr>
          <w:sz w:val="21"/>
          <w:szCs w:val="21"/>
        </w:rPr>
      </w:pPr>
      <w:r>
        <w:rPr>
          <w:rFonts w:hint="eastAsia"/>
          <w:sz w:val="21"/>
          <w:szCs w:val="21"/>
        </w:rPr>
        <w:t>    联系人：姚先生</w:t>
      </w:r>
    </w:p>
    <w:p>
      <w:pPr>
        <w:snapToGrid w:val="0"/>
        <w:spacing w:line="400" w:lineRule="exact"/>
        <w:jc w:val="left"/>
        <w:rPr>
          <w:rFonts w:ascii="宋体" w:hAnsi="宋体" w:cs="宋体"/>
          <w:kern w:val="0"/>
          <w:szCs w:val="21"/>
        </w:rPr>
      </w:pPr>
      <w:r>
        <w:rPr>
          <w:rFonts w:hint="eastAsia" w:ascii="宋体" w:hAnsi="宋体" w:cs="宋体"/>
          <w:szCs w:val="21"/>
        </w:rPr>
        <w:t xml:space="preserve">      监督投诉电话：</w:t>
      </w:r>
      <w:r>
        <w:rPr>
          <w:rFonts w:hint="eastAsia" w:ascii="宋体" w:hAnsi="宋体" w:cs="宋体"/>
          <w:kern w:val="0"/>
          <w:szCs w:val="21"/>
        </w:rPr>
        <w:t>0573-82031729 </w:t>
      </w:r>
    </w:p>
    <w:p>
      <w:pPr>
        <w:spacing w:line="460" w:lineRule="exact"/>
        <w:jc w:val="center"/>
        <w:outlineLvl w:val="0"/>
        <w:rPr>
          <w:rFonts w:ascii="宋体" w:hAnsi="宋体"/>
          <w:b/>
          <w:sz w:val="32"/>
          <w:szCs w:val="32"/>
        </w:rPr>
      </w:pPr>
    </w:p>
    <w:p>
      <w:pPr>
        <w:spacing w:line="460" w:lineRule="exact"/>
        <w:jc w:val="center"/>
        <w:outlineLvl w:val="0"/>
        <w:rPr>
          <w:rFonts w:ascii="宋体" w:hAnsi="宋体"/>
          <w:b/>
          <w:sz w:val="32"/>
          <w:szCs w:val="32"/>
        </w:rPr>
      </w:pPr>
    </w:p>
    <w:p>
      <w:pPr>
        <w:spacing w:line="460" w:lineRule="exact"/>
        <w:jc w:val="center"/>
        <w:outlineLvl w:val="0"/>
        <w:rPr>
          <w:rFonts w:ascii="宋体" w:hAnsi="宋体"/>
          <w:b/>
          <w:sz w:val="32"/>
          <w:szCs w:val="32"/>
        </w:rPr>
      </w:pPr>
    </w:p>
    <w:p>
      <w:pPr>
        <w:spacing w:line="460" w:lineRule="exact"/>
        <w:jc w:val="center"/>
        <w:outlineLvl w:val="0"/>
        <w:rPr>
          <w:rFonts w:ascii="宋体" w:hAnsi="宋体"/>
          <w:b/>
          <w:sz w:val="32"/>
          <w:szCs w:val="32"/>
        </w:rPr>
      </w:pPr>
    </w:p>
    <w:p>
      <w:pPr>
        <w:spacing w:line="460" w:lineRule="exact"/>
        <w:jc w:val="center"/>
        <w:outlineLvl w:val="0"/>
        <w:rPr>
          <w:rFonts w:ascii="宋体" w:hAnsi="宋体"/>
          <w:b/>
          <w:sz w:val="32"/>
          <w:szCs w:val="32"/>
        </w:rPr>
      </w:pPr>
    </w:p>
    <w:p>
      <w:pPr>
        <w:spacing w:line="460" w:lineRule="exact"/>
        <w:jc w:val="center"/>
        <w:outlineLvl w:val="0"/>
        <w:rPr>
          <w:rFonts w:ascii="宋体" w:hAnsi="宋体"/>
          <w:b/>
          <w:sz w:val="32"/>
          <w:szCs w:val="32"/>
        </w:rPr>
      </w:pPr>
    </w:p>
    <w:p>
      <w:pPr>
        <w:spacing w:line="460" w:lineRule="exact"/>
        <w:jc w:val="center"/>
        <w:outlineLvl w:val="0"/>
        <w:rPr>
          <w:rFonts w:ascii="宋体" w:hAnsi="宋体"/>
          <w:b/>
          <w:sz w:val="32"/>
          <w:szCs w:val="32"/>
        </w:rPr>
      </w:pPr>
    </w:p>
    <w:p>
      <w:pPr>
        <w:spacing w:line="460" w:lineRule="exact"/>
        <w:jc w:val="center"/>
        <w:outlineLvl w:val="0"/>
        <w:rPr>
          <w:rFonts w:ascii="宋体" w:hAnsi="宋体"/>
          <w:b/>
          <w:sz w:val="32"/>
          <w:szCs w:val="32"/>
        </w:rPr>
      </w:pPr>
    </w:p>
    <w:p>
      <w:pPr>
        <w:pStyle w:val="25"/>
        <w:rPr>
          <w:rFonts w:ascii="宋体" w:hAnsi="宋体"/>
          <w:b/>
          <w:sz w:val="32"/>
          <w:szCs w:val="32"/>
        </w:rPr>
      </w:pPr>
    </w:p>
    <w:p>
      <w:pPr>
        <w:rPr>
          <w:rFonts w:ascii="宋体" w:hAnsi="宋体"/>
          <w:b/>
          <w:sz w:val="32"/>
          <w:szCs w:val="32"/>
        </w:rPr>
      </w:pPr>
    </w:p>
    <w:p>
      <w:pPr>
        <w:pStyle w:val="2"/>
      </w:pPr>
    </w:p>
    <w:p>
      <w:pPr>
        <w:pStyle w:val="3"/>
        <w:ind w:firstLine="480"/>
      </w:pPr>
    </w:p>
    <w:p>
      <w:pPr>
        <w:pStyle w:val="3"/>
        <w:ind w:firstLine="480"/>
      </w:pPr>
    </w:p>
    <w:p>
      <w:pPr>
        <w:pStyle w:val="3"/>
        <w:ind w:firstLine="480"/>
      </w:pPr>
    </w:p>
    <w:p>
      <w:pPr>
        <w:pStyle w:val="3"/>
        <w:ind w:firstLine="480"/>
      </w:pPr>
    </w:p>
    <w:p>
      <w:pPr>
        <w:pStyle w:val="3"/>
        <w:ind w:firstLine="480"/>
      </w:pPr>
    </w:p>
    <w:p>
      <w:pPr>
        <w:pStyle w:val="3"/>
        <w:ind w:firstLine="480"/>
      </w:pPr>
    </w:p>
    <w:p>
      <w:pPr>
        <w:pStyle w:val="3"/>
        <w:ind w:firstLine="480"/>
      </w:pPr>
    </w:p>
    <w:p>
      <w:pPr>
        <w:pStyle w:val="3"/>
        <w:ind w:firstLine="480"/>
      </w:pPr>
    </w:p>
    <w:p>
      <w:pPr>
        <w:pStyle w:val="3"/>
        <w:ind w:firstLine="480"/>
      </w:pPr>
    </w:p>
    <w:p>
      <w:pPr>
        <w:pStyle w:val="3"/>
        <w:ind w:firstLine="480"/>
      </w:pPr>
    </w:p>
    <w:p>
      <w:pPr>
        <w:numPr>
          <w:ilvl w:val="0"/>
          <w:numId w:val="2"/>
        </w:numPr>
        <w:spacing w:line="460" w:lineRule="exact"/>
        <w:jc w:val="center"/>
        <w:outlineLvl w:val="0"/>
        <w:rPr>
          <w:rFonts w:ascii="宋体" w:hAnsi="宋体"/>
          <w:b/>
          <w:sz w:val="32"/>
          <w:szCs w:val="32"/>
        </w:rPr>
      </w:pPr>
      <w:bookmarkStart w:id="2" w:name="_Toc31883"/>
      <w:r>
        <w:rPr>
          <w:rFonts w:hint="eastAsia" w:ascii="宋体" w:hAnsi="宋体"/>
          <w:b/>
          <w:sz w:val="32"/>
          <w:szCs w:val="32"/>
        </w:rPr>
        <w:t xml:space="preserve">  招标项目需求</w:t>
      </w:r>
      <w:bookmarkEnd w:id="2"/>
    </w:p>
    <w:p>
      <w:pPr>
        <w:pStyle w:val="16"/>
        <w:snapToGrid w:val="0"/>
        <w:spacing w:line="400" w:lineRule="exact"/>
        <w:ind w:left="422" w:hanging="422" w:hangingChars="200"/>
        <w:rPr>
          <w:rFonts w:hAnsi="宋体" w:cs="宋体"/>
          <w:sz w:val="21"/>
          <w:szCs w:val="21"/>
        </w:rPr>
      </w:pPr>
      <w:r>
        <w:rPr>
          <w:rFonts w:hint="eastAsia" w:hAnsi="宋体" w:cs="宋体"/>
          <w:b/>
          <w:sz w:val="21"/>
          <w:szCs w:val="21"/>
        </w:rPr>
        <w:t>一、项目概况：</w:t>
      </w:r>
    </w:p>
    <w:p>
      <w:pPr>
        <w:pStyle w:val="16"/>
        <w:snapToGrid w:val="0"/>
        <w:spacing w:line="400" w:lineRule="exact"/>
        <w:ind w:firstLine="420" w:firstLineChars="200"/>
        <w:jc w:val="left"/>
        <w:rPr>
          <w:rFonts w:hAnsi="宋体" w:cs="宋体"/>
          <w:sz w:val="21"/>
          <w:szCs w:val="21"/>
        </w:rPr>
      </w:pPr>
      <w:r>
        <w:rPr>
          <w:rFonts w:hint="eastAsia" w:hAnsi="宋体" w:cs="宋体"/>
          <w:sz w:val="21"/>
          <w:szCs w:val="21"/>
        </w:rPr>
        <w:t>本次采购项目为嘉兴市本级巡游出租汽车智能终端技术改造项目，投标人应根据招标文件所提出的设备技术规格、参数、数量和服务要求，综合考虑设备的适应性，选择具有最佳性能价格比的设备前来投标。希望投标人以精良的设备、优良的服务和优惠的价格，充分显示自身的竞争实力。</w:t>
      </w:r>
    </w:p>
    <w:p>
      <w:pPr>
        <w:pStyle w:val="16"/>
        <w:numPr>
          <w:ilvl w:val="0"/>
          <w:numId w:val="3"/>
        </w:numPr>
        <w:snapToGrid w:val="0"/>
        <w:spacing w:line="400" w:lineRule="exact"/>
        <w:ind w:left="360" w:hanging="361" w:hangingChars="171"/>
        <w:rPr>
          <w:rFonts w:hAnsi="宋体" w:cs="宋体"/>
          <w:b/>
          <w:sz w:val="21"/>
          <w:szCs w:val="21"/>
        </w:rPr>
      </w:pPr>
      <w:r>
        <w:rPr>
          <w:rFonts w:hint="eastAsia" w:hAnsi="宋体" w:cs="宋体"/>
          <w:b/>
          <w:sz w:val="21"/>
          <w:szCs w:val="21"/>
        </w:rPr>
        <w:t>采购内容及要求：</w:t>
      </w:r>
    </w:p>
    <w:p>
      <w:pPr>
        <w:pStyle w:val="16"/>
        <w:snapToGrid w:val="0"/>
        <w:spacing w:line="360" w:lineRule="auto"/>
        <w:rPr>
          <w:rFonts w:hAnsi="宋体" w:cs="宋体"/>
          <w:b/>
          <w:sz w:val="21"/>
          <w:szCs w:val="21"/>
        </w:rPr>
      </w:pPr>
      <w:bookmarkStart w:id="3" w:name="_Toc176666481"/>
      <w:bookmarkStart w:id="4" w:name="_Toc176658518"/>
      <w:bookmarkStart w:id="5" w:name="_Toc466450431"/>
      <w:bookmarkStart w:id="6" w:name="_Toc466450670"/>
      <w:r>
        <w:rPr>
          <w:rFonts w:hint="eastAsia" w:hAnsi="宋体" w:cs="宋体"/>
          <w:b/>
          <w:sz w:val="21"/>
          <w:szCs w:val="21"/>
        </w:rPr>
        <w:t>项目概述</w:t>
      </w:r>
    </w:p>
    <w:p>
      <w:pPr>
        <w:pStyle w:val="16"/>
        <w:snapToGrid w:val="0"/>
        <w:spacing w:line="360" w:lineRule="auto"/>
        <w:ind w:left="-359" w:leftChars="-171" w:firstLine="211" w:firstLineChars="100"/>
        <w:rPr>
          <w:rFonts w:hAnsi="宋体" w:cs="宋体"/>
          <w:b/>
          <w:sz w:val="21"/>
          <w:szCs w:val="21"/>
        </w:rPr>
      </w:pPr>
      <w:r>
        <w:rPr>
          <w:rFonts w:hint="eastAsia" w:hAnsi="宋体" w:cs="宋体"/>
          <w:b/>
          <w:sz w:val="21"/>
          <w:szCs w:val="21"/>
        </w:rPr>
        <w:t>（一）项目背景</w:t>
      </w:r>
    </w:p>
    <w:p>
      <w:pPr>
        <w:pStyle w:val="16"/>
        <w:snapToGrid w:val="0"/>
        <w:spacing w:line="360" w:lineRule="auto"/>
        <w:ind w:firstLine="420" w:firstLineChars="200"/>
        <w:jc w:val="left"/>
        <w:rPr>
          <w:rFonts w:hAnsi="宋体" w:cs="宋体"/>
          <w:sz w:val="21"/>
          <w:szCs w:val="21"/>
        </w:rPr>
      </w:pPr>
      <w:r>
        <w:rPr>
          <w:rFonts w:hint="eastAsia" w:hAnsi="宋体" w:cs="宋体"/>
          <w:sz w:val="21"/>
          <w:szCs w:val="21"/>
        </w:rPr>
        <w:t>长期以来，出租汽车行业改革备受关注，但进展缓慢。随着市民出行需求不断上升，但供给无法满足现有需求。一直以来，出租车行业垄断问题也饱受诟病。同时“互联网+”背景下的约租车模式（专车等）的出现，对出租车行业改革形成倒逼机制。在社会经济高速发展的今天，社会公众对于安全、便捷、高效的出行服务需求越来越旺盛。随着时代的发展，科技不断更新进步，作为城市形象载体之一的出租车行业，由于存在着点多、线长、面广、流动性强、从业人员构成复杂等特点，给行业管理带来很多难题。目前，嘉兴市传统巡游出租汽车车载设备弊端日益显现。</w:t>
      </w:r>
    </w:p>
    <w:p>
      <w:pPr>
        <w:pStyle w:val="16"/>
        <w:snapToGrid w:val="0"/>
        <w:spacing w:line="360" w:lineRule="auto"/>
        <w:ind w:left="-359" w:leftChars="-171" w:firstLine="211" w:firstLineChars="100"/>
        <w:rPr>
          <w:rFonts w:hAnsi="宋体" w:cs="宋体"/>
          <w:b/>
          <w:sz w:val="21"/>
          <w:szCs w:val="21"/>
        </w:rPr>
      </w:pPr>
      <w:r>
        <w:rPr>
          <w:rFonts w:hint="eastAsia" w:hAnsi="宋体" w:cs="宋体"/>
          <w:b/>
          <w:sz w:val="21"/>
          <w:szCs w:val="21"/>
        </w:rPr>
        <w:t>（二）建设内容</w:t>
      </w:r>
    </w:p>
    <w:p>
      <w:pPr>
        <w:pStyle w:val="88"/>
        <w:ind w:firstLine="420"/>
        <w:rPr>
          <w:rFonts w:ascii="宋体" w:hAnsi="宋体" w:eastAsia="宋体"/>
        </w:rPr>
      </w:pPr>
      <w:r>
        <w:rPr>
          <w:rFonts w:hint="eastAsia" w:ascii="宋体" w:hAnsi="宋体" w:eastAsia="宋体" w:cs="宋体"/>
          <w:sz w:val="21"/>
          <w:szCs w:val="21"/>
        </w:rPr>
        <w:t>本项目将为嘉兴市本级1073辆巡游出租汽车安装符合交通运输部JT/T905标准的出租汽车车载智能终端、后排摄像头及相关软硬件设备和智能顶灯，更换1073台年久老款的计价器使之符合《</w:t>
      </w:r>
      <w:r>
        <w:fldChar w:fldCharType="begin"/>
      </w:r>
      <w:r>
        <w:instrText xml:space="preserve"> HYPERLINK "http://www.baidu.com/link?url=Eo7ZVGupwDzE78aj27WQxUI_-lRc26pqbb5Ut6XCvaEwWPssZcXSS5ZJRW8-vHCYjK9NKyXKsKHAagg9a3t6YK" \t "_blank" </w:instrText>
      </w:r>
      <w:r>
        <w:fldChar w:fldCharType="separate"/>
      </w:r>
      <w:r>
        <w:rPr>
          <w:rFonts w:hint="eastAsia" w:ascii="宋体" w:hAnsi="宋体" w:eastAsia="宋体" w:cs="宋体"/>
          <w:sz w:val="21"/>
          <w:szCs w:val="21"/>
        </w:rPr>
        <w:t>JJF1604-2016 出租汽车计价器型式评价大纲</w:t>
      </w:r>
      <w:r>
        <w:rPr>
          <w:rFonts w:hint="eastAsia" w:ascii="宋体" w:hAnsi="宋体" w:eastAsia="宋体" w:cs="宋体"/>
          <w:sz w:val="21"/>
          <w:szCs w:val="21"/>
        </w:rPr>
        <w:fldChar w:fldCharType="end"/>
      </w:r>
      <w:r>
        <w:rPr>
          <w:rFonts w:hint="eastAsia" w:ascii="宋体" w:hAnsi="宋体" w:eastAsia="宋体" w:cs="宋体"/>
          <w:sz w:val="21"/>
          <w:szCs w:val="21"/>
        </w:rPr>
        <w:t>》和《中华人民共和国国家计量检定规程JJG517-2016》的要求，项目作为嘉兴市出租汽车行业监管的基础工程，同时需完成与省、市相关系统的有效对接。</w:t>
      </w:r>
      <w:bookmarkEnd w:id="3"/>
      <w:bookmarkEnd w:id="4"/>
    </w:p>
    <w:p>
      <w:pPr>
        <w:pStyle w:val="16"/>
        <w:snapToGrid w:val="0"/>
        <w:spacing w:line="400" w:lineRule="exact"/>
        <w:rPr>
          <w:rFonts w:hAnsi="宋体" w:cs="宋体"/>
          <w:b/>
          <w:sz w:val="21"/>
          <w:szCs w:val="21"/>
        </w:rPr>
      </w:pPr>
      <w:bookmarkStart w:id="7" w:name="_Toc499141209"/>
      <w:r>
        <w:rPr>
          <w:rFonts w:hint="eastAsia" w:hAnsi="宋体" w:cs="宋体"/>
          <w:b/>
          <w:sz w:val="21"/>
          <w:szCs w:val="21"/>
        </w:rPr>
        <w:t>采购清单</w:t>
      </w:r>
    </w:p>
    <w:tbl>
      <w:tblPr>
        <w:tblStyle w:val="33"/>
        <w:tblW w:w="9338" w:type="dxa"/>
        <w:jc w:val="center"/>
        <w:tblLayout w:type="fixed"/>
        <w:tblCellMar>
          <w:top w:w="0" w:type="dxa"/>
          <w:left w:w="108" w:type="dxa"/>
          <w:bottom w:w="0" w:type="dxa"/>
          <w:right w:w="108" w:type="dxa"/>
        </w:tblCellMar>
      </w:tblPr>
      <w:tblGrid>
        <w:gridCol w:w="709"/>
        <w:gridCol w:w="993"/>
        <w:gridCol w:w="5477"/>
        <w:gridCol w:w="708"/>
        <w:gridCol w:w="666"/>
        <w:gridCol w:w="785"/>
      </w:tblGrid>
      <w:tr>
        <w:tblPrEx>
          <w:tblCellMar>
            <w:top w:w="0" w:type="dxa"/>
            <w:left w:w="108" w:type="dxa"/>
            <w:bottom w:w="0" w:type="dxa"/>
            <w:right w:w="108" w:type="dxa"/>
          </w:tblCellMar>
        </w:tblPrEx>
        <w:trPr>
          <w:trHeight w:val="63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rPr>
            </w:pPr>
            <w:r>
              <w:rPr>
                <w:rFonts w:hint="eastAsia" w:ascii="宋体" w:hAnsi="宋体" w:cs="宋体"/>
                <w:b/>
                <w:bCs/>
                <w:kern w:val="0"/>
                <w:sz w:val="20"/>
              </w:rPr>
              <w:t>序号</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rPr>
            </w:pPr>
            <w:r>
              <w:rPr>
                <w:rFonts w:hint="eastAsia" w:ascii="宋体" w:hAnsi="宋体" w:cs="宋体"/>
                <w:b/>
                <w:bCs/>
                <w:kern w:val="0"/>
                <w:sz w:val="20"/>
              </w:rPr>
              <w:t>名称</w:t>
            </w:r>
          </w:p>
        </w:tc>
        <w:tc>
          <w:tcPr>
            <w:tcW w:w="5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rPr>
            </w:pPr>
            <w:r>
              <w:rPr>
                <w:rFonts w:hint="eastAsia" w:ascii="宋体" w:hAnsi="宋体" w:cs="宋体"/>
                <w:b/>
                <w:bCs/>
                <w:kern w:val="0"/>
                <w:sz w:val="20"/>
              </w:rPr>
              <w:t>描述</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7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0"/>
              </w:rPr>
            </w:pPr>
            <w:r>
              <w:rPr>
                <w:rFonts w:hint="eastAsia" w:ascii="宋体" w:hAnsi="宋体" w:cs="宋体"/>
                <w:b/>
                <w:bCs/>
                <w:kern w:val="0"/>
                <w:sz w:val="20"/>
              </w:rPr>
              <w:t>备注</w:t>
            </w:r>
          </w:p>
        </w:tc>
      </w:tr>
      <w:tr>
        <w:tblPrEx>
          <w:tblCellMar>
            <w:top w:w="0" w:type="dxa"/>
            <w:left w:w="108" w:type="dxa"/>
            <w:bottom w:w="0" w:type="dxa"/>
            <w:right w:w="108" w:type="dxa"/>
          </w:tblCellMar>
        </w:tblPrEx>
        <w:trPr>
          <w:trHeight w:val="114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szCs w:val="21"/>
              </w:rPr>
              <w:t>▲</w:t>
            </w:r>
            <w:r>
              <w:rPr>
                <w:rFonts w:hint="eastAsia" w:ascii="宋体" w:hAnsi="宋体" w:cs="宋体"/>
                <w:kern w:val="0"/>
                <w:sz w:val="20"/>
              </w:rPr>
              <w:t>★智能车载终端</w:t>
            </w:r>
          </w:p>
        </w:tc>
        <w:tc>
          <w:tcPr>
            <w:tcW w:w="54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车内后视镜式一体化4G车载终端（支持4G全网通），八核1.8GHz及以上CPU。</w:t>
            </w:r>
          </w:p>
          <w:p>
            <w:pPr>
              <w:widowControl/>
              <w:jc w:val="left"/>
              <w:rPr>
                <w:rFonts w:ascii="宋体" w:hAnsi="宋体" w:cs="宋体"/>
                <w:kern w:val="0"/>
                <w:sz w:val="20"/>
              </w:rPr>
            </w:pPr>
            <w:r>
              <w:rPr>
                <w:rFonts w:hint="eastAsia" w:ascii="宋体" w:hAnsi="宋体" w:cs="宋体"/>
                <w:kern w:val="0"/>
                <w:sz w:val="20"/>
              </w:rPr>
              <w:t>具备GPS/北斗双模；具备16G Flash，2G RAM，4个I/O（3in，1out）,4个RS232串口及以上；外观漂亮、统一封装；具备APP下发语音、文字信息指令、录像、拍照、电话回拨等；</w:t>
            </w:r>
          </w:p>
          <w:p>
            <w:pPr>
              <w:widowControl/>
              <w:jc w:val="left"/>
              <w:rPr>
                <w:rFonts w:ascii="宋体" w:hAnsi="宋体" w:cs="宋体"/>
                <w:kern w:val="0"/>
                <w:sz w:val="20"/>
              </w:rPr>
            </w:pPr>
            <w:r>
              <w:rPr>
                <w:rFonts w:hint="eastAsia" w:ascii="宋体" w:hAnsi="宋体" w:cs="宋体"/>
                <w:kern w:val="0"/>
                <w:sz w:val="20"/>
              </w:rPr>
              <w:t>具备前、后高清摄像头，分别为1080P 120度视角/ 720P 135度广角及以上；</w:t>
            </w:r>
          </w:p>
          <w:p>
            <w:pPr>
              <w:widowControl/>
              <w:jc w:val="left"/>
              <w:rPr>
                <w:rFonts w:ascii="宋体" w:hAnsi="宋体" w:cs="宋体"/>
                <w:kern w:val="0"/>
                <w:sz w:val="20"/>
              </w:rPr>
            </w:pPr>
            <w:r>
              <w:rPr>
                <w:rFonts w:hint="eastAsia" w:ascii="宋体" w:hAnsi="宋体" w:cs="宋体"/>
                <w:kern w:val="0"/>
                <w:sz w:val="20"/>
              </w:rPr>
              <w:t>支持高清输出,图像清晰、细腻；后摄像头具有车内录音功能，为红外摄像头；能够接受平台指令检索，上传终端内储存的语音，照片，视频；至少可扩展接入1路其他摄像头和1个AI摄像头（用于人脸识别和行为分析）；</w:t>
            </w:r>
          </w:p>
          <w:p>
            <w:pPr>
              <w:widowControl/>
              <w:jc w:val="left"/>
              <w:rPr>
                <w:rFonts w:ascii="宋体" w:hAnsi="宋体" w:cs="宋体"/>
                <w:kern w:val="0"/>
                <w:sz w:val="20"/>
              </w:rPr>
            </w:pPr>
            <w:r>
              <w:rPr>
                <w:rFonts w:hint="eastAsia" w:ascii="宋体" w:hAnsi="宋体" w:cs="宋体"/>
                <w:kern w:val="0"/>
                <w:sz w:val="20"/>
              </w:rPr>
              <w:t>具备单车调度、分组调度、分控调度的形式下发调度信息；</w:t>
            </w:r>
          </w:p>
          <w:p>
            <w:pPr>
              <w:widowControl/>
              <w:jc w:val="left"/>
              <w:rPr>
                <w:rFonts w:ascii="宋体" w:hAnsi="宋体" w:cs="宋体"/>
                <w:kern w:val="0"/>
                <w:sz w:val="20"/>
              </w:rPr>
            </w:pPr>
            <w:r>
              <w:rPr>
                <w:rFonts w:hint="eastAsia" w:ascii="宋体" w:hAnsi="宋体" w:cs="宋体"/>
                <w:kern w:val="0"/>
                <w:sz w:val="20"/>
              </w:rPr>
              <w:t>具备紧急报警装置（隐蔽安装、方便报警）；能对巡游出租汽车进行定位监控，包括查看车辆的位置、速度、空重状态、时间、方向和运行轨迹等信息，实时掌握车辆的运行情况；支持实时轨迹显示；GPS数据传输频率不低于15s/条；</w:t>
            </w:r>
          </w:p>
          <w:p>
            <w:pPr>
              <w:widowControl/>
              <w:jc w:val="left"/>
              <w:rPr>
                <w:rFonts w:ascii="宋体" w:hAnsi="宋体" w:cs="宋体"/>
                <w:kern w:val="0"/>
                <w:sz w:val="20"/>
              </w:rPr>
            </w:pPr>
            <w:r>
              <w:rPr>
                <w:rFonts w:hint="eastAsia" w:ascii="宋体" w:hAnsi="宋体" w:cs="宋体"/>
                <w:kern w:val="0"/>
                <w:sz w:val="20"/>
              </w:rPr>
              <w:t>具备设备（摄像头、存储卡、GPS）故障自动告警功能；</w:t>
            </w:r>
          </w:p>
          <w:p>
            <w:pPr>
              <w:widowControl/>
              <w:jc w:val="left"/>
              <w:rPr>
                <w:rFonts w:ascii="宋体" w:hAnsi="宋体" w:cs="宋体"/>
                <w:kern w:val="0"/>
                <w:sz w:val="20"/>
              </w:rPr>
            </w:pPr>
            <w:r>
              <w:rPr>
                <w:rFonts w:hint="eastAsia" w:ascii="宋体" w:hAnsi="宋体" w:cs="宋体"/>
                <w:kern w:val="0"/>
                <w:sz w:val="20"/>
              </w:rPr>
              <w:t>能将营运数据实时共享给税务部门生成电子发票；能调用标准税务电子发票开具接口，生成电子发票二维码，由乘客进行扫码下载电子发票。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1073</w:t>
            </w:r>
          </w:p>
        </w:tc>
        <w:tc>
          <w:tcPr>
            <w:tcW w:w="785" w:type="dxa"/>
            <w:tcBorders>
              <w:top w:val="single" w:color="auto" w:sz="4" w:space="0"/>
              <w:left w:val="nil"/>
              <w:bottom w:val="single" w:color="auto" w:sz="4" w:space="0"/>
              <w:right w:val="single" w:color="auto" w:sz="4" w:space="0"/>
            </w:tcBorders>
            <w:noWrap/>
          </w:tcPr>
          <w:p>
            <w:pPr>
              <w:rPr>
                <w:rFonts w:ascii="宋体" w:hAnsi="宋体" w:cs="宋体"/>
                <w:sz w:val="20"/>
              </w:rPr>
            </w:pPr>
          </w:p>
        </w:tc>
      </w:tr>
      <w:tr>
        <w:tblPrEx>
          <w:tblCellMar>
            <w:top w:w="0" w:type="dxa"/>
            <w:left w:w="108" w:type="dxa"/>
            <w:bottom w:w="0" w:type="dxa"/>
            <w:right w:w="108" w:type="dxa"/>
          </w:tblCellMar>
        </w:tblPrEx>
        <w:trPr>
          <w:trHeight w:val="64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后排摄像头</w:t>
            </w:r>
          </w:p>
        </w:tc>
        <w:tc>
          <w:tcPr>
            <w:tcW w:w="54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为夜视摄像头，车载防震设计；有效像素1280(水平)×720(垂直)及以上，支持低照度摄像，支持高清输出,图像清晰、细腻；</w:t>
            </w:r>
          </w:p>
          <w:p>
            <w:pPr>
              <w:widowControl/>
              <w:jc w:val="left"/>
              <w:rPr>
                <w:rFonts w:ascii="宋体" w:hAnsi="宋体" w:cs="宋体"/>
                <w:kern w:val="0"/>
                <w:sz w:val="20"/>
              </w:rPr>
            </w:pPr>
            <w:r>
              <w:rPr>
                <w:rFonts w:hint="eastAsia" w:ascii="宋体" w:hAnsi="宋体" w:cs="宋体"/>
                <w:kern w:val="0"/>
                <w:sz w:val="20"/>
              </w:rPr>
              <w:t>摄像头应与出租汽车辆高度集成，所有的接线尽量使用接插件，不允许直接用绝缘胶布包裹。</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1073</w:t>
            </w:r>
          </w:p>
        </w:tc>
        <w:tc>
          <w:tcPr>
            <w:tcW w:w="785" w:type="dxa"/>
            <w:tcBorders>
              <w:top w:val="nil"/>
              <w:left w:val="nil"/>
              <w:bottom w:val="single" w:color="auto" w:sz="4" w:space="0"/>
              <w:right w:val="single" w:color="auto" w:sz="4" w:space="0"/>
            </w:tcBorders>
            <w:noWrap/>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52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szCs w:val="21"/>
              </w:rPr>
              <w:t>▲</w:t>
            </w:r>
            <w:r>
              <w:rPr>
                <w:rFonts w:hint="eastAsia" w:ascii="宋体" w:hAnsi="宋体" w:cs="宋体"/>
                <w:kern w:val="0"/>
                <w:sz w:val="20"/>
              </w:rPr>
              <w:t>视频存储卡</w:t>
            </w:r>
          </w:p>
        </w:tc>
        <w:tc>
          <w:tcPr>
            <w:tcW w:w="54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与智能终端配套的专用视频存储卡，不小于256GB，视频写入、读取流畅。</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张</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1073</w:t>
            </w:r>
          </w:p>
        </w:tc>
        <w:tc>
          <w:tcPr>
            <w:tcW w:w="785" w:type="dxa"/>
            <w:tcBorders>
              <w:top w:val="nil"/>
              <w:left w:val="nil"/>
              <w:bottom w:val="single" w:color="auto" w:sz="4" w:space="0"/>
              <w:right w:val="single" w:color="auto" w:sz="4" w:space="0"/>
            </w:tcBorders>
            <w:noWrap/>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135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计价器</w:t>
            </w:r>
          </w:p>
        </w:tc>
        <w:tc>
          <w:tcPr>
            <w:tcW w:w="54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符合JJF1604-2016《出租汽车计价器型式评价大纲》相关要求并取得型式批准证书；符合《中华人民共和国国家计量检定规程JJG517-2016》并取得样机检定测试报告。</w:t>
            </w:r>
          </w:p>
          <w:p>
            <w:pPr>
              <w:widowControl/>
              <w:jc w:val="left"/>
              <w:rPr>
                <w:rFonts w:ascii="宋体" w:hAnsi="宋体" w:cs="宋体"/>
                <w:kern w:val="0"/>
                <w:sz w:val="20"/>
              </w:rPr>
            </w:pPr>
            <w:r>
              <w:rPr>
                <w:rFonts w:hint="eastAsia" w:ascii="宋体" w:hAnsi="宋体" w:cs="宋体"/>
                <w:kern w:val="0"/>
                <w:sz w:val="20"/>
              </w:rPr>
              <w:t>支持与智能车载终端联动，实现司机卡自动开机登录，司机卡按每车2张配备，支持司机卡对计价器到期锁机从而实现强制进场管理（投标方提供相关司机卡管理软件），营运数据实时上传车载智能终端基础平台，具备营运数据保存和补传功能，计价器本地保存营运记录不少于800条；支持计价器远程调价功能。</w:t>
            </w:r>
          </w:p>
          <w:p>
            <w:pPr>
              <w:widowControl/>
              <w:jc w:val="left"/>
              <w:rPr>
                <w:rFonts w:ascii="宋体" w:hAnsi="宋体" w:cs="宋体"/>
                <w:kern w:val="0"/>
                <w:sz w:val="20"/>
              </w:rPr>
            </w:pPr>
            <w:r>
              <w:rPr>
                <w:rFonts w:hint="eastAsia" w:ascii="宋体" w:hAnsi="宋体" w:cs="宋体"/>
                <w:kern w:val="0"/>
                <w:sz w:val="20"/>
              </w:rPr>
              <w:t>计价器支持电子发票功能，能将营运数据（上车时间、下车时间、行程里程数、车牌号、行程日期等数据）实时传给智能车载终端。</w:t>
            </w:r>
          </w:p>
          <w:p>
            <w:pPr>
              <w:widowControl/>
              <w:jc w:val="left"/>
              <w:rPr>
                <w:rFonts w:ascii="宋体" w:hAnsi="宋体" w:cs="宋体"/>
                <w:kern w:val="0"/>
                <w:sz w:val="20"/>
              </w:rPr>
            </w:pPr>
            <w:r>
              <w:rPr>
                <w:rFonts w:hint="eastAsia" w:ascii="宋体" w:hAnsi="宋体" w:cs="宋体"/>
                <w:kern w:val="0"/>
                <w:sz w:val="20"/>
              </w:rPr>
              <w:t>应包含与之配套的空车牌、里程传感器、全套线束等。</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1073</w:t>
            </w:r>
          </w:p>
        </w:tc>
        <w:tc>
          <w:tcPr>
            <w:tcW w:w="785" w:type="dxa"/>
            <w:tcBorders>
              <w:top w:val="nil"/>
              <w:left w:val="nil"/>
              <w:bottom w:val="single" w:color="auto" w:sz="4" w:space="0"/>
              <w:right w:val="single" w:color="auto" w:sz="4" w:space="0"/>
            </w:tcBorders>
            <w:noWrap/>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76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顶灯</w:t>
            </w:r>
          </w:p>
        </w:tc>
        <w:tc>
          <w:tcPr>
            <w:tcW w:w="54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前屏5种状态（空车）（停运）（有客）（电召）（求助</w:t>
            </w:r>
            <w:r>
              <w:rPr>
                <w:rFonts w:ascii="宋体" w:hAnsi="宋体" w:cs="宋体"/>
                <w:kern w:val="0"/>
                <w:sz w:val="20"/>
              </w:rPr>
              <w:t>）</w:t>
            </w:r>
            <w:r>
              <w:rPr>
                <w:rFonts w:hint="eastAsia" w:ascii="宋体" w:hAnsi="宋体" w:cs="宋体"/>
                <w:kern w:val="0"/>
                <w:sz w:val="20"/>
              </w:rPr>
              <w:t>；顶灯支持设备状态通讯联动，可以实现计价器状态传输显示对应状态。状态显示屏：红、绿、黄；防伪灯带；具备触发报警后顶灯会同步显示报警信息功能。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1073</w:t>
            </w:r>
          </w:p>
        </w:tc>
        <w:tc>
          <w:tcPr>
            <w:tcW w:w="785" w:type="dxa"/>
            <w:tcBorders>
              <w:top w:val="nil"/>
              <w:left w:val="nil"/>
              <w:bottom w:val="single" w:color="auto" w:sz="4" w:space="0"/>
              <w:right w:val="single" w:color="auto" w:sz="4" w:space="0"/>
            </w:tcBorders>
            <w:noWrap/>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72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通讯费</w:t>
            </w:r>
          </w:p>
        </w:tc>
        <w:tc>
          <w:tcPr>
            <w:tcW w:w="54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通讯费（每车每月不少于20G的4G国内通用流量和300分钟国内主叫语音通话时长），与智能终端配套使用。通讯费从项目验收通过之日起计算。</w:t>
            </w:r>
          </w:p>
          <w:p>
            <w:pPr>
              <w:widowControl/>
              <w:jc w:val="left"/>
              <w:rPr>
                <w:rFonts w:ascii="宋体" w:hAnsi="宋体" w:cs="宋体"/>
                <w:kern w:val="0"/>
                <w:sz w:val="20"/>
              </w:rPr>
            </w:pPr>
            <w:r>
              <w:rPr>
                <w:rFonts w:hint="eastAsia" w:ascii="宋体" w:hAnsi="宋体" w:cs="宋体"/>
                <w:kern w:val="0"/>
                <w:sz w:val="20"/>
              </w:rPr>
              <w:t>SIM卡要求为工业级SIM卡，SIM卡须与本项目智能终端设备兼容配套使用。（</w:t>
            </w:r>
            <w:r>
              <w:rPr>
                <w:rFonts w:hint="eastAsia" w:ascii="宋体" w:hAnsi="宋体" w:cs="宋体"/>
                <w:b/>
                <w:bCs/>
                <w:kern w:val="0"/>
                <w:sz w:val="20"/>
              </w:rPr>
              <w:t>投标时需提供运营商出具的相应承诺函</w:t>
            </w:r>
            <w:r>
              <w:rPr>
                <w:rFonts w:hint="eastAsia" w:ascii="宋体" w:hAnsi="宋体" w:cs="宋体"/>
                <w:kern w:val="0"/>
                <w:sz w:val="20"/>
              </w:rPr>
              <w:t>）。</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5年</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1073</w:t>
            </w:r>
          </w:p>
        </w:tc>
        <w:tc>
          <w:tcPr>
            <w:tcW w:w="785" w:type="dxa"/>
            <w:tcBorders>
              <w:top w:val="nil"/>
              <w:left w:val="nil"/>
              <w:bottom w:val="single" w:color="auto" w:sz="4" w:space="0"/>
              <w:right w:val="single" w:color="auto" w:sz="4" w:space="0"/>
            </w:tcBorders>
            <w:noWrap/>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727"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7</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电召平台</w:t>
            </w:r>
          </w:p>
        </w:tc>
        <w:tc>
          <w:tcPr>
            <w:tcW w:w="54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提供电召平台软件，接入全市出租汽车GPS实时位置、轨迹、空重载、运营里程、费用等信息，实现嘉兴市全市出租汽车电话召车功能。电召平台软件还应具备呼入总量、拨入总量、接听成功量、呼损量、呼入成功率、下发电召量、下发电召率、抢答成功率等统计、分析、汇总及导出功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项</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785" w:type="dxa"/>
            <w:tcBorders>
              <w:top w:val="nil"/>
              <w:left w:val="nil"/>
              <w:bottom w:val="single" w:color="auto" w:sz="4" w:space="0"/>
              <w:right w:val="single" w:color="auto" w:sz="4" w:space="0"/>
            </w:tcBorders>
            <w:noWrap/>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142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8</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车载智能终端基础平台</w:t>
            </w:r>
          </w:p>
        </w:tc>
        <w:tc>
          <w:tcPr>
            <w:tcW w:w="54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提供智能车载终端基础平台及平台正常运行所需软硬件，可以对所有车辆或部分车辆进行广播、下发语音或文字信息指令，支持终端车辆轨迹显示、回放和视频（支持的视频路数不得低于10000路）数据调取、回放及视频流本地抓取等功能，能满足车载设备的基本管理；平台应与现行主流手机屏幕尺寸进行适配，方便在手机端访问、操作管理。</w:t>
            </w:r>
          </w:p>
          <w:p>
            <w:pPr>
              <w:widowControl/>
              <w:jc w:val="left"/>
              <w:rPr>
                <w:rFonts w:ascii="宋体" w:hAnsi="宋体" w:cs="宋体"/>
                <w:kern w:val="0"/>
                <w:sz w:val="20"/>
              </w:rPr>
            </w:pPr>
            <w:r>
              <w:rPr>
                <w:rFonts w:hint="eastAsia" w:ascii="宋体" w:hAnsi="宋体" w:cs="宋体"/>
                <w:kern w:val="0"/>
                <w:sz w:val="20"/>
              </w:rPr>
              <w:t>完成全市出租汽车营运数据及车载视频监控等数据接入、查看、汇总、分析等（</w:t>
            </w:r>
            <w:r>
              <w:rPr>
                <w:rFonts w:hint="eastAsia" w:ascii="宋体" w:hAnsi="宋体" w:cs="宋体"/>
                <w:b/>
                <w:bCs/>
                <w:kern w:val="0"/>
                <w:sz w:val="20"/>
              </w:rPr>
              <w:t>需提供承诺函）</w:t>
            </w:r>
            <w:r>
              <w:rPr>
                <w:rFonts w:hint="eastAsia" w:ascii="宋体" w:hAnsi="宋体" w:cs="宋体"/>
                <w:kern w:val="0"/>
                <w:sz w:val="20"/>
              </w:rPr>
              <w:t>；</w:t>
            </w:r>
          </w:p>
          <w:p>
            <w:pPr>
              <w:widowControl/>
              <w:jc w:val="left"/>
              <w:rPr>
                <w:rFonts w:ascii="宋体" w:hAnsi="宋体" w:cs="宋体"/>
                <w:kern w:val="0"/>
                <w:sz w:val="20"/>
              </w:rPr>
            </w:pPr>
            <w:r>
              <w:rPr>
                <w:rFonts w:hint="eastAsia" w:ascii="宋体" w:hAnsi="宋体" w:cs="宋体"/>
                <w:kern w:val="0"/>
                <w:sz w:val="20"/>
              </w:rPr>
              <w:t>可对全市出租汽车车辆上线、下线情况统计，营运数据（营收、行驶里程、空载里程、重载里程、营运时间、交易金额等数据）分区域、分企业、分时段按年、月、日总量及单车平均营运数据分析统计，驾驶员收入排行榜，打车热点区域分析、热门出发地达到地分析，并进行图形化展示；开放数据共享接口，并根据省、市要求适时完成相关系统共享数据。</w:t>
            </w:r>
          </w:p>
          <w:p>
            <w:pPr>
              <w:widowControl/>
              <w:jc w:val="left"/>
              <w:rPr>
                <w:rFonts w:ascii="宋体" w:hAnsi="宋体" w:cs="宋体"/>
                <w:kern w:val="0"/>
                <w:sz w:val="20"/>
              </w:rPr>
            </w:pPr>
            <w:r>
              <w:rPr>
                <w:rFonts w:hint="eastAsia" w:ascii="宋体" w:hAnsi="宋体" w:cs="宋体"/>
                <w:kern w:val="0"/>
                <w:sz w:val="20"/>
              </w:rPr>
              <w:t>全市所有出租汽车营收、服务评价等营运数据联机存储时间不少于</w:t>
            </w:r>
            <w:r>
              <w:rPr>
                <w:rFonts w:ascii="宋体" w:hAnsi="宋体" w:cs="宋体"/>
                <w:kern w:val="0"/>
                <w:sz w:val="20"/>
              </w:rPr>
              <w:t>5</w:t>
            </w:r>
            <w:r>
              <w:rPr>
                <w:rFonts w:hint="eastAsia" w:ascii="宋体" w:hAnsi="宋体" w:cs="宋体"/>
                <w:kern w:val="0"/>
                <w:sz w:val="20"/>
              </w:rPr>
              <w:t>年；轨迹数据联机存储时间不少于半年。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785" w:type="dxa"/>
            <w:tcBorders>
              <w:top w:val="nil"/>
              <w:left w:val="nil"/>
              <w:bottom w:val="single" w:color="auto" w:sz="4" w:space="0"/>
              <w:right w:val="single" w:color="auto" w:sz="4" w:space="0"/>
            </w:tcBorders>
            <w:noWrap/>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72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9</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拆装及服务</w:t>
            </w:r>
          </w:p>
        </w:tc>
        <w:tc>
          <w:tcPr>
            <w:tcW w:w="54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对现有1073辆出租车车载终端、计价器、摄像头及顶灯等设备按要求进行拆装、标签并录入系统，并安装本项目涉及的软硬件。维修管理系统由中标单位免费提供。在嘉兴市区设置维修站，并派驻专业售后服务人员（</w:t>
            </w:r>
            <w:r>
              <w:rPr>
                <w:rFonts w:hint="eastAsia" w:ascii="宋体" w:hAnsi="宋体" w:cs="宋体"/>
                <w:b/>
                <w:bCs/>
                <w:kern w:val="0"/>
                <w:sz w:val="20"/>
              </w:rPr>
              <w:t>需提供承诺函</w:t>
            </w:r>
            <w:r>
              <w:rPr>
                <w:rFonts w:hint="eastAsia" w:ascii="宋体" w:hAnsi="宋体" w:cs="宋体"/>
                <w:kern w:val="0"/>
                <w:sz w:val="20"/>
              </w:rPr>
              <w:t>）。</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辆</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1073</w:t>
            </w:r>
          </w:p>
        </w:tc>
        <w:tc>
          <w:tcPr>
            <w:tcW w:w="785" w:type="dxa"/>
            <w:tcBorders>
              <w:top w:val="nil"/>
              <w:left w:val="nil"/>
              <w:bottom w:val="single" w:color="auto" w:sz="4" w:space="0"/>
              <w:right w:val="single" w:color="auto" w:sz="4" w:space="0"/>
            </w:tcBorders>
            <w:noWrap/>
          </w:tcPr>
          <w:p>
            <w:pPr>
              <w:widowControl/>
              <w:jc w:val="center"/>
              <w:rPr>
                <w:rFonts w:ascii="宋体" w:hAnsi="宋体" w:cs="宋体"/>
                <w:kern w:val="0"/>
                <w:sz w:val="20"/>
              </w:rPr>
            </w:pPr>
          </w:p>
        </w:tc>
      </w:tr>
    </w:tbl>
    <w:p>
      <w:pPr>
        <w:spacing w:line="360" w:lineRule="auto"/>
        <w:rPr>
          <w:rFonts w:ascii="宋体" w:hAnsi="宋体" w:cs="宋体"/>
          <w:szCs w:val="21"/>
        </w:rPr>
      </w:pPr>
      <w:r>
        <w:rPr>
          <w:rFonts w:hint="eastAsia" w:ascii="宋体" w:hAnsi="宋体" w:cs="宋体"/>
          <w:szCs w:val="21"/>
        </w:rPr>
        <w:t>说明：除上述清单外，为实现本项目功能要求及正常运行所需的其他软硬件费用均由中标方承担。</w:t>
      </w:r>
    </w:p>
    <w:p>
      <w:pPr>
        <w:pStyle w:val="16"/>
        <w:snapToGrid w:val="0"/>
        <w:spacing w:line="360" w:lineRule="auto"/>
        <w:rPr>
          <w:rFonts w:hAnsi="宋体" w:cs="宋体"/>
          <w:b/>
          <w:sz w:val="21"/>
          <w:szCs w:val="21"/>
        </w:rPr>
      </w:pPr>
      <w:r>
        <w:rPr>
          <w:rFonts w:hint="eastAsia" w:hAnsi="宋体" w:cs="宋体"/>
          <w:b/>
          <w:sz w:val="21"/>
          <w:szCs w:val="21"/>
        </w:rPr>
        <w:t>项目建设需求</w:t>
      </w:r>
    </w:p>
    <w:p>
      <w:pPr>
        <w:pStyle w:val="16"/>
        <w:snapToGrid w:val="0"/>
        <w:spacing w:line="360" w:lineRule="auto"/>
        <w:ind w:left="-359" w:leftChars="-171" w:firstLine="211" w:firstLineChars="100"/>
        <w:rPr>
          <w:rFonts w:hAnsi="宋体" w:cs="宋体"/>
          <w:b/>
          <w:sz w:val="21"/>
          <w:szCs w:val="21"/>
        </w:rPr>
      </w:pPr>
      <w:r>
        <w:rPr>
          <w:rFonts w:hint="eastAsia" w:hAnsi="宋体" w:cs="宋体"/>
          <w:b/>
          <w:sz w:val="21"/>
          <w:szCs w:val="21"/>
        </w:rPr>
        <w:t>（一）项目建设目标</w:t>
      </w:r>
    </w:p>
    <w:p>
      <w:pPr>
        <w:spacing w:line="360" w:lineRule="auto"/>
        <w:ind w:firstLine="420" w:firstLineChars="200"/>
        <w:rPr>
          <w:rFonts w:ascii="宋体" w:hAnsi="宋体" w:cs="宋体"/>
          <w:szCs w:val="21"/>
        </w:rPr>
      </w:pPr>
      <w:r>
        <w:rPr>
          <w:rFonts w:hint="eastAsia" w:ascii="宋体" w:hAnsi="宋体" w:cs="宋体"/>
          <w:szCs w:val="21"/>
        </w:rPr>
        <w:t>通过实施嘉兴市本级巡游出租汽车智能终端技术改造项目，积极探索以信息化建设提升出租车行业管理和服务水平的途径和方法，进一步规范出租汽车驾驶员的经营行为，改善出租汽车市场环境，全面提升行业服务质量，保障乘客出行合法权益，为出租汽车行业管理和社会服务提供行之有效的技术手段，不断完善服务质量考核体系，提升行业监管水平，充分发挥政府对出租汽车市场的监管作用，促进嘉兴出租汽车行业稳定、规范、有序、健康发展。</w:t>
      </w:r>
    </w:p>
    <w:p>
      <w:pPr>
        <w:pStyle w:val="16"/>
        <w:snapToGrid w:val="0"/>
        <w:spacing w:line="360" w:lineRule="auto"/>
        <w:ind w:left="-359" w:leftChars="-171" w:firstLine="211" w:firstLineChars="100"/>
        <w:rPr>
          <w:rFonts w:hAnsi="宋体" w:cs="宋体"/>
          <w:b/>
          <w:sz w:val="21"/>
          <w:szCs w:val="21"/>
        </w:rPr>
      </w:pPr>
      <w:r>
        <w:rPr>
          <w:rFonts w:hint="eastAsia" w:hAnsi="宋体" w:cs="宋体"/>
          <w:b/>
          <w:sz w:val="21"/>
          <w:szCs w:val="21"/>
        </w:rPr>
        <w:t>（二）项目功能需求</w:t>
      </w:r>
    </w:p>
    <w:p>
      <w:pPr>
        <w:spacing w:line="360" w:lineRule="auto"/>
        <w:ind w:firstLine="422" w:firstLineChars="200"/>
        <w:rPr>
          <w:rFonts w:ascii="宋体" w:hAnsi="宋体"/>
          <w:b/>
          <w:szCs w:val="21"/>
        </w:rPr>
      </w:pPr>
      <w:r>
        <w:rPr>
          <w:rFonts w:hint="eastAsia" w:ascii="宋体" w:hAnsi="宋体"/>
          <w:b/>
          <w:szCs w:val="21"/>
        </w:rPr>
        <w:t>1.定位监控功能</w:t>
      </w:r>
    </w:p>
    <w:p>
      <w:pPr>
        <w:spacing w:line="360" w:lineRule="auto"/>
        <w:ind w:firstLine="420" w:firstLineChars="200"/>
        <w:rPr>
          <w:rFonts w:ascii="宋体" w:hAnsi="宋体"/>
          <w:szCs w:val="21"/>
        </w:rPr>
      </w:pPr>
      <w:r>
        <w:rPr>
          <w:rFonts w:hint="eastAsia" w:ascii="宋体" w:hAnsi="宋体"/>
          <w:szCs w:val="21"/>
        </w:rPr>
        <w:t>对巡游出租汽车进行定位监控，包括查看车辆的位置、速度、空重状态、时间、方向和运行轨迹等信息，实时掌握车辆的运行情况，以达到远程监控、远程管理的目的，各出租车企业可以对公司所属车辆进行分组管理。</w:t>
      </w:r>
    </w:p>
    <w:p>
      <w:pPr>
        <w:spacing w:line="360" w:lineRule="auto"/>
        <w:ind w:firstLine="422" w:firstLineChars="200"/>
        <w:rPr>
          <w:rFonts w:ascii="宋体" w:hAnsi="宋体"/>
          <w:b/>
          <w:szCs w:val="21"/>
        </w:rPr>
      </w:pPr>
      <w:r>
        <w:rPr>
          <w:rFonts w:hint="eastAsia" w:ascii="宋体" w:hAnsi="宋体"/>
          <w:b/>
          <w:szCs w:val="21"/>
        </w:rPr>
        <w:t>2.计价器数据采集功能</w:t>
      </w:r>
    </w:p>
    <w:p>
      <w:pPr>
        <w:spacing w:line="360" w:lineRule="auto"/>
        <w:ind w:firstLine="420" w:firstLineChars="200"/>
        <w:rPr>
          <w:rFonts w:ascii="宋体" w:hAnsi="宋体"/>
          <w:szCs w:val="21"/>
        </w:rPr>
      </w:pPr>
      <w:r>
        <w:rPr>
          <w:rFonts w:hint="eastAsia" w:ascii="宋体" w:hAnsi="宋体"/>
          <w:szCs w:val="21"/>
        </w:rPr>
        <w:t>每笔业务完成后，计价器营运数据记录实时上传至平台，在GPS终端故障时，或者通讯出现故障时，业务数据将保存在计价器的芯片中，一旦终端修复或者网络恢复正常，营运数据将进行补传，计价器本地保存营运记录不少于800条。支持计价器远程调价功能（未经计量部门允许和业主单位同意，不得开启远程调价功能）。</w:t>
      </w:r>
    </w:p>
    <w:p>
      <w:pPr>
        <w:snapToGrid w:val="0"/>
        <w:spacing w:line="360" w:lineRule="auto"/>
        <w:ind w:firstLine="420" w:firstLineChars="200"/>
        <w:rPr>
          <w:rFonts w:ascii="宋体" w:hAnsi="宋体"/>
          <w:szCs w:val="21"/>
        </w:rPr>
      </w:pPr>
      <w:r>
        <w:rPr>
          <w:rFonts w:hint="eastAsia" w:ascii="宋体" w:hAnsi="宋体"/>
          <w:szCs w:val="21"/>
        </w:rPr>
        <w:t>司机卡功能：计价器配置读卡器，驾驶员通过司机卡开启计价器，支持司机卡对计价器到期锁机从而实现强制进场管理，实现管理水平科技化。中标方须按每车配备2张司机卡的要求配备本项目所需的司机卡；提供相应的司机卡管理软件，并在各出租车企业部署管理软件。</w:t>
      </w:r>
    </w:p>
    <w:p>
      <w:pPr>
        <w:spacing w:line="360" w:lineRule="auto"/>
        <w:ind w:firstLine="422" w:firstLineChars="200"/>
        <w:rPr>
          <w:rFonts w:ascii="宋体" w:hAnsi="宋体"/>
          <w:b/>
          <w:szCs w:val="21"/>
        </w:rPr>
      </w:pPr>
      <w:r>
        <w:rPr>
          <w:rFonts w:hint="eastAsia" w:ascii="宋体" w:hAnsi="宋体"/>
          <w:b/>
          <w:szCs w:val="21"/>
        </w:rPr>
        <w:t>3.录音录像、视频管理功能</w:t>
      </w:r>
    </w:p>
    <w:p>
      <w:pPr>
        <w:spacing w:line="360" w:lineRule="auto"/>
        <w:ind w:firstLine="420" w:firstLineChars="200"/>
        <w:rPr>
          <w:rFonts w:ascii="宋体" w:hAnsi="宋体"/>
          <w:szCs w:val="21"/>
        </w:rPr>
      </w:pPr>
      <w:r>
        <w:rPr>
          <w:rFonts w:hint="eastAsia" w:ascii="宋体" w:hAnsi="宋体"/>
          <w:szCs w:val="21"/>
        </w:rPr>
        <w:t>车辆启动后，设备开始自动对车内车外及后排空间进行实时录音录像功能（对外录像，对内录音录像，后排空间录像），能通过网络视频专用后台进行上传，回放。能够接受平台指令检索，上传终端内储存的语音、照片、视频等信息。当录音或录像出现故障时，在视频平台上可以显示出当前终端的内存容量，设备联网状态等硬件基础信息，并在平台上分权限提醒管理部门或出租车公司。</w:t>
      </w:r>
    </w:p>
    <w:p>
      <w:pPr>
        <w:spacing w:line="360" w:lineRule="auto"/>
        <w:ind w:firstLine="422" w:firstLineChars="200"/>
        <w:rPr>
          <w:rFonts w:ascii="宋体" w:hAnsi="宋体"/>
          <w:b/>
          <w:szCs w:val="21"/>
        </w:rPr>
      </w:pPr>
      <w:r>
        <w:rPr>
          <w:rFonts w:hint="eastAsia" w:ascii="宋体" w:hAnsi="宋体"/>
          <w:b/>
          <w:szCs w:val="21"/>
        </w:rPr>
        <w:t>4.紧急报警功能</w:t>
      </w:r>
    </w:p>
    <w:p>
      <w:pPr>
        <w:spacing w:line="360" w:lineRule="auto"/>
        <w:ind w:firstLine="420" w:firstLineChars="200"/>
        <w:rPr>
          <w:rFonts w:ascii="宋体" w:hAnsi="宋体"/>
          <w:szCs w:val="21"/>
        </w:rPr>
      </w:pPr>
      <w:r>
        <w:rPr>
          <w:rFonts w:hint="eastAsia" w:ascii="宋体" w:hAnsi="宋体"/>
          <w:szCs w:val="21"/>
        </w:rPr>
        <w:t>报警开关隐蔽安装，触动报警开关2秒后触发报警；报警开关应方便驾驶员触发但不易于误碰，触发报警后，报警信息会自动上报车载智能终端基础管理平台，同时顶灯可同步显示报警信息。</w:t>
      </w:r>
    </w:p>
    <w:p>
      <w:pPr>
        <w:spacing w:line="360" w:lineRule="auto"/>
        <w:ind w:firstLine="422" w:firstLineChars="200"/>
        <w:rPr>
          <w:rFonts w:ascii="宋体" w:hAnsi="宋体"/>
          <w:b/>
          <w:szCs w:val="21"/>
        </w:rPr>
      </w:pPr>
      <w:r>
        <w:rPr>
          <w:rFonts w:hint="eastAsia" w:ascii="宋体" w:hAnsi="宋体"/>
          <w:b/>
          <w:szCs w:val="21"/>
        </w:rPr>
        <w:t>5.无线通信功能</w:t>
      </w:r>
    </w:p>
    <w:p>
      <w:pPr>
        <w:spacing w:line="360" w:lineRule="auto"/>
        <w:ind w:firstLine="420" w:firstLineChars="200"/>
        <w:rPr>
          <w:rFonts w:ascii="宋体" w:hAnsi="宋体"/>
          <w:szCs w:val="21"/>
        </w:rPr>
      </w:pPr>
      <w:r>
        <w:rPr>
          <w:rFonts w:hint="eastAsia" w:ascii="宋体" w:hAnsi="宋体"/>
          <w:szCs w:val="21"/>
        </w:rPr>
        <w:t>使用4G高速网络作为通信方式，支持GPS经纬度信息、营运数据（里程、费用、空重载信息等）、视频等数据的盲区补报，支持域名解析或服务器IP地址远程更新，ota软件升级；支持链接两个以上中心平台功能（通过后台网关转发至其他平台，需要协议对接）；支持4G全网通，具备GPS/北斗双模定位。</w:t>
      </w:r>
    </w:p>
    <w:p>
      <w:pPr>
        <w:spacing w:line="360" w:lineRule="auto"/>
        <w:ind w:firstLine="422" w:firstLineChars="200"/>
        <w:rPr>
          <w:rFonts w:ascii="宋体" w:hAnsi="宋体"/>
          <w:b/>
          <w:szCs w:val="21"/>
        </w:rPr>
      </w:pPr>
      <w:r>
        <w:rPr>
          <w:rFonts w:hint="eastAsia" w:ascii="宋体" w:hAnsi="宋体"/>
          <w:b/>
          <w:szCs w:val="21"/>
        </w:rPr>
        <w:t>6. 出租车智能顶灯</w:t>
      </w:r>
    </w:p>
    <w:p>
      <w:pPr>
        <w:spacing w:line="360" w:lineRule="auto"/>
        <w:ind w:firstLine="420" w:firstLineChars="200"/>
        <w:rPr>
          <w:rFonts w:ascii="宋体" w:hAnsi="宋体"/>
          <w:szCs w:val="21"/>
        </w:rPr>
      </w:pPr>
      <w:r>
        <w:rPr>
          <w:rFonts w:hint="eastAsia" w:ascii="宋体" w:hAnsi="宋体"/>
          <w:szCs w:val="21"/>
        </w:rPr>
        <w:t>LED智能顶灯前屏5种状态（空车）（停运）（有客）（电召）（求助</w:t>
      </w:r>
      <w:r>
        <w:rPr>
          <w:rFonts w:ascii="宋体" w:hAnsi="宋体"/>
          <w:szCs w:val="21"/>
        </w:rPr>
        <w:t>）（</w:t>
      </w:r>
      <w:r>
        <w:rPr>
          <w:rFonts w:hint="eastAsia" w:ascii="宋体" w:hAnsi="宋体"/>
          <w:szCs w:val="21"/>
        </w:rPr>
        <w:t>防伪灯条</w:t>
      </w:r>
      <w:r>
        <w:rPr>
          <w:rFonts w:ascii="宋体" w:hAnsi="宋体"/>
          <w:szCs w:val="21"/>
        </w:rPr>
        <w:t>）</w:t>
      </w:r>
      <w:r>
        <w:rPr>
          <w:rFonts w:hint="eastAsia" w:ascii="宋体" w:hAnsi="宋体"/>
          <w:szCs w:val="21"/>
        </w:rPr>
        <w:t>。顶灯支持设备状态通讯联动，可以实现计价器状态传输显示对应状态。智能顶灯应与嘉兴现有出租汽车外观相协调，设计大方，简便实用。智能顶灯安装方便，质量安全可靠，不影响车辆运行安全，不损坏车容车貌。本项目智能顶灯应包含后续顶灯车辆标识印制服务及相关费用。</w:t>
      </w:r>
    </w:p>
    <w:p>
      <w:pPr>
        <w:spacing w:line="360" w:lineRule="auto"/>
        <w:ind w:firstLine="422" w:firstLineChars="200"/>
        <w:rPr>
          <w:rFonts w:ascii="宋体" w:hAnsi="宋体"/>
          <w:b/>
          <w:szCs w:val="21"/>
        </w:rPr>
      </w:pPr>
      <w:r>
        <w:rPr>
          <w:rFonts w:hint="eastAsia" w:ascii="宋体" w:hAnsi="宋体"/>
          <w:b/>
          <w:szCs w:val="21"/>
        </w:rPr>
        <w:t>7.车载智能终端基础平台</w:t>
      </w:r>
    </w:p>
    <w:p>
      <w:pPr>
        <w:spacing w:line="360" w:lineRule="auto"/>
        <w:ind w:firstLine="422" w:firstLineChars="200"/>
        <w:rPr>
          <w:rFonts w:ascii="宋体" w:hAnsi="宋体"/>
          <w:b/>
          <w:szCs w:val="21"/>
        </w:rPr>
      </w:pPr>
      <w:r>
        <w:rPr>
          <w:rFonts w:hint="eastAsia" w:ascii="宋体" w:hAnsi="宋体"/>
          <w:b/>
          <w:szCs w:val="21"/>
        </w:rPr>
        <w:t>（1）管理平台</w:t>
      </w:r>
    </w:p>
    <w:p>
      <w:pPr>
        <w:spacing w:line="360" w:lineRule="auto"/>
        <w:ind w:firstLine="420" w:firstLineChars="200"/>
        <w:rPr>
          <w:rFonts w:ascii="宋体" w:hAnsi="宋体"/>
          <w:szCs w:val="21"/>
        </w:rPr>
      </w:pPr>
      <w:r>
        <w:rPr>
          <w:rFonts w:hint="eastAsia" w:ascii="宋体" w:hAnsi="宋体"/>
          <w:szCs w:val="21"/>
        </w:rPr>
        <w:t>提供一套智能车载终端基础平台，平台正常运行、数据存储所需的软硬件部署在嘉兴市政务云。具有企业在线业务管理等功能。采集相关营运数据并自动上传至车载智能终端基础平台。</w:t>
      </w:r>
    </w:p>
    <w:p>
      <w:pPr>
        <w:spacing w:line="360" w:lineRule="auto"/>
        <w:ind w:firstLine="422" w:firstLineChars="200"/>
        <w:rPr>
          <w:rFonts w:ascii="宋体" w:hAnsi="宋体"/>
          <w:b/>
          <w:szCs w:val="21"/>
        </w:rPr>
      </w:pPr>
      <w:r>
        <w:rPr>
          <w:rFonts w:hint="eastAsia" w:ascii="宋体" w:hAnsi="宋体"/>
          <w:b/>
          <w:szCs w:val="21"/>
        </w:rPr>
        <w:t>（2）监控系统</w:t>
      </w:r>
    </w:p>
    <w:p>
      <w:pPr>
        <w:spacing w:line="360" w:lineRule="auto"/>
        <w:ind w:firstLine="420" w:firstLineChars="200"/>
        <w:rPr>
          <w:rFonts w:ascii="宋体" w:hAnsi="宋体"/>
          <w:b/>
          <w:szCs w:val="21"/>
        </w:rPr>
      </w:pPr>
      <w:r>
        <w:rPr>
          <w:rFonts w:hint="eastAsia" w:ascii="宋体" w:hAnsi="宋体"/>
          <w:szCs w:val="21"/>
        </w:rPr>
        <w:t>支持终端车辆轨迹显示、支持视频预览、回放功能（支持的视频路数不得低于10000路），视频流本地下载、预览，预览的同时可进行紧急抓拍、抓录操作。支持设备抓拍图片的实时上传和查看。</w:t>
      </w:r>
    </w:p>
    <w:p>
      <w:pPr>
        <w:spacing w:line="360" w:lineRule="auto"/>
        <w:ind w:firstLine="422" w:firstLineChars="200"/>
        <w:rPr>
          <w:rFonts w:ascii="宋体" w:hAnsi="宋体"/>
          <w:b/>
          <w:szCs w:val="21"/>
        </w:rPr>
      </w:pPr>
      <w:r>
        <w:rPr>
          <w:rFonts w:hint="eastAsia" w:ascii="宋体" w:hAnsi="宋体"/>
          <w:b/>
          <w:szCs w:val="21"/>
        </w:rPr>
        <w:t>（3）车辆管理</w:t>
      </w:r>
    </w:p>
    <w:p>
      <w:pPr>
        <w:spacing w:line="360" w:lineRule="auto"/>
        <w:ind w:firstLine="420" w:firstLineChars="200"/>
        <w:rPr>
          <w:rFonts w:ascii="宋体" w:hAnsi="宋体"/>
          <w:szCs w:val="21"/>
        </w:rPr>
      </w:pPr>
      <w:r>
        <w:rPr>
          <w:rFonts w:hint="eastAsia" w:ascii="宋体" w:hAnsi="宋体"/>
          <w:szCs w:val="21"/>
        </w:rPr>
        <w:t>在线设备、掉线设备数量统计；CPU、内存使用百分率；具有设备异常（含TF卡、摄像头、GPS）告警；具有设备故障自动报警功能。支持设备升级管理。</w:t>
      </w:r>
    </w:p>
    <w:p>
      <w:pPr>
        <w:spacing w:line="360" w:lineRule="auto"/>
        <w:ind w:firstLine="420" w:firstLineChars="200"/>
        <w:rPr>
          <w:rFonts w:ascii="宋体" w:hAnsi="宋体"/>
          <w:szCs w:val="21"/>
        </w:rPr>
      </w:pPr>
      <w:r>
        <w:rPr>
          <w:rFonts w:hint="eastAsia" w:ascii="宋体" w:hAnsi="宋体"/>
          <w:szCs w:val="21"/>
        </w:rPr>
        <w:t>各出租车企业可以对公司所属车辆进行分组管理，企业可以对车辆广播下发信息、语音指令。可以对车辆信息及车辆驾驶员进行编辑等。</w:t>
      </w:r>
    </w:p>
    <w:p>
      <w:pPr>
        <w:spacing w:line="360" w:lineRule="auto"/>
        <w:ind w:firstLine="422" w:firstLineChars="200"/>
        <w:rPr>
          <w:rFonts w:ascii="宋体" w:hAnsi="宋体"/>
          <w:b/>
          <w:szCs w:val="21"/>
        </w:rPr>
      </w:pPr>
      <w:r>
        <w:rPr>
          <w:rFonts w:hint="eastAsia" w:ascii="宋体" w:hAnsi="宋体"/>
          <w:b/>
          <w:szCs w:val="21"/>
        </w:rPr>
        <w:t>（4）数据融合接入</w:t>
      </w:r>
    </w:p>
    <w:p>
      <w:pPr>
        <w:spacing w:line="360" w:lineRule="auto"/>
        <w:ind w:firstLine="420" w:firstLineChars="200"/>
        <w:rPr>
          <w:rFonts w:ascii="宋体" w:hAnsi="宋体"/>
          <w:szCs w:val="21"/>
        </w:rPr>
      </w:pPr>
      <w:r>
        <w:rPr>
          <w:rFonts w:hint="eastAsia" w:ascii="宋体" w:hAnsi="宋体"/>
          <w:szCs w:val="21"/>
        </w:rPr>
        <w:t>提供车载智能终端配套程序开发服务，完成全市出租汽车营运、轨迹、视频等相关数据接入，并根据省、市要求适时做好数据共享对接工作；确保各项功能的正常使用、数据传输及时有效、保障信息安全。</w:t>
      </w:r>
    </w:p>
    <w:p>
      <w:pPr>
        <w:spacing w:line="360" w:lineRule="auto"/>
        <w:ind w:firstLine="422" w:firstLineChars="200"/>
        <w:rPr>
          <w:rFonts w:ascii="宋体" w:hAnsi="宋体"/>
          <w:b/>
          <w:szCs w:val="21"/>
        </w:rPr>
      </w:pPr>
      <w:r>
        <w:rPr>
          <w:rFonts w:hint="eastAsia" w:ascii="宋体" w:hAnsi="宋体"/>
          <w:b/>
          <w:szCs w:val="21"/>
        </w:rPr>
        <w:t>（5）出租汽车行业运营数据分析</w:t>
      </w:r>
    </w:p>
    <w:p>
      <w:pPr>
        <w:pStyle w:val="88"/>
        <w:ind w:firstLine="420"/>
        <w:rPr>
          <w:rFonts w:ascii="宋体" w:hAnsi="宋体"/>
          <w:color w:val="FF0000"/>
          <w:sz w:val="21"/>
          <w:szCs w:val="21"/>
        </w:rPr>
      </w:pPr>
      <w:r>
        <w:rPr>
          <w:rFonts w:hint="eastAsia" w:ascii="宋体" w:hAnsi="宋体" w:eastAsia="宋体"/>
          <w:sz w:val="21"/>
          <w:szCs w:val="21"/>
        </w:rPr>
        <w:t>能对全市车辆上线、下线情况、营运数据（计程公里、空驶公里、营运时间、交易金额等数据）进行统计分析，能分区域、分企业、分时段、分车辆按年、月、日总量、明细及平均营运数据等分析统计，能对驾驶员收入排行榜，打车热点区域分析、热门出发地达到地分析，并进行图形化展示。运营数据分析需满足行业管理部门要求。</w:t>
      </w:r>
    </w:p>
    <w:p>
      <w:pPr>
        <w:spacing w:line="360" w:lineRule="auto"/>
        <w:ind w:firstLine="422" w:firstLineChars="200"/>
        <w:rPr>
          <w:rFonts w:ascii="宋体" w:hAnsi="宋体"/>
          <w:b/>
          <w:szCs w:val="21"/>
        </w:rPr>
      </w:pPr>
      <w:r>
        <w:rPr>
          <w:rFonts w:hint="eastAsia" w:ascii="宋体" w:hAnsi="宋体"/>
          <w:b/>
          <w:szCs w:val="21"/>
        </w:rPr>
        <w:t>（6）服务质量监管</w:t>
      </w:r>
    </w:p>
    <w:p>
      <w:pPr>
        <w:spacing w:line="360" w:lineRule="auto"/>
        <w:ind w:firstLine="420" w:firstLineChars="200"/>
        <w:rPr>
          <w:rFonts w:ascii="宋体" w:hAnsi="宋体"/>
          <w:szCs w:val="21"/>
        </w:rPr>
      </w:pPr>
      <w:r>
        <w:rPr>
          <w:rFonts w:hint="eastAsia" w:ascii="宋体" w:hAnsi="宋体"/>
          <w:szCs w:val="21"/>
        </w:rPr>
        <w:t>通过调用车载音视频文件、照片、车辆历史运行轨迹等数据，对驾驶员的服务质量进行监管，为服务质量违规行为的认定提供有效手段，从而规范巡游出租汽车的营运行为。</w:t>
      </w:r>
    </w:p>
    <w:p>
      <w:pPr>
        <w:spacing w:line="360" w:lineRule="auto"/>
        <w:ind w:firstLine="422" w:firstLineChars="200"/>
        <w:rPr>
          <w:rFonts w:ascii="宋体" w:hAnsi="宋体"/>
          <w:b/>
          <w:szCs w:val="21"/>
        </w:rPr>
      </w:pPr>
      <w:r>
        <w:rPr>
          <w:rFonts w:hint="eastAsia" w:ascii="宋体" w:hAnsi="宋体"/>
          <w:b/>
          <w:szCs w:val="21"/>
        </w:rPr>
        <w:t>8.电召平台软件</w:t>
      </w:r>
    </w:p>
    <w:p>
      <w:pPr>
        <w:pStyle w:val="8"/>
        <w:spacing w:line="360" w:lineRule="auto"/>
        <w:ind w:firstLineChars="200"/>
        <w:rPr>
          <w:rFonts w:ascii="宋体" w:hAnsi="宋体"/>
          <w:szCs w:val="21"/>
        </w:rPr>
      </w:pPr>
      <w:r>
        <w:rPr>
          <w:rFonts w:hint="eastAsia" w:ascii="宋体" w:hAnsi="宋体"/>
          <w:szCs w:val="21"/>
        </w:rPr>
        <w:t>电召服务管理系统面向全社会提供电召服务。电召服务中心根据乘客提供的召车位置（模糊匹配）、时间等相关信息，按照一定的选择策略，寻找满足要求的空车，并将电召请求发送至符合条件的车辆；驾驶员收到电召请求后，根据各自意愿，对电召信息进行应答；电召服务中心从收到的所有电召应答中筛选符合要求的车辆，并驾驶员信息发送至乘客，与此同时，电召服务中心将乘客联系方式发送给选择的车辆，便于乘客与驾驶员联系。</w:t>
      </w:r>
    </w:p>
    <w:p>
      <w:pPr>
        <w:pStyle w:val="8"/>
        <w:spacing w:line="360" w:lineRule="auto"/>
        <w:ind w:firstLineChars="200"/>
        <w:rPr>
          <w:rFonts w:ascii="宋体" w:hAnsi="宋体"/>
          <w:szCs w:val="21"/>
        </w:rPr>
      </w:pPr>
      <w:r>
        <w:rPr>
          <w:rFonts w:hint="eastAsia" w:ascii="宋体" w:hAnsi="宋体"/>
          <w:szCs w:val="21"/>
        </w:rPr>
        <w:t>电召平台软件的数据来源为车载智能终端基础平台采集及集成县、市车辆的运营数据。</w:t>
      </w:r>
    </w:p>
    <w:p>
      <w:pPr>
        <w:pStyle w:val="8"/>
        <w:spacing w:line="360" w:lineRule="auto"/>
        <w:ind w:firstLineChars="200"/>
        <w:rPr>
          <w:rFonts w:ascii="宋体" w:hAnsi="宋体"/>
          <w:szCs w:val="21"/>
        </w:rPr>
      </w:pPr>
      <w:r>
        <w:rPr>
          <w:rFonts w:hint="eastAsia" w:ascii="宋体" w:hAnsi="宋体"/>
          <w:szCs w:val="21"/>
        </w:rPr>
        <w:t>电召平台需与现有电召电话号码做好衔接，中标方需配合做好软件部署及培训工作。</w:t>
      </w:r>
    </w:p>
    <w:p>
      <w:pPr>
        <w:pStyle w:val="8"/>
        <w:spacing w:line="360" w:lineRule="auto"/>
        <w:ind w:firstLine="400" w:firstLineChars="200"/>
        <w:rPr>
          <w:rFonts w:ascii="宋体" w:hAnsi="宋体"/>
          <w:szCs w:val="21"/>
        </w:rPr>
      </w:pPr>
      <w:r>
        <w:rPr>
          <w:rFonts w:hint="eastAsia" w:ascii="宋体" w:hAnsi="宋体" w:cs="宋体"/>
          <w:kern w:val="0"/>
          <w:sz w:val="20"/>
        </w:rPr>
        <w:t>电召平台软件能在每月5日前导出前一月的电召情况报告，报告主要内容包括但不仅限于以下内容：呼入总量、拨入总量、接听成功量、呼损量、呼入成功率、下发电召量、下发电召率、抢答成功率等统计、分析、汇总。</w:t>
      </w:r>
    </w:p>
    <w:p>
      <w:pPr>
        <w:tabs>
          <w:tab w:val="left" w:pos="3360"/>
          <w:tab w:val="left" w:pos="7920"/>
        </w:tabs>
        <w:spacing w:after="120" w:line="360" w:lineRule="auto"/>
        <w:ind w:firstLine="420" w:firstLineChars="200"/>
        <w:rPr>
          <w:rFonts w:ascii="宋体" w:hAnsi="宋体"/>
          <w:szCs w:val="21"/>
        </w:rPr>
      </w:pPr>
      <w:r>
        <w:rPr>
          <w:rFonts w:hint="eastAsia" w:ascii="宋体" w:hAnsi="宋体"/>
          <w:szCs w:val="21"/>
        </w:rPr>
        <w:t>电召服务管理系统应具有的主要功能包括：</w:t>
      </w:r>
    </w:p>
    <w:p>
      <w:pPr>
        <w:tabs>
          <w:tab w:val="left" w:pos="-3420"/>
        </w:tabs>
        <w:spacing w:line="360" w:lineRule="auto"/>
        <w:ind w:left="563"/>
        <w:rPr>
          <w:rFonts w:ascii="宋体" w:hAnsi="宋体"/>
          <w:szCs w:val="21"/>
        </w:rPr>
      </w:pPr>
      <w:r>
        <w:rPr>
          <w:rFonts w:hint="eastAsia" w:ascii="宋体" w:hAnsi="宋体"/>
          <w:szCs w:val="21"/>
        </w:rPr>
        <w:t>——电召调度</w:t>
      </w:r>
    </w:p>
    <w:p>
      <w:pPr>
        <w:tabs>
          <w:tab w:val="left" w:pos="-3420"/>
        </w:tabs>
        <w:spacing w:line="360" w:lineRule="auto"/>
        <w:ind w:left="563"/>
        <w:rPr>
          <w:rFonts w:ascii="宋体" w:hAnsi="宋体"/>
          <w:szCs w:val="21"/>
        </w:rPr>
      </w:pPr>
      <w:r>
        <w:rPr>
          <w:rFonts w:hint="eastAsia" w:ascii="宋体" w:hAnsi="宋体"/>
          <w:szCs w:val="21"/>
        </w:rPr>
        <w:t>——路线查询</w:t>
      </w:r>
    </w:p>
    <w:p>
      <w:pPr>
        <w:tabs>
          <w:tab w:val="left" w:pos="-3420"/>
        </w:tabs>
        <w:spacing w:line="360" w:lineRule="auto"/>
        <w:ind w:left="563"/>
        <w:rPr>
          <w:rFonts w:ascii="宋体" w:hAnsi="宋体"/>
          <w:szCs w:val="21"/>
        </w:rPr>
      </w:pPr>
      <w:r>
        <w:rPr>
          <w:rFonts w:hint="eastAsia" w:ascii="宋体" w:hAnsi="宋体"/>
          <w:szCs w:val="21"/>
        </w:rPr>
        <w:t>——路况查询</w:t>
      </w:r>
    </w:p>
    <w:p>
      <w:pPr>
        <w:tabs>
          <w:tab w:val="left" w:pos="-3420"/>
        </w:tabs>
        <w:spacing w:line="360" w:lineRule="auto"/>
        <w:ind w:left="563"/>
        <w:rPr>
          <w:rFonts w:ascii="宋体" w:hAnsi="宋体"/>
          <w:szCs w:val="21"/>
        </w:rPr>
      </w:pPr>
      <w:r>
        <w:rPr>
          <w:rFonts w:hint="eastAsia" w:ascii="宋体" w:hAnsi="宋体"/>
          <w:szCs w:val="21"/>
        </w:rPr>
        <w:t>——出城留台</w:t>
      </w:r>
    </w:p>
    <w:p>
      <w:pPr>
        <w:tabs>
          <w:tab w:val="left" w:pos="-3420"/>
        </w:tabs>
        <w:spacing w:line="360" w:lineRule="auto"/>
        <w:ind w:left="563"/>
        <w:rPr>
          <w:rFonts w:ascii="宋体" w:hAnsi="宋体"/>
          <w:szCs w:val="21"/>
        </w:rPr>
      </w:pPr>
      <w:r>
        <w:rPr>
          <w:rFonts w:hint="eastAsia" w:ascii="宋体" w:hAnsi="宋体"/>
          <w:szCs w:val="21"/>
        </w:rPr>
        <w:t>——车辆位置查询</w:t>
      </w:r>
    </w:p>
    <w:p>
      <w:pPr>
        <w:tabs>
          <w:tab w:val="left" w:pos="-3420"/>
        </w:tabs>
        <w:spacing w:line="360" w:lineRule="auto"/>
        <w:ind w:left="563"/>
        <w:rPr>
          <w:rFonts w:ascii="宋体" w:hAnsi="宋体"/>
          <w:szCs w:val="21"/>
        </w:rPr>
      </w:pPr>
      <w:r>
        <w:rPr>
          <w:rFonts w:hint="eastAsia" w:ascii="宋体" w:hAnsi="宋体"/>
          <w:szCs w:val="21"/>
        </w:rPr>
        <w:t>——驾驶员信誉评价</w:t>
      </w:r>
    </w:p>
    <w:p>
      <w:pPr>
        <w:tabs>
          <w:tab w:val="left" w:pos="-3420"/>
        </w:tabs>
        <w:spacing w:line="360" w:lineRule="auto"/>
        <w:ind w:left="563"/>
        <w:rPr>
          <w:rFonts w:ascii="宋体" w:hAnsi="宋体"/>
          <w:szCs w:val="21"/>
        </w:rPr>
      </w:pPr>
      <w:r>
        <w:rPr>
          <w:rFonts w:hint="eastAsia" w:ascii="宋体" w:hAnsi="宋体"/>
          <w:szCs w:val="21"/>
        </w:rPr>
        <w:t>——乘客信誉评价</w:t>
      </w:r>
    </w:p>
    <w:p>
      <w:pPr>
        <w:tabs>
          <w:tab w:val="left" w:pos="-3420"/>
        </w:tabs>
        <w:spacing w:line="360" w:lineRule="auto"/>
        <w:ind w:left="563"/>
        <w:rPr>
          <w:rFonts w:ascii="宋体" w:hAnsi="宋体"/>
          <w:szCs w:val="21"/>
        </w:rPr>
      </w:pPr>
      <w:r>
        <w:rPr>
          <w:rFonts w:hint="eastAsia" w:ascii="宋体" w:hAnsi="宋体"/>
          <w:szCs w:val="21"/>
        </w:rPr>
        <w:t>——查询统计分析</w:t>
      </w:r>
    </w:p>
    <w:p>
      <w:pPr>
        <w:tabs>
          <w:tab w:val="left" w:pos="3360"/>
          <w:tab w:val="left" w:pos="7920"/>
        </w:tabs>
        <w:spacing w:line="360" w:lineRule="auto"/>
        <w:ind w:firstLine="420" w:firstLineChars="200"/>
        <w:rPr>
          <w:rFonts w:ascii="宋体" w:hAnsi="宋体"/>
          <w:szCs w:val="21"/>
        </w:rPr>
      </w:pPr>
      <w:r>
        <w:rPr>
          <w:rFonts w:hint="eastAsia" w:ascii="宋体" w:hAnsi="宋体"/>
          <w:szCs w:val="21"/>
        </w:rPr>
        <w:t>在提高处理效率方面，本系统需与呼叫中心做到无缝连接，同时可尝试使用乘客手机定位技术辅助座席快速查找要车地点。</w:t>
      </w:r>
    </w:p>
    <w:p>
      <w:pPr>
        <w:spacing w:line="360" w:lineRule="auto"/>
        <w:ind w:firstLine="422" w:firstLineChars="200"/>
        <w:rPr>
          <w:rFonts w:ascii="宋体" w:hAnsi="宋体"/>
          <w:b/>
          <w:szCs w:val="21"/>
        </w:rPr>
      </w:pPr>
      <w:r>
        <w:rPr>
          <w:rFonts w:hint="eastAsia" w:ascii="宋体" w:hAnsi="宋体"/>
          <w:b/>
          <w:szCs w:val="21"/>
        </w:rPr>
        <w:t>9.提升出租汽车智能化水平</w:t>
      </w:r>
    </w:p>
    <w:p>
      <w:pPr>
        <w:spacing w:after="120" w:line="360" w:lineRule="auto"/>
        <w:ind w:firstLine="420" w:firstLineChars="200"/>
        <w:rPr>
          <w:rFonts w:ascii="宋体" w:hAnsi="宋体"/>
          <w:szCs w:val="21"/>
        </w:rPr>
      </w:pPr>
      <w:r>
        <w:rPr>
          <w:rFonts w:hint="eastAsia" w:ascii="宋体" w:hAnsi="宋体"/>
          <w:szCs w:val="21"/>
        </w:rPr>
        <w:t>完成对嘉兴市本级1073辆巡游出租汽车车载终端及配套应用软件的改造，实现顶灯联动（与网约车）、重车订单屏蔽（与网约车）、电子支付、扫码评价等功能。</w:t>
      </w:r>
    </w:p>
    <w:p>
      <w:pPr>
        <w:spacing w:line="360" w:lineRule="auto"/>
        <w:ind w:firstLine="422" w:firstLineChars="200"/>
        <w:rPr>
          <w:rFonts w:ascii="宋体" w:hAnsi="宋体"/>
          <w:b/>
          <w:szCs w:val="21"/>
        </w:rPr>
      </w:pPr>
      <w:r>
        <w:rPr>
          <w:rFonts w:hint="eastAsia" w:ascii="宋体" w:hAnsi="宋体"/>
          <w:b/>
          <w:szCs w:val="21"/>
        </w:rPr>
        <w:t>10.提供本地服务网点</w:t>
      </w:r>
    </w:p>
    <w:p>
      <w:pPr>
        <w:spacing w:after="120" w:line="360" w:lineRule="auto"/>
        <w:ind w:firstLine="420" w:firstLineChars="200"/>
        <w:rPr>
          <w:rFonts w:ascii="宋体" w:hAnsi="宋体"/>
          <w:sz w:val="28"/>
          <w:szCs w:val="28"/>
        </w:rPr>
      </w:pPr>
      <w:r>
        <w:rPr>
          <w:rFonts w:hint="eastAsia" w:ascii="宋体" w:hAnsi="宋体"/>
          <w:szCs w:val="21"/>
        </w:rPr>
        <w:t>为驾驶员提供365*12的本地计价器、终端、顶灯的维修服务，一般故障在1小时内无法修复设备时提供备机服务，把对驾驶员的营运影响降到最低，并通过维修管理系统进行现场管理和维修登记和全过程管理。</w:t>
      </w:r>
    </w:p>
    <w:p>
      <w:pPr>
        <w:pStyle w:val="16"/>
        <w:snapToGrid w:val="0"/>
        <w:spacing w:line="360" w:lineRule="auto"/>
        <w:rPr>
          <w:rFonts w:hAnsi="宋体" w:cs="宋体"/>
          <w:b/>
          <w:sz w:val="21"/>
          <w:szCs w:val="21"/>
        </w:rPr>
      </w:pPr>
      <w:r>
        <w:rPr>
          <w:rFonts w:hint="eastAsia" w:hAnsi="宋体" w:cs="宋体"/>
          <w:b/>
          <w:sz w:val="21"/>
          <w:szCs w:val="21"/>
        </w:rPr>
        <w:t>项目内容及技术要求</w:t>
      </w:r>
    </w:p>
    <w:p>
      <w:pPr>
        <w:spacing w:line="360" w:lineRule="auto"/>
        <w:ind w:firstLine="420" w:firstLineChars="200"/>
        <w:rPr>
          <w:rFonts w:ascii="宋体" w:hAnsi="宋体"/>
          <w:szCs w:val="21"/>
        </w:rPr>
      </w:pPr>
      <w:r>
        <w:rPr>
          <w:rFonts w:hint="eastAsia" w:ascii="宋体" w:hAnsi="宋体"/>
          <w:szCs w:val="21"/>
        </w:rPr>
        <w:t>出租汽车车载终端设备主要包括智能车载终端、计价器、智能顶灯、摄像头等，上述设备按照标准接口协议连接成有机整体，通过无线通讯方式实时发送和接收数据。车载终端技术要求应当符合《道路运输车辆卫星定位系统车载终端技术要求》（JT/T794）的有关规定。</w:t>
      </w:r>
    </w:p>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（一）智能车载终端</w:t>
      </w:r>
    </w:p>
    <w:p>
      <w:pPr>
        <w:spacing w:line="360" w:lineRule="auto"/>
        <w:ind w:firstLine="422" w:firstLineChars="200"/>
        <w:rPr>
          <w:rFonts w:ascii="宋体" w:hAnsi="宋体"/>
          <w:b/>
          <w:bCs/>
          <w:szCs w:val="21"/>
        </w:rPr>
      </w:pPr>
      <w:r>
        <w:rPr>
          <w:rFonts w:hint="eastAsia" w:ascii="宋体" w:hAnsi="宋体"/>
          <w:b/>
          <w:bCs/>
          <w:szCs w:val="21"/>
        </w:rPr>
        <w:t>1.整体要求</w:t>
      </w:r>
    </w:p>
    <w:p>
      <w:pPr>
        <w:spacing w:line="360" w:lineRule="auto"/>
        <w:ind w:firstLine="420" w:firstLineChars="200"/>
        <w:rPr>
          <w:rFonts w:ascii="宋体" w:hAnsi="宋体"/>
          <w:szCs w:val="21"/>
        </w:rPr>
      </w:pPr>
      <w:r>
        <w:rPr>
          <w:rFonts w:hint="eastAsia" w:ascii="宋体" w:hAnsi="宋体"/>
          <w:szCs w:val="21"/>
        </w:rPr>
        <w:t>智能车载终端集成在驾驶室前方的集成在车内后视镜。车载终端支持（中国移动、中国联通，中国电信网络）；配备GPS/北斗双模；内置前、后高清摄像头分别不小于1080P 120度视角/ 720P 135度广角，后排高清摄像头不小于720P 120度视角。车辆点火后自动触发录制，可连续不间断录像直至车辆熄火；至少具备16G Flash，2G RAM，4个I/O（3in，1out）,4个RS232串口；支持256GB及以上视频专业存储卡；支持高清输出,图像清晰、细腻；后摄像头具有车内录音功能；能够接受平台指令检索，上传终端内储存的语音，照片，视频；至少可扩展接入1路其他摄像头和1个AI摄像头（用于人脸识别和行为分析）；具备紧急报警装置（隐蔽安装、方便报警）；对巡游出租汽车进行定位监控，包括查看车辆的位置、速度、空重状态、时间、方向和运行轨迹等信息，实时掌握车辆的运行情况；支持实时轨迹显示，支持轨迹与视频、照片联动查看功能；具备设备（摄像头、存储卡、GPS）故障告警功能；具备单车调度、分组调度、分控调度的形式下发调度信息；能实时采集计价器采集的营运数据并实时共享给税务部门生成电子发票；能调用标准税务电子发票开具接口，生成电子发票二维码，由乘客进行扫码下载电子发票。安装方案能满足嘉兴市区所有出租车车型，方便查看和操作，不影响驾乘安全。终端材质应符合无毒害、无放射性的要求。</w:t>
      </w:r>
    </w:p>
    <w:p>
      <w:pPr>
        <w:spacing w:line="360" w:lineRule="auto"/>
        <w:ind w:firstLine="422" w:firstLineChars="200"/>
        <w:rPr>
          <w:rFonts w:ascii="宋体" w:hAnsi="宋体"/>
          <w:b/>
          <w:szCs w:val="21"/>
        </w:rPr>
      </w:pPr>
      <w:r>
        <w:rPr>
          <w:rFonts w:hint="eastAsia" w:ascii="宋体" w:hAnsi="宋体"/>
          <w:b/>
          <w:szCs w:val="21"/>
        </w:rPr>
        <w:t>2.外观要求</w:t>
      </w:r>
    </w:p>
    <w:p>
      <w:pPr>
        <w:spacing w:line="360" w:lineRule="auto"/>
        <w:ind w:firstLine="420" w:firstLineChars="200"/>
        <w:rPr>
          <w:rFonts w:ascii="宋体" w:hAnsi="宋体"/>
          <w:szCs w:val="21"/>
        </w:rPr>
      </w:pPr>
      <w:r>
        <w:rPr>
          <w:rFonts w:hint="eastAsia" w:ascii="宋体" w:hAnsi="宋体"/>
          <w:szCs w:val="21"/>
        </w:rPr>
        <w:t>外观应无锈蚀、锈斑、裂纹、褪色、污迹、变形、镀涂层脱落，亦无明显划痕、毛剌；塑料件应无起泡、开裂、变形；灌注物应无溢出等现象；结构件与控制组件应完整，无机械损伤。如采用铅封装置，铅封应完好。</w:t>
      </w:r>
    </w:p>
    <w:p>
      <w:pPr>
        <w:spacing w:line="360" w:lineRule="auto"/>
        <w:ind w:firstLine="422" w:firstLineChars="200"/>
        <w:rPr>
          <w:rFonts w:ascii="宋体" w:hAnsi="宋体"/>
          <w:b/>
          <w:szCs w:val="21"/>
        </w:rPr>
      </w:pPr>
      <w:r>
        <w:rPr>
          <w:rFonts w:hint="eastAsia" w:ascii="宋体" w:hAnsi="宋体"/>
          <w:b/>
          <w:szCs w:val="21"/>
        </w:rPr>
        <w:t>3.设备自检要求</w:t>
      </w:r>
    </w:p>
    <w:p>
      <w:pPr>
        <w:spacing w:line="360" w:lineRule="auto"/>
        <w:ind w:firstLine="420" w:firstLineChars="200"/>
        <w:rPr>
          <w:rFonts w:ascii="宋体" w:hAnsi="宋体"/>
          <w:szCs w:val="21"/>
        </w:rPr>
      </w:pPr>
      <w:r>
        <w:rPr>
          <w:rFonts w:hint="eastAsia" w:ascii="宋体" w:hAnsi="宋体"/>
          <w:szCs w:val="21"/>
        </w:rPr>
        <w:t>通过信号灯或显示屏明确表示运营专用设备当前主要状态，包括主电源状态、智能车载终端工作状态，以及计价器、智能顶灯、摄像装置等外设的的工作状态；当智能车载终端或其他外设终端出现故障时，应通过信号灯或显示屏标识故障信息，及时上传至基础平台，并自动报警。</w:t>
      </w:r>
    </w:p>
    <w:p>
      <w:pPr>
        <w:spacing w:line="360" w:lineRule="auto"/>
        <w:ind w:firstLine="422" w:firstLineChars="200"/>
        <w:rPr>
          <w:rFonts w:ascii="宋体" w:hAnsi="宋体"/>
          <w:b/>
          <w:szCs w:val="21"/>
        </w:rPr>
      </w:pPr>
      <w:r>
        <w:rPr>
          <w:rFonts w:hint="eastAsia" w:ascii="宋体" w:hAnsi="宋体"/>
          <w:b/>
          <w:szCs w:val="21"/>
        </w:rPr>
        <w:t>4.运行要求</w:t>
      </w:r>
    </w:p>
    <w:p>
      <w:pPr>
        <w:spacing w:line="360" w:lineRule="auto"/>
        <w:ind w:firstLine="420" w:firstLineChars="200"/>
        <w:rPr>
          <w:rFonts w:ascii="宋体" w:hAnsi="宋体"/>
          <w:szCs w:val="21"/>
        </w:rPr>
      </w:pPr>
      <w:r>
        <w:rPr>
          <w:rFonts w:hint="eastAsia" w:ascii="宋体" w:hAnsi="宋体"/>
          <w:szCs w:val="21"/>
        </w:rPr>
        <w:t>终端及固件应保持24小时持续独立稳定工作，车载智能终端基础平台能保证出租车运营数据要求全天候的收发，并且数据要保持完整性。同时还应满足以下性能要求：</w:t>
      </w:r>
    </w:p>
    <w:p>
      <w:pPr>
        <w:spacing w:line="360" w:lineRule="auto"/>
        <w:ind w:firstLine="420" w:firstLineChars="200"/>
        <w:rPr>
          <w:rFonts w:ascii="宋体" w:hAnsi="宋体"/>
          <w:szCs w:val="21"/>
        </w:rPr>
      </w:pPr>
      <w:r>
        <w:rPr>
          <w:rFonts w:hint="eastAsia" w:ascii="宋体" w:hAnsi="宋体"/>
          <w:szCs w:val="21"/>
        </w:rPr>
        <w:t>——设计使用寿命应大于8年；</w:t>
      </w:r>
    </w:p>
    <w:p>
      <w:pPr>
        <w:spacing w:line="360" w:lineRule="auto"/>
        <w:ind w:firstLine="420" w:firstLineChars="200"/>
        <w:rPr>
          <w:rFonts w:ascii="宋体" w:hAnsi="宋体"/>
          <w:szCs w:val="21"/>
        </w:rPr>
      </w:pPr>
      <w:r>
        <w:rPr>
          <w:rFonts w:hint="eastAsia" w:ascii="宋体" w:hAnsi="宋体"/>
          <w:szCs w:val="21"/>
        </w:rPr>
        <w:t>——平均无故障运行时间（MTBF）应大于15000小时；</w:t>
      </w:r>
    </w:p>
    <w:p>
      <w:pPr>
        <w:spacing w:line="360" w:lineRule="auto"/>
        <w:ind w:firstLine="420" w:firstLineChars="200"/>
        <w:rPr>
          <w:rFonts w:ascii="宋体" w:hAnsi="宋体"/>
          <w:szCs w:val="21"/>
        </w:rPr>
      </w:pPr>
      <w:r>
        <w:rPr>
          <w:rFonts w:hint="eastAsia" w:ascii="宋体" w:hAnsi="宋体"/>
          <w:szCs w:val="21"/>
        </w:rPr>
        <w:t>——终端突然断电后，已存储的数据不应出现丢失或修改现象；终端再次加电后应能正常工作。</w:t>
      </w:r>
    </w:p>
    <w:p>
      <w:pPr>
        <w:spacing w:line="360" w:lineRule="auto"/>
        <w:ind w:firstLine="420" w:firstLineChars="200"/>
        <w:rPr>
          <w:rFonts w:ascii="宋体" w:hAnsi="宋体"/>
          <w:szCs w:val="21"/>
        </w:rPr>
      </w:pPr>
      <w:r>
        <w:rPr>
          <w:rFonts w:hint="eastAsia" w:ascii="宋体" w:hAnsi="宋体"/>
          <w:szCs w:val="21"/>
        </w:rPr>
        <w:t>——要求所有的硬件设备应具备耐久性，质量过硬，可以长期安全使用。</w:t>
      </w:r>
    </w:p>
    <w:p>
      <w:pPr>
        <w:spacing w:line="360" w:lineRule="auto"/>
        <w:ind w:firstLine="420" w:firstLineChars="200"/>
        <w:rPr>
          <w:rFonts w:ascii="宋体" w:hAnsi="宋体"/>
          <w:szCs w:val="21"/>
        </w:rPr>
      </w:pPr>
      <w:r>
        <w:rPr>
          <w:rFonts w:hint="eastAsia" w:ascii="宋体" w:hAnsi="宋体"/>
          <w:szCs w:val="21"/>
        </w:rPr>
        <w:t>——视频数据本地保存不少于15天，营运数据本地保存3000条。</w:t>
      </w:r>
    </w:p>
    <w:p>
      <w:pPr>
        <w:spacing w:line="360" w:lineRule="auto"/>
        <w:ind w:firstLine="422" w:firstLineChars="200"/>
        <w:rPr>
          <w:rFonts w:ascii="宋体" w:hAnsi="宋体"/>
          <w:b/>
          <w:szCs w:val="21"/>
        </w:rPr>
      </w:pPr>
      <w:r>
        <w:rPr>
          <w:rFonts w:hint="eastAsia" w:ascii="宋体" w:hAnsi="宋体"/>
          <w:b/>
          <w:szCs w:val="21"/>
        </w:rPr>
        <w:t>5.数据加解密要求</w:t>
      </w:r>
    </w:p>
    <w:p>
      <w:pPr>
        <w:spacing w:line="360" w:lineRule="auto"/>
        <w:ind w:firstLine="420" w:firstLineChars="200"/>
        <w:rPr>
          <w:rFonts w:ascii="宋体" w:hAnsi="宋体"/>
          <w:szCs w:val="21"/>
        </w:rPr>
      </w:pPr>
      <w:r>
        <w:rPr>
          <w:rFonts w:hint="eastAsia" w:ascii="宋体" w:hAnsi="宋体"/>
          <w:szCs w:val="21"/>
        </w:rPr>
        <w:t>——智能服务终端上传的营运数据、定位数据、刷卡、消费数据可加密上传；</w:t>
      </w:r>
    </w:p>
    <w:p>
      <w:pPr>
        <w:spacing w:line="360" w:lineRule="auto"/>
        <w:ind w:firstLine="420" w:firstLineChars="200"/>
        <w:rPr>
          <w:rFonts w:ascii="宋体" w:hAnsi="宋体"/>
          <w:szCs w:val="21"/>
        </w:rPr>
      </w:pPr>
      <w:r>
        <w:rPr>
          <w:rFonts w:hint="eastAsia" w:ascii="宋体" w:hAnsi="宋体"/>
          <w:szCs w:val="21"/>
        </w:rPr>
        <w:t>——每个智能服务终端应使用各自不同的加解密密钥。</w:t>
      </w:r>
    </w:p>
    <w:p>
      <w:pPr>
        <w:spacing w:line="360" w:lineRule="auto"/>
        <w:ind w:firstLine="422" w:firstLineChars="200"/>
        <w:rPr>
          <w:rFonts w:ascii="宋体" w:hAnsi="宋体"/>
          <w:b/>
          <w:szCs w:val="21"/>
        </w:rPr>
      </w:pPr>
      <w:r>
        <w:rPr>
          <w:rFonts w:hint="eastAsia" w:ascii="宋体" w:hAnsi="宋体"/>
          <w:b/>
          <w:szCs w:val="21"/>
        </w:rPr>
        <w:t>6.智能车载终端显示屏及操作要求</w:t>
      </w:r>
    </w:p>
    <w:p>
      <w:pPr>
        <w:spacing w:line="360" w:lineRule="auto"/>
        <w:ind w:firstLine="420" w:firstLineChars="200"/>
        <w:rPr>
          <w:rFonts w:ascii="宋体" w:hAnsi="宋体"/>
          <w:szCs w:val="21"/>
        </w:rPr>
      </w:pPr>
      <w:r>
        <w:rPr>
          <w:rFonts w:hint="eastAsia" w:ascii="宋体" w:hAnsi="宋体"/>
          <w:szCs w:val="21"/>
        </w:rPr>
        <w:t>——具备单车调度、分组调度、分控调度的形式下发调度信息；</w:t>
      </w:r>
    </w:p>
    <w:p>
      <w:pPr>
        <w:spacing w:line="360" w:lineRule="auto"/>
        <w:ind w:firstLine="420" w:firstLineChars="200"/>
        <w:rPr>
          <w:rFonts w:ascii="宋体" w:hAnsi="宋体"/>
          <w:szCs w:val="21"/>
        </w:rPr>
      </w:pPr>
      <w:r>
        <w:rPr>
          <w:rFonts w:hint="eastAsia" w:ascii="宋体" w:hAnsi="宋体"/>
          <w:szCs w:val="21"/>
        </w:rPr>
        <w:t>——显示屏显示应清晰、完整，不得有缺损现象。</w:t>
      </w:r>
    </w:p>
    <w:p>
      <w:pPr>
        <w:spacing w:line="360" w:lineRule="auto"/>
        <w:ind w:firstLine="420" w:firstLineChars="200"/>
        <w:rPr>
          <w:rFonts w:ascii="宋体" w:hAnsi="宋体"/>
          <w:szCs w:val="21"/>
        </w:rPr>
      </w:pPr>
      <w:r>
        <w:rPr>
          <w:rFonts w:hint="eastAsia" w:ascii="宋体" w:hAnsi="宋体"/>
          <w:szCs w:val="21"/>
        </w:rPr>
        <w:t>——显示分辨率FHD,HD,QHD,FWVGA,WVGA ，7寸及以上TFT屏；显示文字清晰、图片不失真；</w:t>
      </w:r>
    </w:p>
    <w:p>
      <w:pPr>
        <w:spacing w:line="360" w:lineRule="auto"/>
        <w:ind w:firstLine="420" w:firstLineChars="200"/>
        <w:rPr>
          <w:rFonts w:ascii="宋体" w:hAnsi="宋体"/>
          <w:szCs w:val="21"/>
        </w:rPr>
      </w:pPr>
      <w:r>
        <w:rPr>
          <w:rFonts w:hint="eastAsia" w:ascii="宋体" w:hAnsi="宋体"/>
          <w:szCs w:val="21"/>
        </w:rPr>
        <w:t>——支持语音播报，提示音应清晰，音量可调节；可具有多种不同的提示声音来分辨不同操作及业务提示；</w:t>
      </w:r>
    </w:p>
    <w:p>
      <w:pPr>
        <w:spacing w:line="360" w:lineRule="auto"/>
        <w:ind w:firstLine="420" w:firstLineChars="200"/>
        <w:rPr>
          <w:rFonts w:ascii="宋体" w:hAnsi="宋体"/>
          <w:szCs w:val="21"/>
        </w:rPr>
      </w:pPr>
      <w:r>
        <w:rPr>
          <w:rFonts w:hint="eastAsia" w:ascii="宋体" w:hAnsi="宋体"/>
          <w:szCs w:val="21"/>
        </w:rPr>
        <w:t>——支持按键操作，键数、标注和布局合理，方便使用；应配备确认键、上下移动键、取消键和业务键等便于驾驶员操作的按键；可选支持触摸屏按键操作。</w:t>
      </w:r>
    </w:p>
    <w:p>
      <w:pPr>
        <w:spacing w:line="360" w:lineRule="auto"/>
        <w:ind w:firstLine="420" w:firstLineChars="200"/>
        <w:rPr>
          <w:rFonts w:ascii="宋体" w:hAnsi="宋体"/>
          <w:szCs w:val="21"/>
        </w:rPr>
      </w:pPr>
      <w:r>
        <w:rPr>
          <w:rFonts w:hint="eastAsia" w:ascii="宋体" w:hAnsi="宋体"/>
          <w:szCs w:val="21"/>
        </w:rPr>
        <w:t>——可被指定号码监听、通话。</w:t>
      </w:r>
    </w:p>
    <w:p>
      <w:pPr>
        <w:spacing w:line="360" w:lineRule="auto"/>
        <w:ind w:firstLine="420" w:firstLineChars="200"/>
        <w:rPr>
          <w:rFonts w:ascii="宋体" w:hAnsi="宋体"/>
          <w:szCs w:val="21"/>
        </w:rPr>
      </w:pPr>
      <w:r>
        <w:rPr>
          <w:rFonts w:hint="eastAsia" w:ascii="宋体" w:hAnsi="宋体"/>
          <w:szCs w:val="21"/>
        </w:rPr>
        <w:t>——具备电话回拨功能。</w:t>
      </w:r>
    </w:p>
    <w:p>
      <w:pPr>
        <w:spacing w:line="360" w:lineRule="auto"/>
        <w:ind w:firstLine="420" w:firstLineChars="200"/>
        <w:rPr>
          <w:rFonts w:ascii="宋体" w:hAnsi="宋体"/>
          <w:szCs w:val="21"/>
        </w:rPr>
      </w:pPr>
      <w:r>
        <w:rPr>
          <w:rFonts w:hint="eastAsia" w:ascii="宋体" w:hAnsi="宋体"/>
          <w:szCs w:val="21"/>
        </w:rPr>
        <w:t>——可以对所有车辆或部分车辆进行广播、下发语音或文字信息指令。</w:t>
      </w:r>
    </w:p>
    <w:p>
      <w:pPr>
        <w:spacing w:line="360" w:lineRule="auto"/>
        <w:ind w:firstLine="420" w:firstLineChars="200"/>
        <w:rPr>
          <w:rFonts w:ascii="宋体" w:hAnsi="宋体"/>
          <w:szCs w:val="21"/>
        </w:rPr>
      </w:pPr>
      <w:r>
        <w:rPr>
          <w:rFonts w:hint="eastAsia" w:ascii="宋体" w:hAnsi="宋体"/>
          <w:szCs w:val="21"/>
        </w:rPr>
        <w:t>——可以自动广播并显示企业管理人员下发的语音指令信息及文字信息。</w:t>
      </w:r>
    </w:p>
    <w:p>
      <w:pPr>
        <w:spacing w:line="360" w:lineRule="auto"/>
        <w:ind w:firstLine="422" w:firstLineChars="200"/>
        <w:rPr>
          <w:rFonts w:ascii="宋体" w:hAnsi="宋体"/>
          <w:b/>
          <w:szCs w:val="21"/>
        </w:rPr>
      </w:pPr>
      <w:r>
        <w:rPr>
          <w:rFonts w:hint="eastAsia" w:ascii="宋体" w:hAnsi="宋体"/>
          <w:b/>
          <w:szCs w:val="21"/>
        </w:rPr>
        <w:t>7.卫星定位要求</w:t>
      </w:r>
    </w:p>
    <w:p>
      <w:pPr>
        <w:spacing w:line="360" w:lineRule="auto"/>
        <w:ind w:firstLine="420" w:firstLineChars="200"/>
        <w:rPr>
          <w:rFonts w:ascii="宋体" w:hAnsi="宋体"/>
          <w:szCs w:val="21"/>
        </w:rPr>
      </w:pPr>
      <w:r>
        <w:rPr>
          <w:rFonts w:hint="eastAsia" w:ascii="宋体" w:hAnsi="宋体"/>
          <w:szCs w:val="21"/>
        </w:rPr>
        <w:t>——卫星接收通道：不小于</w:t>
      </w:r>
      <w:r>
        <w:rPr>
          <w:rFonts w:ascii="宋体" w:hAnsi="宋体"/>
          <w:szCs w:val="21"/>
        </w:rPr>
        <w:t>12</w:t>
      </w:r>
      <w:r>
        <w:rPr>
          <w:rFonts w:hint="eastAsia" w:ascii="宋体" w:hAnsi="宋体"/>
          <w:szCs w:val="21"/>
        </w:rPr>
        <w:t>个；</w:t>
      </w:r>
    </w:p>
    <w:p>
      <w:pPr>
        <w:spacing w:line="360" w:lineRule="auto"/>
        <w:ind w:firstLine="420" w:firstLineChars="200"/>
        <w:rPr>
          <w:rFonts w:ascii="宋体" w:hAnsi="宋体"/>
          <w:szCs w:val="21"/>
        </w:rPr>
      </w:pPr>
      <w:r>
        <w:rPr>
          <w:rFonts w:hint="eastAsia" w:ascii="宋体" w:hAnsi="宋体"/>
          <w:szCs w:val="21"/>
        </w:rPr>
        <w:t>——灵敏度：优于</w:t>
      </w:r>
      <w:r>
        <w:rPr>
          <w:rFonts w:ascii="宋体" w:hAnsi="宋体"/>
          <w:szCs w:val="21"/>
        </w:rPr>
        <w:t>-130dBm</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——水平定位精度不大于</w:t>
      </w:r>
      <w:r>
        <w:rPr>
          <w:rFonts w:ascii="宋体" w:hAnsi="宋体"/>
          <w:szCs w:val="21"/>
        </w:rPr>
        <w:t>15m</w:t>
      </w:r>
      <w:r>
        <w:rPr>
          <w:rFonts w:hint="eastAsia" w:ascii="宋体" w:hAnsi="宋体"/>
          <w:szCs w:val="21"/>
        </w:rPr>
        <w:t>，高程定位精度不大于</w:t>
      </w:r>
      <w:r>
        <w:rPr>
          <w:rFonts w:ascii="宋体" w:hAnsi="宋体"/>
          <w:szCs w:val="21"/>
        </w:rPr>
        <w:t>30m</w:t>
      </w:r>
      <w:r>
        <w:rPr>
          <w:rFonts w:hint="eastAsia" w:ascii="宋体" w:hAnsi="宋体"/>
          <w:szCs w:val="21"/>
        </w:rPr>
        <w:t>，速度定位精度不大于</w:t>
      </w:r>
      <w:r>
        <w:rPr>
          <w:rFonts w:ascii="宋体" w:hAnsi="宋体"/>
          <w:szCs w:val="21"/>
        </w:rPr>
        <w:t>2m/s</w:t>
      </w:r>
      <w:r>
        <w:rPr>
          <w:rFonts w:hint="eastAsia" w:ascii="宋体" w:hAnsi="宋体"/>
          <w:szCs w:val="21"/>
        </w:rPr>
        <w:t>；差分定位精度（可选）：</w:t>
      </w:r>
      <w:r>
        <w:rPr>
          <w:rFonts w:ascii="宋体" w:hAnsi="宋体"/>
          <w:szCs w:val="21"/>
        </w:rPr>
        <w:t>1m</w:t>
      </w:r>
      <w:r>
        <w:rPr>
          <w:rFonts w:hint="eastAsia" w:ascii="宋体" w:hAnsi="宋体"/>
          <w:szCs w:val="21"/>
        </w:rPr>
        <w:t>～</w:t>
      </w:r>
      <w:r>
        <w:rPr>
          <w:rFonts w:ascii="宋体" w:hAnsi="宋体"/>
          <w:szCs w:val="21"/>
        </w:rPr>
        <w:t>5m</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——最小位置更新率为</w:t>
      </w:r>
      <w:r>
        <w:rPr>
          <w:rFonts w:ascii="宋体" w:hAnsi="宋体"/>
          <w:szCs w:val="21"/>
        </w:rPr>
        <w:t>1Hz</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——热启动：实现捕获时间不超过</w:t>
      </w:r>
      <w:r>
        <w:rPr>
          <w:rFonts w:ascii="宋体" w:hAnsi="宋体"/>
          <w:szCs w:val="21"/>
        </w:rPr>
        <w:t>10s</w:t>
      </w:r>
      <w:r>
        <w:rPr>
          <w:rFonts w:hint="eastAsia" w:ascii="宋体" w:hAnsi="宋体"/>
          <w:szCs w:val="21"/>
        </w:rPr>
        <w:t>；</w:t>
      </w:r>
    </w:p>
    <w:p>
      <w:pPr>
        <w:spacing w:line="360" w:lineRule="auto"/>
        <w:ind w:firstLine="422" w:firstLineChars="200"/>
        <w:rPr>
          <w:rFonts w:ascii="宋体" w:hAnsi="宋体"/>
          <w:szCs w:val="21"/>
        </w:rPr>
      </w:pPr>
      <w:r>
        <w:rPr>
          <w:rFonts w:hint="eastAsia" w:ascii="宋体" w:hAnsi="宋体"/>
          <w:b/>
          <w:szCs w:val="21"/>
        </w:rPr>
        <w:t>——</w:t>
      </w:r>
      <w:r>
        <w:rPr>
          <w:rFonts w:hint="eastAsia" w:ascii="宋体" w:hAnsi="宋体"/>
          <w:szCs w:val="21"/>
        </w:rPr>
        <w:t>具备拐点补传；</w:t>
      </w:r>
    </w:p>
    <w:p>
      <w:pPr>
        <w:spacing w:line="360" w:lineRule="auto"/>
        <w:ind w:firstLine="420" w:firstLineChars="200"/>
        <w:rPr>
          <w:rFonts w:ascii="宋体" w:hAnsi="宋体"/>
          <w:szCs w:val="21"/>
        </w:rPr>
      </w:pPr>
      <w:r>
        <w:rPr>
          <w:rFonts w:hint="eastAsia" w:ascii="宋体" w:hAnsi="宋体"/>
          <w:szCs w:val="21"/>
        </w:rPr>
        <w:t>——GPS数据传输频率不低于15s。</w:t>
      </w:r>
    </w:p>
    <w:p>
      <w:pPr>
        <w:spacing w:line="360" w:lineRule="auto"/>
        <w:ind w:firstLine="422" w:firstLineChars="200"/>
        <w:rPr>
          <w:rFonts w:ascii="宋体" w:hAnsi="宋体"/>
          <w:b/>
          <w:szCs w:val="21"/>
        </w:rPr>
      </w:pPr>
      <w:r>
        <w:rPr>
          <w:rFonts w:hint="eastAsia" w:ascii="宋体" w:hAnsi="宋体"/>
          <w:b/>
          <w:szCs w:val="21"/>
        </w:rPr>
        <w:t>8.车载智能终端摄像头</w:t>
      </w:r>
    </w:p>
    <w:p>
      <w:pPr>
        <w:spacing w:line="360" w:lineRule="auto"/>
        <w:ind w:firstLine="420" w:firstLineChars="200"/>
        <w:rPr>
          <w:rFonts w:ascii="宋体" w:hAnsi="宋体"/>
          <w:szCs w:val="21"/>
        </w:rPr>
      </w:pPr>
      <w:r>
        <w:rPr>
          <w:rFonts w:hint="eastAsia" w:ascii="宋体" w:hAnsi="宋体"/>
          <w:szCs w:val="21"/>
        </w:rPr>
        <w:t>车载智能终端内置两个摄像头，应具备防护、锁定装置，防止随意拆卸、破坏存储设备，可实现数据自动覆盖，可支持对重要数据标记，该类数据不允许被覆盖。</w:t>
      </w:r>
    </w:p>
    <w:p>
      <w:pPr>
        <w:spacing w:line="360" w:lineRule="auto"/>
        <w:ind w:firstLine="422" w:firstLineChars="200"/>
        <w:rPr>
          <w:rFonts w:ascii="宋体" w:hAnsi="宋体"/>
          <w:b/>
          <w:szCs w:val="21"/>
        </w:rPr>
      </w:pPr>
      <w:r>
        <w:rPr>
          <w:rFonts w:hint="eastAsia" w:ascii="宋体" w:hAnsi="宋体"/>
          <w:b/>
          <w:szCs w:val="21"/>
        </w:rPr>
        <w:t>（1）对外摄像头</w:t>
      </w:r>
    </w:p>
    <w:p>
      <w:pPr>
        <w:spacing w:line="360" w:lineRule="auto"/>
        <w:ind w:firstLine="420" w:firstLineChars="200"/>
        <w:rPr>
          <w:rFonts w:ascii="宋体" w:hAnsi="宋体"/>
          <w:szCs w:val="21"/>
        </w:rPr>
      </w:pPr>
      <w:r>
        <w:rPr>
          <w:rFonts w:hint="eastAsia" w:ascii="宋体" w:hAnsi="宋体"/>
          <w:szCs w:val="21"/>
        </w:rPr>
        <w:t xml:space="preserve">对外摄像机拍摄车外场景，广角不小于120度；外摄像头具备拍摄视频（行车记录）功能，支持 </w:t>
      </w:r>
      <w:r>
        <w:rPr>
          <w:rFonts w:ascii="宋体" w:hAnsi="宋体"/>
          <w:szCs w:val="21"/>
        </w:rPr>
        <w:t>1080p@30fps</w:t>
      </w:r>
      <w:r>
        <w:rPr>
          <w:rFonts w:hint="eastAsia" w:ascii="宋体" w:hAnsi="宋体"/>
          <w:szCs w:val="21"/>
        </w:rPr>
        <w:t xml:space="preserve"> 720P@</w:t>
      </w:r>
      <w:r>
        <w:rPr>
          <w:rFonts w:ascii="宋体" w:hAnsi="宋体"/>
          <w:szCs w:val="21"/>
        </w:rPr>
        <w:t>6</w:t>
      </w:r>
      <w:r>
        <w:rPr>
          <w:rFonts w:hint="eastAsia" w:ascii="宋体" w:hAnsi="宋体"/>
          <w:szCs w:val="21"/>
        </w:rPr>
        <w:t>0fps</w:t>
      </w:r>
      <w:r>
        <w:rPr>
          <w:rFonts w:ascii="宋体" w:hAnsi="宋体"/>
          <w:szCs w:val="21"/>
        </w:rPr>
        <w:t xml:space="preserve"> 720P@30fps</w:t>
      </w:r>
      <w:r>
        <w:rPr>
          <w:rFonts w:hint="eastAsia" w:ascii="宋体" w:hAnsi="宋体"/>
          <w:szCs w:val="21"/>
        </w:rPr>
        <w:t>格式，有效像素1920（水平）*1080（垂直），支持高清输出。</w:t>
      </w:r>
    </w:p>
    <w:p>
      <w:pPr>
        <w:spacing w:line="360" w:lineRule="auto"/>
        <w:ind w:firstLine="422" w:firstLineChars="200"/>
        <w:rPr>
          <w:rFonts w:ascii="宋体" w:hAnsi="宋体"/>
          <w:b/>
          <w:szCs w:val="21"/>
        </w:rPr>
      </w:pPr>
      <w:r>
        <w:rPr>
          <w:rFonts w:hint="eastAsia" w:ascii="宋体" w:hAnsi="宋体"/>
          <w:b/>
          <w:szCs w:val="21"/>
        </w:rPr>
        <w:t>（2）对内摄像头</w:t>
      </w:r>
    </w:p>
    <w:p>
      <w:pPr>
        <w:spacing w:line="360" w:lineRule="auto"/>
        <w:ind w:firstLine="420" w:firstLineChars="200"/>
        <w:rPr>
          <w:rFonts w:ascii="宋体" w:hAnsi="宋体"/>
          <w:szCs w:val="21"/>
        </w:rPr>
      </w:pPr>
      <w:r>
        <w:rPr>
          <w:rFonts w:hint="eastAsia" w:ascii="宋体" w:hAnsi="宋体"/>
          <w:szCs w:val="21"/>
        </w:rPr>
        <w:t>对内摄像头为红外摄像头，并具有全车清晰录音功能，可清晰拍摄到车内司机及前后排乘客。后高清摄像头不小于720P 135度广角。</w:t>
      </w:r>
    </w:p>
    <w:p>
      <w:pPr>
        <w:spacing w:line="360" w:lineRule="auto"/>
        <w:ind w:firstLine="420" w:firstLineChars="200"/>
        <w:rPr>
          <w:rFonts w:ascii="宋体" w:hAnsi="宋体"/>
          <w:szCs w:val="21"/>
        </w:rPr>
      </w:pPr>
      <w:r>
        <w:rPr>
          <w:rFonts w:hint="eastAsia" w:ascii="宋体" w:hAnsi="宋体"/>
          <w:szCs w:val="21"/>
        </w:rPr>
        <w:t>支持高清输出,图像清晰、细腻,分辨率达 720p；支持低照度，0.1 Lux@(F1.2，AGC ON)；支持自动白平衡功能；支持720p@25fps；720p@30fps；车载防震设计；有效像素：1280(水平)×720(垂直)；最低照度：0.1 Lux @ (F1.2, AGC ON)；音频输入：内置 MIC，可清晰采集车内语音；工作温度-35℃~65℃，90%功耗 2W MAX。</w:t>
      </w:r>
    </w:p>
    <w:p>
      <w:pPr>
        <w:spacing w:line="360" w:lineRule="auto"/>
        <w:ind w:firstLine="422" w:firstLineChars="200"/>
        <w:rPr>
          <w:rFonts w:ascii="宋体" w:hAnsi="宋体"/>
          <w:szCs w:val="21"/>
        </w:rPr>
      </w:pPr>
      <w:r>
        <w:rPr>
          <w:rFonts w:hint="eastAsia" w:ascii="宋体" w:hAnsi="宋体"/>
          <w:b/>
          <w:szCs w:val="21"/>
        </w:rPr>
        <w:t>9.录音、录像管理要求</w:t>
      </w:r>
    </w:p>
    <w:p>
      <w:pPr>
        <w:spacing w:line="360" w:lineRule="auto"/>
        <w:ind w:firstLine="420" w:firstLineChars="200"/>
        <w:rPr>
          <w:rFonts w:ascii="宋体" w:hAnsi="宋体"/>
          <w:szCs w:val="21"/>
        </w:rPr>
      </w:pPr>
      <w:r>
        <w:rPr>
          <w:rFonts w:hint="eastAsia" w:ascii="宋体" w:hAnsi="宋体"/>
          <w:szCs w:val="21"/>
        </w:rPr>
        <w:t>——至少可另接入1路其他摄像头视频流。（支持4路视频流、1路AI视频流）</w:t>
      </w:r>
    </w:p>
    <w:p>
      <w:pPr>
        <w:spacing w:line="360" w:lineRule="auto"/>
        <w:ind w:firstLine="420" w:firstLineChars="200"/>
        <w:rPr>
          <w:rFonts w:ascii="宋体" w:hAnsi="宋体"/>
          <w:szCs w:val="21"/>
        </w:rPr>
      </w:pPr>
      <w:r>
        <w:rPr>
          <w:rFonts w:hint="eastAsia" w:ascii="宋体" w:hAnsi="宋体"/>
          <w:szCs w:val="21"/>
        </w:rPr>
        <w:t>——支持音、视频同步播放。</w:t>
      </w:r>
      <w:r>
        <w:rPr>
          <w:rFonts w:ascii="宋体" w:hAnsi="宋体"/>
          <w:szCs w:val="21"/>
        </w:rPr>
        <w:tab/>
      </w:r>
    </w:p>
    <w:p>
      <w:pPr>
        <w:spacing w:line="360" w:lineRule="auto"/>
        <w:ind w:firstLine="420" w:firstLineChars="200"/>
        <w:rPr>
          <w:rFonts w:ascii="宋体" w:hAnsi="宋体"/>
          <w:szCs w:val="21"/>
        </w:rPr>
      </w:pPr>
      <w:r>
        <w:rPr>
          <w:rFonts w:hint="eastAsia" w:ascii="宋体" w:hAnsi="宋体"/>
          <w:szCs w:val="21"/>
        </w:rPr>
        <w:t>——录音、所有摄像头拍摄的照片和视频必须存储在该存储设备上。</w:t>
      </w:r>
    </w:p>
    <w:p>
      <w:pPr>
        <w:spacing w:line="360" w:lineRule="auto"/>
        <w:ind w:firstLine="420" w:firstLineChars="200"/>
        <w:rPr>
          <w:rFonts w:ascii="宋体" w:hAnsi="宋体"/>
          <w:szCs w:val="21"/>
        </w:rPr>
      </w:pPr>
      <w:r>
        <w:rPr>
          <w:rFonts w:hint="eastAsia" w:ascii="宋体" w:hAnsi="宋体"/>
          <w:szCs w:val="21"/>
        </w:rPr>
        <w:t xml:space="preserve">——能够根据参数设置由特定条件触发拍摄、存储、实时上传录音和图像视频数据（内、外、后排摄像头）。 </w:t>
      </w:r>
    </w:p>
    <w:p>
      <w:pPr>
        <w:spacing w:line="360" w:lineRule="auto"/>
        <w:ind w:firstLine="420" w:firstLineChars="200"/>
        <w:rPr>
          <w:rFonts w:ascii="宋体" w:hAnsi="宋体"/>
          <w:szCs w:val="21"/>
        </w:rPr>
      </w:pPr>
      <w:r>
        <w:rPr>
          <w:rFonts w:hint="eastAsia" w:ascii="宋体" w:hAnsi="宋体"/>
          <w:szCs w:val="21"/>
        </w:rPr>
        <w:t xml:space="preserve">——能够接收平台指令实时拍摄、存储、上传录音和图像视频数据（内、外、后排摄像头）。 </w:t>
      </w:r>
    </w:p>
    <w:p>
      <w:pPr>
        <w:spacing w:line="360" w:lineRule="auto"/>
        <w:ind w:firstLine="420" w:firstLineChars="200"/>
        <w:rPr>
          <w:rFonts w:ascii="宋体" w:hAnsi="宋体"/>
          <w:szCs w:val="21"/>
        </w:rPr>
      </w:pPr>
      <w:r>
        <w:rPr>
          <w:rFonts w:hint="eastAsia" w:ascii="宋体" w:hAnsi="宋体"/>
          <w:szCs w:val="21"/>
        </w:rPr>
        <w:t>——能够接收平台指令检索、上传终端内存储的录音和图像视频数据（内、外、后排摄像头）。</w:t>
      </w:r>
    </w:p>
    <w:p>
      <w:pPr>
        <w:spacing w:line="360" w:lineRule="auto"/>
        <w:ind w:firstLine="420" w:firstLineChars="200"/>
        <w:rPr>
          <w:rFonts w:ascii="宋体" w:hAnsi="宋体"/>
          <w:szCs w:val="21"/>
        </w:rPr>
      </w:pPr>
      <w:r>
        <w:rPr>
          <w:rFonts w:hint="eastAsia" w:ascii="宋体" w:hAnsi="宋体"/>
          <w:szCs w:val="21"/>
        </w:rPr>
        <w:t>——能够支持平台的实时预览、远程检索、下载回放的数据请求（内、外、后排摄像头）</w:t>
      </w:r>
    </w:p>
    <w:p>
      <w:pPr>
        <w:spacing w:line="360" w:lineRule="auto"/>
        <w:ind w:firstLine="420" w:firstLineChars="200"/>
        <w:rPr>
          <w:rFonts w:ascii="宋体" w:hAnsi="宋体"/>
          <w:szCs w:val="21"/>
        </w:rPr>
      </w:pPr>
      <w:r>
        <w:rPr>
          <w:rFonts w:hint="eastAsia" w:ascii="宋体" w:hAnsi="宋体"/>
          <w:szCs w:val="21"/>
        </w:rPr>
        <w:t>——视频数据应支持双码流上传</w:t>
      </w:r>
    </w:p>
    <w:p>
      <w:pPr>
        <w:spacing w:line="360" w:lineRule="auto"/>
        <w:ind w:firstLine="422" w:firstLineChars="200"/>
        <w:rPr>
          <w:rFonts w:ascii="宋体" w:hAnsi="宋体"/>
          <w:b/>
          <w:szCs w:val="21"/>
        </w:rPr>
      </w:pPr>
      <w:r>
        <w:rPr>
          <w:rFonts w:hint="eastAsia" w:ascii="宋体" w:hAnsi="宋体"/>
          <w:b/>
          <w:szCs w:val="21"/>
        </w:rPr>
        <w:t>10.通讯要求</w:t>
      </w:r>
    </w:p>
    <w:p>
      <w:pPr>
        <w:spacing w:line="360" w:lineRule="auto"/>
        <w:ind w:firstLine="420" w:firstLineChars="200"/>
        <w:rPr>
          <w:rFonts w:ascii="宋体" w:hAnsi="宋体"/>
          <w:szCs w:val="21"/>
        </w:rPr>
      </w:pPr>
      <w:r>
        <w:rPr>
          <w:rFonts w:hint="eastAsia" w:ascii="宋体" w:hAnsi="宋体"/>
          <w:szCs w:val="21"/>
        </w:rPr>
        <w:t xml:space="preserve">通信链路是整个系统数据传输的通道，必须保证其稳定性，具有以下特性： </w:t>
      </w:r>
    </w:p>
    <w:p>
      <w:pPr>
        <w:spacing w:line="360" w:lineRule="auto"/>
        <w:ind w:firstLine="420" w:firstLineChars="200"/>
        <w:rPr>
          <w:rFonts w:ascii="宋体" w:hAnsi="宋体"/>
          <w:szCs w:val="21"/>
        </w:rPr>
      </w:pPr>
      <w:r>
        <w:rPr>
          <w:rFonts w:hint="eastAsia" w:ascii="宋体" w:hAnsi="宋体"/>
          <w:szCs w:val="21"/>
        </w:rPr>
        <w:t>——稳定性：采用稳定的通信协议。</w:t>
      </w:r>
    </w:p>
    <w:p>
      <w:pPr>
        <w:spacing w:line="360" w:lineRule="auto"/>
        <w:ind w:firstLine="420" w:firstLineChars="200"/>
        <w:rPr>
          <w:rFonts w:ascii="宋体" w:hAnsi="宋体"/>
          <w:szCs w:val="21"/>
        </w:rPr>
      </w:pPr>
      <w:r>
        <w:rPr>
          <w:rFonts w:hint="eastAsia" w:ascii="宋体" w:hAnsi="宋体"/>
          <w:szCs w:val="21"/>
        </w:rPr>
        <w:t>——安全性：本系统处理的数据及其重要，连接的网络牵涉到政务网等，因此对信息安全提出了很高的要求，网络内采用访问控制技术，根据权限进行控制，网络外使用网络安全设备，防止外来威胁的入侵。另外对一些重要的数据按一定的算法进行加密。网络链路使用VPN专线，提高访问安全性。</w:t>
      </w:r>
    </w:p>
    <w:p>
      <w:pPr>
        <w:spacing w:line="360" w:lineRule="auto"/>
        <w:ind w:firstLine="420" w:firstLineChars="200"/>
        <w:rPr>
          <w:rFonts w:ascii="宋体" w:hAnsi="宋体"/>
          <w:szCs w:val="21"/>
        </w:rPr>
      </w:pPr>
      <w:r>
        <w:rPr>
          <w:rFonts w:hint="eastAsia" w:ascii="宋体" w:hAnsi="宋体"/>
          <w:szCs w:val="21"/>
        </w:rPr>
        <w:t>——时效性：要求网络的反应速度要快，设计网络的时候应尽量减少路由和网关的个数，以减少数据在传输过程中中转的次数。满足基本数据、轨迹数据、视频流等数据及时共享的要求。</w:t>
      </w:r>
    </w:p>
    <w:p>
      <w:pPr>
        <w:spacing w:line="360" w:lineRule="auto"/>
        <w:ind w:firstLine="420" w:firstLineChars="200"/>
        <w:rPr>
          <w:rFonts w:ascii="宋体" w:hAnsi="宋体"/>
          <w:szCs w:val="21"/>
        </w:rPr>
      </w:pPr>
      <w:r>
        <w:rPr>
          <w:rFonts w:hint="eastAsia" w:ascii="宋体" w:hAnsi="宋体"/>
          <w:szCs w:val="21"/>
        </w:rPr>
        <w:t>——数据完整性：通信机制应具备容错和抗干扰能力，设置超时/错误重发机制，确保传递数据的完整性。</w:t>
      </w:r>
    </w:p>
    <w:p>
      <w:pPr>
        <w:spacing w:line="360" w:lineRule="auto"/>
        <w:ind w:firstLine="420" w:firstLineChars="200"/>
        <w:rPr>
          <w:rFonts w:ascii="宋体" w:hAnsi="宋体"/>
          <w:szCs w:val="21"/>
        </w:rPr>
      </w:pPr>
      <w:r>
        <w:rPr>
          <w:rFonts w:hint="eastAsia" w:ascii="宋体" w:hAnsi="宋体"/>
          <w:szCs w:val="21"/>
        </w:rPr>
        <w:t>——支持移动、电信、联通2G/3G/4G全网通。</w:t>
      </w:r>
    </w:p>
    <w:p>
      <w:pPr>
        <w:spacing w:line="360" w:lineRule="auto"/>
        <w:ind w:firstLine="422" w:firstLineChars="200"/>
        <w:rPr>
          <w:rFonts w:ascii="宋体" w:hAnsi="宋体"/>
          <w:b/>
          <w:szCs w:val="21"/>
        </w:rPr>
      </w:pPr>
      <w:r>
        <w:rPr>
          <w:rFonts w:hint="eastAsia" w:ascii="宋体" w:hAnsi="宋体"/>
          <w:b/>
          <w:szCs w:val="21"/>
        </w:rPr>
        <w:t>11.电源要求</w:t>
      </w:r>
    </w:p>
    <w:p>
      <w:pPr>
        <w:spacing w:line="360" w:lineRule="auto"/>
        <w:ind w:firstLine="420" w:firstLineChars="200"/>
        <w:rPr>
          <w:rFonts w:ascii="宋体" w:hAnsi="宋体"/>
          <w:szCs w:val="21"/>
        </w:rPr>
      </w:pPr>
      <w:r>
        <w:rPr>
          <w:rFonts w:hint="eastAsia" w:ascii="宋体" w:hAnsi="宋体"/>
          <w:szCs w:val="21"/>
        </w:rPr>
        <w:t>为减少电量消耗，智能服务终端应支持不同工作模式下的电源管理策略：在智能服务终端运行，空闲，休眠等模式下，应保证智能服务终端始终处于最少的能耗状态。</w:t>
      </w:r>
    </w:p>
    <w:p>
      <w:pPr>
        <w:spacing w:line="360" w:lineRule="auto"/>
        <w:ind w:firstLine="422" w:firstLineChars="200"/>
        <w:rPr>
          <w:rFonts w:ascii="宋体" w:hAnsi="宋体"/>
          <w:b/>
          <w:szCs w:val="21"/>
        </w:rPr>
      </w:pPr>
      <w:r>
        <w:rPr>
          <w:rFonts w:hint="eastAsia" w:ascii="宋体" w:hAnsi="宋体"/>
          <w:b/>
          <w:szCs w:val="21"/>
        </w:rPr>
        <w:t>12. 紧急报警功能要求</w:t>
      </w:r>
    </w:p>
    <w:p>
      <w:pPr>
        <w:spacing w:line="360" w:lineRule="auto"/>
        <w:ind w:firstLine="420" w:firstLineChars="200"/>
        <w:rPr>
          <w:rFonts w:ascii="宋体" w:hAnsi="宋体"/>
          <w:szCs w:val="21"/>
        </w:rPr>
      </w:pPr>
      <w:r>
        <w:rPr>
          <w:rFonts w:hint="eastAsia" w:ascii="宋体" w:hAnsi="宋体"/>
          <w:szCs w:val="21"/>
        </w:rPr>
        <w:t>——配备报警按键（单独设置隐蔽安装）</w:t>
      </w:r>
    </w:p>
    <w:p>
      <w:pPr>
        <w:spacing w:line="360" w:lineRule="auto"/>
        <w:ind w:firstLine="420" w:firstLineChars="200"/>
        <w:rPr>
          <w:rFonts w:ascii="宋体" w:hAnsi="宋体"/>
          <w:szCs w:val="21"/>
        </w:rPr>
      </w:pPr>
      <w:r>
        <w:rPr>
          <w:rFonts w:hint="eastAsia" w:ascii="宋体" w:hAnsi="宋体"/>
          <w:szCs w:val="21"/>
        </w:rPr>
        <w:t>——报警按钮隐蔽安装在方向盘左下方，具有紧急报警功能。</w:t>
      </w:r>
    </w:p>
    <w:p>
      <w:pPr>
        <w:spacing w:line="360" w:lineRule="auto"/>
        <w:ind w:firstLine="420" w:firstLineChars="200"/>
        <w:rPr>
          <w:rFonts w:ascii="宋体" w:hAnsi="宋体"/>
          <w:szCs w:val="21"/>
        </w:rPr>
      </w:pPr>
      <w:r>
        <w:rPr>
          <w:rFonts w:hint="eastAsia" w:ascii="宋体" w:hAnsi="宋体"/>
          <w:szCs w:val="21"/>
        </w:rPr>
        <w:t>——紧急报警，长按报警开关</w:t>
      </w:r>
      <w:r>
        <w:rPr>
          <w:rFonts w:ascii="宋体" w:hAnsi="宋体"/>
          <w:szCs w:val="21"/>
        </w:rPr>
        <w:t>2</w:t>
      </w:r>
      <w:r>
        <w:rPr>
          <w:rFonts w:hint="eastAsia" w:ascii="宋体" w:hAnsi="宋体"/>
          <w:szCs w:val="21"/>
        </w:rPr>
        <w:t>秒后触发。</w:t>
      </w:r>
    </w:p>
    <w:p>
      <w:pPr>
        <w:spacing w:line="360" w:lineRule="auto"/>
        <w:ind w:firstLine="413" w:firstLineChars="196"/>
        <w:rPr>
          <w:rFonts w:ascii="宋体" w:hAnsi="宋体"/>
          <w:b/>
          <w:szCs w:val="21"/>
        </w:rPr>
      </w:pPr>
      <w:r>
        <w:rPr>
          <w:rFonts w:hint="eastAsia" w:ascii="宋体" w:hAnsi="宋体"/>
          <w:b/>
          <w:szCs w:val="21"/>
        </w:rPr>
        <w:t>13.终端管理功能要求</w:t>
      </w:r>
    </w:p>
    <w:p>
      <w:pPr>
        <w:spacing w:line="360" w:lineRule="auto"/>
        <w:ind w:firstLine="420" w:firstLineChars="200"/>
        <w:rPr>
          <w:rFonts w:ascii="宋体" w:hAnsi="宋体"/>
          <w:szCs w:val="21"/>
        </w:rPr>
      </w:pPr>
      <w:r>
        <w:rPr>
          <w:rFonts w:hint="eastAsia" w:ascii="宋体" w:hAnsi="宋体"/>
          <w:szCs w:val="21"/>
        </w:rPr>
        <w:t>——应支持以远程、本地两种方式设置</w:t>
      </w:r>
      <w:r>
        <w:rPr>
          <w:rFonts w:ascii="宋体" w:hAnsi="宋体"/>
          <w:szCs w:val="21"/>
        </w:rPr>
        <w:t>/</w:t>
      </w:r>
      <w:r>
        <w:rPr>
          <w:rFonts w:hint="eastAsia" w:ascii="宋体" w:hAnsi="宋体"/>
          <w:szCs w:val="21"/>
        </w:rPr>
        <w:t>查询终端参数。</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——应支持以远程、本地两种方式软件升级。</w:t>
      </w:r>
    </w:p>
    <w:p>
      <w:pPr>
        <w:spacing w:line="360" w:lineRule="auto"/>
        <w:ind w:firstLine="420" w:firstLineChars="200"/>
        <w:rPr>
          <w:rFonts w:ascii="宋体" w:hAnsi="宋体"/>
          <w:szCs w:val="21"/>
        </w:rPr>
      </w:pPr>
      <w:r>
        <w:rPr>
          <w:rFonts w:hint="eastAsia" w:ascii="宋体" w:hAnsi="宋体"/>
          <w:szCs w:val="21"/>
        </w:rPr>
        <w:t>——应支持以远程、本地两种方式控制终端复位。</w:t>
      </w:r>
    </w:p>
    <w:p>
      <w:pPr>
        <w:spacing w:line="360" w:lineRule="auto"/>
        <w:ind w:firstLine="420" w:firstLineChars="200"/>
        <w:rPr>
          <w:rFonts w:ascii="宋体" w:hAnsi="宋体"/>
          <w:szCs w:val="21"/>
        </w:rPr>
      </w:pPr>
      <w:r>
        <w:rPr>
          <w:rFonts w:hint="eastAsia" w:ascii="宋体" w:hAnsi="宋体"/>
          <w:szCs w:val="21"/>
        </w:rPr>
        <w:t>——应支持以远程、本地两种方式控制终端恢复出厂设置。</w:t>
      </w:r>
    </w:p>
    <w:p>
      <w:pPr>
        <w:spacing w:line="360" w:lineRule="auto"/>
        <w:ind w:firstLine="420" w:firstLineChars="200"/>
        <w:rPr>
          <w:rFonts w:ascii="宋体" w:hAnsi="宋体"/>
          <w:szCs w:val="21"/>
        </w:rPr>
      </w:pPr>
      <w:r>
        <w:rPr>
          <w:rFonts w:hint="eastAsia" w:ascii="宋体" w:hAnsi="宋体"/>
          <w:szCs w:val="21"/>
        </w:rPr>
        <w:t>终端应集成麦克风、</w:t>
      </w:r>
      <w:r>
        <w:rPr>
          <w:rFonts w:ascii="宋体" w:hAnsi="宋体"/>
          <w:szCs w:val="21"/>
        </w:rPr>
        <w:t>TTS</w:t>
      </w:r>
      <w:r>
        <w:rPr>
          <w:rFonts w:hint="eastAsia" w:ascii="宋体" w:hAnsi="宋体"/>
          <w:szCs w:val="21"/>
        </w:rPr>
        <w:t>语音播放要求：终端集成内置麦克风可用于车厢内声音数据的采集，进行录音记录的存储；也可与乘客、呼叫中心等进行语音通话。通过TTS技术可以将呼叫中心、管理部门、公司下发的报文信息、订单信息等文本信息转换为语音通过终端的扬声器播报，驾驶员用耳听而非眼视即可获知信息，对驾驶员安全行驶带来帮助。</w:t>
      </w:r>
    </w:p>
    <w:p>
      <w:pPr>
        <w:spacing w:line="360" w:lineRule="auto"/>
        <w:ind w:firstLine="420" w:firstLineChars="200"/>
        <w:rPr>
          <w:rFonts w:ascii="宋体" w:hAnsi="宋体"/>
          <w:szCs w:val="21"/>
        </w:rPr>
      </w:pPr>
      <w:r>
        <w:rPr>
          <w:rFonts w:hint="eastAsia" w:ascii="宋体" w:hAnsi="宋体"/>
          <w:szCs w:val="21"/>
        </w:rPr>
        <w:t>防劫报警要求：当驾驶员遇到紧急情况时，可以按住隐蔽安装的报警按钮2秒以上，触发紧急报警后终端立即向平台（出租车企业）上传警报信息并驱动顶灯显示闪烁的“求助”字样，平台（出租车企业）通过监听或通话等方式确认警情后再向110台正式报警。</w:t>
      </w:r>
    </w:p>
    <w:p>
      <w:pPr>
        <w:spacing w:line="360" w:lineRule="auto"/>
        <w:ind w:firstLine="420" w:firstLineChars="200"/>
        <w:rPr>
          <w:rFonts w:ascii="宋体" w:hAnsi="宋体"/>
          <w:szCs w:val="21"/>
        </w:rPr>
      </w:pPr>
      <w:r>
        <w:rPr>
          <w:rFonts w:hint="eastAsia" w:ascii="宋体" w:hAnsi="宋体"/>
          <w:szCs w:val="21"/>
        </w:rPr>
        <w:t>录音要求：前排对内录像应将车内录音进行并轨处理，播放视频时应同步播放录音。</w:t>
      </w:r>
    </w:p>
    <w:p>
      <w:pPr>
        <w:spacing w:line="360" w:lineRule="auto"/>
        <w:ind w:left="561" w:leftChars="267" w:firstLine="1"/>
        <w:rPr>
          <w:rFonts w:ascii="宋体" w:hAnsi="宋体"/>
          <w:b/>
          <w:szCs w:val="21"/>
        </w:rPr>
      </w:pPr>
      <w:r>
        <w:rPr>
          <w:rFonts w:hint="eastAsia" w:ascii="宋体" w:hAnsi="宋体"/>
          <w:b/>
          <w:szCs w:val="21"/>
        </w:rPr>
        <w:t>14.其他要求：</w:t>
      </w:r>
    </w:p>
    <w:p>
      <w:pPr>
        <w:spacing w:line="360" w:lineRule="auto"/>
        <w:ind w:firstLine="420" w:firstLineChars="200"/>
        <w:rPr>
          <w:rFonts w:ascii="宋体" w:hAnsi="宋体"/>
          <w:szCs w:val="21"/>
        </w:rPr>
      </w:pPr>
      <w:r>
        <w:rPr>
          <w:rFonts w:hint="eastAsia" w:ascii="宋体" w:hAnsi="宋体"/>
          <w:szCs w:val="21"/>
        </w:rPr>
        <w:t>——终端的连接线要整齐布置，并用线夹、电缆套、电缆圈固定，线束内的导线要有序编扎。电源导线上应串联熔断器，当终端故障导致电源线上电流过大，熔断器应熔断将电流切断从而保护汽车电路。</w:t>
      </w:r>
    </w:p>
    <w:p>
      <w:pPr>
        <w:spacing w:line="360" w:lineRule="auto"/>
        <w:ind w:firstLine="420" w:firstLineChars="200"/>
        <w:rPr>
          <w:rFonts w:ascii="宋体" w:hAnsi="宋体"/>
          <w:szCs w:val="21"/>
        </w:rPr>
      </w:pPr>
      <w:r>
        <w:rPr>
          <w:rFonts w:hint="eastAsia" w:ascii="宋体" w:hAnsi="宋体"/>
          <w:szCs w:val="21"/>
        </w:rPr>
        <w:t>——连接器插头两端的线色应一致。</w:t>
      </w:r>
    </w:p>
    <w:p>
      <w:pPr>
        <w:spacing w:line="360" w:lineRule="auto"/>
        <w:ind w:firstLine="420" w:firstLineChars="200"/>
        <w:rPr>
          <w:rFonts w:ascii="宋体" w:hAnsi="宋体"/>
          <w:szCs w:val="21"/>
        </w:rPr>
      </w:pPr>
      <w:r>
        <w:rPr>
          <w:rFonts w:hint="eastAsia" w:ascii="宋体" w:hAnsi="宋体"/>
          <w:szCs w:val="21"/>
        </w:rPr>
        <w:t>——两个以上非通用接口应有明显标识，同时插头不能互换。</w:t>
      </w:r>
    </w:p>
    <w:p>
      <w:pPr>
        <w:spacing w:line="360" w:lineRule="auto"/>
        <w:ind w:firstLine="420" w:firstLineChars="200"/>
        <w:rPr>
          <w:rFonts w:ascii="宋体" w:hAnsi="宋体"/>
          <w:szCs w:val="21"/>
        </w:rPr>
      </w:pPr>
      <w:r>
        <w:rPr>
          <w:rFonts w:hint="eastAsia" w:ascii="宋体" w:hAnsi="宋体"/>
          <w:szCs w:val="21"/>
        </w:rPr>
        <w:t>——终端的存储温度至少为</w:t>
      </w:r>
      <w:r>
        <w:rPr>
          <w:rFonts w:ascii="宋体" w:hAnsi="宋体"/>
          <w:szCs w:val="21"/>
        </w:rPr>
        <w:t>-40</w:t>
      </w:r>
      <w:r>
        <w:rPr>
          <w:rFonts w:hint="eastAsia" w:ascii="宋体" w:hAnsi="宋体"/>
          <w:szCs w:val="21"/>
        </w:rPr>
        <w:t>℃</w:t>
      </w:r>
      <w:r>
        <w:rPr>
          <w:rFonts w:ascii="宋体" w:hAnsi="宋体"/>
          <w:szCs w:val="21"/>
        </w:rPr>
        <w:t>~85</w:t>
      </w:r>
      <w:r>
        <w:rPr>
          <w:rFonts w:hint="eastAsia" w:ascii="宋体" w:hAnsi="宋体"/>
          <w:szCs w:val="21"/>
        </w:rPr>
        <w:t>℃，工作温度至少为</w:t>
      </w:r>
      <w:r>
        <w:rPr>
          <w:rFonts w:ascii="宋体" w:hAnsi="宋体"/>
          <w:szCs w:val="21"/>
        </w:rPr>
        <w:t>-20</w:t>
      </w:r>
      <w:r>
        <w:rPr>
          <w:rFonts w:hint="eastAsia" w:ascii="宋体" w:hAnsi="宋体"/>
          <w:szCs w:val="21"/>
        </w:rPr>
        <w:t>℃</w:t>
      </w:r>
      <w:r>
        <w:rPr>
          <w:rFonts w:ascii="宋体" w:hAnsi="宋体"/>
          <w:szCs w:val="21"/>
        </w:rPr>
        <w:t>~70</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——终端日常使用中应无永久性结构变形，无零部件损坏，无电气故障，无紧固部件松脱现象，无插头、通信接口等接插器脱落或接触不良现象，其各项功能等应保持正常，无存储的信息丢失现象。</w:t>
      </w:r>
    </w:p>
    <w:p>
      <w:pPr>
        <w:spacing w:line="360" w:lineRule="auto"/>
        <w:ind w:firstLine="420" w:firstLineChars="200"/>
        <w:rPr>
          <w:rFonts w:ascii="宋体" w:hAnsi="宋体"/>
          <w:szCs w:val="21"/>
        </w:rPr>
      </w:pPr>
      <w:r>
        <w:rPr>
          <w:rFonts w:hint="eastAsia" w:ascii="宋体" w:hAnsi="宋体"/>
          <w:szCs w:val="21"/>
        </w:rPr>
        <w:t>——智能车载终端与其他终端设备的通讯接口应至少支持</w:t>
      </w:r>
      <w:r>
        <w:rPr>
          <w:rFonts w:ascii="宋体" w:hAnsi="宋体"/>
          <w:szCs w:val="21"/>
        </w:rPr>
        <w:t xml:space="preserve">RS232 </w:t>
      </w:r>
      <w:r>
        <w:rPr>
          <w:rFonts w:hint="eastAsia" w:ascii="宋体" w:hAnsi="宋体"/>
          <w:szCs w:val="21"/>
        </w:rPr>
        <w:t>方式；与计价器通讯应采用独立的通讯接口；</w:t>
      </w:r>
    </w:p>
    <w:p>
      <w:pPr>
        <w:spacing w:line="360" w:lineRule="auto"/>
        <w:ind w:firstLine="420" w:firstLineChars="200"/>
        <w:rPr>
          <w:rFonts w:ascii="宋体" w:hAnsi="宋体"/>
          <w:szCs w:val="21"/>
        </w:rPr>
      </w:pPr>
      <w:r>
        <w:rPr>
          <w:rFonts w:hint="eastAsia" w:ascii="宋体" w:hAnsi="宋体"/>
          <w:szCs w:val="21"/>
        </w:rPr>
        <w:t>——智能车载终端应具有一个以上设备维护接口，接口形式为</w:t>
      </w:r>
      <w:r>
        <w:rPr>
          <w:rFonts w:ascii="宋体" w:hAnsi="宋体"/>
          <w:szCs w:val="21"/>
        </w:rPr>
        <w:t xml:space="preserve">RS232 </w:t>
      </w:r>
      <w:r>
        <w:rPr>
          <w:rFonts w:hint="eastAsia" w:ascii="宋体" w:hAnsi="宋体"/>
          <w:szCs w:val="21"/>
        </w:rPr>
        <w:t>串口或</w:t>
      </w:r>
      <w:r>
        <w:rPr>
          <w:rFonts w:ascii="宋体" w:hAnsi="宋体"/>
          <w:szCs w:val="21"/>
        </w:rPr>
        <w:t>USB</w:t>
      </w:r>
      <w:r>
        <w:rPr>
          <w:rFonts w:hint="eastAsia" w:ascii="宋体" w:hAnsi="宋体"/>
          <w:szCs w:val="21"/>
        </w:rPr>
        <w:t>接口；</w:t>
      </w:r>
    </w:p>
    <w:p>
      <w:pPr>
        <w:spacing w:line="360" w:lineRule="auto"/>
        <w:ind w:firstLine="422" w:firstLineChars="200"/>
        <w:rPr>
          <w:rFonts w:ascii="宋体" w:hAnsi="宋体"/>
          <w:b/>
          <w:szCs w:val="21"/>
        </w:rPr>
      </w:pPr>
      <w:r>
        <w:rPr>
          <w:rFonts w:hint="eastAsia" w:ascii="宋体" w:hAnsi="宋体"/>
          <w:b/>
          <w:szCs w:val="21"/>
        </w:rPr>
        <w:t>智能终端产品规格需求</w:t>
      </w:r>
    </w:p>
    <w:tbl>
      <w:tblPr>
        <w:tblStyle w:val="33"/>
        <w:tblW w:w="8803" w:type="dxa"/>
        <w:tblInd w:w="390" w:type="dxa"/>
        <w:tblLayout w:type="fixed"/>
        <w:tblCellMar>
          <w:top w:w="15" w:type="dxa"/>
          <w:left w:w="15" w:type="dxa"/>
          <w:bottom w:w="15" w:type="dxa"/>
          <w:right w:w="15" w:type="dxa"/>
        </w:tblCellMar>
      </w:tblPr>
      <w:tblGrid>
        <w:gridCol w:w="1604"/>
        <w:gridCol w:w="6119"/>
        <w:gridCol w:w="1080"/>
      </w:tblGrid>
      <w:tr>
        <w:tblPrEx>
          <w:tblCellMar>
            <w:top w:w="15" w:type="dxa"/>
            <w:left w:w="15" w:type="dxa"/>
            <w:bottom w:w="15" w:type="dxa"/>
            <w:right w:w="15" w:type="dxa"/>
          </w:tblCellMar>
        </w:tblPrEx>
        <w:trPr>
          <w:trHeight w:val="283" w:hRule="atLeast"/>
        </w:trPr>
        <w:tc>
          <w:tcPr>
            <w:tcW w:w="16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175"/>
              <w:jc w:val="center"/>
              <w:rPr>
                <w:rFonts w:ascii="宋体" w:hAnsi="宋体"/>
                <w:szCs w:val="21"/>
              </w:rPr>
            </w:pPr>
            <w:r>
              <w:rPr>
                <w:rFonts w:hint="eastAsia" w:ascii="宋体" w:hAnsi="宋体"/>
                <w:szCs w:val="21"/>
              </w:rPr>
              <w:t>名称</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175"/>
              <w:jc w:val="center"/>
              <w:rPr>
                <w:rFonts w:ascii="宋体" w:hAnsi="宋体"/>
                <w:szCs w:val="21"/>
              </w:rPr>
            </w:pPr>
            <w:r>
              <w:rPr>
                <w:rFonts w:hint="eastAsia" w:ascii="宋体" w:hAnsi="宋体"/>
                <w:szCs w:val="21"/>
              </w:rPr>
              <w:t>技术指标/规格参数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szCs w:val="21"/>
              </w:rPr>
            </w:pPr>
            <w:r>
              <w:rPr>
                <w:rFonts w:hint="eastAsia" w:ascii="宋体" w:hAnsi="宋体"/>
                <w:szCs w:val="21"/>
              </w:rPr>
              <w:t>备注</w:t>
            </w: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175"/>
              <w:jc w:val="center"/>
              <w:rPr>
                <w:rFonts w:ascii="宋体" w:hAnsi="宋体"/>
                <w:szCs w:val="21"/>
              </w:rPr>
            </w:pPr>
            <w:r>
              <w:rPr>
                <w:rFonts w:hint="eastAsia" w:ascii="宋体" w:hAnsi="宋体"/>
                <w:szCs w:val="21"/>
              </w:rPr>
              <w:t>CPU</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175"/>
              <w:jc w:val="center"/>
              <w:rPr>
                <w:rFonts w:ascii="宋体" w:hAnsi="宋体"/>
                <w:szCs w:val="21"/>
              </w:rPr>
            </w:pPr>
            <w:r>
              <w:rPr>
                <w:rFonts w:hint="eastAsia" w:ascii="宋体" w:hAnsi="宋体"/>
                <w:szCs w:val="21"/>
              </w:rPr>
              <w:t>八核1.8GHz及以上</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网络频段（4G）</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ascii="宋体" w:hAnsi="宋体"/>
                <w:szCs w:val="21"/>
              </w:rPr>
              <w:t>TDD-LTE: B38/B39/B40/B41</w:t>
            </w:r>
          </w:p>
          <w:p>
            <w:pPr>
              <w:spacing w:line="360" w:lineRule="auto"/>
              <w:rPr>
                <w:rFonts w:ascii="宋体" w:hAnsi="宋体"/>
                <w:szCs w:val="21"/>
              </w:rPr>
            </w:pPr>
            <w:r>
              <w:rPr>
                <w:rFonts w:ascii="宋体" w:hAnsi="宋体"/>
                <w:szCs w:val="21"/>
              </w:rPr>
              <w:t>FDD-LTE:B1/B3</w:t>
            </w:r>
          </w:p>
          <w:p>
            <w:pPr>
              <w:spacing w:line="360" w:lineRule="auto"/>
              <w:rPr>
                <w:rFonts w:ascii="宋体" w:hAnsi="宋体"/>
                <w:szCs w:val="21"/>
              </w:rPr>
            </w:pPr>
            <w:r>
              <w:rPr>
                <w:rFonts w:hint="eastAsia" w:ascii="宋体" w:hAnsi="宋体"/>
                <w:szCs w:val="21"/>
              </w:rPr>
              <w:t>CDMA2000/EVDO：BC0</w:t>
            </w:r>
          </w:p>
          <w:p>
            <w:pPr>
              <w:spacing w:line="360" w:lineRule="auto"/>
              <w:rPr>
                <w:rFonts w:ascii="宋体" w:hAnsi="宋体"/>
                <w:szCs w:val="21"/>
              </w:rPr>
            </w:pPr>
            <w:r>
              <w:rPr>
                <w:rFonts w:hint="eastAsia" w:ascii="宋体" w:hAnsi="宋体"/>
                <w:szCs w:val="21"/>
              </w:rPr>
              <w:t>WCDMA：B1/B8</w:t>
            </w:r>
          </w:p>
          <w:p>
            <w:pPr>
              <w:spacing w:line="360" w:lineRule="auto"/>
              <w:rPr>
                <w:rFonts w:ascii="宋体" w:hAnsi="宋体"/>
                <w:szCs w:val="21"/>
              </w:rPr>
            </w:pPr>
            <w:r>
              <w:rPr>
                <w:rFonts w:hint="eastAsia" w:ascii="宋体" w:hAnsi="宋体"/>
                <w:szCs w:val="21"/>
              </w:rPr>
              <w:t>TD-SCDMA：B34/B39</w:t>
            </w:r>
          </w:p>
          <w:p>
            <w:pPr>
              <w:spacing w:line="360" w:lineRule="auto"/>
              <w:rPr>
                <w:rFonts w:ascii="宋体" w:hAnsi="宋体"/>
                <w:szCs w:val="21"/>
              </w:rPr>
            </w:pPr>
            <w:r>
              <w:rPr>
                <w:rFonts w:hint="eastAsia" w:ascii="宋体" w:hAnsi="宋体"/>
                <w:szCs w:val="21"/>
              </w:rPr>
              <w:t>GSM：900/1800</w:t>
            </w:r>
          </w:p>
          <w:p>
            <w:pPr>
              <w:spacing w:line="360" w:lineRule="auto"/>
              <w:rPr>
                <w:rFonts w:ascii="宋体" w:hAnsi="宋体"/>
                <w:szCs w:val="21"/>
              </w:rPr>
            </w:pPr>
            <w:r>
              <w:rPr>
                <w:rFonts w:hint="eastAsia" w:ascii="宋体" w:hAnsi="宋体"/>
                <w:szCs w:val="21"/>
              </w:rPr>
              <w:t xml:space="preserve">7模，移动、电信、联通2G/3G/4G全网通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120" w:line="360" w:lineRule="auto"/>
              <w:jc w:val="center"/>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通话</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支持2G，3G，4G通话</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720"/>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nil"/>
              <w:right w:val="single" w:color="000000" w:sz="4" w:space="0"/>
            </w:tcBorders>
            <w:noWrap/>
            <w:vAlign w:val="center"/>
          </w:tcPr>
          <w:p>
            <w:pPr>
              <w:spacing w:line="360" w:lineRule="auto"/>
              <w:rPr>
                <w:rFonts w:ascii="宋体" w:hAnsi="宋体"/>
                <w:szCs w:val="21"/>
              </w:rPr>
            </w:pPr>
            <w:r>
              <w:rPr>
                <w:rFonts w:hint="eastAsia" w:ascii="宋体" w:hAnsi="宋体"/>
                <w:szCs w:val="21"/>
              </w:rPr>
              <w:t>内存大小</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EMMC+LPDDR3 ：16GB+2GB及以上</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120" w:line="360" w:lineRule="auto"/>
              <w:jc w:val="center"/>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nil"/>
              <w:right w:val="single" w:color="000000" w:sz="4" w:space="0"/>
            </w:tcBorders>
            <w:noWrap/>
            <w:vAlign w:val="center"/>
          </w:tcPr>
          <w:p>
            <w:pPr>
              <w:spacing w:line="360" w:lineRule="auto"/>
              <w:rPr>
                <w:rFonts w:ascii="宋体" w:hAnsi="宋体"/>
                <w:szCs w:val="21"/>
              </w:rPr>
            </w:pPr>
            <w:r>
              <w:rPr>
                <w:rFonts w:hint="eastAsia" w:ascii="宋体" w:hAnsi="宋体"/>
                <w:szCs w:val="21"/>
              </w:rPr>
              <w:t>LCD</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分辨率 FHD,HD,QHD,FWVGA,WVGA ，7寸及以上TFT屏</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120" w:line="360" w:lineRule="auto"/>
              <w:jc w:val="center"/>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前、后摄像头</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1080P 120度视角以上、 720P 135度广角及以上</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GPS（导航）</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支持主流地图</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nil"/>
              <w:right w:val="single" w:color="000000" w:sz="4" w:space="0"/>
            </w:tcBorders>
            <w:noWrap/>
            <w:vAlign w:val="center"/>
          </w:tcPr>
          <w:p>
            <w:pPr>
              <w:spacing w:line="360" w:lineRule="auto"/>
              <w:rPr>
                <w:rFonts w:ascii="宋体" w:hAnsi="宋体"/>
                <w:szCs w:val="21"/>
              </w:rPr>
            </w:pPr>
            <w:r>
              <w:rPr>
                <w:rFonts w:hint="eastAsia" w:ascii="宋体" w:hAnsi="宋体"/>
                <w:szCs w:val="21"/>
              </w:rPr>
              <w:t>北斗、GPS</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支持（双模），具有GPS、北斗模块</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120" w:line="360" w:lineRule="auto"/>
              <w:jc w:val="center"/>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Micro SIM卡</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支持中国移动、中国联通、中国电信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120" w:line="360" w:lineRule="auto"/>
              <w:jc w:val="center"/>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Micro TF卡</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支持256GB存储及以上</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120" w:line="360" w:lineRule="auto"/>
              <w:jc w:val="center"/>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I/O接口</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4个及以上I/O（3in，1out）,4个及以上RS232串口，5PIN MICRO USB</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远程控制</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支持APP下发语音、文字信息指令，录像，拍照等</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720"/>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触摸屏</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电容屏</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720"/>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Android版本</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Android7.0及以上</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720"/>
              <w:rPr>
                <w:rFonts w:ascii="宋体" w:hAnsi="宋体"/>
                <w:szCs w:val="21"/>
              </w:rPr>
            </w:pPr>
          </w:p>
        </w:tc>
      </w:tr>
      <w:tr>
        <w:tblPrEx>
          <w:tblCellMar>
            <w:top w:w="15" w:type="dxa"/>
            <w:left w:w="15" w:type="dxa"/>
            <w:bottom w:w="15" w:type="dxa"/>
            <w:right w:w="15" w:type="dxa"/>
          </w:tblCellMar>
        </w:tblPrEx>
        <w:trPr>
          <w:trHeight w:val="285" w:hRule="atLeast"/>
        </w:trPr>
        <w:tc>
          <w:tcPr>
            <w:tcW w:w="16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视频录音并轨、上传功能</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szCs w:val="21"/>
              </w:rPr>
            </w:pPr>
            <w:r>
              <w:rPr>
                <w:rFonts w:hint="eastAsia" w:ascii="宋体" w:hAnsi="宋体"/>
                <w:szCs w:val="21"/>
              </w:rPr>
              <w:t>支持</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720"/>
              <w:rPr>
                <w:rFonts w:ascii="宋体" w:hAnsi="宋体"/>
                <w:szCs w:val="21"/>
              </w:rPr>
            </w:pPr>
          </w:p>
        </w:tc>
      </w:tr>
    </w:tbl>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（二）后排对内摄像头</w:t>
      </w:r>
    </w:p>
    <w:p>
      <w:pPr>
        <w:pStyle w:val="16"/>
        <w:snapToGrid w:val="0"/>
        <w:spacing w:before="120" w:after="120" w:line="360" w:lineRule="auto"/>
        <w:ind w:firstLine="308" w:firstLineChars="147"/>
        <w:outlineLvl w:val="0"/>
        <w:rPr>
          <w:rFonts w:hAnsi="宋体"/>
          <w:sz w:val="21"/>
          <w:szCs w:val="21"/>
        </w:rPr>
      </w:pPr>
      <w:r>
        <w:rPr>
          <w:rFonts w:hint="eastAsia" w:hAnsi="宋体"/>
          <w:sz w:val="21"/>
          <w:szCs w:val="21"/>
        </w:rPr>
        <w:t>后排摄像头为夜视摄像头；支持高清输出，图像清晰、细腻，分辨率不低于 720p；支持自动白平衡功能；光圈F1.8; 视角广角120度以上；支持720p@25fps，720p@30fps；工作温度 -10℃~70℃，功耗小于1W。</w:t>
      </w:r>
    </w:p>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（三）视频存储卡</w:t>
      </w:r>
    </w:p>
    <w:p>
      <w:pPr>
        <w:spacing w:line="360" w:lineRule="auto"/>
        <w:ind w:firstLine="420" w:firstLineChars="200"/>
        <w:rPr>
          <w:rFonts w:ascii="宋体" w:hAnsi="宋体"/>
          <w:szCs w:val="21"/>
        </w:rPr>
      </w:pPr>
      <w:r>
        <w:rPr>
          <w:rFonts w:hint="eastAsia" w:ascii="宋体" w:hAnsi="宋体"/>
          <w:szCs w:val="21"/>
        </w:rPr>
        <w:t>满足高清视频存储需求，与智能终端兼容性好。</w:t>
      </w:r>
    </w:p>
    <w:p>
      <w:pPr>
        <w:spacing w:line="360" w:lineRule="auto"/>
        <w:ind w:firstLine="420" w:firstLineChars="200"/>
        <w:rPr>
          <w:rFonts w:ascii="宋体" w:hAnsi="宋体"/>
          <w:szCs w:val="21"/>
        </w:rPr>
      </w:pPr>
      <w:r>
        <w:rPr>
          <w:rFonts w:hint="eastAsia" w:ascii="宋体" w:hAnsi="宋体"/>
          <w:szCs w:val="21"/>
        </w:rPr>
        <w:t>——读取速度不低于20MB/s，写入速度不低于20MB/s</w:t>
      </w:r>
    </w:p>
    <w:p>
      <w:pPr>
        <w:spacing w:line="360" w:lineRule="auto"/>
        <w:ind w:firstLine="420" w:firstLineChars="200"/>
        <w:rPr>
          <w:rFonts w:ascii="宋体" w:hAnsi="宋体"/>
          <w:szCs w:val="21"/>
        </w:rPr>
      </w:pPr>
      <w:r>
        <w:rPr>
          <w:rFonts w:hint="eastAsia" w:ascii="宋体" w:hAnsi="宋体"/>
          <w:szCs w:val="21"/>
        </w:rPr>
        <w:t>——工作温度不低于</w:t>
      </w:r>
      <w:r>
        <w:rPr>
          <w:rFonts w:ascii="宋体" w:hAnsi="宋体"/>
          <w:szCs w:val="21"/>
        </w:rPr>
        <w:t>-</w:t>
      </w:r>
      <w:r>
        <w:rPr>
          <w:rFonts w:hint="eastAsia" w:ascii="宋体" w:hAnsi="宋体"/>
          <w:szCs w:val="21"/>
        </w:rPr>
        <w:t>25℃至</w:t>
      </w:r>
      <w:r>
        <w:rPr>
          <w:rFonts w:ascii="宋体" w:hAnsi="宋体"/>
          <w:szCs w:val="21"/>
        </w:rPr>
        <w:t>85</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——存储温度不低于</w:t>
      </w:r>
      <w:r>
        <w:rPr>
          <w:rFonts w:ascii="宋体" w:hAnsi="宋体"/>
          <w:szCs w:val="21"/>
        </w:rPr>
        <w:t>-40</w:t>
      </w:r>
      <w:r>
        <w:rPr>
          <w:rFonts w:hint="eastAsia" w:ascii="宋体" w:hAnsi="宋体"/>
          <w:szCs w:val="21"/>
        </w:rPr>
        <w:t>℃至</w:t>
      </w:r>
      <w:r>
        <w:rPr>
          <w:rFonts w:ascii="宋体" w:hAnsi="宋体"/>
          <w:szCs w:val="21"/>
        </w:rPr>
        <w:t>85</w:t>
      </w:r>
      <w:r>
        <w:rPr>
          <w:rFonts w:hint="eastAsia" w:ascii="宋体" w:hAnsi="宋体"/>
          <w:szCs w:val="21"/>
        </w:rPr>
        <w:t>℃。</w:t>
      </w:r>
    </w:p>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（四）计价器及附件要求</w:t>
      </w:r>
    </w:p>
    <w:p>
      <w:pPr>
        <w:spacing w:line="360" w:lineRule="auto"/>
        <w:ind w:firstLine="422" w:firstLineChars="200"/>
        <w:rPr>
          <w:rFonts w:ascii="宋体" w:hAnsi="宋体"/>
          <w:b/>
          <w:szCs w:val="21"/>
        </w:rPr>
      </w:pPr>
      <w:r>
        <w:rPr>
          <w:rFonts w:hint="eastAsia" w:ascii="宋体" w:hAnsi="宋体"/>
          <w:b/>
          <w:szCs w:val="21"/>
        </w:rPr>
        <w:t>4.1 计价器</w:t>
      </w:r>
    </w:p>
    <w:p>
      <w:pPr>
        <w:spacing w:line="360" w:lineRule="auto"/>
        <w:ind w:firstLine="420" w:firstLineChars="200"/>
        <w:rPr>
          <w:rFonts w:ascii="宋体" w:hAnsi="宋体"/>
          <w:szCs w:val="21"/>
        </w:rPr>
      </w:pPr>
      <w:r>
        <w:rPr>
          <w:rFonts w:hint="eastAsia" w:ascii="宋体" w:hAnsi="宋体"/>
          <w:szCs w:val="21"/>
        </w:rPr>
        <w:t>计价器集税控计价、打印发票于一体，具有与出租汽车空驶灯联动开关及防作弊等功能，打印机与空车牌连动实行自动打印，具有前出打印发票功能，计价器计量值准确可靠。</w:t>
      </w:r>
    </w:p>
    <w:p>
      <w:pPr>
        <w:spacing w:line="360" w:lineRule="auto"/>
        <w:ind w:firstLine="420" w:firstLineChars="200"/>
        <w:rPr>
          <w:rFonts w:ascii="宋体" w:hAnsi="宋体"/>
          <w:szCs w:val="21"/>
        </w:rPr>
      </w:pPr>
      <w:r>
        <w:rPr>
          <w:rFonts w:hint="eastAsia" w:ascii="宋体" w:hAnsi="宋体"/>
          <w:szCs w:val="21"/>
        </w:rPr>
        <w:t>——完全符合《</w:t>
      </w:r>
      <w:r>
        <w:rPr>
          <w:rFonts w:ascii="宋体" w:hAnsi="宋体"/>
          <w:szCs w:val="21"/>
        </w:rPr>
        <w:t>JJF1604-2016 出租汽车计价器型式评价大纲》</w:t>
      </w:r>
      <w:r>
        <w:rPr>
          <w:rFonts w:hint="eastAsia" w:ascii="宋体" w:hAnsi="宋体"/>
          <w:szCs w:val="21"/>
        </w:rPr>
        <w:t>和《中华人民共和国国家计量检定规程JJG517-2016》的要求</w:t>
      </w:r>
    </w:p>
    <w:p>
      <w:pPr>
        <w:spacing w:line="360" w:lineRule="auto"/>
        <w:ind w:firstLine="420" w:firstLineChars="200"/>
        <w:rPr>
          <w:rFonts w:ascii="宋体" w:hAnsi="宋体"/>
          <w:szCs w:val="21"/>
        </w:rPr>
      </w:pPr>
      <w:r>
        <w:rPr>
          <w:rFonts w:hint="eastAsia" w:ascii="宋体" w:hAnsi="宋体"/>
          <w:szCs w:val="21"/>
        </w:rPr>
        <w:t>——计价器有一个独立的RS232串口，具有与车载智能终端的通讯的功能，营运相关功能接口符合交通运输部相关标准。</w:t>
      </w:r>
    </w:p>
    <w:p>
      <w:pPr>
        <w:spacing w:line="360" w:lineRule="auto"/>
        <w:ind w:firstLine="420" w:firstLineChars="200"/>
        <w:rPr>
          <w:rFonts w:ascii="宋体" w:hAnsi="宋体"/>
          <w:szCs w:val="21"/>
        </w:rPr>
      </w:pPr>
      <w:r>
        <w:rPr>
          <w:rFonts w:hint="eastAsia" w:ascii="宋体" w:hAnsi="宋体"/>
          <w:szCs w:val="21"/>
        </w:rPr>
        <w:t>——计价器支持电子发票功能，能将</w:t>
      </w:r>
      <w:r>
        <w:rPr>
          <w:rFonts w:hint="eastAsia" w:ascii="宋体" w:hAnsi="宋体" w:cs="宋体"/>
          <w:kern w:val="0"/>
          <w:sz w:val="20"/>
        </w:rPr>
        <w:t>营运数据（上车时间、下车时间、行程里程数、车牌号、行程日期等数据）实时传给智能车载终端。</w:t>
      </w:r>
    </w:p>
    <w:p>
      <w:pPr>
        <w:spacing w:line="360" w:lineRule="auto"/>
        <w:ind w:firstLine="420" w:firstLineChars="200"/>
        <w:rPr>
          <w:rFonts w:ascii="宋体" w:hAnsi="宋体"/>
          <w:szCs w:val="21"/>
        </w:rPr>
      </w:pPr>
      <w:r>
        <w:rPr>
          <w:rFonts w:hint="eastAsia" w:ascii="宋体" w:hAnsi="宋体"/>
          <w:szCs w:val="21"/>
        </w:rPr>
        <w:t>——具有司机卡功能。计价器配置读卡器，驾驶员通过司机卡开启计价器，支持司机卡对计价器到期锁机从而实现强制进场管理，实现管理水平科技化。</w:t>
      </w:r>
    </w:p>
    <w:p>
      <w:pPr>
        <w:spacing w:line="360" w:lineRule="auto"/>
        <w:ind w:firstLine="420" w:firstLineChars="200"/>
        <w:rPr>
          <w:rFonts w:ascii="宋体" w:hAnsi="宋体"/>
          <w:szCs w:val="21"/>
        </w:rPr>
      </w:pPr>
      <w:r>
        <w:rPr>
          <w:rFonts w:hint="eastAsia" w:ascii="宋体" w:hAnsi="宋体"/>
          <w:szCs w:val="21"/>
        </w:rPr>
        <w:t>——计价器本机设计使用寿命应大于</w:t>
      </w:r>
      <w:r>
        <w:rPr>
          <w:rFonts w:ascii="宋体" w:hAnsi="宋体"/>
          <w:szCs w:val="21"/>
        </w:rPr>
        <w:t>8</w:t>
      </w:r>
      <w:r>
        <w:rPr>
          <w:rFonts w:hint="eastAsia" w:ascii="宋体" w:hAnsi="宋体"/>
          <w:szCs w:val="21"/>
        </w:rPr>
        <w:t>年；</w:t>
      </w:r>
    </w:p>
    <w:p>
      <w:pPr>
        <w:spacing w:line="360" w:lineRule="auto"/>
        <w:ind w:firstLine="420" w:firstLineChars="200"/>
        <w:rPr>
          <w:rFonts w:ascii="宋体" w:hAnsi="宋体"/>
          <w:szCs w:val="21"/>
        </w:rPr>
      </w:pPr>
      <w:r>
        <w:rPr>
          <w:rFonts w:hint="eastAsia" w:ascii="宋体" w:hAnsi="宋体"/>
          <w:szCs w:val="21"/>
        </w:rPr>
        <w:t>——计价器本机平均无故障运行时间（</w:t>
      </w:r>
      <w:r>
        <w:rPr>
          <w:rFonts w:ascii="宋体" w:hAnsi="宋体"/>
          <w:szCs w:val="21"/>
        </w:rPr>
        <w:t>MTBF</w:t>
      </w:r>
      <w:r>
        <w:rPr>
          <w:rFonts w:hint="eastAsia" w:ascii="宋体" w:hAnsi="宋体"/>
          <w:szCs w:val="21"/>
        </w:rPr>
        <w:t>）应大于</w:t>
      </w:r>
      <w:r>
        <w:rPr>
          <w:rFonts w:ascii="宋体" w:hAnsi="宋体"/>
          <w:szCs w:val="21"/>
        </w:rPr>
        <w:t>15000</w:t>
      </w:r>
      <w:r>
        <w:rPr>
          <w:rFonts w:hint="eastAsia" w:ascii="宋体" w:hAnsi="宋体"/>
          <w:szCs w:val="21"/>
        </w:rPr>
        <w:t>小时；</w:t>
      </w:r>
    </w:p>
    <w:p>
      <w:pPr>
        <w:spacing w:line="360" w:lineRule="auto"/>
        <w:ind w:firstLine="420" w:firstLineChars="200"/>
        <w:rPr>
          <w:rFonts w:ascii="宋体" w:hAnsi="宋体"/>
          <w:szCs w:val="21"/>
        </w:rPr>
      </w:pPr>
      <w:r>
        <w:rPr>
          <w:rFonts w:hint="eastAsia" w:ascii="宋体" w:hAnsi="宋体"/>
          <w:szCs w:val="21"/>
        </w:rPr>
        <w:t>——存储温度至少为</w:t>
      </w:r>
      <w:r>
        <w:rPr>
          <w:rFonts w:ascii="宋体" w:hAnsi="宋体"/>
          <w:szCs w:val="21"/>
        </w:rPr>
        <w:t>-40</w:t>
      </w:r>
      <w:r>
        <w:rPr>
          <w:rFonts w:hint="eastAsia" w:ascii="宋体" w:hAnsi="宋体"/>
          <w:szCs w:val="21"/>
        </w:rPr>
        <w:t>℃</w:t>
      </w:r>
      <w:r>
        <w:rPr>
          <w:rFonts w:ascii="宋体" w:hAnsi="宋体"/>
          <w:szCs w:val="21"/>
        </w:rPr>
        <w:t>~85</w:t>
      </w:r>
      <w:r>
        <w:rPr>
          <w:rFonts w:hint="eastAsia" w:ascii="宋体" w:hAnsi="宋体"/>
          <w:szCs w:val="21"/>
        </w:rPr>
        <w:t>℃，工作温度至少为</w:t>
      </w:r>
      <w:r>
        <w:rPr>
          <w:rFonts w:ascii="宋体" w:hAnsi="宋体"/>
          <w:szCs w:val="21"/>
        </w:rPr>
        <w:t>-20</w:t>
      </w:r>
      <w:r>
        <w:rPr>
          <w:rFonts w:hint="eastAsia" w:ascii="宋体" w:hAnsi="宋体"/>
          <w:szCs w:val="21"/>
        </w:rPr>
        <w:t>℃</w:t>
      </w:r>
      <w:r>
        <w:rPr>
          <w:rFonts w:ascii="宋体" w:hAnsi="宋体"/>
          <w:szCs w:val="21"/>
        </w:rPr>
        <w:t>~70</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——计价器与智能车载终端等连接，应保证连接牢固</w:t>
      </w:r>
    </w:p>
    <w:p>
      <w:pPr>
        <w:spacing w:line="360" w:lineRule="auto"/>
        <w:ind w:firstLine="422" w:firstLineChars="200"/>
        <w:rPr>
          <w:rFonts w:ascii="宋体" w:hAnsi="宋体"/>
          <w:b/>
          <w:szCs w:val="21"/>
        </w:rPr>
      </w:pPr>
      <w:r>
        <w:rPr>
          <w:rFonts w:hint="eastAsia" w:ascii="宋体" w:hAnsi="宋体"/>
          <w:b/>
          <w:szCs w:val="21"/>
        </w:rPr>
        <w:t>4.2 空车牌</w:t>
      </w:r>
    </w:p>
    <w:p>
      <w:pPr>
        <w:spacing w:line="360" w:lineRule="auto"/>
        <w:ind w:firstLine="420" w:firstLineChars="200"/>
        <w:rPr>
          <w:rFonts w:ascii="宋体" w:hAnsi="宋体"/>
          <w:szCs w:val="21"/>
        </w:rPr>
      </w:pPr>
      <w:r>
        <w:rPr>
          <w:rFonts w:hint="eastAsia" w:ascii="宋体" w:hAnsi="宋体"/>
          <w:szCs w:val="21"/>
        </w:rPr>
        <w:t>空车牌需采用高亮度发光二极管面板，功耗小，使用寿命长。</w:t>
      </w:r>
    </w:p>
    <w:p>
      <w:pPr>
        <w:spacing w:line="360" w:lineRule="auto"/>
        <w:ind w:firstLine="420" w:firstLineChars="200"/>
        <w:rPr>
          <w:rFonts w:ascii="宋体" w:hAnsi="宋体"/>
          <w:szCs w:val="21"/>
        </w:rPr>
      </w:pPr>
      <w:r>
        <w:rPr>
          <w:rFonts w:hint="eastAsia" w:ascii="宋体" w:hAnsi="宋体"/>
          <w:szCs w:val="21"/>
        </w:rPr>
        <w:t>主要技术指标要求：</w:t>
      </w:r>
    </w:p>
    <w:p>
      <w:pPr>
        <w:spacing w:line="360" w:lineRule="auto"/>
        <w:ind w:firstLine="420" w:firstLineChars="200"/>
        <w:rPr>
          <w:rFonts w:ascii="宋体" w:hAnsi="宋体"/>
          <w:szCs w:val="21"/>
        </w:rPr>
      </w:pPr>
      <w:r>
        <w:rPr>
          <w:rFonts w:hint="eastAsia" w:ascii="宋体" w:hAnsi="宋体"/>
          <w:szCs w:val="21"/>
        </w:rPr>
        <w:t>——电源电压范围：10V</w:t>
      </w:r>
      <w:r>
        <w:rPr>
          <w:rFonts w:ascii="宋体" w:hAnsi="宋体"/>
          <w:szCs w:val="21"/>
        </w:rPr>
        <w:t>—</w:t>
      </w:r>
      <w:r>
        <w:rPr>
          <w:rFonts w:hint="eastAsia" w:ascii="宋体" w:hAnsi="宋体"/>
          <w:szCs w:val="21"/>
        </w:rPr>
        <w:t>15V</w:t>
      </w:r>
    </w:p>
    <w:p>
      <w:pPr>
        <w:spacing w:line="360" w:lineRule="auto"/>
        <w:ind w:firstLine="420" w:firstLineChars="200"/>
        <w:rPr>
          <w:rFonts w:ascii="宋体" w:hAnsi="宋体"/>
          <w:szCs w:val="21"/>
        </w:rPr>
      </w:pPr>
      <w:r>
        <w:rPr>
          <w:rFonts w:hint="eastAsia" w:ascii="宋体" w:hAnsi="宋体"/>
          <w:szCs w:val="21"/>
        </w:rPr>
        <w:t>——环境温度：-20℃</w:t>
      </w:r>
      <w:r>
        <w:rPr>
          <w:rFonts w:ascii="宋体" w:hAnsi="宋体"/>
          <w:szCs w:val="21"/>
        </w:rPr>
        <w:t>—</w:t>
      </w:r>
      <w:r>
        <w:rPr>
          <w:rFonts w:hint="eastAsia" w:ascii="宋体" w:hAnsi="宋体"/>
          <w:szCs w:val="21"/>
        </w:rPr>
        <w:t>85℃</w:t>
      </w:r>
    </w:p>
    <w:p>
      <w:pPr>
        <w:spacing w:line="360" w:lineRule="auto"/>
        <w:ind w:firstLine="420" w:firstLineChars="200"/>
        <w:rPr>
          <w:rFonts w:ascii="宋体" w:hAnsi="宋体"/>
          <w:szCs w:val="21"/>
        </w:rPr>
      </w:pPr>
      <w:r>
        <w:rPr>
          <w:rFonts w:hint="eastAsia" w:ascii="宋体" w:hAnsi="宋体"/>
          <w:szCs w:val="21"/>
        </w:rPr>
        <w:t>——工作电流：</w:t>
      </w:r>
      <w:r>
        <w:rPr>
          <w:rFonts w:ascii="宋体" w:hAnsi="宋体"/>
          <w:szCs w:val="21"/>
        </w:rPr>
        <w:t xml:space="preserve"> &lt;150mA</w:t>
      </w:r>
    </w:p>
    <w:p>
      <w:pPr>
        <w:spacing w:line="360" w:lineRule="auto"/>
        <w:ind w:firstLine="420" w:firstLineChars="200"/>
        <w:rPr>
          <w:rFonts w:ascii="宋体" w:hAnsi="宋体"/>
          <w:szCs w:val="21"/>
        </w:rPr>
      </w:pPr>
      <w:r>
        <w:rPr>
          <w:rFonts w:hint="eastAsia" w:ascii="宋体" w:hAnsi="宋体"/>
          <w:szCs w:val="21"/>
        </w:rPr>
        <w:t>——信号线电流：&lt;20mA</w:t>
      </w:r>
    </w:p>
    <w:p>
      <w:pPr>
        <w:spacing w:line="360" w:lineRule="auto"/>
        <w:ind w:firstLine="420" w:firstLineChars="200"/>
        <w:rPr>
          <w:rFonts w:ascii="宋体" w:hAnsi="宋体"/>
          <w:szCs w:val="21"/>
        </w:rPr>
      </w:pPr>
      <w:r>
        <w:rPr>
          <w:rFonts w:hint="eastAsia" w:ascii="宋体" w:hAnsi="宋体"/>
          <w:szCs w:val="21"/>
        </w:rPr>
        <w:t>——翻动次数：</w:t>
      </w:r>
      <w:r>
        <w:rPr>
          <w:rFonts w:ascii="宋体" w:hAnsi="宋体"/>
          <w:szCs w:val="21"/>
        </w:rPr>
        <w:t>&gt;30000</w:t>
      </w:r>
      <w:r>
        <w:rPr>
          <w:rFonts w:hint="eastAsia" w:ascii="宋体" w:hAnsi="宋体"/>
          <w:szCs w:val="21"/>
        </w:rPr>
        <w:t>次</w:t>
      </w:r>
    </w:p>
    <w:p>
      <w:pPr>
        <w:spacing w:line="360" w:lineRule="auto"/>
        <w:ind w:firstLine="420" w:firstLineChars="200"/>
        <w:rPr>
          <w:rFonts w:ascii="宋体" w:hAnsi="宋体"/>
          <w:szCs w:val="21"/>
        </w:rPr>
      </w:pPr>
      <w:r>
        <w:rPr>
          <w:rFonts w:hint="eastAsia" w:ascii="宋体" w:hAnsi="宋体"/>
          <w:szCs w:val="21"/>
        </w:rPr>
        <w:t>——发光寿命：</w:t>
      </w:r>
      <w:r>
        <w:rPr>
          <w:rFonts w:ascii="宋体" w:hAnsi="宋体"/>
          <w:szCs w:val="21"/>
        </w:rPr>
        <w:t>&gt;8000</w:t>
      </w:r>
      <w:r>
        <w:rPr>
          <w:rFonts w:hint="eastAsia" w:ascii="宋体" w:hAnsi="宋体"/>
          <w:szCs w:val="21"/>
        </w:rPr>
        <w:t>小时</w:t>
      </w:r>
    </w:p>
    <w:p>
      <w:pPr>
        <w:spacing w:line="360" w:lineRule="auto"/>
        <w:ind w:firstLine="422" w:firstLineChars="200"/>
        <w:rPr>
          <w:rFonts w:ascii="宋体" w:hAnsi="宋体"/>
          <w:b/>
          <w:szCs w:val="21"/>
        </w:rPr>
      </w:pPr>
      <w:r>
        <w:rPr>
          <w:rFonts w:hint="eastAsia" w:ascii="宋体" w:hAnsi="宋体"/>
          <w:b/>
          <w:szCs w:val="21"/>
        </w:rPr>
        <w:t>4.3里程传感器</w:t>
      </w:r>
    </w:p>
    <w:p>
      <w:pPr>
        <w:spacing w:line="360" w:lineRule="auto"/>
        <w:ind w:firstLine="420" w:firstLineChars="200"/>
        <w:rPr>
          <w:rFonts w:ascii="宋体" w:hAnsi="宋体"/>
          <w:szCs w:val="21"/>
        </w:rPr>
      </w:pPr>
      <w:r>
        <w:rPr>
          <w:rFonts w:hint="eastAsia" w:ascii="宋体" w:hAnsi="宋体"/>
          <w:szCs w:val="21"/>
        </w:rPr>
        <w:t>里程传感器应使用干簧管作为感应单元，感应到由转速带到的磁钢产生的信号作为转速脉冲信号。里程传感器不需外加供电，使用时必须串接限流器件。不得影响车辆正常运行。</w:t>
      </w:r>
    </w:p>
    <w:p>
      <w:pPr>
        <w:spacing w:line="360" w:lineRule="auto"/>
        <w:ind w:firstLine="420" w:firstLineChars="200"/>
        <w:rPr>
          <w:rFonts w:ascii="宋体" w:hAnsi="宋体"/>
          <w:szCs w:val="21"/>
        </w:rPr>
      </w:pPr>
      <w:r>
        <w:rPr>
          <w:rFonts w:hint="eastAsia" w:ascii="宋体" w:hAnsi="宋体"/>
          <w:szCs w:val="21"/>
        </w:rPr>
        <w:t>主要技术指标要求：</w:t>
      </w:r>
    </w:p>
    <w:p>
      <w:pPr>
        <w:spacing w:line="360" w:lineRule="auto"/>
        <w:ind w:firstLine="420" w:firstLineChars="200"/>
        <w:rPr>
          <w:rFonts w:ascii="宋体" w:hAnsi="宋体"/>
          <w:szCs w:val="21"/>
        </w:rPr>
      </w:pPr>
      <w:r>
        <w:rPr>
          <w:rFonts w:hint="eastAsia" w:ascii="宋体" w:hAnsi="宋体"/>
          <w:szCs w:val="21"/>
        </w:rPr>
        <w:t>——电源电压范围：&lt;30V</w:t>
      </w:r>
    </w:p>
    <w:p>
      <w:pPr>
        <w:spacing w:line="360" w:lineRule="auto"/>
        <w:ind w:firstLine="420" w:firstLineChars="200"/>
        <w:rPr>
          <w:rFonts w:ascii="宋体" w:hAnsi="宋体"/>
          <w:szCs w:val="21"/>
        </w:rPr>
      </w:pPr>
      <w:r>
        <w:rPr>
          <w:rFonts w:hint="eastAsia" w:ascii="宋体" w:hAnsi="宋体"/>
          <w:szCs w:val="21"/>
        </w:rPr>
        <w:t>——环境温度：-20℃</w:t>
      </w:r>
      <w:r>
        <w:rPr>
          <w:rFonts w:ascii="宋体" w:hAnsi="宋体"/>
          <w:szCs w:val="21"/>
        </w:rPr>
        <w:t>—</w:t>
      </w:r>
      <w:r>
        <w:rPr>
          <w:rFonts w:hint="eastAsia" w:ascii="宋体" w:hAnsi="宋体"/>
          <w:szCs w:val="21"/>
        </w:rPr>
        <w:t>85℃</w:t>
      </w:r>
    </w:p>
    <w:p>
      <w:pPr>
        <w:spacing w:line="360" w:lineRule="auto"/>
        <w:ind w:firstLine="420" w:firstLineChars="200"/>
        <w:rPr>
          <w:rFonts w:ascii="宋体" w:hAnsi="宋体"/>
          <w:szCs w:val="21"/>
        </w:rPr>
      </w:pPr>
      <w:r>
        <w:rPr>
          <w:rFonts w:hint="eastAsia" w:ascii="宋体" w:hAnsi="宋体"/>
          <w:szCs w:val="21"/>
        </w:rPr>
        <w:t>——工作电流：</w:t>
      </w:r>
      <w:r>
        <w:rPr>
          <w:rFonts w:ascii="宋体" w:hAnsi="宋体"/>
          <w:szCs w:val="21"/>
        </w:rPr>
        <w:t xml:space="preserve"> &lt;</w:t>
      </w:r>
      <w:r>
        <w:rPr>
          <w:rFonts w:hint="eastAsia" w:ascii="宋体" w:hAnsi="宋体"/>
          <w:szCs w:val="21"/>
        </w:rPr>
        <w:t>2</w:t>
      </w:r>
      <w:r>
        <w:rPr>
          <w:rFonts w:ascii="宋体" w:hAnsi="宋体"/>
          <w:szCs w:val="21"/>
        </w:rPr>
        <w:t>0mA</w:t>
      </w:r>
    </w:p>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（五）智能顶灯</w:t>
      </w:r>
    </w:p>
    <w:p>
      <w:pPr>
        <w:spacing w:line="360" w:lineRule="auto"/>
        <w:ind w:firstLine="420" w:firstLineChars="200"/>
        <w:rPr>
          <w:rFonts w:ascii="宋体" w:hAnsi="宋体"/>
          <w:szCs w:val="21"/>
        </w:rPr>
      </w:pPr>
      <w:r>
        <w:rPr>
          <w:rFonts w:hint="eastAsia" w:ascii="宋体" w:hAnsi="宋体"/>
          <w:szCs w:val="21"/>
        </w:rPr>
        <w:t>触动报警开关后触发，报警开关隐蔽安装，并方便驾驶员触发，触发报警后，顶灯会同步显示报警信息。顶灯支持设备状态通讯联动，可以实现计价器状态传输显示对应状态。</w:t>
      </w:r>
    </w:p>
    <w:p>
      <w:pPr>
        <w:spacing w:line="360" w:lineRule="auto"/>
        <w:ind w:firstLine="420" w:firstLineChars="200"/>
        <w:rPr>
          <w:rFonts w:ascii="宋体" w:hAnsi="宋体"/>
          <w:szCs w:val="21"/>
        </w:rPr>
      </w:pPr>
      <w:r>
        <w:rPr>
          <w:rFonts w:hint="eastAsia" w:ascii="宋体" w:hAnsi="宋体"/>
          <w:szCs w:val="21"/>
        </w:rPr>
        <w:t>——设计使用寿命应大于</w:t>
      </w:r>
      <w:r>
        <w:rPr>
          <w:rFonts w:ascii="宋体" w:hAnsi="宋体"/>
          <w:szCs w:val="21"/>
        </w:rPr>
        <w:t>8</w:t>
      </w:r>
      <w:r>
        <w:rPr>
          <w:rFonts w:hint="eastAsia" w:ascii="宋体" w:hAnsi="宋体"/>
          <w:szCs w:val="21"/>
        </w:rPr>
        <w:t>年；</w:t>
      </w:r>
    </w:p>
    <w:p>
      <w:pPr>
        <w:spacing w:line="360" w:lineRule="auto"/>
        <w:ind w:firstLine="420" w:firstLineChars="200"/>
        <w:rPr>
          <w:rFonts w:ascii="宋体" w:hAnsi="宋体"/>
          <w:szCs w:val="21"/>
        </w:rPr>
      </w:pPr>
      <w:r>
        <w:rPr>
          <w:rFonts w:hint="eastAsia" w:ascii="宋体" w:hAnsi="宋体"/>
          <w:szCs w:val="21"/>
        </w:rPr>
        <w:t>——平均无故障运行时间（</w:t>
      </w:r>
      <w:r>
        <w:rPr>
          <w:rFonts w:ascii="宋体" w:hAnsi="宋体"/>
          <w:szCs w:val="21"/>
        </w:rPr>
        <w:t>MTBF</w:t>
      </w:r>
      <w:r>
        <w:rPr>
          <w:rFonts w:hint="eastAsia" w:ascii="宋体" w:hAnsi="宋体"/>
          <w:szCs w:val="21"/>
        </w:rPr>
        <w:t>）应大于</w:t>
      </w:r>
      <w:r>
        <w:rPr>
          <w:rFonts w:ascii="宋体" w:hAnsi="宋体"/>
          <w:szCs w:val="21"/>
        </w:rPr>
        <w:t>20000</w:t>
      </w:r>
      <w:r>
        <w:rPr>
          <w:rFonts w:hint="eastAsia" w:ascii="宋体" w:hAnsi="宋体"/>
          <w:szCs w:val="21"/>
        </w:rPr>
        <w:t>小时；</w:t>
      </w:r>
    </w:p>
    <w:p>
      <w:pPr>
        <w:spacing w:line="360" w:lineRule="auto"/>
        <w:ind w:firstLine="420" w:firstLineChars="200"/>
        <w:rPr>
          <w:rFonts w:ascii="宋体" w:hAnsi="宋体"/>
          <w:szCs w:val="21"/>
        </w:rPr>
      </w:pPr>
      <w:r>
        <w:rPr>
          <w:rFonts w:hint="eastAsia" w:ascii="宋体" w:hAnsi="宋体"/>
          <w:szCs w:val="21"/>
        </w:rPr>
        <w:t>——电气性能、电磁兼容特性应符合《</w:t>
      </w:r>
      <w:r>
        <w:rPr>
          <w:rFonts w:ascii="宋体" w:hAnsi="宋体"/>
          <w:szCs w:val="21"/>
        </w:rPr>
        <w:t xml:space="preserve">QC/T 413 </w:t>
      </w:r>
      <w:r>
        <w:rPr>
          <w:rFonts w:hint="eastAsia" w:ascii="宋体" w:hAnsi="宋体"/>
          <w:szCs w:val="21"/>
        </w:rPr>
        <w:t>汽车电器设备基本技术条件》的要求；</w:t>
      </w:r>
    </w:p>
    <w:p>
      <w:pPr>
        <w:spacing w:line="360" w:lineRule="auto"/>
        <w:ind w:firstLine="420" w:firstLineChars="200"/>
        <w:rPr>
          <w:rFonts w:ascii="宋体" w:hAnsi="宋体"/>
          <w:szCs w:val="21"/>
        </w:rPr>
      </w:pPr>
      <w:r>
        <w:rPr>
          <w:rFonts w:hint="eastAsia" w:ascii="宋体" w:hAnsi="宋体"/>
          <w:szCs w:val="21"/>
        </w:rPr>
        <w:t>——工作电压</w:t>
      </w:r>
      <w:r>
        <w:rPr>
          <w:rFonts w:ascii="宋体" w:hAnsi="宋体"/>
          <w:szCs w:val="21"/>
        </w:rPr>
        <w:t xml:space="preserve"> DC12V</w:t>
      </w:r>
      <w:r>
        <w:rPr>
          <w:rFonts w:hint="eastAsia" w:ascii="宋体" w:hAnsi="宋体"/>
          <w:szCs w:val="21"/>
        </w:rPr>
        <w:t>，适应范围为</w:t>
      </w:r>
      <w:r>
        <w:rPr>
          <w:rFonts w:ascii="宋体" w:hAnsi="宋体"/>
          <w:szCs w:val="21"/>
        </w:rPr>
        <w:t>DC 9V~16 V</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——存储温度至少为</w:t>
      </w:r>
      <w:r>
        <w:rPr>
          <w:rFonts w:ascii="宋体" w:hAnsi="宋体"/>
          <w:szCs w:val="21"/>
        </w:rPr>
        <w:t>-40</w:t>
      </w:r>
      <w:r>
        <w:rPr>
          <w:rFonts w:hint="eastAsia" w:ascii="宋体" w:hAnsi="宋体"/>
          <w:szCs w:val="21"/>
        </w:rPr>
        <w:t>℃</w:t>
      </w:r>
      <w:r>
        <w:rPr>
          <w:rFonts w:ascii="宋体" w:hAnsi="宋体"/>
          <w:szCs w:val="21"/>
        </w:rPr>
        <w:t>~85</w:t>
      </w:r>
      <w:r>
        <w:rPr>
          <w:rFonts w:hint="eastAsia" w:ascii="宋体" w:hAnsi="宋体"/>
          <w:szCs w:val="21"/>
        </w:rPr>
        <w:t>℃，工作温度至少为</w:t>
      </w:r>
      <w:r>
        <w:rPr>
          <w:rFonts w:ascii="宋体" w:hAnsi="宋体"/>
          <w:szCs w:val="21"/>
        </w:rPr>
        <w:t>-30</w:t>
      </w:r>
      <w:r>
        <w:rPr>
          <w:rFonts w:hint="eastAsia" w:ascii="宋体" w:hAnsi="宋体"/>
          <w:szCs w:val="21"/>
        </w:rPr>
        <w:t>℃</w:t>
      </w:r>
      <w:r>
        <w:rPr>
          <w:rFonts w:ascii="宋体" w:hAnsi="宋体"/>
          <w:szCs w:val="21"/>
        </w:rPr>
        <w:t>~70</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——工作环境相对湿度至少为</w:t>
      </w:r>
      <w:r>
        <w:rPr>
          <w:rFonts w:ascii="宋体" w:hAnsi="宋体"/>
          <w:szCs w:val="21"/>
        </w:rPr>
        <w:t>15~90%</w:t>
      </w:r>
    </w:p>
    <w:p>
      <w:pPr>
        <w:spacing w:line="360" w:lineRule="auto"/>
        <w:ind w:firstLine="420" w:firstLineChars="200"/>
        <w:rPr>
          <w:rFonts w:ascii="宋体" w:hAnsi="宋体"/>
          <w:szCs w:val="21"/>
        </w:rPr>
      </w:pPr>
      <w:r>
        <w:rPr>
          <w:rFonts w:hint="eastAsia" w:ascii="宋体" w:hAnsi="宋体"/>
          <w:szCs w:val="21"/>
        </w:rPr>
        <w:t>——智能顶灯应具有与智能服务终端的通讯接口</w:t>
      </w:r>
    </w:p>
    <w:p>
      <w:pPr>
        <w:spacing w:line="360" w:lineRule="auto"/>
        <w:ind w:firstLine="420" w:firstLineChars="200"/>
        <w:rPr>
          <w:rFonts w:ascii="宋体" w:hAnsi="宋体"/>
          <w:szCs w:val="21"/>
        </w:rPr>
      </w:pPr>
      <w:r>
        <w:rPr>
          <w:rFonts w:hint="eastAsia" w:ascii="宋体" w:hAnsi="宋体"/>
          <w:szCs w:val="21"/>
        </w:rPr>
        <w:t>——智能顶灯应使用车用连接器与智能服务终端进行连接，保证连接牢固，具有明显标记和防插错装置。</w:t>
      </w:r>
    </w:p>
    <w:p>
      <w:pPr>
        <w:spacing w:line="360" w:lineRule="auto"/>
        <w:ind w:firstLine="422" w:firstLineChars="200"/>
        <w:rPr>
          <w:rFonts w:ascii="宋体" w:hAnsi="宋体"/>
          <w:b/>
          <w:szCs w:val="21"/>
        </w:rPr>
      </w:pPr>
      <w:r>
        <w:rPr>
          <w:rFonts w:hint="eastAsia" w:ascii="宋体" w:hAnsi="宋体"/>
          <w:b/>
          <w:szCs w:val="21"/>
        </w:rPr>
        <w:t>LED智能顶灯规格需求</w:t>
      </w:r>
    </w:p>
    <w:tbl>
      <w:tblPr>
        <w:tblStyle w:val="33"/>
        <w:tblW w:w="8803" w:type="dxa"/>
        <w:jc w:val="center"/>
        <w:tblLayout w:type="fixed"/>
        <w:tblCellMar>
          <w:top w:w="15" w:type="dxa"/>
          <w:left w:w="15" w:type="dxa"/>
          <w:bottom w:w="15" w:type="dxa"/>
          <w:right w:w="15" w:type="dxa"/>
        </w:tblCellMar>
      </w:tblPr>
      <w:tblGrid>
        <w:gridCol w:w="2035"/>
        <w:gridCol w:w="5688"/>
        <w:gridCol w:w="1080"/>
      </w:tblGrid>
      <w:tr>
        <w:tblPrEx>
          <w:tblCellMar>
            <w:top w:w="15" w:type="dxa"/>
            <w:left w:w="15" w:type="dxa"/>
            <w:bottom w:w="15" w:type="dxa"/>
            <w:right w:w="15" w:type="dxa"/>
          </w:tblCellMar>
        </w:tblPrEx>
        <w:trPr>
          <w:trHeight w:val="283" w:hRule="atLeast"/>
          <w:jc w:val="center"/>
        </w:trPr>
        <w:tc>
          <w:tcPr>
            <w:tcW w:w="203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175"/>
              <w:jc w:val="center"/>
              <w:rPr>
                <w:rFonts w:ascii="宋体" w:hAnsi="宋体"/>
                <w:szCs w:val="21"/>
              </w:rPr>
            </w:pPr>
            <w:r>
              <w:rPr>
                <w:rFonts w:hint="eastAsia" w:ascii="宋体" w:hAnsi="宋体"/>
                <w:szCs w:val="21"/>
              </w:rPr>
              <w:t>名称</w:t>
            </w:r>
          </w:p>
        </w:tc>
        <w:tc>
          <w:tcPr>
            <w:tcW w:w="56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175"/>
              <w:jc w:val="center"/>
              <w:rPr>
                <w:rFonts w:ascii="宋体" w:hAnsi="宋体"/>
                <w:szCs w:val="21"/>
              </w:rPr>
            </w:pPr>
            <w:r>
              <w:rPr>
                <w:rFonts w:hint="eastAsia" w:ascii="宋体" w:hAnsi="宋体"/>
                <w:szCs w:val="21"/>
              </w:rPr>
              <w:t>技术指标/规格参数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szCs w:val="21"/>
              </w:rPr>
            </w:pPr>
            <w:r>
              <w:rPr>
                <w:rFonts w:hint="eastAsia" w:ascii="宋体" w:hAnsi="宋体"/>
                <w:szCs w:val="21"/>
              </w:rPr>
              <w:t>备注</w:t>
            </w: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LED智能顶灯</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led面板可视角度 水平视角≥90度，垂直视角≥90度；</w:t>
            </w:r>
          </w:p>
          <w:p>
            <w:pPr>
              <w:spacing w:line="360" w:lineRule="auto"/>
              <w:rPr>
                <w:rFonts w:ascii="宋体" w:hAnsi="宋体"/>
                <w:szCs w:val="21"/>
              </w:rPr>
            </w:pPr>
            <w:r>
              <w:rPr>
                <w:rFonts w:hint="eastAsia" w:ascii="宋体" w:hAnsi="宋体"/>
                <w:szCs w:val="21"/>
              </w:rPr>
              <w:t>最佳可视距离5—50米</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顶灯前屏状态</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（空车）（停运）（有客）（电召）（求助</w:t>
            </w:r>
            <w:r>
              <w:rPr>
                <w:rFonts w:ascii="宋体" w:hAnsi="宋体"/>
                <w:szCs w:val="21"/>
              </w:rPr>
              <w:t>）</w:t>
            </w:r>
            <w:r>
              <w:rPr>
                <w:rFonts w:hint="eastAsia" w:ascii="宋体" w:hAnsi="宋体"/>
                <w:szCs w:val="21"/>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120" w:line="360" w:lineRule="auto"/>
              <w:jc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显示颜色</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状态显示屏：红、绿、黄；</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720"/>
              <w:rPr>
                <w:rFonts w:ascii="宋体" w:hAnsi="宋体"/>
                <w:szCs w:val="21"/>
              </w:rPr>
            </w:pP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nil"/>
              <w:right w:val="single" w:color="000000" w:sz="4" w:space="0"/>
            </w:tcBorders>
            <w:noWrap/>
          </w:tcPr>
          <w:p>
            <w:pPr>
              <w:spacing w:line="360" w:lineRule="auto"/>
              <w:rPr>
                <w:rFonts w:ascii="宋体" w:hAnsi="宋体"/>
                <w:szCs w:val="21"/>
              </w:rPr>
            </w:pPr>
            <w:r>
              <w:rPr>
                <w:rFonts w:hint="eastAsia" w:ascii="宋体" w:hAnsi="宋体"/>
                <w:szCs w:val="21"/>
              </w:rPr>
              <w:t>防伪灯带</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红、橙、黄、绿、青、蓝、紫；</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120" w:line="360" w:lineRule="auto"/>
              <w:jc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nil"/>
              <w:right w:val="single" w:color="000000" w:sz="4" w:space="0"/>
            </w:tcBorders>
            <w:noWrap/>
          </w:tcPr>
          <w:p>
            <w:pPr>
              <w:spacing w:line="360" w:lineRule="auto"/>
              <w:rPr>
                <w:rFonts w:ascii="宋体" w:hAnsi="宋体"/>
                <w:szCs w:val="21"/>
              </w:rPr>
            </w:pPr>
            <w:r>
              <w:rPr>
                <w:rFonts w:hint="eastAsia" w:ascii="宋体" w:hAnsi="宋体"/>
                <w:szCs w:val="21"/>
              </w:rPr>
              <w:t>屏幕寿命</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≥8万小时</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120" w:line="360" w:lineRule="auto"/>
              <w:jc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盲点率</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≤3PPM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工作电压</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DC:12-36V</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nil"/>
              <w:right w:val="single" w:color="000000" w:sz="4" w:space="0"/>
            </w:tcBorders>
            <w:noWrap/>
          </w:tcPr>
          <w:p>
            <w:pPr>
              <w:spacing w:line="360" w:lineRule="auto"/>
              <w:rPr>
                <w:rFonts w:ascii="宋体" w:hAnsi="宋体"/>
                <w:szCs w:val="21"/>
              </w:rPr>
            </w:pPr>
            <w:r>
              <w:rPr>
                <w:rFonts w:hint="eastAsia" w:ascii="宋体" w:hAnsi="宋体"/>
                <w:szCs w:val="21"/>
              </w:rPr>
              <w:t>最大功耗</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 15W/个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120" w:line="360" w:lineRule="auto"/>
              <w:jc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系统工作环境温度</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－20℃～60℃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120" w:line="360" w:lineRule="auto"/>
              <w:jc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系统工作环境湿度</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10%—90%RH</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after="120" w:line="360" w:lineRule="auto"/>
              <w:jc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显示亮度</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显示屏：红色800mcd 绿色2200mcd；</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灯条</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在13.5V试验电压下，LED灯条同平面正前方1米处，光通量≥400lm。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720"/>
              <w:rPr>
                <w:rFonts w:ascii="宋体" w:hAnsi="宋体"/>
                <w:szCs w:val="21"/>
              </w:rPr>
            </w:pP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数据接口</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TTL</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720"/>
              <w:rPr>
                <w:rFonts w:ascii="宋体" w:hAnsi="宋体"/>
                <w:szCs w:val="21"/>
              </w:rPr>
            </w:pPr>
          </w:p>
        </w:tc>
      </w:tr>
      <w:tr>
        <w:tblPrEx>
          <w:tblCellMar>
            <w:top w:w="15" w:type="dxa"/>
            <w:left w:w="15" w:type="dxa"/>
            <w:bottom w:w="15" w:type="dxa"/>
            <w:right w:w="15" w:type="dxa"/>
          </w:tblCellMar>
        </w:tblPrEx>
        <w:trPr>
          <w:trHeight w:val="285" w:hRule="atLeast"/>
          <w:jc w:val="center"/>
        </w:trPr>
        <w:tc>
          <w:tcPr>
            <w:tcW w:w="2035"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驱动方式</w:t>
            </w:r>
          </w:p>
        </w:tc>
        <w:tc>
          <w:tcPr>
            <w:tcW w:w="5688"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szCs w:val="21"/>
              </w:rPr>
            </w:pPr>
            <w:r>
              <w:rPr>
                <w:rFonts w:hint="eastAsia" w:ascii="宋体" w:hAnsi="宋体"/>
                <w:szCs w:val="21"/>
              </w:rPr>
              <w:t>1/12扫恒流驱动</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720"/>
              <w:rPr>
                <w:rFonts w:ascii="宋体" w:hAnsi="宋体"/>
                <w:szCs w:val="21"/>
              </w:rPr>
            </w:pPr>
          </w:p>
        </w:tc>
      </w:tr>
    </w:tbl>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（六）通讯费用</w:t>
      </w:r>
    </w:p>
    <w:p>
      <w:pPr>
        <w:spacing w:line="360" w:lineRule="auto"/>
        <w:ind w:firstLine="420" w:firstLineChars="200"/>
        <w:rPr>
          <w:rFonts w:ascii="宋体" w:hAnsi="宋体"/>
          <w:szCs w:val="21"/>
        </w:rPr>
      </w:pPr>
      <w:r>
        <w:rPr>
          <w:rFonts w:hint="eastAsia" w:ascii="宋体" w:hAnsi="宋体"/>
          <w:szCs w:val="21"/>
        </w:rPr>
        <w:t>通讯费包括每车每月不少于20G的4G流量和300分钟高清国内主叫语音通话时长，与智能终端配套使用。</w:t>
      </w:r>
    </w:p>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（七）电召平台软件</w:t>
      </w:r>
    </w:p>
    <w:p>
      <w:pPr>
        <w:spacing w:line="360" w:lineRule="auto"/>
        <w:ind w:firstLine="420" w:firstLineChars="200"/>
        <w:rPr>
          <w:rFonts w:ascii="宋体" w:hAnsi="宋体"/>
          <w:szCs w:val="21"/>
        </w:rPr>
      </w:pPr>
      <w:r>
        <w:rPr>
          <w:rFonts w:hint="eastAsia" w:ascii="宋体" w:hAnsi="宋体"/>
          <w:szCs w:val="21"/>
        </w:rPr>
        <w:t>基于本项目车载智能终端基础平台采集的出租汽车车辆GPS、满空载、电话记录、营运里程、费用等信息及投标人负责接入的全市出租车运营信息，实现嘉兴市出租汽车电召功能，相关数据字段需符合电召平台相关数据要求。电召平台能通过终端下发乘客需求，驾驶员能通过智能终端查看信息，并通过回拨按钮与乘客联系并实现电召。</w:t>
      </w:r>
    </w:p>
    <w:p>
      <w:pPr>
        <w:spacing w:line="360" w:lineRule="auto"/>
        <w:ind w:firstLine="420" w:firstLineChars="200"/>
        <w:rPr>
          <w:rFonts w:ascii="宋体" w:hAnsi="宋体"/>
          <w:szCs w:val="21"/>
        </w:rPr>
      </w:pPr>
      <w:r>
        <w:rPr>
          <w:rFonts w:hint="eastAsia" w:ascii="宋体" w:hAnsi="宋体"/>
          <w:szCs w:val="21"/>
        </w:rPr>
        <w:t>电召平台能对车辆进行空重载判断，并派单，支持空车抢单，电召和重车状态须屏蔽派单。</w:t>
      </w:r>
    </w:p>
    <w:p>
      <w:pPr>
        <w:spacing w:line="360" w:lineRule="auto"/>
        <w:ind w:firstLine="420" w:firstLineChars="200"/>
        <w:rPr>
          <w:rFonts w:ascii="宋体" w:hAnsi="宋体"/>
          <w:szCs w:val="21"/>
        </w:rPr>
      </w:pPr>
      <w:r>
        <w:rPr>
          <w:rFonts w:hint="eastAsia" w:ascii="宋体" w:hAnsi="宋体"/>
          <w:szCs w:val="21"/>
        </w:rPr>
        <w:t>电召平台能下发派单信息，司机能通过智能终端查看信息，并通过回拨按钮与乘客联系。</w:t>
      </w:r>
    </w:p>
    <w:p>
      <w:pPr>
        <w:spacing w:line="360" w:lineRule="auto"/>
        <w:ind w:firstLine="420" w:firstLineChars="200"/>
        <w:rPr>
          <w:rFonts w:ascii="宋体" w:hAnsi="宋体"/>
          <w:szCs w:val="21"/>
        </w:rPr>
      </w:pPr>
      <w:r>
        <w:rPr>
          <w:rFonts w:hint="eastAsia" w:ascii="宋体" w:hAnsi="宋体"/>
          <w:szCs w:val="21"/>
        </w:rPr>
        <w:t>电召平台能同时接入10000台车辆的规模，调派处理能力1000单/分钟，客户端同时支持100个以上。</w:t>
      </w:r>
    </w:p>
    <w:p>
      <w:pPr>
        <w:spacing w:line="360" w:lineRule="auto"/>
        <w:ind w:firstLine="422" w:firstLineChars="200"/>
        <w:rPr>
          <w:rFonts w:ascii="宋体" w:hAnsi="宋体"/>
          <w:b/>
          <w:szCs w:val="21"/>
        </w:rPr>
      </w:pPr>
      <w:bookmarkStart w:id="8" w:name="_Toc354649023"/>
      <w:r>
        <w:rPr>
          <w:rFonts w:hint="eastAsia" w:ascii="宋体" w:hAnsi="宋体"/>
          <w:b/>
          <w:szCs w:val="21"/>
        </w:rPr>
        <w:t>7.1概述</w:t>
      </w:r>
      <w:bookmarkEnd w:id="8"/>
    </w:p>
    <w:p>
      <w:pPr>
        <w:pStyle w:val="8"/>
        <w:spacing w:line="360" w:lineRule="auto"/>
        <w:rPr>
          <w:rFonts w:ascii="宋体" w:hAnsi="宋体"/>
          <w:szCs w:val="21"/>
        </w:rPr>
      </w:pPr>
      <w:r>
        <w:rPr>
          <w:rFonts w:hint="eastAsia" w:ascii="宋体" w:hAnsi="宋体"/>
          <w:szCs w:val="21"/>
        </w:rPr>
        <w:t>电召服务管理系统面向全社会提供电召服务。电召服务中心根据乘客提供的召车位置、时间等相关信息，按照一定的选择策略，寻找满足要求的空车，并将电召请求发送至符合条件的车辆；驾驶员收到电召请求后，根据各自意愿，对电召信息进行应答；电召服务中心从收到的所有电召应答中筛选符合要求的车辆，并驾驶员信息发送至乘客，与此同时，电召服务中心将乘客联系方式发送给选择的车辆，便于乘客与驾驶员联系。</w:t>
      </w:r>
    </w:p>
    <w:p>
      <w:pPr>
        <w:tabs>
          <w:tab w:val="left" w:pos="3360"/>
          <w:tab w:val="left" w:pos="7920"/>
        </w:tabs>
        <w:spacing w:line="360" w:lineRule="auto"/>
        <w:ind w:firstLine="420" w:firstLineChars="200"/>
        <w:rPr>
          <w:rFonts w:ascii="宋体" w:hAnsi="宋体"/>
          <w:szCs w:val="21"/>
        </w:rPr>
      </w:pPr>
      <w:r>
        <w:rPr>
          <w:rFonts w:hint="eastAsia" w:ascii="宋体" w:hAnsi="宋体"/>
          <w:szCs w:val="21"/>
        </w:rPr>
        <w:t>在提高处理效率方面，本系统需与呼叫中心做到无缝连接，同时可尝试使用乘客手机定位技术辅助座席快速查找要车地点。</w:t>
      </w:r>
    </w:p>
    <w:p>
      <w:pPr>
        <w:spacing w:line="360" w:lineRule="auto"/>
        <w:ind w:firstLine="422" w:firstLineChars="200"/>
        <w:rPr>
          <w:rFonts w:ascii="宋体" w:hAnsi="宋体"/>
          <w:b/>
          <w:szCs w:val="21"/>
        </w:rPr>
      </w:pPr>
      <w:bookmarkStart w:id="9" w:name="_Toc354649025"/>
      <w:r>
        <w:rPr>
          <w:rFonts w:hint="eastAsia" w:ascii="宋体" w:hAnsi="宋体"/>
          <w:b/>
          <w:szCs w:val="21"/>
        </w:rPr>
        <w:t>7.2电召调度功能设计</w:t>
      </w:r>
      <w:bookmarkEnd w:id="9"/>
      <w:bookmarkStart w:id="10" w:name="_Toc354649026"/>
    </w:p>
    <w:bookmarkEnd w:id="10"/>
    <w:p>
      <w:pPr>
        <w:spacing w:line="360" w:lineRule="auto"/>
        <w:ind w:firstLine="420" w:firstLineChars="200"/>
        <w:rPr>
          <w:rFonts w:ascii="宋体" w:hAnsi="宋体"/>
          <w:szCs w:val="21"/>
        </w:rPr>
      </w:pPr>
      <w:r>
        <w:rPr>
          <w:rFonts w:ascii="宋体" w:hAnsi="宋体"/>
          <w:szCs w:val="21"/>
        </w:rPr>
        <w:t>电召调度为系统最基本的功能，用于满足电召调度业务需求，协助电召中心工作人员高效电召服务，并记录服务过程作为后续改善和数据分析的基础。</w:t>
      </w:r>
      <w:r>
        <w:rPr>
          <w:rFonts w:hint="eastAsia" w:ascii="宋体" w:hAnsi="宋体"/>
          <w:szCs w:val="21"/>
        </w:rPr>
        <w:t>系统须支持人工订车功能。</w:t>
      </w:r>
    </w:p>
    <w:p>
      <w:pPr>
        <w:spacing w:line="360" w:lineRule="auto"/>
        <w:ind w:firstLine="413" w:firstLineChars="196"/>
        <w:rPr>
          <w:rFonts w:ascii="宋体" w:hAnsi="宋体"/>
          <w:b/>
          <w:szCs w:val="21"/>
        </w:rPr>
      </w:pPr>
      <w:r>
        <w:rPr>
          <w:rFonts w:hint="eastAsia" w:ascii="宋体" w:hAnsi="宋体"/>
          <w:b/>
          <w:szCs w:val="21"/>
        </w:rPr>
        <w:t>人工订车流程：</w:t>
      </w:r>
    </w:p>
    <w:p>
      <w:pPr>
        <w:spacing w:line="360" w:lineRule="auto"/>
        <w:ind w:firstLine="420" w:firstLineChars="200"/>
        <w:rPr>
          <w:rFonts w:ascii="宋体" w:hAnsi="宋体"/>
          <w:szCs w:val="21"/>
        </w:rPr>
      </w:pPr>
      <w:r>
        <w:rPr>
          <w:rFonts w:hint="eastAsia" w:ascii="宋体" w:hAnsi="宋体"/>
          <w:szCs w:val="21"/>
        </w:rPr>
        <w:t>乘客拨打调度中心电话，根据自动语音提示选择人工接听或直接人工接听后，由调度中心接线员将乘客订单输入调度系统，并由调度系统按车辆属地及出租汽车运营相关要求自动调派，并自动拨打乘客电话告知结果。</w:t>
      </w:r>
    </w:p>
    <w:p>
      <w:pPr>
        <w:spacing w:line="360" w:lineRule="auto"/>
        <w:ind w:firstLine="420" w:firstLineChars="200"/>
        <w:rPr>
          <w:rFonts w:ascii="宋体" w:hAnsi="宋体"/>
          <w:szCs w:val="21"/>
        </w:rPr>
      </w:pPr>
      <w:r>
        <w:rPr>
          <w:rFonts w:ascii="宋体" w:hAnsi="宋体"/>
          <w:szCs w:val="21"/>
        </w:rPr>
        <w:object>
          <v:shape id="_x0000_i1025" o:spt="75" type="#_x0000_t75" style="height:414pt;width:285.75pt;" o:ole="t" filled="f" o:preferrelative="t" stroked="f" coordsize="21600,21600">
            <v:path/>
            <v:fill on="f" focussize="0,0"/>
            <v:stroke on="f" joinstyle="miter"/>
            <v:imagedata r:id="rId17" o:title=""/>
            <o:lock v:ext="edit" aspectratio="t"/>
            <w10:wrap type="none"/>
            <w10:anchorlock/>
          </v:shape>
          <o:OLEObject Type="Embed" ProgID="Visio.Drawing.11" ShapeID="_x0000_i1025" DrawAspect="Content" ObjectID="_1468075725" r:id="rId16">
            <o:LockedField>false</o:LockedField>
          </o:OLEObject>
        </w:object>
      </w:r>
    </w:p>
    <w:p>
      <w:pPr>
        <w:spacing w:line="360" w:lineRule="auto"/>
        <w:ind w:firstLine="420" w:firstLineChars="200"/>
        <w:jc w:val="left"/>
        <w:rPr>
          <w:rFonts w:ascii="宋体" w:hAnsi="宋体"/>
          <w:szCs w:val="21"/>
        </w:rPr>
      </w:pPr>
    </w:p>
    <w:p>
      <w:pPr>
        <w:spacing w:line="360" w:lineRule="auto"/>
        <w:ind w:firstLine="422" w:firstLineChars="200"/>
        <w:rPr>
          <w:rFonts w:ascii="宋体" w:hAnsi="宋体"/>
          <w:b/>
          <w:szCs w:val="21"/>
        </w:rPr>
      </w:pPr>
      <w:r>
        <w:rPr>
          <w:rFonts w:hint="eastAsia" w:ascii="宋体" w:hAnsi="宋体"/>
          <w:b/>
          <w:szCs w:val="21"/>
        </w:rPr>
        <w:t>7.3其它要求：</w:t>
      </w:r>
    </w:p>
    <w:p>
      <w:pPr>
        <w:pStyle w:val="16"/>
        <w:numPr>
          <w:ilvl w:val="0"/>
          <w:numId w:val="4"/>
        </w:numPr>
        <w:tabs>
          <w:tab w:val="left" w:pos="1080"/>
          <w:tab w:val="clear" w:pos="920"/>
        </w:tabs>
        <w:spacing w:line="360" w:lineRule="auto"/>
        <w:ind w:left="0" w:firstLine="422" w:firstLineChars="200"/>
        <w:rPr>
          <w:rFonts w:hAnsi="宋体" w:cs="Arial"/>
          <w:b/>
          <w:kern w:val="0"/>
          <w:sz w:val="21"/>
          <w:szCs w:val="21"/>
        </w:rPr>
      </w:pPr>
      <w:r>
        <w:rPr>
          <w:rFonts w:hAnsi="宋体" w:cs="Arial"/>
          <w:b/>
          <w:kern w:val="0"/>
          <w:sz w:val="21"/>
          <w:szCs w:val="21"/>
        </w:rPr>
        <w:t>电话号码自动存储</w:t>
      </w:r>
    </w:p>
    <w:p>
      <w:pPr>
        <w:spacing w:line="360" w:lineRule="auto"/>
        <w:ind w:firstLine="420" w:firstLineChars="200"/>
        <w:rPr>
          <w:rFonts w:ascii="宋体" w:hAnsi="宋体" w:cs="Arial"/>
          <w:szCs w:val="21"/>
        </w:rPr>
      </w:pPr>
      <w:r>
        <w:rPr>
          <w:rFonts w:ascii="宋体" w:hAnsi="宋体" w:cs="Arial"/>
          <w:szCs w:val="21"/>
        </w:rPr>
        <w:t>乘客拨打电话到电召服务中心，系统自动存储并显示乘客电话号码，建立电话号码与乘客的关联信息，并记录乘客使用电召的相关信息。</w:t>
      </w:r>
    </w:p>
    <w:p>
      <w:pPr>
        <w:pStyle w:val="16"/>
        <w:numPr>
          <w:ilvl w:val="0"/>
          <w:numId w:val="4"/>
        </w:numPr>
        <w:tabs>
          <w:tab w:val="left" w:pos="1080"/>
          <w:tab w:val="clear" w:pos="920"/>
        </w:tabs>
        <w:spacing w:line="360" w:lineRule="auto"/>
        <w:ind w:left="0" w:firstLine="422" w:firstLineChars="200"/>
        <w:rPr>
          <w:rFonts w:hAnsi="宋体" w:cs="Arial"/>
          <w:b/>
          <w:kern w:val="0"/>
          <w:sz w:val="21"/>
          <w:szCs w:val="21"/>
        </w:rPr>
      </w:pPr>
      <w:r>
        <w:rPr>
          <w:rFonts w:hAnsi="宋体" w:cs="Arial"/>
          <w:b/>
          <w:kern w:val="0"/>
          <w:sz w:val="21"/>
          <w:szCs w:val="21"/>
        </w:rPr>
        <w:t>乘客信息显示</w:t>
      </w:r>
    </w:p>
    <w:p>
      <w:pPr>
        <w:spacing w:line="360" w:lineRule="auto"/>
        <w:ind w:firstLine="420" w:firstLineChars="200"/>
        <w:rPr>
          <w:rFonts w:ascii="宋体" w:hAnsi="宋体" w:cs="Arial"/>
          <w:szCs w:val="21"/>
        </w:rPr>
      </w:pPr>
      <w:r>
        <w:rPr>
          <w:rFonts w:ascii="宋体" w:hAnsi="宋体" w:cs="Arial"/>
          <w:szCs w:val="21"/>
        </w:rPr>
        <w:t>乘客拨打电召服务中心电话时，应自动显示乘客相关信息，包括客户以前电话召车的时间、地点、成功次数、诚信记录等。</w:t>
      </w:r>
    </w:p>
    <w:p>
      <w:pPr>
        <w:pStyle w:val="16"/>
        <w:numPr>
          <w:ilvl w:val="0"/>
          <w:numId w:val="4"/>
        </w:numPr>
        <w:tabs>
          <w:tab w:val="left" w:pos="1080"/>
          <w:tab w:val="clear" w:pos="920"/>
        </w:tabs>
        <w:spacing w:line="360" w:lineRule="auto"/>
        <w:ind w:left="0" w:firstLine="422" w:firstLineChars="200"/>
        <w:rPr>
          <w:rFonts w:hAnsi="宋体" w:cs="Arial"/>
          <w:b/>
          <w:kern w:val="0"/>
          <w:sz w:val="21"/>
          <w:szCs w:val="21"/>
        </w:rPr>
      </w:pPr>
      <w:r>
        <w:rPr>
          <w:rFonts w:hAnsi="宋体" w:cs="Arial"/>
          <w:b/>
          <w:kern w:val="0"/>
          <w:sz w:val="21"/>
          <w:szCs w:val="21"/>
        </w:rPr>
        <w:t>任务分配</w:t>
      </w:r>
    </w:p>
    <w:p>
      <w:pPr>
        <w:spacing w:line="360" w:lineRule="auto"/>
        <w:ind w:firstLine="420" w:firstLineChars="200"/>
        <w:rPr>
          <w:rFonts w:ascii="宋体" w:hAnsi="宋体" w:cs="Arial"/>
          <w:szCs w:val="21"/>
        </w:rPr>
      </w:pPr>
      <w:r>
        <w:rPr>
          <w:rFonts w:ascii="宋体" w:hAnsi="宋体" w:cs="Arial"/>
          <w:szCs w:val="21"/>
        </w:rPr>
        <w:t>电召中心工作人员利用本系统登记乘客信息、乘车地点与时间（系统同时自动录音），</w:t>
      </w:r>
      <w:r>
        <w:rPr>
          <w:rFonts w:hint="eastAsia" w:ascii="宋体" w:hAnsi="宋体" w:cs="Arial"/>
          <w:szCs w:val="21"/>
        </w:rPr>
        <w:t>无需</w:t>
      </w:r>
      <w:r>
        <w:rPr>
          <w:rFonts w:ascii="宋体" w:hAnsi="宋体" w:cs="Arial"/>
          <w:szCs w:val="21"/>
        </w:rPr>
        <w:t>在GIS地图上选取乘车地点，系统自动根据调度策略选择相应的空车下发抢答信息。</w:t>
      </w:r>
    </w:p>
    <w:p>
      <w:pPr>
        <w:pStyle w:val="16"/>
        <w:numPr>
          <w:ilvl w:val="0"/>
          <w:numId w:val="4"/>
        </w:numPr>
        <w:tabs>
          <w:tab w:val="left" w:pos="1080"/>
          <w:tab w:val="clear" w:pos="920"/>
        </w:tabs>
        <w:spacing w:line="360" w:lineRule="auto"/>
        <w:ind w:left="0" w:firstLine="422" w:firstLineChars="200"/>
        <w:rPr>
          <w:rFonts w:hAnsi="宋体" w:cs="Arial"/>
          <w:b/>
          <w:kern w:val="0"/>
          <w:sz w:val="21"/>
          <w:szCs w:val="21"/>
        </w:rPr>
      </w:pPr>
      <w:r>
        <w:rPr>
          <w:rFonts w:hAnsi="宋体" w:cs="Arial"/>
          <w:b/>
          <w:kern w:val="0"/>
          <w:sz w:val="21"/>
          <w:szCs w:val="21"/>
        </w:rPr>
        <w:t>任务抢答</w:t>
      </w:r>
    </w:p>
    <w:p>
      <w:pPr>
        <w:spacing w:line="360" w:lineRule="auto"/>
        <w:ind w:firstLine="420" w:firstLineChars="200"/>
        <w:rPr>
          <w:rFonts w:ascii="宋体" w:hAnsi="宋体" w:cs="Arial"/>
          <w:szCs w:val="21"/>
        </w:rPr>
      </w:pPr>
      <w:r>
        <w:rPr>
          <w:rFonts w:ascii="宋体" w:hAnsi="宋体" w:cs="Arial"/>
          <w:szCs w:val="21"/>
        </w:rPr>
        <w:t>电召服务中心将乘客的详细信息发送到应答车辆，并在</w:t>
      </w:r>
      <w:r>
        <w:rPr>
          <w:rFonts w:hint="eastAsia" w:ascii="宋体" w:hAnsi="宋体" w:cs="Arial"/>
          <w:szCs w:val="21"/>
        </w:rPr>
        <w:t>本项目提供的</w:t>
      </w:r>
      <w:r>
        <w:rPr>
          <w:rFonts w:ascii="宋体" w:hAnsi="宋体" w:cs="Arial"/>
          <w:szCs w:val="21"/>
        </w:rPr>
        <w:t>车载</w:t>
      </w:r>
      <w:r>
        <w:rPr>
          <w:rFonts w:hint="eastAsia" w:ascii="宋体" w:hAnsi="宋体" w:cs="Arial"/>
          <w:szCs w:val="21"/>
        </w:rPr>
        <w:t>终端</w:t>
      </w:r>
      <w:r>
        <w:rPr>
          <w:rFonts w:ascii="宋体" w:hAnsi="宋体" w:cs="Arial"/>
          <w:szCs w:val="21"/>
        </w:rPr>
        <w:t>中显示乘客所在地。收到抢答信息的出租汽车驾驶员根据情况公平进行抢答。</w:t>
      </w:r>
    </w:p>
    <w:p>
      <w:pPr>
        <w:pStyle w:val="16"/>
        <w:numPr>
          <w:ilvl w:val="0"/>
          <w:numId w:val="4"/>
        </w:numPr>
        <w:tabs>
          <w:tab w:val="left" w:pos="1080"/>
          <w:tab w:val="clear" w:pos="920"/>
        </w:tabs>
        <w:spacing w:line="360" w:lineRule="auto"/>
        <w:ind w:left="0" w:firstLine="422" w:firstLineChars="200"/>
        <w:rPr>
          <w:rFonts w:hAnsi="宋体" w:cs="Arial"/>
          <w:b/>
          <w:kern w:val="0"/>
          <w:sz w:val="21"/>
          <w:szCs w:val="21"/>
        </w:rPr>
      </w:pPr>
      <w:r>
        <w:rPr>
          <w:rFonts w:hAnsi="宋体" w:cs="Arial"/>
          <w:b/>
          <w:kern w:val="0"/>
          <w:sz w:val="21"/>
          <w:szCs w:val="21"/>
        </w:rPr>
        <w:t>任务分配确认</w:t>
      </w:r>
    </w:p>
    <w:p>
      <w:pPr>
        <w:spacing w:line="360" w:lineRule="auto"/>
        <w:ind w:firstLine="420" w:firstLineChars="200"/>
        <w:rPr>
          <w:rFonts w:ascii="宋体" w:hAnsi="宋体" w:cs="Arial"/>
          <w:szCs w:val="21"/>
        </w:rPr>
      </w:pPr>
      <w:r>
        <w:rPr>
          <w:rFonts w:ascii="宋体" w:hAnsi="宋体" w:cs="Arial"/>
          <w:szCs w:val="21"/>
        </w:rPr>
        <w:t>在确认任务分配成功后，应向召车乘客进行确认，并通知乘客所召车辆车牌号、车型、大概到达时间等信息，并将抢答失败的信息分别发给其它车辆。</w:t>
      </w:r>
    </w:p>
    <w:p>
      <w:pPr>
        <w:spacing w:line="360" w:lineRule="auto"/>
        <w:ind w:firstLine="420" w:firstLineChars="200"/>
        <w:rPr>
          <w:rFonts w:ascii="宋体" w:hAnsi="宋体" w:cs="Arial"/>
          <w:szCs w:val="21"/>
        </w:rPr>
      </w:pPr>
      <w:r>
        <w:rPr>
          <w:rFonts w:ascii="宋体" w:hAnsi="宋体" w:cs="Arial"/>
          <w:szCs w:val="21"/>
        </w:rPr>
        <w:t>任务未分配成功的，要及时告知乘客。</w:t>
      </w:r>
    </w:p>
    <w:p>
      <w:pPr>
        <w:pStyle w:val="16"/>
        <w:numPr>
          <w:ilvl w:val="0"/>
          <w:numId w:val="4"/>
        </w:numPr>
        <w:tabs>
          <w:tab w:val="left" w:pos="1080"/>
          <w:tab w:val="clear" w:pos="920"/>
        </w:tabs>
        <w:spacing w:line="360" w:lineRule="auto"/>
        <w:ind w:left="0" w:firstLine="422" w:firstLineChars="200"/>
        <w:rPr>
          <w:rFonts w:hAnsi="宋体" w:cs="Arial"/>
          <w:b/>
          <w:kern w:val="0"/>
          <w:sz w:val="21"/>
          <w:szCs w:val="21"/>
        </w:rPr>
      </w:pPr>
      <w:r>
        <w:rPr>
          <w:rFonts w:hAnsi="宋体" w:cs="Arial"/>
          <w:b/>
          <w:kern w:val="0"/>
          <w:sz w:val="21"/>
          <w:szCs w:val="21"/>
        </w:rPr>
        <w:t>任务完成确认</w:t>
      </w:r>
    </w:p>
    <w:p>
      <w:pPr>
        <w:spacing w:line="360" w:lineRule="auto"/>
        <w:ind w:firstLine="420" w:firstLineChars="200"/>
        <w:rPr>
          <w:rFonts w:ascii="宋体" w:hAnsi="宋体" w:cs="Arial"/>
          <w:szCs w:val="21"/>
        </w:rPr>
      </w:pPr>
      <w:r>
        <w:rPr>
          <w:rFonts w:ascii="宋体" w:hAnsi="宋体" w:cs="Arial"/>
          <w:szCs w:val="21"/>
        </w:rPr>
        <w:t>任务分配确认后，出租汽车前往乘客召车地点提供服务。成功服务的，应通过智能服务终端上按键告知电召服务中心任务完成。未完成服务的，应于乘客预定乘车时间前，告知电召服务中心未完成服务情况及原因。电召服务中心应及时主动联系未完成服务的乘客，了解原因，通过强制单车指派等方式迅速调度其他车辆完成约定服务，并将驾驶员未完成任务情况记录在驾驶员服务质量信誉考核档案。</w:t>
      </w:r>
    </w:p>
    <w:p>
      <w:pPr>
        <w:pStyle w:val="16"/>
        <w:numPr>
          <w:ilvl w:val="0"/>
          <w:numId w:val="4"/>
        </w:numPr>
        <w:tabs>
          <w:tab w:val="left" w:pos="1080"/>
          <w:tab w:val="clear" w:pos="920"/>
        </w:tabs>
        <w:spacing w:line="360" w:lineRule="auto"/>
        <w:ind w:left="0" w:firstLine="422" w:firstLineChars="200"/>
        <w:rPr>
          <w:rFonts w:hAnsi="宋体" w:cs="Arial"/>
          <w:b/>
          <w:kern w:val="0"/>
          <w:sz w:val="21"/>
          <w:szCs w:val="21"/>
        </w:rPr>
      </w:pPr>
      <w:r>
        <w:rPr>
          <w:rFonts w:hAnsi="宋体" w:cs="Arial"/>
          <w:b/>
          <w:kern w:val="0"/>
          <w:sz w:val="21"/>
          <w:szCs w:val="21"/>
        </w:rPr>
        <w:t>驾驶员诚信服务记录</w:t>
      </w:r>
    </w:p>
    <w:p>
      <w:pPr>
        <w:spacing w:line="360" w:lineRule="auto"/>
        <w:ind w:firstLine="420" w:firstLineChars="200"/>
        <w:rPr>
          <w:rFonts w:ascii="宋体" w:hAnsi="宋体" w:cs="Arial"/>
          <w:szCs w:val="21"/>
        </w:rPr>
      </w:pPr>
      <w:r>
        <w:rPr>
          <w:rFonts w:ascii="宋体" w:hAnsi="宋体" w:cs="Arial"/>
          <w:szCs w:val="21"/>
        </w:rPr>
        <w:t>通过各种方式，采集记录驾驶员在电召服务中的诚信情况、服务情况，为驾驶员服务质量信誉考核提供依据。</w:t>
      </w:r>
    </w:p>
    <w:p>
      <w:pPr>
        <w:pStyle w:val="16"/>
        <w:numPr>
          <w:ilvl w:val="0"/>
          <w:numId w:val="4"/>
        </w:numPr>
        <w:tabs>
          <w:tab w:val="left" w:pos="1080"/>
          <w:tab w:val="clear" w:pos="920"/>
        </w:tabs>
        <w:spacing w:line="360" w:lineRule="auto"/>
        <w:ind w:left="0" w:firstLine="422" w:firstLineChars="200"/>
        <w:rPr>
          <w:rFonts w:hAnsi="宋体" w:cs="Arial"/>
          <w:b/>
          <w:kern w:val="0"/>
          <w:sz w:val="21"/>
          <w:szCs w:val="21"/>
        </w:rPr>
      </w:pPr>
      <w:r>
        <w:rPr>
          <w:rFonts w:hAnsi="宋体" w:cs="Arial"/>
          <w:b/>
          <w:kern w:val="0"/>
          <w:sz w:val="21"/>
          <w:szCs w:val="21"/>
        </w:rPr>
        <w:t>乘客电召档案管理</w:t>
      </w:r>
    </w:p>
    <w:p>
      <w:pPr>
        <w:spacing w:line="360" w:lineRule="auto"/>
        <w:ind w:firstLine="420" w:firstLineChars="200"/>
        <w:rPr>
          <w:rFonts w:ascii="宋体" w:hAnsi="宋体" w:cs="Arial"/>
          <w:szCs w:val="21"/>
        </w:rPr>
      </w:pPr>
      <w:r>
        <w:rPr>
          <w:rFonts w:ascii="宋体" w:hAnsi="宋体" w:cs="Arial"/>
          <w:szCs w:val="21"/>
        </w:rPr>
        <w:t>通过电话号码等方式，采集记录乘客电召服务的历史使用情况和诚信情况等，建立乘客电召档案。</w:t>
      </w:r>
    </w:p>
    <w:p>
      <w:pPr>
        <w:pStyle w:val="16"/>
        <w:numPr>
          <w:ilvl w:val="0"/>
          <w:numId w:val="4"/>
        </w:numPr>
        <w:tabs>
          <w:tab w:val="left" w:pos="1080"/>
          <w:tab w:val="clear" w:pos="920"/>
        </w:tabs>
        <w:spacing w:line="360" w:lineRule="auto"/>
        <w:ind w:left="0" w:firstLine="422" w:firstLineChars="200"/>
        <w:rPr>
          <w:rFonts w:hAnsi="宋体" w:cs="Arial"/>
          <w:b/>
          <w:kern w:val="0"/>
          <w:sz w:val="21"/>
          <w:szCs w:val="21"/>
        </w:rPr>
      </w:pPr>
      <w:r>
        <w:rPr>
          <w:rFonts w:hAnsi="宋体" w:cs="Arial"/>
          <w:b/>
          <w:kern w:val="0"/>
          <w:sz w:val="21"/>
          <w:szCs w:val="21"/>
        </w:rPr>
        <w:t>取消订单</w:t>
      </w:r>
    </w:p>
    <w:p>
      <w:pPr>
        <w:spacing w:line="360" w:lineRule="auto"/>
        <w:ind w:firstLine="420" w:firstLineChars="200"/>
        <w:rPr>
          <w:rFonts w:ascii="宋体" w:hAnsi="宋体" w:cs="Arial"/>
          <w:szCs w:val="21"/>
        </w:rPr>
      </w:pPr>
      <w:r>
        <w:rPr>
          <w:rFonts w:ascii="宋体" w:hAnsi="宋体" w:cs="Arial"/>
          <w:szCs w:val="21"/>
        </w:rPr>
        <w:t>若驾驶员由于各种原因不能完成任务，可以向电召服务中心发送取消请求，电召服务中心取消任务后，需重新下发抢答信息，调度其他车辆前往，并及时通知乘客相关信息。若乘客由于各种原因取消当前订车业务，电召服务中心应及时向相应车辆终端发送业务取消通知，取消订单。以上两种取消订单行为，均应记入驾驶员和乘客相应记录。</w:t>
      </w:r>
    </w:p>
    <w:p>
      <w:pPr>
        <w:pStyle w:val="16"/>
        <w:numPr>
          <w:ilvl w:val="0"/>
          <w:numId w:val="4"/>
        </w:numPr>
        <w:tabs>
          <w:tab w:val="left" w:pos="1080"/>
          <w:tab w:val="clear" w:pos="920"/>
        </w:tabs>
        <w:spacing w:line="360" w:lineRule="auto"/>
        <w:ind w:left="0" w:firstLine="422" w:firstLineChars="200"/>
        <w:rPr>
          <w:rFonts w:hAnsi="宋体" w:cs="Arial"/>
          <w:b/>
          <w:kern w:val="0"/>
          <w:sz w:val="21"/>
          <w:szCs w:val="21"/>
        </w:rPr>
      </w:pPr>
      <w:r>
        <w:rPr>
          <w:rFonts w:hAnsi="宋体" w:cs="Arial"/>
          <w:b/>
          <w:kern w:val="0"/>
          <w:sz w:val="21"/>
          <w:szCs w:val="21"/>
        </w:rPr>
        <w:t>预约服务</w:t>
      </w:r>
    </w:p>
    <w:p>
      <w:pPr>
        <w:spacing w:line="360" w:lineRule="auto"/>
        <w:ind w:firstLine="420" w:firstLineChars="200"/>
        <w:rPr>
          <w:rFonts w:ascii="宋体" w:hAnsi="宋体" w:cs="Arial"/>
          <w:szCs w:val="21"/>
        </w:rPr>
      </w:pPr>
      <w:r>
        <w:rPr>
          <w:rFonts w:ascii="宋体" w:hAnsi="宋体" w:cs="Arial"/>
          <w:szCs w:val="21"/>
        </w:rPr>
        <w:t>乘客可以通过电召服务中心，提前30分钟以上（时间可设置）提交预约订单。订单主要包括时间、地点、人数、车辆数、联系方法等，电召服务中心根据预约时间选择车辆下发抢答信息，具体流程与电召调度类似。</w:t>
      </w:r>
    </w:p>
    <w:p>
      <w:pPr>
        <w:pStyle w:val="16"/>
        <w:numPr>
          <w:ilvl w:val="0"/>
          <w:numId w:val="4"/>
        </w:numPr>
        <w:tabs>
          <w:tab w:val="left" w:pos="1080"/>
          <w:tab w:val="clear" w:pos="920"/>
        </w:tabs>
        <w:spacing w:line="360" w:lineRule="auto"/>
        <w:ind w:left="0" w:firstLine="422" w:firstLineChars="200"/>
        <w:rPr>
          <w:rFonts w:hAnsi="宋体" w:cs="Arial"/>
          <w:b/>
          <w:kern w:val="0"/>
          <w:sz w:val="21"/>
          <w:szCs w:val="21"/>
        </w:rPr>
      </w:pPr>
      <w:r>
        <w:rPr>
          <w:rFonts w:hAnsi="宋体" w:cs="Arial"/>
          <w:b/>
          <w:kern w:val="0"/>
          <w:sz w:val="21"/>
          <w:szCs w:val="21"/>
        </w:rPr>
        <w:t>单车指派</w:t>
      </w:r>
    </w:p>
    <w:p>
      <w:pPr>
        <w:spacing w:line="360" w:lineRule="auto"/>
        <w:ind w:firstLine="420" w:firstLineChars="200"/>
        <w:rPr>
          <w:rFonts w:ascii="宋体" w:hAnsi="宋体" w:cs="Arial"/>
          <w:szCs w:val="21"/>
        </w:rPr>
      </w:pPr>
      <w:r>
        <w:rPr>
          <w:rFonts w:ascii="宋体" w:hAnsi="宋体" w:cs="Arial"/>
          <w:szCs w:val="21"/>
        </w:rPr>
        <w:t>乘客紧急情况下叫车，电召中心工作人员输入乘车需求信息并在GIS地图选取乘车地点后，系统自动根据调度策略选择最近（指到达时间最短，考虑拥堵状况和逆行、红绿灯等因素）的空车下发抢答信息。</w:t>
      </w:r>
    </w:p>
    <w:p>
      <w:pPr>
        <w:spacing w:line="360" w:lineRule="auto"/>
        <w:ind w:firstLine="464" w:firstLineChars="221"/>
        <w:rPr>
          <w:rFonts w:ascii="宋体" w:hAnsi="宋体" w:cs="Arial"/>
          <w:szCs w:val="21"/>
        </w:rPr>
      </w:pPr>
      <w:r>
        <w:rPr>
          <w:rFonts w:ascii="宋体" w:hAnsi="宋体" w:cs="Arial"/>
          <w:szCs w:val="21"/>
        </w:rPr>
        <w:t>如果驾驶员确认，电召服务中心将乘客的详细信息发送到该车辆，否则系统自动计算选择次近空车。</w:t>
      </w:r>
    </w:p>
    <w:p>
      <w:pPr>
        <w:spacing w:line="360" w:lineRule="auto"/>
        <w:ind w:firstLine="464" w:firstLineChars="221"/>
        <w:rPr>
          <w:rFonts w:ascii="宋体" w:hAnsi="宋体" w:cs="Arial"/>
          <w:szCs w:val="21"/>
        </w:rPr>
      </w:pPr>
      <w:r>
        <w:rPr>
          <w:rFonts w:ascii="宋体" w:hAnsi="宋体" w:cs="Arial"/>
          <w:szCs w:val="21"/>
        </w:rPr>
        <w:t>完成指派任务情况，应当记入驾驶员服务质量信誉考核档案。</w:t>
      </w:r>
    </w:p>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（八）车载智能终端基础平台</w:t>
      </w:r>
    </w:p>
    <w:p>
      <w:pPr>
        <w:spacing w:line="360" w:lineRule="auto"/>
        <w:ind w:firstLine="420" w:firstLineChars="200"/>
        <w:rPr>
          <w:rFonts w:ascii="宋体" w:hAnsi="宋体"/>
          <w:szCs w:val="21"/>
        </w:rPr>
      </w:pPr>
      <w:r>
        <w:rPr>
          <w:rFonts w:hint="eastAsia" w:ascii="宋体" w:hAnsi="宋体"/>
          <w:szCs w:val="21"/>
        </w:rPr>
        <w:t>提供车载智能终端配套程序开发服务，提供智能车载终端基础平台及平台正常运行所需软硬件，平台正常运行、数据存储所需的软硬件部署在嘉兴市政务云。平台软件须满足车载设备的基本管理，确保各项功能的正常使用、数据传输及时有效、保障信息安全。平台软件能满足嘉兴市全部出租汽车的日常管理需求。</w:t>
      </w:r>
    </w:p>
    <w:p>
      <w:pPr>
        <w:spacing w:line="360" w:lineRule="auto"/>
        <w:ind w:firstLine="420" w:firstLineChars="200"/>
        <w:rPr>
          <w:rFonts w:ascii="宋体" w:hAnsi="宋体"/>
          <w:szCs w:val="21"/>
        </w:rPr>
      </w:pPr>
      <w:r>
        <w:rPr>
          <w:rFonts w:hint="eastAsia" w:ascii="宋体" w:hAnsi="宋体"/>
          <w:szCs w:val="21"/>
        </w:rPr>
        <w:t>具有企业在线业务管理等功能。采集相关营运数据并自动上传至车载智能终端基础平台。</w:t>
      </w:r>
    </w:p>
    <w:p>
      <w:pPr>
        <w:spacing w:line="360" w:lineRule="auto"/>
        <w:ind w:firstLine="422" w:firstLineChars="200"/>
        <w:rPr>
          <w:rFonts w:ascii="宋体" w:hAnsi="宋体"/>
          <w:b/>
          <w:szCs w:val="21"/>
        </w:rPr>
      </w:pPr>
      <w:r>
        <w:rPr>
          <w:rFonts w:hint="eastAsia" w:ascii="宋体" w:hAnsi="宋体"/>
          <w:b/>
          <w:szCs w:val="21"/>
        </w:rPr>
        <w:t>1.监控系统</w:t>
      </w:r>
    </w:p>
    <w:p>
      <w:pPr>
        <w:spacing w:line="360" w:lineRule="auto"/>
        <w:ind w:firstLine="420" w:firstLineChars="200"/>
        <w:rPr>
          <w:rFonts w:ascii="宋体" w:hAnsi="宋体"/>
          <w:szCs w:val="21"/>
        </w:rPr>
      </w:pPr>
      <w:r>
        <w:rPr>
          <w:rFonts w:hint="eastAsia" w:ascii="宋体" w:hAnsi="宋体"/>
          <w:szCs w:val="21"/>
        </w:rPr>
        <w:t>支持终端车辆轨迹显示、回放和视频（支持的视频路数不得低于10000路）数据调取、回放及视频流本地抓取等功能；视频流本地下载、预览，预览的同时可进行紧急抓拍、抓录操作。支持设备抓拍图片的实时上传和查看。支持音视频调用。</w:t>
      </w:r>
    </w:p>
    <w:p>
      <w:pPr>
        <w:spacing w:line="360" w:lineRule="auto"/>
        <w:ind w:firstLine="422" w:firstLineChars="200"/>
        <w:rPr>
          <w:rFonts w:ascii="宋体" w:hAnsi="宋体"/>
          <w:b/>
          <w:szCs w:val="21"/>
        </w:rPr>
      </w:pPr>
      <w:r>
        <w:rPr>
          <w:rFonts w:hint="eastAsia" w:ascii="宋体" w:hAnsi="宋体"/>
          <w:b/>
          <w:szCs w:val="21"/>
        </w:rPr>
        <w:t>2.车辆管理</w:t>
      </w:r>
    </w:p>
    <w:p>
      <w:pPr>
        <w:spacing w:line="360" w:lineRule="auto"/>
        <w:ind w:firstLine="420" w:firstLineChars="200"/>
        <w:rPr>
          <w:rFonts w:ascii="宋体" w:hAnsi="宋体"/>
          <w:szCs w:val="21"/>
        </w:rPr>
      </w:pPr>
      <w:r>
        <w:rPr>
          <w:rFonts w:hint="eastAsia" w:ascii="宋体" w:hAnsi="宋体"/>
          <w:szCs w:val="21"/>
        </w:rPr>
        <w:t>具有在线设备、掉线设备数量统计；CPU、内存使用百分率；具有设备异常（含TF卡、摄像头、GPS）告警；具有设备故障自动报警功能。支持设备升级管理。</w:t>
      </w:r>
    </w:p>
    <w:p>
      <w:pPr>
        <w:spacing w:line="360" w:lineRule="auto"/>
        <w:ind w:firstLine="420" w:firstLineChars="200"/>
        <w:rPr>
          <w:rFonts w:ascii="宋体" w:hAnsi="宋体"/>
          <w:szCs w:val="21"/>
        </w:rPr>
      </w:pPr>
      <w:r>
        <w:rPr>
          <w:rFonts w:hint="eastAsia" w:ascii="宋体" w:hAnsi="宋体"/>
          <w:szCs w:val="21"/>
        </w:rPr>
        <w:t>各出租车企业可以对公司所属车辆及驾驶员进行分组管理，企业可以对车辆广播下发信息、语音指令。可以对车辆信息及车辆驾驶员进行编辑等。</w:t>
      </w:r>
    </w:p>
    <w:p>
      <w:pPr>
        <w:spacing w:line="360" w:lineRule="auto"/>
        <w:ind w:firstLine="422" w:firstLineChars="200"/>
        <w:rPr>
          <w:rFonts w:ascii="宋体" w:hAnsi="宋体"/>
          <w:b/>
          <w:szCs w:val="21"/>
        </w:rPr>
      </w:pPr>
      <w:r>
        <w:rPr>
          <w:rFonts w:hint="eastAsia" w:ascii="宋体" w:hAnsi="宋体"/>
          <w:b/>
          <w:szCs w:val="21"/>
        </w:rPr>
        <w:t>3.数据融合接入</w:t>
      </w:r>
    </w:p>
    <w:p>
      <w:pPr>
        <w:spacing w:line="360" w:lineRule="auto"/>
        <w:ind w:firstLine="420" w:firstLineChars="200"/>
        <w:rPr>
          <w:rFonts w:ascii="宋体" w:hAnsi="宋体"/>
          <w:szCs w:val="21"/>
        </w:rPr>
      </w:pPr>
      <w:r>
        <w:rPr>
          <w:rFonts w:hint="eastAsia" w:ascii="宋体" w:hAnsi="宋体"/>
          <w:szCs w:val="21"/>
        </w:rPr>
        <w:t>提供车载智能终端配套程序开发服务，完成全市出租汽车营运、轨迹、视频等相关数据接入，并根据省、市要求适时做好数据共享对接工作；确保各项功能的正常使用、数据传输及时有效、保障信息安全。全市所有出租汽车营收、服务评价等营运数据联机存储时间不少于5年；轨迹数据联机存储时间不少于半年。</w:t>
      </w:r>
    </w:p>
    <w:p>
      <w:pPr>
        <w:spacing w:line="360" w:lineRule="auto"/>
        <w:ind w:firstLine="422" w:firstLineChars="200"/>
        <w:rPr>
          <w:rFonts w:ascii="宋体" w:hAnsi="宋体"/>
          <w:szCs w:val="21"/>
        </w:rPr>
      </w:pPr>
      <w:r>
        <w:rPr>
          <w:rFonts w:hint="eastAsia" w:ascii="宋体" w:hAnsi="宋体"/>
          <w:b/>
          <w:bCs/>
          <w:szCs w:val="21"/>
        </w:rPr>
        <w:t>需提供全市出租汽车营运数据及监控等数据接入、分析承诺函</w:t>
      </w:r>
      <w:r>
        <w:rPr>
          <w:rFonts w:hint="eastAsia" w:ascii="宋体" w:hAnsi="宋体"/>
          <w:szCs w:val="21"/>
        </w:rPr>
        <w:t>。</w:t>
      </w:r>
    </w:p>
    <w:p>
      <w:pPr>
        <w:spacing w:line="360" w:lineRule="auto"/>
        <w:ind w:firstLine="422" w:firstLineChars="200"/>
        <w:rPr>
          <w:rFonts w:ascii="宋体" w:hAnsi="宋体"/>
          <w:b/>
          <w:szCs w:val="21"/>
        </w:rPr>
      </w:pPr>
      <w:r>
        <w:rPr>
          <w:rFonts w:hint="eastAsia" w:ascii="宋体" w:hAnsi="宋体"/>
          <w:b/>
          <w:szCs w:val="21"/>
        </w:rPr>
        <w:t>4.出租汽车行业运营数据分析</w:t>
      </w:r>
    </w:p>
    <w:p>
      <w:pPr>
        <w:spacing w:line="360" w:lineRule="auto"/>
        <w:ind w:firstLine="420" w:firstLineChars="200"/>
        <w:rPr>
          <w:rFonts w:ascii="宋体" w:hAnsi="宋体"/>
          <w:szCs w:val="21"/>
        </w:rPr>
      </w:pPr>
      <w:r>
        <w:rPr>
          <w:rFonts w:hint="eastAsia" w:ascii="宋体" w:hAnsi="宋体"/>
          <w:szCs w:val="21"/>
        </w:rPr>
        <w:t>可对车辆上线、下线情况统计，营运数据（乘客上车地点、上车时间、下车地点、下车时间，营运公里、空驶公里、营运时间、等候时间、营收金额等数据）分区域、分企业、分时段按年、月、日总量统计单车平均营运数据等分析统计，驾驶员收入排行榜，打车热点区域分析、热门出发地达到地等分析，能进行同比和环比比较，并进行图形化展示，开放数据共享接口；并根据省、市要求适时完成相关系统共享数据。</w:t>
      </w:r>
    </w:p>
    <w:p>
      <w:pPr>
        <w:spacing w:line="360" w:lineRule="auto"/>
        <w:ind w:firstLine="422" w:firstLineChars="200"/>
        <w:rPr>
          <w:rFonts w:ascii="宋体" w:hAnsi="宋体"/>
          <w:b/>
          <w:szCs w:val="21"/>
        </w:rPr>
      </w:pPr>
      <w:r>
        <w:rPr>
          <w:rFonts w:hint="eastAsia" w:ascii="宋体" w:hAnsi="宋体"/>
          <w:b/>
          <w:szCs w:val="21"/>
        </w:rPr>
        <w:t>5.服务质量监管</w:t>
      </w:r>
    </w:p>
    <w:p>
      <w:pPr>
        <w:spacing w:line="360" w:lineRule="auto"/>
        <w:ind w:firstLine="420" w:firstLineChars="200"/>
        <w:rPr>
          <w:rFonts w:ascii="宋体" w:hAnsi="宋体"/>
          <w:szCs w:val="21"/>
        </w:rPr>
      </w:pPr>
      <w:r>
        <w:rPr>
          <w:rFonts w:hint="eastAsia" w:ascii="宋体" w:hAnsi="宋体"/>
          <w:szCs w:val="21"/>
        </w:rPr>
        <w:t>通过调用车载音视频文件、照片、车辆历史运行轨迹等数据，对驾驶员的服务质量进行监管，为“绕道、多收费、拒载、服务质量差”等违规行为的认定提供有效手段，从而规范巡游出租汽车的营运行为。</w:t>
      </w:r>
    </w:p>
    <w:p>
      <w:pPr>
        <w:spacing w:line="360" w:lineRule="auto"/>
        <w:ind w:firstLine="422" w:firstLineChars="200"/>
        <w:rPr>
          <w:rFonts w:ascii="宋体" w:hAnsi="宋体"/>
          <w:b/>
          <w:szCs w:val="21"/>
        </w:rPr>
      </w:pPr>
      <w:r>
        <w:rPr>
          <w:rFonts w:hint="eastAsia" w:ascii="宋体" w:hAnsi="宋体"/>
          <w:b/>
          <w:szCs w:val="21"/>
        </w:rPr>
        <w:t>6.运行报告生成</w:t>
      </w:r>
    </w:p>
    <w:p>
      <w:pPr>
        <w:spacing w:line="360" w:lineRule="auto"/>
        <w:ind w:firstLine="420" w:firstLineChars="200"/>
        <w:rPr>
          <w:rFonts w:ascii="宋体" w:hAnsi="宋体"/>
          <w:szCs w:val="21"/>
        </w:rPr>
      </w:pPr>
      <w:r>
        <w:rPr>
          <w:rFonts w:hint="eastAsia" w:ascii="宋体" w:hAnsi="宋体"/>
          <w:szCs w:val="21"/>
        </w:rPr>
        <w:t>中标方须每月生成全市出租汽车营运报告，报告内容至少包括：单车每日平均营收、营运里程、空驶里程、运单量等；单车每月平均营收、营运里程、空驶里程、运单量等；单车每年平均营收、营运里程、空驶里程、运单量等；全市车辆每日平均营收、营运里程、空驶里程、运单量等；全市车辆每月平均营收、营运里程、空驶里程、运单量等；全市车辆每年平均营收、营运里程、空驶里程、运单量等；出租车公司每日每车平均营收、营运里程、空驶里程、运单量等；出租车公司每月每车平均营收、营运里程、空驶里程、运单量等；出租车公司每年每车平均营收、营运里程、空驶里程、运单量等。</w:t>
      </w:r>
    </w:p>
    <w:p>
      <w:pPr>
        <w:spacing w:line="360" w:lineRule="auto"/>
        <w:ind w:firstLine="420" w:firstLineChars="200"/>
        <w:rPr>
          <w:rFonts w:ascii="宋体" w:hAnsi="宋体"/>
          <w:szCs w:val="21"/>
        </w:rPr>
      </w:pPr>
      <w:r>
        <w:rPr>
          <w:rFonts w:hint="eastAsia" w:ascii="宋体" w:hAnsi="宋体"/>
          <w:szCs w:val="21"/>
        </w:rPr>
        <w:t>运营报告须于每月5日前将上一月运营报告报业主单位。</w:t>
      </w:r>
    </w:p>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（九）拆装服务</w:t>
      </w:r>
    </w:p>
    <w:p>
      <w:pPr>
        <w:spacing w:line="360" w:lineRule="auto"/>
        <w:ind w:firstLine="420" w:firstLineChars="200"/>
        <w:rPr>
          <w:rFonts w:ascii="宋体" w:hAnsi="宋体"/>
          <w:szCs w:val="21"/>
        </w:rPr>
      </w:pPr>
      <w:r>
        <w:rPr>
          <w:rFonts w:hint="eastAsia" w:ascii="宋体" w:hAnsi="宋体"/>
          <w:szCs w:val="21"/>
        </w:rPr>
        <w:t>制定设备拆装方案，有序对现有1073辆出租车车载终端、计价器、摄像头及顶灯等设备按要求进行拆除、标签及存放，并安装本项目涉及的软硬件。</w:t>
      </w:r>
    </w:p>
    <w:p>
      <w:pPr>
        <w:spacing w:line="360" w:lineRule="auto"/>
        <w:ind w:firstLine="420" w:firstLineChars="200"/>
        <w:rPr>
          <w:rFonts w:ascii="宋体" w:hAnsi="宋体"/>
          <w:szCs w:val="21"/>
        </w:rPr>
      </w:pPr>
      <w:r>
        <w:rPr>
          <w:rFonts w:hint="eastAsia" w:ascii="宋体" w:hAnsi="宋体"/>
          <w:szCs w:val="21"/>
        </w:rPr>
        <w:t>拆装需规范，不得损坏车容车貌。</w:t>
      </w:r>
    </w:p>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（十）提供维修管理系统</w:t>
      </w:r>
    </w:p>
    <w:p>
      <w:pPr>
        <w:spacing w:line="360" w:lineRule="auto"/>
        <w:ind w:firstLine="420" w:firstLineChars="200"/>
        <w:rPr>
          <w:rFonts w:ascii="宋体" w:hAnsi="宋体"/>
          <w:szCs w:val="21"/>
        </w:rPr>
      </w:pPr>
      <w:r>
        <w:rPr>
          <w:rFonts w:hint="eastAsia" w:ascii="宋体" w:hAnsi="宋体"/>
          <w:szCs w:val="21"/>
        </w:rPr>
        <w:t>供应商需免费提供招标产品的维修管理系统，包括但不限于如下功能：</w:t>
      </w:r>
    </w:p>
    <w:p>
      <w:pPr>
        <w:spacing w:line="360" w:lineRule="auto"/>
        <w:ind w:firstLine="420" w:firstLineChars="200"/>
        <w:rPr>
          <w:rFonts w:ascii="宋体" w:hAnsi="宋体"/>
          <w:szCs w:val="21"/>
        </w:rPr>
      </w:pPr>
      <w:r>
        <w:rPr>
          <w:rFonts w:hint="eastAsia" w:ascii="宋体" w:hAnsi="宋体"/>
          <w:szCs w:val="21"/>
        </w:rPr>
        <w:t>——维修基础数据录入：产品类别、品名型号、维修项目、处理方法。</w:t>
      </w:r>
    </w:p>
    <w:p>
      <w:pPr>
        <w:spacing w:line="360" w:lineRule="auto"/>
        <w:ind w:firstLine="420" w:firstLineChars="200"/>
        <w:rPr>
          <w:rFonts w:ascii="宋体" w:hAnsi="宋体"/>
          <w:szCs w:val="21"/>
        </w:rPr>
      </w:pPr>
      <w:r>
        <w:rPr>
          <w:rFonts w:hint="eastAsia" w:ascii="宋体" w:hAnsi="宋体"/>
          <w:szCs w:val="21"/>
        </w:rPr>
        <w:t>——维修人员登记、系统登入/签退信息。</w:t>
      </w:r>
    </w:p>
    <w:p>
      <w:pPr>
        <w:spacing w:line="360" w:lineRule="auto"/>
        <w:ind w:firstLine="420" w:firstLineChars="200"/>
        <w:rPr>
          <w:rFonts w:ascii="宋体" w:hAnsi="宋体"/>
          <w:szCs w:val="21"/>
        </w:rPr>
      </w:pPr>
      <w:r>
        <w:rPr>
          <w:rFonts w:hint="eastAsia" w:ascii="宋体" w:hAnsi="宋体"/>
          <w:szCs w:val="21"/>
        </w:rPr>
        <w:t>——维修工单驾驶员登记、维修工接单、处理、维修工单明细查询。</w:t>
      </w:r>
    </w:p>
    <w:p>
      <w:pPr>
        <w:spacing w:line="360" w:lineRule="auto"/>
        <w:ind w:firstLine="420" w:firstLineChars="200"/>
        <w:rPr>
          <w:rFonts w:ascii="宋体" w:hAnsi="宋体"/>
          <w:szCs w:val="21"/>
        </w:rPr>
      </w:pPr>
      <w:r>
        <w:rPr>
          <w:rFonts w:hint="eastAsia" w:ascii="宋体" w:hAnsi="宋体"/>
          <w:szCs w:val="21"/>
        </w:rPr>
        <w:t>——维修报表统计：按维修工按时段进行维修辆数、维修数量、维修工时的统计。按产品进行维修数量、维修工时的统计。</w:t>
      </w:r>
    </w:p>
    <w:p>
      <w:pPr>
        <w:spacing w:line="360" w:lineRule="auto"/>
        <w:ind w:firstLine="420" w:firstLineChars="200"/>
        <w:rPr>
          <w:rFonts w:ascii="宋体" w:hAnsi="宋体"/>
          <w:szCs w:val="21"/>
        </w:rPr>
      </w:pPr>
      <w:r>
        <w:rPr>
          <w:rFonts w:hint="eastAsia" w:ascii="宋体" w:hAnsi="宋体"/>
          <w:szCs w:val="21"/>
        </w:rPr>
        <w:t>——系统用户账户、权限管理。</w:t>
      </w:r>
    </w:p>
    <w:p>
      <w:pPr>
        <w:pStyle w:val="16"/>
        <w:snapToGrid w:val="0"/>
        <w:spacing w:before="120" w:after="120" w:line="360" w:lineRule="auto"/>
        <w:outlineLvl w:val="0"/>
        <w:rPr>
          <w:rFonts w:hAnsi="宋体"/>
          <w:b/>
          <w:color w:val="000000"/>
          <w:sz w:val="21"/>
          <w:szCs w:val="21"/>
        </w:rPr>
      </w:pPr>
      <w:bookmarkStart w:id="11" w:name="_Toc500415529"/>
      <w:bookmarkStart w:id="12" w:name="_Toc500420293"/>
      <w:bookmarkStart w:id="13" w:name="_Toc500407798"/>
      <w:bookmarkStart w:id="14" w:name="_Toc499547586"/>
      <w:bookmarkStart w:id="15" w:name="_Toc499534404"/>
      <w:bookmarkStart w:id="16" w:name="_Toc501716037"/>
      <w:bookmarkStart w:id="17" w:name="_Toc500755286"/>
      <w:bookmarkStart w:id="18" w:name="_Toc499141213"/>
      <w:r>
        <w:rPr>
          <w:rFonts w:hint="eastAsia" w:hAnsi="宋体"/>
          <w:b/>
          <w:color w:val="000000"/>
          <w:sz w:val="21"/>
          <w:szCs w:val="21"/>
        </w:rPr>
        <w:t>安装与维修服务</w:t>
      </w:r>
      <w:bookmarkEnd w:id="11"/>
      <w:bookmarkEnd w:id="12"/>
      <w:bookmarkEnd w:id="13"/>
      <w:bookmarkEnd w:id="14"/>
      <w:bookmarkEnd w:id="15"/>
      <w:bookmarkEnd w:id="16"/>
      <w:bookmarkEnd w:id="17"/>
      <w:bookmarkEnd w:id="18"/>
      <w:r>
        <w:rPr>
          <w:rFonts w:hint="eastAsia" w:hAnsi="宋体"/>
          <w:b/>
          <w:color w:val="000000"/>
          <w:sz w:val="21"/>
          <w:szCs w:val="21"/>
        </w:rPr>
        <w:t>要求</w:t>
      </w:r>
    </w:p>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（一）安装规范</w:t>
      </w:r>
    </w:p>
    <w:p>
      <w:pPr>
        <w:spacing w:line="360" w:lineRule="auto"/>
        <w:ind w:firstLine="420" w:firstLineChars="200"/>
        <w:rPr>
          <w:rFonts w:ascii="宋体" w:hAnsi="宋体"/>
          <w:szCs w:val="21"/>
        </w:rPr>
      </w:pPr>
      <w:r>
        <w:rPr>
          <w:rFonts w:hint="eastAsia" w:ascii="宋体" w:hAnsi="宋体"/>
          <w:szCs w:val="21"/>
        </w:rPr>
        <w:t>本项目的安装坚持“安全、易用、美观”的原则，严格按照《出租汽车管理信息系统》（JT/T 905-2014）的标准规范进行安装。</w:t>
      </w:r>
    </w:p>
    <w:p>
      <w:pPr>
        <w:spacing w:line="360" w:lineRule="auto"/>
        <w:ind w:firstLine="422" w:firstLineChars="200"/>
        <w:rPr>
          <w:rFonts w:ascii="宋体" w:hAnsi="宋体"/>
          <w:b/>
          <w:szCs w:val="21"/>
        </w:rPr>
      </w:pPr>
      <w:r>
        <w:rPr>
          <w:rFonts w:hint="eastAsia" w:ascii="宋体" w:hAnsi="宋体"/>
          <w:b/>
          <w:szCs w:val="21"/>
        </w:rPr>
        <w:t>1.出租车内的摄像头安装要求：</w:t>
      </w:r>
    </w:p>
    <w:p>
      <w:pPr>
        <w:spacing w:line="360" w:lineRule="auto"/>
        <w:rPr>
          <w:rFonts w:ascii="宋体" w:hAnsi="宋体"/>
          <w:szCs w:val="21"/>
        </w:rPr>
      </w:pPr>
    </w:p>
    <w:p>
      <w:pPr>
        <w:spacing w:line="360" w:lineRule="auto"/>
        <w:rPr>
          <w:rFonts w:ascii="宋体" w:hAnsi="宋体"/>
          <w:szCs w:val="21"/>
        </w:rPr>
      </w:pPr>
      <w:r>
        <w:rPr>
          <w:szCs w:val="21"/>
        </w:rPr>
        <w:drawing>
          <wp:inline distT="0" distB="0" distL="114300" distR="114300">
            <wp:extent cx="4671695" cy="1905000"/>
            <wp:effectExtent l="0" t="0" r="1460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8"/>
                    <a:stretch>
                      <a:fillRect/>
                    </a:stretch>
                  </pic:blipFill>
                  <pic:spPr>
                    <a:xfrm>
                      <a:off x="0" y="0"/>
                      <a:ext cx="4671695" cy="1905000"/>
                    </a:xfrm>
                    <a:prstGeom prst="rect">
                      <a:avLst/>
                    </a:prstGeom>
                    <a:noFill/>
                    <a:ln>
                      <a:noFill/>
                    </a:ln>
                  </pic:spPr>
                </pic:pic>
              </a:graphicData>
            </a:graphic>
          </wp:inline>
        </w:drawing>
      </w:r>
    </w:p>
    <w:p>
      <w:pPr>
        <w:spacing w:line="360" w:lineRule="auto"/>
        <w:rPr>
          <w:rFonts w:ascii="宋体" w:hAnsi="宋体"/>
          <w:szCs w:val="21"/>
        </w:rPr>
      </w:pPr>
    </w:p>
    <w:p>
      <w:pPr>
        <w:spacing w:line="360" w:lineRule="auto"/>
        <w:ind w:firstLine="420" w:firstLineChars="200"/>
        <w:jc w:val="center"/>
        <w:rPr>
          <w:rFonts w:ascii="宋体" w:hAnsi="宋体"/>
          <w:szCs w:val="21"/>
        </w:rPr>
      </w:pPr>
      <w:r>
        <w:rPr>
          <w:rFonts w:hint="eastAsia" w:ascii="宋体" w:hAnsi="宋体"/>
          <w:szCs w:val="21"/>
        </w:rPr>
        <w:t>图1 车载摄像头布点示意图</w:t>
      </w:r>
    </w:p>
    <w:p>
      <w:pPr>
        <w:spacing w:line="360" w:lineRule="auto"/>
        <w:ind w:firstLine="420" w:firstLineChars="200"/>
        <w:rPr>
          <w:rFonts w:ascii="宋体" w:hAnsi="宋体"/>
          <w:szCs w:val="21"/>
        </w:rPr>
      </w:pPr>
      <w:r>
        <w:rPr>
          <w:rFonts w:hint="eastAsia" w:ascii="宋体" w:hAnsi="宋体"/>
          <w:szCs w:val="21"/>
        </w:rPr>
        <w:t>采用3个摄像头分别对车前方、前排和后排进行录音、录像；应固定安装，确定摄像头的摄像角度，不可移动；</w:t>
      </w:r>
    </w:p>
    <w:p>
      <w:pPr>
        <w:spacing w:line="360" w:lineRule="auto"/>
        <w:ind w:firstLine="420" w:firstLineChars="200"/>
        <w:rPr>
          <w:rFonts w:ascii="宋体" w:hAnsi="宋体"/>
          <w:szCs w:val="21"/>
        </w:rPr>
      </w:pPr>
      <w:r>
        <w:rPr>
          <w:rFonts w:hint="eastAsia" w:ascii="宋体" w:hAnsi="宋体"/>
          <w:szCs w:val="21"/>
        </w:rPr>
        <w:t>前排摄像头覆盖主驾及副驾区域；</w:t>
      </w:r>
    </w:p>
    <w:p>
      <w:pPr>
        <w:spacing w:line="360" w:lineRule="auto"/>
        <w:ind w:firstLine="420" w:firstLineChars="200"/>
        <w:rPr>
          <w:rFonts w:ascii="宋体" w:hAnsi="宋体"/>
          <w:szCs w:val="21"/>
        </w:rPr>
      </w:pPr>
      <w:r>
        <w:rPr>
          <w:rFonts w:hint="eastAsia" w:ascii="宋体" w:hAnsi="宋体"/>
          <w:szCs w:val="21"/>
        </w:rPr>
        <w:t>后排摄像头覆盖后排乘客区域；</w:t>
      </w:r>
    </w:p>
    <w:p>
      <w:pPr>
        <w:spacing w:line="360" w:lineRule="auto"/>
        <w:ind w:firstLine="420" w:firstLineChars="200"/>
        <w:rPr>
          <w:rFonts w:ascii="宋体" w:hAnsi="宋体"/>
          <w:szCs w:val="21"/>
        </w:rPr>
      </w:pPr>
      <w:r>
        <w:rPr>
          <w:rFonts w:hint="eastAsia" w:ascii="宋体" w:hAnsi="宋体"/>
          <w:szCs w:val="21"/>
        </w:rPr>
        <w:t>摄像头应与出租汽车辆高度集成，所有的接线尽量使用接插件，不允许直接用绝缘胶布包裹。铺线走暗线，线集中捆扎好固定，主机用支架安装。</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空车牌安装在中控台面正中位置</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智能终端</w:t>
      </w:r>
      <w:r>
        <w:rPr>
          <w:rFonts w:hint="eastAsia" w:ascii="宋体" w:hAnsi="宋体"/>
          <w:szCs w:val="21"/>
        </w:rPr>
        <w:t>及后排摄像头</w:t>
      </w:r>
      <w:r>
        <w:rPr>
          <w:rFonts w:ascii="宋体" w:hAnsi="宋体"/>
          <w:szCs w:val="21"/>
        </w:rPr>
        <w:t>安装</w:t>
      </w:r>
      <w:r>
        <w:rPr>
          <w:rFonts w:hint="eastAsia" w:ascii="宋体" w:hAnsi="宋体"/>
          <w:szCs w:val="21"/>
        </w:rPr>
        <w:t>按照图1安装要求</w:t>
      </w:r>
      <w:r>
        <w:rPr>
          <w:rFonts w:ascii="宋体" w:hAnsi="宋体"/>
          <w:szCs w:val="21"/>
        </w:rPr>
        <w:t>中</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内外摄像头安装在</w:t>
      </w:r>
      <w:r>
        <w:rPr>
          <w:rFonts w:hint="eastAsia" w:ascii="宋体" w:hAnsi="宋体"/>
          <w:szCs w:val="21"/>
        </w:rPr>
        <w:t>车内</w:t>
      </w:r>
      <w:r>
        <w:rPr>
          <w:rFonts w:ascii="宋体" w:hAnsi="宋体"/>
          <w:szCs w:val="21"/>
        </w:rPr>
        <w:t>后视镜附近，确保拍摄角度合理，内摄像头要求能够拍摄到前后排乘客。</w:t>
      </w:r>
    </w:p>
    <w:p>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报警按钮隐蔽安装在方向盘左下方。</w:t>
      </w:r>
    </w:p>
    <w:p>
      <w:pPr>
        <w:spacing w:line="360" w:lineRule="auto"/>
        <w:ind w:firstLine="420" w:firstLineChars="200"/>
        <w:rPr>
          <w:rFonts w:ascii="宋体" w:hAnsi="宋体"/>
          <w:szCs w:val="21"/>
        </w:rPr>
      </w:pPr>
      <w:r>
        <w:rPr>
          <w:rFonts w:hint="eastAsia" w:ascii="宋体" w:hAnsi="宋体"/>
          <w:szCs w:val="21"/>
        </w:rPr>
        <w:t>6.计价器安装前，应经过计量部门检定。</w:t>
      </w:r>
    </w:p>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（二）保修和售后要求</w:t>
      </w:r>
      <w:bookmarkStart w:id="19" w:name="_Toc87753341"/>
    </w:p>
    <w:p>
      <w:pPr>
        <w:spacing w:line="360" w:lineRule="auto"/>
        <w:ind w:firstLine="420" w:firstLineChars="200"/>
        <w:rPr>
          <w:rFonts w:ascii="宋体" w:hAnsi="宋体"/>
          <w:szCs w:val="21"/>
        </w:rPr>
      </w:pPr>
      <w:r>
        <w:rPr>
          <w:rFonts w:hint="eastAsia" w:ascii="宋体" w:hAnsi="宋体"/>
          <w:szCs w:val="21"/>
        </w:rPr>
        <w:t>1.本项目免费质量保证期5年。在质保期内，人为损坏和不可抗力所产生的配件更换或维修的费用按成本价另外计算。</w:t>
      </w:r>
    </w:p>
    <w:bookmarkEnd w:id="19"/>
    <w:p>
      <w:pPr>
        <w:spacing w:line="360" w:lineRule="auto"/>
        <w:ind w:firstLine="420" w:firstLineChars="200"/>
        <w:rPr>
          <w:rFonts w:ascii="宋体" w:hAnsi="宋体"/>
          <w:szCs w:val="21"/>
        </w:rPr>
      </w:pPr>
      <w:r>
        <w:rPr>
          <w:rFonts w:hint="eastAsia" w:ascii="宋体" w:hAnsi="宋体"/>
          <w:szCs w:val="21"/>
        </w:rPr>
        <w:t>2.本项目配套平台软件免费维护期为长期。</w:t>
      </w:r>
    </w:p>
    <w:p>
      <w:pPr>
        <w:spacing w:line="360" w:lineRule="auto"/>
        <w:ind w:firstLine="420" w:firstLineChars="200"/>
        <w:rPr>
          <w:rFonts w:ascii="宋体" w:hAnsi="宋体"/>
          <w:szCs w:val="21"/>
        </w:rPr>
      </w:pPr>
      <w:r>
        <w:rPr>
          <w:rFonts w:hint="eastAsia" w:ascii="宋体" w:hAnsi="宋体"/>
          <w:szCs w:val="21"/>
        </w:rPr>
        <w:t>3.售后服务要求投标人在嘉兴市区设置维修站，提供7*8小时维修服务，产品故障2小时内解决（所有硬件故障均采用周转备机方式）。</w:t>
      </w:r>
    </w:p>
    <w:p>
      <w:pPr>
        <w:spacing w:line="360" w:lineRule="auto"/>
        <w:ind w:firstLine="420" w:firstLineChars="200"/>
        <w:rPr>
          <w:rFonts w:ascii="宋体" w:hAnsi="宋体"/>
          <w:szCs w:val="21"/>
        </w:rPr>
      </w:pPr>
      <w:r>
        <w:rPr>
          <w:rFonts w:hint="eastAsia" w:ascii="宋体" w:hAnsi="宋体"/>
          <w:szCs w:val="21"/>
        </w:rPr>
        <w:t>4.质保期内，如有车辆更新的，因车辆更新产生的设备拆装费按拆装人工成本费用另外计算。</w:t>
      </w:r>
    </w:p>
    <w:p>
      <w:pPr>
        <w:spacing w:line="360" w:lineRule="auto"/>
        <w:ind w:firstLine="420" w:firstLineChars="200"/>
        <w:rPr>
          <w:rFonts w:ascii="宋体" w:hAnsi="宋体"/>
          <w:szCs w:val="21"/>
        </w:rPr>
      </w:pPr>
      <w:r>
        <w:rPr>
          <w:rFonts w:hint="eastAsia" w:ascii="宋体" w:hAnsi="宋体"/>
          <w:szCs w:val="21"/>
        </w:rPr>
        <w:t>5.基础平台技术支持提供7×24小时电话技术咨询，在收到用户通知后，0.5小时内须响应，1小时内解决问题。</w:t>
      </w:r>
    </w:p>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（三）车载设备管理要求</w:t>
      </w:r>
    </w:p>
    <w:p>
      <w:pPr>
        <w:spacing w:line="360" w:lineRule="auto"/>
        <w:ind w:firstLine="420" w:firstLineChars="200"/>
        <w:rPr>
          <w:rFonts w:ascii="宋体" w:hAnsi="宋体"/>
          <w:szCs w:val="21"/>
        </w:rPr>
      </w:pPr>
      <w:r>
        <w:rPr>
          <w:rFonts w:hint="eastAsia" w:ascii="宋体" w:hAnsi="宋体"/>
          <w:szCs w:val="21"/>
        </w:rPr>
        <w:t>1.所有车载设备（智能终端、税控计价器、摄像头、TF内存卡、电话卡、智能顶灯）进行单独固定资产按车牌号进行编号标签粘贴，并对全部设备编号进行登记记录，留档管理部门和维修点。</w:t>
      </w:r>
    </w:p>
    <w:p>
      <w:pPr>
        <w:spacing w:line="360" w:lineRule="auto"/>
        <w:ind w:firstLine="420" w:firstLineChars="200"/>
        <w:rPr>
          <w:rFonts w:ascii="宋体" w:hAnsi="宋体"/>
          <w:szCs w:val="21"/>
        </w:rPr>
      </w:pPr>
      <w:r>
        <w:rPr>
          <w:rFonts w:hint="eastAsia" w:ascii="宋体" w:hAnsi="宋体"/>
          <w:szCs w:val="21"/>
        </w:rPr>
        <w:t>2.对于维修设备，车辆设备出现故障时，维修点进行相关信息登记（车辆信息、所属公司、设备编号进行记录，如更换设备维修人员在信息库登记，记录损坏设备编号，填写更换设备编号，并进行系统记录更新，上传至服务器，该信息系统管理部门和维修点同步，管理部门可以看到所有车辆设备维修记录和设备编号）。</w:t>
      </w:r>
    </w:p>
    <w:p>
      <w:pPr>
        <w:spacing w:line="360" w:lineRule="auto"/>
        <w:ind w:firstLine="420" w:firstLineChars="200"/>
        <w:rPr>
          <w:rFonts w:ascii="宋体" w:hAnsi="宋体"/>
          <w:szCs w:val="21"/>
        </w:rPr>
      </w:pPr>
      <w:r>
        <w:rPr>
          <w:rFonts w:hint="eastAsia" w:ascii="宋体" w:hAnsi="宋体"/>
          <w:szCs w:val="21"/>
        </w:rPr>
        <w:t>3.建立一份所有设备公司车辆信息清单，包括备件清单，如有新增或者更换，由维修点相应人员进行表单信息处理。</w:t>
      </w:r>
    </w:p>
    <w:p>
      <w:pPr>
        <w:pStyle w:val="16"/>
        <w:snapToGrid w:val="0"/>
        <w:spacing w:before="120" w:after="120" w:line="360" w:lineRule="auto"/>
        <w:outlineLvl w:val="0"/>
        <w:rPr>
          <w:rFonts w:hAnsi="宋体"/>
          <w:b/>
          <w:color w:val="000000"/>
          <w:sz w:val="21"/>
          <w:szCs w:val="21"/>
        </w:rPr>
      </w:pPr>
      <w:r>
        <w:rPr>
          <w:rFonts w:hint="eastAsia" w:hAnsi="宋体"/>
          <w:b/>
          <w:color w:val="000000"/>
          <w:sz w:val="21"/>
          <w:szCs w:val="21"/>
        </w:rPr>
        <w:t>验收条件及标准</w:t>
      </w:r>
    </w:p>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（一）验收条件</w:t>
      </w:r>
    </w:p>
    <w:p>
      <w:pPr>
        <w:spacing w:line="360" w:lineRule="auto"/>
        <w:ind w:firstLine="420" w:firstLineChars="200"/>
        <w:rPr>
          <w:rFonts w:ascii="宋体" w:hAnsi="宋体"/>
          <w:szCs w:val="21"/>
        </w:rPr>
      </w:pPr>
      <w:r>
        <w:rPr>
          <w:rFonts w:ascii="宋体" w:hAnsi="宋体"/>
          <w:szCs w:val="21"/>
        </w:rPr>
        <w:t>投标人</w:t>
      </w:r>
      <w:r>
        <w:rPr>
          <w:rFonts w:hint="eastAsia" w:ascii="宋体" w:hAnsi="宋体"/>
          <w:szCs w:val="21"/>
        </w:rPr>
        <w:t xml:space="preserve">提供的产品安装调试后投入使用，采购人所要求的各项功能均正常使用后，经投标人申请后采购人组织验收。 </w:t>
      </w:r>
    </w:p>
    <w:p>
      <w:pPr>
        <w:pStyle w:val="16"/>
        <w:snapToGrid w:val="0"/>
        <w:spacing w:before="120" w:after="120" w:line="360" w:lineRule="auto"/>
        <w:ind w:firstLine="310" w:firstLineChars="147"/>
        <w:outlineLvl w:val="0"/>
        <w:rPr>
          <w:rFonts w:hAnsi="宋体"/>
          <w:b/>
          <w:color w:val="000000"/>
          <w:sz w:val="21"/>
          <w:szCs w:val="21"/>
        </w:rPr>
      </w:pPr>
      <w:r>
        <w:rPr>
          <w:rFonts w:hint="eastAsia" w:hAnsi="宋体"/>
          <w:b/>
          <w:color w:val="000000"/>
          <w:sz w:val="21"/>
          <w:szCs w:val="21"/>
        </w:rPr>
        <w:t>（二）验收依据</w:t>
      </w:r>
    </w:p>
    <w:p>
      <w:pPr>
        <w:spacing w:line="360" w:lineRule="auto"/>
        <w:ind w:firstLine="420" w:firstLineChars="200"/>
        <w:rPr>
          <w:rFonts w:ascii="宋体" w:hAnsi="宋体"/>
          <w:szCs w:val="21"/>
        </w:rPr>
      </w:pPr>
      <w:r>
        <w:rPr>
          <w:rFonts w:hint="eastAsia" w:ascii="宋体" w:hAnsi="宋体"/>
          <w:szCs w:val="21"/>
        </w:rPr>
        <w:t>采购文件、投标文件及国家、省、市有关的标准规定，均为验收依据。</w:t>
      </w:r>
    </w:p>
    <w:p>
      <w:pPr>
        <w:spacing w:line="360" w:lineRule="auto"/>
        <w:ind w:firstLine="420" w:firstLineChars="200"/>
        <w:rPr>
          <w:rFonts w:ascii="宋体" w:hAnsi="宋体"/>
          <w:szCs w:val="21"/>
        </w:rPr>
      </w:pPr>
      <w:r>
        <w:rPr>
          <w:rFonts w:hint="eastAsia" w:ascii="宋体" w:hAnsi="宋体"/>
          <w:szCs w:val="21"/>
        </w:rPr>
        <w:t>（三）采购人与</w:t>
      </w:r>
      <w:r>
        <w:rPr>
          <w:rFonts w:ascii="宋体" w:hAnsi="宋体"/>
          <w:szCs w:val="21"/>
        </w:rPr>
        <w:t>投标人</w:t>
      </w:r>
      <w:r>
        <w:rPr>
          <w:rFonts w:hint="eastAsia" w:ascii="宋体" w:hAnsi="宋体"/>
          <w:szCs w:val="21"/>
        </w:rPr>
        <w:t>签订采购合同，根据采购文件规定和</w:t>
      </w:r>
      <w:r>
        <w:rPr>
          <w:rFonts w:ascii="宋体" w:hAnsi="宋体"/>
          <w:szCs w:val="21"/>
        </w:rPr>
        <w:t>投标人</w:t>
      </w:r>
      <w:r>
        <w:rPr>
          <w:rFonts w:hint="eastAsia" w:ascii="宋体" w:hAnsi="宋体"/>
          <w:szCs w:val="21"/>
        </w:rPr>
        <w:t>的响应承诺约定具体事项，</w:t>
      </w:r>
      <w:r>
        <w:rPr>
          <w:rFonts w:ascii="宋体" w:hAnsi="宋体"/>
          <w:szCs w:val="21"/>
        </w:rPr>
        <w:t>投标人</w:t>
      </w:r>
      <w:r>
        <w:rPr>
          <w:rFonts w:hint="eastAsia" w:ascii="宋体" w:hAnsi="宋体"/>
          <w:szCs w:val="21"/>
        </w:rPr>
        <w:t>若发生违约行为，采购人有权终止合同的履行。</w:t>
      </w:r>
    </w:p>
    <w:p>
      <w:pPr>
        <w:spacing w:line="360" w:lineRule="auto"/>
        <w:ind w:firstLine="420" w:firstLineChars="200"/>
        <w:rPr>
          <w:rFonts w:ascii="宋体" w:hAnsi="宋体"/>
          <w:szCs w:val="21"/>
        </w:rPr>
      </w:pPr>
      <w:r>
        <w:rPr>
          <w:rFonts w:hint="eastAsia" w:ascii="宋体" w:hAnsi="宋体"/>
          <w:szCs w:val="21"/>
        </w:rPr>
        <w:t>（四）验收时</w:t>
      </w:r>
      <w:r>
        <w:rPr>
          <w:rFonts w:ascii="宋体" w:hAnsi="宋体"/>
          <w:szCs w:val="21"/>
        </w:rPr>
        <w:t>投标人</w:t>
      </w:r>
      <w:r>
        <w:rPr>
          <w:rFonts w:hint="eastAsia" w:ascii="宋体" w:hAnsi="宋体"/>
          <w:szCs w:val="21"/>
        </w:rPr>
        <w:t>须派项目负责人及代表参加。</w:t>
      </w:r>
    </w:p>
    <w:p>
      <w:pPr>
        <w:spacing w:line="360" w:lineRule="auto"/>
        <w:ind w:firstLine="420" w:firstLineChars="200"/>
        <w:rPr>
          <w:rFonts w:ascii="宋体" w:hAnsi="宋体"/>
          <w:szCs w:val="21"/>
        </w:rPr>
      </w:pPr>
      <w:r>
        <w:rPr>
          <w:rFonts w:hint="eastAsia" w:ascii="宋体" w:hAnsi="宋体"/>
          <w:szCs w:val="21"/>
        </w:rPr>
        <w:t>（五）验收过程所发生的一切费用由</w:t>
      </w:r>
      <w:r>
        <w:rPr>
          <w:rFonts w:ascii="宋体" w:hAnsi="宋体"/>
          <w:szCs w:val="21"/>
        </w:rPr>
        <w:t>投标人</w:t>
      </w:r>
      <w:r>
        <w:rPr>
          <w:rFonts w:hint="eastAsia" w:ascii="宋体" w:hAnsi="宋体"/>
          <w:szCs w:val="21"/>
        </w:rPr>
        <w:t>承担</w:t>
      </w:r>
      <w:r>
        <w:rPr>
          <w:rFonts w:ascii="宋体" w:hAnsi="宋体"/>
          <w:szCs w:val="21"/>
        </w:rPr>
        <w:t>。</w:t>
      </w:r>
    </w:p>
    <w:p>
      <w:pPr>
        <w:pStyle w:val="16"/>
        <w:snapToGrid w:val="0"/>
        <w:spacing w:before="120" w:after="120" w:line="360" w:lineRule="auto"/>
        <w:outlineLvl w:val="0"/>
        <w:rPr>
          <w:rFonts w:hAnsi="宋体"/>
          <w:b/>
          <w:color w:val="000000"/>
          <w:sz w:val="21"/>
          <w:szCs w:val="21"/>
        </w:rPr>
      </w:pPr>
      <w:r>
        <w:rPr>
          <w:rFonts w:hint="eastAsia" w:hAnsi="宋体"/>
          <w:b/>
          <w:color w:val="000000"/>
          <w:sz w:val="21"/>
          <w:szCs w:val="21"/>
        </w:rPr>
        <w:t>其他要求</w:t>
      </w:r>
    </w:p>
    <w:p>
      <w:pPr>
        <w:spacing w:line="360" w:lineRule="auto"/>
        <w:ind w:firstLine="420" w:firstLineChars="200"/>
        <w:rPr>
          <w:rFonts w:ascii="宋体" w:hAnsi="宋体"/>
          <w:szCs w:val="21"/>
        </w:rPr>
      </w:pPr>
      <w:r>
        <w:rPr>
          <w:rFonts w:hint="eastAsia" w:ascii="宋体" w:hAnsi="宋体"/>
          <w:szCs w:val="21"/>
        </w:rPr>
        <w:t>▲1.投标人需提供由市场监督管理部门颁发的与所投出租汽车计价器型号相符的计量器具型式批准证书；提供由省、市级计量院依据《出租汽车计价器检定规程》（JJG517-2016）对样机检定的测试报告。</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投标人需提供所投智能终端产品由省级以上质检部门出具的智能终端检测报告。</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投标人必须对本采购项目所有内容完整响应，不得拆分。</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投标人应具有完善的售后服务机构和售后服务体系</w:t>
      </w:r>
      <w:r>
        <w:rPr>
          <w:rFonts w:hint="eastAsia" w:ascii="宋体" w:hAnsi="宋体"/>
          <w:szCs w:val="21"/>
        </w:rPr>
        <w:t>，按照本采购项目特点提供长期良好的售后服务，并在投标文件中提供详细具体的售后服务承诺条款及保证，包括售后服务流程、售后服务内容、售后服务方式、服务响应时间、免费服务范围及期限、优惠情况、项目应急方案等，其费用列入总报价。</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w:t>
      </w:r>
      <w:r>
        <w:rPr>
          <w:rFonts w:ascii="宋体" w:hAnsi="宋体"/>
          <w:szCs w:val="21"/>
        </w:rPr>
        <w:t>投标人提供的产品须满足采购人的实际需求，在采购产品数量和产品功能不变的情况下，采购人不再支付因投标方案不完整而引起的费用。</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投标人提供的产品必须符合国家相关标准和规范要求。</w:t>
      </w:r>
    </w:p>
    <w:p>
      <w:pPr>
        <w:spacing w:line="360" w:lineRule="auto"/>
        <w:ind w:firstLine="420" w:firstLineChars="200"/>
        <w:rPr>
          <w:rFonts w:ascii="宋体" w:hAnsi="宋体"/>
          <w:szCs w:val="21"/>
        </w:rPr>
      </w:pPr>
      <w:r>
        <w:rPr>
          <w:rFonts w:ascii="宋体" w:hAnsi="宋体"/>
          <w:szCs w:val="21"/>
        </w:rPr>
        <w:t>7</w:t>
      </w:r>
      <w:r>
        <w:rPr>
          <w:rFonts w:hint="eastAsia" w:ascii="宋体" w:hAnsi="宋体"/>
          <w:szCs w:val="21"/>
        </w:rPr>
        <w:t>.</w:t>
      </w:r>
      <w:r>
        <w:rPr>
          <w:rFonts w:ascii="宋体" w:hAnsi="宋体"/>
          <w:szCs w:val="21"/>
        </w:rPr>
        <w:t>采购项目相关内容及要求中所述的产品功能为最低要求标准，投标人应视具体情况优化产品。</w:t>
      </w:r>
    </w:p>
    <w:p>
      <w:pPr>
        <w:spacing w:line="360" w:lineRule="auto"/>
        <w:ind w:firstLine="42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rPr>
        <w:t>投标人须承担本项目项下知识产权保护及保密义务, 未经采购人许可不得将因本次项目获得的信息向第三方外传。具体要求如下：</w:t>
      </w:r>
    </w:p>
    <w:p>
      <w:pPr>
        <w:spacing w:line="360" w:lineRule="auto"/>
        <w:ind w:firstLine="420" w:firstLineChars="200"/>
        <w:rPr>
          <w:rFonts w:ascii="宋体" w:hAnsi="宋体"/>
          <w:szCs w:val="21"/>
        </w:rPr>
      </w:pPr>
      <w:r>
        <w:rPr>
          <w:rFonts w:ascii="宋体" w:hAnsi="宋体"/>
          <w:szCs w:val="21"/>
        </w:rPr>
        <w:t>8.1</w:t>
      </w:r>
      <w:r>
        <w:rPr>
          <w:rFonts w:hint="eastAsia" w:ascii="宋体" w:hAnsi="宋体"/>
          <w:szCs w:val="21"/>
        </w:rPr>
        <w:t>.</w:t>
      </w:r>
      <w:r>
        <w:rPr>
          <w:rFonts w:ascii="宋体" w:hAnsi="宋体"/>
          <w:szCs w:val="21"/>
        </w:rPr>
        <w:t>投标人须保障采购人在使用该产品时不受到第三方关于侵犯知识产权的指控。如果任何第三方提出侵权指控与采购人无关，投标人须与第三方交涉并承担可能发生的责任与一切费用。如采购人因此而遭致损失的，投标人应赔偿该损失。</w:t>
      </w:r>
    </w:p>
    <w:p>
      <w:pPr>
        <w:spacing w:line="360" w:lineRule="auto"/>
        <w:ind w:firstLine="420" w:firstLineChars="200"/>
        <w:rPr>
          <w:rFonts w:ascii="宋体" w:hAnsi="宋体"/>
          <w:szCs w:val="21"/>
        </w:rPr>
      </w:pPr>
      <w:r>
        <w:rPr>
          <w:rFonts w:ascii="宋体" w:hAnsi="宋体"/>
          <w:szCs w:val="21"/>
        </w:rPr>
        <w:t>8.2</w:t>
      </w:r>
      <w:r>
        <w:rPr>
          <w:rFonts w:hint="eastAsia" w:ascii="宋体" w:hAnsi="宋体"/>
          <w:szCs w:val="21"/>
        </w:rPr>
        <w:t>.</w:t>
      </w:r>
      <w:r>
        <w:rPr>
          <w:rFonts w:ascii="宋体" w:hAnsi="宋体"/>
          <w:szCs w:val="21"/>
        </w:rPr>
        <w:t>本项目所有涉及到的工作成果的知识产权归采购人所有，投标人提供的产品投入使用后，所产生的视频、音频、数据等资料不得外泄。</w:t>
      </w:r>
    </w:p>
    <w:p>
      <w:pPr>
        <w:spacing w:line="360" w:lineRule="auto"/>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投标人应接受采购人制定的各种规章制度，并根据项目的需要建立各种规范化管理制度、工作流程、考核制度及其他相关的工作制度。</w:t>
      </w:r>
    </w:p>
    <w:p>
      <w:pPr>
        <w:spacing w:line="360" w:lineRule="auto"/>
        <w:ind w:firstLine="420" w:firstLineChars="200"/>
        <w:rPr>
          <w:rFonts w:ascii="宋体" w:hAnsi="宋体"/>
          <w:b/>
          <w:bCs/>
          <w:szCs w:val="21"/>
        </w:rPr>
      </w:pPr>
      <w:r>
        <w:rPr>
          <w:rFonts w:hint="eastAsia" w:ascii="宋体" w:hAnsi="宋体"/>
          <w:szCs w:val="21"/>
        </w:rPr>
        <w:t>▲</w:t>
      </w:r>
      <w:r>
        <w:rPr>
          <w:rFonts w:ascii="宋体" w:hAnsi="宋体"/>
          <w:szCs w:val="21"/>
        </w:rPr>
        <w:t>10</w:t>
      </w:r>
      <w:r>
        <w:rPr>
          <w:rFonts w:hint="eastAsia" w:ascii="宋体" w:hAnsi="宋体"/>
          <w:szCs w:val="21"/>
        </w:rPr>
        <w:t>.</w:t>
      </w:r>
      <w:r>
        <w:rPr>
          <w:rFonts w:hint="eastAsia" w:ascii="宋体" w:hAnsi="宋体"/>
          <w:b/>
          <w:bCs/>
          <w:szCs w:val="21"/>
        </w:rPr>
        <w:t>投标人需承诺中标后提供本次采购总数量2%（数量四舍五入取整）的备机、备件，备机备件部分不单独列项报价，由投标人在投标报价时综合考虑。</w:t>
      </w:r>
    </w:p>
    <w:p>
      <w:pPr>
        <w:spacing w:line="360" w:lineRule="auto"/>
        <w:ind w:firstLine="420" w:firstLineChars="200"/>
        <w:rPr>
          <w:rFonts w:ascii="Calibri" w:hAnsi="Calibri"/>
        </w:rPr>
      </w:pPr>
      <w:r>
        <w:rPr>
          <w:rFonts w:hint="eastAsia" w:ascii="宋体" w:hAnsi="宋体"/>
          <w:szCs w:val="21"/>
        </w:rPr>
        <w:t>1</w:t>
      </w:r>
      <w:r>
        <w:rPr>
          <w:rFonts w:ascii="宋体" w:hAnsi="宋体"/>
          <w:szCs w:val="21"/>
        </w:rPr>
        <w:t>1</w:t>
      </w:r>
      <w:r>
        <w:rPr>
          <w:rFonts w:hint="eastAsia" w:ascii="宋体" w:hAnsi="宋体"/>
          <w:szCs w:val="21"/>
        </w:rPr>
        <w:t>.投标人需提供样机供评标时现场演示，样机的</w:t>
      </w:r>
      <w:r>
        <w:rPr>
          <w:rFonts w:hint="eastAsia"/>
          <w:bCs/>
          <w:szCs w:val="21"/>
        </w:rPr>
        <w:t>技术参数、工艺材质、尺寸规格按照招标文件要求提供</w:t>
      </w:r>
      <w:r>
        <w:rPr>
          <w:rFonts w:hint="eastAsia"/>
          <w:szCs w:val="21"/>
        </w:rPr>
        <w:t>，</w:t>
      </w:r>
      <w:r>
        <w:rPr>
          <w:rFonts w:hint="eastAsia"/>
          <w:b/>
          <w:szCs w:val="21"/>
        </w:rPr>
        <w:t>演示样机上标注投标人名称并加盖单位公章，</w:t>
      </w:r>
      <w:r>
        <w:rPr>
          <w:rFonts w:hint="eastAsia"/>
          <w:szCs w:val="21"/>
        </w:rPr>
        <w:t>样机演示将作为评标参考依据。</w:t>
      </w:r>
      <w:r>
        <w:rPr>
          <w:rFonts w:hint="eastAsia" w:ascii="Calibri" w:hAnsi="Calibri"/>
        </w:rPr>
        <w:t>样机送交时间及地点：</w:t>
      </w:r>
      <w:r>
        <w:rPr>
          <w:rFonts w:hint="eastAsia" w:ascii="Calibri" w:hAnsi="Calibri"/>
          <w:highlight w:val="yellow"/>
        </w:rPr>
        <w:t>2020年11月  日9:30分前</w:t>
      </w:r>
      <w:r>
        <w:rPr>
          <w:rFonts w:hint="eastAsia" w:ascii="Calibri" w:hAnsi="Calibri"/>
        </w:rPr>
        <w:t>送至</w:t>
      </w:r>
      <w:r>
        <w:rPr>
          <w:rFonts w:hint="eastAsia" w:ascii="宋体" w:hAnsi="宋体" w:cs="宋体"/>
          <w:szCs w:val="21"/>
        </w:rPr>
        <w:t>嘉兴市公共资源交易中心西侧停车场(嘉兴市广场路350号,蒋水港桥西侧)</w:t>
      </w:r>
      <w:r>
        <w:rPr>
          <w:rFonts w:hint="eastAsia" w:ascii="Calibri" w:hAnsi="Calibri"/>
        </w:rPr>
        <w:t>。样机送交联系人：李先生，联系电话：13757337675。</w:t>
      </w:r>
    </w:p>
    <w:p>
      <w:pPr>
        <w:spacing w:line="360" w:lineRule="auto"/>
        <w:ind w:firstLine="420" w:firstLineChars="200"/>
        <w:rPr>
          <w:rFonts w:ascii="宋体" w:hAnsi="宋体"/>
          <w:szCs w:val="21"/>
        </w:rPr>
      </w:pPr>
      <w:r>
        <w:rPr>
          <w:rFonts w:hint="eastAsia"/>
        </w:rPr>
        <w:t>所有未中标的投标人的样机将在评标结束后自行运回，中标单位的样机由采购人封存作为验收依据，且投标人实际供货的品质必须不低于样机品质；若样机品质低于招标文件技术要求的，交付的标的物品质以招标文件为准；若样机有隐蔽瑕疵的，即使交付的标的物与样机相同，投标人交付的标的物的质量仍然应当符合通常标准，所提供样机的制作、运输、安装等所发生的一切费用由投标人自行考虑。</w:t>
      </w:r>
    </w:p>
    <w:bookmarkEnd w:id="7"/>
    <w:p>
      <w:pPr>
        <w:pStyle w:val="16"/>
        <w:snapToGrid w:val="0"/>
        <w:spacing w:before="120" w:after="120" w:line="360" w:lineRule="auto"/>
        <w:outlineLvl w:val="0"/>
        <w:rPr>
          <w:rFonts w:hAnsi="宋体"/>
          <w:b/>
          <w:color w:val="000000"/>
          <w:sz w:val="21"/>
          <w:szCs w:val="21"/>
        </w:rPr>
      </w:pPr>
      <w:r>
        <w:rPr>
          <w:rFonts w:hint="eastAsia" w:hAnsi="宋体"/>
          <w:b/>
          <w:color w:val="000000"/>
          <w:sz w:val="21"/>
          <w:szCs w:val="21"/>
        </w:rPr>
        <w:t>建设周期</w:t>
      </w:r>
    </w:p>
    <w:p>
      <w:pPr>
        <w:pStyle w:val="16"/>
        <w:snapToGrid w:val="0"/>
        <w:spacing w:line="360" w:lineRule="auto"/>
        <w:rPr>
          <w:rFonts w:hAnsi="宋体" w:cs="宋体"/>
          <w:b/>
          <w:sz w:val="21"/>
          <w:szCs w:val="21"/>
        </w:rPr>
      </w:pPr>
      <w:r>
        <w:rPr>
          <w:rFonts w:hint="eastAsia" w:hAnsi="宋体"/>
          <w:sz w:val="21"/>
          <w:szCs w:val="21"/>
        </w:rPr>
        <w:t>自合同签订后</w:t>
      </w:r>
      <w:r>
        <w:rPr>
          <w:rFonts w:hAnsi="宋体"/>
          <w:sz w:val="21"/>
          <w:szCs w:val="21"/>
        </w:rPr>
        <w:t>120</w:t>
      </w:r>
      <w:r>
        <w:rPr>
          <w:rFonts w:hint="eastAsia" w:hAnsi="宋体"/>
          <w:sz w:val="21"/>
          <w:szCs w:val="21"/>
        </w:rPr>
        <w:t>天内完成设备安装、调试，</w:t>
      </w:r>
      <w:r>
        <w:rPr>
          <w:rFonts w:hAnsi="宋体"/>
          <w:sz w:val="21"/>
          <w:szCs w:val="21"/>
        </w:rPr>
        <w:t>180天内完成项目建设。</w:t>
      </w:r>
      <w:bookmarkEnd w:id="5"/>
      <w:bookmarkEnd w:id="6"/>
    </w:p>
    <w:p>
      <w:pPr>
        <w:spacing w:line="400" w:lineRule="exact"/>
        <w:rPr>
          <w:rFonts w:ascii="宋体" w:hAnsi="宋体" w:cs="宋体"/>
          <w:b/>
          <w:szCs w:val="21"/>
        </w:rPr>
      </w:pPr>
      <w:r>
        <w:rPr>
          <w:rFonts w:hint="eastAsia" w:ascii="宋体" w:hAnsi="宋体" w:cs="宋体"/>
          <w:b/>
          <w:szCs w:val="21"/>
        </w:rPr>
        <w:t>三、其他要求</w:t>
      </w:r>
    </w:p>
    <w:p>
      <w:pPr>
        <w:autoSpaceDE w:val="0"/>
        <w:autoSpaceDN w:val="0"/>
        <w:adjustRightInd w:val="0"/>
        <w:spacing w:line="400" w:lineRule="exact"/>
        <w:jc w:val="left"/>
        <w:rPr>
          <w:rFonts w:ascii="宋体" w:hAnsi="宋体" w:cs="宋体"/>
          <w:bCs/>
          <w:szCs w:val="21"/>
        </w:rPr>
      </w:pPr>
      <w:r>
        <w:rPr>
          <w:rFonts w:hint="eastAsia" w:ascii="宋体" w:hAnsi="宋体" w:cs="宋体"/>
          <w:bCs/>
          <w:szCs w:val="21"/>
        </w:rPr>
        <w:t xml:space="preserve">1、设备性能参数和配置中带▲的为关键项目，必须满足或优于。 </w:t>
      </w:r>
    </w:p>
    <w:p>
      <w:pPr>
        <w:autoSpaceDE w:val="0"/>
        <w:autoSpaceDN w:val="0"/>
        <w:adjustRightInd w:val="0"/>
        <w:spacing w:line="400" w:lineRule="exact"/>
        <w:jc w:val="left"/>
        <w:rPr>
          <w:rFonts w:ascii="宋体" w:hAnsi="宋体" w:cs="宋体"/>
          <w:bCs/>
          <w:szCs w:val="21"/>
        </w:rPr>
      </w:pPr>
      <w:r>
        <w:rPr>
          <w:rFonts w:hint="eastAsia" w:ascii="宋体" w:hAnsi="宋体" w:cs="宋体"/>
          <w:bCs/>
          <w:szCs w:val="21"/>
        </w:rPr>
        <w:t>2、履行地点：嘉兴市公路与运输管理中心指定地点。</w:t>
      </w:r>
    </w:p>
    <w:p>
      <w:pPr>
        <w:autoSpaceDE w:val="0"/>
        <w:autoSpaceDN w:val="0"/>
        <w:adjustRightInd w:val="0"/>
        <w:spacing w:line="400" w:lineRule="exact"/>
        <w:jc w:val="left"/>
        <w:rPr>
          <w:rFonts w:ascii="宋体" w:hAnsi="宋体" w:cs="宋体"/>
          <w:bCs/>
          <w:szCs w:val="21"/>
        </w:rPr>
      </w:pPr>
      <w:r>
        <w:rPr>
          <w:rFonts w:hint="eastAsia" w:ascii="宋体" w:hAnsi="宋体" w:cs="宋体"/>
          <w:bCs/>
          <w:szCs w:val="21"/>
        </w:rPr>
        <w:t>3、质保金：合同金额的5%。（中标方在签订合同前，应按招标文件确定的履约保证金的金额，向买方交纳履约保证金；签订合同后，如中标方不按双方合同约定履约，则没收其全部履约保证金，履约保证金不足以赔偿损失的，按实际损失赔偿；履约保证金在中标方按合同约定交货验收合格后自行转为货物的质保金，在质保期内中标方提供的货物质量和服务符合合同约定，经考核合格，质保期满后该款无息退还；质保期考核标准在项目终验前确定。），质保期五年（</w:t>
      </w:r>
      <w:r>
        <w:rPr>
          <w:rFonts w:hint="eastAsia" w:ascii="宋体" w:hAnsi="宋体" w:cs="宋体"/>
          <w:kern w:val="0"/>
          <w:szCs w:val="21"/>
        </w:rPr>
        <w:t>自设备验收合格之日起计算</w:t>
      </w:r>
      <w:r>
        <w:rPr>
          <w:rFonts w:hint="eastAsia" w:ascii="宋体" w:hAnsi="宋体" w:cs="宋体"/>
          <w:bCs/>
          <w:szCs w:val="21"/>
        </w:rPr>
        <w:t>）并提供终生服务。</w:t>
      </w:r>
    </w:p>
    <w:p>
      <w:pPr>
        <w:autoSpaceDE w:val="0"/>
        <w:autoSpaceDN w:val="0"/>
        <w:adjustRightInd w:val="0"/>
        <w:spacing w:line="400" w:lineRule="exact"/>
        <w:jc w:val="left"/>
        <w:rPr>
          <w:rFonts w:ascii="宋体" w:hAnsi="宋体" w:cs="宋体"/>
          <w:bCs/>
          <w:szCs w:val="21"/>
        </w:rPr>
      </w:pPr>
      <w:r>
        <w:rPr>
          <w:rFonts w:ascii="宋体" w:hAnsi="宋体" w:cs="宋体"/>
          <w:bCs/>
          <w:szCs w:val="21"/>
        </w:rPr>
        <w:t>4、中标方须按要求做好本项目在政务云上部署的相关调试、适配、升级等工</w:t>
      </w:r>
      <w:r>
        <w:rPr>
          <w:rFonts w:hint="eastAsia" w:ascii="宋体" w:hAnsi="宋体" w:cs="宋体"/>
          <w:bCs/>
          <w:szCs w:val="21"/>
        </w:rPr>
        <w:t>作，并承诺质保期内免费升级本项目相关软件，确保本项目正常运行。</w:t>
      </w:r>
    </w:p>
    <w:p>
      <w:pPr>
        <w:snapToGrid w:val="0"/>
        <w:spacing w:line="400" w:lineRule="exact"/>
        <w:rPr>
          <w:rFonts w:ascii="宋体" w:hAnsi="宋体" w:cs="宋体"/>
          <w:b/>
          <w:szCs w:val="21"/>
        </w:rPr>
      </w:pPr>
      <w:r>
        <w:rPr>
          <w:rFonts w:hint="eastAsia" w:ascii="宋体" w:hAnsi="宋体" w:cs="宋体"/>
          <w:b/>
          <w:szCs w:val="21"/>
        </w:rPr>
        <w:t>四、质量标准：要求产品货物质量达到国家合格标准。</w:t>
      </w:r>
    </w:p>
    <w:p>
      <w:pPr>
        <w:snapToGrid w:val="0"/>
        <w:spacing w:line="400" w:lineRule="exact"/>
        <w:rPr>
          <w:rFonts w:ascii="宋体" w:hAnsi="宋体" w:cs="宋体"/>
          <w:b/>
          <w:szCs w:val="21"/>
        </w:rPr>
      </w:pPr>
      <w:r>
        <w:rPr>
          <w:rFonts w:hint="eastAsia" w:ascii="宋体" w:hAnsi="宋体" w:cs="宋体"/>
          <w:b/>
          <w:szCs w:val="21"/>
        </w:rPr>
        <w:t>五、商务要求表</w:t>
      </w:r>
    </w:p>
    <w:tbl>
      <w:tblPr>
        <w:tblStyle w:val="33"/>
        <w:tblW w:w="95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68"/>
        <w:gridCol w:w="72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36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s="宋体"/>
                <w:szCs w:val="21"/>
              </w:rPr>
            </w:pPr>
            <w:r>
              <w:rPr>
                <w:rFonts w:hint="eastAsia" w:ascii="宋体" w:hAnsi="宋体" w:cs="宋体"/>
                <w:szCs w:val="21"/>
              </w:rPr>
              <w:t>质保期</w:t>
            </w:r>
          </w:p>
        </w:tc>
        <w:tc>
          <w:tcPr>
            <w:tcW w:w="721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ascii="宋体" w:hAnsi="宋体" w:cs="宋体"/>
                <w:szCs w:val="21"/>
              </w:rPr>
            </w:pPr>
            <w:r>
              <w:rPr>
                <w:rFonts w:hint="eastAsia" w:ascii="宋体" w:hAnsi="宋体" w:cs="宋体"/>
                <w:szCs w:val="21"/>
              </w:rPr>
              <w:t>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236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s="宋体"/>
                <w:szCs w:val="21"/>
              </w:rPr>
            </w:pPr>
            <w:r>
              <w:rPr>
                <w:rFonts w:hint="eastAsia" w:ascii="宋体" w:hAnsi="宋体" w:cs="宋体"/>
                <w:szCs w:val="21"/>
              </w:rPr>
              <w:t>合同履行期限及地点</w:t>
            </w:r>
          </w:p>
        </w:tc>
        <w:tc>
          <w:tcPr>
            <w:tcW w:w="721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szCs w:val="21"/>
              </w:rPr>
            </w:pPr>
            <w:r>
              <w:rPr>
                <w:rFonts w:hint="eastAsia" w:ascii="宋体" w:hAnsi="宋体" w:cs="宋体"/>
                <w:szCs w:val="21"/>
              </w:rPr>
              <w:t>合同履行期限：</w:t>
            </w:r>
            <w:r>
              <w:rPr>
                <w:rFonts w:hint="eastAsia" w:ascii="宋体" w:hAnsi="宋体"/>
                <w:szCs w:val="21"/>
              </w:rPr>
              <w:t>自合同签订后</w:t>
            </w:r>
            <w:r>
              <w:rPr>
                <w:rFonts w:ascii="宋体" w:hAnsi="宋体"/>
                <w:szCs w:val="21"/>
              </w:rPr>
              <w:t>120</w:t>
            </w:r>
            <w:r>
              <w:rPr>
                <w:rFonts w:hint="eastAsia" w:ascii="宋体" w:hAnsi="宋体"/>
                <w:szCs w:val="21"/>
              </w:rPr>
              <w:t>天内完成设备安装、调试，</w:t>
            </w:r>
            <w:r>
              <w:rPr>
                <w:rFonts w:ascii="宋体" w:hAnsi="宋体"/>
                <w:szCs w:val="21"/>
              </w:rPr>
              <w:t>180天内完成项目建设。</w:t>
            </w:r>
          </w:p>
          <w:p>
            <w:pPr>
              <w:snapToGrid w:val="0"/>
              <w:spacing w:line="400" w:lineRule="exact"/>
              <w:jc w:val="left"/>
              <w:rPr>
                <w:rFonts w:ascii="宋体" w:hAnsi="宋体" w:cs="宋体"/>
                <w:szCs w:val="21"/>
              </w:rPr>
            </w:pPr>
            <w:r>
              <w:rPr>
                <w:rFonts w:hint="eastAsia" w:ascii="宋体" w:hAnsi="宋体" w:cs="宋体"/>
                <w:szCs w:val="21"/>
              </w:rPr>
              <w:t>履行地点：嘉兴市公路与运输管理中心指定地点。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236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s="宋体"/>
                <w:szCs w:val="21"/>
              </w:rPr>
            </w:pPr>
            <w:r>
              <w:rPr>
                <w:rFonts w:hint="eastAsia" w:ascii="宋体" w:hAnsi="宋体" w:cs="宋体"/>
                <w:szCs w:val="21"/>
              </w:rPr>
              <w:t>交货方案及验收条件</w:t>
            </w:r>
          </w:p>
        </w:tc>
        <w:tc>
          <w:tcPr>
            <w:tcW w:w="721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ascii="宋体" w:hAnsi="宋体" w:cs="宋体"/>
                <w:szCs w:val="21"/>
              </w:rPr>
            </w:pPr>
            <w:r>
              <w:rPr>
                <w:rStyle w:val="36"/>
                <w:rFonts w:hint="eastAsia" w:ascii="宋体" w:hAnsi="宋体" w:cs="宋体"/>
                <w:b w:val="0"/>
                <w:kern w:val="0"/>
                <w:szCs w:val="21"/>
              </w:rPr>
              <w:t>由供应商以书面形式向采购单位提交验收申请，采购单位审核验收材料后组织验收。</w:t>
            </w:r>
            <w:r>
              <w:rPr>
                <w:rFonts w:hint="eastAsia" w:ascii="宋体" w:hAnsi="宋体" w:cs="宋体"/>
                <w:szCs w:val="21"/>
              </w:rPr>
              <w:t>以嘉兴市公路与运输管理中心验收合格后，在验收单上签字确认。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36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s="宋体"/>
                <w:szCs w:val="21"/>
              </w:rPr>
            </w:pPr>
            <w:r>
              <w:rPr>
                <w:rFonts w:hint="eastAsia" w:ascii="宋体" w:hAnsi="宋体" w:cs="宋体"/>
                <w:szCs w:val="21"/>
              </w:rPr>
              <w:t>付款条件</w:t>
            </w:r>
          </w:p>
        </w:tc>
        <w:tc>
          <w:tcPr>
            <w:tcW w:w="721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ascii="宋体" w:hAnsi="宋体" w:cs="宋体"/>
                <w:bCs/>
                <w:szCs w:val="21"/>
              </w:rPr>
            </w:pPr>
            <w:r>
              <w:rPr>
                <w:rStyle w:val="36"/>
                <w:rFonts w:hint="eastAsia" w:ascii="宋体" w:hAnsi="宋体" w:cs="宋体"/>
                <w:b w:val="0"/>
                <w:kern w:val="0"/>
                <w:szCs w:val="21"/>
              </w:rPr>
              <w:t>合同签订5日内采购人申请财政支付合同金额的30%，合同签订20日内采购人申请财政支付合同金额的20%；项目通过初验后，采购人申请财政支付合同金额的20%；项目通过终验后，采购人申请财政支付合同剩余金额。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236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s="宋体"/>
                <w:szCs w:val="21"/>
              </w:rPr>
            </w:pPr>
            <w:r>
              <w:rPr>
                <w:rFonts w:hint="eastAsia" w:ascii="宋体" w:hAnsi="宋体" w:cs="宋体"/>
                <w:szCs w:val="21"/>
              </w:rPr>
              <w:t>备品备件及耗材等要求</w:t>
            </w:r>
          </w:p>
        </w:tc>
        <w:tc>
          <w:tcPr>
            <w:tcW w:w="721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left"/>
              <w:rPr>
                <w:rFonts w:ascii="宋体" w:hAnsi="宋体" w:cs="宋体"/>
                <w:szCs w:val="21"/>
              </w:rPr>
            </w:pPr>
            <w:r>
              <w:rPr>
                <w:rStyle w:val="36"/>
                <w:rFonts w:hint="eastAsia" w:ascii="宋体" w:hAnsi="宋体" w:cs="宋体"/>
                <w:b w:val="0"/>
                <w:kern w:val="0"/>
                <w:szCs w:val="21"/>
              </w:rPr>
              <w:t>根据技术指标需求中的具体规定，为部分设备提供正常使用所需的耗材及周期更换备品备件。投标人须提供质保期内人为损坏及质保期满后设备维修配件价格表，并执行。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236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s="宋体"/>
                <w:kern w:val="0"/>
                <w:szCs w:val="21"/>
              </w:rPr>
            </w:pPr>
            <w:r>
              <w:rPr>
                <w:rStyle w:val="36"/>
                <w:rFonts w:hint="eastAsia" w:ascii="宋体" w:hAnsi="宋体" w:cs="宋体"/>
                <w:b w:val="0"/>
                <w:kern w:val="0"/>
                <w:szCs w:val="21"/>
              </w:rPr>
              <w:t>安装调试</w:t>
            </w:r>
          </w:p>
        </w:tc>
        <w:tc>
          <w:tcPr>
            <w:tcW w:w="721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kern w:val="0"/>
                <w:szCs w:val="21"/>
              </w:rPr>
            </w:pPr>
            <w:r>
              <w:rPr>
                <w:rStyle w:val="36"/>
                <w:rFonts w:hint="eastAsia" w:ascii="宋体" w:hAnsi="宋体" w:cs="宋体"/>
                <w:b w:val="0"/>
                <w:kern w:val="0"/>
                <w:szCs w:val="21"/>
              </w:rPr>
              <w:t>需有具备相关专业技术人员实施安装调试。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236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s="宋体"/>
                <w:kern w:val="0"/>
                <w:szCs w:val="21"/>
              </w:rPr>
            </w:pPr>
            <w:r>
              <w:rPr>
                <w:rStyle w:val="36"/>
                <w:rFonts w:hint="eastAsia" w:ascii="宋体" w:hAnsi="宋体" w:cs="宋体"/>
                <w:b w:val="0"/>
                <w:kern w:val="0"/>
                <w:szCs w:val="21"/>
              </w:rPr>
              <w:t>技术服务和培训</w:t>
            </w:r>
          </w:p>
        </w:tc>
        <w:tc>
          <w:tcPr>
            <w:tcW w:w="721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s="宋体"/>
                <w:kern w:val="0"/>
                <w:szCs w:val="21"/>
              </w:rPr>
            </w:pPr>
            <w:r>
              <w:rPr>
                <w:rStyle w:val="36"/>
                <w:rFonts w:hint="eastAsia" w:ascii="宋体" w:hAnsi="宋体" w:cs="宋体"/>
                <w:b w:val="0"/>
                <w:kern w:val="0"/>
                <w:szCs w:val="21"/>
              </w:rPr>
              <w:t>中标供应商应免费提供安装及现场培训服务，为采购人提供</w:t>
            </w:r>
            <w:r>
              <w:rPr>
                <w:rFonts w:hint="eastAsia" w:ascii="宋体" w:hAnsi="宋体" w:cs="宋体"/>
                <w:szCs w:val="21"/>
              </w:rPr>
              <w:t>设备操作和日常维护的现场培训</w:t>
            </w:r>
            <w:r>
              <w:rPr>
                <w:rStyle w:val="36"/>
                <w:rFonts w:hint="eastAsia" w:ascii="宋体" w:hAnsi="宋体" w:cs="宋体"/>
                <w:b w:val="0"/>
                <w:kern w:val="0"/>
                <w:szCs w:val="21"/>
              </w:rPr>
              <w:t>，确保使用者完全会使用及操作为止,并终身免费提供升级服务。</w:t>
            </w:r>
          </w:p>
        </w:tc>
      </w:tr>
    </w:tbl>
    <w:p>
      <w:pPr>
        <w:snapToGrid w:val="0"/>
        <w:spacing w:line="440" w:lineRule="exact"/>
        <w:rPr>
          <w:rFonts w:ascii="宋体" w:hAnsi="宋体" w:cs="宋体"/>
          <w:b/>
          <w:szCs w:val="21"/>
        </w:rPr>
      </w:pPr>
      <w:r>
        <w:rPr>
          <w:rFonts w:hint="eastAsia" w:ascii="宋体" w:hAnsi="宋体" w:cs="宋体"/>
          <w:b/>
          <w:szCs w:val="21"/>
        </w:rPr>
        <w:t>六、投标人的资信要求表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2"/>
        <w:gridCol w:w="71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Cs w:val="21"/>
              </w:rPr>
            </w:pPr>
            <w:r>
              <w:rPr>
                <w:rFonts w:hint="eastAsia" w:ascii="宋体" w:hAnsi="宋体" w:cs="宋体"/>
                <w:szCs w:val="21"/>
              </w:rPr>
              <w:t>质量管理、企业信用要求</w:t>
            </w:r>
          </w:p>
        </w:tc>
        <w:tc>
          <w:tcPr>
            <w:tcW w:w="7148"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rPr>
                <w:rFonts w:ascii="宋体" w:hAnsi="宋体" w:cs="宋体"/>
                <w:szCs w:val="21"/>
              </w:rPr>
            </w:pPr>
            <w:r>
              <w:rPr>
                <w:rFonts w:hint="eastAsia" w:ascii="宋体" w:hAnsi="宋体" w:cs="宋体"/>
                <w:szCs w:val="21"/>
              </w:rPr>
              <w:t>投标产品生产企业的质量管理体系认证、环境管理体系认证；投标单位信用证明和资信证明，具有国家检测部门的质量合格检测（监检）报告。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szCs w:val="21"/>
              </w:rPr>
            </w:pPr>
            <w:r>
              <w:rPr>
                <w:rFonts w:hint="eastAsia" w:ascii="宋体" w:hAnsi="宋体" w:cs="宋体"/>
                <w:szCs w:val="21"/>
              </w:rPr>
              <w:t>能力或业绩要求</w:t>
            </w:r>
          </w:p>
        </w:tc>
        <w:tc>
          <w:tcPr>
            <w:tcW w:w="7148" w:type="dxa"/>
            <w:tcBorders>
              <w:top w:val="single" w:color="auto" w:sz="4" w:space="0"/>
              <w:left w:val="single" w:color="auto" w:sz="4" w:space="0"/>
              <w:bottom w:val="single" w:color="auto" w:sz="4" w:space="0"/>
              <w:right w:val="single" w:color="auto" w:sz="4" w:space="0"/>
            </w:tcBorders>
            <w:noWrap/>
            <w:vAlign w:val="center"/>
          </w:tcPr>
          <w:p>
            <w:pPr>
              <w:pStyle w:val="65"/>
              <w:snapToGrid w:val="0"/>
              <w:spacing w:line="440" w:lineRule="exact"/>
              <w:rPr>
                <w:rFonts w:ascii="宋体" w:hAnsi="宋体" w:cs="宋体"/>
                <w:sz w:val="21"/>
                <w:szCs w:val="21"/>
              </w:rPr>
            </w:pPr>
            <w:r>
              <w:rPr>
                <w:rFonts w:hint="eastAsia" w:ascii="宋体" w:hAnsi="宋体" w:cs="宋体"/>
                <w:sz w:val="21"/>
                <w:szCs w:val="21"/>
              </w:rPr>
              <w:t>投标人具有投标项目的业绩。</w:t>
            </w:r>
          </w:p>
        </w:tc>
      </w:tr>
    </w:tbl>
    <w:p>
      <w:pPr>
        <w:spacing w:line="460" w:lineRule="exact"/>
        <w:jc w:val="center"/>
        <w:outlineLvl w:val="0"/>
        <w:rPr>
          <w:rFonts w:ascii="宋体" w:hAnsi="宋体"/>
          <w:b/>
          <w:sz w:val="32"/>
          <w:szCs w:val="32"/>
        </w:rPr>
      </w:pPr>
      <w:bookmarkStart w:id="20" w:name="_Toc12463"/>
    </w:p>
    <w:p>
      <w:pPr>
        <w:spacing w:line="460" w:lineRule="exact"/>
        <w:jc w:val="center"/>
        <w:outlineLvl w:val="0"/>
        <w:rPr>
          <w:rFonts w:ascii="宋体" w:hAnsi="宋体"/>
          <w:b/>
          <w:sz w:val="32"/>
          <w:szCs w:val="32"/>
        </w:rPr>
      </w:pPr>
    </w:p>
    <w:p>
      <w:pPr>
        <w:spacing w:line="460" w:lineRule="exact"/>
        <w:jc w:val="center"/>
        <w:outlineLvl w:val="0"/>
        <w:rPr>
          <w:rFonts w:ascii="宋体" w:hAnsi="宋体"/>
          <w:b/>
          <w:sz w:val="32"/>
          <w:szCs w:val="32"/>
        </w:rPr>
      </w:pPr>
    </w:p>
    <w:p>
      <w:pPr>
        <w:spacing w:line="460" w:lineRule="exact"/>
        <w:jc w:val="center"/>
        <w:outlineLvl w:val="0"/>
        <w:rPr>
          <w:rFonts w:ascii="宋体" w:hAnsi="宋体"/>
          <w:b/>
          <w:sz w:val="32"/>
          <w:szCs w:val="32"/>
        </w:rPr>
      </w:pPr>
    </w:p>
    <w:p>
      <w:pPr>
        <w:spacing w:line="460" w:lineRule="exact"/>
        <w:jc w:val="center"/>
        <w:outlineLvl w:val="0"/>
        <w:rPr>
          <w:rFonts w:ascii="宋体" w:hAnsi="宋体"/>
          <w:b/>
          <w:sz w:val="32"/>
          <w:szCs w:val="32"/>
        </w:rPr>
      </w:pPr>
    </w:p>
    <w:p>
      <w:pPr>
        <w:spacing w:line="460" w:lineRule="exact"/>
        <w:jc w:val="center"/>
        <w:outlineLvl w:val="0"/>
        <w:rPr>
          <w:rFonts w:ascii="宋体" w:hAnsi="宋体"/>
          <w:b/>
          <w:sz w:val="32"/>
          <w:szCs w:val="32"/>
        </w:rPr>
      </w:pPr>
    </w:p>
    <w:p>
      <w:pPr>
        <w:spacing w:line="460" w:lineRule="exact"/>
        <w:jc w:val="center"/>
        <w:outlineLvl w:val="0"/>
        <w:rPr>
          <w:rFonts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hint="eastAsia" w:ascii="宋体" w:hAnsi="宋体"/>
          <w:b/>
          <w:sz w:val="32"/>
          <w:szCs w:val="32"/>
        </w:rPr>
      </w:pPr>
    </w:p>
    <w:p>
      <w:pPr>
        <w:spacing w:line="460" w:lineRule="exact"/>
        <w:jc w:val="center"/>
        <w:outlineLvl w:val="0"/>
        <w:rPr>
          <w:rFonts w:ascii="宋体" w:hAnsi="宋体"/>
          <w:b/>
          <w:sz w:val="32"/>
          <w:szCs w:val="32"/>
        </w:rPr>
      </w:pPr>
      <w:r>
        <w:rPr>
          <w:rFonts w:hint="eastAsia" w:ascii="宋体" w:hAnsi="宋体"/>
          <w:b/>
          <w:sz w:val="32"/>
          <w:szCs w:val="32"/>
        </w:rPr>
        <w:t>第三章  投标人须知</w:t>
      </w:r>
      <w:bookmarkEnd w:id="1"/>
      <w:bookmarkEnd w:id="20"/>
    </w:p>
    <w:p>
      <w:pPr>
        <w:spacing w:line="360" w:lineRule="auto"/>
        <w:ind w:firstLine="281" w:firstLineChars="100"/>
        <w:jc w:val="center"/>
        <w:rPr>
          <w:rFonts w:ascii="宋体" w:hAnsi="宋体"/>
          <w:b/>
          <w:bCs/>
          <w:sz w:val="28"/>
          <w:szCs w:val="28"/>
        </w:rPr>
      </w:pPr>
      <w:bookmarkStart w:id="21" w:name="_Toc32301"/>
      <w:bookmarkStart w:id="22" w:name="_Toc177870535"/>
    </w:p>
    <w:p>
      <w:pPr>
        <w:spacing w:line="360" w:lineRule="auto"/>
        <w:ind w:firstLine="281" w:firstLineChars="100"/>
        <w:jc w:val="center"/>
        <w:rPr>
          <w:rFonts w:ascii="宋体" w:hAnsi="宋体"/>
          <w:b/>
          <w:bCs/>
          <w:sz w:val="28"/>
          <w:szCs w:val="28"/>
        </w:rPr>
      </w:pPr>
      <w:r>
        <w:rPr>
          <w:rFonts w:hint="eastAsia" w:ascii="宋体" w:hAnsi="宋体"/>
          <w:b/>
          <w:bCs/>
          <w:sz w:val="28"/>
          <w:szCs w:val="28"/>
        </w:rPr>
        <w:t>电子交易注意事项</w:t>
      </w:r>
    </w:p>
    <w:p>
      <w:pPr>
        <w:spacing w:line="360" w:lineRule="auto"/>
        <w:ind w:firstLine="211" w:firstLineChars="100"/>
        <w:jc w:val="left"/>
        <w:rPr>
          <w:rFonts w:ascii="宋体" w:hAnsi="宋体" w:cs="宋体"/>
          <w:sz w:val="24"/>
          <w:shd w:val="clear" w:color="auto" w:fill="FFFFFF"/>
        </w:rPr>
      </w:pPr>
      <w:r>
        <w:rPr>
          <w:rFonts w:hint="eastAsia" w:ascii="宋体" w:hAnsi="宋体" w:cs="宋体"/>
          <w:b/>
          <w:bCs/>
          <w:szCs w:val="21"/>
          <w:shd w:val="clear" w:color="auto" w:fill="FFFFFF"/>
        </w:rPr>
        <w:t>　</w:t>
      </w:r>
      <w:r>
        <w:rPr>
          <w:rFonts w:hint="eastAsia" w:ascii="宋体" w:hAnsi="宋体" w:cs="宋体"/>
          <w:sz w:val="24"/>
          <w:shd w:val="clear" w:color="auto" w:fill="FFFFFF"/>
        </w:rPr>
        <w:t>政府采购项目电子交易活动适用《浙江省政府采购项目电子交易管理暂行办法》，现将相关注意事项告知如下：</w:t>
      </w:r>
    </w:p>
    <w:p>
      <w:pPr>
        <w:spacing w:line="360" w:lineRule="auto"/>
        <w:ind w:firstLine="240" w:firstLineChars="100"/>
        <w:jc w:val="left"/>
        <w:rPr>
          <w:rFonts w:ascii="宋体" w:hAnsi="宋体" w:cs="宋体"/>
          <w:sz w:val="24"/>
        </w:rPr>
      </w:pPr>
      <w:r>
        <w:rPr>
          <w:rFonts w:hint="eastAsia" w:ascii="宋体" w:hAnsi="宋体" w:cs="宋体"/>
          <w:sz w:val="24"/>
        </w:rPr>
        <w:t>　1.采购</w:t>
      </w:r>
      <w:r>
        <w:rPr>
          <w:rFonts w:ascii="宋体" w:hAnsi="宋体" w:cs="宋体"/>
          <w:sz w:val="24"/>
        </w:rPr>
        <w:t>代理</w:t>
      </w:r>
      <w:r>
        <w:rPr>
          <w:rFonts w:hint="eastAsia" w:ascii="宋体" w:hAnsi="宋体" w:cs="宋体"/>
          <w:sz w:val="24"/>
        </w:rPr>
        <w:t>机构按照招标文件规定的时间通过电子交易平台组织开标、开启电子投标文件，所有供应商均应当准时在线参加，直至评审结束。</w:t>
      </w:r>
    </w:p>
    <w:p>
      <w:pPr>
        <w:pStyle w:val="28"/>
        <w:spacing w:beforeAutospacing="0" w:afterAutospacing="0" w:line="360" w:lineRule="auto"/>
        <w:ind w:firstLine="240" w:firstLineChars="100"/>
        <w:rPr>
          <w:rFonts w:cs="宋体"/>
          <w:kern w:val="2"/>
        </w:rPr>
      </w:pPr>
      <w:r>
        <w:rPr>
          <w:rFonts w:hint="eastAsia" w:cs="宋体"/>
          <w:kern w:val="2"/>
        </w:rPr>
        <w:t>　2. 电子投标文件未按时解密，供应商如提供备份电子投标文件的，以符合要求的备份电子投标文件作为依据，否则视为投标文件撤回。电子投标文件已按时解密的，备份电子投标文件自动失效。</w:t>
      </w:r>
    </w:p>
    <w:p>
      <w:pPr>
        <w:pStyle w:val="28"/>
        <w:spacing w:beforeAutospacing="0" w:afterAutospacing="0" w:line="360" w:lineRule="auto"/>
        <w:ind w:firstLine="240" w:firstLineChars="100"/>
        <w:rPr>
          <w:rFonts w:cs="宋体"/>
          <w:kern w:val="2"/>
        </w:rPr>
      </w:pPr>
      <w:r>
        <w:rPr>
          <w:rFonts w:hint="eastAsia" w:cs="宋体"/>
          <w:kern w:val="2"/>
        </w:rPr>
        <w:t>　3. 采购过程中出现以下情形，导致电子交易平台无法正常运行，或者无法保证电子交易的公平、公正和安全时，采购代理机构可中止电子交易活动：</w:t>
      </w:r>
    </w:p>
    <w:p>
      <w:pPr>
        <w:pStyle w:val="28"/>
        <w:spacing w:beforeAutospacing="0" w:afterAutospacing="0" w:line="360" w:lineRule="auto"/>
        <w:ind w:firstLine="645"/>
        <w:rPr>
          <w:rFonts w:cs="宋体"/>
          <w:kern w:val="2"/>
        </w:rPr>
      </w:pPr>
      <w:r>
        <w:rPr>
          <w:rFonts w:hint="eastAsia" w:cs="宋体"/>
          <w:kern w:val="2"/>
        </w:rPr>
        <w:t>（一）电子交易平台发生故障而无法登录访问的； </w:t>
      </w:r>
    </w:p>
    <w:p>
      <w:pPr>
        <w:pStyle w:val="28"/>
        <w:spacing w:beforeAutospacing="0" w:afterAutospacing="0" w:line="360" w:lineRule="auto"/>
        <w:ind w:firstLine="645"/>
        <w:rPr>
          <w:rFonts w:cs="宋体"/>
          <w:kern w:val="2"/>
        </w:rPr>
      </w:pPr>
      <w:r>
        <w:rPr>
          <w:rFonts w:hint="eastAsia" w:cs="宋体"/>
          <w:kern w:val="2"/>
        </w:rPr>
        <w:t>（二）电子交易平台应用或数据库出现错误，不能进行正常操作的；</w:t>
      </w:r>
    </w:p>
    <w:p>
      <w:pPr>
        <w:pStyle w:val="28"/>
        <w:spacing w:beforeAutospacing="0" w:afterAutospacing="0" w:line="360" w:lineRule="auto"/>
        <w:ind w:firstLine="645"/>
        <w:rPr>
          <w:rFonts w:cs="宋体"/>
          <w:kern w:val="2"/>
        </w:rPr>
      </w:pPr>
      <w:r>
        <w:rPr>
          <w:rFonts w:hint="eastAsia" w:cs="宋体"/>
          <w:kern w:val="2"/>
        </w:rPr>
        <w:t>（三）电子交易平台发现严重安全漏洞，有潜在泄密危险的；</w:t>
      </w:r>
    </w:p>
    <w:p>
      <w:pPr>
        <w:pStyle w:val="28"/>
        <w:spacing w:beforeAutospacing="0" w:afterAutospacing="0" w:line="360" w:lineRule="auto"/>
        <w:ind w:firstLine="645"/>
        <w:rPr>
          <w:rFonts w:cs="宋体"/>
          <w:kern w:val="2"/>
        </w:rPr>
      </w:pPr>
      <w:r>
        <w:rPr>
          <w:rFonts w:hint="eastAsia" w:cs="宋体"/>
          <w:kern w:val="2"/>
        </w:rPr>
        <w:t>（四）病毒发作导致不能进行正常操作的； </w:t>
      </w:r>
    </w:p>
    <w:p>
      <w:pPr>
        <w:pStyle w:val="28"/>
        <w:spacing w:beforeAutospacing="0" w:afterAutospacing="0" w:line="360" w:lineRule="auto"/>
        <w:ind w:firstLine="645"/>
        <w:rPr>
          <w:rFonts w:cs="宋体"/>
          <w:kern w:val="2"/>
        </w:rPr>
      </w:pPr>
      <w:r>
        <w:rPr>
          <w:rFonts w:hint="eastAsia" w:cs="宋体"/>
          <w:kern w:val="2"/>
        </w:rPr>
        <w:t>（五）其他无法保证电子交易的公平、公正和安全的情况。</w:t>
      </w:r>
    </w:p>
    <w:p>
      <w:pPr>
        <w:pStyle w:val="28"/>
        <w:spacing w:beforeAutospacing="0" w:afterAutospacing="0" w:line="360" w:lineRule="auto"/>
        <w:ind w:firstLine="480"/>
        <w:rPr>
          <w:rFonts w:cs="宋体"/>
          <w:kern w:val="2"/>
        </w:rPr>
      </w:pPr>
      <w:r>
        <w:rPr>
          <w:rFonts w:hint="eastAsia" w:cs="宋体"/>
          <w:kern w:val="2"/>
        </w:rPr>
        <w:t>出现前款规定情形，不影响采购公平、公正性的，采购</w:t>
      </w:r>
      <w:r>
        <w:rPr>
          <w:rFonts w:cs="宋体"/>
          <w:kern w:val="2"/>
        </w:rPr>
        <w:t>代理</w:t>
      </w:r>
      <w:r>
        <w:rPr>
          <w:rFonts w:hint="eastAsia" w:cs="宋体"/>
          <w:kern w:val="2"/>
        </w:rPr>
        <w:t>机构可以待上述情形消除后继续组织电子交易活动，也可以决定某些环节以纸质形式进行；影响或可能影响采购公平、公正性的，应当重新采购。</w:t>
      </w:r>
    </w:p>
    <w:p>
      <w:pPr>
        <w:pStyle w:val="28"/>
        <w:spacing w:beforeAutospacing="0" w:afterAutospacing="0" w:line="360" w:lineRule="auto"/>
        <w:ind w:firstLine="480"/>
        <w:rPr>
          <w:rFonts w:cs="宋体"/>
          <w:shd w:val="clear" w:color="auto" w:fill="FFFFFF"/>
        </w:rPr>
      </w:pPr>
      <w:r>
        <w:rPr>
          <w:rFonts w:hint="eastAsia" w:cs="宋体"/>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spacing w:beforeLines="50" w:afterLines="50" w:line="400" w:lineRule="exact"/>
        <w:ind w:left="238"/>
        <w:jc w:val="center"/>
        <w:outlineLvl w:val="1"/>
        <w:rPr>
          <w:rFonts w:ascii="宋体" w:hAnsi="宋体"/>
          <w:b/>
          <w:sz w:val="28"/>
          <w:szCs w:val="28"/>
        </w:rPr>
      </w:pPr>
    </w:p>
    <w:p>
      <w:pPr>
        <w:pStyle w:val="2"/>
        <w:rPr>
          <w:rFonts w:ascii="宋体" w:hAnsi="宋体"/>
          <w:sz w:val="28"/>
          <w:szCs w:val="28"/>
        </w:rPr>
      </w:pPr>
    </w:p>
    <w:p>
      <w:pPr>
        <w:pStyle w:val="3"/>
        <w:ind w:firstLine="480"/>
      </w:pPr>
    </w:p>
    <w:p>
      <w:pPr>
        <w:spacing w:beforeLines="50" w:afterLines="50" w:line="400" w:lineRule="exact"/>
        <w:ind w:left="238"/>
        <w:jc w:val="center"/>
        <w:outlineLvl w:val="1"/>
        <w:rPr>
          <w:rFonts w:ascii="宋体" w:hAnsi="宋体"/>
          <w:b/>
          <w:sz w:val="28"/>
          <w:szCs w:val="28"/>
        </w:rPr>
      </w:pPr>
      <w:r>
        <w:rPr>
          <w:rFonts w:hint="eastAsia" w:ascii="宋体" w:hAnsi="宋体"/>
          <w:b/>
          <w:sz w:val="28"/>
          <w:szCs w:val="28"/>
        </w:rPr>
        <w:t>前附表</w:t>
      </w:r>
      <w:bookmarkEnd w:id="21"/>
      <w:bookmarkEnd w:id="22"/>
    </w:p>
    <w:tbl>
      <w:tblPr>
        <w:tblStyle w:val="33"/>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37" w:type="dxa"/>
            <w:vAlign w:val="center"/>
          </w:tcPr>
          <w:p>
            <w:pPr>
              <w:pStyle w:val="16"/>
              <w:jc w:val="center"/>
              <w:rPr>
                <w:rFonts w:ascii="新宋体" w:hAnsi="新宋体" w:eastAsia="新宋体"/>
                <w:b/>
                <w:bCs/>
                <w:sz w:val="21"/>
                <w:szCs w:val="21"/>
              </w:rPr>
            </w:pPr>
            <w:r>
              <w:rPr>
                <w:rFonts w:hint="eastAsia" w:ascii="新宋体" w:hAnsi="新宋体" w:eastAsia="新宋体"/>
                <w:b/>
                <w:bCs/>
                <w:sz w:val="21"/>
                <w:szCs w:val="21"/>
              </w:rPr>
              <w:t>序号</w:t>
            </w:r>
          </w:p>
        </w:tc>
        <w:tc>
          <w:tcPr>
            <w:tcW w:w="8463" w:type="dxa"/>
            <w:vAlign w:val="center"/>
          </w:tcPr>
          <w:p>
            <w:pPr>
              <w:pStyle w:val="16"/>
              <w:jc w:val="center"/>
              <w:rPr>
                <w:rFonts w:ascii="新宋体" w:hAnsi="新宋体" w:eastAsia="新宋体"/>
                <w:b/>
                <w:bCs/>
                <w:sz w:val="21"/>
                <w:szCs w:val="21"/>
              </w:rPr>
            </w:pPr>
            <w:r>
              <w:rPr>
                <w:rFonts w:hint="eastAsia" w:ascii="新宋体" w:hAnsi="新宋体" w:eastAsia="新宋体"/>
                <w:b/>
                <w:bCs/>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37" w:type="dxa"/>
            <w:vAlign w:val="center"/>
          </w:tcPr>
          <w:p>
            <w:pPr>
              <w:pStyle w:val="16"/>
              <w:spacing w:line="400" w:lineRule="exact"/>
              <w:jc w:val="center"/>
              <w:rPr>
                <w:rFonts w:ascii="新宋体" w:hAnsi="新宋体" w:eastAsia="新宋体"/>
                <w:sz w:val="21"/>
                <w:szCs w:val="21"/>
              </w:rPr>
            </w:pPr>
            <w:r>
              <w:rPr>
                <w:rFonts w:hint="eastAsia" w:ascii="新宋体" w:hAnsi="新宋体" w:eastAsia="新宋体"/>
                <w:sz w:val="21"/>
                <w:szCs w:val="21"/>
              </w:rPr>
              <w:t>1</w:t>
            </w:r>
          </w:p>
        </w:tc>
        <w:tc>
          <w:tcPr>
            <w:tcW w:w="8463" w:type="dxa"/>
            <w:vAlign w:val="center"/>
          </w:tcPr>
          <w:p>
            <w:pPr>
              <w:spacing w:line="440" w:lineRule="exact"/>
              <w:rPr>
                <w:rFonts w:ascii="宋体" w:hAnsi="宋体" w:cs="仿宋_GB2312"/>
                <w:kern w:val="0"/>
                <w:szCs w:val="21"/>
                <w:lang w:val="zh-CN"/>
              </w:rPr>
            </w:pPr>
            <w:r>
              <w:rPr>
                <w:rFonts w:hint="eastAsia" w:ascii="宋体" w:hAnsi="宋体" w:cs="仿宋_GB2312"/>
                <w:b/>
                <w:kern w:val="0"/>
                <w:szCs w:val="21"/>
                <w:lang w:val="zh-CN"/>
              </w:rPr>
              <w:t>项目名称：</w:t>
            </w:r>
            <w:r>
              <w:rPr>
                <w:rFonts w:hint="eastAsia" w:ascii="宋体" w:hAnsi="宋体" w:cs="仿宋_GB2312"/>
                <w:kern w:val="0"/>
                <w:szCs w:val="21"/>
                <w:lang w:val="zh-CN"/>
              </w:rPr>
              <w:t xml:space="preserve">嘉兴市本级巡游出租汽车智能终端技术改造项目 </w:t>
            </w:r>
          </w:p>
          <w:p>
            <w:pPr>
              <w:pStyle w:val="67"/>
              <w:widowControl w:val="0"/>
              <w:snapToGrid/>
              <w:spacing w:afterLines="0" w:line="320" w:lineRule="exact"/>
              <w:ind w:firstLine="0" w:firstLineChars="0"/>
              <w:rPr>
                <w:rFonts w:ascii="宋体" w:hAnsi="宋体" w:cs="仿宋_GB2312"/>
                <w:sz w:val="21"/>
                <w:szCs w:val="21"/>
                <w:lang w:val="zh-CN"/>
              </w:rPr>
            </w:pPr>
            <w:r>
              <w:rPr>
                <w:rFonts w:hint="eastAsia" w:ascii="宋体" w:hAnsi="宋体" w:cs="仿宋_GB2312"/>
                <w:b/>
                <w:sz w:val="21"/>
                <w:szCs w:val="21"/>
                <w:lang w:val="zh-CN"/>
              </w:rPr>
              <w:t>服务最终用户：</w:t>
            </w:r>
            <w:r>
              <w:rPr>
                <w:rFonts w:hint="eastAsia" w:ascii="宋体" w:hAnsi="宋体" w:cs="仿宋_GB2312"/>
                <w:sz w:val="21"/>
                <w:szCs w:val="21"/>
                <w:lang w:val="zh-CN"/>
              </w:rPr>
              <w:t xml:space="preserve">嘉兴市公路与运输管理中心 </w:t>
            </w:r>
          </w:p>
          <w:p>
            <w:pPr>
              <w:widowControl/>
              <w:spacing w:line="320" w:lineRule="exact"/>
              <w:jc w:val="left"/>
              <w:rPr>
                <w:rFonts w:ascii="宋体" w:hAnsi="宋体" w:cs="仿宋_GB2312"/>
                <w:b/>
                <w:kern w:val="0"/>
                <w:szCs w:val="21"/>
                <w:lang w:val="zh-CN"/>
              </w:rPr>
            </w:pPr>
            <w:r>
              <w:rPr>
                <w:rFonts w:hint="eastAsia" w:ascii="宋体" w:hAnsi="宋体" w:cs="仿宋_GB2312"/>
                <w:b/>
                <w:kern w:val="0"/>
                <w:szCs w:val="21"/>
                <w:lang w:val="zh-CN"/>
              </w:rPr>
              <w:t>服务内容及数量（内容、用途、数量、简要技术要求等）:</w:t>
            </w:r>
          </w:p>
          <w:p>
            <w:pPr>
              <w:widowControl/>
              <w:spacing w:line="320" w:lineRule="exact"/>
              <w:jc w:val="left"/>
              <w:rPr>
                <w:rFonts w:ascii="宋体" w:hAnsi="宋体" w:cs="仿宋_GB2312"/>
                <w:b/>
                <w:kern w:val="0"/>
                <w:szCs w:val="21"/>
                <w:lang w:val="zh-CN"/>
              </w:rPr>
            </w:pPr>
            <w:r>
              <w:rPr>
                <w:rFonts w:hint="eastAsia" w:ascii="宋体" w:hAnsi="宋体" w:cs="仿宋_GB2312"/>
                <w:kern w:val="0"/>
                <w:szCs w:val="21"/>
                <w:lang w:val="zh-CN"/>
              </w:rPr>
              <w:t>详见第二章招标项目需求。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37" w:type="dxa"/>
            <w:vAlign w:val="center"/>
          </w:tcPr>
          <w:p>
            <w:pPr>
              <w:pStyle w:val="16"/>
              <w:spacing w:line="400" w:lineRule="exact"/>
              <w:jc w:val="center"/>
              <w:rPr>
                <w:rFonts w:ascii="新宋体" w:hAnsi="新宋体" w:eastAsia="新宋体"/>
                <w:sz w:val="21"/>
                <w:szCs w:val="21"/>
              </w:rPr>
            </w:pPr>
            <w:r>
              <w:rPr>
                <w:rFonts w:hint="eastAsia" w:ascii="新宋体" w:hAnsi="新宋体" w:eastAsia="新宋体"/>
                <w:sz w:val="21"/>
                <w:szCs w:val="21"/>
              </w:rPr>
              <w:t>2</w:t>
            </w:r>
          </w:p>
        </w:tc>
        <w:tc>
          <w:tcPr>
            <w:tcW w:w="8463" w:type="dxa"/>
            <w:vAlign w:val="center"/>
          </w:tcPr>
          <w:p>
            <w:pPr>
              <w:pStyle w:val="67"/>
              <w:widowControl w:val="0"/>
              <w:snapToGrid/>
              <w:spacing w:afterLines="0" w:line="360" w:lineRule="auto"/>
              <w:ind w:firstLine="0" w:firstLineChars="0"/>
              <w:rPr>
                <w:rFonts w:ascii="宋体" w:hAnsi="宋体" w:cs="Arial"/>
                <w:sz w:val="21"/>
                <w:szCs w:val="21"/>
              </w:rPr>
            </w:pPr>
            <w:r>
              <w:rPr>
                <w:rFonts w:hint="eastAsia" w:hAnsi="宋体"/>
                <w:b/>
                <w:sz w:val="21"/>
                <w:szCs w:val="21"/>
              </w:rPr>
              <w:t>项目编号：</w:t>
            </w:r>
            <w:r>
              <w:rPr>
                <w:rFonts w:hint="eastAsia" w:ascii="宋体" w:hAnsi="宋体"/>
                <w:sz w:val="21"/>
                <w:szCs w:val="21"/>
              </w:rPr>
              <w:t>JXMYZFCG-2020-032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637" w:type="dxa"/>
            <w:vAlign w:val="center"/>
          </w:tcPr>
          <w:p>
            <w:pPr>
              <w:pStyle w:val="16"/>
              <w:spacing w:line="400" w:lineRule="exact"/>
              <w:jc w:val="center"/>
              <w:rPr>
                <w:rFonts w:ascii="新宋体" w:hAnsi="新宋体" w:eastAsia="新宋体"/>
                <w:sz w:val="21"/>
                <w:szCs w:val="21"/>
              </w:rPr>
            </w:pPr>
            <w:r>
              <w:rPr>
                <w:rFonts w:hint="eastAsia" w:ascii="新宋体" w:hAnsi="新宋体" w:eastAsia="新宋体"/>
                <w:sz w:val="21"/>
                <w:szCs w:val="21"/>
              </w:rPr>
              <w:t>3</w:t>
            </w:r>
          </w:p>
        </w:tc>
        <w:tc>
          <w:tcPr>
            <w:tcW w:w="8463" w:type="dxa"/>
            <w:vAlign w:val="center"/>
          </w:tcPr>
          <w:p>
            <w:pPr>
              <w:spacing w:line="360" w:lineRule="exact"/>
              <w:rPr>
                <w:rFonts w:ascii="宋体" w:hAnsi="宋体" w:cs="Arial"/>
                <w:b/>
                <w:bCs/>
                <w:szCs w:val="21"/>
              </w:rPr>
            </w:pPr>
            <w:r>
              <w:rPr>
                <w:rFonts w:hint="eastAsia" w:ascii="宋体" w:hAnsi="宋体" w:cs="Arial"/>
                <w:b/>
                <w:bCs/>
                <w:szCs w:val="21"/>
              </w:rPr>
              <w:t>合格投标人的资格要求：</w:t>
            </w:r>
          </w:p>
          <w:p>
            <w:pPr>
              <w:pStyle w:val="28"/>
              <w:spacing w:before="0" w:beforeAutospacing="0" w:after="0" w:afterAutospacing="0" w:line="400" w:lineRule="exact"/>
              <w:rPr>
                <w:sz w:val="21"/>
                <w:szCs w:val="21"/>
              </w:rPr>
            </w:pPr>
            <w:r>
              <w:rPr>
                <w:rFonts w:hint="eastAsia"/>
                <w:sz w:val="21"/>
                <w:szCs w:val="21"/>
              </w:rPr>
              <w:t>  1、满足《中华人民共和国政府采购法》第二十二条规定；</w:t>
            </w:r>
          </w:p>
          <w:p>
            <w:pPr>
              <w:pStyle w:val="28"/>
              <w:spacing w:before="0" w:beforeAutospacing="0" w:after="0" w:afterAutospacing="0" w:line="400" w:lineRule="exact"/>
              <w:rPr>
                <w:sz w:val="21"/>
                <w:szCs w:val="21"/>
              </w:rPr>
            </w:pPr>
            <w:r>
              <w:rPr>
                <w:rFonts w:hint="eastAsia"/>
                <w:sz w:val="21"/>
                <w:szCs w:val="21"/>
              </w:rPr>
              <w:t>  2、落实政府采购政策需满足的资格要求：（1）根据《政府采购促进中小企业发展暂行办法》（财库[2011]181号）的规定，投标人为小型或微型企业且所投产品为小型或微型企业生产的，其投标报价扣除6%后参与评审。 投标文件中须同时提供：《小微企业声明函》、“国家企业信用信息公示系统——小微企业名录”页面查询结果（查询时间为投标前一周内，并加盖单位公章）。(注：未提供以上材料的，均不给予价格扣除)（2）根据《关于政府采购支持监狱企业发展有关问题的通知》（财库[2014]68号）的规定，投标人如为监狱企业且所投产品为小型或微型企业生产的，其投标报价扣除6%后参与评审。 投标文件中须同时提供：投标人的省级以上监狱管理局、戒毒管理局（含新疆生产建设兵团）出具的属于监狱企业的证明文件（格式自拟），未提供完整证明材料的，投标报价不予扣减。（3）根据《财政部、民政部、中国残疾人联合会关于促进残疾人就业政府采购政策的通知》（财库〔2017〕141号）的规定，残疾人福利性单位视同小型、微型企业，享受评审中价格扣除政策。 投标文件中须提供：《残疾人福利性单位声明函》，未提供完整证明材料的，投标报价不予扣减。 </w:t>
            </w:r>
          </w:p>
          <w:p>
            <w:pPr>
              <w:pStyle w:val="28"/>
              <w:spacing w:before="0" w:beforeAutospacing="0" w:after="0" w:afterAutospacing="0" w:line="400" w:lineRule="exact"/>
              <w:rPr>
                <w:szCs w:val="21"/>
              </w:rPr>
            </w:pPr>
            <w:r>
              <w:rPr>
                <w:rFonts w:hint="eastAsia"/>
                <w:sz w:val="21"/>
                <w:szCs w:val="21"/>
              </w:rPr>
              <w:t>   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637" w:type="dxa"/>
            <w:vAlign w:val="center"/>
          </w:tcPr>
          <w:p>
            <w:pPr>
              <w:pStyle w:val="16"/>
              <w:spacing w:line="400" w:lineRule="exact"/>
              <w:jc w:val="center"/>
              <w:rPr>
                <w:rFonts w:ascii="新宋体" w:hAnsi="新宋体" w:eastAsia="新宋体"/>
                <w:sz w:val="21"/>
                <w:szCs w:val="21"/>
              </w:rPr>
            </w:pPr>
            <w:r>
              <w:rPr>
                <w:rFonts w:hint="eastAsia" w:ascii="新宋体" w:hAnsi="新宋体" w:eastAsia="新宋体"/>
                <w:sz w:val="21"/>
                <w:szCs w:val="21"/>
              </w:rPr>
              <w:t>4</w:t>
            </w:r>
          </w:p>
        </w:tc>
        <w:tc>
          <w:tcPr>
            <w:tcW w:w="8463" w:type="dxa"/>
            <w:vAlign w:val="center"/>
          </w:tcPr>
          <w:p>
            <w:pPr>
              <w:spacing w:line="400" w:lineRule="exact"/>
              <w:rPr>
                <w:rFonts w:ascii="宋体" w:hAnsi="宋体"/>
                <w:szCs w:val="21"/>
              </w:rPr>
            </w:pPr>
            <w:r>
              <w:rPr>
                <w:rFonts w:hint="eastAsia" w:hAnsi="宋体"/>
                <w:b/>
                <w:kern w:val="0"/>
                <w:szCs w:val="21"/>
              </w:rPr>
              <w:t>招标文件的澄清与修改：</w:t>
            </w:r>
            <w:r>
              <w:rPr>
                <w:rFonts w:hint="eastAsia"/>
              </w:rPr>
              <w:t>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zfcg.czt.zj.gov.cn/)上发布更正公告，请投标人在投标截止前及时关注。招标文件的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37" w:type="dxa"/>
            <w:vAlign w:val="center"/>
          </w:tcPr>
          <w:p>
            <w:pPr>
              <w:pStyle w:val="16"/>
              <w:spacing w:line="400" w:lineRule="exact"/>
              <w:jc w:val="center"/>
              <w:rPr>
                <w:rFonts w:ascii="新宋体" w:hAnsi="新宋体" w:eastAsia="新宋体"/>
                <w:sz w:val="21"/>
                <w:szCs w:val="21"/>
              </w:rPr>
            </w:pPr>
            <w:r>
              <w:rPr>
                <w:rFonts w:hint="eastAsia" w:ascii="新宋体" w:hAnsi="新宋体" w:eastAsia="新宋体"/>
                <w:sz w:val="21"/>
                <w:szCs w:val="21"/>
              </w:rPr>
              <w:t>5</w:t>
            </w:r>
          </w:p>
        </w:tc>
        <w:tc>
          <w:tcPr>
            <w:tcW w:w="8463" w:type="dxa"/>
            <w:vAlign w:val="center"/>
          </w:tcPr>
          <w:p>
            <w:pPr>
              <w:pStyle w:val="16"/>
              <w:spacing w:line="320" w:lineRule="exact"/>
              <w:rPr>
                <w:rFonts w:hAnsi="宋体" w:cs="Arial"/>
                <w:sz w:val="21"/>
                <w:szCs w:val="21"/>
              </w:rPr>
            </w:pPr>
            <w:r>
              <w:rPr>
                <w:rFonts w:hint="eastAsia" w:ascii="Times New Roman" w:hAnsi="宋体"/>
                <w:b/>
                <w:kern w:val="0"/>
                <w:sz w:val="21"/>
                <w:szCs w:val="21"/>
              </w:rPr>
              <w:t>投标保证金：</w:t>
            </w:r>
            <w:r>
              <w:rPr>
                <w:rFonts w:hint="eastAsia" w:hAnsi="宋体"/>
                <w:b/>
                <w:sz w:val="21"/>
                <w:szCs w:val="21"/>
              </w:rPr>
              <w:t>无</w:t>
            </w:r>
            <w:r>
              <w:rPr>
                <w:rFonts w:hint="eastAsia" w:hAnsi="宋体" w:cs="Arial"/>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37" w:type="dxa"/>
            <w:vAlign w:val="center"/>
          </w:tcPr>
          <w:p>
            <w:pPr>
              <w:pStyle w:val="16"/>
              <w:spacing w:line="400" w:lineRule="exact"/>
              <w:jc w:val="center"/>
              <w:rPr>
                <w:rFonts w:ascii="新宋体" w:hAnsi="新宋体" w:eastAsia="新宋体"/>
                <w:sz w:val="21"/>
                <w:szCs w:val="21"/>
              </w:rPr>
            </w:pPr>
            <w:r>
              <w:rPr>
                <w:rFonts w:hint="eastAsia" w:ascii="新宋体" w:hAnsi="新宋体" w:eastAsia="新宋体"/>
                <w:sz w:val="21"/>
                <w:szCs w:val="21"/>
              </w:rPr>
              <w:t>6</w:t>
            </w:r>
          </w:p>
        </w:tc>
        <w:tc>
          <w:tcPr>
            <w:tcW w:w="8463" w:type="dxa"/>
            <w:vAlign w:val="center"/>
          </w:tcPr>
          <w:p>
            <w:pPr>
              <w:pStyle w:val="16"/>
              <w:spacing w:line="320" w:lineRule="exact"/>
              <w:rPr>
                <w:rFonts w:ascii="Times New Roman" w:hAnsi="宋体"/>
                <w:b/>
                <w:kern w:val="0"/>
                <w:sz w:val="21"/>
                <w:szCs w:val="21"/>
              </w:rPr>
            </w:pPr>
            <w:r>
              <w:rPr>
                <w:rFonts w:hint="eastAsia" w:ascii="Times New Roman" w:hAnsi="宋体"/>
                <w:b/>
                <w:kern w:val="0"/>
                <w:sz w:val="21"/>
                <w:szCs w:val="21"/>
              </w:rPr>
              <w:t>履约保证金：</w:t>
            </w:r>
            <w:r>
              <w:rPr>
                <w:rFonts w:hint="eastAsia" w:hAnsi="宋体"/>
                <w:sz w:val="21"/>
                <w:szCs w:val="21"/>
              </w:rPr>
              <w:t>交纳合同总金额5％作为履约保证金。履约保证金在中标方按合同约定交货验收合格后自行转为货物的质保金，在质保期内中标方提供的货物质量和服务符合合同约定，经考核合格，质保期满后该款无息退还；质保期考核标准在项目终验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37" w:type="dxa"/>
            <w:vAlign w:val="center"/>
          </w:tcPr>
          <w:p>
            <w:pPr>
              <w:pStyle w:val="16"/>
              <w:spacing w:line="400" w:lineRule="exact"/>
              <w:jc w:val="center"/>
              <w:rPr>
                <w:rFonts w:ascii="新宋体" w:hAnsi="新宋体" w:eastAsia="新宋体"/>
                <w:sz w:val="21"/>
                <w:szCs w:val="21"/>
              </w:rPr>
            </w:pPr>
            <w:r>
              <w:rPr>
                <w:rFonts w:hint="eastAsia" w:ascii="新宋体" w:hAnsi="新宋体" w:eastAsia="新宋体"/>
                <w:sz w:val="21"/>
                <w:szCs w:val="21"/>
              </w:rPr>
              <w:t>7</w:t>
            </w:r>
          </w:p>
        </w:tc>
        <w:tc>
          <w:tcPr>
            <w:tcW w:w="8463" w:type="dxa"/>
            <w:vAlign w:val="center"/>
          </w:tcPr>
          <w:p>
            <w:pPr>
              <w:pStyle w:val="16"/>
              <w:spacing w:line="320" w:lineRule="exact"/>
              <w:rPr>
                <w:rFonts w:ascii="Times New Roman" w:hAnsi="宋体"/>
                <w:b/>
                <w:kern w:val="0"/>
                <w:sz w:val="21"/>
                <w:szCs w:val="21"/>
              </w:rPr>
            </w:pPr>
            <w:r>
              <w:rPr>
                <w:rFonts w:hint="eastAsia"/>
                <w:b/>
                <w:sz w:val="21"/>
                <w:szCs w:val="21"/>
              </w:rPr>
              <w:t>最高限价：10392620元，高于最高限价作无效标处理。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37" w:type="dxa"/>
            <w:vAlign w:val="center"/>
          </w:tcPr>
          <w:p>
            <w:pPr>
              <w:pStyle w:val="16"/>
              <w:spacing w:line="400" w:lineRule="exact"/>
              <w:jc w:val="center"/>
              <w:rPr>
                <w:rFonts w:ascii="新宋体" w:hAnsi="新宋体" w:eastAsia="新宋体"/>
                <w:sz w:val="21"/>
                <w:szCs w:val="21"/>
              </w:rPr>
            </w:pPr>
            <w:r>
              <w:rPr>
                <w:rFonts w:hint="eastAsia" w:ascii="新宋体" w:hAnsi="新宋体" w:eastAsia="新宋体"/>
                <w:sz w:val="21"/>
                <w:szCs w:val="21"/>
              </w:rPr>
              <w:t>8</w:t>
            </w:r>
          </w:p>
        </w:tc>
        <w:tc>
          <w:tcPr>
            <w:tcW w:w="8463" w:type="dxa"/>
            <w:vAlign w:val="center"/>
          </w:tcPr>
          <w:p>
            <w:pPr>
              <w:pStyle w:val="16"/>
              <w:spacing w:line="320" w:lineRule="exact"/>
              <w:rPr>
                <w:rFonts w:ascii="新宋体" w:hAnsi="新宋体" w:eastAsia="新宋体"/>
                <w:sz w:val="21"/>
                <w:szCs w:val="21"/>
              </w:rPr>
            </w:pPr>
            <w:r>
              <w:rPr>
                <w:rFonts w:hint="eastAsia" w:ascii="Times New Roman" w:hAnsi="宋体"/>
                <w:b/>
                <w:kern w:val="0"/>
                <w:sz w:val="21"/>
                <w:szCs w:val="21"/>
              </w:rPr>
              <w:t>合同名称：</w:t>
            </w:r>
            <w:r>
              <w:rPr>
                <w:rFonts w:hint="eastAsia" w:hAnsi="宋体"/>
                <w:sz w:val="21"/>
                <w:szCs w:val="21"/>
              </w:rPr>
              <w:t>《</w:t>
            </w:r>
            <w:r>
              <w:rPr>
                <w:rFonts w:hint="eastAsia" w:hAnsi="宋体" w:cs="仿宋_GB2312"/>
                <w:sz w:val="21"/>
                <w:szCs w:val="21"/>
                <w:lang w:val="zh-CN"/>
              </w:rPr>
              <w:t>嘉兴市本级巡游出租汽车智能终端技术改造项目</w:t>
            </w:r>
            <w:r>
              <w:rPr>
                <w:rFonts w:hint="eastAsia" w:hAnsi="宋体"/>
                <w:sz w:val="21"/>
                <w:szCs w:val="21"/>
              </w:rPr>
              <w:t>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37" w:type="dxa"/>
            <w:vAlign w:val="center"/>
          </w:tcPr>
          <w:p>
            <w:pPr>
              <w:pStyle w:val="16"/>
              <w:spacing w:line="400" w:lineRule="exact"/>
              <w:jc w:val="center"/>
              <w:rPr>
                <w:rFonts w:ascii="新宋体" w:hAnsi="新宋体" w:eastAsia="新宋体"/>
                <w:sz w:val="21"/>
                <w:szCs w:val="21"/>
              </w:rPr>
            </w:pPr>
            <w:r>
              <w:rPr>
                <w:rFonts w:hint="eastAsia" w:ascii="新宋体" w:hAnsi="新宋体" w:eastAsia="新宋体"/>
                <w:sz w:val="21"/>
                <w:szCs w:val="21"/>
              </w:rPr>
              <w:t>9</w:t>
            </w:r>
          </w:p>
        </w:tc>
        <w:tc>
          <w:tcPr>
            <w:tcW w:w="8463" w:type="dxa"/>
            <w:vAlign w:val="center"/>
          </w:tcPr>
          <w:p>
            <w:pPr>
              <w:pStyle w:val="16"/>
              <w:spacing w:line="320" w:lineRule="exact"/>
              <w:rPr>
                <w:rFonts w:ascii="新宋体" w:hAnsi="新宋体" w:eastAsia="新宋体"/>
                <w:sz w:val="21"/>
                <w:szCs w:val="21"/>
              </w:rPr>
            </w:pPr>
            <w:r>
              <w:rPr>
                <w:rFonts w:hint="eastAsia" w:hAnsi="宋体"/>
                <w:b/>
                <w:sz w:val="21"/>
                <w:szCs w:val="21"/>
              </w:rPr>
              <w:t>投标有效期：</w:t>
            </w:r>
            <w:r>
              <w:rPr>
                <w:rFonts w:hint="eastAsia" w:hAnsi="宋体"/>
                <w:sz w:val="21"/>
                <w:szCs w:val="21"/>
              </w:rPr>
              <w:t>自投标截止日起90个日历天。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37" w:type="dxa"/>
            <w:vAlign w:val="center"/>
          </w:tcPr>
          <w:p>
            <w:pPr>
              <w:pStyle w:val="16"/>
              <w:spacing w:line="400" w:lineRule="exact"/>
              <w:jc w:val="center"/>
              <w:rPr>
                <w:rFonts w:ascii="新宋体" w:hAnsi="新宋体" w:eastAsia="新宋体"/>
                <w:sz w:val="21"/>
                <w:szCs w:val="21"/>
              </w:rPr>
            </w:pPr>
            <w:r>
              <w:rPr>
                <w:rFonts w:hint="eastAsia" w:ascii="新宋体" w:hAnsi="新宋体" w:eastAsia="新宋体"/>
                <w:sz w:val="21"/>
                <w:szCs w:val="21"/>
              </w:rPr>
              <w:t>10</w:t>
            </w:r>
          </w:p>
        </w:tc>
        <w:tc>
          <w:tcPr>
            <w:tcW w:w="8463" w:type="dxa"/>
            <w:vAlign w:val="center"/>
          </w:tcPr>
          <w:p>
            <w:pPr>
              <w:autoSpaceDE w:val="0"/>
              <w:autoSpaceDN w:val="0"/>
              <w:snapToGrid w:val="0"/>
              <w:spacing w:line="360" w:lineRule="exact"/>
              <w:jc w:val="left"/>
              <w:textAlignment w:val="bottom"/>
            </w:pPr>
            <w:r>
              <w:rPr>
                <w:rFonts w:hint="eastAsia"/>
              </w:rPr>
              <w:t>投标文件组成：</w:t>
            </w:r>
            <w:r>
              <w:rPr>
                <w:rFonts w:hint="eastAsia"/>
                <w:b/>
                <w:bCs/>
              </w:rPr>
              <w:t>电子投标文件由资信技术文件及投标报价文件两部份组成</w:t>
            </w:r>
            <w:r>
              <w:rPr>
                <w:rFonts w:hint="eastAsia"/>
              </w:rPr>
              <w:t>。其中电子投标文件中所须加盖公章部分均采用CA签章。</w:t>
            </w:r>
          </w:p>
          <w:p>
            <w:pPr>
              <w:autoSpaceDE w:val="0"/>
              <w:autoSpaceDN w:val="0"/>
              <w:snapToGrid w:val="0"/>
              <w:spacing w:line="360" w:lineRule="exact"/>
              <w:jc w:val="left"/>
              <w:textAlignment w:val="bottom"/>
            </w:pPr>
            <w:r>
              <w:rPr>
                <w:rFonts w:hint="eastAsia" w:ascii="宋体" w:hAnsi="宋体" w:cs="宋体"/>
                <w:szCs w:val="21"/>
              </w:rPr>
              <w:t>注：电子投标文件，按政采云平台供应商项目采购-电子招投标操作指南（网址：</w:t>
            </w:r>
            <w:r>
              <w:fldChar w:fldCharType="begin"/>
            </w:r>
            <w:r>
              <w:instrText xml:space="preserve"> HYPERLINK "https://help.zcygov.cn/web/site_2/2018/12-28/2573.html" </w:instrText>
            </w:r>
            <w:r>
              <w:fldChar w:fldCharType="separate"/>
            </w:r>
            <w:r>
              <w:rPr>
                <w:rFonts w:hint="eastAsia" w:ascii="宋体" w:hAnsi="宋体" w:cs="宋体"/>
                <w:szCs w:val="21"/>
              </w:rPr>
              <w:t>https://help.zc</w:t>
            </w:r>
            <w:bookmarkStart w:id="23" w:name="_Hlt18752912"/>
            <w:r>
              <w:rPr>
                <w:rFonts w:hint="eastAsia" w:ascii="宋体" w:hAnsi="宋体" w:cs="宋体"/>
                <w:szCs w:val="21"/>
              </w:rPr>
              <w:t>y</w:t>
            </w:r>
            <w:bookmarkEnd w:id="23"/>
            <w:r>
              <w:rPr>
                <w:rFonts w:hint="eastAsia" w:ascii="宋体" w:hAnsi="宋体" w:cs="宋体"/>
                <w:szCs w:val="21"/>
              </w:rPr>
              <w:t>gov.cn/web/site_2/2018/12-28/2573.html</w:t>
            </w:r>
            <w:r>
              <w:rPr>
                <w:rFonts w:hint="eastAsia" w:ascii="宋体" w:hAnsi="宋体" w:cs="宋体"/>
                <w:szCs w:val="21"/>
              </w:rPr>
              <w:fldChar w:fldCharType="end"/>
            </w:r>
            <w:r>
              <w:rPr>
                <w:rFonts w:hint="eastAsia" w:ascii="宋体" w:hAnsi="宋体" w:cs="宋体"/>
                <w:szCs w:val="21"/>
              </w:rPr>
              <w:t>）及本招标文件要求递交。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7" w:type="dxa"/>
            <w:vAlign w:val="center"/>
          </w:tcPr>
          <w:p>
            <w:pPr>
              <w:pStyle w:val="8"/>
              <w:spacing w:line="400" w:lineRule="exact"/>
              <w:ind w:firstLine="0"/>
              <w:jc w:val="center"/>
              <w:rPr>
                <w:rFonts w:ascii="新宋体" w:hAnsi="新宋体" w:eastAsia="新宋体"/>
                <w:szCs w:val="21"/>
              </w:rPr>
            </w:pPr>
            <w:r>
              <w:rPr>
                <w:rFonts w:hint="eastAsia" w:ascii="新宋体" w:hAnsi="新宋体" w:eastAsia="新宋体"/>
                <w:szCs w:val="21"/>
              </w:rPr>
              <w:t>11</w:t>
            </w:r>
          </w:p>
        </w:tc>
        <w:tc>
          <w:tcPr>
            <w:tcW w:w="8463" w:type="dxa"/>
            <w:vAlign w:val="center"/>
          </w:tcPr>
          <w:p>
            <w:pPr>
              <w:spacing w:line="400" w:lineRule="exact"/>
              <w:jc w:val="left"/>
            </w:pPr>
            <w:r>
              <w:rPr>
                <w:rFonts w:hint="eastAsia"/>
              </w:rPr>
              <w:t>开标时间：2020年11月  日9时30分</w:t>
            </w:r>
          </w:p>
          <w:p>
            <w:pPr>
              <w:spacing w:line="400" w:lineRule="exact"/>
              <w:jc w:val="left"/>
            </w:pPr>
            <w:r>
              <w:rPr>
                <w:rFonts w:hint="eastAsia"/>
              </w:rPr>
              <w:t>开标地点：</w:t>
            </w:r>
            <w:r>
              <w:rPr>
                <w:rFonts w:hint="eastAsia" w:hAnsi="宋体" w:cs="宋体"/>
                <w:szCs w:val="21"/>
              </w:rPr>
              <w:t>嘉兴市公共资源交易中心开标室（嘉兴市广场路350号蒋水港桥西侧）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37" w:type="dxa"/>
            <w:vAlign w:val="center"/>
          </w:tcPr>
          <w:p>
            <w:pPr>
              <w:pStyle w:val="8"/>
              <w:spacing w:line="400" w:lineRule="exact"/>
              <w:ind w:firstLine="0"/>
              <w:jc w:val="center"/>
              <w:rPr>
                <w:rFonts w:ascii="新宋体" w:hAnsi="新宋体" w:eastAsia="新宋体"/>
                <w:szCs w:val="21"/>
              </w:rPr>
            </w:pPr>
            <w:r>
              <w:rPr>
                <w:rFonts w:hint="eastAsia" w:ascii="新宋体" w:hAnsi="新宋体" w:eastAsia="新宋体"/>
                <w:szCs w:val="21"/>
              </w:rPr>
              <w:t>13</w:t>
            </w:r>
          </w:p>
        </w:tc>
        <w:tc>
          <w:tcPr>
            <w:tcW w:w="8463" w:type="dxa"/>
            <w:vAlign w:val="center"/>
          </w:tcPr>
          <w:p>
            <w:pPr>
              <w:spacing w:beforeLines="50" w:afterLines="50" w:line="260" w:lineRule="exact"/>
              <w:jc w:val="left"/>
              <w:rPr>
                <w:rFonts w:ascii="宋体" w:hAnsi="宋体" w:cs="宋体"/>
                <w:b/>
                <w:szCs w:val="21"/>
              </w:rPr>
            </w:pPr>
            <w:r>
              <w:rPr>
                <w:rFonts w:hint="eastAsia" w:ascii="宋体" w:hAnsi="宋体" w:cs="宋体"/>
                <w:bCs/>
                <w:szCs w:val="21"/>
              </w:rPr>
              <w:t>评标办法及评分标准：综合评分法，详见第四章《评标办法及评分标准》。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37" w:type="dxa"/>
            <w:vAlign w:val="center"/>
          </w:tcPr>
          <w:p>
            <w:pPr>
              <w:pStyle w:val="8"/>
              <w:spacing w:line="400" w:lineRule="exact"/>
              <w:ind w:firstLine="0"/>
              <w:jc w:val="center"/>
              <w:rPr>
                <w:rFonts w:ascii="新宋体" w:hAnsi="新宋体" w:eastAsia="新宋体"/>
                <w:szCs w:val="21"/>
              </w:rPr>
            </w:pPr>
            <w:r>
              <w:rPr>
                <w:rFonts w:hint="eastAsia" w:ascii="新宋体" w:hAnsi="新宋体" w:eastAsia="新宋体"/>
                <w:szCs w:val="21"/>
              </w:rPr>
              <w:t>14</w:t>
            </w:r>
          </w:p>
        </w:tc>
        <w:tc>
          <w:tcPr>
            <w:tcW w:w="8463" w:type="dxa"/>
            <w:vAlign w:val="center"/>
          </w:tcPr>
          <w:p>
            <w:pPr>
              <w:spacing w:beforeLines="50" w:afterLines="50" w:line="260" w:lineRule="exact"/>
              <w:jc w:val="left"/>
              <w:rPr>
                <w:rFonts w:ascii="宋体" w:hAnsi="宋体" w:cs="宋体"/>
                <w:bCs/>
                <w:szCs w:val="21"/>
              </w:rPr>
            </w:pPr>
            <w:r>
              <w:rPr>
                <w:rFonts w:hint="eastAsia" w:ascii="宋体" w:hAnsi="宋体" w:cs="宋体"/>
                <w:szCs w:val="21"/>
              </w:rPr>
              <w:t>评标结果公告：评标结束后2个工作日内，评标结果公告于浙江政府采购网(http://zfcg.czt.zj.gov.cn/)。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7" w:type="dxa"/>
            <w:vAlign w:val="center"/>
          </w:tcPr>
          <w:p>
            <w:pPr>
              <w:pStyle w:val="8"/>
              <w:spacing w:line="400" w:lineRule="exact"/>
              <w:ind w:firstLine="0"/>
              <w:jc w:val="center"/>
              <w:rPr>
                <w:rFonts w:ascii="新宋体" w:hAnsi="新宋体" w:eastAsia="新宋体"/>
                <w:szCs w:val="21"/>
              </w:rPr>
            </w:pPr>
            <w:r>
              <w:rPr>
                <w:rFonts w:hint="eastAsia" w:ascii="新宋体" w:hAnsi="新宋体" w:eastAsia="新宋体"/>
                <w:szCs w:val="21"/>
              </w:rPr>
              <w:t>15</w:t>
            </w:r>
          </w:p>
        </w:tc>
        <w:tc>
          <w:tcPr>
            <w:tcW w:w="8463" w:type="dxa"/>
            <w:vAlign w:val="center"/>
          </w:tcPr>
          <w:p>
            <w:pPr>
              <w:pStyle w:val="16"/>
              <w:spacing w:line="320" w:lineRule="exact"/>
              <w:jc w:val="left"/>
              <w:rPr>
                <w:rFonts w:hAnsi="宋体" w:cs="宋体"/>
                <w:b/>
                <w:sz w:val="21"/>
                <w:szCs w:val="21"/>
              </w:rPr>
            </w:pPr>
            <w:r>
              <w:rPr>
                <w:rFonts w:hint="eastAsia" w:hAnsi="宋体" w:cs="宋体"/>
                <w:sz w:val="21"/>
                <w:szCs w:val="21"/>
              </w:rPr>
              <w:t>中标公告及中标通知书：中标、成交供应商确定之日起2个工作日内，中标公告发布于浙江政府采购网，公告期限为1个工作日。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37" w:type="dxa"/>
            <w:vAlign w:val="center"/>
          </w:tcPr>
          <w:p>
            <w:pPr>
              <w:pStyle w:val="8"/>
              <w:spacing w:line="400" w:lineRule="exact"/>
              <w:ind w:firstLine="0"/>
              <w:jc w:val="center"/>
              <w:rPr>
                <w:rFonts w:ascii="新宋体" w:hAnsi="新宋体" w:eastAsia="新宋体"/>
                <w:szCs w:val="21"/>
              </w:rPr>
            </w:pPr>
            <w:r>
              <w:rPr>
                <w:rFonts w:hint="eastAsia" w:ascii="新宋体" w:hAnsi="新宋体" w:eastAsia="新宋体"/>
                <w:szCs w:val="21"/>
              </w:rPr>
              <w:t>16</w:t>
            </w:r>
          </w:p>
        </w:tc>
        <w:tc>
          <w:tcPr>
            <w:tcW w:w="8463" w:type="dxa"/>
            <w:vAlign w:val="center"/>
          </w:tcPr>
          <w:p>
            <w:pPr>
              <w:spacing w:line="320" w:lineRule="exact"/>
              <w:jc w:val="left"/>
              <w:rPr>
                <w:rFonts w:ascii="宋体" w:hAnsi="宋体" w:cs="宋体"/>
                <w:b/>
                <w:szCs w:val="21"/>
              </w:rPr>
            </w:pPr>
            <w:r>
              <w:rPr>
                <w:rFonts w:hint="eastAsia" w:ascii="宋体" w:hAnsi="宋体" w:cs="宋体"/>
                <w:szCs w:val="21"/>
              </w:rPr>
              <w:t>合同公告：本项目政府采购合同将于签订之日起2个工作日内发布于上述媒体，但政府采购合同中涉及国家秘密、商业秘密的内容除外。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37" w:type="dxa"/>
            <w:vAlign w:val="center"/>
          </w:tcPr>
          <w:p>
            <w:pPr>
              <w:pStyle w:val="8"/>
              <w:spacing w:line="400" w:lineRule="exact"/>
              <w:ind w:firstLine="0"/>
              <w:jc w:val="center"/>
              <w:rPr>
                <w:rFonts w:ascii="新宋体" w:hAnsi="新宋体" w:eastAsia="新宋体"/>
                <w:szCs w:val="21"/>
              </w:rPr>
            </w:pPr>
            <w:r>
              <w:rPr>
                <w:rFonts w:hint="eastAsia" w:ascii="新宋体" w:hAnsi="新宋体" w:eastAsia="新宋体"/>
                <w:szCs w:val="21"/>
              </w:rPr>
              <w:t>17</w:t>
            </w:r>
          </w:p>
        </w:tc>
        <w:tc>
          <w:tcPr>
            <w:tcW w:w="8463" w:type="dxa"/>
            <w:vAlign w:val="center"/>
          </w:tcPr>
          <w:p>
            <w:pPr>
              <w:spacing w:line="320" w:lineRule="exact"/>
              <w:jc w:val="left"/>
              <w:rPr>
                <w:rFonts w:ascii="宋体" w:hAnsi="宋体" w:cs="宋体"/>
                <w:szCs w:val="21"/>
              </w:rPr>
            </w:pPr>
            <w:r>
              <w:rPr>
                <w:rFonts w:hint="eastAsia" w:ascii="宋体" w:hAnsi="宋体" w:cs="宋体"/>
                <w:szCs w:val="21"/>
              </w:rPr>
              <w:t>签订合同时间：中标通知书发出后30日内。建议采购人在采购结果质疑期（自采购结果公告之日起七个工作日）后与中标人签订政府采购合同。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37" w:type="dxa"/>
            <w:vAlign w:val="center"/>
          </w:tcPr>
          <w:p>
            <w:pPr>
              <w:pStyle w:val="8"/>
              <w:spacing w:line="400" w:lineRule="exact"/>
              <w:ind w:firstLine="0"/>
              <w:jc w:val="center"/>
              <w:rPr>
                <w:rFonts w:ascii="新宋体" w:hAnsi="新宋体" w:eastAsia="新宋体"/>
                <w:szCs w:val="21"/>
              </w:rPr>
            </w:pPr>
            <w:r>
              <w:rPr>
                <w:rFonts w:hint="eastAsia" w:ascii="新宋体" w:hAnsi="新宋体" w:eastAsia="新宋体"/>
                <w:szCs w:val="21"/>
              </w:rPr>
              <w:t>18</w:t>
            </w:r>
          </w:p>
        </w:tc>
        <w:tc>
          <w:tcPr>
            <w:tcW w:w="8463" w:type="dxa"/>
            <w:vAlign w:val="center"/>
          </w:tcPr>
          <w:p>
            <w:pPr>
              <w:spacing w:beforeLines="50" w:afterLines="50"/>
              <w:jc w:val="left"/>
              <w:rPr>
                <w:rFonts w:ascii="宋体" w:hAnsi="宋体" w:cs="宋体"/>
                <w:szCs w:val="21"/>
              </w:rPr>
            </w:pPr>
            <w:r>
              <w:rPr>
                <w:rFonts w:hint="eastAsia" w:ascii="宋体" w:hAnsi="宋体" w:cs="宋体"/>
                <w:szCs w:val="21"/>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7" w:hRule="atLeast"/>
          <w:jc w:val="center"/>
        </w:trPr>
        <w:tc>
          <w:tcPr>
            <w:tcW w:w="637" w:type="dxa"/>
            <w:vAlign w:val="center"/>
          </w:tcPr>
          <w:p>
            <w:pPr>
              <w:pStyle w:val="8"/>
              <w:spacing w:line="400" w:lineRule="exact"/>
              <w:ind w:firstLine="0"/>
              <w:jc w:val="center"/>
              <w:rPr>
                <w:rFonts w:ascii="新宋体" w:hAnsi="新宋体" w:eastAsia="新宋体"/>
                <w:szCs w:val="21"/>
              </w:rPr>
            </w:pPr>
            <w:r>
              <w:rPr>
                <w:rFonts w:hint="eastAsia" w:ascii="新宋体" w:hAnsi="新宋体" w:eastAsia="新宋体"/>
                <w:szCs w:val="21"/>
              </w:rPr>
              <w:t>19</w:t>
            </w:r>
          </w:p>
        </w:tc>
        <w:tc>
          <w:tcPr>
            <w:tcW w:w="8463" w:type="dxa"/>
            <w:vAlign w:val="center"/>
          </w:tcPr>
          <w:p>
            <w:pPr>
              <w:pStyle w:val="13"/>
              <w:spacing w:line="360" w:lineRule="exact"/>
              <w:ind w:firstLine="0"/>
              <w:jc w:val="left"/>
              <w:rPr>
                <w:rFonts w:hAnsi="宋体" w:cs="宋体"/>
                <w:spacing w:val="0"/>
                <w:sz w:val="21"/>
                <w:szCs w:val="21"/>
              </w:rPr>
            </w:pPr>
            <w:r>
              <w:rPr>
                <w:rFonts w:hint="eastAsia" w:hAnsi="宋体" w:cs="宋体"/>
                <w:spacing w:val="0"/>
                <w:sz w:val="21"/>
                <w:szCs w:val="21"/>
              </w:rPr>
              <w:t>1.根据财库〔2011〕181号的相关规定，在评审时对小型和微型企业的投标报价给予6%的扣除，取扣除后的价格作为最终投标报价（此最终投标报价仅作为价格分计算）。属于小型和微型企业的，投标文件中必须同时提供《中小企业声明函》（模板见第六章）、“国家企业信用信息公示系统——小微企业名录”页面查询结果http://xwqy.gsxt.gov.cn/mirco/micro_lib（查询时间为投标前一周内，并加盖单位公章）。(注：未提供以上材料的，均不给予价格扣除）</w:t>
            </w:r>
          </w:p>
          <w:p>
            <w:pPr>
              <w:pStyle w:val="13"/>
              <w:spacing w:line="360" w:lineRule="exact"/>
              <w:ind w:firstLine="0"/>
              <w:jc w:val="left"/>
              <w:rPr>
                <w:rFonts w:hAnsi="宋体" w:cs="宋体"/>
                <w:spacing w:val="0"/>
                <w:sz w:val="21"/>
                <w:szCs w:val="21"/>
              </w:rPr>
            </w:pPr>
            <w:r>
              <w:rPr>
                <w:rFonts w:hint="eastAsia" w:hAnsi="宋体" w:cs="宋体"/>
                <w:spacing w:val="0"/>
                <w:sz w:val="21"/>
                <w:szCs w:val="21"/>
              </w:rPr>
              <w:t>2.根据财库〔2017〕141号文件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3"/>
              <w:spacing w:line="360" w:lineRule="exact"/>
              <w:ind w:firstLine="0"/>
              <w:jc w:val="left"/>
              <w:rPr>
                <w:rFonts w:hAnsi="宋体" w:cs="宋体"/>
                <w:spacing w:val="0"/>
                <w:sz w:val="21"/>
                <w:szCs w:val="21"/>
              </w:rPr>
            </w:pPr>
            <w:r>
              <w:rPr>
                <w:rFonts w:hint="eastAsia" w:hAnsi="宋体" w:cs="宋体"/>
                <w:spacing w:val="0"/>
                <w:sz w:val="21"/>
                <w:szCs w:val="21"/>
              </w:rPr>
              <w:t>3.根据财库[2014]68号 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37" w:type="dxa"/>
            <w:vAlign w:val="center"/>
          </w:tcPr>
          <w:p>
            <w:pPr>
              <w:pStyle w:val="8"/>
              <w:spacing w:line="400" w:lineRule="exact"/>
              <w:ind w:firstLine="0"/>
              <w:jc w:val="center"/>
              <w:rPr>
                <w:rFonts w:ascii="新宋体" w:hAnsi="新宋体" w:eastAsia="新宋体"/>
                <w:szCs w:val="21"/>
              </w:rPr>
            </w:pPr>
            <w:r>
              <w:rPr>
                <w:rFonts w:hint="eastAsia" w:ascii="新宋体" w:hAnsi="新宋体" w:eastAsia="新宋体"/>
                <w:szCs w:val="21"/>
              </w:rPr>
              <w:t>20</w:t>
            </w:r>
          </w:p>
        </w:tc>
        <w:tc>
          <w:tcPr>
            <w:tcW w:w="8463" w:type="dxa"/>
            <w:vAlign w:val="center"/>
          </w:tcPr>
          <w:p>
            <w:pPr>
              <w:autoSpaceDE w:val="0"/>
              <w:autoSpaceDN w:val="0"/>
              <w:snapToGrid w:val="0"/>
              <w:spacing w:line="360" w:lineRule="auto"/>
              <w:textAlignment w:val="bottom"/>
              <w:rPr>
                <w:rFonts w:ascii="宋体" w:hAnsi="宋体"/>
                <w:bCs/>
                <w:spacing w:val="-4"/>
                <w:szCs w:val="21"/>
              </w:rPr>
            </w:pPr>
            <w:r>
              <w:rPr>
                <w:rFonts w:hint="eastAsia" w:ascii="宋体" w:hAnsi="宋体"/>
                <w:bCs/>
                <w:spacing w:val="-4"/>
                <w:szCs w:val="21"/>
              </w:rPr>
              <w:t>政府采购节能环保产品：投标产品符合财库〔2019〕9号《关于调整优化节能产品、环境标志产品政府采购执行机制的通知》条件。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37" w:type="dxa"/>
            <w:vAlign w:val="center"/>
          </w:tcPr>
          <w:p>
            <w:pPr>
              <w:pStyle w:val="8"/>
              <w:spacing w:line="400" w:lineRule="exact"/>
              <w:ind w:firstLine="0"/>
              <w:jc w:val="center"/>
              <w:rPr>
                <w:rFonts w:ascii="新宋体" w:hAnsi="新宋体" w:eastAsia="新宋体"/>
                <w:szCs w:val="21"/>
              </w:rPr>
            </w:pPr>
            <w:r>
              <w:rPr>
                <w:rFonts w:hint="eastAsia" w:ascii="新宋体" w:hAnsi="新宋体" w:eastAsia="新宋体"/>
                <w:szCs w:val="21"/>
              </w:rPr>
              <w:t>21</w:t>
            </w:r>
          </w:p>
        </w:tc>
        <w:tc>
          <w:tcPr>
            <w:tcW w:w="8463" w:type="dxa"/>
            <w:vAlign w:val="center"/>
          </w:tcPr>
          <w:p>
            <w:pPr>
              <w:pStyle w:val="32"/>
              <w:spacing w:line="360" w:lineRule="exact"/>
              <w:ind w:left="0" w:leftChars="0" w:firstLine="0" w:firstLineChars="0"/>
              <w:jc w:val="left"/>
              <w:rPr>
                <w:rFonts w:ascii="宋体" w:hAnsi="宋体" w:cs="宋体"/>
                <w:kern w:val="0"/>
                <w:sz w:val="21"/>
                <w:szCs w:val="21"/>
              </w:rPr>
            </w:pPr>
            <w:r>
              <w:rPr>
                <w:rFonts w:hint="eastAsia" w:ascii="宋体" w:hAnsi="宋体" w:cs="宋体"/>
                <w:b/>
                <w:sz w:val="21"/>
                <w:szCs w:val="21"/>
              </w:rPr>
              <w:t>根据疫情防控需要，本项目不要求投标人至开标现场，</w:t>
            </w:r>
            <w:r>
              <w:rPr>
                <w:rStyle w:val="83"/>
                <w:rFonts w:hint="default" w:cs="宋体"/>
                <w:b/>
                <w:bCs/>
                <w:kern w:val="0"/>
              </w:rPr>
              <w:t>但须在投标截止时间派人至指点地点进行现场讲解和样品演示，直至评审结束。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7" w:type="dxa"/>
            <w:vAlign w:val="center"/>
          </w:tcPr>
          <w:p>
            <w:pPr>
              <w:pStyle w:val="8"/>
              <w:spacing w:line="400" w:lineRule="exact"/>
              <w:ind w:firstLine="0"/>
              <w:jc w:val="center"/>
              <w:rPr>
                <w:rFonts w:ascii="新宋体" w:hAnsi="新宋体" w:eastAsia="新宋体"/>
                <w:szCs w:val="21"/>
              </w:rPr>
            </w:pPr>
            <w:r>
              <w:rPr>
                <w:rFonts w:hint="eastAsia" w:ascii="新宋体" w:hAnsi="新宋体" w:eastAsia="新宋体"/>
                <w:szCs w:val="21"/>
              </w:rPr>
              <w:t>22</w:t>
            </w:r>
          </w:p>
        </w:tc>
        <w:tc>
          <w:tcPr>
            <w:tcW w:w="8463" w:type="dxa"/>
            <w:vAlign w:val="center"/>
          </w:tcPr>
          <w:p>
            <w:pPr>
              <w:snapToGrid w:val="0"/>
              <w:spacing w:line="360" w:lineRule="exact"/>
              <w:jc w:val="left"/>
              <w:rPr>
                <w:rFonts w:ascii="宋体" w:hAnsi="宋体" w:cs="宋体"/>
                <w:szCs w:val="21"/>
              </w:rPr>
            </w:pPr>
            <w:r>
              <w:rPr>
                <w:rStyle w:val="83"/>
                <w:rFonts w:hint="default" w:cs="宋体"/>
                <w:b/>
                <w:bCs/>
                <w:kern w:val="0"/>
              </w:rPr>
              <w:t>投标人请自行配备电脑及CA</w:t>
            </w:r>
            <w:r>
              <w:rPr>
                <w:rFonts w:hint="eastAsia" w:ascii="宋体" w:hAnsi="宋体" w:cs="宋体"/>
                <w:b/>
                <w:kern w:val="0"/>
                <w:szCs w:val="21"/>
              </w:rPr>
              <w:t>数字证书</w:t>
            </w:r>
            <w:r>
              <w:rPr>
                <w:rStyle w:val="83"/>
                <w:rFonts w:hint="default" w:cs="宋体"/>
                <w:b/>
                <w:bCs/>
                <w:kern w:val="0"/>
              </w:rPr>
              <w:t>在招标文件规定时间内完成传输、解密等事宜。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7" w:type="dxa"/>
            <w:vAlign w:val="center"/>
          </w:tcPr>
          <w:p>
            <w:pPr>
              <w:pStyle w:val="8"/>
              <w:spacing w:line="400" w:lineRule="exact"/>
              <w:ind w:firstLine="0"/>
              <w:jc w:val="center"/>
              <w:rPr>
                <w:rFonts w:ascii="新宋体" w:hAnsi="新宋体" w:eastAsia="新宋体"/>
                <w:szCs w:val="21"/>
              </w:rPr>
            </w:pPr>
            <w:r>
              <w:rPr>
                <w:rFonts w:ascii="新宋体" w:hAnsi="新宋体" w:eastAsia="新宋体"/>
                <w:szCs w:val="21"/>
              </w:rPr>
              <w:t>23</w:t>
            </w:r>
          </w:p>
        </w:tc>
        <w:tc>
          <w:tcPr>
            <w:tcW w:w="8463" w:type="dxa"/>
            <w:vAlign w:val="center"/>
          </w:tcPr>
          <w:p>
            <w:pPr>
              <w:snapToGrid w:val="0"/>
              <w:spacing w:line="360" w:lineRule="exact"/>
              <w:jc w:val="left"/>
              <w:rPr>
                <w:rStyle w:val="83"/>
                <w:rFonts w:hint="default" w:cs="宋体"/>
                <w:b/>
                <w:bCs/>
                <w:kern w:val="0"/>
              </w:rPr>
            </w:pPr>
            <w:r>
              <w:rPr>
                <w:rStyle w:val="83"/>
                <w:rFonts w:hint="default" w:cs="宋体"/>
                <w:b/>
                <w:bCs/>
                <w:kern w:val="0"/>
              </w:rPr>
              <w:t>当投标人的报价明显低于其他通过符合性审查投标人的报价，有可能影响产品质量或者不能诚信履约的，应当在合理的时间内提供书面说明，必要时提交相关证明材料；投标人不提供书面说明或不能证明其报价合理性的，按《政府采购货物和服务招标投标管理办法》第六十条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37" w:type="dxa"/>
            <w:vAlign w:val="center"/>
          </w:tcPr>
          <w:p>
            <w:pPr>
              <w:pStyle w:val="8"/>
              <w:spacing w:line="400" w:lineRule="exact"/>
              <w:ind w:firstLine="0"/>
              <w:jc w:val="center"/>
              <w:rPr>
                <w:rFonts w:ascii="新宋体" w:hAnsi="新宋体" w:eastAsia="新宋体"/>
                <w:szCs w:val="21"/>
              </w:rPr>
            </w:pPr>
            <w:r>
              <w:rPr>
                <w:rFonts w:hint="eastAsia" w:ascii="新宋体" w:hAnsi="新宋体" w:eastAsia="新宋体"/>
                <w:szCs w:val="21"/>
              </w:rPr>
              <w:t>24</w:t>
            </w:r>
          </w:p>
        </w:tc>
        <w:tc>
          <w:tcPr>
            <w:tcW w:w="8463" w:type="dxa"/>
            <w:vAlign w:val="center"/>
          </w:tcPr>
          <w:p>
            <w:pPr>
              <w:spacing w:beforeLines="50" w:afterLines="50" w:line="320" w:lineRule="exact"/>
              <w:jc w:val="left"/>
              <w:rPr>
                <w:rFonts w:ascii="宋体" w:hAnsi="宋体" w:cs="宋体"/>
                <w:bCs/>
                <w:szCs w:val="21"/>
              </w:rPr>
            </w:pPr>
            <w:r>
              <w:rPr>
                <w:rFonts w:hint="eastAsia" w:ascii="宋体" w:hAnsi="宋体" w:cs="宋体"/>
                <w:bCs/>
                <w:szCs w:val="21"/>
              </w:rPr>
              <w:t>解释：本招标文件的解释权属于采购单位。</w:t>
            </w:r>
          </w:p>
        </w:tc>
      </w:tr>
    </w:tbl>
    <w:p>
      <w:pPr>
        <w:spacing w:beforeLines="50" w:afterLines="50" w:line="400" w:lineRule="exact"/>
        <w:ind w:left="238"/>
        <w:jc w:val="center"/>
        <w:outlineLvl w:val="1"/>
        <w:rPr>
          <w:rFonts w:ascii="宋体" w:hAnsi="宋体"/>
          <w:b/>
          <w:sz w:val="28"/>
          <w:szCs w:val="28"/>
        </w:rPr>
      </w:pPr>
      <w:bookmarkStart w:id="24" w:name="_Toc12707"/>
      <w:bookmarkStart w:id="25" w:name="_Toc177870536"/>
      <w:r>
        <w:rPr>
          <w:rFonts w:hint="eastAsia" w:ascii="宋体" w:hAnsi="宋体"/>
          <w:b/>
          <w:sz w:val="28"/>
          <w:szCs w:val="28"/>
        </w:rPr>
        <w:t>一、总  则</w:t>
      </w:r>
      <w:bookmarkEnd w:id="24"/>
      <w:bookmarkEnd w:id="25"/>
    </w:p>
    <w:p>
      <w:pPr>
        <w:snapToGrid w:val="0"/>
        <w:spacing w:line="400" w:lineRule="exact"/>
        <w:jc w:val="left"/>
        <w:rPr>
          <w:rFonts w:ascii="宋体" w:hAnsi="宋体"/>
          <w:b/>
          <w:szCs w:val="21"/>
        </w:rPr>
      </w:pPr>
      <w:bookmarkStart w:id="26" w:name="_Toc177825120"/>
      <w:bookmarkStart w:id="27" w:name="_Toc177870537"/>
      <w:bookmarkStart w:id="28" w:name="_Toc177824872"/>
      <w:bookmarkStart w:id="29" w:name="_Toc177824939"/>
      <w:r>
        <w:rPr>
          <w:rFonts w:hint="eastAsia" w:ascii="宋体" w:hAnsi="宋体"/>
          <w:b/>
          <w:szCs w:val="21"/>
        </w:rPr>
        <w:t>1. 适用范围</w:t>
      </w:r>
      <w:bookmarkEnd w:id="26"/>
      <w:bookmarkEnd w:id="27"/>
      <w:bookmarkEnd w:id="28"/>
      <w:bookmarkEnd w:id="29"/>
    </w:p>
    <w:p>
      <w:pPr>
        <w:snapToGrid w:val="0"/>
        <w:spacing w:line="400" w:lineRule="exact"/>
        <w:jc w:val="left"/>
        <w:rPr>
          <w:rFonts w:ascii="宋体" w:hAnsi="宋体"/>
          <w:szCs w:val="21"/>
        </w:rPr>
      </w:pPr>
      <w:r>
        <w:rPr>
          <w:rFonts w:hint="eastAsia" w:ascii="宋体" w:hAnsi="宋体"/>
          <w:szCs w:val="21"/>
        </w:rPr>
        <w:t>1.1 本招标文件适用于本次所述项目的招标。</w:t>
      </w:r>
    </w:p>
    <w:p>
      <w:pPr>
        <w:snapToGrid w:val="0"/>
        <w:spacing w:line="400" w:lineRule="exact"/>
        <w:jc w:val="left"/>
        <w:rPr>
          <w:rFonts w:ascii="宋体" w:hAnsi="宋体"/>
          <w:b/>
          <w:szCs w:val="21"/>
        </w:rPr>
      </w:pPr>
      <w:r>
        <w:rPr>
          <w:rFonts w:hint="eastAsia" w:ascii="宋体" w:hAnsi="宋体"/>
          <w:b/>
          <w:szCs w:val="21"/>
        </w:rPr>
        <w:t>2.相关名词说明</w:t>
      </w:r>
    </w:p>
    <w:p>
      <w:pPr>
        <w:snapToGrid w:val="0"/>
        <w:spacing w:line="400" w:lineRule="exact"/>
        <w:jc w:val="left"/>
        <w:rPr>
          <w:rFonts w:ascii="宋体" w:hAnsi="宋体"/>
          <w:szCs w:val="21"/>
        </w:rPr>
      </w:pPr>
      <w:r>
        <w:rPr>
          <w:rFonts w:hint="eastAsia" w:ascii="宋体" w:hAnsi="宋体"/>
          <w:szCs w:val="21"/>
        </w:rPr>
        <w:t>2.1 潜在投标人领取招标文件后,必须按国家《保密法》以及保密工作的相关规定，对招标文件内容应承担保密义务，维护采购人的权益，发生窃、泄密事件潜在投标人应承担相应的法律责任。</w:t>
      </w:r>
    </w:p>
    <w:p>
      <w:pPr>
        <w:snapToGrid w:val="0"/>
        <w:spacing w:line="400" w:lineRule="exact"/>
        <w:jc w:val="left"/>
        <w:rPr>
          <w:rFonts w:ascii="宋体" w:hAnsi="宋体"/>
          <w:szCs w:val="21"/>
        </w:rPr>
      </w:pPr>
      <w:r>
        <w:rPr>
          <w:rFonts w:hint="eastAsia" w:ascii="宋体" w:hAnsi="宋体"/>
          <w:szCs w:val="21"/>
        </w:rPr>
        <w:t>2.2 投标人一旦参与本次采购活动，即被视为接受了本招标文件的所有内容，如有任何异议，均需在答疑截止时间前以书面形式提出。</w:t>
      </w:r>
    </w:p>
    <w:p>
      <w:pPr>
        <w:snapToGrid w:val="0"/>
        <w:spacing w:line="400" w:lineRule="exact"/>
        <w:jc w:val="left"/>
        <w:rPr>
          <w:rFonts w:ascii="宋体" w:hAnsi="宋体"/>
          <w:szCs w:val="21"/>
        </w:rPr>
      </w:pPr>
      <w:r>
        <w:rPr>
          <w:rFonts w:hint="eastAsia" w:ascii="宋体" w:hAnsi="宋体"/>
          <w:szCs w:val="21"/>
        </w:rPr>
        <w:t>2.3 投标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00" w:lineRule="exact"/>
        <w:jc w:val="left"/>
        <w:rPr>
          <w:rFonts w:ascii="宋体" w:hAnsi="宋体"/>
          <w:b/>
          <w:szCs w:val="21"/>
        </w:rPr>
      </w:pPr>
      <w:bookmarkStart w:id="30" w:name="_Toc177824873"/>
      <w:bookmarkStart w:id="31" w:name="_Toc177825121"/>
      <w:bookmarkStart w:id="32" w:name="_Toc177870538"/>
      <w:bookmarkStart w:id="33" w:name="_Toc177824940"/>
      <w:r>
        <w:rPr>
          <w:rFonts w:hint="eastAsia" w:ascii="宋体" w:hAnsi="宋体"/>
          <w:b/>
          <w:szCs w:val="21"/>
        </w:rPr>
        <w:t>3.定义</w:t>
      </w:r>
      <w:bookmarkEnd w:id="30"/>
      <w:bookmarkEnd w:id="31"/>
      <w:bookmarkEnd w:id="32"/>
      <w:bookmarkEnd w:id="33"/>
    </w:p>
    <w:p>
      <w:pPr>
        <w:snapToGrid w:val="0"/>
        <w:spacing w:line="400" w:lineRule="exact"/>
        <w:jc w:val="left"/>
        <w:rPr>
          <w:rFonts w:ascii="宋体" w:hAnsi="宋体"/>
          <w:szCs w:val="21"/>
        </w:rPr>
      </w:pPr>
      <w:r>
        <w:rPr>
          <w:rFonts w:hint="eastAsia" w:ascii="宋体" w:hAnsi="宋体"/>
          <w:szCs w:val="21"/>
        </w:rPr>
        <w:t>3.1 “招标人或采购人”指嘉兴市公路与运输管理中心 。</w:t>
      </w:r>
    </w:p>
    <w:p>
      <w:pPr>
        <w:snapToGrid w:val="0"/>
        <w:spacing w:line="400" w:lineRule="exact"/>
        <w:jc w:val="left"/>
        <w:rPr>
          <w:rFonts w:ascii="宋体" w:hAnsi="宋体"/>
          <w:szCs w:val="21"/>
        </w:rPr>
      </w:pPr>
      <w:r>
        <w:rPr>
          <w:rFonts w:hint="eastAsia" w:ascii="宋体" w:hAnsi="宋体"/>
          <w:szCs w:val="21"/>
        </w:rPr>
        <w:t xml:space="preserve">3.2 </w:t>
      </w:r>
      <w:r>
        <w:rPr>
          <w:rFonts w:hint="eastAsia" w:ascii="仿宋_GB2312" w:eastAsia="仿宋_GB2312"/>
          <w:sz w:val="24"/>
        </w:rPr>
        <w:t>“</w:t>
      </w:r>
      <w:r>
        <w:rPr>
          <w:rFonts w:hint="eastAsia" w:ascii="宋体" w:hAnsi="宋体"/>
          <w:szCs w:val="21"/>
        </w:rPr>
        <w:t>采购代理”指嘉兴市明扬工程咨询有限公司。</w:t>
      </w:r>
    </w:p>
    <w:p>
      <w:pPr>
        <w:snapToGrid w:val="0"/>
        <w:spacing w:line="400" w:lineRule="exact"/>
        <w:jc w:val="left"/>
        <w:rPr>
          <w:rFonts w:ascii="宋体" w:hAnsi="宋体"/>
          <w:szCs w:val="21"/>
        </w:rPr>
      </w:pPr>
      <w:r>
        <w:rPr>
          <w:rFonts w:hint="eastAsia" w:ascii="宋体" w:hAnsi="宋体"/>
          <w:szCs w:val="21"/>
        </w:rPr>
        <w:t>3.3 “投标人”指向招标人提交投标文件的供应商。</w:t>
      </w:r>
    </w:p>
    <w:p>
      <w:pPr>
        <w:snapToGrid w:val="0"/>
        <w:spacing w:line="400" w:lineRule="exact"/>
        <w:jc w:val="left"/>
        <w:rPr>
          <w:rFonts w:ascii="宋体" w:hAnsi="宋体" w:cs="宋体"/>
          <w:kern w:val="0"/>
          <w:szCs w:val="21"/>
        </w:rPr>
      </w:pPr>
      <w:r>
        <w:rPr>
          <w:rFonts w:hint="eastAsia" w:ascii="宋体" w:hAnsi="宋体"/>
          <w:szCs w:val="21"/>
        </w:rPr>
        <w:t>3.4 “产品”系指投标人按招标文件规定，</w:t>
      </w:r>
      <w:r>
        <w:rPr>
          <w:rFonts w:ascii="宋体" w:hAnsi="宋体" w:cs="宋体"/>
          <w:kern w:val="0"/>
          <w:szCs w:val="21"/>
        </w:rPr>
        <w:t>须向</w:t>
      </w:r>
      <w:r>
        <w:rPr>
          <w:rFonts w:hint="eastAsia" w:ascii="宋体" w:hAnsi="宋体" w:cs="宋体"/>
          <w:kern w:val="0"/>
          <w:szCs w:val="21"/>
        </w:rPr>
        <w:t>采购人</w:t>
      </w:r>
      <w:r>
        <w:rPr>
          <w:rFonts w:ascii="宋体" w:hAnsi="宋体" w:cs="宋体"/>
          <w:kern w:val="0"/>
          <w:szCs w:val="21"/>
        </w:rPr>
        <w:t>提供的一切设备、</w:t>
      </w:r>
      <w:r>
        <w:rPr>
          <w:szCs w:val="21"/>
        </w:rPr>
        <w:t>保险、税金、</w:t>
      </w:r>
      <w:r>
        <w:rPr>
          <w:rFonts w:ascii="宋体" w:hAnsi="宋体" w:cs="宋体"/>
          <w:kern w:val="0"/>
          <w:szCs w:val="21"/>
        </w:rPr>
        <w:t>备品备件、工具、手册及其它有关技术资料和材料。</w:t>
      </w:r>
    </w:p>
    <w:p>
      <w:pPr>
        <w:snapToGrid w:val="0"/>
        <w:spacing w:line="400" w:lineRule="exact"/>
        <w:jc w:val="left"/>
        <w:rPr>
          <w:rFonts w:ascii="宋体" w:hAnsi="宋体"/>
          <w:szCs w:val="21"/>
        </w:rPr>
      </w:pPr>
      <w:r>
        <w:rPr>
          <w:rFonts w:hint="eastAsia" w:ascii="宋体" w:hAnsi="宋体" w:cs="宋体"/>
          <w:kern w:val="0"/>
          <w:szCs w:val="21"/>
        </w:rPr>
        <w:t>3.5</w:t>
      </w:r>
      <w:r>
        <w:rPr>
          <w:rFonts w:hint="eastAsia" w:ascii="宋体" w:hAnsi="宋体"/>
          <w:szCs w:val="21"/>
        </w:rPr>
        <w:t>“服务”系指招标文件里规定投标人须承担的安装、调试、技术协助、校准、培训、维修、技术指导以及其他类似的义务。</w:t>
      </w:r>
      <w:r>
        <w:rPr>
          <w:rFonts w:ascii="宋体" w:hAnsi="宋体" w:cs="宋体"/>
          <w:kern w:val="0"/>
          <w:szCs w:val="21"/>
        </w:rPr>
        <w:br w:type="textWrapping"/>
      </w:r>
      <w:r>
        <w:rPr>
          <w:rFonts w:hint="eastAsia" w:ascii="宋体" w:hAnsi="宋体"/>
          <w:szCs w:val="21"/>
        </w:rPr>
        <w:t>3.6 “书面形式”包括信函、传真、电报、电子文档等。</w:t>
      </w:r>
    </w:p>
    <w:p>
      <w:pPr>
        <w:snapToGrid w:val="0"/>
        <w:spacing w:line="400" w:lineRule="exact"/>
        <w:jc w:val="left"/>
        <w:rPr>
          <w:rFonts w:ascii="宋体" w:hAnsi="宋体"/>
          <w:szCs w:val="21"/>
        </w:rPr>
      </w:pPr>
      <w:r>
        <w:rPr>
          <w:rFonts w:hint="eastAsia" w:ascii="宋体" w:hAnsi="宋体"/>
          <w:szCs w:val="21"/>
        </w:rPr>
        <w:t>3.7 “▲”系指实质性要求条款，“</w:t>
      </w:r>
      <w:r>
        <w:rPr>
          <w:rFonts w:hint="eastAsia" w:ascii="宋体" w:hAnsi="宋体" w:cs="宋体"/>
          <w:szCs w:val="21"/>
        </w:rPr>
        <w:t>★</w:t>
      </w:r>
      <w:r>
        <w:rPr>
          <w:rFonts w:hint="eastAsia" w:ascii="宋体" w:hAnsi="宋体"/>
          <w:szCs w:val="21"/>
        </w:rPr>
        <w:t>”系指核心产品。</w:t>
      </w:r>
    </w:p>
    <w:p>
      <w:pPr>
        <w:snapToGrid w:val="0"/>
        <w:spacing w:line="400" w:lineRule="exact"/>
        <w:jc w:val="left"/>
        <w:rPr>
          <w:rFonts w:ascii="宋体" w:hAnsi="宋体"/>
          <w:b/>
          <w:szCs w:val="21"/>
        </w:rPr>
      </w:pPr>
      <w:bookmarkStart w:id="34" w:name="_Toc177870539"/>
      <w:r>
        <w:rPr>
          <w:rFonts w:hint="eastAsia" w:ascii="宋体" w:hAnsi="宋体"/>
          <w:b/>
          <w:szCs w:val="21"/>
        </w:rPr>
        <w:t>4.招标方式</w:t>
      </w:r>
      <w:bookmarkEnd w:id="34"/>
    </w:p>
    <w:p>
      <w:pPr>
        <w:snapToGrid w:val="0"/>
        <w:spacing w:line="400" w:lineRule="exact"/>
        <w:jc w:val="left"/>
        <w:rPr>
          <w:rFonts w:ascii="宋体" w:hAnsi="宋体"/>
          <w:szCs w:val="21"/>
        </w:rPr>
      </w:pPr>
      <w:r>
        <w:rPr>
          <w:rFonts w:hint="eastAsia" w:ascii="宋体" w:hAnsi="宋体"/>
          <w:szCs w:val="21"/>
        </w:rPr>
        <w:t xml:space="preserve">    本次招标采用公开招标方式进行。</w:t>
      </w:r>
    </w:p>
    <w:p>
      <w:pPr>
        <w:snapToGrid w:val="0"/>
        <w:spacing w:line="400" w:lineRule="exact"/>
        <w:jc w:val="left"/>
        <w:rPr>
          <w:rFonts w:ascii="宋体" w:hAnsi="宋体"/>
          <w:b/>
          <w:szCs w:val="21"/>
        </w:rPr>
      </w:pPr>
      <w:r>
        <w:rPr>
          <w:rFonts w:hint="eastAsia" w:ascii="宋体" w:hAnsi="宋体"/>
          <w:b/>
          <w:szCs w:val="21"/>
        </w:rPr>
        <w:t>5.投标委托</w:t>
      </w:r>
    </w:p>
    <w:p>
      <w:pPr>
        <w:pStyle w:val="13"/>
        <w:snapToGrid w:val="0"/>
        <w:spacing w:line="400" w:lineRule="exact"/>
        <w:ind w:firstLine="404" w:firstLineChars="200"/>
        <w:jc w:val="left"/>
        <w:rPr>
          <w:rFonts w:hAnsi="宋体"/>
          <w:sz w:val="21"/>
          <w:szCs w:val="21"/>
        </w:rPr>
      </w:pPr>
      <w:r>
        <w:rPr>
          <w:rFonts w:hint="eastAsia" w:hAnsi="宋体"/>
          <w:sz w:val="21"/>
          <w:szCs w:val="21"/>
        </w:rPr>
        <w:t>投标人代表须提供居民身份证。如投标人代表不是法定代表人，须有法定代表人出具的授权委托书。（正本用原件，副本可用复印件，格式见第六章）。</w:t>
      </w:r>
    </w:p>
    <w:p>
      <w:pPr>
        <w:snapToGrid w:val="0"/>
        <w:spacing w:line="400" w:lineRule="exact"/>
        <w:jc w:val="left"/>
        <w:rPr>
          <w:rFonts w:ascii="宋体" w:hAnsi="宋体"/>
          <w:b/>
          <w:szCs w:val="21"/>
        </w:rPr>
      </w:pPr>
      <w:bookmarkStart w:id="35" w:name="_Toc177824874"/>
      <w:bookmarkStart w:id="36" w:name="_Toc177870540"/>
      <w:bookmarkStart w:id="37" w:name="_Toc177824941"/>
      <w:bookmarkStart w:id="38" w:name="_Toc177825122"/>
      <w:r>
        <w:rPr>
          <w:rFonts w:hint="eastAsia" w:ascii="宋体" w:hAnsi="宋体"/>
          <w:b/>
          <w:szCs w:val="21"/>
        </w:rPr>
        <w:t>6.</w:t>
      </w:r>
      <w:bookmarkEnd w:id="35"/>
      <w:bookmarkEnd w:id="36"/>
      <w:bookmarkEnd w:id="37"/>
      <w:bookmarkEnd w:id="38"/>
      <w:r>
        <w:rPr>
          <w:rFonts w:hint="eastAsia" w:ascii="宋体" w:hAnsi="宋体"/>
          <w:b/>
          <w:szCs w:val="21"/>
        </w:rPr>
        <w:t xml:space="preserve"> 投标费用</w:t>
      </w:r>
    </w:p>
    <w:p>
      <w:pPr>
        <w:snapToGrid w:val="0"/>
        <w:spacing w:line="400" w:lineRule="exact"/>
        <w:ind w:firstLine="315" w:firstLineChars="150"/>
        <w:jc w:val="left"/>
        <w:rPr>
          <w:rFonts w:ascii="宋体" w:hAnsi="宋体"/>
          <w:szCs w:val="21"/>
        </w:rPr>
      </w:pPr>
      <w:r>
        <w:rPr>
          <w:rFonts w:hint="eastAsia" w:ascii="宋体" w:hAnsi="宋体"/>
          <w:szCs w:val="21"/>
        </w:rPr>
        <w:t>不论投标结果如何，投标人均应自行承担所有与投标有关的全部费用。</w:t>
      </w:r>
      <w:bookmarkStart w:id="39" w:name="_Toc177870543"/>
    </w:p>
    <w:p>
      <w:pPr>
        <w:pStyle w:val="16"/>
        <w:snapToGrid w:val="0"/>
        <w:spacing w:line="360" w:lineRule="auto"/>
        <w:rPr>
          <w:rFonts w:hAnsi="宋体" w:cs="宋体"/>
          <w:sz w:val="21"/>
          <w:szCs w:val="21"/>
        </w:rPr>
      </w:pPr>
      <w:r>
        <w:rPr>
          <w:rFonts w:hint="eastAsia" w:hAnsi="宋体" w:cs="宋体"/>
          <w:b/>
          <w:sz w:val="21"/>
          <w:szCs w:val="21"/>
        </w:rPr>
        <w:t>7.联合体投标</w:t>
      </w:r>
      <w:r>
        <w:rPr>
          <w:rFonts w:hint="eastAsia" w:hAnsi="宋体" w:cs="宋体"/>
          <w:b/>
          <w:sz w:val="21"/>
          <w:szCs w:val="21"/>
        </w:rPr>
        <w:br w:type="textWrapping"/>
      </w:r>
      <w:r>
        <w:rPr>
          <w:rFonts w:hint="eastAsia" w:hAnsi="宋体" w:cs="宋体"/>
          <w:sz w:val="21"/>
          <w:szCs w:val="21"/>
        </w:rPr>
        <w:t>本项目不接受联合体投标。</w:t>
      </w:r>
      <w:r>
        <w:rPr>
          <w:rFonts w:hint="eastAsia" w:hAnsi="宋体" w:cs="宋体"/>
          <w:sz w:val="21"/>
          <w:szCs w:val="21"/>
        </w:rPr>
        <w:br w:type="textWrapping"/>
      </w:r>
      <w:r>
        <w:rPr>
          <w:rFonts w:hint="eastAsia" w:hAnsi="宋体" w:cs="宋体"/>
          <w:b/>
          <w:sz w:val="21"/>
          <w:szCs w:val="21"/>
        </w:rPr>
        <w:t>8. 转包与分包</w:t>
      </w:r>
      <w:r>
        <w:rPr>
          <w:rFonts w:hint="eastAsia" w:hAnsi="宋体" w:cs="宋体"/>
          <w:b/>
          <w:sz w:val="21"/>
          <w:szCs w:val="21"/>
        </w:rPr>
        <w:br w:type="textWrapping"/>
      </w:r>
      <w:r>
        <w:rPr>
          <w:rFonts w:hint="eastAsia" w:hAnsi="宋体" w:cs="宋体"/>
          <w:sz w:val="21"/>
          <w:szCs w:val="21"/>
        </w:rPr>
        <w:t>8.1本项目不允许转包。</w:t>
      </w:r>
      <w:r>
        <w:rPr>
          <w:rFonts w:hint="eastAsia" w:hAnsi="宋体" w:cs="宋体"/>
          <w:sz w:val="21"/>
          <w:szCs w:val="21"/>
        </w:rPr>
        <w:br w:type="textWrapping"/>
      </w:r>
      <w:r>
        <w:rPr>
          <w:rFonts w:hint="eastAsia" w:hAnsi="宋体" w:cs="宋体"/>
          <w:sz w:val="21"/>
          <w:szCs w:val="21"/>
        </w:rPr>
        <w:t>8.2本项目不可以分包。</w:t>
      </w:r>
      <w:r>
        <w:rPr>
          <w:rFonts w:hint="eastAsia" w:hAnsi="宋体" w:cs="宋体"/>
          <w:sz w:val="21"/>
          <w:szCs w:val="21"/>
        </w:rPr>
        <w:br w:type="textWrapping"/>
      </w:r>
      <w:bookmarkEnd w:id="39"/>
      <w:r>
        <w:rPr>
          <w:rFonts w:hint="eastAsia" w:hAnsi="宋体" w:cs="宋体"/>
          <w:b/>
          <w:sz w:val="21"/>
          <w:szCs w:val="21"/>
        </w:rPr>
        <w:t>9. 特别说明：</w:t>
      </w:r>
      <w:r>
        <w:rPr>
          <w:rFonts w:hint="eastAsia" w:hAnsi="宋体" w:cs="宋体"/>
          <w:b/>
          <w:sz w:val="21"/>
          <w:szCs w:val="21"/>
        </w:rPr>
        <w:br w:type="textWrapping"/>
      </w:r>
      <w:r>
        <w:rPr>
          <w:rFonts w:hint="eastAsia" w:hAnsi="宋体" w:cs="宋体"/>
          <w:sz w:val="21"/>
          <w:szCs w:val="21"/>
        </w:rPr>
        <w:t>9.1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6"/>
        <w:snapToGrid w:val="0"/>
        <w:spacing w:line="360" w:lineRule="auto"/>
        <w:rPr>
          <w:rFonts w:hAnsi="宋体" w:cs="宋体"/>
          <w:sz w:val="21"/>
          <w:szCs w:val="21"/>
        </w:rPr>
      </w:pPr>
      <w:r>
        <w:rPr>
          <w:rFonts w:hint="eastAsia" w:hAnsi="宋体" w:cs="宋体"/>
          <w:sz w:val="21"/>
          <w:szCs w:val="21"/>
        </w:rPr>
        <w:t>9.2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6"/>
        <w:snapToGrid w:val="0"/>
        <w:spacing w:line="360" w:lineRule="auto"/>
        <w:rPr>
          <w:rFonts w:hAnsi="宋体" w:cs="宋体"/>
          <w:sz w:val="21"/>
          <w:szCs w:val="21"/>
        </w:rPr>
      </w:pPr>
      <w:r>
        <w:rPr>
          <w:rFonts w:hint="eastAsia" w:hAnsi="宋体" w:cs="宋体"/>
          <w:sz w:val="21"/>
          <w:szCs w:val="21"/>
        </w:rPr>
        <w:t>9.3非单一产品采购项目，采购人应当根据采购项目技术构成、产品价格比重等合理确定核心产品，并在招标文件中载明。多家投标人提供的核心产品品牌相同的，按前两款规定处理。</w:t>
      </w:r>
    </w:p>
    <w:p>
      <w:pPr>
        <w:snapToGrid w:val="0"/>
        <w:spacing w:line="400" w:lineRule="exact"/>
        <w:jc w:val="left"/>
        <w:rPr>
          <w:rFonts w:ascii="宋体" w:hAnsi="宋体" w:cs="宋体"/>
          <w:szCs w:val="21"/>
        </w:rPr>
      </w:pPr>
      <w:r>
        <w:rPr>
          <w:rFonts w:hint="eastAsia" w:ascii="宋体" w:hAnsi="宋体" w:cs="宋体"/>
          <w:szCs w:val="21"/>
        </w:rPr>
        <w:t>9.4投标人投标所使用的资格、信誉、荣誉、业绩与企业认证必须为本法人所拥有。投标人投标所使用的采购项目实施人员必须为本法人员工（或必须为本法人或控股公司正式员工）。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s="宋体"/>
          <w:szCs w:val="21"/>
        </w:rPr>
        <w:br w:type="textWrapping"/>
      </w:r>
      <w:r>
        <w:rPr>
          <w:rFonts w:hint="eastAsia" w:ascii="宋体" w:hAnsi="宋体" w:cs="宋体"/>
          <w:szCs w:val="21"/>
        </w:rPr>
        <w:t>9.5投标人应仔细阅读招标文件的所有内容，按照招标文件的要求提交投标文件，并对所提供的全部资料的真实性承担法律责任。</w:t>
      </w:r>
      <w:r>
        <w:rPr>
          <w:rFonts w:hint="eastAsia" w:ascii="宋体" w:hAnsi="宋体" w:cs="宋体"/>
          <w:szCs w:val="21"/>
        </w:rPr>
        <w:br w:type="textWrapping"/>
      </w:r>
      <w:r>
        <w:rPr>
          <w:rFonts w:hint="eastAsia" w:ascii="宋体" w:hAnsi="宋体" w:cs="宋体"/>
          <w:szCs w:val="21"/>
        </w:rPr>
        <w:t>9.6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pPr>
        <w:snapToGrid w:val="0"/>
        <w:spacing w:line="400" w:lineRule="exact"/>
        <w:jc w:val="left"/>
        <w:rPr>
          <w:rFonts w:ascii="宋体" w:hAnsi="宋体"/>
          <w:szCs w:val="21"/>
        </w:rPr>
      </w:pPr>
      <w:r>
        <w:rPr>
          <w:rFonts w:hint="eastAsia" w:ascii="宋体" w:hAnsi="宋体" w:cs="宋体"/>
          <w:b/>
          <w:szCs w:val="21"/>
        </w:rPr>
        <w:t>10. 质疑和投诉</w:t>
      </w:r>
      <w:r>
        <w:rPr>
          <w:rFonts w:hint="eastAsia" w:ascii="宋体" w:hAnsi="宋体" w:cs="宋体"/>
          <w:b/>
          <w:szCs w:val="21"/>
        </w:rPr>
        <w:br w:type="textWrapping"/>
      </w:r>
      <w:r>
        <w:rPr>
          <w:rFonts w:hint="eastAsia" w:ascii="宋体" w:hAnsi="宋体"/>
          <w:szCs w:val="21"/>
        </w:rPr>
        <w:t>10.1投标人认为招标文件、招标过程或中标结果使自己的合法权益受到损害的，可以自收到采购文件之日（发售截止日之后收到采购文件的，以发售截止日为准）或者采购文件公告期限届满之日（公告发布后的第6个工作日）起7个工作日内，以书面形式向采购人和采购代理机构提出质疑。投标人对招标采购单位的质疑答复不满意或者招标采购单位未在规定时间内作出答复的，可以在答复期满后十五个工作日内向同级采购监管部门投诉；</w:t>
      </w:r>
    </w:p>
    <w:p>
      <w:pPr>
        <w:pStyle w:val="16"/>
        <w:snapToGrid w:val="0"/>
        <w:spacing w:line="400" w:lineRule="exact"/>
        <w:rPr>
          <w:rFonts w:hAnsi="宋体"/>
          <w:sz w:val="21"/>
          <w:szCs w:val="21"/>
        </w:rPr>
      </w:pPr>
      <w:r>
        <w:rPr>
          <w:rFonts w:hint="eastAsia" w:hAnsi="宋体"/>
          <w:sz w:val="21"/>
          <w:szCs w:val="21"/>
        </w:rPr>
        <w:t>10.2供应商须在法定质疑期内一次性提出针对同一采购程序环节的质疑。</w:t>
      </w:r>
    </w:p>
    <w:p>
      <w:pPr>
        <w:pStyle w:val="16"/>
        <w:snapToGrid w:val="0"/>
        <w:spacing w:line="400" w:lineRule="exact"/>
        <w:rPr>
          <w:rFonts w:hAnsi="宋体"/>
          <w:sz w:val="21"/>
          <w:szCs w:val="21"/>
        </w:rPr>
      </w:pPr>
      <w:r>
        <w:rPr>
          <w:rFonts w:hint="eastAsia" w:hAnsi="宋体"/>
          <w:sz w:val="21"/>
          <w:szCs w:val="21"/>
        </w:rPr>
        <w:t>10.3供应商认为采购代理机构在质疑答复程序中启用的调查和复评等程序，在该程序操作过程未明显违反法律禁止性规定时，不得提出疑义。</w:t>
      </w:r>
    </w:p>
    <w:p>
      <w:pPr>
        <w:pStyle w:val="16"/>
        <w:snapToGrid w:val="0"/>
        <w:spacing w:line="400" w:lineRule="exact"/>
        <w:rPr>
          <w:rFonts w:hAnsi="宋体"/>
          <w:sz w:val="21"/>
          <w:szCs w:val="21"/>
        </w:rPr>
      </w:pPr>
      <w:r>
        <w:rPr>
          <w:rFonts w:hint="eastAsia" w:hAnsi="宋体"/>
          <w:sz w:val="21"/>
          <w:szCs w:val="21"/>
        </w:rPr>
        <w:t>10.4质疑和投诉应当满足《政府采购质疑和投诉办法》（中华人民共和国财政部令第94号）要求。</w:t>
      </w:r>
    </w:p>
    <w:p>
      <w:pPr>
        <w:spacing w:beforeLines="50" w:afterLines="50" w:line="400" w:lineRule="exact"/>
        <w:ind w:left="238"/>
        <w:jc w:val="center"/>
        <w:outlineLvl w:val="1"/>
        <w:rPr>
          <w:rFonts w:ascii="宋体" w:hAnsi="宋体"/>
          <w:b/>
          <w:sz w:val="28"/>
          <w:szCs w:val="28"/>
        </w:rPr>
      </w:pPr>
      <w:bookmarkStart w:id="40" w:name="_Toc30304"/>
      <w:bookmarkStart w:id="41" w:name="_Toc177870544"/>
      <w:r>
        <w:rPr>
          <w:rFonts w:hint="eastAsia" w:ascii="宋体" w:hAnsi="宋体"/>
          <w:b/>
          <w:sz w:val="28"/>
          <w:szCs w:val="28"/>
        </w:rPr>
        <w:t>二、招标文件</w:t>
      </w:r>
      <w:bookmarkEnd w:id="40"/>
      <w:bookmarkEnd w:id="41"/>
    </w:p>
    <w:p>
      <w:pPr>
        <w:spacing w:line="400" w:lineRule="exact"/>
        <w:jc w:val="left"/>
        <w:rPr>
          <w:rFonts w:ascii="宋体" w:hAnsi="宋体"/>
          <w:b/>
          <w:szCs w:val="21"/>
        </w:rPr>
      </w:pPr>
      <w:r>
        <w:rPr>
          <w:rFonts w:hint="eastAsia" w:ascii="宋体" w:hAnsi="宋体"/>
          <w:b/>
          <w:szCs w:val="21"/>
        </w:rPr>
        <w:t>1.招标文件的构成</w:t>
      </w:r>
    </w:p>
    <w:p>
      <w:pPr>
        <w:spacing w:line="400" w:lineRule="exact"/>
        <w:jc w:val="left"/>
        <w:rPr>
          <w:rFonts w:ascii="宋体" w:hAnsi="宋体"/>
          <w:szCs w:val="21"/>
        </w:rPr>
      </w:pPr>
      <w:r>
        <w:rPr>
          <w:rFonts w:hint="eastAsia" w:ascii="宋体" w:hAnsi="宋体"/>
          <w:szCs w:val="21"/>
        </w:rPr>
        <w:t>1.1公开招标采购公告</w:t>
      </w:r>
    </w:p>
    <w:p>
      <w:pPr>
        <w:spacing w:line="400" w:lineRule="exact"/>
        <w:jc w:val="left"/>
        <w:rPr>
          <w:rFonts w:ascii="宋体" w:hAnsi="宋体"/>
          <w:szCs w:val="21"/>
        </w:rPr>
      </w:pPr>
      <w:r>
        <w:rPr>
          <w:rFonts w:hint="eastAsia" w:ascii="宋体" w:hAnsi="宋体"/>
          <w:szCs w:val="21"/>
        </w:rPr>
        <w:t>1.2招标项目需求</w:t>
      </w:r>
    </w:p>
    <w:p>
      <w:pPr>
        <w:spacing w:line="400" w:lineRule="exact"/>
        <w:jc w:val="left"/>
        <w:rPr>
          <w:rFonts w:ascii="宋体" w:hAnsi="宋体"/>
          <w:szCs w:val="21"/>
        </w:rPr>
      </w:pPr>
      <w:r>
        <w:rPr>
          <w:rFonts w:hint="eastAsia" w:ascii="宋体" w:hAnsi="宋体"/>
          <w:szCs w:val="21"/>
        </w:rPr>
        <w:t>1.3投标人须知</w:t>
      </w:r>
    </w:p>
    <w:p>
      <w:pPr>
        <w:spacing w:line="400" w:lineRule="exact"/>
        <w:jc w:val="left"/>
        <w:rPr>
          <w:rFonts w:ascii="宋体" w:hAnsi="宋体"/>
          <w:szCs w:val="21"/>
        </w:rPr>
      </w:pPr>
      <w:r>
        <w:rPr>
          <w:rFonts w:hint="eastAsia" w:ascii="宋体" w:hAnsi="宋体"/>
          <w:szCs w:val="21"/>
        </w:rPr>
        <w:t>1.4评标办法及评分标准</w:t>
      </w:r>
    </w:p>
    <w:p>
      <w:pPr>
        <w:spacing w:line="400" w:lineRule="exact"/>
        <w:jc w:val="left"/>
        <w:rPr>
          <w:rFonts w:ascii="宋体" w:hAnsi="宋体"/>
          <w:szCs w:val="21"/>
        </w:rPr>
      </w:pPr>
      <w:r>
        <w:rPr>
          <w:rFonts w:hint="eastAsia" w:ascii="宋体" w:hAnsi="宋体"/>
          <w:szCs w:val="21"/>
        </w:rPr>
        <w:t>1.5嘉兴市政府采购合同</w:t>
      </w:r>
    </w:p>
    <w:p>
      <w:pPr>
        <w:spacing w:line="400" w:lineRule="exact"/>
        <w:jc w:val="left"/>
        <w:rPr>
          <w:rFonts w:ascii="宋体" w:hAnsi="宋体"/>
          <w:szCs w:val="21"/>
        </w:rPr>
      </w:pPr>
      <w:r>
        <w:rPr>
          <w:rFonts w:hint="eastAsia" w:ascii="宋体" w:hAnsi="宋体"/>
          <w:szCs w:val="21"/>
        </w:rPr>
        <w:t>1.6投标相关文件格式</w:t>
      </w:r>
    </w:p>
    <w:p>
      <w:pPr>
        <w:spacing w:line="400" w:lineRule="exact"/>
        <w:jc w:val="left"/>
        <w:rPr>
          <w:rFonts w:ascii="宋体" w:hAnsi="宋体"/>
          <w:szCs w:val="21"/>
        </w:rPr>
      </w:pPr>
      <w:r>
        <w:rPr>
          <w:rFonts w:hint="eastAsia" w:ascii="宋体" w:hAnsi="宋体"/>
          <w:szCs w:val="21"/>
        </w:rPr>
        <w:t>1.7本项目招标文件的</w:t>
      </w:r>
      <w:r>
        <w:rPr>
          <w:rFonts w:hint="eastAsia" w:hAnsi="宋体"/>
          <w:szCs w:val="21"/>
        </w:rPr>
        <w:t>澄清</w:t>
      </w:r>
      <w:r>
        <w:rPr>
          <w:rFonts w:hint="eastAsia" w:ascii="宋体" w:hAnsi="宋体"/>
          <w:szCs w:val="21"/>
        </w:rPr>
        <w:t>、答复、修改、补充的内容</w:t>
      </w:r>
    </w:p>
    <w:p>
      <w:pPr>
        <w:spacing w:line="460" w:lineRule="exact"/>
        <w:rPr>
          <w:rFonts w:ascii="宋体" w:hAnsi="宋体" w:cs="宋体"/>
          <w:b/>
          <w:szCs w:val="21"/>
        </w:rPr>
      </w:pPr>
      <w:bookmarkStart w:id="42" w:name="_Toc177870545"/>
      <w:r>
        <w:rPr>
          <w:rFonts w:hint="eastAsia" w:ascii="宋体" w:hAnsi="宋体" w:cs="宋体"/>
          <w:b/>
          <w:szCs w:val="21"/>
        </w:rPr>
        <w:t>2.投标人的风险</w:t>
      </w:r>
    </w:p>
    <w:p>
      <w:pPr>
        <w:spacing w:line="400" w:lineRule="exact"/>
        <w:jc w:val="left"/>
        <w:rPr>
          <w:rFonts w:ascii="宋体" w:hAnsi="宋体"/>
          <w:szCs w:val="21"/>
        </w:rPr>
      </w:pPr>
      <w:r>
        <w:rPr>
          <w:rFonts w:hint="eastAsia" w:ascii="宋体" w:hAnsi="宋体"/>
          <w:szCs w:val="21"/>
        </w:rPr>
        <w:t>2.1投标人没有按照招标文件要求提供全部资料，或者投标人没有对招标文件在各方面作出实质性响应是投标人的风险，并可能导致其投标为无效标。</w:t>
      </w:r>
    </w:p>
    <w:p>
      <w:pPr>
        <w:spacing w:line="460" w:lineRule="exact"/>
        <w:rPr>
          <w:rFonts w:ascii="宋体" w:hAnsi="宋体" w:cs="宋体"/>
          <w:b/>
          <w:szCs w:val="21"/>
        </w:rPr>
      </w:pPr>
      <w:r>
        <w:rPr>
          <w:rFonts w:hint="eastAsia" w:ascii="宋体" w:hAnsi="宋体" w:cs="宋体"/>
          <w:b/>
          <w:szCs w:val="21"/>
        </w:rPr>
        <w:t xml:space="preserve">3.招标文件的澄清与修改 </w:t>
      </w:r>
    </w:p>
    <w:p>
      <w:pPr>
        <w:spacing w:line="400" w:lineRule="exact"/>
        <w:jc w:val="left"/>
        <w:rPr>
          <w:rFonts w:ascii="宋体" w:hAnsi="宋体"/>
          <w:szCs w:val="21"/>
        </w:rPr>
      </w:pPr>
      <w:r>
        <w:rPr>
          <w:rFonts w:hint="eastAsia" w:ascii="宋体" w:hAnsi="宋体"/>
          <w:szCs w:val="21"/>
        </w:rPr>
        <w:t>3.1 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bCs/>
          <w:iCs/>
          <w:szCs w:val="21"/>
        </w:rPr>
        <w:t>http://zfcg.czt.zj.gov.cn/</w:t>
      </w:r>
      <w:r>
        <w:rPr>
          <w:rFonts w:hint="eastAsia" w:ascii="宋体" w:hAnsi="宋体"/>
          <w:szCs w:val="21"/>
        </w:rPr>
        <w:t>)上发布更正公告，请投标人在投标截止前及时关注。招标文件的澄清、答复、修改或补充，一经在上述媒体发布，即视所有投标人都已经收到相关文件。</w:t>
      </w:r>
    </w:p>
    <w:p>
      <w:pPr>
        <w:spacing w:line="400" w:lineRule="exact"/>
        <w:jc w:val="left"/>
        <w:rPr>
          <w:rFonts w:ascii="宋体" w:hAnsi="宋体"/>
          <w:szCs w:val="21"/>
        </w:rPr>
      </w:pPr>
      <w:r>
        <w:rPr>
          <w:rFonts w:hint="eastAsia" w:ascii="宋体" w:hAnsi="宋体"/>
          <w:szCs w:val="21"/>
        </w:rPr>
        <w:t>3.2采购代理机构以公告形式答复投标人要求澄清的问题，但不包含问题来源；除上述媒体发布的答复以外的其他澄清方式及澄清内容均无效。</w:t>
      </w:r>
    </w:p>
    <w:p>
      <w:pPr>
        <w:spacing w:line="400" w:lineRule="exact"/>
        <w:jc w:val="left"/>
        <w:rPr>
          <w:rFonts w:ascii="宋体" w:hAnsi="宋体"/>
          <w:szCs w:val="21"/>
        </w:rPr>
      </w:pPr>
      <w:r>
        <w:rPr>
          <w:rFonts w:hint="eastAsia" w:ascii="宋体" w:hAnsi="宋体"/>
          <w:szCs w:val="21"/>
        </w:rPr>
        <w:t>3.3招标文件澄清、答复、修改、补充的内容为招标文件的组成部分。当招标文件与招标文件的答复、澄清、修改、补充通知就同一内容的表述不一致时，以最后发出的文件为准。</w:t>
      </w:r>
    </w:p>
    <w:p>
      <w:pPr>
        <w:spacing w:line="400" w:lineRule="exact"/>
        <w:jc w:val="left"/>
        <w:rPr>
          <w:rFonts w:hAnsi="宋体"/>
          <w:b/>
          <w:sz w:val="30"/>
          <w:szCs w:val="30"/>
        </w:rPr>
      </w:pPr>
      <w:r>
        <w:rPr>
          <w:rFonts w:hint="eastAsia" w:ascii="宋体" w:hAnsi="宋体"/>
          <w:szCs w:val="21"/>
        </w:rPr>
        <w:t>3.4招标文件的澄清、答复、修改或补充都应该通过本代理机构以法定形式发布，采购人非通过本机构，不得擅自澄清、答复、修改或补充招标文件。</w:t>
      </w:r>
    </w:p>
    <w:p>
      <w:pPr>
        <w:spacing w:beforeLines="50" w:afterLines="50" w:line="400" w:lineRule="exact"/>
        <w:ind w:left="238"/>
        <w:jc w:val="center"/>
        <w:outlineLvl w:val="1"/>
        <w:rPr>
          <w:rFonts w:ascii="宋体" w:hAnsi="宋体"/>
          <w:b/>
          <w:sz w:val="28"/>
          <w:szCs w:val="28"/>
        </w:rPr>
      </w:pPr>
      <w:bookmarkStart w:id="43" w:name="_Toc12793"/>
      <w:r>
        <w:rPr>
          <w:rFonts w:hint="eastAsia" w:ascii="宋体" w:hAnsi="宋体"/>
          <w:b/>
          <w:sz w:val="28"/>
          <w:szCs w:val="28"/>
        </w:rPr>
        <w:t>三、投标文件的编制</w:t>
      </w:r>
      <w:bookmarkEnd w:id="42"/>
      <w:bookmarkEnd w:id="43"/>
    </w:p>
    <w:p>
      <w:pPr>
        <w:pStyle w:val="16"/>
        <w:snapToGrid w:val="0"/>
        <w:spacing w:before="120" w:after="120" w:line="360" w:lineRule="auto"/>
        <w:ind w:firstLine="413" w:firstLineChars="196"/>
        <w:outlineLvl w:val="1"/>
        <w:rPr>
          <w:rFonts w:hAnsi="宋体" w:cs="宋体"/>
          <w:b/>
          <w:sz w:val="21"/>
          <w:szCs w:val="21"/>
        </w:rPr>
      </w:pPr>
      <w:bookmarkStart w:id="44" w:name="_Toc11312"/>
      <w:bookmarkStart w:id="45" w:name="_Toc177870546"/>
      <w:bookmarkStart w:id="46" w:name="_Toc177825124"/>
      <w:bookmarkStart w:id="47" w:name="_Toc177824876"/>
      <w:bookmarkStart w:id="48" w:name="_Toc177824943"/>
      <w:r>
        <w:rPr>
          <w:rFonts w:hint="eastAsia" w:hAnsi="宋体" w:cs="宋体"/>
          <w:b/>
          <w:sz w:val="21"/>
          <w:szCs w:val="21"/>
        </w:rPr>
        <w:t>本项目所涉投标文件格式请详见第六章，未给出的格式请自拟。资信技术文件中不得出现报价，否则投标文件将被视为无效。</w:t>
      </w:r>
      <w:bookmarkEnd w:id="44"/>
    </w:p>
    <w:p>
      <w:pPr>
        <w:pStyle w:val="16"/>
        <w:snapToGrid w:val="0"/>
        <w:spacing w:before="120" w:after="120" w:line="360" w:lineRule="auto"/>
        <w:ind w:firstLine="411" w:firstLineChars="196"/>
        <w:outlineLvl w:val="1"/>
        <w:rPr>
          <w:rFonts w:hAnsi="宋体" w:cs="宋体"/>
          <w:b/>
          <w:bCs/>
          <w:sz w:val="21"/>
          <w:szCs w:val="21"/>
        </w:rPr>
      </w:pPr>
      <w:bookmarkStart w:id="49" w:name="_Toc5946"/>
      <w:r>
        <w:rPr>
          <w:rFonts w:hint="eastAsia" w:hAnsi="宋体" w:cs="宋体"/>
          <w:sz w:val="21"/>
          <w:szCs w:val="21"/>
        </w:rPr>
        <w:t>电子投标文件按政采云平台供应商电子招投标操作指南（网址：</w:t>
      </w:r>
      <w:r>
        <w:fldChar w:fldCharType="begin"/>
      </w:r>
      <w:r>
        <w:instrText xml:space="preserve"> HYPERLINK "https://help.zcygov.cn/web/site_2/2018/12-28/2573.html）及本招标文件规定的格式和顺序编制电子投标文件并进行关联定。建议根据招标文件合格供应商的资格要求、投标文件的编制及评分标准等内容一一关联。" </w:instrText>
      </w:r>
      <w:r>
        <w:fldChar w:fldCharType="separate"/>
      </w:r>
      <w:r>
        <w:rPr>
          <w:rStyle w:val="38"/>
          <w:rFonts w:hint="eastAsia" w:ascii="宋体" w:hAnsi="宋体" w:eastAsia="宋体" w:cs="宋体"/>
          <w:color w:val="auto"/>
          <w:sz w:val="21"/>
          <w:szCs w:val="21"/>
        </w:rPr>
        <w:t>https://help.zcygov.cn/web/site_2/2018/12-28/2573.html）及本招标文件规定的格式和顺序编制电子投标文件并进行关联</w:t>
      </w:r>
      <w:r>
        <w:rPr>
          <w:rStyle w:val="38"/>
          <w:rFonts w:hint="eastAsia" w:ascii="宋体" w:hAnsi="宋体" w:eastAsia="宋体" w:cs="宋体"/>
          <w:color w:val="auto"/>
          <w:sz w:val="21"/>
          <w:szCs w:val="21"/>
          <w:lang w:eastAsia="zh-CN"/>
        </w:rPr>
        <w:t>。</w:t>
      </w:r>
      <w:r>
        <w:rPr>
          <w:rStyle w:val="38"/>
          <w:rFonts w:hint="eastAsia" w:ascii="宋体" w:hAnsi="宋体" w:eastAsia="宋体" w:cs="宋体"/>
          <w:b/>
          <w:bCs/>
          <w:color w:val="auto"/>
          <w:sz w:val="21"/>
          <w:szCs w:val="21"/>
          <w:lang w:eastAsia="zh-CN"/>
        </w:rPr>
        <w:t>建议根据招标文件合格供应商的资格要求、投标文件的编制及评分标准等内容一一关联。</w:t>
      </w:r>
      <w:r>
        <w:rPr>
          <w:rStyle w:val="38"/>
          <w:rFonts w:hint="eastAsia" w:ascii="宋体" w:hAnsi="宋体" w:eastAsia="宋体" w:cs="宋体"/>
          <w:b/>
          <w:bCs/>
          <w:color w:val="auto"/>
          <w:sz w:val="21"/>
          <w:szCs w:val="21"/>
          <w:lang w:eastAsia="zh-CN"/>
        </w:rPr>
        <w:fldChar w:fldCharType="end"/>
      </w:r>
    </w:p>
    <w:p>
      <w:pPr>
        <w:pStyle w:val="16"/>
        <w:snapToGrid w:val="0"/>
        <w:spacing w:before="120" w:after="120" w:line="360" w:lineRule="auto"/>
        <w:ind w:firstLine="413" w:firstLineChars="196"/>
        <w:outlineLvl w:val="1"/>
        <w:rPr>
          <w:rFonts w:hAnsi="宋体" w:cs="宋体"/>
          <w:b/>
          <w:sz w:val="21"/>
          <w:szCs w:val="21"/>
        </w:rPr>
      </w:pPr>
      <w:r>
        <w:rPr>
          <w:rFonts w:hint="eastAsia" w:hAnsi="宋体" w:cs="宋体"/>
          <w:b/>
          <w:sz w:val="21"/>
          <w:szCs w:val="21"/>
        </w:rPr>
        <w:t>总体要求：</w:t>
      </w:r>
      <w:bookmarkEnd w:id="49"/>
    </w:p>
    <w:p>
      <w:pPr>
        <w:spacing w:line="360" w:lineRule="auto"/>
        <w:ind w:firstLine="420" w:firstLineChars="200"/>
        <w:rPr>
          <w:rFonts w:ascii="宋体" w:hAnsi="宋体" w:cs="宋体"/>
          <w:szCs w:val="21"/>
        </w:rPr>
      </w:pPr>
      <w:r>
        <w:rPr>
          <w:rFonts w:hint="eastAsia" w:ascii="宋体" w:hAnsi="宋体" w:cs="宋体"/>
          <w:szCs w:val="21"/>
        </w:rPr>
        <w:t xml:space="preserve">1.投标人应仔细阅读招标文件的所有内容，按本文件的要求提供投标文件，并保证所提供的全部资料的真实性，以使其投标文件对招标文件作出实质性响应，否则，投标文件可能视为无效投标文件。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20" w:firstLineChars="200"/>
        <w:rPr>
          <w:rFonts w:ascii="宋体" w:hAnsi="宋体" w:cs="宋体"/>
          <w:szCs w:val="21"/>
        </w:rPr>
      </w:pPr>
      <w:r>
        <w:rPr>
          <w:rFonts w:hint="eastAsia" w:ascii="宋体" w:hAnsi="宋体" w:cs="宋体"/>
          <w:szCs w:val="21"/>
        </w:rPr>
        <w:t>2. 投标文件及投标人与采购有关的来往通知，函件和文件均应使用中文。</w:t>
      </w:r>
    </w:p>
    <w:p>
      <w:pPr>
        <w:spacing w:line="360" w:lineRule="auto"/>
        <w:ind w:firstLine="420" w:firstLineChars="200"/>
        <w:rPr>
          <w:rFonts w:ascii="宋体" w:hAnsi="宋体" w:cs="宋体"/>
          <w:szCs w:val="21"/>
        </w:rPr>
      </w:pPr>
      <w:r>
        <w:rPr>
          <w:rFonts w:hint="eastAsia" w:ascii="宋体" w:hAnsi="宋体" w:cs="宋体"/>
          <w:szCs w:val="21"/>
        </w:rPr>
        <w:t>3. 投标人应按本文件中提供的文件格式、内容和要求制作投标文件。</w:t>
      </w:r>
    </w:p>
    <w:p>
      <w:pPr>
        <w:snapToGrid w:val="0"/>
        <w:spacing w:line="400" w:lineRule="exact"/>
        <w:jc w:val="left"/>
        <w:rPr>
          <w:rFonts w:ascii="宋体" w:hAnsi="宋体"/>
          <w:b/>
          <w:szCs w:val="21"/>
        </w:rPr>
      </w:pPr>
      <w:r>
        <w:rPr>
          <w:rFonts w:hint="eastAsia" w:ascii="宋体" w:hAnsi="宋体"/>
          <w:b/>
          <w:szCs w:val="21"/>
        </w:rPr>
        <w:t>1．投标文件的组成</w:t>
      </w:r>
      <w:bookmarkEnd w:id="45"/>
      <w:bookmarkEnd w:id="46"/>
      <w:bookmarkEnd w:id="47"/>
      <w:bookmarkEnd w:id="48"/>
    </w:p>
    <w:p>
      <w:pPr>
        <w:spacing w:line="360" w:lineRule="auto"/>
        <w:ind w:firstLine="422" w:firstLineChars="200"/>
        <w:rPr>
          <w:rFonts w:ascii="宋体" w:hAnsi="宋体" w:cs="宋体"/>
          <w:szCs w:val="21"/>
        </w:rPr>
      </w:pPr>
      <w:r>
        <w:rPr>
          <w:rFonts w:hint="eastAsia"/>
          <w:b/>
          <w:bCs/>
        </w:rPr>
        <w:t>电子投标文件由资信技术文件及投标报价文件两部份组成</w:t>
      </w:r>
      <w:r>
        <w:rPr>
          <w:rFonts w:hint="eastAsia" w:ascii="宋体" w:hAnsi="宋体" w:cs="宋体"/>
          <w:szCs w:val="21"/>
        </w:rPr>
        <w:t>。其中电子投标文件中所须加盖公章部分均采用CA签章。</w:t>
      </w:r>
    </w:p>
    <w:p>
      <w:pPr>
        <w:widowControl/>
        <w:snapToGrid w:val="0"/>
        <w:spacing w:line="400" w:lineRule="exact"/>
        <w:jc w:val="left"/>
        <w:rPr>
          <w:rFonts w:ascii="宋体" w:hAnsi="宋体"/>
          <w:b/>
          <w:bCs/>
          <w:szCs w:val="21"/>
        </w:rPr>
      </w:pPr>
      <w:r>
        <w:rPr>
          <w:rFonts w:hint="eastAsia" w:ascii="宋体" w:hAnsi="宋体"/>
          <w:b/>
          <w:bCs/>
          <w:szCs w:val="21"/>
        </w:rPr>
        <w:t>1.1资信技术文件：</w:t>
      </w:r>
    </w:p>
    <w:p>
      <w:pPr>
        <w:spacing w:line="400" w:lineRule="exact"/>
        <w:jc w:val="left"/>
        <w:rPr>
          <w:rFonts w:ascii="宋体" w:hAnsi="宋体"/>
          <w:szCs w:val="21"/>
        </w:rPr>
      </w:pPr>
      <w:r>
        <w:rPr>
          <w:rFonts w:hint="eastAsia" w:ascii="宋体" w:hAnsi="宋体"/>
          <w:szCs w:val="21"/>
        </w:rPr>
        <w:t>1.1.1投标声明书；</w:t>
      </w:r>
      <w:r>
        <w:rPr>
          <w:rFonts w:hint="eastAsia"/>
          <w:szCs w:val="21"/>
        </w:rPr>
        <w:t>（</w:t>
      </w:r>
      <w:r>
        <w:rPr>
          <w:rFonts w:hint="eastAsia" w:ascii="宋体" w:hAnsi="宋体"/>
          <w:szCs w:val="21"/>
        </w:rPr>
        <w:t>格式见附件1）</w:t>
      </w:r>
    </w:p>
    <w:p>
      <w:pPr>
        <w:spacing w:line="400" w:lineRule="exact"/>
        <w:jc w:val="left"/>
        <w:rPr>
          <w:rFonts w:hAnsi="宋体"/>
          <w:szCs w:val="21"/>
        </w:rPr>
      </w:pPr>
      <w:r>
        <w:rPr>
          <w:rFonts w:hint="eastAsia" w:ascii="宋体" w:hAnsi="宋体"/>
          <w:szCs w:val="21"/>
        </w:rPr>
        <w:t>1.1.2</w:t>
      </w:r>
      <w:r>
        <w:rPr>
          <w:rFonts w:hint="eastAsia"/>
          <w:szCs w:val="21"/>
        </w:rPr>
        <w:t>法定代表人授权委托书；（</w:t>
      </w:r>
      <w:r>
        <w:rPr>
          <w:rFonts w:hint="eastAsia" w:ascii="宋体" w:hAnsi="宋体"/>
          <w:szCs w:val="21"/>
        </w:rPr>
        <w:t>格式见附</w:t>
      </w:r>
      <w:r>
        <w:rPr>
          <w:rFonts w:hint="eastAsia"/>
          <w:szCs w:val="21"/>
        </w:rPr>
        <w:t>件2）</w:t>
      </w:r>
    </w:p>
    <w:p>
      <w:pPr>
        <w:widowControl/>
        <w:snapToGrid w:val="0"/>
        <w:spacing w:line="400" w:lineRule="exact"/>
        <w:jc w:val="left"/>
        <w:rPr>
          <w:rFonts w:ascii="宋体" w:hAnsi="宋体"/>
          <w:szCs w:val="21"/>
        </w:rPr>
      </w:pPr>
      <w:r>
        <w:rPr>
          <w:rFonts w:hint="eastAsia" w:ascii="宋体" w:hAnsi="宋体"/>
          <w:szCs w:val="21"/>
        </w:rPr>
        <w:t>1.1.3诚信承诺书；（格式见附件3）</w:t>
      </w:r>
    </w:p>
    <w:p>
      <w:pPr>
        <w:widowControl/>
        <w:snapToGrid w:val="0"/>
        <w:spacing w:line="400" w:lineRule="exact"/>
        <w:jc w:val="left"/>
        <w:rPr>
          <w:rFonts w:ascii="宋体" w:hAnsi="宋体"/>
          <w:szCs w:val="21"/>
        </w:rPr>
      </w:pPr>
      <w:r>
        <w:rPr>
          <w:rFonts w:hint="eastAsia" w:ascii="宋体" w:hAnsi="宋体"/>
          <w:szCs w:val="21"/>
        </w:rPr>
        <w:t>1.1.4所有资质文件；（格式见附件4）</w:t>
      </w:r>
    </w:p>
    <w:p>
      <w:pPr>
        <w:adjustRightInd w:val="0"/>
        <w:snapToGrid w:val="0"/>
        <w:spacing w:line="400" w:lineRule="exact"/>
        <w:ind w:firstLine="420" w:firstLineChars="200"/>
        <w:rPr>
          <w:rFonts w:ascii="宋体" w:hAnsi="宋体"/>
          <w:szCs w:val="21"/>
        </w:rPr>
      </w:pPr>
      <w:r>
        <w:rPr>
          <w:rFonts w:hint="eastAsia" w:ascii="宋体" w:hAnsi="宋体"/>
          <w:szCs w:val="21"/>
        </w:rPr>
        <w:t>投标单位基本情况表、营业执照、企业资质、提供财务状况表（最近一个年度的资产负债表、利润表）、企业经营状况、优势、有关资信等级证明、荣誉证书和质量认证体系等资料。（以上证书复印件盖章）</w:t>
      </w:r>
    </w:p>
    <w:p>
      <w:pPr>
        <w:widowControl/>
        <w:snapToGrid w:val="0"/>
        <w:spacing w:line="400" w:lineRule="exact"/>
        <w:jc w:val="left"/>
        <w:rPr>
          <w:rFonts w:ascii="宋体" w:hAnsi="宋体"/>
          <w:szCs w:val="21"/>
        </w:rPr>
      </w:pPr>
      <w:r>
        <w:rPr>
          <w:rFonts w:hint="eastAsia" w:ascii="宋体" w:hAnsi="宋体"/>
          <w:szCs w:val="21"/>
        </w:rPr>
        <w:t>1.1.5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tabs>
          <w:tab w:val="left" w:pos="840"/>
        </w:tabs>
        <w:autoSpaceDE w:val="0"/>
        <w:autoSpaceDN w:val="0"/>
        <w:adjustRightInd w:val="0"/>
        <w:spacing w:line="440" w:lineRule="exact"/>
        <w:rPr>
          <w:rFonts w:ascii="宋体" w:hAnsi="宋体"/>
          <w:szCs w:val="21"/>
        </w:rPr>
      </w:pPr>
      <w:r>
        <w:rPr>
          <w:rFonts w:hint="eastAsia" w:ascii="宋体" w:hAnsi="宋体"/>
          <w:szCs w:val="21"/>
        </w:rPr>
        <w:t>1.1.6提供2017年1月1日以来的类似项目业绩。（以提供的加盖有效公章的合同及验收证明复印件为准，原件备查）</w:t>
      </w:r>
      <w:r>
        <w:rPr>
          <w:rFonts w:hint="eastAsia" w:ascii="宋体" w:hAnsi="宋体" w:cs="Arial"/>
          <w:szCs w:val="21"/>
        </w:rPr>
        <w:t>（格式见附件5）</w:t>
      </w:r>
    </w:p>
    <w:p>
      <w:pPr>
        <w:snapToGrid w:val="0"/>
        <w:spacing w:line="380" w:lineRule="exact"/>
        <w:rPr>
          <w:rFonts w:ascii="宋体" w:hAnsi="宋体" w:cs="Arial"/>
          <w:szCs w:val="21"/>
          <w:u w:val="single"/>
        </w:rPr>
      </w:pPr>
      <w:r>
        <w:rPr>
          <w:rFonts w:hint="eastAsia" w:ascii="宋体" w:hAnsi="宋体"/>
          <w:szCs w:val="21"/>
        </w:rPr>
        <w:t>1.1.7▲</w:t>
      </w:r>
      <w:r>
        <w:rPr>
          <w:rFonts w:hint="eastAsia" w:ascii="宋体" w:hAnsi="宋体"/>
          <w:szCs w:val="21"/>
          <w:u w:val="single"/>
        </w:rPr>
        <w:t>软硬件设备技术要求及性能：对货物总说明，产品的名称、型号、技术指标，要有完整的配置方案，详细列明所有技术指标（包括所投标产品的品牌（制造厂名称）、规格型号、详细配置、主要技术参数等）,</w:t>
      </w:r>
      <w:r>
        <w:rPr>
          <w:rFonts w:hint="eastAsia" w:ascii="宋体" w:hAnsi="宋体"/>
          <w:b/>
          <w:bCs/>
          <w:szCs w:val="21"/>
          <w:u w:val="single"/>
        </w:rPr>
        <w:t>项目的核心产品必须明确所投品牌、规格型号及具体技术指标。任何含糊不清的表述对评标结果的影响将是投标人的责任</w:t>
      </w:r>
      <w:r>
        <w:rPr>
          <w:rFonts w:hint="eastAsia" w:ascii="宋体" w:hAnsi="宋体"/>
          <w:szCs w:val="21"/>
          <w:u w:val="single"/>
        </w:rPr>
        <w:t>）。（格式见附件6、7）(不得带有价格）</w:t>
      </w:r>
    </w:p>
    <w:p>
      <w:pPr>
        <w:widowControl/>
        <w:snapToGrid w:val="0"/>
        <w:spacing w:line="400" w:lineRule="exact"/>
        <w:jc w:val="left"/>
        <w:rPr>
          <w:rFonts w:ascii="宋体" w:hAnsi="宋体"/>
          <w:szCs w:val="21"/>
        </w:rPr>
      </w:pPr>
      <w:r>
        <w:rPr>
          <w:rFonts w:hint="eastAsia" w:ascii="宋体" w:hAnsi="宋体"/>
          <w:szCs w:val="21"/>
        </w:rPr>
        <w:t>1.1.8技术规格偏离表；（格式见附件8）</w:t>
      </w:r>
    </w:p>
    <w:p>
      <w:pPr>
        <w:widowControl/>
        <w:snapToGrid w:val="0"/>
        <w:spacing w:line="400" w:lineRule="exact"/>
        <w:jc w:val="left"/>
        <w:rPr>
          <w:rFonts w:ascii="宋体" w:hAnsi="宋体"/>
          <w:szCs w:val="21"/>
        </w:rPr>
      </w:pPr>
      <w:r>
        <w:rPr>
          <w:rFonts w:hint="eastAsia" w:ascii="宋体" w:hAnsi="宋体"/>
          <w:szCs w:val="21"/>
        </w:rPr>
        <w:t>1.1.9投标人拥有主要装备和检测设施的情况和现状；（格式自拟）</w:t>
      </w:r>
    </w:p>
    <w:p>
      <w:pPr>
        <w:widowControl/>
        <w:snapToGrid w:val="0"/>
        <w:spacing w:line="400" w:lineRule="exact"/>
        <w:jc w:val="left"/>
        <w:rPr>
          <w:rFonts w:ascii="宋体" w:hAnsi="宋体"/>
          <w:szCs w:val="21"/>
        </w:rPr>
      </w:pPr>
      <w:r>
        <w:rPr>
          <w:rFonts w:hint="eastAsia" w:ascii="宋体" w:hAnsi="宋体"/>
          <w:szCs w:val="21"/>
        </w:rPr>
        <w:t>1.1.10项目实施人员一览表（格式见附件9）</w:t>
      </w:r>
    </w:p>
    <w:p>
      <w:pPr>
        <w:widowControl/>
        <w:snapToGrid w:val="0"/>
        <w:spacing w:line="400" w:lineRule="exact"/>
        <w:jc w:val="left"/>
        <w:rPr>
          <w:rFonts w:ascii="宋体" w:hAnsi="宋体"/>
          <w:szCs w:val="21"/>
        </w:rPr>
      </w:pPr>
      <w:r>
        <w:rPr>
          <w:rFonts w:hint="eastAsia" w:ascii="宋体" w:hAnsi="宋体"/>
          <w:szCs w:val="21"/>
        </w:rPr>
        <w:t>1.1.11</w:t>
      </w:r>
      <w:r>
        <w:rPr>
          <w:rFonts w:hint="eastAsia" w:hAnsi="宋体"/>
          <w:szCs w:val="21"/>
        </w:rPr>
        <w:t>备品备件及损耗件表</w:t>
      </w:r>
      <w:r>
        <w:rPr>
          <w:rFonts w:hint="eastAsia" w:ascii="宋体" w:hAnsi="宋体"/>
          <w:szCs w:val="21"/>
        </w:rPr>
        <w:t>；（格式见附件10）</w:t>
      </w:r>
    </w:p>
    <w:p>
      <w:pPr>
        <w:spacing w:line="400" w:lineRule="exact"/>
        <w:rPr>
          <w:rFonts w:ascii="宋体" w:hAnsi="宋体" w:cs="宋体"/>
        </w:rPr>
      </w:pPr>
      <w:r>
        <w:rPr>
          <w:rFonts w:hint="eastAsia" w:ascii="宋体" w:hAnsi="宋体" w:cs="宋体"/>
        </w:rPr>
        <w:t>1.1.12▲服务承诺方案：1、投标人建议的安装、调试、验收方法或方案（格式自拟）；2、技术服务、技术培训、售后服务的内容和措施（格式自拟）；3、免费质保期；4、质保期内服务措施；5、质保期外服务措施；6、其他服务承诺；7、距采购人最近或者能为本项目提供最优服务的网点情况表；8、选配件、专用耗材、售后服务优惠表。（格式见附件11）</w:t>
      </w:r>
    </w:p>
    <w:p>
      <w:pPr>
        <w:pStyle w:val="50"/>
        <w:spacing w:line="400" w:lineRule="exact"/>
        <w:jc w:val="left"/>
        <w:rPr>
          <w:rFonts w:hAnsi="宋体" w:cs="宋体"/>
        </w:rPr>
      </w:pPr>
      <w:r>
        <w:rPr>
          <w:rFonts w:hint="eastAsia" w:hAnsi="宋体"/>
          <w:sz w:val="21"/>
          <w:szCs w:val="21"/>
        </w:rPr>
        <w:t>1.1.13商务条款偏离表（格式见附件12）；</w:t>
      </w:r>
    </w:p>
    <w:p>
      <w:pPr>
        <w:widowControl/>
        <w:snapToGrid w:val="0"/>
        <w:spacing w:line="400" w:lineRule="exact"/>
        <w:jc w:val="left"/>
        <w:rPr>
          <w:rFonts w:ascii="宋体" w:hAnsi="宋体" w:cs="宋体"/>
          <w:szCs w:val="21"/>
        </w:rPr>
      </w:pPr>
      <w:r>
        <w:rPr>
          <w:rFonts w:hint="eastAsia" w:ascii="宋体" w:hAnsi="宋体" w:cs="宋体"/>
        </w:rPr>
        <w:t>1.1.14</w:t>
      </w:r>
      <w:r>
        <w:rPr>
          <w:rFonts w:hint="eastAsia" w:ascii="宋体" w:hAnsi="宋体" w:cs="宋体"/>
          <w:kern w:val="10"/>
          <w:szCs w:val="21"/>
        </w:rPr>
        <w:t>优惠条件及特殊承诺。</w:t>
      </w:r>
      <w:r>
        <w:rPr>
          <w:rFonts w:hint="eastAsia" w:ascii="宋体" w:hAnsi="宋体" w:cs="宋体"/>
          <w:szCs w:val="21"/>
        </w:rPr>
        <w:t>（格式自拟）</w:t>
      </w:r>
    </w:p>
    <w:p>
      <w:pPr>
        <w:spacing w:line="400" w:lineRule="exact"/>
        <w:jc w:val="left"/>
        <w:rPr>
          <w:rFonts w:ascii="宋体" w:hAnsi="宋体" w:cs="宋体"/>
          <w:szCs w:val="21"/>
        </w:rPr>
      </w:pPr>
      <w:r>
        <w:rPr>
          <w:rFonts w:hint="eastAsia" w:ascii="宋体" w:hAnsi="宋体" w:cs="宋体"/>
        </w:rPr>
        <w:t>1.1.15</w:t>
      </w:r>
      <w:r>
        <w:rPr>
          <w:rFonts w:hint="eastAsia" w:ascii="宋体" w:hAnsi="宋体" w:cs="宋体"/>
          <w:szCs w:val="21"/>
        </w:rPr>
        <w:t>投标人认为有必要提供的声明及文件资料。（格式自拟）</w:t>
      </w:r>
    </w:p>
    <w:p>
      <w:pPr>
        <w:spacing w:line="400" w:lineRule="exact"/>
        <w:jc w:val="left"/>
      </w:pPr>
      <w:r>
        <w:rPr>
          <w:rFonts w:hint="eastAsia" w:ascii="宋体" w:hAnsi="宋体" w:cs="宋体"/>
        </w:rPr>
        <w:t>1.1.16</w:t>
      </w:r>
      <w:r>
        <w:rPr>
          <w:rFonts w:hint="eastAsia" w:ascii="宋体" w:hAnsi="宋体" w:cs="宋体"/>
          <w:szCs w:val="21"/>
        </w:rPr>
        <w:t>未尽事</w:t>
      </w:r>
      <w:r>
        <w:rPr>
          <w:rFonts w:hint="eastAsia" w:ascii="宋体" w:hAnsi="宋体"/>
          <w:szCs w:val="21"/>
        </w:rPr>
        <w:t>宜请各投标人按评分细则制作资信技术部份。</w:t>
      </w:r>
    </w:p>
    <w:p>
      <w:pPr>
        <w:widowControl/>
        <w:snapToGrid w:val="0"/>
        <w:spacing w:line="400" w:lineRule="exact"/>
        <w:jc w:val="left"/>
        <w:rPr>
          <w:rFonts w:ascii="宋体" w:hAnsi="宋体"/>
          <w:szCs w:val="21"/>
        </w:rPr>
      </w:pPr>
      <w:r>
        <w:rPr>
          <w:rFonts w:hint="eastAsia" w:ascii="宋体" w:hAnsi="宋体"/>
          <w:szCs w:val="21"/>
        </w:rPr>
        <w:t>（注：复印件应加盖投标人公章）</w:t>
      </w:r>
    </w:p>
    <w:p>
      <w:pPr>
        <w:spacing w:line="400" w:lineRule="exact"/>
        <w:jc w:val="left"/>
        <w:rPr>
          <w:rFonts w:ascii="宋体" w:hAnsi="宋体"/>
          <w:b/>
          <w:bCs/>
          <w:szCs w:val="21"/>
        </w:rPr>
      </w:pPr>
      <w:r>
        <w:rPr>
          <w:rFonts w:hint="eastAsia" w:ascii="宋体" w:hAnsi="宋体"/>
          <w:b/>
          <w:bCs/>
          <w:szCs w:val="21"/>
        </w:rPr>
        <w:t>1.2 报价文件：</w:t>
      </w:r>
    </w:p>
    <w:p>
      <w:pPr>
        <w:widowControl/>
        <w:snapToGrid w:val="0"/>
        <w:spacing w:line="400" w:lineRule="exact"/>
        <w:jc w:val="left"/>
        <w:rPr>
          <w:rFonts w:ascii="宋体" w:hAnsi="宋体"/>
          <w:szCs w:val="21"/>
        </w:rPr>
      </w:pPr>
      <w:r>
        <w:rPr>
          <w:rFonts w:hint="eastAsia" w:ascii="宋体" w:hAnsi="宋体"/>
          <w:szCs w:val="21"/>
        </w:rPr>
        <w:t>1.2.1投标函（格式见附件13）；</w:t>
      </w:r>
    </w:p>
    <w:p>
      <w:pPr>
        <w:widowControl/>
        <w:snapToGrid w:val="0"/>
        <w:spacing w:line="400" w:lineRule="exact"/>
        <w:jc w:val="left"/>
      </w:pPr>
      <w:r>
        <w:rPr>
          <w:rFonts w:hint="eastAsia" w:ascii="宋体" w:hAnsi="宋体"/>
          <w:szCs w:val="21"/>
        </w:rPr>
        <w:t>1.2.2</w:t>
      </w:r>
      <w:r>
        <w:rPr>
          <w:rFonts w:hint="eastAsia" w:ascii="宋体" w:hAnsi="宋体"/>
        </w:rPr>
        <w:t>中小企业声明函、残疾人福利性单位声明函及其他符合政策性加分条件的承诺函或证明材料</w:t>
      </w:r>
      <w:r>
        <w:rPr>
          <w:rFonts w:hint="eastAsia" w:ascii="宋体" w:hAnsi="宋体"/>
          <w:szCs w:val="21"/>
        </w:rPr>
        <w:t>；（格式见附件14）</w:t>
      </w:r>
    </w:p>
    <w:p>
      <w:pPr>
        <w:snapToGrid w:val="0"/>
        <w:spacing w:line="400" w:lineRule="exact"/>
        <w:jc w:val="left"/>
        <w:rPr>
          <w:rFonts w:ascii="宋体" w:hAnsi="宋体"/>
          <w:szCs w:val="21"/>
        </w:rPr>
      </w:pPr>
      <w:r>
        <w:rPr>
          <w:rFonts w:hint="eastAsia" w:ascii="宋体" w:hAnsi="宋体"/>
          <w:szCs w:val="21"/>
        </w:rPr>
        <w:t>1.2.3开标一览表（格式见附件15）；</w:t>
      </w:r>
    </w:p>
    <w:p>
      <w:pPr>
        <w:snapToGrid w:val="0"/>
        <w:spacing w:line="400" w:lineRule="exact"/>
        <w:jc w:val="left"/>
        <w:rPr>
          <w:rFonts w:ascii="宋体" w:hAnsi="宋体"/>
          <w:szCs w:val="21"/>
        </w:rPr>
      </w:pPr>
      <w:r>
        <w:rPr>
          <w:rFonts w:hint="eastAsia" w:ascii="宋体" w:hAnsi="宋体"/>
          <w:szCs w:val="21"/>
        </w:rPr>
        <w:t>1.2.4投标报价明细表（格式见附件16）；</w:t>
      </w:r>
    </w:p>
    <w:p>
      <w:pPr>
        <w:pStyle w:val="17"/>
        <w:spacing w:line="400" w:lineRule="exact"/>
        <w:ind w:left="0" w:leftChars="0"/>
        <w:rPr>
          <w:rFonts w:ascii="宋体" w:hAnsi="宋体" w:eastAsia="宋体"/>
          <w:sz w:val="21"/>
          <w:szCs w:val="21"/>
        </w:rPr>
      </w:pPr>
      <w:r>
        <w:rPr>
          <w:rFonts w:hint="eastAsia" w:ascii="宋体" w:hAnsi="宋体" w:eastAsia="宋体"/>
          <w:sz w:val="21"/>
          <w:szCs w:val="21"/>
        </w:rPr>
        <w:t>1.2.5 投标人需要说明的其他文件和说明（格式自拟）。</w:t>
      </w:r>
    </w:p>
    <w:p>
      <w:pPr>
        <w:snapToGrid w:val="0"/>
        <w:spacing w:line="400" w:lineRule="exact"/>
        <w:jc w:val="left"/>
        <w:rPr>
          <w:rFonts w:ascii="宋体" w:hAnsi="宋体"/>
          <w:b/>
          <w:szCs w:val="21"/>
        </w:rPr>
      </w:pPr>
      <w:bookmarkStart w:id="50" w:name="_Toc177825125"/>
      <w:bookmarkStart w:id="51" w:name="_Toc177824877"/>
      <w:bookmarkStart w:id="52" w:name="_Toc177870547"/>
      <w:bookmarkStart w:id="53" w:name="_Toc177824944"/>
      <w:r>
        <w:rPr>
          <w:rFonts w:hint="eastAsia" w:ascii="宋体" w:hAnsi="宋体"/>
          <w:b/>
          <w:szCs w:val="21"/>
        </w:rPr>
        <w:t>2.投标文件的语言及计量</w:t>
      </w:r>
      <w:bookmarkEnd w:id="50"/>
      <w:bookmarkEnd w:id="51"/>
      <w:bookmarkEnd w:id="52"/>
      <w:bookmarkEnd w:id="53"/>
    </w:p>
    <w:p>
      <w:pPr>
        <w:snapToGrid w:val="0"/>
        <w:spacing w:line="400" w:lineRule="exact"/>
        <w:jc w:val="left"/>
        <w:rPr>
          <w:rFonts w:ascii="宋体" w:hAnsi="宋体"/>
          <w:szCs w:val="21"/>
        </w:rPr>
      </w:pPr>
      <w:r>
        <w:rPr>
          <w:rFonts w:hint="eastAsia" w:ascii="宋体" w:hAnsi="宋体"/>
          <w:szCs w:val="21"/>
        </w:rPr>
        <w:t>2.1投标文件以及投标方与招标方就有关投标事宜的所有来往函电，均应以中文书写。</w:t>
      </w:r>
    </w:p>
    <w:p>
      <w:pPr>
        <w:snapToGrid w:val="0"/>
        <w:spacing w:line="400" w:lineRule="exact"/>
        <w:jc w:val="left"/>
        <w:rPr>
          <w:rFonts w:ascii="宋体" w:hAnsi="宋体"/>
          <w:szCs w:val="21"/>
        </w:rPr>
      </w:pPr>
      <w:r>
        <w:rPr>
          <w:rFonts w:hint="eastAsia" w:ascii="宋体" w:hAnsi="宋体"/>
          <w:szCs w:val="21"/>
        </w:rPr>
        <w:t>2.2投标计量单位，除招标文件中有特殊要求外，应采用中华人民共和国法定计量单位，货币单位：人民币元。</w:t>
      </w:r>
    </w:p>
    <w:p>
      <w:pPr>
        <w:spacing w:line="400" w:lineRule="exact"/>
        <w:jc w:val="left"/>
        <w:rPr>
          <w:rFonts w:ascii="宋体" w:hAnsi="宋体"/>
          <w:b/>
          <w:szCs w:val="21"/>
        </w:rPr>
      </w:pPr>
      <w:bookmarkStart w:id="54" w:name="_Toc177870548"/>
      <w:bookmarkStart w:id="55" w:name="_Toc177824945"/>
      <w:bookmarkStart w:id="56" w:name="_Toc177824878"/>
      <w:bookmarkStart w:id="57" w:name="_Toc177825126"/>
      <w:r>
        <w:rPr>
          <w:rFonts w:hint="eastAsia" w:ascii="宋体" w:hAnsi="宋体"/>
          <w:b/>
          <w:szCs w:val="21"/>
        </w:rPr>
        <w:t>3. 投标报价</w:t>
      </w:r>
      <w:bookmarkEnd w:id="54"/>
      <w:bookmarkEnd w:id="55"/>
      <w:bookmarkEnd w:id="56"/>
      <w:bookmarkEnd w:id="57"/>
    </w:p>
    <w:p>
      <w:pPr>
        <w:pStyle w:val="16"/>
        <w:spacing w:line="480" w:lineRule="exact"/>
        <w:jc w:val="left"/>
        <w:rPr>
          <w:rFonts w:hAnsi="宋体"/>
          <w:sz w:val="21"/>
          <w:szCs w:val="21"/>
        </w:rPr>
      </w:pPr>
      <w:r>
        <w:rPr>
          <w:rFonts w:hint="eastAsia" w:hAnsi="宋体"/>
          <w:sz w:val="21"/>
          <w:szCs w:val="21"/>
        </w:rPr>
        <w:t>3.1投标报价应按招标文件中相关附表格式填写。</w:t>
      </w:r>
    </w:p>
    <w:p>
      <w:pPr>
        <w:tabs>
          <w:tab w:val="left" w:pos="6264"/>
        </w:tabs>
        <w:spacing w:line="400" w:lineRule="exact"/>
        <w:rPr>
          <w:b/>
          <w:bCs/>
          <w:szCs w:val="21"/>
          <w:u w:val="single"/>
        </w:rPr>
      </w:pPr>
      <w:r>
        <w:rPr>
          <w:rFonts w:hint="eastAsia"/>
        </w:rPr>
        <w:t>3.2▲</w:t>
      </w:r>
      <w:r>
        <w:rPr>
          <w:rFonts w:hint="eastAsia"/>
          <w:b/>
          <w:bCs/>
          <w:szCs w:val="21"/>
          <w:u w:val="single"/>
        </w:rPr>
        <w:t>本项目实施所需的软硬件设备费（含备品备件）、通讯费、人工费、运杂费、保险费、安装调试费、检验试验费、第三方检测费、售后服务及质保期内的设备更换、保养、维护费、税金等所涉及的一切费用均计入报价。投标总价为全部项目在质保期届满后的最终价格。</w:t>
      </w:r>
    </w:p>
    <w:p>
      <w:pPr>
        <w:tabs>
          <w:tab w:val="left" w:pos="6264"/>
        </w:tabs>
        <w:spacing w:line="400" w:lineRule="exact"/>
        <w:rPr>
          <w:rFonts w:ascii="宋体" w:hAnsi="宋体"/>
          <w:szCs w:val="21"/>
        </w:rPr>
      </w:pPr>
      <w:r>
        <w:rPr>
          <w:rFonts w:hint="eastAsia" w:ascii="宋体" w:hAnsi="宋体"/>
          <w:szCs w:val="21"/>
        </w:rPr>
        <w:t>3.3▲投标报价只允许有一个报价，有选择的报价将不予接受。</w:t>
      </w:r>
    </w:p>
    <w:p>
      <w:pPr>
        <w:tabs>
          <w:tab w:val="left" w:pos="525"/>
        </w:tabs>
        <w:spacing w:line="400" w:lineRule="exact"/>
        <w:jc w:val="left"/>
        <w:rPr>
          <w:rFonts w:ascii="宋体" w:hAnsi="宋体"/>
          <w:szCs w:val="21"/>
        </w:rPr>
      </w:pPr>
      <w:r>
        <w:rPr>
          <w:rFonts w:hint="eastAsia" w:ascii="宋体" w:hAnsi="宋体"/>
          <w:szCs w:val="21"/>
        </w:rPr>
        <w:t>3.4 投标人所报的投标报价在合同执行过程中是固定不变的，不得以任何理由予以变更。任何包含价格调整的要求，将被认为是非实质性响应投标而予以拒绝。</w:t>
      </w:r>
    </w:p>
    <w:p>
      <w:pPr>
        <w:tabs>
          <w:tab w:val="left" w:pos="525"/>
        </w:tabs>
        <w:spacing w:line="400" w:lineRule="exact"/>
        <w:jc w:val="left"/>
        <w:rPr>
          <w:rFonts w:ascii="宋体" w:hAnsi="宋体"/>
          <w:szCs w:val="21"/>
        </w:rPr>
      </w:pPr>
      <w:r>
        <w:rPr>
          <w:rFonts w:hint="eastAsia" w:ascii="宋体" w:hAnsi="宋体"/>
          <w:szCs w:val="21"/>
        </w:rPr>
        <w:t>3.5 最低报价不能作为中标的保证。</w:t>
      </w:r>
    </w:p>
    <w:p>
      <w:pPr>
        <w:pStyle w:val="7"/>
        <w:tabs>
          <w:tab w:val="clear" w:pos="454"/>
        </w:tabs>
        <w:spacing w:afterLines="0" w:line="400" w:lineRule="exact"/>
        <w:ind w:left="0" w:firstLine="0"/>
        <w:rPr>
          <w:rFonts w:ascii="宋体" w:hAnsi="宋体"/>
          <w:b/>
          <w:kern w:val="2"/>
          <w:sz w:val="21"/>
          <w:szCs w:val="21"/>
        </w:rPr>
      </w:pPr>
      <w:r>
        <w:rPr>
          <w:rFonts w:hint="eastAsia" w:ascii="宋体" w:hAnsi="宋体"/>
          <w:b/>
          <w:kern w:val="2"/>
          <w:sz w:val="21"/>
          <w:szCs w:val="21"/>
        </w:rPr>
        <w:t>4. 投标文件的有效期</w:t>
      </w:r>
    </w:p>
    <w:p>
      <w:pPr>
        <w:pStyle w:val="7"/>
        <w:tabs>
          <w:tab w:val="clear" w:pos="454"/>
        </w:tabs>
        <w:spacing w:afterLines="0" w:line="400" w:lineRule="exact"/>
        <w:ind w:left="0" w:firstLine="0"/>
        <w:rPr>
          <w:rFonts w:ascii="宋体" w:hAnsi="宋体"/>
          <w:sz w:val="21"/>
          <w:szCs w:val="21"/>
        </w:rPr>
      </w:pPr>
      <w:bookmarkStart w:id="58" w:name="_Toc177824880"/>
      <w:bookmarkStart w:id="59" w:name="_Toc177870550"/>
      <w:bookmarkStart w:id="60" w:name="_Toc177824947"/>
      <w:bookmarkStart w:id="61" w:name="_Toc177825128"/>
      <w:r>
        <w:rPr>
          <w:rFonts w:hint="eastAsia" w:ascii="宋体" w:hAnsi="宋体"/>
          <w:sz w:val="21"/>
          <w:szCs w:val="21"/>
        </w:rPr>
        <w:t>4.1投标文件合格投递后，在本须知前附表第9项规定的日期内有效。</w:t>
      </w:r>
    </w:p>
    <w:p>
      <w:pPr>
        <w:pStyle w:val="7"/>
        <w:tabs>
          <w:tab w:val="clear" w:pos="454"/>
        </w:tabs>
        <w:spacing w:afterLines="0" w:line="400" w:lineRule="exact"/>
        <w:ind w:left="0" w:firstLine="0"/>
        <w:rPr>
          <w:rFonts w:ascii="宋体" w:hAnsi="宋体"/>
          <w:sz w:val="21"/>
          <w:szCs w:val="21"/>
        </w:rPr>
      </w:pPr>
      <w:r>
        <w:rPr>
          <w:rFonts w:hint="eastAsia" w:ascii="宋体" w:hAnsi="宋体"/>
          <w:sz w:val="21"/>
          <w:szCs w:val="21"/>
        </w:rPr>
        <w:t>4.2在原定投标有效期之前，如果出现特殊情况，采购代理机构可以以书面形式通知投标人延长投标有效期。</w:t>
      </w:r>
    </w:p>
    <w:p>
      <w:pPr>
        <w:pStyle w:val="7"/>
        <w:tabs>
          <w:tab w:val="clear" w:pos="454"/>
        </w:tabs>
        <w:spacing w:afterLines="0" w:line="400" w:lineRule="exact"/>
        <w:ind w:left="0" w:firstLine="0"/>
        <w:rPr>
          <w:rFonts w:ascii="宋体" w:hAnsi="宋体"/>
          <w:sz w:val="21"/>
          <w:szCs w:val="21"/>
        </w:rPr>
      </w:pPr>
      <w:bookmarkStart w:id="62" w:name="_Toc177824879"/>
      <w:bookmarkStart w:id="63" w:name="_Toc177824946"/>
      <w:bookmarkStart w:id="64" w:name="_Toc177825127"/>
      <w:bookmarkStart w:id="65" w:name="_Toc177870549"/>
      <w:r>
        <w:rPr>
          <w:rFonts w:hint="eastAsia" w:ascii="宋体" w:hAnsi="宋体"/>
          <w:sz w:val="21"/>
          <w:szCs w:val="21"/>
        </w:rPr>
        <w:t>4.3投标人可拒绝接受延期要求。同意延长有效期的投标人不能修改投标文件。</w:t>
      </w:r>
      <w:bookmarkEnd w:id="62"/>
      <w:bookmarkEnd w:id="63"/>
      <w:bookmarkEnd w:id="64"/>
      <w:bookmarkEnd w:id="65"/>
    </w:p>
    <w:p>
      <w:pPr>
        <w:snapToGrid w:val="0"/>
        <w:spacing w:line="400" w:lineRule="exact"/>
        <w:jc w:val="left"/>
        <w:rPr>
          <w:rFonts w:ascii="宋体" w:hAnsi="宋体"/>
          <w:b/>
          <w:szCs w:val="21"/>
        </w:rPr>
      </w:pPr>
      <w:r>
        <w:rPr>
          <w:rFonts w:hint="eastAsia" w:ascii="宋体" w:hAnsi="宋体"/>
          <w:b/>
          <w:szCs w:val="21"/>
        </w:rPr>
        <w:t>5.投标保证金</w:t>
      </w:r>
      <w:bookmarkEnd w:id="58"/>
      <w:bookmarkEnd w:id="59"/>
      <w:bookmarkEnd w:id="60"/>
      <w:bookmarkEnd w:id="61"/>
    </w:p>
    <w:p>
      <w:pPr>
        <w:spacing w:line="400" w:lineRule="exact"/>
        <w:jc w:val="left"/>
        <w:rPr>
          <w:rFonts w:ascii="宋体" w:hAnsi="宋体"/>
          <w:szCs w:val="21"/>
        </w:rPr>
      </w:pPr>
      <w:r>
        <w:rPr>
          <w:rFonts w:hint="eastAsia" w:ascii="宋体" w:hAnsi="宋体"/>
          <w:kern w:val="0"/>
          <w:szCs w:val="21"/>
        </w:rPr>
        <w:t>5.1本项目不设置投标保证金。</w:t>
      </w:r>
    </w:p>
    <w:p>
      <w:pPr>
        <w:spacing w:beforeLines="50" w:afterLines="50" w:line="400" w:lineRule="exact"/>
        <w:ind w:left="238"/>
        <w:jc w:val="center"/>
        <w:outlineLvl w:val="1"/>
        <w:rPr>
          <w:rFonts w:ascii="宋体" w:hAnsi="宋体"/>
          <w:b/>
          <w:sz w:val="28"/>
          <w:szCs w:val="28"/>
        </w:rPr>
      </w:pPr>
      <w:bookmarkStart w:id="66" w:name="_Toc177870553"/>
      <w:bookmarkStart w:id="67" w:name="_Toc107820050"/>
      <w:bookmarkStart w:id="68" w:name="_Toc170792769"/>
      <w:bookmarkStart w:id="69" w:name="_Toc26367"/>
      <w:r>
        <w:rPr>
          <w:rFonts w:hint="eastAsia" w:ascii="宋体" w:hAnsi="宋体"/>
          <w:b/>
          <w:sz w:val="28"/>
          <w:szCs w:val="28"/>
        </w:rPr>
        <w:t>四、开标</w:t>
      </w:r>
      <w:bookmarkEnd w:id="66"/>
      <w:bookmarkEnd w:id="67"/>
      <w:bookmarkEnd w:id="68"/>
      <w:bookmarkEnd w:id="69"/>
    </w:p>
    <w:p>
      <w:pPr>
        <w:pStyle w:val="16"/>
        <w:spacing w:line="400" w:lineRule="exact"/>
        <w:rPr>
          <w:rFonts w:hAnsi="宋体"/>
          <w:b/>
          <w:sz w:val="21"/>
          <w:szCs w:val="21"/>
        </w:rPr>
      </w:pPr>
      <w:bookmarkStart w:id="70" w:name="_Toc11062"/>
      <w:bookmarkStart w:id="71" w:name="_Toc177870554"/>
      <w:r>
        <w:rPr>
          <w:rFonts w:hint="eastAsia" w:hAnsi="宋体"/>
          <w:b/>
          <w:sz w:val="21"/>
          <w:szCs w:val="21"/>
        </w:rPr>
        <w:t>1.开标</w:t>
      </w:r>
    </w:p>
    <w:p>
      <w:pPr>
        <w:pStyle w:val="16"/>
        <w:spacing w:line="440" w:lineRule="exact"/>
        <w:rPr>
          <w:rFonts w:hAnsi="宋体"/>
          <w:sz w:val="21"/>
          <w:szCs w:val="21"/>
        </w:rPr>
      </w:pPr>
      <w:r>
        <w:rPr>
          <w:rFonts w:hint="eastAsia" w:hAnsi="宋体"/>
          <w:sz w:val="21"/>
          <w:szCs w:val="21"/>
        </w:rPr>
        <w:t>1.1本项目于</w:t>
      </w:r>
      <w:r>
        <w:rPr>
          <w:rFonts w:hint="eastAsia" w:hAnsi="宋体"/>
          <w:color w:val="FF0000"/>
          <w:sz w:val="21"/>
          <w:szCs w:val="21"/>
        </w:rPr>
        <w:t>2020年11月  日9:30分</w:t>
      </w:r>
      <w:r>
        <w:rPr>
          <w:rFonts w:hint="eastAsia" w:hAnsi="宋体"/>
          <w:sz w:val="21"/>
          <w:szCs w:val="21"/>
        </w:rPr>
        <w:t>在</w:t>
      </w:r>
      <w:r>
        <w:rPr>
          <w:rFonts w:hint="eastAsia" w:hAnsi="宋体" w:cs="宋体"/>
          <w:sz w:val="21"/>
          <w:szCs w:val="21"/>
        </w:rPr>
        <w:t>嘉兴市公共资源交易中心开标室（嘉兴市广场路350号蒋水港桥西侧）</w:t>
      </w:r>
      <w:r>
        <w:rPr>
          <w:rFonts w:hint="eastAsia" w:hAnsi="宋体"/>
          <w:sz w:val="21"/>
          <w:szCs w:val="21"/>
        </w:rPr>
        <w:t>的指定地点进行开标。</w:t>
      </w:r>
    </w:p>
    <w:p>
      <w:pPr>
        <w:pStyle w:val="16"/>
        <w:spacing w:line="440" w:lineRule="exact"/>
        <w:rPr>
          <w:rFonts w:hAnsi="宋体"/>
          <w:b/>
          <w:bCs/>
          <w:sz w:val="21"/>
          <w:szCs w:val="21"/>
        </w:rPr>
      </w:pPr>
      <w:r>
        <w:rPr>
          <w:rFonts w:hint="eastAsia" w:hAnsi="宋体"/>
          <w:b/>
          <w:bCs/>
          <w:sz w:val="21"/>
          <w:szCs w:val="21"/>
        </w:rPr>
        <w:t>2.采购人或者采购代理机构职责</w:t>
      </w:r>
    </w:p>
    <w:p>
      <w:pPr>
        <w:pStyle w:val="16"/>
        <w:spacing w:line="440" w:lineRule="exact"/>
        <w:rPr>
          <w:rFonts w:hAnsi="宋体"/>
          <w:sz w:val="21"/>
          <w:szCs w:val="21"/>
        </w:rPr>
      </w:pPr>
      <w:r>
        <w:rPr>
          <w:rFonts w:hint="eastAsia" w:hAnsi="宋体"/>
          <w:sz w:val="21"/>
          <w:szCs w:val="21"/>
        </w:rPr>
        <w:t>采购人或者采购代理机构负责组织评标工作，并履行下列职责：</w:t>
      </w:r>
    </w:p>
    <w:p>
      <w:pPr>
        <w:pStyle w:val="16"/>
        <w:spacing w:line="440" w:lineRule="exact"/>
        <w:rPr>
          <w:rFonts w:hAnsi="宋体"/>
          <w:sz w:val="21"/>
          <w:szCs w:val="21"/>
        </w:rPr>
      </w:pPr>
      <w:r>
        <w:rPr>
          <w:rFonts w:hint="eastAsia" w:hAnsi="宋体"/>
          <w:sz w:val="21"/>
          <w:szCs w:val="21"/>
        </w:rPr>
        <w:t>2.1核对评审专家身份和采购人代表授权函，对评审专家在政府采购活动中的职责履行情况予以记录，并及时将有关违法违规行为向财政部门报告；</w:t>
      </w:r>
    </w:p>
    <w:p>
      <w:pPr>
        <w:pStyle w:val="16"/>
        <w:spacing w:line="440" w:lineRule="exact"/>
        <w:rPr>
          <w:rFonts w:hAnsi="宋体"/>
          <w:sz w:val="21"/>
          <w:szCs w:val="21"/>
        </w:rPr>
      </w:pPr>
      <w:r>
        <w:rPr>
          <w:rFonts w:hint="eastAsia" w:hAnsi="宋体"/>
          <w:sz w:val="21"/>
          <w:szCs w:val="21"/>
        </w:rPr>
        <w:t>2.2宣布评标纪律；</w:t>
      </w:r>
    </w:p>
    <w:p>
      <w:pPr>
        <w:pStyle w:val="16"/>
        <w:spacing w:line="440" w:lineRule="exact"/>
        <w:rPr>
          <w:rFonts w:hAnsi="宋体"/>
          <w:sz w:val="21"/>
          <w:szCs w:val="21"/>
        </w:rPr>
      </w:pPr>
      <w:r>
        <w:rPr>
          <w:rFonts w:hint="eastAsia" w:hAnsi="宋体"/>
          <w:sz w:val="21"/>
          <w:szCs w:val="21"/>
        </w:rPr>
        <w:t>2.3公布投标人名单，告知评审专家应当回避的情形；</w:t>
      </w:r>
    </w:p>
    <w:p>
      <w:pPr>
        <w:pStyle w:val="16"/>
        <w:spacing w:line="440" w:lineRule="exact"/>
        <w:rPr>
          <w:rFonts w:hAnsi="宋体"/>
          <w:sz w:val="21"/>
          <w:szCs w:val="21"/>
        </w:rPr>
      </w:pPr>
      <w:r>
        <w:rPr>
          <w:rFonts w:hint="eastAsia" w:hAnsi="宋体"/>
          <w:sz w:val="21"/>
          <w:szCs w:val="21"/>
        </w:rPr>
        <w:t>2.4组织评标委员会推选评标组长，采购人代表不得担任组长；</w:t>
      </w:r>
    </w:p>
    <w:p>
      <w:pPr>
        <w:pStyle w:val="16"/>
        <w:spacing w:line="440" w:lineRule="exact"/>
        <w:rPr>
          <w:rFonts w:hAnsi="宋体"/>
          <w:sz w:val="21"/>
          <w:szCs w:val="21"/>
        </w:rPr>
      </w:pPr>
      <w:r>
        <w:rPr>
          <w:rFonts w:hint="eastAsia" w:hAnsi="宋体"/>
          <w:sz w:val="21"/>
          <w:szCs w:val="21"/>
        </w:rPr>
        <w:t>2.5在评标期间采取必要的通讯管理措施，保证评标活动不受外界干扰；</w:t>
      </w:r>
    </w:p>
    <w:p>
      <w:pPr>
        <w:pStyle w:val="16"/>
        <w:spacing w:line="440" w:lineRule="exact"/>
        <w:rPr>
          <w:rFonts w:hAnsi="宋体"/>
          <w:sz w:val="21"/>
          <w:szCs w:val="21"/>
        </w:rPr>
      </w:pPr>
      <w:r>
        <w:rPr>
          <w:rFonts w:hint="eastAsia" w:hAnsi="宋体"/>
          <w:sz w:val="21"/>
          <w:szCs w:val="21"/>
        </w:rPr>
        <w:t>2.6根据评标委员会的要求介绍政府采购相关政策法规、招标文件；</w:t>
      </w:r>
    </w:p>
    <w:p>
      <w:pPr>
        <w:pStyle w:val="16"/>
        <w:spacing w:line="440" w:lineRule="exact"/>
        <w:rPr>
          <w:rFonts w:hAnsi="宋体"/>
          <w:sz w:val="21"/>
          <w:szCs w:val="21"/>
        </w:rPr>
      </w:pPr>
      <w:r>
        <w:rPr>
          <w:rFonts w:hint="eastAsia" w:hAnsi="宋体"/>
          <w:sz w:val="21"/>
          <w:szCs w:val="21"/>
        </w:rPr>
        <w:t>2.7维护评标秩序，监督评标委员会依照招标文件规定的评标程序、方法和标准进行独立评审，及时制止和纠正采购人代表、评审专家的倾向性言论或者违法违规行为；</w:t>
      </w:r>
    </w:p>
    <w:p>
      <w:pPr>
        <w:pStyle w:val="16"/>
        <w:spacing w:line="440" w:lineRule="exact"/>
        <w:rPr>
          <w:rFonts w:hAnsi="宋体"/>
          <w:sz w:val="21"/>
          <w:szCs w:val="21"/>
        </w:rPr>
      </w:pPr>
      <w:r>
        <w:rPr>
          <w:rFonts w:hint="eastAsia" w:hAnsi="宋体"/>
          <w:sz w:val="21"/>
          <w:szCs w:val="21"/>
        </w:rPr>
        <w:t>2.8核对评标结果，要求评标委员会复核或者书面说明理由，评标委员会拒绝的，应予记录并向本级财政部门报告；</w:t>
      </w:r>
    </w:p>
    <w:p>
      <w:pPr>
        <w:pStyle w:val="16"/>
        <w:spacing w:line="440" w:lineRule="exact"/>
        <w:rPr>
          <w:rFonts w:hAnsi="宋体"/>
          <w:sz w:val="21"/>
          <w:szCs w:val="21"/>
        </w:rPr>
      </w:pPr>
      <w:r>
        <w:rPr>
          <w:rFonts w:hint="eastAsia" w:hAnsi="宋体"/>
          <w:sz w:val="21"/>
          <w:szCs w:val="21"/>
        </w:rPr>
        <w:t>2.9评审工作完成后，按照规定向评审专家支付劳务报酬和异地评审差旅费，不得向评审专家以外的其他人员支付评审劳务报酬；</w:t>
      </w:r>
    </w:p>
    <w:p>
      <w:pPr>
        <w:pStyle w:val="16"/>
        <w:spacing w:line="440" w:lineRule="exact"/>
        <w:rPr>
          <w:rFonts w:hAnsi="宋体"/>
          <w:sz w:val="21"/>
          <w:szCs w:val="21"/>
        </w:rPr>
      </w:pPr>
      <w:r>
        <w:rPr>
          <w:rFonts w:hint="eastAsia" w:hAnsi="宋体"/>
          <w:sz w:val="21"/>
          <w:szCs w:val="21"/>
        </w:rPr>
        <w:t>2.10处理与评标有关的其他事项。</w:t>
      </w:r>
    </w:p>
    <w:p>
      <w:pPr>
        <w:pStyle w:val="16"/>
        <w:spacing w:line="440" w:lineRule="exact"/>
        <w:rPr>
          <w:rFonts w:hAnsi="宋体"/>
          <w:b/>
          <w:bCs/>
          <w:sz w:val="21"/>
          <w:szCs w:val="21"/>
        </w:rPr>
      </w:pPr>
      <w:r>
        <w:rPr>
          <w:rFonts w:hint="eastAsia" w:hAnsi="宋体"/>
          <w:b/>
          <w:bCs/>
          <w:sz w:val="21"/>
          <w:szCs w:val="21"/>
        </w:rPr>
        <w:t>3.开标程序</w:t>
      </w:r>
    </w:p>
    <w:p>
      <w:pPr>
        <w:pStyle w:val="13"/>
        <w:snapToGrid w:val="0"/>
        <w:spacing w:line="360" w:lineRule="auto"/>
        <w:ind w:right="-147" w:rightChars="-70" w:firstLine="0"/>
        <w:rPr>
          <w:rFonts w:hAnsi="宋体"/>
          <w:spacing w:val="0"/>
          <w:sz w:val="21"/>
          <w:szCs w:val="21"/>
        </w:rPr>
      </w:pPr>
      <w:r>
        <w:rPr>
          <w:rFonts w:hint="eastAsia" w:hAnsi="宋体"/>
          <w:spacing w:val="0"/>
          <w:sz w:val="21"/>
          <w:szCs w:val="21"/>
        </w:rPr>
        <w:t>3.1开标会议由采购代理机构主持，主持人宣布开标会议开始；</w:t>
      </w:r>
    </w:p>
    <w:p>
      <w:pPr>
        <w:pStyle w:val="13"/>
        <w:snapToGrid w:val="0"/>
        <w:spacing w:line="360" w:lineRule="auto"/>
        <w:ind w:right="-147" w:rightChars="-70" w:firstLine="0"/>
        <w:rPr>
          <w:rFonts w:hAnsi="宋体"/>
          <w:spacing w:val="0"/>
          <w:sz w:val="21"/>
          <w:szCs w:val="21"/>
        </w:rPr>
      </w:pPr>
      <w:r>
        <w:rPr>
          <w:rFonts w:hint="eastAsia" w:hAnsi="宋体"/>
          <w:spacing w:val="0"/>
          <w:sz w:val="21"/>
          <w:szCs w:val="21"/>
        </w:rPr>
        <w:t xml:space="preserve">3.2主持人介绍参加开标会的人员名单； </w:t>
      </w:r>
    </w:p>
    <w:p>
      <w:pPr>
        <w:pStyle w:val="13"/>
        <w:snapToGrid w:val="0"/>
        <w:spacing w:line="360" w:lineRule="auto"/>
        <w:ind w:right="-147" w:rightChars="-70" w:firstLine="0"/>
        <w:rPr>
          <w:rFonts w:hAnsi="宋体"/>
          <w:spacing w:val="0"/>
          <w:sz w:val="21"/>
          <w:szCs w:val="21"/>
        </w:rPr>
      </w:pPr>
      <w:r>
        <w:rPr>
          <w:rFonts w:hint="eastAsia" w:hAnsi="宋体"/>
          <w:spacing w:val="0"/>
          <w:sz w:val="21"/>
          <w:szCs w:val="21"/>
        </w:rPr>
        <w:t>3.3主持人宣布评标期间的有关事项；告知应当回避的情形,提请有关人员回避。</w:t>
      </w:r>
    </w:p>
    <w:p>
      <w:pPr>
        <w:pStyle w:val="13"/>
        <w:snapToGrid w:val="0"/>
        <w:spacing w:line="360" w:lineRule="auto"/>
        <w:ind w:right="-147" w:rightChars="-70" w:firstLine="0"/>
        <w:rPr>
          <w:rFonts w:hAnsi="宋体"/>
          <w:spacing w:val="0"/>
          <w:sz w:val="21"/>
          <w:szCs w:val="21"/>
        </w:rPr>
      </w:pPr>
      <w:r>
        <w:rPr>
          <w:rFonts w:hint="eastAsia" w:hAnsi="宋体"/>
          <w:spacing w:val="0"/>
          <w:sz w:val="21"/>
          <w:szCs w:val="21"/>
        </w:rPr>
        <w:t>3.4</w:t>
      </w:r>
      <w:r>
        <w:rPr>
          <w:rFonts w:hint="eastAsia" w:hAnsi="宋体"/>
          <w:spacing w:val="0"/>
          <w:kern w:val="0"/>
          <w:sz w:val="21"/>
          <w:szCs w:val="21"/>
        </w:rPr>
        <w:t>本项目实行电子开评标，供应商无需到开标现场，但须准时在线参加，直至评审结束。</w:t>
      </w:r>
    </w:p>
    <w:p>
      <w:pPr>
        <w:pStyle w:val="16"/>
        <w:snapToGrid w:val="0"/>
        <w:spacing w:line="360" w:lineRule="auto"/>
        <w:rPr>
          <w:rFonts w:hAnsi="宋体" w:cs="宋体"/>
          <w:b/>
          <w:bCs/>
          <w:sz w:val="21"/>
          <w:szCs w:val="21"/>
        </w:rPr>
      </w:pPr>
      <w:r>
        <w:rPr>
          <w:rFonts w:hint="eastAsia" w:hAnsi="宋体" w:cs="宋体"/>
          <w:b/>
          <w:bCs/>
          <w:sz w:val="21"/>
          <w:szCs w:val="21"/>
        </w:rPr>
        <w:t>3.5投标文件开启</w:t>
      </w:r>
    </w:p>
    <w:p>
      <w:pPr>
        <w:pStyle w:val="16"/>
        <w:snapToGrid w:val="0"/>
        <w:spacing w:line="360" w:lineRule="auto"/>
        <w:ind w:firstLine="422" w:firstLineChars="200"/>
        <w:rPr>
          <w:rFonts w:hAnsi="宋体" w:cs="宋体"/>
          <w:sz w:val="21"/>
          <w:szCs w:val="21"/>
        </w:rPr>
      </w:pPr>
      <w:r>
        <w:rPr>
          <w:rFonts w:hint="eastAsia" w:hAnsi="宋体" w:cs="宋体"/>
          <w:b/>
          <w:sz w:val="21"/>
          <w:szCs w:val="21"/>
        </w:rPr>
        <w:t>3.5.1电子投标文件开标</w:t>
      </w:r>
      <w:r>
        <w:rPr>
          <w:rFonts w:hint="eastAsia" w:hAnsi="宋体" w:cs="宋体"/>
          <w:sz w:val="21"/>
          <w:szCs w:val="21"/>
        </w:rPr>
        <w:t>：投标截止时间后，投标人登录政采云平台，用“项目采购-开标评标”功能对电子投标文件进行在线解密。在线解密电子投标文件时间为开标时间起30分钟内。</w:t>
      </w:r>
    </w:p>
    <w:p>
      <w:pPr>
        <w:pStyle w:val="16"/>
        <w:snapToGrid w:val="0"/>
        <w:spacing w:line="360" w:lineRule="auto"/>
        <w:ind w:firstLine="422" w:firstLineChars="200"/>
        <w:rPr>
          <w:rFonts w:hAnsi="宋体" w:cs="宋体"/>
          <w:sz w:val="21"/>
          <w:szCs w:val="21"/>
        </w:rPr>
      </w:pPr>
      <w:r>
        <w:rPr>
          <w:rFonts w:hint="eastAsia" w:hAnsi="宋体" w:cs="宋体"/>
          <w:b/>
          <w:sz w:val="21"/>
          <w:szCs w:val="21"/>
        </w:rPr>
        <w:t>3.5.2</w:t>
      </w:r>
      <w:r>
        <w:rPr>
          <w:rFonts w:hint="eastAsia" w:hAnsi="宋体" w:cs="宋体"/>
          <w:b/>
          <w:bCs/>
          <w:sz w:val="21"/>
          <w:szCs w:val="21"/>
        </w:rPr>
        <w:t>电子投标文件无法正常解密时，开启备份电子投标文件。</w:t>
      </w:r>
    </w:p>
    <w:p>
      <w:pPr>
        <w:pStyle w:val="16"/>
        <w:snapToGrid w:val="0"/>
        <w:spacing w:line="360" w:lineRule="auto"/>
        <w:rPr>
          <w:rFonts w:hAnsi="宋体" w:cs="宋体"/>
          <w:sz w:val="21"/>
          <w:szCs w:val="21"/>
        </w:rPr>
      </w:pPr>
      <w:r>
        <w:rPr>
          <w:rFonts w:hint="eastAsia" w:hAnsi="宋体" w:cs="宋体"/>
          <w:sz w:val="21"/>
          <w:szCs w:val="21"/>
        </w:rPr>
        <w:t>3.6由采购人代表或代理机构评审资格审查文件，若资格审查不符合招标文件要求，即终止其参与投标资格。</w:t>
      </w:r>
    </w:p>
    <w:p>
      <w:pPr>
        <w:pStyle w:val="16"/>
        <w:snapToGrid w:val="0"/>
        <w:spacing w:line="360" w:lineRule="auto"/>
        <w:rPr>
          <w:rFonts w:hAnsi="宋体" w:cs="宋体"/>
          <w:sz w:val="21"/>
          <w:szCs w:val="21"/>
        </w:rPr>
      </w:pPr>
      <w:r>
        <w:rPr>
          <w:rFonts w:hint="eastAsia" w:hAnsi="宋体" w:cs="宋体"/>
          <w:sz w:val="21"/>
          <w:szCs w:val="21"/>
        </w:rPr>
        <w:t>3.7评审组首先对资信商务及技术进行评审，并完成资信和技术分的评审。</w:t>
      </w:r>
    </w:p>
    <w:p>
      <w:pPr>
        <w:pStyle w:val="16"/>
        <w:snapToGrid w:val="0"/>
        <w:spacing w:line="360" w:lineRule="auto"/>
        <w:rPr>
          <w:rFonts w:hAnsi="宋体" w:cs="宋体"/>
          <w:sz w:val="21"/>
          <w:szCs w:val="21"/>
        </w:rPr>
      </w:pPr>
      <w:r>
        <w:rPr>
          <w:rFonts w:hint="eastAsia" w:hAnsi="宋体" w:cs="宋体"/>
          <w:sz w:val="21"/>
          <w:szCs w:val="21"/>
        </w:rPr>
        <w:t>3.8由主持人开启投标单位的报价文件，宣读《开标一览表》中的供应商名称及在其投标文件中承诺的投标报价、投标内容（投标设备名称、规格型号或者服务项目名称），以及主持人认为有必要宣读的其他内容，并由供应商代表确认。</w:t>
      </w:r>
    </w:p>
    <w:p>
      <w:pPr>
        <w:pStyle w:val="16"/>
        <w:snapToGrid w:val="0"/>
        <w:spacing w:line="360" w:lineRule="auto"/>
        <w:rPr>
          <w:rFonts w:hAnsi="宋体" w:cs="宋体"/>
          <w:sz w:val="21"/>
          <w:szCs w:val="21"/>
        </w:rPr>
      </w:pPr>
      <w:r>
        <w:rPr>
          <w:rFonts w:hint="eastAsia" w:hAnsi="宋体" w:cs="宋体"/>
          <w:sz w:val="21"/>
          <w:szCs w:val="21"/>
        </w:rPr>
        <w:t>3.9嘉兴市明扬工程咨询有限公司记录人做开标记录，同时由主持人、记录人、监督人当场签字确认。</w:t>
      </w:r>
    </w:p>
    <w:p>
      <w:pPr>
        <w:pStyle w:val="16"/>
        <w:snapToGrid w:val="0"/>
        <w:spacing w:line="360" w:lineRule="auto"/>
        <w:rPr>
          <w:rFonts w:hAnsi="宋体" w:cs="宋体"/>
          <w:sz w:val="21"/>
          <w:szCs w:val="21"/>
        </w:rPr>
      </w:pPr>
      <w:r>
        <w:rPr>
          <w:rFonts w:hint="eastAsia" w:hAnsi="宋体" w:cs="宋体"/>
          <w:sz w:val="21"/>
          <w:szCs w:val="21"/>
        </w:rPr>
        <w:t>3.10开标及评审会议结束。</w:t>
      </w:r>
    </w:p>
    <w:p>
      <w:pPr>
        <w:spacing w:beforeLines="50" w:afterLines="50" w:line="400" w:lineRule="exact"/>
        <w:ind w:left="238"/>
        <w:jc w:val="center"/>
        <w:outlineLvl w:val="1"/>
        <w:rPr>
          <w:rFonts w:ascii="宋体" w:hAnsi="宋体"/>
          <w:b/>
          <w:sz w:val="28"/>
          <w:szCs w:val="28"/>
        </w:rPr>
      </w:pPr>
      <w:r>
        <w:rPr>
          <w:rFonts w:hint="eastAsia" w:ascii="宋体" w:hAnsi="宋体"/>
          <w:b/>
          <w:sz w:val="28"/>
          <w:szCs w:val="28"/>
        </w:rPr>
        <w:t>五、评标</w:t>
      </w:r>
      <w:bookmarkEnd w:id="70"/>
      <w:bookmarkEnd w:id="71"/>
    </w:p>
    <w:p>
      <w:pPr>
        <w:pStyle w:val="16"/>
        <w:spacing w:line="400" w:lineRule="exact"/>
        <w:ind w:left="527" w:hanging="527" w:hangingChars="250"/>
        <w:jc w:val="left"/>
        <w:rPr>
          <w:rFonts w:hAnsi="宋体"/>
          <w:b/>
          <w:sz w:val="21"/>
          <w:szCs w:val="21"/>
        </w:rPr>
      </w:pPr>
      <w:r>
        <w:rPr>
          <w:rFonts w:hint="eastAsia" w:hAnsi="宋体"/>
          <w:b/>
          <w:sz w:val="21"/>
          <w:szCs w:val="21"/>
        </w:rPr>
        <w:t>1.专家抽取</w:t>
      </w:r>
    </w:p>
    <w:p>
      <w:pPr>
        <w:pStyle w:val="16"/>
        <w:spacing w:line="400" w:lineRule="exact"/>
        <w:ind w:firstLine="420" w:firstLineChars="200"/>
        <w:jc w:val="left"/>
        <w:rPr>
          <w:rFonts w:hAnsi="宋体"/>
          <w:sz w:val="21"/>
          <w:szCs w:val="21"/>
        </w:rPr>
      </w:pPr>
      <w:r>
        <w:rPr>
          <w:rFonts w:hint="eastAsia" w:hAnsi="宋体"/>
          <w:sz w:val="21"/>
          <w:szCs w:val="21"/>
        </w:rPr>
        <w:t>根据采购项目的特点，在浙江省政府采购评标专家库中随机抽取五名专家和业主代表二名共七名组成评审专家组。</w:t>
      </w:r>
    </w:p>
    <w:p>
      <w:pPr>
        <w:pStyle w:val="16"/>
        <w:spacing w:line="400" w:lineRule="exact"/>
        <w:ind w:firstLine="422" w:firstLineChars="200"/>
        <w:jc w:val="left"/>
        <w:rPr>
          <w:rFonts w:hAnsi="宋体"/>
          <w:b/>
          <w:bCs/>
          <w:sz w:val="21"/>
          <w:szCs w:val="21"/>
        </w:rPr>
      </w:pPr>
      <w:r>
        <w:rPr>
          <w:rFonts w:hint="eastAsia" w:hAnsi="宋体"/>
          <w:b/>
          <w:bCs/>
          <w:sz w:val="21"/>
          <w:szCs w:val="21"/>
        </w:rPr>
        <w:t>评标委员会负责具体评标事务，并独立履行下列职责：</w:t>
      </w:r>
    </w:p>
    <w:p>
      <w:pPr>
        <w:pStyle w:val="16"/>
        <w:spacing w:line="400" w:lineRule="exact"/>
        <w:ind w:firstLine="420" w:firstLineChars="200"/>
        <w:jc w:val="left"/>
        <w:rPr>
          <w:rFonts w:hAnsi="宋体"/>
          <w:sz w:val="21"/>
          <w:szCs w:val="21"/>
        </w:rPr>
      </w:pPr>
      <w:r>
        <w:rPr>
          <w:rFonts w:hint="eastAsia" w:hAnsi="宋体"/>
          <w:sz w:val="21"/>
          <w:szCs w:val="21"/>
        </w:rPr>
        <w:t>1、审查、评价投标文件是否符合招标文件的商务、技术等实质性要求;</w:t>
      </w:r>
    </w:p>
    <w:p>
      <w:pPr>
        <w:pStyle w:val="16"/>
        <w:spacing w:line="400" w:lineRule="exact"/>
        <w:ind w:firstLine="420" w:firstLineChars="200"/>
        <w:jc w:val="left"/>
        <w:rPr>
          <w:rFonts w:hAnsi="宋体"/>
          <w:sz w:val="21"/>
          <w:szCs w:val="21"/>
        </w:rPr>
      </w:pPr>
      <w:r>
        <w:rPr>
          <w:rFonts w:hint="eastAsia" w:hAnsi="宋体"/>
          <w:sz w:val="21"/>
          <w:szCs w:val="21"/>
        </w:rPr>
        <w:t>2、要求投标人对投标文件有关事项作出澄清或者说明;</w:t>
      </w:r>
    </w:p>
    <w:p>
      <w:pPr>
        <w:pStyle w:val="16"/>
        <w:spacing w:line="400" w:lineRule="exact"/>
        <w:ind w:firstLine="420" w:firstLineChars="200"/>
        <w:jc w:val="left"/>
        <w:rPr>
          <w:rFonts w:hAnsi="宋体"/>
          <w:sz w:val="21"/>
          <w:szCs w:val="21"/>
        </w:rPr>
      </w:pPr>
      <w:r>
        <w:rPr>
          <w:rFonts w:hint="eastAsia" w:hAnsi="宋体"/>
          <w:sz w:val="21"/>
          <w:szCs w:val="21"/>
        </w:rPr>
        <w:t>3、对投标文件进行比较和评价;</w:t>
      </w:r>
    </w:p>
    <w:p>
      <w:pPr>
        <w:pStyle w:val="16"/>
        <w:spacing w:line="400" w:lineRule="exact"/>
        <w:ind w:firstLine="420" w:firstLineChars="200"/>
        <w:jc w:val="left"/>
        <w:rPr>
          <w:rFonts w:hAnsi="宋体"/>
          <w:sz w:val="21"/>
          <w:szCs w:val="21"/>
        </w:rPr>
      </w:pPr>
      <w:r>
        <w:rPr>
          <w:rFonts w:hint="eastAsia" w:hAnsi="宋体"/>
          <w:sz w:val="21"/>
          <w:szCs w:val="21"/>
        </w:rPr>
        <w:t>4、确定中标候选人名单，以及根据采购人委托直接确定中标人;</w:t>
      </w:r>
    </w:p>
    <w:p>
      <w:pPr>
        <w:pStyle w:val="16"/>
        <w:spacing w:line="400" w:lineRule="exact"/>
        <w:ind w:firstLine="420" w:firstLineChars="200"/>
        <w:jc w:val="left"/>
        <w:rPr>
          <w:rFonts w:hAnsi="宋体"/>
          <w:sz w:val="21"/>
          <w:szCs w:val="21"/>
        </w:rPr>
      </w:pPr>
      <w:r>
        <w:rPr>
          <w:rFonts w:hint="eastAsia" w:hAnsi="宋体"/>
          <w:sz w:val="21"/>
          <w:szCs w:val="21"/>
        </w:rPr>
        <w:t>5、向采购人、代理机构或者有关部门报告评标中发现的违法行为。</w:t>
      </w:r>
    </w:p>
    <w:p>
      <w:pPr>
        <w:pStyle w:val="16"/>
        <w:spacing w:line="400" w:lineRule="exact"/>
        <w:ind w:firstLine="420" w:firstLineChars="200"/>
        <w:jc w:val="left"/>
        <w:rPr>
          <w:rFonts w:hAnsi="宋体"/>
          <w:sz w:val="21"/>
          <w:szCs w:val="21"/>
        </w:rPr>
      </w:pPr>
      <w:r>
        <w:rPr>
          <w:rFonts w:hint="eastAsia" w:hAnsi="宋体"/>
          <w:sz w:val="21"/>
          <w:szCs w:val="21"/>
        </w:rPr>
        <w:t>除采购人代表、评标现场组织人员外，采购人的其他工作人员以及与评标工作无关的人员不得进入评标现场。</w:t>
      </w:r>
    </w:p>
    <w:p>
      <w:pPr>
        <w:pStyle w:val="16"/>
        <w:spacing w:line="400" w:lineRule="exact"/>
        <w:ind w:left="527" w:hanging="527" w:hangingChars="250"/>
        <w:jc w:val="left"/>
        <w:rPr>
          <w:rFonts w:hAnsi="宋体"/>
          <w:b/>
          <w:sz w:val="21"/>
          <w:szCs w:val="21"/>
        </w:rPr>
      </w:pPr>
      <w:r>
        <w:rPr>
          <w:rFonts w:hint="eastAsia" w:hAnsi="宋体"/>
          <w:b/>
          <w:sz w:val="21"/>
          <w:szCs w:val="21"/>
        </w:rPr>
        <w:t>2.评标的方式</w:t>
      </w:r>
    </w:p>
    <w:p>
      <w:pPr>
        <w:pStyle w:val="16"/>
        <w:spacing w:line="400" w:lineRule="exact"/>
        <w:ind w:left="315" w:leftChars="150" w:firstLine="105" w:firstLineChars="50"/>
        <w:jc w:val="left"/>
        <w:rPr>
          <w:rFonts w:hAnsi="宋体"/>
          <w:sz w:val="21"/>
          <w:szCs w:val="21"/>
        </w:rPr>
      </w:pPr>
      <w:r>
        <w:rPr>
          <w:rFonts w:hint="eastAsia" w:hAnsi="宋体"/>
          <w:sz w:val="21"/>
          <w:szCs w:val="21"/>
        </w:rPr>
        <w:t>本采购项目采用不公开方式评标，评标的依据为招标文件和投标文件。</w:t>
      </w:r>
    </w:p>
    <w:p>
      <w:pPr>
        <w:pStyle w:val="16"/>
        <w:spacing w:line="400" w:lineRule="exact"/>
        <w:ind w:left="527" w:hanging="527" w:hangingChars="250"/>
        <w:jc w:val="left"/>
        <w:rPr>
          <w:rFonts w:hAnsi="宋体"/>
          <w:b/>
          <w:sz w:val="21"/>
          <w:szCs w:val="21"/>
        </w:rPr>
      </w:pPr>
      <w:r>
        <w:rPr>
          <w:rFonts w:hint="eastAsia" w:hAnsi="宋体"/>
          <w:b/>
          <w:sz w:val="21"/>
          <w:szCs w:val="21"/>
        </w:rPr>
        <w:t>3.</w:t>
      </w:r>
      <w:r>
        <w:rPr>
          <w:rFonts w:hint="eastAsia" w:hAnsi="宋体"/>
          <w:b/>
          <w:bCs/>
          <w:sz w:val="21"/>
          <w:szCs w:val="21"/>
        </w:rPr>
        <w:t>评标程序</w:t>
      </w:r>
    </w:p>
    <w:p>
      <w:pPr>
        <w:pStyle w:val="16"/>
        <w:spacing w:line="400" w:lineRule="exact"/>
        <w:ind w:firstLine="420" w:firstLineChars="200"/>
        <w:jc w:val="left"/>
        <w:rPr>
          <w:rFonts w:hAnsi="宋体"/>
          <w:sz w:val="21"/>
          <w:szCs w:val="21"/>
        </w:rPr>
      </w:pPr>
      <w:r>
        <w:rPr>
          <w:rFonts w:hint="eastAsia" w:hAnsi="宋体"/>
          <w:sz w:val="21"/>
          <w:szCs w:val="21"/>
        </w:rPr>
        <w:t>采购人可以在评标前说明项目背景和采购需求，说明内容不得含有歧视性、倾向性意见，不得超出招标文件所述范围。说明应当提交书面材料，并随招标文件一并存档。</w:t>
      </w:r>
    </w:p>
    <w:p>
      <w:pPr>
        <w:spacing w:line="400" w:lineRule="exact"/>
        <w:jc w:val="left"/>
        <w:rPr>
          <w:rFonts w:ascii="宋体" w:hAnsi="宋体"/>
          <w:szCs w:val="21"/>
        </w:rPr>
      </w:pPr>
      <w:r>
        <w:rPr>
          <w:rFonts w:hint="eastAsia" w:ascii="宋体" w:hAnsi="宋体"/>
          <w:szCs w:val="21"/>
        </w:rPr>
        <w:t>3.1形式审查:包括资格审查（除符合性审查以外的关于供应商资格条件等内容）和符合性审查，即对供应商的资格和投标文件的完整性、合法性等进行审查。投标文件形式审查未通过的供应商，其投标文件将不再评审。</w:t>
      </w:r>
    </w:p>
    <w:p>
      <w:pPr>
        <w:spacing w:line="400" w:lineRule="exact"/>
        <w:jc w:val="left"/>
        <w:rPr>
          <w:rFonts w:ascii="宋体" w:hAnsi="宋体"/>
          <w:szCs w:val="21"/>
        </w:rPr>
      </w:pPr>
      <w:r>
        <w:rPr>
          <w:rFonts w:hint="eastAsia" w:ascii="宋体" w:hAnsi="宋体"/>
          <w:szCs w:val="21"/>
        </w:rPr>
        <w:t>3.2实质审查与比较。</w:t>
      </w:r>
    </w:p>
    <w:p>
      <w:pPr>
        <w:spacing w:line="400" w:lineRule="exact"/>
        <w:jc w:val="left"/>
        <w:rPr>
          <w:rFonts w:ascii="宋体" w:hAnsi="宋体"/>
          <w:szCs w:val="21"/>
        </w:rPr>
      </w:pPr>
      <w:r>
        <w:rPr>
          <w:rFonts w:hint="eastAsia" w:ascii="宋体" w:hAnsi="宋体"/>
          <w:szCs w:val="21"/>
        </w:rPr>
        <w:t>3.2.1评标委员会审查投标文件的实质性内容是否符合招标文件的实质性要求。</w:t>
      </w:r>
    </w:p>
    <w:p>
      <w:pPr>
        <w:spacing w:line="400" w:lineRule="exact"/>
        <w:jc w:val="left"/>
        <w:rPr>
          <w:rFonts w:ascii="宋体" w:hAnsi="宋体"/>
          <w:szCs w:val="21"/>
        </w:rPr>
      </w:pPr>
      <w:r>
        <w:rPr>
          <w:rFonts w:hint="eastAsia" w:ascii="宋体" w:hAnsi="宋体"/>
          <w:szCs w:val="21"/>
        </w:rPr>
        <w:t>3.2.2评标委员会将根据投标人的资信技术标书进行审查、核对，如有疑问，将对投标人进行询标，投标人要向评标委员会澄清有关问题，并最终以书面形式进行答复。各投标人的资信技术标得分为所有评委的有效评分的算术平均数。</w:t>
      </w:r>
    </w:p>
    <w:p>
      <w:pPr>
        <w:spacing w:line="400" w:lineRule="exact"/>
        <w:jc w:val="left"/>
        <w:rPr>
          <w:rFonts w:ascii="宋体" w:hAnsi="宋体"/>
          <w:szCs w:val="21"/>
        </w:rPr>
      </w:pPr>
      <w:r>
        <w:rPr>
          <w:rFonts w:hint="eastAsia" w:ascii="宋体" w:hAnsi="宋体"/>
          <w:szCs w:val="21"/>
        </w:rPr>
        <w:t>3.2.3嘉兴市明扬工程咨询有限公司工作人员协助评标委员会根据本项目的评分标准操作政府采购业务系统，由系统计算各投标人的报价得分。</w:t>
      </w:r>
    </w:p>
    <w:p>
      <w:pPr>
        <w:spacing w:line="400" w:lineRule="exact"/>
        <w:jc w:val="left"/>
        <w:rPr>
          <w:rFonts w:ascii="宋体" w:hAnsi="宋体"/>
          <w:szCs w:val="21"/>
        </w:rPr>
      </w:pPr>
      <w:r>
        <w:rPr>
          <w:rFonts w:hint="eastAsia" w:ascii="宋体" w:hAnsi="宋体"/>
          <w:szCs w:val="21"/>
        </w:rPr>
        <w:t>3.2.4评标委员会完成评标后，评委对各部分得分汇总，得出本项目最终得分，评标委员会按评标原则推荐中标候选人同时起草评标报告。</w:t>
      </w:r>
    </w:p>
    <w:p>
      <w:pPr>
        <w:spacing w:line="400" w:lineRule="exact"/>
        <w:jc w:val="left"/>
        <w:rPr>
          <w:rFonts w:ascii="宋体" w:hAnsi="宋体"/>
          <w:b/>
          <w:szCs w:val="21"/>
        </w:rPr>
      </w:pPr>
      <w:r>
        <w:rPr>
          <w:rFonts w:hint="eastAsia" w:ascii="宋体" w:hAnsi="宋体"/>
          <w:b/>
          <w:szCs w:val="21"/>
        </w:rPr>
        <w:t>4.澄清问题的形式</w:t>
      </w:r>
    </w:p>
    <w:p>
      <w:pPr>
        <w:spacing w:line="400" w:lineRule="exact"/>
        <w:ind w:firstLine="420" w:firstLineChars="200"/>
        <w:jc w:val="left"/>
        <w:rPr>
          <w:rFonts w:ascii="宋体" w:hAnsi="宋体"/>
          <w:szCs w:val="21"/>
        </w:rPr>
      </w:pPr>
      <w:r>
        <w:rPr>
          <w:rFonts w:hint="eastAsia" w:ascii="宋体" w:hAnsi="宋体"/>
          <w:szCs w:val="21"/>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并不得超出投标文件的范围或者改变投标文件的实质性内容。</w:t>
      </w:r>
    </w:p>
    <w:p>
      <w:pPr>
        <w:spacing w:line="400" w:lineRule="exact"/>
        <w:ind w:firstLine="420" w:firstLineChars="200"/>
        <w:jc w:val="left"/>
        <w:rPr>
          <w:rFonts w:ascii="宋体" w:hAnsi="宋体"/>
          <w:szCs w:val="21"/>
        </w:rPr>
      </w:pPr>
      <w:r>
        <w:rPr>
          <w:rFonts w:hint="eastAsia" w:ascii="宋体" w:hAnsi="宋体"/>
          <w:szCs w:val="21"/>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pacing w:line="400" w:lineRule="exact"/>
        <w:ind w:firstLine="420" w:firstLineChars="200"/>
        <w:jc w:val="left"/>
      </w:pPr>
      <w:r>
        <w:rPr>
          <w:rFonts w:hint="eastAsia" w:ascii="宋体" w:hAnsi="宋体"/>
          <w:szCs w:val="21"/>
        </w:rPr>
        <w:t>2、如果供应商代表拒绝或未按评标委员会要求在“政采云”平台作出在线回复且无其他有效回复方式的，评标委员会可以对其作出不利于供应商的处理。</w:t>
      </w:r>
    </w:p>
    <w:p>
      <w:pPr>
        <w:pStyle w:val="16"/>
        <w:spacing w:line="400" w:lineRule="exact"/>
        <w:ind w:left="527" w:hanging="527" w:hangingChars="250"/>
        <w:jc w:val="left"/>
        <w:rPr>
          <w:rFonts w:hAnsi="宋体"/>
          <w:b/>
          <w:sz w:val="21"/>
          <w:szCs w:val="21"/>
        </w:rPr>
      </w:pPr>
      <w:r>
        <w:rPr>
          <w:rFonts w:hint="eastAsia" w:hAnsi="宋体"/>
          <w:b/>
          <w:sz w:val="21"/>
          <w:szCs w:val="21"/>
        </w:rPr>
        <w:t>5.修正原则</w:t>
      </w:r>
    </w:p>
    <w:p>
      <w:pPr>
        <w:pStyle w:val="16"/>
        <w:spacing w:line="400" w:lineRule="exact"/>
        <w:ind w:firstLine="420" w:firstLineChars="200"/>
        <w:rPr>
          <w:rFonts w:hAnsi="宋体"/>
          <w:sz w:val="21"/>
          <w:szCs w:val="18"/>
        </w:rPr>
      </w:pPr>
      <w:r>
        <w:rPr>
          <w:rFonts w:hint="eastAsia" w:hAnsi="宋体"/>
          <w:sz w:val="21"/>
          <w:szCs w:val="18"/>
        </w:rPr>
        <w:t>评标委员会对投标文件的报价文件进行审核，对发现计算、书写等错误的，按以下原则进行修正：</w:t>
      </w:r>
    </w:p>
    <w:p>
      <w:pPr>
        <w:pStyle w:val="16"/>
        <w:spacing w:line="400" w:lineRule="exact"/>
        <w:ind w:left="105" w:hanging="105" w:hangingChars="50"/>
        <w:jc w:val="left"/>
        <w:rPr>
          <w:rFonts w:hAnsi="宋体"/>
          <w:sz w:val="21"/>
          <w:szCs w:val="18"/>
        </w:rPr>
      </w:pPr>
      <w:r>
        <w:rPr>
          <w:rFonts w:hint="eastAsia" w:hAnsi="宋体"/>
          <w:sz w:val="21"/>
          <w:szCs w:val="18"/>
        </w:rPr>
        <w:t>投标文件如果出现计算或表达上的错误，修正错误的原则如下：</w:t>
      </w:r>
    </w:p>
    <w:p>
      <w:pPr>
        <w:pStyle w:val="16"/>
        <w:spacing w:line="400" w:lineRule="exact"/>
        <w:rPr>
          <w:rFonts w:hAnsi="宋体"/>
          <w:sz w:val="21"/>
          <w:szCs w:val="18"/>
        </w:rPr>
      </w:pPr>
      <w:r>
        <w:rPr>
          <w:rFonts w:hint="eastAsia" w:hAnsi="宋体"/>
          <w:sz w:val="21"/>
          <w:szCs w:val="18"/>
        </w:rPr>
        <w:t>5.1投标文件的开标一览表内容与投标文件中明细表内容不一致的，以开标一览表为准；</w:t>
      </w:r>
    </w:p>
    <w:p>
      <w:pPr>
        <w:pStyle w:val="16"/>
        <w:spacing w:line="400" w:lineRule="exact"/>
        <w:rPr>
          <w:rFonts w:hAnsi="宋体"/>
          <w:sz w:val="21"/>
          <w:szCs w:val="18"/>
        </w:rPr>
      </w:pPr>
      <w:r>
        <w:rPr>
          <w:rFonts w:hint="eastAsia" w:hAnsi="宋体"/>
          <w:sz w:val="21"/>
          <w:szCs w:val="18"/>
        </w:rPr>
        <w:t>5.2</w:t>
      </w:r>
      <w:r>
        <w:rPr>
          <w:rFonts w:hAnsi="宋体"/>
          <w:bCs/>
          <w:sz w:val="21"/>
          <w:szCs w:val="21"/>
        </w:rPr>
        <w:t>投标文件的</w:t>
      </w:r>
      <w:r>
        <w:rPr>
          <w:rFonts w:hint="eastAsia" w:hAnsi="宋体"/>
          <w:sz w:val="21"/>
          <w:szCs w:val="18"/>
        </w:rPr>
        <w:t>大写金额和小写金额不一致的，以大写金额为准；</w:t>
      </w:r>
    </w:p>
    <w:p>
      <w:pPr>
        <w:pStyle w:val="16"/>
        <w:spacing w:line="400" w:lineRule="exact"/>
        <w:rPr>
          <w:rFonts w:hAnsi="宋体"/>
          <w:sz w:val="21"/>
          <w:szCs w:val="18"/>
        </w:rPr>
      </w:pPr>
      <w:r>
        <w:rPr>
          <w:rFonts w:hint="eastAsia" w:hAnsi="宋体"/>
          <w:sz w:val="21"/>
          <w:szCs w:val="18"/>
        </w:rPr>
        <w:t>5.3单价金额小数点有明显错位的，以开标一览表的总价为准，并修改单价；</w:t>
      </w:r>
    </w:p>
    <w:p>
      <w:pPr>
        <w:pStyle w:val="16"/>
        <w:spacing w:line="400" w:lineRule="exact"/>
        <w:rPr>
          <w:rFonts w:hAnsi="宋体"/>
          <w:sz w:val="21"/>
          <w:szCs w:val="18"/>
        </w:rPr>
      </w:pPr>
      <w:r>
        <w:rPr>
          <w:rFonts w:hint="eastAsia" w:hAnsi="宋体"/>
          <w:sz w:val="21"/>
          <w:szCs w:val="18"/>
        </w:rPr>
        <w:t>5.4总价金额与按单价汇总金额不一致的，以单价金额计算结果为准。</w:t>
      </w:r>
    </w:p>
    <w:p>
      <w:pPr>
        <w:pStyle w:val="16"/>
        <w:spacing w:line="400" w:lineRule="exact"/>
        <w:ind w:firstLine="422" w:firstLineChars="200"/>
        <w:rPr>
          <w:rFonts w:hAnsi="宋体"/>
          <w:b/>
          <w:bCs/>
          <w:sz w:val="21"/>
          <w:szCs w:val="18"/>
        </w:rPr>
      </w:pPr>
      <w:r>
        <w:rPr>
          <w:rFonts w:hint="eastAsia" w:hAnsi="宋体"/>
          <w:b/>
          <w:bCs/>
          <w:sz w:val="21"/>
          <w:szCs w:val="18"/>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6"/>
        <w:spacing w:line="400" w:lineRule="exact"/>
        <w:ind w:left="527" w:hanging="527" w:hangingChars="250"/>
        <w:jc w:val="left"/>
        <w:rPr>
          <w:rFonts w:hAnsi="宋体"/>
          <w:b/>
          <w:sz w:val="21"/>
          <w:szCs w:val="21"/>
        </w:rPr>
      </w:pPr>
      <w:r>
        <w:rPr>
          <w:rFonts w:hint="eastAsia" w:hAnsi="宋体"/>
          <w:b/>
          <w:sz w:val="21"/>
          <w:szCs w:val="21"/>
        </w:rPr>
        <w:t>6.评标过程的保密性</w:t>
      </w:r>
    </w:p>
    <w:p>
      <w:pPr>
        <w:pStyle w:val="16"/>
        <w:spacing w:line="400" w:lineRule="exact"/>
        <w:ind w:firstLine="420" w:firstLineChars="200"/>
        <w:jc w:val="left"/>
        <w:rPr>
          <w:rFonts w:hAnsi="宋体"/>
          <w:sz w:val="21"/>
          <w:szCs w:val="21"/>
        </w:rPr>
      </w:pPr>
      <w:r>
        <w:rPr>
          <w:rFonts w:hint="eastAsia" w:hAnsi="宋体"/>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p>
    <w:p>
      <w:pPr>
        <w:pStyle w:val="16"/>
        <w:spacing w:line="400" w:lineRule="exact"/>
        <w:jc w:val="left"/>
        <w:rPr>
          <w:rFonts w:hAnsi="宋体"/>
          <w:b/>
          <w:sz w:val="21"/>
          <w:szCs w:val="21"/>
        </w:rPr>
      </w:pPr>
      <w:r>
        <w:rPr>
          <w:rFonts w:hint="eastAsia" w:hAnsi="宋体"/>
          <w:b/>
          <w:sz w:val="21"/>
          <w:szCs w:val="21"/>
        </w:rPr>
        <w:t>7.废标</w:t>
      </w:r>
    </w:p>
    <w:p>
      <w:pPr>
        <w:pStyle w:val="16"/>
        <w:spacing w:line="400" w:lineRule="exact"/>
        <w:ind w:firstLine="420" w:firstLineChars="200"/>
        <w:jc w:val="left"/>
        <w:rPr>
          <w:rFonts w:hAnsi="宋体"/>
          <w:sz w:val="21"/>
          <w:szCs w:val="21"/>
        </w:rPr>
      </w:pPr>
      <w:r>
        <w:rPr>
          <w:rFonts w:hint="eastAsia" w:hAnsi="宋体"/>
          <w:sz w:val="21"/>
          <w:szCs w:val="21"/>
        </w:rPr>
        <w:t>根据《中华人民共和国政府采购法》第三十六条之规定，在采购中，出现下列情况之一</w:t>
      </w:r>
    </w:p>
    <w:p>
      <w:pPr>
        <w:pStyle w:val="16"/>
        <w:spacing w:line="400" w:lineRule="exact"/>
        <w:jc w:val="left"/>
        <w:rPr>
          <w:rFonts w:hAnsi="宋体"/>
          <w:sz w:val="21"/>
          <w:szCs w:val="21"/>
        </w:rPr>
      </w:pPr>
      <w:r>
        <w:rPr>
          <w:rFonts w:hint="eastAsia" w:hAnsi="宋体"/>
          <w:sz w:val="21"/>
          <w:szCs w:val="21"/>
        </w:rPr>
        <w:t>的，应予以废标：</w:t>
      </w:r>
    </w:p>
    <w:p>
      <w:pPr>
        <w:pStyle w:val="16"/>
        <w:spacing w:line="400" w:lineRule="exact"/>
        <w:jc w:val="left"/>
        <w:rPr>
          <w:rFonts w:hAnsi="宋体"/>
          <w:sz w:val="21"/>
          <w:szCs w:val="21"/>
        </w:rPr>
      </w:pPr>
      <w:r>
        <w:rPr>
          <w:rFonts w:hint="eastAsia" w:hAnsi="宋体"/>
          <w:sz w:val="21"/>
          <w:szCs w:val="21"/>
        </w:rPr>
        <w:t>7.1.1</w:t>
      </w:r>
      <w:r>
        <w:rPr>
          <w:rFonts w:hAnsi="宋体"/>
          <w:sz w:val="21"/>
          <w:szCs w:val="21"/>
        </w:rPr>
        <w:t>符合专业条件的投标人或对招标文件作实质性响应的投标人不足三家的；</w:t>
      </w:r>
    </w:p>
    <w:p>
      <w:pPr>
        <w:pStyle w:val="16"/>
        <w:spacing w:line="400" w:lineRule="exact"/>
        <w:jc w:val="left"/>
        <w:rPr>
          <w:rFonts w:hAnsi="宋体"/>
          <w:sz w:val="21"/>
          <w:szCs w:val="21"/>
        </w:rPr>
      </w:pPr>
      <w:r>
        <w:rPr>
          <w:rFonts w:hint="eastAsia" w:hAnsi="宋体"/>
          <w:sz w:val="21"/>
          <w:szCs w:val="21"/>
        </w:rPr>
        <w:t>7.1.2出现影响采购公正的违法、违规行为的；</w:t>
      </w:r>
    </w:p>
    <w:p>
      <w:pPr>
        <w:pStyle w:val="16"/>
        <w:spacing w:line="400" w:lineRule="exact"/>
        <w:jc w:val="left"/>
        <w:rPr>
          <w:rFonts w:hAnsi="宋体"/>
          <w:sz w:val="21"/>
          <w:szCs w:val="21"/>
        </w:rPr>
      </w:pPr>
      <w:r>
        <w:rPr>
          <w:rFonts w:hint="eastAsia" w:hAnsi="宋体"/>
          <w:sz w:val="21"/>
          <w:szCs w:val="21"/>
        </w:rPr>
        <w:t>7.1.3投标人的报价均超过了采购预算，采购单位不能支付的；</w:t>
      </w:r>
    </w:p>
    <w:p>
      <w:pPr>
        <w:pStyle w:val="16"/>
        <w:spacing w:line="400" w:lineRule="exact"/>
        <w:jc w:val="left"/>
        <w:rPr>
          <w:rFonts w:hAnsi="宋体"/>
          <w:sz w:val="21"/>
          <w:szCs w:val="21"/>
        </w:rPr>
      </w:pPr>
      <w:r>
        <w:rPr>
          <w:rFonts w:hint="eastAsia" w:hAnsi="宋体"/>
          <w:sz w:val="21"/>
          <w:szCs w:val="21"/>
        </w:rPr>
        <w:t>7.1.4因重大变故，采购任务取消的。</w:t>
      </w:r>
    </w:p>
    <w:p>
      <w:pPr>
        <w:pStyle w:val="16"/>
        <w:spacing w:line="400" w:lineRule="exact"/>
        <w:ind w:firstLine="420" w:firstLineChars="200"/>
        <w:jc w:val="left"/>
        <w:rPr>
          <w:rFonts w:hAnsi="宋体"/>
          <w:sz w:val="21"/>
          <w:szCs w:val="21"/>
        </w:rPr>
      </w:pPr>
      <w:r>
        <w:rPr>
          <w:rFonts w:hint="eastAsia" w:hAnsi="宋体"/>
          <w:sz w:val="21"/>
          <w:szCs w:val="21"/>
        </w:rPr>
        <w:t>废标后，采购代理机构应当将废标理由通知所有投标人。</w:t>
      </w:r>
    </w:p>
    <w:p>
      <w:pPr>
        <w:pStyle w:val="16"/>
        <w:spacing w:line="400" w:lineRule="exact"/>
        <w:jc w:val="left"/>
        <w:rPr>
          <w:rFonts w:hAnsi="宋体"/>
          <w:b/>
          <w:sz w:val="21"/>
          <w:szCs w:val="21"/>
        </w:rPr>
      </w:pPr>
      <w:r>
        <w:rPr>
          <w:rFonts w:hint="eastAsia" w:hAnsi="宋体"/>
          <w:b/>
          <w:sz w:val="21"/>
          <w:szCs w:val="21"/>
        </w:rPr>
        <w:t>8.无效标条款</w:t>
      </w:r>
    </w:p>
    <w:p>
      <w:pPr>
        <w:pStyle w:val="16"/>
        <w:spacing w:line="400" w:lineRule="exact"/>
        <w:ind w:firstLine="210" w:firstLineChars="100"/>
        <w:jc w:val="left"/>
        <w:rPr>
          <w:rFonts w:hAnsi="宋体"/>
          <w:sz w:val="21"/>
          <w:szCs w:val="18"/>
        </w:rPr>
      </w:pPr>
      <w:r>
        <w:rPr>
          <w:rFonts w:hint="eastAsia" w:hAnsi="宋体"/>
          <w:sz w:val="21"/>
          <w:szCs w:val="18"/>
        </w:rPr>
        <w:t>根据《政府采购货物和服务招标投标管理办法》有下列情形之一的，视为投标人串通投标，其投标无效：</w:t>
      </w:r>
    </w:p>
    <w:p>
      <w:pPr>
        <w:pStyle w:val="16"/>
        <w:spacing w:line="400" w:lineRule="exact"/>
        <w:jc w:val="left"/>
        <w:rPr>
          <w:rFonts w:hAnsi="宋体"/>
          <w:sz w:val="21"/>
          <w:szCs w:val="18"/>
        </w:rPr>
      </w:pPr>
      <w:r>
        <w:rPr>
          <w:rFonts w:hint="eastAsia" w:hAnsi="宋体"/>
          <w:sz w:val="21"/>
          <w:szCs w:val="18"/>
        </w:rPr>
        <w:t>(一)不同投标人的投标文件由同一单位或者个人编制;</w:t>
      </w:r>
    </w:p>
    <w:p>
      <w:pPr>
        <w:pStyle w:val="16"/>
        <w:spacing w:line="400" w:lineRule="exact"/>
        <w:jc w:val="left"/>
        <w:rPr>
          <w:rFonts w:hAnsi="宋体"/>
          <w:sz w:val="21"/>
          <w:szCs w:val="18"/>
        </w:rPr>
      </w:pPr>
      <w:r>
        <w:rPr>
          <w:rFonts w:hint="eastAsia" w:hAnsi="宋体"/>
          <w:sz w:val="21"/>
          <w:szCs w:val="18"/>
        </w:rPr>
        <w:t>(二)不同投标人委托同一单位或者个人办理投标事宜;</w:t>
      </w:r>
    </w:p>
    <w:p>
      <w:pPr>
        <w:pStyle w:val="16"/>
        <w:spacing w:line="400" w:lineRule="exact"/>
        <w:jc w:val="left"/>
        <w:rPr>
          <w:rFonts w:hAnsi="宋体"/>
          <w:sz w:val="21"/>
          <w:szCs w:val="18"/>
        </w:rPr>
      </w:pPr>
      <w:r>
        <w:rPr>
          <w:rFonts w:hint="eastAsia" w:hAnsi="宋体"/>
          <w:sz w:val="21"/>
          <w:szCs w:val="18"/>
        </w:rPr>
        <w:t>(三)不同投标人的投标文件载明的项目管理成员或者联系人员为同一人；</w:t>
      </w:r>
    </w:p>
    <w:p>
      <w:pPr>
        <w:pStyle w:val="16"/>
        <w:spacing w:line="400" w:lineRule="exact"/>
        <w:jc w:val="left"/>
        <w:rPr>
          <w:rFonts w:hAnsi="宋体"/>
          <w:sz w:val="21"/>
          <w:szCs w:val="18"/>
        </w:rPr>
      </w:pPr>
      <w:r>
        <w:rPr>
          <w:rFonts w:hint="eastAsia" w:hAnsi="宋体"/>
          <w:sz w:val="21"/>
          <w:szCs w:val="18"/>
        </w:rPr>
        <w:t>(四)不同投标人的投标文件异常一致或者投标报价呈规律性差异；</w:t>
      </w:r>
    </w:p>
    <w:p>
      <w:pPr>
        <w:pStyle w:val="16"/>
        <w:spacing w:line="400" w:lineRule="exact"/>
        <w:jc w:val="left"/>
        <w:rPr>
          <w:rFonts w:hAnsi="宋体"/>
          <w:sz w:val="21"/>
          <w:szCs w:val="18"/>
        </w:rPr>
      </w:pPr>
      <w:r>
        <w:rPr>
          <w:rFonts w:hint="eastAsia" w:hAnsi="宋体"/>
          <w:sz w:val="21"/>
          <w:szCs w:val="18"/>
        </w:rPr>
        <w:t>(五)不同投标人的投标文件相互混装；</w:t>
      </w:r>
    </w:p>
    <w:p>
      <w:pPr>
        <w:pStyle w:val="16"/>
        <w:spacing w:line="400" w:lineRule="exact"/>
        <w:ind w:firstLine="420" w:firstLineChars="200"/>
        <w:jc w:val="left"/>
        <w:rPr>
          <w:sz w:val="21"/>
          <w:szCs w:val="21"/>
        </w:rPr>
      </w:pPr>
      <w:r>
        <w:rPr>
          <w:rFonts w:hint="eastAsia" w:hAnsi="宋体"/>
          <w:sz w:val="21"/>
          <w:szCs w:val="21"/>
        </w:rPr>
        <w:t>实质上没有响应招标文件要求的投标将被拒绝。投标人不得通过修正或撤消不合要求的</w:t>
      </w:r>
      <w:r>
        <w:rPr>
          <w:rFonts w:hint="eastAsia"/>
          <w:sz w:val="21"/>
          <w:szCs w:val="21"/>
        </w:rPr>
        <w:t>偏离或保留从而使其投标成为实质上响应的投标，但经评标委员会认定属于投标人</w:t>
      </w:r>
      <w:r>
        <w:rPr>
          <w:rFonts w:hint="eastAsia" w:hAnsi="宋体"/>
          <w:sz w:val="21"/>
          <w:szCs w:val="21"/>
        </w:rPr>
        <w:t>疏忽</w:t>
      </w:r>
      <w:r>
        <w:rPr>
          <w:rFonts w:hint="eastAsia"/>
          <w:sz w:val="21"/>
          <w:szCs w:val="21"/>
        </w:rPr>
        <w:t>、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16"/>
        <w:spacing w:line="400" w:lineRule="exact"/>
        <w:jc w:val="left"/>
        <w:rPr>
          <w:rFonts w:hAnsi="宋体" w:cs="宋体"/>
          <w:b/>
          <w:sz w:val="21"/>
          <w:szCs w:val="21"/>
        </w:rPr>
      </w:pPr>
      <w:r>
        <w:rPr>
          <w:rFonts w:hint="eastAsia" w:hAnsi="宋体" w:cs="宋体"/>
          <w:b/>
          <w:sz w:val="21"/>
          <w:szCs w:val="21"/>
        </w:rPr>
        <w:t>8.1</w:t>
      </w:r>
      <w:r>
        <w:rPr>
          <w:rFonts w:hint="eastAsia" w:hAnsi="宋体" w:cs="宋体"/>
          <w:b/>
          <w:bCs/>
          <w:sz w:val="21"/>
          <w:szCs w:val="21"/>
        </w:rPr>
        <w:t>电子投标文件解密失败的，且未在规定时间内提交备份电子投标文件的</w:t>
      </w:r>
      <w:r>
        <w:rPr>
          <w:rFonts w:hint="eastAsia" w:hAnsi="宋体" w:cs="宋体"/>
          <w:b/>
          <w:sz w:val="21"/>
          <w:szCs w:val="21"/>
        </w:rPr>
        <w:t>。</w:t>
      </w:r>
    </w:p>
    <w:p>
      <w:pPr>
        <w:pStyle w:val="16"/>
        <w:spacing w:line="400" w:lineRule="exact"/>
        <w:jc w:val="left"/>
        <w:rPr>
          <w:rFonts w:ascii="Times New Roman" w:hAnsi="Times New Roman"/>
          <w:b/>
          <w:sz w:val="21"/>
          <w:szCs w:val="21"/>
        </w:rPr>
      </w:pPr>
      <w:r>
        <w:rPr>
          <w:rFonts w:hint="eastAsia" w:hAnsi="宋体" w:cs="宋体"/>
          <w:b/>
          <w:sz w:val="21"/>
          <w:szCs w:val="21"/>
        </w:rPr>
        <w:t>8.2</w:t>
      </w:r>
      <w:r>
        <w:rPr>
          <w:rFonts w:hint="eastAsia" w:hAnsi="宋体" w:cs="宋体"/>
          <w:b/>
          <w:bCs/>
          <w:sz w:val="21"/>
          <w:szCs w:val="21"/>
        </w:rPr>
        <w:t>没有通过资格审查的，投标文件将被视为无效。</w:t>
      </w:r>
    </w:p>
    <w:p>
      <w:pPr>
        <w:pStyle w:val="13"/>
        <w:adjustRightInd w:val="0"/>
        <w:snapToGrid w:val="0"/>
        <w:spacing w:line="400" w:lineRule="exact"/>
        <w:ind w:firstLine="0"/>
        <w:rPr>
          <w:rFonts w:ascii="Times New Roman" w:hAnsi="Times New Roman"/>
          <w:b/>
          <w:spacing w:val="0"/>
          <w:sz w:val="21"/>
          <w:szCs w:val="21"/>
        </w:rPr>
      </w:pPr>
      <w:r>
        <w:rPr>
          <w:rFonts w:hint="eastAsia" w:hAnsi="宋体"/>
          <w:b/>
          <w:spacing w:val="0"/>
          <w:sz w:val="21"/>
          <w:szCs w:val="21"/>
        </w:rPr>
        <w:t>8.3</w:t>
      </w:r>
      <w:r>
        <w:rPr>
          <w:rFonts w:hint="eastAsia" w:ascii="Times New Roman" w:hAnsi="Times New Roman"/>
          <w:b/>
          <w:spacing w:val="0"/>
          <w:sz w:val="21"/>
          <w:szCs w:val="21"/>
        </w:rPr>
        <w:t>在符合性审查和商务评审时，如发现下列情形之一的，投标文件将被视为无效：</w:t>
      </w:r>
    </w:p>
    <w:p>
      <w:pPr>
        <w:pStyle w:val="13"/>
        <w:adjustRightInd w:val="0"/>
        <w:snapToGrid w:val="0"/>
        <w:spacing w:line="400" w:lineRule="exact"/>
        <w:ind w:firstLine="0"/>
        <w:rPr>
          <w:rFonts w:hAnsi="宋体" w:cs="宋体"/>
          <w:spacing w:val="0"/>
          <w:sz w:val="21"/>
          <w:szCs w:val="21"/>
        </w:rPr>
      </w:pPr>
      <w:r>
        <w:rPr>
          <w:rFonts w:hint="eastAsia" w:hAnsi="宋体" w:cs="宋体"/>
          <w:spacing w:val="0"/>
          <w:sz w:val="21"/>
          <w:szCs w:val="21"/>
        </w:rPr>
        <w:t>8.3.1</w:t>
      </w:r>
      <w:r>
        <w:rPr>
          <w:rFonts w:hint="eastAsia" w:hAnsi="宋体" w:cs="宋体"/>
          <w:sz w:val="21"/>
          <w:szCs w:val="21"/>
        </w:rPr>
        <w:t>电子投标文件未按规定要求提供电子签章的</w:t>
      </w:r>
      <w:r>
        <w:rPr>
          <w:rFonts w:hint="eastAsia" w:hAnsi="宋体" w:cs="宋体"/>
          <w:spacing w:val="0"/>
          <w:sz w:val="21"/>
          <w:szCs w:val="21"/>
        </w:rPr>
        <w:t>；</w:t>
      </w:r>
    </w:p>
    <w:p>
      <w:pPr>
        <w:pStyle w:val="13"/>
        <w:adjustRightInd w:val="0"/>
        <w:snapToGrid w:val="0"/>
        <w:spacing w:line="400" w:lineRule="exact"/>
        <w:ind w:firstLine="0"/>
        <w:rPr>
          <w:rFonts w:hAnsi="宋体" w:cs="宋体"/>
          <w:spacing w:val="0"/>
          <w:sz w:val="21"/>
          <w:szCs w:val="21"/>
        </w:rPr>
      </w:pPr>
      <w:r>
        <w:rPr>
          <w:rFonts w:hint="eastAsia" w:hAnsi="宋体" w:cs="宋体"/>
          <w:spacing w:val="0"/>
          <w:sz w:val="21"/>
          <w:szCs w:val="21"/>
        </w:rPr>
        <w:t>8.3.2</w:t>
      </w:r>
      <w:r>
        <w:rPr>
          <w:rFonts w:hint="eastAsia" w:hAnsi="宋体" w:cs="宋体"/>
          <w:sz w:val="21"/>
          <w:szCs w:val="21"/>
        </w:rPr>
        <w:t>在资信商务技术文件中出现报价的</w:t>
      </w:r>
      <w:r>
        <w:rPr>
          <w:rFonts w:hint="eastAsia" w:hAnsi="宋体" w:cs="宋体"/>
          <w:spacing w:val="0"/>
          <w:sz w:val="21"/>
          <w:szCs w:val="21"/>
        </w:rPr>
        <w:t>；</w:t>
      </w:r>
    </w:p>
    <w:p>
      <w:pPr>
        <w:pStyle w:val="13"/>
        <w:adjustRightInd w:val="0"/>
        <w:snapToGrid w:val="0"/>
        <w:spacing w:line="400" w:lineRule="exact"/>
        <w:ind w:firstLine="0"/>
        <w:rPr>
          <w:rFonts w:hAnsi="宋体" w:cs="宋体"/>
          <w:spacing w:val="0"/>
          <w:sz w:val="21"/>
          <w:szCs w:val="21"/>
        </w:rPr>
      </w:pPr>
      <w:r>
        <w:rPr>
          <w:rFonts w:hint="eastAsia" w:hAnsi="宋体" w:cs="宋体"/>
          <w:spacing w:val="0"/>
          <w:sz w:val="21"/>
          <w:szCs w:val="21"/>
        </w:rPr>
        <w:t>8.3.3</w:t>
      </w:r>
      <w:r>
        <w:rPr>
          <w:rFonts w:hint="eastAsia" w:hAnsi="宋体" w:cs="宋体"/>
          <w:sz w:val="21"/>
          <w:szCs w:val="21"/>
        </w:rPr>
        <w:t>资格证明文件不全的，或者不符合招标文件标明的资格要求的</w:t>
      </w:r>
      <w:r>
        <w:rPr>
          <w:rFonts w:hint="eastAsia" w:hAnsi="宋体" w:cs="宋体"/>
          <w:spacing w:val="0"/>
          <w:sz w:val="21"/>
          <w:szCs w:val="21"/>
        </w:rPr>
        <w:t xml:space="preserve">； </w:t>
      </w:r>
    </w:p>
    <w:p>
      <w:pPr>
        <w:pStyle w:val="13"/>
        <w:adjustRightInd w:val="0"/>
        <w:snapToGrid w:val="0"/>
        <w:spacing w:line="400" w:lineRule="exact"/>
        <w:ind w:firstLine="0"/>
        <w:rPr>
          <w:rFonts w:hAnsi="宋体" w:cs="宋体"/>
          <w:spacing w:val="0"/>
          <w:sz w:val="21"/>
          <w:szCs w:val="21"/>
        </w:rPr>
      </w:pPr>
      <w:r>
        <w:rPr>
          <w:rFonts w:hint="eastAsia" w:hAnsi="宋体" w:cs="宋体"/>
          <w:spacing w:val="0"/>
          <w:sz w:val="21"/>
          <w:szCs w:val="21"/>
        </w:rPr>
        <w:t>8.3.4</w:t>
      </w:r>
      <w:r>
        <w:rPr>
          <w:rFonts w:hint="eastAsia" w:hAnsi="宋体" w:cs="宋体"/>
          <w:sz w:val="21"/>
          <w:szCs w:val="21"/>
        </w:rPr>
        <w:t>投标文件无法定代表人签字（或盖章）,或未</w:t>
      </w:r>
      <w:r>
        <w:rPr>
          <w:rFonts w:hint="eastAsia" w:hAnsi="宋体" w:cs="宋体"/>
          <w:bCs/>
          <w:kern w:val="0"/>
          <w:sz w:val="21"/>
          <w:szCs w:val="21"/>
        </w:rPr>
        <w:t>提供法定代表人授权委托书、投标声明书或者填写项目不齐全的</w:t>
      </w:r>
      <w:r>
        <w:rPr>
          <w:rFonts w:hint="eastAsia" w:hAnsi="宋体" w:cs="宋体"/>
          <w:spacing w:val="0"/>
          <w:sz w:val="21"/>
          <w:szCs w:val="21"/>
        </w:rPr>
        <w:t>；</w:t>
      </w:r>
    </w:p>
    <w:p>
      <w:pPr>
        <w:pStyle w:val="13"/>
        <w:adjustRightInd w:val="0"/>
        <w:snapToGrid w:val="0"/>
        <w:spacing w:line="400" w:lineRule="exact"/>
        <w:ind w:firstLine="0"/>
        <w:rPr>
          <w:rFonts w:hAnsi="宋体" w:cs="宋体"/>
          <w:spacing w:val="0"/>
          <w:sz w:val="21"/>
          <w:szCs w:val="21"/>
        </w:rPr>
      </w:pPr>
      <w:r>
        <w:rPr>
          <w:rFonts w:hint="eastAsia" w:hAnsi="宋体" w:cs="宋体"/>
          <w:spacing w:val="0"/>
          <w:sz w:val="21"/>
          <w:szCs w:val="21"/>
        </w:rPr>
        <w:t>8.3.5</w:t>
      </w:r>
      <w:r>
        <w:rPr>
          <w:rFonts w:hint="eastAsia" w:hAnsi="宋体" w:cs="宋体"/>
          <w:sz w:val="21"/>
          <w:szCs w:val="21"/>
        </w:rPr>
        <w:t>投标文件格式不规范、项目不齐全或者内容虚假的</w:t>
      </w:r>
      <w:r>
        <w:rPr>
          <w:rFonts w:hint="eastAsia" w:hAnsi="宋体" w:cs="宋体"/>
          <w:spacing w:val="0"/>
          <w:sz w:val="21"/>
          <w:szCs w:val="21"/>
        </w:rPr>
        <w:t>；</w:t>
      </w:r>
    </w:p>
    <w:p>
      <w:pPr>
        <w:pStyle w:val="13"/>
        <w:adjustRightInd w:val="0"/>
        <w:snapToGrid w:val="0"/>
        <w:spacing w:line="400" w:lineRule="exact"/>
        <w:ind w:firstLine="0"/>
        <w:rPr>
          <w:rFonts w:hAnsi="宋体" w:cs="宋体"/>
          <w:spacing w:val="0"/>
          <w:sz w:val="21"/>
          <w:szCs w:val="21"/>
        </w:rPr>
      </w:pPr>
      <w:r>
        <w:rPr>
          <w:rFonts w:hint="eastAsia" w:hAnsi="宋体" w:cs="宋体"/>
          <w:spacing w:val="0"/>
          <w:sz w:val="21"/>
          <w:szCs w:val="21"/>
        </w:rPr>
        <w:t>8.3.6</w:t>
      </w:r>
      <w:r>
        <w:rPr>
          <w:rFonts w:hint="eastAsia" w:hAnsi="宋体" w:cs="宋体"/>
          <w:sz w:val="21"/>
          <w:szCs w:val="21"/>
        </w:rPr>
        <w:t>投标文件的实质性内容未使用中文表述、意思表述不明确、前后矛盾或者使用计量单位不符合招标文件要求的（经评标委员会认定并允许其更正的笔误除外）</w:t>
      </w:r>
      <w:r>
        <w:rPr>
          <w:rFonts w:hint="eastAsia" w:hAnsi="宋体" w:cs="宋体"/>
          <w:spacing w:val="0"/>
          <w:sz w:val="21"/>
          <w:szCs w:val="21"/>
        </w:rPr>
        <w:t>；</w:t>
      </w:r>
    </w:p>
    <w:p>
      <w:pPr>
        <w:pStyle w:val="13"/>
        <w:adjustRightInd w:val="0"/>
        <w:snapToGrid w:val="0"/>
        <w:spacing w:line="400" w:lineRule="exact"/>
        <w:ind w:firstLine="0"/>
        <w:rPr>
          <w:rFonts w:hAnsi="宋体" w:cs="宋体"/>
          <w:snapToGrid w:val="0"/>
          <w:sz w:val="21"/>
          <w:szCs w:val="21"/>
        </w:rPr>
      </w:pPr>
      <w:r>
        <w:rPr>
          <w:rFonts w:hint="eastAsia" w:hAnsi="宋体" w:cs="宋体"/>
          <w:spacing w:val="0"/>
          <w:sz w:val="21"/>
          <w:szCs w:val="21"/>
        </w:rPr>
        <w:t>8.3.7</w:t>
      </w:r>
      <w:r>
        <w:rPr>
          <w:rFonts w:hint="eastAsia" w:hAnsi="宋体" w:cs="宋体"/>
          <w:snapToGrid w:val="0"/>
          <w:sz w:val="21"/>
          <w:szCs w:val="21"/>
        </w:rPr>
        <w:t>投标有效期、合同履行期、质保期等商务条款不能满足招标文件要求的；</w:t>
      </w:r>
    </w:p>
    <w:p>
      <w:pPr>
        <w:pStyle w:val="13"/>
        <w:adjustRightInd w:val="0"/>
        <w:snapToGrid w:val="0"/>
        <w:spacing w:line="400" w:lineRule="exact"/>
        <w:ind w:firstLine="0"/>
        <w:rPr>
          <w:rFonts w:hAnsi="宋体" w:cs="宋体"/>
          <w:sz w:val="21"/>
          <w:szCs w:val="21"/>
        </w:rPr>
      </w:pPr>
      <w:r>
        <w:rPr>
          <w:rFonts w:hint="eastAsia" w:hAnsi="宋体" w:cs="宋体"/>
          <w:sz w:val="21"/>
          <w:szCs w:val="21"/>
        </w:rPr>
        <w:t>8.3.8未实质性响应招标文件要求或者投标文件有招标方不能接受的附加条件的；</w:t>
      </w:r>
    </w:p>
    <w:p>
      <w:pPr>
        <w:pStyle w:val="13"/>
        <w:adjustRightInd w:val="0"/>
        <w:snapToGrid w:val="0"/>
        <w:spacing w:line="400" w:lineRule="exact"/>
        <w:ind w:firstLine="0"/>
        <w:rPr>
          <w:rFonts w:hAnsi="宋体" w:cs="宋体"/>
          <w:sz w:val="21"/>
          <w:szCs w:val="21"/>
        </w:rPr>
      </w:pPr>
      <w:r>
        <w:rPr>
          <w:rFonts w:hint="eastAsia" w:hAnsi="宋体" w:cs="宋体"/>
          <w:sz w:val="21"/>
          <w:szCs w:val="21"/>
        </w:rPr>
        <w:t>8.3.9不符合本招标文件中的实质性要求条款</w:t>
      </w:r>
    </w:p>
    <w:p>
      <w:pPr>
        <w:pStyle w:val="13"/>
        <w:adjustRightInd w:val="0"/>
        <w:snapToGrid w:val="0"/>
        <w:spacing w:line="400" w:lineRule="exact"/>
        <w:ind w:firstLine="0"/>
        <w:rPr>
          <w:rFonts w:ascii="Times New Roman" w:hAnsi="Times New Roman"/>
          <w:b/>
          <w:spacing w:val="0"/>
          <w:sz w:val="21"/>
          <w:szCs w:val="21"/>
        </w:rPr>
      </w:pPr>
      <w:r>
        <w:rPr>
          <w:rFonts w:hint="eastAsia" w:hAnsi="宋体"/>
          <w:b/>
          <w:spacing w:val="0"/>
          <w:sz w:val="21"/>
          <w:szCs w:val="24"/>
        </w:rPr>
        <w:t>8.4</w:t>
      </w:r>
      <w:r>
        <w:rPr>
          <w:rFonts w:hint="eastAsia" w:ascii="Times New Roman" w:hAnsi="Times New Roman"/>
          <w:b/>
          <w:spacing w:val="0"/>
          <w:sz w:val="21"/>
          <w:szCs w:val="21"/>
        </w:rPr>
        <w:t>在技术评审时，如发现下列情形之一的，投标文件将被视为无效：</w:t>
      </w:r>
    </w:p>
    <w:p>
      <w:pPr>
        <w:pStyle w:val="13"/>
        <w:adjustRightInd w:val="0"/>
        <w:snapToGrid w:val="0"/>
        <w:spacing w:line="400" w:lineRule="exact"/>
        <w:ind w:firstLine="0"/>
        <w:rPr>
          <w:rFonts w:hAnsi="宋体" w:cs="宋体"/>
          <w:spacing w:val="0"/>
          <w:sz w:val="21"/>
          <w:szCs w:val="21"/>
        </w:rPr>
      </w:pPr>
      <w:r>
        <w:rPr>
          <w:rFonts w:hint="eastAsia" w:hAnsi="宋体" w:cs="宋体"/>
          <w:spacing w:val="0"/>
          <w:sz w:val="21"/>
          <w:szCs w:val="21"/>
        </w:rPr>
        <w:t>8.4.1未提供或未如实提供投标货物的技术参数，或者投标文件标明的响应或偏离与事实不符或虚假投标的；</w:t>
      </w:r>
    </w:p>
    <w:p>
      <w:pPr>
        <w:pStyle w:val="13"/>
        <w:adjustRightInd w:val="0"/>
        <w:snapToGrid w:val="0"/>
        <w:spacing w:line="400" w:lineRule="exact"/>
        <w:ind w:firstLine="0"/>
        <w:rPr>
          <w:rFonts w:hAnsi="宋体" w:cs="宋体"/>
          <w:spacing w:val="0"/>
          <w:sz w:val="21"/>
          <w:szCs w:val="21"/>
        </w:rPr>
      </w:pPr>
      <w:r>
        <w:rPr>
          <w:rFonts w:hint="eastAsia" w:hAnsi="宋体" w:cs="宋体"/>
          <w:spacing w:val="0"/>
          <w:sz w:val="21"/>
          <w:szCs w:val="21"/>
        </w:rPr>
        <w:t>8.4.2明显不符合招标文件要求的规格型号、质量标准，或者与招标文件中标“▲”的技术指标、主要功能项目发生实质性偏离的；</w:t>
      </w:r>
    </w:p>
    <w:p>
      <w:pPr>
        <w:pStyle w:val="13"/>
        <w:adjustRightInd w:val="0"/>
        <w:snapToGrid w:val="0"/>
        <w:spacing w:line="400" w:lineRule="exact"/>
        <w:ind w:firstLine="0"/>
        <w:rPr>
          <w:rFonts w:hAnsi="宋体" w:cs="宋体"/>
          <w:spacing w:val="0"/>
          <w:sz w:val="21"/>
          <w:szCs w:val="21"/>
        </w:rPr>
      </w:pPr>
      <w:r>
        <w:rPr>
          <w:rFonts w:hint="eastAsia" w:hAnsi="宋体" w:cs="宋体"/>
          <w:spacing w:val="0"/>
          <w:sz w:val="21"/>
          <w:szCs w:val="21"/>
        </w:rPr>
        <w:t>8.4.3投标技术方案不明确，存在一个或一个以上备选（替代）供应商方案的；</w:t>
      </w:r>
    </w:p>
    <w:p>
      <w:pPr>
        <w:pStyle w:val="13"/>
        <w:adjustRightInd w:val="0"/>
        <w:snapToGrid w:val="0"/>
        <w:spacing w:line="400" w:lineRule="exact"/>
        <w:ind w:firstLine="0"/>
        <w:rPr>
          <w:rFonts w:hAnsi="宋体"/>
          <w:b/>
          <w:spacing w:val="0"/>
          <w:sz w:val="21"/>
          <w:szCs w:val="24"/>
        </w:rPr>
      </w:pPr>
      <w:r>
        <w:rPr>
          <w:rFonts w:hint="eastAsia" w:hAnsi="宋体"/>
          <w:b/>
          <w:spacing w:val="0"/>
          <w:sz w:val="21"/>
          <w:szCs w:val="24"/>
        </w:rPr>
        <w:t>8.5在报价评审时，如发现下列情形之一的，投标文件将被视为无效：</w:t>
      </w:r>
    </w:p>
    <w:p>
      <w:pPr>
        <w:pStyle w:val="13"/>
        <w:adjustRightInd w:val="0"/>
        <w:snapToGrid w:val="0"/>
        <w:spacing w:line="400" w:lineRule="exact"/>
        <w:ind w:firstLine="0"/>
        <w:rPr>
          <w:rFonts w:hAnsi="宋体" w:cs="宋体"/>
          <w:spacing w:val="0"/>
          <w:sz w:val="21"/>
          <w:szCs w:val="21"/>
        </w:rPr>
      </w:pPr>
      <w:r>
        <w:rPr>
          <w:rFonts w:hint="eastAsia" w:hAnsi="宋体" w:cs="宋体"/>
          <w:spacing w:val="0"/>
          <w:sz w:val="21"/>
          <w:szCs w:val="21"/>
        </w:rPr>
        <w:t>8.5.1未采用人民币报价或者未按照招标文件标明的币种报价的；</w:t>
      </w:r>
    </w:p>
    <w:p>
      <w:pPr>
        <w:pStyle w:val="13"/>
        <w:adjustRightInd w:val="0"/>
        <w:snapToGrid w:val="0"/>
        <w:spacing w:line="400" w:lineRule="exact"/>
        <w:ind w:firstLine="0"/>
        <w:rPr>
          <w:rFonts w:hAnsi="宋体" w:cs="宋体"/>
          <w:spacing w:val="0"/>
          <w:sz w:val="21"/>
          <w:szCs w:val="21"/>
        </w:rPr>
      </w:pPr>
      <w:r>
        <w:rPr>
          <w:rFonts w:hint="eastAsia" w:hAnsi="宋体" w:cs="宋体"/>
          <w:spacing w:val="0"/>
          <w:sz w:val="21"/>
          <w:szCs w:val="21"/>
        </w:rPr>
        <w:t>8.5.2报价超出最高限价；</w:t>
      </w:r>
    </w:p>
    <w:p>
      <w:pPr>
        <w:pStyle w:val="13"/>
        <w:adjustRightInd w:val="0"/>
        <w:snapToGrid w:val="0"/>
        <w:spacing w:line="400" w:lineRule="exact"/>
        <w:ind w:firstLine="0"/>
        <w:rPr>
          <w:rFonts w:hAnsi="宋体"/>
          <w:spacing w:val="0"/>
          <w:sz w:val="21"/>
          <w:szCs w:val="24"/>
        </w:rPr>
      </w:pPr>
      <w:r>
        <w:rPr>
          <w:rFonts w:hint="eastAsia" w:hAnsi="宋体" w:cs="宋体"/>
          <w:spacing w:val="0"/>
          <w:sz w:val="21"/>
          <w:szCs w:val="21"/>
        </w:rPr>
        <w:t xml:space="preserve">8.5.3投标报价具有选择性，或者开标价格与投标文件承诺的优惠（折扣）价格不一致的。       </w:t>
      </w:r>
    </w:p>
    <w:p>
      <w:pPr>
        <w:pStyle w:val="13"/>
        <w:adjustRightInd w:val="0"/>
        <w:snapToGrid w:val="0"/>
        <w:spacing w:line="400" w:lineRule="exact"/>
        <w:ind w:firstLine="0"/>
        <w:rPr>
          <w:rFonts w:hAnsi="宋体"/>
          <w:b/>
          <w:spacing w:val="0"/>
          <w:sz w:val="21"/>
          <w:szCs w:val="24"/>
        </w:rPr>
      </w:pPr>
      <w:r>
        <w:rPr>
          <w:rFonts w:hint="eastAsia" w:hAnsi="宋体"/>
          <w:b/>
          <w:spacing w:val="0"/>
          <w:sz w:val="21"/>
          <w:szCs w:val="24"/>
        </w:rPr>
        <w:t>8.6符合招标文件明确规定的其他无效投标条款的。</w:t>
      </w:r>
    </w:p>
    <w:p>
      <w:pPr>
        <w:pStyle w:val="16"/>
        <w:tabs>
          <w:tab w:val="left" w:pos="630"/>
        </w:tabs>
        <w:spacing w:line="400" w:lineRule="exact"/>
        <w:jc w:val="left"/>
        <w:rPr>
          <w:rFonts w:hAnsi="宋体"/>
          <w:b/>
          <w:sz w:val="21"/>
          <w:szCs w:val="21"/>
        </w:rPr>
      </w:pPr>
      <w:r>
        <w:rPr>
          <w:rFonts w:hint="eastAsia" w:hAnsi="宋体"/>
          <w:b/>
          <w:sz w:val="21"/>
          <w:szCs w:val="21"/>
        </w:rPr>
        <w:t>9. 评标原则和评标办法</w:t>
      </w:r>
    </w:p>
    <w:p>
      <w:pPr>
        <w:pStyle w:val="16"/>
        <w:spacing w:line="400" w:lineRule="exact"/>
        <w:jc w:val="left"/>
        <w:rPr>
          <w:rFonts w:hAnsi="宋体"/>
          <w:sz w:val="21"/>
          <w:szCs w:val="21"/>
        </w:rPr>
      </w:pPr>
      <w:r>
        <w:rPr>
          <w:rFonts w:hint="eastAsia" w:hAnsi="宋体"/>
          <w:sz w:val="21"/>
          <w:szCs w:val="21"/>
        </w:rPr>
        <w:t>9.1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pStyle w:val="16"/>
        <w:spacing w:line="400" w:lineRule="exact"/>
        <w:jc w:val="left"/>
        <w:rPr>
          <w:rFonts w:hAnsi="宋体"/>
          <w:sz w:val="21"/>
          <w:szCs w:val="21"/>
        </w:rPr>
      </w:pPr>
      <w:r>
        <w:rPr>
          <w:rFonts w:hint="eastAsia" w:hAnsi="宋体"/>
          <w:sz w:val="21"/>
          <w:szCs w:val="21"/>
        </w:rPr>
        <w:t>9.2</w:t>
      </w:r>
      <w:r>
        <w:rPr>
          <w:rFonts w:hAnsi="宋体"/>
          <w:sz w:val="21"/>
          <w:szCs w:val="21"/>
        </w:rPr>
        <w:t>评标过程的监控</w:t>
      </w:r>
      <w:r>
        <w:rPr>
          <w:rFonts w:hint="eastAsia" w:hAnsi="宋体"/>
          <w:sz w:val="21"/>
          <w:szCs w:val="21"/>
        </w:rPr>
        <w:t>。</w:t>
      </w:r>
      <w:r>
        <w:rPr>
          <w:rFonts w:hAnsi="宋体"/>
          <w:sz w:val="21"/>
          <w:szCs w:val="21"/>
        </w:rPr>
        <w:t>本项目评标过程实行全程录音、录像监控</w:t>
      </w:r>
      <w:r>
        <w:rPr>
          <w:rFonts w:hint="eastAsia" w:hAnsi="宋体"/>
          <w:sz w:val="21"/>
          <w:szCs w:val="21"/>
        </w:rPr>
        <w:t>。</w:t>
      </w:r>
      <w:r>
        <w:rPr>
          <w:rFonts w:hAnsi="宋体"/>
          <w:sz w:val="21"/>
          <w:szCs w:val="21"/>
        </w:rPr>
        <w:t>投标人在评标过程中所进行的试图影响评标结果的不公正活动，可能导致其投标被拒绝。</w:t>
      </w:r>
    </w:p>
    <w:p>
      <w:pPr>
        <w:pStyle w:val="16"/>
        <w:spacing w:line="400" w:lineRule="exact"/>
        <w:jc w:val="left"/>
        <w:rPr>
          <w:rFonts w:hAnsi="宋体"/>
          <w:b/>
          <w:sz w:val="30"/>
          <w:szCs w:val="30"/>
        </w:rPr>
      </w:pPr>
      <w:r>
        <w:rPr>
          <w:rFonts w:hint="eastAsia"/>
          <w:sz w:val="21"/>
          <w:szCs w:val="21"/>
        </w:rPr>
        <w:t>9.3评标办法。本项目的具体评标办法详见第四章的《评标办法及评分标准》。</w:t>
      </w:r>
      <w:bookmarkStart w:id="72" w:name="_Toc177870555"/>
    </w:p>
    <w:p>
      <w:pPr>
        <w:spacing w:beforeLines="50" w:afterLines="50" w:line="400" w:lineRule="exact"/>
        <w:ind w:left="238"/>
        <w:jc w:val="center"/>
        <w:outlineLvl w:val="1"/>
        <w:rPr>
          <w:rFonts w:ascii="宋体" w:hAnsi="宋体"/>
          <w:b/>
          <w:sz w:val="28"/>
          <w:szCs w:val="28"/>
        </w:rPr>
      </w:pPr>
      <w:bookmarkStart w:id="73" w:name="_Toc20851"/>
      <w:r>
        <w:rPr>
          <w:rFonts w:hint="eastAsia" w:ascii="宋体" w:hAnsi="宋体"/>
          <w:b/>
          <w:sz w:val="28"/>
          <w:szCs w:val="28"/>
        </w:rPr>
        <w:t>六、定标</w:t>
      </w:r>
      <w:bookmarkEnd w:id="72"/>
      <w:bookmarkEnd w:id="73"/>
    </w:p>
    <w:p>
      <w:pPr>
        <w:pStyle w:val="16"/>
        <w:spacing w:line="400" w:lineRule="exact"/>
        <w:jc w:val="left"/>
        <w:rPr>
          <w:b/>
          <w:bCs/>
          <w:sz w:val="21"/>
          <w:szCs w:val="18"/>
        </w:rPr>
      </w:pPr>
      <w:bookmarkStart w:id="74" w:name="_Toc170792772"/>
      <w:bookmarkStart w:id="75" w:name="_Toc107820051"/>
      <w:bookmarkStart w:id="76" w:name="_Toc177870556"/>
      <w:r>
        <w:rPr>
          <w:rFonts w:hint="eastAsia"/>
          <w:b/>
          <w:bCs/>
          <w:sz w:val="21"/>
          <w:szCs w:val="18"/>
        </w:rPr>
        <w:t>1.确定中标人。本项目由采购人确定中标人。</w:t>
      </w:r>
    </w:p>
    <w:p>
      <w:pPr>
        <w:pStyle w:val="16"/>
        <w:spacing w:line="400" w:lineRule="exact"/>
        <w:jc w:val="left"/>
        <w:rPr>
          <w:sz w:val="21"/>
          <w:szCs w:val="18"/>
        </w:rPr>
      </w:pPr>
      <w:r>
        <w:rPr>
          <w:rFonts w:hint="eastAsia"/>
          <w:sz w:val="21"/>
          <w:szCs w:val="18"/>
        </w:rPr>
        <w:t>1.1采购代理机构在评标结束后2个工作日内将评标报告交采购人确认，同时在发布招标公告的网站上对评标结果进行公告。</w:t>
      </w:r>
    </w:p>
    <w:p>
      <w:pPr>
        <w:pStyle w:val="16"/>
        <w:spacing w:line="400" w:lineRule="exact"/>
        <w:jc w:val="left"/>
        <w:rPr>
          <w:sz w:val="21"/>
          <w:szCs w:val="18"/>
        </w:rPr>
      </w:pPr>
      <w:r>
        <w:rPr>
          <w:rFonts w:hint="eastAsia"/>
          <w:sz w:val="21"/>
          <w:szCs w:val="18"/>
        </w:rPr>
        <w:t>2.投标人对评标结果无异议的，采购人应在收到评标报告后5个工作日内对评标结果进行确认。如有投标人对评标结果提出质疑的，采购人可在质疑处理完毕后确定中标人。</w:t>
      </w:r>
    </w:p>
    <w:p>
      <w:pPr>
        <w:pStyle w:val="16"/>
        <w:spacing w:line="400" w:lineRule="exact"/>
        <w:jc w:val="left"/>
        <w:rPr>
          <w:sz w:val="21"/>
          <w:szCs w:val="18"/>
        </w:rPr>
      </w:pPr>
      <w:r>
        <w:rPr>
          <w:rFonts w:hint="eastAsia"/>
          <w:sz w:val="21"/>
          <w:szCs w:val="18"/>
        </w:rPr>
        <w:t>3.在公告中标结果的同时，采购代理机构向中标人发出中标通知书。</w:t>
      </w:r>
    </w:p>
    <w:p>
      <w:pPr>
        <w:spacing w:beforeLines="50" w:afterLines="50" w:line="400" w:lineRule="exact"/>
        <w:ind w:left="238"/>
        <w:jc w:val="center"/>
        <w:outlineLvl w:val="1"/>
        <w:rPr>
          <w:rFonts w:ascii="宋体" w:hAnsi="宋体"/>
          <w:b/>
          <w:sz w:val="28"/>
          <w:szCs w:val="28"/>
        </w:rPr>
      </w:pPr>
      <w:bookmarkStart w:id="77" w:name="_Toc7621"/>
      <w:r>
        <w:rPr>
          <w:rFonts w:hint="eastAsia" w:ascii="宋体" w:hAnsi="宋体"/>
          <w:b/>
          <w:sz w:val="28"/>
          <w:szCs w:val="28"/>
        </w:rPr>
        <w:t>七、合同</w:t>
      </w:r>
      <w:bookmarkEnd w:id="74"/>
      <w:bookmarkEnd w:id="75"/>
      <w:r>
        <w:rPr>
          <w:rFonts w:hint="eastAsia" w:ascii="宋体" w:hAnsi="宋体"/>
          <w:b/>
          <w:sz w:val="28"/>
          <w:szCs w:val="28"/>
        </w:rPr>
        <w:t>授予</w:t>
      </w:r>
      <w:bookmarkEnd w:id="76"/>
      <w:bookmarkEnd w:id="77"/>
    </w:p>
    <w:p>
      <w:pPr>
        <w:spacing w:line="400" w:lineRule="exac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签订合同</w:t>
      </w:r>
    </w:p>
    <w:p>
      <w:pPr>
        <w:spacing w:line="400" w:lineRule="exact"/>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中标人自接到中标通知书后30日内与采购人签定合同，同时采购代理机构对合同内容进行审查，如发现与采购结果和投标承诺内容不一致的，将予以纠正。</w:t>
      </w:r>
    </w:p>
    <w:p>
      <w:pPr>
        <w:spacing w:line="400" w:lineRule="exac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2中标人拒绝与采购人签订合同的，将被取消中标资格。采购人可以按照评标报告推荐的中标候选人名单排序，确定下一候选人为中标供应商，也可以重新开展政府采购活动。</w:t>
      </w:r>
    </w:p>
    <w:p>
      <w:pPr>
        <w:spacing w:line="400" w:lineRule="exact"/>
        <w:rPr>
          <w:rFonts w:ascii="宋体" w:hAnsi="宋体"/>
          <w:szCs w:val="21"/>
        </w:rPr>
      </w:pPr>
      <w:r>
        <w:rPr>
          <w:rFonts w:hint="eastAsia" w:ascii="宋体" w:hAnsi="宋体"/>
          <w:szCs w:val="21"/>
        </w:rPr>
        <w:t>1.3采购人应当自政府采购合同签订之日起2个工作日内，将政府采购合同在省级以上人民政府财政部门指定的媒体上公告，但政府采购合同中涉及国家秘密、商业秘密的内容除外。</w:t>
      </w:r>
    </w:p>
    <w:p>
      <w:pPr>
        <w:pStyle w:val="16"/>
        <w:spacing w:line="400" w:lineRule="exact"/>
        <w:rPr>
          <w:rFonts w:hAnsi="宋体"/>
          <w:sz w:val="21"/>
          <w:szCs w:val="21"/>
        </w:rPr>
      </w:pPr>
      <w:r>
        <w:rPr>
          <w:rFonts w:hint="eastAsia" w:hAnsi="宋体"/>
          <w:sz w:val="21"/>
          <w:szCs w:val="21"/>
        </w:rPr>
        <w:t>2.履约保证金</w:t>
      </w:r>
    </w:p>
    <w:p>
      <w:pPr>
        <w:pStyle w:val="16"/>
        <w:spacing w:line="400" w:lineRule="exact"/>
        <w:rPr>
          <w:rFonts w:hAnsi="宋体"/>
          <w:sz w:val="21"/>
          <w:szCs w:val="21"/>
        </w:rPr>
      </w:pPr>
      <w:r>
        <w:rPr>
          <w:rFonts w:hint="eastAsia" w:hAnsi="宋体"/>
          <w:sz w:val="21"/>
          <w:szCs w:val="21"/>
        </w:rPr>
        <w:t>2.1 签订合同前，中标供应商应按招标文件上确定的履约保证金的金额，向采购人交纳履约保证金。</w:t>
      </w:r>
    </w:p>
    <w:p>
      <w:pPr>
        <w:pStyle w:val="16"/>
        <w:spacing w:line="400" w:lineRule="exact"/>
        <w:rPr>
          <w:rFonts w:hAnsi="宋体"/>
          <w:sz w:val="21"/>
          <w:szCs w:val="21"/>
        </w:rPr>
      </w:pPr>
      <w:r>
        <w:rPr>
          <w:rFonts w:hint="eastAsia" w:hAnsi="宋体"/>
          <w:sz w:val="21"/>
          <w:szCs w:val="21"/>
        </w:rPr>
        <w:t>2.2 签订合同后，如中标供应商不按双方签订合同约定履约，则没收其全部履约保证金，履约保证金不足以赔偿损失的，按实际损失赔偿。</w:t>
      </w:r>
    </w:p>
    <w:p>
      <w:pPr>
        <w:pStyle w:val="16"/>
        <w:spacing w:line="360" w:lineRule="auto"/>
        <w:rPr>
          <w:rFonts w:hAnsi="宋体"/>
          <w:b/>
          <w:sz w:val="21"/>
          <w:szCs w:val="21"/>
        </w:rPr>
      </w:pPr>
      <w:r>
        <w:rPr>
          <w:rFonts w:hint="eastAsia" w:hAnsi="宋体"/>
          <w:b/>
          <w:sz w:val="21"/>
          <w:szCs w:val="21"/>
        </w:rPr>
        <w:t>3、▲中标服务费</w:t>
      </w:r>
    </w:p>
    <w:p>
      <w:pPr>
        <w:snapToGrid w:val="0"/>
        <w:spacing w:line="360" w:lineRule="auto"/>
        <w:jc w:val="left"/>
        <w:rPr>
          <w:rFonts w:ascii="宋体" w:hAnsi="宋体"/>
          <w:b/>
          <w:szCs w:val="21"/>
        </w:rPr>
      </w:pPr>
      <w:r>
        <w:rPr>
          <w:rFonts w:hint="eastAsia" w:ascii="宋体" w:hAnsi="宋体"/>
          <w:b/>
          <w:szCs w:val="21"/>
        </w:rPr>
        <w:t>3.1中标供应商须向采购代理机构按如下金额交纳中标服务费：人民币捌万零柒佰柒拾元整。投标报价时应综合考虑这项费用。中标服务费在本次项目中标通知书发出之日起10个工作日内一次性支付。</w:t>
      </w:r>
    </w:p>
    <w:p>
      <w:pPr>
        <w:snapToGrid w:val="0"/>
        <w:spacing w:line="360" w:lineRule="auto"/>
        <w:jc w:val="left"/>
        <w:rPr>
          <w:rFonts w:ascii="宋体" w:hAnsi="宋体"/>
          <w:b/>
          <w:szCs w:val="21"/>
        </w:rPr>
      </w:pPr>
    </w:p>
    <w:p>
      <w:pPr>
        <w:pStyle w:val="25"/>
        <w:rPr>
          <w:rFonts w:ascii="宋体" w:hAnsi="宋体"/>
          <w:b/>
          <w:szCs w:val="21"/>
        </w:rPr>
      </w:pPr>
    </w:p>
    <w:p>
      <w:pPr>
        <w:rPr>
          <w:rFonts w:ascii="宋体" w:hAnsi="宋体"/>
          <w:b/>
          <w:szCs w:val="21"/>
        </w:rPr>
      </w:pPr>
    </w:p>
    <w:p>
      <w:pPr>
        <w:pStyle w:val="2"/>
        <w:rPr>
          <w:rFonts w:ascii="宋体" w:hAnsi="宋体"/>
          <w:szCs w:val="21"/>
        </w:rPr>
      </w:pPr>
    </w:p>
    <w:p>
      <w:pPr>
        <w:pStyle w:val="3"/>
        <w:ind w:firstLine="482"/>
        <w:rPr>
          <w:rFonts w:ascii="宋体" w:hAnsi="宋体"/>
          <w:b/>
          <w:szCs w:val="21"/>
        </w:rPr>
      </w:pPr>
    </w:p>
    <w:p>
      <w:pPr>
        <w:pStyle w:val="3"/>
        <w:ind w:firstLine="482"/>
        <w:rPr>
          <w:rFonts w:ascii="宋体" w:hAnsi="宋体"/>
          <w:b/>
          <w:szCs w:val="21"/>
        </w:rPr>
      </w:pPr>
    </w:p>
    <w:p>
      <w:pPr>
        <w:pStyle w:val="16"/>
        <w:spacing w:beforeLines="50" w:afterLines="50" w:line="400" w:lineRule="exact"/>
        <w:jc w:val="center"/>
        <w:outlineLvl w:val="0"/>
        <w:rPr>
          <w:rFonts w:ascii="隶书"/>
          <w:b/>
          <w:sz w:val="28"/>
          <w:szCs w:val="28"/>
        </w:rPr>
      </w:pPr>
      <w:bookmarkStart w:id="78" w:name="_Toc29856"/>
      <w:r>
        <w:rPr>
          <w:rFonts w:hint="eastAsia"/>
          <w:b/>
          <w:sz w:val="32"/>
          <w:szCs w:val="32"/>
        </w:rPr>
        <w:t>第四章评标办法及评分标准</w:t>
      </w:r>
      <w:bookmarkEnd w:id="78"/>
    </w:p>
    <w:p>
      <w:pPr>
        <w:spacing w:line="460" w:lineRule="exact"/>
        <w:ind w:firstLine="420"/>
        <w:jc w:val="left"/>
        <w:rPr>
          <w:rFonts w:ascii="宋体" w:hAnsi="宋体"/>
          <w:szCs w:val="21"/>
        </w:rPr>
      </w:pPr>
      <w:bookmarkStart w:id="79" w:name="_Toc170792808"/>
      <w:r>
        <w:rPr>
          <w:rFonts w:hint="eastAsia" w:ascii="宋体" w:hAnsi="宋体"/>
          <w:szCs w:val="21"/>
        </w:rPr>
        <w:t>根据《中华人民共和国政府采购法》等有关法律法规的规定，结合本项目的实际，按照公正、公平、科学、择优的原则选择中标人，制定本办法。</w:t>
      </w:r>
    </w:p>
    <w:p>
      <w:pPr>
        <w:spacing w:line="460" w:lineRule="exact"/>
        <w:jc w:val="left"/>
        <w:rPr>
          <w:rFonts w:ascii="宋体" w:hAnsi="宋体"/>
          <w:b/>
          <w:bCs/>
          <w:szCs w:val="21"/>
        </w:rPr>
      </w:pPr>
      <w:r>
        <w:rPr>
          <w:rFonts w:hint="eastAsia" w:ascii="宋体" w:hAnsi="宋体"/>
          <w:b/>
          <w:bCs/>
          <w:szCs w:val="21"/>
        </w:rPr>
        <w:t>一、总    则</w:t>
      </w:r>
      <w:bookmarkEnd w:id="79"/>
    </w:p>
    <w:p>
      <w:pPr>
        <w:spacing w:line="460" w:lineRule="exact"/>
        <w:ind w:firstLine="420"/>
        <w:jc w:val="left"/>
        <w:rPr>
          <w:rFonts w:ascii="宋体" w:hAnsi="宋体"/>
          <w:szCs w:val="21"/>
        </w:rPr>
      </w:pPr>
      <w:r>
        <w:rPr>
          <w:rFonts w:hint="eastAsia" w:ascii="宋体" w:hAnsi="宋体"/>
          <w:szCs w:val="21"/>
        </w:rPr>
        <w:t>本次评标采用综合评分法。总分100分，其中价格分30分，技术分55分、资信商务及其他15分。合格投标人的评标得分为各项目汇总得分，中标候选资格按评标得分由高到低顺序排列，得分相同的，按投标报价由低到高顺序排列；得分且投标报价相同的，按技术得分由高到低顺序排列，所有分都相同的，按电子投标文件在线解密时间先后顺序排列。排名第一的投标人为中标候选人，排名第二的投标人为候补中标候选人……其他投标人中标候选资格依此类推。评分过程中采用四舍五入法，并保留小数2位。</w:t>
      </w:r>
    </w:p>
    <w:p>
      <w:pPr>
        <w:spacing w:beforeLines="50" w:afterLines="50" w:line="460" w:lineRule="exact"/>
        <w:ind w:firstLine="420" w:firstLineChars="200"/>
        <w:rPr>
          <w:rFonts w:ascii="宋体" w:hAnsi="宋体" w:cs="宋体"/>
          <w:szCs w:val="21"/>
        </w:rPr>
      </w:pPr>
      <w:r>
        <w:rPr>
          <w:rFonts w:hint="eastAsia" w:ascii="宋体" w:hAnsi="宋体" w:cs="宋体"/>
          <w:szCs w:val="21"/>
        </w:rPr>
        <w:t>投标人评标</w:t>
      </w:r>
      <w:r>
        <w:rPr>
          <w:rFonts w:hint="eastAsia" w:ascii="宋体" w:hAnsi="宋体" w:cs="宋体"/>
          <w:bCs/>
          <w:szCs w:val="21"/>
        </w:rPr>
        <w:t>综合得分=</w:t>
      </w:r>
      <w:r>
        <w:rPr>
          <w:rFonts w:hint="eastAsia" w:ascii="宋体" w:hAnsi="宋体" w:cs="宋体"/>
          <w:szCs w:val="21"/>
        </w:rPr>
        <w:t>价格分+技术分+资信商务及其他分</w:t>
      </w:r>
    </w:p>
    <w:p>
      <w:pPr>
        <w:adjustRightInd w:val="0"/>
        <w:snapToGrid w:val="0"/>
        <w:spacing w:line="460" w:lineRule="exact"/>
        <w:rPr>
          <w:rFonts w:ascii="宋体" w:hAnsi="宋体" w:cs="宋体"/>
          <w:b/>
          <w:szCs w:val="21"/>
        </w:rPr>
      </w:pPr>
      <w:r>
        <w:rPr>
          <w:rFonts w:hint="eastAsia" w:ascii="宋体" w:hAnsi="宋体" w:cs="宋体"/>
          <w:b/>
          <w:szCs w:val="21"/>
        </w:rPr>
        <w:t>二、评标内容及标准</w:t>
      </w:r>
    </w:p>
    <w:p>
      <w:pPr>
        <w:pStyle w:val="13"/>
        <w:adjustRightInd w:val="0"/>
        <w:snapToGrid w:val="0"/>
        <w:spacing w:line="460" w:lineRule="exact"/>
        <w:ind w:firstLine="0"/>
        <w:rPr>
          <w:rFonts w:hAnsi="宋体" w:cs="宋体"/>
          <w:b/>
          <w:bCs/>
          <w:sz w:val="21"/>
          <w:szCs w:val="21"/>
        </w:rPr>
      </w:pPr>
      <w:r>
        <w:rPr>
          <w:rFonts w:hint="eastAsia" w:hAnsi="宋体" w:cs="宋体"/>
          <w:b/>
          <w:bCs/>
          <w:sz w:val="21"/>
          <w:szCs w:val="21"/>
        </w:rPr>
        <w:t>（一）价格分（0-30分）</w:t>
      </w:r>
    </w:p>
    <w:p>
      <w:pPr>
        <w:pStyle w:val="13"/>
        <w:spacing w:beforeLines="50" w:afterLines="50" w:line="360" w:lineRule="auto"/>
        <w:ind w:firstLine="406" w:firstLineChars="200"/>
        <w:rPr>
          <w:rFonts w:hAnsi="宋体" w:cs="宋体"/>
          <w:b/>
          <w:bCs/>
          <w:sz w:val="21"/>
          <w:szCs w:val="21"/>
        </w:rPr>
      </w:pPr>
      <w:r>
        <w:rPr>
          <w:rFonts w:hint="eastAsia" w:hAnsi="宋体" w:cs="宋体"/>
          <w:b/>
          <w:bCs/>
          <w:sz w:val="21"/>
          <w:szCs w:val="21"/>
        </w:rPr>
        <w:t>1.政策优惠：根据财库〔2011〕181号的相关规定，在评审时对小型和微型企业的投标报价给予6%的扣除，取扣除后的价格作为最终投标报价（此最终投标报价仅作为价格分计算）。属于小型和微型企业的，投标文件中必须同时提供《中小企业声明函》（模板见第六章）、“国家企业信用信息公示系统——小微企业名录”页面查询结果http://xwqy.gsxt.gov.cn/mirco/micro_lib（查询时间为投标前一周内，并加盖单位公章）。(注：未提供以上材料的，均不给予价格扣除）</w:t>
      </w:r>
    </w:p>
    <w:p>
      <w:pPr>
        <w:pStyle w:val="13"/>
        <w:spacing w:beforeLines="50" w:afterLines="50" w:line="360" w:lineRule="auto"/>
        <w:ind w:firstLine="406" w:firstLineChars="200"/>
        <w:rPr>
          <w:rFonts w:hAnsi="宋体" w:cs="宋体"/>
          <w:b/>
          <w:bCs/>
          <w:sz w:val="21"/>
          <w:szCs w:val="21"/>
        </w:rPr>
      </w:pPr>
      <w:r>
        <w:rPr>
          <w:rFonts w:hint="eastAsia" w:hAnsi="宋体" w:cs="宋体"/>
          <w:b/>
          <w:bCs/>
          <w:sz w:val="21"/>
          <w:szCs w:val="21"/>
        </w:rPr>
        <w:t>2.根据财库〔2017〕141号文件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模板见第六章）。</w:t>
      </w:r>
    </w:p>
    <w:p>
      <w:pPr>
        <w:pStyle w:val="13"/>
        <w:spacing w:beforeLines="50" w:afterLines="50" w:line="360" w:lineRule="auto"/>
        <w:ind w:firstLine="406" w:firstLineChars="200"/>
        <w:rPr>
          <w:rFonts w:hAnsi="宋体" w:cs="宋体"/>
          <w:b/>
          <w:bCs/>
          <w:sz w:val="21"/>
          <w:szCs w:val="21"/>
        </w:rPr>
      </w:pPr>
      <w:r>
        <w:rPr>
          <w:rFonts w:hint="eastAsia" w:hAnsi="宋体" w:cs="宋体"/>
          <w:b/>
          <w:bCs/>
          <w:sz w:val="21"/>
          <w:szCs w:val="21"/>
        </w:rPr>
        <w:t>3. 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tabs>
          <w:tab w:val="left" w:pos="6264"/>
        </w:tabs>
        <w:snapToGrid w:val="0"/>
        <w:spacing w:line="380" w:lineRule="exact"/>
        <w:ind w:firstLine="476"/>
        <w:rPr>
          <w:rFonts w:ascii="新宋体" w:hAnsi="新宋体" w:eastAsia="新宋体"/>
          <w:szCs w:val="21"/>
        </w:rPr>
      </w:pPr>
      <w:r>
        <w:rPr>
          <w:rFonts w:hint="eastAsia" w:ascii="新宋体" w:hAnsi="新宋体" w:eastAsia="新宋体"/>
          <w:szCs w:val="21"/>
        </w:rPr>
        <w:t>投标报价在招标人公布的最高限价以下、在各阶段评审中未被定为无效投标文件或废标，其投标人的投标报价为有效投标报价。</w:t>
      </w:r>
    </w:p>
    <w:p>
      <w:pPr>
        <w:tabs>
          <w:tab w:val="left" w:pos="6264"/>
        </w:tabs>
        <w:snapToGrid w:val="0"/>
        <w:spacing w:line="380" w:lineRule="exact"/>
        <w:ind w:firstLine="476"/>
        <w:rPr>
          <w:rFonts w:ascii="新宋体" w:hAnsi="新宋体" w:eastAsia="新宋体"/>
          <w:szCs w:val="21"/>
        </w:rPr>
      </w:pPr>
      <w:r>
        <w:rPr>
          <w:rFonts w:hint="eastAsia" w:ascii="新宋体" w:hAnsi="新宋体" w:eastAsia="新宋体"/>
          <w:szCs w:val="21"/>
        </w:rPr>
        <w:t>4.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价格分=（评标基准价/投标报价）×30%×100</w:t>
      </w:r>
    </w:p>
    <w:p>
      <w:pPr>
        <w:tabs>
          <w:tab w:val="left" w:pos="851"/>
          <w:tab w:val="left" w:pos="3870"/>
        </w:tabs>
        <w:adjustRightInd w:val="0"/>
        <w:snapToGrid w:val="0"/>
        <w:spacing w:line="460" w:lineRule="exact"/>
        <w:ind w:firstLine="420" w:firstLineChars="200"/>
        <w:jc w:val="left"/>
        <w:rPr>
          <w:rFonts w:ascii="宋体" w:hAnsi="宋体" w:cs="宋体"/>
          <w:szCs w:val="21"/>
        </w:rPr>
      </w:pPr>
      <w:r>
        <w:rPr>
          <w:rFonts w:hint="eastAsia" w:ascii="宋体" w:hAnsi="宋体" w:cs="宋体"/>
          <w:szCs w:val="21"/>
        </w:rPr>
        <w:t>5、投标人的投标报价超过采购人设定的最高限价，投标文件将作为无效标处理。</w:t>
      </w:r>
      <w:r>
        <w:rPr>
          <w:rFonts w:hint="eastAsia"/>
          <w:b/>
          <w:szCs w:val="21"/>
        </w:rPr>
        <w:t>其中最高限价为10392620元。</w:t>
      </w:r>
    </w:p>
    <w:p>
      <w:pPr>
        <w:tabs>
          <w:tab w:val="left" w:pos="851"/>
          <w:tab w:val="left" w:pos="3870"/>
        </w:tabs>
        <w:adjustRightInd w:val="0"/>
        <w:snapToGrid w:val="0"/>
        <w:spacing w:line="460" w:lineRule="exact"/>
        <w:ind w:firstLine="420" w:firstLineChars="200"/>
        <w:jc w:val="left"/>
        <w:rPr>
          <w:rFonts w:ascii="宋体" w:hAnsi="宋体" w:cs="宋体"/>
          <w:szCs w:val="21"/>
        </w:rPr>
      </w:pPr>
      <w:r>
        <w:rPr>
          <w:rFonts w:hint="eastAsia" w:ascii="宋体" w:hAnsi="宋体" w:cs="宋体"/>
          <w:szCs w:val="21"/>
        </w:rPr>
        <w:t>6、最低报价不是中标的保证，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小组将推荐综合评分最高的投标人为中标候选人。</w:t>
      </w:r>
    </w:p>
    <w:p>
      <w:pPr>
        <w:pStyle w:val="13"/>
        <w:adjustRightInd w:val="0"/>
        <w:snapToGrid w:val="0"/>
        <w:spacing w:line="460" w:lineRule="exact"/>
        <w:ind w:firstLine="0"/>
        <w:rPr>
          <w:rFonts w:hAnsi="宋体" w:cs="宋体"/>
          <w:b/>
          <w:bCs/>
          <w:sz w:val="21"/>
          <w:szCs w:val="21"/>
        </w:rPr>
      </w:pPr>
      <w:r>
        <w:rPr>
          <w:rFonts w:hint="eastAsia" w:hAnsi="宋体" w:cs="宋体"/>
          <w:b/>
          <w:bCs/>
          <w:sz w:val="21"/>
          <w:szCs w:val="21"/>
        </w:rPr>
        <w:t>（二）技术分（0-55分）</w:t>
      </w:r>
    </w:p>
    <w:tbl>
      <w:tblPr>
        <w:tblStyle w:val="33"/>
        <w:tblpPr w:leftFromText="180" w:rightFromText="180" w:vertAnchor="text" w:horzAnchor="margin" w:tblpXSpec="center" w:tblpY="1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59"/>
        <w:gridCol w:w="6781"/>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8040" w:type="dxa"/>
            <w:gridSpan w:val="2"/>
            <w:shd w:val="clear" w:color="auto" w:fill="auto"/>
            <w:noWrap/>
            <w:vAlign w:val="center"/>
          </w:tcPr>
          <w:p>
            <w:pPr>
              <w:widowControl/>
              <w:jc w:val="center"/>
              <w:rPr>
                <w:rFonts w:ascii="宋体" w:hAnsi="宋体" w:cs="宋体"/>
                <w:b/>
                <w:kern w:val="0"/>
                <w:szCs w:val="21"/>
              </w:rPr>
            </w:pPr>
            <w:r>
              <w:rPr>
                <w:rFonts w:hint="eastAsia" w:ascii="宋体" w:hAnsi="宋体" w:cs="宋体"/>
                <w:b/>
                <w:kern w:val="0"/>
                <w:szCs w:val="21"/>
              </w:rPr>
              <w:t>评分内容及标准</w:t>
            </w:r>
          </w:p>
        </w:tc>
        <w:tc>
          <w:tcPr>
            <w:tcW w:w="913" w:type="dxa"/>
            <w:noWrap/>
            <w:vAlign w:val="center"/>
          </w:tcPr>
          <w:p>
            <w:pPr>
              <w:widowControl/>
              <w:jc w:val="center"/>
              <w:rPr>
                <w:rFonts w:ascii="宋体" w:hAnsi="宋体" w:cs="宋体"/>
                <w:b/>
                <w:kern w:val="0"/>
                <w:szCs w:val="21"/>
              </w:rPr>
            </w:pPr>
            <w:r>
              <w:rPr>
                <w:rFonts w:hint="eastAsia" w:ascii="宋体" w:hAnsi="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675" w:type="dxa"/>
            <w:vMerge w:val="restar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259" w:type="dxa"/>
            <w:vMerge w:val="restar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总体方案</w:t>
            </w:r>
          </w:p>
          <w:p>
            <w:pPr>
              <w:widowControl/>
              <w:jc w:val="center"/>
              <w:rPr>
                <w:rFonts w:ascii="宋体" w:hAnsi="宋体" w:cs="宋体"/>
                <w:kern w:val="0"/>
                <w:szCs w:val="21"/>
              </w:rPr>
            </w:pPr>
            <w:r>
              <w:rPr>
                <w:rFonts w:hint="eastAsia" w:ascii="宋体" w:hAnsi="宋体" w:cs="宋体"/>
                <w:kern w:val="0"/>
                <w:szCs w:val="21"/>
              </w:rPr>
              <w:t>（16分）</w:t>
            </w:r>
          </w:p>
        </w:tc>
        <w:tc>
          <w:tcPr>
            <w:tcW w:w="6781"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根据总体架构设计合理、技术路线成熟可靠、各系统模块、硬件之间逻辑关系清晰，对项目需求的理解等综合评分。整体架构与功能点的可行性、合理性、规范性，与用户现有系统的兼容性，包括总体设计、接口设计、系统数据结构设计、数据库设计及模块设计等。软件的成熟度，软件质量的稳健性、安全性、可操作性、可扩充性、可维护性、开放性等；硬件的集成度、兼容性等。根据投标人技术方案综合评分（0-3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5" w:type="dxa"/>
            <w:vMerge w:val="continue"/>
            <w:shd w:val="clear" w:color="auto" w:fill="auto"/>
            <w:noWrap/>
            <w:vAlign w:val="center"/>
          </w:tcPr>
          <w:p>
            <w:pPr>
              <w:widowControl/>
              <w:jc w:val="left"/>
              <w:rPr>
                <w:rFonts w:ascii="宋体" w:hAnsi="宋体" w:cs="宋体"/>
                <w:kern w:val="0"/>
                <w:szCs w:val="21"/>
              </w:rPr>
            </w:pPr>
          </w:p>
        </w:tc>
        <w:tc>
          <w:tcPr>
            <w:tcW w:w="1259" w:type="dxa"/>
            <w:vMerge w:val="continue"/>
            <w:shd w:val="clear" w:color="auto" w:fill="auto"/>
            <w:noWrap/>
            <w:vAlign w:val="center"/>
          </w:tcPr>
          <w:p>
            <w:pPr>
              <w:widowControl/>
              <w:jc w:val="left"/>
              <w:rPr>
                <w:rFonts w:ascii="宋体" w:hAnsi="宋体" w:cs="宋体"/>
                <w:kern w:val="0"/>
                <w:szCs w:val="21"/>
              </w:rPr>
            </w:pPr>
          </w:p>
        </w:tc>
        <w:tc>
          <w:tcPr>
            <w:tcW w:w="6781" w:type="dxa"/>
            <w:shd w:val="clear" w:color="auto" w:fill="auto"/>
            <w:noWrap/>
            <w:vAlign w:val="center"/>
          </w:tcPr>
          <w:p>
            <w:pPr>
              <w:rPr>
                <w:rFonts w:ascii="宋体" w:hAnsi="宋体" w:cs="宋体"/>
                <w:kern w:val="0"/>
                <w:szCs w:val="21"/>
              </w:rPr>
            </w:pPr>
            <w:r>
              <w:rPr>
                <w:rFonts w:hint="eastAsia" w:ascii="宋体" w:hAnsi="宋体" w:cs="宋体"/>
                <w:kern w:val="0"/>
                <w:szCs w:val="21"/>
              </w:rPr>
              <w:t>车载设备，技术路线成熟、与招标需求高度吻合。根据投标人技术方案平台软件方案综合评分（0-3分）。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75" w:type="dxa"/>
            <w:vMerge w:val="continue"/>
            <w:shd w:val="clear" w:color="auto" w:fill="auto"/>
            <w:noWrap/>
            <w:vAlign w:val="center"/>
          </w:tcPr>
          <w:p>
            <w:pPr>
              <w:widowControl/>
              <w:jc w:val="left"/>
              <w:rPr>
                <w:rFonts w:ascii="宋体" w:hAnsi="宋体" w:cs="宋体"/>
                <w:kern w:val="0"/>
                <w:szCs w:val="21"/>
              </w:rPr>
            </w:pPr>
          </w:p>
        </w:tc>
        <w:tc>
          <w:tcPr>
            <w:tcW w:w="1259" w:type="dxa"/>
            <w:vMerge w:val="continue"/>
            <w:shd w:val="clear" w:color="auto" w:fill="auto"/>
            <w:noWrap/>
            <w:vAlign w:val="center"/>
          </w:tcPr>
          <w:p>
            <w:pPr>
              <w:widowControl/>
              <w:jc w:val="left"/>
              <w:rPr>
                <w:rFonts w:ascii="宋体" w:hAnsi="宋体" w:cs="宋体"/>
                <w:kern w:val="0"/>
                <w:szCs w:val="21"/>
              </w:rPr>
            </w:pPr>
          </w:p>
        </w:tc>
        <w:tc>
          <w:tcPr>
            <w:tcW w:w="6781"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根据提供的全套电召平台软件实现方案及软件截图是否能满足电话召车功能，根据方案及软件截图进行综合评分（</w:t>
            </w:r>
            <w:r>
              <w:rPr>
                <w:rFonts w:ascii="宋体" w:hAnsi="宋体" w:cs="宋体"/>
                <w:kern w:val="0"/>
                <w:szCs w:val="21"/>
              </w:rPr>
              <w:t>0-5分）。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75" w:type="dxa"/>
            <w:vMerge w:val="continue"/>
            <w:shd w:val="clear" w:color="auto" w:fill="auto"/>
            <w:noWrap/>
            <w:vAlign w:val="center"/>
          </w:tcPr>
          <w:p>
            <w:pPr>
              <w:widowControl/>
              <w:jc w:val="left"/>
              <w:rPr>
                <w:rFonts w:ascii="宋体" w:hAnsi="宋体" w:cs="宋体"/>
                <w:kern w:val="0"/>
                <w:szCs w:val="21"/>
              </w:rPr>
            </w:pPr>
          </w:p>
        </w:tc>
        <w:tc>
          <w:tcPr>
            <w:tcW w:w="1259" w:type="dxa"/>
            <w:vMerge w:val="continue"/>
            <w:shd w:val="clear" w:color="auto" w:fill="auto"/>
            <w:noWrap/>
            <w:vAlign w:val="center"/>
          </w:tcPr>
          <w:p>
            <w:pPr>
              <w:widowControl/>
              <w:jc w:val="left"/>
              <w:rPr>
                <w:rFonts w:ascii="宋体" w:hAnsi="宋体" w:cs="宋体"/>
                <w:kern w:val="0"/>
                <w:szCs w:val="21"/>
              </w:rPr>
            </w:pP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根据投标人技术方案中车载设备接入的基础平台对行业运营数据分析、视频监控、轨迹查询、车辆及驾驶员信息管理等各模块功能点的可行性、合理性、规范性，与用户现有系统的兼容性，出租车企业日常管理的便捷性、车辆、驾驶员信息维护的方便性，行业管理部门统计分析的便捷性等，与招标需求吻合程度等综合评分（0-5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75" w:type="dxa"/>
            <w:vMerge w:val="restar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259" w:type="dxa"/>
            <w:vMerge w:val="restar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车载设备</w:t>
            </w:r>
          </w:p>
          <w:p>
            <w:pPr>
              <w:widowControl/>
              <w:jc w:val="center"/>
              <w:rPr>
                <w:rFonts w:ascii="宋体" w:hAnsi="宋体" w:cs="宋体"/>
                <w:kern w:val="0"/>
                <w:szCs w:val="21"/>
              </w:rPr>
            </w:pPr>
            <w:r>
              <w:rPr>
                <w:rFonts w:hint="eastAsia" w:ascii="宋体" w:hAnsi="宋体" w:cs="宋体"/>
                <w:kern w:val="0"/>
                <w:szCs w:val="21"/>
              </w:rPr>
              <w:t>（12分）</w:t>
            </w: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所提供产品的参数及服务均满足要求得8分，其中</w:t>
            </w:r>
            <w:r>
              <w:rPr>
                <w:rFonts w:hint="eastAsia" w:ascii="宋体" w:hAnsi="宋体"/>
                <w:szCs w:val="21"/>
              </w:rPr>
              <w:t>实质性要求条款</w:t>
            </w:r>
            <w:r>
              <w:rPr>
                <w:rFonts w:hint="eastAsia" w:ascii="宋体" w:hAnsi="宋体" w:cs="宋体"/>
                <w:kern w:val="0"/>
                <w:szCs w:val="21"/>
              </w:rPr>
              <w:t>出现负偏离，按无效标处理，非</w:t>
            </w:r>
            <w:r>
              <w:rPr>
                <w:rFonts w:hint="eastAsia" w:ascii="宋体" w:hAnsi="宋体"/>
                <w:szCs w:val="21"/>
              </w:rPr>
              <w:t>实质性要求条款</w:t>
            </w:r>
            <w:r>
              <w:rPr>
                <w:rFonts w:hint="eastAsia" w:ascii="宋体" w:hAnsi="宋体" w:cs="宋体"/>
                <w:kern w:val="0"/>
                <w:szCs w:val="21"/>
              </w:rPr>
              <w:t>出现负偏离，每项扣2分，扣完为止；选择较优品牌产品，完全满足招标文件要求且相对有较多正偏离或属于提高档次的，经评标委员会认定后，每项可再加0.5分，最多加2分。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Merge w:val="continue"/>
            <w:shd w:val="clear" w:color="auto" w:fill="auto"/>
            <w:noWrap/>
            <w:vAlign w:val="center"/>
          </w:tcPr>
          <w:p>
            <w:pPr>
              <w:widowControl/>
              <w:jc w:val="left"/>
              <w:rPr>
                <w:rFonts w:ascii="宋体" w:hAnsi="宋体" w:cs="宋体"/>
                <w:kern w:val="0"/>
                <w:szCs w:val="21"/>
              </w:rPr>
            </w:pPr>
          </w:p>
        </w:tc>
        <w:tc>
          <w:tcPr>
            <w:tcW w:w="1259" w:type="dxa"/>
            <w:vMerge w:val="continue"/>
            <w:shd w:val="clear" w:color="auto" w:fill="auto"/>
            <w:noWrap/>
            <w:vAlign w:val="center"/>
          </w:tcPr>
          <w:p>
            <w:pPr>
              <w:widowControl/>
              <w:jc w:val="center"/>
              <w:rPr>
                <w:rFonts w:ascii="宋体" w:hAnsi="宋体" w:cs="宋体"/>
                <w:kern w:val="0"/>
                <w:szCs w:val="21"/>
              </w:rPr>
            </w:pP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智能终端具备无线上传功能，根据需要能够提供无线上传服务（运营数据、GPS轨迹、监控等），得1分，否则不得分。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5" w:type="dxa"/>
            <w:vMerge w:val="continue"/>
            <w:shd w:val="clear" w:color="auto" w:fill="auto"/>
            <w:noWrap/>
            <w:vAlign w:val="center"/>
          </w:tcPr>
          <w:p>
            <w:pPr>
              <w:widowControl/>
              <w:jc w:val="left"/>
              <w:rPr>
                <w:rFonts w:ascii="宋体" w:hAnsi="宋体" w:cs="宋体"/>
                <w:kern w:val="0"/>
                <w:szCs w:val="21"/>
              </w:rPr>
            </w:pPr>
          </w:p>
        </w:tc>
        <w:tc>
          <w:tcPr>
            <w:tcW w:w="1259" w:type="dxa"/>
            <w:vMerge w:val="continue"/>
            <w:shd w:val="clear" w:color="auto" w:fill="auto"/>
            <w:noWrap/>
            <w:vAlign w:val="center"/>
          </w:tcPr>
          <w:p>
            <w:pPr>
              <w:widowControl/>
              <w:jc w:val="center"/>
              <w:rPr>
                <w:rFonts w:ascii="宋体" w:hAnsi="宋体" w:cs="宋体"/>
                <w:kern w:val="0"/>
                <w:szCs w:val="21"/>
              </w:rPr>
            </w:pPr>
          </w:p>
        </w:tc>
        <w:tc>
          <w:tcPr>
            <w:tcW w:w="6781" w:type="dxa"/>
            <w:shd w:val="clear" w:color="auto" w:fill="auto"/>
            <w:noWrap/>
            <w:vAlign w:val="center"/>
          </w:tcPr>
          <w:p>
            <w:pPr>
              <w:rPr>
                <w:rFonts w:ascii="宋体" w:hAnsi="宋体" w:cs="宋体"/>
                <w:kern w:val="0"/>
                <w:szCs w:val="21"/>
              </w:rPr>
            </w:pPr>
            <w:r>
              <w:rPr>
                <w:rFonts w:hint="eastAsia" w:ascii="宋体" w:hAnsi="宋体" w:cs="宋体"/>
                <w:kern w:val="0"/>
                <w:szCs w:val="21"/>
              </w:rPr>
              <w:t>智能顶灯具有防伪灯条方便非法营运车辆执法的得1分，否则不得分。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75" w:type="dxa"/>
            <w:vMerge w:val="restar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259" w:type="dxa"/>
            <w:vMerge w:val="restar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现场讲解样品演示</w:t>
            </w:r>
          </w:p>
          <w:p>
            <w:pPr>
              <w:widowControl/>
              <w:jc w:val="center"/>
              <w:rPr>
                <w:rFonts w:ascii="宋体" w:hAnsi="宋体" w:cs="宋体"/>
                <w:kern w:val="0"/>
                <w:szCs w:val="21"/>
              </w:rPr>
            </w:pPr>
            <w:r>
              <w:rPr>
                <w:rFonts w:hint="eastAsia" w:ascii="宋体" w:hAnsi="宋体" w:cs="宋体"/>
                <w:kern w:val="0"/>
                <w:szCs w:val="21"/>
              </w:rPr>
              <w:t>（12分）</w:t>
            </w:r>
          </w:p>
          <w:p>
            <w:pPr>
              <w:widowControl/>
              <w:jc w:val="center"/>
              <w:rPr>
                <w:rFonts w:ascii="宋体" w:hAnsi="宋体" w:cs="宋体"/>
                <w:kern w:val="0"/>
                <w:szCs w:val="21"/>
              </w:rPr>
            </w:pP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投标人在现场讲解方案时，充分了解出租汽车行业实际需求，贴合工作实际，熟悉行业现状及发展方向。根据投标人现场讲解情况比较评分（0-4分）。无方案讲解不得分。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shd w:val="clear" w:color="auto" w:fill="auto"/>
            <w:noWrap/>
            <w:vAlign w:val="center"/>
          </w:tcPr>
          <w:p>
            <w:pPr>
              <w:widowControl/>
              <w:jc w:val="left"/>
              <w:rPr>
                <w:rFonts w:ascii="宋体" w:hAnsi="宋体" w:cs="宋体"/>
                <w:kern w:val="0"/>
                <w:szCs w:val="21"/>
              </w:rPr>
            </w:pPr>
          </w:p>
        </w:tc>
        <w:tc>
          <w:tcPr>
            <w:tcW w:w="1259" w:type="dxa"/>
            <w:vMerge w:val="continue"/>
            <w:shd w:val="clear" w:color="auto" w:fill="auto"/>
            <w:noWrap/>
            <w:vAlign w:val="center"/>
          </w:tcPr>
          <w:p>
            <w:pPr>
              <w:widowControl/>
              <w:jc w:val="center"/>
              <w:rPr>
                <w:rFonts w:ascii="宋体" w:hAnsi="宋体" w:cs="宋体"/>
                <w:kern w:val="0"/>
                <w:szCs w:val="21"/>
              </w:rPr>
            </w:pP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根据各投标人提供样品的外观质量、实际使用性能等进行综合比较评分（0-2分），不提供样品的不得分。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5" w:type="dxa"/>
            <w:vMerge w:val="continue"/>
            <w:shd w:val="clear" w:color="auto" w:fill="auto"/>
            <w:noWrap/>
            <w:vAlign w:val="center"/>
          </w:tcPr>
          <w:p>
            <w:pPr>
              <w:widowControl/>
              <w:jc w:val="left"/>
              <w:rPr>
                <w:rFonts w:ascii="宋体" w:hAnsi="宋体" w:cs="宋体"/>
                <w:kern w:val="0"/>
                <w:szCs w:val="21"/>
              </w:rPr>
            </w:pPr>
          </w:p>
        </w:tc>
        <w:tc>
          <w:tcPr>
            <w:tcW w:w="1259" w:type="dxa"/>
            <w:vMerge w:val="continue"/>
            <w:shd w:val="clear" w:color="auto" w:fill="auto"/>
            <w:noWrap/>
            <w:vAlign w:val="center"/>
          </w:tcPr>
          <w:p>
            <w:pPr>
              <w:widowControl/>
              <w:jc w:val="center"/>
              <w:rPr>
                <w:rFonts w:ascii="宋体" w:hAnsi="宋体" w:cs="宋体"/>
                <w:kern w:val="0"/>
                <w:szCs w:val="21"/>
              </w:rPr>
            </w:pP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演示车载音视频监控实时上传、调取、回放，成功的得1分，否则不得分；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75" w:type="dxa"/>
            <w:vMerge w:val="continue"/>
            <w:shd w:val="clear" w:color="auto" w:fill="auto"/>
            <w:noWrap/>
            <w:vAlign w:val="center"/>
          </w:tcPr>
          <w:p>
            <w:pPr>
              <w:widowControl/>
              <w:jc w:val="left"/>
              <w:rPr>
                <w:rFonts w:ascii="宋体" w:hAnsi="宋体" w:cs="宋体"/>
                <w:kern w:val="0"/>
                <w:szCs w:val="21"/>
              </w:rPr>
            </w:pPr>
          </w:p>
        </w:tc>
        <w:tc>
          <w:tcPr>
            <w:tcW w:w="1259" w:type="dxa"/>
            <w:vMerge w:val="continue"/>
            <w:shd w:val="clear" w:color="auto" w:fill="auto"/>
            <w:noWrap/>
            <w:vAlign w:val="center"/>
          </w:tcPr>
          <w:p>
            <w:pPr>
              <w:widowControl/>
              <w:jc w:val="center"/>
              <w:rPr>
                <w:rFonts w:ascii="宋体" w:hAnsi="宋体" w:cs="宋体"/>
                <w:kern w:val="0"/>
                <w:szCs w:val="21"/>
              </w:rPr>
            </w:pP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演示计价器营运数据实时上传、分析，成功的得1分，否则不得分。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75" w:type="dxa"/>
            <w:vMerge w:val="continue"/>
            <w:shd w:val="clear" w:color="auto" w:fill="auto"/>
            <w:noWrap/>
            <w:vAlign w:val="center"/>
          </w:tcPr>
          <w:p>
            <w:pPr>
              <w:widowControl/>
              <w:jc w:val="left"/>
              <w:rPr>
                <w:rFonts w:ascii="宋体" w:hAnsi="宋体" w:cs="宋体"/>
                <w:kern w:val="0"/>
                <w:szCs w:val="21"/>
              </w:rPr>
            </w:pPr>
          </w:p>
        </w:tc>
        <w:tc>
          <w:tcPr>
            <w:tcW w:w="1259" w:type="dxa"/>
            <w:vMerge w:val="continue"/>
            <w:shd w:val="clear" w:color="auto" w:fill="auto"/>
            <w:noWrap/>
            <w:vAlign w:val="center"/>
          </w:tcPr>
          <w:p>
            <w:pPr>
              <w:widowControl/>
              <w:jc w:val="center"/>
              <w:rPr>
                <w:rFonts w:ascii="宋体" w:hAnsi="宋体" w:cs="宋体"/>
                <w:kern w:val="0"/>
                <w:szCs w:val="21"/>
              </w:rPr>
            </w:pP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演示GPS轨迹模糊查询功能，成功的得1分，否则不得分。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5" w:type="dxa"/>
            <w:vMerge w:val="continue"/>
            <w:shd w:val="clear" w:color="auto" w:fill="auto"/>
            <w:noWrap/>
            <w:vAlign w:val="center"/>
          </w:tcPr>
          <w:p>
            <w:pPr>
              <w:widowControl/>
              <w:jc w:val="left"/>
              <w:rPr>
                <w:rFonts w:ascii="宋体" w:hAnsi="宋体" w:cs="宋体"/>
                <w:kern w:val="0"/>
                <w:szCs w:val="21"/>
              </w:rPr>
            </w:pPr>
          </w:p>
        </w:tc>
        <w:tc>
          <w:tcPr>
            <w:tcW w:w="1259" w:type="dxa"/>
            <w:vMerge w:val="continue"/>
            <w:shd w:val="clear" w:color="auto" w:fill="auto"/>
            <w:noWrap/>
            <w:vAlign w:val="center"/>
          </w:tcPr>
          <w:p>
            <w:pPr>
              <w:widowControl/>
              <w:jc w:val="center"/>
              <w:rPr>
                <w:rFonts w:ascii="宋体" w:hAnsi="宋体" w:cs="宋体"/>
                <w:kern w:val="0"/>
                <w:szCs w:val="21"/>
              </w:rPr>
            </w:pP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根据电召软件实现方式是否方便，是否满足招标需求进行评分（0-3分），不提供电召软件的不得分。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5"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  4</w:t>
            </w:r>
          </w:p>
        </w:tc>
        <w:tc>
          <w:tcPr>
            <w:tcW w:w="1259"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安装方案评价</w:t>
            </w:r>
          </w:p>
          <w:p>
            <w:pPr>
              <w:widowControl/>
              <w:jc w:val="center"/>
              <w:rPr>
                <w:rFonts w:ascii="宋体" w:hAnsi="宋体" w:cs="宋体"/>
                <w:kern w:val="0"/>
                <w:szCs w:val="21"/>
              </w:rPr>
            </w:pPr>
            <w:r>
              <w:rPr>
                <w:rFonts w:hint="eastAsia" w:ascii="宋体" w:hAnsi="宋体" w:cs="宋体"/>
                <w:kern w:val="0"/>
                <w:szCs w:val="21"/>
              </w:rPr>
              <w:t>（3分）</w:t>
            </w: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根据各投标人提供的安装方案（包括顶灯、智能终端、计价器、摄像头等），从根据现有出租汽车车型提供不同的安装方案，充分考虑方案的合理性、安全性、便捷性进行综合评价。</w:t>
            </w:r>
          </w:p>
          <w:p>
            <w:pPr>
              <w:widowControl/>
              <w:rPr>
                <w:rFonts w:ascii="宋体" w:hAnsi="宋体" w:cs="宋体"/>
                <w:kern w:val="0"/>
                <w:szCs w:val="21"/>
              </w:rPr>
            </w:pPr>
            <w:r>
              <w:rPr>
                <w:rFonts w:hint="eastAsia" w:ascii="宋体" w:hAnsi="宋体" w:cs="宋体"/>
                <w:kern w:val="0"/>
                <w:szCs w:val="21"/>
              </w:rPr>
              <w:t>（1）安装方案合理，考虑到行车安全性（0-</w:t>
            </w:r>
            <w:r>
              <w:rPr>
                <w:rFonts w:ascii="宋体" w:hAnsi="宋体" w:cs="宋体"/>
                <w:kern w:val="0"/>
                <w:szCs w:val="21"/>
              </w:rPr>
              <w:t>1</w:t>
            </w:r>
            <w:r>
              <w:rPr>
                <w:rFonts w:hint="eastAsia" w:ascii="宋体" w:hAnsi="宋体" w:cs="宋体"/>
                <w:kern w:val="0"/>
                <w:szCs w:val="21"/>
              </w:rPr>
              <w:t>分）</w:t>
            </w:r>
          </w:p>
          <w:p>
            <w:pPr>
              <w:widowControl/>
              <w:rPr>
                <w:rFonts w:ascii="宋体" w:hAnsi="宋体" w:cs="宋体"/>
                <w:kern w:val="0"/>
                <w:szCs w:val="21"/>
              </w:rPr>
            </w:pPr>
            <w:r>
              <w:rPr>
                <w:rFonts w:hint="eastAsia" w:ascii="宋体" w:hAnsi="宋体" w:cs="宋体"/>
                <w:kern w:val="0"/>
                <w:szCs w:val="21"/>
              </w:rPr>
              <w:t>（2）驾驶员与乘客操作便捷（0-</w:t>
            </w:r>
            <w:r>
              <w:rPr>
                <w:rFonts w:ascii="宋体" w:hAnsi="宋体" w:cs="宋体"/>
                <w:kern w:val="0"/>
                <w:szCs w:val="21"/>
              </w:rPr>
              <w:t>1</w:t>
            </w:r>
            <w:r>
              <w:rPr>
                <w:rFonts w:hint="eastAsia" w:ascii="宋体" w:hAnsi="宋体" w:cs="宋体"/>
                <w:kern w:val="0"/>
                <w:szCs w:val="21"/>
              </w:rPr>
              <w:t>分）</w:t>
            </w:r>
          </w:p>
          <w:p>
            <w:pPr>
              <w:widowControl/>
              <w:rPr>
                <w:rFonts w:ascii="宋体" w:hAnsi="宋体" w:cs="宋体"/>
                <w:kern w:val="0"/>
                <w:szCs w:val="21"/>
              </w:rPr>
            </w:pPr>
            <w:r>
              <w:rPr>
                <w:rFonts w:hint="eastAsia" w:ascii="宋体" w:hAnsi="宋体" w:cs="宋体"/>
                <w:kern w:val="0"/>
                <w:szCs w:val="21"/>
              </w:rPr>
              <w:t>（3）布线方案合理（0-</w:t>
            </w:r>
            <w:r>
              <w:rPr>
                <w:rFonts w:ascii="宋体" w:hAnsi="宋体" w:cs="宋体"/>
                <w:kern w:val="0"/>
                <w:szCs w:val="21"/>
              </w:rPr>
              <w:t>1</w:t>
            </w:r>
            <w:r>
              <w:rPr>
                <w:rFonts w:hint="eastAsia" w:ascii="宋体" w:hAnsi="宋体" w:cs="宋体"/>
                <w:kern w:val="0"/>
                <w:szCs w:val="21"/>
              </w:rPr>
              <w:t>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75" w:type="dxa"/>
            <w:vMerge w:val="restar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259" w:type="dxa"/>
            <w:vMerge w:val="restar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施工组织及人员保障</w:t>
            </w:r>
          </w:p>
          <w:p>
            <w:pPr>
              <w:widowControl/>
              <w:jc w:val="center"/>
              <w:rPr>
                <w:rFonts w:ascii="宋体" w:hAnsi="宋体" w:cs="宋体"/>
                <w:kern w:val="0"/>
                <w:szCs w:val="21"/>
              </w:rPr>
            </w:pPr>
            <w:r>
              <w:rPr>
                <w:rFonts w:hint="eastAsia" w:ascii="宋体" w:hAnsi="宋体" w:cs="宋体"/>
                <w:kern w:val="0"/>
                <w:szCs w:val="21"/>
              </w:rPr>
              <w:t>（3分）</w:t>
            </w: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根据项目实施组织方案的合理性、实施组织的科学性、质量管理体系的完备性、风险防范与整体验收的可操作性进行评分。（0-1.5分），无方案的不得分。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75" w:type="dxa"/>
            <w:vMerge w:val="continue"/>
            <w:shd w:val="clear" w:color="auto" w:fill="auto"/>
            <w:noWrap/>
            <w:vAlign w:val="center"/>
          </w:tcPr>
          <w:p>
            <w:pPr>
              <w:widowControl/>
              <w:jc w:val="left"/>
              <w:rPr>
                <w:rFonts w:ascii="宋体" w:hAnsi="宋体" w:cs="宋体"/>
                <w:kern w:val="0"/>
                <w:szCs w:val="21"/>
              </w:rPr>
            </w:pPr>
          </w:p>
        </w:tc>
        <w:tc>
          <w:tcPr>
            <w:tcW w:w="1259" w:type="dxa"/>
            <w:vMerge w:val="continue"/>
            <w:shd w:val="clear" w:color="auto" w:fill="auto"/>
            <w:noWrap/>
            <w:vAlign w:val="center"/>
          </w:tcPr>
          <w:p>
            <w:pPr>
              <w:widowControl/>
              <w:jc w:val="center"/>
              <w:rPr>
                <w:rFonts w:ascii="宋体" w:hAnsi="宋体" w:cs="宋体"/>
                <w:kern w:val="0"/>
                <w:szCs w:val="21"/>
              </w:rPr>
            </w:pPr>
          </w:p>
        </w:tc>
        <w:tc>
          <w:tcPr>
            <w:tcW w:w="6781"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项目实施团队人员结构合理，技术力量投入有保障的进行评分，相关人员需提供社保证明（0-1.5分），未提供社保证明的不得分。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75" w:type="dxa"/>
            <w:vMerge w:val="restar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259" w:type="dxa"/>
            <w:vMerge w:val="restar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售后服务能力</w:t>
            </w:r>
          </w:p>
          <w:p>
            <w:pPr>
              <w:widowControl/>
              <w:jc w:val="center"/>
              <w:rPr>
                <w:rFonts w:ascii="宋体" w:hAnsi="宋体" w:cs="宋体"/>
                <w:kern w:val="0"/>
                <w:szCs w:val="21"/>
              </w:rPr>
            </w:pPr>
            <w:r>
              <w:rPr>
                <w:rFonts w:hint="eastAsia" w:ascii="宋体" w:hAnsi="宋体" w:cs="宋体"/>
                <w:kern w:val="0"/>
                <w:szCs w:val="21"/>
              </w:rPr>
              <w:t>（6分）</w:t>
            </w: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根据售后服务方案科学合理情况，突发事件应对措施，管理制度完善性，备品备件管理，培训方案是否覆盖采购人需求等进行评分（0-2分），无方案的不得分。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75" w:type="dxa"/>
            <w:vMerge w:val="continue"/>
            <w:shd w:val="clear" w:color="auto" w:fill="auto"/>
            <w:noWrap/>
            <w:vAlign w:val="center"/>
          </w:tcPr>
          <w:p>
            <w:pPr>
              <w:widowControl/>
              <w:jc w:val="center"/>
              <w:rPr>
                <w:rFonts w:ascii="宋体" w:hAnsi="宋体" w:cs="宋体"/>
                <w:kern w:val="0"/>
                <w:szCs w:val="21"/>
              </w:rPr>
            </w:pPr>
          </w:p>
        </w:tc>
        <w:tc>
          <w:tcPr>
            <w:tcW w:w="1259" w:type="dxa"/>
            <w:vMerge w:val="continue"/>
            <w:shd w:val="clear" w:color="auto" w:fill="auto"/>
            <w:noWrap/>
            <w:vAlign w:val="center"/>
          </w:tcPr>
          <w:p>
            <w:pPr>
              <w:widowControl/>
              <w:jc w:val="center"/>
              <w:rPr>
                <w:rFonts w:ascii="宋体" w:hAnsi="宋体" w:cs="宋体"/>
                <w:kern w:val="0"/>
                <w:szCs w:val="21"/>
              </w:rPr>
            </w:pP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在项目覆盖区域内具备售后网点，有常驻的本地化运维队伍。根据售后网点情况、维护经历以及本地化运维队伍情况进行评分（0-4分）。需提供服务承诺，不提供的不得分。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7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259"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优惠条件</w:t>
            </w:r>
          </w:p>
          <w:p>
            <w:pPr>
              <w:widowControl/>
              <w:jc w:val="center"/>
              <w:rPr>
                <w:rFonts w:ascii="宋体" w:hAnsi="宋体" w:cs="宋体"/>
                <w:kern w:val="0"/>
                <w:szCs w:val="21"/>
              </w:rPr>
            </w:pPr>
            <w:r>
              <w:rPr>
                <w:rFonts w:hint="eastAsia" w:ascii="宋体" w:hAnsi="宋体" w:cs="宋体"/>
                <w:kern w:val="0"/>
                <w:szCs w:val="21"/>
              </w:rPr>
              <w:t>（2分）</w:t>
            </w: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在满足招标文件要求的基础上，根据投标人提供的优惠方案进行综合评分（0-2分）。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259"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合理化</w:t>
            </w:r>
          </w:p>
          <w:p>
            <w:pPr>
              <w:widowControl/>
              <w:jc w:val="center"/>
              <w:rPr>
                <w:rFonts w:ascii="宋体" w:hAnsi="宋体" w:cs="宋体"/>
                <w:kern w:val="0"/>
                <w:szCs w:val="21"/>
              </w:rPr>
            </w:pPr>
            <w:r>
              <w:rPr>
                <w:rFonts w:hint="eastAsia" w:ascii="宋体" w:hAnsi="宋体" w:cs="宋体"/>
                <w:kern w:val="0"/>
                <w:szCs w:val="21"/>
              </w:rPr>
              <w:t>建议</w:t>
            </w:r>
          </w:p>
          <w:p>
            <w:pPr>
              <w:widowControl/>
              <w:jc w:val="center"/>
              <w:rPr>
                <w:rFonts w:ascii="宋体" w:hAnsi="宋体" w:cs="宋体"/>
                <w:kern w:val="0"/>
                <w:szCs w:val="21"/>
              </w:rPr>
            </w:pPr>
            <w:r>
              <w:rPr>
                <w:rFonts w:hint="eastAsia" w:ascii="宋体" w:hAnsi="宋体" w:cs="宋体"/>
                <w:kern w:val="0"/>
                <w:szCs w:val="21"/>
              </w:rPr>
              <w:t>（1分）</w:t>
            </w:r>
          </w:p>
        </w:tc>
        <w:tc>
          <w:tcPr>
            <w:tcW w:w="678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根据投标人对本项目的理解，针对本项目提出合理化建议评分（0-1分）。</w:t>
            </w:r>
          </w:p>
        </w:tc>
        <w:tc>
          <w:tcPr>
            <w:tcW w:w="913"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bl>
    <w:p>
      <w:pPr>
        <w:pStyle w:val="13"/>
        <w:adjustRightInd w:val="0"/>
        <w:snapToGrid w:val="0"/>
        <w:spacing w:line="460" w:lineRule="exact"/>
        <w:ind w:firstLine="0"/>
        <w:rPr>
          <w:rFonts w:hAnsi="宋体" w:cs="宋体"/>
          <w:b/>
          <w:bCs/>
          <w:sz w:val="21"/>
          <w:szCs w:val="21"/>
        </w:rPr>
      </w:pPr>
      <w:r>
        <w:rPr>
          <w:rFonts w:hint="eastAsia" w:hAnsi="宋体" w:cs="宋体"/>
          <w:b/>
          <w:bCs/>
          <w:sz w:val="21"/>
          <w:szCs w:val="21"/>
        </w:rPr>
        <w:t>（三）资信商务及其他分（0-15分）</w:t>
      </w:r>
    </w:p>
    <w:tbl>
      <w:tblPr>
        <w:tblStyle w:val="33"/>
        <w:tblpPr w:leftFromText="180" w:rightFromText="180" w:vertAnchor="text" w:horzAnchor="margin" w:tblpXSpec="center"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98"/>
        <w:gridCol w:w="6651"/>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1" w:type="pct"/>
            <w:shd w:val="clear" w:color="auto" w:fill="auto"/>
            <w:noWrap/>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4024" w:type="pct"/>
            <w:gridSpan w:val="2"/>
            <w:shd w:val="clear" w:color="auto" w:fill="auto"/>
            <w:noWrap/>
            <w:vAlign w:val="center"/>
          </w:tcPr>
          <w:p>
            <w:pPr>
              <w:widowControl/>
              <w:jc w:val="center"/>
              <w:rPr>
                <w:rFonts w:ascii="宋体" w:hAnsi="宋体" w:cs="宋体"/>
                <w:b/>
                <w:kern w:val="0"/>
                <w:szCs w:val="21"/>
              </w:rPr>
            </w:pPr>
            <w:r>
              <w:rPr>
                <w:rFonts w:hint="eastAsia" w:ascii="宋体" w:hAnsi="宋体" w:cs="宋体"/>
                <w:b/>
                <w:kern w:val="0"/>
                <w:szCs w:val="21"/>
              </w:rPr>
              <w:t>评分内容及标准</w:t>
            </w:r>
          </w:p>
        </w:tc>
        <w:tc>
          <w:tcPr>
            <w:tcW w:w="625" w:type="pct"/>
            <w:noWrap/>
            <w:vAlign w:val="center"/>
          </w:tcPr>
          <w:p>
            <w:pPr>
              <w:widowControl/>
              <w:jc w:val="center"/>
              <w:rPr>
                <w:rFonts w:ascii="宋体" w:hAnsi="宋体" w:cs="宋体"/>
                <w:b/>
                <w:kern w:val="0"/>
                <w:szCs w:val="21"/>
              </w:rPr>
            </w:pPr>
            <w:r>
              <w:rPr>
                <w:rFonts w:hint="eastAsia" w:ascii="宋体" w:hAnsi="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1" w:type="pct"/>
            <w:vMerge w:val="restar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70" w:type="pct"/>
            <w:vMerge w:val="restart"/>
            <w:shd w:val="clear" w:color="auto" w:fill="auto"/>
            <w:noWrap/>
            <w:vAlign w:val="center"/>
          </w:tcPr>
          <w:p>
            <w:pPr>
              <w:jc w:val="center"/>
              <w:rPr>
                <w:rFonts w:ascii="宋体" w:hAnsi="宋体" w:cs="宋体"/>
                <w:kern w:val="0"/>
                <w:szCs w:val="21"/>
              </w:rPr>
            </w:pPr>
            <w:r>
              <w:rPr>
                <w:rFonts w:hint="eastAsia" w:ascii="宋体" w:hAnsi="宋体" w:cs="宋体"/>
                <w:kern w:val="0"/>
                <w:szCs w:val="21"/>
              </w:rPr>
              <w:t>企业资质（5分）</w:t>
            </w:r>
          </w:p>
        </w:tc>
        <w:tc>
          <w:tcPr>
            <w:tcW w:w="3454" w:type="pct"/>
            <w:shd w:val="clear" w:color="auto" w:fill="auto"/>
            <w:noWrap/>
            <w:vAlign w:val="center"/>
          </w:tcPr>
          <w:p>
            <w:pPr>
              <w:widowControl/>
              <w:rPr>
                <w:rFonts w:ascii="宋体" w:hAnsi="宋体" w:cs="宋体"/>
                <w:kern w:val="0"/>
                <w:szCs w:val="21"/>
              </w:rPr>
            </w:pPr>
            <w:r>
              <w:rPr>
                <w:rFonts w:hint="eastAsia" w:ascii="宋体" w:hAnsi="宋体" w:cs="宋体"/>
                <w:kern w:val="0"/>
                <w:szCs w:val="21"/>
              </w:rPr>
              <w:t>投标人具有ISO9001质量管理体系认证得1分。（提供有效期内的认证证书复印件加盖公章）。</w:t>
            </w:r>
          </w:p>
        </w:tc>
        <w:tc>
          <w:tcPr>
            <w:tcW w:w="625" w:type="pct"/>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51" w:type="pct"/>
            <w:vMerge w:val="continue"/>
            <w:shd w:val="clear" w:color="auto" w:fill="auto"/>
            <w:noWrap/>
            <w:vAlign w:val="center"/>
          </w:tcPr>
          <w:p>
            <w:pPr>
              <w:widowControl/>
              <w:jc w:val="center"/>
              <w:rPr>
                <w:rFonts w:ascii="宋体" w:hAnsi="宋体" w:cs="宋体"/>
                <w:kern w:val="0"/>
                <w:szCs w:val="21"/>
              </w:rPr>
            </w:pPr>
          </w:p>
        </w:tc>
        <w:tc>
          <w:tcPr>
            <w:tcW w:w="570" w:type="pct"/>
            <w:vMerge w:val="continue"/>
            <w:shd w:val="clear" w:color="auto" w:fill="auto"/>
            <w:noWrap/>
            <w:vAlign w:val="center"/>
          </w:tcPr>
          <w:p>
            <w:pPr>
              <w:jc w:val="center"/>
              <w:rPr>
                <w:rFonts w:ascii="宋体" w:hAnsi="宋体" w:cs="宋体"/>
                <w:kern w:val="0"/>
                <w:szCs w:val="21"/>
              </w:rPr>
            </w:pPr>
          </w:p>
        </w:tc>
        <w:tc>
          <w:tcPr>
            <w:tcW w:w="3454" w:type="pct"/>
            <w:shd w:val="clear" w:color="auto" w:fill="auto"/>
            <w:noWrap/>
            <w:vAlign w:val="center"/>
          </w:tcPr>
          <w:p>
            <w:pPr>
              <w:widowControl/>
              <w:rPr>
                <w:rFonts w:ascii="宋体" w:hAnsi="宋体" w:cs="宋体"/>
                <w:kern w:val="0"/>
                <w:szCs w:val="21"/>
              </w:rPr>
            </w:pPr>
            <w:r>
              <w:rPr>
                <w:rFonts w:hint="eastAsia" w:ascii="宋体" w:hAnsi="宋体" w:cs="宋体"/>
                <w:kern w:val="0"/>
                <w:szCs w:val="21"/>
              </w:rPr>
              <w:t>投标人具有高新技术企业认证的企业，得0.5分；具有软件企业认定、软件产品登记（双软资质认证）的企业，得0.5分。（提供资质证书复印件加盖公章）。</w:t>
            </w:r>
          </w:p>
        </w:tc>
        <w:tc>
          <w:tcPr>
            <w:tcW w:w="625" w:type="pct"/>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51" w:type="pct"/>
            <w:vMerge w:val="continue"/>
            <w:shd w:val="clear" w:color="auto" w:fill="auto"/>
            <w:noWrap/>
            <w:vAlign w:val="center"/>
          </w:tcPr>
          <w:p>
            <w:pPr>
              <w:widowControl/>
              <w:jc w:val="center"/>
              <w:rPr>
                <w:rFonts w:ascii="宋体" w:hAnsi="宋体" w:cs="宋体"/>
                <w:kern w:val="0"/>
                <w:szCs w:val="21"/>
              </w:rPr>
            </w:pPr>
          </w:p>
        </w:tc>
        <w:tc>
          <w:tcPr>
            <w:tcW w:w="570" w:type="pct"/>
            <w:vMerge w:val="continue"/>
            <w:shd w:val="clear" w:color="auto" w:fill="auto"/>
            <w:noWrap/>
            <w:vAlign w:val="center"/>
          </w:tcPr>
          <w:p>
            <w:pPr>
              <w:widowControl/>
              <w:jc w:val="center"/>
              <w:rPr>
                <w:rFonts w:ascii="宋体" w:hAnsi="宋体" w:cs="宋体"/>
                <w:kern w:val="0"/>
                <w:szCs w:val="21"/>
              </w:rPr>
            </w:pPr>
          </w:p>
        </w:tc>
        <w:tc>
          <w:tcPr>
            <w:tcW w:w="3454" w:type="pct"/>
            <w:shd w:val="clear" w:color="auto" w:fill="auto"/>
            <w:noWrap/>
            <w:vAlign w:val="center"/>
          </w:tcPr>
          <w:p>
            <w:pPr>
              <w:widowControl/>
              <w:rPr>
                <w:rFonts w:ascii="宋体" w:hAnsi="宋体" w:cs="宋体"/>
                <w:kern w:val="0"/>
                <w:szCs w:val="21"/>
              </w:rPr>
            </w:pPr>
            <w:r>
              <w:rPr>
                <w:rFonts w:hint="eastAsia" w:ascii="宋体" w:hAnsi="宋体" w:cs="宋体"/>
                <w:kern w:val="0"/>
                <w:szCs w:val="21"/>
              </w:rPr>
              <w:t>投标人具有国家版权局颁布的GPS车辆监控指挥调度系统、电召服务（或出租车呼叫中心软件）、GIS地理信息系统的出租车相关管理系统软件著作权的，每个得1分，共3分。（提供相关证书复印件加盖公章）。</w:t>
            </w:r>
          </w:p>
        </w:tc>
        <w:tc>
          <w:tcPr>
            <w:tcW w:w="625" w:type="pct"/>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51" w:type="pct"/>
            <w:vMerge w:val="restart"/>
            <w:shd w:val="clear" w:color="auto" w:fill="auto"/>
            <w:noWrap/>
            <w:vAlign w:val="center"/>
          </w:tcPr>
          <w:p>
            <w:pPr>
              <w:jc w:val="center"/>
              <w:rPr>
                <w:rFonts w:ascii="宋体" w:hAnsi="宋体" w:cs="宋体"/>
                <w:kern w:val="0"/>
                <w:szCs w:val="21"/>
              </w:rPr>
            </w:pPr>
            <w:r>
              <w:rPr>
                <w:rFonts w:hint="eastAsia" w:ascii="宋体" w:hAnsi="宋体" w:cs="宋体"/>
                <w:kern w:val="0"/>
                <w:szCs w:val="21"/>
              </w:rPr>
              <w:t>2</w:t>
            </w:r>
          </w:p>
        </w:tc>
        <w:tc>
          <w:tcPr>
            <w:tcW w:w="570" w:type="pct"/>
            <w:vMerge w:val="restart"/>
            <w:shd w:val="clear" w:color="auto" w:fill="auto"/>
            <w:noWrap/>
            <w:vAlign w:val="center"/>
          </w:tcPr>
          <w:p>
            <w:pPr>
              <w:jc w:val="center"/>
              <w:rPr>
                <w:rFonts w:ascii="宋体" w:hAnsi="宋体" w:cs="宋体"/>
                <w:kern w:val="0"/>
                <w:szCs w:val="21"/>
              </w:rPr>
            </w:pPr>
            <w:r>
              <w:rPr>
                <w:rFonts w:hint="eastAsia" w:ascii="宋体" w:hAnsi="宋体" w:cs="宋体"/>
                <w:kern w:val="0"/>
                <w:szCs w:val="21"/>
              </w:rPr>
              <w:t>产品资质（4分）</w:t>
            </w:r>
          </w:p>
        </w:tc>
        <w:tc>
          <w:tcPr>
            <w:tcW w:w="3454" w:type="pct"/>
            <w:shd w:val="clear" w:color="auto" w:fill="auto"/>
            <w:noWrap/>
            <w:vAlign w:val="center"/>
          </w:tcPr>
          <w:p>
            <w:pPr>
              <w:widowControl/>
              <w:rPr>
                <w:rFonts w:ascii="宋体" w:hAnsi="宋体" w:cs="宋体"/>
                <w:kern w:val="0"/>
                <w:szCs w:val="21"/>
              </w:rPr>
            </w:pPr>
            <w:r>
              <w:rPr>
                <w:rFonts w:hint="eastAsia" w:ascii="宋体" w:hAnsi="宋体" w:cs="宋体"/>
                <w:kern w:val="0"/>
                <w:szCs w:val="21"/>
              </w:rPr>
              <w:t>所投智能终端产品具备以JT/T794作为检验依据的检验报告证书，提供完整检验报告扫描件得1.5分（其中终端生产单位名称和终端软件版本注册名称一致）。</w:t>
            </w:r>
          </w:p>
        </w:tc>
        <w:tc>
          <w:tcPr>
            <w:tcW w:w="625" w:type="pct"/>
            <w:noWrap/>
            <w:vAlign w:val="center"/>
          </w:tcPr>
          <w:p>
            <w:pPr>
              <w:widowControl/>
              <w:jc w:val="center"/>
              <w:rPr>
                <w:rFonts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51" w:type="pct"/>
            <w:vMerge w:val="continue"/>
            <w:shd w:val="clear" w:color="auto" w:fill="auto"/>
            <w:noWrap/>
            <w:vAlign w:val="center"/>
          </w:tcPr>
          <w:p>
            <w:pPr>
              <w:jc w:val="center"/>
              <w:rPr>
                <w:rFonts w:ascii="宋体" w:hAnsi="宋体" w:cs="宋体"/>
                <w:kern w:val="0"/>
                <w:szCs w:val="21"/>
              </w:rPr>
            </w:pPr>
          </w:p>
        </w:tc>
        <w:tc>
          <w:tcPr>
            <w:tcW w:w="570" w:type="pct"/>
            <w:vMerge w:val="continue"/>
            <w:shd w:val="clear" w:color="auto" w:fill="auto"/>
            <w:noWrap/>
            <w:vAlign w:val="center"/>
          </w:tcPr>
          <w:p>
            <w:pPr>
              <w:jc w:val="center"/>
              <w:rPr>
                <w:rFonts w:ascii="宋体" w:hAnsi="宋体" w:cs="宋体"/>
                <w:kern w:val="0"/>
                <w:szCs w:val="21"/>
              </w:rPr>
            </w:pPr>
          </w:p>
        </w:tc>
        <w:tc>
          <w:tcPr>
            <w:tcW w:w="3454" w:type="pct"/>
            <w:shd w:val="clear" w:color="auto" w:fill="auto"/>
            <w:noWrap/>
            <w:vAlign w:val="center"/>
          </w:tcPr>
          <w:p>
            <w:pPr>
              <w:widowControl/>
              <w:rPr>
                <w:rFonts w:ascii="宋体" w:hAnsi="宋体" w:cs="宋体"/>
                <w:kern w:val="0"/>
                <w:szCs w:val="21"/>
              </w:rPr>
            </w:pPr>
            <w:r>
              <w:rPr>
                <w:rFonts w:hint="eastAsia" w:ascii="宋体" w:hAnsi="宋体" w:cs="宋体"/>
                <w:kern w:val="0"/>
                <w:szCs w:val="21"/>
              </w:rPr>
              <w:t>所投智能终端产品具备以JT/T905作为检验依据的检验报告证书，提供完整检验报告扫描件得1.5分（其中终端生产单位名称和终端软件版本注册名称一致）。</w:t>
            </w:r>
          </w:p>
        </w:tc>
        <w:tc>
          <w:tcPr>
            <w:tcW w:w="625" w:type="pct"/>
            <w:noWrap/>
            <w:vAlign w:val="center"/>
          </w:tcPr>
          <w:p>
            <w:pPr>
              <w:widowControl/>
              <w:jc w:val="center"/>
              <w:rPr>
                <w:rFonts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51" w:type="pct"/>
            <w:vMerge w:val="continue"/>
            <w:shd w:val="clear" w:color="auto" w:fill="auto"/>
            <w:noWrap/>
            <w:vAlign w:val="center"/>
          </w:tcPr>
          <w:p>
            <w:pPr>
              <w:widowControl/>
              <w:jc w:val="center"/>
              <w:rPr>
                <w:rFonts w:ascii="宋体" w:hAnsi="宋体" w:cs="宋体"/>
                <w:kern w:val="0"/>
                <w:szCs w:val="21"/>
              </w:rPr>
            </w:pPr>
          </w:p>
        </w:tc>
        <w:tc>
          <w:tcPr>
            <w:tcW w:w="570" w:type="pct"/>
            <w:vMerge w:val="continue"/>
            <w:shd w:val="clear" w:color="auto" w:fill="auto"/>
            <w:noWrap/>
            <w:vAlign w:val="center"/>
          </w:tcPr>
          <w:p>
            <w:pPr>
              <w:widowControl/>
              <w:jc w:val="center"/>
              <w:rPr>
                <w:rFonts w:ascii="宋体" w:hAnsi="宋体" w:cs="宋体"/>
                <w:kern w:val="0"/>
                <w:szCs w:val="21"/>
              </w:rPr>
            </w:pPr>
          </w:p>
        </w:tc>
        <w:tc>
          <w:tcPr>
            <w:tcW w:w="3454" w:type="pct"/>
            <w:shd w:val="clear" w:color="auto" w:fill="auto"/>
            <w:noWrap/>
            <w:vAlign w:val="center"/>
          </w:tcPr>
          <w:p>
            <w:pPr>
              <w:widowControl/>
              <w:rPr>
                <w:rFonts w:ascii="宋体" w:hAnsi="宋体" w:cs="宋体"/>
                <w:kern w:val="0"/>
                <w:szCs w:val="21"/>
              </w:rPr>
            </w:pPr>
            <w:r>
              <w:rPr>
                <w:rFonts w:hint="eastAsia" w:ascii="宋体" w:hAnsi="宋体" w:cs="宋体"/>
                <w:kern w:val="0"/>
                <w:szCs w:val="21"/>
              </w:rPr>
              <w:t>所投计价器产品具备以JJF1604-2016作为检验依据的计量器具型式评价报告，提供完整报告扫描件得1分，其他不得分（《计量器具型式批准证书》发证机关出具的免于型式试验证明材料以及以JJG517作为检验依据的计量器具型式评价报告同样有效）（提供报告等材料复印件加盖公章）。</w:t>
            </w:r>
          </w:p>
        </w:tc>
        <w:tc>
          <w:tcPr>
            <w:tcW w:w="625" w:type="pct"/>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5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70"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成功案例（5分）</w:t>
            </w:r>
          </w:p>
        </w:tc>
        <w:tc>
          <w:tcPr>
            <w:tcW w:w="3454" w:type="pct"/>
            <w:shd w:val="clear" w:color="auto" w:fill="auto"/>
            <w:noWrap/>
            <w:vAlign w:val="center"/>
          </w:tcPr>
          <w:p>
            <w:pPr>
              <w:widowControl/>
              <w:rPr>
                <w:rFonts w:ascii="宋体" w:hAnsi="宋体" w:cs="宋体"/>
                <w:kern w:val="0"/>
                <w:szCs w:val="21"/>
              </w:rPr>
            </w:pPr>
            <w:r>
              <w:rPr>
                <w:rFonts w:hint="eastAsia" w:ascii="宋体" w:hAnsi="宋体" w:cs="宋体"/>
                <w:szCs w:val="21"/>
              </w:rPr>
              <w:t>投标人2</w:t>
            </w:r>
            <w:r>
              <w:rPr>
                <w:rFonts w:ascii="宋体" w:hAnsi="宋体" w:cs="宋体"/>
                <w:szCs w:val="21"/>
              </w:rPr>
              <w:t>01</w:t>
            </w:r>
            <w:r>
              <w:rPr>
                <w:rFonts w:hint="eastAsia" w:ascii="宋体" w:hAnsi="宋体" w:cs="宋体"/>
                <w:szCs w:val="21"/>
              </w:rPr>
              <w:t>7年1月1日以来已完成的出租汽车智能终端设备（指车载智能终端）项目，累计数量达到</w:t>
            </w:r>
            <w:r>
              <w:rPr>
                <w:rFonts w:ascii="宋体" w:hAnsi="宋体" w:cs="宋体"/>
                <w:szCs w:val="21"/>
              </w:rPr>
              <w:t>1000</w:t>
            </w:r>
            <w:r>
              <w:rPr>
                <w:rFonts w:hint="eastAsia" w:ascii="宋体" w:hAnsi="宋体" w:cs="宋体"/>
                <w:szCs w:val="21"/>
              </w:rPr>
              <w:t>套的得</w:t>
            </w:r>
            <w:r>
              <w:rPr>
                <w:rFonts w:ascii="宋体" w:hAnsi="宋体" w:cs="宋体"/>
                <w:szCs w:val="21"/>
              </w:rPr>
              <w:t>1</w:t>
            </w:r>
            <w:r>
              <w:rPr>
                <w:rFonts w:hint="eastAsia" w:ascii="宋体" w:hAnsi="宋体" w:cs="宋体"/>
                <w:szCs w:val="21"/>
              </w:rPr>
              <w:t>分，每增加1</w:t>
            </w:r>
            <w:r>
              <w:rPr>
                <w:rFonts w:ascii="宋体" w:hAnsi="宋体" w:cs="宋体"/>
                <w:szCs w:val="21"/>
              </w:rPr>
              <w:t>0</w:t>
            </w:r>
            <w:r>
              <w:rPr>
                <w:rFonts w:hint="eastAsia" w:ascii="宋体" w:hAnsi="宋体" w:cs="宋体"/>
                <w:szCs w:val="21"/>
              </w:rPr>
              <w:t>0</w:t>
            </w:r>
            <w:r>
              <w:rPr>
                <w:rFonts w:ascii="宋体" w:hAnsi="宋体" w:cs="宋体"/>
                <w:szCs w:val="21"/>
              </w:rPr>
              <w:t>0</w:t>
            </w:r>
            <w:r>
              <w:rPr>
                <w:rFonts w:hint="eastAsia" w:ascii="宋体" w:hAnsi="宋体" w:cs="宋体"/>
                <w:szCs w:val="21"/>
              </w:rPr>
              <w:t>套加</w:t>
            </w:r>
            <w:r>
              <w:rPr>
                <w:rFonts w:ascii="宋体" w:hAnsi="宋体" w:cs="宋体"/>
                <w:szCs w:val="21"/>
              </w:rPr>
              <w:t>0.5</w:t>
            </w:r>
            <w:r>
              <w:rPr>
                <w:rFonts w:hint="eastAsia" w:ascii="宋体" w:hAnsi="宋体" w:cs="宋体"/>
                <w:szCs w:val="21"/>
              </w:rPr>
              <w:t>分，累计数量不到1000套的不得分，</w:t>
            </w:r>
            <w:r>
              <w:rPr>
                <w:rFonts w:hint="eastAsia" w:ascii="宋体" w:hAnsi="宋体" w:cs="宋体"/>
                <w:kern w:val="0"/>
                <w:szCs w:val="21"/>
              </w:rPr>
              <w:t>此项累计最高得分为5分。（</w:t>
            </w:r>
            <w:r>
              <w:rPr>
                <w:rFonts w:hint="eastAsia" w:ascii="宋体" w:hAnsi="宋体"/>
                <w:szCs w:val="21"/>
              </w:rPr>
              <w:t>以提供的加盖有效公章的合同及验收证明复印件为准，案例以合同签订时间为准，</w:t>
            </w:r>
            <w:r>
              <w:rPr>
                <w:rFonts w:hint="eastAsia" w:ascii="宋体" w:hAnsi="宋体" w:cs="宋体"/>
                <w:szCs w:val="21"/>
              </w:rPr>
              <w:t>合同或验收证明中不能反映项目数量内容的，可</w:t>
            </w:r>
            <w:r>
              <w:rPr>
                <w:rFonts w:hint="eastAsia" w:ascii="宋体" w:hAnsi="宋体" w:cs="宋体"/>
                <w:kern w:val="0"/>
                <w:szCs w:val="21"/>
              </w:rPr>
              <w:t>提供行业主管部门出具的证明文件原件或复印件，否则</w:t>
            </w:r>
            <w:r>
              <w:rPr>
                <w:rFonts w:hint="eastAsia" w:ascii="宋体" w:hAnsi="宋体" w:cs="宋体"/>
                <w:szCs w:val="21"/>
              </w:rPr>
              <w:t>不得分</w:t>
            </w:r>
            <w:r>
              <w:rPr>
                <w:rFonts w:hint="eastAsia" w:ascii="宋体" w:hAnsi="宋体" w:cs="宋体"/>
                <w:kern w:val="0"/>
                <w:szCs w:val="21"/>
              </w:rPr>
              <w:t>）。</w:t>
            </w:r>
          </w:p>
        </w:tc>
        <w:tc>
          <w:tcPr>
            <w:tcW w:w="625" w:type="pct"/>
            <w:noWrap/>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5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70" w:type="pct"/>
            <w:shd w:val="clear" w:color="auto" w:fill="auto"/>
            <w:noWrap/>
            <w:vAlign w:val="center"/>
          </w:tcPr>
          <w:p>
            <w:pPr>
              <w:widowControl/>
              <w:jc w:val="center"/>
              <w:rPr>
                <w:rFonts w:ascii="宋体" w:hAnsi="宋体" w:cs="宋体"/>
                <w:kern w:val="0"/>
                <w:szCs w:val="21"/>
              </w:rPr>
            </w:pPr>
            <w:r>
              <w:rPr>
                <w:rFonts w:hint="eastAsia" w:ascii="宋体" w:hAnsi="宋体" w:cs="宋体"/>
                <w:szCs w:val="21"/>
              </w:rPr>
              <w:t>诚信分</w:t>
            </w:r>
            <w:r>
              <w:rPr>
                <w:rFonts w:hint="eastAsia" w:ascii="宋体" w:hAnsi="宋体" w:cs="宋体"/>
                <w:kern w:val="0"/>
                <w:szCs w:val="21"/>
              </w:rPr>
              <w:t>（1分）</w:t>
            </w:r>
          </w:p>
        </w:tc>
        <w:tc>
          <w:tcPr>
            <w:tcW w:w="3454" w:type="pct"/>
            <w:shd w:val="clear" w:color="auto" w:fill="auto"/>
            <w:noWrap/>
            <w:vAlign w:val="center"/>
          </w:tcPr>
          <w:p>
            <w:pPr>
              <w:widowControl/>
              <w:rPr>
                <w:rFonts w:ascii="宋体" w:hAnsi="宋体" w:cs="宋体"/>
                <w:kern w:val="0"/>
                <w:szCs w:val="21"/>
              </w:rPr>
            </w:pPr>
            <w:r>
              <w:rPr>
                <w:rFonts w:hint="eastAsia" w:ascii="宋体" w:hAnsi="宋体" w:cs="宋体"/>
                <w:szCs w:val="21"/>
              </w:rPr>
              <w:t>凡在投标截止时间前三年受到行政处罚、行政处理（含通报）或记入不良行为的，此项得分为0，若无处罚、行政处理（含通报）或记入不良行为的得1分（提供奖惩情况说明，如有不良记录又虚假隐瞒的，一经发现将取消投标资格）。</w:t>
            </w:r>
          </w:p>
        </w:tc>
        <w:tc>
          <w:tcPr>
            <w:tcW w:w="625" w:type="pct"/>
            <w:noWrap/>
            <w:vAlign w:val="center"/>
          </w:tcPr>
          <w:p>
            <w:pPr>
              <w:widowControl/>
              <w:jc w:val="center"/>
              <w:rPr>
                <w:rFonts w:ascii="宋体" w:hAnsi="宋体" w:cs="宋体"/>
                <w:kern w:val="0"/>
                <w:szCs w:val="21"/>
              </w:rPr>
            </w:pPr>
            <w:r>
              <w:rPr>
                <w:rFonts w:hint="eastAsia" w:ascii="宋体" w:hAnsi="宋体" w:cs="宋体"/>
                <w:kern w:val="0"/>
                <w:szCs w:val="21"/>
              </w:rPr>
              <w:t>1</w:t>
            </w:r>
          </w:p>
        </w:tc>
      </w:tr>
    </w:tbl>
    <w:p>
      <w:pPr>
        <w:adjustRightInd w:val="0"/>
        <w:snapToGrid w:val="0"/>
        <w:spacing w:line="440" w:lineRule="exact"/>
        <w:jc w:val="left"/>
        <w:rPr>
          <w:rFonts w:ascii="宋体" w:hAnsi="宋体"/>
          <w:b/>
          <w:szCs w:val="21"/>
        </w:rPr>
      </w:pPr>
      <w:r>
        <w:rPr>
          <w:rFonts w:hint="eastAsia" w:ascii="宋体" w:hAnsi="宋体"/>
          <w:b/>
          <w:szCs w:val="21"/>
        </w:rPr>
        <w:t>三、定标办法</w:t>
      </w:r>
    </w:p>
    <w:p>
      <w:pPr>
        <w:adjustRightInd w:val="0"/>
        <w:snapToGrid w:val="0"/>
        <w:spacing w:line="440" w:lineRule="exact"/>
        <w:ind w:firstLine="420" w:firstLineChars="200"/>
        <w:jc w:val="left"/>
        <w:rPr>
          <w:rFonts w:ascii="宋体" w:hAnsi="宋体"/>
          <w:szCs w:val="21"/>
        </w:rPr>
      </w:pPr>
      <w:r>
        <w:rPr>
          <w:rFonts w:hint="eastAsia" w:ascii="宋体" w:hAnsi="宋体"/>
          <w:szCs w:val="21"/>
        </w:rPr>
        <w:t>本次招标由采购人直接确定中标人。如中标人放弃中标、或因不可抗力提出不能履行合同，或者招标文件规定应当提交履约保证金而在规定的期限内未能提交的，招标人可按综合得分由高到低顺序选择中标人或重新组织招标。</w:t>
      </w:r>
    </w:p>
    <w:p>
      <w:pPr>
        <w:spacing w:line="440" w:lineRule="exact"/>
        <w:ind w:left="422" w:hanging="422" w:hangingChars="200"/>
        <w:jc w:val="left"/>
        <w:rPr>
          <w:rFonts w:ascii="宋体" w:hAnsi="宋体"/>
          <w:b/>
          <w:szCs w:val="21"/>
        </w:rPr>
      </w:pPr>
      <w:r>
        <w:rPr>
          <w:rFonts w:hint="eastAsia" w:ascii="宋体" w:hAnsi="宋体"/>
          <w:b/>
          <w:szCs w:val="21"/>
        </w:rPr>
        <w:t>四、投标人义务</w:t>
      </w:r>
    </w:p>
    <w:p>
      <w:pPr>
        <w:adjustRightInd w:val="0"/>
        <w:snapToGrid w:val="0"/>
        <w:spacing w:line="400" w:lineRule="exact"/>
        <w:ind w:firstLine="420" w:firstLineChars="200"/>
        <w:jc w:val="left"/>
        <w:rPr>
          <w:szCs w:val="21"/>
        </w:rPr>
      </w:pPr>
      <w:r>
        <w:rPr>
          <w:rFonts w:hint="eastAsia"/>
          <w:szCs w:val="21"/>
        </w:rPr>
        <w:t>投标人应随时接受评标委员会的询标，解答包括有关的商务、技术问题等。评标结束，所有评标资料存采购代理机构备查。</w:t>
      </w: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spacing w:line="400" w:lineRule="exact"/>
        <w:rPr>
          <w:rFonts w:hAnsi="宋体"/>
          <w:szCs w:val="21"/>
        </w:rPr>
      </w:pPr>
    </w:p>
    <w:p>
      <w:pPr>
        <w:pStyle w:val="16"/>
        <w:numPr>
          <w:ilvl w:val="0"/>
          <w:numId w:val="5"/>
        </w:numPr>
        <w:spacing w:beforeLines="50" w:afterLines="50" w:line="400" w:lineRule="exact"/>
        <w:jc w:val="center"/>
        <w:outlineLvl w:val="0"/>
        <w:rPr>
          <w:b/>
          <w:sz w:val="32"/>
          <w:szCs w:val="32"/>
        </w:rPr>
      </w:pPr>
      <w:bookmarkStart w:id="80" w:name="_Toc16143"/>
      <w:r>
        <w:rPr>
          <w:rFonts w:hint="eastAsia"/>
          <w:b/>
          <w:sz w:val="32"/>
          <w:szCs w:val="32"/>
        </w:rPr>
        <w:t>嘉兴市本级巡游出租汽车智能终端技术改造项目</w:t>
      </w:r>
    </w:p>
    <w:p>
      <w:pPr>
        <w:pStyle w:val="16"/>
        <w:spacing w:beforeLines="50" w:afterLines="50" w:line="400" w:lineRule="exact"/>
        <w:jc w:val="center"/>
        <w:outlineLvl w:val="0"/>
        <w:rPr>
          <w:b/>
          <w:sz w:val="32"/>
          <w:szCs w:val="32"/>
        </w:rPr>
      </w:pPr>
      <w:r>
        <w:rPr>
          <w:rFonts w:hint="eastAsia"/>
          <w:b/>
          <w:sz w:val="32"/>
          <w:szCs w:val="32"/>
        </w:rPr>
        <w:t>政府采购合同（货物）</w:t>
      </w:r>
      <w:bookmarkEnd w:id="80"/>
    </w:p>
    <w:p>
      <w:pPr>
        <w:spacing w:beforeLines="50" w:afterLines="50" w:line="320" w:lineRule="exact"/>
        <w:jc w:val="center"/>
        <w:rPr>
          <w:rFonts w:ascii="宋体" w:hAnsi="宋体"/>
          <w:b/>
          <w:sz w:val="32"/>
          <w:szCs w:val="32"/>
        </w:rPr>
      </w:pPr>
      <w:r>
        <w:rPr>
          <w:rFonts w:hint="eastAsia" w:ascii="宋体" w:hAnsi="宋体"/>
          <w:b/>
          <w:sz w:val="32"/>
          <w:szCs w:val="32"/>
        </w:rPr>
        <w:t>一   通用必备条款部分</w:t>
      </w:r>
    </w:p>
    <w:p>
      <w:pPr>
        <w:spacing w:line="400" w:lineRule="exact"/>
        <w:rPr>
          <w:rFonts w:ascii="宋体" w:hAnsi="宋体" w:cs="宋体"/>
          <w:b/>
          <w:szCs w:val="21"/>
        </w:rPr>
      </w:pPr>
      <w:r>
        <w:rPr>
          <w:rFonts w:hint="eastAsia" w:ascii="宋体" w:hAnsi="宋体" w:cs="宋体"/>
          <w:b/>
          <w:szCs w:val="21"/>
        </w:rPr>
        <w:t>合同编号：明扬代（2020）第032号</w:t>
      </w:r>
    </w:p>
    <w:p>
      <w:pPr>
        <w:spacing w:line="400" w:lineRule="exact"/>
        <w:jc w:val="left"/>
        <w:rPr>
          <w:rFonts w:ascii="宋体" w:hAnsi="宋体" w:cs="宋体"/>
          <w:szCs w:val="21"/>
        </w:rPr>
      </w:pPr>
      <w:r>
        <w:rPr>
          <w:rFonts w:hint="eastAsia" w:ascii="宋体" w:hAnsi="宋体" w:cs="宋体"/>
          <w:szCs w:val="21"/>
        </w:rPr>
        <w:t>政府采购计划（预算）确认号：</w:t>
      </w:r>
      <w:r>
        <w:rPr>
          <w:rFonts w:hint="eastAsia" w:ascii="宋体" w:hAnsi="宋体" w:cs="宋体"/>
          <w:szCs w:val="21"/>
          <w:lang w:val="zh-CN"/>
        </w:rPr>
        <w:t>JM-00038</w:t>
      </w:r>
      <w:r>
        <w:rPr>
          <w:rFonts w:hint="eastAsia" w:ascii="宋体" w:hAnsi="宋体" w:cs="宋体"/>
          <w:szCs w:val="21"/>
        </w:rPr>
        <w:t>970号</w:t>
      </w:r>
    </w:p>
    <w:p>
      <w:pPr>
        <w:spacing w:line="400" w:lineRule="exact"/>
        <w:jc w:val="left"/>
        <w:rPr>
          <w:rFonts w:ascii="宋体" w:hAnsi="宋体" w:cs="宋体"/>
          <w:szCs w:val="21"/>
        </w:rPr>
      </w:pPr>
      <w:r>
        <w:rPr>
          <w:rFonts w:hint="eastAsia" w:ascii="宋体" w:hAnsi="宋体" w:cs="宋体"/>
          <w:szCs w:val="21"/>
        </w:rPr>
        <w:t>预算金额：1039.2620万元</w:t>
      </w:r>
    </w:p>
    <w:p>
      <w:pPr>
        <w:spacing w:line="400" w:lineRule="exact"/>
        <w:rPr>
          <w:rFonts w:ascii="宋体" w:hAnsi="宋体" w:cs="宋体"/>
          <w:szCs w:val="21"/>
        </w:rPr>
      </w:pPr>
      <w:r>
        <w:rPr>
          <w:rFonts w:hint="eastAsia" w:ascii="宋体" w:hAnsi="宋体" w:cs="宋体"/>
          <w:szCs w:val="21"/>
        </w:rPr>
        <w:t>项目编号：JXMYZFCG-2020-032</w:t>
      </w:r>
    </w:p>
    <w:p>
      <w:pPr>
        <w:spacing w:line="400" w:lineRule="exact"/>
        <w:jc w:val="left"/>
        <w:rPr>
          <w:rFonts w:ascii="宋体" w:hAnsi="宋体" w:cs="宋体"/>
          <w:szCs w:val="21"/>
          <w:u w:val="single"/>
        </w:rPr>
      </w:pPr>
      <w:r>
        <w:rPr>
          <w:rFonts w:hint="eastAsia" w:ascii="宋体" w:hAnsi="宋体" w:cs="宋体"/>
          <w:szCs w:val="21"/>
        </w:rPr>
        <w:t>采购人（以下称甲方）：</w:t>
      </w:r>
      <w:r>
        <w:rPr>
          <w:rFonts w:hint="eastAsia" w:ascii="宋体" w:hAnsi="宋体" w:cs="宋体"/>
          <w:szCs w:val="21"/>
          <w:u w:val="single"/>
        </w:rPr>
        <w:t xml:space="preserve">嘉兴市公路与运输管理中心 </w:t>
      </w:r>
    </w:p>
    <w:p>
      <w:pPr>
        <w:spacing w:line="400" w:lineRule="exact"/>
        <w:jc w:val="left"/>
        <w:rPr>
          <w:rFonts w:ascii="宋体" w:hAnsi="宋体" w:cs="宋体"/>
          <w:szCs w:val="21"/>
          <w:u w:val="single"/>
        </w:rPr>
      </w:pPr>
      <w:r>
        <w:rPr>
          <w:rFonts w:hint="eastAsia" w:ascii="宋体" w:hAnsi="宋体" w:cs="宋体"/>
          <w:szCs w:val="21"/>
        </w:rPr>
        <w:t>供应商（以下称乙方）：</w:t>
      </w:r>
    </w:p>
    <w:p>
      <w:pPr>
        <w:pStyle w:val="16"/>
        <w:snapToGrid w:val="0"/>
        <w:spacing w:line="400" w:lineRule="exact"/>
        <w:rPr>
          <w:rFonts w:hAnsi="宋体" w:cs="宋体"/>
          <w:sz w:val="21"/>
          <w:szCs w:val="21"/>
          <w:u w:val="single"/>
        </w:rPr>
      </w:pPr>
      <w:r>
        <w:rPr>
          <w:rFonts w:hint="eastAsia" w:hAnsi="宋体" w:cs="宋体"/>
          <w:sz w:val="21"/>
          <w:szCs w:val="21"/>
        </w:rPr>
        <w:t>采购代理机构：</w:t>
      </w:r>
      <w:r>
        <w:rPr>
          <w:rFonts w:hint="eastAsia" w:hAnsi="宋体" w:cs="宋体"/>
          <w:sz w:val="21"/>
          <w:szCs w:val="21"/>
          <w:u w:val="single"/>
        </w:rPr>
        <w:t>嘉兴市明扬工程咨询有限公司</w:t>
      </w:r>
    </w:p>
    <w:p>
      <w:pPr>
        <w:spacing w:line="400" w:lineRule="exact"/>
        <w:jc w:val="left"/>
        <w:rPr>
          <w:rFonts w:ascii="宋体" w:hAnsi="宋体" w:cs="宋体"/>
          <w:szCs w:val="21"/>
        </w:rPr>
      </w:pPr>
      <w:r>
        <w:rPr>
          <w:rFonts w:hint="eastAsia" w:ascii="宋体" w:hAnsi="宋体" w:cs="宋体"/>
          <w:szCs w:val="21"/>
        </w:rPr>
        <w:t>采购方式：公开招标</w:t>
      </w:r>
    </w:p>
    <w:p>
      <w:pPr>
        <w:spacing w:before="156" w:after="156" w:line="400" w:lineRule="exact"/>
        <w:jc w:val="left"/>
        <w:rPr>
          <w:rFonts w:ascii="宋体" w:hAnsi="宋体" w:cs="宋体"/>
          <w:kern w:val="0"/>
          <w:szCs w:val="21"/>
        </w:rPr>
      </w:pPr>
      <w:r>
        <w:rPr>
          <w:rFonts w:hint="eastAsia" w:ascii="宋体" w:hAnsi="宋体" w:cs="宋体"/>
          <w:szCs w:val="21"/>
        </w:rPr>
        <w:t>根据《中华人民共和国政府采购法》、《中华人民共和国合同法》等法律法规的规定，甲乙双方按照</w:t>
      </w:r>
      <w:r>
        <w:rPr>
          <w:rFonts w:hint="eastAsia" w:ascii="宋体" w:hAnsi="宋体" w:cs="宋体"/>
          <w:szCs w:val="21"/>
          <w:u w:val="single"/>
        </w:rPr>
        <w:t xml:space="preserve">    </w:t>
      </w:r>
      <w:r>
        <w:rPr>
          <w:rFonts w:hint="eastAsia" w:ascii="宋体" w:hAnsi="宋体" w:cs="宋体"/>
          <w:szCs w:val="21"/>
        </w:rPr>
        <w:t>项目采购结果签订本合同。</w:t>
      </w:r>
    </w:p>
    <w:p>
      <w:pPr>
        <w:numPr>
          <w:ilvl w:val="0"/>
          <w:numId w:val="6"/>
        </w:numPr>
        <w:spacing w:beforeLines="50" w:afterLines="50" w:line="360" w:lineRule="auto"/>
        <w:rPr>
          <w:rFonts w:ascii="宋体" w:hAnsi="宋体"/>
          <w:b/>
          <w:szCs w:val="21"/>
        </w:rPr>
      </w:pPr>
      <w:r>
        <w:rPr>
          <w:rFonts w:hint="eastAsia" w:ascii="宋体" w:hAnsi="宋体"/>
          <w:b/>
          <w:szCs w:val="21"/>
        </w:rPr>
        <w:t>合同组成</w:t>
      </w:r>
    </w:p>
    <w:p>
      <w:pPr>
        <w:spacing w:beforeLines="50" w:afterLines="50" w:line="360" w:lineRule="auto"/>
        <w:rPr>
          <w:rFonts w:ascii="宋体" w:hAnsi="宋体" w:cs="宋体"/>
          <w:szCs w:val="21"/>
        </w:rPr>
      </w:pPr>
      <w:r>
        <w:rPr>
          <w:rFonts w:hint="eastAsia" w:ascii="宋体" w:hAnsi="宋体" w:cs="宋体"/>
          <w:szCs w:val="21"/>
        </w:rPr>
        <w:t>本次政府采购活动的相关文件为本合同的组成部分，这些文件包括但不限于：</w:t>
      </w:r>
    </w:p>
    <w:p>
      <w:pPr>
        <w:spacing w:line="400" w:lineRule="exact"/>
        <w:jc w:val="left"/>
        <w:rPr>
          <w:rFonts w:ascii="宋体" w:hAnsi="宋体" w:cs="宋体"/>
          <w:szCs w:val="21"/>
        </w:rPr>
      </w:pPr>
      <w:r>
        <w:rPr>
          <w:rFonts w:hint="eastAsia" w:ascii="宋体" w:hAnsi="宋体" w:cs="宋体"/>
          <w:szCs w:val="21"/>
        </w:rPr>
        <w:t xml:space="preserve">   （1）本合同文本；</w:t>
      </w:r>
    </w:p>
    <w:p>
      <w:pPr>
        <w:spacing w:line="400" w:lineRule="exact"/>
        <w:jc w:val="left"/>
        <w:rPr>
          <w:rFonts w:ascii="宋体" w:hAnsi="宋体" w:cs="宋体"/>
          <w:szCs w:val="21"/>
        </w:rPr>
      </w:pPr>
      <w:r>
        <w:rPr>
          <w:rFonts w:hint="eastAsia" w:ascii="宋体" w:hAnsi="宋体" w:cs="宋体"/>
          <w:szCs w:val="21"/>
        </w:rPr>
        <w:t xml:space="preserve">   （2）采购文件与采购响应文件；</w:t>
      </w:r>
    </w:p>
    <w:p>
      <w:pPr>
        <w:spacing w:line="400" w:lineRule="exact"/>
        <w:jc w:val="left"/>
        <w:rPr>
          <w:rFonts w:ascii="宋体" w:hAnsi="宋体" w:cs="宋体"/>
          <w:szCs w:val="21"/>
        </w:rPr>
      </w:pPr>
      <w:r>
        <w:rPr>
          <w:rFonts w:hint="eastAsia" w:ascii="宋体" w:hAnsi="宋体" w:cs="宋体"/>
          <w:szCs w:val="21"/>
        </w:rPr>
        <w:t xml:space="preserve">   （3）中标通知书；</w:t>
      </w:r>
    </w:p>
    <w:p>
      <w:pPr>
        <w:spacing w:line="400" w:lineRule="exact"/>
        <w:jc w:val="left"/>
        <w:rPr>
          <w:rFonts w:ascii="宋体" w:hAnsi="宋体" w:cs="宋体"/>
          <w:szCs w:val="21"/>
        </w:rPr>
      </w:pPr>
      <w:r>
        <w:rPr>
          <w:rFonts w:hint="eastAsia" w:ascii="宋体" w:hAnsi="宋体" w:cs="宋体"/>
          <w:szCs w:val="21"/>
        </w:rPr>
        <w:t>组成本合同的所有文件必须为书面形式。政府采购合同备案时，须提供以上（1）、（3）两项，如由社会中介机构代理，须提供代理协议，合同如有变更的，须提供变更协议。</w:t>
      </w:r>
    </w:p>
    <w:p>
      <w:pPr>
        <w:spacing w:beforeLines="50" w:afterLines="50" w:line="320" w:lineRule="exact"/>
        <w:rPr>
          <w:rFonts w:ascii="宋体" w:hAnsi="宋体"/>
          <w:b/>
          <w:szCs w:val="21"/>
        </w:rPr>
      </w:pPr>
      <w:r>
        <w:rPr>
          <w:rFonts w:hint="eastAsia" w:ascii="宋体" w:hAnsi="宋体"/>
          <w:b/>
          <w:szCs w:val="21"/>
        </w:rPr>
        <w:t>第二条 合同标的与相关属性</w:t>
      </w:r>
    </w:p>
    <w:p>
      <w:pPr>
        <w:spacing w:line="360" w:lineRule="exact"/>
        <w:ind w:firstLine="420" w:firstLineChars="200"/>
        <w:jc w:val="left"/>
        <w:rPr>
          <w:rFonts w:ascii="宋体" w:hAnsi="Courier New"/>
        </w:rPr>
      </w:pPr>
      <w:r>
        <w:rPr>
          <w:rFonts w:hint="eastAsia" w:ascii="宋体" w:hAnsi="Courier New"/>
        </w:rPr>
        <w:t>1、本次采购的是</w:t>
      </w:r>
      <w:r>
        <w:rPr>
          <w:rFonts w:hint="eastAsia" w:ascii="宋体" w:hAnsi="Courier New"/>
          <w:u w:val="single"/>
        </w:rPr>
        <w:t xml:space="preserve">                         </w:t>
      </w:r>
      <w:r>
        <w:rPr>
          <w:rFonts w:hint="eastAsia" w:ascii="宋体" w:hAnsi="Courier New"/>
        </w:rPr>
        <w:t>。</w:t>
      </w:r>
    </w:p>
    <w:p>
      <w:pPr>
        <w:spacing w:line="360" w:lineRule="exact"/>
        <w:ind w:firstLine="420" w:firstLineChars="200"/>
        <w:jc w:val="left"/>
        <w:rPr>
          <w:rFonts w:ascii="宋体" w:hAnsi="Courier New"/>
        </w:rPr>
      </w:pPr>
      <w:r>
        <w:rPr>
          <w:rFonts w:hint="eastAsia" w:ascii="宋体" w:hAnsi="Courier New"/>
        </w:rPr>
        <w:t>2、乙方是否属于中小微企业：□是  □否</w:t>
      </w:r>
    </w:p>
    <w:p>
      <w:pPr>
        <w:spacing w:before="156" w:after="156" w:line="320" w:lineRule="exact"/>
        <w:ind w:firstLine="420" w:firstLineChars="200"/>
        <w:rPr>
          <w:rFonts w:ascii="宋体" w:hAnsi="Courier New"/>
          <w:szCs w:val="21"/>
        </w:rPr>
      </w:pPr>
      <w:r>
        <w:rPr>
          <w:rFonts w:hint="eastAsia" w:ascii="宋体" w:hAnsi="Courier New"/>
        </w:rPr>
        <w:t>3、本合同项下产品属于（可多选）：□环保产品；□节能产品；□进口产品</w:t>
      </w:r>
    </w:p>
    <w:p>
      <w:pPr>
        <w:spacing w:beforeLines="50" w:afterLines="50" w:line="320" w:lineRule="exact"/>
        <w:rPr>
          <w:rFonts w:ascii="宋体" w:hAnsi="宋体"/>
          <w:b/>
          <w:szCs w:val="21"/>
        </w:rPr>
      </w:pPr>
      <w:r>
        <w:rPr>
          <w:rFonts w:hint="eastAsia" w:ascii="宋体" w:hAnsi="宋体"/>
          <w:b/>
          <w:szCs w:val="21"/>
        </w:rPr>
        <w:t>第三条 合同价款</w:t>
      </w:r>
    </w:p>
    <w:p>
      <w:pPr>
        <w:spacing w:before="156" w:after="156" w:line="320" w:lineRule="exact"/>
        <w:ind w:firstLine="420" w:firstLineChars="200"/>
        <w:jc w:val="left"/>
        <w:rPr>
          <w:rFonts w:ascii="宋体" w:hAnsi="Courier New"/>
          <w:szCs w:val="21"/>
        </w:rPr>
      </w:pPr>
      <w:r>
        <w:rPr>
          <w:rFonts w:hint="eastAsia" w:ascii="宋体" w:hAnsi="Courier New"/>
          <w:szCs w:val="21"/>
        </w:rPr>
        <w:t>1、本合同项下总价款为</w:t>
      </w:r>
      <w:r>
        <w:rPr>
          <w:rFonts w:hint="eastAsia" w:ascii="宋体" w:hAnsi="Courier New"/>
          <w:szCs w:val="21"/>
          <w:u w:val="single"/>
        </w:rPr>
        <w:t xml:space="preserve">            </w:t>
      </w:r>
      <w:r>
        <w:rPr>
          <w:rFonts w:hint="eastAsia" w:ascii="宋体" w:hAnsi="Courier New"/>
          <w:szCs w:val="21"/>
        </w:rPr>
        <w:t>（大写）人民币，分项价款见“价格清单”（如有）”。</w:t>
      </w:r>
    </w:p>
    <w:tbl>
      <w:tblPr>
        <w:tblStyle w:val="33"/>
        <w:tblW w:w="97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280"/>
        <w:gridCol w:w="1493"/>
        <w:gridCol w:w="1322"/>
        <w:gridCol w:w="810"/>
        <w:gridCol w:w="1281"/>
        <w:gridCol w:w="84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493" w:type="dxa"/>
            <w:vAlign w:val="center"/>
          </w:tcPr>
          <w:p>
            <w:pPr>
              <w:spacing w:before="156" w:after="156" w:line="360" w:lineRule="auto"/>
              <w:jc w:val="center"/>
              <w:rPr>
                <w:rFonts w:ascii="宋体" w:hAnsi="宋体"/>
                <w:szCs w:val="21"/>
              </w:rPr>
            </w:pPr>
            <w:r>
              <w:rPr>
                <w:rFonts w:hint="eastAsia" w:ascii="宋体" w:hAnsi="宋体"/>
                <w:szCs w:val="21"/>
              </w:rPr>
              <w:t>产品名称</w:t>
            </w:r>
          </w:p>
        </w:tc>
        <w:tc>
          <w:tcPr>
            <w:tcW w:w="1280" w:type="dxa"/>
            <w:vAlign w:val="center"/>
          </w:tcPr>
          <w:p>
            <w:pPr>
              <w:spacing w:before="156" w:after="156" w:line="360" w:lineRule="auto"/>
              <w:jc w:val="center"/>
              <w:rPr>
                <w:rFonts w:ascii="宋体" w:hAnsi="宋体"/>
                <w:szCs w:val="21"/>
              </w:rPr>
            </w:pPr>
            <w:r>
              <w:rPr>
                <w:rFonts w:ascii="宋体"/>
                <w:szCs w:val="21"/>
              </w:rPr>
              <w:t>牌号商标</w:t>
            </w:r>
          </w:p>
        </w:tc>
        <w:tc>
          <w:tcPr>
            <w:tcW w:w="1493" w:type="dxa"/>
            <w:vAlign w:val="center"/>
          </w:tcPr>
          <w:p>
            <w:pPr>
              <w:spacing w:before="156" w:after="156" w:line="0" w:lineRule="atLeast"/>
              <w:jc w:val="center"/>
              <w:rPr>
                <w:rFonts w:ascii="宋体" w:hAnsi="宋体"/>
                <w:szCs w:val="21"/>
              </w:rPr>
            </w:pPr>
            <w:r>
              <w:rPr>
                <w:rFonts w:hint="eastAsia" w:ascii="宋体" w:hAnsi="宋体"/>
                <w:szCs w:val="21"/>
              </w:rPr>
              <w:t>规格型号、技术参数</w:t>
            </w:r>
          </w:p>
        </w:tc>
        <w:tc>
          <w:tcPr>
            <w:tcW w:w="1322" w:type="dxa"/>
            <w:vAlign w:val="center"/>
          </w:tcPr>
          <w:p>
            <w:pPr>
              <w:spacing w:before="156" w:after="156" w:line="360" w:lineRule="auto"/>
              <w:jc w:val="center"/>
              <w:rPr>
                <w:rFonts w:ascii="宋体" w:hAnsi="宋体"/>
                <w:szCs w:val="21"/>
              </w:rPr>
            </w:pPr>
            <w:r>
              <w:rPr>
                <w:rFonts w:hint="eastAsia" w:ascii="宋体" w:hAnsi="宋体"/>
                <w:szCs w:val="21"/>
              </w:rPr>
              <w:t>生产厂家</w:t>
            </w:r>
          </w:p>
        </w:tc>
        <w:tc>
          <w:tcPr>
            <w:tcW w:w="810" w:type="dxa"/>
            <w:vAlign w:val="center"/>
          </w:tcPr>
          <w:p>
            <w:pPr>
              <w:spacing w:before="156" w:after="156" w:line="360" w:lineRule="auto"/>
              <w:jc w:val="center"/>
              <w:rPr>
                <w:rFonts w:ascii="宋体" w:hAnsi="宋体"/>
                <w:szCs w:val="21"/>
              </w:rPr>
            </w:pPr>
            <w:r>
              <w:rPr>
                <w:rFonts w:hint="eastAsia" w:ascii="宋体" w:hAnsi="宋体"/>
                <w:szCs w:val="21"/>
              </w:rPr>
              <w:t>单位</w:t>
            </w:r>
          </w:p>
        </w:tc>
        <w:tc>
          <w:tcPr>
            <w:tcW w:w="1281" w:type="dxa"/>
            <w:vAlign w:val="center"/>
          </w:tcPr>
          <w:p>
            <w:pPr>
              <w:spacing w:before="156" w:after="156" w:line="360" w:lineRule="auto"/>
              <w:jc w:val="center"/>
              <w:rPr>
                <w:rFonts w:ascii="宋体" w:hAnsi="宋体"/>
                <w:szCs w:val="21"/>
              </w:rPr>
            </w:pPr>
            <w:r>
              <w:rPr>
                <w:rFonts w:hint="eastAsia" w:ascii="宋体" w:hAnsi="宋体"/>
                <w:szCs w:val="21"/>
              </w:rPr>
              <w:t>数量</w:t>
            </w:r>
          </w:p>
        </w:tc>
        <w:tc>
          <w:tcPr>
            <w:tcW w:w="845" w:type="dxa"/>
            <w:vAlign w:val="center"/>
          </w:tcPr>
          <w:p>
            <w:pPr>
              <w:spacing w:before="156" w:after="156" w:line="0" w:lineRule="atLeast"/>
              <w:jc w:val="center"/>
              <w:rPr>
                <w:rFonts w:ascii="宋体" w:hAnsi="宋体"/>
                <w:szCs w:val="21"/>
              </w:rPr>
            </w:pPr>
            <w:r>
              <w:rPr>
                <w:rFonts w:hint="eastAsia" w:ascii="宋体" w:hAnsi="宋体"/>
                <w:szCs w:val="21"/>
              </w:rPr>
              <w:t>单价（元）</w:t>
            </w:r>
          </w:p>
        </w:tc>
        <w:tc>
          <w:tcPr>
            <w:tcW w:w="1236" w:type="dxa"/>
            <w:vAlign w:val="center"/>
          </w:tcPr>
          <w:p>
            <w:pPr>
              <w:spacing w:before="156" w:after="156"/>
              <w:jc w:val="center"/>
              <w:rPr>
                <w:rFonts w:ascii="宋体" w:hAnsi="宋体"/>
                <w:szCs w:val="21"/>
              </w:rPr>
            </w:pPr>
            <w:r>
              <w:rPr>
                <w:rFonts w:hint="eastAsia" w:ascii="宋体" w:hAnsi="宋体"/>
                <w:szCs w:val="21"/>
              </w:rPr>
              <w:t>金额</w:t>
            </w:r>
          </w:p>
          <w:p>
            <w:pPr>
              <w:spacing w:before="156" w:after="156"/>
              <w:jc w:val="center"/>
              <w:rPr>
                <w:rFonts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3" w:type="dxa"/>
          </w:tcPr>
          <w:p>
            <w:pPr>
              <w:spacing w:before="156" w:after="156" w:line="240" w:lineRule="exact"/>
              <w:rPr>
                <w:rFonts w:ascii="宋体" w:hAnsi="宋体"/>
                <w:szCs w:val="21"/>
              </w:rPr>
            </w:pPr>
          </w:p>
        </w:tc>
        <w:tc>
          <w:tcPr>
            <w:tcW w:w="1280" w:type="dxa"/>
          </w:tcPr>
          <w:p>
            <w:pPr>
              <w:spacing w:before="156" w:after="156" w:line="240" w:lineRule="exact"/>
              <w:rPr>
                <w:rFonts w:ascii="宋体" w:hAnsi="宋体"/>
                <w:szCs w:val="21"/>
              </w:rPr>
            </w:pPr>
          </w:p>
        </w:tc>
        <w:tc>
          <w:tcPr>
            <w:tcW w:w="1493" w:type="dxa"/>
          </w:tcPr>
          <w:p>
            <w:pPr>
              <w:spacing w:before="156" w:after="156" w:line="240" w:lineRule="exact"/>
              <w:rPr>
                <w:rFonts w:ascii="宋体" w:hAnsi="宋体"/>
                <w:szCs w:val="21"/>
              </w:rPr>
            </w:pPr>
          </w:p>
        </w:tc>
        <w:tc>
          <w:tcPr>
            <w:tcW w:w="1322" w:type="dxa"/>
          </w:tcPr>
          <w:p>
            <w:pPr>
              <w:spacing w:before="156" w:after="156" w:line="240" w:lineRule="exact"/>
              <w:rPr>
                <w:rFonts w:ascii="宋体" w:hAnsi="宋体"/>
                <w:szCs w:val="21"/>
              </w:rPr>
            </w:pPr>
          </w:p>
        </w:tc>
        <w:tc>
          <w:tcPr>
            <w:tcW w:w="810" w:type="dxa"/>
          </w:tcPr>
          <w:p>
            <w:pPr>
              <w:spacing w:before="156" w:after="156" w:line="240" w:lineRule="exact"/>
              <w:rPr>
                <w:rFonts w:ascii="宋体" w:hAnsi="宋体"/>
                <w:szCs w:val="21"/>
              </w:rPr>
            </w:pPr>
          </w:p>
        </w:tc>
        <w:tc>
          <w:tcPr>
            <w:tcW w:w="1281" w:type="dxa"/>
          </w:tcPr>
          <w:p>
            <w:pPr>
              <w:spacing w:before="156" w:after="156" w:line="240" w:lineRule="exact"/>
              <w:rPr>
                <w:rFonts w:ascii="宋体" w:hAnsi="宋体"/>
                <w:szCs w:val="21"/>
              </w:rPr>
            </w:pPr>
          </w:p>
        </w:tc>
        <w:tc>
          <w:tcPr>
            <w:tcW w:w="845" w:type="dxa"/>
          </w:tcPr>
          <w:p>
            <w:pPr>
              <w:spacing w:before="156" w:after="156" w:line="240" w:lineRule="exact"/>
              <w:rPr>
                <w:rFonts w:ascii="宋体" w:hAnsi="宋体"/>
                <w:szCs w:val="21"/>
              </w:rPr>
            </w:pPr>
          </w:p>
        </w:tc>
        <w:tc>
          <w:tcPr>
            <w:tcW w:w="1236" w:type="dxa"/>
          </w:tcPr>
          <w:p>
            <w:pPr>
              <w:spacing w:before="156" w:after="156"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3" w:type="dxa"/>
          </w:tcPr>
          <w:p>
            <w:pPr>
              <w:spacing w:before="156" w:after="156" w:line="240" w:lineRule="exact"/>
              <w:rPr>
                <w:rFonts w:ascii="宋体" w:hAnsi="宋体"/>
                <w:szCs w:val="21"/>
              </w:rPr>
            </w:pPr>
          </w:p>
        </w:tc>
        <w:tc>
          <w:tcPr>
            <w:tcW w:w="1280" w:type="dxa"/>
          </w:tcPr>
          <w:p>
            <w:pPr>
              <w:spacing w:before="156" w:after="156" w:line="240" w:lineRule="exact"/>
              <w:rPr>
                <w:rFonts w:ascii="宋体" w:hAnsi="宋体"/>
                <w:szCs w:val="21"/>
              </w:rPr>
            </w:pPr>
          </w:p>
        </w:tc>
        <w:tc>
          <w:tcPr>
            <w:tcW w:w="1493" w:type="dxa"/>
          </w:tcPr>
          <w:p>
            <w:pPr>
              <w:spacing w:before="156" w:after="156" w:line="240" w:lineRule="exact"/>
              <w:rPr>
                <w:rFonts w:ascii="宋体" w:hAnsi="宋体"/>
                <w:szCs w:val="21"/>
              </w:rPr>
            </w:pPr>
          </w:p>
        </w:tc>
        <w:tc>
          <w:tcPr>
            <w:tcW w:w="1322" w:type="dxa"/>
          </w:tcPr>
          <w:p>
            <w:pPr>
              <w:spacing w:before="156" w:after="156" w:line="240" w:lineRule="exact"/>
              <w:rPr>
                <w:rFonts w:ascii="宋体" w:hAnsi="宋体"/>
                <w:szCs w:val="21"/>
              </w:rPr>
            </w:pPr>
          </w:p>
        </w:tc>
        <w:tc>
          <w:tcPr>
            <w:tcW w:w="810" w:type="dxa"/>
          </w:tcPr>
          <w:p>
            <w:pPr>
              <w:spacing w:before="156" w:after="156" w:line="240" w:lineRule="exact"/>
              <w:rPr>
                <w:rFonts w:ascii="宋体" w:hAnsi="宋体"/>
                <w:szCs w:val="21"/>
              </w:rPr>
            </w:pPr>
          </w:p>
        </w:tc>
        <w:tc>
          <w:tcPr>
            <w:tcW w:w="1281" w:type="dxa"/>
          </w:tcPr>
          <w:p>
            <w:pPr>
              <w:spacing w:before="156" w:after="156" w:line="240" w:lineRule="exact"/>
              <w:rPr>
                <w:rFonts w:ascii="宋体" w:hAnsi="宋体"/>
                <w:szCs w:val="21"/>
              </w:rPr>
            </w:pPr>
          </w:p>
        </w:tc>
        <w:tc>
          <w:tcPr>
            <w:tcW w:w="845" w:type="dxa"/>
          </w:tcPr>
          <w:p>
            <w:pPr>
              <w:spacing w:before="156" w:after="156" w:line="240" w:lineRule="exact"/>
              <w:rPr>
                <w:rFonts w:ascii="宋体" w:hAnsi="宋体"/>
                <w:szCs w:val="21"/>
              </w:rPr>
            </w:pPr>
          </w:p>
        </w:tc>
        <w:tc>
          <w:tcPr>
            <w:tcW w:w="1236" w:type="dxa"/>
          </w:tcPr>
          <w:p>
            <w:pPr>
              <w:spacing w:before="156" w:after="156"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8" w:type="dxa"/>
            <w:gridSpan w:val="5"/>
          </w:tcPr>
          <w:p>
            <w:pPr>
              <w:spacing w:before="156" w:after="156" w:line="240" w:lineRule="exact"/>
              <w:jc w:val="center"/>
              <w:rPr>
                <w:rFonts w:ascii="宋体" w:hAnsi="宋体"/>
                <w:b/>
                <w:szCs w:val="21"/>
              </w:rPr>
            </w:pPr>
            <w:r>
              <w:rPr>
                <w:rFonts w:hint="eastAsia" w:ascii="宋体" w:hAnsi="宋体"/>
                <w:b/>
                <w:szCs w:val="21"/>
              </w:rPr>
              <w:t>合 计</w:t>
            </w:r>
          </w:p>
        </w:tc>
        <w:tc>
          <w:tcPr>
            <w:tcW w:w="1281" w:type="dxa"/>
          </w:tcPr>
          <w:p>
            <w:pPr>
              <w:spacing w:before="156" w:after="156" w:line="240" w:lineRule="exact"/>
              <w:rPr>
                <w:rFonts w:ascii="宋体" w:hAnsi="宋体"/>
                <w:szCs w:val="21"/>
              </w:rPr>
            </w:pPr>
          </w:p>
        </w:tc>
        <w:tc>
          <w:tcPr>
            <w:tcW w:w="845" w:type="dxa"/>
          </w:tcPr>
          <w:p>
            <w:pPr>
              <w:spacing w:before="156" w:after="156" w:line="240" w:lineRule="exact"/>
              <w:rPr>
                <w:rFonts w:ascii="宋体" w:hAnsi="宋体"/>
                <w:szCs w:val="21"/>
              </w:rPr>
            </w:pPr>
          </w:p>
        </w:tc>
        <w:tc>
          <w:tcPr>
            <w:tcW w:w="1236" w:type="dxa"/>
          </w:tcPr>
          <w:p>
            <w:pPr>
              <w:spacing w:before="156" w:after="156" w:line="240" w:lineRule="exact"/>
              <w:rPr>
                <w:rFonts w:ascii="宋体" w:hAnsi="宋体"/>
                <w:szCs w:val="21"/>
              </w:rPr>
            </w:pPr>
          </w:p>
        </w:tc>
      </w:tr>
    </w:tbl>
    <w:p>
      <w:pPr>
        <w:pStyle w:val="16"/>
        <w:numPr>
          <w:ilvl w:val="0"/>
          <w:numId w:val="7"/>
        </w:numPr>
        <w:snapToGrid w:val="0"/>
        <w:spacing w:line="460" w:lineRule="exact"/>
        <w:jc w:val="left"/>
        <w:rPr>
          <w:rFonts w:hAnsi="宋体" w:cs="宋体"/>
          <w:b/>
          <w:bCs/>
          <w:kern w:val="0"/>
          <w:sz w:val="21"/>
          <w:szCs w:val="21"/>
          <w:u w:val="single"/>
        </w:rPr>
      </w:pPr>
      <w:r>
        <w:rPr>
          <w:rFonts w:hint="eastAsia" w:hAnsi="宋体" w:cs="宋体"/>
          <w:b/>
          <w:bCs/>
          <w:kern w:val="0"/>
          <w:sz w:val="21"/>
          <w:szCs w:val="21"/>
          <w:u w:val="single"/>
        </w:rPr>
        <w:t>本</w:t>
      </w:r>
      <w:r>
        <w:fldChar w:fldCharType="begin"/>
      </w:r>
      <w:r>
        <w:instrText xml:space="preserve"> HYPERLINK "http://www.86exp.com/hetong/" </w:instrText>
      </w:r>
      <w:r>
        <w:fldChar w:fldCharType="separate"/>
      </w:r>
      <w:r>
        <w:rPr>
          <w:rFonts w:hint="eastAsia" w:hAnsi="宋体" w:cs="宋体"/>
          <w:b/>
          <w:bCs/>
          <w:kern w:val="0"/>
          <w:sz w:val="21"/>
          <w:szCs w:val="21"/>
          <w:u w:val="single"/>
        </w:rPr>
        <w:t>合同</w:t>
      </w:r>
      <w:r>
        <w:rPr>
          <w:rFonts w:hint="eastAsia" w:hAnsi="宋体" w:cs="宋体"/>
          <w:b/>
          <w:bCs/>
          <w:kern w:val="0"/>
          <w:sz w:val="21"/>
          <w:szCs w:val="21"/>
          <w:u w:val="single"/>
        </w:rPr>
        <w:fldChar w:fldCharType="end"/>
      </w:r>
      <w:r>
        <w:rPr>
          <w:rFonts w:hint="eastAsia" w:hAnsi="宋体" w:cs="宋体"/>
          <w:b/>
          <w:bCs/>
          <w:kern w:val="0"/>
          <w:sz w:val="21"/>
          <w:szCs w:val="21"/>
          <w:u w:val="single"/>
        </w:rPr>
        <w:t>总价款是乙方履行合同的最终价格，包括项目实施所需的软硬件设备费（含备品备件）、通讯费、人工费、运杂费、保险费、安装调试费、检验试验费、第三方检测费、售后服务及质保期内的设备更换、保养、维护费、税金等所涉及的一切费用均计入报价。</w:t>
      </w:r>
    </w:p>
    <w:p>
      <w:pPr>
        <w:spacing w:before="156" w:after="156"/>
        <w:jc w:val="left"/>
        <w:rPr>
          <w:rFonts w:ascii="宋体" w:hAnsi="宋体" w:cs="宋体"/>
          <w:szCs w:val="21"/>
        </w:rPr>
      </w:pPr>
      <w:r>
        <w:rPr>
          <w:rFonts w:hint="eastAsia" w:ascii="宋体" w:hAnsi="宋体" w:cs="宋体"/>
          <w:szCs w:val="21"/>
        </w:rPr>
        <w:t xml:space="preserve">3、本合同付款方式为以下第 </w:t>
      </w:r>
      <w:r>
        <w:rPr>
          <w:rFonts w:hint="eastAsia" w:ascii="宋体" w:hAnsi="宋体" w:cs="宋体"/>
          <w:szCs w:val="21"/>
          <w:u w:val="single"/>
        </w:rPr>
        <w:t xml:space="preserve">          </w:t>
      </w:r>
      <w:r>
        <w:rPr>
          <w:rFonts w:hint="eastAsia" w:ascii="宋体" w:hAnsi="宋体" w:cs="宋体"/>
          <w:szCs w:val="21"/>
        </w:rPr>
        <w:t>项：</w:t>
      </w:r>
    </w:p>
    <w:p>
      <w:pPr>
        <w:spacing w:before="156" w:after="156"/>
        <w:ind w:firstLine="420" w:firstLineChars="200"/>
        <w:jc w:val="left"/>
        <w:rPr>
          <w:rFonts w:ascii="宋体" w:hAnsi="宋体" w:cs="宋体"/>
          <w:szCs w:val="21"/>
        </w:rPr>
      </w:pPr>
      <w:r>
        <w:rPr>
          <w:rFonts w:hint="eastAsia" w:ascii="宋体" w:hAnsi="宋体" w:cs="宋体"/>
          <w:szCs w:val="21"/>
        </w:rPr>
        <w:t>（1）本合同项下的采购资金系甲方自行支付，付款程序为</w:t>
      </w:r>
      <w:r>
        <w:rPr>
          <w:rFonts w:hint="eastAsia" w:ascii="宋体" w:hAnsi="宋体" w:cs="宋体"/>
          <w:szCs w:val="21"/>
          <w:u w:val="single"/>
        </w:rPr>
        <w:t xml:space="preserve">                    </w:t>
      </w:r>
      <w:r>
        <w:rPr>
          <w:rFonts w:hint="eastAsia" w:ascii="宋体" w:hAnsi="宋体" w:cs="宋体"/>
          <w:szCs w:val="21"/>
        </w:rPr>
        <w:t>；</w:t>
      </w:r>
    </w:p>
    <w:p>
      <w:pPr>
        <w:spacing w:before="156" w:after="156"/>
        <w:ind w:firstLine="420" w:firstLineChars="200"/>
        <w:jc w:val="left"/>
        <w:rPr>
          <w:rFonts w:ascii="宋体" w:hAnsi="宋体" w:cs="宋体"/>
          <w:szCs w:val="21"/>
        </w:rPr>
      </w:pPr>
      <w:r>
        <w:rPr>
          <w:rFonts w:hint="eastAsia" w:ascii="宋体" w:hAnsi="宋体" w:cs="宋体"/>
          <w:szCs w:val="21"/>
        </w:rPr>
        <w:t>（2）本合同项下的采购资金须财政直接支付，付款程序为</w:t>
      </w:r>
      <w:r>
        <w:rPr>
          <w:rFonts w:hint="eastAsia" w:ascii="宋体" w:hAnsi="宋体" w:cs="宋体"/>
          <w:szCs w:val="21"/>
          <w:u w:val="single"/>
        </w:rPr>
        <w:t xml:space="preserve">                    </w:t>
      </w:r>
      <w:r>
        <w:rPr>
          <w:rFonts w:hint="eastAsia" w:ascii="宋体" w:hAnsi="宋体" w:cs="宋体"/>
          <w:szCs w:val="21"/>
        </w:rPr>
        <w:t>；</w:t>
      </w:r>
    </w:p>
    <w:p>
      <w:pPr>
        <w:spacing w:before="156" w:after="156"/>
        <w:ind w:firstLine="420" w:firstLineChars="200"/>
        <w:jc w:val="left"/>
        <w:rPr>
          <w:rFonts w:ascii="宋体" w:hAnsi="宋体" w:cs="宋体"/>
          <w:szCs w:val="21"/>
        </w:rPr>
      </w:pPr>
      <w:r>
        <w:rPr>
          <w:rFonts w:hint="eastAsia" w:ascii="宋体" w:hAnsi="宋体" w:cs="宋体"/>
          <w:szCs w:val="21"/>
        </w:rPr>
        <w:t>（3）其他方式：</w:t>
      </w:r>
    </w:p>
    <w:p>
      <w:pPr>
        <w:spacing w:before="156" w:after="156" w:line="360" w:lineRule="exact"/>
        <w:ind w:firstLine="420" w:firstLineChars="200"/>
        <w:jc w:val="left"/>
        <w:rPr>
          <w:rFonts w:ascii="宋体" w:hAnsi="宋体" w:cs="宋体"/>
          <w:szCs w:val="21"/>
        </w:rPr>
      </w:pPr>
      <w:r>
        <w:rPr>
          <w:rFonts w:hint="eastAsia" w:ascii="宋体" w:hAnsi="宋体" w:cs="宋体"/>
          <w:szCs w:val="21"/>
        </w:rPr>
        <w:t>4、本合同项下的采购资金付款进度按招投标文件规定，未规定时按以下第</w:t>
      </w:r>
      <w:r>
        <w:rPr>
          <w:rFonts w:hint="eastAsia" w:ascii="宋体" w:hAnsi="宋体" w:cs="宋体"/>
          <w:szCs w:val="21"/>
          <w:u w:val="single"/>
        </w:rPr>
        <w:t xml:space="preserve">            </w:t>
      </w:r>
      <w:r>
        <w:rPr>
          <w:rFonts w:hint="eastAsia" w:ascii="宋体" w:hAnsi="宋体" w:cs="宋体"/>
          <w:szCs w:val="21"/>
        </w:rPr>
        <w:t>项支付：</w:t>
      </w:r>
    </w:p>
    <w:p>
      <w:pPr>
        <w:spacing w:before="156" w:after="156" w:line="360" w:lineRule="exact"/>
        <w:ind w:firstLine="420" w:firstLineChars="200"/>
        <w:jc w:val="left"/>
        <w:rPr>
          <w:rFonts w:ascii="宋体" w:hAnsi="宋体" w:cs="宋体"/>
          <w:szCs w:val="21"/>
        </w:rPr>
      </w:pPr>
      <w:r>
        <w:rPr>
          <w:rFonts w:hint="eastAsia" w:ascii="宋体" w:hAnsi="宋体" w:cs="宋体"/>
          <w:szCs w:val="21"/>
        </w:rPr>
        <w:t>（1）一次性付款：乙方合同履行达到</w:t>
      </w:r>
      <w:r>
        <w:rPr>
          <w:rFonts w:hint="eastAsia" w:ascii="宋体" w:hAnsi="宋体" w:cs="宋体"/>
          <w:szCs w:val="21"/>
          <w:u w:val="single"/>
        </w:rPr>
        <w:t xml:space="preserve">         </w:t>
      </w:r>
      <w:r>
        <w:rPr>
          <w:rFonts w:hint="eastAsia" w:ascii="宋体" w:hAnsi="宋体" w:cs="宋体"/>
          <w:szCs w:val="21"/>
        </w:rPr>
        <w:t>（条件）时，一次性付款；</w:t>
      </w:r>
    </w:p>
    <w:p>
      <w:pPr>
        <w:spacing w:before="156" w:after="156" w:line="360" w:lineRule="exact"/>
        <w:ind w:firstLine="420" w:firstLineChars="200"/>
        <w:jc w:val="left"/>
        <w:rPr>
          <w:rFonts w:ascii="宋体" w:hAnsi="宋体" w:cs="宋体"/>
          <w:szCs w:val="21"/>
        </w:rPr>
      </w:pPr>
      <w:r>
        <w:rPr>
          <w:rFonts w:hint="eastAsia" w:ascii="宋体" w:hAnsi="宋体" w:cs="宋体"/>
          <w:szCs w:val="21"/>
        </w:rPr>
        <w:t xml:space="preserve">（2）分期付款 </w:t>
      </w:r>
      <w:r>
        <w:rPr>
          <w:rFonts w:hint="eastAsia" w:ascii="宋体" w:hAnsi="宋体" w:cs="宋体"/>
          <w:szCs w:val="21"/>
          <w:u w:val="single"/>
        </w:rPr>
        <w:t xml:space="preserve">        </w:t>
      </w:r>
      <w:r>
        <w:rPr>
          <w:rFonts w:hint="eastAsia" w:ascii="宋体" w:hAnsi="宋体" w:cs="宋体"/>
          <w:szCs w:val="21"/>
        </w:rPr>
        <w:t>时支付</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时支付</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时支付</w:t>
      </w:r>
      <w:r>
        <w:rPr>
          <w:rFonts w:hint="eastAsia" w:ascii="宋体" w:hAnsi="宋体" w:cs="宋体"/>
          <w:szCs w:val="21"/>
          <w:u w:val="single"/>
        </w:rPr>
        <w:t xml:space="preserve">         </w:t>
      </w:r>
      <w:r>
        <w:rPr>
          <w:rFonts w:hint="eastAsia" w:ascii="宋体" w:hAnsi="宋体" w:cs="宋体"/>
          <w:szCs w:val="21"/>
        </w:rPr>
        <w:t>；</w:t>
      </w:r>
    </w:p>
    <w:p>
      <w:pPr>
        <w:spacing w:before="156" w:after="156" w:line="360" w:lineRule="exact"/>
        <w:ind w:firstLine="420" w:firstLineChars="200"/>
        <w:jc w:val="left"/>
        <w:rPr>
          <w:rFonts w:ascii="宋体" w:hAnsi="宋体" w:cs="宋体"/>
          <w:szCs w:val="21"/>
        </w:rPr>
      </w:pPr>
      <w:r>
        <w:rPr>
          <w:rFonts w:hint="eastAsia" w:ascii="宋体" w:hAnsi="宋体" w:cs="宋体"/>
          <w:szCs w:val="21"/>
        </w:rPr>
        <w:t>若收取了履约保证金，则不应重复设置尾款支付条件。</w:t>
      </w:r>
    </w:p>
    <w:p>
      <w:pPr>
        <w:spacing w:beforeLines="50" w:afterLines="50" w:line="360" w:lineRule="exact"/>
        <w:rPr>
          <w:rFonts w:ascii="宋体" w:hAnsi="宋体" w:cs="宋体"/>
          <w:b/>
          <w:szCs w:val="21"/>
        </w:rPr>
      </w:pPr>
      <w:r>
        <w:rPr>
          <w:rFonts w:hint="eastAsia" w:ascii="宋体" w:hAnsi="宋体" w:cs="宋体"/>
          <w:b/>
          <w:szCs w:val="21"/>
        </w:rPr>
        <w:t>第四条 履约保证金</w:t>
      </w:r>
    </w:p>
    <w:p>
      <w:pPr>
        <w:spacing w:before="156" w:after="156" w:line="360" w:lineRule="exact"/>
        <w:ind w:firstLine="420" w:firstLineChars="200"/>
        <w:jc w:val="left"/>
        <w:rPr>
          <w:rFonts w:ascii="宋体" w:hAnsi="宋体" w:cs="宋体"/>
          <w:szCs w:val="21"/>
        </w:rPr>
      </w:pPr>
      <w:r>
        <w:rPr>
          <w:rFonts w:hint="eastAsia" w:ascii="宋体" w:hAnsi="宋体" w:cs="宋体"/>
          <w:szCs w:val="21"/>
        </w:rPr>
        <w:t>按以下第</w:t>
      </w:r>
      <w:r>
        <w:rPr>
          <w:rFonts w:hint="eastAsia" w:ascii="宋体" w:hAnsi="宋体" w:cs="宋体"/>
          <w:szCs w:val="21"/>
          <w:u w:val="single"/>
        </w:rPr>
        <w:t xml:space="preserve">         </w:t>
      </w:r>
      <w:r>
        <w:rPr>
          <w:rFonts w:hint="eastAsia" w:ascii="宋体" w:hAnsi="宋体" w:cs="宋体"/>
          <w:szCs w:val="21"/>
        </w:rPr>
        <w:t>项处理：</w:t>
      </w:r>
    </w:p>
    <w:p>
      <w:pPr>
        <w:numPr>
          <w:ilvl w:val="0"/>
          <w:numId w:val="8"/>
        </w:numPr>
        <w:spacing w:line="360" w:lineRule="exact"/>
        <w:ind w:firstLine="210" w:firstLineChars="100"/>
        <w:rPr>
          <w:rFonts w:ascii="宋体" w:hAnsi="宋体" w:cs="宋体"/>
          <w:szCs w:val="21"/>
        </w:rPr>
      </w:pPr>
      <w:r>
        <w:rPr>
          <w:rFonts w:hint="eastAsia" w:ascii="宋体" w:hAnsi="宋体" w:cs="宋体"/>
          <w:szCs w:val="21"/>
        </w:rPr>
        <w:t>本项目设置履约保证金，乙方应于</w:t>
      </w:r>
      <w:r>
        <w:rPr>
          <w:rFonts w:hint="eastAsia" w:ascii="宋体" w:hAnsi="宋体" w:cs="宋体"/>
          <w:szCs w:val="21"/>
          <w:u w:val="single"/>
        </w:rPr>
        <w:t xml:space="preserve">         </w:t>
      </w:r>
      <w:r>
        <w:rPr>
          <w:rFonts w:hint="eastAsia" w:ascii="宋体" w:hAnsi="宋体" w:cs="宋体"/>
          <w:szCs w:val="21"/>
        </w:rPr>
        <w:t>（时间）向甲方提交履约保证金</w:t>
      </w:r>
      <w:r>
        <w:rPr>
          <w:rFonts w:hint="eastAsia" w:ascii="宋体" w:hAnsi="宋体" w:cs="宋体"/>
          <w:szCs w:val="21"/>
          <w:u w:val="single"/>
        </w:rPr>
        <w:t xml:space="preserve">          </w:t>
      </w:r>
      <w:r>
        <w:rPr>
          <w:rFonts w:hint="eastAsia" w:ascii="宋体" w:hAnsi="宋体" w:cs="宋体"/>
          <w:szCs w:val="21"/>
        </w:rPr>
        <w:t>元（不得高于本合同金额的5%）。履约保证金在</w:t>
      </w:r>
      <w:r>
        <w:rPr>
          <w:rFonts w:hint="eastAsia" w:ascii="宋体" w:hAnsi="宋体" w:cs="宋体"/>
          <w:szCs w:val="21"/>
          <w:u w:val="single"/>
        </w:rPr>
        <w:t xml:space="preserve">         </w:t>
      </w:r>
      <w:r>
        <w:rPr>
          <w:rFonts w:hint="eastAsia" w:ascii="宋体" w:hAnsi="宋体" w:cs="宋体"/>
          <w:szCs w:val="21"/>
        </w:rPr>
        <w:t>（时间）退还乙方。</w:t>
      </w:r>
    </w:p>
    <w:p>
      <w:pPr>
        <w:spacing w:line="360" w:lineRule="exact"/>
        <w:rPr>
          <w:rFonts w:ascii="宋体" w:hAnsi="宋体" w:cs="宋体"/>
          <w:szCs w:val="21"/>
        </w:rPr>
      </w:pPr>
      <w:r>
        <w:rPr>
          <w:rFonts w:hint="eastAsia" w:ascii="宋体" w:hAnsi="宋体" w:cs="宋体"/>
          <w:szCs w:val="21"/>
        </w:rPr>
        <w:t xml:space="preserve">  2、本项目不设置履约保证金。</w:t>
      </w:r>
    </w:p>
    <w:p>
      <w:pPr>
        <w:spacing w:beforeLines="50" w:afterLines="50" w:line="440" w:lineRule="exact"/>
        <w:jc w:val="left"/>
        <w:rPr>
          <w:rFonts w:ascii="宋体" w:hAnsi="宋体"/>
          <w:b/>
          <w:szCs w:val="21"/>
        </w:rPr>
      </w:pPr>
      <w:r>
        <w:rPr>
          <w:rFonts w:hint="eastAsia" w:ascii="宋体" w:hAnsi="宋体"/>
          <w:b/>
          <w:szCs w:val="21"/>
        </w:rPr>
        <w:t>第五条 合同的变更和终止</w:t>
      </w:r>
    </w:p>
    <w:p>
      <w:pPr>
        <w:spacing w:line="440" w:lineRule="exact"/>
        <w:jc w:val="left"/>
        <w:rPr>
          <w:rFonts w:ascii="仿宋_GB2312" w:hAnsi="Arial" w:eastAsia="仿宋_GB2312" w:cs="Arial"/>
          <w:kern w:val="0"/>
          <w:szCs w:val="21"/>
        </w:rPr>
      </w:pPr>
      <w:r>
        <w:rPr>
          <w:rFonts w:hint="eastAsia"/>
          <w:szCs w:val="21"/>
        </w:rPr>
        <w:t xml:space="preserve">    除《政府采购法》第49条、第50条第二款规定的情形外，本合同一经签订，甲乙双方不得擅自终止合同或对合同实质性条款进行变更。确有特殊情况的，须经同级财政部门备案同意。</w:t>
      </w:r>
    </w:p>
    <w:p>
      <w:pPr>
        <w:spacing w:beforeLines="50" w:afterLines="50" w:line="440" w:lineRule="exact"/>
        <w:jc w:val="left"/>
        <w:rPr>
          <w:rFonts w:ascii="宋体" w:hAnsi="宋体"/>
          <w:b/>
          <w:szCs w:val="21"/>
        </w:rPr>
      </w:pPr>
      <w:r>
        <w:rPr>
          <w:rFonts w:hint="eastAsia" w:ascii="宋体" w:hAnsi="宋体"/>
          <w:b/>
          <w:szCs w:val="21"/>
        </w:rPr>
        <w:t>第六条 合同的转让与分包</w:t>
      </w:r>
    </w:p>
    <w:p>
      <w:pPr>
        <w:spacing w:line="440" w:lineRule="exact"/>
        <w:jc w:val="left"/>
        <w:rPr>
          <w:szCs w:val="21"/>
        </w:rPr>
      </w:pPr>
      <w:r>
        <w:rPr>
          <w:rFonts w:hint="eastAsia"/>
          <w:szCs w:val="21"/>
        </w:rPr>
        <w:t xml:space="preserve">   乙方不得擅自部分或全部转让其应履行的合同义务。乙方分包的，应经过甲方书面同意。</w:t>
      </w:r>
    </w:p>
    <w:p>
      <w:pPr>
        <w:spacing w:beforeLines="50" w:afterLines="50" w:line="440" w:lineRule="exact"/>
        <w:jc w:val="left"/>
        <w:rPr>
          <w:rFonts w:ascii="宋体" w:hAnsi="宋体"/>
          <w:b/>
          <w:szCs w:val="21"/>
        </w:rPr>
      </w:pPr>
      <w:r>
        <w:rPr>
          <w:rFonts w:hint="eastAsia" w:ascii="宋体" w:hAnsi="宋体"/>
          <w:b/>
          <w:szCs w:val="21"/>
        </w:rPr>
        <w:t>第七条 争议的解决</w:t>
      </w:r>
    </w:p>
    <w:p>
      <w:pPr>
        <w:spacing w:line="360" w:lineRule="auto"/>
        <w:rPr>
          <w:rFonts w:ascii="宋体" w:hAnsi="宋体" w:cs="宋体"/>
          <w:szCs w:val="21"/>
        </w:rPr>
      </w:pPr>
      <w:r>
        <w:rPr>
          <w:rFonts w:hint="eastAsia" w:ascii="宋体" w:hAnsi="宋体" w:cs="宋体"/>
          <w:szCs w:val="21"/>
        </w:rPr>
        <w:t xml:space="preserve">   1、因履行本合同引起的或与本合同有关的争议，甲、乙双方应首先通过友好协商解决，如果协商不能解决争议，则采取以下第</w:t>
      </w:r>
      <w:r>
        <w:rPr>
          <w:rFonts w:hint="eastAsia" w:ascii="宋体" w:hAnsi="宋体" w:cs="宋体"/>
          <w:szCs w:val="21"/>
          <w:u w:val="single"/>
        </w:rPr>
        <w:t xml:space="preserve">         </w:t>
      </w:r>
      <w:r>
        <w:rPr>
          <w:rFonts w:hint="eastAsia" w:ascii="宋体" w:hAnsi="宋体" w:cs="宋体"/>
          <w:szCs w:val="21"/>
        </w:rPr>
        <w:t>种方式解决争议：</w:t>
      </w:r>
    </w:p>
    <w:p>
      <w:pPr>
        <w:spacing w:line="360" w:lineRule="exact"/>
        <w:rPr>
          <w:rFonts w:ascii="宋体" w:hAnsi="宋体" w:cs="宋体"/>
          <w:szCs w:val="21"/>
        </w:rPr>
      </w:pPr>
      <w:r>
        <w:rPr>
          <w:rFonts w:hint="eastAsia" w:ascii="宋体" w:hAnsi="宋体" w:cs="宋体"/>
          <w:szCs w:val="21"/>
        </w:rPr>
        <w:t>（1）向甲方所在地有管辖权的人民法院提起诉讼；</w:t>
      </w:r>
    </w:p>
    <w:p>
      <w:pPr>
        <w:spacing w:line="360" w:lineRule="exact"/>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szCs w:val="21"/>
        </w:rPr>
        <w:t>仲裁委员申请仲裁。</w:t>
      </w:r>
    </w:p>
    <w:p>
      <w:pPr>
        <w:spacing w:line="360" w:lineRule="exact"/>
        <w:jc w:val="left"/>
        <w:rPr>
          <w:rFonts w:ascii="宋体" w:hAnsi="宋体"/>
          <w:b/>
          <w:szCs w:val="28"/>
        </w:rPr>
      </w:pPr>
      <w:r>
        <w:rPr>
          <w:rFonts w:hint="eastAsia" w:ascii="宋体" w:hAnsi="宋体"/>
          <w:b/>
          <w:szCs w:val="21"/>
        </w:rPr>
        <w:t>第八条</w:t>
      </w:r>
      <w:r>
        <w:rPr>
          <w:rFonts w:hint="eastAsia" w:ascii="宋体" w:hAnsi="宋体"/>
          <w:b/>
          <w:szCs w:val="28"/>
        </w:rPr>
        <w:t>合同备案及其他</w:t>
      </w:r>
    </w:p>
    <w:p>
      <w:pPr>
        <w:spacing w:line="360" w:lineRule="exact"/>
        <w:ind w:firstLine="420" w:firstLineChars="200"/>
        <w:rPr>
          <w:szCs w:val="21"/>
        </w:rPr>
      </w:pPr>
      <w:r>
        <w:rPr>
          <w:rFonts w:hint="eastAsia" w:ascii="宋体" w:hAnsi="宋体" w:cs="宋体"/>
          <w:kern w:val="0"/>
          <w:szCs w:val="21"/>
        </w:rPr>
        <w:t xml:space="preserve"> </w:t>
      </w: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份，甲乙双方各执</w:t>
      </w:r>
      <w:r>
        <w:rPr>
          <w:rFonts w:hint="eastAsia" w:ascii="宋体" w:hAnsi="宋体" w:cs="宋体"/>
          <w:szCs w:val="21"/>
          <w:u w:val="single"/>
        </w:rPr>
        <w:t xml:space="preserve">         </w:t>
      </w:r>
      <w:r>
        <w:rPr>
          <w:rFonts w:hint="eastAsia" w:ascii="宋体" w:hAnsi="宋体" w:cs="宋体"/>
          <w:szCs w:val="21"/>
        </w:rPr>
        <w:t>份，1份报送政府采购监督管理部门备案，其余</w:t>
      </w:r>
      <w:r>
        <w:rPr>
          <w:rFonts w:hint="eastAsia" w:ascii="宋体" w:hAnsi="宋体" w:cs="宋体"/>
          <w:szCs w:val="21"/>
          <w:u w:val="single"/>
        </w:rPr>
        <w:t xml:space="preserve">         </w:t>
      </w:r>
      <w:r>
        <w:rPr>
          <w:rFonts w:hint="eastAsia" w:ascii="宋体" w:hAnsi="宋体" w:cs="宋体"/>
          <w:szCs w:val="21"/>
        </w:rPr>
        <w:t>。</w:t>
      </w:r>
    </w:p>
    <w:p>
      <w:pPr>
        <w:numPr>
          <w:ilvl w:val="0"/>
          <w:numId w:val="9"/>
        </w:numPr>
        <w:autoSpaceDE w:val="0"/>
        <w:autoSpaceDN w:val="0"/>
        <w:adjustRightInd w:val="0"/>
        <w:spacing w:line="400" w:lineRule="exact"/>
        <w:jc w:val="center"/>
        <w:rPr>
          <w:rFonts w:ascii="宋体" w:hAnsi="宋体"/>
          <w:b/>
          <w:sz w:val="32"/>
          <w:szCs w:val="32"/>
        </w:rPr>
      </w:pPr>
      <w:r>
        <w:rPr>
          <w:rFonts w:hint="eastAsia" w:ascii="宋体" w:hAnsi="宋体"/>
          <w:b/>
          <w:sz w:val="32"/>
          <w:szCs w:val="32"/>
        </w:rPr>
        <w:t>特殊专用条款部分</w:t>
      </w:r>
    </w:p>
    <w:p>
      <w:pPr>
        <w:spacing w:line="460" w:lineRule="exact"/>
        <w:rPr>
          <w:rFonts w:ascii="宋体" w:hAnsi="宋体"/>
          <w:b/>
          <w:szCs w:val="21"/>
        </w:rPr>
      </w:pPr>
      <w:r>
        <w:rPr>
          <w:rFonts w:hint="eastAsia" w:ascii="宋体" w:hAnsi="宋体"/>
          <w:b/>
          <w:kern w:val="0"/>
          <w:szCs w:val="21"/>
        </w:rPr>
        <w:t>第一条质量保证</w:t>
      </w:r>
    </w:p>
    <w:p>
      <w:pPr>
        <w:spacing w:line="460" w:lineRule="exact"/>
        <w:ind w:firstLine="420" w:firstLineChars="200"/>
        <w:jc w:val="left"/>
        <w:rPr>
          <w:rFonts w:ascii="宋体" w:hAnsi="宋体"/>
          <w:szCs w:val="21"/>
        </w:rPr>
      </w:pPr>
      <w:r>
        <w:rPr>
          <w:rFonts w:hint="eastAsia" w:ascii="宋体" w:hAnsi="宋体"/>
          <w:szCs w:val="21"/>
        </w:rPr>
        <w:t>1、</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所提供的货物的技术规格应与招投标文件规定的技术规格相一致；若技术性能无特殊说明，则按国家有关部门最新颁布的标准及规范为准。</w:t>
      </w:r>
      <w:r>
        <w:rPr>
          <w:rFonts w:hint="eastAsia" w:ascii="宋体" w:hAnsi="宋体"/>
          <w:szCs w:val="21"/>
        </w:rPr>
        <w:br w:type="textWrapping"/>
      </w:r>
      <w:r>
        <w:rPr>
          <w:rFonts w:hint="eastAsia" w:ascii="宋体" w:hAnsi="宋体"/>
          <w:szCs w:val="21"/>
        </w:rPr>
        <w:t xml:space="preserve">    2、</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应保证货物是全新、未使用过的原装合格正品，并完全符合</w:t>
      </w:r>
      <w:r>
        <w:fldChar w:fldCharType="begin"/>
      </w:r>
      <w:r>
        <w:instrText xml:space="preserve"> HYPERLINK "http://www.86exp.com/hetong/" </w:instrText>
      </w:r>
      <w:r>
        <w:fldChar w:fldCharType="separate"/>
      </w:r>
      <w:r>
        <w:rPr>
          <w:rFonts w:hint="eastAsia" w:ascii="宋体" w:hAnsi="宋体"/>
          <w:szCs w:val="21"/>
        </w:rPr>
        <w:t>合同</w:t>
      </w:r>
      <w:r>
        <w:rPr>
          <w:rFonts w:hint="eastAsia" w:ascii="宋体" w:hAnsi="宋体"/>
          <w:szCs w:val="21"/>
        </w:rPr>
        <w:fldChar w:fldCharType="end"/>
      </w:r>
      <w:r>
        <w:rPr>
          <w:rFonts w:hint="eastAsia" w:ascii="宋体" w:hAnsi="宋体"/>
          <w:szCs w:val="21"/>
        </w:rPr>
        <w:t>规定的质量、规格和性能的要求。</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应保证其提供的货物在正确安装、正常使用和保养条件下，在其使用寿命内具有良好的性能。货物验收后，在质量保证期内，</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应对由于设计、工艺或材料的缺陷所发生的任何不足或故障负责，所需费用由</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承担。</w:t>
      </w:r>
    </w:p>
    <w:p>
      <w:pPr>
        <w:autoSpaceDE w:val="0"/>
        <w:autoSpaceDN w:val="0"/>
        <w:adjustRightInd w:val="0"/>
        <w:spacing w:line="460" w:lineRule="exact"/>
        <w:ind w:firstLine="420" w:firstLineChars="200"/>
        <w:jc w:val="left"/>
        <w:rPr>
          <w:rFonts w:ascii="宋体" w:hAnsi="宋体"/>
          <w:szCs w:val="21"/>
        </w:rPr>
      </w:pPr>
      <w:r>
        <w:rPr>
          <w:rFonts w:hint="eastAsia" w:ascii="宋体" w:hAnsi="宋体"/>
        </w:rPr>
        <w:t>3、</w:t>
      </w:r>
      <w:r>
        <w:rPr>
          <w:rFonts w:ascii="宋体" w:hAnsi="宋体"/>
        </w:rPr>
        <w:t>上述的货物免费</w:t>
      </w:r>
      <w:r>
        <w:rPr>
          <w:rFonts w:hint="eastAsia" w:ascii="宋体" w:hAnsi="宋体"/>
        </w:rPr>
        <w:t>质保</w:t>
      </w:r>
      <w:r>
        <w:rPr>
          <w:rFonts w:ascii="宋体" w:hAnsi="宋体"/>
        </w:rPr>
        <w:t>期</w:t>
      </w:r>
      <w:r>
        <w:rPr>
          <w:rFonts w:hint="eastAsia" w:ascii="宋体" w:hAnsi="宋体"/>
        </w:rPr>
        <w:t>按投标文件约定执行</w:t>
      </w:r>
      <w:r>
        <w:rPr>
          <w:rFonts w:ascii="宋体" w:hAnsi="宋体"/>
        </w:rPr>
        <w:t>，</w:t>
      </w:r>
      <w:r>
        <w:rPr>
          <w:rFonts w:hint="eastAsia" w:ascii="宋体" w:hAnsi="宋体"/>
        </w:rPr>
        <w:t>在完工验收合格之日起算。</w:t>
      </w:r>
    </w:p>
    <w:p>
      <w:pPr>
        <w:autoSpaceDE w:val="0"/>
        <w:autoSpaceDN w:val="0"/>
        <w:adjustRightInd w:val="0"/>
        <w:spacing w:line="460" w:lineRule="exact"/>
        <w:jc w:val="left"/>
        <w:rPr>
          <w:rFonts w:ascii="宋体" w:hAnsi="宋体"/>
          <w:szCs w:val="21"/>
        </w:rPr>
      </w:pPr>
      <w:r>
        <w:rPr>
          <w:rFonts w:hint="eastAsia" w:ascii="宋体" w:hAnsi="宋体"/>
          <w:b/>
          <w:kern w:val="0"/>
          <w:szCs w:val="21"/>
        </w:rPr>
        <w:t>第二条合同履行期限和验收</w:t>
      </w:r>
      <w:r>
        <w:rPr>
          <w:rFonts w:hint="eastAsia" w:ascii="宋体" w:hAnsi="宋体"/>
          <w:b/>
          <w:szCs w:val="21"/>
        </w:rPr>
        <w:br w:type="textWrapping"/>
      </w:r>
      <w:r>
        <w:rPr>
          <w:rFonts w:hint="eastAsia" w:ascii="宋体" w:hAnsi="宋体"/>
          <w:szCs w:val="21"/>
        </w:rPr>
        <w:t xml:space="preserve">    1、</w:t>
      </w:r>
      <w:r>
        <w:rPr>
          <w:rFonts w:hint="eastAsia" w:ascii="宋体" w:hAnsi="宋体" w:cs="宋体"/>
          <w:szCs w:val="21"/>
        </w:rPr>
        <w:t>合同履行期限：自合同签订后</w:t>
      </w:r>
      <w:r>
        <w:rPr>
          <w:rFonts w:hint="eastAsia" w:ascii="宋体" w:hAnsi="宋体" w:cs="宋体"/>
          <w:szCs w:val="21"/>
          <w:u w:val="single"/>
        </w:rPr>
        <w:t xml:space="preserve">    </w:t>
      </w:r>
      <w:r>
        <w:rPr>
          <w:rFonts w:hint="eastAsia" w:ascii="宋体" w:hAnsi="宋体" w:cs="宋体"/>
          <w:szCs w:val="21"/>
        </w:rPr>
        <w:t>天内完成设备安装、调试，</w:t>
      </w:r>
      <w:r>
        <w:rPr>
          <w:rFonts w:hint="eastAsia" w:ascii="宋体" w:hAnsi="宋体" w:cs="宋体"/>
          <w:szCs w:val="21"/>
          <w:u w:val="single"/>
        </w:rPr>
        <w:t xml:space="preserve">    </w:t>
      </w:r>
      <w:r>
        <w:rPr>
          <w:rFonts w:hint="eastAsia" w:ascii="宋体" w:hAnsi="宋体" w:cs="宋体"/>
          <w:szCs w:val="21"/>
        </w:rPr>
        <w:t>天内完成项目建设。</w:t>
      </w:r>
      <w:r>
        <w:rPr>
          <w:rFonts w:hint="eastAsia" w:ascii="宋体" w:hAnsi="宋体"/>
          <w:szCs w:val="21"/>
        </w:rPr>
        <w:t>履行地点：</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460" w:lineRule="exact"/>
        <w:jc w:val="left"/>
        <w:rPr>
          <w:rFonts w:ascii="宋体" w:hAnsi="宋体"/>
        </w:rPr>
      </w:pPr>
      <w:r>
        <w:rPr>
          <w:rFonts w:hint="eastAsia" w:ascii="宋体" w:hAnsi="宋体"/>
          <w:szCs w:val="21"/>
        </w:rPr>
        <w:t xml:space="preserve">    2、</w:t>
      </w:r>
      <w:r>
        <w:rPr>
          <w:rFonts w:ascii="宋体" w:hAnsi="宋体"/>
        </w:rPr>
        <w:t>乙方交货前应对产品作出全面检查</w:t>
      </w:r>
      <w:r>
        <w:rPr>
          <w:rFonts w:hint="eastAsia" w:ascii="宋体" w:hAnsi="宋体"/>
        </w:rPr>
        <w:t>，</w:t>
      </w:r>
      <w:r>
        <w:rPr>
          <w:rFonts w:ascii="宋体" w:hAnsi="宋体"/>
        </w:rPr>
        <w:t>对验收文件进行整理，并列出清单，作为甲方收货验收和使用的技术条件依据，检验的结果应随货物交甲方。</w:t>
      </w:r>
    </w:p>
    <w:p>
      <w:pPr>
        <w:autoSpaceDE w:val="0"/>
        <w:autoSpaceDN w:val="0"/>
        <w:adjustRightInd w:val="0"/>
        <w:spacing w:line="460" w:lineRule="exact"/>
        <w:ind w:firstLine="315" w:firstLineChars="150"/>
        <w:rPr>
          <w:rFonts w:ascii="宋体" w:hAnsi="宋体"/>
          <w:b/>
          <w:szCs w:val="21"/>
        </w:rPr>
      </w:pPr>
      <w:r>
        <w:rPr>
          <w:rFonts w:hint="eastAsia" w:ascii="宋体" w:hAnsi="宋体"/>
          <w:szCs w:val="21"/>
        </w:rPr>
        <w:t xml:space="preserve"> 3、货物的到货验收包括：品牌、型号、规格、数量、货物包装是否完好、调试是否正常等。</w:t>
      </w:r>
      <w:r>
        <w:rPr>
          <w:rFonts w:hint="eastAsia" w:ascii="宋体" w:hAnsi="宋体"/>
          <w:szCs w:val="21"/>
        </w:rPr>
        <w:br w:type="textWrapping"/>
      </w:r>
      <w:r>
        <w:rPr>
          <w:rFonts w:hint="eastAsia" w:ascii="宋体" w:hAnsi="宋体"/>
          <w:b/>
          <w:kern w:val="0"/>
          <w:szCs w:val="21"/>
        </w:rPr>
        <w:t>第三条售后服务</w:t>
      </w:r>
    </w:p>
    <w:p>
      <w:pPr>
        <w:autoSpaceDE w:val="0"/>
        <w:autoSpaceDN w:val="0"/>
        <w:adjustRightInd w:val="0"/>
        <w:spacing w:line="460" w:lineRule="exact"/>
        <w:ind w:firstLine="420" w:firstLineChars="200"/>
        <w:rPr>
          <w:rFonts w:ascii="宋体" w:hAnsi="宋体"/>
          <w:szCs w:val="21"/>
        </w:rPr>
      </w:pPr>
      <w:r>
        <w:rPr>
          <w:rFonts w:hint="eastAsia" w:ascii="宋体" w:hAnsi="宋体"/>
        </w:rPr>
        <w:t>1、从验收合格之日起，乙方须负责对项目整体提供投标文件中约定的免费质保期限。</w:t>
      </w:r>
      <w:r>
        <w:rPr>
          <w:rFonts w:hint="eastAsia" w:ascii="宋体" w:hAnsi="宋体"/>
          <w:szCs w:val="21"/>
        </w:rPr>
        <w:t>在质保期内，接到服务电话后，</w:t>
      </w:r>
      <w:r>
        <w:rPr>
          <w:rFonts w:hint="eastAsia" w:ascii="宋体" w:hAnsi="宋体"/>
          <w:szCs w:val="21"/>
          <w:u w:val="single"/>
        </w:rPr>
        <w:t xml:space="preserve">     </w:t>
      </w:r>
      <w:r>
        <w:rPr>
          <w:rFonts w:hint="eastAsia" w:ascii="宋体" w:hAnsi="宋体" w:cs="宋体"/>
          <w:szCs w:val="21"/>
        </w:rPr>
        <w:t>小时内作出响应，</w:t>
      </w:r>
      <w:r>
        <w:rPr>
          <w:rFonts w:hint="eastAsia" w:ascii="宋体" w:hAnsi="宋体"/>
          <w:szCs w:val="21"/>
          <w:u w:val="single"/>
        </w:rPr>
        <w:t xml:space="preserve">     </w:t>
      </w:r>
      <w:r>
        <w:rPr>
          <w:rFonts w:hint="eastAsia" w:ascii="宋体" w:hAnsi="宋体"/>
          <w:szCs w:val="21"/>
        </w:rPr>
        <w:t>小时内赶到现场排除故障，并承担由此发生的一切费用。</w:t>
      </w:r>
    </w:p>
    <w:p>
      <w:pPr>
        <w:autoSpaceDE w:val="0"/>
        <w:autoSpaceDN w:val="0"/>
        <w:adjustRightInd w:val="0"/>
        <w:spacing w:line="460" w:lineRule="exact"/>
        <w:ind w:firstLine="420" w:firstLineChars="200"/>
        <w:jc w:val="left"/>
        <w:rPr>
          <w:rFonts w:ascii="宋体" w:hAnsi="宋体"/>
        </w:rPr>
      </w:pPr>
      <w:r>
        <w:rPr>
          <w:rFonts w:hint="eastAsia" w:ascii="宋体" w:hAnsi="宋体"/>
        </w:rPr>
        <w:t>2、系统故障排除：系统故障包括设备本身物理故障、系统运行故障，当用户认为需提供现场服务时，必须及时到达用户现场，负责判断、分析故障原因，及时排除系统故障（所有因此发生的费用需在投标时予以考虑，如有无法自行解决的问题，必须向相关原厂商购买符合要求的上门服务）；如无法及时排除故障，且故障原因系本项目设备中的软、硬件引起，或原因不清的情况下，必须提交应急方案，保证设备系统正常运行，并在最短时间内解决影响系统正常运行的任何故障、隐患。包修条件不包含不可抗力（如火灾、雷击等）造成的损害。</w:t>
      </w:r>
    </w:p>
    <w:p>
      <w:pPr>
        <w:autoSpaceDE w:val="0"/>
        <w:autoSpaceDN w:val="0"/>
        <w:adjustRightInd w:val="0"/>
        <w:spacing w:line="460" w:lineRule="exact"/>
        <w:ind w:firstLine="420" w:firstLineChars="200"/>
        <w:jc w:val="left"/>
        <w:rPr>
          <w:rFonts w:ascii="宋体" w:hAnsi="宋体"/>
        </w:rPr>
      </w:pPr>
      <w:r>
        <w:rPr>
          <w:rFonts w:hint="eastAsia" w:ascii="宋体" w:hAnsi="宋体"/>
        </w:rPr>
        <w:t>3、维护保养：</w:t>
      </w:r>
    </w:p>
    <w:p>
      <w:pPr>
        <w:autoSpaceDE w:val="0"/>
        <w:autoSpaceDN w:val="0"/>
        <w:adjustRightInd w:val="0"/>
        <w:spacing w:line="460" w:lineRule="exact"/>
        <w:ind w:firstLine="420" w:firstLineChars="200"/>
        <w:jc w:val="left"/>
        <w:rPr>
          <w:rFonts w:ascii="宋体" w:hAnsi="宋体"/>
          <w:sz w:val="28"/>
          <w:szCs w:val="28"/>
        </w:rPr>
      </w:pPr>
      <w:r>
        <w:rPr>
          <w:rFonts w:hint="eastAsia" w:ascii="宋体" w:hAnsi="宋体"/>
        </w:rPr>
        <w:t>提供维护维修本地化服务，设立专职维护、维修人员或机构。货物维护保养为整体系统项目安装、调试完毕经采购人组织验收合格并正常运行</w:t>
      </w:r>
      <w:r>
        <w:rPr>
          <w:rFonts w:hint="eastAsia" w:ascii="宋体" w:hAnsi="宋体"/>
          <w:u w:val="single"/>
        </w:rPr>
        <w:t xml:space="preserve">    </w:t>
      </w:r>
      <w:r>
        <w:rPr>
          <w:rFonts w:hint="eastAsia" w:ascii="宋体" w:hAnsi="宋体"/>
        </w:rPr>
        <w:t>年整。</w:t>
      </w:r>
      <w:r>
        <w:rPr>
          <w:rFonts w:hint="eastAsia" w:ascii="宋体" w:hAnsi="宋体"/>
          <w:szCs w:val="21"/>
        </w:rPr>
        <w:br w:type="textWrapping"/>
      </w:r>
      <w:r>
        <w:rPr>
          <w:rFonts w:hint="eastAsia" w:ascii="宋体" w:hAnsi="宋体"/>
          <w:szCs w:val="21"/>
        </w:rPr>
        <w:t xml:space="preserve">    4、</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应按照国家有关法律法规规章和“三包”规定以及投标文件中的“服务承诺方案”提供服务。</w:t>
      </w:r>
      <w:r>
        <w:rPr>
          <w:rFonts w:hint="eastAsia" w:ascii="宋体" w:hAnsi="宋体"/>
          <w:szCs w:val="21"/>
        </w:rPr>
        <w:br w:type="textWrapping"/>
      </w:r>
      <w:r>
        <w:rPr>
          <w:rFonts w:hint="eastAsia" w:ascii="宋体" w:hAnsi="宋体"/>
          <w:szCs w:val="21"/>
        </w:rPr>
        <w:t xml:space="preserve">    5、除前款规定外，</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还应提供下列服务：</w:t>
      </w:r>
      <w:r>
        <w:rPr>
          <w:rFonts w:hint="eastAsia" w:ascii="宋体" w:hAnsi="宋体"/>
          <w:szCs w:val="21"/>
        </w:rPr>
        <w:br w:type="textWrapping"/>
      </w:r>
      <w:r>
        <w:rPr>
          <w:rFonts w:hint="eastAsia" w:ascii="宋体" w:hAnsi="宋体"/>
          <w:szCs w:val="21"/>
        </w:rPr>
        <w:t xml:space="preserve">   （1）货物的现场安装、调试；</w:t>
      </w:r>
      <w:r>
        <w:rPr>
          <w:rFonts w:hint="eastAsia" w:ascii="宋体" w:hAnsi="宋体"/>
          <w:szCs w:val="21"/>
        </w:rPr>
        <w:br w:type="textWrapping"/>
      </w:r>
      <w:r>
        <w:rPr>
          <w:rFonts w:hint="eastAsia" w:ascii="宋体" w:hAnsi="宋体"/>
          <w:szCs w:val="21"/>
        </w:rPr>
        <w:t xml:space="preserve">   （2）就货物的安装、启动、运行及维护等对</w:t>
      </w:r>
      <w:r>
        <w:fldChar w:fldCharType="begin"/>
      </w:r>
      <w:r>
        <w:instrText xml:space="preserve"> HYPERLINK "http://www.86exp.com/hetong/" </w:instrText>
      </w:r>
      <w:r>
        <w:fldChar w:fldCharType="separate"/>
      </w:r>
      <w:r>
        <w:rPr>
          <w:rFonts w:hint="eastAsia" w:ascii="宋体" w:hAnsi="宋体"/>
          <w:szCs w:val="21"/>
        </w:rPr>
        <w:t>甲方</w:t>
      </w:r>
      <w:r>
        <w:rPr>
          <w:rFonts w:hint="eastAsia" w:ascii="宋体" w:hAnsi="宋体"/>
          <w:szCs w:val="21"/>
        </w:rPr>
        <w:fldChar w:fldCharType="end"/>
      </w:r>
      <w:r>
        <w:rPr>
          <w:rFonts w:hint="eastAsia" w:ascii="宋体" w:hAnsi="宋体"/>
          <w:szCs w:val="21"/>
        </w:rPr>
        <w:t>人员进行免费培训。</w:t>
      </w:r>
      <w:r>
        <w:rPr>
          <w:rFonts w:hint="eastAsia" w:ascii="宋体" w:hAnsi="宋体"/>
          <w:szCs w:val="21"/>
        </w:rPr>
        <w:br w:type="textWrapping"/>
      </w:r>
      <w:r>
        <w:rPr>
          <w:rFonts w:hint="eastAsia" w:ascii="宋体" w:hAnsi="宋体"/>
          <w:szCs w:val="21"/>
        </w:rPr>
        <w:t xml:space="preserve">   （3）保修期内，</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负责对其提供的货物进行维修和系统维护，不再收取任何费用（易损件除外），但不可抗力（如火灾、雷击等）造成的故障除外。</w:t>
      </w:r>
      <w:r>
        <w:rPr>
          <w:rFonts w:hint="eastAsia" w:ascii="宋体" w:hAnsi="宋体"/>
          <w:szCs w:val="21"/>
        </w:rPr>
        <w:br w:type="textWrapping"/>
      </w:r>
      <w:r>
        <w:rPr>
          <w:rFonts w:hint="eastAsia" w:ascii="宋体" w:hAnsi="宋体"/>
          <w:szCs w:val="21"/>
        </w:rPr>
        <w:t xml:space="preserve">   （4）所有货物保修服务方式均为</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上门保修，即由</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派员到货物使用现场维修，由此产生的一切费用均由</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承担。</w:t>
      </w:r>
      <w:r>
        <w:rPr>
          <w:rFonts w:hint="eastAsia" w:ascii="宋体" w:hAnsi="宋体"/>
          <w:szCs w:val="21"/>
        </w:rPr>
        <w:br w:type="textWrapping"/>
      </w:r>
      <w:r>
        <w:rPr>
          <w:rFonts w:hint="eastAsia" w:ascii="宋体" w:hAnsi="宋体"/>
          <w:szCs w:val="21"/>
        </w:rPr>
        <w:t xml:space="preserve">   （5）保修期后的货物维护由双方协商再定。</w:t>
      </w:r>
    </w:p>
    <w:p>
      <w:pPr>
        <w:spacing w:line="460" w:lineRule="exact"/>
        <w:jc w:val="left"/>
        <w:rPr>
          <w:rFonts w:ascii="宋体" w:hAnsi="宋体"/>
          <w:b/>
          <w:kern w:val="0"/>
          <w:szCs w:val="21"/>
        </w:rPr>
      </w:pPr>
      <w:r>
        <w:rPr>
          <w:rFonts w:hint="eastAsia" w:ascii="宋体" w:hAnsi="宋体"/>
          <w:b/>
          <w:kern w:val="0"/>
          <w:szCs w:val="21"/>
        </w:rPr>
        <w:t>第四条  安装调试</w:t>
      </w:r>
    </w:p>
    <w:p>
      <w:pPr>
        <w:spacing w:line="460" w:lineRule="exact"/>
        <w:ind w:firstLine="315" w:firstLineChars="150"/>
        <w:jc w:val="left"/>
        <w:rPr>
          <w:rFonts w:ascii="宋体" w:hAnsi="宋体"/>
          <w:szCs w:val="21"/>
        </w:rPr>
      </w:pPr>
      <w:r>
        <w:rPr>
          <w:rFonts w:hint="eastAsia" w:ascii="宋体" w:hAnsi="宋体"/>
          <w:szCs w:val="21"/>
        </w:rPr>
        <w:t>1、乙方负责系统安装、调试、试运行等全过程的工作。</w:t>
      </w:r>
    </w:p>
    <w:p>
      <w:pPr>
        <w:spacing w:line="460" w:lineRule="exact"/>
        <w:ind w:firstLine="315" w:firstLineChars="150"/>
        <w:jc w:val="left"/>
        <w:rPr>
          <w:rFonts w:ascii="宋体" w:hAnsi="宋体"/>
          <w:szCs w:val="21"/>
        </w:rPr>
      </w:pPr>
      <w:r>
        <w:rPr>
          <w:rFonts w:hint="eastAsia" w:ascii="宋体" w:hAnsi="宋体"/>
          <w:szCs w:val="21"/>
        </w:rPr>
        <w:t>2、乙方应提供安装计划给甲方认可。安装时乙方由专人负责安装、调试及运行工作，以检测其运行效果等，并提供所有测试和调试所需的工具、材料、仪器和劳务人员，直到保证正常稳定运行。安装结束前，乙方应提交测试和调试方法及记录表格给甲方。</w:t>
      </w:r>
    </w:p>
    <w:p>
      <w:pPr>
        <w:autoSpaceDE w:val="0"/>
        <w:autoSpaceDN w:val="0"/>
        <w:adjustRightInd w:val="0"/>
        <w:spacing w:line="460" w:lineRule="exact"/>
        <w:ind w:firstLine="315" w:firstLineChars="150"/>
        <w:rPr>
          <w:rFonts w:ascii="宋体" w:hAnsi="宋体"/>
        </w:rPr>
      </w:pPr>
      <w:r>
        <w:rPr>
          <w:rFonts w:hint="eastAsia" w:ascii="宋体" w:hAnsi="宋体"/>
          <w:szCs w:val="21"/>
        </w:rPr>
        <w:t>3、软硬件试运行应在甲方的监督下进行，此类监督不免除乙方应承担的相关责任。</w:t>
      </w:r>
      <w:r>
        <w:rPr>
          <w:rFonts w:ascii="宋体" w:hAnsi="宋体"/>
        </w:rPr>
        <w:t>对技术复杂的货物，甲方</w:t>
      </w:r>
      <w:r>
        <w:rPr>
          <w:rFonts w:hint="eastAsia" w:ascii="宋体" w:hAnsi="宋体"/>
        </w:rPr>
        <w:t>可</w:t>
      </w:r>
      <w:r>
        <w:rPr>
          <w:rFonts w:ascii="宋体" w:hAnsi="宋体"/>
        </w:rPr>
        <w:t>请国家认可的专业检测机构参与初步验收及最终验收，并由其出具质量检测报告</w:t>
      </w:r>
      <w:r>
        <w:rPr>
          <w:rFonts w:hint="eastAsia" w:ascii="宋体" w:hAnsi="宋体"/>
        </w:rPr>
        <w:t>，</w:t>
      </w:r>
      <w:r>
        <w:rPr>
          <w:rFonts w:ascii="宋体" w:hAnsi="宋体"/>
        </w:rPr>
        <w:t>验收费用由乙方负责。</w:t>
      </w:r>
    </w:p>
    <w:p>
      <w:pPr>
        <w:autoSpaceDE w:val="0"/>
        <w:autoSpaceDN w:val="0"/>
        <w:adjustRightInd w:val="0"/>
        <w:spacing w:line="400" w:lineRule="exact"/>
        <w:ind w:firstLine="420" w:firstLineChars="200"/>
        <w:rPr>
          <w:rFonts w:ascii="宋体" w:hAnsi="宋体"/>
          <w:b/>
          <w:kern w:val="0"/>
          <w:szCs w:val="21"/>
        </w:rPr>
      </w:pPr>
      <w:r>
        <w:rPr>
          <w:rFonts w:hint="eastAsia" w:ascii="宋体" w:hAnsi="宋体"/>
        </w:rPr>
        <w:t>4、验收完毕</w:t>
      </w:r>
      <w:r>
        <w:rPr>
          <w:rFonts w:ascii="宋体" w:hAnsi="宋体"/>
        </w:rPr>
        <w:t>乙方</w:t>
      </w:r>
      <w:r>
        <w:rPr>
          <w:rFonts w:hint="eastAsia" w:ascii="宋体" w:hAnsi="宋体"/>
        </w:rPr>
        <w:t>应出具验收</w:t>
      </w:r>
      <w:r>
        <w:rPr>
          <w:rFonts w:ascii="宋体" w:hAnsi="宋体"/>
        </w:rPr>
        <w:t>结果</w:t>
      </w:r>
      <w:r>
        <w:rPr>
          <w:rFonts w:hint="eastAsia" w:ascii="宋体" w:hAnsi="宋体"/>
        </w:rPr>
        <w:t>报告，</w:t>
      </w:r>
      <w:r>
        <w:rPr>
          <w:rFonts w:ascii="宋体" w:hAnsi="宋体"/>
        </w:rPr>
        <w:t>符合要求的给予签收，验收不合格的不予签收。</w:t>
      </w:r>
      <w:r>
        <w:rPr>
          <w:rFonts w:hint="eastAsia" w:ascii="宋体" w:hAnsi="宋体"/>
        </w:rPr>
        <w:br w:type="textWrapping"/>
      </w:r>
      <w:r>
        <w:rPr>
          <w:rFonts w:hint="eastAsia" w:ascii="宋体" w:hAnsi="宋体"/>
          <w:b/>
          <w:kern w:val="0"/>
          <w:szCs w:val="21"/>
        </w:rPr>
        <w:t>第五条 履约保证金</w:t>
      </w:r>
    </w:p>
    <w:p>
      <w:pPr>
        <w:autoSpaceDE w:val="0"/>
        <w:autoSpaceDN w:val="0"/>
        <w:adjustRightInd w:val="0"/>
        <w:spacing w:line="400" w:lineRule="exact"/>
        <w:rPr>
          <w:rFonts w:ascii="宋体" w:hAnsi="宋体" w:cs="宋体"/>
          <w:szCs w:val="28"/>
        </w:rPr>
      </w:pPr>
      <w:r>
        <w:rPr>
          <w:rFonts w:hint="eastAsia" w:ascii="宋体" w:hAnsi="宋体"/>
        </w:rPr>
        <w:t xml:space="preserve">   </w:t>
      </w:r>
      <w:r>
        <w:rPr>
          <w:rFonts w:hint="eastAsia" w:ascii="宋体" w:hAnsi="宋体" w:cs="宋体"/>
        </w:rPr>
        <w:t xml:space="preserve"> </w:t>
      </w:r>
      <w:r>
        <w:rPr>
          <w:rFonts w:hint="eastAsia" w:ascii="宋体" w:hAnsi="宋体" w:cs="宋体"/>
          <w:szCs w:val="28"/>
        </w:rPr>
        <w:t>1、乙方交纳人民币（大写）</w:t>
      </w:r>
      <w:r>
        <w:rPr>
          <w:rFonts w:hint="eastAsia" w:ascii="宋体" w:hAnsi="宋体" w:cs="宋体"/>
          <w:szCs w:val="28"/>
          <w:u w:val="single"/>
        </w:rPr>
        <w:t xml:space="preserve">                      </w:t>
      </w:r>
      <w:r>
        <w:rPr>
          <w:rFonts w:hint="eastAsia" w:ascii="宋体" w:hAnsi="宋体" w:cs="宋体"/>
          <w:szCs w:val="28"/>
        </w:rPr>
        <w:t>元（</w:t>
      </w:r>
      <w:r>
        <w:rPr>
          <w:rFonts w:hint="eastAsia" w:ascii="宋体" w:hAnsi="宋体" w:cs="宋体"/>
          <w:szCs w:val="28"/>
          <w:u w:val="single"/>
        </w:rPr>
        <w:t xml:space="preserve">￥：           </w:t>
      </w:r>
      <w:r>
        <w:rPr>
          <w:rFonts w:hint="eastAsia" w:ascii="宋体" w:hAnsi="宋体" w:cs="宋体"/>
          <w:szCs w:val="28"/>
        </w:rPr>
        <w:t>）作为本合同的履约保证金，履约保证金在乙方按合同约定交货并</w:t>
      </w:r>
      <w:r>
        <w:rPr>
          <w:rFonts w:hint="eastAsia"/>
        </w:rPr>
        <w:t>最终验收合格后五年后无息退还。</w:t>
      </w:r>
    </w:p>
    <w:p>
      <w:pPr>
        <w:autoSpaceDE w:val="0"/>
        <w:autoSpaceDN w:val="0"/>
        <w:adjustRightInd w:val="0"/>
        <w:spacing w:line="400" w:lineRule="exact"/>
        <w:ind w:firstLine="420" w:firstLineChars="200"/>
        <w:rPr>
          <w:rFonts w:ascii="宋体" w:hAnsi="宋体"/>
        </w:rPr>
      </w:pPr>
      <w:r>
        <w:rPr>
          <w:rFonts w:hint="eastAsia" w:ascii="宋体" w:hAnsi="宋体"/>
        </w:rPr>
        <w:t>2、如</w:t>
      </w:r>
      <w:r>
        <w:fldChar w:fldCharType="begin"/>
      </w:r>
      <w:r>
        <w:instrText xml:space="preserve"> HYPERLINK "http://www.86exp.com/hetong/" </w:instrText>
      </w:r>
      <w:r>
        <w:fldChar w:fldCharType="separate"/>
      </w:r>
      <w:r>
        <w:rPr>
          <w:rFonts w:hint="eastAsia" w:ascii="宋体" w:hAnsi="宋体"/>
        </w:rPr>
        <w:t>乙方</w:t>
      </w:r>
      <w:r>
        <w:rPr>
          <w:rFonts w:hint="eastAsia" w:ascii="宋体" w:hAnsi="宋体"/>
        </w:rPr>
        <w:fldChar w:fldCharType="end"/>
      </w:r>
      <w:r>
        <w:rPr>
          <w:rFonts w:hint="eastAsia" w:ascii="宋体" w:hAnsi="宋体"/>
        </w:rPr>
        <w:t>未能履行</w:t>
      </w:r>
      <w:bookmarkStart w:id="81" w:name="_Hlt200422246"/>
      <w:bookmarkStart w:id="82" w:name="_Hlt200422247"/>
      <w:r>
        <w:rPr>
          <w:rFonts w:hint="eastAsia" w:ascii="宋体" w:hAnsi="宋体"/>
        </w:rPr>
        <w:fldChar w:fldCharType="begin"/>
      </w:r>
      <w:r>
        <w:rPr>
          <w:rFonts w:hint="eastAsia" w:ascii="宋体" w:hAnsi="宋体"/>
        </w:rPr>
        <w:instrText xml:space="preserve"> HYPERLINK "http://www.86exp.com/hetong/" </w:instrText>
      </w:r>
      <w:r>
        <w:rPr>
          <w:rFonts w:hint="eastAsia" w:ascii="宋体" w:hAnsi="宋体"/>
        </w:rPr>
        <w:fldChar w:fldCharType="separate"/>
      </w:r>
      <w:r>
        <w:rPr>
          <w:rFonts w:hint="eastAsia" w:ascii="宋体" w:hAnsi="宋体"/>
        </w:rPr>
        <w:t>合同</w:t>
      </w:r>
      <w:r>
        <w:rPr>
          <w:rFonts w:hint="eastAsia" w:ascii="宋体" w:hAnsi="宋体"/>
        </w:rPr>
        <w:fldChar w:fldCharType="end"/>
      </w:r>
      <w:bookmarkEnd w:id="81"/>
      <w:bookmarkEnd w:id="82"/>
      <w:r>
        <w:rPr>
          <w:rFonts w:hint="eastAsia" w:ascii="宋体" w:hAnsi="宋体"/>
        </w:rPr>
        <w:t>规定的义务，</w:t>
      </w:r>
      <w:r>
        <w:fldChar w:fldCharType="begin"/>
      </w:r>
      <w:r>
        <w:instrText xml:space="preserve"> HYPERLINK "http://www.86exp.com/hetong/" </w:instrText>
      </w:r>
      <w:r>
        <w:fldChar w:fldCharType="separate"/>
      </w:r>
      <w:r>
        <w:rPr>
          <w:rFonts w:hint="eastAsia" w:ascii="宋体" w:hAnsi="宋体"/>
        </w:rPr>
        <w:t>甲方</w:t>
      </w:r>
      <w:r>
        <w:rPr>
          <w:rFonts w:hint="eastAsia" w:ascii="宋体" w:hAnsi="宋体"/>
        </w:rPr>
        <w:fldChar w:fldCharType="end"/>
      </w:r>
      <w:r>
        <w:rPr>
          <w:rFonts w:hint="eastAsia" w:ascii="宋体" w:hAnsi="宋体"/>
        </w:rPr>
        <w:t>有权从履约保证金中取得补偿。</w:t>
      </w:r>
    </w:p>
    <w:p>
      <w:pPr>
        <w:spacing w:line="460" w:lineRule="exact"/>
        <w:jc w:val="left"/>
        <w:rPr>
          <w:rFonts w:ascii="宋体" w:hAnsi="宋体"/>
          <w:szCs w:val="21"/>
          <w:u w:val="single"/>
        </w:rPr>
      </w:pPr>
      <w:r>
        <w:rPr>
          <w:rFonts w:hint="eastAsia" w:ascii="宋体" w:hAnsi="宋体"/>
          <w:b/>
          <w:kern w:val="0"/>
          <w:szCs w:val="21"/>
        </w:rPr>
        <w:t>第六条货款支付</w:t>
      </w:r>
    </w:p>
    <w:p>
      <w:pPr>
        <w:autoSpaceDE w:val="0"/>
        <w:autoSpaceDN w:val="0"/>
        <w:adjustRightInd w:val="0"/>
        <w:spacing w:line="400" w:lineRule="exact"/>
        <w:ind w:firstLine="420" w:firstLineChars="200"/>
        <w:rPr>
          <w:rFonts w:hAnsi="宋体"/>
          <w:szCs w:val="28"/>
        </w:rPr>
      </w:pPr>
      <w:r>
        <w:rPr>
          <w:rFonts w:hint="eastAsia" w:hAnsi="宋体"/>
          <w:szCs w:val="28"/>
        </w:rPr>
        <w:t>1、</w:t>
      </w:r>
      <w:r>
        <w:rPr>
          <w:rFonts w:hAnsi="宋体"/>
          <w:szCs w:val="28"/>
        </w:rPr>
        <w:t>货款</w:t>
      </w:r>
      <w:r>
        <w:rPr>
          <w:rFonts w:hint="eastAsia" w:hAnsi="宋体"/>
          <w:szCs w:val="28"/>
        </w:rPr>
        <w:t>的</w:t>
      </w:r>
      <w:r>
        <w:rPr>
          <w:rFonts w:hAnsi="宋体"/>
          <w:szCs w:val="28"/>
        </w:rPr>
        <w:t>支付</w:t>
      </w:r>
      <w:r>
        <w:rPr>
          <w:rFonts w:hint="eastAsia" w:hAnsi="宋体"/>
          <w:szCs w:val="28"/>
        </w:rPr>
        <w:t>：</w:t>
      </w:r>
    </w:p>
    <w:p>
      <w:pPr>
        <w:autoSpaceDE w:val="0"/>
        <w:autoSpaceDN w:val="0"/>
        <w:adjustRightInd w:val="0"/>
        <w:spacing w:line="400" w:lineRule="exact"/>
        <w:ind w:firstLine="420" w:firstLineChars="200"/>
        <w:rPr>
          <w:rFonts w:hAnsi="宋体"/>
          <w:szCs w:val="28"/>
          <w:u w:val="single"/>
        </w:rPr>
      </w:pPr>
      <w:r>
        <w:rPr>
          <w:rFonts w:hint="eastAsia" w:hAnsi="宋体"/>
          <w:szCs w:val="28"/>
          <w:u w:val="single"/>
        </w:rPr>
        <w:t xml:space="preserve">              </w:t>
      </w:r>
      <w:r>
        <w:rPr>
          <w:rFonts w:hint="eastAsia" w:hAnsi="宋体"/>
          <w:szCs w:val="28"/>
        </w:rPr>
        <w:t>，支付合同款的</w:t>
      </w:r>
      <w:r>
        <w:rPr>
          <w:rFonts w:hint="eastAsia" w:hAnsi="宋体"/>
          <w:szCs w:val="28"/>
          <w:u w:val="single"/>
        </w:rPr>
        <w:t xml:space="preserve">       </w:t>
      </w:r>
      <w:r>
        <w:rPr>
          <w:rFonts w:hint="eastAsia" w:hAnsi="宋体"/>
          <w:szCs w:val="28"/>
        </w:rPr>
        <w:t xml:space="preserve"> %，即</w:t>
      </w:r>
      <w:r>
        <w:rPr>
          <w:rFonts w:hint="eastAsia" w:ascii="宋体" w:hAnsi="宋体"/>
          <w:szCs w:val="28"/>
          <w:u w:val="single"/>
        </w:rPr>
        <w:t>￥</w:t>
      </w:r>
      <w:r>
        <w:rPr>
          <w:rFonts w:hint="eastAsia" w:hAnsi="宋体"/>
          <w:szCs w:val="28"/>
          <w:u w:val="single"/>
        </w:rPr>
        <w:t>：        ;</w:t>
      </w:r>
    </w:p>
    <w:p>
      <w:pPr>
        <w:autoSpaceDE w:val="0"/>
        <w:autoSpaceDN w:val="0"/>
        <w:adjustRightInd w:val="0"/>
        <w:spacing w:line="400" w:lineRule="exact"/>
        <w:ind w:firstLine="420" w:firstLineChars="200"/>
        <w:rPr>
          <w:rFonts w:hAnsi="宋体"/>
          <w:szCs w:val="28"/>
          <w:u w:val="single"/>
        </w:rPr>
      </w:pPr>
      <w:r>
        <w:rPr>
          <w:rFonts w:hint="eastAsia" w:hAnsi="宋体"/>
          <w:szCs w:val="28"/>
          <w:u w:val="single"/>
        </w:rPr>
        <w:t xml:space="preserve">              </w:t>
      </w:r>
      <w:r>
        <w:rPr>
          <w:rFonts w:hint="eastAsia" w:hAnsi="宋体"/>
          <w:szCs w:val="28"/>
        </w:rPr>
        <w:t>，支付合同款的</w:t>
      </w:r>
      <w:r>
        <w:rPr>
          <w:rFonts w:hint="eastAsia" w:hAnsi="宋体"/>
          <w:szCs w:val="28"/>
          <w:u w:val="single"/>
        </w:rPr>
        <w:t xml:space="preserve">       </w:t>
      </w:r>
      <w:r>
        <w:rPr>
          <w:rFonts w:hint="eastAsia" w:hAnsi="宋体"/>
          <w:szCs w:val="28"/>
        </w:rPr>
        <w:t xml:space="preserve"> %，即</w:t>
      </w:r>
      <w:r>
        <w:rPr>
          <w:rFonts w:hint="eastAsia" w:ascii="宋体" w:hAnsi="宋体"/>
          <w:szCs w:val="28"/>
          <w:u w:val="single"/>
        </w:rPr>
        <w:t>￥</w:t>
      </w:r>
      <w:r>
        <w:rPr>
          <w:rFonts w:hint="eastAsia" w:hAnsi="宋体"/>
          <w:szCs w:val="28"/>
          <w:u w:val="single"/>
        </w:rPr>
        <w:t>：        ;</w:t>
      </w:r>
    </w:p>
    <w:p>
      <w:pPr>
        <w:autoSpaceDE w:val="0"/>
        <w:autoSpaceDN w:val="0"/>
        <w:adjustRightInd w:val="0"/>
        <w:spacing w:line="400" w:lineRule="exact"/>
        <w:ind w:firstLine="420" w:firstLineChars="200"/>
        <w:rPr>
          <w:rFonts w:hAnsi="宋体"/>
          <w:szCs w:val="28"/>
          <w:u w:val="single"/>
        </w:rPr>
      </w:pPr>
      <w:r>
        <w:rPr>
          <w:rFonts w:hint="eastAsia" w:hAnsi="宋体"/>
          <w:szCs w:val="28"/>
          <w:u w:val="single"/>
        </w:rPr>
        <w:t xml:space="preserve">              </w:t>
      </w:r>
      <w:r>
        <w:rPr>
          <w:rFonts w:hint="eastAsia" w:hAnsi="宋体"/>
          <w:szCs w:val="28"/>
        </w:rPr>
        <w:t>，支付合同款的</w:t>
      </w:r>
      <w:r>
        <w:rPr>
          <w:rFonts w:hint="eastAsia" w:hAnsi="宋体"/>
          <w:szCs w:val="28"/>
          <w:u w:val="single"/>
        </w:rPr>
        <w:t xml:space="preserve">       </w:t>
      </w:r>
      <w:r>
        <w:rPr>
          <w:rFonts w:hint="eastAsia" w:hAnsi="宋体"/>
          <w:szCs w:val="28"/>
        </w:rPr>
        <w:t xml:space="preserve"> %，即</w:t>
      </w:r>
      <w:r>
        <w:rPr>
          <w:rFonts w:hint="eastAsia" w:hAnsi="宋体"/>
          <w:szCs w:val="28"/>
          <w:u w:val="single"/>
        </w:rPr>
        <w:t>￥：        ;</w:t>
      </w:r>
    </w:p>
    <w:p>
      <w:pPr>
        <w:autoSpaceDE w:val="0"/>
        <w:autoSpaceDN w:val="0"/>
        <w:adjustRightInd w:val="0"/>
        <w:spacing w:line="400" w:lineRule="exact"/>
        <w:ind w:firstLine="420" w:firstLineChars="200"/>
        <w:rPr>
          <w:rFonts w:hAnsi="宋体"/>
          <w:szCs w:val="28"/>
        </w:rPr>
      </w:pPr>
      <w:r>
        <w:rPr>
          <w:rFonts w:hint="eastAsia" w:hAnsi="宋体"/>
          <w:szCs w:val="28"/>
        </w:rPr>
        <w:t>2、</w:t>
      </w:r>
      <w:r>
        <w:rPr>
          <w:rFonts w:hAnsi="宋体"/>
          <w:szCs w:val="28"/>
        </w:rPr>
        <w:t>当采购数量与实际使用数量不一致时，</w:t>
      </w:r>
      <w:r>
        <w:rPr>
          <w:rFonts w:hint="eastAsia" w:hAnsi="宋体"/>
          <w:szCs w:val="28"/>
        </w:rPr>
        <w:t>乙方</w:t>
      </w:r>
      <w:r>
        <w:rPr>
          <w:rFonts w:hAnsi="宋体"/>
          <w:szCs w:val="28"/>
        </w:rPr>
        <w:t>应根据实际使用量供货，合同的最终结算金额按实际使用量乘以成交单价计</w:t>
      </w:r>
      <w:r>
        <w:rPr>
          <w:rFonts w:hint="eastAsia" w:hAnsi="宋体"/>
          <w:szCs w:val="28"/>
        </w:rPr>
        <w:t>算确定。</w:t>
      </w:r>
    </w:p>
    <w:p>
      <w:pPr>
        <w:spacing w:line="460" w:lineRule="exact"/>
        <w:jc w:val="left"/>
        <w:rPr>
          <w:rFonts w:ascii="宋体" w:hAnsi="宋体"/>
          <w:szCs w:val="21"/>
        </w:rPr>
      </w:pPr>
      <w:r>
        <w:rPr>
          <w:rFonts w:hint="eastAsia" w:ascii="宋体" w:hAnsi="宋体"/>
          <w:b/>
          <w:kern w:val="0"/>
          <w:szCs w:val="21"/>
        </w:rPr>
        <w:t>第七条违约责任</w:t>
      </w:r>
      <w:r>
        <w:rPr>
          <w:rFonts w:hint="eastAsia" w:ascii="宋体" w:hAnsi="宋体"/>
          <w:szCs w:val="21"/>
        </w:rPr>
        <w:br w:type="textWrapping"/>
      </w:r>
      <w:r>
        <w:rPr>
          <w:rFonts w:hint="eastAsia" w:ascii="宋体" w:hAnsi="宋体"/>
          <w:szCs w:val="21"/>
        </w:rPr>
        <w:t>    1、</w:t>
      </w:r>
      <w:r>
        <w:fldChar w:fldCharType="begin"/>
      </w:r>
      <w:r>
        <w:instrText xml:space="preserve"> HYPERLINK "http://www.86exp.com/hetong/" </w:instrText>
      </w:r>
      <w:r>
        <w:fldChar w:fldCharType="separate"/>
      </w:r>
      <w:r>
        <w:rPr>
          <w:rFonts w:hint="eastAsia" w:ascii="宋体" w:hAnsi="宋体"/>
          <w:szCs w:val="21"/>
        </w:rPr>
        <w:t>甲方</w:t>
      </w:r>
      <w:r>
        <w:rPr>
          <w:rFonts w:hint="eastAsia" w:ascii="宋体" w:hAnsi="宋体"/>
          <w:szCs w:val="21"/>
        </w:rPr>
        <w:fldChar w:fldCharType="end"/>
      </w:r>
      <w:r>
        <w:rPr>
          <w:rFonts w:hint="eastAsia" w:ascii="宋体" w:hAnsi="宋体"/>
          <w:szCs w:val="21"/>
        </w:rPr>
        <w:t>无正当理由拒付设备款的，</w:t>
      </w:r>
      <w:r>
        <w:fldChar w:fldCharType="begin"/>
      </w:r>
      <w:r>
        <w:instrText xml:space="preserve"> HYPERLINK "http://www.86exp.com/hetong/" </w:instrText>
      </w:r>
      <w:r>
        <w:fldChar w:fldCharType="separate"/>
      </w:r>
      <w:r>
        <w:rPr>
          <w:rFonts w:hint="eastAsia" w:ascii="宋体" w:hAnsi="宋体"/>
          <w:szCs w:val="21"/>
        </w:rPr>
        <w:t>甲</w:t>
      </w:r>
      <w:bookmarkStart w:id="83" w:name="_Hlt205712047"/>
      <w:bookmarkStart w:id="84" w:name="_Hlt205712048"/>
      <w:r>
        <w:rPr>
          <w:rFonts w:hint="eastAsia" w:ascii="宋体" w:hAnsi="宋体"/>
          <w:szCs w:val="21"/>
        </w:rPr>
        <w:t>方</w:t>
      </w:r>
      <w:bookmarkEnd w:id="83"/>
      <w:bookmarkEnd w:id="84"/>
      <w:r>
        <w:rPr>
          <w:rFonts w:hint="eastAsia" w:ascii="宋体" w:hAnsi="宋体"/>
          <w:szCs w:val="21"/>
        </w:rPr>
        <w:fldChar w:fldCharType="end"/>
      </w:r>
      <w:r>
        <w:rPr>
          <w:rFonts w:hint="eastAsia" w:ascii="宋体" w:hAnsi="宋体"/>
          <w:szCs w:val="21"/>
        </w:rPr>
        <w:t>向</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赔偿合同总额5％的违约金。</w:t>
      </w:r>
      <w:r>
        <w:rPr>
          <w:rFonts w:hint="eastAsia" w:ascii="宋体" w:hAnsi="宋体"/>
          <w:szCs w:val="21"/>
        </w:rPr>
        <w:br w:type="textWrapping"/>
      </w:r>
      <w:r>
        <w:rPr>
          <w:rFonts w:hint="eastAsia" w:ascii="宋体" w:hAnsi="宋体"/>
          <w:szCs w:val="21"/>
        </w:rPr>
        <w:t>    2、</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所交的设备品种、型号、规格、质量不符合合同规定标准，</w:t>
      </w:r>
      <w:r>
        <w:fldChar w:fldCharType="begin"/>
      </w:r>
      <w:r>
        <w:instrText xml:space="preserve"> HYPERLINK "http://www.86exp.com/hetong/" </w:instrText>
      </w:r>
      <w:r>
        <w:fldChar w:fldCharType="separate"/>
      </w:r>
      <w:r>
        <w:rPr>
          <w:rFonts w:hint="eastAsia" w:ascii="宋体" w:hAnsi="宋体"/>
          <w:szCs w:val="21"/>
        </w:rPr>
        <w:t>甲方</w:t>
      </w:r>
      <w:r>
        <w:rPr>
          <w:rFonts w:hint="eastAsia" w:ascii="宋体" w:hAnsi="宋体"/>
          <w:szCs w:val="21"/>
        </w:rPr>
        <w:fldChar w:fldCharType="end"/>
      </w:r>
      <w:r>
        <w:rPr>
          <w:rFonts w:hint="eastAsia" w:ascii="宋体" w:hAnsi="宋体"/>
          <w:szCs w:val="21"/>
        </w:rPr>
        <w:t>有权拒收。造成</w:t>
      </w:r>
      <w:r>
        <w:fldChar w:fldCharType="begin"/>
      </w:r>
      <w:r>
        <w:instrText xml:space="preserve"> HYPERLINK "http://www.86exp.com/hetong/" </w:instrText>
      </w:r>
      <w:r>
        <w:fldChar w:fldCharType="separate"/>
      </w:r>
      <w:r>
        <w:rPr>
          <w:rFonts w:hint="eastAsia" w:ascii="宋体" w:hAnsi="宋体"/>
          <w:szCs w:val="21"/>
        </w:rPr>
        <w:t>甲方</w:t>
      </w:r>
      <w:r>
        <w:rPr>
          <w:rFonts w:hint="eastAsia" w:ascii="宋体" w:hAnsi="宋体"/>
          <w:szCs w:val="21"/>
        </w:rPr>
        <w:fldChar w:fldCharType="end"/>
      </w:r>
      <w:r>
        <w:rPr>
          <w:rFonts w:hint="eastAsia" w:ascii="宋体" w:hAnsi="宋体"/>
          <w:szCs w:val="21"/>
        </w:rPr>
        <w:t>损失的，由</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负责赔偿。</w:t>
      </w:r>
      <w:r>
        <w:rPr>
          <w:rFonts w:hint="eastAsia" w:ascii="宋体" w:hAnsi="宋体"/>
          <w:szCs w:val="21"/>
        </w:rPr>
        <w:br w:type="textWrapping"/>
      </w:r>
      <w:r>
        <w:rPr>
          <w:rFonts w:hint="eastAsia" w:ascii="宋体" w:hAnsi="宋体"/>
          <w:szCs w:val="21"/>
        </w:rPr>
        <w:t>    3、</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不能按期交付全部设备时，</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向</w:t>
      </w:r>
      <w:r>
        <w:fldChar w:fldCharType="begin"/>
      </w:r>
      <w:r>
        <w:instrText xml:space="preserve"> HYPERLINK "http://www.86exp.com/hetong/" </w:instrText>
      </w:r>
      <w:r>
        <w:fldChar w:fldCharType="separate"/>
      </w:r>
      <w:r>
        <w:rPr>
          <w:rFonts w:hint="eastAsia" w:ascii="宋体" w:hAnsi="宋体"/>
          <w:szCs w:val="21"/>
        </w:rPr>
        <w:t>甲方</w:t>
      </w:r>
      <w:r>
        <w:rPr>
          <w:rFonts w:hint="eastAsia" w:ascii="宋体" w:hAnsi="宋体"/>
          <w:szCs w:val="21"/>
        </w:rPr>
        <w:fldChar w:fldCharType="end"/>
      </w:r>
      <w:r>
        <w:rPr>
          <w:rFonts w:hint="eastAsia" w:ascii="宋体" w:hAnsi="宋体"/>
          <w:szCs w:val="21"/>
        </w:rPr>
        <w:t>偿付合同款总额10％的违约金。</w:t>
      </w:r>
      <w:r>
        <w:rPr>
          <w:rFonts w:hint="eastAsia" w:ascii="宋体" w:hAnsi="宋体"/>
          <w:szCs w:val="21"/>
        </w:rPr>
        <w:br w:type="textWrapping"/>
      </w:r>
      <w:r>
        <w:rPr>
          <w:rFonts w:hint="eastAsia" w:ascii="宋体" w:hAnsi="宋体"/>
          <w:szCs w:val="21"/>
        </w:rPr>
        <w:t>    4、</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逾期交付设备时，每逾1日</w:t>
      </w:r>
      <w:r>
        <w:fldChar w:fldCharType="begin"/>
      </w:r>
      <w:r>
        <w:instrText xml:space="preserve"> HYPERLINK "http://www.86exp.com/hetong/" </w:instrText>
      </w:r>
      <w:r>
        <w:fldChar w:fldCharType="separate"/>
      </w:r>
      <w:r>
        <w:rPr>
          <w:rFonts w:hint="eastAsia" w:ascii="宋体" w:hAnsi="宋体"/>
          <w:szCs w:val="21"/>
        </w:rPr>
        <w:t>乙方</w:t>
      </w:r>
      <w:r>
        <w:rPr>
          <w:rFonts w:hint="eastAsia" w:ascii="宋体" w:hAnsi="宋体"/>
          <w:szCs w:val="21"/>
        </w:rPr>
        <w:fldChar w:fldCharType="end"/>
      </w:r>
      <w:r>
        <w:rPr>
          <w:rFonts w:hint="eastAsia" w:ascii="宋体" w:hAnsi="宋体"/>
          <w:szCs w:val="21"/>
        </w:rPr>
        <w:t>向</w:t>
      </w:r>
      <w:r>
        <w:fldChar w:fldCharType="begin"/>
      </w:r>
      <w:r>
        <w:instrText xml:space="preserve"> HYPERLINK "http://www.86exp.com/hetong/" </w:instrText>
      </w:r>
      <w:r>
        <w:fldChar w:fldCharType="separate"/>
      </w:r>
      <w:r>
        <w:rPr>
          <w:rFonts w:hint="eastAsia" w:ascii="宋体" w:hAnsi="宋体"/>
          <w:szCs w:val="21"/>
        </w:rPr>
        <w:t>甲方</w:t>
      </w:r>
      <w:r>
        <w:rPr>
          <w:rFonts w:hint="eastAsia" w:ascii="宋体" w:hAnsi="宋体"/>
          <w:szCs w:val="21"/>
        </w:rPr>
        <w:fldChar w:fldCharType="end"/>
      </w:r>
      <w:r>
        <w:rPr>
          <w:rFonts w:hint="eastAsia" w:ascii="宋体" w:hAnsi="宋体"/>
          <w:szCs w:val="21"/>
        </w:rPr>
        <w:t>偿付合同款1%的滞纳金。逾期交货超过10天后，</w:t>
      </w:r>
      <w:r>
        <w:fldChar w:fldCharType="begin"/>
      </w:r>
      <w:r>
        <w:instrText xml:space="preserve"> HYPERLINK "http://www.86exp.com/hetong/" </w:instrText>
      </w:r>
      <w:r>
        <w:fldChar w:fldCharType="separate"/>
      </w:r>
      <w:r>
        <w:rPr>
          <w:rFonts w:hint="eastAsia" w:ascii="宋体" w:hAnsi="宋体"/>
          <w:szCs w:val="21"/>
        </w:rPr>
        <w:t>甲方</w:t>
      </w:r>
      <w:r>
        <w:rPr>
          <w:rFonts w:hint="eastAsia" w:ascii="宋体" w:hAnsi="宋体"/>
          <w:szCs w:val="21"/>
        </w:rPr>
        <w:fldChar w:fldCharType="end"/>
      </w:r>
      <w:r>
        <w:rPr>
          <w:rFonts w:hint="eastAsia" w:ascii="宋体" w:hAnsi="宋体"/>
          <w:szCs w:val="21"/>
        </w:rPr>
        <w:t>有权决定是否继续履行合同。</w:t>
      </w:r>
    </w:p>
    <w:p>
      <w:pPr>
        <w:spacing w:line="460" w:lineRule="exact"/>
        <w:jc w:val="left"/>
        <w:rPr>
          <w:rFonts w:ascii="宋体" w:hAnsi="宋体"/>
          <w:szCs w:val="21"/>
        </w:rPr>
      </w:pPr>
      <w:r>
        <w:rPr>
          <w:rFonts w:hint="eastAsia" w:ascii="宋体" w:hAnsi="宋体"/>
          <w:szCs w:val="21"/>
        </w:rPr>
        <w:t xml:space="preserve">     5、乙方未经计量部门允许和甲方同意，因开启远程调价功能而产生的问题或造成影响，全部由乙方负责。</w:t>
      </w:r>
    </w:p>
    <w:p>
      <w:pPr>
        <w:autoSpaceDE w:val="0"/>
        <w:autoSpaceDN w:val="0"/>
        <w:adjustRightInd w:val="0"/>
        <w:spacing w:line="460" w:lineRule="exact"/>
        <w:jc w:val="left"/>
        <w:rPr>
          <w:rFonts w:ascii="宋体" w:hAnsi="宋体"/>
        </w:rPr>
      </w:pPr>
      <w:r>
        <w:rPr>
          <w:rFonts w:hint="eastAsia" w:ascii="宋体" w:hAnsi="宋体"/>
          <w:b/>
          <w:kern w:val="0"/>
          <w:szCs w:val="21"/>
        </w:rPr>
        <w:t>第八条争议的解决</w:t>
      </w:r>
      <w:r>
        <w:rPr>
          <w:rFonts w:hint="eastAsia" w:ascii="宋体" w:hAnsi="宋体"/>
          <w:szCs w:val="21"/>
        </w:rPr>
        <w:br w:type="textWrapping"/>
      </w:r>
      <w:r>
        <w:rPr>
          <w:rFonts w:hint="eastAsia" w:ascii="宋体" w:hAnsi="宋体"/>
          <w:szCs w:val="21"/>
        </w:rPr>
        <w:t xml:space="preserve">    </w:t>
      </w:r>
      <w:r>
        <w:rPr>
          <w:rFonts w:hint="eastAsia" w:ascii="宋体" w:hAnsi="宋体"/>
        </w:rPr>
        <w:t>1、因货物质量发生争议，由</w:t>
      </w:r>
      <w:r>
        <w:rPr>
          <w:rFonts w:hint="eastAsia" w:ascii="宋体" w:hAnsi="宋体"/>
          <w:u w:val="single"/>
        </w:rPr>
        <w:t>嘉兴市</w:t>
      </w:r>
      <w:r>
        <w:rPr>
          <w:rFonts w:hint="eastAsia" w:ascii="宋体" w:hAnsi="宋体"/>
        </w:rPr>
        <w:t>市场监督管理局或其指定的质量鉴定单位进行鉴定。货物符合标准的，鉴定费由甲方承担；货物不符合标准的，鉴定费由乙方承担。</w:t>
      </w:r>
    </w:p>
    <w:p>
      <w:pPr>
        <w:autoSpaceDE w:val="0"/>
        <w:autoSpaceDN w:val="0"/>
        <w:adjustRightInd w:val="0"/>
        <w:spacing w:line="460" w:lineRule="exact"/>
        <w:ind w:firstLine="420" w:firstLineChars="200"/>
        <w:jc w:val="left"/>
        <w:rPr>
          <w:rFonts w:ascii="宋体" w:hAnsi="宋体"/>
        </w:rPr>
      </w:pPr>
      <w:r>
        <w:rPr>
          <w:rFonts w:hint="eastAsia" w:ascii="宋体" w:hAnsi="宋体"/>
        </w:rPr>
        <w:t>2、</w:t>
      </w:r>
      <w:r>
        <w:rPr>
          <w:rFonts w:ascii="宋体" w:hAnsi="宋体"/>
        </w:rPr>
        <w:t>执行合同中所发生的</w:t>
      </w:r>
      <w:r>
        <w:rPr>
          <w:rFonts w:hint="eastAsia" w:ascii="宋体" w:hAnsi="宋体"/>
        </w:rPr>
        <w:t>其他</w:t>
      </w:r>
      <w:r>
        <w:rPr>
          <w:rFonts w:ascii="宋体" w:hAnsi="宋体"/>
        </w:rPr>
        <w:t>争议，应通过协商解决。如协商不成，可向合同签订地法院起诉</w:t>
      </w:r>
      <w:r>
        <w:rPr>
          <w:rFonts w:hint="eastAsia" w:ascii="宋体" w:hAnsi="宋体"/>
        </w:rPr>
        <w:t>。</w:t>
      </w:r>
      <w:r>
        <w:rPr>
          <w:rFonts w:ascii="宋体" w:hAnsi="宋体"/>
        </w:rPr>
        <w:t>合同签订地</w:t>
      </w:r>
      <w:r>
        <w:rPr>
          <w:rFonts w:hint="eastAsia" w:ascii="宋体" w:hAnsi="宋体"/>
        </w:rPr>
        <w:t>点</w:t>
      </w:r>
      <w:r>
        <w:rPr>
          <w:rFonts w:ascii="宋体" w:hAnsi="宋体"/>
        </w:rPr>
        <w:t>在此约定为</w:t>
      </w:r>
      <w:r>
        <w:rPr>
          <w:rFonts w:hint="eastAsia" w:ascii="宋体" w:hAnsi="宋体"/>
          <w:u w:val="single"/>
        </w:rPr>
        <w:t xml:space="preserve"> 嘉兴市。</w:t>
      </w:r>
    </w:p>
    <w:p>
      <w:pPr>
        <w:spacing w:line="460" w:lineRule="exact"/>
        <w:jc w:val="left"/>
        <w:rPr>
          <w:rFonts w:ascii="宋体" w:hAnsi="宋体"/>
          <w:szCs w:val="21"/>
        </w:rPr>
      </w:pPr>
      <w:r>
        <w:rPr>
          <w:rFonts w:hint="eastAsia" w:ascii="宋体" w:hAnsi="宋体"/>
          <w:b/>
          <w:szCs w:val="21"/>
        </w:rPr>
        <w:t>第十二条  其它约定</w:t>
      </w:r>
      <w:r>
        <w:rPr>
          <w:rFonts w:hint="eastAsia" w:ascii="宋体" w:hAnsi="宋体"/>
          <w:szCs w:val="21"/>
        </w:rPr>
        <w:t>：</w:t>
      </w:r>
    </w:p>
    <w:p>
      <w:pPr>
        <w:autoSpaceDE w:val="0"/>
        <w:autoSpaceDN w:val="0"/>
        <w:adjustRightInd w:val="0"/>
        <w:spacing w:line="400" w:lineRule="exact"/>
        <w:jc w:val="left"/>
        <w:rPr>
          <w:rFonts w:ascii="宋体" w:hAnsi="宋体"/>
          <w:szCs w:val="21"/>
        </w:rPr>
      </w:pPr>
      <w:r>
        <w:rPr>
          <w:rFonts w:hint="eastAsia" w:ascii="宋体" w:hAnsi="宋体"/>
          <w:b/>
          <w:szCs w:val="21"/>
        </w:rPr>
        <w:t>第十三条</w:t>
      </w:r>
      <w:r>
        <w:fldChar w:fldCharType="begin"/>
      </w:r>
      <w:r>
        <w:instrText xml:space="preserve"> HYPERLINK "http://www.86exp.com/hetong/" </w:instrText>
      </w:r>
      <w:r>
        <w:fldChar w:fldCharType="separate"/>
      </w:r>
      <w:r>
        <w:rPr>
          <w:rFonts w:hint="eastAsia" w:ascii="宋体" w:hAnsi="宋体"/>
          <w:b/>
          <w:szCs w:val="21"/>
        </w:rPr>
        <w:t>合同</w:t>
      </w:r>
      <w:r>
        <w:rPr>
          <w:rFonts w:hint="eastAsia" w:ascii="宋体" w:hAnsi="宋体"/>
          <w:b/>
          <w:szCs w:val="21"/>
        </w:rPr>
        <w:fldChar w:fldCharType="end"/>
      </w:r>
      <w:r>
        <w:rPr>
          <w:rFonts w:hint="eastAsia" w:ascii="宋体" w:hAnsi="宋体"/>
          <w:b/>
          <w:szCs w:val="21"/>
        </w:rPr>
        <w:t>生效及其他</w:t>
      </w:r>
      <w:r>
        <w:rPr>
          <w:rFonts w:hint="eastAsia" w:ascii="宋体" w:hAnsi="宋体"/>
          <w:szCs w:val="21"/>
        </w:rPr>
        <w:br w:type="textWrapping"/>
      </w:r>
      <w:r>
        <w:rPr>
          <w:rFonts w:hint="eastAsia" w:ascii="宋体" w:hAnsi="宋体"/>
          <w:szCs w:val="21"/>
        </w:rPr>
        <w:t>1、合同经甲、乙双方代表签章后即行生效。</w:t>
      </w:r>
      <w:r>
        <w:rPr>
          <w:rFonts w:hint="eastAsia" w:ascii="宋体" w:hAnsi="宋体"/>
          <w:szCs w:val="21"/>
        </w:rPr>
        <w:br w:type="textWrapping"/>
      </w:r>
      <w:r>
        <w:rPr>
          <w:rFonts w:hint="eastAsia" w:ascii="宋体" w:hAnsi="宋体"/>
          <w:szCs w:val="21"/>
        </w:rPr>
        <w:t>2、本</w:t>
      </w:r>
      <w:r>
        <w:fldChar w:fldCharType="begin"/>
      </w:r>
      <w:r>
        <w:instrText xml:space="preserve"> HYPERLINK "http://www.86exp.com/hetong/" </w:instrText>
      </w:r>
      <w:r>
        <w:fldChar w:fldCharType="separate"/>
      </w:r>
      <w:r>
        <w:rPr>
          <w:rFonts w:hint="eastAsia" w:ascii="宋体" w:hAnsi="宋体"/>
          <w:szCs w:val="21"/>
        </w:rPr>
        <w:t>合同</w:t>
      </w:r>
      <w:r>
        <w:rPr>
          <w:rFonts w:hint="eastAsia" w:ascii="宋体" w:hAnsi="宋体"/>
          <w:szCs w:val="21"/>
        </w:rPr>
        <w:fldChar w:fldCharType="end"/>
      </w:r>
      <w:r>
        <w:rPr>
          <w:rFonts w:hint="eastAsia" w:ascii="宋体" w:hAnsi="宋体"/>
          <w:szCs w:val="21"/>
        </w:rPr>
        <w:t>一式四份，甲乙双方各执一份，一份交嘉兴市明扬工程咨询有限公司存档，一份报送嘉兴市财政局备案。</w:t>
      </w:r>
      <w:r>
        <w:rPr>
          <w:rFonts w:hint="eastAsia" w:ascii="宋体" w:hAnsi="宋体"/>
          <w:szCs w:val="21"/>
        </w:rPr>
        <w:br w:type="textWrapping"/>
      </w:r>
      <w:r>
        <w:rPr>
          <w:rFonts w:hint="eastAsia" w:ascii="宋体" w:hAnsi="宋体"/>
          <w:szCs w:val="21"/>
        </w:rPr>
        <w:t>3、本</w:t>
      </w:r>
      <w:r>
        <w:fldChar w:fldCharType="begin"/>
      </w:r>
      <w:r>
        <w:instrText xml:space="preserve"> HYPERLINK "http://www.86exp.com/hetong/" </w:instrText>
      </w:r>
      <w:r>
        <w:fldChar w:fldCharType="separate"/>
      </w:r>
      <w:r>
        <w:rPr>
          <w:rFonts w:hint="eastAsia" w:ascii="宋体" w:hAnsi="宋体"/>
          <w:szCs w:val="21"/>
        </w:rPr>
        <w:t>合同</w:t>
      </w:r>
      <w:r>
        <w:rPr>
          <w:rFonts w:hint="eastAsia" w:ascii="宋体" w:hAnsi="宋体"/>
          <w:szCs w:val="21"/>
        </w:rPr>
        <w:fldChar w:fldCharType="end"/>
      </w:r>
      <w:r>
        <w:rPr>
          <w:rFonts w:hint="eastAsia" w:ascii="宋体" w:hAnsi="宋体"/>
          <w:szCs w:val="21"/>
        </w:rPr>
        <w:t>应按照中华人民共和国的现行法律进行解释。</w:t>
      </w:r>
    </w:p>
    <w:p>
      <w:pPr>
        <w:pStyle w:val="2"/>
      </w:pPr>
    </w:p>
    <w:p>
      <w:pPr>
        <w:autoSpaceDE w:val="0"/>
        <w:autoSpaceDN w:val="0"/>
        <w:adjustRightInd w:val="0"/>
        <w:spacing w:line="400" w:lineRule="exact"/>
        <w:jc w:val="left"/>
        <w:rPr>
          <w:rFonts w:ascii="宋体" w:hAnsi="宋体"/>
          <w:szCs w:val="21"/>
        </w:rPr>
      </w:pPr>
      <w:r>
        <w:rPr>
          <w:rFonts w:ascii="宋体" w:hAnsi="宋体"/>
          <w:szCs w:val="21"/>
        </w:rPr>
        <w:t xml:space="preserve">甲方：                  </w:t>
      </w:r>
      <w:r>
        <w:rPr>
          <w:rFonts w:hint="eastAsia" w:ascii="宋体" w:hAnsi="宋体"/>
          <w:szCs w:val="21"/>
        </w:rPr>
        <w:t xml:space="preserve">                   乙方</w:t>
      </w:r>
      <w:r>
        <w:rPr>
          <w:rFonts w:ascii="宋体" w:hAnsi="宋体"/>
          <w:szCs w:val="21"/>
        </w:rPr>
        <w:t xml:space="preserve">： </w:t>
      </w:r>
    </w:p>
    <w:p>
      <w:pPr>
        <w:autoSpaceDE w:val="0"/>
        <w:autoSpaceDN w:val="0"/>
        <w:adjustRightInd w:val="0"/>
        <w:spacing w:line="400" w:lineRule="exact"/>
        <w:jc w:val="left"/>
        <w:rPr>
          <w:rFonts w:ascii="宋体" w:hAnsi="宋体"/>
          <w:szCs w:val="21"/>
        </w:rPr>
      </w:pPr>
      <w:r>
        <w:rPr>
          <w:rFonts w:ascii="宋体" w:hAnsi="宋体"/>
          <w:szCs w:val="21"/>
        </w:rPr>
        <w:t xml:space="preserve">地址：                             </w:t>
      </w:r>
      <w:r>
        <w:rPr>
          <w:rFonts w:hint="eastAsia" w:ascii="宋体" w:hAnsi="宋体"/>
          <w:szCs w:val="21"/>
        </w:rPr>
        <w:t xml:space="preserve">        </w:t>
      </w:r>
      <w:r>
        <w:rPr>
          <w:rFonts w:ascii="宋体" w:hAnsi="宋体"/>
          <w:szCs w:val="21"/>
        </w:rPr>
        <w:t xml:space="preserve">地址： </w:t>
      </w:r>
    </w:p>
    <w:p>
      <w:pPr>
        <w:autoSpaceDE w:val="0"/>
        <w:autoSpaceDN w:val="0"/>
        <w:adjustRightInd w:val="0"/>
        <w:spacing w:line="400" w:lineRule="exact"/>
        <w:jc w:val="left"/>
        <w:rPr>
          <w:rFonts w:ascii="宋体" w:hAnsi="宋体"/>
          <w:szCs w:val="21"/>
        </w:rPr>
      </w:pPr>
      <w:r>
        <w:rPr>
          <w:rFonts w:ascii="宋体" w:hAnsi="宋体"/>
          <w:szCs w:val="21"/>
        </w:rPr>
        <w:t xml:space="preserve">法定代表人：                       </w:t>
      </w:r>
      <w:r>
        <w:rPr>
          <w:rFonts w:hint="eastAsia" w:ascii="宋体" w:hAnsi="宋体"/>
          <w:szCs w:val="21"/>
        </w:rPr>
        <w:t xml:space="preserve">        </w:t>
      </w:r>
      <w:r>
        <w:rPr>
          <w:rFonts w:ascii="宋体" w:hAnsi="宋体"/>
          <w:szCs w:val="21"/>
        </w:rPr>
        <w:t>法定代表人：</w:t>
      </w:r>
    </w:p>
    <w:p>
      <w:pPr>
        <w:autoSpaceDE w:val="0"/>
        <w:autoSpaceDN w:val="0"/>
        <w:adjustRightInd w:val="0"/>
        <w:spacing w:line="400" w:lineRule="exact"/>
        <w:jc w:val="left"/>
        <w:rPr>
          <w:rFonts w:ascii="宋体" w:hAnsi="宋体"/>
          <w:szCs w:val="21"/>
        </w:rPr>
      </w:pPr>
      <w:r>
        <w:rPr>
          <w:rFonts w:ascii="宋体" w:hAnsi="宋体"/>
          <w:szCs w:val="21"/>
        </w:rPr>
        <w:t xml:space="preserve">签订地点：                  </w:t>
      </w:r>
      <w:r>
        <w:rPr>
          <w:rFonts w:hint="eastAsia" w:ascii="宋体" w:hAnsi="宋体"/>
          <w:szCs w:val="21"/>
        </w:rPr>
        <w:t xml:space="preserve">               签订地点：</w:t>
      </w:r>
    </w:p>
    <w:p>
      <w:pPr>
        <w:autoSpaceDE w:val="0"/>
        <w:autoSpaceDN w:val="0"/>
        <w:adjustRightInd w:val="0"/>
        <w:spacing w:line="400" w:lineRule="exact"/>
        <w:jc w:val="left"/>
        <w:rPr>
          <w:rFonts w:ascii="宋体" w:hAnsi="宋体"/>
          <w:szCs w:val="21"/>
        </w:rPr>
      </w:pPr>
      <w:r>
        <w:rPr>
          <w:rFonts w:ascii="宋体" w:hAnsi="宋体"/>
          <w:szCs w:val="21"/>
        </w:rPr>
        <w:t>签订日期：      年  月  日</w:t>
      </w:r>
      <w:r>
        <w:rPr>
          <w:rFonts w:hint="eastAsia" w:ascii="宋体" w:hAnsi="宋体"/>
          <w:szCs w:val="21"/>
        </w:rPr>
        <w:t xml:space="preserve">                 签订日期：      年   月   日 </w:t>
      </w:r>
    </w:p>
    <w:p>
      <w:pPr>
        <w:pStyle w:val="16"/>
        <w:spacing w:beforeLines="50" w:afterLines="50" w:line="400" w:lineRule="exact"/>
        <w:jc w:val="center"/>
        <w:outlineLvl w:val="0"/>
        <w:rPr>
          <w:b/>
          <w:sz w:val="32"/>
          <w:szCs w:val="32"/>
        </w:rPr>
      </w:pPr>
    </w:p>
    <w:p>
      <w:pPr>
        <w:pStyle w:val="16"/>
        <w:spacing w:beforeLines="50" w:afterLines="50" w:line="400" w:lineRule="exact"/>
        <w:jc w:val="center"/>
        <w:outlineLvl w:val="0"/>
        <w:rPr>
          <w:b/>
          <w:sz w:val="32"/>
          <w:szCs w:val="32"/>
        </w:rPr>
      </w:pPr>
    </w:p>
    <w:p>
      <w:pPr>
        <w:pStyle w:val="16"/>
        <w:spacing w:beforeLines="50" w:afterLines="50" w:line="400" w:lineRule="exact"/>
        <w:jc w:val="center"/>
        <w:outlineLvl w:val="0"/>
        <w:rPr>
          <w:b/>
          <w:sz w:val="32"/>
          <w:szCs w:val="32"/>
        </w:rPr>
      </w:pPr>
    </w:p>
    <w:p>
      <w:pPr>
        <w:pStyle w:val="16"/>
        <w:spacing w:beforeLines="50" w:afterLines="50" w:line="400" w:lineRule="exact"/>
        <w:jc w:val="center"/>
        <w:outlineLvl w:val="0"/>
        <w:rPr>
          <w:b/>
          <w:sz w:val="32"/>
          <w:szCs w:val="32"/>
        </w:rPr>
      </w:pPr>
    </w:p>
    <w:p>
      <w:pPr>
        <w:pStyle w:val="16"/>
        <w:spacing w:beforeLines="50" w:afterLines="50" w:line="400" w:lineRule="exact"/>
        <w:jc w:val="center"/>
        <w:outlineLvl w:val="0"/>
        <w:rPr>
          <w:b/>
          <w:sz w:val="32"/>
          <w:szCs w:val="32"/>
        </w:rPr>
      </w:pPr>
    </w:p>
    <w:p>
      <w:pPr>
        <w:pStyle w:val="16"/>
        <w:spacing w:beforeLines="50" w:afterLines="50" w:line="400" w:lineRule="exact"/>
        <w:jc w:val="center"/>
        <w:outlineLvl w:val="0"/>
        <w:rPr>
          <w:b/>
          <w:sz w:val="32"/>
          <w:szCs w:val="32"/>
        </w:rPr>
      </w:pPr>
    </w:p>
    <w:p>
      <w:pPr>
        <w:pStyle w:val="16"/>
        <w:spacing w:beforeLines="50" w:afterLines="50" w:line="400" w:lineRule="exact"/>
        <w:jc w:val="center"/>
        <w:outlineLvl w:val="0"/>
        <w:rPr>
          <w:b/>
          <w:sz w:val="32"/>
          <w:szCs w:val="32"/>
        </w:rPr>
      </w:pPr>
    </w:p>
    <w:p>
      <w:pPr>
        <w:pStyle w:val="16"/>
        <w:spacing w:beforeLines="50" w:afterLines="50" w:line="400" w:lineRule="exact"/>
        <w:jc w:val="center"/>
        <w:outlineLvl w:val="0"/>
        <w:rPr>
          <w:b/>
          <w:sz w:val="32"/>
          <w:szCs w:val="32"/>
        </w:rPr>
      </w:pPr>
    </w:p>
    <w:p>
      <w:pPr>
        <w:pStyle w:val="16"/>
        <w:spacing w:beforeLines="50" w:afterLines="50" w:line="400" w:lineRule="exact"/>
        <w:jc w:val="center"/>
        <w:outlineLvl w:val="0"/>
        <w:rPr>
          <w:b/>
          <w:sz w:val="32"/>
          <w:szCs w:val="32"/>
        </w:rPr>
      </w:pPr>
      <w:bookmarkStart w:id="85" w:name="_Toc26552"/>
    </w:p>
    <w:p>
      <w:pPr>
        <w:pStyle w:val="16"/>
        <w:spacing w:beforeLines="50" w:afterLines="50" w:line="400" w:lineRule="exact"/>
        <w:jc w:val="center"/>
        <w:outlineLvl w:val="0"/>
        <w:rPr>
          <w:b/>
          <w:sz w:val="32"/>
          <w:szCs w:val="32"/>
        </w:rPr>
      </w:pPr>
      <w:r>
        <w:rPr>
          <w:rFonts w:hint="eastAsia"/>
          <w:b/>
          <w:sz w:val="32"/>
          <w:szCs w:val="32"/>
        </w:rPr>
        <w:t>第六章  投标相关文件格式</w:t>
      </w:r>
      <w:bookmarkEnd w:id="85"/>
    </w:p>
    <w:p>
      <w:pPr>
        <w:outlineLvl w:val="1"/>
      </w:pPr>
    </w:p>
    <w:p>
      <w:pPr>
        <w:outlineLvl w:val="1"/>
      </w:pPr>
    </w:p>
    <w:p>
      <w:pPr>
        <w:pStyle w:val="25"/>
      </w:pPr>
    </w:p>
    <w:p>
      <w:pPr>
        <w:spacing w:beforeLines="50" w:line="360" w:lineRule="auto"/>
        <w:ind w:firstLine="2493" w:firstLineChars="887"/>
        <w:rPr>
          <w:rFonts w:ascii="宋体" w:hAnsi="宋体"/>
          <w:b/>
          <w:bCs/>
          <w:sz w:val="28"/>
          <w:szCs w:val="28"/>
        </w:rPr>
      </w:pPr>
      <w:bookmarkStart w:id="86" w:name="_Toc177870561"/>
      <w:r>
        <w:rPr>
          <w:b/>
          <w:bCs/>
          <w:sz w:val="28"/>
          <w:szCs w:val="28"/>
        </w:rPr>
        <w:t>投标文件</w:t>
      </w:r>
      <w:r>
        <w:rPr>
          <w:rFonts w:hint="eastAsia"/>
          <w:b/>
          <w:bCs/>
          <w:sz w:val="28"/>
          <w:szCs w:val="28"/>
        </w:rPr>
        <w:t>及内外层信封</w:t>
      </w:r>
      <w:r>
        <w:rPr>
          <w:b/>
          <w:bCs/>
          <w:sz w:val="28"/>
          <w:szCs w:val="28"/>
        </w:rPr>
        <w:t>封面格式</w:t>
      </w:r>
      <w:bookmarkEnd w:id="86"/>
    </w:p>
    <w:p>
      <w:pPr>
        <w:spacing w:beforeLines="50" w:line="360" w:lineRule="auto"/>
        <w:rPr>
          <w:rFonts w:ascii="宋体" w:hAnsi="宋体"/>
          <w:sz w:val="24"/>
        </w:rPr>
      </w:pPr>
    </w:p>
    <w:p>
      <w:pPr>
        <w:spacing w:beforeLines="50" w:line="360" w:lineRule="auto"/>
        <w:jc w:val="center"/>
        <w:rPr>
          <w:rFonts w:ascii="宋体" w:hAnsi="宋体"/>
          <w:b/>
          <w:sz w:val="28"/>
          <w:szCs w:val="28"/>
        </w:rPr>
      </w:pPr>
      <w:r>
        <w:rPr>
          <w:rFonts w:hint="eastAsia" w:ascii="宋体" w:hAnsi="宋体"/>
          <w:b/>
          <w:sz w:val="28"/>
          <w:szCs w:val="28"/>
        </w:rPr>
        <w:t>△政府采购项目（正、副本）</w:t>
      </w:r>
    </w:p>
    <w:p>
      <w:pPr>
        <w:spacing w:beforeLines="50" w:line="360" w:lineRule="auto"/>
        <w:jc w:val="center"/>
        <w:rPr>
          <w:rFonts w:ascii="宋体" w:hAnsi="宋体"/>
          <w:b/>
          <w:sz w:val="28"/>
          <w:szCs w:val="28"/>
        </w:rPr>
      </w:pPr>
      <w:r>
        <w:rPr>
          <w:rFonts w:hint="eastAsia" w:ascii="宋体" w:hAnsi="宋体"/>
          <w:b/>
          <w:sz w:val="28"/>
          <w:szCs w:val="28"/>
        </w:rPr>
        <w:t>投 标 书</w:t>
      </w:r>
    </w:p>
    <w:p>
      <w:pPr>
        <w:spacing w:beforeLines="50" w:line="360" w:lineRule="auto"/>
        <w:rPr>
          <w:rFonts w:ascii="宋体" w:hAnsi="宋体"/>
          <w:sz w:val="24"/>
        </w:rPr>
      </w:pPr>
    </w:p>
    <w:p>
      <w:pPr>
        <w:spacing w:beforeLines="50" w:line="480" w:lineRule="auto"/>
        <w:ind w:firstLine="1072" w:firstLineChars="445"/>
        <w:rPr>
          <w:rFonts w:ascii="宋体" w:hAnsi="宋体"/>
          <w:b/>
          <w:sz w:val="24"/>
        </w:rPr>
      </w:pPr>
      <w:r>
        <w:rPr>
          <w:rFonts w:hint="eastAsia" w:ascii="宋体" w:hAnsi="宋体"/>
          <w:b/>
          <w:bCs/>
          <w:sz w:val="24"/>
        </w:rPr>
        <w:t>项目名称：</w:t>
      </w:r>
    </w:p>
    <w:p>
      <w:pPr>
        <w:spacing w:beforeLines="50" w:line="480" w:lineRule="auto"/>
        <w:ind w:firstLine="1072" w:firstLineChars="445"/>
        <w:rPr>
          <w:rFonts w:ascii="宋体" w:hAnsi="宋体"/>
          <w:b/>
          <w:bCs/>
          <w:sz w:val="24"/>
        </w:rPr>
      </w:pPr>
      <w:r>
        <w:rPr>
          <w:rFonts w:hint="eastAsia" w:ascii="宋体" w:hAnsi="宋体"/>
          <w:b/>
          <w:bCs/>
          <w:sz w:val="24"/>
        </w:rPr>
        <w:t>项目编号：</w:t>
      </w:r>
    </w:p>
    <w:p>
      <w:pPr>
        <w:spacing w:beforeLines="50" w:line="480" w:lineRule="auto"/>
        <w:ind w:firstLine="1072" w:firstLineChars="445"/>
        <w:rPr>
          <w:rFonts w:ascii="宋体" w:hAnsi="宋体"/>
          <w:b/>
          <w:bCs/>
          <w:sz w:val="24"/>
        </w:rPr>
      </w:pPr>
      <w:r>
        <w:rPr>
          <w:rFonts w:hint="eastAsia" w:ascii="宋体" w:hAnsi="宋体"/>
          <w:b/>
          <w:bCs/>
          <w:sz w:val="24"/>
        </w:rPr>
        <w:t>投标文件名称：（资信技术文件）或（报价文件）</w:t>
      </w:r>
    </w:p>
    <w:p>
      <w:pPr>
        <w:spacing w:beforeLines="50" w:line="480" w:lineRule="auto"/>
        <w:ind w:firstLine="1072" w:firstLineChars="445"/>
        <w:rPr>
          <w:rFonts w:ascii="宋体" w:hAnsi="宋体"/>
          <w:b/>
          <w:bCs/>
          <w:sz w:val="24"/>
        </w:rPr>
      </w:pPr>
      <w:r>
        <w:rPr>
          <w:rFonts w:hint="eastAsia" w:ascii="宋体" w:hAnsi="宋体"/>
          <w:b/>
          <w:bCs/>
          <w:sz w:val="24"/>
        </w:rPr>
        <w:t>投标人名称（盖章）：</w:t>
      </w:r>
    </w:p>
    <w:p>
      <w:pPr>
        <w:spacing w:beforeLines="50" w:line="480" w:lineRule="auto"/>
        <w:ind w:firstLine="1072" w:firstLineChars="445"/>
        <w:rPr>
          <w:rFonts w:ascii="宋体" w:hAnsi="宋体"/>
          <w:b/>
          <w:bCs/>
          <w:sz w:val="24"/>
        </w:rPr>
      </w:pPr>
      <w:r>
        <w:rPr>
          <w:rFonts w:hint="eastAsia" w:ascii="宋体" w:hAnsi="宋体"/>
          <w:b/>
          <w:bCs/>
          <w:sz w:val="24"/>
        </w:rPr>
        <w:t>投标人地址：</w:t>
      </w:r>
    </w:p>
    <w:p>
      <w:pPr>
        <w:spacing w:beforeLines="50" w:line="480" w:lineRule="auto"/>
        <w:ind w:firstLine="1072" w:firstLineChars="445"/>
        <w:rPr>
          <w:rFonts w:ascii="宋体" w:hAnsi="宋体"/>
          <w:b/>
          <w:bCs/>
          <w:sz w:val="24"/>
        </w:rPr>
      </w:pPr>
      <w:r>
        <w:rPr>
          <w:rFonts w:hint="eastAsia" w:ascii="宋体" w:hAnsi="宋体"/>
          <w:b/>
          <w:bCs/>
          <w:sz w:val="24"/>
        </w:rPr>
        <w:t>在  年  月  日  时  分之前不得启封</w:t>
      </w:r>
    </w:p>
    <w:p>
      <w:pPr>
        <w:spacing w:beforeLines="50" w:line="360" w:lineRule="auto"/>
        <w:rPr>
          <w:rFonts w:ascii="宋体" w:hAnsi="宋体"/>
          <w:sz w:val="24"/>
        </w:rPr>
      </w:pPr>
    </w:p>
    <w:p>
      <w:pPr>
        <w:spacing w:beforeLines="50" w:line="360" w:lineRule="auto"/>
        <w:rPr>
          <w:rFonts w:ascii="宋体" w:hAnsi="宋体"/>
          <w:sz w:val="24"/>
        </w:rPr>
      </w:pPr>
    </w:p>
    <w:p/>
    <w:p/>
    <w:p/>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b/>
          <w:sz w:val="30"/>
          <w:szCs w:val="30"/>
        </w:rPr>
      </w:pPr>
      <w:r>
        <w:rPr>
          <w:rFonts w:hint="eastAsia" w:ascii="宋体" w:hAnsi="宋体"/>
          <w:b/>
          <w:sz w:val="32"/>
          <w:szCs w:val="32"/>
        </w:rPr>
        <w:t xml:space="preserve">附件1                 </w:t>
      </w:r>
      <w:r>
        <w:rPr>
          <w:rFonts w:hint="eastAsia"/>
          <w:b/>
          <w:sz w:val="30"/>
          <w:szCs w:val="30"/>
        </w:rPr>
        <w:t>投标声明书</w:t>
      </w:r>
    </w:p>
    <w:p>
      <w:pPr>
        <w:adjustRightInd w:val="0"/>
        <w:snapToGrid w:val="0"/>
        <w:spacing w:line="360" w:lineRule="auto"/>
        <w:rPr>
          <w:sz w:val="24"/>
        </w:rPr>
      </w:pPr>
    </w:p>
    <w:p>
      <w:pPr>
        <w:adjustRightInd w:val="0"/>
        <w:snapToGrid w:val="0"/>
        <w:spacing w:line="360" w:lineRule="auto"/>
        <w:rPr>
          <w:sz w:val="24"/>
        </w:rPr>
      </w:pPr>
      <w:r>
        <w:rPr>
          <w:rFonts w:hint="eastAsia"/>
          <w:sz w:val="24"/>
        </w:rPr>
        <w:t>致：</w:t>
      </w:r>
      <w:r>
        <w:rPr>
          <w:rFonts w:hint="eastAsia"/>
          <w:sz w:val="24"/>
          <w:u w:val="single"/>
        </w:rPr>
        <w:t xml:space="preserve">              </w:t>
      </w:r>
      <w:r>
        <w:rPr>
          <w:sz w:val="24"/>
        </w:rPr>
        <w:t>：</w:t>
      </w:r>
    </w:p>
    <w:p>
      <w:pPr>
        <w:tabs>
          <w:tab w:val="left" w:pos="1418"/>
        </w:tabs>
        <w:snapToGrid w:val="0"/>
        <w:spacing w:before="50" w:after="50" w:line="360" w:lineRule="auto"/>
        <w:ind w:firstLine="480" w:firstLineChars="200"/>
        <w:jc w:val="left"/>
        <w:rPr>
          <w:sz w:val="24"/>
        </w:rPr>
      </w:pPr>
      <w:r>
        <w:rPr>
          <w:sz w:val="24"/>
          <w:u w:val="single"/>
        </w:rPr>
        <w:t xml:space="preserve">  </w:t>
      </w:r>
      <w:r>
        <w:rPr>
          <w:rFonts w:hint="eastAsia"/>
          <w:sz w:val="24"/>
          <w:u w:val="single"/>
        </w:rPr>
        <w:t xml:space="preserve">                </w:t>
      </w:r>
      <w:r>
        <w:rPr>
          <w:rFonts w:hint="eastAsia"/>
          <w:sz w:val="24"/>
        </w:rPr>
        <w:t>（投标人名称）系中华人民共和国合法企业，经营地址</w:t>
      </w:r>
      <w:r>
        <w:rPr>
          <w:sz w:val="24"/>
          <w:u w:val="single"/>
        </w:rPr>
        <w:t xml:space="preserve">  </w:t>
      </w:r>
      <w:r>
        <w:rPr>
          <w:rFonts w:hint="eastAsia"/>
          <w:sz w:val="24"/>
          <w:u w:val="single"/>
        </w:rPr>
        <w:t xml:space="preserve">                      </w:t>
      </w:r>
      <w:r>
        <w:rPr>
          <w:rFonts w:hint="eastAsia"/>
          <w:sz w:val="24"/>
        </w:rPr>
        <w:t>。</w:t>
      </w:r>
    </w:p>
    <w:p>
      <w:pPr>
        <w:tabs>
          <w:tab w:val="left" w:pos="1418"/>
        </w:tabs>
        <w:snapToGrid w:val="0"/>
        <w:spacing w:before="50" w:after="50" w:line="360" w:lineRule="auto"/>
        <w:ind w:firstLine="480" w:firstLineChars="200"/>
        <w:rPr>
          <w:sz w:val="24"/>
        </w:rPr>
      </w:pPr>
      <w:r>
        <w:rPr>
          <w:rFonts w:hint="eastAsia"/>
          <w:sz w:val="24"/>
        </w:rPr>
        <w:t>我</w:t>
      </w:r>
      <w:r>
        <w:rPr>
          <w:sz w:val="24"/>
          <w:u w:val="single"/>
        </w:rPr>
        <w:t xml:space="preserve">  </w:t>
      </w:r>
      <w:r>
        <w:rPr>
          <w:rFonts w:hint="eastAsia"/>
          <w:sz w:val="24"/>
          <w:u w:val="single"/>
        </w:rPr>
        <w:t xml:space="preserve">                </w:t>
      </w:r>
      <w:r>
        <w:rPr>
          <w:rFonts w:hint="eastAsia"/>
          <w:sz w:val="24"/>
        </w:rPr>
        <w:t>（姓名）系</w:t>
      </w:r>
      <w:r>
        <w:rPr>
          <w:sz w:val="24"/>
          <w:u w:val="single"/>
        </w:rPr>
        <w:t xml:space="preserve">  </w:t>
      </w:r>
      <w:r>
        <w:rPr>
          <w:rFonts w:hint="eastAsia"/>
          <w:sz w:val="24"/>
          <w:u w:val="single"/>
        </w:rPr>
        <w:t xml:space="preserve">                </w:t>
      </w:r>
      <w:r>
        <w:rPr>
          <w:rFonts w:hint="eastAsia"/>
          <w:sz w:val="24"/>
        </w:rPr>
        <w:t>（投标人名称）的法定代表人，我方愿意参加贵方组织的</w:t>
      </w:r>
      <w:r>
        <w:rPr>
          <w:rFonts w:hint="eastAsia"/>
          <w:sz w:val="24"/>
          <w:u w:val="single"/>
        </w:rPr>
        <w:t xml:space="preserve">                     </w:t>
      </w:r>
      <w:r>
        <w:rPr>
          <w:rFonts w:hint="eastAsia"/>
          <w:sz w:val="24"/>
        </w:rPr>
        <w:t>的投</w:t>
      </w:r>
      <w:r>
        <w:rPr>
          <w:sz w:val="24"/>
        </w:rPr>
        <w:t>标，</w:t>
      </w:r>
      <w:r>
        <w:rPr>
          <w:rFonts w:hint="eastAsia"/>
          <w:sz w:val="24"/>
        </w:rPr>
        <w:t>为便于贵方公正、择优地确定中标人及其投标项目的服务，我方就本次投标有关事项郑重声明如下：</w:t>
      </w:r>
    </w:p>
    <w:p>
      <w:pPr>
        <w:adjustRightInd w:val="0"/>
        <w:snapToGrid w:val="0"/>
        <w:spacing w:line="360" w:lineRule="auto"/>
        <w:ind w:firstLine="480" w:firstLineChars="200"/>
        <w:rPr>
          <w:sz w:val="24"/>
        </w:rPr>
      </w:pPr>
      <w:r>
        <w:rPr>
          <w:rFonts w:hint="eastAsia"/>
          <w:sz w:val="24"/>
        </w:rPr>
        <w:t>1、我方向贵方</w:t>
      </w:r>
      <w:r>
        <w:rPr>
          <w:sz w:val="24"/>
        </w:rPr>
        <w:t>提交</w:t>
      </w:r>
      <w:r>
        <w:rPr>
          <w:rFonts w:hint="eastAsia"/>
          <w:sz w:val="24"/>
        </w:rPr>
        <w:t>的所有投标</w:t>
      </w:r>
      <w:r>
        <w:rPr>
          <w:sz w:val="24"/>
        </w:rPr>
        <w:t>文件</w:t>
      </w:r>
      <w:r>
        <w:rPr>
          <w:rFonts w:hint="eastAsia"/>
          <w:sz w:val="24"/>
        </w:rPr>
        <w:t>、资料都</w:t>
      </w:r>
      <w:r>
        <w:rPr>
          <w:sz w:val="24"/>
        </w:rPr>
        <w:t>是准确的和真实的</w:t>
      </w:r>
      <w:r>
        <w:rPr>
          <w:rFonts w:hint="eastAsia"/>
          <w:sz w:val="24"/>
        </w:rPr>
        <w:t>；</w:t>
      </w:r>
    </w:p>
    <w:p>
      <w:pPr>
        <w:adjustRightInd w:val="0"/>
        <w:snapToGrid w:val="0"/>
        <w:spacing w:line="360" w:lineRule="auto"/>
        <w:ind w:firstLine="480" w:firstLineChars="200"/>
        <w:rPr>
          <w:sz w:val="24"/>
        </w:rPr>
      </w:pPr>
      <w:r>
        <w:rPr>
          <w:rFonts w:hint="eastAsia"/>
          <w:sz w:val="24"/>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sz w:val="24"/>
        </w:rPr>
      </w:pPr>
      <w:r>
        <w:rPr>
          <w:rFonts w:hint="eastAsia"/>
          <w:sz w:val="24"/>
        </w:rPr>
        <w:t>3、我方此次向贵方提供的项目名称为：</w:t>
      </w:r>
      <w:r>
        <w:rPr>
          <w:rFonts w:hint="eastAsia"/>
          <w:sz w:val="24"/>
          <w:u w:val="single"/>
        </w:rPr>
        <w:t xml:space="preserve">                     </w:t>
      </w:r>
      <w:r>
        <w:rPr>
          <w:rFonts w:hint="eastAsia"/>
          <w:sz w:val="24"/>
        </w:rPr>
        <w:t>；设备项目内容：</w:t>
      </w:r>
      <w:r>
        <w:rPr>
          <w:rFonts w:hint="eastAsia"/>
          <w:sz w:val="24"/>
          <w:u w:val="single"/>
        </w:rPr>
        <w:t>详见投标报价明细表</w:t>
      </w:r>
      <w:r>
        <w:rPr>
          <w:rFonts w:hint="eastAsia"/>
          <w:sz w:val="24"/>
        </w:rPr>
        <w:t>；</w:t>
      </w:r>
    </w:p>
    <w:p>
      <w:pPr>
        <w:adjustRightInd w:val="0"/>
        <w:snapToGrid w:val="0"/>
        <w:spacing w:line="360" w:lineRule="auto"/>
        <w:ind w:firstLine="480" w:firstLineChars="200"/>
        <w:rPr>
          <w:sz w:val="24"/>
          <w:u w:val="single"/>
        </w:rPr>
      </w:pPr>
      <w:r>
        <w:rPr>
          <w:rFonts w:hint="eastAsia"/>
          <w:sz w:val="24"/>
        </w:rPr>
        <w:t>4、我方最近三年内的被公开披露或查处的违法违规行为有：</w:t>
      </w:r>
      <w:r>
        <w:rPr>
          <w:rFonts w:hint="eastAsia"/>
          <w:sz w:val="24"/>
          <w:u w:val="single"/>
        </w:rPr>
        <w:t xml:space="preserve">               　               </w:t>
      </w:r>
    </w:p>
    <w:p>
      <w:pPr>
        <w:adjustRightInd w:val="0"/>
        <w:snapToGrid w:val="0"/>
        <w:spacing w:line="360" w:lineRule="auto"/>
        <w:ind w:firstLine="480" w:firstLineChars="200"/>
        <w:rPr>
          <w:sz w:val="24"/>
          <w:u w:val="single"/>
        </w:rPr>
      </w:pPr>
      <w:r>
        <w:rPr>
          <w:rFonts w:hint="eastAsia"/>
          <w:sz w:val="24"/>
        </w:rPr>
        <w:t xml:space="preserve"> </w:t>
      </w:r>
      <w:r>
        <w:rPr>
          <w:rFonts w:hint="eastAsia"/>
          <w:sz w:val="24"/>
          <w:u w:val="single"/>
        </w:rPr>
        <w:t xml:space="preserve">                                                     </w:t>
      </w:r>
    </w:p>
    <w:p>
      <w:pPr>
        <w:numPr>
          <w:ilvl w:val="0"/>
          <w:numId w:val="10"/>
        </w:numPr>
        <w:adjustRightInd w:val="0"/>
        <w:snapToGrid w:val="0"/>
        <w:spacing w:line="360" w:lineRule="auto"/>
        <w:ind w:firstLine="480" w:firstLineChars="200"/>
        <w:rPr>
          <w:sz w:val="24"/>
        </w:rPr>
      </w:pPr>
      <w:r>
        <w:rPr>
          <w:rFonts w:hint="eastAsia"/>
          <w:sz w:val="24"/>
        </w:rPr>
        <w:t>以上事项如有虚假或隐瞒，我方愿意承担一切后果和责任。</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jc w:val="right"/>
        <w:rPr>
          <w:sz w:val="24"/>
          <w:u w:val="single"/>
        </w:rPr>
      </w:pPr>
      <w:r>
        <w:rPr>
          <w:rFonts w:hint="eastAsia" w:ascii="宋体" w:hAnsi="宋体"/>
          <w:sz w:val="24"/>
        </w:rPr>
        <w:t xml:space="preserve"> 法定代表人或被授权人签字（或签章）</w:t>
      </w:r>
      <w:r>
        <w:rPr>
          <w:rFonts w:hint="eastAsia"/>
          <w:sz w:val="24"/>
        </w:rPr>
        <w:t>：</w:t>
      </w:r>
    </w:p>
    <w:p>
      <w:pPr>
        <w:adjustRightInd w:val="0"/>
        <w:snapToGrid w:val="0"/>
        <w:spacing w:line="360" w:lineRule="auto"/>
        <w:ind w:firstLine="480" w:firstLineChars="200"/>
        <w:jc w:val="right"/>
        <w:rPr>
          <w:sz w:val="24"/>
          <w:u w:val="single"/>
        </w:rPr>
      </w:pPr>
      <w:r>
        <w:rPr>
          <w:rFonts w:hint="eastAsia"/>
          <w:sz w:val="24"/>
        </w:rPr>
        <w:t>投标人</w:t>
      </w:r>
      <w:r>
        <w:rPr>
          <w:sz w:val="24"/>
        </w:rPr>
        <w:t>盖</w:t>
      </w:r>
      <w:r>
        <w:rPr>
          <w:rFonts w:hint="eastAsia"/>
          <w:sz w:val="24"/>
        </w:rPr>
        <w:t>章：</w:t>
      </w:r>
    </w:p>
    <w:p>
      <w:pPr>
        <w:adjustRightInd w:val="0"/>
        <w:snapToGrid w:val="0"/>
        <w:spacing w:line="360" w:lineRule="auto"/>
        <w:ind w:firstLine="240" w:firstLineChars="100"/>
        <w:jc w:val="right"/>
        <w:rPr>
          <w:sz w:val="24"/>
        </w:rPr>
      </w:pPr>
      <w:r>
        <w:rPr>
          <w:rFonts w:hint="eastAsia"/>
          <w:sz w:val="24"/>
        </w:rPr>
        <w:t>年    月    日</w:t>
      </w:r>
    </w:p>
    <w:p>
      <w:pPr>
        <w:spacing w:beforeLines="50" w:line="360" w:lineRule="auto"/>
        <w:jc w:val="center"/>
        <w:rPr>
          <w:rFonts w:ascii="宋体" w:hAnsi="宋体"/>
          <w:b/>
          <w:sz w:val="24"/>
        </w:rPr>
      </w:pPr>
    </w:p>
    <w:p>
      <w:pPr>
        <w:spacing w:beforeLines="50" w:line="360" w:lineRule="auto"/>
        <w:jc w:val="center"/>
        <w:rPr>
          <w:rFonts w:ascii="宋体" w:hAnsi="宋体"/>
          <w:b/>
          <w:sz w:val="24"/>
        </w:rPr>
      </w:pPr>
    </w:p>
    <w:p>
      <w:pPr>
        <w:spacing w:beforeLines="50" w:line="360" w:lineRule="auto"/>
        <w:jc w:val="center"/>
        <w:rPr>
          <w:rFonts w:ascii="宋体" w:hAnsi="宋体"/>
          <w:b/>
          <w:sz w:val="24"/>
        </w:rPr>
      </w:pPr>
    </w:p>
    <w:p>
      <w:pPr>
        <w:spacing w:beforeLines="50" w:line="360" w:lineRule="auto"/>
        <w:jc w:val="center"/>
        <w:rPr>
          <w:rFonts w:ascii="宋体" w:hAnsi="宋体"/>
          <w:b/>
          <w:sz w:val="24"/>
        </w:rPr>
      </w:pPr>
    </w:p>
    <w:p>
      <w:pPr>
        <w:spacing w:beforeLines="50" w:line="360" w:lineRule="auto"/>
        <w:jc w:val="center"/>
        <w:rPr>
          <w:rFonts w:ascii="宋体" w:hAnsi="宋体"/>
          <w:b/>
          <w:sz w:val="24"/>
        </w:rPr>
      </w:pPr>
    </w:p>
    <w:p>
      <w:pPr>
        <w:spacing w:beforeLines="50" w:line="360" w:lineRule="auto"/>
        <w:rPr>
          <w:rFonts w:ascii="宋体" w:hAnsi="宋体"/>
          <w:b/>
          <w:sz w:val="32"/>
          <w:szCs w:val="32"/>
        </w:rPr>
      </w:pPr>
    </w:p>
    <w:p>
      <w:pPr>
        <w:spacing w:beforeLines="50" w:line="360" w:lineRule="auto"/>
        <w:rPr>
          <w:rFonts w:ascii="宋体" w:hAnsi="宋体"/>
          <w:b/>
          <w:sz w:val="32"/>
          <w:szCs w:val="32"/>
        </w:rPr>
      </w:pPr>
      <w:r>
        <w:rPr>
          <w:rFonts w:hint="eastAsia" w:ascii="宋体" w:hAnsi="宋体"/>
          <w:b/>
          <w:sz w:val="32"/>
          <w:szCs w:val="32"/>
        </w:rPr>
        <w:t>附件2               法定代表人授权委托书</w:t>
      </w:r>
    </w:p>
    <w:p>
      <w:pPr>
        <w:spacing w:beforeLines="50" w:line="360" w:lineRule="auto"/>
        <w:rPr>
          <w:rFonts w:ascii="宋体" w:hAnsi="宋体"/>
          <w:b/>
          <w:bCs/>
          <w:sz w:val="24"/>
        </w:rPr>
      </w:pPr>
      <w:r>
        <w:rPr>
          <w:rFonts w:hint="eastAsia" w:ascii="宋体" w:hAnsi="宋体"/>
          <w:bCs/>
          <w:sz w:val="24"/>
        </w:rPr>
        <w:t>致：</w:t>
      </w:r>
      <w:r>
        <w:rPr>
          <w:rFonts w:hint="eastAsia" w:ascii="宋体" w:hAnsi="宋体"/>
          <w:sz w:val="24"/>
          <w:u w:val="single"/>
        </w:rPr>
        <w:t xml:space="preserve">                   </w:t>
      </w:r>
      <w:r>
        <w:rPr>
          <w:rFonts w:ascii="宋体" w:hAnsi="宋体"/>
          <w:sz w:val="24"/>
        </w:rPr>
        <w:t>：</w:t>
      </w:r>
      <w:r>
        <w:rPr>
          <w:rFonts w:hint="eastAsia" w:ascii="宋体" w:hAnsi="宋体"/>
          <w:b/>
          <w:bCs/>
          <w:sz w:val="24"/>
        </w:rPr>
        <w:t xml:space="preserve"> </w:t>
      </w:r>
    </w:p>
    <w:p>
      <w:pPr>
        <w:spacing w:beforeLines="50" w:line="360" w:lineRule="auto"/>
        <w:ind w:firstLine="720" w:firstLineChars="300"/>
        <w:rPr>
          <w:rFonts w:ascii="宋体" w:hAnsi="宋体"/>
          <w:sz w:val="24"/>
        </w:rPr>
      </w:pPr>
      <w:r>
        <w:rPr>
          <w:rFonts w:hint="eastAsia" w:ascii="宋体" w:hAnsi="宋体"/>
          <w:sz w:val="24"/>
          <w:u w:val="single"/>
        </w:rPr>
        <w:t xml:space="preserve">                        </w:t>
      </w:r>
      <w:r>
        <w:rPr>
          <w:rFonts w:hint="eastAsia" w:ascii="宋体" w:hAnsi="宋体"/>
          <w:sz w:val="24"/>
        </w:rPr>
        <w:t>（企业名称）系中华人民共和国合法企业，法定地址</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pPr>
        <w:spacing w:beforeLines="50" w:line="360" w:lineRule="auto"/>
        <w:ind w:firstLine="720" w:firstLineChars="300"/>
        <w:jc w:val="left"/>
        <w:rPr>
          <w:rFonts w:ascii="宋体" w:hAnsi="宋体"/>
          <w:sz w:val="24"/>
        </w:rPr>
      </w:pPr>
      <w:r>
        <w:rPr>
          <w:rFonts w:hint="eastAsia" w:ascii="宋体" w:hAnsi="宋体"/>
          <w:sz w:val="24"/>
          <w:u w:val="single"/>
        </w:rPr>
        <w:t xml:space="preserve">            </w:t>
      </w:r>
      <w:r>
        <w:rPr>
          <w:rFonts w:hint="eastAsia" w:ascii="宋体" w:hAnsi="宋体"/>
          <w:sz w:val="24"/>
        </w:rPr>
        <w:t xml:space="preserve">（法定代表人）特授权 </w:t>
      </w:r>
      <w:r>
        <w:rPr>
          <w:rFonts w:hint="eastAsia" w:ascii="宋体" w:hAnsi="宋体"/>
          <w:sz w:val="24"/>
          <w:u w:val="single"/>
        </w:rPr>
        <w:t xml:space="preserve">         </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项目的投标、开标、签约等具体工作，并签署全部有关的文件、协议。</w:t>
      </w:r>
    </w:p>
    <w:p>
      <w:pPr>
        <w:spacing w:beforeLines="50" w:line="360" w:lineRule="auto"/>
        <w:rPr>
          <w:rFonts w:ascii="宋体" w:hAnsi="宋体"/>
          <w:sz w:val="24"/>
        </w:rPr>
      </w:pPr>
      <w:r>
        <w:rPr>
          <w:rFonts w:ascii="宋体" w:hAnsi="宋体"/>
          <w:sz w:val="24"/>
        </w:rPr>
        <w:t xml:space="preserve">    </w:t>
      </w:r>
      <w:r>
        <w:rPr>
          <w:rFonts w:hint="eastAsia" w:ascii="宋体" w:hAnsi="宋体"/>
          <w:sz w:val="24"/>
        </w:rPr>
        <w:t>我单位对被授权人的签名负全部责任。</w:t>
      </w:r>
    </w:p>
    <w:p>
      <w:pPr>
        <w:spacing w:beforeLines="50" w:line="360" w:lineRule="auto"/>
        <w:rPr>
          <w:rFonts w:ascii="宋体" w:hAnsi="宋体"/>
          <w:sz w:val="24"/>
        </w:rPr>
      </w:pPr>
      <w:r>
        <w:rPr>
          <w:rFonts w:ascii="宋体" w:hAnsi="宋体"/>
          <w:sz w:val="24"/>
        </w:rPr>
        <w:t xml:space="preserve">    </w:t>
      </w:r>
      <w:r>
        <w:rPr>
          <w:rFonts w:hint="eastAsia" w:ascii="宋体" w:hAnsi="宋体"/>
          <w:sz w:val="24"/>
        </w:rPr>
        <w:t>在撤销授权的书面通知以前，本授权书一直有效。被授权人签署的所有文件（在授权书有效期内签署的）不因授权的撤销而失效。</w:t>
      </w:r>
    </w:p>
    <w:p>
      <w:pPr>
        <w:spacing w:beforeLines="50" w:line="360" w:lineRule="auto"/>
        <w:rPr>
          <w:rFonts w:ascii="宋体" w:hAnsi="宋体"/>
          <w:sz w:val="24"/>
        </w:rPr>
      </w:pPr>
    </w:p>
    <w:p>
      <w:pPr>
        <w:adjustRightInd w:val="0"/>
        <w:snapToGrid w:val="0"/>
        <w:spacing w:beforeLines="50" w:line="360" w:lineRule="auto"/>
        <w:rPr>
          <w:rFonts w:ascii="宋体" w:hAnsi="宋体"/>
          <w:sz w:val="24"/>
          <w:u w:val="single"/>
        </w:rPr>
      </w:pPr>
      <w:r>
        <w:rPr>
          <w:rFonts w:hint="eastAsia" w:ascii="宋体" w:hAnsi="宋体"/>
          <w:sz w:val="24"/>
        </w:rPr>
        <w:t>被授权人签字（或签章）：</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法定代表人</w:t>
      </w:r>
      <w:r>
        <w:rPr>
          <w:rFonts w:ascii="宋体" w:hAnsi="宋体"/>
          <w:sz w:val="24"/>
        </w:rPr>
        <w:t>签</w:t>
      </w:r>
      <w:r>
        <w:rPr>
          <w:rFonts w:hint="eastAsia" w:ascii="宋体" w:hAnsi="宋体"/>
          <w:sz w:val="24"/>
        </w:rPr>
        <w:t>字（或签章）</w:t>
      </w:r>
      <w:r>
        <w:rPr>
          <w:rFonts w:ascii="宋体" w:hAnsi="宋体"/>
          <w:sz w:val="24"/>
        </w:rPr>
        <w:t>：</w:t>
      </w:r>
      <w:r>
        <w:rPr>
          <w:rFonts w:ascii="宋体" w:hAnsi="宋体"/>
          <w:sz w:val="24"/>
          <w:u w:val="single"/>
        </w:rPr>
        <w:t xml:space="preserve">                     </w:t>
      </w:r>
    </w:p>
    <w:p>
      <w:pPr>
        <w:adjustRightInd w:val="0"/>
        <w:snapToGrid w:val="0"/>
        <w:spacing w:beforeLines="50" w:line="360" w:lineRule="auto"/>
        <w:rPr>
          <w:rFonts w:ascii="宋体" w:hAnsi="宋体"/>
          <w:sz w:val="24"/>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职务：</w:t>
      </w:r>
      <w:r>
        <w:rPr>
          <w:rFonts w:ascii="宋体" w:hAnsi="宋体"/>
          <w:sz w:val="24"/>
          <w:u w:val="single"/>
        </w:rPr>
        <w:t xml:space="preserve">            </w:t>
      </w:r>
    </w:p>
    <w:p>
      <w:pPr>
        <w:adjustRightInd w:val="0"/>
        <w:snapToGrid w:val="0"/>
        <w:spacing w:beforeLines="50" w:line="360" w:lineRule="auto"/>
        <w:jc w:val="center"/>
        <w:rPr>
          <w:rFonts w:ascii="宋体" w:hAnsi="宋体"/>
          <w:sz w:val="24"/>
        </w:rPr>
      </w:pPr>
    </w:p>
    <w:p>
      <w:pPr>
        <w:adjustRightInd w:val="0"/>
        <w:snapToGrid w:val="0"/>
        <w:spacing w:beforeLines="50" w:line="360" w:lineRule="auto"/>
        <w:jc w:val="center"/>
        <w:rPr>
          <w:rFonts w:ascii="宋体" w:hAnsi="宋体"/>
          <w:sz w:val="24"/>
          <w:u w:val="single"/>
        </w:rPr>
      </w:pPr>
      <w:r>
        <w:rPr>
          <w:rFonts w:ascii="宋体" w:hAnsi="宋体"/>
          <w:sz w:val="24"/>
        </w:rPr>
        <w:t xml:space="preserve">       </w:t>
      </w:r>
      <w:r>
        <w:rPr>
          <w:rFonts w:hint="eastAsia" w:ascii="宋体" w:hAnsi="宋体"/>
          <w:sz w:val="24"/>
        </w:rPr>
        <w:t xml:space="preserve">           投标人公章：</w:t>
      </w:r>
    </w:p>
    <w:p>
      <w:pPr>
        <w:adjustRightInd w:val="0"/>
        <w:snapToGrid w:val="0"/>
        <w:spacing w:beforeLines="50" w:line="360" w:lineRule="auto"/>
        <w:ind w:firstLine="5114" w:firstLineChars="2131"/>
        <w:rPr>
          <w:rFonts w:ascii="宋体" w:hAnsi="宋体"/>
          <w:sz w:val="24"/>
        </w:rPr>
      </w:pPr>
      <w:r>
        <w:rPr>
          <w:rFonts w:hint="eastAsia" w:ascii="宋体" w:hAnsi="宋体"/>
          <w:sz w:val="24"/>
        </w:rPr>
        <w:t>年    月    日</w:t>
      </w:r>
    </w:p>
    <w:p>
      <w:pPr>
        <w:spacing w:beforeLines="50" w:line="360" w:lineRule="auto"/>
        <w:ind w:firstLine="3600" w:firstLineChars="1500"/>
        <w:rPr>
          <w:rFonts w:ascii="宋体" w:hAnsi="宋体"/>
          <w:sz w:val="24"/>
        </w:rPr>
      </w:pPr>
    </w:p>
    <w:p>
      <w:pPr>
        <w:snapToGrid w:val="0"/>
        <w:spacing w:beforeLines="50" w:after="50" w:line="360" w:lineRule="auto"/>
        <w:rPr>
          <w:rFonts w:ascii="宋体"/>
          <w:sz w:val="22"/>
          <w:szCs w:val="28"/>
        </w:rPr>
      </w:pPr>
      <w:r>
        <w:rPr>
          <w:rFonts w:hint="eastAsia" w:ascii="宋体" w:hAnsi="宋体"/>
          <w:sz w:val="22"/>
          <w:szCs w:val="28"/>
        </w:rPr>
        <w:t>被授权人身份证粘贴处（正反面）                   法定代表人身份证粘贴处（正反面）</w:t>
      </w:r>
      <w:r>
        <w:rPr>
          <w:rFonts w:ascii="宋体" w:hAnsi="宋体"/>
          <w:sz w:val="22"/>
          <w:szCs w:val="28"/>
        </w:rPr>
        <w:t xml:space="preserve">       </w:t>
      </w:r>
      <w:r>
        <w:rPr>
          <w:rFonts w:hint="eastAsia" w:ascii="宋体" w:hAnsi="宋体"/>
          <w:sz w:val="22"/>
          <w:szCs w:val="28"/>
        </w:rPr>
        <w:t xml:space="preserve">         </w:t>
      </w:r>
    </w:p>
    <w:p>
      <w:pPr>
        <w:spacing w:beforeLines="50" w:line="360" w:lineRule="auto"/>
        <w:rPr>
          <w:rFonts w:hAnsi="宋体"/>
          <w:b/>
          <w:sz w:val="24"/>
        </w:rPr>
      </w:pPr>
    </w:p>
    <w:p>
      <w:pPr>
        <w:spacing w:beforeLines="50" w:line="360" w:lineRule="auto"/>
        <w:rPr>
          <w:rFonts w:hAnsi="宋体"/>
          <w:b/>
          <w:sz w:val="24"/>
        </w:rPr>
      </w:pPr>
    </w:p>
    <w:p>
      <w:pPr>
        <w:spacing w:beforeLines="50" w:line="360" w:lineRule="auto"/>
        <w:rPr>
          <w:rFonts w:hAnsi="宋体"/>
          <w:sz w:val="24"/>
        </w:rPr>
      </w:pPr>
    </w:p>
    <w:p>
      <w:pPr>
        <w:spacing w:beforeLines="50" w:line="360" w:lineRule="auto"/>
        <w:rPr>
          <w:rFonts w:hAnsi="宋体"/>
          <w:sz w:val="24"/>
        </w:rPr>
      </w:pPr>
    </w:p>
    <w:p>
      <w:pPr>
        <w:spacing w:beforeLines="50" w:line="360" w:lineRule="auto"/>
        <w:rPr>
          <w:rFonts w:hAnsi="宋体"/>
          <w:sz w:val="24"/>
        </w:rPr>
      </w:pPr>
    </w:p>
    <w:p>
      <w:pPr>
        <w:spacing w:beforeLines="50" w:line="360" w:lineRule="auto"/>
        <w:rPr>
          <w:rFonts w:hAnsi="宋体"/>
          <w:sz w:val="24"/>
        </w:rPr>
      </w:pPr>
    </w:p>
    <w:p>
      <w:pPr>
        <w:spacing w:beforeLines="50" w:line="360" w:lineRule="auto"/>
        <w:rPr>
          <w:rFonts w:hAnsi="宋体"/>
          <w:sz w:val="24"/>
        </w:rPr>
      </w:pPr>
    </w:p>
    <w:p>
      <w:pPr>
        <w:spacing w:beforeLines="50" w:line="360" w:lineRule="auto"/>
        <w:rPr>
          <w:rFonts w:hAnsi="宋体"/>
          <w:sz w:val="24"/>
        </w:rPr>
      </w:pPr>
    </w:p>
    <w:p>
      <w:pPr>
        <w:rPr>
          <w:rFonts w:ascii="宋体" w:hAnsi="宋体"/>
          <w:b/>
          <w:sz w:val="28"/>
          <w:szCs w:val="28"/>
        </w:rPr>
      </w:pPr>
      <w:r>
        <w:rPr>
          <w:rFonts w:hint="eastAsia" w:ascii="宋体" w:hAnsi="宋体"/>
          <w:b/>
          <w:sz w:val="32"/>
          <w:szCs w:val="32"/>
        </w:rPr>
        <w:t>附件3                  诚信承诺书</w:t>
      </w:r>
    </w:p>
    <w:p>
      <w:pPr>
        <w:rPr>
          <w:rFonts w:ascii="宋体" w:hAnsi="宋体"/>
          <w:b/>
          <w:sz w:val="28"/>
          <w:szCs w:val="28"/>
        </w:rPr>
      </w:pPr>
    </w:p>
    <w:p>
      <w:pPr>
        <w:spacing w:line="360" w:lineRule="auto"/>
        <w:rPr>
          <w:rFonts w:ascii="宋体" w:hAnsi="宋体"/>
          <w:sz w:val="24"/>
        </w:rPr>
      </w:pPr>
      <w:r>
        <w:rPr>
          <w:rFonts w:hint="eastAsia" w:ascii="宋体" w:hAnsi="宋体"/>
          <w:sz w:val="24"/>
          <w:u w:val="single"/>
        </w:rPr>
        <w:t xml:space="preserve">（采购人或招标组织机构）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我方在参加贵单位的＿＿＿＿＿＿＿＿＿＿政府采购项目的招投标活动中，郑重承诺如下：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5、若我方中标，将严格按照规定及时与采购人签订合同；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6、若我方中标，将严格按照招标文件要求及投标文件承诺的报价、质量、交货期、投标方案、项目负责人等内容组织实施；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r>
        <w:rPr>
          <w:rFonts w:hint="eastAsia" w:ascii="宋体" w:hAnsi="宋体"/>
          <w:sz w:val="24"/>
        </w:rPr>
        <w:t>投标人（加盖公章）：＿＿＿＿＿＿＿＿＿＿＿＿＿＿＿</w:t>
      </w:r>
    </w:p>
    <w:p>
      <w:pPr>
        <w:spacing w:line="360" w:lineRule="auto"/>
        <w:ind w:firstLine="480" w:firstLineChars="200"/>
        <w:rPr>
          <w:rFonts w:ascii="宋体" w:hAnsi="宋体"/>
          <w:sz w:val="24"/>
        </w:rPr>
      </w:pPr>
      <w:r>
        <w:rPr>
          <w:rFonts w:hint="eastAsia" w:ascii="宋体" w:hAnsi="宋体"/>
          <w:sz w:val="24"/>
        </w:rPr>
        <w:t xml:space="preserve">投标人代表（签名）：＿＿＿＿＿＿＿＿＿＿＿＿＿＿＿      </w:t>
      </w:r>
    </w:p>
    <w:p>
      <w:pPr>
        <w:spacing w:line="360" w:lineRule="auto"/>
        <w:ind w:firstLine="480" w:firstLineChars="200"/>
        <w:rPr>
          <w:rFonts w:ascii="宋体" w:hAnsi="宋体"/>
          <w:sz w:val="24"/>
        </w:rPr>
      </w:pPr>
    </w:p>
    <w:p>
      <w:pPr>
        <w:spacing w:line="360" w:lineRule="auto"/>
        <w:ind w:firstLine="4920" w:firstLineChars="205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年＿＿月＿＿日</w:t>
      </w:r>
    </w:p>
    <w:p>
      <w:pPr>
        <w:spacing w:line="360" w:lineRule="auto"/>
        <w:ind w:firstLine="4920" w:firstLineChars="2050"/>
        <w:rPr>
          <w:rFonts w:ascii="宋体" w:hAnsi="宋体"/>
          <w:sz w:val="24"/>
        </w:rPr>
      </w:pPr>
    </w:p>
    <w:p>
      <w:pPr>
        <w:spacing w:line="360" w:lineRule="auto"/>
        <w:ind w:firstLine="4920" w:firstLineChars="2050"/>
        <w:rPr>
          <w:rFonts w:ascii="宋体" w:hAnsi="宋体"/>
          <w:sz w:val="24"/>
        </w:rPr>
      </w:pPr>
    </w:p>
    <w:p>
      <w:pPr>
        <w:spacing w:line="360" w:lineRule="auto"/>
        <w:ind w:firstLine="4920" w:firstLineChars="2050"/>
        <w:rPr>
          <w:rFonts w:ascii="宋体" w:hAnsi="宋体"/>
          <w:sz w:val="24"/>
        </w:rPr>
      </w:pPr>
    </w:p>
    <w:p>
      <w:pPr>
        <w:spacing w:line="360" w:lineRule="auto"/>
        <w:ind w:firstLine="4920" w:firstLineChars="2050"/>
        <w:rPr>
          <w:rFonts w:ascii="宋体" w:hAnsi="宋体"/>
          <w:sz w:val="24"/>
        </w:rPr>
      </w:pPr>
    </w:p>
    <w:p>
      <w:pPr>
        <w:spacing w:line="360" w:lineRule="auto"/>
        <w:ind w:firstLine="4920" w:firstLineChars="2050"/>
        <w:rPr>
          <w:rFonts w:ascii="宋体" w:hAnsi="宋体"/>
          <w:sz w:val="24"/>
        </w:rPr>
      </w:pPr>
    </w:p>
    <w:p>
      <w:pPr>
        <w:spacing w:line="360" w:lineRule="auto"/>
        <w:ind w:firstLine="4920" w:firstLineChars="2050"/>
        <w:rPr>
          <w:rFonts w:ascii="宋体" w:hAnsi="宋体"/>
          <w:sz w:val="24"/>
        </w:rPr>
      </w:pPr>
    </w:p>
    <w:p>
      <w:pPr>
        <w:spacing w:line="360" w:lineRule="auto"/>
        <w:ind w:firstLine="4920" w:firstLineChars="2050"/>
        <w:rPr>
          <w:rFonts w:ascii="宋体" w:hAnsi="宋体"/>
          <w:sz w:val="24"/>
        </w:rPr>
      </w:pPr>
    </w:p>
    <w:p>
      <w:pPr>
        <w:spacing w:line="360" w:lineRule="auto"/>
        <w:ind w:firstLine="4920" w:firstLineChars="2050"/>
        <w:rPr>
          <w:rFonts w:ascii="宋体" w:hAnsi="宋体"/>
          <w:sz w:val="24"/>
        </w:rPr>
      </w:pPr>
    </w:p>
    <w:p>
      <w:pPr>
        <w:spacing w:line="360" w:lineRule="auto"/>
        <w:ind w:firstLine="4920" w:firstLineChars="2050"/>
        <w:rPr>
          <w:rFonts w:ascii="宋体" w:hAnsi="宋体"/>
          <w:sz w:val="24"/>
        </w:rPr>
      </w:pPr>
    </w:p>
    <w:p>
      <w:pPr>
        <w:spacing w:beforeLines="50" w:line="360" w:lineRule="auto"/>
        <w:rPr>
          <w:rFonts w:ascii="宋体" w:hAnsi="宋体"/>
          <w:b/>
          <w:sz w:val="32"/>
          <w:szCs w:val="32"/>
        </w:rPr>
      </w:pPr>
      <w:r>
        <w:rPr>
          <w:rFonts w:hint="eastAsia" w:hAnsi="宋体"/>
          <w:b/>
          <w:sz w:val="32"/>
          <w:szCs w:val="32"/>
        </w:rPr>
        <w:t>附件4</w:t>
      </w:r>
      <w:r>
        <w:rPr>
          <w:rFonts w:hint="eastAsia" w:ascii="宋体" w:hAnsi="宋体"/>
          <w:b/>
          <w:sz w:val="32"/>
          <w:szCs w:val="32"/>
        </w:rPr>
        <w:t xml:space="preserve">               关于资格的声明函</w:t>
      </w:r>
    </w:p>
    <w:p>
      <w:pPr>
        <w:spacing w:beforeLines="50" w:line="360" w:lineRule="auto"/>
        <w:rPr>
          <w:rFonts w:ascii="宋体" w:hAnsi="宋体"/>
          <w:sz w:val="24"/>
          <w:u w:val="single"/>
        </w:rPr>
      </w:pPr>
      <w:r>
        <w:rPr>
          <w:rFonts w:hint="eastAsia" w:ascii="宋体" w:hAnsi="宋体"/>
          <w:sz w:val="24"/>
        </w:rPr>
        <w:t>致：</w:t>
      </w:r>
    </w:p>
    <w:p>
      <w:pPr>
        <w:spacing w:beforeLines="50" w:line="360" w:lineRule="auto"/>
        <w:ind w:firstLine="645"/>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ascii="宋体" w:hAnsi="宋体"/>
          <w:sz w:val="24"/>
        </w:rPr>
        <w:t>招标</w:t>
      </w:r>
      <w:r>
        <w:rPr>
          <w:rFonts w:hint="eastAsia" w:ascii="宋体" w:hAnsi="宋体"/>
          <w:sz w:val="24"/>
        </w:rPr>
        <w:t>项目</w:t>
      </w:r>
      <w:r>
        <w:rPr>
          <w:rFonts w:ascii="宋体" w:hAnsi="宋体"/>
          <w:sz w:val="24"/>
        </w:rPr>
        <w:t>，本签字人愿意参加投标，提供</w:t>
      </w:r>
      <w:r>
        <w:rPr>
          <w:rFonts w:hint="eastAsia" w:ascii="宋体" w:hAnsi="宋体"/>
          <w:sz w:val="24"/>
        </w:rPr>
        <w:t>嘉兴政府采购一</w:t>
      </w:r>
      <w:r>
        <w:rPr>
          <w:rFonts w:ascii="宋体" w:hAnsi="宋体"/>
          <w:sz w:val="24"/>
        </w:rPr>
        <w:t>览表中规定的</w:t>
      </w:r>
      <w:r>
        <w:rPr>
          <w:rFonts w:hint="eastAsia" w:ascii="宋体" w:hAnsi="宋体"/>
          <w:sz w:val="24"/>
        </w:rPr>
        <w:t>要求及服务，</w:t>
      </w:r>
      <w:r>
        <w:rPr>
          <w:rFonts w:ascii="宋体" w:hAnsi="宋体"/>
          <w:sz w:val="24"/>
        </w:rPr>
        <w:t>并证实提交的下列文件和说明是准确的和真实的</w:t>
      </w:r>
      <w:r>
        <w:rPr>
          <w:rFonts w:hint="eastAsia" w:ascii="宋体" w:hAnsi="宋体"/>
          <w:sz w:val="24"/>
        </w:rPr>
        <w:t>：</w:t>
      </w:r>
    </w:p>
    <w:p>
      <w:pPr>
        <w:spacing w:line="600" w:lineRule="exact"/>
        <w:ind w:firstLine="360" w:firstLineChars="150"/>
        <w:rPr>
          <w:rFonts w:ascii="宋体" w:hAnsi="宋体"/>
          <w:sz w:val="24"/>
        </w:rPr>
      </w:pPr>
      <w:r>
        <w:rPr>
          <w:rFonts w:ascii="宋体" w:hAnsi="宋体"/>
          <w:sz w:val="24"/>
        </w:rPr>
        <w:t>1、</w:t>
      </w:r>
      <w:r>
        <w:rPr>
          <w:rFonts w:hint="eastAsia" w:ascii="宋体" w:hAnsi="宋体"/>
          <w:sz w:val="24"/>
        </w:rPr>
        <w:t>投标人基本情况表。</w:t>
      </w:r>
    </w:p>
    <w:p>
      <w:pPr>
        <w:spacing w:line="600" w:lineRule="exact"/>
        <w:ind w:firstLine="360" w:firstLineChars="150"/>
        <w:rPr>
          <w:rFonts w:ascii="宋体" w:hAnsi="宋体"/>
          <w:sz w:val="24"/>
        </w:rPr>
      </w:pPr>
      <w:r>
        <w:rPr>
          <w:rFonts w:hint="eastAsia" w:ascii="宋体" w:hAnsi="宋体"/>
          <w:sz w:val="24"/>
        </w:rPr>
        <w:t>2、营业执照副本。（复印件盖章）</w:t>
      </w:r>
    </w:p>
    <w:p>
      <w:pPr>
        <w:spacing w:line="600" w:lineRule="exact"/>
        <w:ind w:firstLine="360" w:firstLineChars="150"/>
        <w:rPr>
          <w:rFonts w:ascii="宋体" w:hAnsi="宋体"/>
          <w:sz w:val="24"/>
        </w:rPr>
      </w:pPr>
      <w:r>
        <w:rPr>
          <w:rFonts w:hint="eastAsia" w:ascii="宋体" w:hAnsi="宋体"/>
          <w:sz w:val="24"/>
        </w:rPr>
        <w:t>3、财务状况表（最近一个年度的资产负债表、利润表复印件）</w:t>
      </w:r>
    </w:p>
    <w:p>
      <w:pPr>
        <w:spacing w:line="600" w:lineRule="exact"/>
        <w:ind w:firstLine="360" w:firstLineChars="150"/>
        <w:rPr>
          <w:rFonts w:ascii="宋体" w:hAnsi="宋体"/>
          <w:sz w:val="24"/>
        </w:rPr>
      </w:pPr>
      <w:r>
        <w:rPr>
          <w:rFonts w:hint="eastAsia" w:ascii="宋体" w:hAnsi="宋体"/>
          <w:sz w:val="24"/>
        </w:rPr>
        <w:t>4、质量管理体系认证证书。（如有，复印件盖章）</w:t>
      </w:r>
    </w:p>
    <w:p>
      <w:pPr>
        <w:spacing w:line="600" w:lineRule="exact"/>
        <w:ind w:firstLine="360" w:firstLineChars="150"/>
        <w:rPr>
          <w:rFonts w:ascii="宋体" w:hAnsi="宋体"/>
          <w:sz w:val="24"/>
        </w:rPr>
      </w:pPr>
      <w:r>
        <w:rPr>
          <w:rFonts w:hint="eastAsia" w:ascii="宋体" w:hAnsi="宋体"/>
          <w:sz w:val="24"/>
        </w:rPr>
        <w:t>5、有关资信等级证明、荣誉证书。（如有，复印件盖章）</w:t>
      </w:r>
    </w:p>
    <w:p>
      <w:pPr>
        <w:spacing w:line="600" w:lineRule="exact"/>
        <w:ind w:firstLine="360" w:firstLineChars="150"/>
        <w:rPr>
          <w:rFonts w:ascii="宋体" w:hAnsi="宋体"/>
          <w:sz w:val="24"/>
        </w:rPr>
      </w:pPr>
      <w:r>
        <w:rPr>
          <w:rFonts w:hint="eastAsia" w:ascii="宋体" w:hAnsi="宋体"/>
          <w:sz w:val="24"/>
        </w:rPr>
        <w:t>N、投标人认为有必要提供的声明及文件资料。</w:t>
      </w:r>
    </w:p>
    <w:p>
      <w:pPr>
        <w:spacing w:beforeLines="50" w:line="360" w:lineRule="auto"/>
        <w:rPr>
          <w:rFonts w:ascii="宋体" w:hAnsi="宋体"/>
          <w:sz w:val="24"/>
        </w:rPr>
      </w:pPr>
    </w:p>
    <w:p>
      <w:pPr>
        <w:spacing w:beforeLines="50" w:line="360" w:lineRule="auto"/>
        <w:rPr>
          <w:rFonts w:ascii="宋体" w:hAnsi="宋体"/>
          <w:sz w:val="24"/>
        </w:rPr>
      </w:pPr>
    </w:p>
    <w:p>
      <w:pPr>
        <w:spacing w:beforeLines="50" w:line="360" w:lineRule="auto"/>
        <w:rPr>
          <w:rFonts w:ascii="宋体" w:hAnsi="宋体"/>
          <w:sz w:val="24"/>
        </w:rPr>
      </w:pPr>
    </w:p>
    <w:p>
      <w:pPr>
        <w:spacing w:line="360" w:lineRule="auto"/>
        <w:ind w:firstLine="3750" w:firstLineChars="1500"/>
        <w:rPr>
          <w:rFonts w:ascii="宋体" w:hAnsi="宋体"/>
          <w:spacing w:val="20"/>
          <w:szCs w:val="21"/>
          <w:u w:val="single"/>
        </w:rPr>
      </w:pPr>
      <w:r>
        <w:rPr>
          <w:rFonts w:ascii="宋体" w:hAnsi="宋体"/>
          <w:spacing w:val="20"/>
          <w:szCs w:val="21"/>
        </w:rPr>
        <w:t>法定代表人或委托代理人</w:t>
      </w:r>
      <w:r>
        <w:rPr>
          <w:rFonts w:hint="eastAsia" w:ascii="宋体" w:hAnsi="宋体"/>
          <w:spacing w:val="20"/>
          <w:szCs w:val="21"/>
        </w:rPr>
        <w:t>签名：</w:t>
      </w:r>
    </w:p>
    <w:p>
      <w:pPr>
        <w:spacing w:line="360" w:lineRule="auto"/>
        <w:ind w:firstLine="500" w:firstLineChars="200"/>
        <w:rPr>
          <w:rFonts w:ascii="宋体" w:hAnsi="宋体"/>
          <w:spacing w:val="20"/>
          <w:szCs w:val="21"/>
          <w:u w:val="single"/>
        </w:rPr>
      </w:pPr>
    </w:p>
    <w:p>
      <w:pPr>
        <w:spacing w:line="360" w:lineRule="auto"/>
        <w:ind w:firstLine="500" w:firstLineChars="200"/>
        <w:rPr>
          <w:rFonts w:ascii="宋体" w:hAnsi="宋体"/>
          <w:spacing w:val="20"/>
          <w:szCs w:val="21"/>
          <w:u w:val="single"/>
        </w:rPr>
      </w:pPr>
      <w:r>
        <w:rPr>
          <w:rFonts w:hint="eastAsia" w:ascii="宋体" w:hAnsi="宋体"/>
          <w:spacing w:val="20"/>
          <w:szCs w:val="21"/>
        </w:rPr>
        <w:t xml:space="preserve">                                     投标人盖章：</w:t>
      </w:r>
    </w:p>
    <w:p>
      <w:pPr>
        <w:spacing w:line="360" w:lineRule="auto"/>
        <w:ind w:firstLine="500" w:firstLineChars="200"/>
        <w:rPr>
          <w:rFonts w:ascii="宋体" w:hAnsi="宋体"/>
          <w:spacing w:val="20"/>
          <w:szCs w:val="21"/>
          <w:u w:val="single"/>
        </w:rPr>
      </w:pPr>
    </w:p>
    <w:p>
      <w:pPr>
        <w:rPr>
          <w:rFonts w:ascii="隶书"/>
          <w:b/>
          <w:sz w:val="28"/>
          <w:szCs w:val="28"/>
        </w:rPr>
      </w:pPr>
      <w:r>
        <w:rPr>
          <w:rFonts w:hint="eastAsia"/>
          <w:szCs w:val="21"/>
        </w:rPr>
        <w:t xml:space="preserve">                                                        日        期：</w:t>
      </w:r>
    </w:p>
    <w:p>
      <w:pPr>
        <w:tabs>
          <w:tab w:val="left" w:pos="1418"/>
        </w:tabs>
        <w:spacing w:line="360" w:lineRule="auto"/>
        <w:rPr>
          <w:rFonts w:ascii="宋体" w:hAnsi="宋体"/>
          <w:sz w:val="24"/>
        </w:rPr>
      </w:pPr>
    </w:p>
    <w:p>
      <w:pPr>
        <w:tabs>
          <w:tab w:val="left" w:pos="1418"/>
        </w:tabs>
        <w:spacing w:line="360" w:lineRule="auto"/>
        <w:rPr>
          <w:rFonts w:ascii="宋体" w:hAnsi="宋体"/>
          <w:sz w:val="24"/>
        </w:rPr>
      </w:pPr>
    </w:p>
    <w:p>
      <w:pPr>
        <w:tabs>
          <w:tab w:val="left" w:pos="1418"/>
        </w:tabs>
        <w:spacing w:line="360" w:lineRule="auto"/>
        <w:rPr>
          <w:rFonts w:ascii="宋体" w:hAnsi="宋体"/>
          <w:sz w:val="24"/>
        </w:rPr>
      </w:pPr>
    </w:p>
    <w:p>
      <w:pPr>
        <w:spacing w:line="600" w:lineRule="exact"/>
        <w:rPr>
          <w:rFonts w:ascii="宋体" w:hAnsi="宋体"/>
          <w:sz w:val="24"/>
        </w:rPr>
      </w:pPr>
    </w:p>
    <w:p>
      <w:pPr>
        <w:spacing w:line="600" w:lineRule="exact"/>
        <w:ind w:firstLine="360" w:firstLineChars="150"/>
        <w:rPr>
          <w:rFonts w:ascii="宋体" w:hAnsi="宋体"/>
          <w:sz w:val="24"/>
        </w:rPr>
        <w:sectPr>
          <w:headerReference r:id="rId4" w:type="first"/>
          <w:footerReference r:id="rId6" w:type="first"/>
          <w:headerReference r:id="rId3" w:type="default"/>
          <w:footerReference r:id="rId5" w:type="default"/>
          <w:pgSz w:w="11906" w:h="16838"/>
          <w:pgMar w:top="1271" w:right="1247" w:bottom="1389" w:left="1247" w:header="851" w:footer="851" w:gutter="0"/>
          <w:cols w:space="720" w:num="1"/>
          <w:titlePg/>
          <w:docGrid w:linePitch="312" w:charSpace="0"/>
        </w:sectPr>
      </w:pPr>
      <w:r>
        <w:rPr>
          <w:rFonts w:hint="eastAsia" w:ascii="宋体" w:hAnsi="宋体"/>
          <w:sz w:val="24"/>
        </w:rPr>
        <w:t>提供自招标公告发布之日起至投标截止日内任意时间的“信用中国”网站（www.creditchina.gov.cn）、中国政府采购网（www.ccgp.gov.cn）投标人信用查询网页截图。</w:t>
      </w:r>
    </w:p>
    <w:tbl>
      <w:tblPr>
        <w:tblStyle w:val="33"/>
        <w:tblpPr w:leftFromText="180" w:rightFromText="180" w:vertAnchor="text" w:horzAnchor="page" w:tblpXSpec="center" w:tblpY="850"/>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45" w:type="dxa"/>
            <w:vMerge w:val="restart"/>
            <w:vAlign w:val="center"/>
          </w:tcPr>
          <w:p>
            <w:pPr>
              <w:jc w:val="center"/>
              <w:rPr>
                <w:rFonts w:ascii="仿宋_GB2312" w:eastAsia="仿宋_GB2312"/>
                <w:sz w:val="24"/>
              </w:rPr>
            </w:pPr>
          </w:p>
          <w:p>
            <w:pPr>
              <w:jc w:val="center"/>
              <w:rPr>
                <w:rFonts w:ascii="仿宋_GB2312" w:eastAsia="仿宋_GB2312"/>
                <w:sz w:val="24"/>
              </w:rPr>
            </w:pPr>
          </w:p>
          <w:p>
            <w:pPr>
              <w:jc w:val="center"/>
              <w:rPr>
                <w:rFonts w:ascii="宋体" w:hAnsi="宋体"/>
                <w:sz w:val="24"/>
              </w:rPr>
            </w:pPr>
            <w:r>
              <w:rPr>
                <w:rFonts w:hint="eastAsia" w:ascii="宋体" w:hAnsi="宋体"/>
                <w:sz w:val="24"/>
              </w:rPr>
              <w:t>投</w:t>
            </w:r>
          </w:p>
          <w:p>
            <w:pPr>
              <w:jc w:val="center"/>
              <w:rPr>
                <w:rFonts w:ascii="宋体" w:hAnsi="宋体"/>
                <w:sz w:val="24"/>
              </w:rPr>
            </w:pPr>
          </w:p>
          <w:p>
            <w:pPr>
              <w:jc w:val="center"/>
              <w:rPr>
                <w:rFonts w:ascii="宋体" w:hAnsi="宋体"/>
                <w:sz w:val="24"/>
              </w:rPr>
            </w:pPr>
            <w:r>
              <w:rPr>
                <w:rFonts w:hint="eastAsia" w:ascii="宋体" w:hAnsi="宋体"/>
                <w:sz w:val="24"/>
              </w:rPr>
              <w:t>标</w:t>
            </w:r>
          </w:p>
          <w:p>
            <w:pPr>
              <w:jc w:val="center"/>
              <w:rPr>
                <w:rFonts w:ascii="宋体" w:hAnsi="宋体"/>
                <w:sz w:val="24"/>
              </w:rPr>
            </w:pPr>
          </w:p>
          <w:p>
            <w:pPr>
              <w:jc w:val="center"/>
              <w:rPr>
                <w:rFonts w:ascii="宋体" w:hAnsi="宋体"/>
                <w:sz w:val="24"/>
              </w:rPr>
            </w:pPr>
            <w:r>
              <w:rPr>
                <w:rFonts w:hint="eastAsia" w:ascii="宋体" w:hAnsi="宋体"/>
                <w:sz w:val="24"/>
              </w:rPr>
              <w:t>人</w:t>
            </w:r>
          </w:p>
          <w:p>
            <w:pPr>
              <w:jc w:val="center"/>
              <w:rPr>
                <w:rFonts w:ascii="宋体" w:hAnsi="宋体"/>
                <w:sz w:val="24"/>
              </w:rPr>
            </w:pPr>
          </w:p>
          <w:p>
            <w:pPr>
              <w:jc w:val="center"/>
              <w:rPr>
                <w:rFonts w:ascii="宋体" w:hAnsi="宋体"/>
                <w:sz w:val="24"/>
              </w:rPr>
            </w:pPr>
            <w:r>
              <w:rPr>
                <w:rFonts w:hint="eastAsia" w:ascii="宋体" w:hAnsi="宋体"/>
                <w:sz w:val="24"/>
              </w:rPr>
              <w:t>概</w:t>
            </w:r>
          </w:p>
          <w:p>
            <w:pPr>
              <w:jc w:val="center"/>
              <w:rPr>
                <w:rFonts w:ascii="宋体" w:hAnsi="宋体"/>
                <w:sz w:val="24"/>
              </w:rPr>
            </w:pPr>
          </w:p>
          <w:p>
            <w:pPr>
              <w:jc w:val="center"/>
              <w:rPr>
                <w:rFonts w:ascii="仿宋_GB2312" w:eastAsia="仿宋_GB2312"/>
                <w:sz w:val="24"/>
              </w:rPr>
            </w:pPr>
            <w:r>
              <w:rPr>
                <w:rFonts w:hint="eastAsia" w:ascii="宋体" w:hAnsi="宋体"/>
                <w:sz w:val="24"/>
              </w:rPr>
              <w:t>况</w:t>
            </w:r>
          </w:p>
        </w:tc>
        <w:tc>
          <w:tcPr>
            <w:tcW w:w="1800" w:type="dxa"/>
            <w:vAlign w:val="center"/>
          </w:tcPr>
          <w:p>
            <w:pPr>
              <w:jc w:val="center"/>
              <w:rPr>
                <w:rFonts w:ascii="宋体" w:hAnsi="宋体"/>
                <w:sz w:val="24"/>
              </w:rPr>
            </w:pPr>
            <w:r>
              <w:rPr>
                <w:rFonts w:hint="eastAsia" w:ascii="宋体" w:hAnsi="宋体"/>
                <w:sz w:val="24"/>
              </w:rPr>
              <w:t>公司名称</w:t>
            </w:r>
          </w:p>
        </w:tc>
        <w:tc>
          <w:tcPr>
            <w:tcW w:w="6795"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45" w:type="dxa"/>
            <w:vMerge w:val="continue"/>
            <w:vAlign w:val="center"/>
          </w:tcPr>
          <w:p>
            <w:pPr>
              <w:jc w:val="center"/>
              <w:rPr>
                <w:rFonts w:ascii="仿宋_GB2312" w:eastAsia="仿宋_GB2312"/>
                <w:sz w:val="24"/>
              </w:rPr>
            </w:pPr>
          </w:p>
        </w:tc>
        <w:tc>
          <w:tcPr>
            <w:tcW w:w="1800" w:type="dxa"/>
            <w:vAlign w:val="center"/>
          </w:tcPr>
          <w:p>
            <w:pPr>
              <w:jc w:val="center"/>
              <w:rPr>
                <w:rFonts w:ascii="宋体" w:hAnsi="宋体"/>
                <w:sz w:val="24"/>
              </w:rPr>
            </w:pPr>
            <w:r>
              <w:rPr>
                <w:rFonts w:hint="eastAsia" w:ascii="宋体" w:hAnsi="宋体"/>
                <w:sz w:val="24"/>
              </w:rPr>
              <w:t>地址</w:t>
            </w:r>
          </w:p>
        </w:tc>
        <w:tc>
          <w:tcPr>
            <w:tcW w:w="6795"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5" w:type="dxa"/>
            <w:vMerge w:val="continue"/>
            <w:vAlign w:val="center"/>
          </w:tcPr>
          <w:p>
            <w:pPr>
              <w:jc w:val="center"/>
              <w:rPr>
                <w:rFonts w:ascii="仿宋_GB2312" w:eastAsia="仿宋_GB2312"/>
                <w:sz w:val="24"/>
              </w:rPr>
            </w:pPr>
          </w:p>
        </w:tc>
        <w:tc>
          <w:tcPr>
            <w:tcW w:w="1800" w:type="dxa"/>
            <w:vAlign w:val="center"/>
          </w:tcPr>
          <w:p>
            <w:pPr>
              <w:jc w:val="center"/>
              <w:rPr>
                <w:rFonts w:ascii="宋体" w:hAnsi="宋体"/>
                <w:sz w:val="24"/>
              </w:rPr>
            </w:pPr>
            <w:r>
              <w:rPr>
                <w:rFonts w:hint="eastAsia" w:ascii="宋体" w:hAnsi="宋体"/>
                <w:sz w:val="24"/>
              </w:rPr>
              <w:t>经营范围</w:t>
            </w:r>
          </w:p>
        </w:tc>
        <w:tc>
          <w:tcPr>
            <w:tcW w:w="6795"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5" w:type="dxa"/>
            <w:vMerge w:val="continue"/>
            <w:vAlign w:val="center"/>
          </w:tcPr>
          <w:p>
            <w:pPr>
              <w:jc w:val="center"/>
              <w:rPr>
                <w:rFonts w:ascii="仿宋_GB2312" w:eastAsia="仿宋_GB2312"/>
                <w:sz w:val="24"/>
              </w:rPr>
            </w:pPr>
          </w:p>
        </w:tc>
        <w:tc>
          <w:tcPr>
            <w:tcW w:w="1800" w:type="dxa"/>
            <w:vAlign w:val="center"/>
          </w:tcPr>
          <w:p>
            <w:pPr>
              <w:jc w:val="center"/>
              <w:rPr>
                <w:rFonts w:ascii="宋体" w:hAnsi="宋体"/>
                <w:sz w:val="24"/>
              </w:rPr>
            </w:pPr>
            <w:r>
              <w:rPr>
                <w:rFonts w:hint="eastAsia" w:ascii="宋体" w:hAnsi="宋体"/>
                <w:sz w:val="24"/>
              </w:rPr>
              <w:t>成立时间</w:t>
            </w:r>
          </w:p>
        </w:tc>
        <w:tc>
          <w:tcPr>
            <w:tcW w:w="2119" w:type="dxa"/>
            <w:vAlign w:val="center"/>
          </w:tcPr>
          <w:p>
            <w:pPr>
              <w:jc w:val="center"/>
              <w:rPr>
                <w:rFonts w:ascii="宋体" w:hAnsi="宋体"/>
                <w:sz w:val="24"/>
              </w:rPr>
            </w:pPr>
          </w:p>
        </w:tc>
        <w:tc>
          <w:tcPr>
            <w:tcW w:w="1920" w:type="dxa"/>
            <w:vAlign w:val="center"/>
          </w:tcPr>
          <w:p>
            <w:pPr>
              <w:jc w:val="center"/>
              <w:rPr>
                <w:rFonts w:ascii="宋体" w:hAnsi="宋体"/>
                <w:sz w:val="24"/>
              </w:rPr>
            </w:pPr>
            <w:r>
              <w:rPr>
                <w:rFonts w:hint="eastAsia" w:ascii="宋体" w:hAnsi="宋体"/>
                <w:sz w:val="24"/>
              </w:rPr>
              <w:t>经济性质</w:t>
            </w:r>
          </w:p>
        </w:tc>
        <w:tc>
          <w:tcPr>
            <w:tcW w:w="27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45" w:type="dxa"/>
            <w:vMerge w:val="continue"/>
            <w:vAlign w:val="center"/>
          </w:tcPr>
          <w:p>
            <w:pPr>
              <w:jc w:val="center"/>
              <w:rPr>
                <w:rFonts w:ascii="仿宋_GB2312" w:eastAsia="仿宋_GB2312"/>
                <w:sz w:val="24"/>
              </w:rPr>
            </w:pPr>
          </w:p>
        </w:tc>
        <w:tc>
          <w:tcPr>
            <w:tcW w:w="1800" w:type="dxa"/>
            <w:vAlign w:val="center"/>
          </w:tcPr>
          <w:p>
            <w:pPr>
              <w:jc w:val="center"/>
              <w:rPr>
                <w:rFonts w:ascii="宋体" w:hAnsi="宋体"/>
                <w:sz w:val="24"/>
              </w:rPr>
            </w:pPr>
            <w:r>
              <w:rPr>
                <w:rFonts w:hint="eastAsia" w:ascii="宋体" w:hAnsi="宋体"/>
                <w:sz w:val="24"/>
              </w:rPr>
              <w:t>法定代表人</w:t>
            </w:r>
          </w:p>
        </w:tc>
        <w:tc>
          <w:tcPr>
            <w:tcW w:w="2119" w:type="dxa"/>
            <w:vAlign w:val="center"/>
          </w:tcPr>
          <w:p>
            <w:pPr>
              <w:jc w:val="center"/>
              <w:rPr>
                <w:rFonts w:ascii="宋体" w:hAnsi="宋体"/>
                <w:sz w:val="24"/>
              </w:rPr>
            </w:pPr>
          </w:p>
        </w:tc>
        <w:tc>
          <w:tcPr>
            <w:tcW w:w="1920" w:type="dxa"/>
            <w:vAlign w:val="center"/>
          </w:tcPr>
          <w:p>
            <w:pPr>
              <w:jc w:val="center"/>
              <w:rPr>
                <w:rFonts w:ascii="宋体" w:hAnsi="宋体"/>
                <w:sz w:val="24"/>
              </w:rPr>
            </w:pPr>
            <w:r>
              <w:rPr>
                <w:rFonts w:hint="eastAsia" w:ascii="宋体" w:hAnsi="宋体"/>
                <w:sz w:val="24"/>
              </w:rPr>
              <w:t>联系电话</w:t>
            </w:r>
          </w:p>
        </w:tc>
        <w:tc>
          <w:tcPr>
            <w:tcW w:w="27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5" w:type="dxa"/>
            <w:vMerge w:val="continue"/>
            <w:vAlign w:val="center"/>
          </w:tcPr>
          <w:p>
            <w:pPr>
              <w:jc w:val="center"/>
              <w:rPr>
                <w:rFonts w:ascii="仿宋_GB2312" w:eastAsia="仿宋_GB2312"/>
                <w:sz w:val="24"/>
              </w:rPr>
            </w:pPr>
          </w:p>
        </w:tc>
        <w:tc>
          <w:tcPr>
            <w:tcW w:w="1800" w:type="dxa"/>
            <w:vAlign w:val="center"/>
          </w:tcPr>
          <w:p>
            <w:pPr>
              <w:jc w:val="center"/>
              <w:rPr>
                <w:rFonts w:ascii="宋体" w:hAnsi="宋体"/>
                <w:sz w:val="24"/>
              </w:rPr>
            </w:pPr>
            <w:r>
              <w:rPr>
                <w:rFonts w:hint="eastAsia" w:ascii="宋体" w:hAnsi="宋体"/>
                <w:sz w:val="24"/>
              </w:rPr>
              <w:t>注册资金</w:t>
            </w:r>
          </w:p>
        </w:tc>
        <w:tc>
          <w:tcPr>
            <w:tcW w:w="2119" w:type="dxa"/>
            <w:vAlign w:val="center"/>
          </w:tcPr>
          <w:p>
            <w:pPr>
              <w:jc w:val="center"/>
              <w:rPr>
                <w:rFonts w:ascii="宋体" w:hAnsi="宋体"/>
                <w:sz w:val="24"/>
              </w:rPr>
            </w:pPr>
          </w:p>
        </w:tc>
        <w:tc>
          <w:tcPr>
            <w:tcW w:w="1920" w:type="dxa"/>
            <w:vAlign w:val="center"/>
          </w:tcPr>
          <w:p>
            <w:pPr>
              <w:jc w:val="center"/>
              <w:rPr>
                <w:rFonts w:ascii="宋体" w:hAnsi="宋体"/>
                <w:sz w:val="24"/>
              </w:rPr>
            </w:pPr>
            <w:r>
              <w:rPr>
                <w:rFonts w:hint="eastAsia" w:ascii="宋体" w:hAnsi="宋体"/>
                <w:sz w:val="24"/>
              </w:rPr>
              <w:t>技术人员数</w:t>
            </w:r>
          </w:p>
        </w:tc>
        <w:tc>
          <w:tcPr>
            <w:tcW w:w="27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645" w:type="dxa"/>
            <w:vMerge w:val="continue"/>
            <w:vAlign w:val="center"/>
          </w:tcPr>
          <w:p>
            <w:pPr>
              <w:jc w:val="center"/>
              <w:rPr>
                <w:rFonts w:ascii="仿宋_GB2312" w:eastAsia="仿宋_GB2312"/>
                <w:sz w:val="24"/>
              </w:rPr>
            </w:pPr>
          </w:p>
        </w:tc>
        <w:tc>
          <w:tcPr>
            <w:tcW w:w="1800" w:type="dxa"/>
            <w:vAlign w:val="center"/>
          </w:tcPr>
          <w:p>
            <w:pPr>
              <w:jc w:val="center"/>
              <w:rPr>
                <w:rFonts w:ascii="宋体" w:hAnsi="宋体"/>
                <w:sz w:val="24"/>
              </w:rPr>
            </w:pPr>
            <w:r>
              <w:rPr>
                <w:rFonts w:hint="eastAsia" w:ascii="宋体" w:hAnsi="宋体"/>
                <w:sz w:val="24"/>
              </w:rPr>
              <w:t>资产总额</w:t>
            </w:r>
          </w:p>
        </w:tc>
        <w:tc>
          <w:tcPr>
            <w:tcW w:w="2119" w:type="dxa"/>
            <w:vAlign w:val="center"/>
          </w:tcPr>
          <w:p>
            <w:pPr>
              <w:jc w:val="center"/>
              <w:rPr>
                <w:rFonts w:ascii="宋体" w:hAnsi="宋体"/>
                <w:sz w:val="24"/>
              </w:rPr>
            </w:pPr>
          </w:p>
        </w:tc>
        <w:tc>
          <w:tcPr>
            <w:tcW w:w="1920" w:type="dxa"/>
            <w:vAlign w:val="center"/>
          </w:tcPr>
          <w:p>
            <w:pPr>
              <w:jc w:val="center"/>
              <w:rPr>
                <w:rFonts w:ascii="宋体" w:hAnsi="宋体"/>
                <w:sz w:val="24"/>
              </w:rPr>
            </w:pPr>
            <w:r>
              <w:rPr>
                <w:rFonts w:hint="eastAsia" w:ascii="宋体" w:hAnsi="宋体"/>
                <w:sz w:val="24"/>
              </w:rPr>
              <w:t>净资产</w:t>
            </w:r>
          </w:p>
        </w:tc>
        <w:tc>
          <w:tcPr>
            <w:tcW w:w="27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45" w:type="dxa"/>
            <w:vMerge w:val="continue"/>
            <w:vAlign w:val="center"/>
          </w:tcPr>
          <w:p>
            <w:pPr>
              <w:jc w:val="center"/>
              <w:rPr>
                <w:rFonts w:ascii="仿宋_GB2312" w:eastAsia="仿宋_GB2312"/>
                <w:sz w:val="24"/>
              </w:rPr>
            </w:pPr>
          </w:p>
        </w:tc>
        <w:tc>
          <w:tcPr>
            <w:tcW w:w="1800" w:type="dxa"/>
            <w:vAlign w:val="center"/>
          </w:tcPr>
          <w:p>
            <w:pPr>
              <w:jc w:val="center"/>
              <w:rPr>
                <w:rFonts w:ascii="宋体" w:hAnsi="宋体"/>
                <w:sz w:val="24"/>
              </w:rPr>
            </w:pPr>
            <w:r>
              <w:rPr>
                <w:rFonts w:hint="eastAsia" w:ascii="宋体" w:hAnsi="宋体"/>
                <w:sz w:val="24"/>
              </w:rPr>
              <w:t>工商登记号</w:t>
            </w:r>
          </w:p>
        </w:tc>
        <w:tc>
          <w:tcPr>
            <w:tcW w:w="2119" w:type="dxa"/>
            <w:vAlign w:val="center"/>
          </w:tcPr>
          <w:p>
            <w:pPr>
              <w:jc w:val="center"/>
              <w:rPr>
                <w:rFonts w:ascii="宋体" w:hAnsi="宋体"/>
                <w:sz w:val="24"/>
              </w:rPr>
            </w:pPr>
          </w:p>
        </w:tc>
        <w:tc>
          <w:tcPr>
            <w:tcW w:w="1920" w:type="dxa"/>
            <w:vAlign w:val="center"/>
          </w:tcPr>
          <w:p>
            <w:pPr>
              <w:jc w:val="center"/>
              <w:rPr>
                <w:rFonts w:ascii="宋体" w:hAnsi="宋体"/>
                <w:sz w:val="24"/>
              </w:rPr>
            </w:pPr>
            <w:r>
              <w:rPr>
                <w:rFonts w:hint="eastAsia" w:ascii="宋体" w:hAnsi="宋体"/>
                <w:sz w:val="24"/>
              </w:rPr>
              <w:t>税务登记号</w:t>
            </w:r>
          </w:p>
        </w:tc>
        <w:tc>
          <w:tcPr>
            <w:tcW w:w="27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45" w:type="dxa"/>
            <w:vMerge w:val="continue"/>
            <w:vAlign w:val="center"/>
          </w:tcPr>
          <w:p>
            <w:pPr>
              <w:jc w:val="center"/>
              <w:rPr>
                <w:rFonts w:ascii="仿宋_GB2312" w:eastAsia="仿宋_GB2312"/>
                <w:sz w:val="24"/>
              </w:rPr>
            </w:pPr>
          </w:p>
        </w:tc>
        <w:tc>
          <w:tcPr>
            <w:tcW w:w="1800" w:type="dxa"/>
            <w:vAlign w:val="center"/>
          </w:tcPr>
          <w:p>
            <w:pPr>
              <w:jc w:val="center"/>
              <w:rPr>
                <w:rFonts w:ascii="宋体" w:hAnsi="宋体"/>
                <w:sz w:val="24"/>
              </w:rPr>
            </w:pPr>
            <w:r>
              <w:rPr>
                <w:rFonts w:hint="eastAsia" w:ascii="宋体" w:hAnsi="宋体"/>
                <w:sz w:val="24"/>
              </w:rPr>
              <w:t>是否依法纳税</w:t>
            </w:r>
          </w:p>
        </w:tc>
        <w:tc>
          <w:tcPr>
            <w:tcW w:w="2119" w:type="dxa"/>
            <w:vAlign w:val="center"/>
          </w:tcPr>
          <w:p>
            <w:pPr>
              <w:jc w:val="center"/>
              <w:rPr>
                <w:rFonts w:ascii="宋体" w:hAnsi="宋体"/>
                <w:sz w:val="24"/>
              </w:rPr>
            </w:pPr>
          </w:p>
        </w:tc>
        <w:tc>
          <w:tcPr>
            <w:tcW w:w="1920" w:type="dxa"/>
            <w:vAlign w:val="center"/>
          </w:tcPr>
          <w:p>
            <w:pPr>
              <w:jc w:val="center"/>
              <w:rPr>
                <w:rFonts w:ascii="宋体" w:hAnsi="宋体"/>
                <w:sz w:val="24"/>
              </w:rPr>
            </w:pPr>
            <w:r>
              <w:rPr>
                <w:rFonts w:hint="eastAsia" w:ascii="宋体" w:hAnsi="宋体"/>
                <w:sz w:val="24"/>
              </w:rPr>
              <w:t>是否参加社保</w:t>
            </w:r>
          </w:p>
        </w:tc>
        <w:tc>
          <w:tcPr>
            <w:tcW w:w="27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645" w:type="dxa"/>
            <w:vMerge w:val="continue"/>
            <w:vAlign w:val="center"/>
          </w:tcPr>
          <w:p>
            <w:pPr>
              <w:jc w:val="center"/>
              <w:rPr>
                <w:rFonts w:ascii="仿宋_GB2312" w:eastAsia="仿宋_GB2312"/>
                <w:sz w:val="24"/>
              </w:rPr>
            </w:pPr>
          </w:p>
        </w:tc>
        <w:tc>
          <w:tcPr>
            <w:tcW w:w="1800" w:type="dxa"/>
            <w:vAlign w:val="center"/>
          </w:tcPr>
          <w:p>
            <w:pPr>
              <w:jc w:val="center"/>
              <w:rPr>
                <w:rFonts w:ascii="宋体" w:hAnsi="宋体"/>
                <w:sz w:val="24"/>
              </w:rPr>
            </w:pPr>
            <w:r>
              <w:rPr>
                <w:rFonts w:hint="eastAsia" w:ascii="宋体" w:hAnsi="宋体"/>
                <w:sz w:val="24"/>
              </w:rPr>
              <w:t>近三年业绩、</w:t>
            </w:r>
          </w:p>
          <w:p>
            <w:pPr>
              <w:jc w:val="center"/>
              <w:rPr>
                <w:rFonts w:ascii="宋体" w:hAnsi="宋体"/>
                <w:sz w:val="24"/>
              </w:rPr>
            </w:pPr>
            <w:r>
              <w:rPr>
                <w:rFonts w:hint="eastAsia" w:ascii="宋体" w:hAnsi="宋体"/>
                <w:sz w:val="24"/>
              </w:rPr>
              <w:t>信誉</w:t>
            </w:r>
          </w:p>
        </w:tc>
        <w:tc>
          <w:tcPr>
            <w:tcW w:w="6795" w:type="dxa"/>
            <w:gridSpan w:val="3"/>
            <w:vAlign w:val="center"/>
          </w:tcPr>
          <w:p>
            <w:pPr>
              <w:rPr>
                <w:rFonts w:ascii="宋体" w:hAnsi="宋体"/>
                <w:sz w:val="24"/>
              </w:rPr>
            </w:pPr>
            <w:r>
              <w:rPr>
                <w:rFonts w:hint="eastAsia" w:ascii="宋体" w:hAnsi="宋体"/>
                <w:sz w:val="24"/>
              </w:rPr>
              <w:t>合同总额：     万元，合同履行情况：</w:t>
            </w:r>
          </w:p>
          <w:p>
            <w:pPr>
              <w:jc w:val="cente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9" w:hRule="atLeast"/>
          <w:jc w:val="center"/>
        </w:trPr>
        <w:tc>
          <w:tcPr>
            <w:tcW w:w="645" w:type="dxa"/>
            <w:vMerge w:val="continue"/>
            <w:vAlign w:val="center"/>
          </w:tcPr>
          <w:p>
            <w:pPr>
              <w:jc w:val="center"/>
              <w:rPr>
                <w:rFonts w:ascii="仿宋_GB2312" w:eastAsia="仿宋_GB2312"/>
                <w:sz w:val="24"/>
              </w:rPr>
            </w:pPr>
          </w:p>
        </w:tc>
        <w:tc>
          <w:tcPr>
            <w:tcW w:w="8595" w:type="dxa"/>
            <w:gridSpan w:val="4"/>
          </w:tcPr>
          <w:p>
            <w:pPr>
              <w:rPr>
                <w:rFonts w:ascii="宋体" w:hAnsi="宋体"/>
                <w:sz w:val="24"/>
              </w:rPr>
            </w:pPr>
            <w:r>
              <w:rPr>
                <w:rFonts w:hint="eastAsia" w:ascii="宋体" w:hAnsi="宋体"/>
                <w:sz w:val="24"/>
              </w:rPr>
              <w:t>单位优势及特点：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45" w:type="dxa"/>
            <w:gridSpan w:val="2"/>
            <w:vAlign w:val="center"/>
          </w:tcPr>
          <w:p>
            <w:pPr>
              <w:jc w:val="center"/>
              <w:rPr>
                <w:rFonts w:ascii="宋体" w:hAnsi="宋体"/>
                <w:sz w:val="24"/>
              </w:rPr>
            </w:pPr>
            <w:r>
              <w:rPr>
                <w:rFonts w:hint="eastAsia" w:ascii="宋体" w:hAnsi="宋体"/>
                <w:sz w:val="24"/>
              </w:rPr>
              <w:t>法定代表人签字</w:t>
            </w:r>
          </w:p>
        </w:tc>
        <w:tc>
          <w:tcPr>
            <w:tcW w:w="6795" w:type="dxa"/>
            <w:gridSpan w:val="3"/>
            <w:vAlign w:val="center"/>
          </w:tcPr>
          <w:p>
            <w:pPr>
              <w:spacing w:line="360" w:lineRule="auto"/>
              <w:jc w:val="right"/>
              <w:rPr>
                <w:rFonts w:ascii="宋体" w:hAnsi="宋体"/>
                <w:sz w:val="24"/>
              </w:rPr>
            </w:pPr>
            <w:r>
              <w:rPr>
                <w:rFonts w:hint="eastAsia" w:ascii="宋体" w:hAnsi="宋体"/>
                <w:sz w:val="24"/>
              </w:rPr>
              <w:t>年   月   日</w:t>
            </w:r>
          </w:p>
        </w:tc>
      </w:tr>
    </w:tbl>
    <w:p>
      <w:pPr>
        <w:spacing w:beforeLines="50" w:line="360" w:lineRule="auto"/>
        <w:jc w:val="center"/>
        <w:rPr>
          <w:rFonts w:ascii="宋体" w:hAnsi="宋体"/>
          <w:sz w:val="24"/>
        </w:rPr>
      </w:pPr>
      <w:r>
        <w:rPr>
          <w:rFonts w:hint="eastAsia" w:ascii="仿宋_GB2312" w:eastAsia="仿宋_GB2312"/>
          <w:b/>
          <w:sz w:val="32"/>
          <w:szCs w:val="32"/>
        </w:rPr>
        <w:t>投标人基本情况表</w:t>
      </w:r>
    </w:p>
    <w:p>
      <w:pPr>
        <w:spacing w:beforeLines="50" w:line="360" w:lineRule="auto"/>
        <w:rPr>
          <w:rFonts w:ascii="宋体" w:hAnsi="宋体"/>
          <w:sz w:val="24"/>
        </w:rPr>
      </w:pPr>
      <w:r>
        <w:rPr>
          <w:rFonts w:ascii="宋体" w:hAnsi="宋体"/>
          <w:spacing w:val="20"/>
          <w:sz w:val="24"/>
        </w:rPr>
        <w:t>法定代表人或委托代理人</w:t>
      </w:r>
      <w:r>
        <w:rPr>
          <w:rFonts w:hint="eastAsia" w:ascii="宋体" w:hAnsi="宋体"/>
          <w:spacing w:val="20"/>
          <w:sz w:val="24"/>
        </w:rPr>
        <w:t>签名：</w:t>
      </w:r>
    </w:p>
    <w:p>
      <w:pPr>
        <w:spacing w:line="360" w:lineRule="auto"/>
        <w:ind w:firstLine="560" w:firstLineChars="200"/>
        <w:rPr>
          <w:rFonts w:ascii="宋体" w:hAnsi="宋体"/>
          <w:spacing w:val="20"/>
          <w:sz w:val="24"/>
          <w:u w:val="single"/>
        </w:rPr>
      </w:pPr>
    </w:p>
    <w:p>
      <w:pPr>
        <w:spacing w:line="360" w:lineRule="auto"/>
        <w:ind w:firstLine="560" w:firstLineChars="200"/>
        <w:rPr>
          <w:rFonts w:ascii="宋体" w:hAnsi="宋体"/>
          <w:spacing w:val="20"/>
          <w:sz w:val="24"/>
          <w:u w:val="single"/>
        </w:rPr>
      </w:pPr>
      <w:r>
        <w:rPr>
          <w:rFonts w:hint="eastAsia" w:ascii="宋体" w:hAnsi="宋体"/>
          <w:spacing w:val="20"/>
          <w:sz w:val="24"/>
        </w:rPr>
        <w:t xml:space="preserve">                            投标人盖章：</w:t>
      </w:r>
    </w:p>
    <w:p>
      <w:pPr>
        <w:spacing w:line="360" w:lineRule="auto"/>
        <w:ind w:firstLine="560" w:firstLineChars="200"/>
        <w:rPr>
          <w:rFonts w:ascii="宋体" w:hAnsi="宋体"/>
          <w:spacing w:val="20"/>
          <w:sz w:val="24"/>
        </w:rPr>
      </w:pPr>
    </w:p>
    <w:p>
      <w:pPr>
        <w:spacing w:line="360" w:lineRule="auto"/>
        <w:ind w:firstLine="560" w:firstLineChars="200"/>
        <w:rPr>
          <w:rFonts w:ascii="宋体" w:hAnsi="宋体"/>
          <w:spacing w:val="20"/>
          <w:sz w:val="24"/>
          <w:u w:val="single"/>
        </w:rPr>
      </w:pPr>
      <w:r>
        <w:rPr>
          <w:rFonts w:hint="eastAsia" w:ascii="宋体" w:hAnsi="宋体"/>
          <w:spacing w:val="20"/>
          <w:sz w:val="24"/>
        </w:rPr>
        <w:t xml:space="preserve">                            日     期：</w:t>
      </w:r>
    </w:p>
    <w:p>
      <w:pPr>
        <w:widowControl/>
        <w:spacing w:line="360" w:lineRule="auto"/>
        <w:jc w:val="left"/>
        <w:textAlignment w:val="top"/>
        <w:rPr>
          <w:rFonts w:ascii="宋体" w:hAnsi="宋体"/>
          <w:b/>
          <w:sz w:val="24"/>
        </w:rPr>
        <w:sectPr>
          <w:pgSz w:w="11906" w:h="16838"/>
          <w:pgMar w:top="1389" w:right="1247" w:bottom="1389" w:left="1247" w:header="851" w:footer="851" w:gutter="0"/>
          <w:cols w:space="720" w:num="1"/>
          <w:titlePg/>
          <w:docGrid w:linePitch="312" w:charSpace="0"/>
        </w:sectPr>
      </w:pPr>
    </w:p>
    <w:p>
      <w:pPr>
        <w:spacing w:line="400" w:lineRule="exact"/>
        <w:rPr>
          <w:rFonts w:ascii="宋体" w:hAnsi="宋体"/>
          <w:b/>
          <w:sz w:val="32"/>
          <w:szCs w:val="32"/>
        </w:rPr>
      </w:pPr>
      <w:r>
        <w:rPr>
          <w:rFonts w:hint="eastAsia" w:ascii="宋体" w:hAnsi="宋体"/>
          <w:b/>
          <w:sz w:val="32"/>
          <w:szCs w:val="32"/>
        </w:rPr>
        <w:t>附件5                      投标人2017年1月1日以来项目业绩一览表</w:t>
      </w:r>
    </w:p>
    <w:p>
      <w:pPr>
        <w:spacing w:line="400" w:lineRule="exact"/>
        <w:rPr>
          <w:rFonts w:ascii="楷体_GB2312" w:hAnsi="宋体" w:eastAsia="楷体_GB2312" w:cs="Arial"/>
          <w:sz w:val="24"/>
        </w:rPr>
      </w:pPr>
    </w:p>
    <w:tbl>
      <w:tblPr>
        <w:tblStyle w:val="33"/>
        <w:tblW w:w="14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2385"/>
        <w:gridCol w:w="1035"/>
        <w:gridCol w:w="1080"/>
        <w:gridCol w:w="1620"/>
        <w:gridCol w:w="1440"/>
        <w:gridCol w:w="876"/>
        <w:gridCol w:w="956"/>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采购单位名称</w:t>
            </w:r>
          </w:p>
        </w:tc>
        <w:tc>
          <w:tcPr>
            <w:tcW w:w="238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设备或项目名称</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w:t>
            </w:r>
          </w:p>
          <w:p>
            <w:pPr>
              <w:snapToGrid w:val="0"/>
              <w:spacing w:line="240" w:lineRule="exact"/>
              <w:jc w:val="center"/>
              <w:rPr>
                <w:rFonts w:ascii="宋体" w:hAnsi="宋体"/>
                <w:sz w:val="24"/>
              </w:rPr>
            </w:pPr>
            <w:r>
              <w:rPr>
                <w:rFonts w:hint="eastAsia" w:ascii="宋体" w:hAnsi="宋体"/>
                <w:sz w:val="24"/>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单价</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交货期</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合同</w:t>
            </w:r>
          </w:p>
          <w:p>
            <w:pPr>
              <w:snapToGrid w:val="0"/>
              <w:spacing w:line="240" w:lineRule="exact"/>
              <w:jc w:val="center"/>
              <w:rPr>
                <w:rFonts w:ascii="宋体" w:hAnsi="宋体"/>
                <w:sz w:val="24"/>
              </w:rPr>
            </w:pPr>
            <w:r>
              <w:rPr>
                <w:rFonts w:hint="eastAsia" w:ascii="宋体" w:hAnsi="宋体"/>
                <w:sz w:val="24"/>
              </w:rPr>
              <w:t>金额</w:t>
            </w:r>
          </w:p>
          <w:p>
            <w:pPr>
              <w:snapToGrid w:val="0"/>
              <w:spacing w:line="240" w:lineRule="exact"/>
              <w:jc w:val="center"/>
              <w:rPr>
                <w:rFonts w:ascii="宋体" w:hAnsi="宋体"/>
                <w:sz w:val="24"/>
              </w:rPr>
            </w:pPr>
            <w:r>
              <w:rPr>
                <w:rFonts w:hint="eastAsia" w:ascii="宋体" w:hAnsi="宋体"/>
                <w:sz w:val="24"/>
              </w:rPr>
              <w:t>（万元）</w:t>
            </w:r>
          </w:p>
        </w:tc>
        <w:tc>
          <w:tcPr>
            <w:tcW w:w="183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采购单位联系人及</w:t>
            </w:r>
          </w:p>
          <w:p>
            <w:pPr>
              <w:snapToGrid w:val="0"/>
              <w:spacing w:line="240" w:lineRule="exact"/>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2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合同</w:t>
            </w: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验收</w:t>
            </w:r>
          </w:p>
          <w:p>
            <w:pPr>
              <w:snapToGrid w:val="0"/>
              <w:spacing w:line="240" w:lineRule="exact"/>
              <w:jc w:val="center"/>
              <w:rPr>
                <w:rFonts w:ascii="宋体" w:hAnsi="宋体"/>
                <w:sz w:val="24"/>
              </w:rPr>
            </w:pPr>
            <w:r>
              <w:rPr>
                <w:rFonts w:hint="eastAsia" w:ascii="宋体" w:hAnsi="宋体"/>
                <w:sz w:val="24"/>
              </w:rPr>
              <w:t>证明</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0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95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bl>
    <w:p>
      <w:pPr>
        <w:autoSpaceDE w:val="0"/>
        <w:autoSpaceDN w:val="0"/>
        <w:adjustRightInd w:val="0"/>
        <w:spacing w:line="440" w:lineRule="exact"/>
        <w:rPr>
          <w:rFonts w:ascii="宋体" w:hAnsi="宋体"/>
          <w:sz w:val="24"/>
        </w:rPr>
      </w:pPr>
      <w:r>
        <w:rPr>
          <w:rFonts w:hint="eastAsia" w:ascii="宋体" w:hAnsi="宋体"/>
          <w:b/>
          <w:sz w:val="24"/>
        </w:rPr>
        <w:t>注：投标人可按上述的格式自行编制，须随表提交相应的合同、验收证明复印件并注明所在投标资信文件页码。（单位公章）</w:t>
      </w:r>
    </w:p>
    <w:p>
      <w:pPr>
        <w:spacing w:line="300" w:lineRule="exact"/>
        <w:ind w:firstLine="2400" w:firstLineChars="1000"/>
        <w:rPr>
          <w:rFonts w:ascii="宋体" w:hAnsi="宋体"/>
          <w:sz w:val="24"/>
        </w:rPr>
      </w:pPr>
    </w:p>
    <w:p>
      <w:pPr>
        <w:spacing w:line="300" w:lineRule="exact"/>
        <w:ind w:firstLine="6860" w:firstLineChars="2450"/>
        <w:rPr>
          <w:rFonts w:ascii="宋体" w:hAnsi="宋体"/>
          <w:spacing w:val="20"/>
          <w:sz w:val="24"/>
          <w:u w:val="single"/>
        </w:rPr>
      </w:pPr>
      <w:r>
        <w:rPr>
          <w:rFonts w:ascii="宋体" w:hAnsi="宋体"/>
          <w:spacing w:val="20"/>
          <w:sz w:val="24"/>
        </w:rPr>
        <w:t>法定代表人或委托代理人</w:t>
      </w:r>
      <w:r>
        <w:rPr>
          <w:rFonts w:hint="eastAsia" w:ascii="宋体" w:hAnsi="宋体"/>
          <w:spacing w:val="20"/>
          <w:sz w:val="24"/>
        </w:rPr>
        <w:t>签名：</w:t>
      </w:r>
    </w:p>
    <w:p>
      <w:pPr>
        <w:spacing w:line="300" w:lineRule="exact"/>
        <w:rPr>
          <w:rFonts w:ascii="宋体" w:hAnsi="宋体"/>
          <w:spacing w:val="20"/>
          <w:sz w:val="24"/>
          <w:u w:val="single"/>
        </w:rPr>
      </w:pPr>
    </w:p>
    <w:p>
      <w:pPr>
        <w:spacing w:line="300" w:lineRule="exact"/>
        <w:ind w:firstLine="560" w:firstLineChars="200"/>
        <w:rPr>
          <w:rFonts w:ascii="宋体" w:hAnsi="宋体"/>
          <w:spacing w:val="20"/>
          <w:sz w:val="24"/>
          <w:u w:val="single"/>
        </w:rPr>
      </w:pPr>
      <w:r>
        <w:rPr>
          <w:rFonts w:hint="eastAsia" w:ascii="宋体" w:hAnsi="宋体"/>
          <w:spacing w:val="20"/>
          <w:sz w:val="24"/>
        </w:rPr>
        <w:t xml:space="preserve">                                                     投标人盖章：</w:t>
      </w:r>
    </w:p>
    <w:p>
      <w:pPr>
        <w:spacing w:line="300" w:lineRule="exact"/>
        <w:rPr>
          <w:rFonts w:ascii="宋体" w:hAnsi="宋体"/>
          <w:spacing w:val="20"/>
          <w:sz w:val="24"/>
          <w:u w:val="single"/>
        </w:rPr>
      </w:pPr>
    </w:p>
    <w:p>
      <w:pPr>
        <w:tabs>
          <w:tab w:val="left" w:pos="1418"/>
        </w:tabs>
        <w:spacing w:line="300" w:lineRule="exact"/>
        <w:ind w:left="1418" w:hanging="567"/>
        <w:jc w:val="center"/>
        <w:rPr>
          <w:rFonts w:ascii="仿宋_GB2312" w:eastAsia="仿宋_GB2312"/>
          <w:spacing w:val="20"/>
          <w:sz w:val="24"/>
          <w:u w:val="single"/>
        </w:rPr>
      </w:pPr>
      <w:r>
        <w:rPr>
          <w:rFonts w:hint="eastAsia" w:ascii="宋体" w:hAnsi="宋体"/>
          <w:spacing w:val="20"/>
          <w:sz w:val="24"/>
        </w:rPr>
        <w:t xml:space="preserve">                               日     期：</w:t>
      </w:r>
    </w:p>
    <w:p>
      <w:pPr>
        <w:spacing w:line="360" w:lineRule="auto"/>
        <w:ind w:firstLine="6860" w:firstLineChars="2450"/>
        <w:rPr>
          <w:rFonts w:ascii="宋体" w:hAnsi="宋体"/>
          <w:iCs/>
          <w:spacing w:val="20"/>
          <w:sz w:val="24"/>
        </w:rPr>
      </w:pPr>
    </w:p>
    <w:p>
      <w:pPr>
        <w:pStyle w:val="30"/>
        <w:jc w:val="both"/>
        <w:sectPr>
          <w:pgSz w:w="16838" w:h="11906" w:orient="landscape"/>
          <w:pgMar w:top="1247" w:right="1389" w:bottom="1247" w:left="1389" w:header="851" w:footer="851" w:gutter="0"/>
          <w:cols w:space="720" w:num="1"/>
          <w:titlePg/>
          <w:docGrid w:linePitch="312" w:charSpace="0"/>
        </w:sectPr>
      </w:pPr>
    </w:p>
    <w:p>
      <w:pPr>
        <w:rPr>
          <w:rFonts w:ascii="宋体" w:hAnsi="宋体"/>
          <w:b/>
          <w:spacing w:val="20"/>
          <w:sz w:val="30"/>
          <w:szCs w:val="30"/>
        </w:rPr>
      </w:pPr>
      <w:r>
        <w:rPr>
          <w:rFonts w:ascii="宋体" w:hAnsi="宋体"/>
          <w:b/>
          <w:spacing w:val="20"/>
          <w:sz w:val="30"/>
          <w:szCs w:val="30"/>
        </w:rPr>
        <w:t>附件</w:t>
      </w:r>
      <w:r>
        <w:rPr>
          <w:rFonts w:hint="eastAsia" w:ascii="宋体" w:hAnsi="宋体"/>
          <w:b/>
          <w:spacing w:val="20"/>
          <w:sz w:val="30"/>
          <w:szCs w:val="30"/>
        </w:rPr>
        <w:t xml:space="preserve">6                      </w:t>
      </w:r>
      <w:r>
        <w:rPr>
          <w:rFonts w:ascii="宋体" w:hAnsi="宋体"/>
          <w:b/>
          <w:spacing w:val="20"/>
          <w:sz w:val="30"/>
          <w:szCs w:val="30"/>
        </w:rPr>
        <w:t>产品性能说明</w:t>
      </w:r>
    </w:p>
    <w:p>
      <w:pPr>
        <w:jc w:val="center"/>
        <w:rPr>
          <w:rFonts w:ascii="宋体" w:hAnsi="宋体"/>
          <w:spacing w:val="20"/>
          <w:sz w:val="24"/>
        </w:rPr>
      </w:pPr>
    </w:p>
    <w:p>
      <w:pPr>
        <w:ind w:firstLine="560" w:firstLineChars="200"/>
        <w:rPr>
          <w:rFonts w:ascii="宋体" w:hAnsi="宋体"/>
          <w:spacing w:val="20"/>
          <w:sz w:val="24"/>
        </w:rPr>
      </w:pPr>
      <w:r>
        <w:rPr>
          <w:rFonts w:hint="eastAsia" w:ascii="宋体" w:hAnsi="宋体"/>
          <w:spacing w:val="20"/>
          <w:sz w:val="24"/>
        </w:rPr>
        <w:t>投标人</w:t>
      </w:r>
      <w:r>
        <w:rPr>
          <w:rFonts w:ascii="宋体" w:hAnsi="宋体"/>
          <w:spacing w:val="20"/>
          <w:sz w:val="24"/>
        </w:rPr>
        <w:t>名称</w:t>
      </w:r>
      <w:r>
        <w:rPr>
          <w:rFonts w:hint="eastAsia" w:ascii="宋体" w:hAnsi="宋体"/>
          <w:spacing w:val="20"/>
          <w:sz w:val="24"/>
        </w:rPr>
        <w:t>（</w:t>
      </w:r>
      <w:r>
        <w:rPr>
          <w:rFonts w:ascii="宋体" w:hAnsi="宋体"/>
          <w:spacing w:val="20"/>
          <w:sz w:val="24"/>
        </w:rPr>
        <w:t>盖章</w:t>
      </w:r>
      <w:r>
        <w:rPr>
          <w:rFonts w:hint="eastAsia" w:ascii="宋体" w:hAnsi="宋体"/>
          <w:spacing w:val="20"/>
          <w:sz w:val="24"/>
        </w:rPr>
        <w:t>）</w:t>
      </w:r>
      <w:r>
        <w:rPr>
          <w:rFonts w:ascii="宋体" w:hAnsi="宋体"/>
          <w:spacing w:val="20"/>
          <w:sz w:val="24"/>
        </w:rPr>
        <w:t>：</w:t>
      </w:r>
      <w:r>
        <w:rPr>
          <w:rFonts w:hint="eastAsia" w:ascii="宋体" w:hAnsi="宋体"/>
          <w:spacing w:val="20"/>
          <w:sz w:val="24"/>
        </w:rPr>
        <w:t xml:space="preserve">             项目编号</w:t>
      </w:r>
      <w:r>
        <w:rPr>
          <w:rFonts w:ascii="宋体" w:hAnsi="宋体"/>
          <w:spacing w:val="20"/>
          <w:sz w:val="24"/>
        </w:rPr>
        <w:t>：</w:t>
      </w:r>
      <w:r>
        <w:rPr>
          <w:rFonts w:hint="eastAsia" w:ascii="宋体" w:hAnsi="宋体"/>
          <w:spacing w:val="20"/>
          <w:sz w:val="24"/>
        </w:rPr>
        <w:t xml:space="preserve">             项目</w:t>
      </w:r>
      <w:r>
        <w:rPr>
          <w:rFonts w:ascii="宋体" w:hAnsi="宋体"/>
          <w:spacing w:val="20"/>
          <w:sz w:val="24"/>
        </w:rPr>
        <w:t>名称：</w:t>
      </w:r>
      <w:r>
        <w:rPr>
          <w:rFonts w:hint="eastAsia" w:ascii="宋体" w:hAnsi="宋体"/>
          <w:spacing w:val="20"/>
          <w:sz w:val="24"/>
        </w:rPr>
        <w:t xml:space="preserve">              </w:t>
      </w:r>
    </w:p>
    <w:p>
      <w:pPr>
        <w:rPr>
          <w:rFonts w:ascii="宋体" w:hAnsi="宋体"/>
          <w:spacing w:val="20"/>
          <w:sz w:val="24"/>
        </w:rPr>
      </w:pPr>
    </w:p>
    <w:p>
      <w:pPr>
        <w:jc w:val="center"/>
        <w:rPr>
          <w:rFonts w:ascii="宋体" w:hAnsi="宋体"/>
          <w:spacing w:val="20"/>
          <w:sz w:val="24"/>
        </w:rPr>
      </w:pPr>
    </w:p>
    <w:p>
      <w:pPr>
        <w:jc w:val="center"/>
        <w:rPr>
          <w:rFonts w:ascii="宋体" w:hAnsi="宋体"/>
          <w:spacing w:val="20"/>
          <w:sz w:val="24"/>
        </w:rPr>
      </w:pPr>
    </w:p>
    <w:p>
      <w:pPr>
        <w:jc w:val="center"/>
        <w:rPr>
          <w:rFonts w:ascii="宋体" w:hAnsi="宋体"/>
          <w:spacing w:val="20"/>
          <w:sz w:val="24"/>
        </w:rPr>
      </w:pPr>
    </w:p>
    <w:p>
      <w:pPr>
        <w:jc w:val="center"/>
        <w:rPr>
          <w:rFonts w:ascii="宋体" w:hAnsi="宋体"/>
          <w:spacing w:val="20"/>
          <w:sz w:val="24"/>
        </w:rPr>
      </w:pPr>
    </w:p>
    <w:p>
      <w:pPr>
        <w:jc w:val="center"/>
        <w:rPr>
          <w:rFonts w:ascii="宋体" w:hAnsi="宋体"/>
          <w:spacing w:val="20"/>
          <w:sz w:val="24"/>
        </w:rPr>
      </w:pPr>
    </w:p>
    <w:p>
      <w:pPr>
        <w:jc w:val="center"/>
        <w:rPr>
          <w:rFonts w:ascii="宋体" w:hAnsi="宋体"/>
          <w:spacing w:val="20"/>
          <w:sz w:val="24"/>
        </w:rPr>
      </w:pPr>
    </w:p>
    <w:p>
      <w:pPr>
        <w:jc w:val="center"/>
        <w:rPr>
          <w:rFonts w:ascii="宋体" w:hAnsi="宋体"/>
          <w:spacing w:val="20"/>
          <w:sz w:val="24"/>
        </w:rPr>
      </w:pPr>
    </w:p>
    <w:p>
      <w:pPr>
        <w:jc w:val="center"/>
        <w:rPr>
          <w:rFonts w:ascii="宋体" w:hAnsi="宋体"/>
          <w:spacing w:val="20"/>
          <w:sz w:val="24"/>
        </w:rPr>
      </w:pPr>
    </w:p>
    <w:p>
      <w:pPr>
        <w:jc w:val="center"/>
        <w:rPr>
          <w:rFonts w:ascii="宋体" w:hAnsi="宋体"/>
          <w:spacing w:val="20"/>
          <w:sz w:val="24"/>
        </w:rPr>
      </w:pPr>
    </w:p>
    <w:p>
      <w:pPr>
        <w:jc w:val="center"/>
        <w:rPr>
          <w:rFonts w:ascii="宋体" w:hAnsi="宋体"/>
          <w:spacing w:val="20"/>
          <w:sz w:val="24"/>
        </w:rPr>
      </w:pPr>
    </w:p>
    <w:p>
      <w:pPr>
        <w:jc w:val="center"/>
        <w:rPr>
          <w:rFonts w:ascii="宋体" w:hAnsi="宋体"/>
          <w:spacing w:val="20"/>
          <w:sz w:val="24"/>
        </w:rPr>
      </w:pPr>
    </w:p>
    <w:p>
      <w:pPr>
        <w:rPr>
          <w:rFonts w:ascii="宋体" w:hAnsi="宋体"/>
          <w:spacing w:val="20"/>
          <w:sz w:val="24"/>
        </w:rPr>
      </w:pPr>
    </w:p>
    <w:p>
      <w:pPr>
        <w:jc w:val="center"/>
        <w:rPr>
          <w:rFonts w:ascii="宋体" w:hAnsi="宋体"/>
          <w:spacing w:val="20"/>
          <w:sz w:val="24"/>
        </w:rPr>
      </w:pPr>
    </w:p>
    <w:p>
      <w:pPr>
        <w:jc w:val="center"/>
        <w:rPr>
          <w:rFonts w:ascii="宋体" w:hAnsi="宋体"/>
          <w:spacing w:val="20"/>
          <w:sz w:val="24"/>
        </w:rPr>
      </w:pPr>
    </w:p>
    <w:p>
      <w:pPr>
        <w:jc w:val="center"/>
        <w:rPr>
          <w:rFonts w:ascii="宋体" w:hAnsi="宋体"/>
          <w:spacing w:val="20"/>
          <w:sz w:val="24"/>
        </w:rPr>
      </w:pPr>
    </w:p>
    <w:p>
      <w:pPr>
        <w:rPr>
          <w:rFonts w:ascii="宋体" w:hAnsi="宋体"/>
          <w:spacing w:val="20"/>
          <w:sz w:val="24"/>
        </w:rPr>
      </w:pPr>
    </w:p>
    <w:p>
      <w:pPr>
        <w:rPr>
          <w:rFonts w:ascii="宋体" w:hAnsi="宋体"/>
          <w:spacing w:val="20"/>
          <w:sz w:val="24"/>
        </w:rPr>
      </w:pPr>
    </w:p>
    <w:p>
      <w:pPr>
        <w:rPr>
          <w:rFonts w:ascii="宋体" w:hAnsi="宋体"/>
          <w:spacing w:val="20"/>
          <w:sz w:val="24"/>
        </w:rPr>
      </w:pPr>
    </w:p>
    <w:p>
      <w:pPr>
        <w:rPr>
          <w:rFonts w:ascii="宋体" w:hAnsi="宋体"/>
          <w:spacing w:val="20"/>
          <w:sz w:val="24"/>
        </w:rPr>
      </w:pPr>
    </w:p>
    <w:p>
      <w:pPr>
        <w:rPr>
          <w:rFonts w:ascii="宋体" w:hAnsi="宋体"/>
          <w:spacing w:val="20"/>
          <w:sz w:val="24"/>
        </w:rPr>
      </w:pPr>
      <w:r>
        <w:rPr>
          <w:rFonts w:hint="eastAsia" w:ascii="宋体" w:hAnsi="宋体"/>
          <w:spacing w:val="20"/>
          <w:sz w:val="24"/>
        </w:rPr>
        <w:t>投标人全权代表</w:t>
      </w:r>
      <w:r>
        <w:rPr>
          <w:rFonts w:ascii="宋体" w:hAnsi="宋体"/>
          <w:spacing w:val="20"/>
          <w:sz w:val="24"/>
        </w:rPr>
        <w:t>签字：</w:t>
      </w:r>
    </w:p>
    <w:p>
      <w:pPr>
        <w:spacing w:line="360" w:lineRule="auto"/>
        <w:rPr>
          <w:rFonts w:ascii="宋体" w:hAnsi="宋体"/>
          <w:b/>
          <w:spacing w:val="20"/>
          <w:sz w:val="30"/>
          <w:szCs w:val="30"/>
        </w:rPr>
      </w:pPr>
    </w:p>
    <w:p>
      <w:pPr>
        <w:spacing w:line="360" w:lineRule="auto"/>
        <w:rPr>
          <w:rFonts w:ascii="宋体" w:hAnsi="宋体"/>
          <w:b/>
          <w:spacing w:val="20"/>
          <w:sz w:val="30"/>
          <w:szCs w:val="30"/>
        </w:rPr>
      </w:pPr>
    </w:p>
    <w:p>
      <w:pPr>
        <w:spacing w:line="360" w:lineRule="auto"/>
        <w:rPr>
          <w:rFonts w:ascii="宋体" w:hAnsi="宋体"/>
          <w:b/>
          <w:spacing w:val="20"/>
          <w:sz w:val="30"/>
          <w:szCs w:val="30"/>
        </w:rPr>
      </w:pPr>
    </w:p>
    <w:p>
      <w:pPr>
        <w:rPr>
          <w:rFonts w:ascii="宋体" w:hAnsi="宋体"/>
          <w:b/>
          <w:spacing w:val="20"/>
          <w:sz w:val="30"/>
          <w:szCs w:val="30"/>
        </w:rPr>
      </w:pPr>
      <w:r>
        <w:rPr>
          <w:rFonts w:hint="eastAsia" w:ascii="宋体" w:hAnsi="宋体"/>
          <w:b/>
          <w:sz w:val="32"/>
          <w:szCs w:val="32"/>
        </w:rPr>
        <w:t xml:space="preserve">附件7                             </w:t>
      </w:r>
      <w:r>
        <w:rPr>
          <w:rFonts w:hint="eastAsia" w:ascii="宋体" w:hAnsi="宋体"/>
          <w:b/>
          <w:spacing w:val="20"/>
          <w:sz w:val="30"/>
          <w:szCs w:val="30"/>
        </w:rPr>
        <w:t>产品</w:t>
      </w:r>
      <w:r>
        <w:rPr>
          <w:rFonts w:ascii="宋体" w:hAnsi="宋体"/>
          <w:b/>
          <w:spacing w:val="20"/>
          <w:sz w:val="30"/>
          <w:szCs w:val="30"/>
        </w:rPr>
        <w:t>技术规格表</w:t>
      </w:r>
    </w:p>
    <w:p>
      <w:pPr>
        <w:spacing w:line="360" w:lineRule="auto"/>
        <w:rPr>
          <w:rFonts w:ascii="宋体" w:hAnsi="宋体"/>
          <w:b/>
          <w:spacing w:val="20"/>
          <w:sz w:val="30"/>
          <w:szCs w:val="30"/>
        </w:rPr>
      </w:pPr>
    </w:p>
    <w:tbl>
      <w:tblPr>
        <w:tblStyle w:val="33"/>
        <w:tblW w:w="13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582"/>
        <w:gridCol w:w="1522"/>
        <w:gridCol w:w="1531"/>
        <w:gridCol w:w="3366"/>
        <w:gridCol w:w="330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54" w:type="dxa"/>
            <w:vAlign w:val="center"/>
          </w:tcPr>
          <w:p>
            <w:pPr>
              <w:spacing w:line="360" w:lineRule="auto"/>
              <w:jc w:val="center"/>
              <w:rPr>
                <w:rFonts w:ascii="宋体" w:hAnsi="宋体"/>
                <w:sz w:val="24"/>
              </w:rPr>
            </w:pPr>
            <w:r>
              <w:rPr>
                <w:rFonts w:ascii="宋体" w:hAnsi="宋体"/>
                <w:sz w:val="24"/>
              </w:rPr>
              <w:t>序号</w:t>
            </w:r>
          </w:p>
        </w:tc>
        <w:tc>
          <w:tcPr>
            <w:tcW w:w="1582" w:type="dxa"/>
            <w:vAlign w:val="center"/>
          </w:tcPr>
          <w:p>
            <w:pPr>
              <w:spacing w:line="360" w:lineRule="auto"/>
              <w:jc w:val="center"/>
              <w:rPr>
                <w:rFonts w:ascii="宋体" w:hAnsi="宋体"/>
                <w:sz w:val="24"/>
              </w:rPr>
            </w:pPr>
            <w:r>
              <w:rPr>
                <w:rFonts w:hint="eastAsia" w:ascii="宋体" w:hAnsi="宋体"/>
                <w:sz w:val="24"/>
              </w:rPr>
              <w:t>产品</w:t>
            </w:r>
            <w:r>
              <w:rPr>
                <w:rFonts w:ascii="宋体" w:hAnsi="宋体"/>
                <w:sz w:val="24"/>
              </w:rPr>
              <w:t>名称</w:t>
            </w:r>
          </w:p>
        </w:tc>
        <w:tc>
          <w:tcPr>
            <w:tcW w:w="1522" w:type="dxa"/>
            <w:vAlign w:val="center"/>
          </w:tcPr>
          <w:p>
            <w:pPr>
              <w:spacing w:line="360" w:lineRule="auto"/>
              <w:jc w:val="center"/>
              <w:rPr>
                <w:rFonts w:ascii="宋体" w:hAnsi="宋体"/>
                <w:sz w:val="24"/>
              </w:rPr>
            </w:pPr>
            <w:r>
              <w:rPr>
                <w:rFonts w:ascii="宋体" w:hAnsi="宋体"/>
                <w:sz w:val="24"/>
              </w:rPr>
              <w:t>品牌</w:t>
            </w:r>
          </w:p>
        </w:tc>
        <w:tc>
          <w:tcPr>
            <w:tcW w:w="1531" w:type="dxa"/>
            <w:vAlign w:val="center"/>
          </w:tcPr>
          <w:p>
            <w:pPr>
              <w:spacing w:line="360" w:lineRule="auto"/>
              <w:jc w:val="center"/>
              <w:rPr>
                <w:rFonts w:ascii="宋体" w:hAnsi="宋体"/>
                <w:sz w:val="24"/>
              </w:rPr>
            </w:pPr>
            <w:r>
              <w:rPr>
                <w:rFonts w:hint="eastAsia" w:ascii="宋体" w:hAnsi="宋体"/>
                <w:sz w:val="24"/>
              </w:rPr>
              <w:t>规格型号</w:t>
            </w:r>
          </w:p>
        </w:tc>
        <w:tc>
          <w:tcPr>
            <w:tcW w:w="3366" w:type="dxa"/>
            <w:vAlign w:val="center"/>
          </w:tcPr>
          <w:p>
            <w:pPr>
              <w:spacing w:line="360" w:lineRule="auto"/>
              <w:jc w:val="center"/>
              <w:rPr>
                <w:rFonts w:ascii="宋体" w:hAnsi="宋体"/>
                <w:sz w:val="24"/>
              </w:rPr>
            </w:pPr>
            <w:r>
              <w:rPr>
                <w:rFonts w:ascii="宋体" w:hAnsi="宋体"/>
                <w:sz w:val="24"/>
              </w:rPr>
              <w:t>标准配置</w:t>
            </w:r>
          </w:p>
        </w:tc>
        <w:tc>
          <w:tcPr>
            <w:tcW w:w="3305" w:type="dxa"/>
            <w:vAlign w:val="center"/>
          </w:tcPr>
          <w:p>
            <w:pPr>
              <w:spacing w:line="360" w:lineRule="auto"/>
              <w:jc w:val="center"/>
              <w:rPr>
                <w:rFonts w:ascii="宋体" w:hAnsi="宋体"/>
                <w:sz w:val="24"/>
              </w:rPr>
            </w:pPr>
            <w:r>
              <w:rPr>
                <w:rFonts w:hint="eastAsia" w:ascii="宋体" w:hAnsi="宋体"/>
                <w:sz w:val="24"/>
              </w:rPr>
              <w:t>主要技术参数</w:t>
            </w:r>
          </w:p>
        </w:tc>
        <w:tc>
          <w:tcPr>
            <w:tcW w:w="1050" w:type="dxa"/>
            <w:vAlign w:val="center"/>
          </w:tcPr>
          <w:p>
            <w:pPr>
              <w:spacing w:line="360" w:lineRule="auto"/>
              <w:jc w:val="center"/>
              <w:rPr>
                <w:rFonts w:ascii="宋体" w:hAnsi="宋体"/>
                <w:sz w:val="24"/>
              </w:rPr>
            </w:pPr>
            <w:r>
              <w:rPr>
                <w:rFonts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54" w:type="dxa"/>
            <w:vAlign w:val="center"/>
          </w:tcPr>
          <w:p>
            <w:pPr>
              <w:spacing w:line="360" w:lineRule="auto"/>
              <w:jc w:val="center"/>
              <w:rPr>
                <w:rFonts w:ascii="宋体" w:hAnsi="宋体"/>
                <w:sz w:val="24"/>
              </w:rPr>
            </w:pPr>
          </w:p>
        </w:tc>
        <w:tc>
          <w:tcPr>
            <w:tcW w:w="1582" w:type="dxa"/>
            <w:vAlign w:val="center"/>
          </w:tcPr>
          <w:p>
            <w:pPr>
              <w:spacing w:line="360" w:lineRule="auto"/>
              <w:rPr>
                <w:rFonts w:ascii="宋体" w:hAnsi="宋体"/>
                <w:sz w:val="24"/>
              </w:rPr>
            </w:pPr>
          </w:p>
        </w:tc>
        <w:tc>
          <w:tcPr>
            <w:tcW w:w="1522" w:type="dxa"/>
            <w:vAlign w:val="center"/>
          </w:tcPr>
          <w:p>
            <w:pPr>
              <w:spacing w:line="360" w:lineRule="auto"/>
              <w:jc w:val="center"/>
              <w:rPr>
                <w:rFonts w:ascii="宋体" w:hAnsi="宋体"/>
                <w:sz w:val="24"/>
              </w:rPr>
            </w:pPr>
          </w:p>
        </w:tc>
        <w:tc>
          <w:tcPr>
            <w:tcW w:w="1531" w:type="dxa"/>
            <w:vAlign w:val="center"/>
          </w:tcPr>
          <w:p>
            <w:pPr>
              <w:spacing w:line="360" w:lineRule="auto"/>
              <w:jc w:val="center"/>
              <w:rPr>
                <w:rFonts w:ascii="宋体" w:hAnsi="宋体"/>
                <w:sz w:val="24"/>
              </w:rPr>
            </w:pPr>
          </w:p>
        </w:tc>
        <w:tc>
          <w:tcPr>
            <w:tcW w:w="3366" w:type="dxa"/>
            <w:vAlign w:val="center"/>
          </w:tcPr>
          <w:p>
            <w:pPr>
              <w:spacing w:line="360" w:lineRule="auto"/>
              <w:jc w:val="center"/>
              <w:rPr>
                <w:rFonts w:ascii="宋体" w:hAnsi="宋体"/>
                <w:sz w:val="24"/>
              </w:rPr>
            </w:pPr>
          </w:p>
        </w:tc>
        <w:tc>
          <w:tcPr>
            <w:tcW w:w="3305" w:type="dxa"/>
            <w:vAlign w:val="center"/>
          </w:tcPr>
          <w:p>
            <w:pPr>
              <w:spacing w:line="360" w:lineRule="auto"/>
              <w:jc w:val="center"/>
              <w:rPr>
                <w:rFonts w:ascii="宋体" w:hAnsi="宋体"/>
                <w:sz w:val="24"/>
              </w:rPr>
            </w:pPr>
          </w:p>
        </w:tc>
        <w:tc>
          <w:tcPr>
            <w:tcW w:w="1050"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54" w:type="dxa"/>
            <w:vAlign w:val="center"/>
          </w:tcPr>
          <w:p>
            <w:pPr>
              <w:spacing w:line="360" w:lineRule="auto"/>
              <w:jc w:val="center"/>
              <w:rPr>
                <w:rFonts w:ascii="宋体" w:hAnsi="宋体"/>
                <w:sz w:val="24"/>
              </w:rPr>
            </w:pPr>
          </w:p>
        </w:tc>
        <w:tc>
          <w:tcPr>
            <w:tcW w:w="1582" w:type="dxa"/>
            <w:vAlign w:val="center"/>
          </w:tcPr>
          <w:p>
            <w:pPr>
              <w:spacing w:line="360" w:lineRule="auto"/>
              <w:jc w:val="center"/>
              <w:rPr>
                <w:rFonts w:ascii="宋体" w:hAnsi="宋体"/>
                <w:sz w:val="24"/>
              </w:rPr>
            </w:pPr>
          </w:p>
        </w:tc>
        <w:tc>
          <w:tcPr>
            <w:tcW w:w="1522" w:type="dxa"/>
            <w:vAlign w:val="center"/>
          </w:tcPr>
          <w:p>
            <w:pPr>
              <w:spacing w:line="360" w:lineRule="auto"/>
              <w:jc w:val="center"/>
              <w:rPr>
                <w:rFonts w:ascii="宋体" w:hAnsi="宋体"/>
                <w:sz w:val="24"/>
              </w:rPr>
            </w:pPr>
          </w:p>
        </w:tc>
        <w:tc>
          <w:tcPr>
            <w:tcW w:w="1531" w:type="dxa"/>
            <w:vAlign w:val="center"/>
          </w:tcPr>
          <w:p>
            <w:pPr>
              <w:spacing w:line="360" w:lineRule="auto"/>
              <w:jc w:val="center"/>
              <w:rPr>
                <w:rFonts w:ascii="宋体" w:hAnsi="宋体"/>
                <w:sz w:val="24"/>
              </w:rPr>
            </w:pPr>
          </w:p>
        </w:tc>
        <w:tc>
          <w:tcPr>
            <w:tcW w:w="3366" w:type="dxa"/>
            <w:vAlign w:val="center"/>
          </w:tcPr>
          <w:p>
            <w:pPr>
              <w:spacing w:line="360" w:lineRule="auto"/>
              <w:jc w:val="center"/>
              <w:rPr>
                <w:rFonts w:ascii="宋体" w:hAnsi="宋体"/>
                <w:sz w:val="24"/>
              </w:rPr>
            </w:pPr>
          </w:p>
        </w:tc>
        <w:tc>
          <w:tcPr>
            <w:tcW w:w="3305" w:type="dxa"/>
            <w:vAlign w:val="center"/>
          </w:tcPr>
          <w:p>
            <w:pPr>
              <w:spacing w:line="360" w:lineRule="auto"/>
              <w:jc w:val="center"/>
              <w:rPr>
                <w:rFonts w:ascii="宋体" w:hAnsi="宋体"/>
                <w:sz w:val="24"/>
              </w:rPr>
            </w:pPr>
          </w:p>
        </w:tc>
        <w:tc>
          <w:tcPr>
            <w:tcW w:w="1050"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4" w:type="dxa"/>
            <w:vAlign w:val="center"/>
          </w:tcPr>
          <w:p>
            <w:pPr>
              <w:spacing w:line="360" w:lineRule="auto"/>
              <w:jc w:val="center"/>
              <w:rPr>
                <w:rFonts w:ascii="宋体" w:hAnsi="宋体"/>
                <w:sz w:val="24"/>
              </w:rPr>
            </w:pPr>
          </w:p>
        </w:tc>
        <w:tc>
          <w:tcPr>
            <w:tcW w:w="1582" w:type="dxa"/>
            <w:vAlign w:val="center"/>
          </w:tcPr>
          <w:p>
            <w:pPr>
              <w:spacing w:line="360" w:lineRule="auto"/>
              <w:jc w:val="center"/>
              <w:rPr>
                <w:rFonts w:ascii="宋体" w:hAnsi="宋体"/>
                <w:sz w:val="24"/>
              </w:rPr>
            </w:pPr>
          </w:p>
        </w:tc>
        <w:tc>
          <w:tcPr>
            <w:tcW w:w="1522" w:type="dxa"/>
            <w:vAlign w:val="center"/>
          </w:tcPr>
          <w:p>
            <w:pPr>
              <w:spacing w:line="360" w:lineRule="auto"/>
              <w:jc w:val="center"/>
              <w:rPr>
                <w:rFonts w:ascii="宋体" w:hAnsi="宋体"/>
                <w:sz w:val="24"/>
              </w:rPr>
            </w:pPr>
          </w:p>
        </w:tc>
        <w:tc>
          <w:tcPr>
            <w:tcW w:w="1531" w:type="dxa"/>
            <w:vAlign w:val="center"/>
          </w:tcPr>
          <w:p>
            <w:pPr>
              <w:spacing w:line="360" w:lineRule="auto"/>
              <w:jc w:val="center"/>
              <w:rPr>
                <w:rFonts w:ascii="宋体" w:hAnsi="宋体"/>
                <w:sz w:val="24"/>
              </w:rPr>
            </w:pPr>
          </w:p>
        </w:tc>
        <w:tc>
          <w:tcPr>
            <w:tcW w:w="3366" w:type="dxa"/>
            <w:vAlign w:val="center"/>
          </w:tcPr>
          <w:p>
            <w:pPr>
              <w:spacing w:line="360" w:lineRule="auto"/>
              <w:jc w:val="center"/>
              <w:rPr>
                <w:rFonts w:ascii="宋体" w:hAnsi="宋体"/>
                <w:sz w:val="24"/>
              </w:rPr>
            </w:pPr>
          </w:p>
        </w:tc>
        <w:tc>
          <w:tcPr>
            <w:tcW w:w="3305" w:type="dxa"/>
            <w:vAlign w:val="center"/>
          </w:tcPr>
          <w:p>
            <w:pPr>
              <w:spacing w:line="360" w:lineRule="auto"/>
              <w:jc w:val="center"/>
              <w:rPr>
                <w:rFonts w:ascii="宋体" w:hAnsi="宋体"/>
                <w:sz w:val="24"/>
              </w:rPr>
            </w:pPr>
          </w:p>
        </w:tc>
        <w:tc>
          <w:tcPr>
            <w:tcW w:w="1050"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4" w:type="dxa"/>
            <w:vAlign w:val="center"/>
          </w:tcPr>
          <w:p>
            <w:pPr>
              <w:spacing w:line="360" w:lineRule="auto"/>
              <w:jc w:val="center"/>
              <w:rPr>
                <w:rFonts w:ascii="宋体" w:hAnsi="宋体"/>
                <w:sz w:val="24"/>
              </w:rPr>
            </w:pPr>
          </w:p>
        </w:tc>
        <w:tc>
          <w:tcPr>
            <w:tcW w:w="1582" w:type="dxa"/>
            <w:vAlign w:val="center"/>
          </w:tcPr>
          <w:p>
            <w:pPr>
              <w:spacing w:line="360" w:lineRule="auto"/>
              <w:jc w:val="center"/>
              <w:rPr>
                <w:rFonts w:ascii="宋体" w:hAnsi="宋体"/>
                <w:sz w:val="24"/>
              </w:rPr>
            </w:pPr>
          </w:p>
        </w:tc>
        <w:tc>
          <w:tcPr>
            <w:tcW w:w="1522" w:type="dxa"/>
            <w:vAlign w:val="center"/>
          </w:tcPr>
          <w:p>
            <w:pPr>
              <w:spacing w:line="360" w:lineRule="auto"/>
              <w:jc w:val="center"/>
              <w:rPr>
                <w:rFonts w:ascii="宋体" w:hAnsi="宋体"/>
                <w:sz w:val="24"/>
              </w:rPr>
            </w:pPr>
          </w:p>
        </w:tc>
        <w:tc>
          <w:tcPr>
            <w:tcW w:w="1531" w:type="dxa"/>
            <w:vAlign w:val="center"/>
          </w:tcPr>
          <w:p>
            <w:pPr>
              <w:spacing w:line="360" w:lineRule="auto"/>
              <w:jc w:val="center"/>
              <w:rPr>
                <w:rFonts w:ascii="宋体" w:hAnsi="宋体"/>
                <w:sz w:val="24"/>
              </w:rPr>
            </w:pPr>
          </w:p>
        </w:tc>
        <w:tc>
          <w:tcPr>
            <w:tcW w:w="3366" w:type="dxa"/>
            <w:vAlign w:val="center"/>
          </w:tcPr>
          <w:p>
            <w:pPr>
              <w:spacing w:line="360" w:lineRule="auto"/>
              <w:jc w:val="center"/>
              <w:rPr>
                <w:rFonts w:ascii="宋体" w:hAnsi="宋体"/>
                <w:sz w:val="24"/>
              </w:rPr>
            </w:pPr>
          </w:p>
        </w:tc>
        <w:tc>
          <w:tcPr>
            <w:tcW w:w="3305" w:type="dxa"/>
            <w:vAlign w:val="center"/>
          </w:tcPr>
          <w:p>
            <w:pPr>
              <w:spacing w:line="360" w:lineRule="auto"/>
              <w:jc w:val="center"/>
              <w:rPr>
                <w:rFonts w:ascii="宋体" w:hAnsi="宋体"/>
                <w:sz w:val="24"/>
              </w:rPr>
            </w:pPr>
          </w:p>
        </w:tc>
        <w:tc>
          <w:tcPr>
            <w:tcW w:w="1050"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54" w:type="dxa"/>
            <w:vAlign w:val="center"/>
          </w:tcPr>
          <w:p>
            <w:pPr>
              <w:spacing w:line="360" w:lineRule="auto"/>
              <w:jc w:val="center"/>
              <w:rPr>
                <w:rFonts w:ascii="宋体" w:hAnsi="宋体"/>
                <w:sz w:val="24"/>
              </w:rPr>
            </w:pPr>
          </w:p>
        </w:tc>
        <w:tc>
          <w:tcPr>
            <w:tcW w:w="1582" w:type="dxa"/>
            <w:vAlign w:val="center"/>
          </w:tcPr>
          <w:p>
            <w:pPr>
              <w:spacing w:line="360" w:lineRule="auto"/>
              <w:jc w:val="center"/>
              <w:rPr>
                <w:rFonts w:ascii="宋体" w:hAnsi="宋体"/>
                <w:sz w:val="24"/>
              </w:rPr>
            </w:pPr>
          </w:p>
        </w:tc>
        <w:tc>
          <w:tcPr>
            <w:tcW w:w="1522" w:type="dxa"/>
            <w:vAlign w:val="center"/>
          </w:tcPr>
          <w:p>
            <w:pPr>
              <w:spacing w:line="360" w:lineRule="auto"/>
              <w:jc w:val="center"/>
              <w:rPr>
                <w:rFonts w:ascii="宋体" w:hAnsi="宋体"/>
                <w:sz w:val="24"/>
              </w:rPr>
            </w:pPr>
          </w:p>
        </w:tc>
        <w:tc>
          <w:tcPr>
            <w:tcW w:w="1531" w:type="dxa"/>
            <w:vAlign w:val="center"/>
          </w:tcPr>
          <w:p>
            <w:pPr>
              <w:spacing w:line="360" w:lineRule="auto"/>
              <w:jc w:val="center"/>
              <w:rPr>
                <w:rFonts w:ascii="宋体" w:hAnsi="宋体"/>
                <w:sz w:val="24"/>
              </w:rPr>
            </w:pPr>
          </w:p>
        </w:tc>
        <w:tc>
          <w:tcPr>
            <w:tcW w:w="3366" w:type="dxa"/>
            <w:vAlign w:val="center"/>
          </w:tcPr>
          <w:p>
            <w:pPr>
              <w:spacing w:line="360" w:lineRule="auto"/>
              <w:jc w:val="center"/>
              <w:rPr>
                <w:rFonts w:ascii="宋体" w:hAnsi="宋体"/>
                <w:sz w:val="24"/>
              </w:rPr>
            </w:pPr>
          </w:p>
        </w:tc>
        <w:tc>
          <w:tcPr>
            <w:tcW w:w="3305" w:type="dxa"/>
            <w:vAlign w:val="center"/>
          </w:tcPr>
          <w:p>
            <w:pPr>
              <w:spacing w:line="360" w:lineRule="auto"/>
              <w:jc w:val="center"/>
              <w:rPr>
                <w:rFonts w:ascii="宋体" w:hAnsi="宋体"/>
                <w:sz w:val="24"/>
              </w:rPr>
            </w:pPr>
          </w:p>
        </w:tc>
        <w:tc>
          <w:tcPr>
            <w:tcW w:w="1050" w:type="dxa"/>
            <w:tcBorders>
              <w:bottom w:val="single" w:color="auto" w:sz="4" w:space="0"/>
            </w:tcBorders>
            <w:vAlign w:val="center"/>
          </w:tcPr>
          <w:p>
            <w:pPr>
              <w:spacing w:line="360" w:lineRule="auto"/>
              <w:jc w:val="center"/>
              <w:rPr>
                <w:rFonts w:ascii="宋体" w:hAnsi="宋体"/>
                <w:sz w:val="24"/>
              </w:rPr>
            </w:pPr>
          </w:p>
        </w:tc>
      </w:tr>
    </w:tbl>
    <w:p>
      <w:pPr>
        <w:rPr>
          <w:rFonts w:ascii="宋体" w:hAnsi="宋体"/>
          <w:b/>
          <w:spacing w:val="20"/>
          <w:sz w:val="30"/>
          <w:szCs w:val="30"/>
        </w:rPr>
      </w:pPr>
    </w:p>
    <w:p>
      <w:pPr>
        <w:spacing w:beforeLines="50" w:line="500" w:lineRule="exact"/>
        <w:ind w:firstLine="7700" w:firstLineChars="2750"/>
        <w:rPr>
          <w:rFonts w:ascii="宋体" w:hAnsi="宋体"/>
          <w:sz w:val="24"/>
        </w:rPr>
      </w:pPr>
      <w:r>
        <w:rPr>
          <w:rFonts w:ascii="宋体" w:hAnsi="宋体"/>
          <w:spacing w:val="20"/>
          <w:sz w:val="24"/>
        </w:rPr>
        <w:t>法定代表人或委托代理人</w:t>
      </w:r>
      <w:r>
        <w:rPr>
          <w:rFonts w:hint="eastAsia" w:ascii="宋体" w:hAnsi="宋体"/>
          <w:spacing w:val="20"/>
          <w:sz w:val="24"/>
        </w:rPr>
        <w:t>签名：</w:t>
      </w:r>
    </w:p>
    <w:p>
      <w:pPr>
        <w:spacing w:line="500" w:lineRule="exact"/>
        <w:ind w:firstLine="560" w:firstLineChars="200"/>
        <w:rPr>
          <w:rFonts w:ascii="宋体" w:hAnsi="宋体"/>
          <w:spacing w:val="20"/>
          <w:sz w:val="24"/>
          <w:u w:val="single"/>
        </w:rPr>
      </w:pPr>
      <w:r>
        <w:rPr>
          <w:rFonts w:hint="eastAsia" w:ascii="宋体" w:hAnsi="宋体"/>
          <w:spacing w:val="20"/>
          <w:sz w:val="24"/>
        </w:rPr>
        <w:t xml:space="preserve">                                                           投标人盖章：</w:t>
      </w:r>
    </w:p>
    <w:p>
      <w:pPr>
        <w:spacing w:line="500" w:lineRule="exact"/>
        <w:rPr>
          <w:rFonts w:ascii="宋体" w:hAnsi="宋体"/>
          <w:spacing w:val="20"/>
          <w:sz w:val="24"/>
        </w:rPr>
      </w:pPr>
    </w:p>
    <w:p>
      <w:pPr>
        <w:spacing w:line="500" w:lineRule="exact"/>
        <w:rPr>
          <w:rFonts w:ascii="宋体" w:hAnsi="宋体"/>
          <w:spacing w:val="20"/>
          <w:sz w:val="24"/>
          <w:u w:val="single"/>
        </w:rPr>
      </w:pPr>
      <w:r>
        <w:rPr>
          <w:rFonts w:hint="eastAsia" w:ascii="宋体" w:hAnsi="宋体"/>
          <w:spacing w:val="20"/>
          <w:sz w:val="24"/>
        </w:rPr>
        <w:t xml:space="preserve">                                                               日     期：</w:t>
      </w:r>
    </w:p>
    <w:p>
      <w:pPr>
        <w:spacing w:line="500" w:lineRule="exact"/>
        <w:rPr>
          <w:rFonts w:ascii="宋体" w:hAnsi="宋体"/>
          <w:spacing w:val="20"/>
          <w:sz w:val="24"/>
          <w:u w:val="single"/>
        </w:rPr>
      </w:pPr>
    </w:p>
    <w:p>
      <w:pPr>
        <w:spacing w:line="500" w:lineRule="exact"/>
        <w:rPr>
          <w:rFonts w:ascii="宋体" w:hAnsi="宋体"/>
          <w:spacing w:val="20"/>
          <w:sz w:val="24"/>
          <w:u w:val="single"/>
        </w:rPr>
      </w:pPr>
    </w:p>
    <w:p>
      <w:pPr>
        <w:spacing w:line="360" w:lineRule="auto"/>
        <w:rPr>
          <w:rFonts w:ascii="宋体" w:hAnsi="宋体"/>
          <w:b/>
          <w:spacing w:val="20"/>
          <w:sz w:val="30"/>
          <w:szCs w:val="30"/>
        </w:rPr>
      </w:pPr>
    </w:p>
    <w:p>
      <w:pPr>
        <w:rPr>
          <w:rFonts w:ascii="宋体" w:hAnsi="宋体"/>
          <w:b/>
          <w:spacing w:val="20"/>
          <w:sz w:val="30"/>
          <w:szCs w:val="30"/>
        </w:rPr>
      </w:pPr>
      <w:r>
        <w:rPr>
          <w:rFonts w:ascii="宋体" w:hAnsi="宋体"/>
          <w:b/>
          <w:spacing w:val="20"/>
          <w:sz w:val="30"/>
          <w:szCs w:val="30"/>
        </w:rPr>
        <w:t>附件</w:t>
      </w:r>
      <w:r>
        <w:rPr>
          <w:rFonts w:hint="eastAsia" w:ascii="宋体" w:hAnsi="宋体"/>
          <w:b/>
          <w:spacing w:val="20"/>
          <w:sz w:val="30"/>
          <w:szCs w:val="30"/>
        </w:rPr>
        <w:t>8                         技术规格偏离表</w:t>
      </w:r>
    </w:p>
    <w:p>
      <w:pPr>
        <w:rPr>
          <w:rFonts w:ascii="宋体" w:hAnsi="宋体"/>
          <w:spacing w:val="20"/>
          <w:sz w:val="24"/>
        </w:rPr>
      </w:pPr>
    </w:p>
    <w:tbl>
      <w:tblPr>
        <w:tblStyle w:val="33"/>
        <w:tblW w:w="14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505"/>
        <w:gridCol w:w="796"/>
        <w:gridCol w:w="2388"/>
        <w:gridCol w:w="1903"/>
        <w:gridCol w:w="1061"/>
        <w:gridCol w:w="2122"/>
        <w:gridCol w:w="189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18" w:type="dxa"/>
            <w:vMerge w:val="restart"/>
            <w:vAlign w:val="center"/>
          </w:tcPr>
          <w:p>
            <w:pPr>
              <w:spacing w:beforeLines="50" w:line="360" w:lineRule="auto"/>
              <w:jc w:val="center"/>
              <w:rPr>
                <w:rFonts w:hAnsi="宋体"/>
                <w:sz w:val="24"/>
              </w:rPr>
            </w:pPr>
            <w:r>
              <w:rPr>
                <w:rFonts w:hAnsi="宋体"/>
                <w:sz w:val="24"/>
              </w:rPr>
              <w:t>项号</w:t>
            </w:r>
          </w:p>
        </w:tc>
        <w:tc>
          <w:tcPr>
            <w:tcW w:w="4689" w:type="dxa"/>
            <w:gridSpan w:val="3"/>
            <w:vAlign w:val="center"/>
          </w:tcPr>
          <w:p>
            <w:pPr>
              <w:spacing w:beforeLines="50" w:line="240" w:lineRule="exact"/>
              <w:jc w:val="center"/>
              <w:rPr>
                <w:rFonts w:hAnsi="宋体"/>
                <w:sz w:val="24"/>
              </w:rPr>
            </w:pPr>
            <w:r>
              <w:rPr>
                <w:rFonts w:hint="eastAsia" w:hAnsi="宋体"/>
                <w:sz w:val="24"/>
              </w:rPr>
              <w:t>招标</w:t>
            </w:r>
            <w:r>
              <w:rPr>
                <w:rFonts w:hAnsi="宋体"/>
                <w:sz w:val="24"/>
              </w:rPr>
              <w:t>文件需求</w:t>
            </w:r>
          </w:p>
        </w:tc>
        <w:tc>
          <w:tcPr>
            <w:tcW w:w="6980" w:type="dxa"/>
            <w:gridSpan w:val="4"/>
            <w:vAlign w:val="center"/>
          </w:tcPr>
          <w:p>
            <w:pPr>
              <w:spacing w:beforeLines="50" w:line="240" w:lineRule="exact"/>
              <w:jc w:val="center"/>
              <w:rPr>
                <w:rFonts w:ascii="宋体" w:hAnsi="宋体"/>
                <w:sz w:val="24"/>
              </w:rPr>
            </w:pPr>
            <w:r>
              <w:rPr>
                <w:rFonts w:hint="eastAsia" w:ascii="宋体" w:hAnsi="宋体"/>
                <w:sz w:val="24"/>
              </w:rPr>
              <w:t>投标</w:t>
            </w:r>
            <w:r>
              <w:rPr>
                <w:rFonts w:ascii="宋体" w:hAnsi="宋体"/>
                <w:sz w:val="24"/>
              </w:rPr>
              <w:t>文件规格及技术参数</w:t>
            </w:r>
          </w:p>
        </w:tc>
        <w:tc>
          <w:tcPr>
            <w:tcW w:w="1903" w:type="dxa"/>
            <w:vMerge w:val="restart"/>
            <w:vAlign w:val="center"/>
          </w:tcPr>
          <w:p>
            <w:pPr>
              <w:spacing w:beforeLines="50" w:line="240" w:lineRule="exact"/>
              <w:jc w:val="center"/>
              <w:rPr>
                <w:rFonts w:ascii="宋体" w:hAnsi="宋体"/>
                <w:sz w:val="24"/>
              </w:rPr>
            </w:pPr>
            <w:r>
              <w:rPr>
                <w:rFonts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18" w:type="dxa"/>
            <w:vMerge w:val="continue"/>
            <w:vAlign w:val="center"/>
          </w:tcPr>
          <w:p>
            <w:pPr>
              <w:spacing w:beforeLines="50" w:line="360" w:lineRule="auto"/>
              <w:jc w:val="center"/>
              <w:rPr>
                <w:rFonts w:hAnsi="宋体"/>
                <w:sz w:val="24"/>
              </w:rPr>
            </w:pPr>
          </w:p>
        </w:tc>
        <w:tc>
          <w:tcPr>
            <w:tcW w:w="1505" w:type="dxa"/>
            <w:vAlign w:val="center"/>
          </w:tcPr>
          <w:p>
            <w:pPr>
              <w:spacing w:beforeLines="50" w:line="340" w:lineRule="exact"/>
              <w:jc w:val="center"/>
              <w:rPr>
                <w:rFonts w:hAnsi="宋体"/>
                <w:sz w:val="24"/>
              </w:rPr>
            </w:pPr>
            <w:r>
              <w:rPr>
                <w:rFonts w:hint="eastAsia" w:hAnsi="宋体"/>
                <w:sz w:val="24"/>
              </w:rPr>
              <w:t>产品</w:t>
            </w:r>
            <w:r>
              <w:rPr>
                <w:rFonts w:hAnsi="宋体"/>
                <w:sz w:val="24"/>
              </w:rPr>
              <w:t>名称</w:t>
            </w:r>
          </w:p>
        </w:tc>
        <w:tc>
          <w:tcPr>
            <w:tcW w:w="796" w:type="dxa"/>
            <w:vAlign w:val="center"/>
          </w:tcPr>
          <w:p>
            <w:pPr>
              <w:spacing w:beforeLines="50" w:line="340" w:lineRule="exact"/>
              <w:jc w:val="center"/>
              <w:rPr>
                <w:rFonts w:hAnsi="宋体"/>
                <w:sz w:val="24"/>
              </w:rPr>
            </w:pPr>
            <w:r>
              <w:rPr>
                <w:rFonts w:hAnsi="宋体"/>
                <w:sz w:val="24"/>
              </w:rPr>
              <w:t>数量</w:t>
            </w:r>
          </w:p>
        </w:tc>
        <w:tc>
          <w:tcPr>
            <w:tcW w:w="2388" w:type="dxa"/>
            <w:vAlign w:val="center"/>
          </w:tcPr>
          <w:p>
            <w:pPr>
              <w:spacing w:beforeLines="50" w:line="340" w:lineRule="exact"/>
              <w:jc w:val="center"/>
              <w:rPr>
                <w:rFonts w:hAnsi="宋体"/>
                <w:sz w:val="24"/>
              </w:rPr>
            </w:pPr>
            <w:r>
              <w:rPr>
                <w:rFonts w:hAnsi="宋体"/>
                <w:sz w:val="24"/>
              </w:rPr>
              <w:t>技术参数</w:t>
            </w:r>
          </w:p>
        </w:tc>
        <w:tc>
          <w:tcPr>
            <w:tcW w:w="1903" w:type="dxa"/>
            <w:vAlign w:val="center"/>
          </w:tcPr>
          <w:p>
            <w:pPr>
              <w:spacing w:beforeLines="50" w:line="340" w:lineRule="exact"/>
              <w:jc w:val="center"/>
              <w:rPr>
                <w:rFonts w:ascii="宋体" w:hAnsi="宋体"/>
                <w:sz w:val="24"/>
              </w:rPr>
            </w:pPr>
            <w:r>
              <w:rPr>
                <w:rFonts w:hint="eastAsia" w:ascii="宋体" w:hAnsi="宋体"/>
                <w:sz w:val="24"/>
              </w:rPr>
              <w:t>产品</w:t>
            </w:r>
            <w:r>
              <w:rPr>
                <w:rFonts w:ascii="宋体" w:hAnsi="宋体"/>
                <w:sz w:val="24"/>
              </w:rPr>
              <w:t>名称</w:t>
            </w:r>
          </w:p>
        </w:tc>
        <w:tc>
          <w:tcPr>
            <w:tcW w:w="1061" w:type="dxa"/>
            <w:vAlign w:val="center"/>
          </w:tcPr>
          <w:p>
            <w:pPr>
              <w:spacing w:beforeLines="50" w:line="340" w:lineRule="exact"/>
              <w:jc w:val="center"/>
              <w:rPr>
                <w:rFonts w:ascii="宋体" w:hAnsi="宋体"/>
                <w:sz w:val="24"/>
              </w:rPr>
            </w:pPr>
            <w:r>
              <w:rPr>
                <w:rFonts w:ascii="宋体" w:hAnsi="宋体"/>
                <w:sz w:val="24"/>
              </w:rPr>
              <w:t>数量</w:t>
            </w:r>
          </w:p>
        </w:tc>
        <w:tc>
          <w:tcPr>
            <w:tcW w:w="2122" w:type="dxa"/>
            <w:vAlign w:val="center"/>
          </w:tcPr>
          <w:p>
            <w:pPr>
              <w:spacing w:beforeLines="50" w:line="340" w:lineRule="exact"/>
              <w:jc w:val="center"/>
              <w:rPr>
                <w:rFonts w:ascii="宋体" w:hAnsi="宋体"/>
                <w:sz w:val="24"/>
              </w:rPr>
            </w:pPr>
            <w:r>
              <w:rPr>
                <w:rFonts w:ascii="宋体" w:hAnsi="宋体"/>
                <w:sz w:val="24"/>
              </w:rPr>
              <w:t>品牌、厂家、型号规格</w:t>
            </w:r>
          </w:p>
        </w:tc>
        <w:tc>
          <w:tcPr>
            <w:tcW w:w="1894" w:type="dxa"/>
            <w:vAlign w:val="center"/>
          </w:tcPr>
          <w:p>
            <w:pPr>
              <w:spacing w:beforeLines="50" w:line="340" w:lineRule="exact"/>
              <w:jc w:val="center"/>
              <w:rPr>
                <w:rFonts w:ascii="宋体" w:hAnsi="宋体"/>
                <w:sz w:val="24"/>
              </w:rPr>
            </w:pPr>
            <w:r>
              <w:rPr>
                <w:rFonts w:ascii="宋体" w:hAnsi="宋体"/>
                <w:sz w:val="24"/>
              </w:rPr>
              <w:t>技术参数</w:t>
            </w:r>
          </w:p>
        </w:tc>
        <w:tc>
          <w:tcPr>
            <w:tcW w:w="1903" w:type="dxa"/>
            <w:vMerge w:val="continue"/>
            <w:vAlign w:val="center"/>
          </w:tcPr>
          <w:p>
            <w:pPr>
              <w:spacing w:beforeLines="50"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pPr>
              <w:spacing w:beforeLines="50" w:line="360" w:lineRule="auto"/>
              <w:jc w:val="center"/>
              <w:rPr>
                <w:rFonts w:hAnsi="宋体"/>
                <w:sz w:val="24"/>
              </w:rPr>
            </w:pPr>
          </w:p>
        </w:tc>
        <w:tc>
          <w:tcPr>
            <w:tcW w:w="1505" w:type="dxa"/>
            <w:vAlign w:val="center"/>
          </w:tcPr>
          <w:p>
            <w:pPr>
              <w:spacing w:beforeLines="50" w:line="360" w:lineRule="auto"/>
              <w:jc w:val="center"/>
              <w:rPr>
                <w:rFonts w:hAnsi="宋体"/>
                <w:sz w:val="24"/>
              </w:rPr>
            </w:pPr>
          </w:p>
        </w:tc>
        <w:tc>
          <w:tcPr>
            <w:tcW w:w="796" w:type="dxa"/>
            <w:vAlign w:val="center"/>
          </w:tcPr>
          <w:p>
            <w:pPr>
              <w:spacing w:beforeLines="50" w:line="360" w:lineRule="auto"/>
              <w:jc w:val="center"/>
              <w:rPr>
                <w:rFonts w:hAnsi="宋体"/>
                <w:sz w:val="24"/>
              </w:rPr>
            </w:pPr>
          </w:p>
        </w:tc>
        <w:tc>
          <w:tcPr>
            <w:tcW w:w="2388"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c>
          <w:tcPr>
            <w:tcW w:w="1061" w:type="dxa"/>
            <w:vAlign w:val="center"/>
          </w:tcPr>
          <w:p>
            <w:pPr>
              <w:spacing w:beforeLines="50" w:line="360" w:lineRule="auto"/>
              <w:jc w:val="center"/>
              <w:rPr>
                <w:rFonts w:hAnsi="宋体"/>
                <w:sz w:val="24"/>
              </w:rPr>
            </w:pPr>
          </w:p>
        </w:tc>
        <w:tc>
          <w:tcPr>
            <w:tcW w:w="2122" w:type="dxa"/>
            <w:vAlign w:val="center"/>
          </w:tcPr>
          <w:p>
            <w:pPr>
              <w:spacing w:beforeLines="50" w:line="360" w:lineRule="auto"/>
              <w:jc w:val="center"/>
              <w:rPr>
                <w:rFonts w:hAnsi="宋体"/>
                <w:sz w:val="24"/>
              </w:rPr>
            </w:pPr>
          </w:p>
        </w:tc>
        <w:tc>
          <w:tcPr>
            <w:tcW w:w="1894"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pPr>
              <w:spacing w:beforeLines="50" w:line="360" w:lineRule="auto"/>
              <w:jc w:val="center"/>
              <w:rPr>
                <w:rFonts w:hAnsi="宋体"/>
                <w:sz w:val="24"/>
              </w:rPr>
            </w:pPr>
          </w:p>
        </w:tc>
        <w:tc>
          <w:tcPr>
            <w:tcW w:w="1505" w:type="dxa"/>
            <w:vAlign w:val="center"/>
          </w:tcPr>
          <w:p>
            <w:pPr>
              <w:spacing w:beforeLines="50" w:line="360" w:lineRule="auto"/>
              <w:jc w:val="center"/>
              <w:rPr>
                <w:rFonts w:hAnsi="宋体"/>
                <w:sz w:val="24"/>
              </w:rPr>
            </w:pPr>
          </w:p>
        </w:tc>
        <w:tc>
          <w:tcPr>
            <w:tcW w:w="796" w:type="dxa"/>
            <w:vAlign w:val="center"/>
          </w:tcPr>
          <w:p>
            <w:pPr>
              <w:spacing w:beforeLines="50" w:line="360" w:lineRule="auto"/>
              <w:jc w:val="center"/>
              <w:rPr>
                <w:rFonts w:hAnsi="宋体"/>
                <w:sz w:val="24"/>
              </w:rPr>
            </w:pPr>
          </w:p>
        </w:tc>
        <w:tc>
          <w:tcPr>
            <w:tcW w:w="2388"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c>
          <w:tcPr>
            <w:tcW w:w="1061" w:type="dxa"/>
            <w:vAlign w:val="center"/>
          </w:tcPr>
          <w:p>
            <w:pPr>
              <w:spacing w:beforeLines="50" w:line="360" w:lineRule="auto"/>
              <w:jc w:val="center"/>
              <w:rPr>
                <w:rFonts w:hAnsi="宋体"/>
                <w:sz w:val="24"/>
              </w:rPr>
            </w:pPr>
          </w:p>
        </w:tc>
        <w:tc>
          <w:tcPr>
            <w:tcW w:w="2122" w:type="dxa"/>
            <w:vAlign w:val="center"/>
          </w:tcPr>
          <w:p>
            <w:pPr>
              <w:spacing w:beforeLines="50" w:line="360" w:lineRule="auto"/>
              <w:jc w:val="center"/>
              <w:rPr>
                <w:rFonts w:hAnsi="宋体"/>
                <w:sz w:val="24"/>
              </w:rPr>
            </w:pPr>
          </w:p>
        </w:tc>
        <w:tc>
          <w:tcPr>
            <w:tcW w:w="1894"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pPr>
              <w:spacing w:beforeLines="50" w:line="360" w:lineRule="auto"/>
              <w:jc w:val="center"/>
              <w:rPr>
                <w:rFonts w:hAnsi="宋体"/>
                <w:sz w:val="24"/>
              </w:rPr>
            </w:pPr>
          </w:p>
        </w:tc>
        <w:tc>
          <w:tcPr>
            <w:tcW w:w="1505" w:type="dxa"/>
            <w:vAlign w:val="center"/>
          </w:tcPr>
          <w:p>
            <w:pPr>
              <w:spacing w:beforeLines="50" w:line="360" w:lineRule="auto"/>
              <w:jc w:val="center"/>
              <w:rPr>
                <w:rFonts w:hAnsi="宋体"/>
                <w:sz w:val="24"/>
              </w:rPr>
            </w:pPr>
          </w:p>
        </w:tc>
        <w:tc>
          <w:tcPr>
            <w:tcW w:w="796" w:type="dxa"/>
            <w:vAlign w:val="center"/>
          </w:tcPr>
          <w:p>
            <w:pPr>
              <w:spacing w:beforeLines="50" w:line="360" w:lineRule="auto"/>
              <w:jc w:val="center"/>
              <w:rPr>
                <w:rFonts w:hAnsi="宋体"/>
                <w:sz w:val="24"/>
              </w:rPr>
            </w:pPr>
          </w:p>
        </w:tc>
        <w:tc>
          <w:tcPr>
            <w:tcW w:w="2388"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c>
          <w:tcPr>
            <w:tcW w:w="1061" w:type="dxa"/>
            <w:vAlign w:val="center"/>
          </w:tcPr>
          <w:p>
            <w:pPr>
              <w:spacing w:beforeLines="50" w:line="360" w:lineRule="auto"/>
              <w:jc w:val="center"/>
              <w:rPr>
                <w:rFonts w:hAnsi="宋体"/>
                <w:sz w:val="24"/>
              </w:rPr>
            </w:pPr>
          </w:p>
        </w:tc>
        <w:tc>
          <w:tcPr>
            <w:tcW w:w="2122" w:type="dxa"/>
            <w:vAlign w:val="center"/>
          </w:tcPr>
          <w:p>
            <w:pPr>
              <w:spacing w:beforeLines="50" w:line="360" w:lineRule="auto"/>
              <w:jc w:val="center"/>
              <w:rPr>
                <w:rFonts w:hAnsi="宋体"/>
                <w:sz w:val="24"/>
              </w:rPr>
            </w:pPr>
          </w:p>
        </w:tc>
        <w:tc>
          <w:tcPr>
            <w:tcW w:w="1894"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18" w:type="dxa"/>
            <w:vAlign w:val="center"/>
          </w:tcPr>
          <w:p>
            <w:pPr>
              <w:spacing w:beforeLines="50" w:line="360" w:lineRule="auto"/>
              <w:jc w:val="center"/>
              <w:rPr>
                <w:rFonts w:hAnsi="宋体"/>
                <w:sz w:val="24"/>
              </w:rPr>
            </w:pPr>
          </w:p>
        </w:tc>
        <w:tc>
          <w:tcPr>
            <w:tcW w:w="1505" w:type="dxa"/>
            <w:vAlign w:val="center"/>
          </w:tcPr>
          <w:p>
            <w:pPr>
              <w:spacing w:beforeLines="50" w:line="360" w:lineRule="auto"/>
              <w:jc w:val="center"/>
              <w:rPr>
                <w:rFonts w:hAnsi="宋体"/>
                <w:sz w:val="24"/>
              </w:rPr>
            </w:pPr>
          </w:p>
        </w:tc>
        <w:tc>
          <w:tcPr>
            <w:tcW w:w="796" w:type="dxa"/>
            <w:vAlign w:val="center"/>
          </w:tcPr>
          <w:p>
            <w:pPr>
              <w:spacing w:beforeLines="50" w:line="360" w:lineRule="auto"/>
              <w:jc w:val="center"/>
              <w:rPr>
                <w:rFonts w:hAnsi="宋体"/>
                <w:sz w:val="24"/>
              </w:rPr>
            </w:pPr>
          </w:p>
        </w:tc>
        <w:tc>
          <w:tcPr>
            <w:tcW w:w="2388"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c>
          <w:tcPr>
            <w:tcW w:w="1061" w:type="dxa"/>
            <w:vAlign w:val="center"/>
          </w:tcPr>
          <w:p>
            <w:pPr>
              <w:spacing w:beforeLines="50" w:line="360" w:lineRule="auto"/>
              <w:jc w:val="center"/>
              <w:rPr>
                <w:rFonts w:hAnsi="宋体"/>
                <w:sz w:val="24"/>
              </w:rPr>
            </w:pPr>
          </w:p>
        </w:tc>
        <w:tc>
          <w:tcPr>
            <w:tcW w:w="2122" w:type="dxa"/>
            <w:vAlign w:val="center"/>
          </w:tcPr>
          <w:p>
            <w:pPr>
              <w:spacing w:beforeLines="50" w:line="360" w:lineRule="auto"/>
              <w:jc w:val="center"/>
              <w:rPr>
                <w:rFonts w:hAnsi="宋体"/>
                <w:sz w:val="24"/>
              </w:rPr>
            </w:pPr>
          </w:p>
        </w:tc>
        <w:tc>
          <w:tcPr>
            <w:tcW w:w="1894"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pPr>
              <w:spacing w:beforeLines="50" w:line="360" w:lineRule="auto"/>
              <w:jc w:val="center"/>
              <w:rPr>
                <w:rFonts w:hAnsi="宋体"/>
                <w:sz w:val="24"/>
              </w:rPr>
            </w:pPr>
          </w:p>
        </w:tc>
        <w:tc>
          <w:tcPr>
            <w:tcW w:w="1505" w:type="dxa"/>
            <w:vAlign w:val="center"/>
          </w:tcPr>
          <w:p>
            <w:pPr>
              <w:spacing w:beforeLines="50" w:line="360" w:lineRule="auto"/>
              <w:jc w:val="center"/>
              <w:rPr>
                <w:rFonts w:hAnsi="宋体"/>
                <w:sz w:val="24"/>
              </w:rPr>
            </w:pPr>
          </w:p>
        </w:tc>
        <w:tc>
          <w:tcPr>
            <w:tcW w:w="796" w:type="dxa"/>
            <w:vAlign w:val="center"/>
          </w:tcPr>
          <w:p>
            <w:pPr>
              <w:spacing w:beforeLines="50" w:line="360" w:lineRule="auto"/>
              <w:jc w:val="center"/>
              <w:rPr>
                <w:rFonts w:hAnsi="宋体"/>
                <w:sz w:val="24"/>
              </w:rPr>
            </w:pPr>
          </w:p>
        </w:tc>
        <w:tc>
          <w:tcPr>
            <w:tcW w:w="2388"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c>
          <w:tcPr>
            <w:tcW w:w="1061" w:type="dxa"/>
            <w:vAlign w:val="center"/>
          </w:tcPr>
          <w:p>
            <w:pPr>
              <w:spacing w:beforeLines="50" w:line="360" w:lineRule="auto"/>
              <w:jc w:val="center"/>
              <w:rPr>
                <w:rFonts w:hAnsi="宋体"/>
                <w:sz w:val="24"/>
              </w:rPr>
            </w:pPr>
          </w:p>
        </w:tc>
        <w:tc>
          <w:tcPr>
            <w:tcW w:w="2122" w:type="dxa"/>
            <w:vAlign w:val="center"/>
          </w:tcPr>
          <w:p>
            <w:pPr>
              <w:spacing w:beforeLines="50" w:line="360" w:lineRule="auto"/>
              <w:jc w:val="center"/>
              <w:rPr>
                <w:rFonts w:hAnsi="宋体"/>
                <w:sz w:val="24"/>
              </w:rPr>
            </w:pPr>
          </w:p>
        </w:tc>
        <w:tc>
          <w:tcPr>
            <w:tcW w:w="1894"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pPr>
              <w:spacing w:beforeLines="50" w:line="360" w:lineRule="auto"/>
              <w:jc w:val="center"/>
              <w:rPr>
                <w:rFonts w:hAnsi="宋体"/>
                <w:sz w:val="24"/>
              </w:rPr>
            </w:pPr>
          </w:p>
        </w:tc>
        <w:tc>
          <w:tcPr>
            <w:tcW w:w="1505" w:type="dxa"/>
            <w:vAlign w:val="center"/>
          </w:tcPr>
          <w:p>
            <w:pPr>
              <w:spacing w:beforeLines="50" w:line="360" w:lineRule="auto"/>
              <w:jc w:val="center"/>
              <w:rPr>
                <w:rFonts w:hAnsi="宋体"/>
                <w:sz w:val="24"/>
              </w:rPr>
            </w:pPr>
          </w:p>
        </w:tc>
        <w:tc>
          <w:tcPr>
            <w:tcW w:w="796" w:type="dxa"/>
            <w:vAlign w:val="center"/>
          </w:tcPr>
          <w:p>
            <w:pPr>
              <w:spacing w:beforeLines="50" w:line="360" w:lineRule="auto"/>
              <w:jc w:val="center"/>
              <w:rPr>
                <w:rFonts w:hAnsi="宋体"/>
                <w:sz w:val="24"/>
              </w:rPr>
            </w:pPr>
          </w:p>
        </w:tc>
        <w:tc>
          <w:tcPr>
            <w:tcW w:w="2388"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c>
          <w:tcPr>
            <w:tcW w:w="1061" w:type="dxa"/>
            <w:vAlign w:val="center"/>
          </w:tcPr>
          <w:p>
            <w:pPr>
              <w:spacing w:beforeLines="50" w:line="360" w:lineRule="auto"/>
              <w:jc w:val="center"/>
              <w:rPr>
                <w:rFonts w:hAnsi="宋体"/>
                <w:sz w:val="24"/>
              </w:rPr>
            </w:pPr>
          </w:p>
        </w:tc>
        <w:tc>
          <w:tcPr>
            <w:tcW w:w="2122" w:type="dxa"/>
            <w:vAlign w:val="center"/>
          </w:tcPr>
          <w:p>
            <w:pPr>
              <w:spacing w:beforeLines="50" w:line="360" w:lineRule="auto"/>
              <w:jc w:val="center"/>
              <w:rPr>
                <w:rFonts w:hAnsi="宋体"/>
                <w:sz w:val="24"/>
              </w:rPr>
            </w:pPr>
          </w:p>
        </w:tc>
        <w:tc>
          <w:tcPr>
            <w:tcW w:w="1894"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pPr>
              <w:spacing w:beforeLines="50" w:line="360" w:lineRule="auto"/>
              <w:jc w:val="center"/>
              <w:rPr>
                <w:rFonts w:hAnsi="宋体"/>
                <w:sz w:val="24"/>
              </w:rPr>
            </w:pPr>
          </w:p>
        </w:tc>
        <w:tc>
          <w:tcPr>
            <w:tcW w:w="1505" w:type="dxa"/>
            <w:vAlign w:val="center"/>
          </w:tcPr>
          <w:p>
            <w:pPr>
              <w:spacing w:beforeLines="50" w:line="360" w:lineRule="auto"/>
              <w:jc w:val="center"/>
              <w:rPr>
                <w:rFonts w:hAnsi="宋体"/>
                <w:sz w:val="24"/>
              </w:rPr>
            </w:pPr>
          </w:p>
        </w:tc>
        <w:tc>
          <w:tcPr>
            <w:tcW w:w="796" w:type="dxa"/>
            <w:vAlign w:val="center"/>
          </w:tcPr>
          <w:p>
            <w:pPr>
              <w:spacing w:beforeLines="50" w:line="360" w:lineRule="auto"/>
              <w:jc w:val="center"/>
              <w:rPr>
                <w:rFonts w:hAnsi="宋体"/>
                <w:sz w:val="24"/>
              </w:rPr>
            </w:pPr>
          </w:p>
        </w:tc>
        <w:tc>
          <w:tcPr>
            <w:tcW w:w="2388"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c>
          <w:tcPr>
            <w:tcW w:w="1061" w:type="dxa"/>
            <w:vAlign w:val="center"/>
          </w:tcPr>
          <w:p>
            <w:pPr>
              <w:spacing w:beforeLines="50" w:line="360" w:lineRule="auto"/>
              <w:jc w:val="center"/>
              <w:rPr>
                <w:rFonts w:hAnsi="宋体"/>
                <w:sz w:val="24"/>
              </w:rPr>
            </w:pPr>
          </w:p>
        </w:tc>
        <w:tc>
          <w:tcPr>
            <w:tcW w:w="2122" w:type="dxa"/>
            <w:vAlign w:val="center"/>
          </w:tcPr>
          <w:p>
            <w:pPr>
              <w:spacing w:beforeLines="50" w:line="360" w:lineRule="auto"/>
              <w:jc w:val="center"/>
              <w:rPr>
                <w:rFonts w:hAnsi="宋体"/>
                <w:sz w:val="24"/>
              </w:rPr>
            </w:pPr>
          </w:p>
        </w:tc>
        <w:tc>
          <w:tcPr>
            <w:tcW w:w="1894"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18" w:type="dxa"/>
            <w:vAlign w:val="center"/>
          </w:tcPr>
          <w:p>
            <w:pPr>
              <w:spacing w:beforeLines="50" w:line="360" w:lineRule="auto"/>
              <w:jc w:val="center"/>
              <w:rPr>
                <w:rFonts w:hAnsi="宋体"/>
                <w:sz w:val="24"/>
              </w:rPr>
            </w:pPr>
          </w:p>
        </w:tc>
        <w:tc>
          <w:tcPr>
            <w:tcW w:w="1505" w:type="dxa"/>
            <w:vAlign w:val="center"/>
          </w:tcPr>
          <w:p>
            <w:pPr>
              <w:spacing w:beforeLines="50" w:line="360" w:lineRule="auto"/>
              <w:jc w:val="center"/>
              <w:rPr>
                <w:rFonts w:hAnsi="宋体"/>
                <w:sz w:val="24"/>
              </w:rPr>
            </w:pPr>
          </w:p>
        </w:tc>
        <w:tc>
          <w:tcPr>
            <w:tcW w:w="796" w:type="dxa"/>
            <w:vAlign w:val="center"/>
          </w:tcPr>
          <w:p>
            <w:pPr>
              <w:spacing w:beforeLines="50" w:line="360" w:lineRule="auto"/>
              <w:jc w:val="center"/>
              <w:rPr>
                <w:rFonts w:hAnsi="宋体"/>
                <w:sz w:val="24"/>
              </w:rPr>
            </w:pPr>
          </w:p>
        </w:tc>
        <w:tc>
          <w:tcPr>
            <w:tcW w:w="2388"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c>
          <w:tcPr>
            <w:tcW w:w="1061" w:type="dxa"/>
            <w:vAlign w:val="center"/>
          </w:tcPr>
          <w:p>
            <w:pPr>
              <w:spacing w:beforeLines="50" w:line="360" w:lineRule="auto"/>
              <w:jc w:val="center"/>
              <w:rPr>
                <w:rFonts w:hAnsi="宋体"/>
                <w:sz w:val="24"/>
              </w:rPr>
            </w:pPr>
          </w:p>
        </w:tc>
        <w:tc>
          <w:tcPr>
            <w:tcW w:w="2122" w:type="dxa"/>
            <w:vAlign w:val="center"/>
          </w:tcPr>
          <w:p>
            <w:pPr>
              <w:spacing w:beforeLines="50" w:line="360" w:lineRule="auto"/>
              <w:jc w:val="center"/>
              <w:rPr>
                <w:rFonts w:hAnsi="宋体"/>
                <w:sz w:val="24"/>
              </w:rPr>
            </w:pPr>
          </w:p>
        </w:tc>
        <w:tc>
          <w:tcPr>
            <w:tcW w:w="1894" w:type="dxa"/>
            <w:vAlign w:val="center"/>
          </w:tcPr>
          <w:p>
            <w:pPr>
              <w:spacing w:beforeLines="50" w:line="360" w:lineRule="auto"/>
              <w:jc w:val="center"/>
              <w:rPr>
                <w:rFonts w:hAnsi="宋体"/>
                <w:sz w:val="24"/>
              </w:rPr>
            </w:pPr>
          </w:p>
        </w:tc>
        <w:tc>
          <w:tcPr>
            <w:tcW w:w="1903" w:type="dxa"/>
            <w:vAlign w:val="center"/>
          </w:tcPr>
          <w:p>
            <w:pPr>
              <w:spacing w:beforeLines="50" w:line="360" w:lineRule="auto"/>
              <w:jc w:val="center"/>
              <w:rPr>
                <w:rFonts w:hAnsi="宋体"/>
                <w:sz w:val="24"/>
              </w:rPr>
            </w:pPr>
          </w:p>
        </w:tc>
      </w:tr>
    </w:tbl>
    <w:p>
      <w:pPr>
        <w:rPr>
          <w:rFonts w:ascii="宋体" w:hAnsi="宋体"/>
          <w:spacing w:val="20"/>
          <w:sz w:val="24"/>
        </w:rPr>
      </w:pPr>
    </w:p>
    <w:p>
      <w:pPr>
        <w:rPr>
          <w:rFonts w:ascii="宋体" w:hAnsi="宋体"/>
          <w:spacing w:val="20"/>
          <w:sz w:val="24"/>
        </w:rPr>
      </w:pPr>
    </w:p>
    <w:p>
      <w:pPr>
        <w:spacing w:line="360" w:lineRule="auto"/>
        <w:jc w:val="right"/>
        <w:rPr>
          <w:rFonts w:ascii="宋体" w:hAnsi="宋体"/>
          <w:spacing w:val="20"/>
          <w:sz w:val="24"/>
          <w:u w:val="single"/>
        </w:rPr>
      </w:pPr>
      <w:r>
        <w:rPr>
          <w:rFonts w:hint="eastAsia" w:ascii="宋体" w:hAnsi="宋体"/>
          <w:spacing w:val="20"/>
          <w:sz w:val="24"/>
        </w:rPr>
        <w:t>投标人全权代表</w:t>
      </w:r>
      <w:r>
        <w:rPr>
          <w:rFonts w:ascii="宋体" w:hAnsi="宋体"/>
          <w:spacing w:val="20"/>
          <w:sz w:val="24"/>
        </w:rPr>
        <w:t>签字：</w:t>
      </w:r>
    </w:p>
    <w:p>
      <w:pPr>
        <w:spacing w:line="360" w:lineRule="auto"/>
        <w:jc w:val="right"/>
        <w:rPr>
          <w:rFonts w:ascii="宋体" w:hAnsi="宋体"/>
          <w:spacing w:val="20"/>
          <w:sz w:val="24"/>
        </w:rPr>
      </w:pPr>
      <w:r>
        <w:rPr>
          <w:rFonts w:hint="eastAsia" w:ascii="宋体" w:hAnsi="宋体"/>
          <w:spacing w:val="20"/>
          <w:sz w:val="24"/>
        </w:rPr>
        <w:t>投标人盖章：</w:t>
      </w:r>
    </w:p>
    <w:p>
      <w:pPr>
        <w:pStyle w:val="2"/>
        <w:jc w:val="right"/>
        <w:rPr>
          <w:rFonts w:ascii="宋体" w:hAnsi="宋体"/>
          <w:spacing w:val="20"/>
          <w:sz w:val="30"/>
          <w:szCs w:val="30"/>
        </w:rPr>
      </w:pPr>
      <w:r>
        <w:rPr>
          <w:rFonts w:hint="eastAsia" w:ascii="宋体" w:hAnsi="宋体" w:eastAsia="宋体"/>
          <w:b w:val="0"/>
          <w:spacing w:val="20"/>
          <w:sz w:val="24"/>
        </w:rPr>
        <w:t>日     期：</w:t>
      </w:r>
    </w:p>
    <w:p>
      <w:pPr>
        <w:pStyle w:val="3"/>
        <w:ind w:firstLine="480"/>
        <w:jc w:val="right"/>
        <w:sectPr>
          <w:pgSz w:w="16838" w:h="11906" w:orient="landscape"/>
          <w:pgMar w:top="1247" w:right="1389" w:bottom="1247" w:left="1389" w:header="851" w:footer="992" w:gutter="0"/>
          <w:cols w:space="720" w:num="1"/>
          <w:titlePg/>
          <w:docGrid w:linePitch="312" w:charSpace="0"/>
        </w:sectPr>
      </w:pPr>
    </w:p>
    <w:p>
      <w:pPr>
        <w:pStyle w:val="30"/>
        <w:jc w:val="both"/>
        <w:outlineLvl w:val="9"/>
      </w:pPr>
      <w:bookmarkStart w:id="87" w:name="_Toc4502"/>
      <w:r>
        <w:rPr>
          <w:rFonts w:hint="eastAsia"/>
        </w:rPr>
        <w:t xml:space="preserve">附件9              </w:t>
      </w:r>
      <w:r>
        <w:rPr>
          <w:rFonts w:hint="eastAsia" w:ascii="宋体" w:hAnsi="宋体"/>
          <w:szCs w:val="21"/>
        </w:rPr>
        <w:t>项目实施人员一览表</w:t>
      </w:r>
      <w:r>
        <w:br w:type="textWrapping"/>
      </w:r>
      <w:bookmarkEnd w:id="87"/>
    </w:p>
    <w:tbl>
      <w:tblPr>
        <w:tblStyle w:val="33"/>
        <w:tblW w:w="9608" w:type="dxa"/>
        <w:jc w:val="center"/>
        <w:tblLayout w:type="fixed"/>
        <w:tblCellMar>
          <w:top w:w="57" w:type="dxa"/>
          <w:left w:w="57" w:type="dxa"/>
          <w:bottom w:w="57" w:type="dxa"/>
          <w:right w:w="57" w:type="dxa"/>
        </w:tblCellMar>
      </w:tblPr>
      <w:tblGrid>
        <w:gridCol w:w="605"/>
        <w:gridCol w:w="1294"/>
        <w:gridCol w:w="753"/>
        <w:gridCol w:w="724"/>
        <w:gridCol w:w="1108"/>
        <w:gridCol w:w="923"/>
        <w:gridCol w:w="986"/>
        <w:gridCol w:w="1969"/>
        <w:gridCol w:w="1246"/>
      </w:tblGrid>
      <w:tr>
        <w:tblPrEx>
          <w:tblCellMar>
            <w:top w:w="57" w:type="dxa"/>
            <w:left w:w="57" w:type="dxa"/>
            <w:bottom w:w="57" w:type="dxa"/>
            <w:right w:w="57" w:type="dxa"/>
          </w:tblCellMar>
        </w:tblPrEx>
        <w:trPr>
          <w:cantSplit/>
          <w:trHeight w:val="1011" w:hRule="atLeast"/>
          <w:jc w:val="center"/>
        </w:trPr>
        <w:tc>
          <w:tcPr>
            <w:tcW w:w="605"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序号</w:t>
            </w:r>
          </w:p>
        </w:tc>
        <w:tc>
          <w:tcPr>
            <w:tcW w:w="1294" w:type="dxa"/>
            <w:tcBorders>
              <w:top w:val="single" w:color="auto" w:sz="6" w:space="0"/>
              <w:left w:val="single" w:color="auto" w:sz="6" w:space="0"/>
              <w:bottom w:val="single" w:color="auto" w:sz="6" w:space="0"/>
              <w:right w:val="single" w:color="auto" w:sz="6" w:space="0"/>
            </w:tcBorders>
            <w:vAlign w:val="center"/>
          </w:tcPr>
          <w:p>
            <w:pPr>
              <w:jc w:val="center"/>
            </w:pPr>
            <w:r>
              <w:t>姓 名</w:t>
            </w:r>
          </w:p>
        </w:tc>
        <w:tc>
          <w:tcPr>
            <w:tcW w:w="753" w:type="dxa"/>
            <w:tcBorders>
              <w:top w:val="single" w:color="auto" w:sz="6" w:space="0"/>
              <w:left w:val="single" w:color="auto" w:sz="6" w:space="0"/>
              <w:bottom w:val="single" w:color="auto" w:sz="6" w:space="0"/>
              <w:right w:val="single" w:color="auto" w:sz="6" w:space="0"/>
            </w:tcBorders>
            <w:vAlign w:val="center"/>
          </w:tcPr>
          <w:p>
            <w:pPr>
              <w:jc w:val="center"/>
            </w:pPr>
            <w:r>
              <w:t>性</w:t>
            </w:r>
          </w:p>
          <w:p>
            <w:pPr>
              <w:jc w:val="center"/>
            </w:pPr>
            <w:r>
              <w:t>别</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pPr>
            <w:r>
              <w:t>年</w:t>
            </w:r>
          </w:p>
          <w:p>
            <w:pPr>
              <w:jc w:val="center"/>
            </w:pPr>
            <w:r>
              <w:t>龄</w:t>
            </w:r>
          </w:p>
        </w:tc>
        <w:tc>
          <w:tcPr>
            <w:tcW w:w="110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学 历</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pPr>
            <w:r>
              <w:t>专业</w:t>
            </w:r>
          </w:p>
        </w:tc>
        <w:tc>
          <w:tcPr>
            <w:tcW w:w="986"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职称</w:t>
            </w:r>
          </w:p>
        </w:tc>
        <w:tc>
          <w:tcPr>
            <w:tcW w:w="196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拟任本项目职务</w:t>
            </w:r>
          </w:p>
        </w:tc>
        <w:tc>
          <w:tcPr>
            <w:tcW w:w="1246"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备    注</w:t>
            </w:r>
          </w:p>
        </w:tc>
      </w:tr>
      <w:tr>
        <w:tblPrEx>
          <w:tblCellMar>
            <w:top w:w="57" w:type="dxa"/>
            <w:left w:w="57" w:type="dxa"/>
            <w:bottom w:w="57" w:type="dxa"/>
            <w:right w:w="57" w:type="dxa"/>
          </w:tblCellMar>
        </w:tblPrEx>
        <w:trPr>
          <w:cantSplit/>
          <w:trHeight w:val="986" w:hRule="atLeast"/>
          <w:jc w:val="center"/>
        </w:trPr>
        <w:tc>
          <w:tcPr>
            <w:tcW w:w="605" w:type="dxa"/>
            <w:tcBorders>
              <w:top w:val="single" w:color="auto" w:sz="6" w:space="0"/>
              <w:left w:val="single" w:color="auto" w:sz="6" w:space="0"/>
              <w:bottom w:val="single" w:color="auto" w:sz="4" w:space="0"/>
              <w:right w:val="single" w:color="auto" w:sz="6" w:space="0"/>
            </w:tcBorders>
            <w:vAlign w:val="center"/>
          </w:tcPr>
          <w:p>
            <w:pPr>
              <w:spacing w:line="600" w:lineRule="auto"/>
              <w:jc w:val="center"/>
            </w:pPr>
          </w:p>
        </w:tc>
        <w:tc>
          <w:tcPr>
            <w:tcW w:w="1294" w:type="dxa"/>
            <w:tcBorders>
              <w:top w:val="single" w:color="auto" w:sz="6" w:space="0"/>
              <w:left w:val="single" w:color="auto" w:sz="6" w:space="0"/>
              <w:bottom w:val="single" w:color="auto" w:sz="4" w:space="0"/>
              <w:right w:val="single" w:color="auto" w:sz="6" w:space="0"/>
            </w:tcBorders>
            <w:vAlign w:val="center"/>
          </w:tcPr>
          <w:p>
            <w:pPr>
              <w:spacing w:line="600" w:lineRule="auto"/>
              <w:jc w:val="center"/>
            </w:pPr>
          </w:p>
        </w:tc>
        <w:tc>
          <w:tcPr>
            <w:tcW w:w="753"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szCs w:val="21"/>
              </w:rPr>
            </w:pPr>
          </w:p>
        </w:tc>
        <w:tc>
          <w:tcPr>
            <w:tcW w:w="724" w:type="dxa"/>
            <w:tcBorders>
              <w:top w:val="single" w:color="auto" w:sz="6" w:space="0"/>
              <w:left w:val="single" w:color="auto" w:sz="6" w:space="0"/>
              <w:bottom w:val="single" w:color="auto" w:sz="4" w:space="0"/>
              <w:right w:val="single" w:color="auto" w:sz="6" w:space="0"/>
            </w:tcBorders>
            <w:vAlign w:val="center"/>
          </w:tcPr>
          <w:p>
            <w:pPr>
              <w:spacing w:line="600" w:lineRule="auto"/>
              <w:jc w:val="center"/>
            </w:pPr>
          </w:p>
        </w:tc>
        <w:tc>
          <w:tcPr>
            <w:tcW w:w="1108"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szCs w:val="21"/>
              </w:rPr>
            </w:pPr>
          </w:p>
        </w:tc>
        <w:tc>
          <w:tcPr>
            <w:tcW w:w="923"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szCs w:val="21"/>
              </w:rPr>
            </w:pPr>
          </w:p>
        </w:tc>
        <w:tc>
          <w:tcPr>
            <w:tcW w:w="986"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szCs w:val="21"/>
              </w:rPr>
            </w:pPr>
          </w:p>
        </w:tc>
        <w:tc>
          <w:tcPr>
            <w:tcW w:w="1969" w:type="dxa"/>
            <w:tcBorders>
              <w:top w:val="single" w:color="auto" w:sz="6" w:space="0"/>
              <w:left w:val="single" w:color="auto" w:sz="6" w:space="0"/>
              <w:bottom w:val="single" w:color="auto" w:sz="4" w:space="0"/>
              <w:right w:val="single" w:color="auto" w:sz="6" w:space="0"/>
            </w:tcBorders>
            <w:vAlign w:val="center"/>
          </w:tcPr>
          <w:p>
            <w:pPr>
              <w:spacing w:line="600" w:lineRule="auto"/>
              <w:jc w:val="center"/>
            </w:pPr>
          </w:p>
        </w:tc>
        <w:tc>
          <w:tcPr>
            <w:tcW w:w="1246" w:type="dxa"/>
            <w:tcBorders>
              <w:top w:val="single" w:color="auto" w:sz="6" w:space="0"/>
              <w:left w:val="single" w:color="auto" w:sz="6" w:space="0"/>
              <w:bottom w:val="single" w:color="auto" w:sz="4" w:space="0"/>
              <w:right w:val="single" w:color="auto" w:sz="6" w:space="0"/>
            </w:tcBorders>
            <w:vAlign w:val="center"/>
          </w:tcPr>
          <w:p>
            <w:pPr>
              <w:spacing w:line="600" w:lineRule="auto"/>
              <w:jc w:val="center"/>
            </w:pPr>
          </w:p>
        </w:tc>
      </w:tr>
      <w:tr>
        <w:tblPrEx>
          <w:tblCellMar>
            <w:top w:w="57" w:type="dxa"/>
            <w:left w:w="57" w:type="dxa"/>
            <w:bottom w:w="57" w:type="dxa"/>
            <w:right w:w="57" w:type="dxa"/>
          </w:tblCellMar>
        </w:tblPrEx>
        <w:trPr>
          <w:cantSplit/>
          <w:trHeight w:val="986" w:hRule="atLeast"/>
          <w:jc w:val="center"/>
        </w:trPr>
        <w:tc>
          <w:tcPr>
            <w:tcW w:w="605" w:type="dxa"/>
            <w:tcBorders>
              <w:top w:val="single" w:color="auto" w:sz="6" w:space="0"/>
              <w:left w:val="single" w:color="auto" w:sz="6" w:space="0"/>
              <w:bottom w:val="single" w:color="auto" w:sz="4" w:space="0"/>
              <w:right w:val="single" w:color="auto" w:sz="6" w:space="0"/>
            </w:tcBorders>
            <w:vAlign w:val="center"/>
          </w:tcPr>
          <w:p>
            <w:pPr>
              <w:spacing w:line="600" w:lineRule="auto"/>
              <w:jc w:val="center"/>
            </w:pPr>
          </w:p>
        </w:tc>
        <w:tc>
          <w:tcPr>
            <w:tcW w:w="1294" w:type="dxa"/>
            <w:tcBorders>
              <w:top w:val="single" w:color="auto" w:sz="6" w:space="0"/>
              <w:left w:val="single" w:color="auto" w:sz="6" w:space="0"/>
              <w:bottom w:val="single" w:color="auto" w:sz="4" w:space="0"/>
              <w:right w:val="single" w:color="auto" w:sz="6" w:space="0"/>
            </w:tcBorders>
            <w:vAlign w:val="center"/>
          </w:tcPr>
          <w:p>
            <w:pPr>
              <w:spacing w:line="600" w:lineRule="auto"/>
              <w:jc w:val="center"/>
            </w:pPr>
          </w:p>
        </w:tc>
        <w:tc>
          <w:tcPr>
            <w:tcW w:w="753"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szCs w:val="21"/>
              </w:rPr>
            </w:pPr>
          </w:p>
        </w:tc>
        <w:tc>
          <w:tcPr>
            <w:tcW w:w="724"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szCs w:val="36"/>
              </w:rPr>
            </w:pPr>
          </w:p>
        </w:tc>
        <w:tc>
          <w:tcPr>
            <w:tcW w:w="1108"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szCs w:val="21"/>
              </w:rPr>
            </w:pPr>
          </w:p>
        </w:tc>
        <w:tc>
          <w:tcPr>
            <w:tcW w:w="923"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szCs w:val="21"/>
              </w:rPr>
            </w:pPr>
          </w:p>
        </w:tc>
        <w:tc>
          <w:tcPr>
            <w:tcW w:w="986"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szCs w:val="21"/>
              </w:rPr>
            </w:pPr>
          </w:p>
        </w:tc>
        <w:tc>
          <w:tcPr>
            <w:tcW w:w="1969" w:type="dxa"/>
            <w:tcBorders>
              <w:top w:val="single" w:color="auto" w:sz="6" w:space="0"/>
              <w:left w:val="single" w:color="auto" w:sz="6" w:space="0"/>
              <w:bottom w:val="single" w:color="auto" w:sz="4" w:space="0"/>
              <w:right w:val="single" w:color="auto" w:sz="6" w:space="0"/>
            </w:tcBorders>
            <w:vAlign w:val="center"/>
          </w:tcPr>
          <w:p>
            <w:pPr>
              <w:spacing w:line="600" w:lineRule="auto"/>
              <w:jc w:val="center"/>
            </w:pPr>
          </w:p>
        </w:tc>
        <w:tc>
          <w:tcPr>
            <w:tcW w:w="1246" w:type="dxa"/>
            <w:tcBorders>
              <w:top w:val="single" w:color="auto" w:sz="6" w:space="0"/>
              <w:left w:val="single" w:color="auto" w:sz="6" w:space="0"/>
              <w:bottom w:val="single" w:color="auto" w:sz="4" w:space="0"/>
              <w:right w:val="single" w:color="auto" w:sz="6" w:space="0"/>
            </w:tcBorders>
            <w:vAlign w:val="center"/>
          </w:tcPr>
          <w:p>
            <w:pPr>
              <w:spacing w:line="600" w:lineRule="auto"/>
              <w:jc w:val="center"/>
            </w:pPr>
          </w:p>
        </w:tc>
      </w:tr>
      <w:tr>
        <w:tblPrEx>
          <w:tblCellMar>
            <w:top w:w="57" w:type="dxa"/>
            <w:left w:w="57" w:type="dxa"/>
            <w:bottom w:w="57" w:type="dxa"/>
            <w:right w:w="57" w:type="dxa"/>
          </w:tblCellMar>
        </w:tblPrEx>
        <w:trPr>
          <w:cantSplit/>
          <w:trHeight w:val="1177" w:hRule="atLeast"/>
          <w:jc w:val="center"/>
        </w:trPr>
        <w:tc>
          <w:tcPr>
            <w:tcW w:w="605" w:type="dxa"/>
            <w:tcBorders>
              <w:top w:val="single" w:color="auto" w:sz="4" w:space="0"/>
              <w:left w:val="single" w:color="auto" w:sz="6" w:space="0"/>
              <w:bottom w:val="single" w:color="auto" w:sz="4" w:space="0"/>
              <w:right w:val="single" w:color="auto" w:sz="6" w:space="0"/>
            </w:tcBorders>
            <w:vAlign w:val="center"/>
          </w:tcPr>
          <w:p>
            <w:pPr>
              <w:spacing w:line="600" w:lineRule="auto"/>
              <w:jc w:val="center"/>
            </w:pPr>
          </w:p>
        </w:tc>
        <w:tc>
          <w:tcPr>
            <w:tcW w:w="1294"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szCs w:val="21"/>
              </w:rPr>
            </w:pPr>
          </w:p>
        </w:tc>
        <w:tc>
          <w:tcPr>
            <w:tcW w:w="753"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szCs w:val="21"/>
              </w:rPr>
            </w:pPr>
          </w:p>
        </w:tc>
        <w:tc>
          <w:tcPr>
            <w:tcW w:w="724"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szCs w:val="21"/>
              </w:rPr>
            </w:pPr>
          </w:p>
        </w:tc>
        <w:tc>
          <w:tcPr>
            <w:tcW w:w="1108"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szCs w:val="21"/>
              </w:rPr>
            </w:pPr>
          </w:p>
        </w:tc>
        <w:tc>
          <w:tcPr>
            <w:tcW w:w="923"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szCs w:val="21"/>
              </w:rPr>
            </w:pPr>
          </w:p>
        </w:tc>
        <w:tc>
          <w:tcPr>
            <w:tcW w:w="986"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szCs w:val="21"/>
              </w:rPr>
            </w:pPr>
          </w:p>
        </w:tc>
        <w:tc>
          <w:tcPr>
            <w:tcW w:w="1969" w:type="dxa"/>
            <w:tcBorders>
              <w:top w:val="single" w:color="auto" w:sz="4" w:space="0"/>
              <w:left w:val="single" w:color="auto" w:sz="6" w:space="0"/>
              <w:bottom w:val="single" w:color="auto" w:sz="4" w:space="0"/>
              <w:right w:val="single" w:color="auto" w:sz="6" w:space="0"/>
            </w:tcBorders>
            <w:vAlign w:val="center"/>
          </w:tcPr>
          <w:p>
            <w:pPr>
              <w:spacing w:line="600" w:lineRule="auto"/>
              <w:jc w:val="center"/>
            </w:pPr>
          </w:p>
        </w:tc>
        <w:tc>
          <w:tcPr>
            <w:tcW w:w="1246" w:type="dxa"/>
            <w:tcBorders>
              <w:top w:val="single" w:color="auto" w:sz="4" w:space="0"/>
              <w:left w:val="single" w:color="auto" w:sz="6" w:space="0"/>
              <w:bottom w:val="single" w:color="auto" w:sz="4" w:space="0"/>
              <w:right w:val="single" w:color="auto" w:sz="6" w:space="0"/>
            </w:tcBorders>
            <w:vAlign w:val="center"/>
          </w:tcPr>
          <w:p>
            <w:pPr>
              <w:spacing w:line="600" w:lineRule="auto"/>
              <w:jc w:val="center"/>
            </w:pPr>
          </w:p>
        </w:tc>
      </w:tr>
      <w:tr>
        <w:tblPrEx>
          <w:tblCellMar>
            <w:top w:w="57" w:type="dxa"/>
            <w:left w:w="57" w:type="dxa"/>
            <w:bottom w:w="57" w:type="dxa"/>
            <w:right w:w="57" w:type="dxa"/>
          </w:tblCellMar>
        </w:tblPrEx>
        <w:trPr>
          <w:cantSplit/>
          <w:trHeight w:val="1242" w:hRule="atLeast"/>
          <w:jc w:val="center"/>
        </w:trPr>
        <w:tc>
          <w:tcPr>
            <w:tcW w:w="605" w:type="dxa"/>
            <w:tcBorders>
              <w:top w:val="single" w:color="auto" w:sz="4" w:space="0"/>
              <w:left w:val="single" w:color="auto" w:sz="6" w:space="0"/>
              <w:bottom w:val="single" w:color="auto" w:sz="4" w:space="0"/>
              <w:right w:val="single" w:color="auto" w:sz="6" w:space="0"/>
            </w:tcBorders>
            <w:vAlign w:val="center"/>
          </w:tcPr>
          <w:p>
            <w:pPr>
              <w:spacing w:line="600" w:lineRule="auto"/>
              <w:jc w:val="center"/>
            </w:pPr>
          </w:p>
        </w:tc>
        <w:tc>
          <w:tcPr>
            <w:tcW w:w="1294"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szCs w:val="21"/>
              </w:rPr>
            </w:pPr>
          </w:p>
        </w:tc>
        <w:tc>
          <w:tcPr>
            <w:tcW w:w="753"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szCs w:val="21"/>
              </w:rPr>
            </w:pPr>
          </w:p>
        </w:tc>
        <w:tc>
          <w:tcPr>
            <w:tcW w:w="724"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szCs w:val="21"/>
              </w:rPr>
            </w:pPr>
          </w:p>
        </w:tc>
        <w:tc>
          <w:tcPr>
            <w:tcW w:w="1108"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szCs w:val="21"/>
              </w:rPr>
            </w:pPr>
          </w:p>
        </w:tc>
        <w:tc>
          <w:tcPr>
            <w:tcW w:w="923"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szCs w:val="21"/>
              </w:rPr>
            </w:pPr>
          </w:p>
        </w:tc>
        <w:tc>
          <w:tcPr>
            <w:tcW w:w="986"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szCs w:val="21"/>
              </w:rPr>
            </w:pPr>
          </w:p>
        </w:tc>
        <w:tc>
          <w:tcPr>
            <w:tcW w:w="1969" w:type="dxa"/>
            <w:tcBorders>
              <w:top w:val="single" w:color="auto" w:sz="4" w:space="0"/>
              <w:left w:val="single" w:color="auto" w:sz="6" w:space="0"/>
              <w:bottom w:val="single" w:color="auto" w:sz="4" w:space="0"/>
              <w:right w:val="single" w:color="auto" w:sz="6" w:space="0"/>
            </w:tcBorders>
            <w:vAlign w:val="center"/>
          </w:tcPr>
          <w:p>
            <w:pPr>
              <w:spacing w:line="600" w:lineRule="auto"/>
              <w:jc w:val="center"/>
            </w:pPr>
          </w:p>
        </w:tc>
        <w:tc>
          <w:tcPr>
            <w:tcW w:w="1246" w:type="dxa"/>
            <w:tcBorders>
              <w:top w:val="single" w:color="auto" w:sz="4" w:space="0"/>
              <w:left w:val="single" w:color="auto" w:sz="6" w:space="0"/>
              <w:bottom w:val="single" w:color="auto" w:sz="4" w:space="0"/>
              <w:right w:val="single" w:color="auto" w:sz="6" w:space="0"/>
            </w:tcBorders>
            <w:vAlign w:val="center"/>
          </w:tcPr>
          <w:p>
            <w:pPr>
              <w:spacing w:line="600" w:lineRule="auto"/>
              <w:jc w:val="center"/>
            </w:pPr>
          </w:p>
        </w:tc>
      </w:tr>
    </w:tbl>
    <w:p>
      <w:pPr>
        <w:spacing w:line="440" w:lineRule="exact"/>
        <w:rPr>
          <w:rFonts w:ascii="宋体" w:hAnsi="宋体"/>
          <w:b/>
          <w:spacing w:val="20"/>
          <w:sz w:val="24"/>
        </w:rPr>
      </w:pPr>
    </w:p>
    <w:p>
      <w:pPr>
        <w:spacing w:line="360" w:lineRule="auto"/>
        <w:ind w:firstLine="2800" w:firstLineChars="1000"/>
        <w:rPr>
          <w:rFonts w:ascii="宋体" w:hAnsi="宋体"/>
          <w:spacing w:val="20"/>
          <w:sz w:val="24"/>
        </w:rPr>
      </w:pPr>
    </w:p>
    <w:p>
      <w:pPr>
        <w:spacing w:line="360" w:lineRule="auto"/>
        <w:ind w:firstLine="2800" w:firstLineChars="1000"/>
        <w:rPr>
          <w:rFonts w:ascii="宋体" w:hAnsi="宋体"/>
          <w:spacing w:val="20"/>
          <w:sz w:val="24"/>
          <w:u w:val="single"/>
        </w:rPr>
      </w:pPr>
      <w:r>
        <w:rPr>
          <w:rFonts w:ascii="宋体" w:hAnsi="宋体"/>
          <w:spacing w:val="20"/>
          <w:sz w:val="24"/>
        </w:rPr>
        <w:t>法定代表人或委托代理人</w:t>
      </w:r>
      <w:r>
        <w:rPr>
          <w:rFonts w:hint="eastAsia" w:ascii="宋体" w:hAnsi="宋体"/>
          <w:spacing w:val="20"/>
          <w:sz w:val="24"/>
        </w:rPr>
        <w:t>签名：</w:t>
      </w:r>
    </w:p>
    <w:p>
      <w:pPr>
        <w:spacing w:line="360" w:lineRule="auto"/>
        <w:rPr>
          <w:rFonts w:ascii="宋体" w:hAnsi="宋体"/>
          <w:spacing w:val="20"/>
          <w:sz w:val="24"/>
          <w:u w:val="single"/>
        </w:rPr>
      </w:pPr>
    </w:p>
    <w:p>
      <w:pPr>
        <w:spacing w:line="360" w:lineRule="auto"/>
        <w:ind w:firstLine="560" w:firstLineChars="200"/>
        <w:rPr>
          <w:rFonts w:ascii="宋体" w:hAnsi="宋体"/>
          <w:spacing w:val="20"/>
          <w:sz w:val="24"/>
          <w:u w:val="single"/>
        </w:rPr>
      </w:pPr>
      <w:r>
        <w:rPr>
          <w:rFonts w:hint="eastAsia" w:ascii="宋体" w:hAnsi="宋体"/>
          <w:spacing w:val="20"/>
          <w:sz w:val="24"/>
        </w:rPr>
        <w:t xml:space="preserve">                            投标人盖章：</w:t>
      </w:r>
    </w:p>
    <w:p>
      <w:pPr>
        <w:spacing w:line="360" w:lineRule="auto"/>
        <w:rPr>
          <w:rFonts w:ascii="宋体" w:hAnsi="宋体"/>
          <w:spacing w:val="20"/>
          <w:sz w:val="24"/>
          <w:u w:val="single"/>
        </w:rPr>
      </w:pPr>
    </w:p>
    <w:p>
      <w:pPr>
        <w:tabs>
          <w:tab w:val="left" w:pos="1418"/>
        </w:tabs>
        <w:spacing w:line="360" w:lineRule="auto"/>
        <w:ind w:left="1418" w:hanging="567"/>
        <w:jc w:val="center"/>
        <w:rPr>
          <w:rFonts w:ascii="宋体" w:hAnsi="宋体"/>
          <w:spacing w:val="20"/>
          <w:sz w:val="24"/>
          <w:u w:val="single"/>
        </w:rPr>
      </w:pPr>
      <w:r>
        <w:rPr>
          <w:rFonts w:hint="eastAsia" w:ascii="宋体" w:hAnsi="宋体"/>
          <w:spacing w:val="20"/>
          <w:sz w:val="24"/>
        </w:rPr>
        <w:t xml:space="preserve">          日     期：</w:t>
      </w:r>
    </w:p>
    <w:p>
      <w:pPr>
        <w:tabs>
          <w:tab w:val="left" w:pos="1418"/>
        </w:tabs>
        <w:spacing w:line="360" w:lineRule="auto"/>
        <w:ind w:left="1418" w:hanging="567"/>
        <w:jc w:val="center"/>
        <w:rPr>
          <w:rFonts w:ascii="宋体" w:hAnsi="宋体"/>
          <w:spacing w:val="20"/>
          <w:sz w:val="24"/>
          <w:u w:val="single"/>
        </w:rPr>
      </w:pPr>
    </w:p>
    <w:p>
      <w:pPr>
        <w:tabs>
          <w:tab w:val="left" w:pos="1418"/>
        </w:tabs>
        <w:spacing w:line="360" w:lineRule="auto"/>
        <w:rPr>
          <w:rFonts w:ascii="宋体" w:hAnsi="宋体"/>
          <w:spacing w:val="20"/>
          <w:sz w:val="24"/>
          <w:u w:val="single"/>
        </w:rPr>
      </w:pPr>
    </w:p>
    <w:p>
      <w:pPr>
        <w:tabs>
          <w:tab w:val="left" w:pos="1418"/>
        </w:tabs>
        <w:spacing w:line="360" w:lineRule="auto"/>
        <w:ind w:left="1418" w:hanging="567"/>
        <w:jc w:val="center"/>
        <w:rPr>
          <w:rFonts w:ascii="宋体" w:hAnsi="宋体"/>
          <w:spacing w:val="20"/>
          <w:sz w:val="24"/>
          <w:u w:val="single"/>
        </w:rPr>
      </w:pPr>
    </w:p>
    <w:p>
      <w:pPr>
        <w:tabs>
          <w:tab w:val="left" w:pos="1418"/>
        </w:tabs>
        <w:spacing w:line="360" w:lineRule="auto"/>
        <w:ind w:left="1418" w:hanging="567"/>
        <w:jc w:val="center"/>
        <w:rPr>
          <w:rFonts w:ascii="宋体" w:hAnsi="宋体"/>
          <w:spacing w:val="20"/>
          <w:sz w:val="24"/>
          <w:u w:val="single"/>
        </w:rPr>
      </w:pPr>
    </w:p>
    <w:p>
      <w:pPr>
        <w:adjustRightInd w:val="0"/>
        <w:snapToGrid w:val="0"/>
        <w:spacing w:line="360" w:lineRule="auto"/>
        <w:jc w:val="left"/>
        <w:rPr>
          <w:rFonts w:ascii="宋体" w:hAnsi="宋体"/>
          <w:sz w:val="24"/>
        </w:rPr>
      </w:pPr>
      <w:r>
        <w:rPr>
          <w:rFonts w:hint="eastAsia" w:ascii="宋体" w:hAnsi="宋体"/>
          <w:sz w:val="24"/>
        </w:rPr>
        <w:t>注：1、上表中行数不够可自加</w:t>
      </w:r>
    </w:p>
    <w:p>
      <w:pPr>
        <w:adjustRightInd w:val="0"/>
        <w:snapToGrid w:val="0"/>
        <w:spacing w:line="360" w:lineRule="auto"/>
        <w:ind w:firstLine="480" w:firstLineChars="200"/>
        <w:jc w:val="left"/>
        <w:rPr>
          <w:rFonts w:ascii="宋体" w:hAnsi="宋体"/>
          <w:sz w:val="24"/>
        </w:rPr>
      </w:pPr>
      <w:r>
        <w:rPr>
          <w:rFonts w:hint="eastAsia" w:ascii="宋体" w:hAnsi="宋体"/>
          <w:sz w:val="24"/>
        </w:rPr>
        <w:t>2、项目组所有人员附学历、职称（复印件）等</w:t>
      </w:r>
      <w:r>
        <w:rPr>
          <w:rFonts w:hint="eastAsia" w:ascii="宋体" w:hAnsi="宋体" w:cs="Arial"/>
          <w:sz w:val="24"/>
        </w:rPr>
        <w:t>相关材料</w:t>
      </w:r>
    </w:p>
    <w:p>
      <w:pPr>
        <w:tabs>
          <w:tab w:val="left" w:pos="1418"/>
        </w:tabs>
        <w:spacing w:line="360" w:lineRule="auto"/>
        <w:ind w:left="1418" w:hanging="567"/>
        <w:jc w:val="center"/>
        <w:rPr>
          <w:rFonts w:ascii="宋体" w:hAnsi="宋体"/>
          <w:spacing w:val="20"/>
          <w:sz w:val="24"/>
          <w:u w:val="single"/>
        </w:rPr>
      </w:pPr>
    </w:p>
    <w:p>
      <w:pPr>
        <w:tabs>
          <w:tab w:val="left" w:pos="1418"/>
        </w:tabs>
        <w:spacing w:line="360" w:lineRule="auto"/>
        <w:ind w:left="1418" w:hanging="567"/>
        <w:jc w:val="center"/>
        <w:rPr>
          <w:rFonts w:ascii="宋体" w:hAnsi="宋体"/>
          <w:spacing w:val="20"/>
          <w:sz w:val="24"/>
          <w:u w:val="single"/>
        </w:rPr>
        <w:sectPr>
          <w:pgSz w:w="11906" w:h="16838"/>
          <w:pgMar w:top="1389" w:right="1247" w:bottom="1389" w:left="1247" w:header="851" w:footer="851" w:gutter="0"/>
          <w:cols w:space="720" w:num="1"/>
          <w:titlePg/>
          <w:docGrid w:linePitch="312" w:charSpace="0"/>
        </w:sectPr>
      </w:pPr>
    </w:p>
    <w:p>
      <w:pPr>
        <w:tabs>
          <w:tab w:val="left" w:pos="1418"/>
        </w:tabs>
        <w:spacing w:line="360" w:lineRule="auto"/>
        <w:ind w:left="1418" w:hanging="567"/>
        <w:jc w:val="center"/>
        <w:rPr>
          <w:rFonts w:ascii="宋体" w:hAnsi="宋体"/>
          <w:spacing w:val="20"/>
          <w:sz w:val="24"/>
          <w:u w:val="single"/>
        </w:rPr>
      </w:pPr>
    </w:p>
    <w:p>
      <w:pPr>
        <w:spacing w:line="360" w:lineRule="auto"/>
        <w:rPr>
          <w:rFonts w:ascii="宋体" w:hAnsi="宋体"/>
          <w:b/>
          <w:spacing w:val="20"/>
          <w:sz w:val="24"/>
        </w:rPr>
      </w:pPr>
      <w:r>
        <w:rPr>
          <w:rFonts w:ascii="宋体" w:hAnsi="宋体"/>
          <w:b/>
          <w:spacing w:val="20"/>
          <w:sz w:val="30"/>
          <w:szCs w:val="30"/>
        </w:rPr>
        <w:t>附件</w:t>
      </w:r>
      <w:r>
        <w:rPr>
          <w:rFonts w:hint="eastAsia" w:ascii="宋体" w:hAnsi="宋体"/>
          <w:b/>
          <w:spacing w:val="20"/>
          <w:sz w:val="30"/>
          <w:szCs w:val="30"/>
        </w:rPr>
        <w:t xml:space="preserve">10                       </w:t>
      </w:r>
      <w:r>
        <w:rPr>
          <w:rFonts w:hint="eastAsia" w:ascii="宋体" w:hAnsi="宋体"/>
          <w:b/>
          <w:spacing w:val="20"/>
          <w:sz w:val="30"/>
          <w:szCs w:val="28"/>
        </w:rPr>
        <w:t>备品备件及损耗件表</w:t>
      </w:r>
    </w:p>
    <w:p>
      <w:pPr>
        <w:spacing w:line="360" w:lineRule="auto"/>
        <w:jc w:val="center"/>
        <w:rPr>
          <w:rFonts w:ascii="宋体" w:hAnsi="宋体"/>
          <w:b/>
          <w:spacing w:val="20"/>
          <w:sz w:val="30"/>
          <w:szCs w:val="28"/>
        </w:rPr>
      </w:pPr>
    </w:p>
    <w:p>
      <w:pPr>
        <w:rPr>
          <w:rFonts w:ascii="宋体" w:hAnsi="宋体"/>
          <w:spacing w:val="20"/>
          <w:sz w:val="24"/>
        </w:rPr>
      </w:pPr>
      <w:r>
        <w:rPr>
          <w:rFonts w:hint="eastAsia" w:ascii="宋体" w:hAnsi="宋体"/>
          <w:spacing w:val="20"/>
          <w:sz w:val="24"/>
        </w:rPr>
        <w:t>投标人</w:t>
      </w:r>
      <w:r>
        <w:rPr>
          <w:rFonts w:ascii="宋体" w:hAnsi="宋体"/>
          <w:spacing w:val="20"/>
          <w:sz w:val="24"/>
        </w:rPr>
        <w:t>名称</w:t>
      </w:r>
      <w:r>
        <w:rPr>
          <w:rFonts w:hint="eastAsia" w:ascii="宋体" w:hAnsi="宋体"/>
          <w:spacing w:val="20"/>
          <w:sz w:val="24"/>
        </w:rPr>
        <w:t>（</w:t>
      </w:r>
      <w:r>
        <w:rPr>
          <w:rFonts w:ascii="宋体" w:hAnsi="宋体"/>
          <w:spacing w:val="20"/>
          <w:sz w:val="24"/>
        </w:rPr>
        <w:t>盖章</w:t>
      </w:r>
      <w:r>
        <w:rPr>
          <w:rFonts w:hint="eastAsia" w:ascii="宋体" w:hAnsi="宋体"/>
          <w:spacing w:val="20"/>
          <w:sz w:val="24"/>
        </w:rPr>
        <w:t>）</w:t>
      </w:r>
      <w:r>
        <w:rPr>
          <w:rFonts w:ascii="宋体" w:hAnsi="宋体"/>
          <w:spacing w:val="20"/>
          <w:sz w:val="24"/>
        </w:rPr>
        <w:t>：</w:t>
      </w:r>
      <w:r>
        <w:rPr>
          <w:rFonts w:hint="eastAsia" w:ascii="宋体" w:hAnsi="宋体"/>
          <w:spacing w:val="20"/>
          <w:sz w:val="24"/>
        </w:rPr>
        <w:t xml:space="preserve">              项目编号</w:t>
      </w:r>
      <w:r>
        <w:rPr>
          <w:rFonts w:ascii="宋体" w:hAnsi="宋体"/>
          <w:spacing w:val="20"/>
          <w:sz w:val="24"/>
        </w:rPr>
        <w:t>：</w:t>
      </w:r>
      <w:r>
        <w:rPr>
          <w:rFonts w:hint="eastAsia" w:ascii="宋体" w:hAnsi="宋体"/>
          <w:spacing w:val="20"/>
          <w:sz w:val="24"/>
        </w:rPr>
        <w:t xml:space="preserve">       项目</w:t>
      </w:r>
      <w:r>
        <w:rPr>
          <w:rFonts w:ascii="宋体" w:hAnsi="宋体"/>
          <w:spacing w:val="20"/>
          <w:sz w:val="24"/>
        </w:rPr>
        <w:t>名称：</w:t>
      </w:r>
      <w:r>
        <w:rPr>
          <w:rFonts w:hint="eastAsia" w:ascii="宋体" w:hAnsi="宋体"/>
          <w:spacing w:val="20"/>
          <w:sz w:val="24"/>
        </w:rPr>
        <w:t xml:space="preserve">   </w:t>
      </w:r>
    </w:p>
    <w:p>
      <w:pPr>
        <w:rPr>
          <w:rFonts w:ascii="宋体" w:hAnsi="宋体"/>
          <w:spacing w:val="20"/>
          <w:sz w:val="24"/>
        </w:rPr>
      </w:pPr>
      <w:r>
        <w:rPr>
          <w:rFonts w:hint="eastAsia" w:ascii="宋体" w:hAnsi="宋体"/>
          <w:spacing w:val="20"/>
          <w:sz w:val="24"/>
        </w:rPr>
        <w:t xml:space="preserve"> </w:t>
      </w:r>
    </w:p>
    <w:tbl>
      <w:tblPr>
        <w:tblStyle w:val="33"/>
        <w:tblW w:w="1352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3012"/>
        <w:gridCol w:w="3013"/>
        <w:gridCol w:w="3013"/>
        <w:gridCol w:w="301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spacing w:val="20"/>
                <w:sz w:val="24"/>
              </w:rPr>
            </w:pPr>
            <w:r>
              <w:rPr>
                <w:rFonts w:ascii="宋体" w:hAnsi="宋体"/>
                <w:spacing w:val="20"/>
                <w:sz w:val="24"/>
              </w:rPr>
              <w:t>序号</w:t>
            </w:r>
          </w:p>
        </w:tc>
        <w:tc>
          <w:tcPr>
            <w:tcW w:w="3012" w:type="dxa"/>
            <w:vAlign w:val="center"/>
          </w:tcPr>
          <w:p>
            <w:pPr>
              <w:jc w:val="center"/>
              <w:rPr>
                <w:rFonts w:ascii="宋体" w:hAnsi="宋体"/>
                <w:spacing w:val="20"/>
                <w:sz w:val="24"/>
              </w:rPr>
            </w:pPr>
            <w:r>
              <w:rPr>
                <w:rFonts w:ascii="宋体" w:hAnsi="宋体"/>
                <w:sz w:val="24"/>
                <w:szCs w:val="21"/>
              </w:rPr>
              <w:t>备品备件</w:t>
            </w:r>
          </w:p>
        </w:tc>
        <w:tc>
          <w:tcPr>
            <w:tcW w:w="3013" w:type="dxa"/>
            <w:vAlign w:val="center"/>
          </w:tcPr>
          <w:p>
            <w:pPr>
              <w:jc w:val="center"/>
              <w:rPr>
                <w:rFonts w:ascii="宋体" w:hAnsi="宋体"/>
                <w:spacing w:val="20"/>
                <w:sz w:val="24"/>
              </w:rPr>
            </w:pPr>
            <w:r>
              <w:rPr>
                <w:rFonts w:ascii="宋体" w:hAnsi="宋体"/>
                <w:sz w:val="24"/>
                <w:szCs w:val="21"/>
              </w:rPr>
              <w:t>适用型号</w:t>
            </w:r>
          </w:p>
        </w:tc>
        <w:tc>
          <w:tcPr>
            <w:tcW w:w="3013" w:type="dxa"/>
            <w:vAlign w:val="center"/>
          </w:tcPr>
          <w:p>
            <w:pPr>
              <w:jc w:val="center"/>
              <w:rPr>
                <w:rFonts w:ascii="宋体" w:hAnsi="宋体"/>
                <w:spacing w:val="20"/>
                <w:sz w:val="24"/>
              </w:rPr>
            </w:pPr>
            <w:r>
              <w:rPr>
                <w:rFonts w:ascii="宋体" w:hAnsi="宋体"/>
                <w:sz w:val="24"/>
                <w:szCs w:val="21"/>
              </w:rPr>
              <w:t>数量</w:t>
            </w:r>
          </w:p>
        </w:tc>
        <w:tc>
          <w:tcPr>
            <w:tcW w:w="3013" w:type="dxa"/>
            <w:vAlign w:val="center"/>
          </w:tcPr>
          <w:p>
            <w:pPr>
              <w:jc w:val="center"/>
              <w:rPr>
                <w:rFonts w:ascii="宋体" w:hAnsi="宋体"/>
                <w:spacing w:val="20"/>
                <w:sz w:val="24"/>
              </w:rPr>
            </w:pPr>
            <w:r>
              <w:rPr>
                <w:rFonts w:ascii="宋体" w:hAnsi="宋体"/>
                <w:spacing w:val="20"/>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spacing w:val="20"/>
                <w:sz w:val="24"/>
              </w:rPr>
            </w:pPr>
          </w:p>
        </w:tc>
        <w:tc>
          <w:tcPr>
            <w:tcW w:w="3012"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spacing w:val="20"/>
                <w:sz w:val="24"/>
              </w:rPr>
            </w:pPr>
          </w:p>
        </w:tc>
        <w:tc>
          <w:tcPr>
            <w:tcW w:w="3012"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spacing w:val="20"/>
                <w:sz w:val="24"/>
              </w:rPr>
            </w:pPr>
          </w:p>
        </w:tc>
        <w:tc>
          <w:tcPr>
            <w:tcW w:w="3012"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spacing w:val="20"/>
                <w:sz w:val="24"/>
              </w:rPr>
            </w:pPr>
          </w:p>
        </w:tc>
        <w:tc>
          <w:tcPr>
            <w:tcW w:w="3012"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spacing w:val="20"/>
                <w:sz w:val="24"/>
              </w:rPr>
            </w:pPr>
          </w:p>
        </w:tc>
        <w:tc>
          <w:tcPr>
            <w:tcW w:w="3012"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spacing w:val="20"/>
                <w:sz w:val="24"/>
              </w:rPr>
            </w:pPr>
          </w:p>
        </w:tc>
        <w:tc>
          <w:tcPr>
            <w:tcW w:w="3012"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spacing w:val="20"/>
                <w:sz w:val="24"/>
              </w:rPr>
            </w:pPr>
          </w:p>
        </w:tc>
        <w:tc>
          <w:tcPr>
            <w:tcW w:w="3012"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spacing w:val="20"/>
                <w:sz w:val="24"/>
              </w:rPr>
            </w:pPr>
          </w:p>
        </w:tc>
        <w:tc>
          <w:tcPr>
            <w:tcW w:w="3012"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c>
          <w:tcPr>
            <w:tcW w:w="3013" w:type="dxa"/>
            <w:vAlign w:val="center"/>
          </w:tcPr>
          <w:p>
            <w:pPr>
              <w:jc w:val="center"/>
              <w:rPr>
                <w:rFonts w:ascii="宋体" w:hAnsi="宋体"/>
                <w:spacing w:val="20"/>
                <w:sz w:val="24"/>
              </w:rPr>
            </w:pPr>
          </w:p>
        </w:tc>
      </w:tr>
    </w:tbl>
    <w:p>
      <w:pPr>
        <w:tabs>
          <w:tab w:val="left" w:pos="315"/>
        </w:tabs>
        <w:spacing w:line="360" w:lineRule="auto"/>
        <w:rPr>
          <w:rFonts w:ascii="宋体" w:hAnsi="宋体"/>
          <w:spacing w:val="20"/>
          <w:sz w:val="24"/>
        </w:rPr>
      </w:pPr>
    </w:p>
    <w:p>
      <w:pPr>
        <w:spacing w:line="360" w:lineRule="auto"/>
        <w:ind w:firstLine="560" w:firstLineChars="200"/>
        <w:rPr>
          <w:rFonts w:ascii="宋体" w:hAnsi="宋体"/>
          <w:spacing w:val="20"/>
          <w:sz w:val="24"/>
        </w:rPr>
      </w:pPr>
      <w:r>
        <w:rPr>
          <w:rFonts w:hint="eastAsia" w:ascii="宋体" w:hAnsi="宋体"/>
          <w:spacing w:val="20"/>
          <w:sz w:val="24"/>
        </w:rPr>
        <w:t>投标人全权代表</w:t>
      </w:r>
      <w:r>
        <w:rPr>
          <w:rFonts w:ascii="宋体" w:hAnsi="宋体"/>
          <w:spacing w:val="20"/>
          <w:sz w:val="24"/>
        </w:rPr>
        <w:t>签字：</w:t>
      </w:r>
    </w:p>
    <w:p>
      <w:pPr>
        <w:tabs>
          <w:tab w:val="left" w:pos="1418"/>
        </w:tabs>
        <w:spacing w:line="360" w:lineRule="auto"/>
        <w:ind w:firstLine="560" w:firstLineChars="200"/>
        <w:rPr>
          <w:rFonts w:ascii="宋体" w:hAnsi="宋体"/>
          <w:spacing w:val="20"/>
          <w:sz w:val="24"/>
        </w:rPr>
      </w:pPr>
    </w:p>
    <w:p>
      <w:pPr>
        <w:tabs>
          <w:tab w:val="left" w:pos="1418"/>
        </w:tabs>
        <w:spacing w:line="360" w:lineRule="auto"/>
        <w:ind w:firstLine="560" w:firstLineChars="200"/>
        <w:rPr>
          <w:rFonts w:ascii="宋体" w:hAnsi="宋体"/>
          <w:spacing w:val="20"/>
          <w:sz w:val="24"/>
          <w:u w:val="single"/>
        </w:rPr>
      </w:pPr>
      <w:r>
        <w:rPr>
          <w:rFonts w:hint="eastAsia" w:ascii="宋体" w:hAnsi="宋体"/>
          <w:spacing w:val="20"/>
          <w:sz w:val="24"/>
        </w:rPr>
        <w:t>日     期：</w:t>
      </w:r>
    </w:p>
    <w:p>
      <w:pPr>
        <w:spacing w:line="360" w:lineRule="auto"/>
        <w:jc w:val="left"/>
        <w:rPr>
          <w:rFonts w:ascii="宋体" w:hAnsi="宋体"/>
          <w:spacing w:val="20"/>
          <w:sz w:val="24"/>
          <w:u w:val="single"/>
        </w:rPr>
        <w:sectPr>
          <w:pgSz w:w="16838" w:h="11906" w:orient="landscape"/>
          <w:pgMar w:top="1247" w:right="1389" w:bottom="1247" w:left="1389" w:header="851" w:footer="992" w:gutter="0"/>
          <w:cols w:space="720" w:num="1"/>
          <w:titlePg/>
          <w:docGrid w:linePitch="312" w:charSpace="0"/>
        </w:sectPr>
      </w:pPr>
    </w:p>
    <w:p>
      <w:pPr>
        <w:adjustRightInd w:val="0"/>
        <w:snapToGrid w:val="0"/>
        <w:spacing w:line="360" w:lineRule="auto"/>
        <w:rPr>
          <w:rFonts w:ascii="宋体" w:hAnsi="宋体"/>
          <w:b/>
          <w:sz w:val="32"/>
          <w:szCs w:val="32"/>
        </w:rPr>
      </w:pPr>
      <w:r>
        <w:rPr>
          <w:rFonts w:hint="eastAsia" w:ascii="宋体" w:hAnsi="宋体"/>
          <w:b/>
          <w:sz w:val="32"/>
          <w:szCs w:val="32"/>
        </w:rPr>
        <w:t>附件11             服务承诺方案</w:t>
      </w:r>
    </w:p>
    <w:p>
      <w:pPr>
        <w:spacing w:line="600" w:lineRule="exact"/>
        <w:jc w:val="left"/>
        <w:rPr>
          <w:rFonts w:ascii="宋体" w:hAnsi="宋体"/>
          <w:b/>
          <w:sz w:val="30"/>
          <w:szCs w:val="30"/>
        </w:rPr>
      </w:pPr>
      <w:r>
        <w:rPr>
          <w:rFonts w:hint="eastAsia" w:ascii="宋体" w:hAnsi="宋体"/>
          <w:b/>
          <w:sz w:val="30"/>
          <w:szCs w:val="30"/>
        </w:rPr>
        <w:t>服务承诺方案：</w:t>
      </w:r>
    </w:p>
    <w:p>
      <w:pPr>
        <w:spacing w:line="400" w:lineRule="exact"/>
        <w:rPr>
          <w:rFonts w:ascii="宋体" w:hAnsi="宋体"/>
          <w:sz w:val="24"/>
        </w:rPr>
      </w:pPr>
      <w:r>
        <w:rPr>
          <w:rFonts w:hint="eastAsia" w:ascii="宋体" w:hAnsi="宋体"/>
          <w:sz w:val="24"/>
        </w:rPr>
        <w:t>1、投标人建议的安装、调试、验收方法或方案（格式自拟）</w:t>
      </w:r>
    </w:p>
    <w:p>
      <w:pPr>
        <w:spacing w:line="400" w:lineRule="exact"/>
        <w:rPr>
          <w:rFonts w:ascii="宋体" w:hAnsi="宋体"/>
          <w:sz w:val="24"/>
        </w:rPr>
      </w:pPr>
      <w:r>
        <w:rPr>
          <w:rFonts w:hint="eastAsia" w:ascii="宋体" w:hAnsi="宋体"/>
          <w:sz w:val="24"/>
        </w:rPr>
        <w:t>2、技术服务、技术培训、售后服务的内容和措施（格式自拟）</w:t>
      </w:r>
    </w:p>
    <w:p>
      <w:pPr>
        <w:spacing w:line="400" w:lineRule="exact"/>
        <w:jc w:val="left"/>
        <w:rPr>
          <w:rFonts w:ascii="宋体" w:hAnsi="宋体"/>
          <w:sz w:val="24"/>
        </w:rPr>
      </w:pPr>
      <w:r>
        <w:rPr>
          <w:rFonts w:hint="eastAsia" w:ascii="宋体" w:hAnsi="宋体"/>
          <w:sz w:val="24"/>
        </w:rPr>
        <w:t>3、免费质保期</w:t>
      </w:r>
    </w:p>
    <w:p>
      <w:pPr>
        <w:spacing w:line="400" w:lineRule="exact"/>
        <w:rPr>
          <w:rFonts w:ascii="宋体" w:hAnsi="宋体"/>
          <w:sz w:val="24"/>
        </w:rPr>
      </w:pPr>
      <w:r>
        <w:rPr>
          <w:rFonts w:hint="eastAsia" w:ascii="宋体" w:hAnsi="宋体"/>
          <w:sz w:val="24"/>
        </w:rPr>
        <w:t>4、质保期内服务措施</w:t>
      </w:r>
    </w:p>
    <w:p>
      <w:pPr>
        <w:spacing w:line="400" w:lineRule="exact"/>
        <w:jc w:val="left"/>
        <w:rPr>
          <w:rFonts w:ascii="宋体" w:hAnsi="宋体"/>
          <w:sz w:val="24"/>
        </w:rPr>
      </w:pPr>
      <w:r>
        <w:rPr>
          <w:rFonts w:hint="eastAsia" w:ascii="宋体" w:hAnsi="宋体"/>
          <w:sz w:val="24"/>
        </w:rPr>
        <w:t>5、质保期外服务措施</w:t>
      </w:r>
    </w:p>
    <w:p>
      <w:pPr>
        <w:spacing w:line="400" w:lineRule="exact"/>
        <w:jc w:val="left"/>
        <w:rPr>
          <w:rFonts w:ascii="宋体" w:hAnsi="宋体"/>
          <w:sz w:val="24"/>
        </w:rPr>
      </w:pPr>
      <w:r>
        <w:rPr>
          <w:rFonts w:hint="eastAsia" w:ascii="宋体" w:hAnsi="宋体"/>
          <w:sz w:val="24"/>
        </w:rPr>
        <w:t>6、其他服务承诺</w:t>
      </w:r>
    </w:p>
    <w:p>
      <w:pPr>
        <w:spacing w:line="400" w:lineRule="exact"/>
        <w:jc w:val="left"/>
        <w:rPr>
          <w:rFonts w:ascii="宋体" w:hAnsi="宋体"/>
          <w:sz w:val="24"/>
        </w:rPr>
      </w:pPr>
      <w:r>
        <w:rPr>
          <w:rFonts w:hint="eastAsia" w:ascii="宋体" w:hAnsi="宋体"/>
          <w:sz w:val="24"/>
        </w:rPr>
        <w:t>7、距采购人最近或者能为本项目提供最优服务的网点情况表</w:t>
      </w:r>
    </w:p>
    <w:tbl>
      <w:tblPr>
        <w:tblStyle w:val="33"/>
        <w:tblW w:w="8528" w:type="dxa"/>
        <w:tblInd w:w="0" w:type="dxa"/>
        <w:tblLayout w:type="fixed"/>
        <w:tblCellMar>
          <w:top w:w="0" w:type="dxa"/>
          <w:left w:w="108" w:type="dxa"/>
          <w:bottom w:w="0" w:type="dxa"/>
          <w:right w:w="108" w:type="dxa"/>
        </w:tblCellMar>
      </w:tblPr>
      <w:tblGrid>
        <w:gridCol w:w="1726"/>
        <w:gridCol w:w="1622"/>
        <w:gridCol w:w="191"/>
        <w:gridCol w:w="1439"/>
        <w:gridCol w:w="888"/>
        <w:gridCol w:w="1435"/>
        <w:gridCol w:w="1227"/>
      </w:tblGrid>
      <w:tr>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kern w:val="0"/>
                <w:sz w:val="24"/>
              </w:rPr>
            </w:pPr>
            <w:r>
              <w:rPr>
                <w:rFonts w:hint="eastAsia" w:ascii="宋体" w:hAnsi="宋体"/>
                <w:kern w:val="0"/>
                <w:sz w:val="24"/>
              </w:rPr>
              <w:t>服务网点名称</w:t>
            </w:r>
          </w:p>
        </w:tc>
        <w:tc>
          <w:tcPr>
            <w:tcW w:w="5575" w:type="dxa"/>
            <w:gridSpan w:val="5"/>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c>
          <w:tcPr>
            <w:tcW w:w="1227" w:type="dxa"/>
            <w:vMerge w:val="restart"/>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r>
              <w:rPr>
                <w:rFonts w:hint="eastAsia" w:ascii="宋体" w:hAnsi="宋体"/>
                <w:kern w:val="0"/>
                <w:sz w:val="24"/>
              </w:rPr>
              <w:t>投标文件</w:t>
            </w:r>
          </w:p>
          <w:p>
            <w:pPr>
              <w:widowControl/>
              <w:spacing w:before="50" w:after="156" w:line="400" w:lineRule="atLeast"/>
              <w:jc w:val="center"/>
              <w:rPr>
                <w:rFonts w:ascii="宋体" w:hAnsi="宋体"/>
                <w:kern w:val="0"/>
                <w:sz w:val="24"/>
              </w:rPr>
            </w:pPr>
            <w:r>
              <w:rPr>
                <w:rFonts w:hint="eastAsia" w:ascii="宋体" w:hAnsi="宋体"/>
                <w:kern w:val="0"/>
                <w:sz w:val="24"/>
              </w:rPr>
              <w:t>页码</w:t>
            </w: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kern w:val="0"/>
                <w:sz w:val="24"/>
              </w:rPr>
            </w:pPr>
            <w:r>
              <w:rPr>
                <w:rFonts w:hint="eastAsia" w:ascii="宋体" w:hAnsi="宋体"/>
                <w:kern w:val="0"/>
                <w:sz w:val="24"/>
              </w:rPr>
              <w:t>地址</w:t>
            </w:r>
          </w:p>
        </w:tc>
        <w:tc>
          <w:tcPr>
            <w:tcW w:w="5575" w:type="dxa"/>
            <w:gridSpan w:val="5"/>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c>
          <w:tcPr>
            <w:tcW w:w="122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kern w:val="0"/>
                <w:sz w:val="24"/>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kern w:val="0"/>
                <w:sz w:val="24"/>
              </w:rPr>
            </w:pPr>
            <w:r>
              <w:rPr>
                <w:rFonts w:hint="eastAsia" w:ascii="宋体" w:hAnsi="宋体"/>
                <w:kern w:val="0"/>
                <w:sz w:val="24"/>
              </w:rPr>
              <w:t>注册资本金</w:t>
            </w:r>
          </w:p>
        </w:tc>
        <w:tc>
          <w:tcPr>
            <w:tcW w:w="1622"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c>
          <w:tcPr>
            <w:tcW w:w="2518" w:type="dxa"/>
            <w:gridSpan w:val="3"/>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r>
              <w:rPr>
                <w:rFonts w:hint="eastAsia" w:ascii="宋体" w:hAnsi="宋体"/>
                <w:kern w:val="0"/>
                <w:sz w:val="24"/>
              </w:rPr>
              <w:t>其中：投标人出资比例</w:t>
            </w:r>
          </w:p>
        </w:tc>
        <w:tc>
          <w:tcPr>
            <w:tcW w:w="1435"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c>
          <w:tcPr>
            <w:tcW w:w="1227"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kern w:val="0"/>
                <w:sz w:val="24"/>
              </w:rPr>
            </w:pPr>
            <w:r>
              <w:rPr>
                <w:rFonts w:hint="eastAsia" w:ascii="宋体" w:hAnsi="宋体"/>
                <w:kern w:val="0"/>
                <w:sz w:val="24"/>
              </w:rPr>
              <w:t>员工总人数</w:t>
            </w:r>
          </w:p>
        </w:tc>
        <w:tc>
          <w:tcPr>
            <w:tcW w:w="1622"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c>
          <w:tcPr>
            <w:tcW w:w="2518" w:type="dxa"/>
            <w:gridSpan w:val="3"/>
            <w:tcBorders>
              <w:top w:val="single" w:color="000000" w:sz="4" w:space="0"/>
              <w:left w:val="nil"/>
              <w:bottom w:val="single" w:color="000000" w:sz="4" w:space="0"/>
              <w:right w:val="single" w:color="000000" w:sz="4" w:space="0"/>
            </w:tcBorders>
          </w:tcPr>
          <w:p>
            <w:pPr>
              <w:widowControl/>
              <w:spacing w:before="50" w:after="156" w:line="400" w:lineRule="atLeast"/>
              <w:ind w:left="60"/>
              <w:jc w:val="left"/>
              <w:rPr>
                <w:rFonts w:ascii="宋体" w:hAnsi="宋体"/>
                <w:kern w:val="0"/>
                <w:sz w:val="24"/>
              </w:rPr>
            </w:pPr>
            <w:r>
              <w:rPr>
                <w:rFonts w:hint="eastAsia" w:ascii="宋体" w:hAnsi="宋体"/>
                <w:kern w:val="0"/>
                <w:sz w:val="24"/>
              </w:rPr>
              <w:t>其中：技术人员数</w:t>
            </w:r>
          </w:p>
        </w:tc>
        <w:tc>
          <w:tcPr>
            <w:tcW w:w="1435"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c>
          <w:tcPr>
            <w:tcW w:w="1227"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kern w:val="0"/>
                <w:sz w:val="24"/>
              </w:rPr>
            </w:pPr>
            <w:r>
              <w:rPr>
                <w:rFonts w:hint="eastAsia" w:ascii="宋体" w:hAnsi="宋体"/>
                <w:kern w:val="0"/>
                <w:sz w:val="24"/>
              </w:rPr>
              <w:t>经营期限</w:t>
            </w:r>
          </w:p>
        </w:tc>
        <w:tc>
          <w:tcPr>
            <w:tcW w:w="5575" w:type="dxa"/>
            <w:gridSpan w:val="5"/>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c>
          <w:tcPr>
            <w:tcW w:w="1227"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kern w:val="0"/>
                <w:sz w:val="24"/>
              </w:rPr>
            </w:pPr>
            <w:r>
              <w:rPr>
                <w:rFonts w:hint="eastAsia" w:ascii="宋体" w:hAnsi="宋体"/>
                <w:kern w:val="0"/>
                <w:sz w:val="24"/>
              </w:rPr>
              <w:t>售后服务协议</w:t>
            </w:r>
          </w:p>
        </w:tc>
        <w:tc>
          <w:tcPr>
            <w:tcW w:w="5575" w:type="dxa"/>
            <w:gridSpan w:val="5"/>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c>
          <w:tcPr>
            <w:tcW w:w="1227"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kern w:val="0"/>
                <w:sz w:val="24"/>
              </w:rPr>
            </w:pPr>
            <w:r>
              <w:rPr>
                <w:rFonts w:hint="eastAsia" w:ascii="宋体" w:hAnsi="宋体"/>
                <w:kern w:val="0"/>
                <w:sz w:val="24"/>
              </w:rPr>
              <w:t>售后服务内容</w:t>
            </w:r>
          </w:p>
        </w:tc>
        <w:tc>
          <w:tcPr>
            <w:tcW w:w="5575" w:type="dxa"/>
            <w:gridSpan w:val="5"/>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c>
          <w:tcPr>
            <w:tcW w:w="1227"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kern w:val="0"/>
                <w:sz w:val="24"/>
              </w:rPr>
            </w:pPr>
            <w:r>
              <w:rPr>
                <w:rFonts w:hint="eastAsia" w:ascii="宋体" w:hAnsi="宋体"/>
                <w:kern w:val="0"/>
                <w:sz w:val="24"/>
              </w:rPr>
              <w:t>工作业绩</w:t>
            </w:r>
          </w:p>
        </w:tc>
        <w:tc>
          <w:tcPr>
            <w:tcW w:w="5575" w:type="dxa"/>
            <w:gridSpan w:val="5"/>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c>
          <w:tcPr>
            <w:tcW w:w="1227"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kern w:val="0"/>
                <w:sz w:val="24"/>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kern w:val="0"/>
                <w:sz w:val="24"/>
              </w:rPr>
            </w:pPr>
            <w:r>
              <w:rPr>
                <w:rFonts w:hint="eastAsia" w:ascii="宋体" w:hAnsi="宋体"/>
                <w:kern w:val="0"/>
                <w:sz w:val="24"/>
              </w:rPr>
              <w:t>服务承诺</w:t>
            </w:r>
          </w:p>
        </w:tc>
        <w:tc>
          <w:tcPr>
            <w:tcW w:w="5575" w:type="dxa"/>
            <w:gridSpan w:val="5"/>
            <w:tcBorders>
              <w:top w:val="single" w:color="000000" w:sz="4" w:space="0"/>
              <w:left w:val="nil"/>
              <w:bottom w:val="single" w:color="auto" w:sz="4" w:space="0"/>
              <w:right w:val="single" w:color="000000" w:sz="4" w:space="0"/>
            </w:tcBorders>
          </w:tcPr>
          <w:p>
            <w:pPr>
              <w:widowControl/>
              <w:spacing w:before="50" w:after="156" w:line="400" w:lineRule="atLeast"/>
              <w:jc w:val="left"/>
              <w:rPr>
                <w:rFonts w:ascii="宋体" w:hAnsi="宋体"/>
                <w:kern w:val="0"/>
                <w:sz w:val="24"/>
              </w:rPr>
            </w:pPr>
          </w:p>
        </w:tc>
        <w:tc>
          <w:tcPr>
            <w:tcW w:w="1227" w:type="dxa"/>
            <w:tcBorders>
              <w:top w:val="single" w:color="000000" w:sz="4" w:space="0"/>
              <w:left w:val="nil"/>
              <w:bottom w:val="single" w:color="auto" w:sz="4" w:space="0"/>
              <w:right w:val="single" w:color="000000" w:sz="4" w:space="0"/>
            </w:tcBorders>
          </w:tcPr>
          <w:p>
            <w:pPr>
              <w:widowControl/>
              <w:spacing w:before="50" w:after="156" w:line="400" w:lineRule="atLeast"/>
              <w:jc w:val="left"/>
              <w:rPr>
                <w:rFonts w:ascii="宋体" w:hAnsi="宋体"/>
                <w:kern w:val="0"/>
                <w:sz w:val="24"/>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auto" w:sz="4" w:space="0"/>
            </w:tcBorders>
          </w:tcPr>
          <w:p>
            <w:pPr>
              <w:widowControl/>
              <w:spacing w:before="50" w:after="156" w:line="400" w:lineRule="atLeast"/>
              <w:jc w:val="left"/>
              <w:rPr>
                <w:rFonts w:ascii="宋体" w:hAnsi="宋体"/>
                <w:kern w:val="0"/>
                <w:sz w:val="24"/>
              </w:rPr>
            </w:pPr>
            <w:r>
              <w:rPr>
                <w:rFonts w:hint="eastAsia" w:ascii="宋体" w:hAnsi="宋体"/>
                <w:kern w:val="0"/>
                <w:sz w:val="24"/>
              </w:rPr>
              <w:t>业务咨询电话</w:t>
            </w:r>
          </w:p>
        </w:tc>
        <w:tc>
          <w:tcPr>
            <w:tcW w:w="1813" w:type="dxa"/>
            <w:gridSpan w:val="2"/>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kern w:val="0"/>
                <w:sz w:val="24"/>
              </w:rPr>
            </w:pPr>
          </w:p>
        </w:tc>
        <w:tc>
          <w:tcPr>
            <w:tcW w:w="1439" w:type="dxa"/>
            <w:tcBorders>
              <w:top w:val="single" w:color="auto" w:sz="4" w:space="0"/>
              <w:left w:val="single" w:color="auto" w:sz="4" w:space="0"/>
              <w:bottom w:val="single" w:color="auto" w:sz="4" w:space="0"/>
              <w:right w:val="single" w:color="auto" w:sz="4" w:space="0"/>
            </w:tcBorders>
          </w:tcPr>
          <w:p>
            <w:pPr>
              <w:widowControl/>
              <w:spacing w:before="50" w:after="156" w:line="400" w:lineRule="atLeast"/>
              <w:ind w:firstLine="240"/>
              <w:jc w:val="left"/>
              <w:rPr>
                <w:rFonts w:ascii="宋体" w:hAnsi="宋体"/>
                <w:kern w:val="0"/>
                <w:sz w:val="24"/>
              </w:rPr>
            </w:pPr>
            <w:r>
              <w:rPr>
                <w:rFonts w:hint="eastAsia" w:ascii="宋体" w:hAnsi="宋体"/>
                <w:kern w:val="0"/>
                <w:sz w:val="24"/>
              </w:rPr>
              <w:t>传 真</w:t>
            </w:r>
          </w:p>
        </w:tc>
        <w:tc>
          <w:tcPr>
            <w:tcW w:w="2323" w:type="dxa"/>
            <w:gridSpan w:val="2"/>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kern w:val="0"/>
                <w:sz w:val="24"/>
              </w:rPr>
            </w:pPr>
          </w:p>
        </w:tc>
        <w:tc>
          <w:tcPr>
            <w:tcW w:w="1227" w:type="dxa"/>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kern w:val="0"/>
                <w:sz w:val="24"/>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auto" w:sz="4" w:space="0"/>
            </w:tcBorders>
          </w:tcPr>
          <w:p>
            <w:pPr>
              <w:widowControl/>
              <w:spacing w:before="50" w:after="156" w:line="400" w:lineRule="atLeast"/>
              <w:jc w:val="left"/>
              <w:rPr>
                <w:rFonts w:ascii="宋体" w:hAnsi="宋体"/>
                <w:kern w:val="0"/>
                <w:sz w:val="24"/>
              </w:rPr>
            </w:pPr>
            <w:r>
              <w:rPr>
                <w:rFonts w:hint="eastAsia" w:ascii="宋体" w:hAnsi="宋体"/>
                <w:kern w:val="0"/>
                <w:sz w:val="24"/>
              </w:rPr>
              <w:t>负责人</w:t>
            </w:r>
          </w:p>
        </w:tc>
        <w:tc>
          <w:tcPr>
            <w:tcW w:w="1813" w:type="dxa"/>
            <w:gridSpan w:val="2"/>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kern w:val="0"/>
                <w:sz w:val="24"/>
              </w:rPr>
            </w:pPr>
          </w:p>
        </w:tc>
        <w:tc>
          <w:tcPr>
            <w:tcW w:w="1439" w:type="dxa"/>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kern w:val="0"/>
                <w:sz w:val="24"/>
              </w:rPr>
            </w:pPr>
            <w:r>
              <w:rPr>
                <w:rFonts w:hint="eastAsia" w:ascii="宋体" w:hAnsi="宋体"/>
                <w:kern w:val="0"/>
                <w:sz w:val="24"/>
              </w:rPr>
              <w:t>联系电话</w:t>
            </w:r>
          </w:p>
        </w:tc>
        <w:tc>
          <w:tcPr>
            <w:tcW w:w="2323" w:type="dxa"/>
            <w:gridSpan w:val="2"/>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kern w:val="0"/>
                <w:sz w:val="24"/>
              </w:rPr>
            </w:pPr>
          </w:p>
        </w:tc>
        <w:tc>
          <w:tcPr>
            <w:tcW w:w="1227" w:type="dxa"/>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kern w:val="0"/>
                <w:sz w:val="24"/>
              </w:rPr>
            </w:pPr>
          </w:p>
        </w:tc>
      </w:tr>
    </w:tbl>
    <w:p>
      <w:pPr>
        <w:widowControl/>
        <w:rPr>
          <w:rFonts w:ascii="宋体" w:hAnsi="宋体" w:cs="Arial"/>
          <w:kern w:val="0"/>
          <w:sz w:val="24"/>
        </w:rPr>
      </w:pPr>
    </w:p>
    <w:p>
      <w:pPr>
        <w:widowControl/>
        <w:rPr>
          <w:rFonts w:ascii="宋体" w:hAnsi="宋体" w:cs="Arial"/>
          <w:kern w:val="0"/>
          <w:sz w:val="24"/>
        </w:rPr>
      </w:pPr>
    </w:p>
    <w:p>
      <w:pPr>
        <w:widowControl/>
        <w:spacing w:line="480" w:lineRule="auto"/>
        <w:rPr>
          <w:rFonts w:ascii="宋体" w:hAnsi="宋体" w:cs="Arial"/>
          <w:kern w:val="0"/>
          <w:sz w:val="24"/>
          <w:u w:val="single"/>
        </w:rPr>
      </w:pPr>
      <w:r>
        <w:rPr>
          <w:rFonts w:hint="eastAsia" w:ascii="宋体" w:hAnsi="宋体" w:cs="Arial"/>
          <w:kern w:val="0"/>
          <w:sz w:val="24"/>
        </w:rPr>
        <w:t>授权代表签字：</w:t>
      </w:r>
    </w:p>
    <w:p>
      <w:pPr>
        <w:widowControl/>
        <w:spacing w:line="480" w:lineRule="auto"/>
        <w:rPr>
          <w:rFonts w:ascii="宋体" w:hAnsi="宋体"/>
          <w:kern w:val="0"/>
          <w:sz w:val="24"/>
        </w:rPr>
      </w:pPr>
      <w:r>
        <w:rPr>
          <w:rFonts w:hint="eastAsia" w:ascii="宋体" w:hAnsi="宋体"/>
          <w:kern w:val="0"/>
          <w:sz w:val="24"/>
        </w:rPr>
        <w:t xml:space="preserve">投标人公章：                  </w:t>
      </w:r>
    </w:p>
    <w:p>
      <w:pPr>
        <w:widowControl/>
        <w:spacing w:line="480" w:lineRule="auto"/>
        <w:ind w:firstLine="240" w:firstLineChars="100"/>
        <w:rPr>
          <w:rFonts w:ascii="宋体" w:hAnsi="宋体"/>
          <w:kern w:val="0"/>
          <w:sz w:val="24"/>
        </w:rPr>
      </w:pPr>
      <w:r>
        <w:rPr>
          <w:rFonts w:hint="eastAsia" w:ascii="宋体" w:hAnsi="宋体"/>
          <w:kern w:val="0"/>
          <w:sz w:val="24"/>
        </w:rPr>
        <w:t>年  月  日</w:t>
      </w:r>
    </w:p>
    <w:p>
      <w:pPr>
        <w:pStyle w:val="62"/>
        <w:spacing w:before="50" w:after="156" w:line="480" w:lineRule="auto"/>
        <w:jc w:val="left"/>
        <w:rPr>
          <w:rFonts w:ascii="宋体" w:hAnsi="宋体"/>
          <w:kern w:val="2"/>
          <w:sz w:val="24"/>
          <w:szCs w:val="24"/>
        </w:rPr>
      </w:pPr>
    </w:p>
    <w:p>
      <w:pPr>
        <w:pStyle w:val="62"/>
        <w:rPr>
          <w:rFonts w:ascii="宋体" w:hAnsi="宋体"/>
          <w:kern w:val="2"/>
          <w:sz w:val="24"/>
          <w:szCs w:val="24"/>
        </w:rPr>
      </w:pPr>
      <w:r>
        <w:rPr>
          <w:rFonts w:hint="eastAsia" w:ascii="宋体" w:hAnsi="宋体"/>
          <w:kern w:val="2"/>
          <w:sz w:val="24"/>
          <w:szCs w:val="24"/>
        </w:rPr>
        <w:t>8、选配件、专用耗材、售后服务优惠表</w:t>
      </w:r>
    </w:p>
    <w:tbl>
      <w:tblPr>
        <w:tblStyle w:val="33"/>
        <w:tblW w:w="86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24"/>
              </w:rPr>
              <w:t>序号</w:t>
            </w:r>
          </w:p>
        </w:tc>
        <w:tc>
          <w:tcPr>
            <w:tcW w:w="2700" w:type="dxa"/>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24"/>
              </w:rPr>
              <w:t>优惠内容</w:t>
            </w:r>
          </w:p>
        </w:tc>
        <w:tc>
          <w:tcPr>
            <w:tcW w:w="1440" w:type="dxa"/>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24"/>
              </w:rPr>
              <w:t>适用机型</w:t>
            </w: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24"/>
              </w:rPr>
              <w:t>单价</w:t>
            </w:r>
          </w:p>
        </w:tc>
        <w:tc>
          <w:tcPr>
            <w:tcW w:w="2340" w:type="dxa"/>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24"/>
              </w:rPr>
              <w:t>比投标报价优惠率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24"/>
              </w:rPr>
              <w:t>1</w:t>
            </w:r>
          </w:p>
        </w:tc>
        <w:tc>
          <w:tcPr>
            <w:tcW w:w="2700" w:type="dxa"/>
            <w:vAlign w:val="center"/>
          </w:tcPr>
          <w:p>
            <w:pPr>
              <w:widowControl/>
              <w:spacing w:before="295" w:after="295" w:line="400" w:lineRule="atLeast"/>
              <w:jc w:val="center"/>
              <w:rPr>
                <w:rFonts w:ascii="宋体" w:hAnsi="宋体" w:cs="宋体"/>
                <w:kern w:val="0"/>
                <w:sz w:val="24"/>
              </w:rPr>
            </w:pPr>
          </w:p>
        </w:tc>
        <w:tc>
          <w:tcPr>
            <w:tcW w:w="1440" w:type="dxa"/>
            <w:vAlign w:val="center"/>
          </w:tcPr>
          <w:p>
            <w:pPr>
              <w:widowControl/>
              <w:spacing w:before="295" w:after="295" w:line="400" w:lineRule="atLeast"/>
              <w:jc w:val="center"/>
              <w:rPr>
                <w:rFonts w:ascii="宋体" w:hAnsi="宋体" w:cs="宋体"/>
                <w:kern w:val="0"/>
                <w:sz w:val="24"/>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p>
        </w:tc>
        <w:tc>
          <w:tcPr>
            <w:tcW w:w="2340" w:type="dxa"/>
            <w:vAlign w:val="center"/>
          </w:tcPr>
          <w:p>
            <w:pPr>
              <w:widowControl/>
              <w:spacing w:before="295" w:after="295" w:line="285" w:lineRule="atLeast"/>
              <w:jc w:val="center"/>
              <w:rPr>
                <w:rFonts w:ascii="宋体" w:hAnsi="宋体" w:cs="宋体"/>
                <w:kern w:val="0"/>
                <w:sz w:val="32"/>
                <w:szCs w:val="32"/>
              </w:rPr>
            </w:pPr>
            <w:r>
              <w:rPr>
                <w:rFonts w:hint="eastAsia" w:ascii="宋体" w:hAnsi="宋体" w:cs="宋体"/>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24"/>
              </w:rPr>
              <w:t>2</w:t>
            </w:r>
          </w:p>
        </w:tc>
        <w:tc>
          <w:tcPr>
            <w:tcW w:w="2700" w:type="dxa"/>
            <w:vAlign w:val="center"/>
          </w:tcPr>
          <w:p>
            <w:pPr>
              <w:widowControl/>
              <w:spacing w:before="295" w:after="295" w:line="400" w:lineRule="atLeast"/>
              <w:jc w:val="center"/>
              <w:rPr>
                <w:rFonts w:ascii="宋体" w:hAnsi="宋体" w:cs="宋体"/>
                <w:kern w:val="0"/>
                <w:sz w:val="24"/>
              </w:rPr>
            </w:pPr>
          </w:p>
        </w:tc>
        <w:tc>
          <w:tcPr>
            <w:tcW w:w="1440" w:type="dxa"/>
            <w:vAlign w:val="center"/>
          </w:tcPr>
          <w:p>
            <w:pPr>
              <w:widowControl/>
              <w:spacing w:before="295" w:after="295" w:line="400" w:lineRule="atLeast"/>
              <w:jc w:val="center"/>
              <w:rPr>
                <w:rFonts w:ascii="宋体" w:hAnsi="宋体" w:cs="宋体"/>
                <w:kern w:val="0"/>
                <w:sz w:val="24"/>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p>
        </w:tc>
        <w:tc>
          <w:tcPr>
            <w:tcW w:w="2340" w:type="dxa"/>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24"/>
              </w:rPr>
              <w:t>3</w:t>
            </w:r>
          </w:p>
        </w:tc>
        <w:tc>
          <w:tcPr>
            <w:tcW w:w="2700" w:type="dxa"/>
            <w:vAlign w:val="center"/>
          </w:tcPr>
          <w:p>
            <w:pPr>
              <w:widowControl/>
              <w:spacing w:before="295" w:after="295" w:line="400" w:lineRule="atLeast"/>
              <w:jc w:val="center"/>
              <w:rPr>
                <w:rFonts w:ascii="宋体" w:hAnsi="宋体" w:cs="宋体"/>
                <w:kern w:val="0"/>
                <w:sz w:val="24"/>
              </w:rPr>
            </w:pPr>
          </w:p>
        </w:tc>
        <w:tc>
          <w:tcPr>
            <w:tcW w:w="1440" w:type="dxa"/>
            <w:vAlign w:val="center"/>
          </w:tcPr>
          <w:p>
            <w:pPr>
              <w:widowControl/>
              <w:spacing w:before="295" w:after="295" w:line="400" w:lineRule="atLeast"/>
              <w:jc w:val="center"/>
              <w:rPr>
                <w:rFonts w:ascii="宋体" w:hAnsi="宋体" w:cs="宋体"/>
                <w:kern w:val="0"/>
                <w:sz w:val="24"/>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p>
        </w:tc>
        <w:tc>
          <w:tcPr>
            <w:tcW w:w="2340" w:type="dxa"/>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24"/>
              </w:rPr>
              <w:t>4</w:t>
            </w:r>
          </w:p>
        </w:tc>
        <w:tc>
          <w:tcPr>
            <w:tcW w:w="2700" w:type="dxa"/>
            <w:vAlign w:val="center"/>
          </w:tcPr>
          <w:p>
            <w:pPr>
              <w:widowControl/>
              <w:spacing w:before="295" w:after="295" w:line="400" w:lineRule="atLeast"/>
              <w:jc w:val="center"/>
              <w:rPr>
                <w:rFonts w:ascii="宋体" w:hAnsi="宋体" w:cs="宋体"/>
                <w:kern w:val="0"/>
                <w:sz w:val="24"/>
              </w:rPr>
            </w:pPr>
          </w:p>
        </w:tc>
        <w:tc>
          <w:tcPr>
            <w:tcW w:w="1440" w:type="dxa"/>
            <w:vAlign w:val="center"/>
          </w:tcPr>
          <w:p>
            <w:pPr>
              <w:widowControl/>
              <w:spacing w:before="295" w:after="295" w:line="400" w:lineRule="atLeast"/>
              <w:jc w:val="center"/>
              <w:rPr>
                <w:rFonts w:ascii="宋体" w:hAnsi="宋体" w:cs="宋体"/>
                <w:kern w:val="0"/>
                <w:sz w:val="24"/>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p>
        </w:tc>
        <w:tc>
          <w:tcPr>
            <w:tcW w:w="2340" w:type="dxa"/>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24"/>
              </w:rPr>
              <w:t>5</w:t>
            </w:r>
          </w:p>
        </w:tc>
        <w:tc>
          <w:tcPr>
            <w:tcW w:w="2700" w:type="dxa"/>
            <w:vAlign w:val="center"/>
          </w:tcPr>
          <w:p>
            <w:pPr>
              <w:widowControl/>
              <w:spacing w:before="295" w:after="295" w:line="400" w:lineRule="atLeast"/>
              <w:jc w:val="center"/>
              <w:rPr>
                <w:rFonts w:ascii="宋体" w:hAnsi="宋体" w:cs="宋体"/>
                <w:kern w:val="0"/>
                <w:sz w:val="24"/>
              </w:rPr>
            </w:pPr>
          </w:p>
        </w:tc>
        <w:tc>
          <w:tcPr>
            <w:tcW w:w="1440" w:type="dxa"/>
            <w:vAlign w:val="center"/>
          </w:tcPr>
          <w:p>
            <w:pPr>
              <w:widowControl/>
              <w:spacing w:before="295" w:after="295" w:line="400" w:lineRule="atLeast"/>
              <w:jc w:val="center"/>
              <w:rPr>
                <w:rFonts w:ascii="宋体" w:hAnsi="宋体" w:cs="宋体"/>
                <w:kern w:val="0"/>
                <w:sz w:val="24"/>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p>
        </w:tc>
        <w:tc>
          <w:tcPr>
            <w:tcW w:w="2340" w:type="dxa"/>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24"/>
              </w:rPr>
              <w:t>6</w:t>
            </w:r>
          </w:p>
        </w:tc>
        <w:tc>
          <w:tcPr>
            <w:tcW w:w="2700" w:type="dxa"/>
            <w:vAlign w:val="center"/>
          </w:tcPr>
          <w:p>
            <w:pPr>
              <w:widowControl/>
              <w:spacing w:before="295" w:after="295" w:line="400" w:lineRule="atLeast"/>
              <w:jc w:val="center"/>
              <w:rPr>
                <w:rFonts w:ascii="宋体" w:hAnsi="宋体" w:cs="宋体"/>
                <w:kern w:val="0"/>
                <w:sz w:val="24"/>
              </w:rPr>
            </w:pPr>
          </w:p>
        </w:tc>
        <w:tc>
          <w:tcPr>
            <w:tcW w:w="1440" w:type="dxa"/>
            <w:vAlign w:val="center"/>
          </w:tcPr>
          <w:p>
            <w:pPr>
              <w:widowControl/>
              <w:spacing w:before="295" w:after="295" w:line="400" w:lineRule="atLeast"/>
              <w:jc w:val="center"/>
              <w:rPr>
                <w:rFonts w:ascii="宋体" w:hAnsi="宋体" w:cs="宋体"/>
                <w:kern w:val="0"/>
                <w:sz w:val="24"/>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p>
        </w:tc>
        <w:tc>
          <w:tcPr>
            <w:tcW w:w="2340" w:type="dxa"/>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24"/>
              </w:rPr>
              <w:t>7</w:t>
            </w:r>
          </w:p>
        </w:tc>
        <w:tc>
          <w:tcPr>
            <w:tcW w:w="2700" w:type="dxa"/>
            <w:vAlign w:val="center"/>
          </w:tcPr>
          <w:p>
            <w:pPr>
              <w:widowControl/>
              <w:spacing w:before="295" w:after="295" w:line="400" w:lineRule="atLeast"/>
              <w:jc w:val="center"/>
              <w:rPr>
                <w:rFonts w:ascii="宋体" w:hAnsi="宋体" w:cs="宋体"/>
                <w:kern w:val="0"/>
                <w:sz w:val="24"/>
              </w:rPr>
            </w:pPr>
          </w:p>
        </w:tc>
        <w:tc>
          <w:tcPr>
            <w:tcW w:w="1440" w:type="dxa"/>
            <w:vAlign w:val="center"/>
          </w:tcPr>
          <w:p>
            <w:pPr>
              <w:widowControl/>
              <w:spacing w:before="295" w:after="295" w:line="400" w:lineRule="atLeast"/>
              <w:jc w:val="center"/>
              <w:rPr>
                <w:rFonts w:ascii="宋体" w:hAnsi="宋体" w:cs="宋体"/>
                <w:kern w:val="0"/>
                <w:sz w:val="24"/>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p>
        </w:tc>
        <w:tc>
          <w:tcPr>
            <w:tcW w:w="2340" w:type="dxa"/>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24"/>
              </w:rPr>
              <w:t>……</w:t>
            </w:r>
          </w:p>
        </w:tc>
        <w:tc>
          <w:tcPr>
            <w:tcW w:w="2700" w:type="dxa"/>
            <w:vAlign w:val="center"/>
          </w:tcPr>
          <w:p>
            <w:pPr>
              <w:widowControl/>
              <w:spacing w:before="295" w:after="295" w:line="400" w:lineRule="atLeast"/>
              <w:jc w:val="center"/>
              <w:rPr>
                <w:rFonts w:ascii="宋体" w:hAnsi="宋体" w:cs="宋体"/>
                <w:kern w:val="0"/>
                <w:sz w:val="24"/>
              </w:rPr>
            </w:pPr>
          </w:p>
        </w:tc>
        <w:tc>
          <w:tcPr>
            <w:tcW w:w="1440" w:type="dxa"/>
            <w:vAlign w:val="center"/>
          </w:tcPr>
          <w:p>
            <w:pPr>
              <w:widowControl/>
              <w:spacing w:before="295" w:after="295" w:line="400" w:lineRule="atLeast"/>
              <w:jc w:val="center"/>
              <w:rPr>
                <w:rFonts w:ascii="宋体" w:hAnsi="宋体" w:cs="宋体"/>
                <w:kern w:val="0"/>
                <w:sz w:val="24"/>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kern w:val="0"/>
                <w:sz w:val="24"/>
              </w:rPr>
            </w:pPr>
          </w:p>
        </w:tc>
        <w:tc>
          <w:tcPr>
            <w:tcW w:w="2340" w:type="dxa"/>
            <w:vAlign w:val="center"/>
          </w:tcPr>
          <w:p>
            <w:pPr>
              <w:widowControl/>
              <w:spacing w:before="295" w:after="295" w:line="400" w:lineRule="atLeast"/>
              <w:jc w:val="center"/>
              <w:rPr>
                <w:rFonts w:ascii="宋体" w:hAnsi="宋体" w:cs="宋体"/>
                <w:kern w:val="0"/>
                <w:sz w:val="24"/>
              </w:rPr>
            </w:pPr>
            <w:r>
              <w:rPr>
                <w:rFonts w:hint="eastAsia" w:ascii="宋体" w:hAnsi="宋体" w:cs="宋体"/>
                <w:kern w:val="0"/>
                <w:sz w:val="32"/>
                <w:szCs w:val="32"/>
              </w:rPr>
              <w:t>%</w:t>
            </w:r>
          </w:p>
        </w:tc>
      </w:tr>
    </w:tbl>
    <w:p>
      <w:pPr>
        <w:widowControl/>
        <w:spacing w:before="50" w:after="50"/>
        <w:rPr>
          <w:rFonts w:ascii="宋体" w:hAnsi="宋体"/>
          <w:spacing w:val="20"/>
          <w:kern w:val="0"/>
          <w:sz w:val="24"/>
        </w:rPr>
      </w:pPr>
    </w:p>
    <w:p>
      <w:pPr>
        <w:widowControl/>
        <w:spacing w:before="50" w:after="50"/>
        <w:rPr>
          <w:rFonts w:ascii="宋体" w:hAnsi="宋体"/>
          <w:spacing w:val="20"/>
          <w:kern w:val="0"/>
          <w:sz w:val="24"/>
        </w:rPr>
      </w:pPr>
      <w:r>
        <w:rPr>
          <w:rFonts w:hint="eastAsia" w:ascii="宋体" w:hAnsi="宋体"/>
          <w:spacing w:val="20"/>
          <w:kern w:val="0"/>
          <w:sz w:val="24"/>
        </w:rPr>
        <w:t>授权代表签名：</w:t>
      </w:r>
    </w:p>
    <w:p>
      <w:pPr>
        <w:widowControl/>
        <w:spacing w:before="50" w:after="50"/>
        <w:rPr>
          <w:rFonts w:ascii="宋体" w:hAnsi="宋体"/>
          <w:spacing w:val="20"/>
          <w:kern w:val="0"/>
          <w:sz w:val="24"/>
        </w:rPr>
      </w:pPr>
      <w:r>
        <w:rPr>
          <w:rFonts w:hint="eastAsia" w:ascii="宋体" w:hAnsi="宋体"/>
          <w:spacing w:val="20"/>
          <w:kern w:val="0"/>
          <w:sz w:val="24"/>
        </w:rPr>
        <w:t xml:space="preserve">投标人盖章：              </w:t>
      </w:r>
    </w:p>
    <w:p>
      <w:pPr>
        <w:widowControl/>
        <w:spacing w:before="50" w:after="50"/>
        <w:rPr>
          <w:rFonts w:ascii="宋体" w:hAnsi="宋体"/>
          <w:spacing w:val="20"/>
          <w:kern w:val="0"/>
          <w:sz w:val="24"/>
        </w:rPr>
      </w:pPr>
      <w:r>
        <w:rPr>
          <w:rFonts w:hint="eastAsia" w:ascii="宋体" w:hAnsi="宋体"/>
          <w:spacing w:val="20"/>
          <w:kern w:val="0"/>
          <w:sz w:val="24"/>
        </w:rPr>
        <w:t>日 期：</w:t>
      </w:r>
    </w:p>
    <w:p>
      <w:pPr>
        <w:pStyle w:val="62"/>
        <w:rPr>
          <w:rFonts w:ascii="宋体" w:hAnsi="宋体"/>
          <w:kern w:val="2"/>
          <w:sz w:val="24"/>
          <w:szCs w:val="24"/>
        </w:rPr>
      </w:pPr>
    </w:p>
    <w:p>
      <w:pPr>
        <w:pStyle w:val="62"/>
        <w:rPr>
          <w:rFonts w:ascii="宋体" w:hAnsi="宋体"/>
          <w:kern w:val="2"/>
          <w:sz w:val="24"/>
          <w:szCs w:val="24"/>
        </w:rPr>
      </w:pPr>
    </w:p>
    <w:p>
      <w:pPr>
        <w:pStyle w:val="62"/>
        <w:rPr>
          <w:rFonts w:ascii="宋体" w:hAnsi="宋体"/>
          <w:kern w:val="2"/>
          <w:sz w:val="24"/>
          <w:szCs w:val="24"/>
        </w:rPr>
      </w:pPr>
    </w:p>
    <w:p>
      <w:pPr>
        <w:pStyle w:val="62"/>
        <w:rPr>
          <w:rFonts w:ascii="宋体" w:hAnsi="宋体"/>
          <w:kern w:val="2"/>
          <w:sz w:val="24"/>
          <w:szCs w:val="24"/>
        </w:rPr>
      </w:pPr>
    </w:p>
    <w:p>
      <w:pPr>
        <w:pStyle w:val="62"/>
        <w:rPr>
          <w:rFonts w:ascii="宋体" w:hAnsi="宋体"/>
          <w:kern w:val="2"/>
          <w:sz w:val="24"/>
          <w:szCs w:val="24"/>
        </w:rPr>
      </w:pPr>
    </w:p>
    <w:p>
      <w:pPr>
        <w:pStyle w:val="62"/>
        <w:rPr>
          <w:rFonts w:ascii="宋体" w:hAnsi="宋体"/>
          <w:kern w:val="2"/>
          <w:sz w:val="24"/>
          <w:szCs w:val="24"/>
        </w:rPr>
      </w:pPr>
    </w:p>
    <w:p>
      <w:pPr>
        <w:pStyle w:val="62"/>
        <w:rPr>
          <w:rFonts w:ascii="宋体" w:hAnsi="宋体"/>
          <w:kern w:val="2"/>
          <w:sz w:val="24"/>
          <w:szCs w:val="24"/>
        </w:rPr>
      </w:pPr>
    </w:p>
    <w:p>
      <w:pPr>
        <w:pStyle w:val="62"/>
        <w:rPr>
          <w:rFonts w:ascii="宋体" w:hAnsi="宋体"/>
          <w:kern w:val="2"/>
          <w:sz w:val="24"/>
          <w:szCs w:val="24"/>
        </w:rPr>
      </w:pPr>
    </w:p>
    <w:p>
      <w:pPr>
        <w:pStyle w:val="62"/>
        <w:rPr>
          <w:rFonts w:ascii="宋体" w:hAnsi="宋体"/>
          <w:kern w:val="2"/>
          <w:sz w:val="24"/>
          <w:szCs w:val="24"/>
        </w:rPr>
      </w:pPr>
    </w:p>
    <w:p>
      <w:pPr>
        <w:spacing w:line="400" w:lineRule="exact"/>
        <w:jc w:val="left"/>
        <w:rPr>
          <w:rFonts w:ascii="宋体" w:hAnsi="宋体"/>
          <w:sz w:val="24"/>
        </w:rPr>
      </w:pPr>
      <w:r>
        <w:rPr>
          <w:rFonts w:hint="eastAsia" w:ascii="宋体" w:hAnsi="宋体"/>
          <w:sz w:val="24"/>
        </w:rPr>
        <w:t>9、售后服务联系表</w:t>
      </w:r>
    </w:p>
    <w:tbl>
      <w:tblPr>
        <w:tblStyle w:val="33"/>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544"/>
        <w:gridCol w:w="1704"/>
        <w:gridCol w:w="1705"/>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pPr>
              <w:spacing w:line="400" w:lineRule="exact"/>
              <w:jc w:val="center"/>
              <w:rPr>
                <w:rFonts w:ascii="宋体" w:hAnsi="宋体"/>
                <w:sz w:val="24"/>
              </w:rPr>
            </w:pPr>
            <w:r>
              <w:rPr>
                <w:rFonts w:hint="eastAsia" w:ascii="宋体" w:hAnsi="宋体"/>
                <w:sz w:val="24"/>
              </w:rPr>
              <w:t>序号</w:t>
            </w:r>
          </w:p>
        </w:tc>
        <w:tc>
          <w:tcPr>
            <w:tcW w:w="2544" w:type="dxa"/>
          </w:tcPr>
          <w:p>
            <w:pPr>
              <w:spacing w:line="400" w:lineRule="exact"/>
              <w:jc w:val="center"/>
              <w:rPr>
                <w:rFonts w:ascii="宋体" w:hAnsi="宋体"/>
                <w:sz w:val="24"/>
              </w:rPr>
            </w:pPr>
            <w:r>
              <w:rPr>
                <w:rFonts w:hint="eastAsia" w:ascii="宋体" w:hAnsi="宋体"/>
                <w:sz w:val="24"/>
              </w:rPr>
              <w:t>投标人</w:t>
            </w:r>
          </w:p>
        </w:tc>
        <w:tc>
          <w:tcPr>
            <w:tcW w:w="1704" w:type="dxa"/>
          </w:tcPr>
          <w:p>
            <w:pPr>
              <w:spacing w:line="400" w:lineRule="exact"/>
              <w:jc w:val="center"/>
              <w:rPr>
                <w:rFonts w:ascii="宋体" w:hAnsi="宋体"/>
                <w:sz w:val="24"/>
              </w:rPr>
            </w:pPr>
            <w:r>
              <w:rPr>
                <w:rFonts w:hint="eastAsia" w:ascii="宋体" w:hAnsi="宋体"/>
                <w:sz w:val="24"/>
              </w:rPr>
              <w:t>联系人</w:t>
            </w:r>
          </w:p>
        </w:tc>
        <w:tc>
          <w:tcPr>
            <w:tcW w:w="1705" w:type="dxa"/>
          </w:tcPr>
          <w:p>
            <w:pPr>
              <w:spacing w:line="400" w:lineRule="exact"/>
              <w:jc w:val="center"/>
              <w:rPr>
                <w:rFonts w:ascii="宋体" w:hAnsi="宋体"/>
                <w:sz w:val="24"/>
              </w:rPr>
            </w:pPr>
            <w:r>
              <w:rPr>
                <w:rFonts w:hint="eastAsia" w:ascii="宋体" w:hAnsi="宋体"/>
                <w:sz w:val="24"/>
              </w:rPr>
              <w:t>技术职称</w:t>
            </w:r>
          </w:p>
        </w:tc>
        <w:tc>
          <w:tcPr>
            <w:tcW w:w="2914" w:type="dxa"/>
          </w:tcPr>
          <w:p>
            <w:pPr>
              <w:spacing w:line="400" w:lineRule="exact"/>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pPr>
              <w:spacing w:line="500" w:lineRule="exact"/>
              <w:jc w:val="center"/>
              <w:rPr>
                <w:rFonts w:ascii="宋体" w:hAnsi="宋体"/>
                <w:sz w:val="24"/>
              </w:rPr>
            </w:pPr>
          </w:p>
        </w:tc>
        <w:tc>
          <w:tcPr>
            <w:tcW w:w="2544" w:type="dxa"/>
          </w:tcPr>
          <w:p>
            <w:pPr>
              <w:spacing w:line="500" w:lineRule="exact"/>
              <w:jc w:val="center"/>
              <w:rPr>
                <w:rFonts w:ascii="宋体" w:hAnsi="宋体"/>
                <w:sz w:val="24"/>
              </w:rPr>
            </w:pPr>
          </w:p>
        </w:tc>
        <w:tc>
          <w:tcPr>
            <w:tcW w:w="1704" w:type="dxa"/>
          </w:tcPr>
          <w:p>
            <w:pPr>
              <w:spacing w:line="500" w:lineRule="exact"/>
              <w:jc w:val="center"/>
              <w:rPr>
                <w:rFonts w:ascii="宋体" w:hAnsi="宋体"/>
                <w:sz w:val="24"/>
              </w:rPr>
            </w:pPr>
          </w:p>
        </w:tc>
        <w:tc>
          <w:tcPr>
            <w:tcW w:w="1705" w:type="dxa"/>
          </w:tcPr>
          <w:p>
            <w:pPr>
              <w:spacing w:line="500" w:lineRule="exact"/>
              <w:jc w:val="center"/>
              <w:rPr>
                <w:rFonts w:ascii="宋体" w:hAnsi="宋体"/>
                <w:sz w:val="24"/>
              </w:rPr>
            </w:pPr>
          </w:p>
        </w:tc>
        <w:tc>
          <w:tcPr>
            <w:tcW w:w="2914" w:type="dxa"/>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pPr>
              <w:spacing w:line="500" w:lineRule="exact"/>
              <w:jc w:val="center"/>
              <w:rPr>
                <w:rFonts w:ascii="宋体" w:hAnsi="宋体"/>
                <w:sz w:val="24"/>
              </w:rPr>
            </w:pPr>
          </w:p>
        </w:tc>
        <w:tc>
          <w:tcPr>
            <w:tcW w:w="2544" w:type="dxa"/>
          </w:tcPr>
          <w:p>
            <w:pPr>
              <w:spacing w:line="500" w:lineRule="exact"/>
              <w:jc w:val="center"/>
              <w:rPr>
                <w:rFonts w:ascii="宋体" w:hAnsi="宋体"/>
                <w:sz w:val="24"/>
              </w:rPr>
            </w:pPr>
          </w:p>
        </w:tc>
        <w:tc>
          <w:tcPr>
            <w:tcW w:w="1704" w:type="dxa"/>
          </w:tcPr>
          <w:p>
            <w:pPr>
              <w:spacing w:line="500" w:lineRule="exact"/>
              <w:jc w:val="center"/>
              <w:rPr>
                <w:rFonts w:ascii="宋体" w:hAnsi="宋体"/>
                <w:sz w:val="24"/>
              </w:rPr>
            </w:pPr>
          </w:p>
        </w:tc>
        <w:tc>
          <w:tcPr>
            <w:tcW w:w="1705" w:type="dxa"/>
          </w:tcPr>
          <w:p>
            <w:pPr>
              <w:spacing w:line="500" w:lineRule="exact"/>
              <w:jc w:val="center"/>
              <w:rPr>
                <w:rFonts w:ascii="宋体" w:hAnsi="宋体"/>
                <w:sz w:val="24"/>
              </w:rPr>
            </w:pPr>
          </w:p>
        </w:tc>
        <w:tc>
          <w:tcPr>
            <w:tcW w:w="2914" w:type="dxa"/>
          </w:tcPr>
          <w:p>
            <w:pPr>
              <w:spacing w:line="500" w:lineRule="exact"/>
              <w:jc w:val="center"/>
              <w:rPr>
                <w:rFonts w:ascii="宋体" w:hAnsi="宋体"/>
                <w:sz w:val="24"/>
              </w:rPr>
            </w:pPr>
          </w:p>
        </w:tc>
      </w:tr>
    </w:tbl>
    <w:p>
      <w:pPr>
        <w:spacing w:beforeLines="50" w:line="240" w:lineRule="exact"/>
        <w:ind w:firstLine="2800" w:firstLineChars="1000"/>
        <w:rPr>
          <w:rFonts w:ascii="宋体" w:hAnsi="宋体"/>
          <w:spacing w:val="20"/>
          <w:sz w:val="24"/>
        </w:rPr>
      </w:pPr>
    </w:p>
    <w:p>
      <w:pPr>
        <w:spacing w:beforeLines="50" w:line="240" w:lineRule="exact"/>
        <w:ind w:firstLine="2800" w:firstLineChars="1000"/>
        <w:rPr>
          <w:rFonts w:ascii="宋体" w:hAnsi="宋体"/>
          <w:spacing w:val="20"/>
          <w:sz w:val="24"/>
        </w:rPr>
      </w:pPr>
    </w:p>
    <w:p>
      <w:pPr>
        <w:adjustRightInd w:val="0"/>
        <w:snapToGrid w:val="0"/>
        <w:spacing w:line="360" w:lineRule="auto"/>
        <w:rPr>
          <w:rFonts w:ascii="宋体" w:hAnsi="宋体"/>
          <w:b/>
          <w:sz w:val="32"/>
          <w:szCs w:val="32"/>
        </w:rPr>
      </w:pPr>
    </w:p>
    <w:p>
      <w:pPr>
        <w:spacing w:line="360" w:lineRule="auto"/>
        <w:ind w:firstLine="2800" w:firstLineChars="1000"/>
        <w:rPr>
          <w:rFonts w:ascii="宋体" w:hAnsi="宋体"/>
          <w:spacing w:val="20"/>
          <w:sz w:val="24"/>
          <w:u w:val="single"/>
        </w:rPr>
      </w:pPr>
      <w:r>
        <w:rPr>
          <w:rFonts w:ascii="宋体" w:hAnsi="宋体"/>
          <w:spacing w:val="20"/>
          <w:sz w:val="24"/>
        </w:rPr>
        <w:t>法定代表人或委托代理人</w:t>
      </w:r>
      <w:r>
        <w:rPr>
          <w:rFonts w:hint="eastAsia" w:ascii="宋体" w:hAnsi="宋体"/>
          <w:spacing w:val="20"/>
          <w:sz w:val="24"/>
        </w:rPr>
        <w:t>签名：</w:t>
      </w:r>
    </w:p>
    <w:p>
      <w:pPr>
        <w:spacing w:line="360" w:lineRule="auto"/>
        <w:rPr>
          <w:rFonts w:ascii="宋体" w:hAnsi="宋体"/>
          <w:spacing w:val="20"/>
          <w:sz w:val="24"/>
          <w:u w:val="single"/>
        </w:rPr>
      </w:pPr>
    </w:p>
    <w:p>
      <w:pPr>
        <w:spacing w:line="360" w:lineRule="auto"/>
        <w:ind w:firstLine="560" w:firstLineChars="200"/>
        <w:rPr>
          <w:rFonts w:ascii="宋体" w:hAnsi="宋体"/>
          <w:spacing w:val="20"/>
          <w:sz w:val="24"/>
          <w:u w:val="single"/>
        </w:rPr>
      </w:pPr>
      <w:r>
        <w:rPr>
          <w:rFonts w:hint="eastAsia" w:ascii="宋体" w:hAnsi="宋体"/>
          <w:spacing w:val="20"/>
          <w:sz w:val="24"/>
        </w:rPr>
        <w:t xml:space="preserve">                           投标人盖章：</w:t>
      </w:r>
    </w:p>
    <w:p>
      <w:pPr>
        <w:spacing w:line="360" w:lineRule="auto"/>
        <w:rPr>
          <w:rFonts w:ascii="宋体" w:hAnsi="宋体"/>
          <w:spacing w:val="20"/>
          <w:sz w:val="24"/>
          <w:u w:val="single"/>
        </w:rPr>
      </w:pPr>
    </w:p>
    <w:p>
      <w:pPr>
        <w:adjustRightInd w:val="0"/>
        <w:snapToGrid w:val="0"/>
        <w:spacing w:line="360" w:lineRule="auto"/>
        <w:rPr>
          <w:rFonts w:ascii="宋体" w:hAnsi="宋体"/>
          <w:b/>
          <w:sz w:val="32"/>
          <w:szCs w:val="32"/>
        </w:rPr>
      </w:pPr>
      <w:r>
        <w:rPr>
          <w:rFonts w:hint="eastAsia" w:ascii="宋体" w:hAnsi="宋体"/>
          <w:spacing w:val="20"/>
          <w:sz w:val="24"/>
        </w:rPr>
        <w:t xml:space="preserve">                               日     期：</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spacing w:beforeLines="50" w:line="360" w:lineRule="auto"/>
        <w:rPr>
          <w:rFonts w:hAnsi="宋体"/>
          <w:b/>
          <w:bCs/>
          <w:sz w:val="30"/>
          <w:szCs w:val="30"/>
        </w:rPr>
      </w:pPr>
      <w:r>
        <w:rPr>
          <w:rFonts w:hint="eastAsia" w:ascii="宋体" w:hAnsi="宋体"/>
          <w:b/>
          <w:sz w:val="32"/>
          <w:szCs w:val="32"/>
        </w:rPr>
        <w:t>附件12</w:t>
      </w:r>
      <w:r>
        <w:rPr>
          <w:rFonts w:hint="eastAsia" w:hAnsi="宋体"/>
          <w:b/>
          <w:bCs/>
          <w:sz w:val="30"/>
          <w:szCs w:val="30"/>
        </w:rPr>
        <w:t xml:space="preserve">                商务条款偏离表</w:t>
      </w:r>
    </w:p>
    <w:p>
      <w:pPr>
        <w:spacing w:beforeLines="50" w:line="360" w:lineRule="auto"/>
        <w:rPr>
          <w:rFonts w:hAnsi="宋体"/>
          <w:sz w:val="24"/>
        </w:rPr>
      </w:pPr>
      <w:r>
        <w:rPr>
          <w:rFonts w:hint="eastAsia" w:hAnsi="宋体"/>
          <w:sz w:val="24"/>
        </w:rPr>
        <w:t xml:space="preserve">  请逐条对应招标文件中要求的商务条件，认真填写该表。</w:t>
      </w:r>
    </w:p>
    <w:tbl>
      <w:tblPr>
        <w:tblStyle w:val="33"/>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161"/>
        <w:gridCol w:w="2434"/>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1" w:type="dxa"/>
          </w:tcPr>
          <w:p>
            <w:pPr>
              <w:spacing w:beforeLines="50" w:line="360" w:lineRule="auto"/>
              <w:jc w:val="center"/>
              <w:rPr>
                <w:rFonts w:hAnsi="宋体"/>
                <w:sz w:val="24"/>
              </w:rPr>
            </w:pPr>
            <w:r>
              <w:rPr>
                <w:rFonts w:hint="eastAsia" w:hAnsi="宋体"/>
                <w:sz w:val="24"/>
              </w:rPr>
              <w:t>序号</w:t>
            </w:r>
          </w:p>
        </w:tc>
        <w:tc>
          <w:tcPr>
            <w:tcW w:w="3161" w:type="dxa"/>
            <w:vAlign w:val="center"/>
          </w:tcPr>
          <w:p>
            <w:pPr>
              <w:spacing w:beforeLines="50" w:line="360" w:lineRule="auto"/>
              <w:jc w:val="center"/>
              <w:rPr>
                <w:rFonts w:hAnsi="宋体"/>
                <w:sz w:val="24"/>
              </w:rPr>
            </w:pPr>
            <w:r>
              <w:rPr>
                <w:rFonts w:hint="eastAsia" w:hAnsi="宋体"/>
                <w:sz w:val="24"/>
              </w:rPr>
              <w:t>招标文件的商务条款</w:t>
            </w:r>
          </w:p>
        </w:tc>
        <w:tc>
          <w:tcPr>
            <w:tcW w:w="2434" w:type="dxa"/>
            <w:vAlign w:val="center"/>
          </w:tcPr>
          <w:p>
            <w:pPr>
              <w:spacing w:beforeLines="50" w:line="360" w:lineRule="auto"/>
              <w:jc w:val="center"/>
              <w:rPr>
                <w:rFonts w:hAnsi="宋体"/>
                <w:sz w:val="24"/>
              </w:rPr>
            </w:pPr>
            <w:r>
              <w:rPr>
                <w:rFonts w:hint="eastAsia" w:hAnsi="宋体"/>
                <w:sz w:val="24"/>
              </w:rPr>
              <w:t>是否响应</w:t>
            </w:r>
          </w:p>
        </w:tc>
        <w:tc>
          <w:tcPr>
            <w:tcW w:w="2596" w:type="dxa"/>
            <w:vAlign w:val="center"/>
          </w:tcPr>
          <w:p>
            <w:pPr>
              <w:spacing w:beforeLines="50" w:line="360" w:lineRule="auto"/>
              <w:jc w:val="center"/>
              <w:rPr>
                <w:rFonts w:hAnsi="宋体"/>
                <w:sz w:val="24"/>
              </w:rPr>
            </w:pPr>
            <w:r>
              <w:rPr>
                <w:rFonts w:hint="eastAsia"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pStyle w:val="67"/>
              <w:spacing w:beforeLines="50" w:afterLines="0" w:line="360" w:lineRule="auto"/>
              <w:ind w:firstLine="0" w:firstLineChars="0"/>
              <w:jc w:val="center"/>
              <w:rPr>
                <w:rFonts w:ascii="宋体" w:hAnsi="宋体"/>
                <w:szCs w:val="24"/>
              </w:rPr>
            </w:pPr>
            <w:r>
              <w:rPr>
                <w:rFonts w:hint="eastAsia" w:ascii="宋体" w:hAnsi="宋体"/>
                <w:szCs w:val="24"/>
              </w:rPr>
              <w:t>1</w:t>
            </w:r>
          </w:p>
        </w:tc>
        <w:tc>
          <w:tcPr>
            <w:tcW w:w="3161" w:type="dxa"/>
          </w:tcPr>
          <w:p>
            <w:pPr>
              <w:spacing w:beforeLines="50" w:line="360" w:lineRule="auto"/>
              <w:rPr>
                <w:rFonts w:hAnsi="宋体"/>
                <w:sz w:val="24"/>
              </w:rPr>
            </w:pPr>
            <w:r>
              <w:rPr>
                <w:rFonts w:hint="eastAsia" w:hAnsi="宋体"/>
                <w:sz w:val="24"/>
              </w:rPr>
              <w:t>质保期</w:t>
            </w:r>
          </w:p>
        </w:tc>
        <w:tc>
          <w:tcPr>
            <w:tcW w:w="2434" w:type="dxa"/>
          </w:tcPr>
          <w:p>
            <w:pPr>
              <w:pStyle w:val="67"/>
              <w:spacing w:beforeLines="50" w:afterLines="0" w:line="360" w:lineRule="auto"/>
              <w:ind w:firstLine="480"/>
              <w:rPr>
                <w:rFonts w:ascii="宋体" w:hAnsi="宋体"/>
                <w:szCs w:val="24"/>
              </w:rPr>
            </w:pPr>
          </w:p>
        </w:tc>
        <w:tc>
          <w:tcPr>
            <w:tcW w:w="2596" w:type="dxa"/>
          </w:tcPr>
          <w:p>
            <w:pPr>
              <w:pStyle w:val="67"/>
              <w:spacing w:beforeLines="50" w:afterLines="0" w:line="360" w:lineRule="auto"/>
              <w:ind w:firstLine="48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pStyle w:val="67"/>
              <w:spacing w:beforeLines="50" w:afterLines="0" w:line="360" w:lineRule="auto"/>
              <w:ind w:firstLine="0" w:firstLineChars="0"/>
              <w:jc w:val="center"/>
              <w:rPr>
                <w:rFonts w:ascii="宋体" w:hAnsi="宋体"/>
                <w:szCs w:val="24"/>
              </w:rPr>
            </w:pPr>
            <w:r>
              <w:rPr>
                <w:rFonts w:hint="eastAsia" w:ascii="宋体" w:hAnsi="宋体"/>
                <w:szCs w:val="24"/>
              </w:rPr>
              <w:t>2</w:t>
            </w:r>
          </w:p>
        </w:tc>
        <w:tc>
          <w:tcPr>
            <w:tcW w:w="3161" w:type="dxa"/>
          </w:tcPr>
          <w:p>
            <w:pPr>
              <w:spacing w:beforeLines="50" w:line="360" w:lineRule="auto"/>
              <w:rPr>
                <w:rFonts w:hAnsi="宋体"/>
                <w:sz w:val="24"/>
              </w:rPr>
            </w:pPr>
            <w:r>
              <w:rPr>
                <w:rFonts w:hint="eastAsia" w:hAnsi="宋体"/>
                <w:sz w:val="24"/>
              </w:rPr>
              <w:t>售后技术服务要求</w:t>
            </w:r>
          </w:p>
        </w:tc>
        <w:tc>
          <w:tcPr>
            <w:tcW w:w="2434" w:type="dxa"/>
          </w:tcPr>
          <w:p>
            <w:pPr>
              <w:pStyle w:val="67"/>
              <w:spacing w:beforeLines="50" w:afterLines="0" w:line="360" w:lineRule="auto"/>
              <w:ind w:firstLine="480"/>
              <w:rPr>
                <w:rFonts w:ascii="宋体" w:hAnsi="宋体"/>
                <w:szCs w:val="24"/>
              </w:rPr>
            </w:pPr>
          </w:p>
        </w:tc>
        <w:tc>
          <w:tcPr>
            <w:tcW w:w="2596" w:type="dxa"/>
          </w:tcPr>
          <w:p>
            <w:pPr>
              <w:pStyle w:val="67"/>
              <w:spacing w:beforeLines="50" w:afterLines="0" w:line="360" w:lineRule="auto"/>
              <w:ind w:firstLine="48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pStyle w:val="67"/>
              <w:spacing w:beforeLines="50" w:afterLines="0" w:line="360" w:lineRule="auto"/>
              <w:ind w:firstLine="0" w:firstLineChars="0"/>
              <w:jc w:val="center"/>
              <w:rPr>
                <w:rFonts w:ascii="宋体" w:hAnsi="宋体"/>
                <w:szCs w:val="24"/>
              </w:rPr>
            </w:pPr>
            <w:r>
              <w:rPr>
                <w:rFonts w:hint="eastAsia" w:ascii="宋体" w:hAnsi="宋体"/>
                <w:szCs w:val="24"/>
              </w:rPr>
              <w:t>3</w:t>
            </w:r>
          </w:p>
        </w:tc>
        <w:tc>
          <w:tcPr>
            <w:tcW w:w="3161" w:type="dxa"/>
          </w:tcPr>
          <w:p>
            <w:pPr>
              <w:spacing w:beforeLines="50" w:line="360" w:lineRule="auto"/>
              <w:rPr>
                <w:rFonts w:hAnsi="宋体"/>
                <w:sz w:val="24"/>
              </w:rPr>
            </w:pPr>
            <w:r>
              <w:rPr>
                <w:rFonts w:hint="eastAsia" w:hAnsi="宋体"/>
                <w:sz w:val="24"/>
              </w:rPr>
              <w:t>合同履行期限及地点</w:t>
            </w:r>
          </w:p>
        </w:tc>
        <w:tc>
          <w:tcPr>
            <w:tcW w:w="2434" w:type="dxa"/>
          </w:tcPr>
          <w:p>
            <w:pPr>
              <w:pStyle w:val="67"/>
              <w:spacing w:beforeLines="50" w:afterLines="0" w:line="360" w:lineRule="auto"/>
              <w:ind w:firstLine="480"/>
              <w:rPr>
                <w:rFonts w:ascii="宋体" w:hAnsi="宋体"/>
                <w:szCs w:val="24"/>
              </w:rPr>
            </w:pPr>
          </w:p>
        </w:tc>
        <w:tc>
          <w:tcPr>
            <w:tcW w:w="2596" w:type="dxa"/>
          </w:tcPr>
          <w:p>
            <w:pPr>
              <w:pStyle w:val="67"/>
              <w:spacing w:beforeLines="50" w:afterLines="0" w:line="360" w:lineRule="auto"/>
              <w:ind w:firstLine="48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pStyle w:val="67"/>
              <w:spacing w:beforeLines="50" w:afterLines="0" w:line="360" w:lineRule="auto"/>
              <w:ind w:firstLine="0" w:firstLineChars="0"/>
              <w:jc w:val="center"/>
              <w:rPr>
                <w:rFonts w:ascii="宋体" w:hAnsi="宋体"/>
                <w:szCs w:val="24"/>
              </w:rPr>
            </w:pPr>
            <w:r>
              <w:rPr>
                <w:rFonts w:hint="eastAsia" w:ascii="宋体" w:hAnsi="宋体"/>
                <w:szCs w:val="24"/>
              </w:rPr>
              <w:t>4</w:t>
            </w:r>
          </w:p>
        </w:tc>
        <w:tc>
          <w:tcPr>
            <w:tcW w:w="3161" w:type="dxa"/>
          </w:tcPr>
          <w:p>
            <w:pPr>
              <w:spacing w:beforeLines="50" w:line="360" w:lineRule="auto"/>
              <w:rPr>
                <w:rFonts w:hAnsi="宋体"/>
                <w:sz w:val="24"/>
              </w:rPr>
            </w:pPr>
            <w:r>
              <w:rPr>
                <w:rFonts w:hint="eastAsia" w:hAnsi="宋体"/>
                <w:sz w:val="24"/>
              </w:rPr>
              <w:t>付款条件</w:t>
            </w:r>
          </w:p>
        </w:tc>
        <w:tc>
          <w:tcPr>
            <w:tcW w:w="2434" w:type="dxa"/>
          </w:tcPr>
          <w:p>
            <w:pPr>
              <w:pStyle w:val="67"/>
              <w:spacing w:beforeLines="50" w:afterLines="0" w:line="360" w:lineRule="auto"/>
              <w:ind w:firstLine="480"/>
              <w:rPr>
                <w:rFonts w:ascii="宋体" w:hAnsi="宋体"/>
                <w:szCs w:val="24"/>
              </w:rPr>
            </w:pPr>
          </w:p>
        </w:tc>
        <w:tc>
          <w:tcPr>
            <w:tcW w:w="2596" w:type="dxa"/>
          </w:tcPr>
          <w:p>
            <w:pPr>
              <w:pStyle w:val="67"/>
              <w:spacing w:beforeLines="50" w:afterLines="0" w:line="360" w:lineRule="auto"/>
              <w:ind w:firstLine="48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pStyle w:val="67"/>
              <w:spacing w:beforeLines="50" w:afterLines="0" w:line="360" w:lineRule="auto"/>
              <w:ind w:firstLine="0" w:firstLineChars="0"/>
              <w:jc w:val="center"/>
              <w:rPr>
                <w:rFonts w:ascii="宋体" w:hAnsi="宋体"/>
                <w:szCs w:val="24"/>
              </w:rPr>
            </w:pPr>
            <w:r>
              <w:rPr>
                <w:rFonts w:hint="eastAsia" w:ascii="宋体" w:hAnsi="宋体"/>
                <w:szCs w:val="24"/>
              </w:rPr>
              <w:t>5</w:t>
            </w:r>
          </w:p>
        </w:tc>
        <w:tc>
          <w:tcPr>
            <w:tcW w:w="3161" w:type="dxa"/>
          </w:tcPr>
          <w:p>
            <w:pPr>
              <w:spacing w:beforeLines="50" w:line="360" w:lineRule="auto"/>
              <w:jc w:val="left"/>
              <w:rPr>
                <w:rFonts w:hAnsi="宋体"/>
                <w:sz w:val="24"/>
              </w:rPr>
            </w:pPr>
            <w:r>
              <w:rPr>
                <w:rFonts w:hint="eastAsia" w:hAnsi="宋体"/>
                <w:sz w:val="24"/>
              </w:rPr>
              <w:t>备品备件及耗材等要求</w:t>
            </w:r>
          </w:p>
        </w:tc>
        <w:tc>
          <w:tcPr>
            <w:tcW w:w="2434" w:type="dxa"/>
          </w:tcPr>
          <w:p>
            <w:pPr>
              <w:pStyle w:val="67"/>
              <w:spacing w:beforeLines="50" w:afterLines="0" w:line="360" w:lineRule="auto"/>
              <w:ind w:firstLine="480"/>
              <w:rPr>
                <w:rFonts w:ascii="宋体" w:hAnsi="宋体"/>
                <w:szCs w:val="24"/>
              </w:rPr>
            </w:pPr>
          </w:p>
        </w:tc>
        <w:tc>
          <w:tcPr>
            <w:tcW w:w="2596" w:type="dxa"/>
          </w:tcPr>
          <w:p>
            <w:pPr>
              <w:pStyle w:val="67"/>
              <w:spacing w:beforeLines="50" w:afterLines="0" w:line="360" w:lineRule="auto"/>
              <w:ind w:firstLine="48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spacing w:beforeLines="50" w:line="360" w:lineRule="auto"/>
              <w:rPr>
                <w:rFonts w:hAnsi="宋体"/>
                <w:sz w:val="24"/>
              </w:rPr>
            </w:pPr>
          </w:p>
        </w:tc>
        <w:tc>
          <w:tcPr>
            <w:tcW w:w="3161" w:type="dxa"/>
          </w:tcPr>
          <w:p>
            <w:pPr>
              <w:spacing w:beforeLines="50" w:line="360" w:lineRule="auto"/>
              <w:rPr>
                <w:rFonts w:hAnsi="宋体"/>
                <w:sz w:val="24"/>
              </w:rPr>
            </w:pPr>
            <w:r>
              <w:rPr>
                <w:rFonts w:hint="eastAsia" w:hAnsi="宋体"/>
                <w:sz w:val="24"/>
              </w:rPr>
              <w:t>…</w:t>
            </w:r>
          </w:p>
        </w:tc>
        <w:tc>
          <w:tcPr>
            <w:tcW w:w="2434" w:type="dxa"/>
          </w:tcPr>
          <w:p>
            <w:pPr>
              <w:spacing w:beforeLines="50" w:line="360" w:lineRule="auto"/>
              <w:rPr>
                <w:rFonts w:hAnsi="宋体"/>
                <w:sz w:val="24"/>
              </w:rPr>
            </w:pPr>
          </w:p>
        </w:tc>
        <w:tc>
          <w:tcPr>
            <w:tcW w:w="2596" w:type="dxa"/>
          </w:tcPr>
          <w:p>
            <w:pPr>
              <w:spacing w:beforeLines="50"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spacing w:beforeLines="50" w:line="360" w:lineRule="auto"/>
              <w:rPr>
                <w:rFonts w:hAnsi="宋体"/>
                <w:sz w:val="24"/>
              </w:rPr>
            </w:pPr>
          </w:p>
        </w:tc>
        <w:tc>
          <w:tcPr>
            <w:tcW w:w="3161" w:type="dxa"/>
          </w:tcPr>
          <w:p>
            <w:pPr>
              <w:spacing w:beforeLines="50" w:line="360" w:lineRule="auto"/>
              <w:rPr>
                <w:rFonts w:hAnsi="宋体"/>
                <w:sz w:val="24"/>
              </w:rPr>
            </w:pPr>
          </w:p>
        </w:tc>
        <w:tc>
          <w:tcPr>
            <w:tcW w:w="2434" w:type="dxa"/>
          </w:tcPr>
          <w:p>
            <w:pPr>
              <w:spacing w:beforeLines="50" w:line="360" w:lineRule="auto"/>
              <w:rPr>
                <w:rFonts w:hAnsi="宋体"/>
                <w:sz w:val="24"/>
              </w:rPr>
            </w:pPr>
          </w:p>
        </w:tc>
        <w:tc>
          <w:tcPr>
            <w:tcW w:w="2596" w:type="dxa"/>
          </w:tcPr>
          <w:p>
            <w:pPr>
              <w:spacing w:beforeLines="50"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spacing w:beforeLines="50" w:line="360" w:lineRule="auto"/>
              <w:rPr>
                <w:rFonts w:hAnsi="宋体"/>
                <w:sz w:val="24"/>
              </w:rPr>
            </w:pPr>
          </w:p>
        </w:tc>
        <w:tc>
          <w:tcPr>
            <w:tcW w:w="3161" w:type="dxa"/>
          </w:tcPr>
          <w:p>
            <w:pPr>
              <w:spacing w:beforeLines="50" w:line="360" w:lineRule="auto"/>
              <w:rPr>
                <w:rFonts w:hAnsi="宋体"/>
                <w:sz w:val="24"/>
              </w:rPr>
            </w:pPr>
          </w:p>
        </w:tc>
        <w:tc>
          <w:tcPr>
            <w:tcW w:w="2434" w:type="dxa"/>
          </w:tcPr>
          <w:p>
            <w:pPr>
              <w:spacing w:beforeLines="50" w:line="360" w:lineRule="auto"/>
              <w:rPr>
                <w:rFonts w:hAnsi="宋体"/>
                <w:sz w:val="24"/>
              </w:rPr>
            </w:pPr>
          </w:p>
        </w:tc>
        <w:tc>
          <w:tcPr>
            <w:tcW w:w="2596" w:type="dxa"/>
          </w:tcPr>
          <w:p>
            <w:pPr>
              <w:spacing w:beforeLines="50"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spacing w:beforeLines="50" w:line="360" w:lineRule="auto"/>
              <w:rPr>
                <w:rFonts w:hAnsi="宋体"/>
                <w:sz w:val="24"/>
              </w:rPr>
            </w:pPr>
          </w:p>
        </w:tc>
        <w:tc>
          <w:tcPr>
            <w:tcW w:w="3161" w:type="dxa"/>
          </w:tcPr>
          <w:p>
            <w:pPr>
              <w:spacing w:beforeLines="50" w:line="360" w:lineRule="auto"/>
              <w:rPr>
                <w:rFonts w:hAnsi="宋体"/>
                <w:sz w:val="24"/>
              </w:rPr>
            </w:pPr>
          </w:p>
        </w:tc>
        <w:tc>
          <w:tcPr>
            <w:tcW w:w="2434" w:type="dxa"/>
          </w:tcPr>
          <w:p>
            <w:pPr>
              <w:spacing w:beforeLines="50" w:line="360" w:lineRule="auto"/>
              <w:rPr>
                <w:rFonts w:hAnsi="宋体"/>
                <w:sz w:val="24"/>
              </w:rPr>
            </w:pPr>
          </w:p>
        </w:tc>
        <w:tc>
          <w:tcPr>
            <w:tcW w:w="2596" w:type="dxa"/>
          </w:tcPr>
          <w:p>
            <w:pPr>
              <w:spacing w:beforeLines="50"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spacing w:beforeLines="50" w:line="360" w:lineRule="auto"/>
              <w:rPr>
                <w:rFonts w:hAnsi="宋体"/>
                <w:sz w:val="24"/>
              </w:rPr>
            </w:pPr>
          </w:p>
        </w:tc>
        <w:tc>
          <w:tcPr>
            <w:tcW w:w="3161" w:type="dxa"/>
          </w:tcPr>
          <w:p>
            <w:pPr>
              <w:spacing w:beforeLines="50" w:line="360" w:lineRule="auto"/>
              <w:rPr>
                <w:rFonts w:hAnsi="宋体"/>
                <w:sz w:val="24"/>
              </w:rPr>
            </w:pPr>
          </w:p>
        </w:tc>
        <w:tc>
          <w:tcPr>
            <w:tcW w:w="2434" w:type="dxa"/>
          </w:tcPr>
          <w:p>
            <w:pPr>
              <w:spacing w:beforeLines="50" w:line="360" w:lineRule="auto"/>
              <w:rPr>
                <w:rFonts w:hAnsi="宋体"/>
                <w:sz w:val="24"/>
              </w:rPr>
            </w:pPr>
          </w:p>
        </w:tc>
        <w:tc>
          <w:tcPr>
            <w:tcW w:w="2596" w:type="dxa"/>
          </w:tcPr>
          <w:p>
            <w:pPr>
              <w:spacing w:beforeLines="50" w:line="360" w:lineRule="auto"/>
              <w:rPr>
                <w:rFonts w:hAnsi="宋体"/>
                <w:sz w:val="24"/>
              </w:rPr>
            </w:pPr>
          </w:p>
        </w:tc>
      </w:tr>
    </w:tbl>
    <w:p>
      <w:pPr>
        <w:spacing w:beforeLines="50" w:line="360" w:lineRule="auto"/>
        <w:ind w:firstLine="1200" w:firstLineChars="500"/>
        <w:rPr>
          <w:rFonts w:hAnsi="宋体"/>
          <w:sz w:val="24"/>
        </w:rPr>
      </w:pPr>
    </w:p>
    <w:p>
      <w:pPr>
        <w:spacing w:beforeLines="50" w:line="360" w:lineRule="auto"/>
        <w:ind w:firstLine="1200" w:firstLineChars="500"/>
        <w:rPr>
          <w:rFonts w:hAnsi="宋体"/>
          <w:sz w:val="24"/>
        </w:rPr>
      </w:pPr>
    </w:p>
    <w:p>
      <w:pPr>
        <w:spacing w:line="360" w:lineRule="auto"/>
        <w:ind w:firstLine="2520" w:firstLineChars="900"/>
        <w:rPr>
          <w:rFonts w:ascii="宋体" w:hAnsi="宋体"/>
          <w:spacing w:val="20"/>
          <w:sz w:val="24"/>
          <w:u w:val="single"/>
        </w:rPr>
      </w:pPr>
      <w:r>
        <w:rPr>
          <w:rFonts w:ascii="宋体" w:hAnsi="宋体"/>
          <w:spacing w:val="20"/>
          <w:sz w:val="24"/>
        </w:rPr>
        <w:t>法定代表人或委托代理人</w:t>
      </w:r>
      <w:r>
        <w:rPr>
          <w:rFonts w:hint="eastAsia" w:ascii="宋体" w:hAnsi="宋体"/>
          <w:spacing w:val="20"/>
          <w:sz w:val="24"/>
        </w:rPr>
        <w:t>签名：</w:t>
      </w:r>
    </w:p>
    <w:p>
      <w:pPr>
        <w:spacing w:line="360" w:lineRule="auto"/>
        <w:ind w:firstLine="560" w:firstLineChars="200"/>
        <w:rPr>
          <w:rFonts w:ascii="宋体" w:hAnsi="宋体"/>
          <w:spacing w:val="20"/>
          <w:sz w:val="24"/>
          <w:u w:val="single"/>
        </w:rPr>
      </w:pPr>
    </w:p>
    <w:p>
      <w:pPr>
        <w:spacing w:line="360" w:lineRule="auto"/>
        <w:ind w:firstLine="560" w:firstLineChars="200"/>
        <w:rPr>
          <w:rFonts w:ascii="宋体" w:hAnsi="宋体"/>
          <w:spacing w:val="20"/>
          <w:sz w:val="24"/>
          <w:u w:val="single"/>
        </w:rPr>
      </w:pPr>
      <w:r>
        <w:rPr>
          <w:rFonts w:hint="eastAsia" w:ascii="宋体" w:hAnsi="宋体"/>
          <w:spacing w:val="20"/>
          <w:sz w:val="24"/>
        </w:rPr>
        <w:t xml:space="preserve">                          投标人盖章：</w:t>
      </w:r>
    </w:p>
    <w:p>
      <w:pPr>
        <w:spacing w:line="360" w:lineRule="auto"/>
        <w:ind w:firstLine="560" w:firstLineChars="200"/>
        <w:rPr>
          <w:rFonts w:ascii="宋体" w:hAnsi="宋体"/>
          <w:spacing w:val="20"/>
          <w:sz w:val="24"/>
          <w:u w:val="single"/>
        </w:rPr>
      </w:pPr>
    </w:p>
    <w:p>
      <w:pPr>
        <w:spacing w:line="360" w:lineRule="auto"/>
        <w:ind w:firstLine="4760" w:firstLineChars="1700"/>
        <w:rPr>
          <w:rFonts w:ascii="宋体" w:hAnsi="宋体"/>
          <w:u w:val="single"/>
        </w:rPr>
      </w:pPr>
      <w:r>
        <w:rPr>
          <w:rFonts w:hint="eastAsia" w:ascii="宋体" w:hAnsi="宋体"/>
          <w:spacing w:val="20"/>
          <w:sz w:val="24"/>
        </w:rPr>
        <w:t>日     期：</w:t>
      </w:r>
    </w:p>
    <w:p>
      <w:pPr>
        <w:spacing w:line="360" w:lineRule="auto"/>
        <w:rPr>
          <w:rFonts w:ascii="宋体" w:hAnsi="宋体"/>
          <w:u w:val="single"/>
        </w:rPr>
      </w:pPr>
    </w:p>
    <w:p>
      <w:pPr>
        <w:spacing w:line="360" w:lineRule="auto"/>
        <w:rPr>
          <w:rFonts w:ascii="宋体" w:hAnsi="宋体"/>
          <w:u w:val="single"/>
        </w:rPr>
      </w:pPr>
    </w:p>
    <w:p>
      <w:pPr>
        <w:adjustRightInd w:val="0"/>
        <w:snapToGrid w:val="0"/>
        <w:spacing w:line="400" w:lineRule="atLeast"/>
        <w:rPr>
          <w:rFonts w:hAnsi="宋体"/>
          <w:sz w:val="22"/>
          <w:szCs w:val="22"/>
        </w:rPr>
      </w:pPr>
    </w:p>
    <w:p>
      <w:pPr>
        <w:adjustRightInd w:val="0"/>
        <w:snapToGrid w:val="0"/>
        <w:spacing w:line="400" w:lineRule="atLeast"/>
        <w:rPr>
          <w:rFonts w:hAnsi="宋体"/>
          <w:sz w:val="22"/>
          <w:szCs w:val="22"/>
        </w:rPr>
      </w:pPr>
    </w:p>
    <w:p>
      <w:pPr>
        <w:adjustRightInd w:val="0"/>
        <w:snapToGrid w:val="0"/>
        <w:spacing w:line="400" w:lineRule="atLeast"/>
        <w:rPr>
          <w:rFonts w:hAnsi="宋体"/>
          <w:sz w:val="22"/>
          <w:szCs w:val="22"/>
        </w:rPr>
      </w:pPr>
    </w:p>
    <w:p>
      <w:pPr>
        <w:snapToGrid w:val="0"/>
        <w:spacing w:before="50" w:after="50"/>
        <w:ind w:left="-20" w:leftChars="-72" w:right="-817" w:rightChars="-389" w:hanging="131" w:hangingChars="62"/>
        <w:outlineLvl w:val="1"/>
        <w:rPr>
          <w:rFonts w:ascii="宋体" w:hAnsi="宋体"/>
          <w:b/>
          <w:szCs w:val="28"/>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r>
        <w:rPr>
          <w:rFonts w:hint="eastAsia" w:ascii="宋体" w:hAnsi="宋体"/>
          <w:b/>
          <w:sz w:val="32"/>
          <w:szCs w:val="32"/>
        </w:rPr>
        <w:t>附件13                    投标函</w:t>
      </w: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r>
        <w:rPr>
          <w:rFonts w:hint="eastAsia"/>
          <w:sz w:val="24"/>
        </w:rPr>
        <w:t>致：</w:t>
      </w:r>
      <w:r>
        <w:rPr>
          <w:rFonts w:hint="eastAsia"/>
          <w:sz w:val="24"/>
          <w:u w:val="single"/>
        </w:rPr>
        <w:t xml:space="preserve">             </w:t>
      </w:r>
      <w:r>
        <w:rPr>
          <w:sz w:val="24"/>
        </w:rPr>
        <w:t>：</w:t>
      </w:r>
    </w:p>
    <w:p>
      <w:pPr>
        <w:adjustRightInd w:val="0"/>
        <w:snapToGrid w:val="0"/>
        <w:spacing w:line="360" w:lineRule="auto"/>
        <w:ind w:firstLine="480" w:firstLineChars="200"/>
        <w:rPr>
          <w:sz w:val="24"/>
        </w:rPr>
      </w:pPr>
      <w:r>
        <w:rPr>
          <w:sz w:val="24"/>
        </w:rPr>
        <w:t>根据贵方为</w:t>
      </w:r>
      <w:r>
        <w:rPr>
          <w:rFonts w:hint="eastAsia"/>
          <w:sz w:val="24"/>
          <w:u w:val="single"/>
        </w:rPr>
        <w:t xml:space="preserve">                                              </w:t>
      </w:r>
      <w:r>
        <w:rPr>
          <w:rFonts w:hint="eastAsia"/>
          <w:sz w:val="24"/>
        </w:rPr>
        <w:t xml:space="preserve"> </w:t>
      </w:r>
      <w:r>
        <w:rPr>
          <w:sz w:val="24"/>
        </w:rPr>
        <w:t>的</w:t>
      </w:r>
      <w:r>
        <w:rPr>
          <w:rFonts w:hint="eastAsia"/>
          <w:sz w:val="24"/>
        </w:rPr>
        <w:t>招</w:t>
      </w:r>
      <w:r>
        <w:rPr>
          <w:sz w:val="24"/>
        </w:rPr>
        <w:t>标</w:t>
      </w:r>
      <w:r>
        <w:rPr>
          <w:rFonts w:hint="eastAsia"/>
          <w:sz w:val="24"/>
        </w:rPr>
        <w:t>公告（</w:t>
      </w:r>
      <w:r>
        <w:rPr>
          <w:rFonts w:hint="eastAsia" w:cs="Arial"/>
          <w:bCs/>
          <w:sz w:val="24"/>
        </w:rPr>
        <w:t>项目编号：</w:t>
      </w:r>
      <w:r>
        <w:rPr>
          <w:rFonts w:hint="eastAsia" w:cs="Arial"/>
          <w:bCs/>
          <w:sz w:val="24"/>
          <w:u w:val="single"/>
        </w:rPr>
        <w:t xml:space="preserve">            </w:t>
      </w:r>
      <w:r>
        <w:rPr>
          <w:rFonts w:hint="eastAsia"/>
          <w:sz w:val="24"/>
        </w:rPr>
        <w:t>）</w:t>
      </w:r>
      <w:r>
        <w:rPr>
          <w:sz w:val="24"/>
        </w:rPr>
        <w:t>，签字代表____________________（全名）经正式授权并代表投标</w:t>
      </w:r>
      <w:r>
        <w:rPr>
          <w:rFonts w:hint="eastAsia"/>
          <w:sz w:val="24"/>
        </w:rPr>
        <w:t>人</w:t>
      </w:r>
      <w:r>
        <w:rPr>
          <w:sz w:val="24"/>
        </w:rPr>
        <w:t>________________________________________（投标</w:t>
      </w:r>
      <w:r>
        <w:rPr>
          <w:rFonts w:hint="eastAsia"/>
          <w:sz w:val="24"/>
        </w:rPr>
        <w:t>人</w:t>
      </w:r>
      <w:r>
        <w:rPr>
          <w:sz w:val="24"/>
        </w:rPr>
        <w:t>名称）提交</w:t>
      </w:r>
      <w:r>
        <w:rPr>
          <w:rFonts w:hint="eastAsia" w:ascii="宋体" w:hAnsi="宋体"/>
          <w:sz w:val="24"/>
        </w:rPr>
        <w:t>本项目的</w:t>
      </w:r>
      <w:r>
        <w:rPr>
          <w:rFonts w:hint="eastAsia"/>
          <w:sz w:val="24"/>
        </w:rPr>
        <w:t>资信技术文件、报价文件</w:t>
      </w:r>
      <w:r>
        <w:rPr>
          <w:sz w:val="24"/>
        </w:rPr>
        <w:t>。</w:t>
      </w:r>
    </w:p>
    <w:p>
      <w:pPr>
        <w:adjustRightInd w:val="0"/>
        <w:snapToGrid w:val="0"/>
        <w:spacing w:line="360" w:lineRule="auto"/>
        <w:ind w:firstLine="480" w:firstLineChars="200"/>
        <w:rPr>
          <w:sz w:val="24"/>
        </w:rPr>
      </w:pPr>
      <w:r>
        <w:rPr>
          <w:sz w:val="24"/>
        </w:rPr>
        <w:t>据此函，</w:t>
      </w:r>
      <w:r>
        <w:rPr>
          <w:rFonts w:hint="eastAsia"/>
          <w:sz w:val="24"/>
        </w:rPr>
        <w:t>签字代表宣布同意如下：</w:t>
      </w:r>
    </w:p>
    <w:p>
      <w:pPr>
        <w:adjustRightInd w:val="0"/>
        <w:snapToGrid w:val="0"/>
        <w:spacing w:line="360" w:lineRule="auto"/>
        <w:ind w:firstLine="480" w:firstLineChars="200"/>
        <w:rPr>
          <w:sz w:val="24"/>
        </w:rPr>
      </w:pPr>
      <w:r>
        <w:rPr>
          <w:rFonts w:hint="eastAsia"/>
          <w:sz w:val="24"/>
        </w:rPr>
        <w:t>1、投标人已详细审查全部“招标文件”，包括修改文件（如有的话）以及全部参考资料和有关附件，已经了解我方对于招标文件、采购过程、采购结果有依法进行询问、质疑、投诉的权利及相关渠道和要求。</w:t>
      </w:r>
    </w:p>
    <w:p>
      <w:pPr>
        <w:adjustRightInd w:val="0"/>
        <w:snapToGrid w:val="0"/>
        <w:spacing w:line="360" w:lineRule="auto"/>
        <w:ind w:firstLine="480" w:firstLineChars="200"/>
        <w:rPr>
          <w:sz w:val="24"/>
        </w:rPr>
      </w:pPr>
      <w:r>
        <w:rPr>
          <w:rFonts w:hint="eastAsia"/>
          <w:sz w:val="24"/>
        </w:rPr>
        <w:t>2、投标人在投标之前已经与贵方进行了充分的沟通，完全理解并接受招标文件的各项规定和要求，对招标文件的合理性、合法性不再有异议。</w:t>
      </w:r>
    </w:p>
    <w:p>
      <w:pPr>
        <w:adjustRightInd w:val="0"/>
        <w:snapToGrid w:val="0"/>
        <w:spacing w:line="360" w:lineRule="auto"/>
        <w:ind w:firstLine="480" w:firstLineChars="200"/>
        <w:rPr>
          <w:sz w:val="24"/>
        </w:rPr>
      </w:pPr>
      <w:r>
        <w:rPr>
          <w:rFonts w:hint="eastAsia"/>
          <w:sz w:val="24"/>
        </w:rPr>
        <w:t>3、本投标有效期自开标日起90个日历天</w:t>
      </w:r>
      <w:r>
        <w:rPr>
          <w:sz w:val="24"/>
        </w:rPr>
        <w:t>。</w:t>
      </w:r>
    </w:p>
    <w:p>
      <w:pPr>
        <w:adjustRightInd w:val="0"/>
        <w:snapToGrid w:val="0"/>
        <w:spacing w:line="360" w:lineRule="auto"/>
        <w:ind w:firstLine="480" w:firstLineChars="200"/>
        <w:rPr>
          <w:sz w:val="24"/>
        </w:rPr>
      </w:pPr>
      <w:r>
        <w:rPr>
          <w:rFonts w:hint="eastAsia"/>
          <w:sz w:val="24"/>
        </w:rPr>
        <w:t>4、如中标，本投标文件至本项目合同履行完毕止均保持有效，本投标人将按“招标文件”及政府采购法律、法规的规定履行合同责任和义务。</w:t>
      </w:r>
    </w:p>
    <w:p>
      <w:pPr>
        <w:adjustRightInd w:val="0"/>
        <w:snapToGrid w:val="0"/>
        <w:spacing w:line="360" w:lineRule="auto"/>
        <w:ind w:firstLine="480" w:firstLineChars="200"/>
        <w:rPr>
          <w:sz w:val="24"/>
        </w:rPr>
      </w:pPr>
      <w:r>
        <w:rPr>
          <w:rFonts w:hint="eastAsia"/>
          <w:sz w:val="24"/>
        </w:rPr>
        <w:t>5、投标人同意按照贵方要求提供与投标有关的一切数据或资料，并保证其真实性、合法性。</w:t>
      </w:r>
    </w:p>
    <w:p>
      <w:pPr>
        <w:adjustRightInd w:val="0"/>
        <w:snapToGrid w:val="0"/>
        <w:spacing w:line="360" w:lineRule="auto"/>
        <w:ind w:firstLine="480" w:firstLineChars="200"/>
        <w:rPr>
          <w:sz w:val="24"/>
        </w:rPr>
      </w:pPr>
      <w:r>
        <w:rPr>
          <w:rFonts w:hint="eastAsia"/>
          <w:sz w:val="24"/>
        </w:rPr>
        <w:t>6、与本投标有关的一切正式往来信函请寄：</w:t>
      </w:r>
    </w:p>
    <w:p>
      <w:pPr>
        <w:adjustRightInd w:val="0"/>
        <w:snapToGrid w:val="0"/>
        <w:spacing w:line="360" w:lineRule="auto"/>
        <w:rPr>
          <w:sz w:val="24"/>
        </w:rPr>
      </w:pPr>
      <w:r>
        <w:rPr>
          <w:rFonts w:hint="eastAsia"/>
          <w:sz w:val="24"/>
        </w:rPr>
        <w:t>地址：</w:t>
      </w:r>
      <w:r>
        <w:rPr>
          <w:sz w:val="24"/>
        </w:rPr>
        <w:t>____________________</w:t>
      </w:r>
      <w:r>
        <w:rPr>
          <w:rFonts w:hint="eastAsia"/>
          <w:sz w:val="24"/>
        </w:rPr>
        <w:t xml:space="preserve">  </w:t>
      </w:r>
      <w:r>
        <w:rPr>
          <w:sz w:val="24"/>
        </w:rPr>
        <w:t>邮编：__________</w:t>
      </w:r>
      <w:r>
        <w:rPr>
          <w:rFonts w:hint="eastAsia"/>
          <w:sz w:val="24"/>
        </w:rPr>
        <w:t xml:space="preserve">   电话：</w:t>
      </w:r>
      <w:r>
        <w:rPr>
          <w:sz w:val="24"/>
        </w:rPr>
        <w:t>______________</w:t>
      </w:r>
      <w:r>
        <w:rPr>
          <w:rFonts w:hint="eastAsia"/>
          <w:sz w:val="24"/>
        </w:rPr>
        <w:t xml:space="preserve"> </w:t>
      </w:r>
    </w:p>
    <w:p>
      <w:pPr>
        <w:adjustRightInd w:val="0"/>
        <w:snapToGrid w:val="0"/>
        <w:spacing w:line="360" w:lineRule="auto"/>
        <w:rPr>
          <w:sz w:val="24"/>
        </w:rPr>
      </w:pPr>
      <w:r>
        <w:rPr>
          <w:sz w:val="24"/>
        </w:rPr>
        <w:t>传真：______________</w:t>
      </w:r>
      <w:r>
        <w:rPr>
          <w:rFonts w:hint="eastAsia"/>
          <w:sz w:val="24"/>
        </w:rPr>
        <w:t>投标人代表姓名</w:t>
      </w:r>
      <w:r>
        <w:rPr>
          <w:sz w:val="24"/>
        </w:rPr>
        <w:t xml:space="preserve"> ___________</w:t>
      </w:r>
      <w:r>
        <w:rPr>
          <w:rFonts w:hint="eastAsia"/>
          <w:sz w:val="24"/>
        </w:rPr>
        <w:t xml:space="preserve"> </w:t>
      </w:r>
      <w:r>
        <w:rPr>
          <w:sz w:val="24"/>
        </w:rPr>
        <w:t xml:space="preserve"> 职务：______________</w:t>
      </w: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r>
        <w:rPr>
          <w:rFonts w:hint="eastAsia"/>
          <w:sz w:val="24"/>
        </w:rPr>
        <w:t>投标人名称</w:t>
      </w:r>
      <w:r>
        <w:rPr>
          <w:sz w:val="24"/>
        </w:rPr>
        <w:t>(盖章):___________________</w:t>
      </w:r>
    </w:p>
    <w:p>
      <w:pPr>
        <w:adjustRightInd w:val="0"/>
        <w:snapToGrid w:val="0"/>
        <w:spacing w:line="360" w:lineRule="auto"/>
        <w:rPr>
          <w:sz w:val="24"/>
        </w:rPr>
      </w:pPr>
      <w:r>
        <w:rPr>
          <w:rFonts w:hint="eastAsia"/>
          <w:sz w:val="24"/>
        </w:rPr>
        <w:t>开户银行：</w:t>
      </w:r>
      <w:r>
        <w:rPr>
          <w:rFonts w:hint="eastAsia"/>
          <w:sz w:val="24"/>
          <w:u w:val="single"/>
        </w:rPr>
        <w:t xml:space="preserve">                      </w:t>
      </w:r>
      <w:r>
        <w:rPr>
          <w:rFonts w:hint="eastAsia"/>
          <w:sz w:val="24"/>
        </w:rPr>
        <w:t xml:space="preserve">   银行帐号：</w:t>
      </w:r>
      <w:r>
        <w:rPr>
          <w:rFonts w:hint="eastAsia"/>
          <w:sz w:val="24"/>
          <w:u w:val="single"/>
        </w:rPr>
        <w:t xml:space="preserve">                    </w:t>
      </w:r>
      <w:r>
        <w:rPr>
          <w:rFonts w:hint="eastAsia"/>
          <w:sz w:val="24"/>
        </w:rPr>
        <w:t xml:space="preserve"> </w:t>
      </w:r>
    </w:p>
    <w:p>
      <w:pPr>
        <w:adjustRightInd w:val="0"/>
        <w:snapToGrid w:val="0"/>
        <w:spacing w:line="360" w:lineRule="auto"/>
        <w:rPr>
          <w:sz w:val="24"/>
        </w:rPr>
      </w:pPr>
      <w:r>
        <w:rPr>
          <w:rFonts w:hint="eastAsia" w:ascii="宋体" w:hAnsi="宋体"/>
          <w:sz w:val="24"/>
        </w:rPr>
        <w:t>法定代表人或被授权人签字（或签章）</w:t>
      </w:r>
      <w:r>
        <w:rPr>
          <w:sz w:val="24"/>
        </w:rPr>
        <w:t>:___________</w:t>
      </w:r>
      <w:r>
        <w:rPr>
          <w:rFonts w:hint="eastAsia"/>
          <w:sz w:val="24"/>
        </w:rPr>
        <w:t xml:space="preserve">                    </w:t>
      </w:r>
    </w:p>
    <w:p>
      <w:pPr>
        <w:adjustRightInd w:val="0"/>
        <w:snapToGrid w:val="0"/>
        <w:spacing w:line="360" w:lineRule="auto"/>
        <w:jc w:val="right"/>
        <w:sectPr>
          <w:pgSz w:w="11906" w:h="16838"/>
          <w:pgMar w:top="1389" w:right="1247" w:bottom="1389" w:left="1247" w:header="851" w:footer="992" w:gutter="283"/>
          <w:cols w:space="720" w:num="1"/>
          <w:docGrid w:linePitch="312" w:charSpace="0"/>
        </w:sectPr>
      </w:pPr>
      <w:r>
        <w:rPr>
          <w:rFonts w:hint="eastAsia"/>
        </w:rPr>
        <w:t>日期</w:t>
      </w:r>
      <w:r>
        <w:t>:_____年___月___</w:t>
      </w:r>
      <w:r>
        <w:rPr>
          <w:rFonts w:hint="eastAsia"/>
        </w:rPr>
        <w:t>日</w:t>
      </w:r>
    </w:p>
    <w:p/>
    <w:p>
      <w:pPr>
        <w:pStyle w:val="16"/>
        <w:snapToGrid w:val="0"/>
        <w:spacing w:beforeLines="10" w:afterLines="10"/>
        <w:rPr>
          <w:rFonts w:hAnsi="宋体"/>
          <w:b/>
          <w:sz w:val="32"/>
          <w:szCs w:val="32"/>
        </w:rPr>
      </w:pPr>
      <w:r>
        <w:rPr>
          <w:rFonts w:hint="eastAsia" w:hAnsi="宋体"/>
          <w:b/>
          <w:sz w:val="32"/>
          <w:szCs w:val="32"/>
        </w:rPr>
        <w:t>附件14                  中小企业声明函</w:t>
      </w:r>
    </w:p>
    <w:p>
      <w:pPr>
        <w:pStyle w:val="16"/>
        <w:snapToGrid w:val="0"/>
        <w:spacing w:beforeLines="10" w:afterLines="10"/>
        <w:rPr>
          <w:rFonts w:hAnsi="宋体"/>
          <w:b/>
          <w:sz w:val="32"/>
          <w:szCs w:val="32"/>
        </w:rPr>
      </w:pPr>
    </w:p>
    <w:p>
      <w:pPr>
        <w:wordWrap w:val="0"/>
        <w:snapToGrid w:val="0"/>
        <w:spacing w:beforeLines="50" w:line="400" w:lineRule="exact"/>
        <w:ind w:firstLine="630" w:firstLineChars="300"/>
        <w:jc w:val="left"/>
        <w:rPr>
          <w:rFonts w:ascii="宋体" w:hAnsi="宋体"/>
          <w:szCs w:val="21"/>
        </w:rPr>
      </w:pPr>
      <w:bookmarkStart w:id="88" w:name="_Toc7536"/>
      <w:r>
        <w:rPr>
          <w:rFonts w:hint="eastAsia" w:ascii="宋体" w:hAnsi="宋体"/>
          <w:szCs w:val="21"/>
        </w:rPr>
        <w:t>本公司郑重声明，根据《政府采购促进中小企业发展暂行办法》（财库[2033]181号）的规定，本公司为</w:t>
      </w:r>
      <w:r>
        <w:rPr>
          <w:rFonts w:ascii="宋体" w:hAnsi="宋体"/>
          <w:szCs w:val="21"/>
          <w:u w:val="single"/>
        </w:rPr>
        <w:t xml:space="preserve">                 </w:t>
      </w:r>
      <w:r>
        <w:rPr>
          <w:rFonts w:hint="eastAsia" w:ascii="宋体" w:hAnsi="宋体"/>
          <w:szCs w:val="21"/>
        </w:rPr>
        <w:t>（请填写：中型、小型、微型）企业。即，本公司同时满足以下条件：</w:t>
      </w:r>
    </w:p>
    <w:p>
      <w:pPr>
        <w:wordWrap w:val="0"/>
        <w:snapToGrid w:val="0"/>
        <w:spacing w:beforeLines="50" w:line="400" w:lineRule="exact"/>
        <w:jc w:val="left"/>
        <w:rPr>
          <w:rFonts w:ascii="宋体" w:hAnsi="宋体"/>
          <w:szCs w:val="21"/>
        </w:rPr>
      </w:pPr>
      <w:r>
        <w:rPr>
          <w:rFonts w:hint="eastAsia" w:ascii="宋体" w:hAnsi="宋体"/>
          <w:szCs w:val="21"/>
        </w:rPr>
        <w:t xml:space="preserve">    1、根据《工业和信息化部、国家统计局、国家发展和改革委员会、财政部关于印发中小企业划型标准规定的通知》（工信部联企业[2033]300号）规定的划分标准，本公司为</w:t>
      </w:r>
      <w:r>
        <w:rPr>
          <w:rFonts w:ascii="宋体" w:hAnsi="宋体"/>
          <w:szCs w:val="21"/>
          <w:u w:val="single"/>
        </w:rPr>
        <w:t xml:space="preserve">          </w:t>
      </w:r>
      <w:r>
        <w:rPr>
          <w:rFonts w:hint="eastAsia" w:ascii="宋体" w:hAnsi="宋体"/>
          <w:szCs w:val="21"/>
        </w:rPr>
        <w:t>（请填写：中型、小型、微型）企业。</w:t>
      </w:r>
    </w:p>
    <w:p>
      <w:pPr>
        <w:wordWrap w:val="0"/>
        <w:snapToGrid w:val="0"/>
        <w:spacing w:beforeLines="50" w:line="400" w:lineRule="exact"/>
        <w:jc w:val="left"/>
        <w:rPr>
          <w:rFonts w:ascii="宋体" w:hAnsi="宋体"/>
          <w:szCs w:val="21"/>
        </w:rPr>
      </w:pPr>
      <w:r>
        <w:rPr>
          <w:rFonts w:hint="eastAsia" w:ascii="宋体" w:hAnsi="宋体"/>
          <w:szCs w:val="21"/>
        </w:rPr>
        <w:t xml:space="preserve">    2、本公司参加</w:t>
      </w:r>
      <w:r>
        <w:rPr>
          <w:rFonts w:ascii="宋体" w:hAnsi="宋体"/>
          <w:szCs w:val="21"/>
          <w:u w:val="single"/>
        </w:rPr>
        <w:t xml:space="preserve">                 </w:t>
      </w:r>
      <w:r>
        <w:rPr>
          <w:rFonts w:hint="eastAsia" w:ascii="宋体" w:hAnsi="宋体"/>
          <w:szCs w:val="21"/>
        </w:rPr>
        <w:t>单位的</w:t>
      </w:r>
      <w:r>
        <w:rPr>
          <w:rFonts w:ascii="宋体" w:hAnsi="宋体"/>
          <w:szCs w:val="21"/>
          <w:u w:val="single"/>
        </w:rPr>
        <w:t xml:space="preserve">                 </w:t>
      </w:r>
      <w:r>
        <w:rPr>
          <w:rFonts w:hint="eastAsia" w:ascii="宋体" w:hAnsi="宋体"/>
          <w:szCs w:val="21"/>
        </w:rPr>
        <w:t>项目采购活动提供本企业制造的货物，由本企业承担工程、提供服务，或者提供其他____</w:t>
      </w:r>
      <w:r>
        <w:rPr>
          <w:rFonts w:hint="eastAsia" w:ascii="宋体" w:hAnsi="宋体"/>
          <w:szCs w:val="21"/>
          <w:u w:val="single"/>
        </w:rPr>
        <w:t xml:space="preserve">    </w:t>
      </w:r>
      <w:r>
        <w:rPr>
          <w:rFonts w:hint="eastAsia" w:ascii="宋体" w:hAnsi="宋体"/>
          <w:szCs w:val="21"/>
        </w:rPr>
        <w:t>_（请填写：中型、小型、微型）企业制造的货物。本条所称货物不包括使用大型企业注册商标的货物。</w:t>
      </w:r>
    </w:p>
    <w:p>
      <w:pPr>
        <w:wordWrap w:val="0"/>
        <w:snapToGrid w:val="0"/>
        <w:spacing w:beforeLines="50" w:line="400" w:lineRule="exact"/>
        <w:jc w:val="left"/>
        <w:rPr>
          <w:rFonts w:ascii="宋体" w:hAnsi="宋体"/>
          <w:szCs w:val="21"/>
        </w:rPr>
      </w:pPr>
      <w:r>
        <w:rPr>
          <w:rFonts w:hint="eastAsia" w:ascii="宋体" w:hAnsi="宋体"/>
          <w:szCs w:val="21"/>
        </w:rPr>
        <w:t xml:space="preserve">    本公司对上述声明的真实性负责。如有虚假，将依法承担相应责任。</w:t>
      </w:r>
    </w:p>
    <w:p>
      <w:pPr>
        <w:wordWrap w:val="0"/>
        <w:snapToGrid w:val="0"/>
        <w:spacing w:before="50" w:afterLines="50" w:line="400" w:lineRule="exact"/>
        <w:jc w:val="left"/>
        <w:rPr>
          <w:rFonts w:ascii="宋体" w:hAnsi="宋体"/>
          <w:sz w:val="24"/>
        </w:rPr>
      </w:pPr>
    </w:p>
    <w:p>
      <w:pPr>
        <w:pStyle w:val="2"/>
        <w:spacing w:line="360" w:lineRule="auto"/>
        <w:jc w:val="right"/>
        <w:rPr>
          <w:rFonts w:ascii="宋体" w:hAnsi="宋体" w:eastAsia="宋体" w:cs="宋体"/>
          <w:b w:val="0"/>
          <w:kern w:val="0"/>
          <w:sz w:val="24"/>
        </w:rPr>
      </w:pPr>
      <w:r>
        <w:rPr>
          <w:rFonts w:hint="eastAsia" w:ascii="宋体" w:hAnsi="宋体" w:eastAsia="宋体" w:cs="宋体"/>
          <w:b w:val="0"/>
          <w:kern w:val="0"/>
          <w:sz w:val="24"/>
        </w:rPr>
        <w:t xml:space="preserve">单位名称（盖章）： </w:t>
      </w:r>
    </w:p>
    <w:p>
      <w:pPr>
        <w:tabs>
          <w:tab w:val="left" w:pos="6264"/>
        </w:tabs>
        <w:snapToGrid w:val="0"/>
        <w:spacing w:line="400" w:lineRule="exact"/>
        <w:ind w:firstLine="476"/>
        <w:rPr>
          <w:rFonts w:ascii="宋体" w:hAnsi="宋体"/>
          <w:szCs w:val="32"/>
        </w:rPr>
      </w:pPr>
      <w:r>
        <w:rPr>
          <w:rFonts w:hint="eastAsia" w:ascii="宋体" w:hAnsi="宋体" w:cs="宋体"/>
          <w:b/>
          <w:bCs/>
          <w:sz w:val="24"/>
        </w:rPr>
        <w:t>提供“国家企业信用信息公示系统——小微企业名录”页面查询结果（网站截图）</w:t>
      </w:r>
      <w:r>
        <w:fldChar w:fldCharType="begin"/>
      </w:r>
      <w:r>
        <w:instrText xml:space="preserve"> HYPERLINK "http://xwqy.gsxt.gov.cn/mirco/micro_lib" </w:instrText>
      </w:r>
      <w:r>
        <w:fldChar w:fldCharType="separate"/>
      </w:r>
      <w:r>
        <w:rPr>
          <w:rFonts w:hint="eastAsia" w:ascii="宋体" w:hAnsi="宋体" w:cs="宋体"/>
          <w:b/>
          <w:bCs/>
          <w:sz w:val="24"/>
        </w:rPr>
        <w:t>http://xwqy.gsxt.gov.cn/mirco/micro_lib</w:t>
      </w:r>
      <w:r>
        <w:rPr>
          <w:rFonts w:hint="eastAsia" w:ascii="宋体" w:hAnsi="宋体" w:cs="宋体"/>
          <w:b/>
          <w:bCs/>
          <w:sz w:val="24"/>
        </w:rPr>
        <w:fldChar w:fldCharType="end"/>
      </w:r>
      <w:r>
        <w:rPr>
          <w:rFonts w:hint="eastAsia" w:ascii="宋体" w:hAnsi="宋体" w:cs="宋体"/>
          <w:b/>
          <w:bCs/>
          <w:sz w:val="24"/>
        </w:rPr>
        <w:t xml:space="preserve">，查询时间为投标前一周内，并加盖单位公章。 </w:t>
      </w:r>
      <w:r>
        <w:rPr>
          <w:rFonts w:hint="eastAsia" w:ascii="宋体" w:hAnsi="宋体"/>
          <w:sz w:val="24"/>
          <w:u w:val="single"/>
        </w:rPr>
        <w:t xml:space="preserve">      </w:t>
      </w:r>
      <w:bookmarkStart w:id="89" w:name="_Toc10236"/>
    </w:p>
    <w:p>
      <w:pPr>
        <w:pStyle w:val="2"/>
        <w:spacing w:line="360" w:lineRule="auto"/>
        <w:jc w:val="center"/>
        <w:rPr>
          <w:rFonts w:ascii="宋体" w:hAnsi="宋体" w:eastAsia="宋体"/>
          <w:szCs w:val="32"/>
        </w:rPr>
      </w:pPr>
      <w:r>
        <w:rPr>
          <w:rFonts w:hint="eastAsia" w:ascii="宋体" w:hAnsi="宋体" w:eastAsia="宋体"/>
          <w:szCs w:val="32"/>
        </w:rPr>
        <w:t>残疾人福利性单位声明函</w:t>
      </w:r>
      <w:bookmarkEnd w:id="88"/>
      <w:bookmarkEnd w:id="89"/>
    </w:p>
    <w:p>
      <w:pPr>
        <w:wordWrap w:val="0"/>
        <w:snapToGrid w:val="0"/>
        <w:spacing w:beforeLines="150" w:line="360" w:lineRule="auto"/>
        <w:ind w:firstLine="482"/>
        <w:rPr>
          <w:rFonts w:ascii="宋体" w:hAnsi="宋体"/>
          <w:szCs w:val="21"/>
        </w:rPr>
      </w:pPr>
      <w:r>
        <w:rPr>
          <w:rFonts w:hint="eastAsia" w:ascii="微软雅黑" w:hAnsi="微软雅黑" w:eastAsia="微软雅黑" w:cs="微软雅黑"/>
          <w:kern w:val="0"/>
          <w:sz w:val="24"/>
        </w:rPr>
        <w:t>  </w:t>
      </w: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r>
        <w:rPr>
          <w:rFonts w:hint="eastAsia" w:ascii="宋体" w:hAnsi="宋体"/>
          <w:szCs w:val="21"/>
        </w:rPr>
        <w:br w:type="textWrapping"/>
      </w:r>
      <w:r>
        <w:rPr>
          <w:rFonts w:hint="eastAsia" w:ascii="宋体" w:hAnsi="宋体"/>
          <w:szCs w:val="21"/>
        </w:rPr>
        <w:t>   本单位对上述声明的真实性负责。如有虚假，将依法承担相应责任。</w:t>
      </w:r>
    </w:p>
    <w:p>
      <w:pPr>
        <w:widowControl/>
        <w:spacing w:line="360" w:lineRule="auto"/>
        <w:jc w:val="right"/>
        <w:textAlignment w:val="top"/>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单位名称（盖章）：</w:t>
      </w:r>
    </w:p>
    <w:p>
      <w:pPr>
        <w:spacing w:line="600" w:lineRule="exact"/>
        <w:ind w:firstLine="315" w:firstLineChars="150"/>
        <w:jc w:val="right"/>
        <w:sectPr>
          <w:headerReference r:id="rId8" w:type="first"/>
          <w:footerReference r:id="rId10" w:type="first"/>
          <w:headerReference r:id="rId7" w:type="default"/>
          <w:footerReference r:id="rId9" w:type="default"/>
          <w:pgSz w:w="11906" w:h="16838"/>
          <w:pgMar w:top="1389" w:right="1247" w:bottom="1389" w:left="1247" w:header="851" w:footer="851" w:gutter="0"/>
          <w:cols w:space="720" w:num="1"/>
          <w:titlePg/>
          <w:docGrid w:linePitch="312" w:charSpace="0"/>
        </w:sectPr>
      </w:pPr>
      <w:r>
        <w:rPr>
          <w:rFonts w:hint="eastAsia" w:hAnsi="宋体" w:cs="宋体"/>
          <w:kern w:val="0"/>
        </w:rPr>
        <w:t>日 期</w:t>
      </w:r>
    </w:p>
    <w:p>
      <w:pPr>
        <w:rPr>
          <w:rFonts w:ascii="宋体" w:hAnsi="宋体"/>
          <w:b/>
          <w:spacing w:val="20"/>
          <w:sz w:val="30"/>
          <w:szCs w:val="30"/>
        </w:rPr>
      </w:pPr>
      <w:r>
        <w:rPr>
          <w:rFonts w:hint="eastAsia" w:ascii="宋体" w:hAnsi="宋体"/>
          <w:b/>
          <w:spacing w:val="20"/>
          <w:sz w:val="30"/>
          <w:szCs w:val="30"/>
        </w:rPr>
        <w:t>附件15                        开 标 一 览 表</w:t>
      </w:r>
    </w:p>
    <w:p>
      <w:pPr>
        <w:rPr>
          <w:rFonts w:ascii="宋体" w:hAnsi="宋体"/>
          <w:spacing w:val="20"/>
          <w:sz w:val="23"/>
          <w:szCs w:val="23"/>
        </w:rPr>
      </w:pPr>
    </w:p>
    <w:p>
      <w:pPr>
        <w:ind w:firstLine="405" w:firstLineChars="150"/>
        <w:rPr>
          <w:rFonts w:ascii="宋体" w:hAnsi="宋体"/>
          <w:spacing w:val="20"/>
          <w:sz w:val="23"/>
          <w:szCs w:val="23"/>
        </w:rPr>
      </w:pPr>
      <w:r>
        <w:rPr>
          <w:rFonts w:hint="eastAsia" w:ascii="宋体" w:hAnsi="宋体"/>
          <w:spacing w:val="20"/>
          <w:sz w:val="23"/>
          <w:szCs w:val="23"/>
        </w:rPr>
        <w:t xml:space="preserve">投标人名称（盖章）：            项目编号：                  项目名称：              </w:t>
      </w:r>
    </w:p>
    <w:p>
      <w:pPr>
        <w:ind w:firstLine="540" w:firstLineChars="200"/>
        <w:rPr>
          <w:rFonts w:ascii="宋体" w:hAnsi="宋体"/>
          <w:spacing w:val="20"/>
          <w:sz w:val="23"/>
          <w:szCs w:val="23"/>
        </w:rPr>
      </w:pPr>
    </w:p>
    <w:tbl>
      <w:tblPr>
        <w:tblStyle w:val="33"/>
        <w:tblW w:w="13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80"/>
        <w:gridCol w:w="2327"/>
        <w:gridCol w:w="1042"/>
        <w:gridCol w:w="1374"/>
        <w:gridCol w:w="1620"/>
        <w:gridCol w:w="1748"/>
        <w:gridCol w:w="106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932" w:type="dxa"/>
            <w:vAlign w:val="center"/>
          </w:tcPr>
          <w:p>
            <w:pPr>
              <w:jc w:val="center"/>
              <w:rPr>
                <w:rFonts w:ascii="宋体" w:hAnsi="宋体"/>
                <w:spacing w:val="20"/>
                <w:sz w:val="20"/>
                <w:szCs w:val="20"/>
              </w:rPr>
            </w:pPr>
            <w:r>
              <w:rPr>
                <w:rFonts w:hint="eastAsia" w:ascii="宋体" w:hAnsi="宋体"/>
                <w:spacing w:val="20"/>
                <w:sz w:val="20"/>
                <w:szCs w:val="20"/>
              </w:rPr>
              <w:t>产品名称</w:t>
            </w:r>
          </w:p>
        </w:tc>
        <w:tc>
          <w:tcPr>
            <w:tcW w:w="780" w:type="dxa"/>
            <w:vAlign w:val="center"/>
          </w:tcPr>
          <w:p>
            <w:pPr>
              <w:jc w:val="center"/>
              <w:rPr>
                <w:rFonts w:ascii="宋体" w:hAnsi="宋体"/>
                <w:spacing w:val="20"/>
                <w:sz w:val="20"/>
                <w:szCs w:val="20"/>
              </w:rPr>
            </w:pPr>
            <w:r>
              <w:rPr>
                <w:rFonts w:hint="eastAsia" w:ascii="宋体" w:hAnsi="宋体"/>
                <w:spacing w:val="20"/>
                <w:sz w:val="20"/>
                <w:szCs w:val="20"/>
              </w:rPr>
              <w:t>品牌</w:t>
            </w:r>
          </w:p>
        </w:tc>
        <w:tc>
          <w:tcPr>
            <w:tcW w:w="2327" w:type="dxa"/>
            <w:vAlign w:val="center"/>
          </w:tcPr>
          <w:p>
            <w:pPr>
              <w:jc w:val="center"/>
              <w:rPr>
                <w:rFonts w:ascii="宋体" w:hAnsi="宋体"/>
                <w:spacing w:val="20"/>
                <w:sz w:val="20"/>
                <w:szCs w:val="20"/>
              </w:rPr>
            </w:pPr>
            <w:r>
              <w:rPr>
                <w:rFonts w:hint="eastAsia" w:ascii="宋体" w:hAnsi="宋体"/>
                <w:spacing w:val="20"/>
                <w:sz w:val="20"/>
                <w:szCs w:val="20"/>
              </w:rPr>
              <w:t>型号和规格</w:t>
            </w:r>
          </w:p>
        </w:tc>
        <w:tc>
          <w:tcPr>
            <w:tcW w:w="1042" w:type="dxa"/>
            <w:vAlign w:val="center"/>
          </w:tcPr>
          <w:p>
            <w:pPr>
              <w:jc w:val="center"/>
              <w:rPr>
                <w:rFonts w:ascii="宋体" w:hAnsi="宋体"/>
                <w:spacing w:val="20"/>
                <w:sz w:val="20"/>
                <w:szCs w:val="20"/>
              </w:rPr>
            </w:pPr>
            <w:r>
              <w:rPr>
                <w:rFonts w:hint="eastAsia" w:ascii="宋体" w:hAnsi="宋体"/>
                <w:spacing w:val="20"/>
                <w:sz w:val="20"/>
                <w:szCs w:val="20"/>
              </w:rPr>
              <w:t>数量</w:t>
            </w:r>
          </w:p>
        </w:tc>
        <w:tc>
          <w:tcPr>
            <w:tcW w:w="1374" w:type="dxa"/>
            <w:vAlign w:val="center"/>
          </w:tcPr>
          <w:p>
            <w:pPr>
              <w:jc w:val="center"/>
              <w:rPr>
                <w:rFonts w:ascii="宋体" w:hAnsi="宋体"/>
                <w:spacing w:val="20"/>
                <w:sz w:val="20"/>
                <w:szCs w:val="20"/>
              </w:rPr>
            </w:pPr>
            <w:r>
              <w:rPr>
                <w:rFonts w:hint="eastAsia" w:ascii="宋体" w:hAnsi="宋体"/>
                <w:spacing w:val="20"/>
                <w:sz w:val="20"/>
                <w:szCs w:val="20"/>
              </w:rPr>
              <w:t>投标单价</w:t>
            </w:r>
          </w:p>
        </w:tc>
        <w:tc>
          <w:tcPr>
            <w:tcW w:w="1620" w:type="dxa"/>
            <w:vAlign w:val="center"/>
          </w:tcPr>
          <w:p>
            <w:pPr>
              <w:jc w:val="center"/>
              <w:rPr>
                <w:rFonts w:ascii="宋体" w:hAnsi="宋体"/>
                <w:spacing w:val="20"/>
                <w:sz w:val="20"/>
                <w:szCs w:val="20"/>
              </w:rPr>
            </w:pPr>
            <w:r>
              <w:rPr>
                <w:rFonts w:hint="eastAsia" w:ascii="宋体" w:hAnsi="宋体"/>
                <w:spacing w:val="20"/>
                <w:sz w:val="20"/>
                <w:szCs w:val="20"/>
              </w:rPr>
              <w:t>合计金额</w:t>
            </w:r>
          </w:p>
        </w:tc>
        <w:tc>
          <w:tcPr>
            <w:tcW w:w="1748" w:type="dxa"/>
            <w:vAlign w:val="center"/>
          </w:tcPr>
          <w:p>
            <w:pPr>
              <w:jc w:val="center"/>
              <w:rPr>
                <w:rFonts w:ascii="宋体" w:hAnsi="宋体"/>
                <w:spacing w:val="20"/>
                <w:sz w:val="20"/>
                <w:szCs w:val="20"/>
              </w:rPr>
            </w:pPr>
            <w:r>
              <w:rPr>
                <w:rFonts w:hint="eastAsia" w:ascii="宋体" w:hAnsi="宋体"/>
                <w:spacing w:val="20"/>
                <w:sz w:val="20"/>
                <w:szCs w:val="20"/>
              </w:rPr>
              <w:t>合同履行期限</w:t>
            </w:r>
          </w:p>
        </w:tc>
        <w:tc>
          <w:tcPr>
            <w:tcW w:w="1060" w:type="dxa"/>
            <w:vAlign w:val="center"/>
          </w:tcPr>
          <w:p>
            <w:pPr>
              <w:jc w:val="center"/>
              <w:rPr>
                <w:rFonts w:ascii="宋体" w:hAnsi="宋体"/>
                <w:spacing w:val="20"/>
                <w:sz w:val="20"/>
                <w:szCs w:val="20"/>
              </w:rPr>
            </w:pPr>
            <w:r>
              <w:rPr>
                <w:rFonts w:hint="eastAsia" w:ascii="宋体" w:hAnsi="宋体"/>
                <w:spacing w:val="20"/>
                <w:sz w:val="20"/>
                <w:szCs w:val="20"/>
              </w:rPr>
              <w:t>质保期</w:t>
            </w:r>
          </w:p>
        </w:tc>
        <w:tc>
          <w:tcPr>
            <w:tcW w:w="1543" w:type="dxa"/>
            <w:vAlign w:val="center"/>
          </w:tcPr>
          <w:p>
            <w:pPr>
              <w:jc w:val="center"/>
              <w:rPr>
                <w:rFonts w:ascii="宋体" w:hAnsi="宋体"/>
                <w:spacing w:val="20"/>
                <w:sz w:val="20"/>
                <w:szCs w:val="20"/>
              </w:rPr>
            </w:pPr>
            <w:r>
              <w:rPr>
                <w:rFonts w:hint="eastAsia" w:ascii="宋体" w:hAnsi="宋体"/>
                <w:spacing w:val="20"/>
                <w:sz w:val="20"/>
                <w:szCs w:val="20"/>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932" w:type="dxa"/>
            <w:vAlign w:val="center"/>
          </w:tcPr>
          <w:p>
            <w:pPr>
              <w:rPr>
                <w:rFonts w:ascii="宋体" w:hAnsi="宋体"/>
                <w:spacing w:val="20"/>
                <w:sz w:val="20"/>
                <w:szCs w:val="20"/>
              </w:rPr>
            </w:pPr>
          </w:p>
        </w:tc>
        <w:tc>
          <w:tcPr>
            <w:tcW w:w="780" w:type="dxa"/>
            <w:vAlign w:val="center"/>
          </w:tcPr>
          <w:p>
            <w:pPr>
              <w:rPr>
                <w:rFonts w:ascii="宋体" w:hAnsi="宋体"/>
                <w:spacing w:val="20"/>
                <w:sz w:val="20"/>
                <w:szCs w:val="20"/>
              </w:rPr>
            </w:pPr>
          </w:p>
        </w:tc>
        <w:tc>
          <w:tcPr>
            <w:tcW w:w="2327" w:type="dxa"/>
            <w:vAlign w:val="center"/>
          </w:tcPr>
          <w:p>
            <w:pPr>
              <w:rPr>
                <w:rFonts w:ascii="宋体" w:hAnsi="宋体"/>
                <w:spacing w:val="20"/>
                <w:sz w:val="20"/>
                <w:szCs w:val="20"/>
              </w:rPr>
            </w:pPr>
          </w:p>
        </w:tc>
        <w:tc>
          <w:tcPr>
            <w:tcW w:w="1042" w:type="dxa"/>
            <w:vAlign w:val="center"/>
          </w:tcPr>
          <w:p>
            <w:pPr>
              <w:rPr>
                <w:rFonts w:ascii="宋体" w:hAnsi="宋体"/>
                <w:spacing w:val="20"/>
                <w:sz w:val="20"/>
                <w:szCs w:val="20"/>
              </w:rPr>
            </w:pPr>
          </w:p>
        </w:tc>
        <w:tc>
          <w:tcPr>
            <w:tcW w:w="1374" w:type="dxa"/>
            <w:vAlign w:val="center"/>
          </w:tcPr>
          <w:p>
            <w:pPr>
              <w:rPr>
                <w:rFonts w:ascii="宋体" w:hAnsi="宋体"/>
                <w:spacing w:val="20"/>
                <w:sz w:val="20"/>
                <w:szCs w:val="20"/>
              </w:rPr>
            </w:pPr>
          </w:p>
        </w:tc>
        <w:tc>
          <w:tcPr>
            <w:tcW w:w="1620" w:type="dxa"/>
            <w:vAlign w:val="center"/>
          </w:tcPr>
          <w:p>
            <w:pPr>
              <w:rPr>
                <w:rFonts w:ascii="宋体" w:hAnsi="宋体"/>
                <w:spacing w:val="20"/>
                <w:sz w:val="20"/>
                <w:szCs w:val="20"/>
              </w:rPr>
            </w:pPr>
          </w:p>
        </w:tc>
        <w:tc>
          <w:tcPr>
            <w:tcW w:w="1748" w:type="dxa"/>
            <w:vMerge w:val="restart"/>
            <w:vAlign w:val="center"/>
          </w:tcPr>
          <w:p>
            <w:pPr>
              <w:rPr>
                <w:rFonts w:ascii="宋体" w:hAnsi="宋体"/>
                <w:spacing w:val="20"/>
                <w:sz w:val="20"/>
                <w:szCs w:val="20"/>
              </w:rPr>
            </w:pPr>
          </w:p>
        </w:tc>
        <w:tc>
          <w:tcPr>
            <w:tcW w:w="1060" w:type="dxa"/>
            <w:vMerge w:val="restart"/>
            <w:vAlign w:val="center"/>
          </w:tcPr>
          <w:p>
            <w:pPr>
              <w:rPr>
                <w:rFonts w:ascii="宋体" w:hAnsi="宋体"/>
                <w:spacing w:val="20"/>
                <w:sz w:val="20"/>
                <w:szCs w:val="20"/>
              </w:rPr>
            </w:pPr>
          </w:p>
        </w:tc>
        <w:tc>
          <w:tcPr>
            <w:tcW w:w="1543" w:type="dxa"/>
            <w:vMerge w:val="restart"/>
            <w:vAlign w:val="center"/>
          </w:tcPr>
          <w:p>
            <w:pPr>
              <w:rPr>
                <w:rFonts w:ascii="宋体" w:hAnsi="宋体"/>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932" w:type="dxa"/>
            <w:vAlign w:val="center"/>
          </w:tcPr>
          <w:p>
            <w:pPr>
              <w:rPr>
                <w:rFonts w:ascii="宋体" w:hAnsi="宋体"/>
                <w:spacing w:val="20"/>
                <w:sz w:val="20"/>
                <w:szCs w:val="20"/>
              </w:rPr>
            </w:pPr>
          </w:p>
          <w:p>
            <w:pPr>
              <w:rPr>
                <w:rFonts w:ascii="宋体" w:hAnsi="宋体"/>
                <w:spacing w:val="20"/>
                <w:sz w:val="20"/>
                <w:szCs w:val="20"/>
              </w:rPr>
            </w:pPr>
          </w:p>
        </w:tc>
        <w:tc>
          <w:tcPr>
            <w:tcW w:w="780" w:type="dxa"/>
            <w:vAlign w:val="center"/>
          </w:tcPr>
          <w:p>
            <w:pPr>
              <w:rPr>
                <w:rFonts w:ascii="宋体" w:hAnsi="宋体"/>
                <w:spacing w:val="20"/>
                <w:sz w:val="20"/>
                <w:szCs w:val="20"/>
              </w:rPr>
            </w:pPr>
          </w:p>
        </w:tc>
        <w:tc>
          <w:tcPr>
            <w:tcW w:w="2327" w:type="dxa"/>
            <w:vAlign w:val="center"/>
          </w:tcPr>
          <w:p>
            <w:pPr>
              <w:rPr>
                <w:rFonts w:ascii="宋体" w:hAnsi="宋体"/>
                <w:spacing w:val="20"/>
                <w:sz w:val="20"/>
                <w:szCs w:val="20"/>
              </w:rPr>
            </w:pPr>
          </w:p>
        </w:tc>
        <w:tc>
          <w:tcPr>
            <w:tcW w:w="1042" w:type="dxa"/>
            <w:vAlign w:val="center"/>
          </w:tcPr>
          <w:p>
            <w:pPr>
              <w:rPr>
                <w:rFonts w:ascii="宋体" w:hAnsi="宋体"/>
                <w:spacing w:val="20"/>
                <w:sz w:val="20"/>
                <w:szCs w:val="20"/>
              </w:rPr>
            </w:pPr>
          </w:p>
        </w:tc>
        <w:tc>
          <w:tcPr>
            <w:tcW w:w="1374" w:type="dxa"/>
            <w:vAlign w:val="center"/>
          </w:tcPr>
          <w:p>
            <w:pPr>
              <w:rPr>
                <w:rFonts w:ascii="宋体" w:hAnsi="宋体"/>
                <w:spacing w:val="20"/>
                <w:sz w:val="20"/>
                <w:szCs w:val="20"/>
              </w:rPr>
            </w:pPr>
          </w:p>
        </w:tc>
        <w:tc>
          <w:tcPr>
            <w:tcW w:w="1620" w:type="dxa"/>
            <w:vAlign w:val="center"/>
          </w:tcPr>
          <w:p>
            <w:pPr>
              <w:rPr>
                <w:rFonts w:ascii="宋体" w:hAnsi="宋体"/>
                <w:spacing w:val="20"/>
                <w:sz w:val="20"/>
                <w:szCs w:val="20"/>
              </w:rPr>
            </w:pPr>
          </w:p>
        </w:tc>
        <w:tc>
          <w:tcPr>
            <w:tcW w:w="1748" w:type="dxa"/>
            <w:vMerge w:val="continue"/>
            <w:vAlign w:val="center"/>
          </w:tcPr>
          <w:p>
            <w:pPr>
              <w:rPr>
                <w:rFonts w:ascii="宋体" w:hAnsi="宋体"/>
                <w:spacing w:val="20"/>
                <w:sz w:val="20"/>
                <w:szCs w:val="20"/>
              </w:rPr>
            </w:pPr>
          </w:p>
        </w:tc>
        <w:tc>
          <w:tcPr>
            <w:tcW w:w="1060" w:type="dxa"/>
            <w:vMerge w:val="continue"/>
            <w:vAlign w:val="center"/>
          </w:tcPr>
          <w:p>
            <w:pPr>
              <w:rPr>
                <w:rFonts w:ascii="宋体" w:hAnsi="宋体"/>
                <w:spacing w:val="20"/>
                <w:sz w:val="20"/>
                <w:szCs w:val="20"/>
              </w:rPr>
            </w:pPr>
          </w:p>
        </w:tc>
        <w:tc>
          <w:tcPr>
            <w:tcW w:w="1543" w:type="dxa"/>
            <w:vMerge w:val="continue"/>
            <w:vAlign w:val="center"/>
          </w:tcPr>
          <w:p>
            <w:pPr>
              <w:rPr>
                <w:rFonts w:ascii="宋体" w:hAnsi="宋体"/>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932" w:type="dxa"/>
            <w:vAlign w:val="center"/>
          </w:tcPr>
          <w:p>
            <w:pPr>
              <w:rPr>
                <w:rFonts w:ascii="宋体" w:hAnsi="宋体"/>
                <w:spacing w:val="20"/>
                <w:sz w:val="20"/>
                <w:szCs w:val="20"/>
              </w:rPr>
            </w:pPr>
          </w:p>
        </w:tc>
        <w:tc>
          <w:tcPr>
            <w:tcW w:w="780" w:type="dxa"/>
            <w:vAlign w:val="center"/>
          </w:tcPr>
          <w:p>
            <w:pPr>
              <w:rPr>
                <w:rFonts w:ascii="宋体" w:hAnsi="宋体"/>
                <w:spacing w:val="20"/>
                <w:sz w:val="20"/>
                <w:szCs w:val="20"/>
              </w:rPr>
            </w:pPr>
          </w:p>
        </w:tc>
        <w:tc>
          <w:tcPr>
            <w:tcW w:w="2327" w:type="dxa"/>
            <w:vAlign w:val="center"/>
          </w:tcPr>
          <w:p>
            <w:pPr>
              <w:rPr>
                <w:rFonts w:ascii="宋体" w:hAnsi="宋体"/>
                <w:spacing w:val="20"/>
                <w:sz w:val="20"/>
                <w:szCs w:val="20"/>
              </w:rPr>
            </w:pPr>
          </w:p>
        </w:tc>
        <w:tc>
          <w:tcPr>
            <w:tcW w:w="1042" w:type="dxa"/>
            <w:vAlign w:val="center"/>
          </w:tcPr>
          <w:p>
            <w:pPr>
              <w:rPr>
                <w:rFonts w:ascii="宋体" w:hAnsi="宋体"/>
                <w:spacing w:val="20"/>
                <w:sz w:val="20"/>
                <w:szCs w:val="20"/>
              </w:rPr>
            </w:pPr>
          </w:p>
        </w:tc>
        <w:tc>
          <w:tcPr>
            <w:tcW w:w="1374" w:type="dxa"/>
            <w:vAlign w:val="center"/>
          </w:tcPr>
          <w:p>
            <w:pPr>
              <w:rPr>
                <w:rFonts w:ascii="宋体" w:hAnsi="宋体"/>
                <w:spacing w:val="20"/>
                <w:sz w:val="20"/>
                <w:szCs w:val="20"/>
              </w:rPr>
            </w:pPr>
          </w:p>
        </w:tc>
        <w:tc>
          <w:tcPr>
            <w:tcW w:w="1620" w:type="dxa"/>
            <w:vAlign w:val="center"/>
          </w:tcPr>
          <w:p>
            <w:pPr>
              <w:rPr>
                <w:rFonts w:ascii="宋体" w:hAnsi="宋体"/>
                <w:spacing w:val="20"/>
                <w:sz w:val="20"/>
                <w:szCs w:val="20"/>
              </w:rPr>
            </w:pPr>
          </w:p>
        </w:tc>
        <w:tc>
          <w:tcPr>
            <w:tcW w:w="1748" w:type="dxa"/>
            <w:vMerge w:val="continue"/>
            <w:vAlign w:val="center"/>
          </w:tcPr>
          <w:p>
            <w:pPr>
              <w:rPr>
                <w:rFonts w:ascii="宋体" w:hAnsi="宋体"/>
                <w:spacing w:val="20"/>
                <w:sz w:val="20"/>
                <w:szCs w:val="20"/>
              </w:rPr>
            </w:pPr>
          </w:p>
        </w:tc>
        <w:tc>
          <w:tcPr>
            <w:tcW w:w="1060" w:type="dxa"/>
            <w:vMerge w:val="continue"/>
            <w:vAlign w:val="center"/>
          </w:tcPr>
          <w:p>
            <w:pPr>
              <w:rPr>
                <w:rFonts w:ascii="宋体" w:hAnsi="宋体"/>
                <w:spacing w:val="20"/>
                <w:sz w:val="20"/>
                <w:szCs w:val="20"/>
              </w:rPr>
            </w:pPr>
          </w:p>
        </w:tc>
        <w:tc>
          <w:tcPr>
            <w:tcW w:w="1543" w:type="dxa"/>
            <w:vMerge w:val="continue"/>
            <w:vAlign w:val="center"/>
          </w:tcPr>
          <w:p>
            <w:pPr>
              <w:rPr>
                <w:rFonts w:ascii="宋体" w:hAnsi="宋体"/>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932" w:type="dxa"/>
            <w:vAlign w:val="center"/>
          </w:tcPr>
          <w:p>
            <w:pPr>
              <w:rPr>
                <w:rFonts w:ascii="宋体" w:hAnsi="宋体"/>
                <w:spacing w:val="20"/>
                <w:sz w:val="20"/>
                <w:szCs w:val="20"/>
              </w:rPr>
            </w:pPr>
          </w:p>
        </w:tc>
        <w:tc>
          <w:tcPr>
            <w:tcW w:w="780" w:type="dxa"/>
            <w:vAlign w:val="center"/>
          </w:tcPr>
          <w:p>
            <w:pPr>
              <w:rPr>
                <w:rFonts w:ascii="宋体" w:hAnsi="宋体"/>
                <w:spacing w:val="20"/>
                <w:sz w:val="20"/>
                <w:szCs w:val="20"/>
              </w:rPr>
            </w:pPr>
          </w:p>
        </w:tc>
        <w:tc>
          <w:tcPr>
            <w:tcW w:w="2327" w:type="dxa"/>
            <w:vAlign w:val="center"/>
          </w:tcPr>
          <w:p>
            <w:pPr>
              <w:rPr>
                <w:rFonts w:ascii="宋体" w:hAnsi="宋体"/>
                <w:spacing w:val="20"/>
                <w:sz w:val="20"/>
                <w:szCs w:val="20"/>
              </w:rPr>
            </w:pPr>
          </w:p>
        </w:tc>
        <w:tc>
          <w:tcPr>
            <w:tcW w:w="1042" w:type="dxa"/>
            <w:vAlign w:val="center"/>
          </w:tcPr>
          <w:p>
            <w:pPr>
              <w:rPr>
                <w:rFonts w:ascii="宋体" w:hAnsi="宋体"/>
                <w:spacing w:val="20"/>
                <w:sz w:val="20"/>
                <w:szCs w:val="20"/>
              </w:rPr>
            </w:pPr>
          </w:p>
        </w:tc>
        <w:tc>
          <w:tcPr>
            <w:tcW w:w="1374" w:type="dxa"/>
            <w:vAlign w:val="center"/>
          </w:tcPr>
          <w:p>
            <w:pPr>
              <w:rPr>
                <w:rFonts w:ascii="宋体" w:hAnsi="宋体"/>
                <w:spacing w:val="20"/>
                <w:sz w:val="20"/>
                <w:szCs w:val="20"/>
              </w:rPr>
            </w:pPr>
          </w:p>
        </w:tc>
        <w:tc>
          <w:tcPr>
            <w:tcW w:w="1620" w:type="dxa"/>
            <w:vAlign w:val="center"/>
          </w:tcPr>
          <w:p>
            <w:pPr>
              <w:rPr>
                <w:rFonts w:ascii="宋体" w:hAnsi="宋体"/>
                <w:spacing w:val="20"/>
                <w:sz w:val="20"/>
                <w:szCs w:val="20"/>
              </w:rPr>
            </w:pPr>
          </w:p>
        </w:tc>
        <w:tc>
          <w:tcPr>
            <w:tcW w:w="1748" w:type="dxa"/>
            <w:vMerge w:val="continue"/>
            <w:vAlign w:val="center"/>
          </w:tcPr>
          <w:p>
            <w:pPr>
              <w:rPr>
                <w:rFonts w:ascii="宋体" w:hAnsi="宋体"/>
                <w:spacing w:val="20"/>
                <w:sz w:val="20"/>
                <w:szCs w:val="20"/>
              </w:rPr>
            </w:pPr>
          </w:p>
        </w:tc>
        <w:tc>
          <w:tcPr>
            <w:tcW w:w="1060" w:type="dxa"/>
            <w:vMerge w:val="continue"/>
            <w:vAlign w:val="center"/>
          </w:tcPr>
          <w:p>
            <w:pPr>
              <w:rPr>
                <w:rFonts w:ascii="宋体" w:hAnsi="宋体"/>
                <w:spacing w:val="20"/>
                <w:sz w:val="20"/>
                <w:szCs w:val="20"/>
              </w:rPr>
            </w:pPr>
          </w:p>
        </w:tc>
        <w:tc>
          <w:tcPr>
            <w:tcW w:w="1543" w:type="dxa"/>
            <w:vMerge w:val="continue"/>
            <w:vAlign w:val="center"/>
          </w:tcPr>
          <w:p>
            <w:pPr>
              <w:rPr>
                <w:rFonts w:ascii="宋体" w:hAnsi="宋体"/>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932" w:type="dxa"/>
            <w:vAlign w:val="center"/>
          </w:tcPr>
          <w:p>
            <w:pPr>
              <w:rPr>
                <w:rFonts w:ascii="宋体" w:hAnsi="宋体"/>
                <w:spacing w:val="20"/>
                <w:sz w:val="20"/>
                <w:szCs w:val="20"/>
              </w:rPr>
            </w:pPr>
            <w:r>
              <w:rPr>
                <w:rFonts w:hint="eastAsia" w:ascii="宋体" w:hAnsi="宋体"/>
                <w:spacing w:val="20"/>
                <w:sz w:val="20"/>
                <w:szCs w:val="20"/>
              </w:rPr>
              <w:t>投标总价</w:t>
            </w:r>
          </w:p>
        </w:tc>
        <w:tc>
          <w:tcPr>
            <w:tcW w:w="3107" w:type="dxa"/>
            <w:gridSpan w:val="2"/>
            <w:vAlign w:val="center"/>
          </w:tcPr>
          <w:p>
            <w:pPr>
              <w:rPr>
                <w:rFonts w:ascii="宋体" w:hAnsi="宋体"/>
                <w:spacing w:val="20"/>
                <w:sz w:val="20"/>
                <w:szCs w:val="20"/>
              </w:rPr>
            </w:pPr>
          </w:p>
        </w:tc>
        <w:tc>
          <w:tcPr>
            <w:tcW w:w="2416" w:type="dxa"/>
            <w:gridSpan w:val="2"/>
            <w:vAlign w:val="center"/>
          </w:tcPr>
          <w:p>
            <w:pPr>
              <w:rPr>
                <w:rFonts w:ascii="宋体" w:hAnsi="宋体"/>
                <w:spacing w:val="20"/>
                <w:sz w:val="20"/>
                <w:szCs w:val="20"/>
              </w:rPr>
            </w:pPr>
            <w:r>
              <w:rPr>
                <w:rFonts w:hint="eastAsia" w:ascii="宋体" w:hAnsi="宋体"/>
                <w:spacing w:val="20"/>
                <w:sz w:val="20"/>
                <w:szCs w:val="20"/>
              </w:rPr>
              <w:t>投标总价（大写）：</w:t>
            </w:r>
          </w:p>
        </w:tc>
        <w:tc>
          <w:tcPr>
            <w:tcW w:w="5971" w:type="dxa"/>
            <w:gridSpan w:val="4"/>
            <w:vAlign w:val="center"/>
          </w:tcPr>
          <w:p>
            <w:pPr>
              <w:rPr>
                <w:rFonts w:ascii="宋体" w:hAnsi="宋体"/>
                <w:spacing w:val="20"/>
                <w:sz w:val="20"/>
                <w:szCs w:val="20"/>
              </w:rPr>
            </w:pPr>
          </w:p>
        </w:tc>
      </w:tr>
    </w:tbl>
    <w:p>
      <w:pPr>
        <w:rPr>
          <w:rFonts w:ascii="宋体" w:hAnsi="宋体"/>
          <w:spacing w:val="20"/>
          <w:sz w:val="23"/>
          <w:szCs w:val="23"/>
        </w:rPr>
      </w:pPr>
    </w:p>
    <w:p>
      <w:pPr>
        <w:rPr>
          <w:rFonts w:ascii="宋体" w:hAnsi="宋体"/>
          <w:spacing w:val="20"/>
          <w:sz w:val="23"/>
          <w:szCs w:val="23"/>
        </w:rPr>
      </w:pPr>
    </w:p>
    <w:p>
      <w:pPr>
        <w:rPr>
          <w:rFonts w:ascii="宋体" w:hAnsi="宋体"/>
          <w:spacing w:val="20"/>
          <w:sz w:val="23"/>
          <w:szCs w:val="23"/>
        </w:rPr>
      </w:pPr>
      <w:r>
        <w:rPr>
          <w:rFonts w:hint="eastAsia" w:ascii="宋体" w:hAnsi="宋体"/>
          <w:spacing w:val="20"/>
          <w:sz w:val="23"/>
          <w:szCs w:val="23"/>
        </w:rPr>
        <w:t>投标人授权代表签字：</w:t>
      </w:r>
    </w:p>
    <w:p>
      <w:pPr>
        <w:rPr>
          <w:rFonts w:ascii="宋体" w:hAnsi="宋体"/>
          <w:spacing w:val="20"/>
          <w:sz w:val="23"/>
          <w:szCs w:val="23"/>
        </w:rPr>
      </w:pPr>
    </w:p>
    <w:p>
      <w:pPr>
        <w:snapToGrid w:val="0"/>
        <w:spacing w:line="400" w:lineRule="exact"/>
        <w:jc w:val="left"/>
        <w:rPr>
          <w:rFonts w:hAnsi="宋体"/>
          <w:szCs w:val="21"/>
        </w:rPr>
      </w:pPr>
      <w:r>
        <w:rPr>
          <w:rFonts w:hint="eastAsia" w:hAnsi="宋体"/>
          <w:szCs w:val="21"/>
        </w:rPr>
        <w:t>注：</w:t>
      </w:r>
      <w:r>
        <w:rPr>
          <w:rFonts w:hint="eastAsia" w:ascii="宋体" w:hAnsi="宋体" w:cs="宋体"/>
          <w:szCs w:val="21"/>
        </w:rPr>
        <w:t>1</w:t>
      </w:r>
      <w:r>
        <w:rPr>
          <w:rFonts w:hint="eastAsia" w:hAnsi="宋体"/>
          <w:szCs w:val="21"/>
        </w:rPr>
        <w:t>、报价应包括项目实施所需的软硬件设备费（含备品备件）、通讯费、人工费、运杂费、保险费、安装调试费、检验试验费、第三方检测费、售后服务及质保期内的设备更换、保养、维护费、税金等所涉及的一切费用均计入报价。投标总价为全部项目在质保期届满后的最终价格。</w:t>
      </w:r>
    </w:p>
    <w:p>
      <w:pPr>
        <w:spacing w:line="360" w:lineRule="exact"/>
        <w:rPr>
          <w:rFonts w:ascii="宋体" w:hAnsi="宋体"/>
          <w:szCs w:val="21"/>
        </w:rPr>
      </w:pPr>
      <w:r>
        <w:rPr>
          <w:rFonts w:hint="eastAsia" w:ascii="宋体" w:hAnsi="宋体"/>
          <w:szCs w:val="21"/>
        </w:rPr>
        <w:t xml:space="preserve">    2、以上报价应与“投标报价明细表”中的“投标总价”数相一致</w:t>
      </w:r>
    </w:p>
    <w:p>
      <w:pPr>
        <w:spacing w:line="360" w:lineRule="exact"/>
        <w:ind w:firstLine="420" w:firstLineChars="200"/>
        <w:rPr>
          <w:rFonts w:ascii="宋体" w:hAnsi="宋体"/>
          <w:szCs w:val="21"/>
        </w:rPr>
        <w:sectPr>
          <w:pgSz w:w="16838" w:h="11906" w:orient="landscape"/>
          <w:pgMar w:top="1247" w:right="1389" w:bottom="1247" w:left="1389" w:header="851" w:footer="851" w:gutter="0"/>
          <w:cols w:space="720" w:num="1"/>
          <w:titlePg/>
          <w:docGrid w:linePitch="312" w:charSpace="0"/>
        </w:sectPr>
      </w:pPr>
      <w:r>
        <w:rPr>
          <w:rFonts w:hint="eastAsia" w:ascii="宋体" w:hAnsi="宋体"/>
          <w:szCs w:val="21"/>
        </w:rPr>
        <w:t>3、此表在不改变表式的情况下，可自行制作。</w:t>
      </w:r>
    </w:p>
    <w:p>
      <w:pPr>
        <w:spacing w:line="360" w:lineRule="exact"/>
        <w:rPr>
          <w:rFonts w:ascii="宋体" w:hAnsi="宋体"/>
          <w:b/>
          <w:spacing w:val="20"/>
          <w:sz w:val="30"/>
          <w:szCs w:val="30"/>
        </w:rPr>
      </w:pPr>
      <w:r>
        <w:rPr>
          <w:rFonts w:hint="eastAsia" w:ascii="宋体" w:hAnsi="宋体"/>
          <w:b/>
          <w:iCs/>
          <w:spacing w:val="20"/>
          <w:sz w:val="30"/>
          <w:szCs w:val="30"/>
        </w:rPr>
        <w:t xml:space="preserve">附件16             </w:t>
      </w:r>
      <w:r>
        <w:rPr>
          <w:rFonts w:hint="eastAsia" w:ascii="宋体" w:hAnsi="宋体"/>
          <w:b/>
          <w:spacing w:val="20"/>
          <w:sz w:val="30"/>
          <w:szCs w:val="30"/>
        </w:rPr>
        <w:t xml:space="preserve"> 投标报价明细表</w:t>
      </w:r>
    </w:p>
    <w:p>
      <w:pPr>
        <w:rPr>
          <w:rFonts w:ascii="宋体" w:hAnsi="宋体"/>
          <w:spacing w:val="20"/>
          <w:sz w:val="23"/>
          <w:szCs w:val="23"/>
        </w:rPr>
      </w:pPr>
    </w:p>
    <w:p>
      <w:pPr>
        <w:pStyle w:val="16"/>
        <w:snapToGrid w:val="0"/>
        <w:spacing w:before="295" w:after="295"/>
        <w:ind w:firstLine="6840" w:firstLineChars="2850"/>
        <w:rPr>
          <w:rFonts w:hAnsi="宋体"/>
          <w:sz w:val="30"/>
        </w:rPr>
      </w:pPr>
      <w:r>
        <w:t>金额单位：人民币（元）</w:t>
      </w:r>
    </w:p>
    <w:tbl>
      <w:tblPr>
        <w:tblStyle w:val="33"/>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2"/>
        <w:gridCol w:w="1775"/>
        <w:gridCol w:w="1183"/>
        <w:gridCol w:w="1492"/>
        <w:gridCol w:w="1576"/>
        <w:gridCol w:w="1576"/>
        <w:gridCol w:w="16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z w:val="24"/>
              </w:rPr>
              <w:t>序号</w:t>
            </w:r>
          </w:p>
        </w:tc>
        <w:tc>
          <w:tcPr>
            <w:tcW w:w="177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z w:val="24"/>
              </w:rPr>
              <w:t>产品名称</w:t>
            </w:r>
          </w:p>
        </w:tc>
        <w:tc>
          <w:tcPr>
            <w:tcW w:w="1183" w:type="dxa"/>
            <w:tcBorders>
              <w:top w:val="single" w:color="auto" w:sz="4" w:space="0"/>
              <w:left w:val="single" w:color="auto" w:sz="4" w:space="0"/>
              <w:bottom w:val="single" w:color="auto" w:sz="4" w:space="0"/>
              <w:right w:val="single" w:color="auto" w:sz="4" w:space="0"/>
            </w:tcBorders>
            <w:vAlign w:val="center"/>
          </w:tcPr>
          <w:p>
            <w:pPr>
              <w:pStyle w:val="60"/>
              <w:snapToGrid w:val="0"/>
              <w:spacing w:before="50" w:after="50" w:line="240" w:lineRule="auto"/>
              <w:rPr>
                <w:rFonts w:ascii="宋体" w:hAnsi="宋体" w:eastAsia="宋体"/>
              </w:rPr>
            </w:pPr>
            <w:r>
              <w:rPr>
                <w:rFonts w:ascii="宋体" w:hAnsi="宋体" w:eastAsia="宋体"/>
              </w:rPr>
              <w:t>品牌</w:t>
            </w:r>
          </w:p>
        </w:tc>
        <w:tc>
          <w:tcPr>
            <w:tcW w:w="149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z w:val="24"/>
              </w:rPr>
              <w:t>规格型号</w:t>
            </w:r>
          </w:p>
        </w:tc>
        <w:tc>
          <w:tcPr>
            <w:tcW w:w="15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z w:val="24"/>
              </w:rPr>
              <w:t>单位及数量</w:t>
            </w:r>
          </w:p>
        </w:tc>
        <w:tc>
          <w:tcPr>
            <w:tcW w:w="15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z w:val="24"/>
              </w:rPr>
              <w:t>单价</w:t>
            </w:r>
          </w:p>
        </w:tc>
        <w:tc>
          <w:tcPr>
            <w:tcW w:w="16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0"/>
              </w:rPr>
            </w:pPr>
            <w:r>
              <w:rPr>
                <w:rFonts w:ascii="宋体" w:hAnsi="宋体"/>
                <w:spacing w:val="20"/>
              </w:rPr>
              <w:t>……</w:t>
            </w: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194"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rPr>
              <w:t>投 标 总价</w:t>
            </w: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r>
    </w:tbl>
    <w:p>
      <w:pPr>
        <w:rPr>
          <w:rFonts w:ascii="宋体" w:hAnsi="宋体"/>
          <w:spacing w:val="20"/>
          <w:sz w:val="23"/>
          <w:szCs w:val="23"/>
        </w:rPr>
      </w:pPr>
    </w:p>
    <w:p>
      <w:pPr>
        <w:spacing w:line="360" w:lineRule="auto"/>
        <w:rPr>
          <w:rFonts w:ascii="宋体" w:hAnsi="宋体"/>
          <w:spacing w:val="20"/>
          <w:sz w:val="23"/>
          <w:szCs w:val="23"/>
        </w:rPr>
      </w:pPr>
      <w:r>
        <w:rPr>
          <w:rFonts w:hint="eastAsia" w:ascii="宋体" w:hAnsi="宋体"/>
          <w:spacing w:val="20"/>
          <w:sz w:val="23"/>
          <w:szCs w:val="23"/>
        </w:rPr>
        <w:t>投标人授权代表签字：</w:t>
      </w:r>
    </w:p>
    <w:p>
      <w:pPr>
        <w:spacing w:line="360" w:lineRule="auto"/>
        <w:rPr>
          <w:rFonts w:ascii="宋体" w:hAnsi="宋体"/>
          <w:spacing w:val="20"/>
          <w:sz w:val="23"/>
          <w:szCs w:val="23"/>
        </w:rPr>
      </w:pPr>
    </w:p>
    <w:p>
      <w:pPr>
        <w:spacing w:line="360" w:lineRule="auto"/>
        <w:rPr>
          <w:rFonts w:ascii="宋体" w:hAnsi="宋体"/>
          <w:spacing w:val="20"/>
          <w:sz w:val="23"/>
          <w:szCs w:val="23"/>
        </w:rPr>
      </w:pPr>
      <w:r>
        <w:rPr>
          <w:rFonts w:hint="eastAsia" w:ascii="宋体" w:hAnsi="宋体"/>
          <w:spacing w:val="20"/>
          <w:sz w:val="23"/>
          <w:szCs w:val="23"/>
        </w:rPr>
        <w:t>投标人名称（盖章）：</w:t>
      </w:r>
    </w:p>
    <w:p>
      <w:pPr>
        <w:spacing w:line="360" w:lineRule="auto"/>
        <w:rPr>
          <w:rFonts w:ascii="宋体" w:hAnsi="宋体"/>
          <w:i/>
          <w:spacing w:val="20"/>
          <w:sz w:val="23"/>
          <w:szCs w:val="23"/>
        </w:rPr>
      </w:pPr>
    </w:p>
    <w:p>
      <w:pPr>
        <w:spacing w:line="360" w:lineRule="exact"/>
        <w:ind w:firstLine="420" w:firstLineChars="200"/>
        <w:rPr>
          <w:rFonts w:ascii="宋体" w:hAnsi="宋体"/>
          <w:spacing w:val="20"/>
          <w:sz w:val="24"/>
        </w:rPr>
        <w:sectPr>
          <w:pgSz w:w="11906" w:h="16838"/>
          <w:pgMar w:top="1389" w:right="1247" w:bottom="1389" w:left="1247" w:header="851" w:footer="851" w:gutter="0"/>
          <w:cols w:space="720" w:num="1"/>
          <w:titlePg/>
          <w:docGrid w:linePitch="312" w:charSpace="0"/>
        </w:sectPr>
      </w:pPr>
      <w:r>
        <w:rPr>
          <w:rFonts w:hint="eastAsia" w:ascii="宋体" w:hAnsi="宋体"/>
          <w:szCs w:val="21"/>
        </w:rPr>
        <w:t>注：此表在不改变表式的情况下，可自行制作。</w:t>
      </w:r>
    </w:p>
    <w:p>
      <w:pPr>
        <w:snapToGrid w:val="0"/>
        <w:spacing w:before="50" w:after="50"/>
        <w:ind w:right="-817" w:rightChars="-389"/>
        <w:rPr>
          <w:rFonts w:ascii="宋体" w:hAnsi="宋体"/>
          <w:b/>
          <w:szCs w:val="28"/>
        </w:rPr>
      </w:pPr>
      <w:bookmarkStart w:id="90" w:name="_Toc335316881"/>
    </w:p>
    <w:p>
      <w:pPr>
        <w:snapToGrid w:val="0"/>
        <w:spacing w:before="50" w:after="50"/>
        <w:ind w:left="-20" w:leftChars="-72" w:right="-817" w:rightChars="-389" w:hanging="131" w:hangingChars="62"/>
        <w:rPr>
          <w:b/>
          <w:szCs w:val="28"/>
        </w:rPr>
      </w:pPr>
      <w:r>
        <w:rPr>
          <w:rFonts w:hint="eastAsia" w:ascii="宋体" w:hAnsi="宋体"/>
          <w:b/>
          <w:szCs w:val="28"/>
        </w:rPr>
        <w:t>附：供应</w:t>
      </w:r>
      <w:r>
        <w:rPr>
          <w:rFonts w:hint="eastAsia"/>
          <w:b/>
          <w:szCs w:val="28"/>
        </w:rPr>
        <w:t>商注册流程</w:t>
      </w:r>
      <w:bookmarkEnd w:id="90"/>
    </w:p>
    <w:p>
      <w:pPr>
        <w:jc w:val="center"/>
        <w:rPr>
          <w:b/>
          <w:sz w:val="32"/>
          <w:szCs w:val="32"/>
        </w:rPr>
      </w:pPr>
    </w:p>
    <w:p>
      <w:pPr>
        <w:rPr>
          <w:szCs w:val="28"/>
        </w:rPr>
      </w:pPr>
      <w:r>
        <w:rPr>
          <w:rFonts w:hint="eastAsia" w:ascii="宋体" w:hAnsi="宋体"/>
          <w:szCs w:val="28"/>
        </w:rPr>
        <w:t>进入浙江政府采购网</w:t>
      </w:r>
      <w:r>
        <w:rPr>
          <w:rFonts w:hint="eastAsia" w:ascii="宋体" w:hAnsi="宋体" w:cs="Arial"/>
          <w:szCs w:val="28"/>
        </w:rPr>
        <w:t>(</w:t>
      </w:r>
      <w:r>
        <w:rPr>
          <w:rFonts w:hint="eastAsia" w:ascii="宋体" w:hAnsi="宋体"/>
          <w:bCs/>
          <w:iCs/>
          <w:szCs w:val="21"/>
        </w:rPr>
        <w:t>http://zfcg.czt.zj.gov.cn/</w:t>
      </w:r>
      <w:r>
        <w:rPr>
          <w:rFonts w:hint="eastAsia" w:ascii="宋体" w:hAnsi="宋体" w:cs="Arial"/>
          <w:szCs w:val="28"/>
        </w:rPr>
        <w:t>)→政府采购供应商注册→按下图提示进行。</w:t>
      </w:r>
    </w:p>
    <w:p>
      <w:pPr>
        <w:rPr>
          <w:rFonts w:ascii="宋体" w:hAnsi="宋体"/>
          <w:szCs w:val="28"/>
        </w:rPr>
      </w:pPr>
      <w:r>
        <w:rPr>
          <w:rFonts w:hint="eastAsia" w:ascii="宋体" w:hAnsi="宋体"/>
          <w:szCs w:val="28"/>
        </w:rPr>
        <w:t>（注册联系电话：4008817190）</w:t>
      </w:r>
    </w:p>
    <w:p>
      <w:pPr>
        <w:jc w:val="center"/>
      </w:pPr>
    </w:p>
    <w:p>
      <w:pPr>
        <w:adjustRightInd w:val="0"/>
        <w:snapToGrid w:val="0"/>
        <w:spacing w:line="400" w:lineRule="atLeast"/>
        <w:rPr>
          <w:rFonts w:hAnsi="宋体"/>
          <w:sz w:val="22"/>
          <w:szCs w:val="22"/>
        </w:rPr>
      </w:pPr>
      <w:r>
        <w:rPr>
          <w:rFonts w:ascii="宋体" w:hAnsi="宋体" w:cs="宋体"/>
          <w:sz w:val="24"/>
        </w:rPr>
        <w:drawing>
          <wp:inline distT="0" distB="0" distL="114300" distR="114300">
            <wp:extent cx="6010910" cy="7420610"/>
            <wp:effectExtent l="0" t="0" r="8890" b="889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9"/>
                    <a:stretch>
                      <a:fillRect/>
                    </a:stretch>
                  </pic:blipFill>
                  <pic:spPr>
                    <a:xfrm>
                      <a:off x="0" y="0"/>
                      <a:ext cx="6010910" cy="7420610"/>
                    </a:xfrm>
                    <a:prstGeom prst="rect">
                      <a:avLst/>
                    </a:prstGeom>
                    <a:noFill/>
                    <a:ln>
                      <a:noFill/>
                    </a:ln>
                  </pic:spPr>
                </pic:pic>
              </a:graphicData>
            </a:graphic>
          </wp:inline>
        </w:drawing>
      </w:r>
    </w:p>
    <w:p>
      <w:pPr>
        <w:pStyle w:val="50"/>
        <w:adjustRightInd w:val="0"/>
        <w:snapToGrid w:val="0"/>
        <w:spacing w:line="400" w:lineRule="atLeast"/>
        <w:rPr>
          <w:rFonts w:hAnsi="宋体"/>
          <w:sz w:val="22"/>
          <w:szCs w:val="22"/>
        </w:rPr>
      </w:pPr>
    </w:p>
    <w:sectPr>
      <w:headerReference r:id="rId12" w:type="first"/>
      <w:headerReference r:id="rId11" w:type="default"/>
      <w:footerReference r:id="rId13" w:type="default"/>
      <w:footerReference r:id="rId14" w:type="even"/>
      <w:pgSz w:w="11906" w:h="16838"/>
      <w:pgMar w:top="1389" w:right="1247" w:bottom="1389"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21"/>
        <w:szCs w:val="21"/>
      </w:rPr>
      <w:pict>
        <v:shape id="文本框 1026" o:spid="_x0000_s4103" o:spt="202" type="#_x0000_t202" style="position:absolute;left:0pt;margin-left:230.05pt;margin-top:0pt;height:12.05pt;width:5.3p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">
          <v:path arrowok="t"/>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42</w:t>
                </w:r>
                <w:r>
                  <w:rPr>
                    <w:rFonts w:hint="eastAsia"/>
                    <w:sz w:val="18"/>
                  </w:rPr>
                  <w:fldChar w:fldCharType="end"/>
                </w:r>
              </w:p>
            </w:txbxContent>
          </v:textbox>
        </v:shape>
      </w:pict>
    </w:r>
    <w:r>
      <w:rPr>
        <w:rFonts w:hint="eastAsia"/>
        <w:sz w:val="21"/>
        <w:szCs w:val="21"/>
      </w:rPr>
      <w:t>嘉兴市明扬工程咨询有限公司</w:t>
    </w:r>
  </w:p>
  <w:p>
    <w:pPr>
      <w:pStyle w:val="20"/>
    </w:pPr>
    <w:r>
      <w:pict>
        <v:shape id="文本框 11" o:spid="_x0000_s4102" o:spt="202" type="#_x0000_t202" style="position:absolute;left:0pt;margin-top:0pt;height:10.35pt;width:9.05pt;mso-position-horizontal:center;mso-position-horizontal-relative:margin;mso-wrap-style:non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">
          <v:path arrowok="t"/>
          <v:fill on="f" focussize="0,0"/>
          <v:stroke on="f"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21"/>
        <w:szCs w:val="21"/>
      </w:rPr>
      <w:pict>
        <v:shape id="文本框 13" o:spid="_x0000_s4101" o:spt="202" type="#_x0000_t202" style="position:absolute;left:0pt;margin-top:0pt;height:12.05pt;width:5.3pt;mso-position-horizontal:center;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">
          <v:path arrowok="t"/>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55</w:t>
                </w:r>
                <w:r>
                  <w:rPr>
                    <w:rFonts w:hint="eastAsia"/>
                    <w:sz w:val="18"/>
                  </w:rPr>
                  <w:fldChar w:fldCharType="end"/>
                </w:r>
              </w:p>
            </w:txbxContent>
          </v:textbox>
        </v:shape>
      </w:pict>
    </w:r>
    <w:r>
      <w:rPr>
        <w:rFonts w:hint="eastAsia"/>
        <w:sz w:val="21"/>
        <w:szCs w:val="21"/>
      </w:rPr>
      <w:t>嘉兴市明扬工程咨询有限公司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7" o:spid="_x0000_s4100" o:spt="202" type="#_x0000_t202" style="position:absolute;left:0pt;margin-top:0pt;height:10.35pt;width:9.05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">
          <v:path arrowok="t"/>
          <v:fill on="f" focussize="0,0"/>
          <v:stroke on="f" weight="1.25pt" joinstyle="miter"/>
          <v:imagedata o:title=""/>
          <o:lock v:ext="edit"/>
          <v:textbox inset="0mm,0mm,0mm,0mm" style="mso-fit-shape-to-text:t;">
            <w:txbxContent>
              <w:p>
                <w:pPr>
                  <w:pStyle w:val="20"/>
                </w:pPr>
                <w:r>
                  <w:fldChar w:fldCharType="begin"/>
                </w:r>
                <w:r>
                  <w:instrText xml:space="preserve"> PAGE  \* MERGEFORMAT </w:instrText>
                </w:r>
                <w:r>
                  <w:fldChar w:fldCharType="separate"/>
                </w:r>
                <w:r>
                  <w:t>81</w:t>
                </w:r>
                <w:r>
                  <w:fldChar w:fldCharType="end"/>
                </w:r>
              </w:p>
            </w:txbxContent>
          </v:textbox>
        </v:shape>
      </w:pict>
    </w:r>
    <w:r>
      <w:pict>
        <v:shape id="文本框 8" o:spid="_x0000_s4099"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">
          <v:path arrowok="t"/>
          <v:fill on="f" focussize="0,0"/>
          <v:stroke on="f"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6" o:spid="_x0000_s4098" o:spt="202" type="#_x0000_t202" style="position:absolute;left:0pt;margin-top:0pt;height:12.05pt;width:10.5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">
          <v:path arrowok="t"/>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68</w:t>
                </w:r>
                <w:r>
                  <w:rPr>
                    <w:rFonts w:hint="eastAsia"/>
                    <w:sz w:val="18"/>
                  </w:rPr>
                  <w:fldChar w:fldCharType="end"/>
                </w:r>
              </w:p>
            </w:txbxContent>
          </v:textbox>
        </v:shape>
      </w:pict>
    </w:r>
    <w:r>
      <w:rPr>
        <w:rFonts w:hint="eastAsia"/>
      </w:rPr>
      <w:t>嘉兴市明扬工程咨询有限公司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 w:val="17"/>
        <w:szCs w:val="17"/>
      </w:rPr>
    </w:pPr>
    <w:r>
      <w:rPr>
        <w:sz w:val="17"/>
      </w:rPr>
      <w:pict>
        <v:shape id="文本框 14" o:spid="_x0000_s4097" o:spt="202" type="#_x0000_t202" style="position:absolute;left:0pt;margin-top:0pt;height:12.05pt;width:10.5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">
          <v:path arrowok="t"/>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69</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sz w:val="17"/>
        <w:szCs w:val="17"/>
      </w:rPr>
    </w:pPr>
    <w:r>
      <w:rPr>
        <w:sz w:val="17"/>
        <w:szCs w:val="17"/>
      </w:rPr>
      <w:fldChar w:fldCharType="begin"/>
    </w:r>
    <w:r>
      <w:rPr>
        <w:rStyle w:val="37"/>
        <w:sz w:val="17"/>
        <w:szCs w:val="17"/>
      </w:rPr>
      <w:instrText xml:space="preserve">PAGE  </w:instrText>
    </w:r>
    <w:r>
      <w:rPr>
        <w:sz w:val="17"/>
        <w:szCs w:val="17"/>
      </w:rPr>
      <w:fldChar w:fldCharType="separate"/>
    </w:r>
    <w:r>
      <w:rPr>
        <w:rStyle w:val="37"/>
        <w:sz w:val="17"/>
        <w:szCs w:val="17"/>
      </w:rPr>
      <w:t>1</w:t>
    </w:r>
    <w:r>
      <w:rPr>
        <w:sz w:val="17"/>
        <w:szCs w:val="17"/>
      </w:rPr>
      <w:fldChar w:fldCharType="end"/>
    </w:r>
  </w:p>
  <w:p>
    <w:pPr>
      <w:pStyle w:val="20"/>
      <w:ind w:right="360"/>
      <w:rPr>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sz w:val="21"/>
        <w:szCs w:val="21"/>
      </w:rPr>
    </w:pPr>
    <w:r>
      <w:rPr>
        <w:rFonts w:hint="eastAsia"/>
        <w:sz w:val="21"/>
        <w:szCs w:val="21"/>
      </w:rPr>
      <w:t>嘉兴市本级巡游出租汽车智能终端技术改造项目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Lines="50"/>
      <w:jc w:val="center"/>
      <w:rPr>
        <w:rFonts w:ascii="宋体" w:hAnsi="宋体" w:cs="宋体"/>
        <w:szCs w:val="21"/>
      </w:rPr>
    </w:pPr>
    <w:r>
      <w:rPr>
        <w:rFonts w:hint="eastAsia" w:ascii="宋体" w:hAnsi="宋体" w:cs="宋体"/>
        <w:szCs w:val="21"/>
      </w:rPr>
      <w:t>嘉兴市本级巡游出租汽车智能终端技术改造项目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sz w:val="21"/>
        <w:szCs w:val="21"/>
      </w:rPr>
      <w:t>嘉兴市本级巡游出租汽车智能终端技术改造项目·公开招标文件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sz w:val="21"/>
        <w:szCs w:val="21"/>
      </w:rPr>
      <w:t>嘉兴市本级巡游出租汽车智能终端技术改造项目·公开招标文件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widowControl w:val="0"/>
      <w:pBdr>
        <w:bottom w:val="single" w:color="auto" w:sz="4" w:space="0"/>
      </w:pBdr>
      <w:snapToGrid/>
      <w:spacing w:afterLines="0" w:line="320" w:lineRule="exact"/>
      <w:ind w:firstLine="0" w:firstLineChars="0"/>
      <w:jc w:val="center"/>
      <w:rPr>
        <w:rFonts w:ascii="宋体" w:hAnsi="宋体" w:cs="仿宋_GB2312"/>
        <w:color w:val="000000"/>
        <w:kern w:val="2"/>
        <w:sz w:val="21"/>
        <w:szCs w:val="21"/>
        <w:u w:val="single"/>
        <w:lang w:val="zh-CN"/>
      </w:rPr>
    </w:pPr>
    <w:r>
      <w:rPr>
        <w:rFonts w:hint="eastAsia"/>
        <w:kern w:val="2"/>
        <w:sz w:val="21"/>
        <w:szCs w:val="21"/>
      </w:rPr>
      <w:t>嘉兴市本级巡游出租汽车智能终端技术改造项目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widowControl w:val="0"/>
      <w:snapToGrid/>
      <w:spacing w:afterLines="0" w:line="320" w:lineRule="exact"/>
      <w:ind w:firstLine="0" w:firstLineChars="0"/>
      <w:rPr>
        <w:rFonts w:ascii="宋体" w:hAnsi="宋体" w:cs="仿宋_GB2312"/>
        <w:color w:val="000000"/>
        <w:kern w:val="2"/>
        <w:sz w:val="21"/>
        <w:szCs w:val="21"/>
        <w:u w:val="single"/>
        <w:lang w:val="zh-CN"/>
      </w:rPr>
    </w:pPr>
    <w:r>
      <w:rPr>
        <w:rFonts w:hint="eastAsia"/>
        <w:kern w:val="2"/>
        <w:sz w:val="21"/>
        <w:szCs w:val="21"/>
        <w:u w:val="single"/>
        <w:lang w:val="zh-CN"/>
      </w:rPr>
      <w:t>嘉兴市人民法院2014年度保洁管理项目</w:t>
    </w:r>
    <w:r>
      <w:rPr>
        <w:rFonts w:hint="eastAsia"/>
        <w:sz w:val="21"/>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3782F"/>
    <w:multiLevelType w:val="singleLevel"/>
    <w:tmpl w:val="90B3782F"/>
    <w:lvl w:ilvl="0" w:tentative="0">
      <w:start w:val="1"/>
      <w:numFmt w:val="chineseCounting"/>
      <w:suff w:val="space"/>
      <w:lvlText w:val="第%1条"/>
      <w:lvlJc w:val="left"/>
      <w:rPr>
        <w:rFonts w:hint="eastAsia"/>
      </w:rPr>
    </w:lvl>
  </w:abstractNum>
  <w:abstractNum w:abstractNumId="1">
    <w:nsid w:val="CFADB226"/>
    <w:multiLevelType w:val="singleLevel"/>
    <w:tmpl w:val="CFADB226"/>
    <w:lvl w:ilvl="0" w:tentative="0">
      <w:start w:val="2"/>
      <w:numFmt w:val="decimal"/>
      <w:suff w:val="nothing"/>
      <w:lvlText w:val="%1、"/>
      <w:lvlJc w:val="left"/>
      <w:pPr>
        <w:ind w:left="420" w:firstLine="0"/>
      </w:pPr>
    </w:lvl>
  </w:abstractNum>
  <w:abstractNum w:abstractNumId="2">
    <w:nsid w:val="00000002"/>
    <w:multiLevelType w:val="singleLevel"/>
    <w:tmpl w:val="00000002"/>
    <w:lvl w:ilvl="0" w:tentative="0">
      <w:start w:val="1"/>
      <w:numFmt w:val="chineseCounting"/>
      <w:pStyle w:val="14"/>
      <w:suff w:val="space"/>
      <w:lvlText w:val="第%1章"/>
      <w:lvlJc w:val="left"/>
    </w:lvl>
  </w:abstractNum>
  <w:abstractNum w:abstractNumId="3">
    <w:nsid w:val="00384AE4"/>
    <w:multiLevelType w:val="singleLevel"/>
    <w:tmpl w:val="00384AE4"/>
    <w:lvl w:ilvl="0" w:tentative="0">
      <w:start w:val="2"/>
      <w:numFmt w:val="chineseCounting"/>
      <w:suff w:val="space"/>
      <w:lvlText w:val="第%1章"/>
      <w:lvlJc w:val="left"/>
      <w:rPr>
        <w:rFonts w:hint="eastAsia"/>
      </w:rPr>
    </w:lvl>
  </w:abstractNum>
  <w:abstractNum w:abstractNumId="4">
    <w:nsid w:val="1581FA64"/>
    <w:multiLevelType w:val="singleLevel"/>
    <w:tmpl w:val="1581FA64"/>
    <w:lvl w:ilvl="0" w:tentative="0">
      <w:start w:val="5"/>
      <w:numFmt w:val="decimal"/>
      <w:suff w:val="nothing"/>
      <w:lvlText w:val="%1、"/>
      <w:lvlJc w:val="left"/>
    </w:lvl>
  </w:abstractNum>
  <w:abstractNum w:abstractNumId="5">
    <w:nsid w:val="2A4F8167"/>
    <w:multiLevelType w:val="singleLevel"/>
    <w:tmpl w:val="2A4F8167"/>
    <w:lvl w:ilvl="0" w:tentative="0">
      <w:start w:val="2"/>
      <w:numFmt w:val="chineseCounting"/>
      <w:suff w:val="nothing"/>
      <w:lvlText w:val="%1、"/>
      <w:lvlJc w:val="left"/>
      <w:rPr>
        <w:rFonts w:hint="eastAsia"/>
      </w:rPr>
    </w:lvl>
  </w:abstractNum>
  <w:abstractNum w:abstractNumId="6">
    <w:nsid w:val="5333D3D9"/>
    <w:multiLevelType w:val="singleLevel"/>
    <w:tmpl w:val="5333D3D9"/>
    <w:lvl w:ilvl="0" w:tentative="0">
      <w:start w:val="5"/>
      <w:numFmt w:val="chineseCounting"/>
      <w:suff w:val="space"/>
      <w:lvlText w:val="第%1章"/>
      <w:lvlJc w:val="left"/>
    </w:lvl>
  </w:abstractNum>
  <w:abstractNum w:abstractNumId="7">
    <w:nsid w:val="54F42EA7"/>
    <w:multiLevelType w:val="singleLevel"/>
    <w:tmpl w:val="54F42EA7"/>
    <w:lvl w:ilvl="0" w:tentative="0">
      <w:start w:val="1"/>
      <w:numFmt w:val="decimal"/>
      <w:suff w:val="nothing"/>
      <w:lvlText w:val="%1、"/>
      <w:lvlJc w:val="left"/>
    </w:lvl>
  </w:abstractNum>
  <w:abstractNum w:abstractNumId="8">
    <w:nsid w:val="567027A7"/>
    <w:multiLevelType w:val="singleLevel"/>
    <w:tmpl w:val="567027A7"/>
    <w:lvl w:ilvl="0" w:tentative="0">
      <w:start w:val="2"/>
      <w:numFmt w:val="chineseCounting"/>
      <w:suff w:val="nothing"/>
      <w:lvlText w:val="%1、"/>
      <w:lvlJc w:val="left"/>
    </w:lvl>
  </w:abstractNum>
  <w:abstractNum w:abstractNumId="9">
    <w:nsid w:val="61066947"/>
    <w:multiLevelType w:val="multilevel"/>
    <w:tmpl w:val="61066947"/>
    <w:lvl w:ilvl="0" w:tentative="0">
      <w:start w:val="1"/>
      <w:numFmt w:val="decimal"/>
      <w:lvlText w:val="(%1)"/>
      <w:lvlJc w:val="left"/>
      <w:pPr>
        <w:tabs>
          <w:tab w:val="left" w:pos="920"/>
        </w:tabs>
        <w:ind w:left="92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5"/>
  </w:num>
  <w:num w:numId="4">
    <w:abstractNumId w:val="9"/>
  </w:num>
  <w:num w:numId="5">
    <w:abstractNumId w:val="6"/>
  </w:num>
  <w:num w:numId="6">
    <w:abstractNumId w:val="0"/>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6024"/>
    <w:rsid w:val="0001068C"/>
    <w:rsid w:val="000115DA"/>
    <w:rsid w:val="00020906"/>
    <w:rsid w:val="00022889"/>
    <w:rsid w:val="00034031"/>
    <w:rsid w:val="00041F93"/>
    <w:rsid w:val="00055199"/>
    <w:rsid w:val="00055BF7"/>
    <w:rsid w:val="00084E12"/>
    <w:rsid w:val="00090BEA"/>
    <w:rsid w:val="000A12CA"/>
    <w:rsid w:val="000B72C4"/>
    <w:rsid w:val="000B7602"/>
    <w:rsid w:val="000C4F3A"/>
    <w:rsid w:val="000C78F4"/>
    <w:rsid w:val="0010208C"/>
    <w:rsid w:val="001045CC"/>
    <w:rsid w:val="0014180D"/>
    <w:rsid w:val="001432CF"/>
    <w:rsid w:val="00160164"/>
    <w:rsid w:val="00172A27"/>
    <w:rsid w:val="00194D48"/>
    <w:rsid w:val="001A70F9"/>
    <w:rsid w:val="001B31DE"/>
    <w:rsid w:val="001D7B72"/>
    <w:rsid w:val="001E2693"/>
    <w:rsid w:val="001F02CF"/>
    <w:rsid w:val="00206DB4"/>
    <w:rsid w:val="002101D8"/>
    <w:rsid w:val="002249AA"/>
    <w:rsid w:val="0024556C"/>
    <w:rsid w:val="002505EF"/>
    <w:rsid w:val="0025452E"/>
    <w:rsid w:val="00276425"/>
    <w:rsid w:val="002849C4"/>
    <w:rsid w:val="002A25A3"/>
    <w:rsid w:val="002B49AF"/>
    <w:rsid w:val="002C548C"/>
    <w:rsid w:val="002C79F0"/>
    <w:rsid w:val="002D203B"/>
    <w:rsid w:val="002D7663"/>
    <w:rsid w:val="002E44A9"/>
    <w:rsid w:val="002E532D"/>
    <w:rsid w:val="002E562A"/>
    <w:rsid w:val="00300968"/>
    <w:rsid w:val="00310F33"/>
    <w:rsid w:val="003124CE"/>
    <w:rsid w:val="00316657"/>
    <w:rsid w:val="003213FC"/>
    <w:rsid w:val="00347468"/>
    <w:rsid w:val="0034755B"/>
    <w:rsid w:val="003520F9"/>
    <w:rsid w:val="00394267"/>
    <w:rsid w:val="00394C26"/>
    <w:rsid w:val="003A2D27"/>
    <w:rsid w:val="003B162F"/>
    <w:rsid w:val="003C0AF9"/>
    <w:rsid w:val="003C3B30"/>
    <w:rsid w:val="003D6BF8"/>
    <w:rsid w:val="003E1971"/>
    <w:rsid w:val="003F1639"/>
    <w:rsid w:val="003F73CD"/>
    <w:rsid w:val="00401227"/>
    <w:rsid w:val="00404BC9"/>
    <w:rsid w:val="004056B0"/>
    <w:rsid w:val="0044344A"/>
    <w:rsid w:val="0045043D"/>
    <w:rsid w:val="004704D0"/>
    <w:rsid w:val="004711E5"/>
    <w:rsid w:val="0048257C"/>
    <w:rsid w:val="0049273D"/>
    <w:rsid w:val="004E034F"/>
    <w:rsid w:val="004F0278"/>
    <w:rsid w:val="00526F3C"/>
    <w:rsid w:val="00542758"/>
    <w:rsid w:val="005612E1"/>
    <w:rsid w:val="00566FC4"/>
    <w:rsid w:val="00586504"/>
    <w:rsid w:val="005A66FD"/>
    <w:rsid w:val="005C307E"/>
    <w:rsid w:val="005C4B16"/>
    <w:rsid w:val="005D0B21"/>
    <w:rsid w:val="005D2F33"/>
    <w:rsid w:val="005E15AF"/>
    <w:rsid w:val="0060305B"/>
    <w:rsid w:val="00607B9E"/>
    <w:rsid w:val="00617CB1"/>
    <w:rsid w:val="00627C3D"/>
    <w:rsid w:val="00647A7A"/>
    <w:rsid w:val="00661A31"/>
    <w:rsid w:val="006705CB"/>
    <w:rsid w:val="00680F48"/>
    <w:rsid w:val="006818A7"/>
    <w:rsid w:val="00686F78"/>
    <w:rsid w:val="006A33FB"/>
    <w:rsid w:val="006B01D6"/>
    <w:rsid w:val="006B5A2C"/>
    <w:rsid w:val="006C3905"/>
    <w:rsid w:val="006D3239"/>
    <w:rsid w:val="006E46A2"/>
    <w:rsid w:val="007012C3"/>
    <w:rsid w:val="007032A6"/>
    <w:rsid w:val="0070498E"/>
    <w:rsid w:val="00715A17"/>
    <w:rsid w:val="007169B4"/>
    <w:rsid w:val="00716F0F"/>
    <w:rsid w:val="0072511A"/>
    <w:rsid w:val="0073731B"/>
    <w:rsid w:val="00743969"/>
    <w:rsid w:val="007449C7"/>
    <w:rsid w:val="00782C04"/>
    <w:rsid w:val="007A08F1"/>
    <w:rsid w:val="007C3492"/>
    <w:rsid w:val="007D7B8B"/>
    <w:rsid w:val="007E11F1"/>
    <w:rsid w:val="007E4EC2"/>
    <w:rsid w:val="007E7FB0"/>
    <w:rsid w:val="007F2114"/>
    <w:rsid w:val="007F48CC"/>
    <w:rsid w:val="00821166"/>
    <w:rsid w:val="008220D0"/>
    <w:rsid w:val="00834840"/>
    <w:rsid w:val="00847C45"/>
    <w:rsid w:val="0085472F"/>
    <w:rsid w:val="00855BA6"/>
    <w:rsid w:val="0087523F"/>
    <w:rsid w:val="00884086"/>
    <w:rsid w:val="00890DF6"/>
    <w:rsid w:val="008A2788"/>
    <w:rsid w:val="008A6A46"/>
    <w:rsid w:val="008B25FF"/>
    <w:rsid w:val="008E51F4"/>
    <w:rsid w:val="009212DF"/>
    <w:rsid w:val="00931CC7"/>
    <w:rsid w:val="00983A7D"/>
    <w:rsid w:val="009B07AC"/>
    <w:rsid w:val="00A01279"/>
    <w:rsid w:val="00A02262"/>
    <w:rsid w:val="00A23DB4"/>
    <w:rsid w:val="00A36534"/>
    <w:rsid w:val="00A37C1C"/>
    <w:rsid w:val="00A57B7B"/>
    <w:rsid w:val="00A735CC"/>
    <w:rsid w:val="00A80F31"/>
    <w:rsid w:val="00A826F0"/>
    <w:rsid w:val="00A84D4D"/>
    <w:rsid w:val="00AB2E12"/>
    <w:rsid w:val="00AC5C90"/>
    <w:rsid w:val="00AC65E2"/>
    <w:rsid w:val="00AD3EC1"/>
    <w:rsid w:val="00AE22F6"/>
    <w:rsid w:val="00AF2E60"/>
    <w:rsid w:val="00B045A0"/>
    <w:rsid w:val="00B0791D"/>
    <w:rsid w:val="00B14C29"/>
    <w:rsid w:val="00B31CDD"/>
    <w:rsid w:val="00B45C1E"/>
    <w:rsid w:val="00B94508"/>
    <w:rsid w:val="00BB417E"/>
    <w:rsid w:val="00BE512D"/>
    <w:rsid w:val="00BF6BE3"/>
    <w:rsid w:val="00C00722"/>
    <w:rsid w:val="00C02DB8"/>
    <w:rsid w:val="00C11136"/>
    <w:rsid w:val="00C13735"/>
    <w:rsid w:val="00C25A56"/>
    <w:rsid w:val="00C47712"/>
    <w:rsid w:val="00C47DB3"/>
    <w:rsid w:val="00C51222"/>
    <w:rsid w:val="00CC7076"/>
    <w:rsid w:val="00CE01CD"/>
    <w:rsid w:val="00CE0BFD"/>
    <w:rsid w:val="00CE6538"/>
    <w:rsid w:val="00CF761B"/>
    <w:rsid w:val="00D17A6C"/>
    <w:rsid w:val="00D23BFD"/>
    <w:rsid w:val="00D26A07"/>
    <w:rsid w:val="00D33925"/>
    <w:rsid w:val="00D6122B"/>
    <w:rsid w:val="00D765B7"/>
    <w:rsid w:val="00D84AA2"/>
    <w:rsid w:val="00D8583D"/>
    <w:rsid w:val="00DD13D8"/>
    <w:rsid w:val="00DE5B67"/>
    <w:rsid w:val="00DE6941"/>
    <w:rsid w:val="00DF525E"/>
    <w:rsid w:val="00DF565C"/>
    <w:rsid w:val="00E00C43"/>
    <w:rsid w:val="00E03322"/>
    <w:rsid w:val="00E079ED"/>
    <w:rsid w:val="00E2063B"/>
    <w:rsid w:val="00E4741A"/>
    <w:rsid w:val="00E47F02"/>
    <w:rsid w:val="00E556F9"/>
    <w:rsid w:val="00E56834"/>
    <w:rsid w:val="00E615F4"/>
    <w:rsid w:val="00EA2855"/>
    <w:rsid w:val="00EB5C49"/>
    <w:rsid w:val="00EC2ED1"/>
    <w:rsid w:val="00EC3E58"/>
    <w:rsid w:val="00EC4FE0"/>
    <w:rsid w:val="00ED1AF4"/>
    <w:rsid w:val="00ED53F7"/>
    <w:rsid w:val="00ED5A5D"/>
    <w:rsid w:val="00F00591"/>
    <w:rsid w:val="00F01441"/>
    <w:rsid w:val="00F20DC1"/>
    <w:rsid w:val="00F323B5"/>
    <w:rsid w:val="00F32BE8"/>
    <w:rsid w:val="00F443BC"/>
    <w:rsid w:val="00F546FA"/>
    <w:rsid w:val="00F6154C"/>
    <w:rsid w:val="00F71896"/>
    <w:rsid w:val="00F93EE1"/>
    <w:rsid w:val="00FA55F5"/>
    <w:rsid w:val="00FE65D2"/>
    <w:rsid w:val="00FF4039"/>
    <w:rsid w:val="00FF569C"/>
    <w:rsid w:val="011768D6"/>
    <w:rsid w:val="01361389"/>
    <w:rsid w:val="017F393E"/>
    <w:rsid w:val="022E2E51"/>
    <w:rsid w:val="02F67F96"/>
    <w:rsid w:val="039E18A7"/>
    <w:rsid w:val="03FA386B"/>
    <w:rsid w:val="041979FB"/>
    <w:rsid w:val="04C837E3"/>
    <w:rsid w:val="04D15182"/>
    <w:rsid w:val="0505394D"/>
    <w:rsid w:val="0513735F"/>
    <w:rsid w:val="052A029E"/>
    <w:rsid w:val="05536C4A"/>
    <w:rsid w:val="056A2CB8"/>
    <w:rsid w:val="057E3312"/>
    <w:rsid w:val="05C1727E"/>
    <w:rsid w:val="05E11D32"/>
    <w:rsid w:val="05F95D3A"/>
    <w:rsid w:val="0638333A"/>
    <w:rsid w:val="081E2D2B"/>
    <w:rsid w:val="08687695"/>
    <w:rsid w:val="088D6414"/>
    <w:rsid w:val="09043B58"/>
    <w:rsid w:val="09632DF2"/>
    <w:rsid w:val="097570E8"/>
    <w:rsid w:val="09926C3F"/>
    <w:rsid w:val="09BB7153"/>
    <w:rsid w:val="0C345467"/>
    <w:rsid w:val="0C791B3B"/>
    <w:rsid w:val="0D157B86"/>
    <w:rsid w:val="0D882515"/>
    <w:rsid w:val="0E471761"/>
    <w:rsid w:val="0E661BCD"/>
    <w:rsid w:val="0ED13A40"/>
    <w:rsid w:val="0ED86D6E"/>
    <w:rsid w:val="0F083839"/>
    <w:rsid w:val="0F6879DD"/>
    <w:rsid w:val="0FB04706"/>
    <w:rsid w:val="10332C1A"/>
    <w:rsid w:val="103530B3"/>
    <w:rsid w:val="104219FD"/>
    <w:rsid w:val="107A31EC"/>
    <w:rsid w:val="11057A82"/>
    <w:rsid w:val="113D5D78"/>
    <w:rsid w:val="11DB0088"/>
    <w:rsid w:val="123B528D"/>
    <w:rsid w:val="1480509C"/>
    <w:rsid w:val="14EB599A"/>
    <w:rsid w:val="15123637"/>
    <w:rsid w:val="15376298"/>
    <w:rsid w:val="158F5D71"/>
    <w:rsid w:val="15CF3257"/>
    <w:rsid w:val="16385F3B"/>
    <w:rsid w:val="16B3440B"/>
    <w:rsid w:val="16FC5B8F"/>
    <w:rsid w:val="18494021"/>
    <w:rsid w:val="185B6B84"/>
    <w:rsid w:val="18710D52"/>
    <w:rsid w:val="188859CE"/>
    <w:rsid w:val="199C3540"/>
    <w:rsid w:val="19BF5052"/>
    <w:rsid w:val="19F85BD5"/>
    <w:rsid w:val="1A1C309B"/>
    <w:rsid w:val="1A6566AB"/>
    <w:rsid w:val="1BF132A7"/>
    <w:rsid w:val="1C033227"/>
    <w:rsid w:val="1C7D737E"/>
    <w:rsid w:val="1C964B49"/>
    <w:rsid w:val="1CC27D3E"/>
    <w:rsid w:val="1D636B46"/>
    <w:rsid w:val="1DB25A9E"/>
    <w:rsid w:val="1DEC1F22"/>
    <w:rsid w:val="1E270B56"/>
    <w:rsid w:val="1E287B89"/>
    <w:rsid w:val="1E3C2FA6"/>
    <w:rsid w:val="1E6E437A"/>
    <w:rsid w:val="1EC42C56"/>
    <w:rsid w:val="204001F8"/>
    <w:rsid w:val="20CC1CE6"/>
    <w:rsid w:val="20D83AEE"/>
    <w:rsid w:val="21672B04"/>
    <w:rsid w:val="219165F8"/>
    <w:rsid w:val="21BD5166"/>
    <w:rsid w:val="21DE311D"/>
    <w:rsid w:val="22161121"/>
    <w:rsid w:val="224346AE"/>
    <w:rsid w:val="22553FCD"/>
    <w:rsid w:val="22C918B8"/>
    <w:rsid w:val="22F73132"/>
    <w:rsid w:val="235F21B5"/>
    <w:rsid w:val="237A54CB"/>
    <w:rsid w:val="24131393"/>
    <w:rsid w:val="25804D0F"/>
    <w:rsid w:val="2609593B"/>
    <w:rsid w:val="263C504A"/>
    <w:rsid w:val="264A6FF6"/>
    <w:rsid w:val="26D12FC0"/>
    <w:rsid w:val="26E43A5B"/>
    <w:rsid w:val="27D33F2A"/>
    <w:rsid w:val="284A61FF"/>
    <w:rsid w:val="289A0AEB"/>
    <w:rsid w:val="295B6DE6"/>
    <w:rsid w:val="29A95842"/>
    <w:rsid w:val="29AC7CA1"/>
    <w:rsid w:val="2B1D6406"/>
    <w:rsid w:val="2B2D4BD8"/>
    <w:rsid w:val="2B480B52"/>
    <w:rsid w:val="2B4D11B4"/>
    <w:rsid w:val="2B55302B"/>
    <w:rsid w:val="2C6309E2"/>
    <w:rsid w:val="2D7F19DB"/>
    <w:rsid w:val="2E3C001B"/>
    <w:rsid w:val="2EF241E4"/>
    <w:rsid w:val="2F595152"/>
    <w:rsid w:val="2FFB4A19"/>
    <w:rsid w:val="30126F71"/>
    <w:rsid w:val="303D4E30"/>
    <w:rsid w:val="309472FF"/>
    <w:rsid w:val="309F7453"/>
    <w:rsid w:val="30AA65E6"/>
    <w:rsid w:val="31537402"/>
    <w:rsid w:val="316C0A50"/>
    <w:rsid w:val="317716B5"/>
    <w:rsid w:val="31941E97"/>
    <w:rsid w:val="3204479C"/>
    <w:rsid w:val="321759BB"/>
    <w:rsid w:val="323E4E93"/>
    <w:rsid w:val="324D6572"/>
    <w:rsid w:val="324F3D6D"/>
    <w:rsid w:val="33004869"/>
    <w:rsid w:val="3311528D"/>
    <w:rsid w:val="33350073"/>
    <w:rsid w:val="333E7B15"/>
    <w:rsid w:val="3378711A"/>
    <w:rsid w:val="33A24F3C"/>
    <w:rsid w:val="34297A91"/>
    <w:rsid w:val="34490FA6"/>
    <w:rsid w:val="34563CEC"/>
    <w:rsid w:val="34C3573A"/>
    <w:rsid w:val="34DC77C8"/>
    <w:rsid w:val="35247BCD"/>
    <w:rsid w:val="3549658D"/>
    <w:rsid w:val="35BF769D"/>
    <w:rsid w:val="362C5738"/>
    <w:rsid w:val="371D1923"/>
    <w:rsid w:val="372A6FC0"/>
    <w:rsid w:val="3750454F"/>
    <w:rsid w:val="378814E1"/>
    <w:rsid w:val="38933450"/>
    <w:rsid w:val="38CC4438"/>
    <w:rsid w:val="396D443E"/>
    <w:rsid w:val="39E722A6"/>
    <w:rsid w:val="3A827880"/>
    <w:rsid w:val="3BA548E8"/>
    <w:rsid w:val="3BD8323D"/>
    <w:rsid w:val="3C792F7A"/>
    <w:rsid w:val="3CC46628"/>
    <w:rsid w:val="3CDF15A5"/>
    <w:rsid w:val="3DB338AD"/>
    <w:rsid w:val="3DFE9826"/>
    <w:rsid w:val="3E4A643F"/>
    <w:rsid w:val="3E823A67"/>
    <w:rsid w:val="3E9C58CE"/>
    <w:rsid w:val="3F081377"/>
    <w:rsid w:val="3FDE6257"/>
    <w:rsid w:val="40AC3012"/>
    <w:rsid w:val="40DB4E75"/>
    <w:rsid w:val="40EB2D60"/>
    <w:rsid w:val="41321107"/>
    <w:rsid w:val="42242E76"/>
    <w:rsid w:val="42467F0F"/>
    <w:rsid w:val="427F7899"/>
    <w:rsid w:val="42911BF8"/>
    <w:rsid w:val="42D77239"/>
    <w:rsid w:val="431809B1"/>
    <w:rsid w:val="435A3F8F"/>
    <w:rsid w:val="43713BB4"/>
    <w:rsid w:val="43A0375B"/>
    <w:rsid w:val="442327AA"/>
    <w:rsid w:val="447D71C7"/>
    <w:rsid w:val="45A10FF0"/>
    <w:rsid w:val="46D65C0D"/>
    <w:rsid w:val="46EA636E"/>
    <w:rsid w:val="47210E42"/>
    <w:rsid w:val="472A5E05"/>
    <w:rsid w:val="475510AB"/>
    <w:rsid w:val="479C164D"/>
    <w:rsid w:val="4808752F"/>
    <w:rsid w:val="484826D6"/>
    <w:rsid w:val="48B16D43"/>
    <w:rsid w:val="493C2333"/>
    <w:rsid w:val="49595248"/>
    <w:rsid w:val="49B10044"/>
    <w:rsid w:val="4A70372C"/>
    <w:rsid w:val="4ACE7F2C"/>
    <w:rsid w:val="4ADD71E7"/>
    <w:rsid w:val="4B110267"/>
    <w:rsid w:val="4B1874C5"/>
    <w:rsid w:val="4B53343D"/>
    <w:rsid w:val="4BA10759"/>
    <w:rsid w:val="4BAE2EFD"/>
    <w:rsid w:val="4BDB1D60"/>
    <w:rsid w:val="4C020640"/>
    <w:rsid w:val="4CCA459F"/>
    <w:rsid w:val="4D95542C"/>
    <w:rsid w:val="4DB11E17"/>
    <w:rsid w:val="4E562E0C"/>
    <w:rsid w:val="4F3B7C6D"/>
    <w:rsid w:val="4F5C4B3F"/>
    <w:rsid w:val="4FBC4ACC"/>
    <w:rsid w:val="50526843"/>
    <w:rsid w:val="50EC1DD2"/>
    <w:rsid w:val="50F30341"/>
    <w:rsid w:val="50FA62AF"/>
    <w:rsid w:val="51E6586D"/>
    <w:rsid w:val="52007230"/>
    <w:rsid w:val="52247352"/>
    <w:rsid w:val="52332C20"/>
    <w:rsid w:val="52E860A3"/>
    <w:rsid w:val="52F1264B"/>
    <w:rsid w:val="53826E67"/>
    <w:rsid w:val="53A862BC"/>
    <w:rsid w:val="53CA5E7C"/>
    <w:rsid w:val="54066170"/>
    <w:rsid w:val="542F3E51"/>
    <w:rsid w:val="544458A0"/>
    <w:rsid w:val="550D0330"/>
    <w:rsid w:val="550D7F84"/>
    <w:rsid w:val="55280221"/>
    <w:rsid w:val="55C61016"/>
    <w:rsid w:val="5670465C"/>
    <w:rsid w:val="56B35ACA"/>
    <w:rsid w:val="56B476BD"/>
    <w:rsid w:val="57034965"/>
    <w:rsid w:val="571C7FC0"/>
    <w:rsid w:val="572974F8"/>
    <w:rsid w:val="573541EF"/>
    <w:rsid w:val="5747616E"/>
    <w:rsid w:val="57772008"/>
    <w:rsid w:val="57784798"/>
    <w:rsid w:val="584C06EA"/>
    <w:rsid w:val="58D6315E"/>
    <w:rsid w:val="590D2DD7"/>
    <w:rsid w:val="5968304A"/>
    <w:rsid w:val="5A157CD6"/>
    <w:rsid w:val="5B313A70"/>
    <w:rsid w:val="5BDF6CE6"/>
    <w:rsid w:val="5BE86135"/>
    <w:rsid w:val="5C6259D8"/>
    <w:rsid w:val="5C96695C"/>
    <w:rsid w:val="5E170E07"/>
    <w:rsid w:val="5E3A0425"/>
    <w:rsid w:val="5EDF46D7"/>
    <w:rsid w:val="5EEC5666"/>
    <w:rsid w:val="5EF23435"/>
    <w:rsid w:val="5EF977A2"/>
    <w:rsid w:val="5FFEC4A0"/>
    <w:rsid w:val="607818CD"/>
    <w:rsid w:val="60E63AA2"/>
    <w:rsid w:val="617940FB"/>
    <w:rsid w:val="61CC2880"/>
    <w:rsid w:val="61D23A50"/>
    <w:rsid w:val="627D47F7"/>
    <w:rsid w:val="62BA4707"/>
    <w:rsid w:val="63C93023"/>
    <w:rsid w:val="63D0171E"/>
    <w:rsid w:val="63E17D6C"/>
    <w:rsid w:val="63ED4749"/>
    <w:rsid w:val="64100086"/>
    <w:rsid w:val="65481233"/>
    <w:rsid w:val="65835E4D"/>
    <w:rsid w:val="65C11F6D"/>
    <w:rsid w:val="66037786"/>
    <w:rsid w:val="66DD161D"/>
    <w:rsid w:val="670A5C9B"/>
    <w:rsid w:val="678E5975"/>
    <w:rsid w:val="69461147"/>
    <w:rsid w:val="6A0A2635"/>
    <w:rsid w:val="6B8F5D8A"/>
    <w:rsid w:val="6BE97D97"/>
    <w:rsid w:val="6C5B6847"/>
    <w:rsid w:val="6CBB6246"/>
    <w:rsid w:val="6D4254C4"/>
    <w:rsid w:val="6E4F61D5"/>
    <w:rsid w:val="6E717EE1"/>
    <w:rsid w:val="6ED2357B"/>
    <w:rsid w:val="6F0A78E8"/>
    <w:rsid w:val="6F1F2853"/>
    <w:rsid w:val="6F5362A6"/>
    <w:rsid w:val="70547493"/>
    <w:rsid w:val="716F53DD"/>
    <w:rsid w:val="720336CA"/>
    <w:rsid w:val="72457E63"/>
    <w:rsid w:val="72843450"/>
    <w:rsid w:val="72CD4B67"/>
    <w:rsid w:val="72D2697F"/>
    <w:rsid w:val="72E05D86"/>
    <w:rsid w:val="73053200"/>
    <w:rsid w:val="73196FE3"/>
    <w:rsid w:val="736E0E6D"/>
    <w:rsid w:val="73797AB6"/>
    <w:rsid w:val="7393222F"/>
    <w:rsid w:val="73C362E6"/>
    <w:rsid w:val="740E3CBA"/>
    <w:rsid w:val="75172DAE"/>
    <w:rsid w:val="76BF7B87"/>
    <w:rsid w:val="76EA56A8"/>
    <w:rsid w:val="76FF15BD"/>
    <w:rsid w:val="77D32AC2"/>
    <w:rsid w:val="783F4796"/>
    <w:rsid w:val="78CD3662"/>
    <w:rsid w:val="78FF2E32"/>
    <w:rsid w:val="79005208"/>
    <w:rsid w:val="79582162"/>
    <w:rsid w:val="7A7126B6"/>
    <w:rsid w:val="7A955224"/>
    <w:rsid w:val="7AAE3AE5"/>
    <w:rsid w:val="7B276F1B"/>
    <w:rsid w:val="7B3D5681"/>
    <w:rsid w:val="7B48178F"/>
    <w:rsid w:val="7BD7C4CD"/>
    <w:rsid w:val="7C5B013E"/>
    <w:rsid w:val="7CA43335"/>
    <w:rsid w:val="7D767B34"/>
    <w:rsid w:val="7D8443E2"/>
    <w:rsid w:val="7EBE4F37"/>
    <w:rsid w:val="7F3B28DD"/>
    <w:rsid w:val="7F6E05CE"/>
    <w:rsid w:val="7F8814A2"/>
    <w:rsid w:val="7FEB2E2A"/>
    <w:rsid w:val="99EF76F4"/>
    <w:rsid w:val="A317FD9E"/>
    <w:rsid w:val="F5FF6A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46"/>
    <w:qFormat/>
    <w:uiPriority w:val="0"/>
    <w:pPr>
      <w:keepNext/>
      <w:keepLines/>
      <w:spacing w:before="280" w:after="290" w:line="377" w:lineRule="auto"/>
      <w:jc w:val="left"/>
      <w:outlineLvl w:val="3"/>
    </w:pPr>
    <w:rPr>
      <w:rFonts w:ascii="Arial" w:hAnsi="Arial" w:eastAsia="黑体"/>
      <w:b/>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3">
    <w:name w:val="标准正文"/>
    <w:basedOn w:val="1"/>
    <w:qFormat/>
    <w:uiPriority w:val="0"/>
    <w:pPr>
      <w:spacing w:line="360" w:lineRule="auto"/>
      <w:ind w:firstLine="200" w:firstLineChars="200"/>
    </w:pPr>
    <w:rPr>
      <w:sz w:val="24"/>
      <w:szCs w:val="20"/>
    </w:rPr>
  </w:style>
  <w:style w:type="paragraph" w:styleId="7">
    <w:name w:val="List Number"/>
    <w:basedOn w:val="1"/>
    <w:qFormat/>
    <w:uiPriority w:val="0"/>
    <w:pPr>
      <w:widowControl/>
      <w:tabs>
        <w:tab w:val="left" w:pos="454"/>
        <w:tab w:val="left" w:pos="1290"/>
      </w:tabs>
      <w:spacing w:afterLines="50"/>
      <w:ind w:left="454" w:hanging="284"/>
      <w:jc w:val="left"/>
    </w:pPr>
    <w:rPr>
      <w:kern w:val="0"/>
      <w:sz w:val="24"/>
      <w:szCs w:val="20"/>
    </w:r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qFormat/>
    <w:uiPriority w:val="0"/>
    <w:pPr>
      <w:jc w:val="left"/>
    </w:pPr>
  </w:style>
  <w:style w:type="paragraph" w:styleId="11">
    <w:name w:val="Body Text 3"/>
    <w:basedOn w:val="1"/>
    <w:qFormat/>
    <w:uiPriority w:val="0"/>
    <w:pPr>
      <w:snapToGrid w:val="0"/>
      <w:spacing w:before="50" w:after="50"/>
    </w:pPr>
    <w:rPr>
      <w:rFonts w:hAnsi="宋体" w:eastAsia="仿宋_GB2312"/>
      <w:b/>
      <w:bCs/>
      <w:sz w:val="24"/>
      <w:szCs w:val="20"/>
    </w:rPr>
  </w:style>
  <w:style w:type="paragraph" w:styleId="12">
    <w:name w:val="Body Text"/>
    <w:basedOn w:val="1"/>
    <w:qFormat/>
    <w:uiPriority w:val="0"/>
    <w:pPr>
      <w:spacing w:after="120"/>
    </w:pPr>
    <w:rPr>
      <w:sz w:val="28"/>
    </w:rPr>
  </w:style>
  <w:style w:type="paragraph" w:styleId="13">
    <w:name w:val="Body Text Indent"/>
    <w:basedOn w:val="1"/>
    <w:qFormat/>
    <w:uiPriority w:val="0"/>
    <w:pPr>
      <w:spacing w:line="200" w:lineRule="exact"/>
      <w:ind w:firstLine="301"/>
    </w:pPr>
    <w:rPr>
      <w:rFonts w:ascii="宋体" w:hAnsi="Courier New"/>
      <w:spacing w:val="-4"/>
      <w:sz w:val="18"/>
      <w:szCs w:val="20"/>
    </w:rPr>
  </w:style>
  <w:style w:type="paragraph" w:styleId="14">
    <w:name w:val="List Number 3"/>
    <w:basedOn w:val="1"/>
    <w:qFormat/>
    <w:uiPriority w:val="0"/>
    <w:pPr>
      <w:numPr>
        <w:ilvl w:val="0"/>
        <w:numId w:val="1"/>
      </w:numPr>
      <w:tabs>
        <w:tab w:val="left" w:pos="1200"/>
      </w:tabs>
    </w:pPr>
  </w:style>
  <w:style w:type="paragraph" w:styleId="15">
    <w:name w:val="List 2"/>
    <w:basedOn w:val="1"/>
    <w:qFormat/>
    <w:uiPriority w:val="0"/>
    <w:pPr>
      <w:ind w:left="100" w:leftChars="200" w:hanging="200" w:hangingChars="200"/>
    </w:pPr>
    <w:rPr>
      <w:sz w:val="28"/>
    </w:rPr>
  </w:style>
  <w:style w:type="paragraph" w:styleId="16">
    <w:name w:val="Plain Text"/>
    <w:basedOn w:val="1"/>
    <w:link w:val="58"/>
    <w:qFormat/>
    <w:uiPriority w:val="0"/>
    <w:rPr>
      <w:rFonts w:ascii="宋体" w:hAnsi="Courier New"/>
      <w:sz w:val="24"/>
    </w:rPr>
  </w:style>
  <w:style w:type="paragraph" w:styleId="17">
    <w:name w:val="Date"/>
    <w:basedOn w:val="1"/>
    <w:next w:val="1"/>
    <w:qFormat/>
    <w:uiPriority w:val="0"/>
    <w:pPr>
      <w:ind w:left="2500" w:leftChars="2500"/>
    </w:pPr>
    <w:rPr>
      <w:rFonts w:eastAsia="楷体_GB2312"/>
      <w:sz w:val="32"/>
      <w:szCs w:val="20"/>
    </w:rPr>
  </w:style>
  <w:style w:type="paragraph" w:styleId="18">
    <w:name w:val="Body Text Indent 2"/>
    <w:basedOn w:val="1"/>
    <w:qFormat/>
    <w:uiPriority w:val="0"/>
    <w:pPr>
      <w:snapToGrid w:val="0"/>
      <w:ind w:firstLine="542" w:firstLineChars="225"/>
    </w:pPr>
    <w:rPr>
      <w:rFonts w:ascii="仿宋_GB2312" w:hAnsi="宋体" w:cs="Arial"/>
      <w:b/>
      <w:bCs/>
      <w:color w:val="000000"/>
      <w:sz w:val="24"/>
    </w:rPr>
  </w:style>
  <w:style w:type="paragraph" w:styleId="19">
    <w:name w:val="Balloon Text"/>
    <w:basedOn w:val="1"/>
    <w:link w:val="44"/>
    <w:qFormat/>
    <w:uiPriority w:val="0"/>
    <w:rPr>
      <w:sz w:val="18"/>
      <w:szCs w:val="18"/>
    </w:rPr>
  </w:style>
  <w:style w:type="paragraph" w:styleId="20">
    <w:name w:val="footer"/>
    <w:basedOn w:val="1"/>
    <w:link w:val="45"/>
    <w:qFormat/>
    <w:uiPriority w:val="0"/>
    <w:pPr>
      <w:tabs>
        <w:tab w:val="center" w:pos="4153"/>
        <w:tab w:val="right" w:pos="8306"/>
      </w:tabs>
      <w:snapToGrid w:val="0"/>
      <w:jc w:val="left"/>
    </w:pPr>
    <w:rPr>
      <w:sz w:val="18"/>
      <w:szCs w:val="18"/>
    </w:rPr>
  </w:style>
  <w:style w:type="paragraph" w:styleId="21">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List"/>
    <w:basedOn w:val="1"/>
    <w:qFormat/>
    <w:uiPriority w:val="0"/>
    <w:pPr>
      <w:ind w:left="200" w:hanging="200" w:hangingChars="200"/>
    </w:pPr>
    <w:rPr>
      <w:sz w:val="28"/>
    </w:rPr>
  </w:style>
  <w:style w:type="paragraph" w:styleId="24">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5">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6">
    <w:name w:val="toc 2"/>
    <w:basedOn w:val="1"/>
    <w:next w:val="1"/>
    <w:qFormat/>
    <w:uiPriority w:val="0"/>
    <w:pPr>
      <w:ind w:left="420" w:leftChars="200"/>
    </w:pPr>
  </w:style>
  <w:style w:type="paragraph" w:styleId="2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index 1"/>
    <w:basedOn w:val="1"/>
    <w:next w:val="1"/>
    <w:qFormat/>
    <w:uiPriority w:val="0"/>
    <w:pPr>
      <w:tabs>
        <w:tab w:val="left" w:pos="712"/>
      </w:tabs>
      <w:jc w:val="center"/>
    </w:pPr>
    <w:rPr>
      <w:spacing w:val="-20"/>
      <w:szCs w:val="20"/>
    </w:rPr>
  </w:style>
  <w:style w:type="paragraph" w:styleId="30">
    <w:name w:val="Title"/>
    <w:basedOn w:val="1"/>
    <w:next w:val="1"/>
    <w:qFormat/>
    <w:uiPriority w:val="0"/>
    <w:pPr>
      <w:autoSpaceDE w:val="0"/>
      <w:autoSpaceDN w:val="0"/>
      <w:adjustRightInd w:val="0"/>
      <w:spacing w:before="240" w:after="60"/>
      <w:jc w:val="center"/>
      <w:textAlignment w:val="baseline"/>
      <w:outlineLvl w:val="0"/>
    </w:pPr>
    <w:rPr>
      <w:rFonts w:ascii="Cambria" w:hAnsi="Cambria"/>
      <w:b/>
      <w:bCs/>
      <w:kern w:val="0"/>
      <w:sz w:val="32"/>
      <w:szCs w:val="32"/>
    </w:rPr>
  </w:style>
  <w:style w:type="paragraph" w:styleId="31">
    <w:name w:val="annotation subject"/>
    <w:basedOn w:val="10"/>
    <w:next w:val="10"/>
    <w:semiHidden/>
    <w:qFormat/>
    <w:uiPriority w:val="0"/>
    <w:rPr>
      <w:b/>
      <w:bCs/>
    </w:rPr>
  </w:style>
  <w:style w:type="paragraph" w:styleId="32">
    <w:name w:val="Body Text First Indent 2"/>
    <w:basedOn w:val="13"/>
    <w:qFormat/>
    <w:uiPriority w:val="0"/>
    <w:pPr>
      <w:spacing w:line="240" w:lineRule="auto"/>
      <w:ind w:left="420" w:leftChars="200" w:firstLine="420" w:firstLineChars="200"/>
    </w:pPr>
    <w:rPr>
      <w:rFonts w:ascii="Times New Roman"/>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rPr>
  </w:style>
  <w:style w:type="character" w:styleId="37">
    <w:name w:val="page number"/>
    <w:basedOn w:val="35"/>
    <w:qFormat/>
    <w:uiPriority w:val="0"/>
    <w:rPr>
      <w:rFonts w:ascii="Verdana" w:hAnsi="Verdana" w:eastAsia="仿宋_GB2312"/>
      <w:kern w:val="0"/>
      <w:sz w:val="24"/>
      <w:szCs w:val="20"/>
      <w:lang w:eastAsia="en-US"/>
    </w:rPr>
  </w:style>
  <w:style w:type="character" w:styleId="38">
    <w:name w:val="Hyperlink"/>
    <w:basedOn w:val="35"/>
    <w:qFormat/>
    <w:uiPriority w:val="0"/>
    <w:rPr>
      <w:rFonts w:ascii="Verdana" w:hAnsi="Verdana" w:eastAsia="仿宋_GB2312"/>
      <w:color w:val="0000FF"/>
      <w:kern w:val="0"/>
      <w:sz w:val="24"/>
      <w:szCs w:val="20"/>
      <w:u w:val="single"/>
      <w:lang w:eastAsia="en-US"/>
    </w:rPr>
  </w:style>
  <w:style w:type="character" w:styleId="39">
    <w:name w:val="annotation reference"/>
    <w:basedOn w:val="35"/>
    <w:semiHidden/>
    <w:qFormat/>
    <w:uiPriority w:val="0"/>
    <w:rPr>
      <w:rFonts w:ascii="Verdana" w:hAnsi="Verdana" w:eastAsia="仿宋_GB2312"/>
      <w:kern w:val="0"/>
      <w:sz w:val="21"/>
      <w:szCs w:val="21"/>
      <w:lang w:eastAsia="en-US"/>
    </w:rPr>
  </w:style>
  <w:style w:type="paragraph" w:customStyle="1" w:styleId="40">
    <w:name w:val="Char Char3 Char Char"/>
    <w:basedOn w:val="1"/>
    <w:qFormat/>
    <w:uiPriority w:val="0"/>
  </w:style>
  <w:style w:type="paragraph" w:customStyle="1" w:styleId="41">
    <w:name w:val="Char Char3 Char Char1"/>
    <w:basedOn w:val="1"/>
    <w:qFormat/>
    <w:uiPriority w:val="0"/>
  </w:style>
  <w:style w:type="character" w:customStyle="1" w:styleId="42">
    <w:name w:val="页眉 Char"/>
    <w:link w:val="21"/>
    <w:qFormat/>
    <w:uiPriority w:val="0"/>
    <w:rPr>
      <w:rFonts w:eastAsia="宋体"/>
      <w:kern w:val="2"/>
      <w:sz w:val="18"/>
      <w:szCs w:val="18"/>
      <w:lang w:val="en-US" w:eastAsia="zh-CN" w:bidi="ar-SA"/>
    </w:rPr>
  </w:style>
  <w:style w:type="character" w:customStyle="1" w:styleId="43">
    <w:name w:val="页眉 Char Char"/>
    <w:basedOn w:val="35"/>
    <w:qFormat/>
    <w:uiPriority w:val="0"/>
    <w:rPr>
      <w:rFonts w:ascii="Verdana" w:hAnsi="Verdana" w:eastAsia="仿宋_GB2312"/>
      <w:kern w:val="2"/>
      <w:sz w:val="18"/>
      <w:szCs w:val="20"/>
      <w:lang w:eastAsia="en-US"/>
    </w:rPr>
  </w:style>
  <w:style w:type="character" w:customStyle="1" w:styleId="44">
    <w:name w:val="批注框文本 Char"/>
    <w:basedOn w:val="35"/>
    <w:link w:val="19"/>
    <w:qFormat/>
    <w:uiPriority w:val="0"/>
    <w:rPr>
      <w:rFonts w:ascii="Verdana" w:hAnsi="Verdana" w:eastAsia="宋体"/>
      <w:kern w:val="2"/>
      <w:sz w:val="18"/>
      <w:szCs w:val="18"/>
      <w:lang w:val="en-US" w:eastAsia="zh-CN" w:bidi="ar-SA"/>
    </w:rPr>
  </w:style>
  <w:style w:type="character" w:customStyle="1" w:styleId="45">
    <w:name w:val="页脚 Char"/>
    <w:link w:val="20"/>
    <w:qFormat/>
    <w:uiPriority w:val="0"/>
    <w:rPr>
      <w:rFonts w:eastAsia="宋体"/>
      <w:kern w:val="2"/>
      <w:sz w:val="18"/>
      <w:szCs w:val="18"/>
      <w:lang w:val="en-US" w:eastAsia="zh-CN" w:bidi="ar-SA"/>
    </w:rPr>
  </w:style>
  <w:style w:type="character" w:customStyle="1" w:styleId="46">
    <w:name w:val="标题 4 Char"/>
    <w:basedOn w:val="35"/>
    <w:link w:val="6"/>
    <w:qFormat/>
    <w:uiPriority w:val="0"/>
    <w:rPr>
      <w:rFonts w:ascii="Arial" w:hAnsi="Arial" w:eastAsia="黑体"/>
      <w:b/>
      <w:kern w:val="2"/>
      <w:sz w:val="24"/>
      <w:szCs w:val="24"/>
      <w:lang w:val="en-US" w:eastAsia="zh-CN" w:bidi="ar-SA"/>
    </w:rPr>
  </w:style>
  <w:style w:type="character" w:customStyle="1" w:styleId="47">
    <w:name w:val="wenzi1"/>
    <w:qFormat/>
    <w:uiPriority w:val="0"/>
    <w:rPr>
      <w:color w:val="000000"/>
      <w:sz w:val="18"/>
      <w:szCs w:val="18"/>
    </w:rPr>
  </w:style>
  <w:style w:type="character" w:customStyle="1" w:styleId="48">
    <w:name w:val="页脚 Char Char"/>
    <w:basedOn w:val="35"/>
    <w:qFormat/>
    <w:uiPriority w:val="0"/>
    <w:rPr>
      <w:rFonts w:ascii="Verdana" w:hAnsi="Verdana" w:eastAsia="黑体"/>
      <w:snapToGrid w:val="0"/>
      <w:kern w:val="0"/>
      <w:sz w:val="18"/>
      <w:szCs w:val="18"/>
      <w:lang w:eastAsia="en-US"/>
    </w:rPr>
  </w:style>
  <w:style w:type="character" w:customStyle="1" w:styleId="49">
    <w:name w:val="纯文本 Char Char"/>
    <w:basedOn w:val="35"/>
    <w:link w:val="50"/>
    <w:qFormat/>
    <w:uiPriority w:val="0"/>
    <w:rPr>
      <w:rFonts w:ascii="宋体" w:hAnsi="Courier New" w:eastAsia="仿宋_GB2312"/>
      <w:kern w:val="2"/>
      <w:sz w:val="24"/>
      <w:szCs w:val="24"/>
      <w:lang w:eastAsia="en-US"/>
    </w:rPr>
  </w:style>
  <w:style w:type="paragraph" w:customStyle="1" w:styleId="50">
    <w:name w:val="纯文本1"/>
    <w:basedOn w:val="1"/>
    <w:link w:val="49"/>
    <w:qFormat/>
    <w:uiPriority w:val="0"/>
    <w:rPr>
      <w:rFonts w:ascii="宋体" w:hAnsi="Courier New"/>
      <w:sz w:val="24"/>
    </w:rPr>
  </w:style>
  <w:style w:type="character" w:customStyle="1" w:styleId="51">
    <w:name w:val="apple-style-span"/>
    <w:basedOn w:val="35"/>
    <w:qFormat/>
    <w:uiPriority w:val="0"/>
    <w:rPr>
      <w:rFonts w:ascii="Verdana" w:hAnsi="Verdana" w:eastAsia="仿宋_GB2312"/>
      <w:kern w:val="0"/>
      <w:sz w:val="24"/>
      <w:szCs w:val="20"/>
      <w:lang w:eastAsia="en-US"/>
    </w:rPr>
  </w:style>
  <w:style w:type="character" w:customStyle="1" w:styleId="52">
    <w:name w:val="apple-converted-space"/>
    <w:basedOn w:val="35"/>
    <w:qFormat/>
    <w:uiPriority w:val="0"/>
    <w:rPr>
      <w:rFonts w:ascii="Verdana" w:hAnsi="Verdana" w:eastAsia="仿宋_GB2312"/>
      <w:kern w:val="0"/>
      <w:sz w:val="24"/>
      <w:szCs w:val="20"/>
      <w:lang w:eastAsia="en-US"/>
    </w:rPr>
  </w:style>
  <w:style w:type="character" w:customStyle="1" w:styleId="53">
    <w:name w:val="标题 1 Char"/>
    <w:link w:val="4"/>
    <w:qFormat/>
    <w:uiPriority w:val="0"/>
    <w:rPr>
      <w:rFonts w:eastAsia="宋体"/>
      <w:b/>
      <w:bCs/>
      <w:kern w:val="44"/>
      <w:sz w:val="44"/>
      <w:szCs w:val="44"/>
      <w:lang w:val="en-US" w:eastAsia="zh-CN" w:bidi="ar-SA"/>
    </w:rPr>
  </w:style>
  <w:style w:type="character" w:customStyle="1" w:styleId="54">
    <w:name w:val="Char Char Char"/>
    <w:link w:val="55"/>
    <w:qFormat/>
    <w:uiPriority w:val="0"/>
    <w:rPr>
      <w:rFonts w:ascii="宋体" w:hAnsi="Courier New" w:eastAsia="宋体"/>
      <w:kern w:val="2"/>
      <w:sz w:val="21"/>
      <w:lang w:val="en-US" w:eastAsia="zh-CN" w:bidi="ar-SA"/>
    </w:rPr>
  </w:style>
  <w:style w:type="paragraph" w:customStyle="1" w:styleId="55">
    <w:name w:val="Char"/>
    <w:basedOn w:val="1"/>
    <w:link w:val="54"/>
    <w:qFormat/>
    <w:uiPriority w:val="0"/>
    <w:pPr>
      <w:widowControl/>
      <w:spacing w:after="160" w:line="240" w:lineRule="exact"/>
      <w:jc w:val="left"/>
    </w:pPr>
    <w:rPr>
      <w:rFonts w:ascii="宋体" w:hAnsi="Courier New"/>
      <w:szCs w:val="20"/>
    </w:rPr>
  </w:style>
  <w:style w:type="character" w:customStyle="1" w:styleId="56">
    <w:name w:val="正文2 Char Char"/>
    <w:basedOn w:val="35"/>
    <w:link w:val="57"/>
    <w:qFormat/>
    <w:uiPriority w:val="0"/>
    <w:rPr>
      <w:rFonts w:ascii="Verdana" w:hAnsi="Verdana" w:eastAsia="仿宋_GB2312"/>
      <w:kern w:val="2"/>
      <w:sz w:val="24"/>
      <w:szCs w:val="20"/>
      <w:lang w:eastAsia="en-US" w:bidi="ar-SA"/>
    </w:rPr>
  </w:style>
  <w:style w:type="paragraph" w:customStyle="1" w:styleId="57">
    <w:name w:val="正文2"/>
    <w:basedOn w:val="1"/>
    <w:link w:val="56"/>
    <w:qFormat/>
    <w:uiPriority w:val="0"/>
    <w:pPr>
      <w:spacing w:before="156" w:line="360" w:lineRule="auto"/>
      <w:ind w:firstLine="510" w:firstLineChars="200"/>
    </w:pPr>
    <w:rPr>
      <w:sz w:val="24"/>
    </w:rPr>
  </w:style>
  <w:style w:type="character" w:customStyle="1" w:styleId="58">
    <w:name w:val="纯文本 Char"/>
    <w:basedOn w:val="35"/>
    <w:link w:val="16"/>
    <w:qFormat/>
    <w:uiPriority w:val="0"/>
    <w:rPr>
      <w:rFonts w:ascii="宋体" w:hAnsi="Courier New" w:eastAsia="宋体"/>
      <w:kern w:val="2"/>
      <w:sz w:val="21"/>
      <w:szCs w:val="20"/>
      <w:lang w:val="en-US" w:eastAsia="zh-CN" w:bidi="ar-SA"/>
    </w:rPr>
  </w:style>
  <w:style w:type="character" w:customStyle="1" w:styleId="59">
    <w:name w:val="页码1"/>
    <w:basedOn w:val="35"/>
    <w:qFormat/>
    <w:uiPriority w:val="0"/>
    <w:rPr>
      <w:rFonts w:ascii="Verdana" w:hAnsi="Verdana" w:eastAsia="仿宋_GB2312"/>
      <w:kern w:val="0"/>
      <w:sz w:val="24"/>
      <w:szCs w:val="20"/>
      <w:lang w:eastAsia="en-US"/>
    </w:rPr>
  </w:style>
  <w:style w:type="paragraph" w:customStyle="1" w:styleId="6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1">
    <w:name w:val="彩色列表1"/>
    <w:basedOn w:val="1"/>
    <w:qFormat/>
    <w:uiPriority w:val="0"/>
    <w:pPr>
      <w:ind w:firstLine="420" w:firstLineChars="200"/>
    </w:pPr>
    <w:rPr>
      <w:rFonts w:ascii="Calibri" w:hAnsi="Calibri"/>
      <w:szCs w:val="22"/>
    </w:rPr>
  </w:style>
  <w:style w:type="paragraph" w:customStyle="1" w:styleId="62">
    <w:name w:val="p0"/>
    <w:basedOn w:val="1"/>
    <w:qFormat/>
    <w:uiPriority w:val="0"/>
    <w:pPr>
      <w:widowControl/>
    </w:pPr>
    <w:rPr>
      <w:kern w:val="0"/>
      <w:szCs w:val="21"/>
    </w:rPr>
  </w:style>
  <w:style w:type="paragraph" w:customStyle="1" w:styleId="63">
    <w:name w:val="p15"/>
    <w:basedOn w:val="1"/>
    <w:qFormat/>
    <w:uiPriority w:val="0"/>
    <w:pPr>
      <w:widowControl/>
      <w:spacing w:before="156" w:after="156" w:line="400" w:lineRule="atLeast"/>
    </w:pPr>
    <w:rPr>
      <w:rFonts w:ascii="宋体" w:hAnsi="宋体" w:cs="宋体"/>
      <w:kern w:val="0"/>
      <w:sz w:val="24"/>
    </w:rPr>
  </w:style>
  <w:style w:type="paragraph" w:customStyle="1" w:styleId="64">
    <w:name w:val="Char Char1 Char"/>
    <w:basedOn w:val="1"/>
    <w:qFormat/>
    <w:uiPriority w:val="0"/>
    <w:pPr>
      <w:tabs>
        <w:tab w:val="left" w:pos="360"/>
      </w:tabs>
    </w:pPr>
    <w:rPr>
      <w:sz w:val="24"/>
    </w:rPr>
  </w:style>
  <w:style w:type="paragraph" w:customStyle="1" w:styleId="65">
    <w:name w:val="默认段落字体 Para Char Char Char Char Char Char Char Char Char1 Char Char Char Char"/>
    <w:basedOn w:val="1"/>
    <w:qFormat/>
    <w:uiPriority w:val="0"/>
    <w:rPr>
      <w:rFonts w:ascii="Tahoma" w:hAnsi="Tahoma"/>
      <w:sz w:val="24"/>
      <w:szCs w:val="20"/>
    </w:rPr>
  </w:style>
  <w:style w:type="paragraph" w:customStyle="1" w:styleId="66">
    <w:name w:val="Char Char Char Char Char Char"/>
    <w:basedOn w:val="1"/>
    <w:qFormat/>
    <w:uiPriority w:val="0"/>
    <w:pPr>
      <w:ind w:firstLine="200" w:firstLineChars="200"/>
    </w:pPr>
  </w:style>
  <w:style w:type="paragraph" w:customStyle="1" w:styleId="67">
    <w:name w:val="正文段"/>
    <w:basedOn w:val="1"/>
    <w:qFormat/>
    <w:uiPriority w:val="0"/>
    <w:pPr>
      <w:widowControl/>
      <w:snapToGrid w:val="0"/>
      <w:spacing w:afterLines="50"/>
      <w:ind w:firstLine="200" w:firstLineChars="200"/>
    </w:pPr>
    <w:rPr>
      <w:kern w:val="0"/>
      <w:sz w:val="24"/>
      <w:szCs w:val="20"/>
    </w:rPr>
  </w:style>
  <w:style w:type="paragraph" w:customStyle="1" w:styleId="68">
    <w:name w:val="Default"/>
    <w:qFormat/>
    <w:uiPriority w:val="0"/>
    <w:pPr>
      <w:widowControl w:val="0"/>
      <w:autoSpaceDE w:val="0"/>
      <w:autoSpaceDN w:val="0"/>
      <w:adjustRightInd w:val="0"/>
    </w:pPr>
    <w:rPr>
      <w:rFonts w:ascii="Wingdings" w:hAnsi="Wingdings" w:eastAsia="宋体" w:cs="Times New Roman"/>
      <w:color w:val="000000"/>
      <w:sz w:val="24"/>
      <w:lang w:val="en-US" w:eastAsia="zh-CN" w:bidi="ar-SA"/>
    </w:rPr>
  </w:style>
  <w:style w:type="paragraph" w:customStyle="1" w:styleId="69">
    <w:name w:val="1 Char Char Char Char"/>
    <w:basedOn w:val="1"/>
    <w:qFormat/>
    <w:uiPriority w:val="0"/>
    <w:rPr>
      <w:rFonts w:ascii="Tahoma" w:hAnsi="Tahoma"/>
      <w:sz w:val="24"/>
      <w:szCs w:val="20"/>
    </w:rPr>
  </w:style>
  <w:style w:type="paragraph" w:customStyle="1" w:styleId="70">
    <w:name w:val="Char Char Char Char"/>
    <w:basedOn w:val="1"/>
    <w:qFormat/>
    <w:uiPriority w:val="0"/>
    <w:pPr>
      <w:widowControl/>
      <w:spacing w:after="160" w:line="240" w:lineRule="exact"/>
      <w:jc w:val="left"/>
    </w:pPr>
  </w:style>
  <w:style w:type="paragraph" w:customStyle="1" w:styleId="7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默认段落字体 Para Char Char Char Char"/>
    <w:basedOn w:val="1"/>
    <w:qFormat/>
    <w:uiPriority w:val="0"/>
    <w:pPr>
      <w:spacing w:line="360" w:lineRule="auto"/>
      <w:ind w:firstLine="200" w:firstLineChars="200"/>
    </w:pPr>
  </w:style>
  <w:style w:type="paragraph" w:customStyle="1" w:styleId="73">
    <w:name w:val="p16"/>
    <w:basedOn w:val="1"/>
    <w:qFormat/>
    <w:uiPriority w:val="0"/>
    <w:pPr>
      <w:widowControl/>
      <w:spacing w:after="120"/>
    </w:pPr>
    <w:rPr>
      <w:kern w:val="0"/>
      <w:sz w:val="28"/>
      <w:szCs w:val="28"/>
    </w:rPr>
  </w:style>
  <w:style w:type="paragraph" w:customStyle="1" w:styleId="7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5">
    <w:name w:val="纯文本2"/>
    <w:basedOn w:val="1"/>
    <w:qFormat/>
    <w:uiPriority w:val="0"/>
    <w:pPr>
      <w:widowControl/>
      <w:adjustRightInd w:val="0"/>
      <w:spacing w:line="300" w:lineRule="exact"/>
      <w:ind w:firstLine="200" w:firstLineChars="200"/>
      <w:jc w:val="left"/>
      <w:textAlignment w:val="baseline"/>
    </w:pPr>
    <w:rPr>
      <w:rFonts w:ascii="宋体" w:hAnsi="Courier New" w:eastAsia="楷体_GB2312"/>
      <w:sz w:val="26"/>
      <w:szCs w:val="20"/>
    </w:rPr>
  </w:style>
  <w:style w:type="paragraph" w:customStyle="1" w:styleId="76">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77">
    <w:name w:val="列出段落1"/>
    <w:basedOn w:val="1"/>
    <w:qFormat/>
    <w:uiPriority w:val="34"/>
    <w:pPr>
      <w:ind w:firstLine="420" w:firstLineChars="200"/>
    </w:pPr>
    <w:rPr>
      <w:rFonts w:ascii="Calibri" w:hAnsi="Calibri"/>
      <w:szCs w:val="22"/>
    </w:rPr>
  </w:style>
  <w:style w:type="character" w:customStyle="1" w:styleId="78">
    <w:name w:val="font01"/>
    <w:basedOn w:val="35"/>
    <w:qFormat/>
    <w:uiPriority w:val="0"/>
    <w:rPr>
      <w:rFonts w:hint="eastAsia" w:ascii="宋体" w:hAnsi="宋体" w:eastAsia="宋体" w:cs="宋体"/>
      <w:color w:val="000000"/>
      <w:sz w:val="20"/>
      <w:szCs w:val="20"/>
      <w:u w:val="none"/>
    </w:rPr>
  </w:style>
  <w:style w:type="character" w:customStyle="1" w:styleId="79">
    <w:name w:val="font81"/>
    <w:basedOn w:val="35"/>
    <w:qFormat/>
    <w:uiPriority w:val="0"/>
    <w:rPr>
      <w:rFonts w:ascii="Calibri" w:hAnsi="Calibri" w:cs="Calibri"/>
      <w:color w:val="FF0000"/>
      <w:sz w:val="20"/>
      <w:szCs w:val="20"/>
      <w:u w:val="none"/>
    </w:rPr>
  </w:style>
  <w:style w:type="character" w:customStyle="1" w:styleId="80">
    <w:name w:val="font51"/>
    <w:basedOn w:val="35"/>
    <w:qFormat/>
    <w:uiPriority w:val="0"/>
    <w:rPr>
      <w:rFonts w:hint="eastAsia" w:ascii="宋体" w:hAnsi="宋体" w:eastAsia="宋体" w:cs="宋体"/>
      <w:color w:val="FF0000"/>
      <w:sz w:val="20"/>
      <w:szCs w:val="20"/>
      <w:u w:val="none"/>
    </w:rPr>
  </w:style>
  <w:style w:type="character" w:customStyle="1" w:styleId="81">
    <w:name w:val="font31"/>
    <w:basedOn w:val="35"/>
    <w:qFormat/>
    <w:uiPriority w:val="0"/>
    <w:rPr>
      <w:rFonts w:hint="eastAsia" w:ascii="宋体" w:hAnsi="宋体" w:eastAsia="宋体" w:cs="宋体"/>
      <w:color w:val="FF0000"/>
      <w:sz w:val="22"/>
      <w:szCs w:val="22"/>
      <w:u w:val="none"/>
    </w:rPr>
  </w:style>
  <w:style w:type="character" w:customStyle="1" w:styleId="82">
    <w:name w:val="font11"/>
    <w:basedOn w:val="35"/>
    <w:qFormat/>
    <w:uiPriority w:val="0"/>
    <w:rPr>
      <w:rFonts w:hint="eastAsia" w:ascii="宋体" w:hAnsi="宋体" w:eastAsia="宋体" w:cs="宋体"/>
      <w:color w:val="000000"/>
      <w:sz w:val="20"/>
      <w:szCs w:val="20"/>
      <w:u w:val="none"/>
    </w:rPr>
  </w:style>
  <w:style w:type="character" w:customStyle="1" w:styleId="83">
    <w:name w:val="large1"/>
    <w:qFormat/>
    <w:uiPriority w:val="0"/>
    <w:rPr>
      <w:rFonts w:hint="eastAsia" w:ascii="宋体" w:hAnsi="宋体" w:eastAsia="宋体"/>
      <w:sz w:val="21"/>
      <w:szCs w:val="21"/>
    </w:rPr>
  </w:style>
  <w:style w:type="paragraph" w:styleId="84">
    <w:name w:val="List Paragraph"/>
    <w:basedOn w:val="1"/>
    <w:qFormat/>
    <w:uiPriority w:val="34"/>
    <w:pPr>
      <w:ind w:firstLine="420" w:firstLineChars="200"/>
    </w:pPr>
  </w:style>
  <w:style w:type="paragraph" w:customStyle="1" w:styleId="85">
    <w:name w:val="无间隔1"/>
    <w:qFormat/>
    <w:uiPriority w:val="1"/>
    <w:pPr>
      <w:widowControl w:val="0"/>
      <w:adjustRightInd w:val="0"/>
      <w:jc w:val="both"/>
      <w:textAlignment w:val="baseline"/>
    </w:pPr>
    <w:rPr>
      <w:rFonts w:ascii="Times New Roman" w:hAnsi="Times New Roman" w:eastAsia="宋体" w:cs="Times New Roman"/>
      <w:sz w:val="21"/>
      <w:szCs w:val="22"/>
      <w:lang w:val="en-US" w:eastAsia="zh-CN" w:bidi="ar-SA"/>
    </w:rPr>
  </w:style>
  <w:style w:type="character" w:customStyle="1" w:styleId="86">
    <w:name w:val="sub"/>
    <w:basedOn w:val="35"/>
    <w:qFormat/>
    <w:uiPriority w:val="0"/>
  </w:style>
  <w:style w:type="character" w:customStyle="1" w:styleId="87">
    <w:name w:val="bookmark-item"/>
    <w:basedOn w:val="35"/>
    <w:qFormat/>
    <w:uiPriority w:val="0"/>
  </w:style>
  <w:style w:type="paragraph" w:customStyle="1" w:styleId="88">
    <w:name w:val="文章正文"/>
    <w:basedOn w:val="1"/>
    <w:qFormat/>
    <w:uiPriority w:val="0"/>
    <w:pPr>
      <w:spacing w:line="360" w:lineRule="auto"/>
      <w:ind w:firstLine="560" w:firstLineChars="200"/>
    </w:pPr>
    <w:rPr>
      <w:rFonts w:ascii="Calibri" w:hAnsi="Calibri"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103"/>
    <customShpInfo spid="_x0000_s4102"/>
    <customShpInfo spid="_x0000_s4101"/>
    <customShpInfo spid="_x0000_s4100"/>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 (China) Limited</Company>
  <Pages>69</Pages>
  <Words>8026</Words>
  <Characters>45752</Characters>
  <Lines>381</Lines>
  <Paragraphs>107</Paragraphs>
  <TotalTime>67</TotalTime>
  <ScaleCrop>false</ScaleCrop>
  <LinksUpToDate>false</LinksUpToDate>
  <CharactersWithSpaces>53671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2020-10-21T02:25:00Z</dcterms:created>
  <dc:creator>DELL</dc:creator>
  <cp:lastModifiedBy>闽虫</cp:lastModifiedBy>
  <cp:lastPrinted>2020-10-19T04:16:00Z</cp:lastPrinted>
  <dcterms:modified xsi:type="dcterms:W3CDTF">2020-10-21T03:54:59Z</dcterms:modified>
  <dc:title>平湖市人民法院2014-2015年度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