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A4927">
      <w:pPr>
        <w:adjustRightInd/>
        <w:spacing w:line="360" w:lineRule="auto"/>
        <w:jc w:val="center"/>
        <w:rPr>
          <w:rFonts w:ascii="宋体" w:hAnsi="宋体" w:cs="宋体"/>
          <w:sz w:val="48"/>
          <w:szCs w:val="48"/>
        </w:rPr>
      </w:pPr>
    </w:p>
    <w:p w14:paraId="66A7AF6B">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嘉兴南湖高新区实验学校心理健康中心</w:t>
      </w:r>
    </w:p>
    <w:p w14:paraId="1444FC79">
      <w:pPr>
        <w:adjustRightInd/>
        <w:spacing w:line="360" w:lineRule="auto"/>
        <w:jc w:val="center"/>
        <w:rPr>
          <w:rFonts w:ascii="宋体" w:hAnsi="宋体" w:cs="宋体"/>
          <w:sz w:val="48"/>
          <w:szCs w:val="48"/>
        </w:rPr>
      </w:pPr>
      <w:r>
        <w:rPr>
          <w:rFonts w:hint="eastAsia" w:ascii="宋体" w:hAnsi="宋体" w:cs="宋体"/>
          <w:sz w:val="48"/>
          <w:szCs w:val="48"/>
          <w:lang w:eastAsia="zh-CN"/>
        </w:rPr>
        <w:t>采购项目</w:t>
      </w:r>
    </w:p>
    <w:p w14:paraId="33BC67C7">
      <w:pPr>
        <w:spacing w:line="360" w:lineRule="auto"/>
        <w:jc w:val="center"/>
        <w:rPr>
          <w:rFonts w:hint="eastAsia" w:ascii="宋体" w:hAnsi="宋体"/>
          <w:b/>
          <w:sz w:val="56"/>
          <w:szCs w:val="44"/>
        </w:rPr>
      </w:pPr>
    </w:p>
    <w:p w14:paraId="23EF05BD">
      <w:pPr>
        <w:spacing w:line="360" w:lineRule="auto"/>
        <w:jc w:val="center"/>
        <w:rPr>
          <w:rFonts w:hint="default" w:ascii="宋体" w:hAnsi="宋体" w:eastAsia="宋体"/>
          <w:b/>
          <w:sz w:val="56"/>
          <w:szCs w:val="44"/>
          <w:lang w:val="en-US" w:eastAsia="zh-CN"/>
        </w:rPr>
      </w:pPr>
      <w:r>
        <w:rPr>
          <w:rFonts w:hint="eastAsia" w:ascii="宋体" w:hAnsi="宋体"/>
          <w:b/>
          <w:sz w:val="56"/>
          <w:szCs w:val="44"/>
        </w:rPr>
        <w:t>竞</w:t>
      </w:r>
    </w:p>
    <w:p w14:paraId="1B4521C6">
      <w:pPr>
        <w:spacing w:line="360" w:lineRule="auto"/>
        <w:jc w:val="center"/>
        <w:rPr>
          <w:rFonts w:ascii="宋体" w:hAnsi="宋体"/>
          <w:b/>
          <w:sz w:val="56"/>
          <w:szCs w:val="44"/>
        </w:rPr>
      </w:pPr>
      <w:r>
        <w:rPr>
          <w:rFonts w:hint="eastAsia" w:ascii="宋体" w:hAnsi="宋体"/>
          <w:b/>
          <w:sz w:val="56"/>
          <w:szCs w:val="44"/>
        </w:rPr>
        <w:t>争</w:t>
      </w:r>
    </w:p>
    <w:p w14:paraId="7B6146EA">
      <w:pPr>
        <w:spacing w:line="360" w:lineRule="auto"/>
        <w:jc w:val="center"/>
        <w:rPr>
          <w:rFonts w:ascii="宋体" w:hAnsi="宋体"/>
          <w:b/>
          <w:sz w:val="56"/>
          <w:szCs w:val="44"/>
        </w:rPr>
      </w:pPr>
      <w:r>
        <w:rPr>
          <w:rFonts w:hint="eastAsia" w:ascii="宋体" w:hAnsi="宋体"/>
          <w:b/>
          <w:sz w:val="56"/>
          <w:szCs w:val="44"/>
        </w:rPr>
        <w:t>性</w:t>
      </w:r>
    </w:p>
    <w:p w14:paraId="7E2CA303">
      <w:pPr>
        <w:spacing w:line="360" w:lineRule="auto"/>
        <w:jc w:val="center"/>
        <w:rPr>
          <w:rFonts w:ascii="宋体" w:hAnsi="宋体"/>
          <w:b/>
          <w:sz w:val="56"/>
          <w:szCs w:val="44"/>
        </w:rPr>
      </w:pPr>
      <w:r>
        <w:rPr>
          <w:rFonts w:hint="eastAsia" w:ascii="宋体" w:hAnsi="宋体"/>
          <w:b/>
          <w:sz w:val="56"/>
          <w:szCs w:val="44"/>
        </w:rPr>
        <w:t>磋</w:t>
      </w:r>
    </w:p>
    <w:p w14:paraId="1858046A">
      <w:pPr>
        <w:spacing w:line="360" w:lineRule="auto"/>
        <w:jc w:val="center"/>
        <w:rPr>
          <w:rFonts w:ascii="宋体" w:hAnsi="宋体"/>
          <w:b/>
          <w:sz w:val="56"/>
          <w:szCs w:val="44"/>
        </w:rPr>
      </w:pPr>
      <w:r>
        <w:rPr>
          <w:rFonts w:hint="eastAsia" w:ascii="宋体" w:hAnsi="宋体"/>
          <w:b/>
          <w:sz w:val="56"/>
          <w:szCs w:val="44"/>
        </w:rPr>
        <w:t>商</w:t>
      </w:r>
    </w:p>
    <w:p w14:paraId="6D455DA8">
      <w:pPr>
        <w:spacing w:line="360" w:lineRule="auto"/>
        <w:jc w:val="center"/>
        <w:rPr>
          <w:rFonts w:ascii="宋体" w:hAnsi="宋体"/>
          <w:b/>
          <w:sz w:val="56"/>
          <w:szCs w:val="44"/>
        </w:rPr>
      </w:pPr>
      <w:r>
        <w:rPr>
          <w:rFonts w:hint="eastAsia" w:ascii="宋体" w:hAnsi="宋体"/>
          <w:b/>
          <w:sz w:val="56"/>
          <w:szCs w:val="44"/>
        </w:rPr>
        <w:t>文</w:t>
      </w:r>
    </w:p>
    <w:p w14:paraId="53DEF06D">
      <w:pPr>
        <w:spacing w:line="360" w:lineRule="auto"/>
        <w:jc w:val="center"/>
        <w:rPr>
          <w:rFonts w:ascii="宋体" w:hAnsi="宋体"/>
          <w:b/>
          <w:sz w:val="56"/>
          <w:szCs w:val="44"/>
        </w:rPr>
      </w:pPr>
      <w:r>
        <w:rPr>
          <w:rFonts w:hint="eastAsia" w:ascii="宋体" w:hAnsi="宋体"/>
          <w:b/>
          <w:sz w:val="56"/>
          <w:szCs w:val="44"/>
        </w:rPr>
        <w:t>件</w:t>
      </w:r>
    </w:p>
    <w:p w14:paraId="72B52E25">
      <w:pPr>
        <w:pStyle w:val="87"/>
      </w:pPr>
    </w:p>
    <w:p w14:paraId="6684C95B">
      <w:pPr>
        <w:snapToGrid w:val="0"/>
        <w:spacing w:line="360" w:lineRule="auto"/>
        <w:ind w:firstLine="600" w:firstLineChars="200"/>
        <w:jc w:val="both"/>
        <w:rPr>
          <w:rFonts w:hint="eastAsia" w:ascii="宋体" w:hAnsi="宋体" w:eastAsia="宋体" w:cs="宋体"/>
          <w:color w:val="auto"/>
          <w:sz w:val="30"/>
          <w:szCs w:val="30"/>
          <w:lang w:val="en-US" w:eastAsia="zh-CN"/>
        </w:rPr>
      </w:pPr>
      <w:r>
        <w:rPr>
          <w:rFonts w:hint="eastAsia" w:ascii="宋体" w:hAnsi="宋体" w:cs="宋体"/>
          <w:sz w:val="30"/>
          <w:szCs w:val="30"/>
          <w:lang w:val="en-US" w:eastAsia="zh-CN"/>
        </w:rPr>
        <w:t>项目</w:t>
      </w:r>
      <w:r>
        <w:rPr>
          <w:rFonts w:hint="eastAsia" w:ascii="宋体" w:hAnsi="宋体" w:cs="宋体"/>
          <w:sz w:val="30"/>
          <w:szCs w:val="30"/>
        </w:rPr>
        <w:t>编号:</w:t>
      </w:r>
      <w:r>
        <w:rPr>
          <w:rFonts w:hint="eastAsia" w:ascii="宋体" w:hAnsi="宋体" w:cs="宋体"/>
          <w:color w:val="auto"/>
          <w:sz w:val="30"/>
          <w:szCs w:val="30"/>
          <w:lang w:eastAsia="zh-CN"/>
        </w:rPr>
        <w:t>ZJFLCX-2025-36</w:t>
      </w:r>
    </w:p>
    <w:p w14:paraId="608DC8FA">
      <w:pPr>
        <w:snapToGrid w:val="0"/>
        <w:spacing w:line="360" w:lineRule="auto"/>
        <w:ind w:firstLine="640" w:firstLineChars="200"/>
        <w:rPr>
          <w:rFonts w:hint="eastAsia" w:ascii="宋体" w:hAnsi="宋体" w:cs="宋体"/>
          <w:bCs/>
          <w:sz w:val="32"/>
          <w:szCs w:val="32"/>
          <w:lang w:eastAsia="zh-CN"/>
        </w:rPr>
      </w:pPr>
      <w:r>
        <w:rPr>
          <w:rFonts w:hint="eastAsia" w:ascii="宋体" w:hAnsi="宋体" w:cs="宋体"/>
          <w:bCs/>
          <w:sz w:val="32"/>
          <w:szCs w:val="32"/>
        </w:rPr>
        <w:t>采购人:</w:t>
      </w:r>
      <w:r>
        <w:rPr>
          <w:rFonts w:hint="eastAsia" w:ascii="宋体" w:hAnsi="宋体" w:cs="宋体"/>
          <w:bCs/>
          <w:sz w:val="32"/>
          <w:szCs w:val="32"/>
          <w:lang w:eastAsia="zh-CN"/>
        </w:rPr>
        <w:t>嘉兴南湖高新区实验学校</w:t>
      </w:r>
    </w:p>
    <w:p w14:paraId="6A4E352B">
      <w:pPr>
        <w:snapToGrid w:val="0"/>
        <w:spacing w:line="360" w:lineRule="auto"/>
        <w:ind w:firstLine="640" w:firstLineChars="200"/>
        <w:rPr>
          <w:rFonts w:hint="eastAsia" w:ascii="宋体" w:hAnsi="宋体" w:eastAsia="宋体" w:cs="宋体"/>
          <w:bCs/>
          <w:sz w:val="32"/>
          <w:szCs w:val="32"/>
          <w:lang w:eastAsia="zh-CN"/>
        </w:rPr>
      </w:pPr>
      <w:r>
        <w:rPr>
          <w:rFonts w:hint="eastAsia" w:ascii="宋体" w:hAnsi="宋体" w:cs="宋体"/>
          <w:bCs/>
          <w:sz w:val="32"/>
          <w:szCs w:val="32"/>
        </w:rPr>
        <w:t>采购代理机构：</w:t>
      </w:r>
      <w:r>
        <w:rPr>
          <w:rFonts w:hint="eastAsia" w:ascii="宋体" w:hAnsi="宋体" w:cs="宋体"/>
          <w:bCs/>
          <w:sz w:val="32"/>
          <w:szCs w:val="32"/>
          <w:lang w:eastAsia="zh-CN"/>
        </w:rPr>
        <w:t>浙江富力诚欣工程顾问有限公司</w:t>
      </w:r>
    </w:p>
    <w:p w14:paraId="081BE30F">
      <w:pPr>
        <w:snapToGrid w:val="0"/>
        <w:spacing w:line="360" w:lineRule="auto"/>
        <w:jc w:val="center"/>
        <w:rPr>
          <w:rFonts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 xml:space="preserve">月 </w:t>
      </w:r>
    </w:p>
    <w:p w14:paraId="0395AE08">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475B130F">
      <w:pPr>
        <w:spacing w:line="360" w:lineRule="auto"/>
        <w:jc w:val="center"/>
        <w:rPr>
          <w:rFonts w:ascii="宋体" w:hAnsi="宋体" w:cs="宋体"/>
          <w:sz w:val="24"/>
        </w:rPr>
      </w:pPr>
    </w:p>
    <w:p w14:paraId="1FD05A07">
      <w:pPr>
        <w:spacing w:line="360" w:lineRule="auto"/>
        <w:jc w:val="center"/>
        <w:rPr>
          <w:rFonts w:ascii="宋体" w:hAnsi="宋体" w:cs="宋体"/>
          <w:b/>
          <w:sz w:val="48"/>
          <w:szCs w:val="48"/>
        </w:rPr>
      </w:pPr>
      <w:r>
        <w:rPr>
          <w:rFonts w:hint="eastAsia" w:ascii="宋体" w:hAnsi="宋体" w:cs="宋体"/>
          <w:b/>
          <w:sz w:val="48"/>
          <w:szCs w:val="48"/>
        </w:rPr>
        <w:t>目  录</w:t>
      </w:r>
    </w:p>
    <w:p w14:paraId="141DB722">
      <w:pPr>
        <w:spacing w:line="360" w:lineRule="auto"/>
        <w:rPr>
          <w:rFonts w:ascii="宋体" w:hAnsi="宋体" w:cs="宋体"/>
          <w:sz w:val="32"/>
          <w:szCs w:val="32"/>
        </w:rPr>
      </w:pPr>
    </w:p>
    <w:p w14:paraId="783CCE82">
      <w:pPr>
        <w:spacing w:line="360" w:lineRule="auto"/>
        <w:rPr>
          <w:rFonts w:ascii="宋体" w:hAnsi="宋体" w:cs="宋体"/>
          <w:sz w:val="32"/>
          <w:szCs w:val="32"/>
        </w:rPr>
      </w:pPr>
    </w:p>
    <w:p w14:paraId="674C00E9">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79EC3C55">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0E304D66">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0F85E095">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265E7E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5738EA0">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4C8C147">
      <w:pPr>
        <w:spacing w:line="360" w:lineRule="auto"/>
        <w:ind w:firstLine="549" w:firstLineChars="229"/>
        <w:rPr>
          <w:rFonts w:ascii="宋体" w:hAnsi="宋体" w:cs="宋体"/>
          <w:sz w:val="24"/>
        </w:rPr>
      </w:pPr>
      <w:bookmarkStart w:id="1" w:name="_Hlt91233176"/>
      <w:bookmarkEnd w:id="1"/>
      <w:bookmarkStart w:id="2" w:name="_Toc91899869"/>
    </w:p>
    <w:p w14:paraId="425F3E09">
      <w:pPr>
        <w:spacing w:line="360" w:lineRule="auto"/>
        <w:ind w:firstLine="549" w:firstLineChars="229"/>
        <w:rPr>
          <w:rFonts w:ascii="宋体" w:hAnsi="宋体" w:cs="宋体"/>
          <w:sz w:val="24"/>
        </w:rPr>
      </w:pPr>
    </w:p>
    <w:p w14:paraId="2DBC7446">
      <w:pPr>
        <w:spacing w:line="360" w:lineRule="auto"/>
        <w:ind w:firstLine="549" w:firstLineChars="229"/>
        <w:rPr>
          <w:rFonts w:ascii="宋体" w:hAnsi="宋体" w:cs="宋体"/>
          <w:sz w:val="24"/>
        </w:rPr>
      </w:pPr>
    </w:p>
    <w:p w14:paraId="42A31DB9">
      <w:pPr>
        <w:spacing w:line="360" w:lineRule="auto"/>
        <w:ind w:firstLine="549" w:firstLineChars="229"/>
        <w:rPr>
          <w:rFonts w:ascii="宋体" w:hAnsi="宋体" w:cs="宋体"/>
          <w:sz w:val="24"/>
        </w:rPr>
      </w:pPr>
    </w:p>
    <w:p w14:paraId="007EB5BB">
      <w:pPr>
        <w:spacing w:line="360" w:lineRule="auto"/>
        <w:ind w:firstLine="549" w:firstLineChars="229"/>
        <w:rPr>
          <w:rFonts w:ascii="宋体" w:hAnsi="宋体" w:cs="宋体"/>
          <w:sz w:val="24"/>
        </w:rPr>
      </w:pPr>
    </w:p>
    <w:p w14:paraId="51A9EC81">
      <w:pPr>
        <w:spacing w:line="360" w:lineRule="auto"/>
        <w:ind w:firstLine="549" w:firstLineChars="229"/>
        <w:rPr>
          <w:rFonts w:ascii="宋体" w:hAnsi="宋体" w:cs="宋体"/>
          <w:sz w:val="24"/>
        </w:rPr>
      </w:pPr>
    </w:p>
    <w:p w14:paraId="606198C1">
      <w:pPr>
        <w:spacing w:line="360" w:lineRule="auto"/>
        <w:ind w:firstLine="549" w:firstLineChars="229"/>
        <w:rPr>
          <w:rFonts w:ascii="宋体" w:hAnsi="宋体" w:cs="宋体"/>
          <w:sz w:val="24"/>
        </w:rPr>
      </w:pPr>
    </w:p>
    <w:p w14:paraId="1AC56EFB">
      <w:pPr>
        <w:spacing w:line="360" w:lineRule="auto"/>
        <w:ind w:firstLine="549" w:firstLineChars="229"/>
        <w:rPr>
          <w:rFonts w:ascii="宋体" w:hAnsi="宋体" w:cs="宋体"/>
          <w:sz w:val="24"/>
        </w:rPr>
      </w:pPr>
    </w:p>
    <w:p w14:paraId="05CB2EFD">
      <w:pPr>
        <w:spacing w:line="360" w:lineRule="auto"/>
        <w:ind w:firstLine="549" w:firstLineChars="229"/>
        <w:rPr>
          <w:rFonts w:ascii="宋体" w:hAnsi="宋体" w:cs="宋体"/>
          <w:sz w:val="24"/>
        </w:rPr>
      </w:pPr>
    </w:p>
    <w:p w14:paraId="7A7881D8">
      <w:pPr>
        <w:spacing w:line="360" w:lineRule="auto"/>
        <w:ind w:firstLine="549" w:firstLineChars="229"/>
        <w:rPr>
          <w:rFonts w:ascii="宋体" w:hAnsi="宋体" w:cs="宋体"/>
          <w:sz w:val="24"/>
        </w:rPr>
      </w:pPr>
    </w:p>
    <w:p w14:paraId="665CF7F2">
      <w:pPr>
        <w:spacing w:line="360" w:lineRule="auto"/>
        <w:ind w:firstLine="549" w:firstLineChars="229"/>
        <w:rPr>
          <w:rFonts w:ascii="宋体" w:hAnsi="宋体" w:cs="宋体"/>
          <w:sz w:val="24"/>
        </w:rPr>
      </w:pPr>
    </w:p>
    <w:p w14:paraId="56F5383B">
      <w:pPr>
        <w:spacing w:line="360" w:lineRule="auto"/>
        <w:ind w:firstLine="549" w:firstLineChars="229"/>
        <w:rPr>
          <w:rFonts w:ascii="宋体" w:hAnsi="宋体" w:cs="宋体"/>
          <w:sz w:val="24"/>
        </w:rPr>
      </w:pPr>
    </w:p>
    <w:p w14:paraId="59478E9D">
      <w:pPr>
        <w:spacing w:line="360" w:lineRule="auto"/>
        <w:ind w:firstLine="549" w:firstLineChars="229"/>
        <w:rPr>
          <w:rFonts w:ascii="宋体" w:hAnsi="宋体" w:cs="宋体"/>
          <w:sz w:val="24"/>
        </w:rPr>
      </w:pPr>
    </w:p>
    <w:p w14:paraId="31A3730B">
      <w:pPr>
        <w:spacing w:line="360" w:lineRule="auto"/>
        <w:rPr>
          <w:rFonts w:ascii="宋体" w:hAnsi="宋体" w:cs="宋体"/>
          <w:sz w:val="24"/>
        </w:rPr>
      </w:pPr>
    </w:p>
    <w:p w14:paraId="09F2E0D3">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630056D">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CFA451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lang w:eastAsia="zh-CN"/>
        </w:rPr>
        <w:t xml:space="preserve">嘉兴南湖高新区实验学校心理健康中心采购项目 </w:t>
      </w:r>
      <w:r>
        <w:rPr>
          <w:rFonts w:hint="eastAsia" w:asciiTheme="minorEastAsia" w:hAnsiTheme="minorEastAsia" w:eastAsiaTheme="minorEastAsia"/>
          <w:color w:val="auto"/>
          <w:sz w:val="24"/>
        </w:rPr>
        <w:t>的潜在投标人应在政采云平台（</w:t>
      </w:r>
      <w:r>
        <w:rPr>
          <w:color w:val="auto"/>
        </w:rPr>
        <w:fldChar w:fldCharType="begin"/>
      </w:r>
      <w:r>
        <w:rPr>
          <w:color w:val="auto"/>
        </w:rPr>
        <w:instrText xml:space="preserve"> HYPERLINK "https://www.zcygov.cn/）获取（下载）招标文件，并于2023%20年%20月%20日%20点%20分00秒" </w:instrText>
      </w:r>
      <w:r>
        <w:rPr>
          <w:color w:val="auto"/>
        </w:rPr>
        <w:fldChar w:fldCharType="separate"/>
      </w:r>
      <w:r>
        <w:rPr>
          <w:rStyle w:val="79"/>
          <w:rFonts w:cs="Times New Roman" w:asciiTheme="minorEastAsia" w:hAnsiTheme="minorEastAsia" w:eastAsiaTheme="minorEastAsia"/>
          <w:snapToGrid/>
          <w:color w:val="auto"/>
          <w:kern w:val="2"/>
          <w:sz w:val="24"/>
          <w:szCs w:val="24"/>
        </w:rPr>
        <w:t>https://www.zcygov.cn/）获取（下载）招标文件，并于</w:t>
      </w:r>
      <w:r>
        <w:rPr>
          <w:rStyle w:val="79"/>
          <w:rFonts w:hint="eastAsia" w:cs="Times New Roman" w:asciiTheme="minorEastAsia" w:hAnsiTheme="minorEastAsia" w:eastAsiaTheme="minorEastAsia"/>
          <w:snapToGrid/>
          <w:color w:val="auto"/>
          <w:kern w:val="2"/>
          <w:sz w:val="24"/>
          <w:szCs w:val="24"/>
        </w:rPr>
        <w:t>202</w:t>
      </w:r>
      <w:r>
        <w:rPr>
          <w:rStyle w:val="79"/>
          <w:rFonts w:hint="eastAsia" w:cs="Times New Roman" w:asciiTheme="minorEastAsia" w:hAnsiTheme="minorEastAsia" w:eastAsiaTheme="minorEastAsia"/>
          <w:snapToGrid/>
          <w:color w:val="auto"/>
          <w:kern w:val="2"/>
          <w:sz w:val="24"/>
          <w:szCs w:val="24"/>
          <w:lang w:val="en-US" w:eastAsia="zh-CN"/>
        </w:rPr>
        <w:t>5</w:t>
      </w:r>
      <w:r>
        <w:rPr>
          <w:rStyle w:val="79"/>
          <w:rFonts w:cs="Times New Roman" w:asciiTheme="minorEastAsia" w:hAnsiTheme="minorEastAsia" w:eastAsiaTheme="minorEastAsia"/>
          <w:snapToGrid/>
          <w:color w:val="auto"/>
          <w:kern w:val="2"/>
          <w:sz w:val="24"/>
          <w:szCs w:val="24"/>
        </w:rPr>
        <w:t>年</w:t>
      </w:r>
      <w:r>
        <w:rPr>
          <w:rStyle w:val="79"/>
          <w:rFonts w:hint="eastAsia" w:cs="Times New Roman" w:asciiTheme="minorEastAsia" w:hAnsiTheme="minorEastAsia" w:eastAsiaTheme="minorEastAsia"/>
          <w:snapToGrid/>
          <w:color w:val="auto"/>
          <w:kern w:val="2"/>
          <w:sz w:val="24"/>
          <w:szCs w:val="24"/>
          <w:lang w:val="en-US" w:eastAsia="zh-CN"/>
        </w:rPr>
        <w:t>7</w:t>
      </w:r>
      <w:r>
        <w:rPr>
          <w:rStyle w:val="79"/>
          <w:rFonts w:hint="eastAsia" w:cs="Times New Roman" w:asciiTheme="minorEastAsia" w:hAnsiTheme="minorEastAsia" w:eastAsiaTheme="minorEastAsia"/>
          <w:snapToGrid/>
          <w:color w:val="auto"/>
          <w:kern w:val="2"/>
          <w:sz w:val="24"/>
          <w:szCs w:val="24"/>
        </w:rPr>
        <w:t>月</w:t>
      </w:r>
      <w:r>
        <w:rPr>
          <w:rStyle w:val="79"/>
          <w:rFonts w:hint="eastAsia" w:cs="Times New Roman" w:asciiTheme="minorEastAsia" w:hAnsiTheme="minorEastAsia" w:eastAsiaTheme="minorEastAsia"/>
          <w:snapToGrid/>
          <w:color w:val="auto"/>
          <w:kern w:val="2"/>
          <w:sz w:val="24"/>
          <w:szCs w:val="24"/>
          <w:lang w:val="en-US" w:eastAsia="zh-CN"/>
        </w:rPr>
        <w:t>22</w:t>
      </w:r>
      <w:r>
        <w:rPr>
          <w:rStyle w:val="79"/>
          <w:rFonts w:hint="eastAsia" w:cs="Times New Roman" w:asciiTheme="minorEastAsia" w:hAnsiTheme="minorEastAsia" w:eastAsiaTheme="minorEastAsia"/>
          <w:snapToGrid/>
          <w:color w:val="auto"/>
          <w:kern w:val="2"/>
          <w:sz w:val="24"/>
          <w:szCs w:val="24"/>
        </w:rPr>
        <w:t>日</w:t>
      </w:r>
      <w:r>
        <w:rPr>
          <w:rStyle w:val="79"/>
          <w:rFonts w:hint="eastAsia" w:cs="Times New Roman" w:asciiTheme="minorEastAsia" w:hAnsiTheme="minorEastAsia" w:eastAsiaTheme="minorEastAsia"/>
          <w:snapToGrid/>
          <w:color w:val="auto"/>
          <w:kern w:val="2"/>
          <w:sz w:val="24"/>
          <w:szCs w:val="24"/>
          <w:lang w:val="en-US" w:eastAsia="zh-CN"/>
        </w:rPr>
        <w:t>14</w:t>
      </w:r>
      <w:r>
        <w:rPr>
          <w:rStyle w:val="79"/>
          <w:rFonts w:hint="eastAsia" w:cs="Times New Roman" w:asciiTheme="minorEastAsia" w:hAnsiTheme="minorEastAsia" w:eastAsiaTheme="minorEastAsia"/>
          <w:snapToGrid/>
          <w:color w:val="auto"/>
          <w:kern w:val="2"/>
          <w:sz w:val="24"/>
          <w:szCs w:val="24"/>
        </w:rPr>
        <w:t>点</w:t>
      </w:r>
      <w:r>
        <w:rPr>
          <w:rStyle w:val="79"/>
          <w:rFonts w:hint="eastAsia" w:cs="Times New Roman" w:asciiTheme="minorEastAsia" w:hAnsiTheme="minorEastAsia" w:eastAsiaTheme="minorEastAsia"/>
          <w:snapToGrid/>
          <w:color w:val="auto"/>
          <w:kern w:val="2"/>
          <w:sz w:val="24"/>
          <w:szCs w:val="24"/>
          <w:lang w:val="en-US" w:eastAsia="zh-CN"/>
        </w:rPr>
        <w:t>00</w:t>
      </w:r>
      <w:r>
        <w:rPr>
          <w:rStyle w:val="79"/>
          <w:rFonts w:hint="eastAsia" w:cs="Times New Roman" w:asciiTheme="minorEastAsia" w:hAnsiTheme="minorEastAsia" w:eastAsiaTheme="minorEastAsia"/>
          <w:snapToGrid/>
          <w:color w:val="auto"/>
          <w:kern w:val="2"/>
          <w:sz w:val="24"/>
          <w:szCs w:val="24"/>
        </w:rPr>
        <w:t>分</w:t>
      </w:r>
      <w:r>
        <w:rPr>
          <w:rStyle w:val="79"/>
          <w:rFonts w:hint="eastAsia" w:cs="Times New Roman" w:asciiTheme="minorEastAsia" w:hAnsiTheme="minorEastAsia" w:eastAsiaTheme="minorEastAsia"/>
          <w:bCs/>
          <w:snapToGrid/>
          <w:color w:val="auto"/>
          <w:kern w:val="2"/>
          <w:sz w:val="24"/>
          <w:szCs w:val="24"/>
        </w:rPr>
        <w:t>00秒</w:t>
      </w:r>
      <w:r>
        <w:rPr>
          <w:rStyle w:val="79"/>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14:paraId="564B7B84">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14:paraId="59D8799E">
      <w:pPr>
        <w:spacing w:line="360" w:lineRule="auto"/>
        <w:ind w:firstLine="480"/>
        <w:rPr>
          <w:rFonts w:hint="eastAsia" w:ascii="宋体" w:hAnsi="宋体" w:eastAsia="宋体" w:cs="宋体"/>
          <w:b/>
          <w:bCs/>
          <w:color w:val="auto"/>
          <w:sz w:val="24"/>
          <w:lang w:val="en-US" w:eastAsia="zh-CN"/>
        </w:rPr>
      </w:pPr>
      <w:r>
        <w:rPr>
          <w:rFonts w:hint="eastAsia" w:ascii="宋体" w:hAnsi="宋体" w:cs="宋体"/>
          <w:b/>
          <w:color w:val="auto"/>
          <w:sz w:val="24"/>
        </w:rPr>
        <w:t>项目编号：</w:t>
      </w:r>
      <w:r>
        <w:rPr>
          <w:rFonts w:hint="eastAsia" w:ascii="宋体" w:hAnsi="宋体" w:cs="宋体"/>
          <w:b/>
          <w:bCs/>
          <w:color w:val="auto"/>
          <w:sz w:val="24"/>
          <w:lang w:eastAsia="zh-CN"/>
        </w:rPr>
        <w:t>ZJFLCX-2025-36</w:t>
      </w:r>
    </w:p>
    <w:p w14:paraId="3D072A9B">
      <w:pPr>
        <w:spacing w:line="360" w:lineRule="auto"/>
        <w:ind w:firstLine="482" w:firstLineChars="200"/>
        <w:rPr>
          <w:rFonts w:hint="eastAsia" w:ascii="宋体" w:hAnsi="宋体" w:cs="宋体"/>
          <w:b/>
          <w:color w:val="auto"/>
          <w:sz w:val="24"/>
          <w:lang w:val="en-US" w:eastAsia="zh-CN"/>
        </w:rPr>
      </w:pPr>
      <w:r>
        <w:rPr>
          <w:rFonts w:hint="eastAsia" w:ascii="宋体" w:hAnsi="宋体" w:cs="宋体"/>
          <w:b/>
          <w:color w:val="auto"/>
          <w:sz w:val="24"/>
        </w:rPr>
        <w:t>项目名称：</w:t>
      </w:r>
      <w:r>
        <w:rPr>
          <w:rFonts w:hint="eastAsia" w:ascii="宋体" w:hAnsi="宋体" w:cs="宋体"/>
          <w:b/>
          <w:color w:val="auto"/>
          <w:sz w:val="24"/>
          <w:lang w:eastAsia="zh-CN"/>
        </w:rPr>
        <w:t xml:space="preserve">嘉兴南湖高新区实验学校心理健康中心采购项目 </w:t>
      </w:r>
    </w:p>
    <w:p w14:paraId="4D8F4494">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350000</w:t>
      </w:r>
    </w:p>
    <w:p w14:paraId="5829121C">
      <w:pPr>
        <w:spacing w:line="360" w:lineRule="auto"/>
        <w:ind w:firstLine="480"/>
        <w:rPr>
          <w:rFonts w:hint="default" w:ascii="宋体" w:hAnsi="宋体" w:eastAsia="宋体" w:cs="宋体"/>
          <w:color w:val="auto"/>
          <w:sz w:val="24"/>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350000</w:t>
      </w:r>
    </w:p>
    <w:p w14:paraId="32303C4F">
      <w:pPr>
        <w:pStyle w:val="6"/>
        <w:spacing w:line="360" w:lineRule="auto"/>
        <w:ind w:firstLine="480"/>
        <w:rPr>
          <w:rFonts w:hint="eastAsia" w:hAnsi="宋体" w:cs="宋体"/>
          <w:b/>
          <w:color w:val="auto"/>
          <w:sz w:val="24"/>
        </w:rPr>
      </w:pPr>
      <w:r>
        <w:rPr>
          <w:rFonts w:hint="eastAsia" w:hAnsi="宋体" w:cs="宋体"/>
          <w:b/>
          <w:color w:val="auto"/>
          <w:sz w:val="24"/>
        </w:rPr>
        <w:t>采购需求：</w:t>
      </w:r>
    </w:p>
    <w:p w14:paraId="556A1A9A">
      <w:pPr>
        <w:pStyle w:val="6"/>
        <w:spacing w:line="360" w:lineRule="auto"/>
        <w:ind w:firstLine="480"/>
        <w:rPr>
          <w:rFonts w:hint="eastAsia" w:hAnsi="宋体" w:cs="宋体" w:eastAsiaTheme="minorEastAsia"/>
          <w:bCs/>
          <w:snapToGrid/>
          <w:color w:val="auto"/>
          <w:kern w:val="2"/>
          <w:sz w:val="24"/>
          <w:szCs w:val="24"/>
          <w:lang w:eastAsia="zh-CN"/>
        </w:rPr>
      </w:pPr>
      <w:r>
        <w:rPr>
          <w:rFonts w:hint="eastAsia" w:asciiTheme="minorEastAsia" w:hAnsiTheme="minorEastAsia" w:eastAsiaTheme="minorEastAsia"/>
          <w:snapToGrid/>
          <w:color w:val="auto"/>
          <w:kern w:val="2"/>
          <w:sz w:val="24"/>
          <w:szCs w:val="24"/>
          <w:lang w:eastAsia="zh-CN"/>
        </w:rPr>
        <w:t>嘉兴南湖高新区实验学校心理健康中心采购项目 ，</w:t>
      </w:r>
      <w:r>
        <w:rPr>
          <w:rFonts w:hint="eastAsia" w:asciiTheme="minorEastAsia" w:hAnsiTheme="minorEastAsia" w:eastAsiaTheme="minorEastAsia"/>
          <w:snapToGrid/>
          <w:color w:val="auto"/>
          <w:kern w:val="2"/>
          <w:sz w:val="24"/>
          <w:szCs w:val="24"/>
        </w:rPr>
        <w:t>具体以招标文件第三部分采购需求为准，</w:t>
      </w:r>
      <w:r>
        <w:rPr>
          <w:rFonts w:hint="eastAsia" w:asciiTheme="minorEastAsia" w:hAnsiTheme="minorEastAsia" w:eastAsiaTheme="minorEastAsia"/>
          <w:snapToGrid/>
          <w:color w:val="auto"/>
          <w:kern w:val="2"/>
          <w:sz w:val="24"/>
          <w:szCs w:val="24"/>
          <w:lang w:val="en-US" w:eastAsia="zh-CN"/>
        </w:rPr>
        <w:t>主要内容包括</w:t>
      </w:r>
      <w:r>
        <w:rPr>
          <w:rFonts w:hint="eastAsia" w:asciiTheme="minorEastAsia" w:hAnsiTheme="minorEastAsia" w:eastAsiaTheme="minorEastAsia"/>
          <w:snapToGrid/>
          <w:color w:val="auto"/>
          <w:kern w:val="2"/>
          <w:sz w:val="24"/>
          <w:szCs w:val="24"/>
        </w:rPr>
        <w:t>心理健康中心布置与设备，含谈话室、发渲室、个辅室、团辅室</w:t>
      </w:r>
      <w:r>
        <w:rPr>
          <w:rFonts w:hint="eastAsia" w:asciiTheme="minorEastAsia" w:hAnsiTheme="minorEastAsia" w:eastAsiaTheme="minorEastAsia"/>
          <w:snapToGrid/>
          <w:color w:val="auto"/>
          <w:kern w:val="2"/>
          <w:sz w:val="24"/>
          <w:szCs w:val="24"/>
          <w:lang w:eastAsia="zh-CN"/>
        </w:rPr>
        <w:t>。</w:t>
      </w:r>
    </w:p>
    <w:p w14:paraId="3C70F99A">
      <w:pPr>
        <w:pStyle w:val="136"/>
        <w:ind w:firstLine="482"/>
        <w:outlineLvl w:val="2"/>
        <w:rPr>
          <w:rFonts w:hint="eastAsia" w:ascii="宋体" w:hAnsi="宋体" w:cs="宋体"/>
          <w:b/>
          <w:lang w:val="en-US" w:eastAsia="zh-CN"/>
        </w:rPr>
      </w:pPr>
      <w:r>
        <w:rPr>
          <w:rFonts w:hint="eastAsia" w:ascii="宋体" w:hAnsi="宋体" w:cs="宋体"/>
          <w:b/>
        </w:rPr>
        <w:t>合同履约期限：</w:t>
      </w:r>
      <w:r>
        <w:rPr>
          <w:rFonts w:hint="eastAsia" w:ascii="宋体" w:hAnsi="宋体" w:cs="宋体"/>
          <w:b/>
          <w:lang w:val="en-US" w:eastAsia="zh-CN"/>
        </w:rPr>
        <w:t>签订合同后</w:t>
      </w:r>
      <w:r>
        <w:rPr>
          <w:rFonts w:hint="eastAsia" w:ascii="宋体" w:hAnsi="宋体" w:cs="宋体"/>
          <w:b/>
          <w:highlight w:val="none"/>
          <w:lang w:val="en-US" w:eastAsia="zh-CN"/>
        </w:rPr>
        <w:t>至合同履行</w:t>
      </w:r>
      <w:r>
        <w:rPr>
          <w:rFonts w:hint="eastAsia" w:ascii="宋体" w:hAnsi="宋体" w:cs="宋体"/>
          <w:b/>
          <w:lang w:val="en-US" w:eastAsia="zh-CN"/>
        </w:rPr>
        <w:t>完毕。</w:t>
      </w:r>
    </w:p>
    <w:p w14:paraId="64CC4AB9">
      <w:pPr>
        <w:pStyle w:val="6"/>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ascii="Wingdings" w:hAnsi="Wingdings" w:eastAsia="宋体" w:cs="宋体"/>
              <w:snapToGrid w:val="0"/>
              <w:color w:val="auto"/>
              <w:kern w:val="0"/>
              <w:sz w:val="24"/>
              <w:szCs w:val="20"/>
              <w:lang w:val="en-US" w:eastAsia="zh-CN" w:bidi="ar-SA"/>
            </w:rPr>
            <w:t>þ</w:t>
          </w:r>
        </w:sdtContent>
      </w:sdt>
      <w:r>
        <w:rPr>
          <w:rFonts w:hint="eastAsia" w:hAnsi="宋体" w:cs="宋体"/>
          <w:b/>
          <w:color w:val="auto"/>
          <w:sz w:val="24"/>
        </w:rPr>
        <w:t>否</w:t>
      </w:r>
      <w:r>
        <w:rPr>
          <w:rFonts w:hint="eastAsia" w:hAnsi="宋体" w:cs="宋体"/>
          <w:color w:val="auto"/>
          <w:kern w:val="0"/>
          <w:sz w:val="24"/>
        </w:rPr>
        <w:t>。</w:t>
      </w:r>
    </w:p>
    <w:p w14:paraId="4333F0E5">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1ECED72C">
      <w:pPr>
        <w:spacing w:line="360" w:lineRule="auto"/>
        <w:ind w:firstLine="480"/>
        <w:rPr>
          <w:rFonts w:hint="eastAsia"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5D594D28">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2</w:t>
      </w:r>
      <w:r>
        <w:rPr>
          <w:rFonts w:hint="eastAsia" w:ascii="宋体" w:hAnsi="宋体" w:cs="宋体"/>
          <w:snapToGrid w:val="0"/>
          <w:kern w:val="28"/>
          <w:sz w:val="24"/>
          <w:szCs w:val="20"/>
        </w:rPr>
        <w:t>.落实政府采购政策需满足的资格要求：</w:t>
      </w:r>
    </w:p>
    <w:p w14:paraId="2A7B611D">
      <w:pPr>
        <w:spacing w:line="360" w:lineRule="auto"/>
        <w:ind w:firstLine="480" w:firstLineChars="200"/>
        <w:rPr>
          <w:rFonts w:ascii="宋体" w:hAnsi="宋体" w:cs="宋体"/>
          <w:color w:val="auto"/>
          <w:sz w:val="24"/>
        </w:rPr>
      </w:pPr>
      <w:sdt>
        <w:sdtPr>
          <w:rPr>
            <w:rFonts w:hint="eastAsia" w:ascii="宋体" w:hAnsi="宋体" w:cs="宋体"/>
            <w:color w:val="0000FF"/>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sz w:val="24"/>
        </w:rPr>
        <w:t>无；</w:t>
      </w:r>
    </w:p>
    <w:p w14:paraId="7B463ADD">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23840EA5">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4988B4C3">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3193F2A2">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7D341561">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2E175B7">
      <w:pPr>
        <w:spacing w:line="360" w:lineRule="auto"/>
        <w:ind w:firstLine="480" w:firstLineChars="20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14:paraId="3ADA5860">
      <w:pPr>
        <w:snapToGrid w:val="0"/>
        <w:spacing w:line="360" w:lineRule="auto"/>
        <w:ind w:firstLine="480" w:firstLineChars="200"/>
      </w:pPr>
      <w:r>
        <w:rPr>
          <w:rFonts w:hint="eastAsia" w:ascii="宋体" w:hAnsi="宋体" w:cs="宋体"/>
          <w:sz w:val="24"/>
          <w:lang w:val="en-US" w:eastAsia="zh-CN"/>
        </w:rPr>
        <w:t>4</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B6CFA1">
      <w:pPr>
        <w:spacing w:line="360" w:lineRule="auto"/>
        <w:rPr>
          <w:rFonts w:ascii="宋体" w:hAnsi="宋体" w:cs="宋体"/>
          <w:b/>
          <w:sz w:val="24"/>
        </w:rPr>
      </w:pPr>
      <w:r>
        <w:rPr>
          <w:rFonts w:hint="eastAsia" w:ascii="宋体" w:hAnsi="宋体" w:cs="宋体"/>
          <w:b/>
          <w:sz w:val="24"/>
        </w:rPr>
        <w:t xml:space="preserve">三、获取招标文件 </w:t>
      </w:r>
    </w:p>
    <w:p w14:paraId="1ECB22E2">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10</w:t>
      </w:r>
      <w:r>
        <w:rPr>
          <w:rFonts w:hint="eastAsia" w:ascii="宋体" w:hAnsi="宋体" w:cs="宋体"/>
          <w:color w:val="auto"/>
          <w:sz w:val="24"/>
          <w:u w:val="single"/>
        </w:rPr>
        <w:t>日</w:t>
      </w:r>
      <w:r>
        <w:rPr>
          <w:rFonts w:hint="eastAsia" w:ascii="宋体" w:hAnsi="宋体" w:cs="宋体"/>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rPr>
        <w:t>，每天上</w:t>
      </w:r>
      <w:r>
        <w:rPr>
          <w:rFonts w:hint="eastAsia" w:ascii="宋体" w:hAnsi="宋体" w:cs="宋体"/>
          <w:sz w:val="24"/>
        </w:rPr>
        <w:t>午00:00至12:00 ，下午12:00至23:59（北京时间，线上获取法定节假日均可，线下获取文件法定节假日除外）</w:t>
      </w:r>
    </w:p>
    <w:p w14:paraId="10BB5C95">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2E97FE7">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27F25B55">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01246774">
      <w:pPr>
        <w:spacing w:line="360" w:lineRule="auto"/>
        <w:rPr>
          <w:rFonts w:ascii="宋体" w:hAnsi="宋体" w:cs="宋体"/>
          <w:b/>
          <w:sz w:val="24"/>
        </w:rPr>
      </w:pPr>
      <w:r>
        <w:rPr>
          <w:rFonts w:hint="eastAsia" w:ascii="宋体" w:hAnsi="宋体" w:cs="宋体"/>
          <w:b/>
          <w:sz w:val="24"/>
        </w:rPr>
        <w:t>四、提交投标文件截止时间、开标时间和地点</w:t>
      </w:r>
    </w:p>
    <w:p w14:paraId="2B5C102D">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sz w:val="24"/>
        </w:rPr>
        <w:t>（北京时间）</w:t>
      </w:r>
    </w:p>
    <w:p w14:paraId="29B677ED">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2347D9F2">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5</w:t>
      </w:r>
      <w:r>
        <w:rPr>
          <w:rFonts w:hint="eastAsia" w:ascii="宋体" w:hAnsi="宋体" w:cs="宋体"/>
          <w:color w:val="auto"/>
          <w:sz w:val="24"/>
          <w:u w:val="single"/>
        </w:rPr>
        <w:t>年</w:t>
      </w:r>
      <w:r>
        <w:rPr>
          <w:rFonts w:hint="eastAsia" w:ascii="宋体" w:hAnsi="宋体" w:cs="宋体"/>
          <w:color w:val="auto"/>
          <w:sz w:val="24"/>
          <w:u w:val="single"/>
          <w:lang w:val="en-US" w:eastAsia="zh-CN"/>
        </w:rPr>
        <w:t>7</w:t>
      </w:r>
      <w:r>
        <w:rPr>
          <w:rFonts w:hint="eastAsia" w:ascii="宋体" w:hAnsi="宋体" w:cs="宋体"/>
          <w:color w:val="auto"/>
          <w:sz w:val="24"/>
          <w:u w:val="single"/>
        </w:rPr>
        <w:t>月</w:t>
      </w:r>
      <w:r>
        <w:rPr>
          <w:rFonts w:hint="eastAsia" w:ascii="宋体" w:hAnsi="宋体" w:cs="宋体"/>
          <w:color w:val="auto"/>
          <w:sz w:val="24"/>
          <w:u w:val="single"/>
          <w:lang w:val="en-US" w:eastAsia="zh-CN"/>
        </w:rPr>
        <w:t>22</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14:paraId="07780648">
      <w:pPr>
        <w:spacing w:line="360" w:lineRule="auto"/>
        <w:ind w:firstLine="482" w:firstLineChars="200"/>
        <w:rPr>
          <w:rFonts w:hint="eastAsia"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5F123927">
      <w:pPr>
        <w:spacing w:line="360" w:lineRule="auto"/>
        <w:ind w:firstLine="480" w:firstLineChars="200"/>
      </w:pPr>
      <w:r>
        <w:rPr>
          <w:rFonts w:hint="eastAsia" w:ascii="宋体" w:hAnsi="宋体" w:eastAsia="宋体" w:cs="宋体"/>
          <w:sz w:val="24"/>
        </w:rPr>
        <w:t>开标地点：</w:t>
      </w:r>
      <w:r>
        <w:rPr>
          <w:rFonts w:hint="eastAsia" w:ascii="宋体" w:hAnsi="宋体" w:eastAsia="宋体" w:cs="宋体"/>
          <w:sz w:val="24"/>
          <w:lang w:eastAsia="zh-CN"/>
        </w:rPr>
        <w:t>浙江富力诚欣工程顾问有限公司</w:t>
      </w:r>
      <w:r>
        <w:rPr>
          <w:rFonts w:hint="eastAsia" w:ascii="宋体" w:hAnsi="宋体" w:eastAsia="宋体" w:cs="宋体"/>
          <w:sz w:val="24"/>
        </w:rPr>
        <w:t>开标室（</w:t>
      </w:r>
      <w:r>
        <w:rPr>
          <w:rFonts w:hint="eastAsia" w:ascii="宋体" w:hAnsi="宋体" w:eastAsia="宋体" w:cs="宋体"/>
          <w:sz w:val="24"/>
          <w:lang w:eastAsia="zh-CN"/>
        </w:rPr>
        <w:t>嘉兴市经济技术开发区姚家荡路42号长新农贸市场办公楼5楼501室</w:t>
      </w:r>
      <w:r>
        <w:rPr>
          <w:rFonts w:hint="eastAsia" w:ascii="宋体" w:hAnsi="宋体" w:eastAsia="宋体" w:cs="宋体"/>
          <w:sz w:val="24"/>
        </w:rPr>
        <w:t>）</w:t>
      </w:r>
    </w:p>
    <w:p w14:paraId="311DCEF0">
      <w:pPr>
        <w:spacing w:line="360" w:lineRule="auto"/>
        <w:rPr>
          <w:rFonts w:ascii="宋体" w:hAnsi="宋体" w:cs="宋体"/>
          <w:sz w:val="24"/>
        </w:rPr>
      </w:pPr>
      <w:r>
        <w:rPr>
          <w:rFonts w:hint="eastAsia" w:ascii="宋体" w:hAnsi="宋体" w:cs="宋体"/>
          <w:b/>
          <w:sz w:val="24"/>
        </w:rPr>
        <w:t xml:space="preserve">五、公告期限 </w:t>
      </w:r>
    </w:p>
    <w:p w14:paraId="1DF75A42">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37AB8431">
      <w:pPr>
        <w:spacing w:line="360" w:lineRule="auto"/>
        <w:rPr>
          <w:rFonts w:ascii="宋体" w:hAnsi="宋体" w:cs="宋体"/>
          <w:b/>
          <w:sz w:val="24"/>
        </w:rPr>
      </w:pPr>
      <w:r>
        <w:rPr>
          <w:rFonts w:hint="eastAsia" w:ascii="宋体" w:hAnsi="宋体" w:cs="宋体"/>
          <w:b/>
          <w:sz w:val="24"/>
        </w:rPr>
        <w:t>六、其他补充事宜</w:t>
      </w:r>
    </w:p>
    <w:p w14:paraId="1558C756">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332F400">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7ACD7F">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B90D4A0">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0DC51013">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547D3679">
      <w:pPr>
        <w:spacing w:line="360" w:lineRule="auto"/>
        <w:rPr>
          <w:rFonts w:ascii="宋体" w:hAnsi="宋体" w:cs="宋体"/>
          <w:color w:val="auto"/>
          <w:sz w:val="24"/>
        </w:rPr>
      </w:pPr>
      <w:r>
        <w:rPr>
          <w:rFonts w:hint="eastAsia" w:ascii="宋体" w:hAnsi="宋体" w:cs="宋体"/>
          <w:sz w:val="24"/>
        </w:rPr>
        <w:t xml:space="preserve">    1.采购人信息</w:t>
      </w:r>
    </w:p>
    <w:p w14:paraId="53337A78">
      <w:pPr>
        <w:snapToGrid w:val="0"/>
        <w:spacing w:line="360" w:lineRule="auto"/>
        <w:ind w:firstLine="480" w:firstLineChars="200"/>
        <w:rPr>
          <w:rFonts w:hint="eastAsia"/>
          <w:color w:val="auto"/>
          <w:sz w:val="24"/>
        </w:rPr>
      </w:pPr>
      <w:r>
        <w:rPr>
          <w:rFonts w:hint="eastAsia"/>
          <w:color w:val="auto"/>
          <w:sz w:val="24"/>
        </w:rPr>
        <w:t>名    称：</w:t>
      </w:r>
      <w:r>
        <w:rPr>
          <w:rFonts w:hint="eastAsia"/>
          <w:color w:val="auto"/>
          <w:sz w:val="24"/>
          <w:lang w:eastAsia="zh-CN"/>
        </w:rPr>
        <w:t>嘉兴南湖高新区实验学校</w:t>
      </w:r>
      <w:r>
        <w:rPr>
          <w:rFonts w:hint="eastAsia"/>
          <w:color w:val="auto"/>
          <w:sz w:val="24"/>
        </w:rPr>
        <w:t xml:space="preserve"> </w:t>
      </w:r>
    </w:p>
    <w:p w14:paraId="3A088218">
      <w:pPr>
        <w:snapToGrid w:val="0"/>
        <w:spacing w:line="360" w:lineRule="auto"/>
        <w:ind w:firstLine="480" w:firstLineChars="200"/>
        <w:rPr>
          <w:rFonts w:hint="eastAsia"/>
          <w:color w:val="auto"/>
          <w:sz w:val="24"/>
          <w:lang w:eastAsia="zh-CN"/>
        </w:rPr>
      </w:pPr>
      <w:r>
        <w:rPr>
          <w:rFonts w:hint="eastAsia"/>
          <w:color w:val="auto"/>
          <w:sz w:val="24"/>
        </w:rPr>
        <w:t>地    址：</w:t>
      </w:r>
      <w:r>
        <w:rPr>
          <w:rFonts w:hint="eastAsia"/>
          <w:color w:val="auto"/>
          <w:sz w:val="24"/>
          <w:lang w:eastAsia="zh-CN"/>
        </w:rPr>
        <w:t>嘉兴市南湖区</w:t>
      </w:r>
    </w:p>
    <w:p w14:paraId="32527A89">
      <w:pPr>
        <w:snapToGrid w:val="0"/>
        <w:spacing w:line="360" w:lineRule="auto"/>
        <w:ind w:firstLine="480" w:firstLineChars="200"/>
        <w:rPr>
          <w:rFonts w:hint="eastAsia"/>
          <w:color w:val="auto"/>
          <w:sz w:val="24"/>
        </w:rPr>
      </w:pPr>
      <w:r>
        <w:rPr>
          <w:rFonts w:hint="eastAsia"/>
          <w:color w:val="auto"/>
          <w:sz w:val="24"/>
        </w:rPr>
        <w:t>传    真： /</w:t>
      </w:r>
    </w:p>
    <w:p w14:paraId="78E801F6">
      <w:pPr>
        <w:snapToGrid w:val="0"/>
        <w:spacing w:line="360" w:lineRule="auto"/>
        <w:ind w:firstLine="480" w:firstLineChars="200"/>
        <w:rPr>
          <w:rFonts w:hint="eastAsia"/>
          <w:color w:val="auto"/>
          <w:sz w:val="24"/>
          <w:highlight w:val="none"/>
          <w:lang w:eastAsia="zh-CN"/>
        </w:rPr>
      </w:pPr>
      <w:r>
        <w:rPr>
          <w:rFonts w:hint="eastAsia"/>
          <w:color w:val="auto"/>
          <w:sz w:val="24"/>
          <w:highlight w:val="none"/>
        </w:rPr>
        <w:t>项目联系人（询问）：</w:t>
      </w:r>
      <w:r>
        <w:rPr>
          <w:rFonts w:hint="eastAsia" w:ascii="Times New Roman" w:hAnsi="Times New Roman" w:eastAsia="宋体" w:cs="Times New Roman"/>
          <w:color w:val="auto"/>
          <w:sz w:val="24"/>
          <w:highlight w:val="none"/>
          <w:lang w:val="en-US" w:eastAsia="zh-CN"/>
        </w:rPr>
        <w:t>沈老师</w:t>
      </w:r>
    </w:p>
    <w:p w14:paraId="3D44799B">
      <w:pPr>
        <w:snapToGrid w:val="0"/>
        <w:spacing w:line="360" w:lineRule="auto"/>
        <w:ind w:firstLine="480" w:firstLineChars="200"/>
        <w:rPr>
          <w:rFonts w:hint="eastAsia"/>
          <w:color w:val="auto"/>
          <w:sz w:val="24"/>
          <w:highlight w:val="none"/>
          <w:lang w:val="en-US" w:eastAsia="zh-CN"/>
        </w:rPr>
      </w:pPr>
      <w:r>
        <w:rPr>
          <w:rFonts w:hint="eastAsia"/>
          <w:color w:val="auto"/>
          <w:sz w:val="24"/>
          <w:highlight w:val="none"/>
        </w:rPr>
        <w:t>项目联系方式（询问）：</w:t>
      </w:r>
      <w:r>
        <w:rPr>
          <w:rFonts w:hint="eastAsia" w:ascii="Times New Roman" w:hAnsi="Times New Roman" w:eastAsia="宋体" w:cs="Times New Roman"/>
          <w:color w:val="auto"/>
          <w:sz w:val="24"/>
          <w:highlight w:val="none"/>
          <w:lang w:val="en-US" w:eastAsia="zh-CN"/>
        </w:rPr>
        <w:t>13757325297</w:t>
      </w:r>
    </w:p>
    <w:p w14:paraId="3EF0606C">
      <w:pPr>
        <w:snapToGrid w:val="0"/>
        <w:spacing w:line="360" w:lineRule="auto"/>
        <w:ind w:firstLine="480" w:firstLineChars="200"/>
        <w:rPr>
          <w:rFonts w:hint="eastAsia"/>
          <w:color w:val="auto"/>
          <w:sz w:val="24"/>
          <w:highlight w:val="none"/>
        </w:rPr>
      </w:pPr>
      <w:r>
        <w:rPr>
          <w:rFonts w:hint="eastAsia"/>
          <w:color w:val="auto"/>
          <w:sz w:val="24"/>
          <w:highlight w:val="none"/>
        </w:rPr>
        <w:t>质疑联系人：</w:t>
      </w:r>
      <w:r>
        <w:rPr>
          <w:rFonts w:hint="eastAsia"/>
          <w:color w:val="auto"/>
          <w:sz w:val="24"/>
          <w:highlight w:val="none"/>
          <w:lang w:val="en-US" w:eastAsia="zh-CN"/>
        </w:rPr>
        <w:t>沈老</w:t>
      </w:r>
      <w:r>
        <w:rPr>
          <w:rFonts w:hint="eastAsia"/>
          <w:color w:val="auto"/>
          <w:sz w:val="24"/>
          <w:highlight w:val="none"/>
          <w:lang w:eastAsia="zh-CN"/>
        </w:rPr>
        <w:t>师</w:t>
      </w:r>
      <w:r>
        <w:rPr>
          <w:rFonts w:hint="eastAsia"/>
          <w:color w:val="auto"/>
          <w:sz w:val="24"/>
          <w:highlight w:val="none"/>
        </w:rPr>
        <w:t xml:space="preserve"> </w:t>
      </w:r>
    </w:p>
    <w:p w14:paraId="52C98EA0">
      <w:pPr>
        <w:snapToGrid w:val="0"/>
        <w:spacing w:line="360" w:lineRule="auto"/>
        <w:ind w:firstLine="480" w:firstLineChars="200"/>
        <w:rPr>
          <w:rFonts w:hint="eastAsia"/>
          <w:color w:val="auto"/>
          <w:sz w:val="24"/>
          <w:highlight w:val="none"/>
        </w:rPr>
      </w:pPr>
      <w:r>
        <w:rPr>
          <w:rFonts w:hint="eastAsia"/>
          <w:color w:val="auto"/>
          <w:sz w:val="24"/>
          <w:highlight w:val="none"/>
        </w:rPr>
        <w:t>质疑联系方式：</w:t>
      </w:r>
      <w:r>
        <w:rPr>
          <w:rFonts w:hint="eastAsia" w:ascii="Times New Roman" w:hAnsi="Times New Roman" w:eastAsia="宋体" w:cs="Times New Roman"/>
          <w:color w:val="auto"/>
          <w:sz w:val="24"/>
          <w:highlight w:val="none"/>
          <w:lang w:val="en-US" w:eastAsia="zh-CN"/>
        </w:rPr>
        <w:t>13757325297</w:t>
      </w:r>
      <w:r>
        <w:rPr>
          <w:rFonts w:hint="eastAsia"/>
          <w:color w:val="auto"/>
          <w:sz w:val="24"/>
          <w:highlight w:val="none"/>
        </w:rPr>
        <w:t xml:space="preserve">    </w:t>
      </w:r>
    </w:p>
    <w:p w14:paraId="171A9F0A">
      <w:pPr>
        <w:snapToGrid w:val="0"/>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14:paraId="326A78AE">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浙江富力诚欣工程顾问有限公司</w:t>
      </w:r>
    </w:p>
    <w:p w14:paraId="5C951367">
      <w:pPr>
        <w:snapToGrid w:val="0"/>
        <w:spacing w:line="360" w:lineRule="auto"/>
        <w:ind w:firstLine="480" w:firstLineChars="200"/>
        <w:rPr>
          <w:rFonts w:hint="eastAsia" w:ascii="宋体" w:hAnsi="宋体" w:eastAsia="宋体" w:cs="宋体"/>
          <w:sz w:val="24"/>
          <w:lang w:eastAsia="zh-CN"/>
        </w:rPr>
      </w:pPr>
      <w:r>
        <w:rPr>
          <w:rFonts w:hint="eastAsia" w:ascii="宋体" w:hAnsi="宋体" w:cs="宋体"/>
          <w:sz w:val="24"/>
        </w:rPr>
        <w:t>地    址：</w:t>
      </w:r>
      <w:r>
        <w:rPr>
          <w:rFonts w:hint="eastAsia" w:ascii="宋体" w:hAnsi="宋体" w:eastAsia="宋体" w:cs="宋体"/>
          <w:sz w:val="24"/>
          <w:lang w:eastAsia="zh-CN"/>
        </w:rPr>
        <w:t>嘉兴市经济技术开发区姚家荡路42号长新农贸市场办公楼5楼501室</w:t>
      </w:r>
    </w:p>
    <w:p w14:paraId="24A3E56D">
      <w:pPr>
        <w:snapToGrid w:val="0"/>
        <w:spacing w:line="360" w:lineRule="auto"/>
        <w:ind w:firstLine="480" w:firstLineChars="200"/>
        <w:rPr>
          <w:rFonts w:ascii="宋体" w:hAnsi="宋体" w:cs="宋体"/>
          <w:sz w:val="24"/>
        </w:rPr>
      </w:pPr>
      <w:r>
        <w:rPr>
          <w:rFonts w:hint="eastAsia" w:ascii="宋体" w:hAnsi="宋体" w:cs="宋体"/>
          <w:sz w:val="24"/>
        </w:rPr>
        <w:t xml:space="preserve">传    真： /            </w:t>
      </w:r>
    </w:p>
    <w:p w14:paraId="0551498D">
      <w:pPr>
        <w:snapToGrid w:val="0"/>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eastAsia="宋体" w:cs="宋体"/>
          <w:sz w:val="24"/>
          <w:lang w:eastAsia="zh-CN"/>
        </w:rPr>
        <w:t>王宇涵</w:t>
      </w:r>
      <w:r>
        <w:rPr>
          <w:rFonts w:hint="eastAsia" w:ascii="宋体" w:hAnsi="宋体" w:eastAsia="宋体" w:cs="宋体"/>
          <w:sz w:val="24"/>
        </w:rPr>
        <w:t xml:space="preserve">   </w:t>
      </w:r>
      <w:r>
        <w:rPr>
          <w:rFonts w:hint="eastAsia" w:ascii="宋体" w:hAnsi="宋体" w:cs="宋体"/>
          <w:sz w:val="24"/>
        </w:rPr>
        <w:t xml:space="preserve">      </w:t>
      </w:r>
    </w:p>
    <w:p w14:paraId="5766B274">
      <w:pPr>
        <w:snapToGrid w:val="0"/>
        <w:spacing w:line="360" w:lineRule="auto"/>
        <w:ind w:firstLine="480" w:firstLineChars="200"/>
        <w:rPr>
          <w:rFonts w:ascii="宋体" w:hAnsi="宋体" w:cs="宋体"/>
          <w:sz w:val="24"/>
        </w:rPr>
      </w:pPr>
      <w:r>
        <w:rPr>
          <w:rFonts w:hint="eastAsia" w:ascii="宋体" w:hAnsi="宋体" w:cs="宋体"/>
          <w:sz w:val="24"/>
        </w:rPr>
        <w:t>项目联系方式（询问）：</w:t>
      </w:r>
      <w:r>
        <w:rPr>
          <w:rFonts w:hint="eastAsia" w:ascii="宋体" w:hAnsi="宋体" w:eastAsia="宋体" w:cs="宋体"/>
          <w:sz w:val="24"/>
          <w:lang w:eastAsia="zh-CN"/>
        </w:rPr>
        <w:t>0573-83626629/17757370605</w:t>
      </w:r>
    </w:p>
    <w:p w14:paraId="1A852356">
      <w:pPr>
        <w:snapToGrid w:val="0"/>
        <w:spacing w:line="360" w:lineRule="auto"/>
        <w:ind w:firstLine="480" w:firstLineChars="200"/>
        <w:rPr>
          <w:rFonts w:ascii="宋体" w:hAnsi="宋体" w:cs="宋体"/>
          <w:sz w:val="24"/>
        </w:rPr>
      </w:pPr>
      <w:r>
        <w:rPr>
          <w:rFonts w:hint="eastAsia" w:ascii="宋体" w:hAnsi="宋体" w:cs="宋体"/>
          <w:sz w:val="24"/>
        </w:rPr>
        <w:t xml:space="preserve">质疑联系人： </w:t>
      </w:r>
      <w:r>
        <w:rPr>
          <w:rFonts w:hint="eastAsia" w:ascii="宋体" w:hAnsi="宋体" w:cs="宋体"/>
          <w:sz w:val="24"/>
          <w:lang w:val="en-US" w:eastAsia="zh-CN"/>
        </w:rPr>
        <w:t>孙柳群</w:t>
      </w:r>
      <w:r>
        <w:rPr>
          <w:rFonts w:hint="eastAsia" w:ascii="宋体" w:hAnsi="宋体" w:cs="宋体"/>
          <w:sz w:val="24"/>
        </w:rPr>
        <w:t xml:space="preserve">             </w:t>
      </w:r>
    </w:p>
    <w:p w14:paraId="75D7F2AF">
      <w:pPr>
        <w:snapToGrid w:val="0"/>
        <w:spacing w:line="360" w:lineRule="auto"/>
        <w:ind w:firstLine="480" w:firstLineChars="200"/>
        <w:rPr>
          <w:rFonts w:ascii="宋体" w:hAnsi="宋体" w:cs="宋体"/>
          <w:sz w:val="24"/>
        </w:rPr>
      </w:pPr>
      <w:r>
        <w:rPr>
          <w:rFonts w:hint="eastAsia" w:ascii="宋体" w:hAnsi="宋体" w:cs="宋体"/>
          <w:sz w:val="24"/>
        </w:rPr>
        <w:t>质疑联系方式：</w:t>
      </w:r>
      <w:r>
        <w:rPr>
          <w:rFonts w:hint="eastAsia" w:ascii="宋体" w:hAnsi="宋体" w:cs="宋体"/>
          <w:sz w:val="24"/>
          <w:lang w:val="en-US" w:eastAsia="zh-CN"/>
        </w:rPr>
        <w:t>13758089993</w:t>
      </w:r>
      <w:r>
        <w:rPr>
          <w:rFonts w:hint="eastAsia" w:ascii="宋体" w:hAnsi="宋体" w:cs="宋体"/>
          <w:sz w:val="24"/>
        </w:rPr>
        <w:t xml:space="preserve"> </w:t>
      </w:r>
    </w:p>
    <w:p w14:paraId="0C6C9B72">
      <w:pPr>
        <w:snapToGrid w:val="0"/>
        <w:spacing w:line="360" w:lineRule="auto"/>
        <w:ind w:firstLine="480" w:firstLineChars="200"/>
        <w:rPr>
          <w:rFonts w:ascii="宋体" w:hAnsi="宋体" w:cs="宋体"/>
          <w:sz w:val="24"/>
        </w:rPr>
      </w:pPr>
      <w:r>
        <w:rPr>
          <w:rFonts w:hint="eastAsia" w:ascii="宋体" w:hAnsi="宋体" w:cs="宋体"/>
          <w:sz w:val="24"/>
        </w:rPr>
        <w:t xml:space="preserve">3.同级政府采购监督管理部门            </w:t>
      </w:r>
    </w:p>
    <w:p w14:paraId="63D3D19B">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名    称：</w:t>
      </w:r>
      <w:r>
        <w:rPr>
          <w:rFonts w:hint="eastAsia" w:ascii="宋体" w:hAnsi="宋体" w:cs="宋体"/>
          <w:sz w:val="24"/>
          <w:highlight w:val="none"/>
          <w:lang w:val="en-US" w:eastAsia="zh-CN"/>
        </w:rPr>
        <w:t>南湖区财政局监督局</w:t>
      </w:r>
    </w:p>
    <w:p w14:paraId="3052A4D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eastAsia="zh-CN"/>
        </w:rPr>
        <w:t>嘉兴市凌公塘路1260号南湖区行政中心</w:t>
      </w:r>
    </w:p>
    <w:p w14:paraId="5FBD4E87">
      <w:pPr>
        <w:keepNext w:val="0"/>
        <w:keepLines w:val="0"/>
        <w:pageBreakBefore w:val="0"/>
        <w:kinsoku/>
        <w:wordWrap/>
        <w:overflowPunct/>
        <w:topLinePunct w:val="0"/>
        <w:autoSpaceDE/>
        <w:autoSpaceDN/>
        <w:bidi w:val="0"/>
        <w:adjustRightInd w:val="0"/>
        <w:spacing w:line="360" w:lineRule="auto"/>
        <w:ind w:firstLine="480"/>
        <w:textAlignment w:val="auto"/>
        <w:rPr>
          <w:rFonts w:ascii="宋体" w:hAnsi="宋体" w:cs="宋体"/>
          <w:sz w:val="24"/>
          <w:highlight w:val="none"/>
        </w:rPr>
      </w:pPr>
      <w:r>
        <w:rPr>
          <w:rFonts w:hint="eastAsia" w:ascii="宋体" w:hAnsi="宋体" w:cs="宋体"/>
          <w:sz w:val="24"/>
          <w:highlight w:val="none"/>
        </w:rPr>
        <w:t>传    真： /</w:t>
      </w:r>
    </w:p>
    <w:p w14:paraId="7E1BA4B6">
      <w:pPr>
        <w:keepNext w:val="0"/>
        <w:keepLines w:val="0"/>
        <w:pageBreakBefore w:val="0"/>
        <w:kinsoku/>
        <w:wordWrap/>
        <w:overflowPunct/>
        <w:topLinePunct w:val="0"/>
        <w:autoSpaceDE/>
        <w:autoSpaceDN/>
        <w:bidi w:val="0"/>
        <w:adjustRightInd w:val="0"/>
        <w:spacing w:line="360" w:lineRule="auto"/>
        <w:ind w:firstLine="480"/>
        <w:textAlignment w:val="auto"/>
        <w:rPr>
          <w:rFonts w:hint="default" w:ascii="宋体" w:hAnsi="宋体" w:eastAsia="宋体" w:cs="宋体"/>
          <w:sz w:val="24"/>
          <w:highlight w:val="none"/>
          <w:lang w:val="en-US" w:eastAsia="zh-CN"/>
        </w:rPr>
      </w:pPr>
      <w:r>
        <w:rPr>
          <w:rFonts w:hint="eastAsia" w:ascii="宋体" w:hAnsi="宋体" w:cs="宋体"/>
          <w:sz w:val="24"/>
          <w:highlight w:val="none"/>
        </w:rPr>
        <w:t>联系人 ：</w:t>
      </w:r>
      <w:r>
        <w:rPr>
          <w:rFonts w:hint="eastAsia" w:ascii="宋体" w:hAnsi="宋体" w:cs="宋体"/>
          <w:sz w:val="24"/>
          <w:highlight w:val="none"/>
          <w:lang w:eastAsia="zh-CN"/>
        </w:rPr>
        <w:t>乔先生</w:t>
      </w:r>
    </w:p>
    <w:p w14:paraId="6735DD4A">
      <w:pPr>
        <w:spacing w:line="360" w:lineRule="auto"/>
        <w:ind w:firstLine="480"/>
        <w:rPr>
          <w:rFonts w:hint="default" w:ascii="宋体" w:hAnsi="宋体" w:eastAsia="宋体" w:cs="宋体"/>
          <w:sz w:val="24"/>
          <w:lang w:val="en-US" w:eastAsia="zh-CN"/>
        </w:rPr>
      </w:pPr>
      <w:r>
        <w:rPr>
          <w:rFonts w:hint="eastAsia" w:ascii="宋体" w:hAnsi="宋体" w:cs="宋体"/>
          <w:sz w:val="24"/>
          <w:highlight w:val="none"/>
        </w:rPr>
        <w:t>监督投诉电话：0573-82832019</w:t>
      </w:r>
    </w:p>
    <w:p w14:paraId="12F77E64">
      <w:pPr>
        <w:spacing w:line="360" w:lineRule="auto"/>
        <w:ind w:firstLine="480"/>
        <w:rPr>
          <w:rFonts w:ascii="宋体" w:hAnsi="宋体" w:cs="宋体"/>
          <w:sz w:val="24"/>
        </w:rPr>
      </w:pPr>
      <w:r>
        <w:rPr>
          <w:rFonts w:hint="eastAsia" w:ascii="宋体" w:hAnsi="宋体" w:cs="宋体"/>
          <w:sz w:val="24"/>
        </w:rPr>
        <w:t xml:space="preserve"> </w:t>
      </w:r>
    </w:p>
    <w:p w14:paraId="18A52820">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722FB6D9">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38E5A5E2">
      <w:pPr>
        <w:pStyle w:val="33"/>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65EE043D">
      <w:pPr>
        <w:pStyle w:val="33"/>
        <w:spacing w:line="360" w:lineRule="auto"/>
        <w:rPr>
          <w:rFonts w:hAnsi="宋体" w:cs="宋体"/>
          <w:b/>
          <w:sz w:val="36"/>
          <w:szCs w:val="20"/>
        </w:rPr>
      </w:pPr>
    </w:p>
    <w:p w14:paraId="5DC35B78">
      <w:pPr>
        <w:pStyle w:val="33"/>
        <w:spacing w:line="360" w:lineRule="auto"/>
        <w:rPr>
          <w:rFonts w:hAnsi="宋体" w:cs="宋体"/>
          <w:b/>
          <w:sz w:val="36"/>
          <w:szCs w:val="20"/>
        </w:rPr>
      </w:pPr>
    </w:p>
    <w:p w14:paraId="46569978">
      <w:pPr>
        <w:pStyle w:val="33"/>
        <w:spacing w:line="360" w:lineRule="auto"/>
        <w:rPr>
          <w:rFonts w:hAnsi="宋体" w:cs="宋体"/>
          <w:b/>
          <w:sz w:val="36"/>
          <w:szCs w:val="20"/>
        </w:rPr>
      </w:pPr>
    </w:p>
    <w:p w14:paraId="5D87B946">
      <w:pPr>
        <w:pStyle w:val="33"/>
        <w:spacing w:line="360" w:lineRule="auto"/>
        <w:rPr>
          <w:rFonts w:hAnsi="宋体" w:cs="宋体"/>
          <w:b/>
          <w:sz w:val="36"/>
          <w:szCs w:val="20"/>
        </w:rPr>
      </w:pPr>
    </w:p>
    <w:p w14:paraId="68973AE6">
      <w:pPr>
        <w:pStyle w:val="33"/>
        <w:spacing w:line="360" w:lineRule="auto"/>
        <w:rPr>
          <w:rFonts w:hAnsi="宋体" w:cs="宋体"/>
          <w:b/>
          <w:sz w:val="36"/>
          <w:szCs w:val="20"/>
        </w:rPr>
      </w:pPr>
    </w:p>
    <w:p w14:paraId="586B786A">
      <w:pPr>
        <w:pStyle w:val="33"/>
        <w:spacing w:line="360" w:lineRule="auto"/>
        <w:rPr>
          <w:rFonts w:hAnsi="宋体" w:cs="宋体"/>
          <w:b/>
          <w:sz w:val="36"/>
          <w:szCs w:val="20"/>
        </w:rPr>
      </w:pPr>
    </w:p>
    <w:p w14:paraId="5E54CB72">
      <w:pPr>
        <w:pStyle w:val="33"/>
        <w:spacing w:line="360" w:lineRule="auto"/>
        <w:rPr>
          <w:rFonts w:hAnsi="宋体" w:cs="宋体"/>
          <w:b/>
          <w:sz w:val="36"/>
          <w:szCs w:val="20"/>
        </w:rPr>
      </w:pPr>
    </w:p>
    <w:p w14:paraId="550ABE63">
      <w:pPr>
        <w:pStyle w:val="33"/>
        <w:spacing w:line="360" w:lineRule="auto"/>
        <w:rPr>
          <w:rFonts w:hAnsi="宋体" w:cs="宋体"/>
          <w:b/>
          <w:sz w:val="36"/>
          <w:szCs w:val="20"/>
        </w:rPr>
      </w:pPr>
    </w:p>
    <w:p w14:paraId="6F944B59">
      <w:pPr>
        <w:pStyle w:val="33"/>
        <w:spacing w:line="360" w:lineRule="auto"/>
        <w:rPr>
          <w:rFonts w:hAnsi="宋体" w:cs="宋体"/>
          <w:b/>
          <w:sz w:val="36"/>
          <w:szCs w:val="20"/>
        </w:rPr>
      </w:pPr>
    </w:p>
    <w:p w14:paraId="1B6D90F7">
      <w:pPr>
        <w:pStyle w:val="33"/>
        <w:spacing w:line="360" w:lineRule="auto"/>
        <w:rPr>
          <w:rFonts w:hAnsi="宋体" w:cs="宋体"/>
          <w:b/>
          <w:sz w:val="36"/>
          <w:szCs w:val="20"/>
        </w:rPr>
      </w:pPr>
    </w:p>
    <w:p w14:paraId="63B232FA">
      <w:pPr>
        <w:pStyle w:val="33"/>
        <w:spacing w:line="360" w:lineRule="auto"/>
        <w:rPr>
          <w:rFonts w:hAnsi="宋体" w:cs="宋体"/>
          <w:b/>
          <w:sz w:val="36"/>
          <w:szCs w:val="20"/>
        </w:rPr>
      </w:pPr>
    </w:p>
    <w:p w14:paraId="1A6D93A0">
      <w:pPr>
        <w:pStyle w:val="33"/>
        <w:spacing w:line="360" w:lineRule="auto"/>
        <w:rPr>
          <w:rFonts w:hAnsi="宋体" w:cs="宋体"/>
          <w:b/>
          <w:sz w:val="36"/>
          <w:szCs w:val="20"/>
        </w:rPr>
      </w:pPr>
    </w:p>
    <w:p w14:paraId="6766FE66">
      <w:pPr>
        <w:pStyle w:val="33"/>
        <w:spacing w:line="360" w:lineRule="auto"/>
        <w:rPr>
          <w:rFonts w:hAnsi="宋体" w:cs="宋体"/>
          <w:b/>
          <w:sz w:val="36"/>
          <w:szCs w:val="20"/>
        </w:rPr>
      </w:pPr>
    </w:p>
    <w:p w14:paraId="0FDFC0EC">
      <w:pPr>
        <w:pStyle w:val="33"/>
        <w:spacing w:line="360" w:lineRule="auto"/>
        <w:rPr>
          <w:rFonts w:hAnsi="宋体" w:cs="宋体"/>
          <w:b/>
          <w:sz w:val="36"/>
          <w:szCs w:val="20"/>
        </w:rPr>
      </w:pPr>
    </w:p>
    <w:p w14:paraId="57CA1161">
      <w:pPr>
        <w:pStyle w:val="33"/>
        <w:spacing w:line="360" w:lineRule="auto"/>
        <w:rPr>
          <w:rFonts w:hAnsi="宋体" w:cs="宋体"/>
          <w:b/>
          <w:sz w:val="36"/>
          <w:szCs w:val="20"/>
        </w:rPr>
      </w:pPr>
    </w:p>
    <w:p w14:paraId="755EE948">
      <w:pPr>
        <w:pStyle w:val="33"/>
        <w:spacing w:line="360" w:lineRule="auto"/>
        <w:rPr>
          <w:rFonts w:hAnsi="宋体" w:cs="宋体"/>
          <w:b/>
          <w:sz w:val="36"/>
          <w:szCs w:val="20"/>
        </w:rPr>
      </w:pPr>
    </w:p>
    <w:p w14:paraId="46158571">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7D2F68B7">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5"/>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026F4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24822A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81837E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13E7E1A4">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E674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8" w:hRule="atLeast"/>
          <w:tblHeader/>
        </w:trPr>
        <w:tc>
          <w:tcPr>
            <w:tcW w:w="629" w:type="dxa"/>
            <w:tcBorders>
              <w:top w:val="single" w:color="auto" w:sz="4" w:space="0"/>
              <w:left w:val="single" w:color="auto" w:sz="4" w:space="0"/>
              <w:bottom w:val="single" w:color="auto" w:sz="4" w:space="0"/>
              <w:right w:val="single" w:color="auto" w:sz="4" w:space="0"/>
            </w:tcBorders>
          </w:tcPr>
          <w:p w14:paraId="77B36AD5">
            <w:pPr>
              <w:snapToGrid w:val="0"/>
              <w:spacing w:line="360" w:lineRule="auto"/>
              <w:jc w:val="center"/>
              <w:rPr>
                <w:rFonts w:ascii="宋体" w:hAnsi="宋体" w:cs="宋体"/>
                <w:sz w:val="24"/>
              </w:rPr>
            </w:pPr>
          </w:p>
          <w:p w14:paraId="082F1DDD">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D855D29">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28FDE04">
            <w:pPr>
              <w:spacing w:line="360" w:lineRule="auto"/>
              <w:jc w:val="both"/>
              <w:rPr>
                <w:rFonts w:hint="default" w:ascii="宋体" w:hAnsi="宋体" w:eastAsia="宋体" w:cs="宋体"/>
                <w:color w:val="auto"/>
                <w:sz w:val="24"/>
                <w:lang w:val="en-US" w:eastAsia="zh-CN"/>
              </w:rPr>
            </w:pPr>
            <w:r>
              <w:rPr>
                <w:rFonts w:hint="eastAsia" w:ascii="宋体" w:hAnsi="宋体" w:cs="宋体"/>
                <w:b/>
                <w:bCs/>
                <w:color w:val="auto"/>
                <w:sz w:val="24"/>
              </w:rPr>
              <w:t>货物类，</w:t>
            </w:r>
            <w:r>
              <w:rPr>
                <w:rFonts w:hint="eastAsia" w:ascii="宋体" w:hAnsi="宋体" w:cs="宋体"/>
                <w:b/>
                <w:bCs/>
                <w:color w:val="auto"/>
                <w:kern w:val="0"/>
                <w:sz w:val="24"/>
              </w:rPr>
              <w:t>核心产品为：</w:t>
            </w:r>
            <w:r>
              <w:rPr>
                <w:rFonts w:hint="eastAsia" w:ascii="宋体" w:hAnsi="宋体" w:cs="宋体"/>
                <w:b/>
                <w:bCs/>
                <w:color w:val="auto"/>
                <w:kern w:val="0"/>
                <w:sz w:val="24"/>
                <w:u w:val="single"/>
                <w:lang w:val="en-US" w:eastAsia="zh-CN"/>
              </w:rPr>
              <w:t>/</w:t>
            </w:r>
          </w:p>
        </w:tc>
      </w:tr>
      <w:tr w14:paraId="3C29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96" w:hRule="atLeast"/>
          <w:tblHeader/>
        </w:trPr>
        <w:tc>
          <w:tcPr>
            <w:tcW w:w="629" w:type="dxa"/>
            <w:tcBorders>
              <w:top w:val="single" w:color="auto" w:sz="4" w:space="0"/>
              <w:left w:val="single" w:color="auto" w:sz="4" w:space="0"/>
              <w:bottom w:val="single" w:color="auto" w:sz="4" w:space="0"/>
              <w:right w:val="single" w:color="auto" w:sz="4" w:space="0"/>
            </w:tcBorders>
          </w:tcPr>
          <w:p w14:paraId="7F962113">
            <w:pPr>
              <w:snapToGrid w:val="0"/>
              <w:spacing w:line="360" w:lineRule="auto"/>
              <w:jc w:val="center"/>
              <w:rPr>
                <w:rFonts w:ascii="宋体" w:hAnsi="宋体" w:cs="宋体"/>
                <w:sz w:val="24"/>
              </w:rPr>
            </w:pPr>
          </w:p>
          <w:p w14:paraId="73D06AEE">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261A637">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B775E8">
            <w:pPr>
              <w:snapToGrid w:val="0"/>
              <w:spacing w:line="360" w:lineRule="auto"/>
              <w:rPr>
                <w:rFonts w:hint="eastAsia" w:ascii="宋体" w:hAnsi="宋体" w:cs="宋体"/>
                <w:color w:val="auto"/>
                <w:kern w:val="0"/>
                <w:sz w:val="24"/>
              </w:rPr>
            </w:pPr>
            <w:r>
              <w:rPr>
                <w:rFonts w:hint="eastAsia" w:ascii="宋体" w:hAnsi="宋体" w:cs="宋体"/>
                <w:color w:val="auto"/>
                <w:kern w:val="0"/>
                <w:sz w:val="24"/>
              </w:rPr>
              <w:t>标的：</w:t>
            </w:r>
          </w:p>
          <w:p w14:paraId="7579B0BD">
            <w:pPr>
              <w:snapToGrid w:val="0"/>
              <w:spacing w:line="360" w:lineRule="auto"/>
              <w:rPr>
                <w:rFonts w:ascii="宋体" w:hAnsi="宋体" w:eastAsia="宋体" w:cs="宋体"/>
                <w:color w:val="auto"/>
                <w:lang w:val="en-US"/>
              </w:rPr>
            </w:pPr>
            <w:r>
              <w:rPr>
                <w:rFonts w:hint="eastAsia" w:ascii="宋体" w:hAnsi="宋体" w:cs="宋体"/>
                <w:color w:val="auto"/>
                <w:kern w:val="0"/>
                <w:sz w:val="24"/>
                <w:lang w:eastAsia="zh-CN"/>
              </w:rPr>
              <w:t xml:space="preserve">嘉兴南湖高新区实验学校心理健康中心采购项目 </w:t>
            </w:r>
            <w:r>
              <w:rPr>
                <w:rFonts w:hint="eastAsia" w:ascii="宋体" w:hAnsi="宋体" w:cs="宋体"/>
                <w:color w:val="auto"/>
                <w:kern w:val="0"/>
                <w:sz w:val="24"/>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工业 </w:t>
            </w:r>
            <w:r>
              <w:rPr>
                <w:rFonts w:hint="eastAsia" w:ascii="宋体" w:hAnsi="宋体" w:cs="宋体"/>
                <w:color w:val="auto"/>
                <w:kern w:val="0"/>
                <w:sz w:val="24"/>
              </w:rPr>
              <w:t>行业；</w:t>
            </w:r>
          </w:p>
        </w:tc>
      </w:tr>
      <w:tr w14:paraId="46CED4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6" w:hRule="atLeast"/>
          <w:tblHeader/>
        </w:trPr>
        <w:tc>
          <w:tcPr>
            <w:tcW w:w="629" w:type="dxa"/>
            <w:tcBorders>
              <w:top w:val="single" w:color="auto" w:sz="4" w:space="0"/>
              <w:left w:val="single" w:color="auto" w:sz="4" w:space="0"/>
              <w:bottom w:val="single" w:color="auto" w:sz="4" w:space="0"/>
              <w:right w:val="single" w:color="auto" w:sz="4" w:space="0"/>
            </w:tcBorders>
          </w:tcPr>
          <w:p w14:paraId="1DFE1C0E">
            <w:pPr>
              <w:snapToGrid w:val="0"/>
              <w:spacing w:line="360" w:lineRule="auto"/>
              <w:jc w:val="center"/>
              <w:rPr>
                <w:rFonts w:ascii="宋体" w:hAnsi="宋体" w:cs="宋体"/>
                <w:sz w:val="24"/>
              </w:rPr>
            </w:pPr>
          </w:p>
          <w:p w14:paraId="5E1C5C8F">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7DB4D85">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F20AC54">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本项目不允许采购进口产品。</w:t>
            </w:r>
          </w:p>
          <w:p w14:paraId="17581A0A">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792FC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AD2447">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4F22DBB">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C6C6215">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tc>
      </w:tr>
      <w:tr w14:paraId="01CC71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E63B7B">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6E8C4FF">
            <w:pPr>
              <w:snapToGrid w:val="0"/>
              <w:spacing w:line="360" w:lineRule="auto"/>
              <w:jc w:val="center"/>
              <w:rPr>
                <w:rFonts w:hint="eastAsia" w:ascii="宋体" w:hAnsi="宋体" w:eastAsia="宋体" w:cs="宋体"/>
                <w:b/>
                <w:sz w:val="24"/>
                <w:highlight w:val="none"/>
                <w:lang w:eastAsia="zh-CN"/>
              </w:rPr>
            </w:pPr>
            <w:r>
              <w:rPr>
                <w:rFonts w:hint="eastAsia" w:ascii="宋体" w:hAnsi="宋体" w:cs="宋体"/>
                <w:b/>
                <w:sz w:val="24"/>
                <w:highlight w:val="none"/>
                <w:lang w:eastAsia="zh-CN"/>
              </w:rPr>
              <w:t>现场踏勘</w:t>
            </w:r>
          </w:p>
        </w:tc>
        <w:tc>
          <w:tcPr>
            <w:tcW w:w="6095" w:type="dxa"/>
            <w:tcBorders>
              <w:top w:val="single" w:color="000000" w:sz="8" w:space="0"/>
              <w:left w:val="single" w:color="000000" w:sz="2" w:space="0"/>
              <w:bottom w:val="single" w:color="000000" w:sz="8" w:space="0"/>
              <w:right w:val="single" w:color="000000" w:sz="8" w:space="0"/>
            </w:tcBorders>
            <w:vAlign w:val="center"/>
          </w:tcPr>
          <w:p w14:paraId="2629A640">
            <w:pPr>
              <w:spacing w:line="360" w:lineRule="auto"/>
              <w:rPr>
                <w:rFonts w:ascii="宋体" w:hAnsi="宋体" w:cs="宋体"/>
                <w:sz w:val="24"/>
                <w:highlight w:val="none"/>
              </w:rPr>
            </w:pPr>
            <w:sdt>
              <w:sdtPr>
                <w:rPr>
                  <w:rFonts w:hint="eastAsia" w:ascii="宋体" w:hAnsi="宋体" w:cs="宋体"/>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A</w:t>
            </w:r>
            <w:r>
              <w:rPr>
                <w:rFonts w:hint="eastAsia" w:ascii="宋体" w:hAnsi="宋体" w:cs="宋体"/>
                <w:sz w:val="24"/>
                <w:highlight w:val="none"/>
              </w:rPr>
              <w:t>不组织。</w:t>
            </w:r>
          </w:p>
          <w:p w14:paraId="72051861">
            <w:pPr>
              <w:spacing w:line="360" w:lineRule="auto"/>
              <w:rPr>
                <w:rFonts w:hint="default" w:ascii="宋体" w:hAnsi="宋体" w:eastAsia="宋体" w:cs="宋体"/>
                <w:sz w:val="24"/>
                <w:szCs w:val="20"/>
                <w:highlight w:val="none"/>
                <w:lang w:val="en-US" w:eastAsia="zh-CN"/>
              </w:rPr>
            </w:pPr>
            <w:sdt>
              <w:sdtPr>
                <w:rPr>
                  <w:rFonts w:hint="eastAsia" w:ascii="宋体" w:hAnsi="宋体" w:cs="宋体"/>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B组织</w:t>
            </w:r>
            <w:r>
              <w:rPr>
                <w:rFonts w:hint="eastAsia" w:ascii="宋体" w:hAnsi="宋体" w:cs="宋体"/>
                <w:kern w:val="0"/>
                <w:sz w:val="24"/>
                <w:highlight w:val="none"/>
                <w:lang w:val="en-US" w:eastAsia="zh-CN"/>
              </w:rPr>
              <w:t xml:space="preserve"> </w:t>
            </w:r>
          </w:p>
        </w:tc>
      </w:tr>
      <w:tr w14:paraId="4D9BD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B45048">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81F5A44">
            <w:pPr>
              <w:snapToGrid w:val="0"/>
              <w:spacing w:line="360" w:lineRule="auto"/>
              <w:jc w:val="center"/>
              <w:rPr>
                <w:rFonts w:ascii="宋体" w:hAnsi="宋体" w:cs="宋体"/>
                <w:b/>
                <w:sz w:val="24"/>
                <w:highlight w:val="none"/>
              </w:rPr>
            </w:pPr>
            <w:r>
              <w:rPr>
                <w:rFonts w:hint="eastAsia" w:ascii="宋体" w:hAnsi="宋体" w:cs="宋体"/>
                <w:b/>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EACDFED">
            <w:pPr>
              <w:spacing w:line="360" w:lineRule="auto"/>
              <w:rPr>
                <w:rFonts w:ascii="宋体" w:hAnsi="宋体" w:cs="宋体"/>
                <w:sz w:val="24"/>
                <w:highlight w:val="none"/>
              </w:rPr>
            </w:pPr>
            <w:sdt>
              <w:sdtPr>
                <w:rPr>
                  <w:rFonts w:hint="eastAsia" w:ascii="宋体" w:hAnsi="宋体" w:cs="宋体"/>
                  <w:kern w:val="0"/>
                  <w:sz w:val="24"/>
                  <w:highlight w:val="none"/>
                </w:rPr>
                <w:id w:val="-1639946486"/>
                <w14:checkbox>
                  <w14:checked w14:val="0"/>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MS Gothic" w:hAnsi="MS Gothic" w:eastAsia="宋体" w:cs="宋体"/>
                    <w:kern w:val="0"/>
                    <w:sz w:val="24"/>
                    <w:szCs w:val="24"/>
                    <w:highlight w:val="none"/>
                    <w:lang w:val="en-US" w:eastAsia="zh-CN" w:bidi="ar-SA"/>
                  </w:rPr>
                  <w:t>☐</w:t>
                </w:r>
              </w:sdtContent>
            </w:sdt>
            <w:r>
              <w:rPr>
                <w:rFonts w:hint="eastAsia" w:ascii="宋体" w:hAnsi="宋体" w:cs="宋体"/>
                <w:kern w:val="0"/>
                <w:sz w:val="24"/>
                <w:highlight w:val="none"/>
              </w:rPr>
              <w:t>A</w:t>
            </w:r>
            <w:r>
              <w:rPr>
                <w:rFonts w:hint="eastAsia" w:ascii="宋体" w:hAnsi="宋体" w:cs="宋体"/>
                <w:sz w:val="24"/>
                <w:highlight w:val="none"/>
              </w:rPr>
              <w:t>不要求提供。</w:t>
            </w:r>
          </w:p>
          <w:p w14:paraId="3D999B2D">
            <w:pPr>
              <w:spacing w:line="360" w:lineRule="auto"/>
              <w:rPr>
                <w:highlight w:val="none"/>
              </w:rPr>
            </w:pPr>
            <w:sdt>
              <w:sdtPr>
                <w:rPr>
                  <w:rFonts w:hint="eastAsia" w:ascii="宋体" w:hAnsi="宋体" w:cs="宋体"/>
                  <w:kern w:val="0"/>
                  <w:sz w:val="24"/>
                  <w:highlight w:val="none"/>
                </w:rPr>
                <w:id w:val="1026831988"/>
                <w14:checkbox>
                  <w14:checked w14:val="1"/>
                  <w14:checkedState w14:val="00FE" w14:font="Wingdings"/>
                  <w14:uncheckedState w14:val="2610" w14:font="MS Gothic"/>
                </w14:checkbox>
              </w:sdtPr>
              <w:sdtEndPr>
                <w:rPr>
                  <w:rFonts w:hint="eastAsia" w:ascii="宋体" w:hAnsi="宋体" w:cs="宋体"/>
                  <w:kern w:val="0"/>
                  <w:sz w:val="24"/>
                  <w:highlight w:val="none"/>
                </w:rPr>
              </w:sdtEndPr>
              <w:sdtContent>
                <w:r>
                  <w:rPr>
                    <w:rFonts w:hint="eastAsia" w:ascii="Wingdings" w:hAnsi="Wingdings" w:eastAsia="MS Gothic" w:cs="宋体"/>
                    <w:kern w:val="0"/>
                    <w:sz w:val="24"/>
                    <w:szCs w:val="24"/>
                    <w:highlight w:val="none"/>
                    <w:lang w:val="en-US" w:eastAsia="zh-CN" w:bidi="ar-SA"/>
                  </w:rPr>
                  <w:t>þ</w:t>
                </w:r>
              </w:sdtContent>
            </w:sdt>
            <w:r>
              <w:rPr>
                <w:rFonts w:hint="eastAsia" w:ascii="宋体" w:hAnsi="宋体" w:cs="宋体"/>
                <w:kern w:val="0"/>
                <w:sz w:val="24"/>
                <w:highlight w:val="none"/>
              </w:rPr>
              <w:t>B要求提供</w:t>
            </w:r>
            <w:r>
              <w:rPr>
                <w:rFonts w:hint="eastAsia" w:ascii="宋体" w:hAnsi="宋体" w:cs="宋体"/>
                <w:kern w:val="0"/>
                <w:sz w:val="24"/>
                <w:highlight w:val="none"/>
                <w:lang w:eastAsia="zh-CN"/>
              </w:rPr>
              <w:t>。</w:t>
            </w:r>
          </w:p>
        </w:tc>
      </w:tr>
      <w:tr w14:paraId="4D79C6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0" w:hRule="atLeast"/>
          <w:tblHeader/>
        </w:trPr>
        <w:tc>
          <w:tcPr>
            <w:tcW w:w="629" w:type="dxa"/>
            <w:tcBorders>
              <w:top w:val="single" w:color="auto" w:sz="4" w:space="0"/>
              <w:left w:val="single" w:color="auto" w:sz="4" w:space="0"/>
              <w:bottom w:val="single" w:color="auto" w:sz="4" w:space="0"/>
              <w:right w:val="single" w:color="auto" w:sz="4" w:space="0"/>
            </w:tcBorders>
          </w:tcPr>
          <w:p w14:paraId="49C639C0">
            <w:pPr>
              <w:snapToGrid w:val="0"/>
              <w:spacing w:line="360" w:lineRule="auto"/>
              <w:jc w:val="center"/>
              <w:rPr>
                <w:rFonts w:ascii="宋体" w:hAnsi="宋体" w:cs="宋体"/>
                <w:sz w:val="24"/>
              </w:rPr>
            </w:pPr>
          </w:p>
          <w:p w14:paraId="757689A4">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86DBE5C">
            <w:pPr>
              <w:snapToGrid w:val="0"/>
              <w:spacing w:line="360" w:lineRule="auto"/>
              <w:jc w:val="center"/>
              <w:rPr>
                <w:rFonts w:ascii="宋体" w:hAnsi="宋体" w:cs="宋体"/>
                <w:bCs/>
                <w:sz w:val="24"/>
              </w:rPr>
            </w:pPr>
            <w:r>
              <w:rPr>
                <w:rFonts w:hint="eastAsia" w:ascii="宋体" w:hAnsi="宋体" w:cs="宋体"/>
                <w:b/>
                <w:sz w:val="24"/>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DC9DFA4">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szCs w:val="24"/>
                    <w:lang w:val="en-US" w:eastAsia="zh-CN" w:bidi="ar-SA"/>
                  </w:rPr>
                  <w:t>☐</w:t>
                </w:r>
              </w:sdtContent>
            </w:sdt>
            <w:r>
              <w:rPr>
                <w:rFonts w:hint="eastAsia" w:ascii="宋体" w:hAnsi="宋体" w:cs="宋体"/>
                <w:kern w:val="0"/>
                <w:sz w:val="24"/>
              </w:rPr>
              <w:t>A</w:t>
            </w:r>
            <w:r>
              <w:rPr>
                <w:rFonts w:hint="eastAsia" w:ascii="宋体" w:hAnsi="宋体" w:cs="宋体"/>
                <w:sz w:val="24"/>
              </w:rPr>
              <w:t>不组织。</w:t>
            </w:r>
          </w:p>
          <w:p w14:paraId="793A90AF">
            <w:pPr>
              <w:spacing w:line="360" w:lineRule="auto"/>
              <w:rPr>
                <w:rFonts w:hint="eastAsia" w:ascii="宋体" w:hAnsi="宋体" w:cs="宋体"/>
                <w:kern w:val="0"/>
                <w:sz w:val="24"/>
                <w:lang w:val="zh-CN"/>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tc>
      </w:tr>
      <w:tr w14:paraId="5C097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2627858">
            <w:pPr>
              <w:snapToGrid w:val="0"/>
              <w:spacing w:line="360" w:lineRule="auto"/>
              <w:jc w:val="center"/>
              <w:rPr>
                <w:rFonts w:ascii="宋体" w:hAnsi="宋体" w:cs="宋体"/>
                <w:sz w:val="24"/>
              </w:rPr>
            </w:pPr>
          </w:p>
          <w:p w14:paraId="49D1A260">
            <w:pPr>
              <w:snapToGrid w:val="0"/>
              <w:spacing w:line="360" w:lineRule="auto"/>
              <w:jc w:val="center"/>
              <w:rPr>
                <w:rFonts w:ascii="宋体" w:hAnsi="宋体" w:cs="宋体"/>
                <w:sz w:val="24"/>
              </w:rPr>
            </w:pPr>
          </w:p>
          <w:p w14:paraId="7D07F28D">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59A838BB">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D7FA93A">
            <w:pPr>
              <w:spacing w:line="360" w:lineRule="auto"/>
              <w:rPr>
                <w:rFonts w:ascii="宋体" w:hAnsi="宋体" w:cs="宋体"/>
                <w:sz w:val="24"/>
              </w:rPr>
            </w:pPr>
            <w:r>
              <w:rPr>
                <w:rFonts w:hint="eastAsia" w:ascii="宋体" w:hAnsi="宋体" w:cs="宋体"/>
                <w:sz w:val="24"/>
              </w:rPr>
              <w:t>（1）资格证明文件：见招标文件第二部分11.1。</w:t>
            </w:r>
          </w:p>
          <w:p w14:paraId="0E8D9B9C">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2A04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629" w:type="dxa"/>
            <w:vMerge w:val="continue"/>
            <w:tcBorders>
              <w:left w:val="single" w:color="auto" w:sz="4" w:space="0"/>
              <w:bottom w:val="single" w:color="auto" w:sz="4" w:space="0"/>
              <w:right w:val="single" w:color="auto" w:sz="4" w:space="0"/>
            </w:tcBorders>
          </w:tcPr>
          <w:p w14:paraId="548DC52F">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0AD09B18">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5277965">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653C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3714D33">
            <w:pPr>
              <w:snapToGrid w:val="0"/>
              <w:spacing w:line="360" w:lineRule="auto"/>
              <w:jc w:val="center"/>
              <w:rPr>
                <w:rFonts w:ascii="宋体" w:hAnsi="宋体" w:cs="宋体"/>
                <w:sz w:val="24"/>
              </w:rPr>
            </w:pPr>
          </w:p>
          <w:p w14:paraId="77008A60">
            <w:pPr>
              <w:snapToGrid w:val="0"/>
              <w:spacing w:line="360" w:lineRule="auto"/>
              <w:jc w:val="center"/>
              <w:rPr>
                <w:rFonts w:ascii="宋体" w:hAnsi="宋体" w:cs="宋体"/>
                <w:sz w:val="24"/>
              </w:rPr>
            </w:pPr>
          </w:p>
          <w:p w14:paraId="0B864385">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5522B5">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C1D9D6">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86CD0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15A43899">
            <w:pPr>
              <w:snapToGrid w:val="0"/>
              <w:spacing w:line="360" w:lineRule="auto"/>
              <w:jc w:val="center"/>
              <w:rPr>
                <w:rFonts w:ascii="宋体" w:hAnsi="宋体" w:cs="宋体"/>
                <w:sz w:val="24"/>
              </w:rPr>
            </w:pPr>
          </w:p>
          <w:p w14:paraId="54B1A715">
            <w:pPr>
              <w:snapToGrid w:val="0"/>
              <w:spacing w:line="360" w:lineRule="auto"/>
              <w:jc w:val="center"/>
              <w:rPr>
                <w:rFonts w:ascii="宋体" w:hAnsi="宋体" w:cs="宋体"/>
                <w:sz w:val="24"/>
              </w:rPr>
            </w:pPr>
          </w:p>
          <w:p w14:paraId="160095F8">
            <w:pPr>
              <w:snapToGrid w:val="0"/>
              <w:spacing w:line="360" w:lineRule="auto"/>
              <w:jc w:val="center"/>
              <w:rPr>
                <w:rFonts w:ascii="宋体" w:hAnsi="宋体" w:cs="宋体"/>
                <w:sz w:val="24"/>
              </w:rPr>
            </w:pPr>
          </w:p>
          <w:p w14:paraId="70138D79">
            <w:pPr>
              <w:snapToGrid w:val="0"/>
              <w:spacing w:line="360" w:lineRule="auto"/>
              <w:jc w:val="center"/>
              <w:rPr>
                <w:rFonts w:ascii="宋体" w:hAnsi="宋体" w:cs="宋体"/>
                <w:sz w:val="24"/>
              </w:rPr>
            </w:pPr>
          </w:p>
          <w:p w14:paraId="523B9157">
            <w:pPr>
              <w:snapToGrid w:val="0"/>
              <w:spacing w:line="360" w:lineRule="auto"/>
              <w:jc w:val="center"/>
              <w:rPr>
                <w:rFonts w:ascii="宋体" w:hAnsi="宋体" w:cs="宋体"/>
                <w:sz w:val="24"/>
              </w:rPr>
            </w:pPr>
          </w:p>
          <w:p w14:paraId="071FD269">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2B73E336">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C91EE41">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p>
          <w:p w14:paraId="1D90DBC0">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12C34988">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5B30A7B2">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4552BBA9">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4873BF49">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121C9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67" w:hRule="atLeast"/>
          <w:tblHeader/>
        </w:trPr>
        <w:tc>
          <w:tcPr>
            <w:tcW w:w="629" w:type="dxa"/>
            <w:tcBorders>
              <w:top w:val="single" w:color="auto" w:sz="4" w:space="0"/>
              <w:left w:val="single" w:color="000000" w:sz="8" w:space="0"/>
              <w:right w:val="single" w:color="000000" w:sz="2" w:space="0"/>
            </w:tcBorders>
            <w:vAlign w:val="center"/>
          </w:tcPr>
          <w:p w14:paraId="7D0B79C3">
            <w:pPr>
              <w:snapToGrid w:val="0"/>
              <w:spacing w:line="360" w:lineRule="auto"/>
              <w:jc w:val="center"/>
              <w:rPr>
                <w:rFonts w:ascii="宋体" w:hAnsi="宋体" w:cs="宋体"/>
                <w:sz w:val="24"/>
              </w:rPr>
            </w:pPr>
          </w:p>
          <w:p w14:paraId="2814F441">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39D8D161">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535ED613">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D8E0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8A59E3">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809F429">
            <w:pPr>
              <w:snapToGrid w:val="0"/>
              <w:spacing w:line="360" w:lineRule="auto"/>
              <w:jc w:val="center"/>
              <w:rPr>
                <w:rFonts w:ascii="宋体" w:hAnsi="宋体" w:cs="宋体"/>
                <w:b/>
                <w:color w:val="auto"/>
                <w:sz w:val="24"/>
              </w:rPr>
            </w:pPr>
            <w:r>
              <w:rPr>
                <w:rFonts w:hint="eastAsia" w:ascii="宋体" w:hAnsi="宋体" w:cs="宋体"/>
                <w:b/>
                <w:color w:val="auto"/>
                <w:sz w:val="24"/>
                <w:highlight w:val="none"/>
                <w:lang w:val="en-US" w:eastAsia="zh-CN"/>
              </w:rPr>
              <w:t>演示视频、</w:t>
            </w: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60E646F1">
            <w:pPr>
              <w:pStyle w:val="33"/>
              <w:spacing w:line="360" w:lineRule="auto"/>
              <w:rPr>
                <w:rFonts w:hAnsi="宋体" w:cs="宋体"/>
                <w:color w:val="auto"/>
                <w:kern w:val="28"/>
                <w:sz w:val="24"/>
              </w:rPr>
            </w:pPr>
            <w:r>
              <w:rPr>
                <w:rFonts w:hint="eastAsia" w:hAnsi="宋体" w:cs="宋体"/>
                <w:color w:val="auto"/>
                <w:kern w:val="28"/>
                <w:sz w:val="24"/>
                <w:szCs w:val="24"/>
              </w:rPr>
              <w:t>备份投标文件送达地点：</w:t>
            </w:r>
            <w:r>
              <w:rPr>
                <w:rFonts w:hint="eastAsia" w:ascii="宋体" w:hAnsi="宋体" w:eastAsia="宋体" w:cs="宋体"/>
                <w:color w:val="auto"/>
                <w:kern w:val="28"/>
                <w:sz w:val="24"/>
                <w:szCs w:val="24"/>
                <w:u w:val="single"/>
                <w:lang w:eastAsia="zh-CN"/>
              </w:rPr>
              <w:t>嘉兴市经济技术开发区姚家荡路42号长新农贸市场办公楼5楼50</w:t>
            </w:r>
            <w:r>
              <w:rPr>
                <w:rFonts w:hint="eastAsia" w:ascii="宋体" w:hAnsi="宋体" w:eastAsia="宋体" w:cs="宋体"/>
                <w:color w:val="auto"/>
                <w:kern w:val="28"/>
                <w:sz w:val="24"/>
                <w:szCs w:val="24"/>
                <w:u w:val="single"/>
                <w:lang w:val="en-US" w:eastAsia="zh-CN"/>
              </w:rPr>
              <w:t>2</w:t>
            </w:r>
            <w:r>
              <w:rPr>
                <w:rFonts w:hint="eastAsia" w:ascii="宋体" w:hAnsi="宋体" w:eastAsia="宋体" w:cs="宋体"/>
                <w:color w:val="auto"/>
                <w:kern w:val="28"/>
                <w:sz w:val="24"/>
                <w:szCs w:val="24"/>
                <w:u w:val="single"/>
                <w:lang w:eastAsia="zh-CN"/>
              </w:rPr>
              <w:t>室</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kern w:val="28"/>
                <w:sz w:val="24"/>
                <w:szCs w:val="24"/>
                <w:lang w:eastAsia="zh-CN"/>
              </w:rPr>
              <w:t>：</w:t>
            </w:r>
            <w:r>
              <w:rPr>
                <w:rFonts w:hint="eastAsia" w:ascii="宋体" w:hAnsi="宋体" w:eastAsia="宋体" w:cs="宋体"/>
                <w:color w:val="auto"/>
                <w:kern w:val="28"/>
                <w:sz w:val="24"/>
                <w:szCs w:val="24"/>
                <w:u w:val="single"/>
                <w:lang w:eastAsia="zh-CN"/>
              </w:rPr>
              <w:t xml:space="preserve">王宇涵 ，17757370605 </w:t>
            </w:r>
            <w:r>
              <w:rPr>
                <w:rFonts w:hint="eastAsia" w:hAnsi="宋体" w:cs="宋体"/>
                <w:color w:val="auto"/>
                <w:sz w:val="24"/>
                <w:szCs w:val="24"/>
              </w:rPr>
              <w:t>。</w:t>
            </w:r>
            <w:r>
              <w:rPr>
                <w:rFonts w:hint="eastAsia" w:hAnsi="宋体" w:cs="宋体"/>
                <w:b/>
                <w:color w:val="auto"/>
                <w:sz w:val="24"/>
                <w:szCs w:val="24"/>
              </w:rPr>
              <w:t>不强制投标人提交备份投标文件。</w:t>
            </w:r>
          </w:p>
        </w:tc>
      </w:tr>
    </w:tbl>
    <w:p w14:paraId="7BF96CE0">
      <w:pPr>
        <w:snapToGrid w:val="0"/>
        <w:spacing w:line="360" w:lineRule="auto"/>
        <w:jc w:val="center"/>
        <w:rPr>
          <w:rFonts w:ascii="宋体" w:hAnsi="宋体" w:cs="宋体"/>
          <w:b/>
          <w:sz w:val="32"/>
          <w:szCs w:val="20"/>
        </w:rPr>
      </w:pPr>
    </w:p>
    <w:bookmarkEnd w:id="10"/>
    <w:p w14:paraId="07D0B346">
      <w:pPr>
        <w:rPr>
          <w:rFonts w:hint="eastAsia" w:ascii="宋体" w:hAnsi="宋体" w:cs="宋体"/>
          <w:b/>
          <w:sz w:val="32"/>
          <w:szCs w:val="20"/>
        </w:rPr>
      </w:pPr>
      <w:bookmarkStart w:id="13" w:name="第三部分"/>
      <w:bookmarkStart w:id="14" w:name="_Toc164416483"/>
      <w:r>
        <w:rPr>
          <w:rFonts w:hint="eastAsia" w:ascii="宋体" w:hAnsi="宋体" w:cs="宋体"/>
          <w:b/>
          <w:sz w:val="32"/>
          <w:szCs w:val="20"/>
        </w:rPr>
        <w:br w:type="page"/>
      </w:r>
    </w:p>
    <w:p w14:paraId="76A8D771">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7DA5BCC8">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627318A">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52259C2F">
      <w:pPr>
        <w:adjustRightInd/>
        <w:spacing w:line="360" w:lineRule="auto"/>
        <w:outlineLvl w:val="0"/>
        <w:rPr>
          <w:rFonts w:ascii="宋体" w:hAnsi="宋体" w:cs="宋体"/>
          <w:b/>
          <w:sz w:val="24"/>
        </w:rPr>
      </w:pPr>
      <w:r>
        <w:rPr>
          <w:rFonts w:hint="eastAsia" w:ascii="宋体" w:hAnsi="宋体" w:cs="宋体"/>
          <w:b/>
          <w:sz w:val="24"/>
        </w:rPr>
        <w:t xml:space="preserve">   2.定义</w:t>
      </w:r>
    </w:p>
    <w:p w14:paraId="20C9031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F7E0B56">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582134E5">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7C7E419">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6D7E0EF3">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w:t>
      </w:r>
    </w:p>
    <w:p w14:paraId="19B53D17">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71384006">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6ADEF313">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25988C6F">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9AD0233">
      <w:pPr>
        <w:spacing w:line="360" w:lineRule="auto"/>
        <w:ind w:firstLine="240" w:firstLineChars="100"/>
        <w:rPr>
          <w:rFonts w:ascii="宋体" w:hAnsi="宋体" w:cs="宋体"/>
          <w:sz w:val="24"/>
        </w:rPr>
      </w:pPr>
      <w:r>
        <w:rPr>
          <w:rFonts w:hint="eastAsia" w:ascii="宋体" w:hAnsi="宋体" w:cs="宋体"/>
          <w:sz w:val="24"/>
        </w:rPr>
        <w:t>3.2 支持绿色发展</w:t>
      </w:r>
    </w:p>
    <w:p w14:paraId="0A1947AF">
      <w:pPr>
        <w:spacing w:line="360" w:lineRule="auto"/>
        <w:ind w:firstLine="480" w:firstLineChars="200"/>
        <w:rPr>
          <w:rFonts w:hint="eastAsia" w:ascii="宋体" w:hAnsi="宋体" w:eastAsia="宋体" w:cs="宋体"/>
          <w:b/>
          <w:sz w:val="24"/>
          <w:lang w:eastAsia="zh-CN"/>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sz w:val="24"/>
          <w:lang w:eastAsia="zh-CN"/>
        </w:rPr>
        <w:t>（本条款不适用）</w:t>
      </w:r>
    </w:p>
    <w:p w14:paraId="63AB617E">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411FA4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67845677">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E7FBF60">
      <w:pPr>
        <w:spacing w:line="360" w:lineRule="auto"/>
        <w:ind w:firstLine="240" w:firstLineChars="100"/>
        <w:rPr>
          <w:rFonts w:ascii="宋体" w:hAnsi="宋体" w:cs="宋体"/>
          <w:sz w:val="24"/>
        </w:rPr>
      </w:pPr>
      <w:r>
        <w:rPr>
          <w:rFonts w:hint="eastAsia" w:ascii="宋体" w:hAnsi="宋体" w:cs="宋体"/>
          <w:sz w:val="24"/>
        </w:rPr>
        <w:t>3.3支持中小企业发展</w:t>
      </w:r>
    </w:p>
    <w:p w14:paraId="40139103">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49523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11B4CDD">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CF35BE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255437E1">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w:t>
      </w:r>
      <w:r>
        <w:rPr>
          <w:rFonts w:hint="eastAsia" w:ascii="宋体" w:hAnsi="宋体" w:cs="宋体"/>
          <w:sz w:val="24"/>
          <w:lang w:val="en-US" w:eastAsia="zh-CN"/>
        </w:rPr>
        <w:t>1</w:t>
      </w:r>
      <w:r>
        <w:rPr>
          <w:rFonts w:ascii="宋体" w:hAnsi="宋体" w:cs="宋体"/>
          <w:sz w:val="24"/>
        </w:rPr>
        <w:t>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2F35E874">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1968F4F6">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8222318">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109F89E">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5FD98776">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0618F06E">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12EF6678">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14:paraId="699339D8">
      <w:pPr>
        <w:spacing w:line="360" w:lineRule="auto"/>
        <w:ind w:firstLine="240" w:firstLineChars="100"/>
        <w:rPr>
          <w:rFonts w:ascii="宋体" w:hAnsi="宋体" w:cs="宋体"/>
          <w:sz w:val="24"/>
        </w:rPr>
      </w:pPr>
      <w:r>
        <w:rPr>
          <w:rFonts w:hint="eastAsia" w:ascii="宋体" w:hAnsi="宋体" w:cs="宋体"/>
          <w:sz w:val="24"/>
        </w:rPr>
        <w:t>3.5平等对待内外资企业和符合条件的破产重整企业</w:t>
      </w:r>
    </w:p>
    <w:p w14:paraId="542E8124">
      <w:pPr>
        <w:spacing w:line="360" w:lineRule="auto"/>
        <w:ind w:firstLine="480" w:firstLineChars="200"/>
        <w:rPr>
          <w:rFonts w:hint="eastAsia"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016CEA9F">
      <w:pPr>
        <w:pStyle w:val="891"/>
        <w:shd w:val="clear" w:color="auto" w:fill="FFFFFF"/>
        <w:snapToGrid w:val="0"/>
        <w:spacing w:after="240" w:afterAutospacing="0" w:line="360" w:lineRule="auto"/>
        <w:ind w:firstLine="400"/>
        <w:contextualSpacing/>
        <w:rPr>
          <w:lang w:val="zh-CN"/>
        </w:rPr>
      </w:pPr>
      <w:r>
        <w:rPr>
          <w:rFonts w:hint="eastAsia"/>
          <w:lang w:val="zh-CN"/>
        </w:rPr>
        <w:t>4.1在线询问、质疑、投诉</w:t>
      </w:r>
    </w:p>
    <w:p w14:paraId="78F28CCA">
      <w:pPr>
        <w:pStyle w:val="891"/>
        <w:shd w:val="clear" w:color="auto" w:fill="FFFFFF"/>
        <w:snapToGrid w:val="0"/>
        <w:spacing w:after="240" w:afterAutospacing="0" w:line="360" w:lineRule="auto"/>
        <w:ind w:firstLine="400"/>
        <w:contextualSpacing/>
        <w:rPr>
          <w:lang w:val="zh-CN"/>
        </w:rPr>
      </w:pPr>
      <w:r>
        <w:rPr>
          <w:rFonts w:hint="eastAsia"/>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32C47B">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4.2供应商询问</w:t>
      </w:r>
    </w:p>
    <w:p w14:paraId="6645F34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C15C932">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392FB2CB">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664F8D02">
      <w:pPr>
        <w:pStyle w:val="33"/>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41C0AFB6">
      <w:pPr>
        <w:pStyle w:val="6"/>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7E145262">
      <w:pPr>
        <w:pStyle w:val="33"/>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28CB9593">
      <w:pPr>
        <w:pStyle w:val="33"/>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318C98B5">
      <w:pPr>
        <w:pStyle w:val="33"/>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39285A55">
      <w:pPr>
        <w:pStyle w:val="33"/>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2B87A5BD">
      <w:pPr>
        <w:pStyle w:val="33"/>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1CD8223C">
      <w:pPr>
        <w:pStyle w:val="33"/>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47789C09">
      <w:pPr>
        <w:pStyle w:val="33"/>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21B6FAD8">
      <w:pPr>
        <w:pStyle w:val="33"/>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668AE8E7">
      <w:pPr>
        <w:pStyle w:val="89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4F71A534">
      <w:pPr>
        <w:pStyle w:val="89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5F4ED75D">
      <w:pPr>
        <w:pStyle w:val="891"/>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88D297E">
      <w:pPr>
        <w:pStyle w:val="89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1FEABFC7">
      <w:pPr>
        <w:pStyle w:val="89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EAF3EAE">
      <w:pPr>
        <w:pStyle w:val="891"/>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580A9082">
      <w:pPr>
        <w:pStyle w:val="89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2BA0E681">
      <w:pPr>
        <w:pStyle w:val="891"/>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5F85AF49">
      <w:pPr>
        <w:pStyle w:val="891"/>
        <w:shd w:val="clear" w:color="auto" w:fill="FFFFFF"/>
        <w:snapToGrid w:val="0"/>
        <w:spacing w:after="240" w:afterAutospacing="0" w:line="360" w:lineRule="auto"/>
        <w:ind w:firstLine="400"/>
        <w:contextualSpacing/>
      </w:pPr>
    </w:p>
    <w:p w14:paraId="22A755BA">
      <w:pPr>
        <w:pStyle w:val="136"/>
        <w:snapToGrid w:val="0"/>
        <w:spacing w:before="0"/>
        <w:ind w:firstLine="360"/>
        <w:rPr>
          <w:rFonts w:ascii="宋体" w:hAnsi="宋体" w:cs="宋体"/>
          <w:sz w:val="18"/>
          <w:szCs w:val="18"/>
        </w:rPr>
      </w:pPr>
    </w:p>
    <w:p w14:paraId="7317C9BD">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568012F1">
      <w:pPr>
        <w:pStyle w:val="33"/>
        <w:spacing w:line="360" w:lineRule="auto"/>
        <w:rPr>
          <w:rFonts w:hAnsi="宋体" w:cs="宋体"/>
          <w:b/>
          <w:sz w:val="24"/>
          <w:szCs w:val="24"/>
        </w:rPr>
      </w:pPr>
      <w:r>
        <w:rPr>
          <w:rFonts w:hint="eastAsia" w:hAnsi="宋体" w:cs="宋体"/>
          <w:b/>
          <w:sz w:val="24"/>
          <w:szCs w:val="24"/>
        </w:rPr>
        <w:t>5．招标文件的构成</w:t>
      </w:r>
    </w:p>
    <w:p w14:paraId="1347CBF9">
      <w:pPr>
        <w:pStyle w:val="33"/>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244D6A1">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08183CA">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744FFB8D">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5A31C31B">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A124A44">
      <w:pPr>
        <w:pStyle w:val="33"/>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13A69D97">
      <w:pPr>
        <w:pStyle w:val="33"/>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01288DB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8B7E78F">
      <w:pPr>
        <w:pStyle w:val="33"/>
        <w:spacing w:line="360" w:lineRule="auto"/>
        <w:rPr>
          <w:rFonts w:hAnsi="宋体" w:cs="宋体"/>
          <w:b/>
          <w:sz w:val="24"/>
          <w:szCs w:val="24"/>
        </w:rPr>
      </w:pPr>
      <w:r>
        <w:rPr>
          <w:rFonts w:hint="eastAsia" w:hAnsi="宋体" w:cs="宋体"/>
          <w:b/>
          <w:sz w:val="24"/>
          <w:szCs w:val="24"/>
        </w:rPr>
        <w:t>6. 招标文件的澄清、修改</w:t>
      </w:r>
    </w:p>
    <w:p w14:paraId="52578BA6">
      <w:pPr>
        <w:pStyle w:val="136"/>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7E57E32E">
      <w:pPr>
        <w:pStyle w:val="136"/>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BF1FD3">
      <w:pPr>
        <w:pStyle w:val="25"/>
        <w:rPr>
          <w:rFonts w:hAnsi="宋体" w:cs="宋体"/>
          <w:sz w:val="18"/>
          <w:szCs w:val="18"/>
          <w:lang w:val="en-US"/>
        </w:rPr>
      </w:pPr>
      <w:r>
        <w:rPr>
          <w:rFonts w:hint="eastAsia" w:hAnsi="宋体" w:cs="宋体"/>
          <w:szCs w:val="24"/>
          <w:lang w:val="en-US"/>
        </w:rPr>
        <w:t xml:space="preserve">    </w:t>
      </w:r>
    </w:p>
    <w:p w14:paraId="7BB728D6">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5B3E4CFC">
      <w:pPr>
        <w:pStyle w:val="33"/>
        <w:spacing w:line="360" w:lineRule="auto"/>
        <w:rPr>
          <w:rFonts w:hAnsi="宋体" w:cs="宋体"/>
          <w:b/>
          <w:sz w:val="24"/>
          <w:szCs w:val="24"/>
        </w:rPr>
      </w:pPr>
      <w:r>
        <w:rPr>
          <w:rFonts w:hint="eastAsia" w:hAnsi="宋体" w:cs="宋体"/>
          <w:b/>
          <w:sz w:val="24"/>
          <w:szCs w:val="24"/>
        </w:rPr>
        <w:t>7. 招标文件的获取</w:t>
      </w:r>
    </w:p>
    <w:p w14:paraId="709D768E">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3DF8CD16">
      <w:pPr>
        <w:pStyle w:val="33"/>
        <w:spacing w:line="360" w:lineRule="auto"/>
        <w:rPr>
          <w:rFonts w:hAnsi="宋体" w:cs="宋体"/>
          <w:b/>
          <w:sz w:val="24"/>
          <w:szCs w:val="24"/>
        </w:rPr>
      </w:pPr>
      <w:r>
        <w:rPr>
          <w:rFonts w:hint="eastAsia" w:hAnsi="宋体" w:cs="宋体"/>
          <w:b/>
          <w:sz w:val="24"/>
          <w:szCs w:val="24"/>
        </w:rPr>
        <w:t>8.开标前答疑会或现场考察</w:t>
      </w:r>
    </w:p>
    <w:p w14:paraId="2090CE6F">
      <w:pPr>
        <w:pStyle w:val="33"/>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0E1E8745">
      <w:pPr>
        <w:pStyle w:val="33"/>
        <w:spacing w:line="360" w:lineRule="auto"/>
        <w:rPr>
          <w:rFonts w:hAnsi="宋体" w:cs="宋体"/>
          <w:b/>
          <w:szCs w:val="24"/>
        </w:rPr>
      </w:pPr>
      <w:r>
        <w:rPr>
          <w:rFonts w:hint="eastAsia" w:hAnsi="宋体" w:cs="宋体"/>
          <w:b/>
          <w:kern w:val="28"/>
          <w:sz w:val="24"/>
          <w:szCs w:val="24"/>
        </w:rPr>
        <w:t>9.投标保证金</w:t>
      </w:r>
    </w:p>
    <w:p w14:paraId="0B4BD9B3">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81B5463">
      <w:pPr>
        <w:pStyle w:val="33"/>
        <w:spacing w:line="360" w:lineRule="auto"/>
        <w:rPr>
          <w:rFonts w:hAnsi="宋体" w:cs="宋体"/>
          <w:b/>
          <w:sz w:val="24"/>
          <w:szCs w:val="24"/>
        </w:rPr>
      </w:pPr>
      <w:r>
        <w:rPr>
          <w:rFonts w:hint="eastAsia" w:hAnsi="宋体" w:cs="宋体"/>
          <w:b/>
          <w:sz w:val="24"/>
          <w:szCs w:val="24"/>
        </w:rPr>
        <w:t>10. 投标文件的语言</w:t>
      </w:r>
    </w:p>
    <w:p w14:paraId="021B0EC2">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2172A460">
      <w:pPr>
        <w:pStyle w:val="33"/>
        <w:spacing w:line="360" w:lineRule="auto"/>
        <w:rPr>
          <w:rFonts w:hAnsi="宋体" w:cs="宋体"/>
          <w:b/>
          <w:sz w:val="24"/>
          <w:szCs w:val="24"/>
        </w:rPr>
      </w:pPr>
      <w:r>
        <w:rPr>
          <w:rFonts w:hint="eastAsia" w:hAnsi="宋体" w:cs="宋体"/>
          <w:b/>
          <w:sz w:val="24"/>
          <w:szCs w:val="24"/>
        </w:rPr>
        <w:t>11. 投标文件的组成</w:t>
      </w:r>
    </w:p>
    <w:p w14:paraId="7CAE783D">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3A5EFA14">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73A44E44">
      <w:pPr>
        <w:snapToGrid w:val="0"/>
        <w:spacing w:line="360" w:lineRule="auto"/>
        <w:ind w:firstLine="960" w:firstLineChars="400"/>
        <w:rPr>
          <w:rFonts w:hint="eastAsia" w:ascii="宋体" w:hAnsi="宋体" w:cs="宋体"/>
          <w:color w:val="auto"/>
          <w:sz w:val="24"/>
        </w:rPr>
      </w:pPr>
      <w:r>
        <w:rPr>
          <w:rFonts w:hint="eastAsia" w:ascii="宋体" w:hAnsi="宋体" w:cs="宋体"/>
          <w:sz w:val="24"/>
        </w:rPr>
        <w:t>11.1.</w:t>
      </w:r>
      <w:r>
        <w:rPr>
          <w:rFonts w:hint="eastAsia" w:ascii="宋体" w:hAnsi="宋体" w:cs="宋体"/>
          <w:sz w:val="24"/>
          <w:lang w:val="en-US" w:eastAsia="zh-CN"/>
        </w:rPr>
        <w:t>2</w:t>
      </w:r>
      <w:r>
        <w:rPr>
          <w:rFonts w:hint="eastAsia" w:ascii="宋体" w:hAnsi="宋体" w:cs="宋体"/>
          <w:sz w:val="24"/>
        </w:rPr>
        <w:t>落实政府采购政策需满足的资格要求</w:t>
      </w:r>
      <w:r>
        <w:rPr>
          <w:rFonts w:hint="eastAsia" w:ascii="宋体" w:hAnsi="宋体" w:cs="宋体"/>
          <w:color w:val="auto"/>
          <w:sz w:val="24"/>
        </w:rPr>
        <w:t>；</w:t>
      </w:r>
    </w:p>
    <w:p w14:paraId="2D798029">
      <w:pPr>
        <w:snapToGrid w:val="0"/>
        <w:spacing w:line="360" w:lineRule="auto"/>
        <w:ind w:firstLine="960" w:firstLineChars="400"/>
        <w:rPr>
          <w:rFonts w:hint="eastAsia"/>
        </w:rPr>
      </w:pPr>
      <w:r>
        <w:rPr>
          <w:rFonts w:hint="eastAsia" w:ascii="宋体" w:hAnsi="宋体" w:cs="宋体"/>
          <w:sz w:val="24"/>
          <w:lang w:val="en-US" w:eastAsia="zh-CN"/>
        </w:rPr>
        <w:t>11.1.3中小企业声明函。</w:t>
      </w:r>
    </w:p>
    <w:p w14:paraId="590507EC">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p>
    <w:p w14:paraId="4708AEF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62B7C87D">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6DDA661">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3</w:t>
      </w:r>
      <w:r>
        <w:rPr>
          <w:rFonts w:hint="eastAsia" w:ascii="宋体" w:hAnsi="宋体" w:cs="宋体"/>
          <w:sz w:val="24"/>
        </w:rPr>
        <w:t>符合性审查资料；</w:t>
      </w:r>
    </w:p>
    <w:p w14:paraId="60B1F2F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评标标准相应的商务技术资料；</w:t>
      </w:r>
    </w:p>
    <w:p w14:paraId="45436B21">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投标标的清单；</w:t>
      </w:r>
    </w:p>
    <w:p w14:paraId="7391D7FF">
      <w:pPr>
        <w:snapToGrid w:val="0"/>
        <w:spacing w:line="360" w:lineRule="auto"/>
        <w:ind w:firstLine="960" w:firstLineChars="400"/>
        <w:rPr>
          <w:rFonts w:ascii="宋体" w:hAnsi="宋体" w:cs="宋体"/>
          <w:sz w:val="24"/>
        </w:rPr>
      </w:pPr>
      <w:r>
        <w:rPr>
          <w:rFonts w:hint="eastAsia" w:ascii="宋体" w:hAnsi="宋体" w:cs="宋体"/>
          <w:sz w:val="24"/>
        </w:rPr>
        <w:t>11.2.</w:t>
      </w:r>
      <w:r>
        <w:rPr>
          <w:rFonts w:hint="eastAsia" w:ascii="宋体" w:hAnsi="宋体" w:cs="宋体"/>
          <w:sz w:val="24"/>
          <w:lang w:val="en-US" w:eastAsia="zh-CN"/>
        </w:rPr>
        <w:t>6</w:t>
      </w:r>
      <w:r>
        <w:rPr>
          <w:rFonts w:hint="eastAsia" w:ascii="宋体" w:hAnsi="宋体" w:cs="宋体"/>
          <w:sz w:val="24"/>
        </w:rPr>
        <w:t>商务技术偏离表；</w:t>
      </w:r>
    </w:p>
    <w:p w14:paraId="47F679B7">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15F3980">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356A5C54">
      <w:pPr>
        <w:snapToGrid w:val="0"/>
        <w:spacing w:line="360" w:lineRule="auto"/>
        <w:ind w:firstLine="960" w:firstLineChars="400"/>
        <w:rPr>
          <w:rFonts w:hint="eastAsia" w:ascii="宋体" w:hAnsi="宋体" w:cs="宋体"/>
          <w:sz w:val="24"/>
        </w:rPr>
      </w:pPr>
      <w:r>
        <w:rPr>
          <w:rFonts w:hint="eastAsia" w:ascii="宋体" w:hAnsi="宋体" w:cs="宋体"/>
          <w:sz w:val="24"/>
        </w:rPr>
        <w:t>11.3.1开标一览表（报价表）；</w:t>
      </w:r>
    </w:p>
    <w:p w14:paraId="70DF5BD4">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189B4586">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7AF2D37B">
      <w:pPr>
        <w:pStyle w:val="136"/>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EA88626">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B7D5FA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574A03D">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71987947">
      <w:pPr>
        <w:snapToGrid w:val="0"/>
        <w:spacing w:line="360" w:lineRule="auto"/>
        <w:rPr>
          <w:rFonts w:ascii="宋体" w:hAnsi="宋体" w:cs="宋体"/>
          <w:b/>
          <w:sz w:val="24"/>
        </w:rPr>
      </w:pPr>
      <w:r>
        <w:rPr>
          <w:rFonts w:hint="eastAsia" w:ascii="宋体" w:hAnsi="宋体" w:cs="宋体"/>
          <w:b/>
          <w:sz w:val="24"/>
        </w:rPr>
        <w:t>13.投标文件的签署、盖章</w:t>
      </w:r>
    </w:p>
    <w:p w14:paraId="0F607FDC">
      <w:pPr>
        <w:pStyle w:val="136"/>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4875EBF">
      <w:pPr>
        <w:pStyle w:val="136"/>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A3BECE1">
      <w:pPr>
        <w:pStyle w:val="136"/>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48FDE3B5">
      <w:pPr>
        <w:pStyle w:val="136"/>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2AEF3ED1">
      <w:pPr>
        <w:pStyle w:val="136"/>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9923994">
      <w:pPr>
        <w:pStyle w:val="136"/>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C526443">
      <w:pPr>
        <w:pStyle w:val="136"/>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3603D825">
      <w:pPr>
        <w:pStyle w:val="33"/>
        <w:spacing w:line="360" w:lineRule="auto"/>
        <w:rPr>
          <w:rFonts w:hAnsi="宋体" w:cs="宋体"/>
          <w:b/>
          <w:sz w:val="24"/>
          <w:szCs w:val="24"/>
        </w:rPr>
      </w:pPr>
      <w:r>
        <w:rPr>
          <w:rFonts w:hint="eastAsia" w:hAnsi="宋体" w:cs="宋体"/>
          <w:b/>
          <w:sz w:val="24"/>
          <w:szCs w:val="24"/>
        </w:rPr>
        <w:t>15.备份投标文件</w:t>
      </w:r>
    </w:p>
    <w:p w14:paraId="359C4E82">
      <w:pPr>
        <w:pStyle w:val="33"/>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采购代理机构不强制投标人提交备份投标文件。</w:t>
      </w:r>
    </w:p>
    <w:p w14:paraId="2BC81A17">
      <w:pPr>
        <w:pStyle w:val="33"/>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C6E36F5">
      <w:pPr>
        <w:pStyle w:val="33"/>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7B38E33C">
      <w:pPr>
        <w:pStyle w:val="33"/>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14:paraId="6EAF1CCC">
      <w:pPr>
        <w:pStyle w:val="33"/>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A6BE1CE">
      <w:pPr>
        <w:pStyle w:val="136"/>
        <w:spacing w:before="0"/>
        <w:ind w:firstLine="0" w:firstLineChars="0"/>
        <w:rPr>
          <w:rFonts w:ascii="宋体" w:hAnsi="宋体" w:cs="宋体"/>
          <w:b/>
          <w:szCs w:val="24"/>
        </w:rPr>
      </w:pPr>
      <w:r>
        <w:rPr>
          <w:rFonts w:hint="eastAsia" w:ascii="宋体" w:hAnsi="宋体" w:cs="宋体"/>
          <w:b/>
          <w:szCs w:val="24"/>
        </w:rPr>
        <w:t>16.投标文件的无效处理</w:t>
      </w:r>
    </w:p>
    <w:p w14:paraId="65F148EB">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6E3B31B7">
      <w:pPr>
        <w:pStyle w:val="136"/>
        <w:spacing w:before="0"/>
        <w:ind w:firstLine="0" w:firstLineChars="0"/>
        <w:rPr>
          <w:rFonts w:ascii="宋体" w:hAnsi="宋体" w:cs="宋体"/>
          <w:b/>
          <w:szCs w:val="24"/>
        </w:rPr>
      </w:pPr>
      <w:r>
        <w:rPr>
          <w:rFonts w:hint="eastAsia" w:ascii="宋体" w:hAnsi="宋体" w:cs="宋体"/>
          <w:b/>
          <w:szCs w:val="24"/>
        </w:rPr>
        <w:t>17.投标有效期</w:t>
      </w:r>
    </w:p>
    <w:p w14:paraId="6EDD5A4E">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55962BF5">
      <w:pPr>
        <w:pStyle w:val="136"/>
        <w:spacing w:before="0"/>
        <w:ind w:firstLine="480"/>
        <w:rPr>
          <w:rFonts w:ascii="宋体" w:hAnsi="宋体" w:cs="宋体"/>
        </w:rPr>
      </w:pPr>
      <w:r>
        <w:rPr>
          <w:rFonts w:hint="eastAsia" w:ascii="宋体" w:hAnsi="宋体" w:cs="宋体"/>
        </w:rPr>
        <w:t>17.2投标文件合格投递后，自投标截止日期起，在投标有效期内有效。</w:t>
      </w:r>
    </w:p>
    <w:p w14:paraId="1792DC4F">
      <w:pPr>
        <w:pStyle w:val="136"/>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4B67A3F4">
      <w:pPr>
        <w:pStyle w:val="136"/>
        <w:spacing w:before="0"/>
        <w:ind w:firstLine="643"/>
        <w:rPr>
          <w:rFonts w:ascii="宋体" w:hAnsi="宋体" w:cs="宋体"/>
          <w:b/>
          <w:sz w:val="32"/>
        </w:rPr>
      </w:pPr>
    </w:p>
    <w:p w14:paraId="7F82F3BB">
      <w:pPr>
        <w:pStyle w:val="136"/>
        <w:spacing w:before="0"/>
        <w:ind w:firstLine="1928" w:firstLineChars="600"/>
        <w:rPr>
          <w:rFonts w:ascii="宋体" w:hAnsi="宋体" w:cs="宋体"/>
          <w:b/>
          <w:sz w:val="32"/>
          <w:highlight w:val="yellow"/>
        </w:rPr>
      </w:pPr>
      <w:r>
        <w:rPr>
          <w:rFonts w:hint="eastAsia" w:ascii="宋体" w:hAnsi="宋体" w:cs="宋体"/>
          <w:b/>
          <w:sz w:val="32"/>
          <w:highlight w:val="yellow"/>
        </w:rPr>
        <w:t>四、开标、资格审查与信用信息查询</w:t>
      </w:r>
    </w:p>
    <w:p w14:paraId="2A563EA7">
      <w:pPr>
        <w:pStyle w:val="559"/>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lang w:val="en-US" w:eastAsia="zh-CN"/>
        </w:rPr>
        <w:t>18.</w:t>
      </w:r>
      <w:r>
        <w:rPr>
          <w:rFonts w:hint="eastAsia" w:ascii="宋体" w:hAnsi="宋体" w:cs="宋体"/>
          <w:b/>
          <w:bCs w:val="0"/>
          <w:sz w:val="24"/>
          <w:szCs w:val="24"/>
        </w:rPr>
        <w:t>开标准备</w:t>
      </w:r>
    </w:p>
    <w:p w14:paraId="09D71E10">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1、开标的准备工作由采购组织机构负责落实。</w:t>
      </w:r>
    </w:p>
    <w:p w14:paraId="0310B0D1">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采购组织机构将按照采购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8216914">
      <w:pPr>
        <w:pStyle w:val="559"/>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lang w:val="en-US" w:eastAsia="zh-CN"/>
        </w:rPr>
        <w:t>19.</w:t>
      </w:r>
      <w:r>
        <w:rPr>
          <w:rFonts w:hint="eastAsia" w:ascii="宋体" w:hAnsi="宋体" w:cs="宋体"/>
          <w:b/>
          <w:bCs w:val="0"/>
          <w:sz w:val="24"/>
          <w:szCs w:val="24"/>
        </w:rPr>
        <w:t>采购人或者采购代理机构职责</w:t>
      </w:r>
    </w:p>
    <w:p w14:paraId="2B077F8A">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采购人或者采购代理机构负责组织评标工作，并履行下列职责：</w:t>
      </w:r>
    </w:p>
    <w:p w14:paraId="08732A93">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1、核对评审专家身份和采购人代表授权函，对评审专家在政府采购活动中的职责履行情况予以记录，并及时将有关违法违规行为向财政部门报告；</w:t>
      </w:r>
    </w:p>
    <w:p w14:paraId="5B1740F8">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2、宣布评标纪律；</w:t>
      </w:r>
    </w:p>
    <w:p w14:paraId="5ABC543F">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3、公布供应商名单，告知评审专家应当回避的情形；</w:t>
      </w:r>
    </w:p>
    <w:p w14:paraId="461465DE">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4、组织评标委员会推选评标组长，采购人代表不得担任组长；</w:t>
      </w:r>
    </w:p>
    <w:p w14:paraId="6F07C5CD">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5、在评标期间采取必要的通讯管理措施，保证评标活动不受外界干扰；</w:t>
      </w:r>
    </w:p>
    <w:p w14:paraId="59F03E27">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6、根据评标委员会的要求介绍政府采购相关政策法规、采购文件；</w:t>
      </w:r>
    </w:p>
    <w:p w14:paraId="76E21A87">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7、维护评标秩序，监督评标委员会依照采购文件规定的评标程序、方法和标准进行独立评审，及时制止和纠正采购人代表、评审专家的倾向性言论或者违法违规行为；</w:t>
      </w:r>
    </w:p>
    <w:p w14:paraId="18608BA5">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8、核对评标结果，根据《政府采购货物和服务招标投标管理办法》，如有第六十四条规定情形的，要求评标委员会复核或者书面说明理由，评标委员会拒绝的，应予记录并向本级财政部门报告；</w:t>
      </w:r>
    </w:p>
    <w:p w14:paraId="058AA8E4">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9、评审工作完成后，按照规定向评审专家支付劳务报酬和异地评审差旅费；</w:t>
      </w:r>
    </w:p>
    <w:p w14:paraId="7D957FF0">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10、处理与评标有关的其他事项。</w:t>
      </w:r>
    </w:p>
    <w:p w14:paraId="4392161E">
      <w:pPr>
        <w:pStyle w:val="559"/>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lang w:val="en-US" w:eastAsia="zh-CN"/>
        </w:rPr>
        <w:t>20.</w:t>
      </w:r>
      <w:r>
        <w:rPr>
          <w:rFonts w:hint="eastAsia" w:ascii="宋体" w:hAnsi="宋体" w:cs="宋体"/>
          <w:b/>
          <w:bCs w:val="0"/>
          <w:sz w:val="24"/>
          <w:szCs w:val="24"/>
        </w:rPr>
        <w:t>开标流程（两阶段）</w:t>
      </w:r>
    </w:p>
    <w:p w14:paraId="5C58B4DA">
      <w:pPr>
        <w:pStyle w:val="559"/>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rPr>
        <w:t>1、开标第一阶段</w:t>
      </w:r>
    </w:p>
    <w:p w14:paraId="710F71BD">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6354A43F">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（2）开启投标文件，进入资格审查；</w:t>
      </w:r>
    </w:p>
    <w:p w14:paraId="59737E56">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（3）开启资格审查通过的投标供应商的商务技术文件进入符合性审查、商务技术评审；</w:t>
      </w:r>
    </w:p>
    <w:p w14:paraId="5DFAC930">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（4）第一阶段开标结束。</w:t>
      </w:r>
    </w:p>
    <w:p w14:paraId="6BB707E9">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备注：首先依法对投标供应商的资格进行审查，资格审查结束后进入符合性审查和商务技术的评审工作，具体见本章节“投标供应商资格审查”相关规定。</w:t>
      </w:r>
    </w:p>
    <w:p w14:paraId="67F9A268">
      <w:pPr>
        <w:pStyle w:val="559"/>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rPr>
        <w:t>2、开标大会第二阶段</w:t>
      </w:r>
    </w:p>
    <w:p w14:paraId="48E690D4">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1符合性审查。磋商小组应当对符合资格的供应商的响应文件进行符合性审查，以确定其是否满足采购文件的实质性要求。不满足采购文件的实质性要求的，响应文件无效。</w:t>
      </w:r>
    </w:p>
    <w:p w14:paraId="49685B07">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 磋商。磋商小组将对确定为实质性响应本采购文件的响应文件进行详细评价和比较，主要就资信、服务方案内容、服务承诺等磋商小组认为与本次采购有关的因素与符合性审查合格的供应商逐一进行磋商。</w:t>
      </w:r>
    </w:p>
    <w:p w14:paraId="31E4A913">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2.1 供应商逐家回答磋商小组的提问；逐家磋商一次为一个轮次，磋商轮次根据实际情况进行（不超过3次）。</w:t>
      </w:r>
    </w:p>
    <w:p w14:paraId="0B57F17C">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2.2 供应商应按磋商小组通知的时间在线或以邮件回复做出承诺或回复，承诺或回复的内容须由供应商盖章，并作为响应文件的补充部分。</w:t>
      </w:r>
    </w:p>
    <w:p w14:paraId="46BB603E">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 xml:space="preserve">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符合性审查合格的供应商。 </w:t>
      </w:r>
    </w:p>
    <w:p w14:paraId="7D6F4484">
      <w:pPr>
        <w:pStyle w:val="559"/>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rPr>
        <w:t>3最后报价</w:t>
      </w:r>
    </w:p>
    <w:p w14:paraId="7644AC86">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3.1 磋商文件能够详细列明采购标的的技术、服务要求的，磋商结束后，磋商小组应当要求所有符合性审查合格的供应商在规定时间内提交最后报价，提交最后报价的供应商不得少于3家。</w:t>
      </w:r>
    </w:p>
    <w:p w14:paraId="51AAACA8">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0C47BF66">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3.3 已提交响应文件的供应商，在提交最后报价之前，可以根据磋商情况退出磋商</w:t>
      </w:r>
    </w:p>
    <w:p w14:paraId="63979C3A">
      <w:pPr>
        <w:pStyle w:val="559"/>
        <w:spacing w:before="0" w:line="360" w:lineRule="auto"/>
        <w:ind w:left="0" w:firstLine="241" w:firstLineChars="100"/>
        <w:contextualSpacing/>
        <w:rPr>
          <w:rFonts w:hint="eastAsia" w:ascii="宋体" w:hAnsi="宋体" w:cs="宋体"/>
          <w:b w:val="0"/>
          <w:bCs/>
          <w:sz w:val="24"/>
          <w:szCs w:val="24"/>
        </w:rPr>
      </w:pPr>
      <w:r>
        <w:rPr>
          <w:rFonts w:hint="eastAsia" w:ascii="宋体" w:hAnsi="宋体" w:cs="宋体"/>
          <w:b/>
          <w:bCs w:val="0"/>
          <w:sz w:val="24"/>
          <w:szCs w:val="24"/>
        </w:rPr>
        <w:t>4 综合评分</w:t>
      </w:r>
      <w:r>
        <w:rPr>
          <w:rFonts w:hint="eastAsia" w:ascii="宋体" w:hAnsi="宋体" w:cs="宋体"/>
          <w:b w:val="0"/>
          <w:bCs/>
          <w:sz w:val="24"/>
          <w:szCs w:val="24"/>
        </w:rPr>
        <w:t>。经磋商确定最终采购需求和提交最后报价的供应商后，磋商小组应当按照采购文件中规定的评审标准，对符合性审查合格的响应文件进行综合评分。磋商文件中没有规定的评审标准不得作为评审依据。</w:t>
      </w:r>
    </w:p>
    <w:p w14:paraId="642A6989">
      <w:pPr>
        <w:pStyle w:val="559"/>
        <w:spacing w:before="0" w:line="360" w:lineRule="auto"/>
        <w:ind w:left="0" w:firstLine="240" w:firstLineChars="100"/>
        <w:contextualSpacing/>
        <w:rPr>
          <w:rFonts w:hint="eastAsia" w:ascii="宋体" w:hAnsi="宋体" w:cs="宋体"/>
          <w:b w:val="0"/>
          <w:bCs/>
          <w:sz w:val="24"/>
          <w:szCs w:val="24"/>
        </w:rPr>
      </w:pPr>
      <w:r>
        <w:rPr>
          <w:rFonts w:hint="eastAsia" w:ascii="宋体" w:hAnsi="宋体" w:cs="宋体"/>
          <w:b w:val="0"/>
          <w:bCs/>
          <w:sz w:val="24"/>
          <w:szCs w:val="24"/>
        </w:rPr>
        <w:t>5汇总商务技术得分。磋商小组各成员应当独立对每个供应商的商务和技术文件进行评价，并汇总商务技术得分情况。</w:t>
      </w:r>
    </w:p>
    <w:p w14:paraId="43D2D4A9">
      <w:pPr>
        <w:pStyle w:val="559"/>
        <w:spacing w:before="0" w:line="360" w:lineRule="auto"/>
        <w:ind w:left="0" w:firstLine="241" w:firstLineChars="100"/>
        <w:contextualSpacing/>
        <w:rPr>
          <w:rFonts w:hint="eastAsia" w:ascii="宋体" w:hAnsi="宋体" w:cs="宋体"/>
          <w:b/>
          <w:bCs w:val="0"/>
          <w:sz w:val="24"/>
          <w:szCs w:val="24"/>
        </w:rPr>
      </w:pPr>
      <w:r>
        <w:rPr>
          <w:rFonts w:hint="eastAsia" w:ascii="宋体" w:hAnsi="宋体" w:cs="宋体"/>
          <w:b/>
          <w:bCs w:val="0"/>
          <w:sz w:val="24"/>
          <w:szCs w:val="24"/>
        </w:rPr>
        <w:t>6报价评审。</w:t>
      </w:r>
    </w:p>
    <w:p w14:paraId="4841932B">
      <w:pPr>
        <w:pStyle w:val="559"/>
        <w:spacing w:before="0" w:line="360" w:lineRule="auto"/>
        <w:ind w:left="0" w:firstLine="241" w:firstLineChars="100"/>
        <w:contextualSpacing/>
        <w:rPr>
          <w:rFonts w:hint="eastAsia" w:ascii="宋体" w:hAnsi="宋体" w:cs="宋体"/>
          <w:b w:val="0"/>
          <w:bCs/>
          <w:sz w:val="24"/>
          <w:szCs w:val="24"/>
        </w:rPr>
      </w:pPr>
      <w:r>
        <w:rPr>
          <w:rFonts w:hint="eastAsia" w:ascii="宋体" w:hAnsi="宋体" w:cs="宋体"/>
          <w:b/>
          <w:bCs w:val="0"/>
          <w:sz w:val="24"/>
          <w:szCs w:val="24"/>
        </w:rPr>
        <w:t>7排序与推荐。</w:t>
      </w:r>
      <w:r>
        <w:rPr>
          <w:rFonts w:hint="eastAsia" w:ascii="宋体" w:hAnsi="宋体" w:cs="宋体"/>
          <w:b w:val="0"/>
          <w:bCs/>
          <w:sz w:val="24"/>
          <w:szCs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p>
    <w:p w14:paraId="7AF2E1F2">
      <w:pPr>
        <w:pStyle w:val="559"/>
        <w:spacing w:before="0" w:line="360" w:lineRule="auto"/>
        <w:ind w:left="0" w:firstLine="241" w:firstLineChars="100"/>
        <w:contextualSpacing/>
        <w:rPr>
          <w:rFonts w:hint="eastAsia" w:ascii="宋体" w:hAnsi="宋体" w:cs="宋体"/>
          <w:b w:val="0"/>
          <w:bCs/>
          <w:sz w:val="24"/>
        </w:rPr>
      </w:pPr>
      <w:r>
        <w:rPr>
          <w:rFonts w:hint="eastAsia" w:ascii="宋体" w:hAnsi="宋体" w:cs="宋体"/>
          <w:b/>
          <w:bCs w:val="0"/>
          <w:sz w:val="24"/>
          <w:szCs w:val="24"/>
        </w:rPr>
        <w:t>8编写评审报告。</w:t>
      </w:r>
      <w:r>
        <w:rPr>
          <w:rFonts w:hint="eastAsia" w:ascii="宋体" w:hAnsi="宋体" w:cs="宋体"/>
          <w:b w:val="0"/>
          <w:bCs/>
          <w:sz w:val="24"/>
          <w:szCs w:val="24"/>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特别说明：如遇“政府采购云平台”电子化开标或评审程序调整的，按调整后程序执行。</w:t>
      </w:r>
      <w:r>
        <w:rPr>
          <w:rFonts w:hint="eastAsia" w:ascii="宋体" w:hAnsi="宋体" w:cs="宋体"/>
          <w:b w:val="0"/>
          <w:bCs/>
          <w:sz w:val="24"/>
        </w:rPr>
        <w:t>　</w:t>
      </w:r>
      <w:bookmarkStart w:id="17" w:name="_Toc24550037"/>
      <w:bookmarkStart w:id="18" w:name="_Toc33194393"/>
    </w:p>
    <w:p w14:paraId="2F0F562F">
      <w:pPr>
        <w:pStyle w:val="559"/>
        <w:spacing w:before="0" w:line="360" w:lineRule="auto"/>
        <w:ind w:left="0" w:firstLine="241" w:firstLineChars="100"/>
        <w:contextualSpacing/>
        <w:rPr>
          <w:rFonts w:hint="eastAsia" w:ascii="宋体" w:hAnsi="宋体" w:cs="宋体"/>
          <w:b/>
          <w:bCs w:val="0"/>
          <w:sz w:val="24"/>
        </w:rPr>
      </w:pPr>
      <w:r>
        <w:rPr>
          <w:rFonts w:hint="eastAsia" w:ascii="宋体" w:hAnsi="宋体" w:cs="宋体"/>
          <w:b/>
          <w:bCs w:val="0"/>
          <w:sz w:val="24"/>
        </w:rPr>
        <w:t>投标供应商资格审查</w:t>
      </w:r>
      <w:bookmarkEnd w:id="17"/>
      <w:bookmarkEnd w:id="18"/>
    </w:p>
    <w:p w14:paraId="49CA51F5">
      <w:pPr>
        <w:pStyle w:val="559"/>
        <w:spacing w:before="0" w:line="360" w:lineRule="auto"/>
        <w:ind w:left="0" w:firstLine="240" w:firstLineChars="100"/>
        <w:contextualSpacing/>
        <w:rPr>
          <w:rFonts w:hint="eastAsia" w:ascii="宋体" w:hAnsi="宋体" w:cs="宋体"/>
          <w:b w:val="0"/>
          <w:bCs/>
          <w:sz w:val="24"/>
        </w:rPr>
      </w:pPr>
      <w:r>
        <w:rPr>
          <w:rFonts w:hint="eastAsia" w:ascii="宋体" w:hAnsi="宋体" w:cs="宋体"/>
          <w:b w:val="0"/>
          <w:bCs/>
          <w:sz w:val="24"/>
        </w:rPr>
        <w:t>1、开标大会第一阶段结束后，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6F0AD9C5">
      <w:pPr>
        <w:pStyle w:val="559"/>
        <w:spacing w:before="0" w:line="360" w:lineRule="auto"/>
        <w:ind w:left="0" w:firstLine="240" w:firstLineChars="100"/>
        <w:contextualSpacing/>
        <w:rPr>
          <w:rFonts w:hint="eastAsia" w:ascii="宋体" w:hAnsi="宋体" w:cs="宋体"/>
          <w:b/>
          <w:bCs w:val="0"/>
          <w:sz w:val="24"/>
          <w:lang w:val="en-US" w:eastAsia="zh-CN"/>
        </w:rPr>
      </w:pPr>
      <w:r>
        <w:rPr>
          <w:rFonts w:hint="eastAsia" w:ascii="宋体" w:hAnsi="宋体" w:cs="宋体"/>
          <w:b w:val="0"/>
          <w:bCs/>
          <w:sz w:val="24"/>
        </w:rPr>
        <w:t>2、投标供应商提交的资格证明材料无法证明其符合采购文件规定的“投标供应商资格要求”的，采购人或采购代理机构将对其作资格审查不通过处理（无效投标），并不再将其投标提交评标委员会进行后续评审。</w:t>
      </w:r>
    </w:p>
    <w:p w14:paraId="690BB888">
      <w:pPr>
        <w:pStyle w:val="559"/>
        <w:spacing w:before="0" w:line="360" w:lineRule="auto"/>
        <w:ind w:left="0" w:firstLine="241" w:firstLineChars="100"/>
        <w:contextualSpacing/>
        <w:rPr>
          <w:rFonts w:hint="eastAsia" w:ascii="宋体" w:hAnsi="宋体" w:cs="宋体"/>
          <w:b/>
          <w:bCs w:val="0"/>
          <w:sz w:val="24"/>
        </w:rPr>
      </w:pPr>
      <w:r>
        <w:rPr>
          <w:rFonts w:hint="eastAsia" w:ascii="宋体" w:hAnsi="宋体" w:cs="宋体"/>
          <w:b/>
          <w:bCs w:val="0"/>
          <w:sz w:val="24"/>
        </w:rPr>
        <w:t>信用信息查询</w:t>
      </w:r>
    </w:p>
    <w:p w14:paraId="102F7A27">
      <w:pPr>
        <w:pStyle w:val="136"/>
        <w:spacing w:before="0"/>
        <w:ind w:firstLine="495" w:firstLineChars="0"/>
        <w:rPr>
          <w:rFonts w:ascii="宋体" w:hAnsi="宋体" w:cs="宋体"/>
          <w:kern w:val="0"/>
          <w:szCs w:val="24"/>
        </w:rPr>
      </w:pPr>
      <w:r>
        <w:rPr>
          <w:rFonts w:hint="eastAsia" w:ascii="宋体" w:hAnsi="宋体" w:cs="宋体"/>
          <w:kern w:val="0"/>
          <w:szCs w:val="24"/>
          <w:lang w:val="en-US" w:eastAsia="zh-CN"/>
        </w:rPr>
        <w:t>1.</w:t>
      </w:r>
      <w:r>
        <w:rPr>
          <w:rFonts w:hint="eastAsia" w:ascii="宋体" w:hAnsi="宋体" w:cs="宋体"/>
          <w:kern w:val="0"/>
          <w:szCs w:val="24"/>
        </w:rPr>
        <w:t>信用信息查询渠道及截止时间：采购代理机构将在资格审查时通过“信用中国”网站(www.creditchina.gov.cn)、中国政府采购网(www.ccgp.gov.cn)渠道查询投标人接受资格审查时的信用记录。</w:t>
      </w:r>
    </w:p>
    <w:p w14:paraId="74C1C6B9">
      <w:pPr>
        <w:pStyle w:val="136"/>
        <w:spacing w:before="0"/>
        <w:ind w:firstLine="495" w:firstLineChars="0"/>
        <w:rPr>
          <w:rFonts w:ascii="宋体" w:hAnsi="宋体" w:cs="宋体"/>
          <w:kern w:val="0"/>
          <w:szCs w:val="24"/>
        </w:rPr>
      </w:pPr>
      <w:r>
        <w:rPr>
          <w:rFonts w:hint="eastAsia" w:ascii="宋体" w:hAnsi="宋体" w:cs="宋体"/>
          <w:kern w:val="0"/>
          <w:szCs w:val="24"/>
          <w:lang w:val="en-US" w:eastAsia="zh-CN"/>
        </w:rPr>
        <w:t>2.</w:t>
      </w:r>
      <w:r>
        <w:rPr>
          <w:rFonts w:hint="eastAsia" w:ascii="宋体" w:hAnsi="宋体" w:cs="宋体"/>
          <w:kern w:val="0"/>
          <w:szCs w:val="24"/>
        </w:rPr>
        <w:t>信用信息查询记录和证据留存的具体方式：现场查询的投标人的信用记录、查询结果经确认后将与采购文件一起存档。</w:t>
      </w:r>
    </w:p>
    <w:p w14:paraId="34F7707E">
      <w:pPr>
        <w:pStyle w:val="136"/>
        <w:spacing w:before="0"/>
        <w:ind w:firstLine="495" w:firstLineChars="0"/>
        <w:rPr>
          <w:rFonts w:ascii="宋体" w:hAnsi="宋体" w:cs="宋体"/>
          <w:kern w:val="0"/>
          <w:szCs w:val="24"/>
        </w:rPr>
      </w:pPr>
      <w:r>
        <w:rPr>
          <w:rFonts w:hint="eastAsia" w:ascii="宋体" w:hAnsi="宋体" w:cs="宋体"/>
          <w:kern w:val="0"/>
          <w:szCs w:val="24"/>
          <w:lang w:val="en-US" w:eastAsia="zh-CN"/>
        </w:rPr>
        <w:t>3.</w:t>
      </w:r>
      <w:r>
        <w:rPr>
          <w:rFonts w:hint="eastAsia" w:ascii="宋体" w:hAnsi="宋体" w:cs="宋体"/>
          <w:kern w:val="0"/>
          <w:szCs w:val="24"/>
        </w:rPr>
        <w:t>信用信息的使用规则：经查询列入失信被执行人名单、重大税收违法案件当事人名单、政府采购严重违法失信行为记录名单的投标人将被拒绝参与政府采购活动。</w:t>
      </w:r>
    </w:p>
    <w:p w14:paraId="3E59B45A">
      <w:pPr>
        <w:pStyle w:val="136"/>
        <w:spacing w:before="0"/>
        <w:ind w:firstLine="480"/>
        <w:rPr>
          <w:rFonts w:ascii="宋体" w:hAnsi="宋体" w:cs="宋体"/>
        </w:rPr>
      </w:pPr>
      <w:r>
        <w:rPr>
          <w:rFonts w:hint="eastAsia" w:ascii="宋体" w:hAnsi="宋体" w:cs="宋体"/>
          <w:kern w:val="0"/>
          <w:szCs w:val="24"/>
          <w:lang w:val="en-US" w:eastAsia="zh-CN"/>
        </w:rPr>
        <w:t>4.</w:t>
      </w:r>
      <w:r>
        <w:rPr>
          <w:rFonts w:hint="eastAsia" w:ascii="宋体" w:hAnsi="宋体" w:cs="宋体"/>
          <w:kern w:val="0"/>
          <w:szCs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80547F5">
      <w:pPr>
        <w:pStyle w:val="136"/>
        <w:spacing w:before="0"/>
        <w:ind w:firstLine="0" w:firstLineChars="0"/>
        <w:rPr>
          <w:rFonts w:ascii="宋体" w:hAnsi="宋体" w:cs="宋体"/>
          <w:kern w:val="0"/>
          <w:szCs w:val="24"/>
        </w:rPr>
      </w:pPr>
    </w:p>
    <w:p w14:paraId="0F81D8F9">
      <w:pPr>
        <w:snapToGrid w:val="0"/>
        <w:spacing w:line="360" w:lineRule="auto"/>
        <w:jc w:val="center"/>
        <w:outlineLvl w:val="0"/>
        <w:rPr>
          <w:rFonts w:ascii="宋体" w:hAnsi="宋体" w:cs="宋体"/>
          <w:b/>
          <w:sz w:val="36"/>
          <w:szCs w:val="36"/>
          <w:highlight w:val="yellow"/>
        </w:rPr>
      </w:pPr>
      <w:bookmarkStart w:id="406" w:name="_GoBack"/>
      <w:r>
        <w:rPr>
          <w:rFonts w:hint="eastAsia" w:ascii="宋体" w:hAnsi="宋体" w:cs="宋体"/>
          <w:b/>
          <w:sz w:val="36"/>
          <w:szCs w:val="36"/>
          <w:highlight w:val="yellow"/>
        </w:rPr>
        <w:t>五、评标</w:t>
      </w:r>
    </w:p>
    <w:bookmarkEnd w:id="406"/>
    <w:p w14:paraId="2F47EDB9">
      <w:pPr>
        <w:pStyle w:val="136"/>
        <w:spacing w:before="0"/>
        <w:ind w:firstLine="495" w:firstLineChars="0"/>
        <w:rPr>
          <w:rFonts w:hint="eastAsia" w:ascii="宋体" w:hAnsi="宋体" w:cs="宋体"/>
          <w:kern w:val="0"/>
          <w:szCs w:val="24"/>
          <w:lang w:val="en-US" w:eastAsia="zh-CN"/>
        </w:rPr>
      </w:pPr>
      <w:bookmarkStart w:id="19" w:name="_Toc91899903"/>
      <w:r>
        <w:rPr>
          <w:rFonts w:hint="eastAsia" w:ascii="宋体" w:hAnsi="宋体" w:cs="宋体"/>
          <w:kern w:val="0"/>
          <w:szCs w:val="24"/>
        </w:rPr>
        <w:t xml:space="preserve">21. </w:t>
      </w:r>
      <w:r>
        <w:rPr>
          <w:rFonts w:hint="eastAsia" w:ascii="宋体" w:hAnsi="宋体" w:cs="宋体"/>
          <w:kern w:val="0"/>
          <w:szCs w:val="24"/>
          <w:lang w:val="en-US" w:eastAsia="zh-CN"/>
        </w:rPr>
        <w:t>评标</w:t>
      </w:r>
    </w:p>
    <w:p w14:paraId="7ED91BCB">
      <w:pPr>
        <w:pStyle w:val="136"/>
        <w:spacing w:before="0"/>
        <w:ind w:firstLine="495" w:firstLineChars="0"/>
        <w:rPr>
          <w:rFonts w:hint="eastAsia" w:ascii="宋体" w:hAnsi="宋体" w:cs="宋体"/>
          <w:b/>
          <w:bCs/>
          <w:kern w:val="0"/>
          <w:szCs w:val="24"/>
        </w:rPr>
      </w:pPr>
      <w:r>
        <w:rPr>
          <w:rFonts w:hint="eastAsia" w:ascii="宋体" w:hAnsi="宋体" w:cs="宋体"/>
          <w:b/>
          <w:bCs/>
          <w:kern w:val="0"/>
          <w:szCs w:val="24"/>
        </w:rPr>
        <w:t>（一）组建评标委员会</w:t>
      </w:r>
    </w:p>
    <w:p w14:paraId="33CEC9BA">
      <w:pPr>
        <w:pStyle w:val="136"/>
        <w:spacing w:before="0"/>
        <w:ind w:firstLine="495" w:firstLineChars="0"/>
        <w:rPr>
          <w:rFonts w:hint="eastAsia" w:ascii="宋体" w:hAnsi="宋体" w:cs="宋体"/>
          <w:kern w:val="0"/>
          <w:szCs w:val="24"/>
        </w:rPr>
      </w:pPr>
      <w:r>
        <w:rPr>
          <w:rFonts w:hint="eastAsia" w:ascii="宋体" w:hAnsi="宋体" w:cs="宋体"/>
          <w:kern w:val="0"/>
          <w:szCs w:val="24"/>
        </w:rPr>
        <w:t>评标委员会由政府采购评审专家</w:t>
      </w:r>
      <w:r>
        <w:rPr>
          <w:rFonts w:hint="eastAsia" w:ascii="宋体" w:hAnsi="宋体" w:cs="宋体"/>
          <w:kern w:val="0"/>
          <w:szCs w:val="24"/>
          <w:u w:val="single"/>
        </w:rPr>
        <w:t>2人</w:t>
      </w:r>
      <w:r>
        <w:rPr>
          <w:rFonts w:hint="eastAsia" w:ascii="宋体" w:hAnsi="宋体" w:cs="宋体"/>
          <w:kern w:val="0"/>
          <w:szCs w:val="24"/>
        </w:rPr>
        <w:t>和采购人代表</w:t>
      </w:r>
      <w:r>
        <w:rPr>
          <w:rFonts w:hint="eastAsia" w:ascii="宋体" w:hAnsi="宋体" w:cs="宋体"/>
          <w:kern w:val="0"/>
          <w:szCs w:val="24"/>
          <w:u w:val="single"/>
        </w:rPr>
        <w:t>1人</w:t>
      </w:r>
      <w:r>
        <w:rPr>
          <w:rFonts w:hint="eastAsia" w:ascii="宋体" w:hAnsi="宋体" w:cs="宋体"/>
          <w:kern w:val="0"/>
          <w:szCs w:val="24"/>
        </w:rPr>
        <w:t>，</w:t>
      </w:r>
      <w:r>
        <w:rPr>
          <w:rFonts w:hint="eastAsia" w:ascii="宋体" w:hAnsi="宋体" w:cs="宋体"/>
          <w:kern w:val="0"/>
          <w:szCs w:val="24"/>
          <w:u w:val="single"/>
        </w:rPr>
        <w:t>共3人</w:t>
      </w:r>
      <w:r>
        <w:rPr>
          <w:rFonts w:hint="eastAsia" w:ascii="宋体" w:hAnsi="宋体" w:cs="宋体"/>
          <w:kern w:val="0"/>
          <w:szCs w:val="24"/>
        </w:rPr>
        <w:t>组成。</w:t>
      </w:r>
    </w:p>
    <w:p w14:paraId="2167EADA">
      <w:pPr>
        <w:pStyle w:val="136"/>
        <w:spacing w:before="0"/>
        <w:ind w:firstLine="495" w:firstLineChars="0"/>
        <w:rPr>
          <w:rFonts w:hint="eastAsia" w:ascii="宋体" w:hAnsi="宋体" w:cs="宋体"/>
          <w:kern w:val="0"/>
          <w:szCs w:val="24"/>
        </w:rPr>
      </w:pPr>
      <w:r>
        <w:rPr>
          <w:rFonts w:hint="eastAsia" w:ascii="宋体" w:hAnsi="宋体" w:cs="宋体"/>
          <w:kern w:val="0"/>
          <w:szCs w:val="24"/>
        </w:rPr>
        <w:t>评标委员会负责具体评标事务，并独立履行下列职责：</w:t>
      </w:r>
    </w:p>
    <w:p w14:paraId="4EE0D191">
      <w:pPr>
        <w:pStyle w:val="136"/>
        <w:spacing w:before="0"/>
        <w:ind w:firstLine="495" w:firstLineChars="0"/>
        <w:rPr>
          <w:rFonts w:hint="eastAsia" w:ascii="宋体" w:hAnsi="宋体" w:cs="宋体"/>
          <w:kern w:val="0"/>
          <w:szCs w:val="24"/>
        </w:rPr>
      </w:pPr>
      <w:r>
        <w:rPr>
          <w:rFonts w:hint="eastAsia" w:ascii="宋体" w:hAnsi="宋体" w:cs="宋体"/>
          <w:kern w:val="0"/>
          <w:szCs w:val="24"/>
        </w:rPr>
        <w:t>1、审查、评价投标文件是否符合采购文件的商务、技术等实质性要求；</w:t>
      </w:r>
    </w:p>
    <w:p w14:paraId="72AE61A2">
      <w:pPr>
        <w:pStyle w:val="136"/>
        <w:spacing w:before="0"/>
        <w:ind w:firstLine="495" w:firstLineChars="0"/>
        <w:rPr>
          <w:rFonts w:hint="eastAsia" w:ascii="宋体" w:hAnsi="宋体" w:cs="宋体"/>
          <w:kern w:val="0"/>
          <w:szCs w:val="24"/>
        </w:rPr>
      </w:pPr>
      <w:r>
        <w:rPr>
          <w:rFonts w:hint="eastAsia" w:ascii="宋体" w:hAnsi="宋体" w:cs="宋体"/>
          <w:kern w:val="0"/>
          <w:szCs w:val="24"/>
        </w:rPr>
        <w:t>2、要求供应商对投标文件有关事项作出澄清或者说明；</w:t>
      </w:r>
    </w:p>
    <w:p w14:paraId="72FD96A8">
      <w:pPr>
        <w:pStyle w:val="136"/>
        <w:spacing w:before="0"/>
        <w:ind w:firstLine="495" w:firstLineChars="0"/>
        <w:rPr>
          <w:rFonts w:hint="eastAsia" w:ascii="宋体" w:hAnsi="宋体" w:cs="宋体"/>
          <w:kern w:val="0"/>
          <w:szCs w:val="24"/>
        </w:rPr>
      </w:pPr>
      <w:r>
        <w:rPr>
          <w:rFonts w:hint="eastAsia" w:ascii="宋体" w:hAnsi="宋体" w:cs="宋体"/>
          <w:kern w:val="0"/>
          <w:szCs w:val="24"/>
        </w:rPr>
        <w:t>3、对投标文件进行比较和评价；</w:t>
      </w:r>
    </w:p>
    <w:p w14:paraId="613CA1AF">
      <w:pPr>
        <w:pStyle w:val="136"/>
        <w:spacing w:before="0"/>
        <w:ind w:firstLine="495" w:firstLineChars="0"/>
        <w:rPr>
          <w:rFonts w:hint="eastAsia" w:ascii="宋体" w:hAnsi="宋体" w:cs="宋体"/>
          <w:kern w:val="0"/>
          <w:szCs w:val="24"/>
        </w:rPr>
      </w:pPr>
      <w:r>
        <w:rPr>
          <w:rFonts w:hint="eastAsia" w:ascii="宋体" w:hAnsi="宋体" w:cs="宋体"/>
          <w:kern w:val="0"/>
          <w:szCs w:val="24"/>
        </w:rPr>
        <w:t>4、确定中标候选人名单，以及根据采购人委托直接确定中标人；</w:t>
      </w:r>
    </w:p>
    <w:p w14:paraId="23AFD737">
      <w:pPr>
        <w:pStyle w:val="136"/>
        <w:spacing w:before="0"/>
        <w:ind w:firstLine="495" w:firstLineChars="0"/>
        <w:rPr>
          <w:rFonts w:hint="eastAsia" w:ascii="宋体" w:hAnsi="宋体" w:cs="宋体"/>
          <w:kern w:val="0"/>
          <w:szCs w:val="24"/>
        </w:rPr>
      </w:pPr>
      <w:r>
        <w:rPr>
          <w:rFonts w:hint="eastAsia" w:ascii="宋体" w:hAnsi="宋体" w:cs="宋体"/>
          <w:kern w:val="0"/>
          <w:szCs w:val="24"/>
        </w:rPr>
        <w:t>5、向采购人、采购代理机构或者有关部门报告评标中发现的违法行为。</w:t>
      </w:r>
    </w:p>
    <w:p w14:paraId="28E08646">
      <w:pPr>
        <w:pStyle w:val="136"/>
        <w:spacing w:before="0"/>
        <w:ind w:firstLine="495" w:firstLineChars="0"/>
        <w:rPr>
          <w:rFonts w:hint="eastAsia" w:ascii="宋体" w:hAnsi="宋体" w:cs="宋体"/>
          <w:kern w:val="0"/>
          <w:szCs w:val="24"/>
        </w:rPr>
      </w:pPr>
      <w:r>
        <w:rPr>
          <w:rFonts w:hint="eastAsia" w:ascii="宋体" w:hAnsi="宋体" w:cs="宋体"/>
          <w:kern w:val="0"/>
          <w:szCs w:val="24"/>
        </w:rPr>
        <w:t>除采购人代表、评标现场组织人员外，采购人的其他工作人员以及与评标工作无关的人员不得进入评标现场。</w:t>
      </w:r>
    </w:p>
    <w:p w14:paraId="711824F8">
      <w:pPr>
        <w:pStyle w:val="136"/>
        <w:spacing w:before="0"/>
        <w:ind w:firstLine="495" w:firstLineChars="0"/>
        <w:rPr>
          <w:rFonts w:hint="eastAsia" w:ascii="宋体" w:hAnsi="宋体" w:cs="宋体"/>
          <w:b/>
          <w:bCs/>
          <w:kern w:val="0"/>
          <w:szCs w:val="24"/>
        </w:rPr>
      </w:pPr>
      <w:r>
        <w:rPr>
          <w:rFonts w:hint="eastAsia" w:ascii="宋体" w:hAnsi="宋体" w:cs="宋体"/>
          <w:b/>
          <w:bCs/>
          <w:kern w:val="0"/>
          <w:szCs w:val="24"/>
        </w:rPr>
        <w:t>（二）评标的方式</w:t>
      </w:r>
    </w:p>
    <w:p w14:paraId="6D8D7286">
      <w:pPr>
        <w:pStyle w:val="136"/>
        <w:spacing w:before="0"/>
        <w:ind w:firstLine="495" w:firstLineChars="0"/>
        <w:rPr>
          <w:rFonts w:hint="eastAsia" w:ascii="宋体" w:hAnsi="宋体" w:cs="宋体"/>
          <w:kern w:val="0"/>
          <w:szCs w:val="24"/>
        </w:rPr>
      </w:pPr>
      <w:r>
        <w:rPr>
          <w:rFonts w:hint="eastAsia" w:ascii="宋体" w:hAnsi="宋体" w:cs="宋体"/>
          <w:kern w:val="0"/>
          <w:szCs w:val="24"/>
        </w:rPr>
        <w:t>本项目采用不公开方式评标，评标的依据为采购文件和投标文件。</w:t>
      </w:r>
    </w:p>
    <w:p w14:paraId="7A303F43">
      <w:pPr>
        <w:pStyle w:val="136"/>
        <w:spacing w:before="0"/>
        <w:ind w:firstLine="495" w:firstLineChars="0"/>
        <w:rPr>
          <w:rFonts w:hint="eastAsia" w:ascii="宋体" w:hAnsi="宋体" w:cs="宋体"/>
          <w:b/>
          <w:bCs/>
          <w:kern w:val="0"/>
          <w:szCs w:val="24"/>
        </w:rPr>
      </w:pPr>
      <w:r>
        <w:rPr>
          <w:rFonts w:hint="eastAsia" w:ascii="宋体" w:hAnsi="宋体" w:cs="宋体"/>
          <w:b/>
          <w:bCs/>
          <w:kern w:val="0"/>
          <w:szCs w:val="24"/>
        </w:rPr>
        <w:t>（三）评标程序</w:t>
      </w:r>
    </w:p>
    <w:p w14:paraId="49106569">
      <w:pPr>
        <w:pStyle w:val="136"/>
        <w:spacing w:before="0"/>
        <w:ind w:firstLine="495" w:firstLineChars="0"/>
        <w:rPr>
          <w:rFonts w:hint="eastAsia" w:ascii="宋体" w:hAnsi="宋体" w:cs="宋体"/>
          <w:kern w:val="0"/>
          <w:szCs w:val="24"/>
        </w:rPr>
      </w:pPr>
      <w:r>
        <w:rPr>
          <w:rFonts w:hint="eastAsia" w:ascii="宋体" w:hAnsi="宋体" w:cs="宋体"/>
          <w:kern w:val="0"/>
          <w:szCs w:val="24"/>
        </w:rPr>
        <w:t>采购人可以在评标前说明项目背景和采购需求，说明内容不得含有歧视性、倾向性意见，不得超出采购文件所述范围。说明应当提交书面材料，并随采购文件一并存档。</w:t>
      </w:r>
    </w:p>
    <w:p w14:paraId="217A4151">
      <w:pPr>
        <w:pStyle w:val="136"/>
        <w:spacing w:before="0"/>
        <w:ind w:firstLine="495" w:firstLineChars="0"/>
        <w:rPr>
          <w:rFonts w:hint="eastAsia" w:ascii="宋体" w:hAnsi="宋体" w:cs="宋体"/>
          <w:kern w:val="0"/>
          <w:szCs w:val="24"/>
        </w:rPr>
      </w:pPr>
      <w:r>
        <w:rPr>
          <w:rFonts w:hint="eastAsia" w:ascii="宋体" w:hAnsi="宋体" w:cs="宋体"/>
          <w:kern w:val="0"/>
          <w:szCs w:val="24"/>
        </w:rPr>
        <w:t>1、形式审查</w:t>
      </w:r>
    </w:p>
    <w:p w14:paraId="486DAC92">
      <w:pPr>
        <w:pStyle w:val="136"/>
        <w:spacing w:before="0"/>
        <w:ind w:firstLine="495" w:firstLineChars="0"/>
        <w:rPr>
          <w:rFonts w:hint="eastAsia" w:ascii="宋体" w:hAnsi="宋体" w:cs="宋体"/>
          <w:kern w:val="0"/>
          <w:szCs w:val="24"/>
        </w:rPr>
      </w:pPr>
      <w:r>
        <w:rPr>
          <w:rFonts w:hint="eastAsia" w:ascii="宋体" w:hAnsi="宋体" w:cs="宋体"/>
          <w:kern w:val="0"/>
          <w:szCs w:val="24"/>
        </w:rPr>
        <w:t>形式审查包括资格审查和符合性审查，即对供应商的资格和投标文件的完整性、合法性等进行审查。投标文件形式审查未通过的供应商，其投标文件将不再评审。</w:t>
      </w:r>
    </w:p>
    <w:p w14:paraId="7CB6A47E">
      <w:pPr>
        <w:pStyle w:val="136"/>
        <w:spacing w:before="0"/>
        <w:ind w:firstLine="495" w:firstLineChars="0"/>
        <w:rPr>
          <w:rFonts w:hint="eastAsia" w:ascii="宋体" w:hAnsi="宋体" w:cs="宋体"/>
          <w:kern w:val="0"/>
          <w:szCs w:val="24"/>
        </w:rPr>
      </w:pPr>
      <w:r>
        <w:rPr>
          <w:rFonts w:hint="eastAsia" w:ascii="宋体" w:hAnsi="宋体" w:cs="宋体"/>
          <w:kern w:val="0"/>
          <w:szCs w:val="24"/>
        </w:rPr>
        <w:t>2、实质审查与比较</w:t>
      </w:r>
    </w:p>
    <w:p w14:paraId="318B7998">
      <w:pPr>
        <w:pStyle w:val="136"/>
        <w:spacing w:before="0"/>
        <w:ind w:firstLine="495" w:firstLineChars="0"/>
        <w:rPr>
          <w:rFonts w:hint="eastAsia" w:ascii="宋体" w:hAnsi="宋体" w:cs="宋体"/>
          <w:kern w:val="0"/>
          <w:szCs w:val="24"/>
        </w:rPr>
      </w:pPr>
      <w:r>
        <w:rPr>
          <w:rFonts w:hint="eastAsia" w:ascii="宋体" w:hAnsi="宋体" w:cs="宋体"/>
          <w:kern w:val="0"/>
          <w:szCs w:val="24"/>
        </w:rPr>
        <w:t>（1）评标委员会审查投标文件的实质性内容是否符合采购文件的实质性要求。</w:t>
      </w:r>
    </w:p>
    <w:p w14:paraId="6105EF1B">
      <w:pPr>
        <w:pStyle w:val="136"/>
        <w:spacing w:before="0"/>
        <w:ind w:firstLine="495" w:firstLineChars="0"/>
        <w:rPr>
          <w:rFonts w:hint="eastAsia" w:ascii="宋体" w:hAnsi="宋体" w:cs="宋体"/>
          <w:kern w:val="0"/>
          <w:szCs w:val="24"/>
        </w:rPr>
      </w:pPr>
      <w:r>
        <w:rPr>
          <w:rFonts w:hint="eastAsia" w:ascii="宋体" w:hAnsi="宋体" w:cs="宋体"/>
          <w:kern w:val="0"/>
          <w:szCs w:val="24"/>
        </w:rPr>
        <w:t>（2）评标委员会将根据供应商的投标文件进行审查、核对,如有疑问,将对供应商进行询标,供应商要向评标委员会澄清有关问题,并最终以书面形式进行答复。</w:t>
      </w:r>
    </w:p>
    <w:p w14:paraId="1E096753">
      <w:pPr>
        <w:pStyle w:val="136"/>
        <w:spacing w:before="0"/>
        <w:ind w:firstLine="495" w:firstLineChars="0"/>
        <w:rPr>
          <w:rFonts w:hint="eastAsia" w:ascii="宋体" w:hAnsi="宋体" w:cs="宋体"/>
          <w:kern w:val="0"/>
          <w:szCs w:val="24"/>
        </w:rPr>
      </w:pPr>
      <w:r>
        <w:rPr>
          <w:rFonts w:hint="eastAsia" w:ascii="宋体" w:hAnsi="宋体" w:cs="宋体"/>
          <w:kern w:val="0"/>
          <w:szCs w:val="24"/>
        </w:rPr>
        <w:t>询标时，供应商代表未在线或者拒绝澄清或者澄清的内容改变了投标文件的实质性内容的，评标委员会有权对该投标文件作出不利于供应商的评判。</w:t>
      </w:r>
    </w:p>
    <w:p w14:paraId="1F70AC06">
      <w:pPr>
        <w:pStyle w:val="136"/>
        <w:spacing w:before="0"/>
        <w:ind w:firstLine="495" w:firstLineChars="0"/>
        <w:rPr>
          <w:rFonts w:hint="eastAsia" w:ascii="宋体" w:hAnsi="宋体" w:cs="宋体"/>
          <w:kern w:val="0"/>
          <w:szCs w:val="24"/>
        </w:rPr>
      </w:pPr>
      <w:r>
        <w:rPr>
          <w:rFonts w:hint="eastAsia" w:ascii="宋体" w:hAnsi="宋体" w:cs="宋体"/>
          <w:kern w:val="0"/>
          <w:szCs w:val="24"/>
        </w:rPr>
        <w:t>（3）各供应商的商务资信技术分按照评标委员会成员的独立评分结果汇总后的算术平均分计算。</w:t>
      </w:r>
    </w:p>
    <w:p w14:paraId="234FA900">
      <w:pPr>
        <w:pStyle w:val="136"/>
        <w:spacing w:before="0"/>
        <w:ind w:firstLine="495" w:firstLineChars="0"/>
        <w:rPr>
          <w:rFonts w:hint="eastAsia" w:ascii="宋体" w:hAnsi="宋体" w:cs="宋体"/>
          <w:kern w:val="0"/>
          <w:szCs w:val="24"/>
        </w:rPr>
      </w:pPr>
      <w:r>
        <w:rPr>
          <w:rFonts w:hint="eastAsia" w:ascii="宋体" w:hAnsi="宋体" w:cs="宋体"/>
          <w:kern w:val="0"/>
          <w:szCs w:val="24"/>
        </w:rPr>
        <w:t>（4）采购代理机构工作人员协助评标委员会根据本项目的评分标准操作政府采购业务系统，由系统计算各供应商的报价得分。</w:t>
      </w:r>
    </w:p>
    <w:p w14:paraId="2FB81504">
      <w:pPr>
        <w:pStyle w:val="136"/>
        <w:spacing w:before="0"/>
        <w:ind w:firstLine="495" w:firstLineChars="0"/>
        <w:rPr>
          <w:rFonts w:hint="eastAsia" w:ascii="宋体" w:hAnsi="宋体" w:cs="宋体"/>
          <w:kern w:val="0"/>
          <w:szCs w:val="24"/>
        </w:rPr>
      </w:pPr>
      <w:r>
        <w:rPr>
          <w:rFonts w:hint="eastAsia" w:ascii="宋体" w:hAnsi="宋体" w:cs="宋体"/>
          <w:kern w:val="0"/>
          <w:szCs w:val="24"/>
        </w:rPr>
        <w:t>（5）评标委员会完成评标后,评委对各部分得分汇总，计算出本项目最终得分、性价比、评标价等。评标委员会按评标原则推荐中标候选人同时起草评标报告。</w:t>
      </w:r>
    </w:p>
    <w:p w14:paraId="4B2C2799">
      <w:pPr>
        <w:pStyle w:val="136"/>
        <w:spacing w:before="0"/>
        <w:ind w:firstLine="495" w:firstLineChars="0"/>
        <w:rPr>
          <w:rFonts w:hint="eastAsia" w:ascii="宋体" w:hAnsi="宋体" w:cs="宋体"/>
          <w:b/>
          <w:bCs/>
          <w:kern w:val="0"/>
          <w:szCs w:val="24"/>
        </w:rPr>
      </w:pPr>
      <w:r>
        <w:rPr>
          <w:rFonts w:hint="eastAsia" w:ascii="宋体" w:hAnsi="宋体" w:cs="宋体"/>
          <w:b/>
          <w:bCs/>
          <w:kern w:val="0"/>
          <w:szCs w:val="24"/>
        </w:rPr>
        <w:t>（四）澄清问题的形式</w:t>
      </w:r>
    </w:p>
    <w:p w14:paraId="2E589A80">
      <w:pPr>
        <w:pStyle w:val="136"/>
        <w:spacing w:before="0"/>
        <w:ind w:firstLine="495" w:firstLineChars="0"/>
        <w:rPr>
          <w:rFonts w:hint="eastAsia" w:ascii="宋体" w:hAnsi="宋体" w:cs="宋体"/>
          <w:kern w:val="0"/>
          <w:szCs w:val="24"/>
        </w:rPr>
      </w:pPr>
      <w:r>
        <w:rPr>
          <w:rFonts w:hint="eastAsia" w:ascii="宋体" w:hAnsi="宋体" w:cs="宋体"/>
          <w:kern w:val="0"/>
          <w:szCs w:val="24"/>
        </w:rPr>
        <w:t>（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37BC1264">
      <w:pPr>
        <w:pStyle w:val="136"/>
        <w:spacing w:before="0"/>
        <w:ind w:firstLine="495" w:firstLineChars="0"/>
        <w:rPr>
          <w:rFonts w:hint="eastAsia" w:ascii="宋体" w:hAnsi="宋体" w:cs="宋体"/>
          <w:kern w:val="0"/>
          <w:szCs w:val="24"/>
        </w:rPr>
      </w:pPr>
      <w:r>
        <w:rPr>
          <w:rFonts w:hint="eastAsia" w:ascii="宋体" w:hAnsi="宋体" w:cs="宋体"/>
          <w:kern w:val="0"/>
          <w:szCs w:val="24"/>
        </w:rPr>
        <w:t>（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42FB9A51">
      <w:pPr>
        <w:pStyle w:val="136"/>
        <w:spacing w:before="0"/>
        <w:ind w:firstLine="495" w:firstLineChars="0"/>
        <w:rPr>
          <w:rFonts w:hint="eastAsia" w:ascii="宋体" w:hAnsi="宋体" w:cs="宋体"/>
          <w:b/>
          <w:bCs/>
          <w:kern w:val="0"/>
          <w:szCs w:val="24"/>
        </w:rPr>
      </w:pPr>
      <w:r>
        <w:rPr>
          <w:rFonts w:hint="eastAsia" w:ascii="宋体" w:hAnsi="宋体" w:cs="宋体"/>
          <w:b/>
          <w:bCs/>
          <w:kern w:val="0"/>
          <w:szCs w:val="24"/>
        </w:rPr>
        <w:t>（五）错误修正</w:t>
      </w:r>
    </w:p>
    <w:p w14:paraId="6A27CC71">
      <w:pPr>
        <w:pStyle w:val="136"/>
        <w:spacing w:before="0"/>
        <w:ind w:firstLine="495" w:firstLineChars="0"/>
        <w:rPr>
          <w:rFonts w:hint="eastAsia" w:ascii="宋体" w:hAnsi="宋体" w:cs="宋体"/>
          <w:kern w:val="0"/>
          <w:szCs w:val="24"/>
        </w:rPr>
      </w:pPr>
      <w:r>
        <w:rPr>
          <w:rFonts w:hint="eastAsia" w:ascii="宋体" w:hAnsi="宋体" w:cs="宋体"/>
          <w:kern w:val="0"/>
          <w:szCs w:val="24"/>
        </w:rPr>
        <w:t>投标文件如果出现计算或表达上的错误，修正错误的原则如下：</w:t>
      </w:r>
    </w:p>
    <w:p w14:paraId="57E83C77">
      <w:pPr>
        <w:pStyle w:val="136"/>
        <w:spacing w:before="0"/>
        <w:ind w:firstLine="495" w:firstLineChars="0"/>
        <w:rPr>
          <w:rFonts w:hint="eastAsia" w:ascii="宋体" w:hAnsi="宋体" w:cs="宋体"/>
          <w:kern w:val="0"/>
          <w:szCs w:val="24"/>
        </w:rPr>
      </w:pPr>
      <w:r>
        <w:rPr>
          <w:rFonts w:hint="eastAsia" w:ascii="宋体" w:hAnsi="宋体" w:cs="宋体"/>
          <w:kern w:val="0"/>
          <w:szCs w:val="24"/>
        </w:rPr>
        <w:t>1、开标一览表总价与投标报价明细表汇总数不一致的，以开标一览表为准；</w:t>
      </w:r>
    </w:p>
    <w:p w14:paraId="1CEE1CF8">
      <w:pPr>
        <w:pStyle w:val="136"/>
        <w:spacing w:before="0"/>
        <w:ind w:firstLine="495" w:firstLineChars="0"/>
        <w:rPr>
          <w:rFonts w:hint="eastAsia" w:ascii="宋体" w:hAnsi="宋体" w:cs="宋体"/>
          <w:kern w:val="0"/>
          <w:szCs w:val="24"/>
        </w:rPr>
      </w:pPr>
      <w:r>
        <w:rPr>
          <w:rFonts w:hint="eastAsia" w:ascii="宋体" w:hAnsi="宋体" w:cs="宋体"/>
          <w:kern w:val="0"/>
          <w:szCs w:val="24"/>
        </w:rPr>
        <w:t>2、投标文件的大写金额和小写金额不一致的，以大写金额为准；</w:t>
      </w:r>
    </w:p>
    <w:p w14:paraId="1A2C56A0">
      <w:pPr>
        <w:pStyle w:val="136"/>
        <w:spacing w:before="0"/>
        <w:ind w:firstLine="495" w:firstLineChars="0"/>
        <w:rPr>
          <w:rFonts w:hint="eastAsia" w:ascii="宋体" w:hAnsi="宋体" w:cs="宋体"/>
          <w:kern w:val="0"/>
          <w:szCs w:val="24"/>
        </w:rPr>
      </w:pPr>
      <w:r>
        <w:rPr>
          <w:rFonts w:hint="eastAsia" w:ascii="宋体" w:hAnsi="宋体" w:cs="宋体"/>
          <w:kern w:val="0"/>
          <w:szCs w:val="24"/>
        </w:rPr>
        <w:t>3、总价金额与按单价汇总金额不一致的，以单价金额计算结果为准；</w:t>
      </w:r>
    </w:p>
    <w:p w14:paraId="41AAE818">
      <w:pPr>
        <w:pStyle w:val="136"/>
        <w:spacing w:before="0"/>
        <w:ind w:firstLine="495" w:firstLineChars="0"/>
        <w:rPr>
          <w:rFonts w:hint="eastAsia" w:ascii="宋体" w:hAnsi="宋体" w:cs="宋体"/>
          <w:kern w:val="0"/>
          <w:szCs w:val="24"/>
        </w:rPr>
      </w:pPr>
      <w:r>
        <w:rPr>
          <w:rFonts w:hint="eastAsia" w:ascii="宋体" w:hAnsi="宋体" w:cs="宋体"/>
          <w:kern w:val="0"/>
          <w:szCs w:val="24"/>
        </w:rPr>
        <w:t>4、对不同文字文本投标文件的解释发生异议的，以中文文本为准。</w:t>
      </w:r>
    </w:p>
    <w:p w14:paraId="7095FE00">
      <w:pPr>
        <w:pStyle w:val="136"/>
        <w:spacing w:before="0"/>
        <w:ind w:firstLine="495" w:firstLineChars="0"/>
        <w:rPr>
          <w:rFonts w:hint="eastAsia" w:ascii="宋体" w:hAnsi="宋体" w:cs="宋体"/>
          <w:b/>
          <w:bCs/>
          <w:kern w:val="0"/>
          <w:szCs w:val="24"/>
        </w:rPr>
      </w:pPr>
      <w:r>
        <w:rPr>
          <w:rFonts w:hint="eastAsia" w:ascii="宋体" w:hAnsi="宋体" w:cs="宋体"/>
          <w:b/>
          <w:bCs/>
          <w:kern w:val="0"/>
          <w:szCs w:val="24"/>
        </w:rPr>
        <w:t>（六）评标原则和评标办法</w:t>
      </w:r>
    </w:p>
    <w:p w14:paraId="74371622">
      <w:pPr>
        <w:pStyle w:val="136"/>
        <w:spacing w:before="0"/>
        <w:ind w:firstLine="495" w:firstLineChars="0"/>
        <w:rPr>
          <w:rFonts w:hint="eastAsia" w:ascii="宋体" w:hAnsi="宋体" w:cs="宋体"/>
          <w:kern w:val="0"/>
          <w:szCs w:val="24"/>
        </w:rPr>
      </w:pPr>
      <w:r>
        <w:rPr>
          <w:rFonts w:hint="eastAsia" w:ascii="宋体" w:hAnsi="宋体" w:cs="宋体"/>
          <w:kern w:val="0"/>
          <w:szCs w:val="24"/>
        </w:rPr>
        <w:t>1、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03B4CF55">
      <w:pPr>
        <w:pStyle w:val="136"/>
        <w:spacing w:before="0"/>
        <w:ind w:firstLine="495" w:firstLineChars="0"/>
        <w:rPr>
          <w:rFonts w:hint="eastAsia" w:ascii="宋体" w:hAnsi="宋体" w:cs="宋体"/>
          <w:kern w:val="0"/>
          <w:szCs w:val="24"/>
        </w:rPr>
      </w:pPr>
      <w:r>
        <w:rPr>
          <w:rFonts w:hint="eastAsia" w:ascii="宋体" w:hAnsi="宋体" w:cs="宋体"/>
          <w:kern w:val="0"/>
          <w:szCs w:val="24"/>
        </w:rPr>
        <w:t>2、评标办法。本项目评标办法是 综合评标法 ，具体评标内容及评分标准等详见《第四章：评标办法及评分标准》。</w:t>
      </w:r>
    </w:p>
    <w:p w14:paraId="7669165F">
      <w:pPr>
        <w:pStyle w:val="136"/>
        <w:spacing w:before="0"/>
        <w:ind w:firstLine="495" w:firstLineChars="0"/>
        <w:rPr>
          <w:rFonts w:hint="eastAsia" w:ascii="宋体" w:hAnsi="宋体" w:cs="宋体"/>
          <w:b/>
          <w:bCs/>
          <w:kern w:val="0"/>
          <w:szCs w:val="24"/>
        </w:rPr>
      </w:pPr>
      <w:r>
        <w:rPr>
          <w:rFonts w:hint="eastAsia" w:ascii="宋体" w:hAnsi="宋体" w:cs="宋体"/>
          <w:b/>
          <w:bCs/>
          <w:kern w:val="0"/>
          <w:szCs w:val="24"/>
        </w:rPr>
        <w:t>（七）评标过程的监控</w:t>
      </w:r>
    </w:p>
    <w:p w14:paraId="68E7C1F6">
      <w:pPr>
        <w:pStyle w:val="136"/>
        <w:spacing w:before="0"/>
        <w:ind w:firstLine="495" w:firstLineChars="0"/>
        <w:rPr>
          <w:rFonts w:hint="eastAsia" w:ascii="宋体" w:hAnsi="宋体" w:cs="宋体"/>
          <w:kern w:val="0"/>
          <w:szCs w:val="24"/>
        </w:rPr>
      </w:pPr>
      <w:r>
        <w:rPr>
          <w:rFonts w:hint="eastAsia" w:ascii="宋体" w:hAnsi="宋体" w:cs="宋体"/>
          <w:kern w:val="0"/>
          <w:szCs w:val="24"/>
        </w:rPr>
        <w:t>本项目评标过程实行全程录音、录像监控。供应商在评标过程中所进行的试图影响评标结果的不公正活动，可能导致其投标被拒绝。</w:t>
      </w:r>
    </w:p>
    <w:p w14:paraId="0414E952">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60FF2C94">
      <w:pPr>
        <w:pStyle w:val="26"/>
        <w:spacing w:line="360" w:lineRule="auto"/>
        <w:ind w:left="479" w:hanging="479" w:hangingChars="199"/>
        <w:rPr>
          <w:rFonts w:cs="宋体"/>
          <w:b/>
        </w:rPr>
      </w:pPr>
      <w:r>
        <w:rPr>
          <w:rFonts w:hint="eastAsia" w:cs="宋体"/>
          <w:b/>
        </w:rPr>
        <w:t>22. 确定中标供应商</w:t>
      </w:r>
    </w:p>
    <w:p w14:paraId="0870F9AF">
      <w:pPr>
        <w:pStyle w:val="136"/>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875F3EF">
      <w:pPr>
        <w:pStyle w:val="136"/>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5D9D097">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23.1自中标人确定之日起2个工作日内，采购代理机构通过电子交易平台编制发布采购结果公告。采购代理机构以纸质形式进行中标通知。</w:t>
      </w:r>
    </w:p>
    <w:p w14:paraId="106CBC11">
      <w:pPr>
        <w:widowControl/>
        <w:shd w:val="clear" w:color="auto" w:fill="FFFFFF"/>
        <w:spacing w:line="360" w:lineRule="auto"/>
        <w:ind w:firstLine="480"/>
        <w:jc w:val="left"/>
        <w:rPr>
          <w:rFonts w:ascii="宋体" w:hAnsi="宋体" w:cs="宋体"/>
          <w:sz w:val="24"/>
        </w:rPr>
      </w:pPr>
      <w:r>
        <w:rPr>
          <w:rFonts w:hint="eastAsia" w:ascii="宋体" w:hAnsi="宋体" w:cs="宋体"/>
          <w:sz w:val="24"/>
        </w:rPr>
        <w:t>23.</w:t>
      </w:r>
      <w:r>
        <w:rPr>
          <w:rFonts w:hint="eastAsia" w:ascii="宋体" w:hAnsi="宋体" w:cs="宋体"/>
          <w:sz w:val="24"/>
          <w:lang w:val="en-US" w:eastAsia="zh-CN"/>
        </w:rPr>
        <w:t>2</w:t>
      </w:r>
      <w:r>
        <w:rPr>
          <w:rFonts w:hint="eastAsia" w:ascii="宋体" w:hAnsi="宋体" w:cs="宋体"/>
          <w:sz w:val="24"/>
        </w:rPr>
        <w:t>公告期限为1个工作日。</w:t>
      </w:r>
    </w:p>
    <w:p w14:paraId="0F5E3270">
      <w:pPr>
        <w:snapToGrid w:val="0"/>
        <w:spacing w:line="360" w:lineRule="auto"/>
        <w:ind w:left="120" w:leftChars="57" w:firstLine="482" w:firstLineChars="150"/>
        <w:jc w:val="center"/>
        <w:rPr>
          <w:rFonts w:ascii="宋体" w:hAnsi="宋体" w:cs="宋体"/>
          <w:b/>
          <w:sz w:val="32"/>
        </w:rPr>
      </w:pPr>
    </w:p>
    <w:p w14:paraId="089660D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2CB64C09">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37426F7C">
      <w:pPr>
        <w:pStyle w:val="26"/>
        <w:spacing w:line="360" w:lineRule="auto"/>
        <w:ind w:left="479" w:hanging="479" w:hangingChars="199"/>
        <w:rPr>
          <w:rFonts w:cs="宋体"/>
          <w:b/>
        </w:rPr>
      </w:pPr>
      <w:r>
        <w:rPr>
          <w:rFonts w:hint="eastAsia" w:cs="宋体"/>
          <w:b/>
        </w:rPr>
        <w:t>25. 合同的签订</w:t>
      </w:r>
    </w:p>
    <w:p w14:paraId="3A012917">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除不可抗力等特殊情况外，原则上应当在中标通知书发出之日起10个工作日内，与中标供应商按照采购文件确定的事项签订政府采购合同。</w:t>
      </w:r>
    </w:p>
    <w:p w14:paraId="45151439">
      <w:pPr>
        <w:pStyle w:val="136"/>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w:t>
      </w:r>
    </w:p>
    <w:p w14:paraId="3771ABBF">
      <w:pPr>
        <w:pStyle w:val="136"/>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29019C3E">
      <w:pPr>
        <w:pStyle w:val="136"/>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ACE162A">
      <w:pPr>
        <w:pStyle w:val="26"/>
        <w:spacing w:line="360" w:lineRule="auto"/>
        <w:ind w:left="479" w:hanging="479" w:hangingChars="199"/>
        <w:rPr>
          <w:rFonts w:hint="eastAsia" w:eastAsia="宋体" w:cs="宋体"/>
          <w:b/>
          <w:lang w:eastAsia="zh-CN"/>
        </w:rPr>
      </w:pPr>
      <w:r>
        <w:rPr>
          <w:rFonts w:hint="eastAsia" w:cs="宋体"/>
          <w:b/>
        </w:rPr>
        <w:t>26. 履约保证金</w:t>
      </w:r>
      <w:r>
        <w:rPr>
          <w:rFonts w:hint="eastAsia" w:cs="宋体"/>
          <w:b/>
          <w:lang w:eastAsia="zh-CN"/>
        </w:rPr>
        <w:t>：无</w:t>
      </w:r>
    </w:p>
    <w:p w14:paraId="47044D7A">
      <w:pPr>
        <w:pStyle w:val="4"/>
        <w:rPr>
          <w:rFonts w:hint="eastAsia" w:eastAsia="宋体"/>
          <w:lang w:eastAsia="zh-CN"/>
        </w:rPr>
      </w:pPr>
      <w:r>
        <w:rPr>
          <w:rFonts w:ascii="宋体" w:hAnsi="宋体" w:eastAsia="宋体"/>
          <w:sz w:val="24"/>
          <w:lang w:val="en-US"/>
        </w:rPr>
        <w:t>27.预付款</w:t>
      </w:r>
      <w:r>
        <w:rPr>
          <w:rFonts w:hint="eastAsia" w:ascii="宋体" w:hAnsi="宋体" w:eastAsia="宋体"/>
          <w:sz w:val="24"/>
          <w:lang w:val="en-US" w:eastAsia="zh-CN"/>
        </w:rPr>
        <w:t>：详见付款方式</w:t>
      </w:r>
    </w:p>
    <w:p w14:paraId="222A4F2E"/>
    <w:p w14:paraId="51EC864F">
      <w:pPr>
        <w:snapToGrid w:val="0"/>
        <w:spacing w:line="360" w:lineRule="auto"/>
        <w:ind w:firstLine="3357" w:firstLineChars="1045"/>
        <w:rPr>
          <w:rFonts w:ascii="宋体" w:hAnsi="宋体" w:cs="宋体"/>
          <w:b/>
          <w:sz w:val="32"/>
        </w:rPr>
      </w:pPr>
    </w:p>
    <w:p w14:paraId="6CCB7574">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271D12AF">
      <w:pPr>
        <w:pStyle w:val="136"/>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792F6A30">
      <w:pPr>
        <w:pStyle w:val="136"/>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668FB0B7">
      <w:pPr>
        <w:pStyle w:val="136"/>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73A8EDE7">
      <w:pPr>
        <w:pStyle w:val="136"/>
        <w:snapToGrid w:val="0"/>
        <w:spacing w:before="0"/>
        <w:ind w:firstLine="480"/>
        <w:rPr>
          <w:rFonts w:ascii="宋体" w:hAnsi="宋体" w:cs="宋体"/>
        </w:rPr>
      </w:pPr>
      <w:r>
        <w:rPr>
          <w:rFonts w:hint="eastAsia" w:ascii="宋体" w:hAnsi="宋体" w:cs="宋体"/>
        </w:rPr>
        <w:t>28.3电子交易平台发现严重安全漏洞，有潜在泄密危险的；</w:t>
      </w:r>
    </w:p>
    <w:p w14:paraId="09A57951">
      <w:pPr>
        <w:pStyle w:val="136"/>
        <w:snapToGrid w:val="0"/>
        <w:spacing w:before="0"/>
        <w:ind w:firstLine="480"/>
        <w:rPr>
          <w:rFonts w:ascii="宋体" w:hAnsi="宋体" w:cs="宋体"/>
        </w:rPr>
      </w:pPr>
      <w:r>
        <w:rPr>
          <w:rFonts w:hint="eastAsia" w:ascii="宋体" w:hAnsi="宋体" w:cs="宋体"/>
        </w:rPr>
        <w:t xml:space="preserve">28.4病毒发作导致不能进行正常操作的； </w:t>
      </w:r>
    </w:p>
    <w:p w14:paraId="6C3EA664">
      <w:pPr>
        <w:pStyle w:val="136"/>
        <w:snapToGrid w:val="0"/>
        <w:spacing w:before="0"/>
        <w:ind w:firstLine="480"/>
        <w:rPr>
          <w:rFonts w:ascii="宋体" w:hAnsi="宋体" w:cs="宋体"/>
        </w:rPr>
      </w:pPr>
      <w:r>
        <w:rPr>
          <w:rFonts w:hint="eastAsia" w:ascii="宋体" w:hAnsi="宋体" w:cs="宋体"/>
        </w:rPr>
        <w:t>28.5其他无法保证电子交易的公平、公正和安全的情况。</w:t>
      </w:r>
    </w:p>
    <w:p w14:paraId="7DDAEF3F">
      <w:pPr>
        <w:pStyle w:val="136"/>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93A2D1B">
      <w:pPr>
        <w:tabs>
          <w:tab w:val="left" w:pos="0"/>
        </w:tabs>
        <w:spacing w:line="360" w:lineRule="auto"/>
        <w:ind w:firstLine="480"/>
        <w:rPr>
          <w:rFonts w:ascii="宋体" w:hAnsi="宋体" w:cs="宋体"/>
          <w:sz w:val="24"/>
        </w:rPr>
      </w:pPr>
    </w:p>
    <w:p w14:paraId="3613D455">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2384EE54">
      <w:pPr>
        <w:pStyle w:val="26"/>
        <w:spacing w:line="360" w:lineRule="auto"/>
        <w:ind w:firstLine="0" w:firstLineChars="0"/>
        <w:rPr>
          <w:rFonts w:cs="宋体"/>
          <w:b/>
        </w:rPr>
      </w:pPr>
      <w:r>
        <w:rPr>
          <w:rFonts w:hint="eastAsia" w:cs="宋体"/>
          <w:b/>
        </w:rPr>
        <w:t>30.验收</w:t>
      </w:r>
    </w:p>
    <w:p w14:paraId="4314DE18">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57BFD3">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2779613D">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076A53">
      <w:pPr>
        <w:tabs>
          <w:tab w:val="left" w:pos="0"/>
        </w:tabs>
        <w:spacing w:line="360" w:lineRule="auto"/>
        <w:ind w:firstLine="480"/>
        <w:rPr>
          <w:rFonts w:ascii="宋体" w:hAnsi="宋体" w:cs="宋体"/>
          <w:sz w:val="18"/>
          <w:szCs w:val="18"/>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7CDF006E">
      <w:pPr>
        <w:snapToGrid w:val="0"/>
        <w:spacing w:line="360" w:lineRule="auto"/>
        <w:ind w:left="120" w:leftChars="57" w:firstLine="482" w:firstLineChars="150"/>
        <w:jc w:val="center"/>
        <w:rPr>
          <w:rFonts w:hint="eastAsia" w:ascii="宋体" w:hAnsi="宋体" w:eastAsia="宋体" w:cs="宋体"/>
          <w:b/>
          <w:sz w:val="32"/>
        </w:rPr>
      </w:pPr>
      <w:bookmarkStart w:id="20" w:name="_Hlt75236011"/>
      <w:bookmarkEnd w:id="20"/>
      <w:bookmarkStart w:id="21" w:name="_Hlt74714665"/>
      <w:bookmarkEnd w:id="21"/>
      <w:bookmarkStart w:id="22" w:name="_Hlt68072998"/>
      <w:bookmarkEnd w:id="22"/>
      <w:bookmarkStart w:id="23" w:name="_Hlt74729768"/>
      <w:bookmarkEnd w:id="23"/>
      <w:bookmarkStart w:id="24" w:name="_Hlt74707468"/>
      <w:bookmarkEnd w:id="24"/>
      <w:bookmarkStart w:id="25" w:name="_Hlt68072990"/>
      <w:bookmarkEnd w:id="25"/>
      <w:bookmarkStart w:id="26" w:name="_Hlt75236101"/>
      <w:bookmarkEnd w:id="26"/>
      <w:bookmarkStart w:id="27" w:name="_Hlt68057669"/>
      <w:bookmarkEnd w:id="27"/>
      <w:bookmarkStart w:id="28" w:name="_Hlt75236290"/>
      <w:bookmarkEnd w:id="28"/>
      <w:bookmarkStart w:id="29" w:name="_Hlt74730295"/>
      <w:bookmarkEnd w:id="29"/>
      <w:bookmarkStart w:id="30" w:name="_Hlt68403820"/>
      <w:bookmarkEnd w:id="30"/>
      <w:bookmarkStart w:id="31" w:name="_Hlt68073093"/>
      <w:bookmarkEnd w:id="31"/>
    </w:p>
    <w:p w14:paraId="02C4803C">
      <w:pPr>
        <w:pStyle w:val="4"/>
        <w:numPr>
          <w:ilvl w:val="0"/>
          <w:numId w:val="1"/>
        </w:numPr>
        <w:jc w:val="center"/>
        <w:rPr>
          <w:rFonts w:hint="eastAsia" w:ascii="宋体" w:hAnsi="宋体" w:eastAsia="宋体" w:cs="宋体"/>
          <w:b/>
          <w:bCs w:val="0"/>
          <w:kern w:val="2"/>
          <w:sz w:val="32"/>
          <w:szCs w:val="24"/>
          <w:lang w:val="en-US" w:eastAsia="zh-CN" w:bidi="ar-SA"/>
        </w:rPr>
      </w:pPr>
      <w:r>
        <w:rPr>
          <w:rFonts w:hint="eastAsia" w:ascii="宋体" w:hAnsi="宋体" w:eastAsia="宋体" w:cs="宋体"/>
          <w:b/>
          <w:bCs w:val="0"/>
          <w:kern w:val="2"/>
          <w:sz w:val="32"/>
          <w:szCs w:val="24"/>
          <w:lang w:val="en-US" w:eastAsia="zh-CN" w:bidi="ar-SA"/>
        </w:rPr>
        <w:t>代理费</w:t>
      </w:r>
    </w:p>
    <w:p w14:paraId="6D8BD2C2">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31.根据“国家发展和改革委员会办公厅《关于招标代理服务收费有关问题的通知》（发改办价格【2003】857号）”规定，招标代理机构向中标人收取招标代理服务费。</w:t>
      </w:r>
    </w:p>
    <w:p w14:paraId="5702EA3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32.中标人应在收取《中标通知书》时向采购代理机构交纳招标代理服务费，服务费的收费标准按浙价服〔2003〕77号文规定计算。</w:t>
      </w:r>
    </w:p>
    <w:tbl>
      <w:tblPr>
        <w:tblStyle w:val="65"/>
        <w:tblW w:w="7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60"/>
        <w:gridCol w:w="3660"/>
      </w:tblGrid>
      <w:tr w14:paraId="172D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660" w:type="dxa"/>
            <w:shd w:val="clear" w:color="auto" w:fill="D9D9D9"/>
            <w:noWrap w:val="0"/>
            <w:vAlign w:val="center"/>
          </w:tcPr>
          <w:p w14:paraId="0B50F8EC">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 xml:space="preserve">  中标金额（万元）</w:t>
            </w:r>
          </w:p>
        </w:tc>
        <w:tc>
          <w:tcPr>
            <w:tcW w:w="3660" w:type="dxa"/>
            <w:shd w:val="clear" w:color="auto" w:fill="D9D9D9"/>
            <w:noWrap w:val="0"/>
            <w:vAlign w:val="top"/>
          </w:tcPr>
          <w:p w14:paraId="02DD4177">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货物类招标收费费率</w:t>
            </w:r>
          </w:p>
        </w:tc>
      </w:tr>
      <w:tr w14:paraId="51F0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660" w:type="dxa"/>
            <w:noWrap w:val="0"/>
            <w:vAlign w:val="top"/>
          </w:tcPr>
          <w:p w14:paraId="3B0C6797">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100以下</w:t>
            </w:r>
          </w:p>
        </w:tc>
        <w:tc>
          <w:tcPr>
            <w:tcW w:w="3660" w:type="dxa"/>
            <w:noWrap w:val="0"/>
            <w:vAlign w:val="center"/>
          </w:tcPr>
          <w:p w14:paraId="0B42CFBC">
            <w:pPr>
              <w:spacing w:line="360" w:lineRule="auto"/>
              <w:jc w:val="center"/>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1.5％</w:t>
            </w:r>
          </w:p>
        </w:tc>
      </w:tr>
    </w:tbl>
    <w:p w14:paraId="7689A37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招标代理服务收费按差额定率累进法计算。</w:t>
      </w:r>
    </w:p>
    <w:p w14:paraId="3ECBC5CB">
      <w:pPr>
        <w:spacing w:line="360" w:lineRule="auto"/>
        <w:ind w:firstLine="480"/>
        <w:rPr>
          <w:rFonts w:hint="default"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33.</w:t>
      </w:r>
      <w:r>
        <w:rPr>
          <w:rFonts w:hint="eastAsia" w:ascii="宋体" w:hAnsi="宋体" w:cs="宋体"/>
          <w:snapToGrid w:val="0"/>
          <w:kern w:val="28"/>
          <w:sz w:val="24"/>
        </w:rPr>
        <w:t>本项目以</w:t>
      </w:r>
      <w:r>
        <w:rPr>
          <w:rFonts w:hint="eastAsia" w:ascii="宋体" w:hAnsi="宋体" w:cs="宋体"/>
          <w:snapToGrid w:val="0"/>
          <w:kern w:val="28"/>
          <w:sz w:val="24"/>
          <w:lang w:eastAsia="zh-CN"/>
        </w:rPr>
        <w:t>货物</w:t>
      </w:r>
      <w:r>
        <w:rPr>
          <w:rFonts w:hint="eastAsia" w:ascii="宋体" w:hAnsi="宋体" w:cs="宋体"/>
          <w:snapToGrid w:val="0"/>
          <w:kern w:val="28"/>
          <w:sz w:val="24"/>
        </w:rPr>
        <w:t>类招标收费标准的</w:t>
      </w:r>
      <w:r>
        <w:rPr>
          <w:rFonts w:hint="eastAsia" w:ascii="宋体" w:hAnsi="宋体" w:cs="宋体"/>
          <w:snapToGrid w:val="0"/>
          <w:kern w:val="28"/>
          <w:sz w:val="24"/>
          <w:lang w:val="en-US" w:eastAsia="zh-CN"/>
        </w:rPr>
        <w:t>70</w:t>
      </w:r>
      <w:r>
        <w:rPr>
          <w:rFonts w:hint="eastAsia" w:ascii="宋体" w:hAnsi="宋体" w:cs="宋体"/>
          <w:snapToGrid w:val="0"/>
          <w:kern w:val="28"/>
          <w:sz w:val="24"/>
        </w:rPr>
        <w:t>%收取代理服务费</w:t>
      </w:r>
      <w:r>
        <w:rPr>
          <w:rFonts w:hint="eastAsia" w:ascii="宋体" w:hAnsi="宋体" w:cs="宋体"/>
          <w:snapToGrid w:val="0"/>
          <w:kern w:val="28"/>
          <w:sz w:val="24"/>
          <w:lang w:eastAsia="zh-CN"/>
        </w:rPr>
        <w:t>，</w:t>
      </w:r>
      <w:r>
        <w:rPr>
          <w:rFonts w:hint="eastAsia" w:ascii="宋体" w:hAnsi="宋体" w:cs="宋体"/>
          <w:snapToGrid w:val="0"/>
          <w:kern w:val="28"/>
          <w:sz w:val="24"/>
          <w:lang w:val="en-US" w:eastAsia="zh-CN"/>
        </w:rPr>
        <w:t>不足6000元按6000元收取。</w:t>
      </w:r>
    </w:p>
    <w:p w14:paraId="25307E9F">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34.服务费支付方式：一次性以网银、电汇的形式支付。</w:t>
      </w:r>
    </w:p>
    <w:p w14:paraId="4ABC4E6B">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35.服务费以银行划账方式按下列要求提交：</w:t>
      </w:r>
    </w:p>
    <w:p w14:paraId="444A0D0B">
      <w:pPr>
        <w:snapToGrid w:val="0"/>
        <w:spacing w:line="360" w:lineRule="auto"/>
        <w:ind w:left="479" w:leftChars="228" w:firstLine="0" w:firstLineChars="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开户银行：嘉兴银行股份有限公司开发区支行</w:t>
      </w:r>
      <w:r>
        <w:rPr>
          <w:rFonts w:hint="eastAsia" w:ascii="宋体" w:hAnsi="宋体" w:eastAsia="宋体" w:cs="宋体"/>
          <w:b w:val="0"/>
          <w:bCs w:val="0"/>
          <w:kern w:val="0"/>
          <w:sz w:val="24"/>
          <w:szCs w:val="24"/>
          <w:lang w:val="en-US" w:eastAsia="zh-CN" w:bidi="ar-SA"/>
        </w:rPr>
        <w:br w:type="textWrapping"/>
      </w:r>
      <w:r>
        <w:rPr>
          <w:rFonts w:hint="eastAsia" w:ascii="宋体" w:hAnsi="宋体" w:eastAsia="宋体" w:cs="宋体"/>
          <w:b w:val="0"/>
          <w:bCs w:val="0"/>
          <w:kern w:val="0"/>
          <w:sz w:val="24"/>
          <w:szCs w:val="24"/>
          <w:lang w:val="en-US" w:eastAsia="zh-CN" w:bidi="ar-SA"/>
        </w:rPr>
        <w:t>银行账号：8010000008718</w:t>
      </w:r>
    </w:p>
    <w:p w14:paraId="2040DC67">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行号：313335085017</w:t>
      </w:r>
    </w:p>
    <w:p w14:paraId="04C5BB03">
      <w:pPr>
        <w:snapToGrid w:val="0"/>
        <w:spacing w:line="360" w:lineRule="auto"/>
        <w:ind w:right="-401" w:rightChars="-191"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36.服务费支付时间：服务费必须在中标人领取《中标通知书》时一次性付清，如果中标人未能按时交纳服务费，采购代理机构/采购人保留取消其中标资格并追究其法律责任的权利。</w:t>
      </w:r>
    </w:p>
    <w:p w14:paraId="60B8C906">
      <w:pPr>
        <w:snapToGrid w:val="0"/>
        <w:spacing w:line="360" w:lineRule="auto"/>
        <w:ind w:firstLine="480" w:firstLineChars="200"/>
        <w:jc w:val="left"/>
        <w:rPr>
          <w:rFonts w:hint="eastAsia" w:ascii="宋体" w:hAnsi="宋体" w:eastAsia="宋体" w:cs="宋体"/>
          <w:b w:val="0"/>
          <w:bCs w:val="0"/>
          <w:kern w:val="0"/>
          <w:sz w:val="24"/>
          <w:szCs w:val="24"/>
          <w:lang w:val="en-US" w:eastAsia="zh-CN" w:bidi="ar-SA"/>
        </w:rPr>
      </w:pPr>
      <w:r>
        <w:rPr>
          <w:rFonts w:hint="eastAsia" w:ascii="宋体" w:hAnsi="宋体" w:eastAsia="宋体" w:cs="宋体"/>
          <w:b w:val="0"/>
          <w:bCs w:val="0"/>
          <w:kern w:val="0"/>
          <w:sz w:val="24"/>
          <w:szCs w:val="24"/>
          <w:lang w:val="en-US" w:eastAsia="zh-CN" w:bidi="ar-SA"/>
        </w:rPr>
        <w:t>37.服务费不在投标报价中单列。</w:t>
      </w:r>
    </w:p>
    <w:p w14:paraId="39AF754B">
      <w:pPr>
        <w:numPr>
          <w:ilvl w:val="0"/>
          <w:numId w:val="1"/>
        </w:numPr>
        <w:rPr>
          <w:rFonts w:hint="eastAsia" w:ascii="宋体" w:hAnsi="宋体" w:eastAsia="宋体" w:cs="宋体"/>
          <w:b w:val="0"/>
          <w:bCs w:val="0"/>
          <w:kern w:val="0"/>
          <w:sz w:val="24"/>
          <w:szCs w:val="24"/>
          <w:lang w:val="en-US" w:eastAsia="zh-CN" w:bidi="ar-SA"/>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553D52B9">
      <w:pPr>
        <w:numPr>
          <w:ilvl w:val="0"/>
          <w:numId w:val="2"/>
        </w:numPr>
        <w:spacing w:line="360" w:lineRule="auto"/>
        <w:jc w:val="center"/>
        <w:outlineLvl w:val="0"/>
        <w:rPr>
          <w:rFonts w:hint="eastAsia" w:ascii="宋体" w:hAnsi="宋体" w:cs="宋体"/>
          <w:b/>
          <w:sz w:val="36"/>
          <w:szCs w:val="36"/>
        </w:rPr>
      </w:pPr>
      <w:bookmarkStart w:id="32" w:name="第四部分"/>
      <w:r>
        <w:rPr>
          <w:rFonts w:hint="eastAsia" w:ascii="宋体" w:hAnsi="宋体" w:cs="宋体"/>
          <w:b/>
          <w:sz w:val="36"/>
          <w:szCs w:val="36"/>
        </w:rPr>
        <w:t xml:space="preserve">  采购需求</w:t>
      </w:r>
    </w:p>
    <w:p w14:paraId="261A2933">
      <w:pPr>
        <w:pStyle w:val="87"/>
        <w:numPr>
          <w:ilvl w:val="0"/>
          <w:numId w:val="3"/>
        </w:numPr>
        <w:rPr>
          <w:rFonts w:hint="eastAsia" w:ascii="宋体" w:hAnsi="宋体" w:cs="宋体"/>
          <w:b/>
          <w:sz w:val="36"/>
          <w:szCs w:val="36"/>
        </w:rPr>
      </w:pPr>
      <w:r>
        <w:rPr>
          <w:rFonts w:hint="eastAsia" w:eastAsia="宋体"/>
          <w:b/>
          <w:bCs/>
          <w:lang w:eastAsia="zh-CN"/>
        </w:rPr>
        <w:t>技术参数</w:t>
      </w:r>
    </w:p>
    <w:tbl>
      <w:tblPr>
        <w:tblStyle w:val="65"/>
        <w:tblW w:w="91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8"/>
        <w:gridCol w:w="1318"/>
        <w:gridCol w:w="4472"/>
        <w:gridCol w:w="1095"/>
        <w:gridCol w:w="1369"/>
      </w:tblGrid>
      <w:tr w14:paraId="5B61A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08" w:type="dxa"/>
            <w:tcBorders>
              <w:top w:val="single" w:color="auto" w:sz="4" w:space="0"/>
              <w:left w:val="single" w:color="auto" w:sz="4" w:space="0"/>
              <w:bottom w:val="single" w:color="auto" w:sz="4" w:space="0"/>
              <w:right w:val="single" w:color="auto" w:sz="4" w:space="0"/>
            </w:tcBorders>
            <w:shd w:val="clear" w:color="auto" w:fill="auto"/>
            <w:vAlign w:val="center"/>
          </w:tcPr>
          <w:p w14:paraId="67C7D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18" w:type="dxa"/>
            <w:tcBorders>
              <w:top w:val="single" w:color="auto" w:sz="4" w:space="0"/>
              <w:left w:val="single" w:color="auto" w:sz="4" w:space="0"/>
              <w:bottom w:val="single" w:color="auto" w:sz="4" w:space="0"/>
              <w:right w:val="single" w:color="auto" w:sz="4" w:space="0"/>
            </w:tcBorders>
            <w:shd w:val="clear" w:color="auto" w:fill="auto"/>
            <w:vAlign w:val="center"/>
          </w:tcPr>
          <w:p w14:paraId="342A7A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4472" w:type="dxa"/>
            <w:tcBorders>
              <w:top w:val="single" w:color="auto" w:sz="4" w:space="0"/>
              <w:left w:val="single" w:color="auto" w:sz="4" w:space="0"/>
              <w:bottom w:val="single" w:color="auto" w:sz="4" w:space="0"/>
              <w:right w:val="single" w:color="auto" w:sz="4" w:space="0"/>
            </w:tcBorders>
            <w:shd w:val="clear" w:color="auto" w:fill="auto"/>
            <w:vAlign w:val="center"/>
          </w:tcPr>
          <w:p w14:paraId="694FD5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0FB70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772B27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2E9E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08" w:type="dxa"/>
            <w:tcBorders>
              <w:top w:val="single" w:color="auto" w:sz="4" w:space="0"/>
              <w:left w:val="single" w:color="000000" w:sz="4" w:space="0"/>
              <w:bottom w:val="single" w:color="000000" w:sz="4" w:space="0"/>
              <w:right w:val="single" w:color="000000" w:sz="4" w:space="0"/>
            </w:tcBorders>
            <w:shd w:val="clear" w:color="auto" w:fill="auto"/>
            <w:vAlign w:val="center"/>
          </w:tcPr>
          <w:p w14:paraId="4CD2F3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318" w:type="dxa"/>
            <w:tcBorders>
              <w:top w:val="single" w:color="auto" w:sz="4" w:space="0"/>
              <w:left w:val="single" w:color="000000" w:sz="4" w:space="0"/>
              <w:bottom w:val="single" w:color="000000" w:sz="4" w:space="0"/>
              <w:right w:val="single" w:color="000000" w:sz="4" w:space="0"/>
            </w:tcBorders>
            <w:shd w:val="clear" w:color="auto" w:fill="auto"/>
            <w:vAlign w:val="center"/>
          </w:tcPr>
          <w:p w14:paraId="6F541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心理图书</w:t>
            </w:r>
          </w:p>
        </w:tc>
        <w:tc>
          <w:tcPr>
            <w:tcW w:w="4472" w:type="dxa"/>
            <w:tcBorders>
              <w:top w:val="single" w:color="auto" w:sz="4" w:space="0"/>
              <w:left w:val="single" w:color="000000" w:sz="4" w:space="0"/>
              <w:bottom w:val="single" w:color="000000" w:sz="4" w:space="0"/>
              <w:right w:val="single" w:color="000000" w:sz="4" w:space="0"/>
            </w:tcBorders>
            <w:shd w:val="clear" w:color="auto" w:fill="auto"/>
            <w:vAlign w:val="center"/>
          </w:tcPr>
          <w:p w14:paraId="29E278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⑴适合于学生阅读的心理学、教育学图书和杂志；                                                ⑵适合于心理教师阅读的比较专业的心理学、教育学图书和杂志；                                                      ⑶适合于一般教师阅读的通俗的心理学、教育学图书和杂志。</w:t>
            </w:r>
          </w:p>
        </w:tc>
        <w:tc>
          <w:tcPr>
            <w:tcW w:w="1095" w:type="dxa"/>
            <w:tcBorders>
              <w:top w:val="single" w:color="auto" w:sz="4" w:space="0"/>
              <w:left w:val="single" w:color="000000" w:sz="4" w:space="0"/>
              <w:bottom w:val="single" w:color="000000" w:sz="4" w:space="0"/>
              <w:right w:val="single" w:color="000000" w:sz="4" w:space="0"/>
            </w:tcBorders>
            <w:shd w:val="clear" w:color="auto" w:fill="auto"/>
            <w:vAlign w:val="center"/>
          </w:tcPr>
          <w:p w14:paraId="45C162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1369" w:type="dxa"/>
            <w:tcBorders>
              <w:top w:val="single" w:color="auto" w:sz="4" w:space="0"/>
              <w:left w:val="single" w:color="000000" w:sz="4" w:space="0"/>
              <w:bottom w:val="single" w:color="000000" w:sz="4" w:space="0"/>
              <w:right w:val="single" w:color="000000" w:sz="4" w:space="0"/>
            </w:tcBorders>
            <w:shd w:val="clear" w:color="auto" w:fill="auto"/>
            <w:vAlign w:val="center"/>
          </w:tcPr>
          <w:p w14:paraId="125A3F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r>
      <w:tr w14:paraId="016E1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20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8D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3D音乐按摩椅</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CA6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1、音乐按摩椅尺寸直立尺寸：1560X750X1000mm，平躺尺寸：1700X750X850mm，额定功率60W，可承受重量及身高：100kg/180cm，毛重/净重：62/74.5kg，表层材质：PU皮，采用背部揉捶双头机芯，电机个数：5个电机 （颈部机芯2个电机，背部2个电机，电动推杆1个），噪音级别：&lt;55分贝，音响配置：蓝牙音响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2、气囊数：肩部4个，手臂8个， 臀部2个，腿部8个；气阀：1组3联气阀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3、按摩手法：揉捏 、锤打、推拿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4、按摩程序：总裁养生，女王纤体，肩周改善，腰背呵护，安享睡眠，零重力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5、按摩强度：三档可调，气囊强度：三档可调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6、按摩方式：座部按摩：臀部滚轮按摩，足部按摩：气囊+脚底滚轮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7、采用安卓系统，≥10.1寸屏幕，系统内存：≥6G；储存空间：≥128G；支持任意格式音乐、心理文章，心理图片、心理电影播放，可连接WiFi。运行速度流畅，多点式触摸屏，使用方便，携带方便，视觉体验出众。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8、音乐放松管理系统简介：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音乐放松管理系统是一款集心理影音、心理训练和心理助手等功能于一身的综合性系统。它不仅提供了丰富多样的心理音乐、心理图片和心理电影资源，还能帮助你学习心理学知识、放松身心和提高专注力。使用这个系统，可以有效的改善用户的心理健康状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系统主要分为心理影音、心理训练、放松助手、个人中心四大模块。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-1心理影音包括大量心理图片，其中包括：风景放松图、光学错觉图、几何错觉图，视觉动态图，心理错觉图；心理电影及讲座；心理百科内含心理放松图片，通过卡通漫画配以文字介绍，通俗易懂，简单直观地让用户了解日常释压食物及放松方法，从而达到快速排解心理压力，其中图片包括体育运动类、心理放松疗法、心理减压组合餐推荐，释压的水果、花草及茶点，多种肢体放松行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10大心理音乐，包括：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（1）改善失眠、促进睡眠 ：脑波音乐、深度睡眠音乐，放松音乐等；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（2）消除寂寞、减少失落感 ：心灵音乐馆之-谣風、池清凉、唱遍山月、春芽等；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（3）消除悲伤、抚慰心灵：α脑波音乐；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（4）消除愤怒、消除心灵淤塞:纯音乐之-你的笑颜、夕阳箫鼓、小霓裳等；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（5）消除浮躁、促进内心平静：大自然背景声（小桥流水、鸟语花香、荷塘月色、寂静山林等）；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（6）消除紧张、焦虑：自信训练。（减压音乐等）；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（7）消除自卑、提升自信：（冥想合放松音乐）；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（8）缓解身心疲劳：（天韵五行音乐等）；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（9）接触忧郁、情绪：（嘎达梅林、假日海滩、云水禅心等）；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（10）陶冶心情、醒脑提神：（旺盛的自愈力、自律与决心、释放压力、内在调和等）。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-2心理训练包括三大真人放松训练、专注度训练、社交投射训练（共分为爱心、鼓励、问候、笑脸、谢谢5大类别，由不少于20个学生运用语言、行为传递积极向上的正能量，从而潜移默化达到提升用户社交能力、增强自我自信品质效果）；趣味测试内不少于10个趣味量表测试，通过趣味诙谐的语言和正面肯定的模式让用户增进用户自我自信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-3放松助手包括呼吸助手与睡眠训练助手，呼吸助手按舒缓、稍快两种训练模式，通过动画将语音提示形象展现，用户根据语音提示的节奏进行模仿训练，可有效地缓解压力，预防心肺问题，适合所有人群，尤指运动极少，轻度焦虑者；睡眠训练助手内置36种场景音乐，8种不同播放时长选择，用户可根据需求选择相应的场景音乐及播放时长进行想象放松，缓解躯体紧张，帮助大脑放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8-4个人中心：管理员可查看用户信息、用户记录可查看用户的报告时间及报告类型。</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5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0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4DDB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748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AEA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专业版实木心理沙盘</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FA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1、设备组成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标准沙具600件+个体实木沙箱2个+实木沙箱腿2个+实木陈列架2个+海沙40斤+辅助工具1套+指导手册1本+沙盘管理系统1套。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2、详细介绍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（1）沙具：由大到小9大类分类全面深入；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（2）个体防水实木沙箱：材质：实木。标准沙盘，技术参数：57×72×7cm，干湿两用。箱庭的箱子，箱子内侧底与边框均漆成海蓝色；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（3）实木沙箱腿：高度65-75CM，材质：实木。沙箱架高度采取独特人性化设计，根据来访者年龄特点不同，支架高度有差异；支架摆放灵活，操作方便，便于放置，不占用太多空间；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（4）实木陈列架：1200×600×200MM，5层免漆工艺实木材质，经过严格的流水线生产：底漆、涂蜡、喷漆、干燥、打磨、抛光等多道手续，设计美观大方，手感光滑；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（5）天然海沙40斤；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（6）沙盘管理系统：系统主要包含：管理员管理、用户管理、数据采集、系统日志、数据备份、系统设置等功能模块。能够完成管理员管理、添加、用户管理，相关数据导入、采集、查看等数据分析；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（7）辅助工具1套（沙刷、沙耙、沙框、洒水壶）等。</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86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3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BA23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C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8F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心理成长自助系统</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7A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一、配置要求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1、机身尺寸：高1800±30*宽620±20*厚38±10mm（最薄处）。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2、触摸屏幕：红外屏42英寸，分辨率:1920*1080；玻璃表面硬度≥6H，理论点击次数≥6000万次的单点触摸，触摸精度：95%的区域定位误差＜2mm、边缘定位误差＜5mm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3、控制主机：系统不低于WIN7 64位，CPU不低于：i3 双核 四线程,内存不低于：DDR3 4G，硬盘不低于：120G固态硬盘。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4、外置接口：USB*1，音频输入、音频输出接口，RJ45网络接口。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二、功能特点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系统包含14个心理成长自助学习和应用模块：图文赏析，心悦涂鸦，音乐放松，心悦科普，自助评测，心悦影视，心理知识，心悦减压，专注力训练，游戏减压，心理自助，预约咨询，个人中心，留言信箱等功能模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2、登录模式：用户登录系统为默认登录模式，其中自助评测为注册帐号登录。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3、个人中心包括个人信息修改保存功能以及查看个人档案，其中个人档案中能够查看测评类型以及结果并给出相应的建议，以图文形式查看。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*4、音乐放松包括α波音乐、催眠放松音乐、放松减压音乐、国外经典放松音乐、解除忧郁音乐、冥想音乐、中国风音乐等解压音乐数量≥50首。要求提供国家版权局出具的解压音乐作品登记证明材料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5、心悦减压：放松视频包含呼吸放松、肌肉放松以及放松训练≥10部。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6、专注力训练：专注力训练游戏，可以简单测量注意力水平和是否有注意力方面的困扰，评估注意力的各种细节能力。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7、心悦科普：心理故事、心理学效应、心理学实验、心理学专家、心学常识、心理学研究领域、人际交往、心理疗法、心理学应用领域、有声读物，默认≥40篇心理文章，可进行添加删除。</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8、图文赏析：双歧图、视觉后像图、几何错觉、不可能图、人物错觉图、风景图、其他类。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9、心悦涂鸦：可以让用户自由涂鸦，颜色可调。可以保存到电脑文档中，用户在涂鸦的过程同时也能做到注意力稳定的训练。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10、游戏减压：空间、认知、视觉、反应、手眼协调、注意力、思维能力等游戏，15款心理游戏，设置关卡，由难度低到高，增强系统趣味性，可以有效提升使用者注意力、放松度、记忆力等各方面的能力。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11、自助评测：包含≥30个专业测试，同时可生成专业图文测评报告。包含学习能力、师生关系、自我控制、家庭教育、心理健康、社交等方面的量表。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12、心理自助：关于一些心理游戏介绍方案≥80篇，可在后台进行添加。来访者可以了解一些心理游戏的解决方法。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13、预约咨询：来访者可查看心理老师基本信息或介绍，如有需求可在留言信箱预约咨询。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14、预留个性化定制内容功能，预留可自定义添加自己的心悦科普，图文赏析，音乐放松，预约咨询，心悦影视，留言信箱等内容。</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8D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AC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EA5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77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0D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团体活动工具包</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EEB6B">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产品资质：产品通过国际质量管理体系认证，认证内容需包括“心理辅导产品”这一项、职业健康安全管理体系认证、环境管理体系认证。</w:t>
            </w:r>
          </w:p>
          <w:p w14:paraId="1919986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产品定义：该设备是专门用于进行团体心理辅导活动的配套辅助教具。团体心理辅导活动，指辅导老师根据一定的主题，结合适当的辅导策略和方法，创设一定的团体心理环境，并通过团体成员间的互动和感受分享，以达到培养各项心理品质和自我成长的目的。而团体心理辅导箱，即是团体心理辅导活动所需的道具，提供给辅导老师直接使用，大大节省了老师的时间和精力，提高老师的工作效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产品内容：依据《中小学心理健康教育指导纲要(2012年修订)》精神，产品活动分为认识自我、学会学习、人际交往、情绪调适、升学择业以及生活和社会适应六个主题。同时，《纲要》提出要“培养学生积极心理品质，挖掘他们的心理潜能”，因此，上述六大主题参照积极心理学理念，分为五个方面：积极情绪的培养、投入状态的激发、良好人际的构建、人生意义的探寻、成就体验的营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4.活动数量：根据个体身心发展特点，《纲要》六大主题每个主题不少于5个活动，共提供不少于60个活动方案。认识自我主题活动有我心中的一朵花、勇敢Say No等；学会学习主题活动有金田二的推理之旅、学习四力等；人际交往主题活动有捆绑过关、我蒙你猜等；情绪调适主题活动有情绪接龙、智勇大冲关等；升学择业主题有追悼会、寻找智慧等；生活和社会适应主题活动有沉船游戏、松鼠过河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活动道具：产品提供所有活动中至少38个活动的配套道具。道具包含模拟生活类、创意玩具类、心理文具类、辅助教案类、心理影音类、教育卡片类六大类，例如积极心理学扑克牌、起始线缎带、藏宝图、我的小黑画纸、思维导图画板、身体部位卡、注意力分析表共4箱道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每个活动所提供的道具至少同时满足40人参与活动。团体辅导手册APP：产品介绍:配合辅导箱中的团体辅导手册，配套一款线上安卓版APP，用于学生团体辅导活动时进行线上填写，系统中至少包含16个团体辅导活动内容，如智慧与情绪、情绪法庭、气象预报站、记忆的窍门、做时间的主人、学习四力、我有一个梦想、金田二的推理之旅、时间地图、快乐崇拜、勇敢say no!、"追掉会"评价卡、行业专家访谈录、探索之旅、生涯彩虹图、寻找智慧、我心中的一朵花、思维导图等。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提供正式出版的配套指导书籍，配套指导用书并与相应道具一一对应，介绍团体心理辅导的概念与类型、功能、目标、理论基础、操作过程及常用技术，并将团体心理辅导与积极心理学相融合，阐述如何将积极心理学引入团体心理辅导活动中，培养中小学生的积极心理品质，提升中小学生的幸福感。每个活动均详细说明活动的设计理念、活动目标、心理学依据、活动所需道具、活动过程及所需注意的事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设备配套书籍为省部级教育主管部门或教育学心理学相关国家一级学术机构中小学积极心理健康教育相关课题成果，且需提供相关课题成果的证明证书等文件。提供至少两种以上团体心理辅导专用活动道具质量检测报告，检测内容要求需至少包含可溶性铅、可溶性锑、可溶性砷等含量，检测结果需符合国家标准GB6675.4-2014。</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9.提供配套教学视频指导光盘，不少于6课。由一线专业心理教师授课，在中小学课堂实录，由正高级职称心理学专家或具有高级职称的心理学博士点评。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10.提供产品合格证、产品说明书。</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1A0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EE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64C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3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55D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全息地面互动放松系统</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868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硬件系统：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1.短焦显示系统*1：</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★亮度：≥3500  DLP成像  分辨率：1280*800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★光源寿命：光源寿命≥20000小时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运算单元4核/ 8G内存/ 120SSD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2.交互系统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★支持多点触控:30点；刷新率：30帧/秒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红外交互系统，支持多种运动、坐标等多种捕捉模式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3.音响系统：音响*1 频率响应：100Hz-18Hz   阻抗 ：4欧   灵敏度：90dB/W/M 功率：40W 颜色：黑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5.吊架：金属材质，长度1.5m；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6.线材：包含HDMI，电源线等；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软件系统：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1、心理场景互动训练软件，可以与虚拟场景发生实时感应交互。影像效果绚丽，有效营造特殊气氛和效果的互动产品。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2、开机自动启动：后台可设定开机自动启动，不用再鼠标操作点击进入软件。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3、虚拟菜单设置：可根据用户的喜好，自行选择游戏替换场景已经播放循序。让使用者在不同的时间播放不同的场景进行互动训练。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4、动作分析设置：后台启动投影进行区域设置，对画面进行定位，设置活动区间。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5、计划设置：可以根据所需要的游戏以及播放列表进行规划设置，以及播放时间，游戏时间播放间隔。可进行互动游戏“循环播放”、“清空”、“保存”、“退出”设置。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6、手动播放：可根据自己喜欢的游戏进行手动设置播放。</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7、互动投影效果有踩气球、水波、翻版广告、炫光等30余种不同风格、不同形式的效果画面. 在画面上行走或做些肢体动作，观看画面效果变化。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8、认知训练系统：系统设计注意力、记忆力、逻辑推理能力等核心认知能力训练项目，多样化场景烘托生动有趣的游戏气氛，有利于使用者全身心投入，在娱乐的同时提高自己的心理素质与认知力水平。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9、趣味互动系统：以轻松有趣的互动答题游戏为载体，让学生在游戏过程中潜移默化地获得心理层面的积极引导。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10、支持用户自主选择训练项目难度等级，难度等级至少分两级。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11、训练形式灵活多样，支持单人训练与双人对抗模式。单人专注训练模式，让学生在训练中加深对自我的探索了解；双人对抗模式，在一来一往的互动中，感受良性竞争的快乐，潜移默化中提升与人相处的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12、支持管理员自定义上传训练内容，认知训练系统可设置训练内容关联的认知能力标签（如 “逻辑推理能力”“注意力”）及难度系数。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13、用户管理系统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要求整套系统应具备健全的用户管理系统，支持账号、密码、出生日期、性别和组织身份信息的录入与登录系统。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网络版管理端要求具有安全权限验证，多级权限管理。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管理权限具有用户管理权限，支持新增用户、用户信息修改、删除用户，并支持用户数据的导入和导出。管理权限具有数据管理权限，支持查询用户相关使用记录，可根据时间、编号、账户、性别、年龄等信息进行查询，全面掌握来访者的测试情况。（投标文件中须提供功能截图）</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DB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CA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A77A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3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23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情绪释放模拟驾驶系统赛道版</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15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系统硬件配置：i7/32G/512GSSD 4060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屏幕尺寸：34英寸带鱼屏</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模拟器参数：旋转角度  1080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振动功能：力反馈振动，即插即用 符合人体工程学、接口  USB</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产品颜色：黑色尺寸：480*380*360mm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产品特点 刹车压力可调，滑轨无刷电机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4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AA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C5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A6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7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定制圆形地毯(直径2米）</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A9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尺寸：直径两米  材质：混纺</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2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9C2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4BE8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3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A8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心理墙面专用画框制作</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EA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包含不少于20个造型木质相框，单个相框不小于30*20cm，包含图片设计，制作打印</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27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ACF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4E4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C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5CF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心育仿真植物</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FCC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整体不少于2.5平方米 材质：心育专用制花塑料，无异味，不掉落</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E86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10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8DC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F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FFB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团辅室文化墙展板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96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团辅室墙面文化墙面展板布置，           面积不少于6平方米      材质：亚克力板 </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86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B3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0BE9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87B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9F5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走廊文化展板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DE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底板：六块 尺寸1200*2400mm 软木材质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表面文化制作：PVC及亚克力，UV打印图案</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38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F4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134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8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3B5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实木洞洞板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42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尺寸：4200mm*1200mm，材质实木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59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E0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7080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79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7B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使用培训</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F0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设备使用培训</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A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E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A7D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0A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041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设备安装调试布线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C1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设备安装搬运调试布线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D1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C48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8D8C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6C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81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石膏板吊顶</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678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石膏板吊顶（含龙骨）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6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16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r w14:paraId="3DE41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94F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05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铝方通吊顶</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13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定做彩色铝方通吊顶（含龙骨）</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48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49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r>
      <w:tr w14:paraId="5CA1E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65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77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墙面木纹护墙板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3F5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阻燃板基层，定制护墙板饰面</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B90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8C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r>
      <w:tr w14:paraId="7C8F7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FC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12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木纹护墙板同色踢脚线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929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木纹护墙板同色踢脚线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22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D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r>
      <w:tr w14:paraId="37A2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C6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8C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强化复合地板</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84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地台铺贴强化复合地板</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C7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D3F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1CCB1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FC5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84B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墙面高弹力软包</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0AC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材质：优质PU皮、环保底板、高弹海绵</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6C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E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4B68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53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B7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墙面改造</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45E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仿石材造型改造  材质：PU</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D8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F7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6FC3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5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36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定制地台</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C2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地面地台（木结构龙骨,阻燃板基层），整体为弧形。面积不少于25平方米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EBA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38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CEFD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197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1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定制地面地胶</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32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地面铺设撞色地胶含自流平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ED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9F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r>
      <w:tr w14:paraId="1BCC2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12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E4F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入口门头改造</w:t>
            </w:r>
          </w:p>
        </w:tc>
        <w:tc>
          <w:tcPr>
            <w:tcW w:w="4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DD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基底木板及石膏板，表面涂料，面积不少于3平方米</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AF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7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461201B4">
      <w:pPr>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注：1、投标单位应结合踏勘现场情况，如发现工程量与实现方案效果所需工程量有偏差时，相关风险及费用应在投标报价中自行考虑，今后结算时不再调整。</w:t>
      </w:r>
    </w:p>
    <w:p w14:paraId="5A34E2C3">
      <w:pPr>
        <w:spacing w:line="420" w:lineRule="exact"/>
        <w:rPr>
          <w:rFonts w:hint="eastAsia" w:ascii="宋体" w:hAnsi="宋体" w:eastAsia="宋体" w:cs="宋体"/>
          <w:b/>
          <w:bCs/>
          <w:sz w:val="24"/>
          <w:szCs w:val="24"/>
        </w:rPr>
      </w:pPr>
      <w:r>
        <w:rPr>
          <w:rFonts w:hint="eastAsia" w:ascii="宋体" w:hAnsi="宋体" w:eastAsia="宋体" w:cs="宋体"/>
          <w:b/>
          <w:bCs/>
          <w:sz w:val="24"/>
          <w:szCs w:val="24"/>
        </w:rPr>
        <w:t>二、质量保证</w:t>
      </w:r>
    </w:p>
    <w:p w14:paraId="4E32F61C">
      <w:pPr>
        <w:pStyle w:val="59"/>
        <w:widowControl w:val="0"/>
        <w:snapToGrid w:val="0"/>
        <w:spacing w:before="0" w:beforeAutospacing="0" w:after="0" w:afterAutospacing="0" w:line="420" w:lineRule="exact"/>
        <w:ind w:firstLine="480" w:firstLineChars="200"/>
        <w:jc w:val="both"/>
        <w:outlineLvl w:val="0"/>
        <w:rPr>
          <w:rFonts w:hint="eastAsia" w:ascii="宋体" w:hAnsi="宋体" w:eastAsia="宋体" w:cs="宋体"/>
          <w:sz w:val="24"/>
          <w:szCs w:val="24"/>
        </w:rPr>
      </w:pPr>
      <w:bookmarkStart w:id="33" w:name="_Toc450515865"/>
      <w:r>
        <w:rPr>
          <w:rFonts w:hint="eastAsia" w:ascii="宋体" w:hAnsi="宋体" w:eastAsia="宋体" w:cs="宋体"/>
          <w:kern w:val="2"/>
          <w:sz w:val="24"/>
          <w:szCs w:val="24"/>
        </w:rPr>
        <w:t>投标人应保证所供商品是近一年以内生产的，符合国家法律规定和技术规格、质量标准的出厂原装合格产品；如发生所供商品与合同（材质、规格尺寸等）不符，招标人有权拒收或退货，由此产生的一切责任和后果由投标人承担。</w:t>
      </w:r>
      <w:bookmarkEnd w:id="33"/>
    </w:p>
    <w:p w14:paraId="7A8560C3">
      <w:pPr>
        <w:spacing w:line="420" w:lineRule="exact"/>
        <w:rPr>
          <w:rFonts w:hint="eastAsia" w:ascii="宋体" w:hAnsi="宋体" w:eastAsia="宋体" w:cs="宋体"/>
          <w:b/>
          <w:bCs/>
          <w:sz w:val="24"/>
          <w:szCs w:val="24"/>
        </w:rPr>
      </w:pPr>
      <w:r>
        <w:rPr>
          <w:rFonts w:hint="eastAsia" w:ascii="宋体" w:hAnsi="宋体" w:eastAsia="宋体" w:cs="宋体"/>
          <w:b/>
          <w:bCs/>
          <w:sz w:val="24"/>
          <w:szCs w:val="24"/>
        </w:rPr>
        <w:t>三、验收</w:t>
      </w:r>
    </w:p>
    <w:p w14:paraId="3DF79D89">
      <w:pPr>
        <w:snapToGrid w:val="0"/>
        <w:spacing w:line="4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标人将所供产品运至交货地点，安装完毕后，由需方进行验收。如发现有重大的质量问题，招标人有权提请国家法定检测机构鉴定，检测费用由中标人承担；如检测结果证明产品有质量问题，中标人除承担检测费用外，同时中标人同意招标人无条件退货并支付给招标人货款总价10％的赔偿金。</w:t>
      </w:r>
    </w:p>
    <w:p w14:paraId="23173BFB">
      <w:pPr>
        <w:pStyle w:val="59"/>
        <w:widowControl w:val="0"/>
        <w:snapToGrid w:val="0"/>
        <w:spacing w:before="0" w:beforeAutospacing="0" w:after="0" w:afterAutospacing="0" w:line="420" w:lineRule="exact"/>
        <w:jc w:val="both"/>
        <w:outlineLvl w:val="0"/>
        <w:rPr>
          <w:rFonts w:hint="eastAsia" w:ascii="宋体" w:hAnsi="宋体" w:eastAsia="宋体" w:cs="宋体"/>
          <w:b/>
          <w:bCs/>
          <w:sz w:val="24"/>
          <w:szCs w:val="24"/>
        </w:rPr>
      </w:pPr>
      <w:bookmarkStart w:id="34" w:name="_Toc450515866"/>
      <w:r>
        <w:rPr>
          <w:rFonts w:hint="eastAsia" w:ascii="宋体" w:hAnsi="宋体" w:eastAsia="宋体" w:cs="宋体"/>
          <w:b/>
          <w:bCs/>
          <w:kern w:val="2"/>
          <w:sz w:val="24"/>
          <w:szCs w:val="24"/>
        </w:rPr>
        <w:t>四、商务要求</w:t>
      </w:r>
      <w:bookmarkEnd w:id="34"/>
    </w:p>
    <w:tbl>
      <w:tblPr>
        <w:tblStyle w:val="65"/>
        <w:tblW w:w="0" w:type="auto"/>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07"/>
        <w:gridCol w:w="7797"/>
      </w:tblGrid>
      <w:tr w14:paraId="1729A27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70" w:hRule="atLeast"/>
          <w:jc w:val="center"/>
        </w:trPr>
        <w:tc>
          <w:tcPr>
            <w:tcW w:w="1807" w:type="dxa"/>
            <w:tcBorders>
              <w:top w:val="single" w:color="auto" w:sz="4" w:space="0"/>
              <w:bottom w:val="single" w:color="auto" w:sz="4" w:space="0"/>
              <w:right w:val="single" w:color="auto" w:sz="4" w:space="0"/>
            </w:tcBorders>
            <w:noWrap w:val="0"/>
            <w:vAlign w:val="center"/>
          </w:tcPr>
          <w:p w14:paraId="5C6E7E6E">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质保期</w:t>
            </w:r>
          </w:p>
        </w:tc>
        <w:tc>
          <w:tcPr>
            <w:tcW w:w="7797" w:type="dxa"/>
            <w:tcBorders>
              <w:top w:val="single" w:color="auto" w:sz="4" w:space="0"/>
              <w:left w:val="single" w:color="auto" w:sz="4" w:space="0"/>
              <w:bottom w:val="single" w:color="auto" w:sz="4" w:space="0"/>
            </w:tcBorders>
            <w:noWrap w:val="0"/>
            <w:vAlign w:val="center"/>
          </w:tcPr>
          <w:p w14:paraId="1652DEEF">
            <w:pPr>
              <w:numPr>
                <w:ilvl w:val="0"/>
                <w:numId w:val="5"/>
              </w:num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投标人应提供自验收合格之日起</w:t>
            </w:r>
            <w:r>
              <w:rPr>
                <w:rFonts w:hint="eastAsia" w:ascii="宋体" w:hAnsi="宋体" w:cs="宋体"/>
                <w:sz w:val="24"/>
                <w:szCs w:val="24"/>
                <w:lang w:val="en-US" w:eastAsia="zh-CN"/>
              </w:rPr>
              <w:t>6</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cs="宋体"/>
                <w:sz w:val="24"/>
                <w:szCs w:val="24"/>
                <w:lang w:val="en-US" w:eastAsia="zh-CN"/>
              </w:rPr>
              <w:t>设备</w:t>
            </w:r>
            <w:r>
              <w:rPr>
                <w:rFonts w:hint="eastAsia" w:ascii="宋体" w:hAnsi="宋体" w:cs="宋体"/>
                <w:sz w:val="24"/>
                <w:szCs w:val="24"/>
                <w:lang w:eastAsia="zh-CN"/>
              </w:rPr>
              <w:t>）</w:t>
            </w:r>
            <w:r>
              <w:rPr>
                <w:rFonts w:hint="eastAsia" w:ascii="宋体" w:hAnsi="宋体" w:eastAsia="宋体" w:cs="宋体"/>
                <w:sz w:val="24"/>
                <w:szCs w:val="24"/>
              </w:rPr>
              <w:t>的免费质保服务。</w:t>
            </w:r>
          </w:p>
          <w:p w14:paraId="21104841">
            <w:pPr>
              <w:numPr>
                <w:ilvl w:val="0"/>
                <w:numId w:val="5"/>
              </w:num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投标人应提供自验收合格之日起</w:t>
            </w:r>
            <w:r>
              <w:rPr>
                <w:rFonts w:hint="eastAsia" w:ascii="宋体" w:hAnsi="宋体" w:cs="宋体"/>
                <w:sz w:val="24"/>
                <w:szCs w:val="24"/>
                <w:lang w:val="en-US" w:eastAsia="zh-CN"/>
              </w:rPr>
              <w:t>2</w:t>
            </w:r>
            <w:r>
              <w:rPr>
                <w:rFonts w:hint="eastAsia" w:ascii="宋体" w:hAnsi="宋体" w:eastAsia="宋体" w:cs="宋体"/>
                <w:sz w:val="24"/>
                <w:szCs w:val="24"/>
              </w:rPr>
              <w:t>年</w:t>
            </w:r>
            <w:r>
              <w:rPr>
                <w:rFonts w:hint="eastAsia" w:ascii="宋体" w:hAnsi="宋体" w:cs="宋体"/>
                <w:sz w:val="24"/>
                <w:szCs w:val="24"/>
                <w:lang w:eastAsia="zh-CN"/>
              </w:rPr>
              <w:t>（</w:t>
            </w:r>
            <w:r>
              <w:rPr>
                <w:rFonts w:hint="eastAsia" w:ascii="宋体" w:hAnsi="宋体" w:cs="宋体"/>
                <w:sz w:val="24"/>
                <w:szCs w:val="24"/>
                <w:lang w:val="en-US" w:eastAsia="zh-CN"/>
              </w:rPr>
              <w:t>装修材料</w:t>
            </w:r>
            <w:r>
              <w:rPr>
                <w:rFonts w:hint="eastAsia" w:ascii="宋体" w:hAnsi="宋体" w:cs="宋体"/>
                <w:sz w:val="24"/>
                <w:szCs w:val="24"/>
                <w:lang w:eastAsia="zh-CN"/>
              </w:rPr>
              <w:t>）</w:t>
            </w:r>
            <w:r>
              <w:rPr>
                <w:rFonts w:hint="eastAsia" w:ascii="宋体" w:hAnsi="宋体" w:eastAsia="宋体" w:cs="宋体"/>
                <w:sz w:val="24"/>
                <w:szCs w:val="24"/>
              </w:rPr>
              <w:t>的免费质保服务。</w:t>
            </w:r>
          </w:p>
        </w:tc>
      </w:tr>
      <w:tr w14:paraId="060096F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8" w:hRule="atLeast"/>
          <w:jc w:val="center"/>
        </w:trPr>
        <w:tc>
          <w:tcPr>
            <w:tcW w:w="1807" w:type="dxa"/>
            <w:tcBorders>
              <w:top w:val="single" w:color="auto" w:sz="4" w:space="0"/>
              <w:bottom w:val="single" w:color="auto" w:sz="4" w:space="0"/>
              <w:right w:val="single" w:color="auto" w:sz="4" w:space="0"/>
            </w:tcBorders>
            <w:noWrap w:val="0"/>
            <w:vAlign w:val="center"/>
          </w:tcPr>
          <w:p w14:paraId="1F9C6FD1">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交货时间及地点</w:t>
            </w:r>
          </w:p>
        </w:tc>
        <w:tc>
          <w:tcPr>
            <w:tcW w:w="7797" w:type="dxa"/>
            <w:tcBorders>
              <w:top w:val="single" w:color="auto" w:sz="4" w:space="0"/>
              <w:left w:val="single" w:color="auto" w:sz="4" w:space="0"/>
              <w:bottom w:val="single" w:color="auto" w:sz="4" w:space="0"/>
            </w:tcBorders>
            <w:noWrap w:val="0"/>
            <w:vAlign w:val="center"/>
          </w:tcPr>
          <w:p w14:paraId="3E23E997">
            <w:pPr>
              <w:snapToGrid w:val="0"/>
              <w:spacing w:line="340" w:lineRule="exact"/>
              <w:rPr>
                <w:rFonts w:hint="eastAsia" w:ascii="宋体" w:hAnsi="宋体" w:eastAsia="宋体" w:cs="宋体"/>
                <w:sz w:val="24"/>
                <w:szCs w:val="24"/>
                <w:lang w:eastAsia="zh-CN"/>
              </w:rPr>
            </w:pPr>
            <w:r>
              <w:rPr>
                <w:rFonts w:hint="eastAsia" w:ascii="宋体" w:hAnsi="宋体" w:eastAsia="宋体" w:cs="宋体"/>
                <w:sz w:val="24"/>
                <w:szCs w:val="24"/>
              </w:rPr>
              <w:t>交货期及安装工期：</w:t>
            </w:r>
            <w:r>
              <w:rPr>
                <w:rFonts w:hint="eastAsia" w:ascii="宋体" w:hAnsi="宋体" w:cs="宋体"/>
                <w:color w:val="000000"/>
                <w:sz w:val="24"/>
                <w:szCs w:val="24"/>
                <w:lang w:val="en-US" w:eastAsia="zh-CN"/>
              </w:rPr>
              <w:t>30</w:t>
            </w:r>
            <w:r>
              <w:rPr>
                <w:rFonts w:hint="eastAsia" w:ascii="宋体" w:hAnsi="宋体" w:eastAsia="宋体" w:cs="宋体"/>
                <w:color w:val="000000"/>
                <w:sz w:val="24"/>
                <w:szCs w:val="24"/>
              </w:rPr>
              <w:t>天</w:t>
            </w:r>
            <w:r>
              <w:rPr>
                <w:rFonts w:hint="eastAsia" w:ascii="宋体" w:hAnsi="宋体" w:eastAsia="宋体" w:cs="宋体"/>
                <w:sz w:val="24"/>
                <w:szCs w:val="24"/>
              </w:rPr>
              <w:t>完成供货、安装</w:t>
            </w:r>
            <w:r>
              <w:rPr>
                <w:rFonts w:hint="eastAsia" w:ascii="宋体" w:hAnsi="宋体" w:cs="宋体"/>
                <w:sz w:val="24"/>
                <w:szCs w:val="24"/>
                <w:lang w:eastAsia="zh-CN"/>
              </w:rPr>
              <w:t>（</w:t>
            </w:r>
            <w:r>
              <w:rPr>
                <w:rFonts w:hint="eastAsia" w:ascii="宋体" w:hAnsi="宋体" w:cs="宋体"/>
                <w:sz w:val="24"/>
                <w:szCs w:val="24"/>
                <w:lang w:val="en-US" w:eastAsia="zh-CN"/>
              </w:rPr>
              <w:t>2025年8月20日安装完成</w:t>
            </w:r>
            <w:r>
              <w:rPr>
                <w:rFonts w:hint="eastAsia" w:ascii="宋体" w:hAnsi="宋体" w:cs="宋体"/>
                <w:sz w:val="24"/>
                <w:szCs w:val="24"/>
                <w:lang w:eastAsia="zh-CN"/>
              </w:rPr>
              <w:t>）。</w:t>
            </w:r>
          </w:p>
          <w:p w14:paraId="075256BA">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交货地点：招标人指定地点。</w:t>
            </w:r>
          </w:p>
        </w:tc>
      </w:tr>
      <w:tr w14:paraId="0E516B1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21" w:hRule="atLeast"/>
          <w:jc w:val="center"/>
        </w:trPr>
        <w:tc>
          <w:tcPr>
            <w:tcW w:w="1807" w:type="dxa"/>
            <w:tcBorders>
              <w:top w:val="single" w:color="auto" w:sz="4" w:space="0"/>
              <w:bottom w:val="single" w:color="auto" w:sz="4" w:space="0"/>
              <w:right w:val="single" w:color="auto" w:sz="4" w:space="0"/>
            </w:tcBorders>
            <w:noWrap w:val="0"/>
            <w:vAlign w:val="center"/>
          </w:tcPr>
          <w:p w14:paraId="3E56D50A">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履约保证金</w:t>
            </w:r>
          </w:p>
        </w:tc>
        <w:tc>
          <w:tcPr>
            <w:tcW w:w="7797" w:type="dxa"/>
            <w:tcBorders>
              <w:top w:val="single" w:color="auto" w:sz="4" w:space="0"/>
              <w:left w:val="single" w:color="auto" w:sz="4" w:space="0"/>
              <w:bottom w:val="single" w:color="auto" w:sz="4" w:space="0"/>
            </w:tcBorders>
            <w:noWrap w:val="0"/>
            <w:vAlign w:val="center"/>
          </w:tcPr>
          <w:p w14:paraId="4E14E48B">
            <w:pPr>
              <w:snapToGrid w:val="0"/>
              <w:spacing w:line="34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tc>
      </w:tr>
      <w:tr w14:paraId="0527012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05" w:hRule="atLeast"/>
          <w:jc w:val="center"/>
        </w:trPr>
        <w:tc>
          <w:tcPr>
            <w:tcW w:w="1807" w:type="dxa"/>
            <w:tcBorders>
              <w:top w:val="single" w:color="auto" w:sz="4" w:space="0"/>
              <w:bottom w:val="single" w:color="auto" w:sz="4" w:space="0"/>
              <w:right w:val="single" w:color="auto" w:sz="4" w:space="0"/>
            </w:tcBorders>
            <w:noWrap w:val="0"/>
            <w:vAlign w:val="center"/>
          </w:tcPr>
          <w:p w14:paraId="2836E4BE">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付款条件</w:t>
            </w:r>
          </w:p>
        </w:tc>
        <w:tc>
          <w:tcPr>
            <w:tcW w:w="7797" w:type="dxa"/>
            <w:tcBorders>
              <w:top w:val="single" w:color="auto" w:sz="4" w:space="0"/>
              <w:left w:val="single" w:color="auto" w:sz="4" w:space="0"/>
              <w:bottom w:val="single" w:color="auto" w:sz="4" w:space="0"/>
            </w:tcBorders>
            <w:noWrap w:val="0"/>
            <w:vAlign w:val="center"/>
          </w:tcPr>
          <w:p w14:paraId="767A5E8D">
            <w:pPr>
              <w:snapToGrid w:val="0"/>
              <w:spacing w:line="340" w:lineRule="exac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、合同</w:t>
            </w:r>
            <w:r>
              <w:rPr>
                <w:rFonts w:hint="eastAsia" w:ascii="宋体" w:hAnsi="宋体" w:cs="宋体"/>
                <w:sz w:val="24"/>
                <w:szCs w:val="24"/>
                <w:lang w:val="en-US" w:eastAsia="zh-CN"/>
              </w:rPr>
              <w:t>签订</w:t>
            </w:r>
            <w:r>
              <w:rPr>
                <w:rFonts w:hint="eastAsia" w:ascii="宋体" w:hAnsi="宋体" w:eastAsia="宋体" w:cs="宋体"/>
                <w:sz w:val="24"/>
                <w:szCs w:val="24"/>
              </w:rPr>
              <w:t>后支付合同价的</w:t>
            </w:r>
            <w:r>
              <w:rPr>
                <w:rFonts w:hint="eastAsia" w:ascii="宋体" w:hAnsi="宋体" w:eastAsia="宋体" w:cs="宋体"/>
                <w:sz w:val="24"/>
                <w:szCs w:val="24"/>
                <w:lang w:val="en-US" w:eastAsia="zh-CN"/>
              </w:rPr>
              <w:t>4</w:t>
            </w:r>
            <w:r>
              <w:rPr>
                <w:rFonts w:hint="eastAsia" w:ascii="宋体" w:hAnsi="宋体" w:eastAsia="宋体" w:cs="宋体"/>
                <w:sz w:val="24"/>
                <w:szCs w:val="24"/>
              </w:rPr>
              <w:t>0%作为预付款；</w:t>
            </w:r>
          </w:p>
          <w:p w14:paraId="638402CA">
            <w:pPr>
              <w:snapToGrid w:val="0"/>
              <w:spacing w:line="340" w:lineRule="exact"/>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、全部安装完毕且验收合格后1个月内，支付至合同价的</w:t>
            </w:r>
            <w:r>
              <w:rPr>
                <w:rFonts w:hint="eastAsia" w:ascii="宋体" w:hAnsi="宋体" w:cs="宋体"/>
                <w:sz w:val="24"/>
                <w:szCs w:val="24"/>
                <w:lang w:val="en-US" w:eastAsia="zh-CN"/>
              </w:rPr>
              <w:t>100</w:t>
            </w:r>
            <w:r>
              <w:rPr>
                <w:rFonts w:hint="eastAsia" w:ascii="宋体" w:hAnsi="宋体" w:eastAsia="宋体" w:cs="宋体"/>
                <w:sz w:val="24"/>
                <w:szCs w:val="24"/>
              </w:rPr>
              <w:t>%</w:t>
            </w:r>
            <w:r>
              <w:rPr>
                <w:rFonts w:hint="eastAsia" w:ascii="宋体" w:hAnsi="宋体" w:cs="宋体"/>
                <w:sz w:val="24"/>
                <w:szCs w:val="24"/>
                <w:lang w:eastAsia="zh-CN"/>
              </w:rPr>
              <w:t>。</w:t>
            </w:r>
          </w:p>
        </w:tc>
      </w:tr>
      <w:tr w14:paraId="2A2A3CB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1807" w:type="dxa"/>
            <w:tcBorders>
              <w:top w:val="single" w:color="auto" w:sz="4" w:space="0"/>
              <w:bottom w:val="single" w:color="auto" w:sz="4" w:space="0"/>
              <w:right w:val="single" w:color="auto" w:sz="4" w:space="0"/>
            </w:tcBorders>
            <w:noWrap w:val="0"/>
            <w:vAlign w:val="center"/>
          </w:tcPr>
          <w:p w14:paraId="040A0018">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售后服务保障或维修响应时间要求</w:t>
            </w:r>
          </w:p>
        </w:tc>
        <w:tc>
          <w:tcPr>
            <w:tcW w:w="7797" w:type="dxa"/>
            <w:tcBorders>
              <w:top w:val="single" w:color="auto" w:sz="4" w:space="0"/>
              <w:left w:val="single" w:color="auto" w:sz="4" w:space="0"/>
              <w:bottom w:val="single" w:color="auto" w:sz="4" w:space="0"/>
            </w:tcBorders>
            <w:noWrap w:val="0"/>
            <w:vAlign w:val="center"/>
          </w:tcPr>
          <w:p w14:paraId="7B3FF3CD">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1、质保期满后，投标人应提供优先的有偿售后服务。</w:t>
            </w:r>
          </w:p>
          <w:p w14:paraId="0A1E03EA">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2、维修响应时间：2小时内电话响应，4小时内电话技术支持，24小时内到达现场维修。</w:t>
            </w:r>
          </w:p>
        </w:tc>
      </w:tr>
      <w:tr w14:paraId="4C8B7D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24" w:hRule="atLeast"/>
          <w:jc w:val="center"/>
        </w:trPr>
        <w:tc>
          <w:tcPr>
            <w:tcW w:w="1807" w:type="dxa"/>
            <w:tcBorders>
              <w:top w:val="single" w:color="auto" w:sz="4" w:space="0"/>
              <w:bottom w:val="single" w:color="auto" w:sz="4" w:space="0"/>
              <w:right w:val="single" w:color="auto" w:sz="4" w:space="0"/>
            </w:tcBorders>
            <w:noWrap w:val="0"/>
            <w:vAlign w:val="center"/>
          </w:tcPr>
          <w:p w14:paraId="4F6B9565">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备品备件及耗材等要求</w:t>
            </w:r>
          </w:p>
        </w:tc>
        <w:tc>
          <w:tcPr>
            <w:tcW w:w="7797" w:type="dxa"/>
            <w:tcBorders>
              <w:top w:val="single" w:color="auto" w:sz="4" w:space="0"/>
              <w:left w:val="single" w:color="auto" w:sz="4" w:space="0"/>
              <w:bottom w:val="single" w:color="auto" w:sz="4" w:space="0"/>
            </w:tcBorders>
            <w:noWrap w:val="0"/>
            <w:vAlign w:val="center"/>
          </w:tcPr>
          <w:p w14:paraId="453B4341">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设备随机备品备件及使用、维修保养过程中所必须的备品备件。</w:t>
            </w:r>
          </w:p>
        </w:tc>
      </w:tr>
      <w:tr w14:paraId="48E6CF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PrEx>
        <w:trPr>
          <w:jc w:val="center"/>
        </w:trPr>
        <w:tc>
          <w:tcPr>
            <w:tcW w:w="1807" w:type="dxa"/>
            <w:tcBorders>
              <w:top w:val="single" w:color="auto" w:sz="4" w:space="0"/>
              <w:bottom w:val="single" w:color="auto" w:sz="4" w:space="0"/>
              <w:right w:val="single" w:color="auto" w:sz="4" w:space="0"/>
            </w:tcBorders>
            <w:noWrap w:val="0"/>
            <w:vAlign w:val="center"/>
          </w:tcPr>
          <w:p w14:paraId="56A86B24">
            <w:pPr>
              <w:snapToGrid w:val="0"/>
              <w:spacing w:line="340" w:lineRule="exact"/>
              <w:rPr>
                <w:rFonts w:hint="eastAsia" w:ascii="宋体" w:hAnsi="宋体" w:eastAsia="宋体" w:cs="宋体"/>
                <w:sz w:val="24"/>
                <w:szCs w:val="24"/>
              </w:rPr>
            </w:pPr>
            <w:r>
              <w:rPr>
                <w:rFonts w:hint="eastAsia" w:ascii="宋体" w:hAnsi="宋体" w:eastAsia="宋体" w:cs="宋体"/>
                <w:sz w:val="24"/>
                <w:szCs w:val="24"/>
              </w:rPr>
              <w:t>招标人的特殊要求及说明</w:t>
            </w:r>
          </w:p>
        </w:tc>
        <w:tc>
          <w:tcPr>
            <w:tcW w:w="7797" w:type="dxa"/>
            <w:tcBorders>
              <w:top w:val="single" w:color="auto" w:sz="4" w:space="0"/>
              <w:left w:val="single" w:color="auto" w:sz="4" w:space="0"/>
              <w:bottom w:val="single" w:color="auto" w:sz="4" w:space="0"/>
            </w:tcBorders>
            <w:noWrap w:val="0"/>
            <w:vAlign w:val="top"/>
          </w:tcPr>
          <w:p w14:paraId="14CD507C">
            <w:pPr>
              <w:snapToGrid w:val="0"/>
              <w:spacing w:line="340" w:lineRule="exact"/>
              <w:ind w:leftChars="-1" w:hanging="2" w:hangingChars="1"/>
              <w:rPr>
                <w:rFonts w:hint="eastAsia" w:ascii="宋体" w:hAnsi="宋体" w:eastAsia="宋体" w:cs="宋体"/>
                <w:sz w:val="24"/>
                <w:szCs w:val="24"/>
              </w:rPr>
            </w:pPr>
            <w:r>
              <w:rPr>
                <w:rFonts w:hint="eastAsia" w:ascii="宋体" w:hAnsi="宋体" w:eastAsia="宋体" w:cs="宋体"/>
                <w:sz w:val="24"/>
                <w:szCs w:val="24"/>
              </w:rPr>
              <w:t>按合同到货后，由投标人的专业技术人员现场调试（所有供试材料由供货方提供），招标人进行现场验收（在必要时，招标人将组织专业部门或机构进行现场检测，检测费用由投标人承担），所有技术指标达到要求后，给予验收。</w:t>
            </w:r>
          </w:p>
        </w:tc>
      </w:tr>
    </w:tbl>
    <w:p w14:paraId="077CEAF4">
      <w:pPr>
        <w:keepNext w:val="0"/>
        <w:keepLines w:val="0"/>
        <w:widowControl/>
        <w:numPr>
          <w:ilvl w:val="0"/>
          <w:numId w:val="0"/>
        </w:numPr>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p w14:paraId="7485730C">
      <w:pPr>
        <w:pStyle w:val="87"/>
        <w:numPr>
          <w:ilvl w:val="0"/>
          <w:numId w:val="0"/>
        </w:numPr>
        <w:rPr>
          <w:rFonts w:hint="eastAsia"/>
          <w:lang w:val="en-US" w:eastAsia="zh-CN"/>
        </w:rPr>
      </w:pPr>
    </w:p>
    <w:p w14:paraId="43D97D9E">
      <w:pPr>
        <w:numPr>
          <w:ilvl w:val="0"/>
          <w:numId w:val="0"/>
        </w:numPr>
        <w:spacing w:line="360" w:lineRule="auto"/>
        <w:ind w:leftChars="0"/>
        <w:jc w:val="center"/>
        <w:outlineLvl w:val="0"/>
        <w:rPr>
          <w:rFonts w:hint="eastAsia" w:ascii="宋体" w:hAnsi="宋体" w:cs="宋体"/>
          <w:b/>
          <w:sz w:val="36"/>
          <w:szCs w:val="36"/>
        </w:rPr>
      </w:pPr>
      <w:r>
        <w:rPr>
          <w:rFonts w:hint="eastAsia" w:ascii="宋体" w:hAnsi="宋体" w:cs="宋体"/>
          <w:b/>
          <w:sz w:val="36"/>
          <w:szCs w:val="36"/>
        </w:rPr>
        <w:t xml:space="preserve"> </w:t>
      </w:r>
    </w:p>
    <w:p w14:paraId="28B51760">
      <w:pPr>
        <w:numPr>
          <w:ilvl w:val="0"/>
          <w:numId w:val="0"/>
        </w:numPr>
        <w:spacing w:line="360" w:lineRule="auto"/>
        <w:ind w:leftChars="0"/>
        <w:jc w:val="center"/>
        <w:outlineLvl w:val="0"/>
        <w:rPr>
          <w:rFonts w:hint="eastAsia" w:ascii="宋体" w:hAnsi="宋体" w:cs="宋体"/>
          <w:b/>
          <w:sz w:val="36"/>
          <w:szCs w:val="36"/>
        </w:rPr>
      </w:pPr>
    </w:p>
    <w:p w14:paraId="64AF3FA8">
      <w:pPr>
        <w:pStyle w:val="25"/>
        <w:rPr>
          <w:rFonts w:hint="eastAsia" w:ascii="宋体" w:hAnsi="宋体" w:cs="宋体"/>
          <w:b/>
          <w:sz w:val="36"/>
          <w:szCs w:val="36"/>
        </w:rPr>
      </w:pPr>
    </w:p>
    <w:p w14:paraId="2BE48204">
      <w:pPr>
        <w:pStyle w:val="25"/>
        <w:rPr>
          <w:rFonts w:hint="eastAsia" w:ascii="宋体" w:hAnsi="宋体" w:cs="宋体"/>
          <w:b/>
          <w:sz w:val="36"/>
          <w:szCs w:val="36"/>
        </w:rPr>
      </w:pPr>
    </w:p>
    <w:p w14:paraId="583CBDF0">
      <w:pPr>
        <w:pStyle w:val="25"/>
        <w:rPr>
          <w:rFonts w:hint="eastAsia" w:ascii="宋体" w:hAnsi="宋体" w:cs="宋体"/>
          <w:b/>
          <w:sz w:val="36"/>
          <w:szCs w:val="36"/>
        </w:rPr>
      </w:pPr>
    </w:p>
    <w:p w14:paraId="5A1BD89B">
      <w:pPr>
        <w:pStyle w:val="25"/>
        <w:rPr>
          <w:rFonts w:hint="eastAsia" w:ascii="宋体" w:hAnsi="宋体" w:cs="宋体"/>
          <w:b/>
          <w:sz w:val="36"/>
          <w:szCs w:val="36"/>
        </w:rPr>
      </w:pPr>
    </w:p>
    <w:p w14:paraId="04167C7A">
      <w:pPr>
        <w:pStyle w:val="25"/>
        <w:rPr>
          <w:rFonts w:hint="eastAsia" w:ascii="宋体" w:hAnsi="宋体" w:cs="宋体"/>
          <w:b/>
          <w:sz w:val="36"/>
          <w:szCs w:val="36"/>
        </w:rPr>
      </w:pPr>
    </w:p>
    <w:p w14:paraId="6E0915EA">
      <w:pPr>
        <w:numPr>
          <w:ilvl w:val="0"/>
          <w:numId w:val="0"/>
        </w:numPr>
        <w:spacing w:line="360" w:lineRule="auto"/>
        <w:ind w:leftChars="0"/>
        <w:jc w:val="center"/>
        <w:outlineLvl w:val="0"/>
        <w:rPr>
          <w:rFonts w:hint="eastAsia" w:ascii="宋体" w:hAnsi="宋体" w:cs="宋体"/>
          <w:b/>
          <w:sz w:val="36"/>
          <w:szCs w:val="36"/>
        </w:rPr>
      </w:pPr>
      <w:r>
        <w:rPr>
          <w:rFonts w:hint="eastAsia" w:ascii="宋体" w:hAnsi="宋体" w:cs="宋体"/>
          <w:b/>
          <w:sz w:val="36"/>
          <w:szCs w:val="36"/>
        </w:rPr>
        <w:t xml:space="preserve"> </w:t>
      </w:r>
      <w:bookmarkStart w:id="35" w:name="_Toc184314458"/>
      <w:bookmarkEnd w:id="35"/>
      <w:bookmarkStart w:id="36" w:name="_Toc184314436"/>
      <w:bookmarkEnd w:id="36"/>
      <w:bookmarkStart w:id="37" w:name="_Toc184312071"/>
      <w:bookmarkEnd w:id="37"/>
      <w:bookmarkStart w:id="38" w:name="_Toc184308051"/>
      <w:bookmarkEnd w:id="38"/>
      <w:bookmarkStart w:id="39" w:name="_Toc184312105"/>
      <w:bookmarkEnd w:id="39"/>
      <w:bookmarkStart w:id="40" w:name="_Toc184308059"/>
      <w:bookmarkEnd w:id="40"/>
      <w:bookmarkStart w:id="41" w:name="_Toc184310318"/>
      <w:bookmarkEnd w:id="41"/>
      <w:bookmarkStart w:id="42" w:name="_Toc184312118"/>
      <w:bookmarkEnd w:id="42"/>
      <w:bookmarkStart w:id="43" w:name="_Toc184314416"/>
      <w:bookmarkEnd w:id="43"/>
      <w:bookmarkStart w:id="44" w:name="_Toc184312107"/>
      <w:bookmarkEnd w:id="44"/>
      <w:bookmarkStart w:id="45" w:name="_Toc184314459"/>
      <w:bookmarkEnd w:id="45"/>
      <w:bookmarkStart w:id="46" w:name="_Toc184313305"/>
      <w:bookmarkEnd w:id="46"/>
      <w:bookmarkStart w:id="47" w:name="_Toc184314428"/>
      <w:bookmarkEnd w:id="47"/>
      <w:bookmarkStart w:id="48" w:name="_Toc184314413"/>
      <w:bookmarkEnd w:id="48"/>
      <w:bookmarkStart w:id="49" w:name="_Toc184310307"/>
      <w:bookmarkEnd w:id="49"/>
      <w:bookmarkStart w:id="50" w:name="_Toc184313256"/>
      <w:bookmarkEnd w:id="50"/>
      <w:bookmarkStart w:id="51" w:name="_Toc184308070"/>
      <w:bookmarkEnd w:id="51"/>
      <w:bookmarkStart w:id="52" w:name="_Toc184314448"/>
      <w:bookmarkEnd w:id="52"/>
      <w:bookmarkStart w:id="53" w:name="_Toc184313302"/>
      <w:bookmarkEnd w:id="53"/>
      <w:bookmarkStart w:id="54" w:name="_Toc184314469"/>
      <w:bookmarkEnd w:id="54"/>
      <w:bookmarkStart w:id="55" w:name="_Toc184310278"/>
      <w:bookmarkEnd w:id="55"/>
      <w:bookmarkStart w:id="56" w:name="_Toc184308058"/>
      <w:bookmarkEnd w:id="56"/>
      <w:bookmarkStart w:id="57" w:name="_Toc184313239"/>
      <w:bookmarkEnd w:id="57"/>
      <w:bookmarkStart w:id="58" w:name="_Toc184310300"/>
      <w:bookmarkEnd w:id="58"/>
      <w:bookmarkStart w:id="59" w:name="_Toc184313243"/>
      <w:bookmarkEnd w:id="59"/>
      <w:bookmarkStart w:id="60" w:name="_Toc184314434"/>
      <w:bookmarkEnd w:id="60"/>
      <w:bookmarkStart w:id="61" w:name="_Toc184312130"/>
      <w:bookmarkEnd w:id="61"/>
      <w:bookmarkStart w:id="62" w:name="_Toc184310344"/>
      <w:bookmarkEnd w:id="62"/>
      <w:bookmarkStart w:id="63" w:name="_Toc184314439"/>
      <w:bookmarkEnd w:id="63"/>
      <w:bookmarkStart w:id="64" w:name="_Toc184313257"/>
      <w:bookmarkEnd w:id="64"/>
      <w:bookmarkStart w:id="65" w:name="_Toc184308047"/>
      <w:bookmarkEnd w:id="65"/>
      <w:bookmarkStart w:id="66" w:name="_Toc184310284"/>
      <w:bookmarkEnd w:id="66"/>
      <w:bookmarkStart w:id="67" w:name="_Toc184308098"/>
      <w:bookmarkEnd w:id="67"/>
      <w:bookmarkStart w:id="68" w:name="_Toc184314465"/>
      <w:bookmarkEnd w:id="68"/>
      <w:bookmarkStart w:id="69" w:name="_Toc184310282"/>
      <w:bookmarkEnd w:id="69"/>
      <w:bookmarkStart w:id="70" w:name="_Toc184312132"/>
      <w:bookmarkEnd w:id="70"/>
      <w:bookmarkStart w:id="71" w:name="_Toc184312068"/>
      <w:bookmarkEnd w:id="71"/>
      <w:bookmarkStart w:id="72" w:name="_Toc184314429"/>
      <w:bookmarkEnd w:id="72"/>
      <w:bookmarkStart w:id="73" w:name="_Toc184314467"/>
      <w:bookmarkEnd w:id="73"/>
      <w:bookmarkStart w:id="74" w:name="_Toc184310298"/>
      <w:bookmarkEnd w:id="74"/>
      <w:bookmarkStart w:id="75" w:name="_Toc184313258"/>
      <w:bookmarkEnd w:id="75"/>
      <w:bookmarkStart w:id="76" w:name="_Toc184314424"/>
      <w:bookmarkEnd w:id="76"/>
      <w:bookmarkStart w:id="77" w:name="_Toc184310343"/>
      <w:bookmarkEnd w:id="77"/>
      <w:bookmarkStart w:id="78" w:name="_Toc184310308"/>
      <w:bookmarkEnd w:id="78"/>
      <w:bookmarkStart w:id="79" w:name="_Toc184312135"/>
      <w:bookmarkEnd w:id="79"/>
      <w:bookmarkStart w:id="80" w:name="_Toc184313304"/>
      <w:bookmarkEnd w:id="80"/>
      <w:bookmarkStart w:id="81" w:name="_Toc184313240"/>
      <w:bookmarkEnd w:id="81"/>
      <w:bookmarkStart w:id="82" w:name="_Toc184312134"/>
      <w:bookmarkEnd w:id="82"/>
      <w:bookmarkStart w:id="83" w:name="_Toc184308037"/>
      <w:bookmarkEnd w:id="83"/>
      <w:bookmarkStart w:id="84" w:name="_Toc184312091"/>
      <w:bookmarkEnd w:id="84"/>
      <w:bookmarkStart w:id="85" w:name="_Toc184310293"/>
      <w:bookmarkEnd w:id="85"/>
      <w:bookmarkStart w:id="86" w:name="_Toc184310330"/>
      <w:bookmarkEnd w:id="86"/>
      <w:bookmarkStart w:id="87" w:name="_Toc184308061"/>
      <w:bookmarkEnd w:id="87"/>
      <w:bookmarkStart w:id="88" w:name="_Toc184314421"/>
      <w:bookmarkEnd w:id="88"/>
      <w:bookmarkStart w:id="89" w:name="_Toc184310323"/>
      <w:bookmarkEnd w:id="89"/>
      <w:bookmarkStart w:id="90" w:name="_Toc184310272"/>
      <w:bookmarkEnd w:id="90"/>
      <w:bookmarkStart w:id="91" w:name="_Toc184314461"/>
      <w:bookmarkEnd w:id="91"/>
      <w:bookmarkStart w:id="92" w:name="_Toc184312101"/>
      <w:bookmarkEnd w:id="92"/>
      <w:bookmarkStart w:id="93" w:name="_Toc184312112"/>
      <w:bookmarkEnd w:id="93"/>
      <w:bookmarkStart w:id="94" w:name="_Toc184310321"/>
      <w:bookmarkEnd w:id="94"/>
      <w:bookmarkStart w:id="95" w:name="_Toc184310295"/>
      <w:bookmarkEnd w:id="95"/>
      <w:bookmarkStart w:id="96" w:name="_Toc184314452"/>
      <w:bookmarkEnd w:id="96"/>
      <w:bookmarkStart w:id="97" w:name="_Toc184308091"/>
      <w:bookmarkEnd w:id="97"/>
      <w:bookmarkStart w:id="98" w:name="_Toc184308062"/>
      <w:bookmarkEnd w:id="98"/>
      <w:bookmarkStart w:id="99" w:name="_Toc184313310"/>
      <w:bookmarkEnd w:id="99"/>
      <w:bookmarkStart w:id="100" w:name="_Toc184313283"/>
      <w:bookmarkEnd w:id="100"/>
      <w:bookmarkStart w:id="101" w:name="_Toc184312117"/>
      <w:bookmarkEnd w:id="101"/>
      <w:bookmarkStart w:id="102" w:name="_Toc184313300"/>
      <w:bookmarkEnd w:id="102"/>
      <w:bookmarkStart w:id="103" w:name="_Toc184314443"/>
      <w:bookmarkEnd w:id="103"/>
      <w:bookmarkStart w:id="104" w:name="_Toc184313261"/>
      <w:bookmarkEnd w:id="104"/>
      <w:bookmarkStart w:id="105" w:name="_Toc184308041"/>
      <w:bookmarkEnd w:id="105"/>
      <w:bookmarkStart w:id="106" w:name="_Toc184314442"/>
      <w:bookmarkEnd w:id="106"/>
      <w:bookmarkStart w:id="107" w:name="_Toc184314422"/>
      <w:bookmarkEnd w:id="107"/>
      <w:bookmarkStart w:id="108" w:name="_Toc184313285"/>
      <w:bookmarkEnd w:id="108"/>
      <w:bookmarkStart w:id="109" w:name="_Toc184314410"/>
      <w:bookmarkEnd w:id="109"/>
      <w:bookmarkStart w:id="110" w:name="_Toc184310309"/>
      <w:bookmarkEnd w:id="110"/>
      <w:bookmarkStart w:id="111" w:name="_Toc184313295"/>
      <w:bookmarkEnd w:id="111"/>
      <w:bookmarkStart w:id="112" w:name="_Toc184312109"/>
      <w:bookmarkEnd w:id="112"/>
      <w:bookmarkStart w:id="113" w:name="_Toc184314482"/>
      <w:bookmarkEnd w:id="113"/>
      <w:bookmarkStart w:id="114" w:name="_Toc184312122"/>
      <w:bookmarkEnd w:id="114"/>
      <w:bookmarkStart w:id="115" w:name="_Toc184310336"/>
      <w:bookmarkEnd w:id="115"/>
      <w:bookmarkStart w:id="116" w:name="_Toc184314480"/>
      <w:bookmarkEnd w:id="116"/>
      <w:bookmarkStart w:id="117" w:name="_Toc184308076"/>
      <w:bookmarkEnd w:id="117"/>
      <w:bookmarkStart w:id="118" w:name="_Toc184310339"/>
      <w:bookmarkEnd w:id="118"/>
      <w:bookmarkStart w:id="119" w:name="_Toc184308039"/>
      <w:bookmarkEnd w:id="119"/>
      <w:bookmarkStart w:id="120" w:name="_Toc184314423"/>
      <w:bookmarkEnd w:id="120"/>
      <w:bookmarkStart w:id="121" w:name="_Toc184313306"/>
      <w:bookmarkEnd w:id="121"/>
      <w:bookmarkStart w:id="122" w:name="_Toc184313249"/>
      <w:bookmarkEnd w:id="122"/>
      <w:bookmarkStart w:id="123" w:name="_Toc184313299"/>
      <w:bookmarkEnd w:id="123"/>
      <w:bookmarkStart w:id="124" w:name="_Toc184308065"/>
      <w:bookmarkEnd w:id="124"/>
      <w:bookmarkStart w:id="125" w:name="_Toc184313242"/>
      <w:bookmarkEnd w:id="125"/>
      <w:bookmarkStart w:id="126" w:name="_Toc184308082"/>
      <w:bookmarkEnd w:id="126"/>
      <w:bookmarkStart w:id="127" w:name="_Toc184310296"/>
      <w:bookmarkEnd w:id="127"/>
      <w:bookmarkStart w:id="128" w:name="_Toc184313245"/>
      <w:bookmarkEnd w:id="128"/>
      <w:bookmarkStart w:id="129" w:name="_Toc184314455"/>
      <w:bookmarkEnd w:id="129"/>
      <w:bookmarkStart w:id="130" w:name="_Toc184308107"/>
      <w:bookmarkEnd w:id="130"/>
      <w:bookmarkStart w:id="131" w:name="_Toc184314464"/>
      <w:bookmarkEnd w:id="131"/>
      <w:bookmarkStart w:id="132" w:name="_Toc184314444"/>
      <w:bookmarkEnd w:id="132"/>
      <w:bookmarkStart w:id="133" w:name="_Toc184314473"/>
      <w:bookmarkEnd w:id="133"/>
      <w:bookmarkStart w:id="134" w:name="_Toc184313284"/>
      <w:bookmarkEnd w:id="134"/>
      <w:bookmarkStart w:id="135" w:name="_Toc184314479"/>
      <w:bookmarkEnd w:id="135"/>
      <w:bookmarkStart w:id="136" w:name="_Toc184314454"/>
      <w:bookmarkEnd w:id="136"/>
      <w:bookmarkStart w:id="137" w:name="_Toc184308063"/>
      <w:bookmarkEnd w:id="137"/>
      <w:bookmarkStart w:id="138" w:name="_Toc184310291"/>
      <w:bookmarkEnd w:id="138"/>
      <w:bookmarkStart w:id="139" w:name="_Toc184308073"/>
      <w:bookmarkEnd w:id="139"/>
      <w:bookmarkStart w:id="140" w:name="_Toc184308108"/>
      <w:bookmarkEnd w:id="140"/>
      <w:bookmarkStart w:id="141" w:name="_Toc184313250"/>
      <w:bookmarkEnd w:id="141"/>
      <w:bookmarkStart w:id="142" w:name="_Toc184312096"/>
      <w:bookmarkEnd w:id="142"/>
      <w:bookmarkStart w:id="143" w:name="_Toc184314447"/>
      <w:bookmarkEnd w:id="143"/>
      <w:bookmarkStart w:id="144" w:name="_Toc184312079"/>
      <w:bookmarkEnd w:id="144"/>
      <w:bookmarkStart w:id="145" w:name="_Toc184310288"/>
      <w:bookmarkEnd w:id="145"/>
      <w:bookmarkStart w:id="146" w:name="_Toc184314435"/>
      <w:bookmarkEnd w:id="146"/>
      <w:bookmarkStart w:id="147" w:name="_Toc184310274"/>
      <w:bookmarkEnd w:id="147"/>
      <w:bookmarkStart w:id="148" w:name="_Toc184310306"/>
      <w:bookmarkEnd w:id="148"/>
      <w:bookmarkStart w:id="149" w:name="_Toc184308078"/>
      <w:bookmarkEnd w:id="149"/>
      <w:bookmarkStart w:id="150" w:name="_Toc184314425"/>
      <w:bookmarkEnd w:id="150"/>
      <w:bookmarkStart w:id="151" w:name="_Toc184313296"/>
      <w:bookmarkEnd w:id="151"/>
      <w:bookmarkStart w:id="152" w:name="_Toc184312077"/>
      <w:bookmarkEnd w:id="152"/>
      <w:bookmarkStart w:id="153" w:name="_Toc184310287"/>
      <w:bookmarkEnd w:id="153"/>
      <w:bookmarkStart w:id="154" w:name="_Toc184312111"/>
      <w:bookmarkEnd w:id="154"/>
      <w:bookmarkStart w:id="155" w:name="_Toc184314419"/>
      <w:bookmarkEnd w:id="155"/>
      <w:bookmarkStart w:id="156" w:name="_Toc184312108"/>
      <w:bookmarkEnd w:id="156"/>
      <w:bookmarkStart w:id="157" w:name="_Toc184314453"/>
      <w:bookmarkEnd w:id="157"/>
      <w:bookmarkStart w:id="158" w:name="_Toc184313268"/>
      <w:bookmarkEnd w:id="158"/>
      <w:bookmarkStart w:id="159" w:name="_Toc184314481"/>
      <w:bookmarkEnd w:id="159"/>
      <w:bookmarkStart w:id="160" w:name="_Toc184314418"/>
      <w:bookmarkEnd w:id="160"/>
      <w:bookmarkStart w:id="161" w:name="_Toc184310327"/>
      <w:bookmarkEnd w:id="161"/>
      <w:bookmarkStart w:id="162" w:name="_Toc184312070"/>
      <w:bookmarkEnd w:id="162"/>
      <w:bookmarkStart w:id="163" w:name="_Toc184308052"/>
      <w:bookmarkEnd w:id="163"/>
      <w:bookmarkStart w:id="164" w:name="_Toc184313275"/>
      <w:bookmarkEnd w:id="164"/>
      <w:bookmarkStart w:id="165" w:name="_Toc184312137"/>
      <w:bookmarkEnd w:id="165"/>
      <w:bookmarkStart w:id="166" w:name="_Toc184314463"/>
      <w:bookmarkEnd w:id="166"/>
      <w:bookmarkStart w:id="167" w:name="_Toc184314472"/>
      <w:bookmarkEnd w:id="167"/>
      <w:bookmarkStart w:id="168" w:name="_Toc184314445"/>
      <w:bookmarkEnd w:id="168"/>
      <w:bookmarkStart w:id="169" w:name="_Toc184308099"/>
      <w:bookmarkEnd w:id="169"/>
      <w:bookmarkStart w:id="170" w:name="_Toc184314432"/>
      <w:bookmarkEnd w:id="170"/>
      <w:bookmarkStart w:id="171" w:name="_Toc184313287"/>
      <w:bookmarkEnd w:id="171"/>
      <w:bookmarkStart w:id="172" w:name="_Toc184313252"/>
      <w:bookmarkEnd w:id="172"/>
      <w:bookmarkStart w:id="173" w:name="_Toc184308071"/>
      <w:bookmarkEnd w:id="173"/>
      <w:bookmarkStart w:id="174" w:name="_Toc184310277"/>
      <w:bookmarkEnd w:id="174"/>
      <w:bookmarkStart w:id="175" w:name="_Toc184310289"/>
      <w:bookmarkEnd w:id="175"/>
      <w:bookmarkStart w:id="176" w:name="_Toc184308066"/>
      <w:bookmarkEnd w:id="176"/>
      <w:bookmarkStart w:id="177" w:name="_Toc184312095"/>
      <w:bookmarkEnd w:id="177"/>
      <w:bookmarkStart w:id="178" w:name="_Toc184308105"/>
      <w:bookmarkEnd w:id="178"/>
      <w:bookmarkStart w:id="179" w:name="_Toc184310338"/>
      <w:bookmarkEnd w:id="179"/>
      <w:bookmarkStart w:id="180" w:name="_Toc184308081"/>
      <w:bookmarkEnd w:id="180"/>
      <w:bookmarkStart w:id="181" w:name="_Toc184310335"/>
      <w:bookmarkEnd w:id="181"/>
      <w:bookmarkStart w:id="182" w:name="_Toc184310313"/>
      <w:bookmarkEnd w:id="182"/>
      <w:bookmarkStart w:id="183" w:name="_Toc184312067"/>
      <w:bookmarkEnd w:id="183"/>
      <w:bookmarkStart w:id="184" w:name="_Toc184308095"/>
      <w:bookmarkEnd w:id="184"/>
      <w:bookmarkStart w:id="185" w:name="_Toc184308079"/>
      <w:bookmarkEnd w:id="185"/>
      <w:bookmarkStart w:id="186" w:name="_Toc184313260"/>
      <w:bookmarkEnd w:id="186"/>
      <w:bookmarkStart w:id="187" w:name="_Toc184308053"/>
      <w:bookmarkEnd w:id="187"/>
      <w:bookmarkStart w:id="188" w:name="_Toc184313263"/>
      <w:bookmarkEnd w:id="188"/>
      <w:bookmarkStart w:id="189" w:name="_Toc184308093"/>
      <w:bookmarkEnd w:id="189"/>
      <w:bookmarkStart w:id="190" w:name="_Toc184313273"/>
      <w:bookmarkEnd w:id="190"/>
      <w:bookmarkStart w:id="191" w:name="_Toc184312119"/>
      <w:bookmarkEnd w:id="191"/>
      <w:bookmarkStart w:id="192" w:name="_Toc184310290"/>
      <w:bookmarkEnd w:id="192"/>
      <w:bookmarkStart w:id="193" w:name="_Toc184313288"/>
      <w:bookmarkEnd w:id="193"/>
      <w:bookmarkStart w:id="194" w:name="_Toc184313264"/>
      <w:bookmarkEnd w:id="194"/>
      <w:bookmarkStart w:id="195" w:name="_Toc184312139"/>
      <w:bookmarkEnd w:id="195"/>
      <w:bookmarkStart w:id="196" w:name="_Toc184312086"/>
      <w:bookmarkEnd w:id="196"/>
      <w:bookmarkStart w:id="197" w:name="_Toc184312088"/>
      <w:bookmarkEnd w:id="197"/>
      <w:bookmarkStart w:id="198" w:name="_Toc184308046"/>
      <w:bookmarkEnd w:id="198"/>
      <w:bookmarkStart w:id="199" w:name="_Toc184310286"/>
      <w:bookmarkEnd w:id="199"/>
      <w:bookmarkStart w:id="200" w:name="_Toc184313251"/>
      <w:bookmarkEnd w:id="200"/>
      <w:bookmarkStart w:id="201" w:name="_Toc184312076"/>
      <w:bookmarkEnd w:id="201"/>
      <w:bookmarkStart w:id="202" w:name="_Toc184313259"/>
      <w:bookmarkEnd w:id="202"/>
      <w:bookmarkStart w:id="203" w:name="_Toc184308044"/>
      <w:bookmarkEnd w:id="203"/>
      <w:bookmarkStart w:id="204" w:name="_Toc184310333"/>
      <w:bookmarkEnd w:id="204"/>
      <w:bookmarkStart w:id="205" w:name="_Toc184310315"/>
      <w:bookmarkEnd w:id="205"/>
      <w:bookmarkStart w:id="206" w:name="_Toc184312093"/>
      <w:bookmarkEnd w:id="206"/>
      <w:bookmarkStart w:id="207" w:name="_Toc184308100"/>
      <w:bookmarkEnd w:id="207"/>
      <w:bookmarkStart w:id="208" w:name="_Toc184312072"/>
      <w:bookmarkEnd w:id="208"/>
      <w:bookmarkStart w:id="209" w:name="_Toc184310331"/>
      <w:bookmarkEnd w:id="209"/>
      <w:bookmarkStart w:id="210" w:name="_Toc184314426"/>
      <w:bookmarkEnd w:id="210"/>
      <w:bookmarkStart w:id="211" w:name="_Toc184312097"/>
      <w:bookmarkEnd w:id="211"/>
      <w:bookmarkStart w:id="212" w:name="_Toc184314437"/>
      <w:bookmarkEnd w:id="212"/>
      <w:bookmarkStart w:id="213" w:name="_Toc184310320"/>
      <w:bookmarkEnd w:id="213"/>
      <w:bookmarkStart w:id="214" w:name="_Toc184313265"/>
      <w:bookmarkEnd w:id="214"/>
      <w:bookmarkStart w:id="215" w:name="_Toc184313279"/>
      <w:bookmarkEnd w:id="215"/>
      <w:bookmarkStart w:id="216" w:name="_Toc184312113"/>
      <w:bookmarkEnd w:id="216"/>
      <w:bookmarkStart w:id="217" w:name="_Toc184312102"/>
      <w:bookmarkEnd w:id="217"/>
      <w:bookmarkStart w:id="218" w:name="_Toc184312089"/>
      <w:bookmarkEnd w:id="218"/>
      <w:bookmarkStart w:id="219" w:name="_Toc184312085"/>
      <w:bookmarkEnd w:id="219"/>
      <w:bookmarkStart w:id="220" w:name="_Toc184312131"/>
      <w:bookmarkEnd w:id="220"/>
      <w:bookmarkStart w:id="221" w:name="_Toc184314474"/>
      <w:bookmarkEnd w:id="221"/>
      <w:bookmarkStart w:id="222" w:name="_Toc184308075"/>
      <w:bookmarkEnd w:id="222"/>
      <w:bookmarkStart w:id="223" w:name="_Toc184310310"/>
      <w:bookmarkEnd w:id="223"/>
      <w:bookmarkStart w:id="224" w:name="_Toc184314460"/>
      <w:bookmarkEnd w:id="224"/>
      <w:bookmarkStart w:id="225" w:name="_Toc184308102"/>
      <w:bookmarkEnd w:id="225"/>
      <w:bookmarkStart w:id="226" w:name="_Toc184308101"/>
      <w:bookmarkEnd w:id="226"/>
      <w:bookmarkStart w:id="227" w:name="_Toc184314466"/>
      <w:bookmarkEnd w:id="227"/>
      <w:bookmarkStart w:id="228" w:name="_Toc184314438"/>
      <w:bookmarkEnd w:id="228"/>
      <w:bookmarkStart w:id="229" w:name="_Toc184314456"/>
      <w:bookmarkEnd w:id="229"/>
      <w:bookmarkStart w:id="230" w:name="_Toc184312124"/>
      <w:bookmarkEnd w:id="230"/>
      <w:bookmarkStart w:id="231" w:name="_Toc184308083"/>
      <w:bookmarkEnd w:id="231"/>
      <w:bookmarkStart w:id="232" w:name="_Toc184312126"/>
      <w:bookmarkEnd w:id="232"/>
      <w:bookmarkStart w:id="233" w:name="_Toc184314411"/>
      <w:bookmarkEnd w:id="233"/>
      <w:bookmarkStart w:id="234" w:name="_Toc184313309"/>
      <w:bookmarkEnd w:id="234"/>
      <w:bookmarkStart w:id="235" w:name="_Toc184310340"/>
      <w:bookmarkEnd w:id="235"/>
      <w:bookmarkStart w:id="236" w:name="_Toc184308087"/>
      <w:bookmarkEnd w:id="236"/>
      <w:bookmarkStart w:id="237" w:name="_Toc184314414"/>
      <w:bookmarkEnd w:id="237"/>
      <w:bookmarkStart w:id="238" w:name="_Toc184308042"/>
      <w:bookmarkEnd w:id="238"/>
      <w:bookmarkStart w:id="239" w:name="_Toc184308054"/>
      <w:bookmarkEnd w:id="239"/>
      <w:bookmarkStart w:id="240" w:name="_Toc184308043"/>
      <w:bookmarkEnd w:id="240"/>
      <w:bookmarkStart w:id="241" w:name="_Toc184308094"/>
      <w:bookmarkEnd w:id="241"/>
      <w:bookmarkStart w:id="242" w:name="_Toc184310280"/>
      <w:bookmarkEnd w:id="242"/>
      <w:bookmarkStart w:id="243" w:name="_Toc184310283"/>
      <w:bookmarkEnd w:id="243"/>
      <w:bookmarkStart w:id="244" w:name="_Toc184313280"/>
      <w:bookmarkEnd w:id="244"/>
      <w:bookmarkStart w:id="245" w:name="_Toc184314476"/>
      <w:bookmarkEnd w:id="245"/>
      <w:bookmarkStart w:id="246" w:name="_Toc184308038"/>
      <w:bookmarkEnd w:id="246"/>
      <w:bookmarkStart w:id="247" w:name="_Toc184312090"/>
      <w:bookmarkEnd w:id="247"/>
      <w:bookmarkStart w:id="248" w:name="_Toc184312104"/>
      <w:bookmarkEnd w:id="248"/>
      <w:bookmarkStart w:id="249" w:name="_Toc184313292"/>
      <w:bookmarkEnd w:id="249"/>
      <w:bookmarkStart w:id="250" w:name="_Toc184313266"/>
      <w:bookmarkEnd w:id="250"/>
      <w:bookmarkStart w:id="251" w:name="_Toc184312087"/>
      <w:bookmarkEnd w:id="251"/>
      <w:bookmarkStart w:id="252" w:name="_Toc184308096"/>
      <w:bookmarkEnd w:id="252"/>
      <w:bookmarkStart w:id="253" w:name="_Toc184313238"/>
      <w:bookmarkEnd w:id="253"/>
      <w:bookmarkStart w:id="254" w:name="_Toc184308097"/>
      <w:bookmarkEnd w:id="254"/>
      <w:bookmarkStart w:id="255" w:name="_Toc184312099"/>
      <w:bookmarkEnd w:id="255"/>
      <w:bookmarkStart w:id="256" w:name="_Toc184310341"/>
      <w:bookmarkEnd w:id="256"/>
      <w:bookmarkStart w:id="257" w:name="_Toc184313269"/>
      <w:bookmarkEnd w:id="257"/>
      <w:bookmarkStart w:id="258" w:name="_Toc184312128"/>
      <w:bookmarkEnd w:id="258"/>
      <w:bookmarkStart w:id="259" w:name="_Toc184313277"/>
      <w:bookmarkEnd w:id="259"/>
      <w:bookmarkStart w:id="260" w:name="_Toc184310292"/>
      <w:bookmarkEnd w:id="260"/>
      <w:bookmarkStart w:id="261" w:name="_Toc184310301"/>
      <w:bookmarkEnd w:id="261"/>
      <w:bookmarkStart w:id="262" w:name="_Toc184313293"/>
      <w:bookmarkEnd w:id="262"/>
      <w:bookmarkStart w:id="263" w:name="_Toc184313303"/>
      <w:bookmarkEnd w:id="263"/>
      <w:bookmarkStart w:id="264" w:name="_Toc184314412"/>
      <w:bookmarkEnd w:id="264"/>
      <w:bookmarkStart w:id="265" w:name="_Toc184310337"/>
      <w:bookmarkEnd w:id="265"/>
      <w:bookmarkStart w:id="266" w:name="_Toc184312069"/>
      <w:bookmarkEnd w:id="266"/>
      <w:bookmarkStart w:id="267" w:name="_Toc184313272"/>
      <w:bookmarkEnd w:id="267"/>
      <w:bookmarkStart w:id="268" w:name="_Toc184313276"/>
      <w:bookmarkEnd w:id="268"/>
      <w:bookmarkStart w:id="269" w:name="_Toc184308048"/>
      <w:bookmarkEnd w:id="269"/>
      <w:bookmarkStart w:id="270" w:name="_Toc184314478"/>
      <w:bookmarkEnd w:id="270"/>
      <w:bookmarkStart w:id="271" w:name="_Toc184312125"/>
      <w:bookmarkEnd w:id="271"/>
      <w:bookmarkStart w:id="272" w:name="_Toc184313247"/>
      <w:bookmarkEnd w:id="272"/>
      <w:bookmarkStart w:id="273" w:name="_Toc184308084"/>
      <w:bookmarkEnd w:id="273"/>
      <w:bookmarkStart w:id="274" w:name="_Toc184312084"/>
      <w:bookmarkEnd w:id="274"/>
      <w:bookmarkStart w:id="275" w:name="_Toc184312078"/>
      <w:bookmarkEnd w:id="275"/>
      <w:bookmarkStart w:id="276" w:name="_Toc184314427"/>
      <w:bookmarkEnd w:id="276"/>
      <w:bookmarkStart w:id="277" w:name="_Toc184308060"/>
      <w:bookmarkEnd w:id="277"/>
      <w:bookmarkStart w:id="278" w:name="_Toc184313289"/>
      <w:bookmarkEnd w:id="278"/>
      <w:bookmarkStart w:id="279" w:name="_Toc184314441"/>
      <w:bookmarkEnd w:id="279"/>
      <w:bookmarkStart w:id="280" w:name="_Toc184312121"/>
      <w:bookmarkEnd w:id="280"/>
      <w:bookmarkStart w:id="281" w:name="_Toc184312129"/>
      <w:bookmarkEnd w:id="281"/>
      <w:bookmarkStart w:id="282" w:name="_Toc184313291"/>
      <w:bookmarkEnd w:id="282"/>
      <w:bookmarkStart w:id="283" w:name="_Toc184310273"/>
      <w:bookmarkEnd w:id="283"/>
      <w:bookmarkStart w:id="284" w:name="_Toc184312081"/>
      <w:bookmarkEnd w:id="284"/>
      <w:bookmarkStart w:id="285" w:name="_Toc184313262"/>
      <w:bookmarkEnd w:id="285"/>
      <w:bookmarkStart w:id="286" w:name="_Toc184308064"/>
      <w:bookmarkEnd w:id="286"/>
      <w:bookmarkStart w:id="287" w:name="_Toc184312083"/>
      <w:bookmarkEnd w:id="287"/>
      <w:bookmarkStart w:id="288" w:name="_Toc184313255"/>
      <w:bookmarkEnd w:id="288"/>
      <w:bookmarkStart w:id="289" w:name="_Toc184310319"/>
      <w:bookmarkEnd w:id="289"/>
      <w:bookmarkStart w:id="290" w:name="_Toc184310294"/>
      <w:bookmarkEnd w:id="290"/>
      <w:bookmarkStart w:id="291" w:name="_Toc184310304"/>
      <w:bookmarkEnd w:id="291"/>
      <w:bookmarkStart w:id="292" w:name="_Toc184310275"/>
      <w:bookmarkEnd w:id="292"/>
      <w:bookmarkStart w:id="293" w:name="_Toc184313307"/>
      <w:bookmarkEnd w:id="293"/>
      <w:bookmarkStart w:id="294" w:name="_Toc184310312"/>
      <w:bookmarkEnd w:id="294"/>
      <w:bookmarkStart w:id="295" w:name="_Toc184313241"/>
      <w:bookmarkEnd w:id="295"/>
      <w:bookmarkStart w:id="296" w:name="_Toc184308057"/>
      <w:bookmarkEnd w:id="296"/>
      <w:bookmarkStart w:id="297" w:name="_Toc184308106"/>
      <w:bookmarkEnd w:id="297"/>
      <w:bookmarkStart w:id="298" w:name="_Toc184313298"/>
      <w:bookmarkEnd w:id="298"/>
      <w:bookmarkStart w:id="299" w:name="_Toc184312115"/>
      <w:bookmarkEnd w:id="299"/>
      <w:bookmarkStart w:id="300" w:name="_Toc184310329"/>
      <w:bookmarkEnd w:id="300"/>
      <w:bookmarkStart w:id="301" w:name="_Toc184312080"/>
      <w:bookmarkEnd w:id="301"/>
      <w:bookmarkStart w:id="302" w:name="_Toc184312100"/>
      <w:bookmarkEnd w:id="302"/>
      <w:bookmarkStart w:id="303" w:name="_Toc184308055"/>
      <w:bookmarkEnd w:id="303"/>
      <w:bookmarkStart w:id="304" w:name="_Toc184312073"/>
      <w:bookmarkEnd w:id="304"/>
      <w:bookmarkStart w:id="305" w:name="_Toc184308069"/>
      <w:bookmarkEnd w:id="305"/>
      <w:bookmarkStart w:id="306" w:name="_Toc184310279"/>
      <w:bookmarkEnd w:id="306"/>
      <w:bookmarkStart w:id="307" w:name="_Toc184313254"/>
      <w:bookmarkEnd w:id="307"/>
      <w:bookmarkStart w:id="308" w:name="_Toc184314431"/>
      <w:bookmarkEnd w:id="308"/>
      <w:bookmarkStart w:id="309" w:name="_Toc184314477"/>
      <w:bookmarkEnd w:id="309"/>
      <w:bookmarkStart w:id="310" w:name="_Toc184312103"/>
      <w:bookmarkEnd w:id="310"/>
      <w:bookmarkStart w:id="311" w:name="_Toc184314433"/>
      <w:bookmarkEnd w:id="311"/>
      <w:bookmarkStart w:id="312" w:name="_Toc184313290"/>
      <w:bookmarkEnd w:id="312"/>
      <w:bookmarkStart w:id="313" w:name="_Toc184310334"/>
      <w:bookmarkEnd w:id="313"/>
      <w:bookmarkStart w:id="314" w:name="_Toc184308089"/>
      <w:bookmarkEnd w:id="314"/>
      <w:bookmarkStart w:id="315" w:name="_Toc184313278"/>
      <w:bookmarkEnd w:id="315"/>
      <w:bookmarkStart w:id="316" w:name="_Toc184312092"/>
      <w:bookmarkEnd w:id="316"/>
      <w:bookmarkStart w:id="317" w:name="_Toc184310305"/>
      <w:bookmarkEnd w:id="317"/>
      <w:bookmarkStart w:id="318" w:name="_Toc184308074"/>
      <w:bookmarkEnd w:id="318"/>
      <w:bookmarkStart w:id="319" w:name="_Toc184308068"/>
      <w:bookmarkEnd w:id="319"/>
      <w:bookmarkStart w:id="320" w:name="_Toc184310316"/>
      <w:bookmarkEnd w:id="320"/>
      <w:bookmarkStart w:id="321" w:name="_Toc184310342"/>
      <w:bookmarkEnd w:id="321"/>
      <w:bookmarkStart w:id="322" w:name="_Toc184310322"/>
      <w:bookmarkEnd w:id="322"/>
      <w:bookmarkStart w:id="323" w:name="_Toc184310281"/>
      <w:bookmarkEnd w:id="323"/>
      <w:bookmarkStart w:id="324" w:name="_Toc184310276"/>
      <w:bookmarkEnd w:id="324"/>
      <w:bookmarkStart w:id="325" w:name="_Toc184313253"/>
      <w:bookmarkEnd w:id="325"/>
      <w:bookmarkStart w:id="326" w:name="_Toc184310314"/>
      <w:bookmarkEnd w:id="326"/>
      <w:bookmarkStart w:id="327" w:name="_Toc184308103"/>
      <w:bookmarkEnd w:id="327"/>
      <w:bookmarkStart w:id="328" w:name="_Toc184310324"/>
      <w:bookmarkEnd w:id="328"/>
      <w:bookmarkStart w:id="329" w:name="_Toc184310285"/>
      <w:bookmarkEnd w:id="329"/>
      <w:bookmarkStart w:id="330" w:name="_Toc184310303"/>
      <w:bookmarkEnd w:id="330"/>
      <w:bookmarkStart w:id="331" w:name="_Toc184308036"/>
      <w:bookmarkEnd w:id="331"/>
      <w:bookmarkStart w:id="332" w:name="_Toc184312138"/>
      <w:bookmarkEnd w:id="332"/>
      <w:bookmarkStart w:id="333" w:name="_Toc184310297"/>
      <w:bookmarkEnd w:id="333"/>
      <w:bookmarkStart w:id="334" w:name="_Toc184312074"/>
      <w:bookmarkEnd w:id="334"/>
      <w:bookmarkStart w:id="335" w:name="_Toc184314417"/>
      <w:bookmarkEnd w:id="335"/>
      <w:bookmarkStart w:id="336" w:name="_Toc184312127"/>
      <w:bookmarkEnd w:id="336"/>
      <w:bookmarkStart w:id="337" w:name="_Toc184312123"/>
      <w:bookmarkEnd w:id="337"/>
      <w:bookmarkStart w:id="338" w:name="_Toc184312094"/>
      <w:bookmarkEnd w:id="338"/>
      <w:bookmarkStart w:id="339" w:name="_Toc184314475"/>
      <w:bookmarkEnd w:id="339"/>
      <w:bookmarkStart w:id="340" w:name="_Toc184314415"/>
      <w:bookmarkEnd w:id="340"/>
      <w:bookmarkStart w:id="341" w:name="_Toc184310332"/>
      <w:bookmarkEnd w:id="341"/>
      <w:bookmarkStart w:id="342" w:name="_Toc184308056"/>
      <w:bookmarkEnd w:id="342"/>
      <w:bookmarkStart w:id="343" w:name="_Toc184313308"/>
      <w:bookmarkEnd w:id="343"/>
      <w:bookmarkStart w:id="344" w:name="_Toc184313281"/>
      <w:bookmarkEnd w:id="344"/>
      <w:bookmarkStart w:id="345" w:name="_Toc184308085"/>
      <w:bookmarkEnd w:id="345"/>
      <w:bookmarkStart w:id="346" w:name="_Toc184308077"/>
      <w:bookmarkEnd w:id="346"/>
      <w:bookmarkStart w:id="347" w:name="_Toc184313297"/>
      <w:bookmarkEnd w:id="347"/>
      <w:bookmarkStart w:id="348" w:name="_Toc184308045"/>
      <w:bookmarkEnd w:id="348"/>
      <w:bookmarkStart w:id="349" w:name="_Toc184313294"/>
      <w:bookmarkEnd w:id="349"/>
      <w:bookmarkStart w:id="350" w:name="_Toc184312133"/>
      <w:bookmarkEnd w:id="350"/>
      <w:bookmarkStart w:id="351" w:name="_Toc184313286"/>
      <w:bookmarkEnd w:id="351"/>
      <w:bookmarkStart w:id="352" w:name="_Toc184310302"/>
      <w:bookmarkEnd w:id="352"/>
      <w:bookmarkStart w:id="353" w:name="_Toc184313248"/>
      <w:bookmarkEnd w:id="353"/>
      <w:bookmarkStart w:id="354" w:name="_Toc184310328"/>
      <w:bookmarkEnd w:id="354"/>
      <w:bookmarkStart w:id="355" w:name="_Toc184308092"/>
      <w:bookmarkEnd w:id="355"/>
      <w:bookmarkStart w:id="356" w:name="_Toc184314451"/>
      <w:bookmarkEnd w:id="356"/>
      <w:bookmarkStart w:id="357" w:name="_Toc184312120"/>
      <w:bookmarkEnd w:id="357"/>
      <w:bookmarkStart w:id="358" w:name="_Toc184310311"/>
      <w:bookmarkEnd w:id="358"/>
      <w:bookmarkStart w:id="359" w:name="_Toc184310299"/>
      <w:bookmarkEnd w:id="359"/>
      <w:bookmarkStart w:id="360" w:name="_Toc184313274"/>
      <w:bookmarkEnd w:id="360"/>
      <w:bookmarkStart w:id="361" w:name="_Toc184308072"/>
      <w:bookmarkEnd w:id="361"/>
      <w:bookmarkStart w:id="362" w:name="_Toc184314449"/>
      <w:bookmarkEnd w:id="362"/>
      <w:bookmarkStart w:id="363" w:name="_Toc184310326"/>
      <w:bookmarkEnd w:id="363"/>
      <w:bookmarkStart w:id="364" w:name="_Toc184310325"/>
      <w:bookmarkEnd w:id="364"/>
      <w:bookmarkStart w:id="365" w:name="_Toc184312110"/>
      <w:bookmarkEnd w:id="365"/>
      <w:bookmarkStart w:id="366" w:name="_Toc184313244"/>
      <w:bookmarkEnd w:id="366"/>
      <w:bookmarkStart w:id="367" w:name="_Toc184308088"/>
      <w:bookmarkEnd w:id="367"/>
      <w:bookmarkStart w:id="368" w:name="_Toc184312136"/>
      <w:bookmarkEnd w:id="368"/>
      <w:bookmarkStart w:id="369" w:name="_Toc184308050"/>
      <w:bookmarkEnd w:id="369"/>
      <w:bookmarkStart w:id="370" w:name="_Toc184313270"/>
      <w:bookmarkEnd w:id="370"/>
      <w:bookmarkStart w:id="371" w:name="_Toc184312098"/>
      <w:bookmarkEnd w:id="371"/>
      <w:bookmarkStart w:id="372" w:name="_Toc184313246"/>
      <w:bookmarkEnd w:id="372"/>
      <w:bookmarkStart w:id="373" w:name="_Toc184312082"/>
      <w:bookmarkEnd w:id="373"/>
      <w:bookmarkStart w:id="374" w:name="_Toc184313301"/>
      <w:bookmarkEnd w:id="374"/>
      <w:bookmarkStart w:id="375" w:name="_Toc184310317"/>
      <w:bookmarkEnd w:id="375"/>
      <w:bookmarkStart w:id="376" w:name="_Toc184314446"/>
      <w:bookmarkEnd w:id="376"/>
      <w:bookmarkStart w:id="377" w:name="_Toc184312075"/>
      <w:bookmarkEnd w:id="377"/>
      <w:bookmarkStart w:id="378" w:name="_Toc184312106"/>
      <w:bookmarkEnd w:id="378"/>
      <w:bookmarkStart w:id="379" w:name="_Toc184314450"/>
      <w:bookmarkEnd w:id="379"/>
      <w:bookmarkStart w:id="380" w:name="_Toc184308040"/>
      <w:bookmarkEnd w:id="380"/>
      <w:bookmarkStart w:id="381" w:name="_Toc184314462"/>
      <w:bookmarkEnd w:id="381"/>
      <w:bookmarkStart w:id="382" w:name="_Toc184312116"/>
      <w:bookmarkEnd w:id="382"/>
      <w:bookmarkStart w:id="383" w:name="_Toc184312114"/>
      <w:bookmarkEnd w:id="383"/>
      <w:bookmarkStart w:id="384" w:name="_Toc184308104"/>
      <w:bookmarkEnd w:id="384"/>
      <w:bookmarkStart w:id="385" w:name="_Toc184313267"/>
      <w:bookmarkEnd w:id="385"/>
      <w:bookmarkStart w:id="386" w:name="_Toc184313271"/>
      <w:bookmarkEnd w:id="386"/>
      <w:bookmarkStart w:id="387" w:name="_Toc184314471"/>
      <w:bookmarkEnd w:id="387"/>
      <w:bookmarkStart w:id="388" w:name="_Toc184314430"/>
      <w:bookmarkEnd w:id="388"/>
      <w:bookmarkStart w:id="389" w:name="_Toc184308086"/>
      <w:bookmarkEnd w:id="389"/>
      <w:bookmarkStart w:id="390" w:name="_Toc184313282"/>
      <w:bookmarkEnd w:id="390"/>
      <w:bookmarkStart w:id="391" w:name="_Toc184308067"/>
      <w:bookmarkEnd w:id="391"/>
      <w:bookmarkStart w:id="392" w:name="_Toc184314470"/>
      <w:bookmarkEnd w:id="392"/>
      <w:bookmarkStart w:id="393" w:name="_Toc184314468"/>
      <w:bookmarkEnd w:id="393"/>
      <w:bookmarkStart w:id="394" w:name="_Toc184314420"/>
      <w:bookmarkEnd w:id="394"/>
      <w:bookmarkStart w:id="395" w:name="_Toc184314457"/>
      <w:bookmarkEnd w:id="395"/>
      <w:bookmarkStart w:id="396" w:name="_Toc184308090"/>
      <w:bookmarkEnd w:id="396"/>
      <w:bookmarkStart w:id="397" w:name="_Toc184308049"/>
      <w:bookmarkEnd w:id="397"/>
      <w:bookmarkStart w:id="398" w:name="_Toc184314440"/>
      <w:bookmarkEnd w:id="398"/>
      <w:bookmarkStart w:id="399" w:name="_Toc184308080"/>
      <w:bookmarkEnd w:id="399"/>
    </w:p>
    <w:p w14:paraId="629DE381">
      <w:pPr>
        <w:rPr>
          <w:rFonts w:hint="eastAsia" w:ascii="宋体" w:hAnsi="宋体" w:cs="宋体"/>
          <w:b/>
          <w:sz w:val="36"/>
          <w:szCs w:val="36"/>
        </w:rPr>
      </w:pPr>
      <w:r>
        <w:rPr>
          <w:rFonts w:hint="eastAsia" w:ascii="宋体" w:hAnsi="宋体" w:cs="宋体"/>
          <w:b/>
          <w:sz w:val="36"/>
          <w:szCs w:val="36"/>
        </w:rPr>
        <w:br w:type="page"/>
      </w:r>
    </w:p>
    <w:p w14:paraId="4272973F">
      <w:pPr>
        <w:numPr>
          <w:ilvl w:val="0"/>
          <w:numId w:val="0"/>
        </w:numPr>
        <w:spacing w:line="360" w:lineRule="auto"/>
        <w:ind w:leftChars="0"/>
        <w:jc w:val="center"/>
        <w:outlineLvl w:val="0"/>
        <w:rPr>
          <w:rFonts w:hint="eastAsia" w:ascii="宋体" w:hAnsi="宋体" w:cs="宋体"/>
          <w:b/>
          <w:sz w:val="36"/>
          <w:szCs w:val="36"/>
        </w:rPr>
      </w:pPr>
      <w:r>
        <w:rPr>
          <w:rFonts w:hint="eastAsia" w:ascii="宋体" w:hAnsi="宋体" w:cs="宋体"/>
          <w:b/>
          <w:sz w:val="36"/>
          <w:szCs w:val="36"/>
          <w:lang w:eastAsia="zh-CN"/>
        </w:rPr>
        <w:t>第四部分</w:t>
      </w:r>
      <w:r>
        <w:rPr>
          <w:rFonts w:hint="eastAsia" w:ascii="宋体" w:hAnsi="宋体" w:cs="宋体"/>
          <w:b/>
          <w:sz w:val="36"/>
          <w:szCs w:val="36"/>
          <w:lang w:val="en-US" w:eastAsia="zh-CN"/>
        </w:rPr>
        <w:t xml:space="preserve">  </w:t>
      </w:r>
      <w:r>
        <w:rPr>
          <w:rFonts w:hint="eastAsia" w:ascii="宋体" w:hAnsi="宋体" w:cs="宋体"/>
          <w:b/>
          <w:sz w:val="36"/>
          <w:szCs w:val="36"/>
        </w:rPr>
        <w:t>评标办法</w:t>
      </w:r>
    </w:p>
    <w:p w14:paraId="46139479">
      <w:pPr>
        <w:pStyle w:val="25"/>
        <w:rPr>
          <w:rFonts w:hint="eastAsia"/>
        </w:rPr>
      </w:pPr>
    </w:p>
    <w:p w14:paraId="460AD847">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为公正、公平、科学地选择中标供应商，根据《中华人民共和国政府采购法》等有关法律法规的规定，并结合本项目的实际，制定本办法。</w:t>
      </w:r>
    </w:p>
    <w:p w14:paraId="0D17C342">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本办法适用于本项目的评标。</w:t>
      </w:r>
    </w:p>
    <w:p w14:paraId="7C1C637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一、总则</w:t>
      </w:r>
    </w:p>
    <w:p w14:paraId="3EC7A8E8">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次评标采用综合评分法，总分为100分。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中标供应商拒绝与采购人签订合同的，采购人可以按照评审报告推荐的中标供应商名单顺序，确定下一候选人为中标供应商，也可以重新开展政府采购活动。评分过程中采用四舍五入法，并保留小数2位。</w:t>
      </w:r>
    </w:p>
    <w:p w14:paraId="39CF1A0A">
      <w:pPr>
        <w:keepNext w:val="0"/>
        <w:keepLines w:val="0"/>
        <w:pageBreakBefore w:val="0"/>
        <w:widowControl/>
        <w:suppressLineNumbers w:val="0"/>
        <w:kinsoku/>
        <w:wordWrap/>
        <w:overflowPunct/>
        <w:topLinePunct w:val="0"/>
        <w:autoSpaceDE/>
        <w:autoSpaceDN/>
        <w:bidi w:val="0"/>
        <w:adjustRightInd w:val="0"/>
        <w:snapToGrid/>
        <w:spacing w:line="360" w:lineRule="auto"/>
        <w:ind w:firstLine="480" w:firstLineChars="20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供应商评标综合得分=价格分+技术、商务资信及其他分</w:t>
      </w:r>
    </w:p>
    <w:p w14:paraId="6F2F5FF6">
      <w:pPr>
        <w:keepNext w:val="0"/>
        <w:keepLines w:val="0"/>
        <w:pageBreakBefore w:val="0"/>
        <w:widowControl/>
        <w:suppressLineNumbers w:val="0"/>
        <w:kinsoku/>
        <w:wordWrap/>
        <w:overflowPunct/>
        <w:topLinePunct w:val="0"/>
        <w:autoSpaceDE/>
        <w:autoSpaceDN/>
        <w:bidi w:val="0"/>
        <w:adjustRightInd w:val="0"/>
        <w:snapToGrid/>
        <w:spacing w:line="360" w:lineRule="auto"/>
        <w:ind w:firstLine="482" w:firstLineChars="20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二、评标内容及标准</w:t>
      </w:r>
    </w:p>
    <w:p w14:paraId="13DABD75">
      <w:pPr>
        <w:pStyle w:val="26"/>
        <w:spacing w:before="120" w:beforeLines="50" w:after="120" w:afterLines="50" w:line="360" w:lineRule="auto"/>
        <w:ind w:firstLine="482" w:firstLineChars="200"/>
        <w:rPr>
          <w:rFonts w:hint="eastAsia" w:hAnsi="宋体" w:eastAsia="宋体"/>
          <w:b/>
          <w:bCs/>
          <w:sz w:val="24"/>
          <w:szCs w:val="24"/>
          <w:lang w:eastAsia="zh-CN"/>
        </w:rPr>
      </w:pPr>
      <w:r>
        <w:rPr>
          <w:rFonts w:hint="eastAsia" w:hAnsi="宋体"/>
          <w:b/>
          <w:sz w:val="24"/>
          <w:szCs w:val="24"/>
        </w:rPr>
        <w:t>（一）</w:t>
      </w:r>
      <w:r>
        <w:rPr>
          <w:rFonts w:hint="eastAsia" w:hAnsi="宋体"/>
          <w:b/>
          <w:bCs/>
          <w:sz w:val="24"/>
          <w:szCs w:val="24"/>
        </w:rPr>
        <w:t>价格分（</w:t>
      </w:r>
      <w:r>
        <w:rPr>
          <w:rFonts w:hint="eastAsia"/>
          <w:b/>
          <w:bCs/>
          <w:sz w:val="24"/>
          <w:szCs w:val="24"/>
          <w:lang w:val="en-US" w:eastAsia="zh-CN"/>
        </w:rPr>
        <w:t>30</w:t>
      </w:r>
      <w:r>
        <w:rPr>
          <w:rFonts w:hint="eastAsia" w:hAnsi="宋体"/>
          <w:b/>
          <w:bCs/>
          <w:sz w:val="24"/>
          <w:szCs w:val="24"/>
        </w:rPr>
        <w:t>分）</w:t>
      </w:r>
    </w:p>
    <w:p w14:paraId="22087104">
      <w:pPr>
        <w:pStyle w:val="26"/>
        <w:spacing w:before="120" w:beforeLines="50" w:after="120" w:afterLines="50" w:line="360" w:lineRule="auto"/>
        <w:ind w:firstLine="480" w:firstLineChars="200"/>
        <w:rPr>
          <w:rFonts w:hint="eastAsia" w:hAnsi="宋体"/>
          <w:bCs/>
          <w:sz w:val="24"/>
          <w:szCs w:val="24"/>
        </w:rPr>
      </w:pPr>
      <w:r>
        <w:rPr>
          <w:rFonts w:hint="eastAsia" w:hAnsi="宋体"/>
          <w:bCs/>
          <w:sz w:val="24"/>
          <w:szCs w:val="24"/>
        </w:rPr>
        <w:t>1.价格分采用低价优先法计算，即满足招标文件要求且招标价格最低的投标</w:t>
      </w:r>
      <w:r>
        <w:rPr>
          <w:rFonts w:hint="eastAsia" w:hAnsi="宋体"/>
          <w:bCs/>
          <w:sz w:val="24"/>
          <w:szCs w:val="24"/>
          <w:lang w:eastAsia="zh-CN"/>
        </w:rPr>
        <w:t>报</w:t>
      </w:r>
      <w:r>
        <w:rPr>
          <w:rFonts w:hint="eastAsia" w:hAnsi="宋体"/>
          <w:bCs/>
          <w:sz w:val="24"/>
          <w:szCs w:val="24"/>
        </w:rPr>
        <w:t>价为评审基准价，其他供应商的价格分按照下列公式计算：</w:t>
      </w:r>
    </w:p>
    <w:p w14:paraId="480CA24F">
      <w:pPr>
        <w:pStyle w:val="26"/>
        <w:spacing w:before="120" w:beforeLines="50" w:after="120" w:afterLines="50" w:line="360" w:lineRule="auto"/>
        <w:ind w:firstLine="480" w:firstLineChars="200"/>
        <w:rPr>
          <w:rFonts w:hint="eastAsia" w:hAnsi="宋体"/>
          <w:bCs/>
          <w:sz w:val="24"/>
          <w:szCs w:val="24"/>
        </w:rPr>
      </w:pPr>
      <w:r>
        <w:rPr>
          <w:rFonts w:hint="eastAsia" w:hAnsi="宋体"/>
          <w:bCs/>
          <w:sz w:val="24"/>
          <w:szCs w:val="24"/>
        </w:rPr>
        <w:t>得分=（评审基准</w:t>
      </w:r>
      <w:r>
        <w:rPr>
          <w:rFonts w:hint="eastAsia" w:hAnsi="宋体"/>
          <w:bCs/>
          <w:sz w:val="24"/>
          <w:szCs w:val="24"/>
          <w:lang w:eastAsia="zh-CN"/>
        </w:rPr>
        <w:t>价</w:t>
      </w:r>
      <w:r>
        <w:rPr>
          <w:rFonts w:hint="eastAsia" w:hAnsi="宋体"/>
          <w:bCs/>
          <w:sz w:val="24"/>
          <w:szCs w:val="24"/>
        </w:rPr>
        <w:t>/投标</w:t>
      </w:r>
      <w:r>
        <w:rPr>
          <w:rFonts w:hint="eastAsia" w:hAnsi="宋体"/>
          <w:bCs/>
          <w:sz w:val="24"/>
          <w:szCs w:val="24"/>
          <w:lang w:eastAsia="zh-CN"/>
        </w:rPr>
        <w:t>报价</w:t>
      </w:r>
      <w:r>
        <w:rPr>
          <w:rFonts w:hint="eastAsia" w:hAnsi="宋体"/>
          <w:bCs/>
          <w:sz w:val="24"/>
          <w:szCs w:val="24"/>
        </w:rPr>
        <w:t>）×</w:t>
      </w:r>
      <w:r>
        <w:rPr>
          <w:rFonts w:hint="eastAsia"/>
          <w:bCs/>
          <w:sz w:val="24"/>
          <w:szCs w:val="24"/>
          <w:lang w:val="en-US" w:eastAsia="zh-CN"/>
        </w:rPr>
        <w:t>30</w:t>
      </w:r>
      <w:r>
        <w:rPr>
          <w:rFonts w:hint="eastAsia" w:hAnsi="宋体"/>
          <w:bCs/>
          <w:sz w:val="24"/>
          <w:szCs w:val="24"/>
        </w:rPr>
        <w:t>%×100</w:t>
      </w:r>
    </w:p>
    <w:p w14:paraId="050EFB0C">
      <w:pPr>
        <w:pStyle w:val="26"/>
        <w:numPr>
          <w:ilvl w:val="0"/>
          <w:numId w:val="6"/>
        </w:numPr>
        <w:spacing w:before="120" w:beforeLines="50" w:after="120" w:afterLines="50" w:line="360" w:lineRule="auto"/>
        <w:ind w:firstLine="480" w:firstLineChars="200"/>
        <w:rPr>
          <w:rFonts w:hint="eastAsia" w:hAnsi="宋体"/>
          <w:bCs/>
          <w:sz w:val="24"/>
          <w:szCs w:val="24"/>
        </w:rPr>
      </w:pPr>
      <w:r>
        <w:rPr>
          <w:rFonts w:hint="eastAsia" w:hAnsi="宋体"/>
          <w:bCs/>
          <w:sz w:val="24"/>
          <w:szCs w:val="24"/>
        </w:rPr>
        <w:t>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509793C">
      <w:pPr>
        <w:numPr>
          <w:ilvl w:val="0"/>
          <w:numId w:val="7"/>
        </w:numPr>
        <w:spacing w:line="360" w:lineRule="auto"/>
        <w:rPr>
          <w:rFonts w:hint="eastAsia" w:ascii="宋体" w:hAnsi="宋体" w:eastAsia="宋体" w:cs="Times New Roman"/>
          <w:b/>
          <w:bCs/>
          <w:kern w:val="2"/>
          <w:sz w:val="24"/>
          <w:szCs w:val="24"/>
          <w:lang w:val="en-US" w:eastAsia="zh-CN" w:bidi="ar-SA"/>
        </w:rPr>
      </w:pPr>
      <w:r>
        <w:rPr>
          <w:rFonts w:hint="eastAsia" w:ascii="宋体" w:hAnsi="宋体" w:eastAsia="宋体" w:cs="Times New Roman"/>
          <w:b/>
          <w:bCs/>
          <w:kern w:val="2"/>
          <w:sz w:val="24"/>
          <w:szCs w:val="24"/>
          <w:lang w:val="en-US" w:eastAsia="zh-CN" w:bidi="ar-SA"/>
        </w:rPr>
        <w:t>技术、商务资信及其他分（0-</w:t>
      </w:r>
      <w:r>
        <w:rPr>
          <w:rFonts w:hint="eastAsia" w:ascii="宋体" w:hAnsi="宋体" w:cs="Times New Roman"/>
          <w:b/>
          <w:bCs/>
          <w:kern w:val="2"/>
          <w:sz w:val="24"/>
          <w:szCs w:val="24"/>
          <w:lang w:val="en-US" w:eastAsia="zh-CN" w:bidi="ar-SA"/>
        </w:rPr>
        <w:t>70</w:t>
      </w:r>
      <w:r>
        <w:rPr>
          <w:rFonts w:hint="eastAsia" w:ascii="宋体" w:hAnsi="宋体" w:eastAsia="宋体" w:cs="Times New Roman"/>
          <w:b/>
          <w:bCs/>
          <w:kern w:val="2"/>
          <w:sz w:val="24"/>
          <w:szCs w:val="24"/>
          <w:lang w:val="en-US" w:eastAsia="zh-CN" w:bidi="ar-SA"/>
        </w:rPr>
        <w:t>分）</w:t>
      </w:r>
    </w:p>
    <w:tbl>
      <w:tblPr>
        <w:tblStyle w:val="65"/>
        <w:tblW w:w="9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306"/>
        <w:gridCol w:w="1074"/>
      </w:tblGrid>
      <w:tr w14:paraId="7933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01" w:type="dxa"/>
            <w:shd w:val="clear" w:color="auto" w:fill="FFFFFF"/>
            <w:vAlign w:val="center"/>
          </w:tcPr>
          <w:p w14:paraId="6D126DD7">
            <w:pPr>
              <w:jc w:val="center"/>
              <w:rPr>
                <w:rFonts w:ascii="宋体" w:hAnsi="宋体" w:cs="宋体"/>
                <w:b/>
                <w:bCs/>
                <w:szCs w:val="21"/>
              </w:rPr>
            </w:pPr>
            <w:r>
              <w:rPr>
                <w:rFonts w:hint="eastAsia" w:ascii="宋体" w:hAnsi="宋体" w:cs="宋体"/>
                <w:b/>
                <w:bCs/>
                <w:szCs w:val="21"/>
              </w:rPr>
              <w:t>项目</w:t>
            </w:r>
          </w:p>
        </w:tc>
        <w:tc>
          <w:tcPr>
            <w:tcW w:w="6306" w:type="dxa"/>
            <w:shd w:val="clear" w:color="auto" w:fill="FFFFFF"/>
            <w:vAlign w:val="center"/>
          </w:tcPr>
          <w:p w14:paraId="770CB163">
            <w:pPr>
              <w:ind w:firstLine="422" w:firstLineChars="200"/>
              <w:jc w:val="center"/>
              <w:rPr>
                <w:rFonts w:ascii="宋体" w:hAnsi="宋体" w:cs="宋体"/>
                <w:b/>
                <w:bCs/>
                <w:szCs w:val="21"/>
              </w:rPr>
            </w:pPr>
            <w:r>
              <w:rPr>
                <w:rFonts w:hint="eastAsia" w:ascii="宋体" w:hAnsi="宋体" w:cs="宋体"/>
                <w:b/>
                <w:bCs/>
                <w:szCs w:val="21"/>
              </w:rPr>
              <w:t>评分标准</w:t>
            </w:r>
          </w:p>
        </w:tc>
        <w:tc>
          <w:tcPr>
            <w:tcW w:w="1074" w:type="dxa"/>
            <w:shd w:val="clear" w:color="auto" w:fill="FFFFFF"/>
            <w:vAlign w:val="center"/>
          </w:tcPr>
          <w:p w14:paraId="3CFE0C8A">
            <w:pPr>
              <w:jc w:val="center"/>
              <w:rPr>
                <w:rFonts w:ascii="宋体" w:hAnsi="宋体" w:cs="宋体"/>
                <w:b/>
                <w:bCs/>
                <w:szCs w:val="21"/>
              </w:rPr>
            </w:pPr>
            <w:r>
              <w:rPr>
                <w:rFonts w:hint="eastAsia" w:ascii="宋体" w:hAnsi="宋体" w:cs="宋体"/>
                <w:b/>
                <w:bCs/>
                <w:szCs w:val="21"/>
              </w:rPr>
              <w:t>分值</w:t>
            </w:r>
          </w:p>
        </w:tc>
      </w:tr>
      <w:tr w14:paraId="773D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701" w:type="dxa"/>
            <w:shd w:val="clear" w:color="auto" w:fill="FFFFFF"/>
            <w:vAlign w:val="center"/>
          </w:tcPr>
          <w:p w14:paraId="44AEA5CA">
            <w:pPr>
              <w:jc w:val="center"/>
              <w:rPr>
                <w:rFonts w:ascii="宋体" w:hAnsi="宋体" w:cs="宋体"/>
                <w:b/>
                <w:bCs/>
                <w:szCs w:val="21"/>
              </w:rPr>
            </w:pPr>
            <w:r>
              <w:rPr>
                <w:rFonts w:hint="eastAsia" w:ascii="宋体" w:hAnsi="宋体"/>
                <w:szCs w:val="21"/>
                <w:lang w:bidi="ar"/>
              </w:rPr>
              <w:t>诚信分</w:t>
            </w:r>
          </w:p>
        </w:tc>
        <w:tc>
          <w:tcPr>
            <w:tcW w:w="6306" w:type="dxa"/>
            <w:shd w:val="clear" w:color="auto" w:fill="FFFFFF"/>
            <w:vAlign w:val="center"/>
          </w:tcPr>
          <w:p w14:paraId="7B1B19A9">
            <w:pPr>
              <w:jc w:val="left"/>
              <w:rPr>
                <w:rFonts w:ascii="宋体" w:hAnsi="宋体" w:cs="宋体"/>
                <w:b/>
                <w:bCs/>
                <w:szCs w:val="21"/>
              </w:rPr>
            </w:pPr>
            <w:r>
              <w:rPr>
                <w:rStyle w:val="968"/>
                <w:rFonts w:hint="eastAsia" w:ascii="宋体" w:hAnsi="宋体"/>
                <w:szCs w:val="21"/>
              </w:rPr>
              <w:t>凡在投标截止时间前三年受到行政处罚或记入不良行为的，此项得分为</w:t>
            </w:r>
            <w:r>
              <w:rPr>
                <w:rStyle w:val="968"/>
                <w:rFonts w:ascii="宋体" w:hAnsi="宋体"/>
                <w:szCs w:val="21"/>
              </w:rPr>
              <w:t>0</w:t>
            </w:r>
            <w:r>
              <w:rPr>
                <w:rStyle w:val="968"/>
                <w:rFonts w:hint="eastAsia" w:ascii="宋体" w:hAnsi="宋体"/>
                <w:szCs w:val="21"/>
              </w:rPr>
              <w:t>，若无处罚或记入不良行为的得</w:t>
            </w:r>
            <w:r>
              <w:rPr>
                <w:rStyle w:val="968"/>
                <w:rFonts w:hint="eastAsia" w:ascii="宋体" w:hAnsi="宋体"/>
                <w:szCs w:val="21"/>
                <w:lang w:val="en-US" w:eastAsia="zh-CN"/>
              </w:rPr>
              <w:t>3</w:t>
            </w:r>
            <w:r>
              <w:rPr>
                <w:rStyle w:val="968"/>
                <w:rFonts w:hint="eastAsia" w:ascii="宋体" w:hAnsi="宋体"/>
                <w:szCs w:val="21"/>
              </w:rPr>
              <w:t>分（供应商自行提供，如有不良记录又虚假隐瞒的，一经发现将取消投标资格）</w:t>
            </w:r>
          </w:p>
        </w:tc>
        <w:tc>
          <w:tcPr>
            <w:tcW w:w="1074" w:type="dxa"/>
            <w:shd w:val="clear" w:color="auto" w:fill="FFFFFF"/>
            <w:vAlign w:val="center"/>
          </w:tcPr>
          <w:p w14:paraId="59B45C15">
            <w:pPr>
              <w:jc w:val="center"/>
              <w:rPr>
                <w:rFonts w:ascii="宋体" w:hAnsi="宋体" w:cs="宋体"/>
                <w:b/>
                <w:bCs/>
                <w:szCs w:val="21"/>
              </w:rPr>
            </w:pPr>
            <w:r>
              <w:rPr>
                <w:rFonts w:hint="eastAsia" w:ascii="宋体" w:hAnsi="宋体" w:cs="宋体"/>
                <w:szCs w:val="21"/>
              </w:rPr>
              <w:t>0</w:t>
            </w:r>
            <w:r>
              <w:rPr>
                <w:rFonts w:ascii="宋体" w:hAnsi="宋体" w:cs="宋体"/>
                <w:szCs w:val="21"/>
              </w:rPr>
              <w:t>-</w:t>
            </w:r>
            <w:r>
              <w:rPr>
                <w:rFonts w:hint="eastAsia" w:ascii="宋体" w:hAnsi="宋体" w:cs="宋体"/>
                <w:szCs w:val="21"/>
                <w:lang w:val="en-US" w:eastAsia="zh-CN"/>
              </w:rPr>
              <w:t>3</w:t>
            </w:r>
            <w:r>
              <w:rPr>
                <w:rFonts w:hint="eastAsia" w:ascii="宋体" w:hAnsi="宋体" w:cs="宋体"/>
                <w:szCs w:val="21"/>
              </w:rPr>
              <w:t>分</w:t>
            </w:r>
          </w:p>
        </w:tc>
      </w:tr>
      <w:tr w14:paraId="66AE0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1701" w:type="dxa"/>
            <w:vAlign w:val="center"/>
          </w:tcPr>
          <w:p w14:paraId="565BDD86">
            <w:pPr>
              <w:spacing w:line="320" w:lineRule="exact"/>
              <w:jc w:val="center"/>
              <w:rPr>
                <w:rFonts w:ascii="宋体" w:hAnsi="宋体" w:cs="宋体"/>
                <w:szCs w:val="21"/>
              </w:rPr>
            </w:pPr>
            <w:r>
              <w:rPr>
                <w:rFonts w:hint="eastAsia" w:ascii="宋体" w:hAnsi="宋体" w:cs="宋体"/>
                <w:szCs w:val="21"/>
              </w:rPr>
              <w:t>满足招标货物的所有功能、性能及技术招标要求</w:t>
            </w:r>
          </w:p>
        </w:tc>
        <w:tc>
          <w:tcPr>
            <w:tcW w:w="6306" w:type="dxa"/>
            <w:vAlign w:val="center"/>
          </w:tcPr>
          <w:p w14:paraId="1D4E5019">
            <w:pPr>
              <w:spacing w:line="320" w:lineRule="exact"/>
              <w:rPr>
                <w:rFonts w:ascii="宋体" w:hAnsi="宋体" w:cs="宋体"/>
                <w:szCs w:val="21"/>
              </w:rPr>
            </w:pPr>
            <w:r>
              <w:rPr>
                <w:rFonts w:hint="eastAsia" w:ascii="宋体" w:hAnsi="宋体" w:cs="宋体"/>
                <w:szCs w:val="21"/>
              </w:rPr>
              <w:t>投标产品的基本功能、技术指标与需求的吻合程度和偏差情况（包括所投标产品基本性能、规格型号、详细配置、主要技术参数等），要求满足招标文件采购需求，非实质性技术指标负偏离每一项扣减1分，扣完为止。</w:t>
            </w:r>
          </w:p>
        </w:tc>
        <w:tc>
          <w:tcPr>
            <w:tcW w:w="1074" w:type="dxa"/>
            <w:vAlign w:val="center"/>
          </w:tcPr>
          <w:p w14:paraId="60639091">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p>
        </w:tc>
      </w:tr>
      <w:tr w14:paraId="6725D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1701" w:type="dxa"/>
            <w:vAlign w:val="center"/>
          </w:tcPr>
          <w:p w14:paraId="20125519">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实物样品</w:t>
            </w:r>
          </w:p>
        </w:tc>
        <w:tc>
          <w:tcPr>
            <w:tcW w:w="6306" w:type="dxa"/>
            <w:vAlign w:val="center"/>
          </w:tcPr>
          <w:p w14:paraId="2C2FD5C0">
            <w:pPr>
              <w:tabs>
                <w:tab w:val="left" w:pos="509"/>
              </w:tabs>
              <w:adjustRightInd w:val="0"/>
              <w:snapToGrid w:val="0"/>
              <w:spacing w:line="276" w:lineRule="auto"/>
              <w:ind w:firstLine="0" w:firstLineChars="0"/>
              <w:rPr>
                <w:rFonts w:hint="default" w:ascii="宋体" w:hAnsi="宋体" w:eastAsia="宋体" w:cs="宋体"/>
                <w:szCs w:val="21"/>
                <w:lang w:val="en-US" w:eastAsia="zh-CN"/>
              </w:rPr>
            </w:pPr>
            <w:r>
              <w:rPr>
                <w:rFonts w:hint="eastAsia" w:ascii="微软雅黑" w:hAnsi="微软雅黑" w:cs="宋体"/>
                <w:bCs/>
                <w:szCs w:val="21"/>
              </w:rPr>
              <w:t>实物样品</w:t>
            </w:r>
            <w:r>
              <w:rPr>
                <w:rFonts w:hint="eastAsia" w:ascii="微软雅黑" w:hAnsi="微软雅黑" w:cs="宋体"/>
                <w:bCs/>
                <w:szCs w:val="21"/>
                <w:lang w:val="zh-CN"/>
              </w:rPr>
              <w:t>：</w:t>
            </w:r>
            <w:r>
              <w:rPr>
                <w:rFonts w:hint="eastAsia" w:ascii="宋体" w:hAnsi="宋体" w:cs="宋体"/>
                <w:szCs w:val="21"/>
                <w:lang w:val="en-US" w:eastAsia="zh-CN"/>
              </w:rPr>
              <w:t xml:space="preserve"> 3D音乐按摩椅 、团体活动工具包</w:t>
            </w:r>
            <w:r>
              <w:rPr>
                <w:rFonts w:hint="eastAsia" w:ascii="微软雅黑" w:hAnsi="微软雅黑" w:cs="宋体"/>
                <w:bCs/>
                <w:szCs w:val="21"/>
              </w:rPr>
              <w:t>由评标委员会根据每样实物样品①</w:t>
            </w:r>
            <w:r>
              <w:rPr>
                <w:rFonts w:hint="eastAsia" w:ascii="微软雅黑" w:hAnsi="微软雅黑" w:cs="宋体"/>
                <w:bCs/>
                <w:szCs w:val="21"/>
                <w:lang w:val="zh-CN"/>
              </w:rPr>
              <w:t>材质、②制作工艺③外观、④性能、⑤实用性及先进性</w:t>
            </w:r>
            <w:r>
              <w:rPr>
                <w:rFonts w:hint="eastAsia" w:ascii="微软雅黑" w:hAnsi="微软雅黑" w:cs="宋体"/>
                <w:bCs/>
                <w:szCs w:val="21"/>
              </w:rPr>
              <w:t>五方面进行综合打分</w:t>
            </w:r>
            <w:r>
              <w:rPr>
                <w:rFonts w:hint="eastAsia" w:ascii="微软雅黑" w:hAnsi="微软雅黑" w:cs="宋体"/>
                <w:bCs/>
                <w:szCs w:val="21"/>
                <w:lang w:val="zh-CN"/>
              </w:rPr>
              <w:t>。（每个样品最高</w:t>
            </w:r>
            <w:r>
              <w:rPr>
                <w:rFonts w:hint="eastAsia" w:ascii="微软雅黑" w:hAnsi="微软雅黑" w:cs="宋体"/>
                <w:bCs/>
                <w:szCs w:val="21"/>
                <w:lang w:val="en-US" w:eastAsia="zh-CN"/>
              </w:rPr>
              <w:t>5</w:t>
            </w:r>
            <w:r>
              <w:rPr>
                <w:rFonts w:hint="eastAsia" w:ascii="微软雅黑" w:hAnsi="微软雅黑" w:cs="宋体"/>
                <w:bCs/>
                <w:szCs w:val="21"/>
                <w:lang w:val="zh-CN"/>
              </w:rPr>
              <w:t>分，</w:t>
            </w:r>
            <w:r>
              <w:rPr>
                <w:rFonts w:hint="eastAsia" w:ascii="微软雅黑" w:hAnsi="微软雅黑" w:cs="宋体"/>
                <w:bCs/>
                <w:szCs w:val="21"/>
                <w:lang w:val="en-US" w:eastAsia="zh-CN"/>
              </w:rPr>
              <w:t>一共10分。</w:t>
            </w:r>
            <w:r>
              <w:rPr>
                <w:rFonts w:hint="eastAsia" w:ascii="微软雅黑" w:hAnsi="微软雅黑"/>
                <w:szCs w:val="21"/>
              </w:rPr>
              <w:t>不提供样品的，该项不得分</w:t>
            </w:r>
            <w:r>
              <w:rPr>
                <w:rFonts w:hint="eastAsia" w:ascii="微软雅黑" w:hAnsi="微软雅黑" w:cs="宋体"/>
                <w:bCs/>
                <w:szCs w:val="21"/>
              </w:rPr>
              <w:t>）</w:t>
            </w:r>
            <w:r>
              <w:rPr>
                <w:rFonts w:hint="eastAsia" w:ascii="宋体" w:hAnsi="宋体" w:cs="Times New Roman"/>
                <w:b/>
                <w:bCs/>
                <w:color w:val="auto"/>
                <w:szCs w:val="21"/>
                <w:lang w:eastAsia="zh-CN"/>
              </w:rPr>
              <w:t>样品需在投标截止前送至浙</w:t>
            </w:r>
            <w:r>
              <w:rPr>
                <w:rFonts w:hint="eastAsia" w:ascii="宋体" w:hAnsi="宋体"/>
                <w:b/>
                <w:bCs/>
                <w:color w:val="auto"/>
                <w:szCs w:val="21"/>
                <w:lang w:eastAsia="zh-CN"/>
              </w:rPr>
              <w:t>江富力诚欣工程顾问有限公司（嘉兴市经济技术开发区姚家荡路42号长新农贸市场办公楼5楼南侧501室）</w:t>
            </w:r>
          </w:p>
        </w:tc>
        <w:tc>
          <w:tcPr>
            <w:tcW w:w="1074" w:type="dxa"/>
            <w:vAlign w:val="center"/>
          </w:tcPr>
          <w:p w14:paraId="462A7DB8">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10</w:t>
            </w:r>
            <w:r>
              <w:rPr>
                <w:rFonts w:hint="eastAsia" w:ascii="宋体" w:hAnsi="宋体" w:cs="宋体"/>
                <w:szCs w:val="21"/>
              </w:rPr>
              <w:t>分</w:t>
            </w:r>
          </w:p>
        </w:tc>
      </w:tr>
      <w:tr w14:paraId="29BB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jc w:val="center"/>
        </w:trPr>
        <w:tc>
          <w:tcPr>
            <w:tcW w:w="1701" w:type="dxa"/>
            <w:vAlign w:val="center"/>
          </w:tcPr>
          <w:p w14:paraId="02887AF1">
            <w:pPr>
              <w:spacing w:line="320" w:lineRule="exact"/>
              <w:jc w:val="center"/>
              <w:rPr>
                <w:rFonts w:hint="default" w:ascii="宋体" w:hAnsi="宋体" w:cs="宋体"/>
                <w:szCs w:val="21"/>
                <w:lang w:val="en-US" w:eastAsia="zh-CN"/>
              </w:rPr>
            </w:pPr>
            <w:r>
              <w:rPr>
                <w:rFonts w:hint="eastAsia" w:ascii="宋体" w:hAnsi="宋体" w:cs="宋体"/>
                <w:szCs w:val="21"/>
                <w:lang w:val="en-US" w:eastAsia="zh-CN"/>
              </w:rPr>
              <w:t>全息地面互动放松系统视频演示</w:t>
            </w:r>
          </w:p>
        </w:tc>
        <w:tc>
          <w:tcPr>
            <w:tcW w:w="6306" w:type="dxa"/>
            <w:vAlign w:val="center"/>
          </w:tcPr>
          <w:p w14:paraId="43B94BFB">
            <w:pPr>
              <w:pStyle w:val="62"/>
              <w:numPr>
                <w:ilvl w:val="0"/>
                <w:numId w:val="8"/>
              </w:numPr>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视频演示认知训练系统和趣味互动系统两个模块分别自主选择训练项目难度等级，难度等级至少分</w:t>
            </w:r>
            <w:r>
              <w:rPr>
                <w:rFonts w:hint="eastAsia" w:ascii="宋体" w:hAnsi="宋体" w:cs="宋体"/>
                <w:kern w:val="2"/>
                <w:sz w:val="21"/>
                <w:szCs w:val="24"/>
                <w:lang w:val="en-US" w:eastAsia="zh-CN" w:bidi="ar-SA"/>
              </w:rPr>
              <w:t>两</w:t>
            </w:r>
            <w:r>
              <w:rPr>
                <w:rFonts w:hint="eastAsia" w:ascii="宋体" w:hAnsi="宋体" w:eastAsia="宋体" w:cs="宋体"/>
                <w:kern w:val="2"/>
                <w:sz w:val="21"/>
                <w:szCs w:val="24"/>
                <w:lang w:val="en-US" w:eastAsia="zh-CN" w:bidi="ar-SA"/>
              </w:rPr>
              <w:t>级。</w:t>
            </w:r>
          </w:p>
          <w:p w14:paraId="244E703E">
            <w:pPr>
              <w:pStyle w:val="62"/>
              <w:numPr>
                <w:ilvl w:val="0"/>
                <w:numId w:val="0"/>
              </w:numPr>
              <w:ind w:leftChars="0"/>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每提供一个模块的演示视频得</w:t>
            </w:r>
            <w:r>
              <w:rPr>
                <w:rFonts w:hint="eastAsia" w:ascii="宋体" w:hAnsi="宋体" w:cs="宋体"/>
                <w:b/>
                <w:bCs/>
                <w:kern w:val="2"/>
                <w:sz w:val="21"/>
                <w:szCs w:val="24"/>
                <w:lang w:val="en-US" w:eastAsia="zh-CN" w:bidi="ar-SA"/>
              </w:rPr>
              <w:t>1</w:t>
            </w:r>
            <w:r>
              <w:rPr>
                <w:rFonts w:hint="eastAsia" w:ascii="宋体" w:hAnsi="宋体" w:eastAsia="宋体" w:cs="宋体"/>
                <w:b/>
                <w:bCs/>
                <w:kern w:val="2"/>
                <w:sz w:val="21"/>
                <w:szCs w:val="24"/>
                <w:lang w:val="en-US" w:eastAsia="zh-CN" w:bidi="ar-SA"/>
              </w:rPr>
              <w:t>分，不提供不得分，最高得</w:t>
            </w:r>
            <w:r>
              <w:rPr>
                <w:rFonts w:hint="eastAsia" w:ascii="宋体" w:hAnsi="宋体" w:cs="宋体"/>
                <w:b/>
                <w:bCs/>
                <w:kern w:val="2"/>
                <w:sz w:val="21"/>
                <w:szCs w:val="24"/>
                <w:lang w:val="en-US" w:eastAsia="zh-CN" w:bidi="ar-SA"/>
              </w:rPr>
              <w:t>2</w:t>
            </w:r>
            <w:r>
              <w:rPr>
                <w:rFonts w:hint="eastAsia" w:ascii="宋体" w:hAnsi="宋体" w:eastAsia="宋体" w:cs="宋体"/>
                <w:b/>
                <w:bCs/>
                <w:kern w:val="2"/>
                <w:sz w:val="21"/>
                <w:szCs w:val="24"/>
                <w:lang w:val="en-US" w:eastAsia="zh-CN" w:bidi="ar-SA"/>
              </w:rPr>
              <w:t>分。</w:t>
            </w:r>
          </w:p>
          <w:p w14:paraId="572D6F0F">
            <w:pPr>
              <w:pStyle w:val="62"/>
              <w:numPr>
                <w:ilvl w:val="0"/>
                <w:numId w:val="8"/>
              </w:numPr>
              <w:ind w:left="0" w:leftChars="0" w:firstLine="0" w:firstLineChars="0"/>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视频演示</w:t>
            </w:r>
            <w:r>
              <w:rPr>
                <w:rFonts w:hint="eastAsia" w:ascii="宋体" w:hAnsi="宋体" w:eastAsia="宋体" w:cs="宋体"/>
                <w:kern w:val="2"/>
                <w:sz w:val="21"/>
                <w:szCs w:val="24"/>
                <w:lang w:val="en-US" w:eastAsia="zh-CN" w:bidi="ar-SA"/>
              </w:rPr>
              <w:t>支持单人训练与双人对抗模式。</w:t>
            </w:r>
          </w:p>
          <w:p w14:paraId="4D373FEA">
            <w:pPr>
              <w:pStyle w:val="62"/>
              <w:numPr>
                <w:ilvl w:val="0"/>
                <w:numId w:val="0"/>
              </w:numPr>
              <w:ind w:leftChars="0"/>
              <w:rPr>
                <w:rFonts w:hint="default" w:ascii="宋体" w:hAnsi="宋体" w:eastAsia="宋体" w:cs="宋体"/>
                <w:b/>
                <w:bCs/>
                <w:kern w:val="2"/>
                <w:sz w:val="21"/>
                <w:szCs w:val="24"/>
                <w:lang w:val="en-US" w:eastAsia="zh-CN" w:bidi="ar-SA"/>
              </w:rPr>
            </w:pPr>
            <w:r>
              <w:rPr>
                <w:rFonts w:hint="eastAsia" w:ascii="宋体" w:hAnsi="宋体" w:cs="宋体"/>
                <w:b/>
                <w:bCs/>
                <w:kern w:val="2"/>
                <w:sz w:val="21"/>
                <w:szCs w:val="24"/>
                <w:lang w:val="en-US" w:eastAsia="zh-CN" w:bidi="ar-SA"/>
              </w:rPr>
              <w:t>提供演示视频得2分，</w:t>
            </w:r>
            <w:r>
              <w:rPr>
                <w:rFonts w:hint="eastAsia" w:ascii="宋体" w:hAnsi="宋体" w:eastAsia="宋体" w:cs="宋体"/>
                <w:b/>
                <w:bCs/>
                <w:kern w:val="2"/>
                <w:sz w:val="21"/>
                <w:szCs w:val="24"/>
                <w:lang w:val="en-US" w:eastAsia="zh-CN" w:bidi="ar-SA"/>
              </w:rPr>
              <w:t>不提供不得分，最高得</w:t>
            </w:r>
            <w:r>
              <w:rPr>
                <w:rFonts w:hint="eastAsia" w:ascii="宋体" w:hAnsi="宋体" w:cs="宋体"/>
                <w:b/>
                <w:bCs/>
                <w:kern w:val="2"/>
                <w:sz w:val="21"/>
                <w:szCs w:val="24"/>
                <w:lang w:val="en-US" w:eastAsia="zh-CN" w:bidi="ar-SA"/>
              </w:rPr>
              <w:t>2</w:t>
            </w:r>
            <w:r>
              <w:rPr>
                <w:rFonts w:hint="eastAsia" w:ascii="宋体" w:hAnsi="宋体" w:eastAsia="宋体" w:cs="宋体"/>
                <w:b/>
                <w:bCs/>
                <w:kern w:val="2"/>
                <w:sz w:val="21"/>
                <w:szCs w:val="24"/>
                <w:lang w:val="en-US" w:eastAsia="zh-CN" w:bidi="ar-SA"/>
              </w:rPr>
              <w:t>分。</w:t>
            </w:r>
          </w:p>
          <w:p w14:paraId="09DD2A6E">
            <w:pPr>
              <w:pStyle w:val="62"/>
              <w:numPr>
                <w:ilvl w:val="0"/>
                <w:numId w:val="8"/>
              </w:numPr>
              <w:ind w:left="0" w:leftChars="0" w:firstLine="0" w:firstLineChars="0"/>
              <w:rPr>
                <w:rFonts w:hint="eastAsia" w:ascii="宋体" w:hAnsi="宋体" w:eastAsia="宋体" w:cs="宋体"/>
                <w:kern w:val="2"/>
                <w:sz w:val="21"/>
                <w:szCs w:val="24"/>
                <w:lang w:val="en-US" w:eastAsia="zh-CN" w:bidi="ar-SA"/>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视频演示</w:t>
            </w:r>
            <w:r>
              <w:rPr>
                <w:rFonts w:hint="eastAsia" w:ascii="宋体" w:hAnsi="宋体" w:eastAsia="宋体" w:cs="宋体"/>
                <w:kern w:val="2"/>
                <w:sz w:val="21"/>
                <w:szCs w:val="24"/>
                <w:lang w:val="en-US" w:eastAsia="zh-CN" w:bidi="ar-SA"/>
              </w:rPr>
              <w:t>支持管理员自定义上传训练内容，认知训练系统可设置训练内容关联的认知能力标签（如 “逻辑推理能力”“注意力”）及难度系数。</w:t>
            </w:r>
          </w:p>
          <w:p w14:paraId="5452F96C">
            <w:pPr>
              <w:pStyle w:val="62"/>
              <w:numPr>
                <w:ilvl w:val="0"/>
                <w:numId w:val="0"/>
              </w:numPr>
              <w:ind w:leftChars="0"/>
              <w:rPr>
                <w:rFonts w:hint="default" w:ascii="宋体" w:hAnsi="宋体" w:eastAsia="宋体" w:cs="宋体"/>
                <w:kern w:val="2"/>
                <w:sz w:val="21"/>
                <w:szCs w:val="24"/>
                <w:lang w:val="en-US" w:eastAsia="zh-CN" w:bidi="ar-SA"/>
              </w:rPr>
            </w:pPr>
            <w:r>
              <w:rPr>
                <w:rFonts w:hint="eastAsia" w:ascii="宋体" w:hAnsi="宋体" w:cs="宋体"/>
                <w:b/>
                <w:bCs/>
                <w:kern w:val="2"/>
                <w:sz w:val="21"/>
                <w:szCs w:val="24"/>
                <w:lang w:val="en-US" w:eastAsia="zh-CN" w:bidi="ar-SA"/>
              </w:rPr>
              <w:t>提供管理员自定义上传训练内容演示视频得2分，提供认知训练系统训练内容关联认知能力标签演示视频得2分，提供认知训练系统难度系数设置演示视频得2分，不提供不得分，最高得6分</w:t>
            </w:r>
            <w:r>
              <w:rPr>
                <w:rFonts w:hint="eastAsia" w:ascii="宋体" w:hAnsi="宋体" w:eastAsia="宋体" w:cs="宋体"/>
                <w:b/>
                <w:bCs/>
                <w:kern w:val="2"/>
                <w:sz w:val="21"/>
                <w:szCs w:val="24"/>
                <w:lang w:val="en-US" w:eastAsia="zh-CN" w:bidi="ar-SA"/>
              </w:rPr>
              <w:t>。</w:t>
            </w:r>
          </w:p>
          <w:p w14:paraId="6DB5C15E">
            <w:pPr>
              <w:pStyle w:val="62"/>
              <w:numPr>
                <w:ilvl w:val="0"/>
                <w:numId w:val="0"/>
              </w:numPr>
              <w:ind w:leftChars="0"/>
              <w:rPr>
                <w:rFonts w:hint="default" w:ascii="宋体" w:hAnsi="宋体" w:eastAsia="宋体" w:cs="宋体"/>
                <w:szCs w:val="21"/>
                <w:lang w:val="en-US" w:eastAsia="zh-CN"/>
              </w:rPr>
            </w:pPr>
            <w:r>
              <w:rPr>
                <w:rFonts w:hint="eastAsia" w:ascii="宋体" w:hAnsi="宋体" w:cs="宋体"/>
                <w:b/>
                <w:bCs/>
                <w:color w:val="FF0000"/>
                <w:kern w:val="2"/>
                <w:sz w:val="21"/>
                <w:szCs w:val="24"/>
                <w:highlight w:val="none"/>
                <w:lang w:val="en-US" w:eastAsia="zh-CN" w:bidi="ar-SA"/>
              </w:rPr>
              <w:t>请各投标单位将存有演示视频的 U 盘于投标截止时间前送达本次招标代理单位指定接收地点。</w:t>
            </w:r>
          </w:p>
        </w:tc>
        <w:tc>
          <w:tcPr>
            <w:tcW w:w="1074" w:type="dxa"/>
            <w:vAlign w:val="center"/>
          </w:tcPr>
          <w:p w14:paraId="6BCC286A">
            <w:pPr>
              <w:spacing w:line="320" w:lineRule="exact"/>
              <w:jc w:val="center"/>
              <w:rPr>
                <w:rFonts w:hint="default" w:ascii="宋体" w:hAnsi="宋体" w:eastAsia="宋体" w:cs="宋体"/>
                <w:szCs w:val="21"/>
                <w:lang w:val="en-US" w:eastAsia="zh-CN"/>
              </w:rPr>
            </w:pPr>
            <w:r>
              <w:rPr>
                <w:rFonts w:hint="eastAsia" w:ascii="宋体" w:hAnsi="宋体" w:cs="宋体"/>
                <w:szCs w:val="21"/>
                <w:lang w:val="en-US" w:eastAsia="zh-CN"/>
              </w:rPr>
              <w:t>0-10分</w:t>
            </w:r>
          </w:p>
        </w:tc>
      </w:tr>
      <w:tr w14:paraId="46D9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701" w:type="dxa"/>
            <w:vMerge w:val="restart"/>
            <w:vAlign w:val="center"/>
          </w:tcPr>
          <w:p w14:paraId="31A02AF4">
            <w:pPr>
              <w:spacing w:line="320" w:lineRule="exact"/>
              <w:jc w:val="center"/>
              <w:rPr>
                <w:rFonts w:ascii="宋体" w:hAnsi="宋体" w:cs="宋体"/>
                <w:szCs w:val="21"/>
              </w:rPr>
            </w:pPr>
            <w:r>
              <w:rPr>
                <w:rFonts w:hint="eastAsia" w:ascii="宋体" w:hAnsi="宋体" w:cs="宋体"/>
                <w:szCs w:val="21"/>
              </w:rPr>
              <w:t>项目实施方案</w:t>
            </w:r>
          </w:p>
        </w:tc>
        <w:tc>
          <w:tcPr>
            <w:tcW w:w="6306" w:type="dxa"/>
            <w:vAlign w:val="center"/>
          </w:tcPr>
          <w:p w14:paraId="7ADBF814">
            <w:pPr>
              <w:spacing w:line="320" w:lineRule="exact"/>
              <w:rPr>
                <w:rFonts w:hint="eastAsia" w:ascii="宋体" w:hAnsi="宋体" w:eastAsia="宋体" w:cs="宋体"/>
                <w:szCs w:val="21"/>
                <w:lang w:eastAsia="zh-CN"/>
              </w:rPr>
            </w:pPr>
            <w:r>
              <w:rPr>
                <w:rFonts w:hint="eastAsia" w:ascii="宋体" w:hAnsi="宋体" w:cs="宋体"/>
                <w:szCs w:val="21"/>
              </w:rPr>
              <w:t>根据供应商提供的供货方案进行评审。方案科学可行、实用性等情况酌情评审</w:t>
            </w:r>
            <w:r>
              <w:rPr>
                <w:rFonts w:hint="eastAsia" w:ascii="宋体" w:hAnsi="宋体" w:cs="宋体"/>
                <w:szCs w:val="21"/>
                <w:lang w:eastAsia="zh-CN"/>
              </w:rPr>
              <w:t>。</w:t>
            </w:r>
          </w:p>
        </w:tc>
        <w:tc>
          <w:tcPr>
            <w:tcW w:w="1074" w:type="dxa"/>
            <w:vAlign w:val="center"/>
          </w:tcPr>
          <w:p w14:paraId="5D13420B">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6</w:t>
            </w:r>
            <w:r>
              <w:rPr>
                <w:rFonts w:hint="eastAsia" w:ascii="宋体" w:hAnsi="宋体" w:cs="宋体"/>
                <w:szCs w:val="21"/>
              </w:rPr>
              <w:t>分</w:t>
            </w:r>
          </w:p>
        </w:tc>
      </w:tr>
      <w:tr w14:paraId="2799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701" w:type="dxa"/>
            <w:vMerge w:val="continue"/>
            <w:vAlign w:val="center"/>
          </w:tcPr>
          <w:p w14:paraId="243FE915">
            <w:pPr>
              <w:spacing w:line="320" w:lineRule="exact"/>
              <w:ind w:firstLine="420" w:firstLineChars="200"/>
              <w:jc w:val="center"/>
              <w:rPr>
                <w:rFonts w:ascii="宋体" w:hAnsi="宋体" w:cs="宋体"/>
                <w:szCs w:val="21"/>
              </w:rPr>
            </w:pPr>
          </w:p>
        </w:tc>
        <w:tc>
          <w:tcPr>
            <w:tcW w:w="6306" w:type="dxa"/>
            <w:vAlign w:val="center"/>
          </w:tcPr>
          <w:p w14:paraId="42DD97E1">
            <w:pPr>
              <w:spacing w:line="320" w:lineRule="exact"/>
              <w:rPr>
                <w:rFonts w:ascii="宋体" w:hAnsi="宋体" w:cs="宋体"/>
                <w:szCs w:val="21"/>
              </w:rPr>
            </w:pPr>
            <w:r>
              <w:rPr>
                <w:rFonts w:hint="eastAsia" w:ascii="宋体" w:hAnsi="宋体" w:cs="宋体"/>
                <w:szCs w:val="21"/>
              </w:rPr>
              <w:t>安装调试方案是否科学合理，是否具有可操作性，是否有针对性，分析本项目的关键点和技术难点，并提出应对措施，酌情打分。</w:t>
            </w:r>
          </w:p>
        </w:tc>
        <w:tc>
          <w:tcPr>
            <w:tcW w:w="1074" w:type="dxa"/>
            <w:vAlign w:val="center"/>
          </w:tcPr>
          <w:p w14:paraId="4A1876FE">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6</w:t>
            </w:r>
            <w:r>
              <w:rPr>
                <w:rFonts w:hint="eastAsia" w:ascii="宋体" w:hAnsi="宋体" w:cs="宋体"/>
                <w:szCs w:val="21"/>
              </w:rPr>
              <w:t>分</w:t>
            </w:r>
          </w:p>
        </w:tc>
      </w:tr>
      <w:tr w14:paraId="15D37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701" w:type="dxa"/>
            <w:vMerge w:val="continue"/>
            <w:vAlign w:val="center"/>
          </w:tcPr>
          <w:p w14:paraId="51D28FE1">
            <w:pPr>
              <w:spacing w:line="320" w:lineRule="exact"/>
              <w:ind w:firstLine="420" w:firstLineChars="200"/>
              <w:jc w:val="center"/>
              <w:rPr>
                <w:rFonts w:ascii="宋体" w:hAnsi="宋体" w:cs="宋体"/>
                <w:szCs w:val="21"/>
              </w:rPr>
            </w:pPr>
          </w:p>
        </w:tc>
        <w:tc>
          <w:tcPr>
            <w:tcW w:w="6306" w:type="dxa"/>
            <w:vAlign w:val="center"/>
          </w:tcPr>
          <w:p w14:paraId="15E686AE">
            <w:pPr>
              <w:spacing w:line="320" w:lineRule="exact"/>
              <w:rPr>
                <w:rFonts w:ascii="宋体" w:hAnsi="宋体" w:cs="宋体"/>
                <w:szCs w:val="21"/>
              </w:rPr>
            </w:pPr>
            <w:r>
              <w:rPr>
                <w:rFonts w:hint="eastAsia" w:ascii="宋体" w:hAnsi="宋体" w:cs="宋体"/>
                <w:szCs w:val="21"/>
              </w:rPr>
              <w:t>投标人提供详细的验收方案，根据方案的科学性、可行性评分。 验收流程详尽，具有可操作性、明确验收指标、验收标准、 验收资料、成果完整 。</w:t>
            </w:r>
          </w:p>
        </w:tc>
        <w:tc>
          <w:tcPr>
            <w:tcW w:w="1074" w:type="dxa"/>
            <w:vAlign w:val="center"/>
          </w:tcPr>
          <w:p w14:paraId="47C96FD1">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6</w:t>
            </w:r>
            <w:r>
              <w:rPr>
                <w:rFonts w:hint="eastAsia" w:ascii="宋体" w:hAnsi="宋体" w:cs="宋体"/>
                <w:szCs w:val="21"/>
              </w:rPr>
              <w:t>分</w:t>
            </w:r>
          </w:p>
        </w:tc>
      </w:tr>
      <w:tr w14:paraId="623A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1" w:type="dxa"/>
            <w:vAlign w:val="center"/>
          </w:tcPr>
          <w:p w14:paraId="6D96382A">
            <w:pPr>
              <w:spacing w:line="320" w:lineRule="exact"/>
              <w:jc w:val="center"/>
              <w:rPr>
                <w:rFonts w:ascii="宋体" w:hAnsi="宋体" w:cs="宋体"/>
                <w:szCs w:val="21"/>
              </w:rPr>
            </w:pPr>
            <w:r>
              <w:rPr>
                <w:rFonts w:hint="eastAsia" w:ascii="宋体" w:hAnsi="宋体" w:cs="宋体"/>
                <w:szCs w:val="21"/>
              </w:rPr>
              <w:t>售后服务方案</w:t>
            </w:r>
          </w:p>
        </w:tc>
        <w:tc>
          <w:tcPr>
            <w:tcW w:w="6306" w:type="dxa"/>
            <w:vAlign w:val="center"/>
          </w:tcPr>
          <w:p w14:paraId="36F5A5DC">
            <w:pPr>
              <w:spacing w:line="320" w:lineRule="exact"/>
              <w:rPr>
                <w:rFonts w:ascii="宋体" w:hAnsi="宋体" w:cs="宋体"/>
                <w:szCs w:val="21"/>
              </w:rPr>
            </w:pPr>
            <w:r>
              <w:rPr>
                <w:rFonts w:hint="eastAsia" w:ascii="宋体" w:hAnsi="宋体" w:cs="宋体"/>
                <w:szCs w:val="21"/>
              </w:rPr>
              <w:t>售后服务方案合理（至少包含质保事项、技术支持、备品备件、维修设备和运行机制、定期维护等内容）综合评分。</w:t>
            </w:r>
          </w:p>
        </w:tc>
        <w:tc>
          <w:tcPr>
            <w:tcW w:w="1074" w:type="dxa"/>
            <w:vAlign w:val="center"/>
          </w:tcPr>
          <w:p w14:paraId="08E8B37B">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6</w:t>
            </w:r>
            <w:r>
              <w:rPr>
                <w:rFonts w:hint="eastAsia" w:ascii="宋体" w:hAnsi="宋体" w:cs="宋体"/>
                <w:szCs w:val="21"/>
              </w:rPr>
              <w:t>分</w:t>
            </w:r>
          </w:p>
        </w:tc>
      </w:tr>
      <w:tr w14:paraId="3DEC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701" w:type="dxa"/>
            <w:vAlign w:val="center"/>
          </w:tcPr>
          <w:p w14:paraId="6AC00D48">
            <w:pPr>
              <w:spacing w:line="320" w:lineRule="exact"/>
              <w:ind w:firstLine="35" w:firstLineChars="17"/>
              <w:jc w:val="center"/>
              <w:rPr>
                <w:rFonts w:ascii="宋体" w:hAnsi="宋体" w:cs="宋体"/>
                <w:szCs w:val="21"/>
              </w:rPr>
            </w:pPr>
            <w:r>
              <w:rPr>
                <w:rFonts w:hint="eastAsia" w:ascii="宋体" w:hAnsi="宋体" w:cs="宋体"/>
                <w:szCs w:val="21"/>
              </w:rPr>
              <w:t>培训方案</w:t>
            </w:r>
          </w:p>
        </w:tc>
        <w:tc>
          <w:tcPr>
            <w:tcW w:w="6306" w:type="dxa"/>
            <w:vAlign w:val="center"/>
          </w:tcPr>
          <w:p w14:paraId="64CA780B">
            <w:pPr>
              <w:spacing w:line="320" w:lineRule="exact"/>
              <w:rPr>
                <w:rFonts w:ascii="宋体" w:hAnsi="宋体" w:cs="宋体"/>
                <w:szCs w:val="21"/>
              </w:rPr>
            </w:pPr>
            <w:r>
              <w:rPr>
                <w:rFonts w:hint="eastAsia" w:ascii="宋体" w:hAnsi="宋体" w:cs="宋体"/>
                <w:szCs w:val="21"/>
              </w:rPr>
              <w:t>根据投标人针对本项目的培训方案，内容至少包括培训对象分析、培训方式、培训内容、培训计划制定、培训质量保证措施等方面进行综合评分。</w:t>
            </w:r>
          </w:p>
        </w:tc>
        <w:tc>
          <w:tcPr>
            <w:tcW w:w="1074" w:type="dxa"/>
            <w:vAlign w:val="center"/>
          </w:tcPr>
          <w:p w14:paraId="466C259F">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分</w:t>
            </w:r>
          </w:p>
        </w:tc>
      </w:tr>
      <w:tr w14:paraId="03E34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701" w:type="dxa"/>
            <w:vAlign w:val="center"/>
          </w:tcPr>
          <w:p w14:paraId="27925DC8">
            <w:pPr>
              <w:spacing w:line="320" w:lineRule="exact"/>
              <w:jc w:val="center"/>
              <w:rPr>
                <w:rFonts w:ascii="宋体" w:hAnsi="宋体" w:cs="宋体"/>
                <w:szCs w:val="21"/>
              </w:rPr>
            </w:pPr>
            <w:r>
              <w:rPr>
                <w:rFonts w:hint="eastAsia" w:ascii="宋体" w:hAnsi="宋体" w:cs="宋体"/>
                <w:szCs w:val="21"/>
              </w:rPr>
              <w:t>保证措施</w:t>
            </w:r>
          </w:p>
        </w:tc>
        <w:tc>
          <w:tcPr>
            <w:tcW w:w="6306" w:type="dxa"/>
            <w:vAlign w:val="center"/>
          </w:tcPr>
          <w:p w14:paraId="35248817">
            <w:pPr>
              <w:widowControl/>
              <w:spacing w:line="320" w:lineRule="exact"/>
              <w:rPr>
                <w:rFonts w:ascii="宋体" w:hAnsi="宋体" w:cs="宋体"/>
                <w:szCs w:val="21"/>
              </w:rPr>
            </w:pPr>
            <w:r>
              <w:rPr>
                <w:rFonts w:hint="eastAsia" w:ascii="宋体" w:hAnsi="宋体" w:cs="宋体"/>
                <w:kern w:val="0"/>
                <w:szCs w:val="21"/>
                <w:lang w:bidi="ar"/>
              </w:rPr>
              <w:t>根据投标针对本项目的保证措施，包括质量保障措施、安全文明措施等情况的合理、可行、周全性综合打分，得0-</w:t>
            </w:r>
            <w:r>
              <w:rPr>
                <w:rFonts w:hint="eastAsia" w:ascii="宋体" w:hAnsi="宋体" w:cs="宋体"/>
                <w:kern w:val="0"/>
                <w:szCs w:val="21"/>
                <w:lang w:val="en-US" w:eastAsia="zh-CN" w:bidi="ar"/>
              </w:rPr>
              <w:t>5</w:t>
            </w:r>
            <w:r>
              <w:rPr>
                <w:rFonts w:hint="eastAsia" w:ascii="宋体" w:hAnsi="宋体" w:cs="宋体"/>
                <w:kern w:val="0"/>
                <w:szCs w:val="21"/>
                <w:lang w:bidi="ar"/>
              </w:rPr>
              <w:t>分。</w:t>
            </w:r>
          </w:p>
        </w:tc>
        <w:tc>
          <w:tcPr>
            <w:tcW w:w="1074" w:type="dxa"/>
            <w:vAlign w:val="center"/>
          </w:tcPr>
          <w:p w14:paraId="5585AA4E">
            <w:pPr>
              <w:spacing w:line="320" w:lineRule="exact"/>
              <w:jc w:val="center"/>
              <w:rPr>
                <w:rFonts w:ascii="宋体" w:hAnsi="宋体" w:cs="宋体"/>
                <w:szCs w:val="21"/>
              </w:rPr>
            </w:pPr>
            <w:r>
              <w:rPr>
                <w:rFonts w:hint="eastAsia" w:ascii="宋体" w:hAnsi="宋体" w:cs="宋体"/>
                <w:szCs w:val="21"/>
              </w:rPr>
              <w:t>0-</w:t>
            </w:r>
            <w:r>
              <w:rPr>
                <w:rFonts w:hint="eastAsia" w:ascii="宋体" w:hAnsi="宋体" w:cs="宋体"/>
                <w:szCs w:val="21"/>
                <w:lang w:val="en-US" w:eastAsia="zh-CN"/>
              </w:rPr>
              <w:t>5</w:t>
            </w:r>
            <w:r>
              <w:rPr>
                <w:rFonts w:hint="eastAsia" w:ascii="宋体" w:hAnsi="宋体" w:cs="宋体"/>
                <w:szCs w:val="21"/>
              </w:rPr>
              <w:t>分</w:t>
            </w:r>
          </w:p>
        </w:tc>
      </w:tr>
      <w:tr w14:paraId="11B9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701" w:type="dxa"/>
            <w:vAlign w:val="center"/>
          </w:tcPr>
          <w:p w14:paraId="40D75890">
            <w:pPr>
              <w:spacing w:line="320" w:lineRule="exact"/>
              <w:jc w:val="center"/>
              <w:rPr>
                <w:rFonts w:ascii="宋体" w:hAnsi="宋体" w:cs="宋体"/>
                <w:szCs w:val="21"/>
              </w:rPr>
            </w:pPr>
            <w:r>
              <w:rPr>
                <w:rFonts w:hint="eastAsia" w:ascii="宋体" w:hAnsi="宋体" w:cs="宋体"/>
                <w:szCs w:val="21"/>
              </w:rPr>
              <w:t>项目进度表</w:t>
            </w:r>
          </w:p>
        </w:tc>
        <w:tc>
          <w:tcPr>
            <w:tcW w:w="6306" w:type="dxa"/>
            <w:vAlign w:val="center"/>
          </w:tcPr>
          <w:p w14:paraId="206D75D0">
            <w:pPr>
              <w:spacing w:line="320" w:lineRule="exact"/>
              <w:rPr>
                <w:rFonts w:ascii="宋体" w:hAnsi="宋体" w:cs="宋体"/>
                <w:szCs w:val="21"/>
              </w:rPr>
            </w:pPr>
            <w:r>
              <w:rPr>
                <w:rFonts w:hint="eastAsia" w:ascii="宋体" w:hAnsi="宋体" w:cs="宋体"/>
                <w:szCs w:val="21"/>
              </w:rPr>
              <w:t>投标人提供项目进度表的得2分，项目进度表合理的得1分。</w:t>
            </w:r>
          </w:p>
        </w:tc>
        <w:tc>
          <w:tcPr>
            <w:tcW w:w="1074" w:type="dxa"/>
            <w:vAlign w:val="center"/>
          </w:tcPr>
          <w:p w14:paraId="224D7CD0">
            <w:pPr>
              <w:spacing w:line="320" w:lineRule="exact"/>
              <w:jc w:val="center"/>
              <w:rPr>
                <w:rFonts w:ascii="宋体" w:hAnsi="宋体" w:cs="宋体"/>
                <w:szCs w:val="21"/>
              </w:rPr>
            </w:pPr>
            <w:r>
              <w:rPr>
                <w:rFonts w:hint="eastAsia" w:ascii="宋体" w:hAnsi="宋体" w:cs="宋体"/>
                <w:szCs w:val="21"/>
              </w:rPr>
              <w:t>0-3分</w:t>
            </w:r>
          </w:p>
        </w:tc>
      </w:tr>
    </w:tbl>
    <w:p w14:paraId="44813220">
      <w:pPr>
        <w:numPr>
          <w:ilvl w:val="0"/>
          <w:numId w:val="0"/>
        </w:numPr>
        <w:spacing w:line="360" w:lineRule="auto"/>
        <w:rPr>
          <w:rFonts w:hint="eastAsia" w:ascii="宋体" w:hAnsi="宋体" w:eastAsia="宋体" w:cs="Times New Roman"/>
          <w:b/>
          <w:bCs/>
          <w:kern w:val="2"/>
          <w:sz w:val="24"/>
          <w:szCs w:val="24"/>
          <w:lang w:val="en-US" w:eastAsia="zh-CN" w:bidi="ar-SA"/>
        </w:rPr>
      </w:pPr>
    </w:p>
    <w:p w14:paraId="3443CDEC">
      <w:pPr>
        <w:spacing w:line="360" w:lineRule="auto"/>
        <w:outlineLvl w:val="0"/>
        <w:rPr>
          <w:rFonts w:ascii="宋体" w:hAnsi="宋体" w:cs="宋体"/>
          <w:b/>
          <w:sz w:val="36"/>
          <w:szCs w:val="36"/>
        </w:rPr>
      </w:pPr>
      <w:r>
        <w:rPr>
          <w:rFonts w:hint="eastAsia" w:ascii="宋体" w:hAnsi="宋体" w:cs="宋体"/>
          <w:b/>
          <w:sz w:val="36"/>
          <w:szCs w:val="36"/>
        </w:rPr>
        <w:t>三、评标程序</w:t>
      </w:r>
    </w:p>
    <w:p w14:paraId="721E910F">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51963A3F">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B54D94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70DD4BA3">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AB58E15">
      <w:pPr>
        <w:pStyle w:val="136"/>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1B684E65">
      <w:pPr>
        <w:pStyle w:val="136"/>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5AD96438">
      <w:pPr>
        <w:pStyle w:val="136"/>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1C92540">
      <w:pPr>
        <w:pStyle w:val="136"/>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0FCD4CB">
      <w:pPr>
        <w:pStyle w:val="136"/>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73335740">
      <w:pPr>
        <w:pStyle w:val="136"/>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D2E45F4">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5BD4110">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C8E9174">
      <w:pPr>
        <w:pStyle w:val="136"/>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75532B">
      <w:pPr>
        <w:pStyle w:val="136"/>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70B5F49D">
      <w:pPr>
        <w:spacing w:line="360" w:lineRule="auto"/>
        <w:ind w:firstLine="482" w:firstLineChars="200"/>
        <w:rPr>
          <w:rFonts w:hint="eastAsia"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合格供应商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供应商。排名第一的供应商为中标供应商，排名第二的供应商为候补中标供应商，其他供应商中标候选资格依此类推。中标供应商拒绝与采购人签订合同的，采购人可以按照评审报告推荐的中标供应商名单顺序，确定下一候选人为中标供应商，也可以重新开展政府采购活动。评分过程中采用四舍五入法，并保留小数2位。</w:t>
      </w:r>
    </w:p>
    <w:p w14:paraId="6AE4317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03E751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527DF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77517795">
      <w:pPr>
        <w:pStyle w:val="136"/>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BC5B46C">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2EE219E3">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7F112F3C">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A6205D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5BEC532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4C8E7D0E">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65066859">
      <w:pPr>
        <w:snapToGrid w:val="0"/>
        <w:spacing w:line="360" w:lineRule="auto"/>
        <w:ind w:firstLine="120" w:firstLineChars="50"/>
        <w:jc w:val="left"/>
        <w:rPr>
          <w:rFonts w:hint="eastAsia" w:ascii="宋体" w:hAnsi="宋体" w:eastAsia="宋体" w:cs="宋体"/>
          <w:kern w:val="0"/>
          <w:sz w:val="24"/>
          <w:lang w:eastAsia="zh-CN"/>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14:paraId="4D3D2993">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p>
    <w:p w14:paraId="78D39164">
      <w:pPr>
        <w:spacing w:line="360" w:lineRule="auto"/>
        <w:ind w:firstLine="480" w:firstLineChars="200"/>
        <w:rPr>
          <w:rFonts w:hint="eastAsia" w:ascii="宋体" w:hAnsi="宋体" w:eastAsia="宋体" w:cs="宋体"/>
          <w:kern w:val="0"/>
          <w:sz w:val="24"/>
          <w:lang w:eastAsia="zh-CN"/>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14:paraId="1D0C1B9B">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6286C47A">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FC2AFE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62386EE0">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15A88C8C">
      <w:pPr>
        <w:spacing w:line="360" w:lineRule="auto"/>
        <w:ind w:firstLine="482" w:firstLineChars="200"/>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4.2.13不同供应商的电子投标（响应）文件上传计算机的网卡MAC地址、CPU序列号和硬盘序列号等硬件信息相同的；</w:t>
      </w:r>
    </w:p>
    <w:p w14:paraId="666995C5">
      <w:pPr>
        <w:spacing w:line="360" w:lineRule="auto"/>
        <w:ind w:firstLine="482" w:firstLineChars="200"/>
        <w:rPr>
          <w:rFonts w:hint="eastAsia" w:ascii="宋体" w:hAnsi="宋体" w:cs="宋体"/>
          <w:b/>
          <w:bCs/>
          <w:kern w:val="0"/>
          <w:sz w:val="24"/>
          <w:lang w:val="en-US" w:eastAsia="zh-CN"/>
        </w:rPr>
      </w:pPr>
      <w:r>
        <w:rPr>
          <w:rFonts w:hint="eastAsia" w:ascii="宋体" w:hAnsi="宋体" w:cs="宋体"/>
          <w:b/>
          <w:bCs/>
          <w:color w:val="auto"/>
          <w:kern w:val="0"/>
          <w:sz w:val="24"/>
          <w:lang w:val="en-US" w:eastAsia="zh-CN"/>
        </w:rPr>
        <w:t>4.2.14上传的电子投标（响应）文件若出现使用本项目其他投标（响应）供应商的</w:t>
      </w:r>
      <w:r>
        <w:rPr>
          <w:rFonts w:hint="eastAsia" w:ascii="宋体" w:hAnsi="宋体" w:cs="宋体"/>
          <w:b/>
          <w:bCs/>
          <w:kern w:val="0"/>
          <w:sz w:val="24"/>
          <w:lang w:val="en-US" w:eastAsia="zh-CN"/>
        </w:rPr>
        <w:t xml:space="preserve">数字证书加息密的，或者加盖本项目其他投标（响应）供应商的电子印章的； </w:t>
      </w:r>
    </w:p>
    <w:p w14:paraId="3CBF234D">
      <w:pPr>
        <w:spacing w:line="360" w:lineRule="auto"/>
        <w:ind w:firstLine="482" w:firstLineChars="200"/>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4.2.15不同供应商的投标（响应）文件的内容存在三处（含）以上错误一致，且无法合理解释的；</w:t>
      </w:r>
    </w:p>
    <w:p w14:paraId="3555056C">
      <w:pPr>
        <w:spacing w:line="360" w:lineRule="auto"/>
        <w:ind w:firstLine="482" w:firstLineChars="200"/>
        <w:rPr>
          <w:rFonts w:hint="eastAsia" w:ascii="宋体" w:hAnsi="宋体" w:cs="宋体"/>
          <w:b/>
          <w:bCs/>
          <w:color w:val="auto"/>
          <w:kern w:val="0"/>
          <w:sz w:val="24"/>
          <w:lang w:val="en-US" w:eastAsia="zh-CN"/>
        </w:rPr>
      </w:pPr>
      <w:r>
        <w:rPr>
          <w:rFonts w:hint="eastAsia" w:ascii="宋体" w:hAnsi="宋体" w:cs="宋体"/>
          <w:b/>
          <w:bCs/>
          <w:color w:val="auto"/>
          <w:kern w:val="0"/>
          <w:sz w:val="24"/>
          <w:lang w:val="en-US" w:eastAsia="zh-CN"/>
        </w:rPr>
        <w:t xml:space="preserve">4.2.16不同供应商联系人为同一人或不同联系人的联系电话一致，且无法合理解释的。 </w:t>
      </w:r>
    </w:p>
    <w:p w14:paraId="55A07FA1">
      <w:pPr>
        <w:pStyle w:val="4"/>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7</w:t>
      </w:r>
      <w:r>
        <w:rPr>
          <w:rFonts w:hint="eastAsia" w:ascii="宋体" w:hAnsi="宋体" w:eastAsia="宋体" w:cs="宋体"/>
          <w:b w:val="0"/>
          <w:bCs w:val="0"/>
          <w:kern w:val="0"/>
          <w:sz w:val="24"/>
          <w:szCs w:val="24"/>
          <w:lang w:val="en-US"/>
        </w:rPr>
        <w:t xml:space="preserve"> 投标文件不满足招标文件的其它实质性要求的；</w:t>
      </w:r>
    </w:p>
    <w:p w14:paraId="0F6C0503">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8</w:t>
      </w:r>
      <w:r>
        <w:rPr>
          <w:rFonts w:hint="eastAsia" w:ascii="宋体" w:hAnsi="宋体" w:cs="宋体"/>
          <w:kern w:val="0"/>
          <w:sz w:val="24"/>
        </w:rPr>
        <w:t>法律、法规、规章（适用本市的）及省级以上规范性文件（适用本市的）规定的其他无效情形。</w:t>
      </w:r>
    </w:p>
    <w:p w14:paraId="4176B6D4">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4F7E73E">
      <w:pPr>
        <w:pStyle w:val="26"/>
        <w:snapToGrid w:val="0"/>
        <w:spacing w:line="360" w:lineRule="auto"/>
        <w:rPr>
          <w:rFonts w:cs="宋体"/>
        </w:rPr>
      </w:pPr>
      <w:r>
        <w:rPr>
          <w:rFonts w:hint="eastAsia" w:cs="宋体"/>
        </w:rPr>
        <w:t>5.1符合专业条件的供应商或者对招标文件作实质响应的供应商不足3家的；</w:t>
      </w:r>
    </w:p>
    <w:p w14:paraId="5691139C">
      <w:pPr>
        <w:pStyle w:val="26"/>
        <w:snapToGrid w:val="0"/>
        <w:spacing w:line="360" w:lineRule="auto"/>
        <w:rPr>
          <w:rFonts w:cs="宋体"/>
        </w:rPr>
      </w:pPr>
      <w:r>
        <w:rPr>
          <w:rFonts w:hint="eastAsia" w:cs="宋体"/>
        </w:rPr>
        <w:t>5.2出现影响采购公正的违法、违规行为的；</w:t>
      </w:r>
    </w:p>
    <w:p w14:paraId="4A2A2488">
      <w:pPr>
        <w:pStyle w:val="26"/>
        <w:snapToGrid w:val="0"/>
        <w:spacing w:line="360" w:lineRule="auto"/>
        <w:rPr>
          <w:rFonts w:cs="宋体"/>
        </w:rPr>
      </w:pPr>
      <w:r>
        <w:rPr>
          <w:rFonts w:hint="eastAsia" w:cs="宋体"/>
        </w:rPr>
        <w:t>5.3投标人的报价均超过了采购预算，采购人不能支付的；</w:t>
      </w:r>
    </w:p>
    <w:p w14:paraId="0581AF1A">
      <w:pPr>
        <w:pStyle w:val="26"/>
        <w:snapToGrid w:val="0"/>
        <w:spacing w:line="360" w:lineRule="auto"/>
        <w:rPr>
          <w:rFonts w:cs="宋体"/>
        </w:rPr>
      </w:pPr>
      <w:r>
        <w:rPr>
          <w:rFonts w:hint="eastAsia" w:cs="宋体"/>
        </w:rPr>
        <w:t>5.4因重大变故，采购任务取消的。</w:t>
      </w:r>
    </w:p>
    <w:p w14:paraId="21DB3F3D">
      <w:pPr>
        <w:pStyle w:val="26"/>
        <w:snapToGrid w:val="0"/>
        <w:spacing w:line="360" w:lineRule="auto"/>
        <w:rPr>
          <w:rFonts w:cs="宋体"/>
        </w:rPr>
      </w:pPr>
      <w:r>
        <w:rPr>
          <w:rFonts w:hint="eastAsia" w:cs="宋体"/>
        </w:rPr>
        <w:t>废标后，采购代理机构应当将废标理由通知所有投标人。</w:t>
      </w:r>
    </w:p>
    <w:p w14:paraId="33FDB8E5">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98C7D53">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5C278B7C">
      <w:pPr>
        <w:pStyle w:val="26"/>
        <w:snapToGrid w:val="0"/>
        <w:spacing w:line="360" w:lineRule="auto"/>
        <w:rPr>
          <w:rFonts w:cs="宋体"/>
        </w:rPr>
      </w:pPr>
      <w:r>
        <w:rPr>
          <w:rFonts w:hint="eastAsia" w:cs="宋体"/>
        </w:rPr>
        <w:t>7.1未确定中标供应商的，终止本次政府采购活动，重新开展政府采购活动。</w:t>
      </w:r>
    </w:p>
    <w:p w14:paraId="7C827792">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ADA6630">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295FF867">
      <w:pPr>
        <w:pStyle w:val="26"/>
        <w:snapToGrid w:val="0"/>
        <w:spacing w:line="360" w:lineRule="auto"/>
        <w:rPr>
          <w:rFonts w:cs="宋体"/>
        </w:rPr>
      </w:pPr>
      <w:r>
        <w:rPr>
          <w:rFonts w:hint="eastAsia" w:cs="宋体"/>
        </w:rPr>
        <w:t>7.4政府采购合同已经履行，给采购人、供应商造成损失的，由责任人承担赔偿责任。</w:t>
      </w:r>
    </w:p>
    <w:p w14:paraId="78C8E1CD">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DA90C16">
      <w:pPr>
        <w:pStyle w:val="26"/>
        <w:snapToGrid w:val="0"/>
        <w:spacing w:line="360" w:lineRule="auto"/>
        <w:ind w:firstLine="0" w:firstLineChars="0"/>
        <w:rPr>
          <w:rFonts w:cs="宋体"/>
        </w:rPr>
      </w:pPr>
    </w:p>
    <w:bookmarkEnd w:id="32"/>
    <w:p w14:paraId="12DAB462">
      <w:pPr>
        <w:spacing w:line="360" w:lineRule="auto"/>
        <w:ind w:left="720" w:leftChars="343" w:firstLine="1084" w:firstLineChars="300"/>
        <w:outlineLvl w:val="0"/>
        <w:rPr>
          <w:rFonts w:ascii="宋体" w:hAnsi="宋体" w:cs="宋体"/>
          <w:b/>
          <w:sz w:val="36"/>
          <w:szCs w:val="36"/>
        </w:rPr>
      </w:pPr>
      <w:bookmarkStart w:id="400" w:name="第五部分"/>
      <w:bookmarkStart w:id="401" w:name="_Toc86217003"/>
    </w:p>
    <w:p w14:paraId="68ECA130">
      <w:pPr>
        <w:pStyle w:val="44"/>
        <w:rPr>
          <w:rFonts w:ascii="宋体" w:hAnsi="宋体" w:cs="宋体"/>
          <w:b/>
          <w:sz w:val="36"/>
          <w:szCs w:val="36"/>
        </w:rPr>
      </w:pPr>
    </w:p>
    <w:p w14:paraId="12E7A7B8">
      <w:pPr>
        <w:rPr>
          <w:rFonts w:ascii="宋体" w:hAnsi="宋体" w:cs="宋体"/>
          <w:b/>
          <w:sz w:val="36"/>
          <w:szCs w:val="36"/>
        </w:rPr>
      </w:pPr>
    </w:p>
    <w:p w14:paraId="0CE8E2AD">
      <w:pPr>
        <w:pStyle w:val="44"/>
        <w:rPr>
          <w:rFonts w:ascii="宋体" w:hAnsi="宋体" w:cs="宋体"/>
          <w:b/>
          <w:sz w:val="36"/>
          <w:szCs w:val="36"/>
        </w:rPr>
      </w:pPr>
    </w:p>
    <w:p w14:paraId="512F4CCC"/>
    <w:p w14:paraId="7F22CE74">
      <w:pPr>
        <w:spacing w:line="360" w:lineRule="auto"/>
        <w:ind w:left="720" w:leftChars="343" w:firstLine="1807" w:firstLineChars="500"/>
        <w:outlineLvl w:val="0"/>
        <w:rPr>
          <w:rFonts w:ascii="宋体" w:hAnsi="宋体" w:cs="宋体"/>
          <w:b/>
          <w:sz w:val="36"/>
          <w:szCs w:val="36"/>
        </w:rPr>
      </w:pPr>
      <w:r>
        <w:rPr>
          <w:rFonts w:hint="eastAsia" w:ascii="宋体" w:hAnsi="宋体" w:cs="宋体"/>
          <w:b/>
          <w:sz w:val="36"/>
          <w:szCs w:val="36"/>
        </w:rPr>
        <w:t>第五部分 拟签订的合同文本</w:t>
      </w:r>
    </w:p>
    <w:p w14:paraId="2EA35E31">
      <w:pPr>
        <w:tabs>
          <w:tab w:val="left" w:pos="8306"/>
        </w:tabs>
        <w:spacing w:line="360" w:lineRule="auto"/>
        <w:ind w:right="84" w:firstLine="3242" w:firstLineChars="900"/>
        <w:rPr>
          <w:rFonts w:hint="eastAsia" w:eastAsia="方正小标宋简体"/>
          <w:b/>
          <w:sz w:val="36"/>
          <w:szCs w:val="36"/>
        </w:rPr>
      </w:pPr>
      <w:r>
        <w:rPr>
          <w:rFonts w:hint="eastAsia" w:eastAsia="方正小标宋简体"/>
          <w:b/>
          <w:sz w:val="36"/>
          <w:szCs w:val="36"/>
        </w:rPr>
        <w:t>货物采购合同（指引）</w:t>
      </w:r>
    </w:p>
    <w:p w14:paraId="1B2675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合同编号：</w:t>
      </w:r>
      <w:r>
        <w:rPr>
          <w:rFonts w:ascii="宋体" w:hAnsi="宋体" w:cs="Arial"/>
          <w:kern w:val="0"/>
          <w:sz w:val="24"/>
        </w:rPr>
        <w:t xml:space="preserve"> </w:t>
      </w:r>
    </w:p>
    <w:p w14:paraId="01DD2A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项目名称：</w:t>
      </w:r>
    </w:p>
    <w:p w14:paraId="21FEC7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 w:val="24"/>
          <w:lang w:val="en-US" w:eastAsia="zh-CN"/>
        </w:rPr>
      </w:pPr>
      <w:r>
        <w:rPr>
          <w:rFonts w:hint="eastAsia" w:ascii="宋体" w:hAnsi="宋体" w:cs="Arial"/>
          <w:kern w:val="0"/>
          <w:sz w:val="24"/>
        </w:rPr>
        <w:t>项目编号：</w:t>
      </w:r>
      <w:r>
        <w:rPr>
          <w:rFonts w:hint="eastAsia" w:ascii="宋体" w:hAnsi="宋体" w:cs="Arial"/>
          <w:kern w:val="0"/>
          <w:sz w:val="24"/>
          <w:lang w:eastAsia="zh-CN"/>
        </w:rPr>
        <w:t>ZJFLCX-2025-36</w:t>
      </w:r>
    </w:p>
    <w:p w14:paraId="7F8FD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政府采购计划（预算）确认书号：</w:t>
      </w:r>
    </w:p>
    <w:p w14:paraId="54B54D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采购单位（以下称甲方）：</w:t>
      </w:r>
    </w:p>
    <w:p w14:paraId="59CEEA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供应商（以下称乙方）：</w:t>
      </w:r>
    </w:p>
    <w:p w14:paraId="564107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 w:val="24"/>
          <w:lang w:eastAsia="zh-CN"/>
        </w:rPr>
      </w:pPr>
      <w:r>
        <w:rPr>
          <w:rFonts w:hint="eastAsia" w:ascii="宋体" w:hAnsi="宋体" w:cs="Arial"/>
          <w:kern w:val="0"/>
          <w:sz w:val="24"/>
        </w:rPr>
        <w:t>采购代理机构：</w:t>
      </w:r>
      <w:r>
        <w:rPr>
          <w:rFonts w:hint="eastAsia" w:ascii="宋体" w:hAnsi="宋体" w:cs="Arial"/>
          <w:kern w:val="0"/>
          <w:sz w:val="24"/>
          <w:lang w:eastAsia="zh-CN"/>
        </w:rPr>
        <w:t>浙江富力诚欣工程顾问有限公司</w:t>
      </w:r>
    </w:p>
    <w:p w14:paraId="709C65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 w:val="24"/>
        </w:rPr>
      </w:pPr>
      <w:r>
        <w:rPr>
          <w:rFonts w:hint="eastAsia" w:ascii="宋体" w:hAnsi="宋体" w:cs="Arial"/>
          <w:kern w:val="0"/>
          <w:sz w:val="24"/>
        </w:rPr>
        <w:t>采购方式：</w:t>
      </w:r>
      <w:r>
        <w:rPr>
          <w:rFonts w:hint="eastAsia" w:ascii="宋体" w:hAnsi="宋体" w:cs="Arial"/>
          <w:kern w:val="0"/>
          <w:sz w:val="24"/>
          <w:lang w:eastAsia="zh-CN"/>
        </w:rPr>
        <w:t>竞争性磋商</w:t>
      </w:r>
      <w:r>
        <w:rPr>
          <w:rFonts w:ascii="宋体" w:hAnsi="宋体" w:cs="Arial"/>
          <w:kern w:val="0"/>
          <w:sz w:val="24"/>
        </w:rPr>
        <w:t xml:space="preserve"> </w:t>
      </w:r>
    </w:p>
    <w:p w14:paraId="7554A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Times New Roman" w:hAnsi="Times New Roman"/>
        </w:rPr>
      </w:pPr>
      <w:r>
        <w:rPr>
          <w:rFonts w:hint="eastAsia" w:ascii="宋体" w:hAnsi="宋体" w:eastAsia="宋体" w:cs="Arial"/>
          <w:snapToGrid/>
          <w:kern w:val="0"/>
          <w:sz w:val="24"/>
          <w:szCs w:val="24"/>
          <w:lang w:val="en-US" w:eastAsia="zh-CN" w:bidi="ar-SA"/>
        </w:rPr>
        <w:t>甲、乙双方根据</w:t>
      </w:r>
      <w:r>
        <w:rPr>
          <w:rFonts w:hint="eastAsia" w:ascii="宋体" w:hAnsi="宋体" w:cs="Arial"/>
          <w:snapToGrid/>
          <w:kern w:val="0"/>
          <w:sz w:val="24"/>
          <w:szCs w:val="24"/>
          <w:u w:val="single"/>
          <w:lang w:val="en-US" w:eastAsia="zh-CN" w:bidi="ar-SA"/>
        </w:rPr>
        <w:t xml:space="preserve">                      </w:t>
      </w:r>
      <w:r>
        <w:rPr>
          <w:rFonts w:hint="eastAsia" w:hAnsi="宋体" w:cs="Arial"/>
          <w:snapToGrid/>
          <w:kern w:val="0"/>
          <w:sz w:val="24"/>
          <w:szCs w:val="24"/>
          <w:u w:val="single"/>
          <w:lang w:val="en-US" w:eastAsia="zh-CN" w:bidi="ar-SA"/>
        </w:rPr>
        <w:t>竞争性磋商</w:t>
      </w:r>
      <w:r>
        <w:rPr>
          <w:rFonts w:hint="eastAsia" w:ascii="宋体" w:hAnsi="宋体" w:eastAsia="宋体" w:cs="Arial"/>
          <w:snapToGrid/>
          <w:kern w:val="0"/>
          <w:sz w:val="24"/>
          <w:szCs w:val="24"/>
          <w:lang w:val="en-US" w:eastAsia="zh-CN" w:bidi="ar-SA"/>
        </w:rPr>
        <w:t>采购的结果，依据相应的招标文件、投标文件，签署本合同。</w:t>
      </w:r>
    </w:p>
    <w:p w14:paraId="060A04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 w:val="24"/>
        </w:rPr>
      </w:pPr>
      <w:r>
        <w:rPr>
          <w:rFonts w:hint="eastAsia" w:ascii="宋体" w:hAnsi="宋体" w:cs="Arial"/>
          <w:b/>
          <w:kern w:val="0"/>
          <w:sz w:val="24"/>
        </w:rPr>
        <w:t>一、 合同组成</w:t>
      </w:r>
    </w:p>
    <w:p w14:paraId="06176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 w:val="24"/>
        </w:rPr>
      </w:pPr>
      <w:r>
        <w:rPr>
          <w:rFonts w:hint="eastAsia" w:ascii="宋体" w:hAnsi="宋体" w:cs="Arial"/>
          <w:kern w:val="0"/>
          <w:sz w:val="24"/>
        </w:rPr>
        <w:t>本次采购活动的相关文件为本合同的组成部分，与本合同具有同等法律效力,这些文件包括但不限于：</w:t>
      </w:r>
    </w:p>
    <w:p w14:paraId="44F1E863">
      <w:pPr>
        <w:spacing w:line="360" w:lineRule="auto"/>
        <w:ind w:firstLine="480" w:firstLineChars="200"/>
        <w:jc w:val="left"/>
        <w:rPr>
          <w:rFonts w:ascii="宋体" w:hAnsi="宋体" w:cs="Arial"/>
          <w:kern w:val="0"/>
          <w:sz w:val="24"/>
        </w:rPr>
      </w:pPr>
      <w:r>
        <w:rPr>
          <w:rFonts w:ascii="宋体" w:hAnsi="宋体" w:cs="Arial"/>
          <w:kern w:val="0"/>
          <w:sz w:val="24"/>
        </w:rPr>
        <w:t>1.</w:t>
      </w:r>
      <w:r>
        <w:rPr>
          <w:rFonts w:hint="eastAsia" w:ascii="宋体" w:hAnsi="宋体" w:cs="Arial"/>
          <w:kern w:val="0"/>
          <w:sz w:val="24"/>
        </w:rPr>
        <w:t>甲方的采购文件与采购补充文件。</w:t>
      </w:r>
    </w:p>
    <w:p w14:paraId="1F2171F3">
      <w:pPr>
        <w:spacing w:line="360" w:lineRule="auto"/>
        <w:ind w:firstLine="480" w:firstLineChars="200"/>
        <w:jc w:val="left"/>
        <w:rPr>
          <w:rFonts w:ascii="宋体" w:hAnsi="宋体" w:cs="Arial"/>
          <w:kern w:val="0"/>
          <w:sz w:val="24"/>
        </w:rPr>
      </w:pPr>
      <w:r>
        <w:rPr>
          <w:rFonts w:ascii="宋体" w:hAnsi="宋体" w:cs="Arial"/>
          <w:kern w:val="0"/>
          <w:sz w:val="24"/>
        </w:rPr>
        <w:t>2.</w:t>
      </w:r>
      <w:r>
        <w:rPr>
          <w:rFonts w:hint="eastAsia" w:ascii="宋体" w:hAnsi="宋体" w:cs="Arial"/>
          <w:kern w:val="0"/>
          <w:sz w:val="24"/>
        </w:rPr>
        <w:t>成交供应商投标文件。</w:t>
      </w:r>
    </w:p>
    <w:p w14:paraId="55406D1B">
      <w:pPr>
        <w:spacing w:line="360" w:lineRule="auto"/>
        <w:ind w:firstLine="480" w:firstLineChars="200"/>
        <w:jc w:val="left"/>
        <w:rPr>
          <w:rFonts w:ascii="宋体" w:hAnsi="宋体" w:cs="Arial"/>
          <w:kern w:val="0"/>
          <w:sz w:val="24"/>
        </w:rPr>
      </w:pPr>
      <w:r>
        <w:rPr>
          <w:rFonts w:ascii="宋体" w:hAnsi="宋体" w:cs="Arial"/>
          <w:kern w:val="0"/>
          <w:sz w:val="24"/>
        </w:rPr>
        <w:t>3.</w:t>
      </w:r>
      <w:r>
        <w:rPr>
          <w:rFonts w:hint="eastAsia" w:ascii="宋体" w:hAnsi="宋体" w:cs="Arial"/>
          <w:kern w:val="0"/>
          <w:sz w:val="24"/>
        </w:rPr>
        <w:t>答疑纪要和承诺书。</w:t>
      </w:r>
    </w:p>
    <w:p w14:paraId="304D82D0">
      <w:pPr>
        <w:spacing w:line="360" w:lineRule="auto"/>
        <w:ind w:firstLine="480" w:firstLineChars="200"/>
        <w:jc w:val="left"/>
        <w:rPr>
          <w:rFonts w:hint="eastAsia" w:ascii="宋体" w:hAnsi="宋体" w:cs="Arial"/>
          <w:kern w:val="0"/>
          <w:sz w:val="24"/>
        </w:rPr>
      </w:pPr>
      <w:r>
        <w:rPr>
          <w:rFonts w:ascii="宋体" w:hAnsi="宋体" w:cs="Arial"/>
          <w:kern w:val="0"/>
          <w:sz w:val="24"/>
        </w:rPr>
        <w:t>4.</w:t>
      </w:r>
      <w:r>
        <w:rPr>
          <w:rFonts w:hint="eastAsia" w:ascii="宋体" w:hAnsi="宋体" w:cs="Arial"/>
          <w:kern w:val="0"/>
          <w:sz w:val="24"/>
        </w:rPr>
        <w:t>中标通知书。</w:t>
      </w:r>
    </w:p>
    <w:p w14:paraId="14917440">
      <w:pPr>
        <w:spacing w:line="380" w:lineRule="exact"/>
        <w:ind w:firstLine="480" w:firstLineChars="200"/>
        <w:jc w:val="left"/>
        <w:rPr>
          <w:rFonts w:hint="eastAsia" w:ascii="宋体" w:hAnsi="宋体" w:cs="Arial"/>
          <w:kern w:val="0"/>
          <w:sz w:val="24"/>
        </w:rPr>
      </w:pPr>
      <w:r>
        <w:rPr>
          <w:rFonts w:hint="eastAsia" w:ascii="宋体" w:hAnsi="宋体" w:cs="Arial"/>
          <w:kern w:val="0"/>
          <w:sz w:val="24"/>
        </w:rPr>
        <w:t>组成本合同的所有文件必须为书面形式。组成本合同的文件的优先顺序为：（1）本合同；（2）答疑纪要和承诺书；（3）甲方的采购文件与采购补充文件；（4）中标通知书；（5）成交供应商投标文件。</w:t>
      </w:r>
    </w:p>
    <w:p w14:paraId="7A2DF244">
      <w:pPr>
        <w:pStyle w:val="33"/>
        <w:numPr>
          <w:ilvl w:val="0"/>
          <w:numId w:val="9"/>
        </w:numPr>
        <w:snapToGrid w:val="0"/>
        <w:spacing w:beforeLines="0" w:afterLines="0" w:line="360" w:lineRule="auto"/>
        <w:rPr>
          <w:rFonts w:ascii="Times New Roman" w:hAnsi="Times New Roman"/>
          <w:b/>
          <w:sz w:val="28"/>
          <w:szCs w:val="28"/>
        </w:rPr>
      </w:pPr>
      <w:r>
        <w:rPr>
          <w:rFonts w:ascii="Times New Roman" w:hAnsi="Times New Roman"/>
          <w:b/>
          <w:sz w:val="28"/>
          <w:szCs w:val="28"/>
        </w:rPr>
        <w:t>货物内容</w:t>
      </w:r>
    </w:p>
    <w:p w14:paraId="0B52F3AF">
      <w:pPr>
        <w:pStyle w:val="33"/>
        <w:widowControl/>
        <w:adjustRightInd w:val="0"/>
        <w:snapToGrid w:val="0"/>
        <w:spacing w:line="460" w:lineRule="exact"/>
        <w:ind w:firstLine="511" w:firstLineChars="213"/>
        <w:jc w:val="center"/>
        <w:rPr>
          <w:rFonts w:hint="eastAsia" w:ascii="宋体" w:hAnsi="宋体" w:eastAsia="宋体" w:cs="Arial"/>
          <w:snapToGrid/>
          <w:kern w:val="0"/>
          <w:sz w:val="24"/>
          <w:szCs w:val="24"/>
          <w:lang w:val="en-US" w:eastAsia="zh-CN" w:bidi="ar-SA"/>
        </w:rPr>
      </w:pPr>
      <w:r>
        <w:rPr>
          <w:rFonts w:hint="eastAsia" w:hAnsi="宋体" w:cs="Arial"/>
          <w:snapToGrid/>
          <w:kern w:val="0"/>
          <w:sz w:val="24"/>
          <w:szCs w:val="24"/>
          <w:lang w:val="en-US" w:eastAsia="zh-CN" w:bidi="ar-SA"/>
        </w:rPr>
        <w:t xml:space="preserve">                                                   </w:t>
      </w:r>
      <w:r>
        <w:rPr>
          <w:rFonts w:hint="eastAsia" w:ascii="宋体" w:hAnsi="宋体" w:eastAsia="宋体" w:cs="Arial"/>
          <w:snapToGrid/>
          <w:kern w:val="0"/>
          <w:sz w:val="24"/>
          <w:szCs w:val="24"/>
          <w:lang w:val="en-US" w:eastAsia="zh-CN" w:bidi="ar-SA"/>
        </w:rPr>
        <w:t xml:space="preserve">金额单位：元 </w:t>
      </w:r>
    </w:p>
    <w:tbl>
      <w:tblPr>
        <w:tblStyle w:val="65"/>
        <w:tblW w:w="8687" w:type="dxa"/>
        <w:jc w:val="center"/>
        <w:tblLayout w:type="fixed"/>
        <w:tblCellMar>
          <w:top w:w="0" w:type="dxa"/>
          <w:left w:w="108" w:type="dxa"/>
          <w:bottom w:w="0" w:type="dxa"/>
          <w:right w:w="108" w:type="dxa"/>
        </w:tblCellMar>
      </w:tblPr>
      <w:tblGrid>
        <w:gridCol w:w="663"/>
        <w:gridCol w:w="1220"/>
        <w:gridCol w:w="1417"/>
        <w:gridCol w:w="1540"/>
        <w:gridCol w:w="1230"/>
        <w:gridCol w:w="1245"/>
        <w:gridCol w:w="1372"/>
      </w:tblGrid>
      <w:tr w14:paraId="4C901DA8">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B99A620">
            <w:pPr>
              <w:widowControl/>
              <w:jc w:val="center"/>
              <w:rPr>
                <w:rFonts w:hint="eastAsia"/>
                <w:b/>
                <w:bCs/>
                <w:kern w:val="0"/>
                <w:szCs w:val="21"/>
              </w:rPr>
            </w:pPr>
            <w:r>
              <w:rPr>
                <w:rFonts w:hint="eastAsia"/>
                <w:b/>
                <w:bCs/>
                <w:kern w:val="0"/>
                <w:szCs w:val="21"/>
              </w:rPr>
              <w:t>序号</w:t>
            </w: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BE80FC1">
            <w:pPr>
              <w:widowControl/>
              <w:jc w:val="center"/>
              <w:rPr>
                <w:b/>
                <w:bCs/>
                <w:kern w:val="0"/>
                <w:szCs w:val="21"/>
              </w:rPr>
            </w:pPr>
            <w:r>
              <w:rPr>
                <w:rFonts w:hint="eastAsia"/>
                <w:b/>
                <w:bCs/>
                <w:kern w:val="0"/>
                <w:szCs w:val="21"/>
              </w:rPr>
              <w:t>名称</w:t>
            </w:r>
          </w:p>
        </w:tc>
        <w:tc>
          <w:tcPr>
            <w:tcW w:w="1417" w:type="dxa"/>
            <w:tcBorders>
              <w:top w:val="single" w:color="auto" w:sz="8" w:space="0"/>
              <w:left w:val="nil"/>
              <w:bottom w:val="single" w:color="auto" w:sz="8" w:space="0"/>
              <w:right w:val="single" w:color="auto" w:sz="4" w:space="0"/>
            </w:tcBorders>
            <w:noWrap w:val="0"/>
            <w:vAlign w:val="center"/>
          </w:tcPr>
          <w:p w14:paraId="3BFAD7E6">
            <w:pPr>
              <w:widowControl/>
              <w:jc w:val="center"/>
              <w:rPr>
                <w:rFonts w:hint="eastAsia"/>
                <w:b/>
                <w:bCs/>
                <w:kern w:val="0"/>
                <w:szCs w:val="21"/>
              </w:rPr>
            </w:pPr>
            <w:r>
              <w:rPr>
                <w:rFonts w:hint="eastAsia"/>
                <w:b/>
                <w:bCs/>
                <w:kern w:val="0"/>
                <w:szCs w:val="21"/>
                <w:lang w:val="en-US" w:eastAsia="zh-CN"/>
              </w:rPr>
              <w:t>参数</w:t>
            </w:r>
          </w:p>
        </w:tc>
        <w:tc>
          <w:tcPr>
            <w:tcW w:w="1540" w:type="dxa"/>
            <w:tcBorders>
              <w:top w:val="single" w:color="auto" w:sz="8" w:space="0"/>
              <w:left w:val="single" w:color="auto" w:sz="4" w:space="0"/>
              <w:bottom w:val="single" w:color="auto" w:sz="8" w:space="0"/>
              <w:right w:val="single" w:color="auto" w:sz="8" w:space="0"/>
            </w:tcBorders>
            <w:noWrap w:val="0"/>
            <w:vAlign w:val="center"/>
          </w:tcPr>
          <w:p w14:paraId="16FCDD7A">
            <w:pPr>
              <w:widowControl/>
              <w:jc w:val="center"/>
              <w:rPr>
                <w:rFonts w:hint="default" w:eastAsia="宋体"/>
                <w:b/>
                <w:bCs/>
                <w:kern w:val="0"/>
                <w:szCs w:val="21"/>
                <w:lang w:val="en-US" w:eastAsia="zh-CN"/>
              </w:rPr>
            </w:pPr>
            <w:r>
              <w:rPr>
                <w:rFonts w:hint="eastAsia"/>
                <w:b/>
                <w:bCs/>
                <w:kern w:val="0"/>
                <w:szCs w:val="21"/>
                <w:lang w:val="en-US" w:eastAsia="zh-CN"/>
              </w:rPr>
              <w:t>单位</w:t>
            </w:r>
          </w:p>
        </w:tc>
        <w:tc>
          <w:tcPr>
            <w:tcW w:w="1230" w:type="dxa"/>
            <w:tcBorders>
              <w:top w:val="single" w:color="auto" w:sz="8" w:space="0"/>
              <w:left w:val="nil"/>
              <w:bottom w:val="single" w:color="auto" w:sz="8" w:space="0"/>
              <w:right w:val="single" w:color="auto" w:sz="8" w:space="0"/>
            </w:tcBorders>
            <w:noWrap w:val="0"/>
            <w:vAlign w:val="center"/>
          </w:tcPr>
          <w:p w14:paraId="28BD8E27">
            <w:pPr>
              <w:widowControl/>
              <w:jc w:val="center"/>
              <w:rPr>
                <w:rFonts w:hint="eastAsia"/>
                <w:b/>
                <w:bCs/>
                <w:kern w:val="0"/>
                <w:szCs w:val="21"/>
              </w:rPr>
            </w:pPr>
            <w:r>
              <w:rPr>
                <w:rFonts w:hint="eastAsia"/>
                <w:b/>
                <w:bCs/>
                <w:kern w:val="0"/>
                <w:szCs w:val="21"/>
              </w:rPr>
              <w:t>数量</w:t>
            </w:r>
          </w:p>
        </w:tc>
        <w:tc>
          <w:tcPr>
            <w:tcW w:w="1245" w:type="dxa"/>
            <w:tcBorders>
              <w:top w:val="single" w:color="auto" w:sz="8" w:space="0"/>
              <w:left w:val="nil"/>
              <w:bottom w:val="single" w:color="auto" w:sz="8" w:space="0"/>
              <w:right w:val="single" w:color="auto" w:sz="8" w:space="0"/>
            </w:tcBorders>
            <w:noWrap w:val="0"/>
            <w:vAlign w:val="center"/>
          </w:tcPr>
          <w:p w14:paraId="16A1379A">
            <w:pPr>
              <w:jc w:val="center"/>
              <w:rPr>
                <w:rFonts w:hint="eastAsia"/>
                <w:b/>
                <w:bCs/>
                <w:kern w:val="0"/>
                <w:szCs w:val="21"/>
              </w:rPr>
            </w:pPr>
            <w:r>
              <w:rPr>
                <w:rFonts w:hint="eastAsia"/>
                <w:b/>
                <w:bCs/>
                <w:kern w:val="0"/>
                <w:szCs w:val="21"/>
              </w:rPr>
              <w:t>单价</w:t>
            </w:r>
          </w:p>
        </w:tc>
        <w:tc>
          <w:tcPr>
            <w:tcW w:w="1372" w:type="dxa"/>
            <w:tcBorders>
              <w:top w:val="single" w:color="auto" w:sz="8" w:space="0"/>
              <w:left w:val="nil"/>
              <w:bottom w:val="single" w:color="auto" w:sz="8" w:space="0"/>
              <w:right w:val="single" w:color="auto" w:sz="8" w:space="0"/>
            </w:tcBorders>
            <w:noWrap w:val="0"/>
            <w:vAlign w:val="center"/>
          </w:tcPr>
          <w:p w14:paraId="02F69E0D">
            <w:pPr>
              <w:widowControl/>
              <w:jc w:val="center"/>
              <w:rPr>
                <w:b/>
                <w:bCs/>
                <w:kern w:val="0"/>
                <w:szCs w:val="21"/>
              </w:rPr>
            </w:pPr>
            <w:r>
              <w:rPr>
                <w:rFonts w:hint="eastAsia"/>
                <w:b/>
                <w:bCs/>
                <w:kern w:val="0"/>
                <w:szCs w:val="21"/>
              </w:rPr>
              <w:t>总价</w:t>
            </w:r>
          </w:p>
        </w:tc>
      </w:tr>
      <w:tr w14:paraId="1365DE87">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1F3AFFD1">
            <w:pPr>
              <w:snapToGrid w:val="0"/>
              <w:spacing w:before="50" w:after="50"/>
              <w:jc w:val="center"/>
              <w:rPr>
                <w:b/>
                <w:bCs/>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6A9402F8">
            <w:pPr>
              <w:spacing w:line="360" w:lineRule="auto"/>
              <w:jc w:val="center"/>
              <w:rPr>
                <w:b/>
                <w:bCs/>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69B5E3A9">
            <w:pPr>
              <w:spacing w:line="360" w:lineRule="auto"/>
              <w:jc w:val="center"/>
              <w:rPr>
                <w:b/>
                <w:bCs/>
                <w:kern w:val="0"/>
                <w:szCs w:val="21"/>
              </w:rPr>
            </w:pPr>
          </w:p>
        </w:tc>
        <w:tc>
          <w:tcPr>
            <w:tcW w:w="1540" w:type="dxa"/>
            <w:tcBorders>
              <w:top w:val="single" w:color="auto" w:sz="8" w:space="0"/>
              <w:left w:val="single" w:color="auto" w:sz="4" w:space="0"/>
              <w:bottom w:val="single" w:color="auto" w:sz="8" w:space="0"/>
              <w:right w:val="single" w:color="auto" w:sz="8" w:space="0"/>
            </w:tcBorders>
            <w:noWrap w:val="0"/>
            <w:vAlign w:val="top"/>
          </w:tcPr>
          <w:p w14:paraId="75BAA51D">
            <w:pPr>
              <w:rPr>
                <w:rFonts w:hint="eastAsia"/>
                <w:szCs w:val="21"/>
              </w:rPr>
            </w:pPr>
          </w:p>
        </w:tc>
        <w:tc>
          <w:tcPr>
            <w:tcW w:w="1230" w:type="dxa"/>
            <w:tcBorders>
              <w:top w:val="single" w:color="auto" w:sz="8" w:space="0"/>
              <w:left w:val="nil"/>
              <w:bottom w:val="single" w:color="auto" w:sz="8" w:space="0"/>
              <w:right w:val="single" w:color="auto" w:sz="8" w:space="0"/>
            </w:tcBorders>
            <w:noWrap w:val="0"/>
            <w:vAlign w:val="center"/>
          </w:tcPr>
          <w:p w14:paraId="3A9C6B61">
            <w:pPr>
              <w:ind w:left="-420" w:leftChars="-200" w:firstLine="422" w:firstLineChars="200"/>
              <w:jc w:val="center"/>
              <w:rPr>
                <w:rFonts w:hint="eastAsia"/>
                <w:b/>
                <w:bCs/>
                <w:kern w:val="0"/>
                <w:szCs w:val="21"/>
              </w:rPr>
            </w:pPr>
          </w:p>
        </w:tc>
        <w:tc>
          <w:tcPr>
            <w:tcW w:w="1245" w:type="dxa"/>
            <w:tcBorders>
              <w:top w:val="single" w:color="auto" w:sz="8" w:space="0"/>
              <w:left w:val="nil"/>
              <w:bottom w:val="single" w:color="auto" w:sz="8" w:space="0"/>
              <w:right w:val="single" w:color="auto" w:sz="8" w:space="0"/>
            </w:tcBorders>
            <w:noWrap w:val="0"/>
            <w:vAlign w:val="center"/>
          </w:tcPr>
          <w:p w14:paraId="575B5D7D">
            <w:pPr>
              <w:widowControl/>
              <w:jc w:val="center"/>
              <w:rPr>
                <w:rFonts w:hint="eastAsia"/>
                <w:b/>
                <w:bCs/>
                <w:kern w:val="0"/>
                <w:szCs w:val="21"/>
              </w:rPr>
            </w:pPr>
          </w:p>
        </w:tc>
        <w:tc>
          <w:tcPr>
            <w:tcW w:w="1372" w:type="dxa"/>
            <w:tcBorders>
              <w:top w:val="single" w:color="auto" w:sz="8" w:space="0"/>
              <w:left w:val="nil"/>
              <w:bottom w:val="single" w:color="auto" w:sz="8" w:space="0"/>
              <w:right w:val="single" w:color="auto" w:sz="8" w:space="0"/>
            </w:tcBorders>
            <w:noWrap w:val="0"/>
            <w:vAlign w:val="center"/>
          </w:tcPr>
          <w:p w14:paraId="3EA47802">
            <w:pPr>
              <w:snapToGrid w:val="0"/>
              <w:spacing w:before="50" w:after="50"/>
              <w:jc w:val="center"/>
              <w:rPr>
                <w:b/>
                <w:bCs/>
                <w:kern w:val="0"/>
                <w:szCs w:val="21"/>
              </w:rPr>
            </w:pPr>
          </w:p>
        </w:tc>
      </w:tr>
      <w:tr w14:paraId="25EEF5F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2E3F7ED3">
            <w:pPr>
              <w:widowControl/>
              <w:jc w:val="center"/>
              <w:rPr>
                <w:color w:val="000000"/>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2E963EA1">
            <w:pPr>
              <w:widowControl/>
              <w:jc w:val="left"/>
              <w:rPr>
                <w:rFonts w:ascii="宋体" w:hAnsi="宋体" w:cs="宋体"/>
                <w:color w:val="000000"/>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4ED9185A">
            <w:pPr>
              <w:widowControl/>
              <w:jc w:val="center"/>
              <w:rPr>
                <w:rFonts w:ascii="宋体" w:hAnsi="宋体" w:cs="宋体"/>
                <w:color w:val="000000"/>
                <w:kern w:val="0"/>
                <w:szCs w:val="21"/>
              </w:rPr>
            </w:pPr>
          </w:p>
        </w:tc>
        <w:tc>
          <w:tcPr>
            <w:tcW w:w="1540" w:type="dxa"/>
            <w:tcBorders>
              <w:top w:val="single" w:color="auto" w:sz="8" w:space="0"/>
              <w:left w:val="single" w:color="auto" w:sz="4" w:space="0"/>
              <w:bottom w:val="single" w:color="auto" w:sz="8" w:space="0"/>
              <w:right w:val="single" w:color="auto" w:sz="8" w:space="0"/>
            </w:tcBorders>
            <w:noWrap w:val="0"/>
            <w:vAlign w:val="center"/>
          </w:tcPr>
          <w:p w14:paraId="0FF1CA04">
            <w:pPr>
              <w:widowControl/>
              <w:jc w:val="left"/>
              <w:rPr>
                <w:color w:val="000000"/>
                <w:kern w:val="0"/>
                <w:szCs w:val="21"/>
              </w:rPr>
            </w:pPr>
          </w:p>
        </w:tc>
        <w:tc>
          <w:tcPr>
            <w:tcW w:w="1230" w:type="dxa"/>
            <w:tcBorders>
              <w:top w:val="single" w:color="auto" w:sz="8" w:space="0"/>
              <w:left w:val="nil"/>
              <w:bottom w:val="single" w:color="auto" w:sz="8" w:space="0"/>
              <w:right w:val="single" w:color="auto" w:sz="8" w:space="0"/>
            </w:tcBorders>
            <w:noWrap w:val="0"/>
            <w:vAlign w:val="center"/>
          </w:tcPr>
          <w:p w14:paraId="6D7F6879">
            <w:pPr>
              <w:ind w:left="-420" w:leftChars="-200" w:firstLine="422" w:firstLineChars="200"/>
              <w:jc w:val="center"/>
              <w:rPr>
                <w:rFonts w:hint="eastAsia"/>
                <w:b/>
                <w:bCs/>
                <w:kern w:val="0"/>
                <w:szCs w:val="21"/>
              </w:rPr>
            </w:pPr>
          </w:p>
        </w:tc>
        <w:tc>
          <w:tcPr>
            <w:tcW w:w="1245" w:type="dxa"/>
            <w:tcBorders>
              <w:top w:val="single" w:color="auto" w:sz="8" w:space="0"/>
              <w:left w:val="nil"/>
              <w:bottom w:val="single" w:color="auto" w:sz="8" w:space="0"/>
              <w:right w:val="single" w:color="auto" w:sz="8" w:space="0"/>
            </w:tcBorders>
            <w:noWrap w:val="0"/>
            <w:vAlign w:val="center"/>
          </w:tcPr>
          <w:p w14:paraId="205EE675">
            <w:pPr>
              <w:widowControl/>
              <w:jc w:val="center"/>
              <w:rPr>
                <w:rFonts w:hint="eastAsia"/>
                <w:b/>
                <w:bCs/>
                <w:kern w:val="0"/>
                <w:szCs w:val="21"/>
              </w:rPr>
            </w:pPr>
          </w:p>
        </w:tc>
        <w:tc>
          <w:tcPr>
            <w:tcW w:w="1372" w:type="dxa"/>
            <w:tcBorders>
              <w:top w:val="single" w:color="auto" w:sz="8" w:space="0"/>
              <w:left w:val="nil"/>
              <w:bottom w:val="single" w:color="auto" w:sz="8" w:space="0"/>
              <w:right w:val="single" w:color="auto" w:sz="8" w:space="0"/>
            </w:tcBorders>
            <w:noWrap w:val="0"/>
            <w:vAlign w:val="center"/>
          </w:tcPr>
          <w:p w14:paraId="70A878A8">
            <w:pPr>
              <w:snapToGrid w:val="0"/>
              <w:spacing w:before="50" w:after="50"/>
              <w:jc w:val="center"/>
              <w:rPr>
                <w:rFonts w:hint="eastAsia" w:ascii="宋体" w:hAnsi="宋体"/>
                <w:szCs w:val="21"/>
              </w:rPr>
            </w:pPr>
          </w:p>
        </w:tc>
      </w:tr>
      <w:tr w14:paraId="2F341C6A">
        <w:tblPrEx>
          <w:tblCellMar>
            <w:top w:w="0" w:type="dxa"/>
            <w:left w:w="108" w:type="dxa"/>
            <w:bottom w:w="0" w:type="dxa"/>
            <w:right w:w="108" w:type="dxa"/>
          </w:tblCellMar>
        </w:tblPrEx>
        <w:trPr>
          <w:trHeight w:val="968" w:hRule="atLeast"/>
          <w:jc w:val="center"/>
        </w:trPr>
        <w:tc>
          <w:tcPr>
            <w:tcW w:w="663" w:type="dxa"/>
            <w:tcBorders>
              <w:top w:val="single" w:color="auto" w:sz="8" w:space="0"/>
              <w:left w:val="single" w:color="auto" w:sz="8" w:space="0"/>
              <w:bottom w:val="single" w:color="auto" w:sz="8" w:space="0"/>
              <w:right w:val="single" w:color="auto" w:sz="8" w:space="0"/>
            </w:tcBorders>
            <w:noWrap w:val="0"/>
            <w:vAlign w:val="center"/>
          </w:tcPr>
          <w:p w14:paraId="03B38F11">
            <w:pPr>
              <w:widowControl/>
              <w:jc w:val="center"/>
              <w:rPr>
                <w:color w:val="000000"/>
                <w:kern w:val="0"/>
                <w:szCs w:val="21"/>
              </w:rPr>
            </w:pPr>
          </w:p>
        </w:tc>
        <w:tc>
          <w:tcPr>
            <w:tcW w:w="1220" w:type="dxa"/>
            <w:tcBorders>
              <w:top w:val="single" w:color="auto" w:sz="8" w:space="0"/>
              <w:left w:val="single" w:color="auto" w:sz="8" w:space="0"/>
              <w:bottom w:val="single" w:color="auto" w:sz="8" w:space="0"/>
              <w:right w:val="single" w:color="auto" w:sz="8" w:space="0"/>
            </w:tcBorders>
            <w:noWrap w:val="0"/>
            <w:vAlign w:val="center"/>
          </w:tcPr>
          <w:p w14:paraId="3A3496AC">
            <w:pPr>
              <w:widowControl/>
              <w:jc w:val="left"/>
              <w:rPr>
                <w:rFonts w:ascii="宋体" w:hAnsi="宋体" w:cs="宋体"/>
                <w:color w:val="000000"/>
                <w:kern w:val="0"/>
                <w:szCs w:val="21"/>
              </w:rPr>
            </w:pPr>
          </w:p>
        </w:tc>
        <w:tc>
          <w:tcPr>
            <w:tcW w:w="1417" w:type="dxa"/>
            <w:tcBorders>
              <w:top w:val="single" w:color="auto" w:sz="8" w:space="0"/>
              <w:left w:val="nil"/>
              <w:bottom w:val="single" w:color="auto" w:sz="8" w:space="0"/>
              <w:right w:val="single" w:color="auto" w:sz="4" w:space="0"/>
            </w:tcBorders>
            <w:noWrap w:val="0"/>
            <w:vAlign w:val="center"/>
          </w:tcPr>
          <w:p w14:paraId="70BF8662">
            <w:pPr>
              <w:widowControl/>
              <w:jc w:val="center"/>
              <w:rPr>
                <w:rFonts w:ascii="宋体" w:hAnsi="宋体" w:cs="宋体"/>
                <w:color w:val="000000"/>
                <w:kern w:val="0"/>
                <w:szCs w:val="21"/>
              </w:rPr>
            </w:pPr>
          </w:p>
        </w:tc>
        <w:tc>
          <w:tcPr>
            <w:tcW w:w="1540" w:type="dxa"/>
            <w:tcBorders>
              <w:top w:val="single" w:color="auto" w:sz="8" w:space="0"/>
              <w:left w:val="single" w:color="auto" w:sz="4" w:space="0"/>
              <w:bottom w:val="single" w:color="auto" w:sz="8" w:space="0"/>
              <w:right w:val="single" w:color="auto" w:sz="8" w:space="0"/>
            </w:tcBorders>
            <w:noWrap w:val="0"/>
            <w:vAlign w:val="center"/>
          </w:tcPr>
          <w:p w14:paraId="6300A605">
            <w:pPr>
              <w:widowControl/>
              <w:jc w:val="left"/>
              <w:rPr>
                <w:rFonts w:ascii="宋体" w:hAnsi="宋体" w:cs="宋体"/>
                <w:color w:val="000000"/>
                <w:kern w:val="0"/>
                <w:szCs w:val="21"/>
              </w:rPr>
            </w:pPr>
          </w:p>
        </w:tc>
        <w:tc>
          <w:tcPr>
            <w:tcW w:w="1230" w:type="dxa"/>
            <w:tcBorders>
              <w:top w:val="single" w:color="auto" w:sz="8" w:space="0"/>
              <w:left w:val="nil"/>
              <w:bottom w:val="single" w:color="auto" w:sz="8" w:space="0"/>
              <w:right w:val="single" w:color="auto" w:sz="8" w:space="0"/>
            </w:tcBorders>
            <w:noWrap w:val="0"/>
            <w:vAlign w:val="center"/>
          </w:tcPr>
          <w:p w14:paraId="636CAE06">
            <w:pPr>
              <w:ind w:left="-420" w:leftChars="-200" w:firstLine="422" w:firstLineChars="200"/>
              <w:jc w:val="center"/>
              <w:rPr>
                <w:rFonts w:hint="eastAsia"/>
                <w:b/>
                <w:bCs/>
                <w:kern w:val="0"/>
                <w:szCs w:val="21"/>
              </w:rPr>
            </w:pPr>
          </w:p>
        </w:tc>
        <w:tc>
          <w:tcPr>
            <w:tcW w:w="1245" w:type="dxa"/>
            <w:tcBorders>
              <w:top w:val="single" w:color="auto" w:sz="8" w:space="0"/>
              <w:left w:val="nil"/>
              <w:bottom w:val="single" w:color="auto" w:sz="8" w:space="0"/>
              <w:right w:val="single" w:color="auto" w:sz="8" w:space="0"/>
            </w:tcBorders>
            <w:noWrap w:val="0"/>
            <w:vAlign w:val="center"/>
          </w:tcPr>
          <w:p w14:paraId="61708D30">
            <w:pPr>
              <w:widowControl/>
              <w:jc w:val="center"/>
              <w:rPr>
                <w:rFonts w:hint="eastAsia"/>
                <w:b/>
                <w:bCs/>
                <w:kern w:val="0"/>
                <w:szCs w:val="21"/>
              </w:rPr>
            </w:pPr>
          </w:p>
        </w:tc>
        <w:tc>
          <w:tcPr>
            <w:tcW w:w="1372" w:type="dxa"/>
            <w:tcBorders>
              <w:top w:val="single" w:color="auto" w:sz="8" w:space="0"/>
              <w:left w:val="nil"/>
              <w:bottom w:val="single" w:color="auto" w:sz="8" w:space="0"/>
              <w:right w:val="single" w:color="auto" w:sz="8" w:space="0"/>
            </w:tcBorders>
            <w:noWrap w:val="0"/>
            <w:vAlign w:val="center"/>
          </w:tcPr>
          <w:p w14:paraId="433495CA">
            <w:pPr>
              <w:snapToGrid w:val="0"/>
              <w:spacing w:before="50" w:after="50"/>
              <w:jc w:val="center"/>
              <w:rPr>
                <w:rFonts w:hint="eastAsia" w:ascii="宋体" w:hAnsi="宋体"/>
                <w:szCs w:val="21"/>
              </w:rPr>
            </w:pPr>
          </w:p>
        </w:tc>
      </w:tr>
      <w:tr w14:paraId="7343F090">
        <w:tblPrEx>
          <w:tblCellMar>
            <w:top w:w="0" w:type="dxa"/>
            <w:left w:w="108" w:type="dxa"/>
            <w:bottom w:w="0" w:type="dxa"/>
            <w:right w:w="108" w:type="dxa"/>
          </w:tblCellMar>
        </w:tblPrEx>
        <w:trPr>
          <w:trHeight w:val="968" w:hRule="atLeast"/>
          <w:jc w:val="center"/>
        </w:trPr>
        <w:tc>
          <w:tcPr>
            <w:tcW w:w="3300" w:type="dxa"/>
            <w:gridSpan w:val="3"/>
            <w:tcBorders>
              <w:top w:val="single" w:color="auto" w:sz="8" w:space="0"/>
              <w:left w:val="single" w:color="auto" w:sz="8" w:space="0"/>
              <w:bottom w:val="single" w:color="auto" w:sz="8" w:space="0"/>
              <w:right w:val="single" w:color="auto" w:sz="4" w:space="0"/>
            </w:tcBorders>
            <w:noWrap w:val="0"/>
            <w:vAlign w:val="center"/>
          </w:tcPr>
          <w:p w14:paraId="3D84AC75">
            <w:pPr>
              <w:widowControl/>
              <w:jc w:val="center"/>
              <w:rPr>
                <w:rFonts w:ascii="宋体" w:hAnsi="宋体" w:cs="宋体"/>
                <w:color w:val="000000"/>
                <w:kern w:val="0"/>
                <w:szCs w:val="21"/>
              </w:rPr>
            </w:pPr>
            <w:r>
              <w:rPr>
                <w:rFonts w:hint="eastAsia" w:ascii="宋体" w:hAnsi="宋体" w:cs="宋体"/>
                <w:color w:val="000000"/>
                <w:kern w:val="0"/>
                <w:szCs w:val="21"/>
              </w:rPr>
              <w:t>合同总价</w:t>
            </w:r>
          </w:p>
        </w:tc>
        <w:tc>
          <w:tcPr>
            <w:tcW w:w="5387" w:type="dxa"/>
            <w:gridSpan w:val="4"/>
            <w:tcBorders>
              <w:top w:val="single" w:color="auto" w:sz="8" w:space="0"/>
              <w:left w:val="single" w:color="auto" w:sz="4" w:space="0"/>
              <w:bottom w:val="single" w:color="auto" w:sz="8" w:space="0"/>
              <w:right w:val="single" w:color="auto" w:sz="8" w:space="0"/>
            </w:tcBorders>
            <w:noWrap w:val="0"/>
            <w:vAlign w:val="center"/>
          </w:tcPr>
          <w:p w14:paraId="2EFE649C">
            <w:pPr>
              <w:snapToGrid w:val="0"/>
              <w:spacing w:before="50" w:after="50"/>
              <w:jc w:val="left"/>
              <w:rPr>
                <w:rFonts w:hint="eastAsia" w:ascii="宋体" w:hAnsi="宋体"/>
                <w:szCs w:val="21"/>
              </w:rPr>
            </w:pPr>
            <w:r>
              <w:rPr>
                <w:rFonts w:hint="eastAsia" w:ascii="宋体" w:hAnsi="宋体"/>
                <w:szCs w:val="21"/>
              </w:rPr>
              <w:t xml:space="preserve">大写：        </w:t>
            </w:r>
          </w:p>
          <w:p w14:paraId="7C76E024">
            <w:pPr>
              <w:snapToGrid w:val="0"/>
              <w:spacing w:before="50" w:after="50"/>
              <w:jc w:val="left"/>
              <w:rPr>
                <w:rFonts w:hint="eastAsia" w:ascii="宋体" w:hAnsi="宋体"/>
                <w:szCs w:val="21"/>
              </w:rPr>
            </w:pPr>
            <w:r>
              <w:rPr>
                <w:rFonts w:hint="eastAsia" w:ascii="宋体" w:hAnsi="宋体"/>
                <w:szCs w:val="21"/>
              </w:rPr>
              <w:t xml:space="preserve">小写：    </w:t>
            </w:r>
          </w:p>
        </w:tc>
      </w:tr>
    </w:tbl>
    <w:p w14:paraId="234E408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三、合同金额</w:t>
      </w:r>
    </w:p>
    <w:p w14:paraId="089C6BE3">
      <w:pPr>
        <w:pStyle w:val="33"/>
        <w:snapToGrid w:val="0"/>
        <w:spacing w:line="360" w:lineRule="auto"/>
        <w:rPr>
          <w:rFonts w:hint="eastAsia" w:hAnsi="宋体" w:cs="Arial"/>
          <w:kern w:val="0"/>
          <w:sz w:val="24"/>
          <w:szCs w:val="24"/>
          <w:u w:val="single"/>
        </w:rPr>
      </w:pPr>
      <w:r>
        <w:rPr>
          <w:rFonts w:hint="eastAsia" w:hAnsi="宋体" w:cs="Arial"/>
          <w:kern w:val="0"/>
          <w:sz w:val="24"/>
          <w:szCs w:val="24"/>
        </w:rPr>
        <w:t>本合同金额为人民币（大写）：</w:t>
      </w:r>
      <w:r>
        <w:rPr>
          <w:rFonts w:hint="eastAsia" w:hAnsi="宋体" w:cs="Arial"/>
          <w:kern w:val="0"/>
          <w:sz w:val="24"/>
          <w:szCs w:val="24"/>
          <w:u w:val="single"/>
        </w:rPr>
        <w:t xml:space="preserve">              </w:t>
      </w:r>
      <w:r>
        <w:rPr>
          <w:rFonts w:hint="eastAsia" w:hAnsi="宋体" w:cs="Arial"/>
          <w:kern w:val="0"/>
          <w:sz w:val="24"/>
          <w:szCs w:val="24"/>
        </w:rPr>
        <w:t>（小写）:</w:t>
      </w:r>
      <w:r>
        <w:rPr>
          <w:rFonts w:hint="eastAsia" w:hAnsi="宋体" w:cs="Arial"/>
          <w:kern w:val="0"/>
          <w:sz w:val="24"/>
          <w:szCs w:val="24"/>
          <w:u w:val="single"/>
        </w:rPr>
        <w:t xml:space="preserve">            </w:t>
      </w:r>
    </w:p>
    <w:p w14:paraId="24CE4A1B">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四、技术资料</w:t>
      </w:r>
    </w:p>
    <w:p w14:paraId="52430B69">
      <w:pPr>
        <w:pStyle w:val="33"/>
        <w:snapToGrid w:val="0"/>
        <w:spacing w:line="360" w:lineRule="auto"/>
        <w:rPr>
          <w:rFonts w:hint="eastAsia" w:hAnsi="宋体" w:cs="Arial"/>
          <w:kern w:val="0"/>
          <w:sz w:val="24"/>
          <w:szCs w:val="24"/>
        </w:rPr>
      </w:pPr>
      <w:r>
        <w:rPr>
          <w:rFonts w:hint="eastAsia" w:hAnsi="宋体" w:cs="Arial"/>
          <w:kern w:val="0"/>
          <w:sz w:val="24"/>
          <w:szCs w:val="24"/>
        </w:rPr>
        <w:t>1.乙方应按投标文件规定的时间向甲方提供使用货物的有关技术资料。</w:t>
      </w:r>
    </w:p>
    <w:p w14:paraId="5F4BF214">
      <w:pPr>
        <w:pStyle w:val="33"/>
        <w:snapToGrid w:val="0"/>
        <w:spacing w:line="360" w:lineRule="auto"/>
        <w:rPr>
          <w:rFonts w:hint="eastAsia" w:hAnsi="宋体" w:cs="Arial"/>
          <w:kern w:val="0"/>
          <w:sz w:val="24"/>
          <w:szCs w:val="24"/>
        </w:rPr>
      </w:pPr>
      <w:r>
        <w:rPr>
          <w:rFonts w:hint="eastAsia" w:hAnsi="宋体" w:cs="Arial"/>
          <w:kern w:val="0"/>
          <w:sz w:val="24"/>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F6DE90C">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五、知识产权</w:t>
      </w:r>
    </w:p>
    <w:p w14:paraId="695D983D">
      <w:pPr>
        <w:pStyle w:val="33"/>
        <w:snapToGrid w:val="0"/>
        <w:spacing w:line="360" w:lineRule="auto"/>
        <w:rPr>
          <w:rFonts w:hint="eastAsia" w:hAnsi="宋体" w:cs="Arial"/>
          <w:kern w:val="0"/>
          <w:sz w:val="24"/>
          <w:szCs w:val="24"/>
        </w:rPr>
      </w:pPr>
      <w:r>
        <w:rPr>
          <w:rFonts w:hint="eastAsia" w:hAnsi="宋体" w:cs="Arial"/>
          <w:kern w:val="0"/>
          <w:sz w:val="24"/>
          <w:szCs w:val="24"/>
        </w:rPr>
        <w:t>乙方应保证所提供的货物或其任何一部分均不会侵犯任何第三方的知识产权。</w:t>
      </w:r>
    </w:p>
    <w:p w14:paraId="1A78471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六、产权担保</w:t>
      </w:r>
    </w:p>
    <w:p w14:paraId="29D738D2">
      <w:pPr>
        <w:pStyle w:val="33"/>
        <w:snapToGrid w:val="0"/>
        <w:spacing w:line="360" w:lineRule="auto"/>
        <w:rPr>
          <w:rFonts w:hint="eastAsia" w:hAnsi="宋体" w:cs="Arial"/>
          <w:kern w:val="0"/>
          <w:sz w:val="24"/>
          <w:szCs w:val="24"/>
        </w:rPr>
      </w:pPr>
      <w:r>
        <w:rPr>
          <w:rFonts w:hint="eastAsia" w:hAnsi="宋体" w:cs="Arial"/>
          <w:kern w:val="0"/>
          <w:sz w:val="24"/>
          <w:szCs w:val="24"/>
        </w:rPr>
        <w:t>乙方保证所交付的货物的所有权完全属于乙方且无任何抵押、查封等产权瑕疵。</w:t>
      </w:r>
    </w:p>
    <w:p w14:paraId="5882A6F8">
      <w:pPr>
        <w:pStyle w:val="33"/>
        <w:snapToGrid w:val="0"/>
        <w:spacing w:line="360" w:lineRule="auto"/>
        <w:rPr>
          <w:rFonts w:hint="eastAsia" w:ascii="Times New Roman" w:hAnsi="Times New Roman" w:eastAsia="宋体"/>
          <w:b/>
          <w:sz w:val="28"/>
          <w:szCs w:val="28"/>
          <w:lang w:eastAsia="zh-CN"/>
        </w:rPr>
      </w:pPr>
      <w:r>
        <w:rPr>
          <w:rFonts w:hint="eastAsia" w:ascii="Times New Roman" w:hAnsi="Times New Roman"/>
          <w:b/>
          <w:sz w:val="28"/>
          <w:szCs w:val="28"/>
        </w:rPr>
        <w:t>七、履约保证金</w:t>
      </w:r>
      <w:r>
        <w:rPr>
          <w:rFonts w:hint="eastAsia" w:ascii="Times New Roman" w:hAnsi="Times New Roman"/>
          <w:b/>
          <w:sz w:val="28"/>
          <w:szCs w:val="28"/>
          <w:lang w:eastAsia="zh-CN"/>
        </w:rPr>
        <w:t>：无</w:t>
      </w:r>
    </w:p>
    <w:p w14:paraId="3470AB34">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八、转包或分包</w:t>
      </w:r>
    </w:p>
    <w:p w14:paraId="518D7635">
      <w:pPr>
        <w:pStyle w:val="33"/>
        <w:snapToGrid w:val="0"/>
        <w:spacing w:line="360" w:lineRule="auto"/>
        <w:rPr>
          <w:rFonts w:hint="eastAsia" w:hAnsi="宋体" w:cs="Arial"/>
          <w:kern w:val="0"/>
          <w:sz w:val="24"/>
          <w:szCs w:val="24"/>
        </w:rPr>
      </w:pPr>
      <w:r>
        <w:rPr>
          <w:rFonts w:hint="eastAsia" w:hAnsi="宋体" w:cs="Arial"/>
          <w:kern w:val="0"/>
          <w:sz w:val="24"/>
          <w:szCs w:val="24"/>
        </w:rPr>
        <w:t>1.本合同范围内的货物，应由乙方直接供应，不得转包他人供应。</w:t>
      </w:r>
    </w:p>
    <w:p w14:paraId="11DC6E3A">
      <w:pPr>
        <w:pStyle w:val="33"/>
        <w:snapToGrid w:val="0"/>
        <w:spacing w:line="360" w:lineRule="auto"/>
        <w:rPr>
          <w:rFonts w:hint="eastAsia" w:hAnsi="宋体" w:cs="Arial"/>
          <w:kern w:val="0"/>
          <w:sz w:val="24"/>
          <w:szCs w:val="24"/>
        </w:rPr>
      </w:pPr>
      <w:r>
        <w:rPr>
          <w:rFonts w:hint="eastAsia" w:hAnsi="宋体" w:cs="Arial"/>
          <w:kern w:val="0"/>
          <w:sz w:val="24"/>
          <w:szCs w:val="24"/>
        </w:rPr>
        <w:t>2.乙方不得部分分包给他人供应，除非得到甲方的书面同意。</w:t>
      </w:r>
    </w:p>
    <w:p w14:paraId="4D6E62AE">
      <w:pPr>
        <w:pStyle w:val="33"/>
        <w:snapToGrid w:val="0"/>
        <w:spacing w:line="360" w:lineRule="auto"/>
        <w:rPr>
          <w:rFonts w:hint="eastAsia" w:hAnsi="宋体" w:cs="Arial"/>
          <w:kern w:val="0"/>
          <w:sz w:val="24"/>
          <w:szCs w:val="24"/>
        </w:rPr>
      </w:pPr>
      <w:r>
        <w:rPr>
          <w:rFonts w:hint="eastAsia" w:hAnsi="宋体" w:cs="Arial"/>
          <w:kern w:val="0"/>
          <w:sz w:val="24"/>
          <w:szCs w:val="24"/>
        </w:rPr>
        <w:t>3.如有转让和未经甲方同意的分包行为，甲方有权单方面解除合同，没收履约保证金并追究乙方的违约责任。</w:t>
      </w:r>
    </w:p>
    <w:p w14:paraId="3F4AE5C9">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九、质保期</w:t>
      </w:r>
    </w:p>
    <w:p w14:paraId="012DBA20">
      <w:pPr>
        <w:pStyle w:val="33"/>
        <w:snapToGrid w:val="0"/>
        <w:spacing w:line="360" w:lineRule="auto"/>
        <w:rPr>
          <w:rFonts w:hint="eastAsia" w:hAnsi="宋体" w:cs="Arial"/>
          <w:kern w:val="0"/>
          <w:sz w:val="24"/>
          <w:szCs w:val="24"/>
        </w:rPr>
      </w:pPr>
      <w:r>
        <w:rPr>
          <w:rFonts w:hint="eastAsia" w:hAnsi="宋体" w:cs="Arial"/>
          <w:kern w:val="0"/>
          <w:sz w:val="24"/>
          <w:szCs w:val="24"/>
        </w:rPr>
        <w:t>1.质保期（自最终验收合格之日起计算）：</w:t>
      </w:r>
      <w:r>
        <w:rPr>
          <w:rFonts w:hint="eastAsia" w:hAnsi="宋体" w:cs="Arial"/>
          <w:kern w:val="0"/>
          <w:sz w:val="24"/>
          <w:szCs w:val="24"/>
          <w:lang w:val="en-US" w:eastAsia="zh-CN"/>
        </w:rPr>
        <w:t>设备质保期</w:t>
      </w:r>
      <w:r>
        <w:rPr>
          <w:rFonts w:hint="eastAsia" w:hAnsi="宋体" w:cs="Arial"/>
          <w:kern w:val="0"/>
          <w:sz w:val="24"/>
          <w:szCs w:val="24"/>
          <w:u w:val="single"/>
        </w:rPr>
        <w:t xml:space="preserve"> </w:t>
      </w:r>
      <w:r>
        <w:rPr>
          <w:rFonts w:hint="eastAsia" w:hAnsi="宋体" w:cs="Arial"/>
          <w:kern w:val="0"/>
          <w:sz w:val="24"/>
          <w:szCs w:val="24"/>
          <w:u w:val="single"/>
          <w:lang w:val="en-US" w:eastAsia="zh-CN"/>
        </w:rPr>
        <w:t>6</w:t>
      </w:r>
      <w:r>
        <w:rPr>
          <w:rFonts w:hint="eastAsia" w:hAnsi="宋体" w:cs="Arial"/>
          <w:kern w:val="0"/>
          <w:sz w:val="24"/>
          <w:szCs w:val="24"/>
          <w:u w:val="single"/>
        </w:rPr>
        <w:t xml:space="preserve"> </w:t>
      </w:r>
      <w:r>
        <w:rPr>
          <w:rFonts w:hint="eastAsia" w:hAnsi="宋体" w:cs="Arial"/>
          <w:kern w:val="0"/>
          <w:sz w:val="24"/>
          <w:szCs w:val="24"/>
        </w:rPr>
        <w:t>年</w:t>
      </w:r>
      <w:r>
        <w:rPr>
          <w:rFonts w:hint="eastAsia" w:hAnsi="宋体" w:cs="Arial"/>
          <w:kern w:val="0"/>
          <w:sz w:val="24"/>
          <w:szCs w:val="24"/>
          <w:lang w:eastAsia="zh-CN"/>
        </w:rPr>
        <w:t>；</w:t>
      </w:r>
      <w:r>
        <w:rPr>
          <w:rFonts w:hint="eastAsia" w:hAnsi="宋体" w:cs="Arial"/>
          <w:kern w:val="0"/>
          <w:sz w:val="24"/>
          <w:szCs w:val="24"/>
          <w:lang w:val="en-US" w:eastAsia="zh-CN"/>
        </w:rPr>
        <w:t>装修材料质保期</w:t>
      </w:r>
      <w:r>
        <w:rPr>
          <w:rFonts w:hint="eastAsia" w:hAnsi="宋体" w:cs="Arial"/>
          <w:kern w:val="0"/>
          <w:sz w:val="24"/>
          <w:szCs w:val="24"/>
          <w:u w:val="single"/>
          <w:lang w:val="en-US" w:eastAsia="zh-CN"/>
        </w:rPr>
        <w:t xml:space="preserve"> 2</w:t>
      </w:r>
      <w:r>
        <w:rPr>
          <w:rFonts w:hint="eastAsia" w:hAnsi="宋体" w:cs="Arial"/>
          <w:kern w:val="0"/>
          <w:sz w:val="24"/>
          <w:szCs w:val="24"/>
          <w:lang w:val="en-US" w:eastAsia="zh-CN"/>
        </w:rPr>
        <w:t>年</w:t>
      </w:r>
      <w:r>
        <w:rPr>
          <w:rFonts w:hint="eastAsia" w:hAnsi="宋体" w:cs="Arial"/>
          <w:kern w:val="0"/>
          <w:sz w:val="24"/>
          <w:szCs w:val="24"/>
        </w:rPr>
        <w:t>。</w:t>
      </w:r>
    </w:p>
    <w:p w14:paraId="3FFBCC24">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十、交货期及交货地点</w:t>
      </w:r>
    </w:p>
    <w:p w14:paraId="7CF62996">
      <w:pPr>
        <w:pStyle w:val="33"/>
        <w:snapToGrid w:val="0"/>
        <w:spacing w:line="360" w:lineRule="auto"/>
        <w:rPr>
          <w:rFonts w:hint="eastAsia" w:hAnsi="宋体" w:cs="Arial"/>
          <w:kern w:val="0"/>
          <w:sz w:val="24"/>
          <w:szCs w:val="24"/>
        </w:rPr>
      </w:pPr>
      <w:r>
        <w:rPr>
          <w:rFonts w:hint="eastAsia" w:hAnsi="宋体" w:cs="Arial"/>
          <w:kern w:val="0"/>
          <w:sz w:val="24"/>
          <w:szCs w:val="24"/>
        </w:rPr>
        <w:t>1. 交货期：在合同签订后</w:t>
      </w:r>
      <w:r>
        <w:rPr>
          <w:rFonts w:hint="eastAsia" w:hAnsi="宋体" w:cs="Arial"/>
          <w:kern w:val="0"/>
          <w:sz w:val="24"/>
          <w:szCs w:val="24"/>
          <w:u w:val="single"/>
        </w:rPr>
        <w:t xml:space="preserve">      </w:t>
      </w:r>
      <w:r>
        <w:rPr>
          <w:rFonts w:hint="eastAsia" w:hAnsi="宋体" w:cs="Arial"/>
          <w:kern w:val="0"/>
          <w:sz w:val="24"/>
          <w:szCs w:val="24"/>
        </w:rPr>
        <w:t>日内完成交货、安装调试并交付甲方最终验收。</w:t>
      </w:r>
    </w:p>
    <w:p w14:paraId="6FBA07E2">
      <w:pPr>
        <w:pStyle w:val="33"/>
        <w:snapToGrid w:val="0"/>
        <w:spacing w:line="360" w:lineRule="auto"/>
        <w:rPr>
          <w:rFonts w:hint="eastAsia" w:hAnsi="宋体" w:cs="Arial"/>
          <w:kern w:val="0"/>
          <w:sz w:val="24"/>
          <w:szCs w:val="24"/>
        </w:rPr>
      </w:pPr>
      <w:r>
        <w:rPr>
          <w:rFonts w:hint="eastAsia" w:hAnsi="宋体" w:cs="Arial"/>
          <w:kern w:val="0"/>
          <w:sz w:val="24"/>
          <w:szCs w:val="24"/>
        </w:rPr>
        <w:t>2. 交货地点：</w:t>
      </w:r>
      <w:r>
        <w:rPr>
          <w:rFonts w:hint="eastAsia" w:hAnsi="宋体" w:cs="Arial"/>
          <w:kern w:val="0"/>
          <w:sz w:val="24"/>
          <w:szCs w:val="24"/>
          <w:u w:val="single"/>
        </w:rPr>
        <w:t xml:space="preserve">      </w:t>
      </w:r>
      <w:r>
        <w:rPr>
          <w:rFonts w:hint="eastAsia" w:hAnsi="宋体" w:cs="Arial"/>
          <w:kern w:val="0"/>
          <w:sz w:val="24"/>
          <w:szCs w:val="24"/>
        </w:rPr>
        <w:t>（具体地点由甲方项目负责人指定）。</w:t>
      </w:r>
    </w:p>
    <w:p w14:paraId="3CF1033B">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十一、货款支付</w:t>
      </w:r>
    </w:p>
    <w:p w14:paraId="2A8DAAA3">
      <w:pPr>
        <w:rPr>
          <w:rFonts w:hint="eastAsia"/>
          <w:b/>
          <w:sz w:val="24"/>
          <w:szCs w:val="24"/>
        </w:rPr>
      </w:pPr>
      <w:r>
        <w:rPr>
          <w:rFonts w:hint="eastAsia" w:hAnsi="宋体" w:cs="Arial"/>
          <w:kern w:val="0"/>
          <w:sz w:val="24"/>
          <w:szCs w:val="24"/>
        </w:rPr>
        <w:t>1.</w:t>
      </w:r>
      <w:r>
        <w:rPr>
          <w:rFonts w:hint="eastAsia"/>
          <w:b/>
          <w:sz w:val="24"/>
          <w:szCs w:val="24"/>
        </w:rPr>
        <w:t>付款方式：</w:t>
      </w:r>
    </w:p>
    <w:p w14:paraId="729E53D2">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lang w:val="en-US" w:eastAsia="zh-CN"/>
        </w:rPr>
        <w:t>1</w:t>
      </w:r>
      <w:r>
        <w:rPr>
          <w:rFonts w:hint="eastAsia" w:hAnsi="宋体" w:cs="Arial"/>
          <w:color w:val="000000"/>
          <w:kern w:val="0"/>
          <w:sz w:val="24"/>
          <w:szCs w:val="24"/>
        </w:rPr>
        <w:t>、合同</w:t>
      </w:r>
      <w:r>
        <w:rPr>
          <w:rFonts w:hint="eastAsia" w:hAnsi="宋体" w:cs="Arial"/>
          <w:color w:val="000000"/>
          <w:kern w:val="0"/>
          <w:sz w:val="24"/>
          <w:szCs w:val="24"/>
          <w:lang w:val="en-US" w:eastAsia="zh-CN"/>
        </w:rPr>
        <w:t>签订</w:t>
      </w:r>
      <w:r>
        <w:rPr>
          <w:rFonts w:hint="eastAsia" w:hAnsi="宋体" w:cs="Arial"/>
          <w:color w:val="000000"/>
          <w:kern w:val="0"/>
          <w:sz w:val="24"/>
          <w:szCs w:val="24"/>
        </w:rPr>
        <w:t>后支付合同价的</w:t>
      </w:r>
      <w:r>
        <w:rPr>
          <w:rFonts w:hint="eastAsia" w:hAnsi="宋体" w:cs="Arial"/>
          <w:color w:val="000000"/>
          <w:kern w:val="0"/>
          <w:sz w:val="24"/>
          <w:szCs w:val="24"/>
          <w:lang w:val="en-US" w:eastAsia="zh-CN"/>
        </w:rPr>
        <w:t>4</w:t>
      </w:r>
      <w:r>
        <w:rPr>
          <w:rFonts w:hint="eastAsia" w:hAnsi="宋体" w:cs="Arial"/>
          <w:color w:val="000000"/>
          <w:kern w:val="0"/>
          <w:sz w:val="24"/>
          <w:szCs w:val="24"/>
        </w:rPr>
        <w:t>0%作为预付款；</w:t>
      </w:r>
    </w:p>
    <w:p w14:paraId="12C43A6B">
      <w:pPr>
        <w:pStyle w:val="33"/>
        <w:snapToGrid w:val="0"/>
        <w:spacing w:line="360" w:lineRule="auto"/>
        <w:rPr>
          <w:rFonts w:hint="eastAsia" w:hAnsi="宋体" w:cs="Arial"/>
          <w:color w:val="000000"/>
          <w:kern w:val="0"/>
          <w:sz w:val="24"/>
          <w:szCs w:val="24"/>
          <w:lang w:val="en-US" w:eastAsia="zh-CN"/>
        </w:rPr>
      </w:pPr>
      <w:r>
        <w:rPr>
          <w:rFonts w:hint="eastAsia" w:hAnsi="宋体" w:cs="Arial"/>
          <w:color w:val="000000"/>
          <w:kern w:val="0"/>
          <w:sz w:val="24"/>
          <w:szCs w:val="24"/>
          <w:lang w:val="en-US" w:eastAsia="zh-CN"/>
        </w:rPr>
        <w:t>2</w:t>
      </w:r>
      <w:r>
        <w:rPr>
          <w:rFonts w:hint="eastAsia" w:hAnsi="宋体" w:cs="Arial"/>
          <w:color w:val="000000"/>
          <w:kern w:val="0"/>
          <w:sz w:val="24"/>
          <w:szCs w:val="24"/>
        </w:rPr>
        <w:t>、全部安装完毕且验收合格后1个月内，支付至合同价的</w:t>
      </w:r>
      <w:r>
        <w:rPr>
          <w:rFonts w:hint="eastAsia" w:hAnsi="宋体" w:cs="Arial"/>
          <w:color w:val="000000"/>
          <w:kern w:val="0"/>
          <w:sz w:val="24"/>
          <w:szCs w:val="24"/>
          <w:lang w:val="en-US" w:eastAsia="zh-CN"/>
        </w:rPr>
        <w:t>100</w:t>
      </w:r>
      <w:r>
        <w:rPr>
          <w:rFonts w:hint="eastAsia" w:hAnsi="宋体" w:cs="Arial"/>
          <w:color w:val="000000"/>
          <w:kern w:val="0"/>
          <w:sz w:val="24"/>
          <w:szCs w:val="24"/>
        </w:rPr>
        <w:t>%</w:t>
      </w:r>
      <w:r>
        <w:rPr>
          <w:rFonts w:hint="eastAsia" w:hAnsi="宋体" w:cs="Arial"/>
          <w:color w:val="000000"/>
          <w:kern w:val="0"/>
          <w:sz w:val="24"/>
          <w:szCs w:val="24"/>
          <w:lang w:val="en-US" w:eastAsia="zh-CN"/>
        </w:rPr>
        <w:t>。</w:t>
      </w:r>
    </w:p>
    <w:p w14:paraId="616D0E42">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十二、税</w:t>
      </w:r>
    </w:p>
    <w:p w14:paraId="2B682426">
      <w:pPr>
        <w:pStyle w:val="33"/>
        <w:snapToGrid w:val="0"/>
        <w:spacing w:line="360" w:lineRule="auto"/>
        <w:rPr>
          <w:rFonts w:hint="eastAsia" w:hAnsi="宋体" w:cs="Arial"/>
          <w:kern w:val="0"/>
          <w:sz w:val="24"/>
          <w:szCs w:val="24"/>
        </w:rPr>
      </w:pPr>
      <w:r>
        <w:rPr>
          <w:rFonts w:hint="eastAsia" w:hAnsi="宋体" w:cs="Arial"/>
          <w:kern w:val="0"/>
          <w:sz w:val="24"/>
          <w:szCs w:val="24"/>
        </w:rPr>
        <w:t>本合同执行中相关的一切税费均由乙方负担。</w:t>
      </w:r>
    </w:p>
    <w:p w14:paraId="062AEE4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十三、质量保证及售后服务</w:t>
      </w:r>
    </w:p>
    <w:p w14:paraId="460D2355">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1.乙方应按招标文件、投标文件规定的货物性能、技术要求、质量标准向甲方提供未经使用的全新合格产品。合同、</w:t>
      </w:r>
      <w:r>
        <w:rPr>
          <w:rFonts w:hint="eastAsia"/>
          <w:color w:val="000000"/>
          <w:sz w:val="24"/>
          <w:szCs w:val="24"/>
        </w:rPr>
        <w:t>招标文件、投标文件、国家相关标准对同一产品的性能、技术要求、质量标准约定不一致的，以要求高者为准。</w:t>
      </w:r>
    </w:p>
    <w:p w14:paraId="582C9A1B">
      <w:pPr>
        <w:pStyle w:val="33"/>
        <w:snapToGrid w:val="0"/>
        <w:spacing w:line="360" w:lineRule="auto"/>
        <w:rPr>
          <w:rFonts w:hint="eastAsia" w:hAnsi="宋体" w:cs="Arial"/>
          <w:kern w:val="0"/>
          <w:sz w:val="24"/>
          <w:szCs w:val="24"/>
        </w:rPr>
      </w:pPr>
      <w:r>
        <w:rPr>
          <w:rFonts w:hint="eastAsia" w:hAnsi="宋体" w:cs="Arial"/>
          <w:kern w:val="0"/>
          <w:sz w:val="24"/>
          <w:szCs w:val="24"/>
        </w:rPr>
        <w:t>2.乙方提供的货物在质保期内因货物本身的质量问题发生故障，乙方应负责在故障发生后</w:t>
      </w:r>
      <w:r>
        <w:rPr>
          <w:rFonts w:hint="eastAsia" w:hAnsi="宋体" w:cs="Arial"/>
          <w:kern w:val="0"/>
          <w:sz w:val="24"/>
          <w:szCs w:val="24"/>
          <w:u w:val="single"/>
        </w:rPr>
        <w:t xml:space="preserve">       </w:t>
      </w:r>
      <w:r>
        <w:rPr>
          <w:rFonts w:hint="eastAsia" w:hAnsi="宋体" w:cs="Arial"/>
          <w:kern w:val="0"/>
          <w:sz w:val="24"/>
          <w:szCs w:val="24"/>
        </w:rPr>
        <w:t>个工作日内免费更换。对达不到技术要求者，根据实际情况，甲方有权选择按以下任一办法处理：</w:t>
      </w:r>
    </w:p>
    <w:p w14:paraId="504AA135">
      <w:pPr>
        <w:pStyle w:val="33"/>
        <w:snapToGrid w:val="0"/>
        <w:spacing w:line="360" w:lineRule="auto"/>
        <w:rPr>
          <w:rFonts w:hint="eastAsia" w:hAnsi="宋体" w:cs="Arial"/>
          <w:kern w:val="0"/>
          <w:sz w:val="24"/>
          <w:szCs w:val="24"/>
        </w:rPr>
      </w:pPr>
      <w:r>
        <w:rPr>
          <w:rFonts w:hint="eastAsia" w:hAnsi="宋体" w:cs="Arial"/>
          <w:kern w:val="0"/>
          <w:sz w:val="24"/>
          <w:szCs w:val="24"/>
        </w:rPr>
        <w:t>（1）更换：由乙方承担所发生的全部费用；</w:t>
      </w:r>
    </w:p>
    <w:p w14:paraId="389349C8">
      <w:pPr>
        <w:pStyle w:val="33"/>
        <w:snapToGrid w:val="0"/>
        <w:spacing w:line="360" w:lineRule="auto"/>
        <w:rPr>
          <w:rFonts w:hint="eastAsia" w:hAnsi="宋体" w:cs="Arial"/>
          <w:kern w:val="0"/>
          <w:sz w:val="24"/>
          <w:szCs w:val="24"/>
        </w:rPr>
      </w:pPr>
      <w:r>
        <w:rPr>
          <w:rFonts w:hint="eastAsia" w:hAnsi="宋体" w:cs="Arial"/>
          <w:kern w:val="0"/>
          <w:sz w:val="24"/>
          <w:szCs w:val="24"/>
        </w:rPr>
        <w:t>（2）贬值处理：由甲乙双方合议定价，无法合议时由甲方定价；</w:t>
      </w:r>
    </w:p>
    <w:p w14:paraId="746061A5">
      <w:pPr>
        <w:pStyle w:val="33"/>
        <w:snapToGrid w:val="0"/>
        <w:spacing w:line="360" w:lineRule="auto"/>
        <w:rPr>
          <w:rFonts w:hint="eastAsia" w:hAnsi="宋体" w:cs="Arial"/>
          <w:kern w:val="0"/>
          <w:sz w:val="24"/>
          <w:szCs w:val="24"/>
        </w:rPr>
      </w:pPr>
      <w:r>
        <w:rPr>
          <w:rFonts w:hint="eastAsia" w:hAnsi="宋体" w:cs="Arial"/>
          <w:kern w:val="0"/>
          <w:sz w:val="24"/>
          <w:szCs w:val="24"/>
        </w:rPr>
        <w:t>（3）退货处理：乙方应退还甲方支付的合同款，同时应承担该货物的直接费用（运输、保险、检验、货款利息及银行手续费等）。</w:t>
      </w:r>
    </w:p>
    <w:p w14:paraId="58510AEA">
      <w:pPr>
        <w:pStyle w:val="33"/>
        <w:snapToGrid w:val="0"/>
        <w:spacing w:line="360" w:lineRule="auto"/>
        <w:rPr>
          <w:rFonts w:hint="eastAsia" w:hAnsi="宋体" w:cs="Arial"/>
          <w:kern w:val="0"/>
          <w:sz w:val="24"/>
          <w:szCs w:val="24"/>
        </w:rPr>
      </w:pPr>
      <w:r>
        <w:rPr>
          <w:rFonts w:hint="eastAsia" w:hAnsi="宋体" w:cs="Arial"/>
          <w:kern w:val="0"/>
          <w:sz w:val="24"/>
          <w:szCs w:val="24"/>
        </w:rPr>
        <w:t>3.如在使用过程中发生质量问题，24小时维修电话</w:t>
      </w:r>
      <w:r>
        <w:rPr>
          <w:rFonts w:hint="eastAsia" w:hAnsi="宋体" w:cs="Arial"/>
          <w:kern w:val="0"/>
          <w:sz w:val="24"/>
          <w:szCs w:val="24"/>
          <w:u w:val="single"/>
        </w:rPr>
        <w:t xml:space="preserve">              </w:t>
      </w:r>
      <w:r>
        <w:rPr>
          <w:rFonts w:hint="eastAsia" w:hAnsi="宋体" w:cs="Arial"/>
          <w:kern w:val="0"/>
          <w:sz w:val="24"/>
          <w:szCs w:val="24"/>
        </w:rPr>
        <w:t>，乙方接到甲方通知后2小时内响应，24小时内提出解决方案。如需上门维修则应在接到甲方通知后 2 小时内派出维修人员到达现场进行服务。如维修时间超过1周，乙方免费提供备件及备品服务（具体根据招标文件或投标承诺）。</w:t>
      </w:r>
    </w:p>
    <w:p w14:paraId="3F6DD983">
      <w:pPr>
        <w:pStyle w:val="33"/>
        <w:snapToGrid w:val="0"/>
        <w:spacing w:line="360" w:lineRule="auto"/>
        <w:rPr>
          <w:rFonts w:hint="eastAsia" w:hAnsi="宋体" w:cs="Arial"/>
          <w:kern w:val="0"/>
          <w:sz w:val="24"/>
          <w:szCs w:val="24"/>
        </w:rPr>
      </w:pPr>
      <w:r>
        <w:rPr>
          <w:rFonts w:hint="eastAsia" w:hAnsi="宋体" w:cs="Arial"/>
          <w:kern w:val="0"/>
          <w:sz w:val="24"/>
          <w:szCs w:val="24"/>
        </w:rPr>
        <w:t>4.在质保期内，乙方应对货物出现的质量及安全问题负责处理解决并承担一切费用。因人为因素出现的故障不在质保范围内。超过质保期的机器设备，乙方负责终身维修，维修时只收部件成本费。</w:t>
      </w:r>
    </w:p>
    <w:p w14:paraId="17331A0D">
      <w:pPr>
        <w:pStyle w:val="33"/>
        <w:snapToGrid w:val="0"/>
        <w:spacing w:line="360" w:lineRule="auto"/>
        <w:rPr>
          <w:rFonts w:hint="eastAsia" w:hAnsi="宋体" w:cs="Arial"/>
          <w:kern w:val="0"/>
          <w:sz w:val="24"/>
          <w:szCs w:val="24"/>
        </w:rPr>
      </w:pPr>
      <w:r>
        <w:rPr>
          <w:rFonts w:hint="eastAsia" w:hAnsi="宋体" w:cs="Arial"/>
          <w:kern w:val="0"/>
          <w:sz w:val="24"/>
          <w:szCs w:val="24"/>
        </w:rPr>
        <w:t>5.乙方应保证所提供的软件为原厂正品。</w:t>
      </w:r>
    </w:p>
    <w:p w14:paraId="52A90E7A">
      <w:pPr>
        <w:pStyle w:val="33"/>
        <w:snapToGrid w:val="0"/>
        <w:spacing w:line="360" w:lineRule="auto"/>
        <w:rPr>
          <w:rFonts w:hint="eastAsia" w:hAnsi="宋体" w:cs="Arial"/>
          <w:kern w:val="0"/>
          <w:sz w:val="24"/>
          <w:szCs w:val="24"/>
        </w:rPr>
      </w:pPr>
      <w:r>
        <w:rPr>
          <w:rFonts w:hint="eastAsia" w:hAnsi="宋体" w:cs="Arial"/>
          <w:kern w:val="0"/>
          <w:sz w:val="24"/>
          <w:szCs w:val="24"/>
        </w:rPr>
        <w:t>6.乙方负责对甲方人员进行仪器设备使用、维护、保养的培训，直至甲方人员熟练掌握使用、维护、保养技巧，培训费用由乙方承担。</w:t>
      </w:r>
    </w:p>
    <w:p w14:paraId="650F1516">
      <w:pPr>
        <w:pStyle w:val="33"/>
        <w:snapToGrid w:val="0"/>
        <w:spacing w:line="360" w:lineRule="auto"/>
        <w:rPr>
          <w:rFonts w:hint="eastAsia" w:hAnsi="宋体" w:cs="Arial"/>
          <w:kern w:val="0"/>
          <w:sz w:val="24"/>
          <w:szCs w:val="24"/>
        </w:rPr>
      </w:pPr>
      <w:r>
        <w:rPr>
          <w:rFonts w:hint="eastAsia" w:hAnsi="宋体" w:cs="Arial"/>
          <w:kern w:val="0"/>
          <w:sz w:val="24"/>
          <w:szCs w:val="24"/>
        </w:rPr>
        <w:t>7.仪器设备投入正常运行后，乙方应定期回访甲方。</w:t>
      </w:r>
    </w:p>
    <w:p w14:paraId="3A78E4DF">
      <w:pPr>
        <w:pStyle w:val="33"/>
        <w:snapToGrid w:val="0"/>
        <w:spacing w:line="360" w:lineRule="auto"/>
        <w:rPr>
          <w:rFonts w:hint="eastAsia" w:hAnsi="宋体" w:cs="Arial"/>
          <w:kern w:val="0"/>
          <w:sz w:val="24"/>
          <w:szCs w:val="24"/>
        </w:rPr>
      </w:pPr>
      <w:r>
        <w:rPr>
          <w:rFonts w:hint="eastAsia" w:hAnsi="宋体" w:cs="Arial"/>
          <w:kern w:val="0"/>
          <w:sz w:val="24"/>
          <w:szCs w:val="24"/>
        </w:rPr>
        <w:t>8.乙方承诺完全知悉、理解甲方现场以及需求，因产品不能符合甲方软硬件环境导致产品无法实现合同目的，责任由乙方承担，甲方有权单方面解除合同。</w:t>
      </w:r>
    </w:p>
    <w:p w14:paraId="4F810543">
      <w:pPr>
        <w:pStyle w:val="33"/>
        <w:snapToGrid w:val="0"/>
        <w:spacing w:line="360" w:lineRule="auto"/>
        <w:rPr>
          <w:rFonts w:hint="eastAsia" w:ascii="Times New Roman" w:hAnsi="Times New Roman"/>
          <w:b/>
          <w:sz w:val="24"/>
          <w:szCs w:val="24"/>
        </w:rPr>
      </w:pPr>
      <w:r>
        <w:rPr>
          <w:rFonts w:hint="eastAsia" w:hAnsi="宋体" w:cs="Arial"/>
          <w:kern w:val="0"/>
          <w:sz w:val="24"/>
          <w:szCs w:val="24"/>
        </w:rPr>
        <w:t xml:space="preserve">9.其他售后服务内容： </w:t>
      </w:r>
      <w:r>
        <w:rPr>
          <w:rFonts w:hint="eastAsia" w:hAnsi="宋体" w:cs="Arial"/>
          <w:kern w:val="0"/>
          <w:sz w:val="24"/>
          <w:szCs w:val="24"/>
          <w:u w:val="single"/>
        </w:rPr>
        <w:t xml:space="preserve">     按照招标文件规定执行(如有其它，可添加) </w:t>
      </w:r>
    </w:p>
    <w:p w14:paraId="7DF490FD">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十四、调试和验收</w:t>
      </w:r>
    </w:p>
    <w:p w14:paraId="3107FCC3">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1.甲方对乙方提交的货物依据招标文件、投标文件上的技术规格要求和国家有关质量标准（合同、</w:t>
      </w:r>
      <w:r>
        <w:rPr>
          <w:rFonts w:hint="eastAsia"/>
          <w:color w:val="000000"/>
          <w:sz w:val="24"/>
          <w:szCs w:val="24"/>
        </w:rPr>
        <w:t>招标文件、投标文件、国家相关标准对同一产品的技术规格要求、质量标准约定不一致的，以要求高者为准</w:t>
      </w:r>
      <w:r>
        <w:rPr>
          <w:rFonts w:hint="eastAsia" w:hAnsi="宋体" w:cs="Arial"/>
          <w:color w:val="000000"/>
          <w:kern w:val="0"/>
          <w:sz w:val="24"/>
          <w:szCs w:val="24"/>
        </w:rPr>
        <w:t>）进行现场初步验收，外观、说明书符合招标文件及投标文件技术要求的，给予签收，初步验收不合格的不予签收，并出具验收不合格通知书。初步验收不合格的，乙方必须在十个工作日内重新提供符合合同约定的货物，逾期则按乙方逾期交货处理。货到后，甲方需在调试好后五个工作日内组织验收。初步验收合格并不代表甲方已认可乙方的货物质量，只有最终验收合格才能代表甲方认可乙方的货物质量。</w:t>
      </w:r>
    </w:p>
    <w:p w14:paraId="75BFE5B6">
      <w:pPr>
        <w:pStyle w:val="33"/>
        <w:snapToGrid w:val="0"/>
        <w:spacing w:line="360" w:lineRule="auto"/>
        <w:rPr>
          <w:rFonts w:hint="eastAsia" w:hAnsi="宋体" w:cs="Arial"/>
          <w:kern w:val="0"/>
          <w:sz w:val="24"/>
          <w:szCs w:val="24"/>
        </w:rPr>
      </w:pPr>
      <w:r>
        <w:rPr>
          <w:rFonts w:hint="eastAsia" w:hAnsi="宋体" w:cs="Arial"/>
          <w:kern w:val="0"/>
          <w:sz w:val="24"/>
          <w:szCs w:val="24"/>
        </w:rPr>
        <w:t>2.乙方交货前应对产品作出全面检查和对验收文件进行整理，并列出清单，作为甲方收货验收和使用的技术条件依据，检验的结果应随货物交甲方。</w:t>
      </w:r>
    </w:p>
    <w:p w14:paraId="3CCEF95D">
      <w:pPr>
        <w:pStyle w:val="33"/>
        <w:snapToGrid w:val="0"/>
        <w:spacing w:line="360" w:lineRule="auto"/>
        <w:rPr>
          <w:rFonts w:hint="eastAsia" w:hAnsi="宋体" w:cs="Arial"/>
          <w:kern w:val="0"/>
          <w:sz w:val="24"/>
          <w:szCs w:val="24"/>
        </w:rPr>
      </w:pPr>
      <w:r>
        <w:rPr>
          <w:rFonts w:hint="eastAsia" w:hAnsi="宋体" w:cs="Arial"/>
          <w:kern w:val="0"/>
          <w:sz w:val="24"/>
          <w:szCs w:val="24"/>
        </w:rPr>
        <w:t>3.乙方应对提供的货物在使用前进行调试，乙方需负责安装并培训甲方的使用操作人员，直到符合技术要求，甲方才做最终验收。</w:t>
      </w:r>
    </w:p>
    <w:p w14:paraId="6E5758E5">
      <w:pPr>
        <w:pStyle w:val="33"/>
        <w:snapToGrid w:val="0"/>
        <w:spacing w:line="360" w:lineRule="auto"/>
        <w:rPr>
          <w:rFonts w:hint="eastAsia" w:hAnsi="宋体" w:cs="Arial"/>
          <w:kern w:val="0"/>
          <w:sz w:val="24"/>
          <w:szCs w:val="24"/>
        </w:rPr>
      </w:pPr>
      <w:r>
        <w:rPr>
          <w:rFonts w:hint="eastAsia" w:hAnsi="宋体" w:cs="Arial"/>
          <w:kern w:val="0"/>
          <w:sz w:val="24"/>
          <w:szCs w:val="24"/>
        </w:rPr>
        <w:t>4.对技术复杂的货物，甲方应请国家认可的专业检测机构参与初步验收及最终验收，并由其出具质量检测报告。如乙方对验收结果有异议，可以委托甲方所在地专业检测部门或甲方指定的质量鉴定单位进行复检。因复检发生的费用由乙方承担。</w:t>
      </w:r>
    </w:p>
    <w:p w14:paraId="7FFB6636">
      <w:pPr>
        <w:pStyle w:val="33"/>
        <w:snapToGrid w:val="0"/>
        <w:spacing w:line="360" w:lineRule="auto"/>
        <w:rPr>
          <w:rFonts w:hint="eastAsia" w:hAnsi="宋体" w:cs="Arial"/>
          <w:kern w:val="0"/>
          <w:sz w:val="24"/>
          <w:szCs w:val="24"/>
        </w:rPr>
      </w:pPr>
      <w:r>
        <w:rPr>
          <w:rFonts w:hint="eastAsia" w:hAnsi="宋体" w:cs="Arial"/>
          <w:kern w:val="0"/>
          <w:sz w:val="24"/>
          <w:szCs w:val="24"/>
        </w:rPr>
        <w:t>5.验收时乙方必须在现场，乙方未到现场的，甲方可推迟验收时间，因此造成的逾期交货责任由乙方承担。验收完毕后出具验收结果报告（合同验收单），验收费用由乙方承担。</w:t>
      </w:r>
    </w:p>
    <w:p w14:paraId="7AAE5A56">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十五、货物包装、发运及运输</w:t>
      </w:r>
    </w:p>
    <w:p w14:paraId="20ECC5F3">
      <w:pPr>
        <w:pStyle w:val="33"/>
        <w:snapToGrid w:val="0"/>
        <w:spacing w:line="360" w:lineRule="auto"/>
        <w:rPr>
          <w:rFonts w:hint="eastAsia" w:hAnsi="宋体" w:cs="Arial"/>
          <w:kern w:val="0"/>
          <w:sz w:val="24"/>
          <w:szCs w:val="24"/>
        </w:rPr>
      </w:pPr>
      <w:r>
        <w:rPr>
          <w:rFonts w:hint="eastAsia" w:hAnsi="宋体" w:cs="Arial"/>
          <w:kern w:val="0"/>
          <w:sz w:val="24"/>
          <w:szCs w:val="24"/>
        </w:rPr>
        <w:t>1.乙方应在货物发运前对其进行满足运输距离、防潮、防震、防锈和防破损装卸等要求包装，以保证货物安全运达甲方指定地点。</w:t>
      </w:r>
    </w:p>
    <w:p w14:paraId="1E021BAC">
      <w:pPr>
        <w:pStyle w:val="33"/>
        <w:snapToGrid w:val="0"/>
        <w:spacing w:line="360" w:lineRule="auto"/>
        <w:rPr>
          <w:rFonts w:hint="eastAsia" w:hAnsi="宋体" w:cs="Arial"/>
          <w:kern w:val="0"/>
          <w:sz w:val="24"/>
          <w:szCs w:val="24"/>
        </w:rPr>
      </w:pPr>
      <w:r>
        <w:rPr>
          <w:rFonts w:hint="eastAsia" w:hAnsi="宋体" w:cs="Arial"/>
          <w:kern w:val="0"/>
          <w:sz w:val="24"/>
          <w:szCs w:val="24"/>
        </w:rPr>
        <w:t>2.使用说明书、质量检验证明书、随配附件和工具以及清单一并附于货物内。</w:t>
      </w:r>
    </w:p>
    <w:p w14:paraId="24DC1D04">
      <w:pPr>
        <w:pStyle w:val="33"/>
        <w:snapToGrid w:val="0"/>
        <w:spacing w:line="360" w:lineRule="auto"/>
        <w:rPr>
          <w:rFonts w:hint="eastAsia" w:hAnsi="宋体" w:cs="Arial"/>
          <w:kern w:val="0"/>
          <w:sz w:val="24"/>
          <w:szCs w:val="24"/>
        </w:rPr>
      </w:pPr>
      <w:r>
        <w:rPr>
          <w:rFonts w:hint="eastAsia" w:hAnsi="宋体" w:cs="Arial"/>
          <w:kern w:val="0"/>
          <w:sz w:val="24"/>
          <w:szCs w:val="24"/>
        </w:rPr>
        <w:t>3.乙方在货物发运手续办理完毕后24小时内或货到甲方48小时前通知甲方，以准备接货。</w:t>
      </w:r>
    </w:p>
    <w:p w14:paraId="60378D06">
      <w:pPr>
        <w:pStyle w:val="33"/>
        <w:snapToGrid w:val="0"/>
        <w:spacing w:line="360" w:lineRule="auto"/>
        <w:rPr>
          <w:rFonts w:hint="eastAsia" w:hAnsi="宋体" w:cs="Arial"/>
          <w:kern w:val="0"/>
          <w:sz w:val="24"/>
          <w:szCs w:val="24"/>
        </w:rPr>
      </w:pPr>
      <w:r>
        <w:rPr>
          <w:rFonts w:hint="eastAsia" w:hAnsi="宋体" w:cs="Arial"/>
          <w:kern w:val="0"/>
          <w:sz w:val="24"/>
          <w:szCs w:val="24"/>
        </w:rPr>
        <w:t>4.货物在交付甲方并安装调试完成前发生的风险均由乙方负责。</w:t>
      </w:r>
    </w:p>
    <w:p w14:paraId="1EBE2F9D">
      <w:pPr>
        <w:pStyle w:val="33"/>
        <w:snapToGrid w:val="0"/>
        <w:spacing w:line="360" w:lineRule="auto"/>
        <w:rPr>
          <w:rFonts w:hint="eastAsia" w:hAnsi="宋体" w:cs="Arial"/>
          <w:kern w:val="0"/>
          <w:sz w:val="24"/>
          <w:szCs w:val="24"/>
        </w:rPr>
      </w:pPr>
      <w:r>
        <w:rPr>
          <w:rFonts w:hint="eastAsia" w:hAnsi="宋体" w:cs="Arial"/>
          <w:kern w:val="0"/>
          <w:sz w:val="24"/>
          <w:szCs w:val="24"/>
        </w:rPr>
        <w:t>5.货物在规定的交付期限内由乙方送达甲方指定的地点并安装调试完成后视为交付，乙方须同时通知甲方货物已送达。</w:t>
      </w:r>
    </w:p>
    <w:p w14:paraId="50FB3047">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十六、违约责任</w:t>
      </w:r>
    </w:p>
    <w:p w14:paraId="685EFD94">
      <w:pPr>
        <w:pStyle w:val="33"/>
        <w:snapToGrid w:val="0"/>
        <w:spacing w:line="360" w:lineRule="auto"/>
        <w:rPr>
          <w:rFonts w:hint="eastAsia" w:hAnsi="宋体" w:cs="Arial"/>
          <w:kern w:val="0"/>
          <w:sz w:val="24"/>
          <w:szCs w:val="24"/>
        </w:rPr>
      </w:pPr>
      <w:r>
        <w:rPr>
          <w:rFonts w:hint="eastAsia" w:hAnsi="宋体" w:cs="Arial"/>
          <w:kern w:val="0"/>
          <w:sz w:val="24"/>
          <w:szCs w:val="24"/>
        </w:rPr>
        <w:t>1.甲方无正当理由拒收货物的，甲方向乙方偿付拒收货款总值百分之五的违约金。</w:t>
      </w:r>
    </w:p>
    <w:p w14:paraId="543461D1">
      <w:pPr>
        <w:pStyle w:val="33"/>
        <w:snapToGrid w:val="0"/>
        <w:spacing w:line="360" w:lineRule="auto"/>
        <w:rPr>
          <w:rFonts w:hint="eastAsia" w:hAnsi="宋体" w:cs="Arial"/>
          <w:kern w:val="0"/>
          <w:sz w:val="24"/>
          <w:szCs w:val="24"/>
        </w:rPr>
      </w:pPr>
      <w:r>
        <w:rPr>
          <w:rFonts w:hint="eastAsia" w:hAnsi="宋体" w:cs="Arial"/>
          <w:kern w:val="0"/>
          <w:sz w:val="24"/>
          <w:szCs w:val="24"/>
        </w:rPr>
        <w:t>2.甲方无故逾期验收和办理货款支付手续的，甲方应按逾期付款总额每日万分之五向乙方支付违约金。如果学校已经向国库集中支付中心提出货款支付申请，视同甲方已经付款。</w:t>
      </w:r>
    </w:p>
    <w:p w14:paraId="4C441C50">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3.乙方逾期交付货物的</w:t>
      </w:r>
      <w:r>
        <w:rPr>
          <w:rFonts w:hint="eastAsia"/>
          <w:sz w:val="24"/>
          <w:szCs w:val="24"/>
        </w:rPr>
        <w:t>（未按期完成安装调试或通过最终验收的，也视为逾期交货）</w:t>
      </w:r>
      <w:r>
        <w:rPr>
          <w:rFonts w:hint="eastAsia" w:hAnsi="宋体" w:cs="Arial"/>
          <w:color w:val="000000"/>
          <w:kern w:val="0"/>
          <w:sz w:val="24"/>
          <w:szCs w:val="24"/>
        </w:rPr>
        <w:t xml:space="preserve">，乙方应按逾期交货总额每日千分之六向甲方支付违约金，由甲方从待付货款中扣除。乙方逾期10个工作日以上未交付货物的，甲方可单方面解除本合同。乙方因逾期交货或因其他违约行为导致甲方解除合同的，乙方应向甲方支付合同总值百分之五的违约金，如造成甲方损失超过违约金的，超出部分由乙方继续承担赔偿责任，赔偿责任范围还包括但不限于甲方因此支付的公证费、鉴定费、诉讼费、律师费等费用。 </w:t>
      </w:r>
    </w:p>
    <w:p w14:paraId="1EFCB61D">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4.乙方所交的货物品种、型号、规格、技术参数、质量不符合合同规定及招标文件、投标文件规定标准的（合同、</w:t>
      </w:r>
      <w:r>
        <w:rPr>
          <w:rFonts w:hint="eastAsia"/>
          <w:color w:val="000000"/>
          <w:sz w:val="24"/>
          <w:szCs w:val="24"/>
        </w:rPr>
        <w:t>招标文件、投标文件、国家相关标准对同一产品的技术规格要求、质量标准约定不一致的，以要求高者为准</w:t>
      </w:r>
      <w:r>
        <w:rPr>
          <w:rFonts w:hint="eastAsia" w:hAnsi="宋体" w:cs="Arial"/>
          <w:color w:val="000000"/>
          <w:kern w:val="0"/>
          <w:sz w:val="24"/>
          <w:szCs w:val="24"/>
        </w:rPr>
        <w:t>），甲方有权拒收该货物，乙方愿意更换货物但逾期交货的，按乙方逾期交货处理（本合同第十六条第3项约定）。乙方拒绝更换货物的，甲方可单方面解除合同，乙方须承担甲方全部损失。</w:t>
      </w:r>
    </w:p>
    <w:p w14:paraId="7F9A57EB">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十七、不可抗力事件处理</w:t>
      </w:r>
    </w:p>
    <w:p w14:paraId="4EB1C1BC">
      <w:pPr>
        <w:pStyle w:val="33"/>
        <w:snapToGrid w:val="0"/>
        <w:spacing w:line="360" w:lineRule="auto"/>
        <w:rPr>
          <w:rFonts w:hint="eastAsia" w:hAnsi="宋体" w:cs="Arial"/>
          <w:kern w:val="0"/>
          <w:sz w:val="24"/>
          <w:szCs w:val="24"/>
        </w:rPr>
      </w:pPr>
      <w:r>
        <w:rPr>
          <w:rFonts w:hint="eastAsia" w:hAnsi="宋体" w:cs="Arial"/>
          <w:kern w:val="0"/>
          <w:sz w:val="24"/>
          <w:szCs w:val="24"/>
        </w:rPr>
        <w:t>1.在合同有效期内，任何一方因不可抗力事件导致不能履行合同，则合同履行期可顺延，其延长期与不可抗力影响期相等。</w:t>
      </w:r>
    </w:p>
    <w:p w14:paraId="3C84BFCE">
      <w:pPr>
        <w:pStyle w:val="33"/>
        <w:snapToGrid w:val="0"/>
        <w:spacing w:line="360" w:lineRule="auto"/>
        <w:rPr>
          <w:rFonts w:hint="eastAsia" w:hAnsi="宋体" w:cs="Arial"/>
          <w:kern w:val="0"/>
          <w:sz w:val="24"/>
          <w:szCs w:val="24"/>
        </w:rPr>
      </w:pPr>
      <w:r>
        <w:rPr>
          <w:rFonts w:hint="eastAsia" w:hAnsi="宋体" w:cs="Arial"/>
          <w:kern w:val="0"/>
          <w:sz w:val="24"/>
          <w:szCs w:val="24"/>
        </w:rPr>
        <w:t>2. 遭受不可抗力一方应在不可抗力事件发生后3个工作日内立即通知对方，并寄送有关权威机构出具的证明，否则不视为发生不可抗力事件。</w:t>
      </w:r>
    </w:p>
    <w:p w14:paraId="300A1CC5">
      <w:pPr>
        <w:pStyle w:val="33"/>
        <w:snapToGrid w:val="0"/>
        <w:spacing w:line="360" w:lineRule="auto"/>
        <w:rPr>
          <w:rFonts w:hint="eastAsia" w:hAnsi="宋体" w:cs="Arial"/>
          <w:kern w:val="0"/>
          <w:sz w:val="24"/>
          <w:szCs w:val="24"/>
        </w:rPr>
      </w:pPr>
      <w:r>
        <w:rPr>
          <w:rFonts w:hint="eastAsia" w:hAnsi="宋体" w:cs="Arial"/>
          <w:kern w:val="0"/>
          <w:sz w:val="24"/>
          <w:szCs w:val="24"/>
        </w:rPr>
        <w:t>3.不可抗力事件延续120天以上的，双方应通过友好协商，确定是否继续履行合同。</w:t>
      </w:r>
    </w:p>
    <w:p w14:paraId="58BCA474">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十八、诉讼</w:t>
      </w:r>
    </w:p>
    <w:p w14:paraId="08E46E9C">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双方在履行合同中所发生的一切争议，应通过协商解决。如协商不成，可向合同签订地法院起诉，合同签订地在此约定为</w:t>
      </w:r>
      <w:r>
        <w:rPr>
          <w:rFonts w:hint="eastAsia" w:hAnsi="宋体" w:cs="Arial"/>
          <w:color w:val="000000"/>
          <w:kern w:val="0"/>
          <w:sz w:val="24"/>
          <w:szCs w:val="24"/>
          <w:lang w:eastAsia="zh-CN"/>
        </w:rPr>
        <w:t>甲方所在地</w:t>
      </w:r>
      <w:r>
        <w:rPr>
          <w:rFonts w:hint="eastAsia" w:hAnsi="宋体" w:cs="Arial"/>
          <w:color w:val="000000"/>
          <w:kern w:val="0"/>
          <w:sz w:val="24"/>
          <w:szCs w:val="24"/>
        </w:rPr>
        <w:t>。因诉讼导致的诉讼费、保全费、鉴定费、律师代理费等费用由违约方承担。</w:t>
      </w:r>
    </w:p>
    <w:p w14:paraId="585ABD20">
      <w:pPr>
        <w:pStyle w:val="33"/>
        <w:snapToGrid w:val="0"/>
        <w:spacing w:line="360" w:lineRule="auto"/>
        <w:rPr>
          <w:rFonts w:hint="eastAsia" w:ascii="Times New Roman" w:hAnsi="Times New Roman"/>
          <w:b/>
          <w:sz w:val="28"/>
          <w:szCs w:val="28"/>
        </w:rPr>
      </w:pPr>
      <w:r>
        <w:rPr>
          <w:rFonts w:hint="eastAsia" w:ascii="Times New Roman" w:hAnsi="Times New Roman"/>
          <w:b/>
          <w:sz w:val="28"/>
          <w:szCs w:val="28"/>
        </w:rPr>
        <w:t>十九、合同生效及其它</w:t>
      </w:r>
    </w:p>
    <w:p w14:paraId="1D33E4C8">
      <w:pPr>
        <w:pStyle w:val="33"/>
        <w:snapToGrid w:val="0"/>
        <w:spacing w:line="360" w:lineRule="auto"/>
        <w:rPr>
          <w:rFonts w:hint="eastAsia" w:hAnsi="宋体" w:cs="Arial"/>
          <w:color w:val="000000"/>
          <w:kern w:val="0"/>
          <w:sz w:val="24"/>
          <w:szCs w:val="24"/>
        </w:rPr>
      </w:pPr>
      <w:r>
        <w:rPr>
          <w:rFonts w:hint="eastAsia" w:hAnsi="宋体" w:cs="Arial"/>
          <w:color w:val="000000"/>
          <w:kern w:val="0"/>
          <w:sz w:val="24"/>
          <w:szCs w:val="24"/>
        </w:rPr>
        <w:t>1.合同经双方法定代表人或授权委托代理人签字并加盖单位公章后生效。</w:t>
      </w:r>
    </w:p>
    <w:p w14:paraId="2593E085">
      <w:pPr>
        <w:pStyle w:val="33"/>
        <w:snapToGrid w:val="0"/>
        <w:spacing w:line="360" w:lineRule="auto"/>
        <w:rPr>
          <w:rFonts w:hint="eastAsia" w:hAnsi="宋体" w:cs="Arial"/>
          <w:kern w:val="0"/>
          <w:sz w:val="24"/>
          <w:szCs w:val="24"/>
        </w:rPr>
      </w:pPr>
      <w:r>
        <w:rPr>
          <w:rFonts w:hint="eastAsia" w:hAnsi="宋体" w:cs="Arial"/>
          <w:kern w:val="0"/>
          <w:sz w:val="24"/>
          <w:szCs w:val="24"/>
        </w:rPr>
        <w:t>2.本合同未尽事宜，遵照《中华人民共和国民法典》有关条文，经双方友好协商解决。</w:t>
      </w:r>
    </w:p>
    <w:p w14:paraId="64EBF2D1">
      <w:pPr>
        <w:pStyle w:val="33"/>
        <w:snapToGrid w:val="0"/>
        <w:spacing w:line="360" w:lineRule="auto"/>
        <w:rPr>
          <w:rFonts w:hint="eastAsia" w:hAnsi="宋体" w:cs="Arial"/>
          <w:kern w:val="0"/>
          <w:sz w:val="24"/>
          <w:szCs w:val="24"/>
        </w:rPr>
      </w:pPr>
      <w:r>
        <w:rPr>
          <w:rFonts w:hint="eastAsia" w:hAnsi="宋体" w:cs="Arial"/>
          <w:kern w:val="0"/>
          <w:sz w:val="24"/>
          <w:szCs w:val="24"/>
        </w:rPr>
        <w:t>3.招标文件、投标文件及评标过程中形成的文字资料、询价纪要均作为本合同的组成部分，具有同等效力。如果合同执行中涉及采购资金和采购内容修改或补充的，须经学校相关部门审批，并签书面补充协议报主管部门备案后，方可作为主合同不可分割的一部分。</w:t>
      </w:r>
    </w:p>
    <w:p w14:paraId="4AD6FF08">
      <w:pPr>
        <w:pStyle w:val="33"/>
        <w:snapToGrid w:val="0"/>
        <w:spacing w:line="360" w:lineRule="auto"/>
        <w:rPr>
          <w:rFonts w:hint="eastAsia" w:hAnsi="宋体" w:cs="Arial"/>
          <w:kern w:val="0"/>
          <w:sz w:val="24"/>
          <w:szCs w:val="24"/>
        </w:rPr>
      </w:pPr>
      <w:r>
        <w:rPr>
          <w:rFonts w:hint="eastAsia" w:hAnsi="宋体" w:cs="Arial"/>
          <w:kern w:val="0"/>
          <w:sz w:val="24"/>
          <w:szCs w:val="24"/>
        </w:rPr>
        <w:t>4.本合同一式</w:t>
      </w:r>
      <w:r>
        <w:rPr>
          <w:rFonts w:hint="eastAsia" w:hAnsi="宋体" w:cs="Arial"/>
          <w:kern w:val="0"/>
          <w:sz w:val="24"/>
          <w:szCs w:val="24"/>
          <w:u w:val="single"/>
        </w:rPr>
        <w:t xml:space="preserve">     </w:t>
      </w:r>
      <w:r>
        <w:rPr>
          <w:rFonts w:hint="eastAsia" w:hAnsi="宋体" w:cs="Arial"/>
          <w:kern w:val="0"/>
          <w:sz w:val="24"/>
          <w:szCs w:val="24"/>
        </w:rPr>
        <w:t>份，具有同等法律效力，甲方执</w:t>
      </w:r>
      <w:r>
        <w:rPr>
          <w:rFonts w:hint="eastAsia" w:hAnsi="宋体" w:cs="Arial"/>
          <w:kern w:val="0"/>
          <w:sz w:val="24"/>
          <w:szCs w:val="24"/>
          <w:u w:val="single"/>
        </w:rPr>
        <w:t xml:space="preserve">    </w:t>
      </w:r>
      <w:r>
        <w:rPr>
          <w:rFonts w:hint="eastAsia" w:hAnsi="宋体" w:cs="Arial"/>
          <w:kern w:val="0"/>
          <w:sz w:val="24"/>
          <w:szCs w:val="24"/>
        </w:rPr>
        <w:t>份、乙方执</w:t>
      </w:r>
      <w:r>
        <w:rPr>
          <w:rFonts w:hint="eastAsia" w:hAnsi="宋体" w:cs="Arial"/>
          <w:kern w:val="0"/>
          <w:sz w:val="24"/>
          <w:szCs w:val="24"/>
          <w:u w:val="single"/>
        </w:rPr>
        <w:t xml:space="preserve">    </w:t>
      </w:r>
      <w:r>
        <w:rPr>
          <w:rFonts w:hint="eastAsia" w:hAnsi="宋体" w:cs="Arial"/>
          <w:kern w:val="0"/>
          <w:sz w:val="24"/>
          <w:szCs w:val="24"/>
        </w:rPr>
        <w:t>份。</w:t>
      </w:r>
    </w:p>
    <w:p w14:paraId="42ED1361">
      <w:pPr>
        <w:pStyle w:val="59"/>
        <w:ind w:firstLine="420"/>
        <w:rPr>
          <w:rFonts w:hint="eastAsia" w:ascii="宋体" w:hAnsi="宋体" w:cs="宋体"/>
          <w:b/>
          <w:color w:val="000000"/>
          <w:kern w:val="0"/>
          <w:sz w:val="28"/>
          <w:szCs w:val="28"/>
          <w:lang w:bidi="ar"/>
        </w:rPr>
      </w:pPr>
      <w:r>
        <w:rPr>
          <w:rFonts w:hint="eastAsia" w:ascii="宋体" w:hAnsi="宋体" w:cs="宋体"/>
          <w:b/>
          <w:color w:val="000000"/>
          <w:kern w:val="0"/>
          <w:sz w:val="28"/>
          <w:szCs w:val="28"/>
          <w:lang w:bidi="ar"/>
        </w:rPr>
        <w:t>（以下无正文）</w:t>
      </w:r>
    </w:p>
    <w:p w14:paraId="117D2853">
      <w:pPr>
        <w:pStyle w:val="59"/>
        <w:ind w:firstLine="420"/>
        <w:rPr>
          <w:rFonts w:hint="eastAsia" w:ascii="宋体" w:hAnsi="宋体" w:cs="宋体"/>
          <w:b/>
          <w:color w:val="000000"/>
          <w:sz w:val="28"/>
          <w:szCs w:val="28"/>
        </w:rPr>
      </w:pPr>
      <w:r>
        <w:rPr>
          <w:rFonts w:hint="eastAsia" w:ascii="宋体" w:hAnsi="宋体" w:cs="宋体"/>
          <w:b/>
          <w:color w:val="000000"/>
          <w:sz w:val="28"/>
          <w:szCs w:val="28"/>
        </w:rPr>
        <w:t>（本页为签字盖章页）</w:t>
      </w:r>
    </w:p>
    <w:p w14:paraId="79D95BB9">
      <w:pPr>
        <w:pStyle w:val="33"/>
        <w:snapToGrid w:val="0"/>
        <w:spacing w:line="360" w:lineRule="auto"/>
        <w:rPr>
          <w:rFonts w:hint="eastAsia" w:hAnsi="宋体" w:cs="Arial"/>
          <w:kern w:val="0"/>
        </w:rPr>
      </w:pPr>
    </w:p>
    <w:p w14:paraId="321065BC">
      <w:pPr>
        <w:pStyle w:val="33"/>
        <w:snapToGrid w:val="0"/>
        <w:spacing w:beforeLines="0" w:afterLines="0" w:line="360" w:lineRule="auto"/>
        <w:rPr>
          <w:rFonts w:hint="eastAsia" w:ascii="Times New Roman" w:hAnsi="Times New Roman"/>
        </w:rPr>
      </w:pPr>
    </w:p>
    <w:p w14:paraId="0D04AE9A">
      <w:pPr>
        <w:pStyle w:val="33"/>
        <w:snapToGrid w:val="0"/>
        <w:spacing w:beforeLines="0" w:afterLines="0" w:line="360" w:lineRule="auto"/>
        <w:rPr>
          <w:rFonts w:ascii="Times New Roman" w:hAnsi="Times New Roman"/>
          <w:sz w:val="24"/>
          <w:szCs w:val="24"/>
        </w:rPr>
      </w:pPr>
      <w:r>
        <w:rPr>
          <w:rFonts w:hint="eastAsia" w:ascii="Times New Roman" w:hAnsi="Times New Roman"/>
        </w:rPr>
        <w:t xml:space="preserve"> </w:t>
      </w:r>
      <w:r>
        <w:rPr>
          <w:rFonts w:ascii="Times New Roman" w:hAnsi="Times New Roman"/>
          <w:sz w:val="24"/>
          <w:szCs w:val="24"/>
        </w:rPr>
        <w:t xml:space="preserve">甲方（公章）：        </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w:t>
      </w:r>
      <w:r>
        <w:rPr>
          <w:rFonts w:ascii="Times New Roman" w:hAnsi="Times New Roman"/>
          <w:sz w:val="24"/>
          <w:szCs w:val="24"/>
        </w:rPr>
        <w:t>乙方（公章）：</w:t>
      </w:r>
      <w:r>
        <w:rPr>
          <w:rFonts w:hint="eastAsia" w:ascii="Times New Roman" w:hAnsi="Times New Roman"/>
          <w:sz w:val="24"/>
          <w:szCs w:val="24"/>
        </w:rPr>
        <w:t xml:space="preserve"> </w:t>
      </w:r>
    </w:p>
    <w:p w14:paraId="562C64E5">
      <w:pPr>
        <w:pStyle w:val="33"/>
        <w:snapToGrid w:val="0"/>
        <w:spacing w:beforeLines="0" w:afterLines="0" w:line="360" w:lineRule="auto"/>
        <w:ind w:left="239" w:leftChars="114"/>
        <w:rPr>
          <w:rFonts w:ascii="Times New Roman" w:hAnsi="Times New Roman"/>
          <w:sz w:val="24"/>
          <w:szCs w:val="24"/>
        </w:rPr>
      </w:pPr>
      <w:r>
        <w:rPr>
          <w:rFonts w:ascii="Times New Roman" w:hAnsi="Times New Roman"/>
          <w:sz w:val="24"/>
          <w:szCs w:val="24"/>
        </w:rPr>
        <w:t xml:space="preserve">地址： </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地址：</w:t>
      </w:r>
      <w:r>
        <w:rPr>
          <w:rFonts w:hint="eastAsia" w:ascii="Times New Roman" w:hAnsi="Times New Roman"/>
          <w:sz w:val="24"/>
          <w:szCs w:val="24"/>
        </w:rPr>
        <w:t xml:space="preserve"> </w:t>
      </w:r>
    </w:p>
    <w:p w14:paraId="7ED85316">
      <w:pPr>
        <w:pStyle w:val="33"/>
        <w:snapToGrid w:val="0"/>
        <w:spacing w:beforeLines="0" w:afterLines="0" w:line="360" w:lineRule="auto"/>
        <w:ind w:firstLine="240" w:firstLineChars="100"/>
        <w:rPr>
          <w:rFonts w:ascii="Times New Roman" w:hAnsi="Times New Roman"/>
          <w:sz w:val="24"/>
          <w:szCs w:val="24"/>
          <w:u w:val="single"/>
        </w:rPr>
      </w:pPr>
      <w:r>
        <w:rPr>
          <w:rFonts w:ascii="Times New Roman" w:hAnsi="Times New Roman"/>
          <w:sz w:val="24"/>
          <w:szCs w:val="24"/>
        </w:rPr>
        <w:t xml:space="preserve">法定代表或委托代理人：         </w:t>
      </w:r>
      <w:r>
        <w:rPr>
          <w:rFonts w:hint="eastAsia" w:ascii="Times New Roman" w:hAnsi="Times New Roman"/>
          <w:sz w:val="24"/>
          <w:szCs w:val="24"/>
        </w:rPr>
        <w:t xml:space="preserve">  </w:t>
      </w:r>
      <w:r>
        <w:rPr>
          <w:rFonts w:ascii="Times New Roman" w:hAnsi="Times New Roman"/>
          <w:sz w:val="24"/>
          <w:szCs w:val="24"/>
        </w:rPr>
        <w:t>法定代表或委托代理人：</w:t>
      </w:r>
    </w:p>
    <w:p w14:paraId="3CF4FB45">
      <w:pPr>
        <w:pStyle w:val="33"/>
        <w:snapToGrid w:val="0"/>
        <w:spacing w:beforeLines="0" w:afterLines="0" w:line="360" w:lineRule="auto"/>
        <w:ind w:firstLine="240" w:firstLineChars="100"/>
        <w:rPr>
          <w:rFonts w:hint="eastAsia" w:ascii="Times New Roman" w:hAnsi="Times New Roman"/>
          <w:color w:val="auto"/>
          <w:sz w:val="24"/>
          <w:szCs w:val="24"/>
        </w:rPr>
      </w:pPr>
      <w:r>
        <w:rPr>
          <w:rFonts w:ascii="Times New Roman" w:hAnsi="Times New Roman"/>
          <w:sz w:val="24"/>
          <w:szCs w:val="24"/>
        </w:rPr>
        <w:t xml:space="preserve">                              </w:t>
      </w:r>
      <w:r>
        <w:rPr>
          <w:rFonts w:hint="eastAsia" w:ascii="Times New Roman" w:hAnsi="Times New Roman"/>
          <w:sz w:val="24"/>
          <w:szCs w:val="24"/>
        </w:rPr>
        <w:t xml:space="preserve">  </w:t>
      </w:r>
      <w:r>
        <w:rPr>
          <w:rFonts w:hint="eastAsia" w:ascii="Times New Roman" w:hAnsi="Times New Roman"/>
          <w:color w:val="auto"/>
          <w:sz w:val="24"/>
          <w:szCs w:val="24"/>
        </w:rPr>
        <w:t xml:space="preserve"> </w:t>
      </w:r>
      <w:r>
        <w:rPr>
          <w:rFonts w:ascii="Times New Roman" w:hAnsi="Times New Roman"/>
          <w:color w:val="auto"/>
          <w:sz w:val="24"/>
          <w:szCs w:val="24"/>
        </w:rPr>
        <w:t xml:space="preserve"> 联系电话：</w:t>
      </w:r>
    </w:p>
    <w:p w14:paraId="6258B946">
      <w:pPr>
        <w:pStyle w:val="33"/>
        <w:snapToGrid w:val="0"/>
        <w:spacing w:beforeLines="0" w:afterLines="0" w:line="360" w:lineRule="auto"/>
        <w:ind w:firstLine="4320" w:firstLineChars="1800"/>
        <w:rPr>
          <w:rFonts w:hint="eastAsia" w:ascii="Times New Roman" w:hAnsi="Times New Roman"/>
          <w:color w:val="auto"/>
          <w:sz w:val="24"/>
          <w:szCs w:val="24"/>
        </w:rPr>
      </w:pPr>
      <w:r>
        <w:rPr>
          <w:rFonts w:hint="eastAsia" w:ascii="Times New Roman" w:hAnsi="Times New Roman"/>
          <w:color w:val="auto"/>
          <w:sz w:val="24"/>
          <w:szCs w:val="24"/>
        </w:rPr>
        <w:t>收款银行：</w:t>
      </w:r>
    </w:p>
    <w:p w14:paraId="188A2447">
      <w:pPr>
        <w:pStyle w:val="33"/>
        <w:snapToGrid w:val="0"/>
        <w:spacing w:beforeLines="0" w:afterLines="0" w:line="360" w:lineRule="auto"/>
        <w:ind w:firstLine="4320" w:firstLineChars="1800"/>
        <w:rPr>
          <w:rFonts w:hint="eastAsia" w:hAnsi="宋体"/>
          <w:color w:val="auto"/>
          <w:sz w:val="24"/>
          <w:szCs w:val="24"/>
        </w:rPr>
      </w:pPr>
      <w:r>
        <w:rPr>
          <w:rFonts w:hint="eastAsia" w:ascii="Times New Roman" w:hAnsi="Times New Roman"/>
          <w:color w:val="auto"/>
          <w:sz w:val="24"/>
          <w:szCs w:val="24"/>
        </w:rPr>
        <w:t>账号信息：</w:t>
      </w:r>
    </w:p>
    <w:p w14:paraId="18A48507">
      <w:pPr>
        <w:pStyle w:val="33"/>
        <w:snapToGrid w:val="0"/>
        <w:spacing w:beforeLines="0" w:afterLines="0" w:line="360" w:lineRule="auto"/>
        <w:rPr>
          <w:rFonts w:ascii="Times New Roman" w:hAnsi="Times New Roman"/>
          <w:sz w:val="24"/>
          <w:szCs w:val="24"/>
        </w:rPr>
      </w:pPr>
      <w:r>
        <w:rPr>
          <w:rFonts w:ascii="Times New Roman" w:hAnsi="Times New Roman"/>
          <w:sz w:val="24"/>
          <w:szCs w:val="24"/>
        </w:rPr>
        <w:t xml:space="preserve">  签订日期：</w:t>
      </w:r>
      <w:r>
        <w:rPr>
          <w:rFonts w:hint="eastAsia"/>
          <w:sz w:val="24"/>
          <w:szCs w:val="24"/>
        </w:rPr>
        <w:t xml:space="preserve">   </w:t>
      </w:r>
      <w:r>
        <w:rPr>
          <w:sz w:val="24"/>
          <w:szCs w:val="24"/>
        </w:rPr>
        <w:t>年</w:t>
      </w:r>
      <w:r>
        <w:rPr>
          <w:rFonts w:hint="eastAsia"/>
          <w:sz w:val="24"/>
          <w:szCs w:val="24"/>
        </w:rPr>
        <w:t xml:space="preserve">   </w:t>
      </w:r>
      <w:r>
        <w:rPr>
          <w:sz w:val="24"/>
          <w:szCs w:val="24"/>
        </w:rPr>
        <w:t xml:space="preserve">月 </w:t>
      </w:r>
      <w:r>
        <w:rPr>
          <w:rFonts w:hint="eastAsia"/>
          <w:sz w:val="24"/>
          <w:szCs w:val="24"/>
        </w:rPr>
        <w:t xml:space="preserve"> </w:t>
      </w:r>
      <w:r>
        <w:rPr>
          <w:sz w:val="24"/>
          <w:szCs w:val="24"/>
        </w:rPr>
        <w:t xml:space="preserve">日   </w:t>
      </w:r>
      <w:r>
        <w:rPr>
          <w:rFonts w:ascii="Times New Roman" w:hAnsi="Times New Roman"/>
          <w:sz w:val="24"/>
          <w:szCs w:val="24"/>
        </w:rPr>
        <w:t xml:space="preserve">      </w:t>
      </w:r>
      <w:r>
        <w:rPr>
          <w:rFonts w:hint="eastAsia" w:ascii="Times New Roman" w:hAnsi="Times New Roman"/>
          <w:sz w:val="24"/>
          <w:szCs w:val="24"/>
        </w:rPr>
        <w:t xml:space="preserve"> </w:t>
      </w:r>
      <w:r>
        <w:rPr>
          <w:rFonts w:ascii="Times New Roman" w:hAnsi="Times New Roman"/>
          <w:sz w:val="24"/>
          <w:szCs w:val="24"/>
        </w:rPr>
        <w:t xml:space="preserve">签订日期： </w:t>
      </w:r>
      <w:r>
        <w:rPr>
          <w:rFonts w:hint="eastAsia"/>
          <w:sz w:val="24"/>
          <w:szCs w:val="24"/>
        </w:rPr>
        <w:t xml:space="preserve"> </w:t>
      </w:r>
      <w:r>
        <w:rPr>
          <w:sz w:val="24"/>
          <w:szCs w:val="24"/>
        </w:rPr>
        <w:t>年</w:t>
      </w:r>
      <w:r>
        <w:rPr>
          <w:rFonts w:hint="eastAsia"/>
          <w:sz w:val="24"/>
          <w:szCs w:val="24"/>
        </w:rPr>
        <w:t xml:space="preserve"> </w:t>
      </w:r>
      <w:r>
        <w:rPr>
          <w:sz w:val="24"/>
          <w:szCs w:val="24"/>
        </w:rPr>
        <w:t xml:space="preserve"> 月 </w:t>
      </w:r>
      <w:r>
        <w:rPr>
          <w:rFonts w:hint="eastAsia"/>
          <w:sz w:val="24"/>
          <w:szCs w:val="24"/>
        </w:rPr>
        <w:t xml:space="preserve"> </w:t>
      </w:r>
      <w:r>
        <w:rPr>
          <w:sz w:val="24"/>
          <w:szCs w:val="24"/>
        </w:rPr>
        <w:t xml:space="preserve"> 日   </w:t>
      </w:r>
    </w:p>
    <w:p w14:paraId="0DE438CE">
      <w:pPr>
        <w:pStyle w:val="33"/>
        <w:snapToGrid w:val="0"/>
        <w:spacing w:beforeLines="0" w:afterLines="0" w:line="360" w:lineRule="auto"/>
        <w:ind w:firstLine="240" w:firstLineChars="100"/>
        <w:rPr>
          <w:rFonts w:ascii="Times New Roman" w:hAnsi="Times New Roman"/>
          <w:sz w:val="24"/>
          <w:szCs w:val="24"/>
        </w:rPr>
      </w:pPr>
      <w:r>
        <w:rPr>
          <w:rFonts w:ascii="Times New Roman" w:hAnsi="Times New Roman"/>
          <w:sz w:val="24"/>
          <w:szCs w:val="24"/>
        </w:rPr>
        <w:t>签订地点：</w:t>
      </w:r>
      <w:r>
        <w:rPr>
          <w:rFonts w:hint="eastAsia"/>
          <w:sz w:val="24"/>
          <w:szCs w:val="24"/>
        </w:rPr>
        <w:t>嘉兴</w:t>
      </w:r>
      <w:r>
        <w:rPr>
          <w:rFonts w:ascii="Times New Roman" w:hAnsi="Times New Roman"/>
          <w:sz w:val="24"/>
          <w:szCs w:val="24"/>
        </w:rPr>
        <w:t xml:space="preserve">       </w:t>
      </w:r>
    </w:p>
    <w:p w14:paraId="2DE60008">
      <w:pPr>
        <w:pStyle w:val="33"/>
        <w:snapToGrid w:val="0"/>
        <w:spacing w:beforeLines="0" w:afterLines="0" w:line="360" w:lineRule="auto"/>
        <w:ind w:firstLine="210" w:firstLineChars="100"/>
        <w:rPr>
          <w:rFonts w:hint="eastAsia" w:ascii="Times New Roman" w:hAnsi="Times New Roman"/>
        </w:rPr>
      </w:pPr>
    </w:p>
    <w:p w14:paraId="7ECA1C07">
      <w:pPr>
        <w:pStyle w:val="33"/>
        <w:snapToGrid w:val="0"/>
        <w:spacing w:beforeLines="0" w:afterLines="0" w:line="360" w:lineRule="auto"/>
        <w:ind w:firstLine="210" w:firstLineChars="100"/>
        <w:rPr>
          <w:rFonts w:hint="eastAsia" w:ascii="Times New Roman" w:hAnsi="Times New Roman"/>
        </w:rPr>
      </w:pPr>
    </w:p>
    <w:p w14:paraId="52730964">
      <w:pPr>
        <w:pStyle w:val="33"/>
        <w:snapToGrid w:val="0"/>
        <w:spacing w:beforeLines="0" w:afterLines="0" w:line="360" w:lineRule="auto"/>
        <w:ind w:firstLine="210" w:firstLineChars="100"/>
        <w:rPr>
          <w:rFonts w:hint="eastAsia" w:ascii="Times New Roman" w:hAnsi="Times New Roman"/>
        </w:rPr>
      </w:pPr>
    </w:p>
    <w:p w14:paraId="53BDCC7F">
      <w:pPr>
        <w:pStyle w:val="33"/>
        <w:snapToGrid w:val="0"/>
        <w:spacing w:beforeLines="0" w:afterLines="0" w:line="360" w:lineRule="auto"/>
        <w:ind w:firstLine="210" w:firstLineChars="100"/>
        <w:rPr>
          <w:rFonts w:hint="eastAsia" w:ascii="Times New Roman" w:hAnsi="Times New Roman"/>
        </w:rPr>
      </w:pPr>
    </w:p>
    <w:p w14:paraId="661D9C76">
      <w:pPr>
        <w:pStyle w:val="33"/>
        <w:snapToGrid w:val="0"/>
        <w:spacing w:beforeLines="0" w:afterLines="0" w:line="360" w:lineRule="auto"/>
        <w:ind w:firstLine="210" w:firstLineChars="100"/>
        <w:rPr>
          <w:rFonts w:hint="eastAsia" w:ascii="Times New Roman" w:hAnsi="Times New Roman"/>
        </w:rPr>
      </w:pPr>
    </w:p>
    <w:p w14:paraId="02C3B6CE">
      <w:pPr>
        <w:pStyle w:val="33"/>
        <w:snapToGrid w:val="0"/>
        <w:spacing w:beforeLines="0" w:afterLines="0" w:line="360" w:lineRule="auto"/>
        <w:ind w:firstLine="210" w:firstLineChars="100"/>
        <w:rPr>
          <w:rFonts w:hint="eastAsia" w:ascii="Times New Roman" w:hAnsi="Times New Roman"/>
        </w:rPr>
      </w:pPr>
    </w:p>
    <w:p w14:paraId="110CFEE3">
      <w:pPr>
        <w:pStyle w:val="33"/>
        <w:snapToGrid w:val="0"/>
        <w:spacing w:beforeLines="0" w:afterLines="0" w:line="360" w:lineRule="auto"/>
        <w:ind w:firstLine="210" w:firstLineChars="100"/>
        <w:rPr>
          <w:rFonts w:hint="eastAsia" w:ascii="Times New Roman" w:hAnsi="Times New Roman"/>
        </w:rPr>
      </w:pPr>
    </w:p>
    <w:p w14:paraId="157715DC">
      <w:pPr>
        <w:pStyle w:val="33"/>
        <w:snapToGrid w:val="0"/>
        <w:spacing w:beforeLines="0" w:afterLines="0" w:line="360" w:lineRule="auto"/>
        <w:ind w:firstLine="210" w:firstLineChars="100"/>
        <w:rPr>
          <w:rFonts w:hint="eastAsia" w:ascii="Times New Roman" w:hAnsi="Times New Roman"/>
        </w:rPr>
      </w:pPr>
    </w:p>
    <w:p w14:paraId="322ACEED">
      <w:pPr>
        <w:pStyle w:val="33"/>
        <w:snapToGrid w:val="0"/>
        <w:spacing w:beforeLines="0" w:afterLines="0" w:line="360" w:lineRule="auto"/>
        <w:ind w:firstLine="210" w:firstLineChars="100"/>
        <w:rPr>
          <w:rFonts w:hint="eastAsia" w:ascii="Times New Roman" w:hAnsi="Times New Roman"/>
        </w:rPr>
      </w:pPr>
    </w:p>
    <w:p w14:paraId="2C9A802A">
      <w:pPr>
        <w:pStyle w:val="33"/>
        <w:snapToGrid w:val="0"/>
        <w:spacing w:beforeLines="0" w:afterLines="0" w:line="360" w:lineRule="auto"/>
        <w:ind w:firstLine="210" w:firstLineChars="100"/>
        <w:rPr>
          <w:rFonts w:hint="eastAsia" w:ascii="Times New Roman" w:hAnsi="Times New Roman"/>
        </w:rPr>
      </w:pPr>
    </w:p>
    <w:p w14:paraId="65C2D4F2">
      <w:pPr>
        <w:pStyle w:val="33"/>
        <w:snapToGrid w:val="0"/>
        <w:spacing w:beforeLines="0" w:afterLines="0" w:line="360" w:lineRule="auto"/>
        <w:rPr>
          <w:rFonts w:hint="eastAsia" w:ascii="Times New Roman" w:hAnsi="Times New Roman"/>
        </w:rPr>
      </w:pPr>
    </w:p>
    <w:p w14:paraId="1DB7070D">
      <w:pPr>
        <w:pStyle w:val="33"/>
        <w:snapToGrid w:val="0"/>
        <w:spacing w:beforeLines="0" w:afterLines="0" w:line="360" w:lineRule="auto"/>
        <w:rPr>
          <w:rFonts w:hint="eastAsia" w:ascii="Times New Roman" w:hAnsi="Times New Roman"/>
        </w:rPr>
      </w:pPr>
    </w:p>
    <w:p w14:paraId="2CFA7C96">
      <w:pPr>
        <w:pStyle w:val="33"/>
        <w:snapToGrid w:val="0"/>
        <w:spacing w:beforeLines="0" w:afterLines="0" w:line="360" w:lineRule="auto"/>
        <w:rPr>
          <w:rFonts w:hint="eastAsia" w:ascii="Times New Roman" w:hAnsi="Times New Roman"/>
        </w:rPr>
      </w:pPr>
    </w:p>
    <w:p w14:paraId="35D5FF83"/>
    <w:p w14:paraId="43383681">
      <w:pPr>
        <w:rPr>
          <w:rFonts w:hint="eastAsia" w:ascii="宋体" w:hAnsi="宋体" w:cs="宋体"/>
          <w:b/>
          <w:sz w:val="36"/>
          <w:szCs w:val="20"/>
        </w:rPr>
      </w:pPr>
      <w:r>
        <w:rPr>
          <w:rFonts w:hint="eastAsia" w:ascii="宋体" w:hAnsi="宋体" w:cs="宋体"/>
          <w:b/>
          <w:sz w:val="36"/>
          <w:szCs w:val="20"/>
        </w:rPr>
        <w:br w:type="page"/>
      </w:r>
    </w:p>
    <w:p w14:paraId="6EE7B177">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400"/>
      <w:r>
        <w:rPr>
          <w:rFonts w:hint="eastAsia" w:ascii="宋体" w:hAnsi="宋体" w:cs="宋体"/>
          <w:b/>
          <w:sz w:val="36"/>
          <w:szCs w:val="20"/>
        </w:rPr>
        <w:t xml:space="preserve"> </w:t>
      </w:r>
      <w:bookmarkEnd w:id="401"/>
      <w:r>
        <w:rPr>
          <w:rFonts w:hint="eastAsia" w:ascii="宋体" w:hAnsi="宋体" w:cs="宋体"/>
          <w:b/>
          <w:sz w:val="36"/>
          <w:szCs w:val="20"/>
        </w:rPr>
        <w:t>应提交的有关格式范例</w:t>
      </w:r>
    </w:p>
    <w:p w14:paraId="73AC7BA7">
      <w:pPr>
        <w:spacing w:line="360" w:lineRule="auto"/>
        <w:jc w:val="center"/>
        <w:outlineLvl w:val="0"/>
        <w:rPr>
          <w:rFonts w:ascii="宋体" w:hAnsi="宋体" w:cs="宋体"/>
          <w:b/>
          <w:kern w:val="0"/>
          <w:sz w:val="36"/>
          <w:szCs w:val="36"/>
        </w:rPr>
      </w:pPr>
    </w:p>
    <w:p w14:paraId="2260B79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57F8CED9">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3B56B72">
      <w:pPr>
        <w:spacing w:line="360" w:lineRule="auto"/>
        <w:jc w:val="center"/>
        <w:outlineLvl w:val="0"/>
        <w:rPr>
          <w:rFonts w:ascii="宋体" w:hAnsi="宋体" w:cs="宋体"/>
          <w:b/>
          <w:kern w:val="0"/>
          <w:sz w:val="36"/>
          <w:szCs w:val="36"/>
        </w:rPr>
      </w:pPr>
    </w:p>
    <w:p w14:paraId="1D0D5D00">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8CB96C7">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）落实政府采购政策需满足的资格要求………………………………（页码）</w:t>
      </w:r>
    </w:p>
    <w:p w14:paraId="1C88FA9F">
      <w:pPr>
        <w:snapToGrid w:val="0"/>
        <w:spacing w:line="360" w:lineRule="auto"/>
        <w:rPr>
          <w:rFonts w:hint="eastAsia" w:ascii="宋体" w:hAnsi="宋体" w:eastAsia="宋体" w:cs="宋体"/>
          <w:sz w:val="24"/>
          <w:lang w:eastAsia="zh-CN"/>
        </w:rPr>
      </w:pPr>
      <w:r>
        <w:rPr>
          <w:rFonts w:hint="eastAsia" w:ascii="宋体" w:hAnsi="宋体" w:cs="宋体"/>
          <w:sz w:val="24"/>
          <w:lang w:eastAsia="zh-CN"/>
        </w:rPr>
        <w:t>（</w:t>
      </w:r>
      <w:r>
        <w:rPr>
          <w:rFonts w:hint="eastAsia" w:ascii="宋体" w:hAnsi="宋体" w:cs="宋体"/>
          <w:sz w:val="24"/>
          <w:lang w:val="en-US" w:eastAsia="zh-CN"/>
        </w:rPr>
        <w:t>3</w:t>
      </w:r>
      <w:r>
        <w:rPr>
          <w:rFonts w:hint="eastAsia" w:ascii="宋体" w:hAnsi="宋体" w:cs="宋体"/>
          <w:sz w:val="24"/>
          <w:lang w:eastAsia="zh-CN"/>
        </w:rPr>
        <w:t>）中小企业声明函</w:t>
      </w:r>
      <w:r>
        <w:rPr>
          <w:rFonts w:hint="eastAsia" w:ascii="宋体" w:hAnsi="宋体" w:cs="宋体"/>
          <w:sz w:val="24"/>
        </w:rPr>
        <w:t>………………………………………………………（页码）</w:t>
      </w:r>
    </w:p>
    <w:p w14:paraId="29A225D0">
      <w:pPr>
        <w:snapToGrid w:val="0"/>
        <w:spacing w:line="360" w:lineRule="auto"/>
        <w:ind w:firstLine="480" w:firstLineChars="200"/>
        <w:rPr>
          <w:rFonts w:ascii="宋体" w:hAnsi="宋体" w:cs="宋体"/>
          <w:sz w:val="24"/>
        </w:rPr>
      </w:pPr>
    </w:p>
    <w:p w14:paraId="13423D34">
      <w:pPr>
        <w:spacing w:line="360" w:lineRule="auto"/>
        <w:ind w:firstLine="480" w:firstLineChars="200"/>
        <w:rPr>
          <w:rFonts w:ascii="宋体" w:hAnsi="宋体" w:cs="宋体"/>
          <w:sz w:val="24"/>
        </w:rPr>
      </w:pPr>
    </w:p>
    <w:p w14:paraId="59064DDD">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584769D2">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3663C9CC">
      <w:pPr>
        <w:snapToGrid w:val="0"/>
        <w:spacing w:line="360" w:lineRule="auto"/>
        <w:ind w:firstLine="480" w:firstLineChars="200"/>
        <w:rPr>
          <w:rFonts w:ascii="宋体" w:hAnsi="宋体" w:cs="宋体"/>
          <w:sz w:val="24"/>
        </w:rPr>
      </w:pPr>
      <w:r>
        <w:rPr>
          <w:rFonts w:hint="eastAsia" w:ascii="宋体" w:hAnsi="宋体" w:cs="宋体"/>
          <w:color w:val="auto"/>
          <w:sz w:val="24"/>
        </w:rPr>
        <w:t>我方参与（项目名称）【招标编号：（采购编号）】政府采</w:t>
      </w:r>
      <w:r>
        <w:rPr>
          <w:rFonts w:hint="eastAsia" w:ascii="宋体" w:hAnsi="宋体" w:cs="宋体"/>
          <w:sz w:val="24"/>
        </w:rPr>
        <w:t>购活动，郑重承诺：</w:t>
      </w:r>
    </w:p>
    <w:p w14:paraId="12AB7B9E">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04AE602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D795BE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34AFA964">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71544AD">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F19673B">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022B8CE6">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4580C91A">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798B310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51DD1050">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2B187841">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2ACE00C7">
      <w:pPr>
        <w:snapToGrid w:val="0"/>
        <w:spacing w:line="360" w:lineRule="auto"/>
        <w:ind w:firstLine="5520" w:firstLineChars="2300"/>
        <w:rPr>
          <w:rFonts w:hint="eastAsia" w:ascii="宋体" w:hAnsi="宋体" w:cs="宋体"/>
          <w:kern w:val="0"/>
          <w:sz w:val="24"/>
          <w:lang w:val="zh-CN"/>
        </w:rPr>
      </w:pPr>
    </w:p>
    <w:p w14:paraId="0AAFF044">
      <w:pPr>
        <w:snapToGrid w:val="0"/>
        <w:spacing w:line="360" w:lineRule="auto"/>
        <w:ind w:firstLine="5520" w:firstLineChars="2300"/>
        <w:rPr>
          <w:rFonts w:hint="eastAsia" w:ascii="宋体" w:hAnsi="宋体" w:cs="宋体"/>
          <w:kern w:val="0"/>
          <w:sz w:val="24"/>
          <w:lang w:val="zh-CN"/>
        </w:rPr>
      </w:pPr>
    </w:p>
    <w:p w14:paraId="638F547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68A8EF5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4A888F7">
      <w:pPr>
        <w:snapToGrid w:val="0"/>
        <w:spacing w:line="360" w:lineRule="auto"/>
        <w:ind w:right="480"/>
        <w:jc w:val="center"/>
        <w:rPr>
          <w:rFonts w:ascii="宋体" w:hAnsi="宋体" w:cs="宋体"/>
          <w:b/>
          <w:kern w:val="0"/>
          <w:sz w:val="32"/>
          <w:szCs w:val="32"/>
        </w:rPr>
      </w:pPr>
    </w:p>
    <w:p w14:paraId="4AB91F1C">
      <w:pPr>
        <w:snapToGrid w:val="0"/>
        <w:spacing w:line="360" w:lineRule="auto"/>
        <w:ind w:right="480"/>
        <w:jc w:val="center"/>
        <w:rPr>
          <w:rFonts w:ascii="宋体" w:hAnsi="宋体" w:cs="宋体"/>
          <w:b/>
          <w:kern w:val="0"/>
          <w:sz w:val="32"/>
          <w:szCs w:val="32"/>
        </w:rPr>
      </w:pPr>
    </w:p>
    <w:p w14:paraId="1886DF2B">
      <w:pPr>
        <w:snapToGrid w:val="0"/>
        <w:spacing w:line="360" w:lineRule="auto"/>
        <w:ind w:right="480"/>
        <w:jc w:val="center"/>
        <w:rPr>
          <w:rFonts w:ascii="宋体" w:hAnsi="宋体" w:cs="宋体"/>
          <w:b/>
          <w:kern w:val="0"/>
          <w:sz w:val="32"/>
          <w:szCs w:val="32"/>
        </w:rPr>
      </w:pPr>
    </w:p>
    <w:p w14:paraId="257871FB">
      <w:pPr>
        <w:rPr>
          <w:rFonts w:ascii="宋体" w:hAnsi="宋体" w:cs="宋体"/>
        </w:rPr>
      </w:pPr>
    </w:p>
    <w:p w14:paraId="2FCD0FBA">
      <w:pPr>
        <w:snapToGrid w:val="0"/>
        <w:spacing w:line="360" w:lineRule="auto"/>
        <w:ind w:right="480"/>
        <w:jc w:val="center"/>
        <w:rPr>
          <w:rFonts w:ascii="宋体" w:hAnsi="宋体" w:cs="宋体"/>
          <w:b/>
          <w:kern w:val="0"/>
          <w:sz w:val="32"/>
          <w:szCs w:val="32"/>
        </w:rPr>
      </w:pPr>
    </w:p>
    <w:p w14:paraId="52294BA8">
      <w:pPr>
        <w:snapToGrid w:val="0"/>
        <w:spacing w:line="360" w:lineRule="auto"/>
        <w:ind w:right="480"/>
        <w:jc w:val="center"/>
        <w:rPr>
          <w:rFonts w:ascii="宋体" w:hAnsi="宋体" w:cs="宋体"/>
          <w:b/>
          <w:kern w:val="0"/>
          <w:sz w:val="32"/>
          <w:szCs w:val="32"/>
        </w:rPr>
      </w:pPr>
    </w:p>
    <w:p w14:paraId="7688E77B">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二</w:t>
      </w:r>
      <w:r>
        <w:rPr>
          <w:rFonts w:hint="eastAsia" w:ascii="宋体" w:hAnsi="宋体" w:cs="宋体"/>
          <w:b/>
          <w:kern w:val="0"/>
          <w:sz w:val="32"/>
          <w:szCs w:val="32"/>
        </w:rPr>
        <w:t>、落实政府采购政策需满足的资格要求</w:t>
      </w:r>
    </w:p>
    <w:p w14:paraId="577582A6">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6900E985">
      <w:pPr>
        <w:widowControl/>
        <w:spacing w:line="360" w:lineRule="auto"/>
        <w:ind w:firstLine="480"/>
        <w:jc w:val="left"/>
        <w:rPr>
          <w:rFonts w:ascii="宋体" w:hAnsi="宋体" w:cs="宋体"/>
          <w:sz w:val="24"/>
        </w:rPr>
      </w:pPr>
    </w:p>
    <w:p w14:paraId="6B581C43">
      <w:pPr>
        <w:widowControl/>
        <w:spacing w:line="360" w:lineRule="auto"/>
        <w:ind w:left="150"/>
        <w:jc w:val="center"/>
        <w:rPr>
          <w:rFonts w:ascii="宋体" w:hAnsi="宋体" w:cs="宋体"/>
          <w:b/>
          <w:kern w:val="0"/>
          <w:sz w:val="32"/>
          <w:szCs w:val="32"/>
        </w:rPr>
      </w:pPr>
    </w:p>
    <w:p w14:paraId="7B820B45">
      <w:pPr>
        <w:rPr>
          <w:rFonts w:ascii="宋体" w:hAnsi="宋体" w:cs="宋体"/>
        </w:rPr>
      </w:pPr>
    </w:p>
    <w:p w14:paraId="4F5F90C4">
      <w:pPr>
        <w:pStyle w:val="695"/>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lang w:eastAsia="zh-CN"/>
        </w:rPr>
      </w:pPr>
      <w:r>
        <w:rPr>
          <w:rFonts w:hint="eastAsia" w:ascii="宋体" w:hAnsi="宋体" w:eastAsia="宋体" w:cs="宋体"/>
          <w:b/>
          <w:kern w:val="0"/>
          <w:sz w:val="32"/>
          <w:szCs w:val="32"/>
          <w:lang w:val="en-US" w:eastAsia="zh-CN" w:bidi="ar-SA"/>
        </w:rPr>
        <w:t>三、</w:t>
      </w:r>
      <w:r>
        <w:rPr>
          <w:rFonts w:hint="eastAsia" w:ascii="宋体" w:hAnsi="宋体" w:eastAsia="宋体" w:cs="宋体"/>
          <w:color w:val="auto"/>
          <w:sz w:val="32"/>
          <w:szCs w:val="32"/>
        </w:rPr>
        <w:t>中小企业声明函</w:t>
      </w:r>
      <w:r>
        <w:rPr>
          <w:rFonts w:hint="eastAsia" w:ascii="宋体" w:hAnsi="宋体" w:eastAsia="宋体" w:cs="宋体"/>
          <w:color w:val="auto"/>
          <w:sz w:val="32"/>
          <w:szCs w:val="32"/>
          <w:lang w:eastAsia="zh-CN"/>
        </w:rPr>
        <w:t>（</w:t>
      </w:r>
      <w:r>
        <w:rPr>
          <w:rFonts w:hint="eastAsia" w:ascii="宋体" w:hAnsi="宋体" w:eastAsia="宋体" w:cs="宋体"/>
          <w:color w:val="auto"/>
          <w:sz w:val="32"/>
          <w:szCs w:val="32"/>
          <w:lang w:val="en-US" w:eastAsia="zh-CN"/>
        </w:rPr>
        <w:t>详见附件2</w:t>
      </w:r>
      <w:r>
        <w:rPr>
          <w:rFonts w:hint="eastAsia" w:ascii="宋体" w:hAnsi="宋体" w:eastAsia="宋体" w:cs="宋体"/>
          <w:color w:val="auto"/>
          <w:sz w:val="32"/>
          <w:szCs w:val="32"/>
          <w:lang w:eastAsia="zh-CN"/>
        </w:rPr>
        <w:t>）</w:t>
      </w:r>
    </w:p>
    <w:p w14:paraId="44C31A1D">
      <w:pPr>
        <w:spacing w:line="360" w:lineRule="auto"/>
        <w:ind w:right="420" w:firstLine="3614" w:firstLineChars="1000"/>
        <w:rPr>
          <w:rFonts w:ascii="宋体" w:hAnsi="宋体" w:cs="宋体"/>
          <w:b/>
          <w:kern w:val="0"/>
          <w:sz w:val="36"/>
          <w:szCs w:val="36"/>
        </w:rPr>
      </w:pPr>
    </w:p>
    <w:p w14:paraId="344EAF45">
      <w:pPr>
        <w:spacing w:line="360" w:lineRule="auto"/>
        <w:ind w:right="420" w:firstLine="3614" w:firstLineChars="1000"/>
        <w:rPr>
          <w:rFonts w:ascii="宋体" w:hAnsi="宋体" w:cs="宋体"/>
          <w:b/>
          <w:kern w:val="0"/>
          <w:sz w:val="36"/>
          <w:szCs w:val="36"/>
        </w:rPr>
      </w:pPr>
    </w:p>
    <w:p w14:paraId="5D55AE81">
      <w:pPr>
        <w:spacing w:line="360" w:lineRule="auto"/>
        <w:ind w:right="420" w:firstLine="3614" w:firstLineChars="1000"/>
        <w:rPr>
          <w:rFonts w:ascii="宋体" w:hAnsi="宋体" w:cs="宋体"/>
          <w:b/>
          <w:kern w:val="0"/>
          <w:sz w:val="36"/>
          <w:szCs w:val="36"/>
        </w:rPr>
      </w:pPr>
    </w:p>
    <w:p w14:paraId="5E9D9F26">
      <w:pPr>
        <w:spacing w:line="360" w:lineRule="auto"/>
        <w:ind w:right="420" w:firstLine="3614" w:firstLineChars="1000"/>
        <w:rPr>
          <w:rFonts w:ascii="宋体" w:hAnsi="宋体" w:cs="宋体"/>
          <w:b/>
          <w:kern w:val="0"/>
          <w:sz w:val="36"/>
          <w:szCs w:val="36"/>
        </w:rPr>
      </w:pPr>
    </w:p>
    <w:p w14:paraId="25995E87">
      <w:pPr>
        <w:spacing w:line="360" w:lineRule="auto"/>
        <w:ind w:right="420" w:firstLine="3614" w:firstLineChars="1000"/>
        <w:rPr>
          <w:rFonts w:ascii="宋体" w:hAnsi="宋体" w:cs="宋体"/>
          <w:b/>
          <w:kern w:val="0"/>
          <w:sz w:val="36"/>
          <w:szCs w:val="36"/>
        </w:rPr>
      </w:pPr>
    </w:p>
    <w:p w14:paraId="0203744A">
      <w:pPr>
        <w:spacing w:line="360" w:lineRule="auto"/>
        <w:ind w:right="420" w:firstLine="3614" w:firstLineChars="1000"/>
        <w:rPr>
          <w:rFonts w:ascii="宋体" w:hAnsi="宋体" w:cs="宋体"/>
          <w:b/>
          <w:kern w:val="0"/>
          <w:sz w:val="36"/>
          <w:szCs w:val="36"/>
        </w:rPr>
      </w:pPr>
    </w:p>
    <w:p w14:paraId="0111A3E5">
      <w:pPr>
        <w:spacing w:line="360" w:lineRule="auto"/>
        <w:ind w:right="420" w:firstLine="3614" w:firstLineChars="1000"/>
        <w:rPr>
          <w:rFonts w:ascii="宋体" w:hAnsi="宋体" w:cs="宋体"/>
          <w:b/>
          <w:kern w:val="0"/>
          <w:sz w:val="36"/>
          <w:szCs w:val="36"/>
        </w:rPr>
      </w:pPr>
    </w:p>
    <w:p w14:paraId="5286C7D9">
      <w:pPr>
        <w:spacing w:line="360" w:lineRule="auto"/>
        <w:ind w:right="420" w:firstLine="3614" w:firstLineChars="1000"/>
        <w:rPr>
          <w:rFonts w:ascii="宋体" w:hAnsi="宋体" w:cs="宋体"/>
          <w:b/>
          <w:kern w:val="0"/>
          <w:sz w:val="36"/>
          <w:szCs w:val="36"/>
        </w:rPr>
      </w:pPr>
    </w:p>
    <w:p w14:paraId="7C4301B7">
      <w:pPr>
        <w:spacing w:line="360" w:lineRule="auto"/>
        <w:ind w:right="420" w:firstLine="3614" w:firstLineChars="1000"/>
        <w:rPr>
          <w:rFonts w:ascii="宋体" w:hAnsi="宋体" w:cs="宋体"/>
          <w:b/>
          <w:kern w:val="0"/>
          <w:sz w:val="36"/>
          <w:szCs w:val="36"/>
        </w:rPr>
      </w:pPr>
    </w:p>
    <w:p w14:paraId="18BD5082">
      <w:pPr>
        <w:spacing w:line="360" w:lineRule="auto"/>
        <w:ind w:right="420" w:firstLine="3614" w:firstLineChars="1000"/>
        <w:rPr>
          <w:rFonts w:ascii="宋体" w:hAnsi="宋体" w:cs="宋体"/>
          <w:b/>
          <w:kern w:val="0"/>
          <w:sz w:val="36"/>
          <w:szCs w:val="36"/>
        </w:rPr>
      </w:pPr>
    </w:p>
    <w:p w14:paraId="05384C43">
      <w:pPr>
        <w:spacing w:line="360" w:lineRule="auto"/>
        <w:ind w:right="420" w:firstLine="3614" w:firstLineChars="1000"/>
        <w:rPr>
          <w:rFonts w:ascii="宋体" w:hAnsi="宋体" w:cs="宋体"/>
          <w:b/>
          <w:kern w:val="0"/>
          <w:sz w:val="36"/>
          <w:szCs w:val="36"/>
        </w:rPr>
      </w:pPr>
    </w:p>
    <w:p w14:paraId="1A896EA5">
      <w:pPr>
        <w:spacing w:line="360" w:lineRule="auto"/>
        <w:ind w:right="420" w:firstLine="3614" w:firstLineChars="1000"/>
        <w:rPr>
          <w:rFonts w:ascii="宋体" w:hAnsi="宋体" w:cs="宋体"/>
          <w:b/>
          <w:kern w:val="0"/>
          <w:sz w:val="36"/>
          <w:szCs w:val="36"/>
        </w:rPr>
      </w:pPr>
    </w:p>
    <w:p w14:paraId="108017C1">
      <w:pPr>
        <w:spacing w:line="360" w:lineRule="auto"/>
        <w:ind w:right="420" w:firstLine="3614" w:firstLineChars="1000"/>
        <w:rPr>
          <w:rFonts w:ascii="宋体" w:hAnsi="宋体" w:cs="宋体"/>
          <w:b/>
          <w:kern w:val="0"/>
          <w:sz w:val="36"/>
          <w:szCs w:val="36"/>
        </w:rPr>
      </w:pPr>
    </w:p>
    <w:p w14:paraId="0EE5E9ED">
      <w:pPr>
        <w:spacing w:line="360" w:lineRule="auto"/>
        <w:ind w:right="420" w:firstLine="3614" w:firstLineChars="1000"/>
        <w:rPr>
          <w:rFonts w:ascii="宋体" w:hAnsi="宋体" w:cs="宋体"/>
          <w:b/>
          <w:kern w:val="0"/>
          <w:sz w:val="36"/>
          <w:szCs w:val="36"/>
        </w:rPr>
      </w:pPr>
    </w:p>
    <w:p w14:paraId="3D43EDA2">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CCA0B3B">
      <w:pPr>
        <w:spacing w:line="360" w:lineRule="auto"/>
        <w:jc w:val="center"/>
        <w:rPr>
          <w:rFonts w:ascii="宋体" w:hAnsi="宋体" w:cs="宋体"/>
          <w:b/>
          <w:spacing w:val="6"/>
          <w:sz w:val="32"/>
          <w:szCs w:val="32"/>
        </w:rPr>
      </w:pPr>
      <w:r>
        <w:rPr>
          <w:rFonts w:hint="eastAsia" w:ascii="宋体" w:hAnsi="宋体" w:cs="宋体"/>
          <w:b/>
          <w:spacing w:val="6"/>
          <w:sz w:val="32"/>
          <w:szCs w:val="32"/>
        </w:rPr>
        <w:t>残疾人福利性单位声明函</w:t>
      </w:r>
    </w:p>
    <w:p w14:paraId="22790598">
      <w:pPr>
        <w:spacing w:line="360" w:lineRule="auto"/>
        <w:rPr>
          <w:rFonts w:ascii="宋体" w:hAnsi="宋体" w:cs="宋体"/>
          <w:b/>
          <w:spacing w:val="6"/>
          <w:sz w:val="30"/>
          <w:szCs w:val="30"/>
        </w:rPr>
      </w:pPr>
    </w:p>
    <w:p w14:paraId="7A57E2BC">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w:t>
      </w:r>
      <w:r>
        <w:rPr>
          <w:rFonts w:hint="eastAsia" w:ascii="宋体" w:hAnsi="宋体" w:cs="宋体"/>
          <w:color w:val="auto"/>
          <w:sz w:val="24"/>
        </w:rPr>
        <w:t>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w:t>
      </w:r>
      <w:r>
        <w:rPr>
          <w:rFonts w:hint="eastAsia" w:ascii="宋体" w:hAnsi="宋体" w:cs="宋体"/>
          <w:sz w:val="24"/>
        </w:rPr>
        <w:t>提供本单位制造的货物（由本单位承担工程/提供服务），或者提供其他残疾人福利性单位制造的货物（不包括使用非残疾人福利性单位注册商标的货物）。</w:t>
      </w:r>
    </w:p>
    <w:p w14:paraId="1D0BE15C">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88439E6">
      <w:pPr>
        <w:spacing w:line="360" w:lineRule="auto"/>
        <w:ind w:firstLine="480" w:firstLineChars="200"/>
        <w:rPr>
          <w:rFonts w:ascii="宋体" w:hAnsi="宋体" w:cs="宋体"/>
          <w:sz w:val="24"/>
        </w:rPr>
      </w:pPr>
    </w:p>
    <w:p w14:paraId="74A13393">
      <w:pPr>
        <w:spacing w:line="360" w:lineRule="auto"/>
        <w:ind w:firstLine="480" w:firstLineChars="200"/>
        <w:rPr>
          <w:rFonts w:ascii="宋体" w:hAnsi="宋体" w:cs="宋体"/>
          <w:sz w:val="24"/>
        </w:rPr>
      </w:pPr>
    </w:p>
    <w:p w14:paraId="2C286BB5">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7925F226">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28B6F08D">
      <w:pPr>
        <w:spacing w:line="360" w:lineRule="auto"/>
        <w:ind w:firstLine="480" w:firstLineChars="200"/>
        <w:rPr>
          <w:rFonts w:ascii="宋体" w:hAnsi="宋体" w:cs="宋体"/>
          <w:sz w:val="24"/>
        </w:rPr>
      </w:pPr>
    </w:p>
    <w:p w14:paraId="36C7B634">
      <w:pPr>
        <w:spacing w:line="360" w:lineRule="auto"/>
        <w:ind w:firstLine="420" w:firstLineChars="200"/>
        <w:rPr>
          <w:rFonts w:ascii="宋体" w:hAnsi="宋体" w:cs="宋体"/>
        </w:rPr>
      </w:pPr>
    </w:p>
    <w:p w14:paraId="4F821E78">
      <w:pPr>
        <w:spacing w:line="360" w:lineRule="auto"/>
        <w:ind w:firstLine="420" w:firstLineChars="200"/>
        <w:rPr>
          <w:rFonts w:ascii="宋体" w:hAnsi="宋体" w:cs="宋体"/>
        </w:rPr>
      </w:pPr>
    </w:p>
    <w:p w14:paraId="407B44B6">
      <w:pPr>
        <w:spacing w:line="360" w:lineRule="auto"/>
        <w:ind w:firstLine="420" w:firstLineChars="200"/>
        <w:rPr>
          <w:rFonts w:ascii="宋体" w:hAnsi="宋体" w:cs="宋体"/>
        </w:rPr>
      </w:pPr>
    </w:p>
    <w:p w14:paraId="5F5DD533">
      <w:pPr>
        <w:spacing w:line="360" w:lineRule="auto"/>
        <w:ind w:firstLine="420" w:firstLineChars="200"/>
        <w:rPr>
          <w:rFonts w:ascii="宋体" w:hAnsi="宋体" w:cs="宋体"/>
        </w:rPr>
      </w:pPr>
    </w:p>
    <w:p w14:paraId="16FDDF95">
      <w:pPr>
        <w:spacing w:line="360" w:lineRule="auto"/>
        <w:rPr>
          <w:rFonts w:ascii="宋体" w:hAnsi="宋体" w:cs="宋体"/>
          <w:b/>
          <w:sz w:val="24"/>
        </w:rPr>
      </w:pPr>
    </w:p>
    <w:p w14:paraId="37E45AF2">
      <w:pPr>
        <w:spacing w:line="360" w:lineRule="auto"/>
        <w:rPr>
          <w:rFonts w:ascii="宋体" w:hAnsi="宋体" w:cs="宋体"/>
          <w:b/>
          <w:sz w:val="24"/>
        </w:rPr>
      </w:pPr>
    </w:p>
    <w:p w14:paraId="11796AC6">
      <w:pPr>
        <w:spacing w:line="360" w:lineRule="auto"/>
        <w:rPr>
          <w:rFonts w:ascii="宋体" w:hAnsi="宋体" w:cs="宋体"/>
          <w:b/>
          <w:sz w:val="24"/>
        </w:rPr>
      </w:pPr>
    </w:p>
    <w:p w14:paraId="28394601">
      <w:pPr>
        <w:spacing w:line="360" w:lineRule="auto"/>
        <w:rPr>
          <w:rFonts w:ascii="宋体" w:hAnsi="宋体" w:cs="宋体"/>
          <w:b/>
          <w:sz w:val="24"/>
        </w:rPr>
      </w:pPr>
    </w:p>
    <w:p w14:paraId="1D536ECE">
      <w:pPr>
        <w:spacing w:line="360" w:lineRule="auto"/>
        <w:rPr>
          <w:rFonts w:ascii="宋体" w:hAnsi="宋体" w:cs="宋体"/>
          <w:b/>
          <w:sz w:val="24"/>
        </w:rPr>
      </w:pPr>
    </w:p>
    <w:p w14:paraId="1EAA33F6">
      <w:pPr>
        <w:spacing w:line="360" w:lineRule="auto"/>
        <w:rPr>
          <w:rFonts w:ascii="宋体" w:hAnsi="宋体" w:cs="宋体"/>
          <w:b/>
          <w:sz w:val="24"/>
        </w:rPr>
      </w:pPr>
    </w:p>
    <w:p w14:paraId="638BBCB5">
      <w:pPr>
        <w:spacing w:line="360" w:lineRule="auto"/>
        <w:rPr>
          <w:rFonts w:ascii="宋体" w:hAnsi="宋体" w:cs="宋体"/>
          <w:b/>
          <w:sz w:val="24"/>
        </w:rPr>
      </w:pPr>
    </w:p>
    <w:p w14:paraId="017CAB0E">
      <w:pPr>
        <w:spacing w:line="360" w:lineRule="auto"/>
        <w:rPr>
          <w:rFonts w:ascii="宋体" w:hAnsi="宋体" w:cs="宋体"/>
          <w:b/>
          <w:sz w:val="24"/>
        </w:rPr>
      </w:pPr>
    </w:p>
    <w:p w14:paraId="4A506247">
      <w:pPr>
        <w:autoSpaceDE w:val="0"/>
        <w:autoSpaceDN w:val="0"/>
        <w:jc w:val="center"/>
        <w:rPr>
          <w:rFonts w:ascii="宋体" w:hAnsi="宋体" w:cs="宋体"/>
          <w:b/>
          <w:spacing w:val="6"/>
          <w:sz w:val="32"/>
          <w:szCs w:val="32"/>
        </w:rPr>
      </w:pPr>
    </w:p>
    <w:p w14:paraId="796C9E2C">
      <w:pPr>
        <w:autoSpaceDE w:val="0"/>
        <w:autoSpaceDN w:val="0"/>
        <w:jc w:val="center"/>
        <w:rPr>
          <w:rFonts w:ascii="宋体" w:hAnsi="宋体" w:cs="宋体"/>
          <w:b/>
          <w:spacing w:val="6"/>
          <w:sz w:val="32"/>
          <w:szCs w:val="32"/>
        </w:rPr>
      </w:pPr>
    </w:p>
    <w:p w14:paraId="4676C77E">
      <w:pPr>
        <w:autoSpaceDE w:val="0"/>
        <w:autoSpaceDN w:val="0"/>
        <w:jc w:val="center"/>
        <w:rPr>
          <w:rFonts w:ascii="宋体" w:hAnsi="宋体" w:cs="宋体"/>
          <w:b/>
          <w:spacing w:val="6"/>
          <w:sz w:val="32"/>
          <w:szCs w:val="32"/>
        </w:rPr>
      </w:pPr>
    </w:p>
    <w:p w14:paraId="6614AF71">
      <w:pPr>
        <w:spacing w:line="360" w:lineRule="auto"/>
        <w:rPr>
          <w:rFonts w:hint="eastAsia" w:ascii="宋体" w:hAnsi="宋体" w:cs="宋体"/>
          <w:b/>
          <w:spacing w:val="6"/>
          <w:sz w:val="32"/>
          <w:szCs w:val="32"/>
        </w:rPr>
      </w:pPr>
      <w:r>
        <w:rPr>
          <w:rFonts w:hint="eastAsia" w:ascii="宋体" w:hAnsi="宋体" w:cs="宋体"/>
          <w:b/>
          <w:spacing w:val="6"/>
          <w:sz w:val="32"/>
          <w:szCs w:val="32"/>
        </w:rPr>
        <w:t>附件</w:t>
      </w:r>
      <w:r>
        <w:rPr>
          <w:rFonts w:hint="eastAsia" w:ascii="宋体" w:hAnsi="宋体" w:cs="宋体"/>
          <w:b/>
          <w:spacing w:val="6"/>
          <w:sz w:val="32"/>
          <w:szCs w:val="32"/>
          <w:lang w:val="en-US" w:eastAsia="zh-CN"/>
        </w:rPr>
        <w:t>2</w:t>
      </w:r>
      <w:r>
        <w:rPr>
          <w:rFonts w:hint="eastAsia" w:ascii="宋体" w:hAnsi="宋体" w:cs="宋体"/>
          <w:b/>
          <w:spacing w:val="6"/>
          <w:sz w:val="32"/>
          <w:szCs w:val="32"/>
        </w:rPr>
        <w:t>：</w:t>
      </w:r>
    </w:p>
    <w:p w14:paraId="79420CEB">
      <w:pPr>
        <w:spacing w:line="360" w:lineRule="auto"/>
        <w:jc w:val="center"/>
        <w:rPr>
          <w:rFonts w:ascii="宋体" w:hAnsi="宋体" w:cs="宋体"/>
          <w:sz w:val="24"/>
          <w:u w:val="single"/>
        </w:rPr>
      </w:pPr>
    </w:p>
    <w:p w14:paraId="1EA1A569">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72935F03">
      <w:pPr>
        <w:spacing w:line="360" w:lineRule="auto"/>
        <w:ind w:firstLine="480" w:firstLineChars="200"/>
        <w:rPr>
          <w:rFonts w:ascii="宋体" w:hAnsi="宋体" w:cs="宋体"/>
          <w:color w:val="auto"/>
          <w:sz w:val="24"/>
        </w:rPr>
      </w:pPr>
      <w:r>
        <w:rPr>
          <w:rFonts w:hint="eastAsia" w:ascii="宋体" w:hAnsi="宋体" w:cs="宋体"/>
          <w:sz w:val="24"/>
        </w:rPr>
        <w:t>本公司（联合体）郑重声明，根据《政府采购促进中小企业发展管理办法》（财库﹝2020﹞46 号）的规定，本公司（联合体）参</w:t>
      </w:r>
      <w:r>
        <w:rPr>
          <w:rFonts w:hint="eastAsia" w:ascii="宋体" w:hAnsi="宋体" w:cs="宋体"/>
          <w:color w:val="auto"/>
          <w:sz w:val="24"/>
        </w:rPr>
        <w:t xml:space="preserve">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w:t>
      </w:r>
      <w:r>
        <w:rPr>
          <w:rFonts w:hint="eastAsia" w:ascii="宋体" w:hAnsi="宋体" w:cs="宋体"/>
          <w:b/>
          <w:bCs/>
          <w:color w:val="auto"/>
          <w:sz w:val="24"/>
        </w:rPr>
        <w:t>提供的货物全部由符合政策要求的中小企业制造。</w:t>
      </w:r>
      <w:r>
        <w:rPr>
          <w:rFonts w:hint="eastAsia" w:ascii="宋体" w:hAnsi="宋体" w:cs="宋体"/>
          <w:color w:val="auto"/>
          <w:sz w:val="24"/>
        </w:rPr>
        <w:t>相关企业的具体情况如下：</w:t>
      </w:r>
    </w:p>
    <w:p w14:paraId="0484DC33">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078818E9">
      <w:pPr>
        <w:spacing w:line="360" w:lineRule="auto"/>
        <w:ind w:firstLine="480" w:firstLineChars="200"/>
        <w:rPr>
          <w:rFonts w:ascii="宋体" w:hAnsi="宋体" w:cs="宋体"/>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w:t>
      </w:r>
      <w:r>
        <w:rPr>
          <w:rFonts w:hint="eastAsia" w:ascii="宋体" w:hAnsi="宋体" w:cs="宋体"/>
          <w:sz w:val="24"/>
        </w:rPr>
        <w:t>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232CFFC7">
      <w:pPr>
        <w:spacing w:line="360" w:lineRule="auto"/>
        <w:ind w:firstLine="480" w:firstLineChars="200"/>
        <w:rPr>
          <w:rFonts w:ascii="宋体" w:hAnsi="宋体" w:cs="宋体"/>
          <w:sz w:val="24"/>
        </w:rPr>
      </w:pPr>
      <w:r>
        <w:rPr>
          <w:rFonts w:hint="eastAsia" w:ascii="宋体" w:hAnsi="宋体" w:cs="宋体"/>
          <w:sz w:val="24"/>
        </w:rPr>
        <w:t>……</w:t>
      </w:r>
    </w:p>
    <w:p w14:paraId="36041824">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FA43372">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3110D399">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16E9C91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5532322">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从业人员、营业收入、资产总额填报上一年度数据，无上一年度数据的新成立企业可不填报。</w:t>
      </w:r>
    </w:p>
    <w:p w14:paraId="3F1D0FF3">
      <w:pPr>
        <w:spacing w:line="360" w:lineRule="auto"/>
        <w:ind w:right="420" w:firstLine="480" w:firstLineChars="200"/>
        <w:rPr>
          <w:rFonts w:ascii="宋体" w:hAnsi="宋体" w:cs="宋体"/>
          <w:sz w:val="24"/>
        </w:rPr>
      </w:pPr>
      <w:r>
        <w:rPr>
          <w:rFonts w:hint="eastAsia" w:ascii="宋体" w:hAnsi="宋体" w:cs="宋体"/>
          <w:sz w:val="24"/>
        </w:rPr>
        <w:t>注：</w:t>
      </w:r>
    </w:p>
    <w:p w14:paraId="25153189">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3B7C5EAA">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31A3FE9">
      <w:pPr>
        <w:spacing w:line="360" w:lineRule="auto"/>
        <w:jc w:val="center"/>
        <w:rPr>
          <w:rFonts w:ascii="宋体" w:hAnsi="宋体" w:cs="宋体"/>
          <w:b/>
          <w:sz w:val="32"/>
          <w:szCs w:val="32"/>
        </w:rPr>
      </w:pPr>
    </w:p>
    <w:p w14:paraId="63F7CC48">
      <w:pPr>
        <w:spacing w:line="360" w:lineRule="auto"/>
        <w:jc w:val="center"/>
        <w:rPr>
          <w:rFonts w:ascii="宋体" w:hAnsi="宋体" w:cs="宋体"/>
          <w:b/>
          <w:sz w:val="32"/>
          <w:szCs w:val="32"/>
        </w:rPr>
      </w:pPr>
    </w:p>
    <w:p w14:paraId="61CDC5BD">
      <w:pPr>
        <w:spacing w:line="360" w:lineRule="auto"/>
        <w:jc w:val="center"/>
        <w:rPr>
          <w:rFonts w:ascii="宋体" w:hAnsi="宋体" w:cs="宋体"/>
          <w:b/>
          <w:sz w:val="32"/>
          <w:szCs w:val="32"/>
        </w:rPr>
      </w:pPr>
    </w:p>
    <w:p w14:paraId="2AADD5DE">
      <w:pPr>
        <w:spacing w:line="360" w:lineRule="auto"/>
        <w:rPr>
          <w:rFonts w:ascii="宋体" w:hAnsi="宋体" w:cs="宋体"/>
          <w:bCs/>
          <w:sz w:val="24"/>
        </w:rPr>
      </w:pPr>
    </w:p>
    <w:p w14:paraId="0C343BFB">
      <w:pPr>
        <w:spacing w:line="360" w:lineRule="auto"/>
        <w:jc w:val="center"/>
        <w:rPr>
          <w:rFonts w:ascii="宋体" w:hAnsi="宋体" w:cs="宋体"/>
          <w:b/>
          <w:sz w:val="32"/>
          <w:szCs w:val="32"/>
        </w:rPr>
      </w:pPr>
      <w:r>
        <w:rPr>
          <w:rFonts w:ascii="宋体" w:hAnsi="宋体" w:cs="宋体"/>
          <w:b/>
          <w:kern w:val="0"/>
          <w:sz w:val="32"/>
          <w:szCs w:val="32"/>
        </w:rPr>
        <w:br w:type="page"/>
      </w:r>
    </w:p>
    <w:p w14:paraId="0C058FD8">
      <w:pPr>
        <w:spacing w:line="360" w:lineRule="auto"/>
        <w:jc w:val="center"/>
        <w:rPr>
          <w:rFonts w:ascii="宋体" w:hAnsi="宋体" w:cs="宋体"/>
          <w:b/>
          <w:sz w:val="32"/>
          <w:szCs w:val="32"/>
        </w:rPr>
      </w:pPr>
    </w:p>
    <w:p w14:paraId="200E94B3">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6BC74B78">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3A7796B">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3F5793F2">
      <w:pPr>
        <w:snapToGrid w:val="0"/>
        <w:spacing w:line="360" w:lineRule="auto"/>
        <w:ind w:firstLine="480" w:firstLineChars="200"/>
        <w:rPr>
          <w:rFonts w:ascii="宋体" w:hAnsi="宋体" w:cs="宋体"/>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）符合性审查资料</w:t>
      </w:r>
      <w:r>
        <w:rPr>
          <w:rFonts w:hint="eastAsia" w:ascii="宋体" w:hAnsi="宋体" w:cs="宋体"/>
        </w:rPr>
        <w:t>………………………………………………………………………（页码）</w:t>
      </w:r>
    </w:p>
    <w:p w14:paraId="2C2C7BA8">
      <w:pPr>
        <w:snapToGrid w:val="0"/>
        <w:spacing w:line="360" w:lineRule="auto"/>
        <w:ind w:left="479" w:leftChars="228"/>
        <w:rPr>
          <w:rFonts w:ascii="宋体" w:hAnsi="宋体" w:cs="宋体"/>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hint="eastAsia" w:ascii="宋体" w:hAnsi="宋体" w:cs="宋体"/>
          <w:sz w:val="24"/>
          <w:lang w:val="en-US" w:eastAsia="zh-CN"/>
        </w:rPr>
        <w:t>6</w:t>
      </w:r>
      <w:r>
        <w:rPr>
          <w:rFonts w:hint="eastAsia" w:ascii="宋体" w:hAnsi="宋体" w:cs="宋体"/>
          <w:sz w:val="24"/>
        </w:rPr>
        <w:t>）商务技术偏离表</w:t>
      </w:r>
      <w:r>
        <w:rPr>
          <w:rFonts w:hint="eastAsia" w:ascii="宋体" w:hAnsi="宋体" w:cs="宋体"/>
        </w:rPr>
        <w:t>………………………………………………………………………（页码）</w:t>
      </w:r>
    </w:p>
    <w:p w14:paraId="6747AA7B">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r>
        <w:rPr>
          <w:rFonts w:hint="eastAsia" w:ascii="宋体" w:hAnsi="宋体" w:cs="宋体"/>
        </w:rPr>
        <w:t>…………………………………………………（页码）</w:t>
      </w:r>
    </w:p>
    <w:p w14:paraId="3DE37ECD">
      <w:pPr>
        <w:snapToGrid w:val="0"/>
        <w:spacing w:line="360" w:lineRule="auto"/>
        <w:jc w:val="center"/>
        <w:rPr>
          <w:rFonts w:ascii="宋体" w:hAnsi="宋体" w:cs="宋体"/>
          <w:b/>
          <w:kern w:val="0"/>
          <w:sz w:val="32"/>
          <w:szCs w:val="32"/>
          <w:lang w:val="zh-CN"/>
        </w:rPr>
      </w:pPr>
    </w:p>
    <w:p w14:paraId="2A46BEF2">
      <w:pPr>
        <w:snapToGrid w:val="0"/>
        <w:spacing w:line="360" w:lineRule="auto"/>
        <w:jc w:val="center"/>
        <w:rPr>
          <w:rFonts w:ascii="宋体" w:hAnsi="宋体" w:cs="宋体"/>
          <w:b/>
          <w:kern w:val="0"/>
          <w:sz w:val="32"/>
          <w:szCs w:val="32"/>
          <w:lang w:val="zh-CN"/>
        </w:rPr>
      </w:pPr>
    </w:p>
    <w:p w14:paraId="562CF817">
      <w:pPr>
        <w:snapToGrid w:val="0"/>
        <w:spacing w:line="360" w:lineRule="auto"/>
        <w:jc w:val="center"/>
        <w:rPr>
          <w:rFonts w:ascii="宋体" w:hAnsi="宋体" w:cs="宋体"/>
          <w:b/>
          <w:kern w:val="0"/>
          <w:sz w:val="32"/>
          <w:szCs w:val="32"/>
          <w:lang w:val="zh-CN"/>
        </w:rPr>
      </w:pPr>
    </w:p>
    <w:p w14:paraId="7FC05ADD">
      <w:pPr>
        <w:snapToGrid w:val="0"/>
        <w:spacing w:line="360" w:lineRule="auto"/>
        <w:jc w:val="center"/>
        <w:rPr>
          <w:rFonts w:ascii="宋体" w:hAnsi="宋体" w:cs="宋体"/>
          <w:b/>
          <w:kern w:val="0"/>
          <w:sz w:val="32"/>
          <w:szCs w:val="32"/>
          <w:lang w:val="zh-CN"/>
        </w:rPr>
      </w:pPr>
    </w:p>
    <w:p w14:paraId="79B7E884">
      <w:pPr>
        <w:snapToGrid w:val="0"/>
        <w:spacing w:line="360" w:lineRule="auto"/>
        <w:jc w:val="center"/>
        <w:rPr>
          <w:rFonts w:ascii="宋体" w:hAnsi="宋体" w:cs="宋体"/>
          <w:b/>
          <w:kern w:val="0"/>
          <w:sz w:val="32"/>
          <w:szCs w:val="32"/>
          <w:lang w:val="zh-CN"/>
        </w:rPr>
      </w:pPr>
    </w:p>
    <w:p w14:paraId="1E6DA95D">
      <w:pPr>
        <w:snapToGrid w:val="0"/>
        <w:spacing w:line="360" w:lineRule="auto"/>
        <w:jc w:val="center"/>
        <w:outlineLvl w:val="0"/>
        <w:rPr>
          <w:rFonts w:ascii="宋体" w:hAnsi="宋体" w:cs="宋体"/>
          <w:b/>
          <w:kern w:val="0"/>
          <w:sz w:val="32"/>
          <w:szCs w:val="32"/>
        </w:rPr>
      </w:pPr>
    </w:p>
    <w:p w14:paraId="320D9BB9">
      <w:pPr>
        <w:snapToGrid w:val="0"/>
        <w:spacing w:line="360" w:lineRule="auto"/>
        <w:jc w:val="center"/>
        <w:outlineLvl w:val="0"/>
        <w:rPr>
          <w:rFonts w:ascii="宋体" w:hAnsi="宋体" w:cs="宋体"/>
          <w:b/>
          <w:kern w:val="0"/>
          <w:sz w:val="32"/>
          <w:szCs w:val="32"/>
        </w:rPr>
      </w:pPr>
    </w:p>
    <w:p w14:paraId="6353625A">
      <w:pPr>
        <w:rPr>
          <w:rFonts w:ascii="宋体" w:hAnsi="宋体" w:cs="宋体"/>
        </w:rPr>
      </w:pPr>
    </w:p>
    <w:p w14:paraId="1306851D">
      <w:pPr>
        <w:snapToGrid w:val="0"/>
        <w:spacing w:line="360" w:lineRule="auto"/>
        <w:jc w:val="center"/>
        <w:outlineLvl w:val="0"/>
        <w:rPr>
          <w:rFonts w:ascii="宋体" w:hAnsi="宋体" w:cs="宋体"/>
          <w:b/>
          <w:kern w:val="0"/>
          <w:sz w:val="32"/>
          <w:szCs w:val="32"/>
        </w:rPr>
      </w:pPr>
    </w:p>
    <w:p w14:paraId="532AA912">
      <w:pPr>
        <w:snapToGrid w:val="0"/>
        <w:spacing w:line="360" w:lineRule="auto"/>
        <w:jc w:val="center"/>
        <w:outlineLvl w:val="0"/>
        <w:rPr>
          <w:rFonts w:ascii="宋体" w:hAnsi="宋体" w:cs="宋体"/>
          <w:b/>
          <w:kern w:val="0"/>
          <w:sz w:val="32"/>
          <w:szCs w:val="32"/>
        </w:rPr>
      </w:pPr>
    </w:p>
    <w:p w14:paraId="19C62DB8">
      <w:pPr>
        <w:pStyle w:val="4"/>
        <w:rPr>
          <w:lang w:val="en-US"/>
        </w:rPr>
      </w:pPr>
    </w:p>
    <w:p w14:paraId="124A9603"/>
    <w:p w14:paraId="7107B10B">
      <w:pPr>
        <w:snapToGrid w:val="0"/>
        <w:spacing w:line="360" w:lineRule="auto"/>
        <w:ind w:firstLine="3855" w:firstLineChars="1200"/>
        <w:outlineLvl w:val="0"/>
        <w:rPr>
          <w:rFonts w:ascii="宋体" w:hAnsi="宋体" w:cs="宋体"/>
          <w:b/>
          <w:kern w:val="0"/>
          <w:sz w:val="32"/>
          <w:szCs w:val="32"/>
        </w:rPr>
      </w:pPr>
    </w:p>
    <w:p w14:paraId="6BE06CF3">
      <w:pPr>
        <w:snapToGrid w:val="0"/>
        <w:spacing w:line="360" w:lineRule="auto"/>
        <w:ind w:firstLine="3855" w:firstLineChars="1200"/>
        <w:outlineLvl w:val="0"/>
        <w:rPr>
          <w:rFonts w:ascii="宋体" w:hAnsi="宋体" w:cs="宋体"/>
          <w:b/>
          <w:kern w:val="0"/>
          <w:sz w:val="32"/>
          <w:szCs w:val="32"/>
        </w:rPr>
      </w:pPr>
    </w:p>
    <w:p w14:paraId="21420435">
      <w:pPr>
        <w:snapToGrid w:val="0"/>
        <w:spacing w:line="360" w:lineRule="auto"/>
        <w:ind w:firstLine="3855" w:firstLineChars="1200"/>
        <w:outlineLvl w:val="0"/>
        <w:rPr>
          <w:rFonts w:ascii="宋体" w:hAnsi="宋体" w:cs="宋体"/>
          <w:b/>
          <w:kern w:val="0"/>
          <w:sz w:val="32"/>
          <w:szCs w:val="32"/>
        </w:rPr>
      </w:pPr>
    </w:p>
    <w:p w14:paraId="21ED85C9">
      <w:pPr>
        <w:widowControl/>
        <w:adjustRightInd/>
        <w:jc w:val="left"/>
        <w:rPr>
          <w:rFonts w:ascii="宋体" w:hAnsi="宋体" w:cs="宋体"/>
          <w:b/>
          <w:kern w:val="0"/>
          <w:sz w:val="32"/>
          <w:szCs w:val="32"/>
        </w:rPr>
      </w:pPr>
      <w:r>
        <w:rPr>
          <w:rFonts w:ascii="宋体" w:hAnsi="宋体" w:cs="宋体"/>
          <w:b/>
          <w:kern w:val="0"/>
          <w:sz w:val="32"/>
          <w:szCs w:val="32"/>
        </w:rPr>
        <w:br w:type="page"/>
      </w:r>
    </w:p>
    <w:p w14:paraId="163CA05F">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21B58793">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075F8169">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600CF79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7ABFCBC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7EF2809C">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6543E34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5011BF09">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w:t>
      </w:r>
      <w:r>
        <w:rPr>
          <w:rFonts w:ascii="宋体" w:hAnsi="宋体" w:cs="宋体"/>
          <w:color w:val="auto"/>
          <w:sz w:val="24"/>
        </w:rPr>
        <w:t>.1.</w:t>
      </w: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C021A83">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lang w:val="en-US" w:eastAsia="zh-CN"/>
        </w:rPr>
        <w:t>2.1.3</w:t>
      </w:r>
      <w:r>
        <w:rPr>
          <w:rFonts w:hint="eastAsia" w:ascii="宋体" w:hAnsi="宋体" w:cs="宋体"/>
          <w:color w:val="auto"/>
          <w:sz w:val="24"/>
        </w:rPr>
        <w:t>中小企业声明函</w:t>
      </w:r>
    </w:p>
    <w:p w14:paraId="67FFBC5F">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BDC0D39">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64DDE73B">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06055E2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3</w:t>
      </w:r>
      <w:r>
        <w:rPr>
          <w:rFonts w:hint="eastAsia" w:ascii="宋体" w:hAnsi="宋体" w:cs="宋体"/>
          <w:sz w:val="24"/>
        </w:rPr>
        <w:t>符合性审查资料；</w:t>
      </w:r>
    </w:p>
    <w:p w14:paraId="42ADA8D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4</w:t>
      </w:r>
      <w:r>
        <w:rPr>
          <w:rFonts w:hint="eastAsia" w:ascii="宋体" w:hAnsi="宋体" w:cs="宋体"/>
          <w:sz w:val="24"/>
        </w:rPr>
        <w:t>评标标准相应的商务技术资料；</w:t>
      </w:r>
    </w:p>
    <w:p w14:paraId="2E2128B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5</w:t>
      </w:r>
      <w:r>
        <w:rPr>
          <w:rFonts w:hint="eastAsia" w:ascii="宋体" w:hAnsi="宋体" w:cs="宋体"/>
          <w:sz w:val="24"/>
        </w:rPr>
        <w:t>投标标的清单；</w:t>
      </w:r>
    </w:p>
    <w:p w14:paraId="26847DB7">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hint="eastAsia" w:ascii="宋体" w:hAnsi="宋体" w:cs="宋体"/>
          <w:sz w:val="24"/>
          <w:lang w:val="en-US" w:eastAsia="zh-CN"/>
        </w:rPr>
        <w:t>6</w:t>
      </w:r>
      <w:r>
        <w:rPr>
          <w:rFonts w:hint="eastAsia" w:ascii="宋体" w:hAnsi="宋体" w:cs="宋体"/>
          <w:sz w:val="24"/>
        </w:rPr>
        <w:t>商务技术偏离表；</w:t>
      </w:r>
    </w:p>
    <w:p w14:paraId="33F39634">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7</w:t>
      </w:r>
      <w:r>
        <w:rPr>
          <w:rFonts w:hint="eastAsia" w:ascii="宋体" w:hAnsi="宋体" w:cs="宋体"/>
          <w:sz w:val="24"/>
          <w:lang w:val="zh-CN"/>
        </w:rPr>
        <w:t>政府采购供应商廉洁自律承诺书；</w:t>
      </w:r>
    </w:p>
    <w:p w14:paraId="3002E73B">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06FAAE6A">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0A94FBA6">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48DAAA5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98BA76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413E14F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17B44282">
      <w:pPr>
        <w:snapToGrid w:val="0"/>
        <w:spacing w:line="360" w:lineRule="auto"/>
        <w:ind w:left="210" w:leftChars="100"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en-US" w:eastAsia="zh-CN"/>
        </w:rPr>
        <w:t>3</w:t>
      </w:r>
      <w:r>
        <w:rPr>
          <w:rFonts w:hint="eastAsia" w:ascii="宋体" w:hAnsi="宋体" w:cs="宋体"/>
          <w:sz w:val="24"/>
        </w:rPr>
        <w:t xml:space="preserve">在合同约定的期限内完成合同规定的全部义务。 </w:t>
      </w:r>
    </w:p>
    <w:p w14:paraId="3F9AEC4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1EA2A7C3">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659B9E91">
      <w:pPr>
        <w:spacing w:line="360" w:lineRule="auto"/>
        <w:jc w:val="center"/>
        <w:rPr>
          <w:rFonts w:ascii="宋体" w:hAnsi="宋体" w:cs="宋体"/>
          <w:sz w:val="24"/>
        </w:rPr>
      </w:pPr>
      <w:r>
        <w:rPr>
          <w:rFonts w:hint="eastAsia" w:ascii="宋体" w:hAnsi="宋体" w:cs="宋体"/>
          <w:sz w:val="24"/>
        </w:rPr>
        <w:t xml:space="preserve">     日期：  年   月   日</w:t>
      </w:r>
    </w:p>
    <w:p w14:paraId="23806694">
      <w:pPr>
        <w:spacing w:line="360" w:lineRule="auto"/>
        <w:ind w:right="420"/>
        <w:rPr>
          <w:rFonts w:ascii="宋体" w:hAnsi="宋体" w:cs="宋体"/>
          <w:sz w:val="24"/>
        </w:rPr>
      </w:pPr>
      <w:r>
        <w:rPr>
          <w:rFonts w:hint="eastAsia" w:ascii="宋体" w:hAnsi="宋体" w:cs="宋体"/>
          <w:sz w:val="24"/>
        </w:rPr>
        <w:t>注：按本格式和要求提供。</w:t>
      </w:r>
    </w:p>
    <w:p w14:paraId="5864B753">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48C80E8E">
      <w:pPr>
        <w:snapToGrid w:val="0"/>
        <w:spacing w:line="360" w:lineRule="auto"/>
        <w:rPr>
          <w:rFonts w:ascii="宋体" w:hAnsi="宋体" w:cs="宋体"/>
          <w:sz w:val="24"/>
        </w:rPr>
      </w:pPr>
      <w:r>
        <w:rPr>
          <w:rFonts w:hint="eastAsia" w:ascii="宋体" w:hAnsi="宋体" w:cs="宋体"/>
          <w:sz w:val="24"/>
        </w:rPr>
        <w:t xml:space="preserve">                                </w:t>
      </w:r>
    </w:p>
    <w:p w14:paraId="1C4FE492">
      <w:pPr>
        <w:snapToGrid w:val="0"/>
        <w:spacing w:line="360" w:lineRule="auto"/>
        <w:ind w:firstLine="3511" w:firstLineChars="1093"/>
        <w:rPr>
          <w:rFonts w:ascii="宋体" w:hAnsi="宋体" w:cs="宋体"/>
        </w:rPr>
      </w:pPr>
      <w:r>
        <w:rPr>
          <w:rFonts w:hint="eastAsia" w:ascii="宋体" w:hAnsi="宋体" w:cs="宋体"/>
          <w:b/>
          <w:kern w:val="0"/>
          <w:sz w:val="32"/>
          <w:szCs w:val="32"/>
          <w:lang w:val="zh-CN"/>
        </w:rPr>
        <w:t>授权委托书</w:t>
      </w:r>
      <w:r>
        <w:rPr>
          <w:rFonts w:hint="eastAsia" w:ascii="宋体" w:hAnsi="宋体" w:cs="宋体"/>
        </w:rPr>
        <w:t xml:space="preserve">                           </w:t>
      </w:r>
    </w:p>
    <w:p w14:paraId="4F61E388">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785B8E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FCD1BC8">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77CB29D5">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3088CFA2">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E194CCD">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77B049EE">
      <w:pPr>
        <w:snapToGrid w:val="0"/>
        <w:spacing w:line="360" w:lineRule="auto"/>
        <w:rPr>
          <w:rFonts w:ascii="宋体" w:hAnsi="宋体" w:cs="宋体"/>
          <w:sz w:val="24"/>
        </w:rPr>
      </w:pPr>
    </w:p>
    <w:p w14:paraId="59DF02C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6C325095">
      <w:pPr>
        <w:pStyle w:val="154"/>
        <w:spacing w:line="360" w:lineRule="auto"/>
        <w:rPr>
          <w:rFonts w:hAnsi="宋体" w:cs="宋体"/>
          <w:bCs/>
          <w:sz w:val="24"/>
        </w:rPr>
      </w:pPr>
      <w:r>
        <w:rPr>
          <w:rFonts w:hint="eastAsia" w:hAnsi="宋体" w:cs="宋体"/>
          <w:bCs/>
          <w:sz w:val="24"/>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DE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9207" w:type="dxa"/>
          </w:tcPr>
          <w:p w14:paraId="21F824BF">
            <w:pPr>
              <w:pStyle w:val="154"/>
              <w:adjustRightInd w:val="0"/>
              <w:spacing w:line="360" w:lineRule="auto"/>
              <w:rPr>
                <w:rFonts w:hAnsi="宋体" w:cs="宋体"/>
                <w:bCs/>
                <w:sz w:val="24"/>
              </w:rPr>
            </w:pPr>
            <w:r>
              <w:rPr>
                <w:rFonts w:hint="eastAsia" w:hAnsi="宋体" w:cs="宋体"/>
                <w:bCs/>
                <w:sz w:val="24"/>
              </w:rPr>
              <w:t>正面：                                 反面：</w:t>
            </w:r>
          </w:p>
          <w:p w14:paraId="314AB42D">
            <w:pPr>
              <w:pStyle w:val="154"/>
              <w:adjustRightInd w:val="0"/>
              <w:spacing w:line="360" w:lineRule="auto"/>
              <w:rPr>
                <w:rFonts w:hAnsi="宋体" w:cs="宋体"/>
                <w:bCs/>
                <w:sz w:val="24"/>
              </w:rPr>
            </w:pPr>
          </w:p>
        </w:tc>
      </w:tr>
    </w:tbl>
    <w:p w14:paraId="7389D728">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040A58E9">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1EF61675">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227210E">
      <w:pPr>
        <w:jc w:val="center"/>
        <w:rPr>
          <w:rFonts w:ascii="宋体" w:hAnsi="宋体" w:cs="宋体"/>
          <w:b/>
          <w:kern w:val="0"/>
          <w:sz w:val="32"/>
          <w:szCs w:val="32"/>
        </w:rPr>
      </w:pPr>
    </w:p>
    <w:p w14:paraId="1459CD37">
      <w:pPr>
        <w:jc w:val="center"/>
        <w:rPr>
          <w:rFonts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、符合性审查资料</w:t>
      </w:r>
    </w:p>
    <w:p w14:paraId="035A1616">
      <w:pPr>
        <w:jc w:val="center"/>
        <w:rPr>
          <w:rFonts w:ascii="宋体" w:hAnsi="宋体" w:cs="宋体"/>
          <w:b/>
          <w:kern w:val="0"/>
          <w:sz w:val="32"/>
          <w:szCs w:val="32"/>
        </w:rPr>
      </w:pPr>
    </w:p>
    <w:tbl>
      <w:tblPr>
        <w:tblStyle w:val="65"/>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0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3711D42F">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7BDA9349">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1C3DF40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7E5D3A0A">
            <w:pPr>
              <w:snapToGrid w:val="0"/>
              <w:spacing w:line="240" w:lineRule="atLeast"/>
              <w:jc w:val="center"/>
              <w:rPr>
                <w:rFonts w:ascii="宋体" w:hAnsi="宋体" w:cs="宋体"/>
                <w:b/>
                <w:sz w:val="24"/>
              </w:rPr>
            </w:pPr>
            <w:r>
              <w:rPr>
                <w:rFonts w:hint="eastAsia" w:ascii="宋体" w:hAnsi="宋体" w:cs="宋体"/>
                <w:b/>
                <w:sz w:val="24"/>
              </w:rPr>
              <w:t>投标文件中的</w:t>
            </w:r>
          </w:p>
          <w:p w14:paraId="578E9D7A">
            <w:pPr>
              <w:snapToGrid w:val="0"/>
              <w:spacing w:line="240" w:lineRule="atLeast"/>
              <w:jc w:val="center"/>
              <w:rPr>
                <w:rFonts w:ascii="宋体" w:hAnsi="宋体" w:cs="宋体"/>
                <w:b/>
                <w:sz w:val="24"/>
              </w:rPr>
            </w:pPr>
            <w:r>
              <w:rPr>
                <w:rFonts w:hint="eastAsia" w:ascii="宋体" w:hAnsi="宋体" w:cs="宋体"/>
                <w:b/>
                <w:sz w:val="24"/>
              </w:rPr>
              <w:t>页码位置</w:t>
            </w:r>
          </w:p>
        </w:tc>
      </w:tr>
      <w:tr w14:paraId="4D4D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56524DF">
            <w:pPr>
              <w:jc w:val="center"/>
              <w:rPr>
                <w:rFonts w:ascii="宋体" w:hAnsi="宋体" w:cs="宋体"/>
                <w:sz w:val="24"/>
              </w:rPr>
            </w:pPr>
            <w:r>
              <w:rPr>
                <w:rFonts w:hint="eastAsia" w:ascii="宋体" w:hAnsi="宋体" w:cs="宋体"/>
                <w:sz w:val="24"/>
              </w:rPr>
              <w:t>1</w:t>
            </w:r>
          </w:p>
        </w:tc>
        <w:tc>
          <w:tcPr>
            <w:tcW w:w="4991" w:type="dxa"/>
          </w:tcPr>
          <w:p w14:paraId="0767F20A">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8B336E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0BD7FBF8">
            <w:pPr>
              <w:rPr>
                <w:rFonts w:ascii="宋体" w:hAnsi="宋体" w:cs="宋体"/>
                <w:sz w:val="24"/>
              </w:rPr>
            </w:pPr>
          </w:p>
          <w:p w14:paraId="508BEA32">
            <w:pPr>
              <w:rPr>
                <w:rFonts w:ascii="宋体" w:hAnsi="宋体" w:cs="宋体"/>
                <w:sz w:val="24"/>
              </w:rPr>
            </w:pPr>
            <w:r>
              <w:rPr>
                <w:rFonts w:hint="eastAsia" w:ascii="宋体" w:hAnsi="宋体" w:cs="宋体"/>
                <w:sz w:val="24"/>
              </w:rPr>
              <w:t>见投标文件</w:t>
            </w:r>
          </w:p>
          <w:p w14:paraId="75E9ECE4">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9EF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D27E5AB">
            <w:pPr>
              <w:jc w:val="center"/>
              <w:rPr>
                <w:rFonts w:ascii="宋体" w:hAnsi="宋体" w:cs="宋体"/>
                <w:sz w:val="24"/>
              </w:rPr>
            </w:pPr>
            <w:r>
              <w:rPr>
                <w:rFonts w:hint="eastAsia" w:ascii="宋体" w:hAnsi="宋体" w:cs="宋体"/>
                <w:sz w:val="24"/>
              </w:rPr>
              <w:t>2</w:t>
            </w:r>
          </w:p>
        </w:tc>
        <w:tc>
          <w:tcPr>
            <w:tcW w:w="4991" w:type="dxa"/>
          </w:tcPr>
          <w:p w14:paraId="36A114DA">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15993D3F">
            <w:pPr>
              <w:rPr>
                <w:rFonts w:ascii="宋体" w:hAnsi="宋体" w:cs="宋体"/>
                <w:sz w:val="24"/>
              </w:rPr>
            </w:pPr>
            <w:r>
              <w:rPr>
                <w:rFonts w:hint="eastAsia" w:ascii="宋体" w:hAnsi="宋体" w:cs="宋体"/>
                <w:sz w:val="24"/>
              </w:rPr>
              <w:t>投标函</w:t>
            </w:r>
          </w:p>
        </w:tc>
        <w:tc>
          <w:tcPr>
            <w:tcW w:w="1418" w:type="dxa"/>
          </w:tcPr>
          <w:p w14:paraId="45DA1CA9">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6ACF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443A9C46">
            <w:pPr>
              <w:jc w:val="center"/>
              <w:rPr>
                <w:rFonts w:ascii="宋体" w:hAnsi="宋体" w:cs="宋体"/>
                <w:sz w:val="24"/>
              </w:rPr>
            </w:pPr>
            <w:r>
              <w:rPr>
                <w:rFonts w:hint="eastAsia" w:ascii="宋体" w:hAnsi="宋体" w:cs="宋体"/>
                <w:sz w:val="24"/>
              </w:rPr>
              <w:t>3</w:t>
            </w:r>
          </w:p>
        </w:tc>
        <w:tc>
          <w:tcPr>
            <w:tcW w:w="4991" w:type="dxa"/>
          </w:tcPr>
          <w:p w14:paraId="4384E754">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2899780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778F52CE">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15EA0F2">
      <w:pPr>
        <w:spacing w:line="360" w:lineRule="auto"/>
        <w:ind w:right="420"/>
        <w:rPr>
          <w:rFonts w:ascii="宋体" w:hAnsi="宋体" w:cs="宋体"/>
          <w:sz w:val="24"/>
        </w:rPr>
      </w:pPr>
      <w:r>
        <w:rPr>
          <w:rFonts w:hint="eastAsia" w:ascii="宋体" w:hAnsi="宋体" w:cs="宋体"/>
          <w:sz w:val="24"/>
        </w:rPr>
        <w:t>注：按本格式和要求提供。</w:t>
      </w:r>
    </w:p>
    <w:p w14:paraId="08815729">
      <w:pPr>
        <w:jc w:val="center"/>
        <w:rPr>
          <w:rFonts w:ascii="宋体" w:hAnsi="宋体" w:cs="宋体"/>
          <w:b/>
          <w:kern w:val="0"/>
          <w:sz w:val="32"/>
          <w:szCs w:val="32"/>
        </w:rPr>
      </w:pPr>
    </w:p>
    <w:p w14:paraId="1A191763">
      <w:pPr>
        <w:jc w:val="center"/>
        <w:rPr>
          <w:rFonts w:ascii="宋体" w:hAnsi="宋体" w:cs="宋体"/>
          <w:b/>
          <w:kern w:val="0"/>
          <w:sz w:val="32"/>
          <w:szCs w:val="32"/>
        </w:rPr>
      </w:pPr>
      <w:r>
        <w:rPr>
          <w:rFonts w:hint="eastAsia" w:ascii="宋体" w:hAnsi="宋体" w:cs="宋体"/>
          <w:b/>
          <w:kern w:val="0"/>
          <w:sz w:val="32"/>
          <w:szCs w:val="32"/>
        </w:rPr>
        <w:t xml:space="preserve">            </w:t>
      </w:r>
    </w:p>
    <w:p w14:paraId="125D0871">
      <w:pPr>
        <w:jc w:val="center"/>
        <w:rPr>
          <w:rFonts w:ascii="宋体" w:hAnsi="宋体" w:cs="宋体"/>
          <w:b/>
          <w:kern w:val="0"/>
          <w:sz w:val="32"/>
          <w:szCs w:val="32"/>
        </w:rPr>
      </w:pPr>
    </w:p>
    <w:p w14:paraId="1765F687">
      <w:pPr>
        <w:jc w:val="center"/>
        <w:rPr>
          <w:rFonts w:ascii="宋体" w:hAnsi="宋体" w:cs="宋体"/>
          <w:b/>
          <w:kern w:val="0"/>
          <w:sz w:val="32"/>
          <w:szCs w:val="32"/>
        </w:rPr>
      </w:pPr>
    </w:p>
    <w:p w14:paraId="5DADB78B">
      <w:pPr>
        <w:jc w:val="center"/>
        <w:rPr>
          <w:rFonts w:ascii="宋体" w:hAnsi="宋体" w:cs="宋体"/>
          <w:b/>
          <w:kern w:val="0"/>
          <w:sz w:val="32"/>
          <w:szCs w:val="32"/>
        </w:rPr>
      </w:pPr>
    </w:p>
    <w:p w14:paraId="7AA8B4F7">
      <w:pPr>
        <w:jc w:val="center"/>
        <w:rPr>
          <w:rFonts w:ascii="宋体" w:hAnsi="宋体" w:cs="宋体"/>
          <w:b/>
          <w:kern w:val="0"/>
          <w:sz w:val="32"/>
          <w:szCs w:val="32"/>
        </w:rPr>
      </w:pPr>
    </w:p>
    <w:p w14:paraId="00D8B7A8">
      <w:pPr>
        <w:widowControl/>
        <w:adjustRightInd/>
        <w:jc w:val="left"/>
        <w:rPr>
          <w:rFonts w:ascii="宋体" w:hAnsi="宋体" w:cs="宋体"/>
          <w:b/>
          <w:kern w:val="0"/>
          <w:sz w:val="32"/>
          <w:szCs w:val="32"/>
        </w:rPr>
      </w:pPr>
      <w:r>
        <w:rPr>
          <w:rFonts w:ascii="宋体" w:hAnsi="宋体" w:cs="宋体"/>
          <w:b/>
          <w:kern w:val="0"/>
          <w:sz w:val="32"/>
          <w:szCs w:val="32"/>
        </w:rPr>
        <w:br w:type="page"/>
      </w:r>
    </w:p>
    <w:p w14:paraId="17901EC2">
      <w:pPr>
        <w:jc w:val="center"/>
        <w:rPr>
          <w:rFonts w:ascii="宋体" w:hAnsi="宋体" w:cs="宋体"/>
        </w:rPr>
      </w:pPr>
      <w:r>
        <w:rPr>
          <w:rFonts w:hint="eastAsia" w:ascii="宋体" w:hAnsi="宋体" w:cs="宋体"/>
          <w:b/>
          <w:kern w:val="0"/>
          <w:sz w:val="32"/>
          <w:szCs w:val="32"/>
          <w:lang w:eastAsia="zh-CN"/>
        </w:rPr>
        <w:t>四</w:t>
      </w:r>
      <w:r>
        <w:rPr>
          <w:rFonts w:hint="eastAsia" w:ascii="宋体" w:hAnsi="宋体" w:cs="宋体"/>
          <w:b/>
          <w:kern w:val="0"/>
          <w:sz w:val="32"/>
          <w:szCs w:val="32"/>
        </w:rPr>
        <w:t>、评标标准相应的商务技术资料</w:t>
      </w:r>
    </w:p>
    <w:p w14:paraId="03E2F0A6">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14:paraId="5553484C">
      <w:pPr>
        <w:jc w:val="center"/>
        <w:rPr>
          <w:rFonts w:ascii="宋体" w:hAnsi="宋体" w:cs="宋体"/>
          <w:b/>
          <w:kern w:val="0"/>
          <w:sz w:val="32"/>
          <w:szCs w:val="32"/>
        </w:rPr>
      </w:pPr>
    </w:p>
    <w:p w14:paraId="6E547E0D">
      <w:pPr>
        <w:jc w:val="center"/>
        <w:rPr>
          <w:rFonts w:ascii="宋体" w:hAnsi="宋体" w:cs="宋体"/>
          <w:b/>
          <w:kern w:val="0"/>
          <w:sz w:val="32"/>
          <w:szCs w:val="32"/>
        </w:rPr>
      </w:pPr>
    </w:p>
    <w:p w14:paraId="290F3207">
      <w:pPr>
        <w:jc w:val="center"/>
        <w:rPr>
          <w:rFonts w:ascii="宋体" w:hAnsi="宋体" w:cs="宋体"/>
          <w:b/>
          <w:kern w:val="0"/>
          <w:sz w:val="32"/>
          <w:szCs w:val="32"/>
        </w:rPr>
      </w:pPr>
    </w:p>
    <w:p w14:paraId="493E3A95">
      <w:pPr>
        <w:ind w:firstLine="2891" w:firstLineChars="900"/>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、投标标的清单</w:t>
      </w:r>
    </w:p>
    <w:tbl>
      <w:tblPr>
        <w:tblStyle w:val="6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C574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0713FF">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C0F3FF8">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BC6FF34">
            <w:pPr>
              <w:spacing w:line="360" w:lineRule="auto"/>
              <w:jc w:val="center"/>
              <w:rPr>
                <w:rFonts w:ascii="宋体" w:hAnsi="宋体" w:cs="宋体"/>
                <w:b/>
                <w:sz w:val="24"/>
              </w:rPr>
            </w:pPr>
          </w:p>
          <w:p w14:paraId="1A5207D0">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088142FC">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A656468">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4469F5D">
            <w:pPr>
              <w:spacing w:line="360" w:lineRule="auto"/>
              <w:jc w:val="center"/>
              <w:rPr>
                <w:rFonts w:ascii="宋体" w:hAnsi="宋体" w:cs="宋体"/>
                <w:b/>
                <w:sz w:val="24"/>
              </w:rPr>
            </w:pPr>
            <w:r>
              <w:rPr>
                <w:rFonts w:hint="eastAsia" w:ascii="宋体" w:hAnsi="宋体" w:cs="宋体"/>
                <w:b/>
                <w:sz w:val="24"/>
              </w:rPr>
              <w:t>备注</w:t>
            </w:r>
          </w:p>
        </w:tc>
      </w:tr>
      <w:tr w14:paraId="30B0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4E8E809">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10F5255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731785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64C3E5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744796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C661574">
            <w:pPr>
              <w:spacing w:line="360" w:lineRule="auto"/>
              <w:jc w:val="center"/>
              <w:rPr>
                <w:rFonts w:ascii="宋体" w:hAnsi="宋体" w:cs="宋体"/>
                <w:sz w:val="24"/>
              </w:rPr>
            </w:pPr>
          </w:p>
        </w:tc>
      </w:tr>
      <w:tr w14:paraId="31B6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4842D47">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106965A">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12BB417">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2DCFC97">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51069E8">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7B931739">
            <w:pPr>
              <w:spacing w:line="360" w:lineRule="auto"/>
              <w:jc w:val="center"/>
              <w:rPr>
                <w:rFonts w:ascii="宋体" w:hAnsi="宋体" w:cs="宋体"/>
                <w:sz w:val="24"/>
              </w:rPr>
            </w:pPr>
          </w:p>
        </w:tc>
      </w:tr>
      <w:tr w14:paraId="1E08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42F219C">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30CC9B8D">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EC6593B">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B58B3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289BCC0">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1A7483C">
            <w:pPr>
              <w:spacing w:line="360" w:lineRule="auto"/>
              <w:jc w:val="center"/>
              <w:rPr>
                <w:rFonts w:ascii="宋体" w:hAnsi="宋体" w:cs="宋体"/>
                <w:sz w:val="24"/>
              </w:rPr>
            </w:pPr>
          </w:p>
        </w:tc>
      </w:tr>
    </w:tbl>
    <w:p w14:paraId="23A275FC">
      <w:pPr>
        <w:spacing w:line="360" w:lineRule="auto"/>
        <w:ind w:right="420"/>
        <w:rPr>
          <w:rFonts w:ascii="宋体" w:hAnsi="宋体" w:cs="宋体"/>
          <w:sz w:val="24"/>
        </w:rPr>
      </w:pPr>
      <w:r>
        <w:rPr>
          <w:rFonts w:hint="eastAsia" w:ascii="宋体" w:hAnsi="宋体" w:cs="宋体"/>
          <w:sz w:val="24"/>
        </w:rPr>
        <w:t>注：按本格式和要求提供。</w:t>
      </w:r>
    </w:p>
    <w:p w14:paraId="2187CC53">
      <w:pPr>
        <w:jc w:val="center"/>
        <w:rPr>
          <w:rFonts w:ascii="宋体" w:hAnsi="宋体" w:cs="宋体"/>
          <w:b/>
          <w:kern w:val="0"/>
          <w:sz w:val="32"/>
          <w:szCs w:val="32"/>
        </w:rPr>
      </w:pPr>
    </w:p>
    <w:p w14:paraId="24D2422B">
      <w:pPr>
        <w:jc w:val="center"/>
        <w:rPr>
          <w:rFonts w:ascii="宋体" w:hAnsi="宋体" w:cs="宋体"/>
          <w:b/>
          <w:kern w:val="0"/>
          <w:sz w:val="32"/>
          <w:szCs w:val="32"/>
        </w:rPr>
      </w:pPr>
    </w:p>
    <w:p w14:paraId="2222C136">
      <w:pPr>
        <w:jc w:val="center"/>
        <w:rPr>
          <w:rFonts w:ascii="宋体" w:hAnsi="宋体" w:cs="宋体"/>
          <w:b/>
          <w:kern w:val="0"/>
          <w:sz w:val="32"/>
          <w:szCs w:val="32"/>
        </w:rPr>
      </w:pPr>
      <w:r>
        <w:rPr>
          <w:rFonts w:hint="eastAsia" w:ascii="宋体" w:hAnsi="宋体" w:cs="宋体"/>
          <w:b/>
          <w:kern w:val="0"/>
          <w:sz w:val="32"/>
          <w:szCs w:val="32"/>
          <w:lang w:eastAsia="zh-CN"/>
        </w:rPr>
        <w:t>六</w:t>
      </w:r>
      <w:r>
        <w:rPr>
          <w:rFonts w:hint="eastAsia" w:ascii="宋体" w:hAnsi="宋体" w:cs="宋体"/>
          <w:b/>
          <w:kern w:val="0"/>
          <w:sz w:val="32"/>
          <w:szCs w:val="32"/>
        </w:rPr>
        <w:t>、商务技术偏离表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19E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63CEE12">
            <w:pPr>
              <w:jc w:val="center"/>
              <w:rPr>
                <w:rFonts w:ascii="宋体" w:hAnsi="宋体" w:cs="宋体"/>
                <w:b/>
                <w:bCs/>
                <w:sz w:val="24"/>
              </w:rPr>
            </w:pPr>
            <w:r>
              <w:rPr>
                <w:rFonts w:hint="eastAsia" w:ascii="宋体" w:hAnsi="宋体" w:cs="宋体"/>
                <w:b/>
                <w:bCs/>
                <w:sz w:val="24"/>
              </w:rPr>
              <w:t>序号</w:t>
            </w:r>
          </w:p>
        </w:tc>
        <w:tc>
          <w:tcPr>
            <w:tcW w:w="3683" w:type="dxa"/>
          </w:tcPr>
          <w:p w14:paraId="16FBC2B8">
            <w:pPr>
              <w:jc w:val="center"/>
              <w:rPr>
                <w:rFonts w:ascii="宋体" w:hAnsi="宋体" w:cs="宋体"/>
                <w:b/>
                <w:bCs/>
                <w:sz w:val="24"/>
              </w:rPr>
            </w:pPr>
            <w:r>
              <w:rPr>
                <w:rFonts w:hint="eastAsia" w:ascii="宋体" w:hAnsi="宋体" w:cs="宋体"/>
                <w:b/>
                <w:bCs/>
                <w:sz w:val="24"/>
              </w:rPr>
              <w:t>招标文件章节及具体内容</w:t>
            </w:r>
          </w:p>
        </w:tc>
        <w:tc>
          <w:tcPr>
            <w:tcW w:w="3546" w:type="dxa"/>
          </w:tcPr>
          <w:p w14:paraId="779C6DFE">
            <w:pPr>
              <w:jc w:val="center"/>
              <w:rPr>
                <w:rFonts w:ascii="宋体" w:hAnsi="宋体" w:cs="宋体"/>
                <w:b/>
                <w:bCs/>
                <w:sz w:val="24"/>
              </w:rPr>
            </w:pPr>
            <w:r>
              <w:rPr>
                <w:rFonts w:hint="eastAsia" w:ascii="宋体" w:hAnsi="宋体" w:cs="宋体"/>
                <w:b/>
                <w:bCs/>
                <w:sz w:val="24"/>
              </w:rPr>
              <w:t>投标文件章节及具体内容</w:t>
            </w:r>
          </w:p>
        </w:tc>
        <w:tc>
          <w:tcPr>
            <w:tcW w:w="1276" w:type="dxa"/>
          </w:tcPr>
          <w:p w14:paraId="3AC09538">
            <w:pPr>
              <w:jc w:val="center"/>
              <w:rPr>
                <w:rFonts w:ascii="宋体" w:hAnsi="宋体" w:cs="宋体"/>
                <w:b/>
                <w:bCs/>
                <w:sz w:val="24"/>
              </w:rPr>
            </w:pPr>
            <w:r>
              <w:rPr>
                <w:rFonts w:hint="eastAsia" w:ascii="宋体" w:hAnsi="宋体" w:cs="宋体"/>
                <w:b/>
                <w:bCs/>
                <w:sz w:val="24"/>
              </w:rPr>
              <w:t>偏离说明</w:t>
            </w:r>
          </w:p>
        </w:tc>
      </w:tr>
      <w:tr w14:paraId="03CDE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C04116">
            <w:pPr>
              <w:jc w:val="center"/>
              <w:rPr>
                <w:rFonts w:ascii="宋体" w:hAnsi="宋体" w:cs="宋体"/>
                <w:kern w:val="0"/>
                <w:sz w:val="24"/>
              </w:rPr>
            </w:pPr>
            <w:r>
              <w:rPr>
                <w:rFonts w:hint="eastAsia" w:ascii="宋体" w:hAnsi="宋体" w:cs="宋体"/>
                <w:kern w:val="0"/>
                <w:sz w:val="24"/>
              </w:rPr>
              <w:t>1</w:t>
            </w:r>
          </w:p>
        </w:tc>
        <w:tc>
          <w:tcPr>
            <w:tcW w:w="3683" w:type="dxa"/>
          </w:tcPr>
          <w:p w14:paraId="2A682761">
            <w:pPr>
              <w:jc w:val="center"/>
              <w:rPr>
                <w:rFonts w:ascii="宋体" w:hAnsi="宋体" w:cs="宋体"/>
                <w:b/>
                <w:kern w:val="0"/>
                <w:sz w:val="32"/>
                <w:szCs w:val="32"/>
              </w:rPr>
            </w:pPr>
          </w:p>
        </w:tc>
        <w:tc>
          <w:tcPr>
            <w:tcW w:w="3546" w:type="dxa"/>
          </w:tcPr>
          <w:p w14:paraId="3E6BFD10">
            <w:pPr>
              <w:jc w:val="center"/>
              <w:rPr>
                <w:rFonts w:ascii="宋体" w:hAnsi="宋体" w:cs="宋体"/>
                <w:b/>
                <w:kern w:val="0"/>
                <w:sz w:val="32"/>
                <w:szCs w:val="32"/>
              </w:rPr>
            </w:pPr>
          </w:p>
        </w:tc>
        <w:tc>
          <w:tcPr>
            <w:tcW w:w="1276" w:type="dxa"/>
          </w:tcPr>
          <w:p w14:paraId="2C8CA7D8">
            <w:pPr>
              <w:jc w:val="center"/>
              <w:rPr>
                <w:rFonts w:ascii="宋体" w:hAnsi="宋体" w:cs="宋体"/>
                <w:b/>
                <w:kern w:val="0"/>
                <w:sz w:val="32"/>
                <w:szCs w:val="32"/>
              </w:rPr>
            </w:pPr>
          </w:p>
        </w:tc>
      </w:tr>
      <w:tr w14:paraId="6E1E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2471FD">
            <w:pPr>
              <w:jc w:val="center"/>
              <w:rPr>
                <w:rFonts w:ascii="宋体" w:hAnsi="宋体" w:cs="宋体"/>
                <w:kern w:val="0"/>
                <w:sz w:val="24"/>
              </w:rPr>
            </w:pPr>
            <w:r>
              <w:rPr>
                <w:rFonts w:hint="eastAsia" w:ascii="宋体" w:hAnsi="宋体" w:cs="宋体"/>
                <w:kern w:val="0"/>
                <w:sz w:val="24"/>
              </w:rPr>
              <w:t>2</w:t>
            </w:r>
          </w:p>
        </w:tc>
        <w:tc>
          <w:tcPr>
            <w:tcW w:w="3683" w:type="dxa"/>
          </w:tcPr>
          <w:p w14:paraId="32C3ED73">
            <w:pPr>
              <w:jc w:val="center"/>
              <w:rPr>
                <w:rFonts w:ascii="宋体" w:hAnsi="宋体" w:cs="宋体"/>
                <w:b/>
                <w:kern w:val="0"/>
                <w:sz w:val="32"/>
                <w:szCs w:val="32"/>
              </w:rPr>
            </w:pPr>
          </w:p>
        </w:tc>
        <w:tc>
          <w:tcPr>
            <w:tcW w:w="3546" w:type="dxa"/>
          </w:tcPr>
          <w:p w14:paraId="04940C57">
            <w:pPr>
              <w:jc w:val="center"/>
              <w:rPr>
                <w:rFonts w:ascii="宋体" w:hAnsi="宋体" w:cs="宋体"/>
                <w:b/>
                <w:kern w:val="0"/>
                <w:sz w:val="32"/>
                <w:szCs w:val="32"/>
              </w:rPr>
            </w:pPr>
          </w:p>
        </w:tc>
        <w:tc>
          <w:tcPr>
            <w:tcW w:w="1276" w:type="dxa"/>
          </w:tcPr>
          <w:p w14:paraId="40C3566A">
            <w:pPr>
              <w:jc w:val="center"/>
              <w:rPr>
                <w:rFonts w:ascii="宋体" w:hAnsi="宋体" w:cs="宋体"/>
                <w:b/>
                <w:kern w:val="0"/>
                <w:sz w:val="32"/>
                <w:szCs w:val="32"/>
              </w:rPr>
            </w:pPr>
          </w:p>
        </w:tc>
      </w:tr>
      <w:tr w14:paraId="114B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A0A423">
            <w:pPr>
              <w:jc w:val="center"/>
              <w:rPr>
                <w:rFonts w:ascii="宋体" w:hAnsi="宋体" w:cs="宋体"/>
                <w:kern w:val="0"/>
                <w:sz w:val="24"/>
              </w:rPr>
            </w:pPr>
            <w:r>
              <w:rPr>
                <w:rFonts w:hint="eastAsia" w:ascii="宋体" w:hAnsi="宋体" w:cs="宋体"/>
                <w:kern w:val="0"/>
                <w:sz w:val="24"/>
              </w:rPr>
              <w:t>……</w:t>
            </w:r>
          </w:p>
        </w:tc>
        <w:tc>
          <w:tcPr>
            <w:tcW w:w="3683" w:type="dxa"/>
          </w:tcPr>
          <w:p w14:paraId="641E2D5F">
            <w:pPr>
              <w:jc w:val="center"/>
              <w:rPr>
                <w:rFonts w:ascii="宋体" w:hAnsi="宋体" w:cs="宋体"/>
                <w:b/>
                <w:kern w:val="0"/>
                <w:sz w:val="32"/>
                <w:szCs w:val="32"/>
              </w:rPr>
            </w:pPr>
          </w:p>
        </w:tc>
        <w:tc>
          <w:tcPr>
            <w:tcW w:w="3546" w:type="dxa"/>
          </w:tcPr>
          <w:p w14:paraId="2BD5E464">
            <w:pPr>
              <w:jc w:val="center"/>
              <w:rPr>
                <w:rFonts w:ascii="宋体" w:hAnsi="宋体" w:cs="宋体"/>
                <w:b/>
                <w:kern w:val="0"/>
                <w:sz w:val="32"/>
                <w:szCs w:val="32"/>
              </w:rPr>
            </w:pPr>
          </w:p>
        </w:tc>
        <w:tc>
          <w:tcPr>
            <w:tcW w:w="1276" w:type="dxa"/>
          </w:tcPr>
          <w:p w14:paraId="6C1E9EA9">
            <w:pPr>
              <w:jc w:val="center"/>
              <w:rPr>
                <w:rFonts w:ascii="宋体" w:hAnsi="宋体" w:cs="宋体"/>
                <w:b/>
                <w:kern w:val="0"/>
                <w:sz w:val="32"/>
                <w:szCs w:val="32"/>
              </w:rPr>
            </w:pPr>
          </w:p>
        </w:tc>
      </w:tr>
    </w:tbl>
    <w:p w14:paraId="60352140">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000E1025">
      <w:pPr>
        <w:jc w:val="center"/>
        <w:rPr>
          <w:rFonts w:ascii="宋体" w:hAnsi="宋体" w:cs="宋体"/>
          <w:b/>
          <w:kern w:val="0"/>
          <w:sz w:val="32"/>
          <w:szCs w:val="32"/>
        </w:rPr>
      </w:pPr>
    </w:p>
    <w:p w14:paraId="465986B0">
      <w:pPr>
        <w:spacing w:line="360" w:lineRule="auto"/>
        <w:ind w:right="420"/>
        <w:rPr>
          <w:rFonts w:ascii="宋体" w:hAnsi="宋体" w:cs="宋体"/>
          <w:sz w:val="24"/>
        </w:rPr>
      </w:pPr>
      <w:r>
        <w:rPr>
          <w:rFonts w:hint="eastAsia" w:ascii="宋体" w:hAnsi="宋体" w:cs="宋体"/>
          <w:sz w:val="24"/>
        </w:rPr>
        <w:t>注：按本格式和要求提供。</w:t>
      </w:r>
    </w:p>
    <w:p w14:paraId="1C69DEAD">
      <w:pPr>
        <w:ind w:firstLine="1911" w:firstLineChars="595"/>
        <w:rPr>
          <w:rFonts w:ascii="宋体" w:hAnsi="宋体" w:cs="宋体"/>
          <w:b/>
          <w:bCs/>
          <w:sz w:val="32"/>
          <w:szCs w:val="32"/>
        </w:rPr>
      </w:pPr>
    </w:p>
    <w:p w14:paraId="2D224A66">
      <w:pPr>
        <w:ind w:firstLine="1911" w:firstLineChars="595"/>
        <w:rPr>
          <w:rFonts w:ascii="宋体" w:hAnsi="宋体" w:cs="宋体"/>
          <w:b/>
          <w:bCs/>
          <w:sz w:val="32"/>
          <w:szCs w:val="32"/>
        </w:rPr>
      </w:pPr>
    </w:p>
    <w:p w14:paraId="5181E6E5">
      <w:pPr>
        <w:ind w:firstLine="1911" w:firstLineChars="595"/>
        <w:rPr>
          <w:rFonts w:ascii="宋体" w:hAnsi="宋体" w:cs="宋体"/>
          <w:b/>
          <w:bCs/>
          <w:sz w:val="32"/>
          <w:szCs w:val="32"/>
        </w:rPr>
      </w:pPr>
    </w:p>
    <w:p w14:paraId="71DE7D52">
      <w:pPr>
        <w:ind w:firstLine="1911" w:firstLineChars="595"/>
        <w:rPr>
          <w:rFonts w:ascii="宋体" w:hAnsi="宋体" w:cs="宋体"/>
          <w:b/>
          <w:bCs/>
          <w:sz w:val="32"/>
          <w:szCs w:val="32"/>
        </w:rPr>
      </w:pPr>
    </w:p>
    <w:p w14:paraId="7094D6B7">
      <w:pPr>
        <w:ind w:firstLine="1911" w:firstLineChars="595"/>
        <w:rPr>
          <w:rFonts w:ascii="宋体" w:hAnsi="宋体" w:cs="宋体"/>
          <w:b/>
          <w:bCs/>
          <w:sz w:val="32"/>
          <w:szCs w:val="32"/>
        </w:rPr>
      </w:pPr>
    </w:p>
    <w:p w14:paraId="6DB53C9A">
      <w:pPr>
        <w:widowControl/>
        <w:adjustRightInd/>
        <w:jc w:val="left"/>
        <w:rPr>
          <w:rFonts w:ascii="宋体" w:hAnsi="宋体" w:cs="宋体"/>
          <w:b/>
          <w:bCs/>
          <w:sz w:val="32"/>
          <w:szCs w:val="32"/>
        </w:rPr>
      </w:pPr>
      <w:r>
        <w:rPr>
          <w:rFonts w:ascii="宋体" w:hAnsi="宋体" w:cs="宋体"/>
          <w:b/>
          <w:bCs/>
          <w:sz w:val="32"/>
          <w:szCs w:val="32"/>
        </w:rPr>
        <w:br w:type="page"/>
      </w:r>
    </w:p>
    <w:p w14:paraId="7AADEB5B">
      <w:pPr>
        <w:ind w:firstLine="1911" w:firstLineChars="595"/>
        <w:rPr>
          <w:rFonts w:ascii="宋体" w:hAnsi="宋体" w:cs="宋体"/>
          <w:b/>
          <w:kern w:val="0"/>
          <w:sz w:val="32"/>
          <w:szCs w:val="32"/>
        </w:rPr>
      </w:pPr>
      <w:r>
        <w:rPr>
          <w:rFonts w:hint="eastAsia" w:ascii="宋体" w:hAnsi="宋体" w:cs="宋体"/>
          <w:b/>
          <w:kern w:val="0"/>
          <w:sz w:val="32"/>
          <w:szCs w:val="32"/>
          <w:lang w:eastAsia="zh-CN"/>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8A56C13">
      <w:pPr>
        <w:snapToGrid w:val="0"/>
        <w:spacing w:line="360" w:lineRule="auto"/>
        <w:rPr>
          <w:rFonts w:ascii="宋体" w:hAnsi="宋体" w:cs="宋体"/>
          <w:sz w:val="24"/>
        </w:rPr>
      </w:pPr>
    </w:p>
    <w:p w14:paraId="60293338">
      <w:pPr>
        <w:snapToGrid w:val="0"/>
        <w:spacing w:line="360" w:lineRule="auto"/>
        <w:rPr>
          <w:rFonts w:ascii="宋体" w:hAnsi="宋体" w:cs="宋体"/>
          <w:kern w:val="0"/>
          <w:sz w:val="24"/>
        </w:rPr>
      </w:pPr>
      <w:r>
        <w:rPr>
          <w:rFonts w:hint="eastAsia" w:ascii="宋体" w:hAnsi="宋体" w:cs="宋体"/>
          <w:color w:val="auto"/>
          <w:sz w:val="24"/>
        </w:rPr>
        <w:t>（采购人）、（</w:t>
      </w:r>
      <w:r>
        <w:rPr>
          <w:rFonts w:hint="eastAsia" w:ascii="宋体" w:hAnsi="宋体" w:cs="宋体"/>
          <w:sz w:val="24"/>
        </w:rPr>
        <w:t>采购代理机构）</w:t>
      </w:r>
      <w:r>
        <w:rPr>
          <w:rFonts w:hint="eastAsia" w:ascii="宋体" w:hAnsi="宋体" w:cs="宋体"/>
          <w:kern w:val="0"/>
          <w:sz w:val="24"/>
          <w:lang w:val="zh-CN"/>
        </w:rPr>
        <w:t>：</w:t>
      </w:r>
    </w:p>
    <w:p w14:paraId="4CBADE40">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50975CA">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49F069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0D0D77C">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1743854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79AE6E6">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6972E90">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69F739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417A6E01">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76E71F84">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66D8EFB1">
      <w:pPr>
        <w:autoSpaceDE w:val="0"/>
        <w:autoSpaceDN w:val="0"/>
        <w:spacing w:line="360" w:lineRule="auto"/>
        <w:ind w:left="2"/>
        <w:jc w:val="left"/>
        <w:rPr>
          <w:rFonts w:ascii="宋体" w:hAnsi="宋体" w:cs="宋体"/>
          <w:kern w:val="0"/>
          <w:sz w:val="24"/>
          <w:lang w:val="zh-CN"/>
        </w:rPr>
      </w:pPr>
    </w:p>
    <w:p w14:paraId="5E5B4110">
      <w:pPr>
        <w:autoSpaceDE w:val="0"/>
        <w:autoSpaceDN w:val="0"/>
        <w:spacing w:line="360" w:lineRule="auto"/>
        <w:ind w:left="2"/>
        <w:jc w:val="left"/>
        <w:rPr>
          <w:rFonts w:ascii="宋体" w:hAnsi="宋体" w:cs="宋体"/>
          <w:kern w:val="0"/>
          <w:sz w:val="24"/>
          <w:lang w:val="zh-CN"/>
        </w:rPr>
      </w:pPr>
    </w:p>
    <w:p w14:paraId="3DAD4E10">
      <w:pPr>
        <w:autoSpaceDE w:val="0"/>
        <w:autoSpaceDN w:val="0"/>
        <w:spacing w:line="360" w:lineRule="auto"/>
        <w:ind w:left="2"/>
        <w:jc w:val="left"/>
        <w:rPr>
          <w:rFonts w:ascii="宋体" w:hAnsi="宋体" w:cs="宋体"/>
          <w:kern w:val="0"/>
          <w:sz w:val="24"/>
          <w:lang w:val="zh-CN"/>
        </w:rPr>
      </w:pPr>
    </w:p>
    <w:p w14:paraId="30670CE2">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349C14B1">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9CA665E">
      <w:pPr>
        <w:spacing w:line="360" w:lineRule="auto"/>
        <w:jc w:val="center"/>
        <w:rPr>
          <w:rFonts w:ascii="宋体" w:hAnsi="宋体" w:cs="宋体"/>
          <w:b/>
          <w:bCs/>
          <w:sz w:val="24"/>
        </w:rPr>
      </w:pPr>
    </w:p>
    <w:p w14:paraId="49D83D5F">
      <w:pPr>
        <w:spacing w:line="360" w:lineRule="auto"/>
        <w:ind w:right="420"/>
        <w:rPr>
          <w:rFonts w:ascii="宋体" w:hAnsi="宋体" w:cs="宋体"/>
          <w:sz w:val="24"/>
        </w:rPr>
      </w:pPr>
      <w:r>
        <w:rPr>
          <w:rFonts w:hint="eastAsia" w:ascii="宋体" w:hAnsi="宋体" w:cs="宋体"/>
          <w:sz w:val="24"/>
        </w:rPr>
        <w:t>注：按本格式和要求提供。</w:t>
      </w:r>
    </w:p>
    <w:p w14:paraId="72F5C1AE">
      <w:pPr>
        <w:spacing w:line="360" w:lineRule="auto"/>
        <w:jc w:val="center"/>
        <w:rPr>
          <w:rFonts w:ascii="宋体" w:hAnsi="宋体" w:cs="宋体"/>
          <w:b/>
          <w:bCs/>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F84F68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E48FC2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6925D9A4">
      <w:pPr>
        <w:spacing w:line="360" w:lineRule="auto"/>
        <w:jc w:val="center"/>
        <w:outlineLvl w:val="0"/>
        <w:rPr>
          <w:rFonts w:ascii="宋体" w:hAnsi="宋体" w:cs="宋体"/>
          <w:b/>
          <w:kern w:val="0"/>
          <w:sz w:val="36"/>
          <w:szCs w:val="36"/>
        </w:rPr>
      </w:pPr>
    </w:p>
    <w:p w14:paraId="5F08ECD8">
      <w:pPr>
        <w:snapToGrid w:val="0"/>
        <w:spacing w:line="360" w:lineRule="auto"/>
        <w:rPr>
          <w:rFonts w:hint="eastAsia" w:ascii="宋体" w:hAnsi="宋体" w:cs="宋体"/>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宋体" w:hAnsi="宋体" w:cs="宋体"/>
          <w:sz w:val="24"/>
        </w:rPr>
        <w:t>（1）开标一览表（报价表）………………………………………………………（页码）</w:t>
      </w:r>
    </w:p>
    <w:p w14:paraId="09EE0EFA">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1C2CE0E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7046A44">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4273F80E">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5"/>
        <w:tblW w:w="145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260"/>
        <w:gridCol w:w="3118"/>
        <w:gridCol w:w="993"/>
        <w:gridCol w:w="1559"/>
        <w:gridCol w:w="1984"/>
        <w:gridCol w:w="3119"/>
      </w:tblGrid>
      <w:tr w14:paraId="6EE5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534" w:type="dxa"/>
            <w:vAlign w:val="center"/>
          </w:tcPr>
          <w:p w14:paraId="531051A7">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3260" w:type="dxa"/>
            <w:vAlign w:val="center"/>
          </w:tcPr>
          <w:p w14:paraId="1B4D94F4">
            <w:pPr>
              <w:spacing w:line="360" w:lineRule="auto"/>
              <w:jc w:val="center"/>
              <w:rPr>
                <w:rFonts w:ascii="宋体" w:hAnsi="宋体" w:cs="宋体"/>
                <w:b/>
                <w:color w:val="auto"/>
                <w:sz w:val="24"/>
              </w:rPr>
            </w:pPr>
            <w:r>
              <w:rPr>
                <w:rFonts w:hint="eastAsia" w:ascii="宋体" w:hAnsi="宋体" w:cs="宋体"/>
                <w:b/>
                <w:color w:val="auto"/>
                <w:sz w:val="24"/>
              </w:rPr>
              <w:t>名称</w:t>
            </w:r>
          </w:p>
          <w:p w14:paraId="3642B235">
            <w:pPr>
              <w:spacing w:line="360" w:lineRule="auto"/>
              <w:jc w:val="center"/>
              <w:rPr>
                <w:rFonts w:ascii="宋体" w:hAnsi="宋体" w:cs="宋体"/>
                <w:b/>
                <w:color w:val="auto"/>
                <w:sz w:val="24"/>
              </w:rPr>
            </w:pPr>
          </w:p>
          <w:p w14:paraId="598DF556">
            <w:pPr>
              <w:spacing w:line="360" w:lineRule="auto"/>
              <w:jc w:val="center"/>
              <w:rPr>
                <w:rFonts w:ascii="宋体" w:hAnsi="宋体" w:cs="宋体"/>
                <w:b/>
                <w:color w:val="auto"/>
                <w:sz w:val="24"/>
              </w:rPr>
            </w:pPr>
          </w:p>
        </w:tc>
        <w:tc>
          <w:tcPr>
            <w:tcW w:w="3118" w:type="dxa"/>
            <w:vAlign w:val="center"/>
          </w:tcPr>
          <w:p w14:paraId="405991C3">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6E4CD391">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6EFC03A5">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611E4429">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4A772784">
            <w:pPr>
              <w:spacing w:line="360" w:lineRule="auto"/>
              <w:jc w:val="center"/>
              <w:rPr>
                <w:rFonts w:ascii="宋体" w:hAnsi="宋体" w:cs="宋体"/>
                <w:b/>
                <w:color w:val="auto"/>
                <w:sz w:val="24"/>
              </w:rPr>
            </w:pPr>
          </w:p>
          <w:p w14:paraId="0A751BE6">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4F06DAF0">
            <w:pPr>
              <w:spacing w:line="360" w:lineRule="auto"/>
              <w:jc w:val="center"/>
              <w:rPr>
                <w:rFonts w:ascii="宋体" w:hAnsi="宋体" w:cs="宋体"/>
                <w:b/>
                <w:color w:val="auto"/>
                <w:sz w:val="24"/>
              </w:rPr>
            </w:pPr>
          </w:p>
        </w:tc>
      </w:tr>
      <w:tr w14:paraId="34F5B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34" w:type="dxa"/>
            <w:vAlign w:val="center"/>
          </w:tcPr>
          <w:p w14:paraId="0BC1D63B">
            <w:pPr>
              <w:spacing w:line="360" w:lineRule="auto"/>
              <w:jc w:val="center"/>
              <w:rPr>
                <w:rFonts w:ascii="宋体" w:hAnsi="宋体" w:cs="宋体"/>
                <w:color w:val="auto"/>
                <w:sz w:val="24"/>
              </w:rPr>
            </w:pPr>
            <w:r>
              <w:rPr>
                <w:rFonts w:hint="eastAsia" w:ascii="宋体" w:hAnsi="宋体" w:cs="宋体"/>
                <w:color w:val="auto"/>
                <w:sz w:val="24"/>
              </w:rPr>
              <w:t>1</w:t>
            </w:r>
          </w:p>
        </w:tc>
        <w:tc>
          <w:tcPr>
            <w:tcW w:w="3260" w:type="dxa"/>
            <w:vAlign w:val="center"/>
          </w:tcPr>
          <w:p w14:paraId="6E0A2FCD">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3118" w:type="dxa"/>
            <w:vAlign w:val="center"/>
          </w:tcPr>
          <w:p w14:paraId="6AAACE93">
            <w:pPr>
              <w:snapToGrid w:val="0"/>
              <w:spacing w:line="360" w:lineRule="auto"/>
              <w:jc w:val="center"/>
              <w:rPr>
                <w:rFonts w:ascii="宋体" w:hAnsi="宋体" w:cs="宋体"/>
                <w:color w:val="auto"/>
                <w:sz w:val="24"/>
              </w:rPr>
            </w:pPr>
          </w:p>
        </w:tc>
        <w:tc>
          <w:tcPr>
            <w:tcW w:w="993" w:type="dxa"/>
            <w:vAlign w:val="center"/>
          </w:tcPr>
          <w:p w14:paraId="138E6B75">
            <w:pPr>
              <w:snapToGrid w:val="0"/>
              <w:spacing w:line="360" w:lineRule="auto"/>
              <w:jc w:val="center"/>
              <w:rPr>
                <w:rFonts w:ascii="宋体" w:hAnsi="宋体" w:cs="宋体"/>
                <w:color w:val="auto"/>
                <w:sz w:val="24"/>
              </w:rPr>
            </w:pPr>
          </w:p>
        </w:tc>
        <w:tc>
          <w:tcPr>
            <w:tcW w:w="1559" w:type="dxa"/>
            <w:vAlign w:val="center"/>
          </w:tcPr>
          <w:p w14:paraId="2227316B">
            <w:pPr>
              <w:spacing w:line="360" w:lineRule="auto"/>
              <w:jc w:val="center"/>
              <w:rPr>
                <w:rFonts w:ascii="宋体" w:hAnsi="宋体" w:cs="宋体"/>
                <w:color w:val="auto"/>
                <w:sz w:val="24"/>
              </w:rPr>
            </w:pPr>
          </w:p>
        </w:tc>
        <w:tc>
          <w:tcPr>
            <w:tcW w:w="1984" w:type="dxa"/>
            <w:vAlign w:val="center"/>
          </w:tcPr>
          <w:p w14:paraId="366BB3E0">
            <w:pPr>
              <w:spacing w:line="360" w:lineRule="auto"/>
              <w:jc w:val="center"/>
              <w:rPr>
                <w:rFonts w:ascii="宋体" w:hAnsi="宋体" w:cs="宋体"/>
                <w:color w:val="auto"/>
                <w:sz w:val="24"/>
              </w:rPr>
            </w:pPr>
          </w:p>
        </w:tc>
        <w:tc>
          <w:tcPr>
            <w:tcW w:w="3119" w:type="dxa"/>
            <w:vAlign w:val="center"/>
          </w:tcPr>
          <w:p w14:paraId="5DA06D03">
            <w:pPr>
              <w:spacing w:line="360" w:lineRule="auto"/>
              <w:jc w:val="center"/>
              <w:rPr>
                <w:rFonts w:ascii="宋体" w:hAnsi="宋体" w:cs="宋体"/>
                <w:color w:val="auto"/>
                <w:sz w:val="24"/>
              </w:rPr>
            </w:pPr>
          </w:p>
        </w:tc>
      </w:tr>
      <w:tr w14:paraId="139D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51DE2BD1">
            <w:pPr>
              <w:spacing w:line="360" w:lineRule="auto"/>
              <w:jc w:val="center"/>
              <w:rPr>
                <w:rFonts w:ascii="宋体" w:hAnsi="宋体" w:cs="宋体"/>
                <w:color w:val="auto"/>
                <w:sz w:val="24"/>
              </w:rPr>
            </w:pPr>
            <w:r>
              <w:rPr>
                <w:rFonts w:hint="eastAsia" w:ascii="宋体" w:hAnsi="宋体" w:cs="宋体"/>
                <w:color w:val="auto"/>
                <w:sz w:val="24"/>
              </w:rPr>
              <w:t>2</w:t>
            </w:r>
          </w:p>
        </w:tc>
        <w:tc>
          <w:tcPr>
            <w:tcW w:w="3260" w:type="dxa"/>
            <w:vAlign w:val="center"/>
          </w:tcPr>
          <w:p w14:paraId="5E967BD0">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3118" w:type="dxa"/>
            <w:vAlign w:val="center"/>
          </w:tcPr>
          <w:p w14:paraId="4E999C16">
            <w:pPr>
              <w:snapToGrid w:val="0"/>
              <w:spacing w:line="360" w:lineRule="auto"/>
              <w:jc w:val="center"/>
              <w:rPr>
                <w:rFonts w:ascii="宋体" w:hAnsi="宋体" w:cs="宋体"/>
                <w:color w:val="auto"/>
                <w:sz w:val="24"/>
              </w:rPr>
            </w:pPr>
          </w:p>
        </w:tc>
        <w:tc>
          <w:tcPr>
            <w:tcW w:w="993" w:type="dxa"/>
            <w:vAlign w:val="center"/>
          </w:tcPr>
          <w:p w14:paraId="5244285F">
            <w:pPr>
              <w:snapToGrid w:val="0"/>
              <w:spacing w:line="360" w:lineRule="auto"/>
              <w:jc w:val="center"/>
              <w:rPr>
                <w:rFonts w:ascii="宋体" w:hAnsi="宋体" w:cs="宋体"/>
                <w:color w:val="auto"/>
                <w:sz w:val="24"/>
              </w:rPr>
            </w:pPr>
          </w:p>
        </w:tc>
        <w:tc>
          <w:tcPr>
            <w:tcW w:w="1559" w:type="dxa"/>
            <w:vAlign w:val="center"/>
          </w:tcPr>
          <w:p w14:paraId="31E2D54C">
            <w:pPr>
              <w:spacing w:line="360" w:lineRule="auto"/>
              <w:jc w:val="center"/>
              <w:rPr>
                <w:rFonts w:ascii="宋体" w:hAnsi="宋体" w:cs="宋体"/>
                <w:color w:val="auto"/>
                <w:sz w:val="24"/>
              </w:rPr>
            </w:pPr>
          </w:p>
        </w:tc>
        <w:tc>
          <w:tcPr>
            <w:tcW w:w="1984" w:type="dxa"/>
            <w:vAlign w:val="center"/>
          </w:tcPr>
          <w:p w14:paraId="397AE0C6">
            <w:pPr>
              <w:spacing w:line="360" w:lineRule="auto"/>
              <w:jc w:val="center"/>
              <w:rPr>
                <w:rFonts w:ascii="宋体" w:hAnsi="宋体" w:cs="宋体"/>
                <w:color w:val="auto"/>
                <w:sz w:val="24"/>
              </w:rPr>
            </w:pPr>
          </w:p>
        </w:tc>
        <w:tc>
          <w:tcPr>
            <w:tcW w:w="3119" w:type="dxa"/>
            <w:vAlign w:val="center"/>
          </w:tcPr>
          <w:p w14:paraId="1CE80E32">
            <w:pPr>
              <w:spacing w:line="360" w:lineRule="auto"/>
              <w:jc w:val="center"/>
              <w:rPr>
                <w:rFonts w:ascii="宋体" w:hAnsi="宋体" w:cs="宋体"/>
                <w:color w:val="auto"/>
                <w:sz w:val="24"/>
              </w:rPr>
            </w:pPr>
          </w:p>
        </w:tc>
      </w:tr>
      <w:tr w14:paraId="43C6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724CD38D">
            <w:pPr>
              <w:spacing w:line="360" w:lineRule="auto"/>
              <w:jc w:val="center"/>
              <w:rPr>
                <w:rFonts w:ascii="宋体" w:hAnsi="宋体" w:cs="宋体"/>
                <w:color w:val="auto"/>
                <w:sz w:val="24"/>
              </w:rPr>
            </w:pPr>
            <w:r>
              <w:rPr>
                <w:rFonts w:hint="eastAsia" w:ascii="宋体" w:hAnsi="宋体" w:cs="宋体"/>
                <w:color w:val="auto"/>
                <w:sz w:val="24"/>
              </w:rPr>
              <w:t>…</w:t>
            </w:r>
          </w:p>
        </w:tc>
        <w:tc>
          <w:tcPr>
            <w:tcW w:w="3260" w:type="dxa"/>
            <w:vAlign w:val="center"/>
          </w:tcPr>
          <w:p w14:paraId="1281EF77">
            <w:pPr>
              <w:snapToGrid w:val="0"/>
              <w:spacing w:line="360" w:lineRule="auto"/>
              <w:jc w:val="center"/>
              <w:rPr>
                <w:rFonts w:ascii="宋体" w:hAnsi="宋体" w:cs="宋体"/>
                <w:color w:val="auto"/>
                <w:sz w:val="24"/>
              </w:rPr>
            </w:pPr>
          </w:p>
        </w:tc>
        <w:tc>
          <w:tcPr>
            <w:tcW w:w="3118" w:type="dxa"/>
            <w:vAlign w:val="center"/>
          </w:tcPr>
          <w:p w14:paraId="4C315E50">
            <w:pPr>
              <w:snapToGrid w:val="0"/>
              <w:spacing w:line="360" w:lineRule="auto"/>
              <w:jc w:val="center"/>
              <w:rPr>
                <w:rFonts w:ascii="宋体" w:hAnsi="宋体" w:cs="宋体"/>
                <w:color w:val="auto"/>
                <w:sz w:val="24"/>
              </w:rPr>
            </w:pPr>
          </w:p>
        </w:tc>
        <w:tc>
          <w:tcPr>
            <w:tcW w:w="993" w:type="dxa"/>
            <w:vAlign w:val="center"/>
          </w:tcPr>
          <w:p w14:paraId="4D5A4C67">
            <w:pPr>
              <w:snapToGrid w:val="0"/>
              <w:spacing w:line="360" w:lineRule="auto"/>
              <w:jc w:val="center"/>
              <w:rPr>
                <w:rFonts w:ascii="宋体" w:hAnsi="宋体" w:cs="宋体"/>
                <w:color w:val="auto"/>
                <w:sz w:val="24"/>
              </w:rPr>
            </w:pPr>
          </w:p>
        </w:tc>
        <w:tc>
          <w:tcPr>
            <w:tcW w:w="1559" w:type="dxa"/>
            <w:vAlign w:val="center"/>
          </w:tcPr>
          <w:p w14:paraId="21FF86F1">
            <w:pPr>
              <w:spacing w:line="360" w:lineRule="auto"/>
              <w:jc w:val="center"/>
              <w:rPr>
                <w:rFonts w:ascii="宋体" w:hAnsi="宋体" w:cs="宋体"/>
                <w:color w:val="auto"/>
                <w:sz w:val="24"/>
              </w:rPr>
            </w:pPr>
          </w:p>
        </w:tc>
        <w:tc>
          <w:tcPr>
            <w:tcW w:w="1984" w:type="dxa"/>
            <w:vAlign w:val="center"/>
          </w:tcPr>
          <w:p w14:paraId="47310476">
            <w:pPr>
              <w:spacing w:line="360" w:lineRule="auto"/>
              <w:jc w:val="center"/>
              <w:rPr>
                <w:rFonts w:ascii="宋体" w:hAnsi="宋体" w:cs="宋体"/>
                <w:color w:val="auto"/>
                <w:sz w:val="24"/>
              </w:rPr>
            </w:pPr>
          </w:p>
        </w:tc>
        <w:tc>
          <w:tcPr>
            <w:tcW w:w="3119" w:type="dxa"/>
            <w:vAlign w:val="center"/>
          </w:tcPr>
          <w:p w14:paraId="7E27CB03">
            <w:pPr>
              <w:spacing w:line="360" w:lineRule="auto"/>
              <w:jc w:val="center"/>
              <w:rPr>
                <w:rFonts w:ascii="宋体" w:hAnsi="宋体" w:cs="宋体"/>
                <w:color w:val="auto"/>
                <w:sz w:val="24"/>
              </w:rPr>
            </w:pPr>
          </w:p>
        </w:tc>
      </w:tr>
      <w:tr w14:paraId="7AE6E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2891BCCC">
            <w:pPr>
              <w:spacing w:line="360" w:lineRule="auto"/>
              <w:jc w:val="center"/>
              <w:rPr>
                <w:rFonts w:ascii="宋体" w:hAnsi="宋体" w:cs="宋体"/>
                <w:color w:val="auto"/>
                <w:sz w:val="24"/>
              </w:rPr>
            </w:pPr>
          </w:p>
        </w:tc>
        <w:tc>
          <w:tcPr>
            <w:tcW w:w="3260" w:type="dxa"/>
            <w:vAlign w:val="center"/>
          </w:tcPr>
          <w:p w14:paraId="5AA77080">
            <w:pPr>
              <w:snapToGrid w:val="0"/>
              <w:spacing w:line="360" w:lineRule="auto"/>
              <w:jc w:val="center"/>
              <w:rPr>
                <w:rFonts w:ascii="宋体" w:hAnsi="宋体" w:cs="宋体"/>
                <w:color w:val="auto"/>
                <w:sz w:val="24"/>
              </w:rPr>
            </w:pPr>
          </w:p>
        </w:tc>
        <w:tc>
          <w:tcPr>
            <w:tcW w:w="3118" w:type="dxa"/>
            <w:vAlign w:val="center"/>
          </w:tcPr>
          <w:p w14:paraId="194337B0">
            <w:pPr>
              <w:snapToGrid w:val="0"/>
              <w:spacing w:line="360" w:lineRule="auto"/>
              <w:jc w:val="center"/>
              <w:rPr>
                <w:rFonts w:ascii="宋体" w:hAnsi="宋体" w:cs="宋体"/>
                <w:color w:val="auto"/>
                <w:sz w:val="24"/>
              </w:rPr>
            </w:pPr>
          </w:p>
        </w:tc>
        <w:tc>
          <w:tcPr>
            <w:tcW w:w="993" w:type="dxa"/>
            <w:vAlign w:val="center"/>
          </w:tcPr>
          <w:p w14:paraId="57C710E9">
            <w:pPr>
              <w:snapToGrid w:val="0"/>
              <w:spacing w:line="360" w:lineRule="auto"/>
              <w:jc w:val="center"/>
              <w:rPr>
                <w:rFonts w:ascii="宋体" w:hAnsi="宋体" w:cs="宋体"/>
                <w:color w:val="auto"/>
                <w:sz w:val="24"/>
              </w:rPr>
            </w:pPr>
          </w:p>
        </w:tc>
        <w:tc>
          <w:tcPr>
            <w:tcW w:w="1559" w:type="dxa"/>
            <w:vAlign w:val="center"/>
          </w:tcPr>
          <w:p w14:paraId="27ED14B6">
            <w:pPr>
              <w:spacing w:line="360" w:lineRule="auto"/>
              <w:jc w:val="center"/>
              <w:rPr>
                <w:rFonts w:ascii="宋体" w:hAnsi="宋体" w:cs="宋体"/>
                <w:color w:val="auto"/>
                <w:sz w:val="24"/>
              </w:rPr>
            </w:pPr>
          </w:p>
        </w:tc>
        <w:tc>
          <w:tcPr>
            <w:tcW w:w="1984" w:type="dxa"/>
            <w:vAlign w:val="center"/>
          </w:tcPr>
          <w:p w14:paraId="72DEE60A">
            <w:pPr>
              <w:spacing w:line="360" w:lineRule="auto"/>
              <w:jc w:val="center"/>
              <w:rPr>
                <w:rFonts w:ascii="宋体" w:hAnsi="宋体" w:cs="宋体"/>
                <w:color w:val="auto"/>
                <w:sz w:val="24"/>
              </w:rPr>
            </w:pPr>
          </w:p>
        </w:tc>
        <w:tc>
          <w:tcPr>
            <w:tcW w:w="3119" w:type="dxa"/>
            <w:vAlign w:val="center"/>
          </w:tcPr>
          <w:p w14:paraId="18DFD630">
            <w:pPr>
              <w:spacing w:line="360" w:lineRule="auto"/>
              <w:jc w:val="center"/>
              <w:rPr>
                <w:rFonts w:ascii="宋体" w:hAnsi="宋体" w:cs="宋体"/>
                <w:color w:val="auto"/>
                <w:sz w:val="24"/>
              </w:rPr>
            </w:pPr>
          </w:p>
        </w:tc>
      </w:tr>
      <w:tr w14:paraId="256BA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34" w:type="dxa"/>
            <w:vAlign w:val="center"/>
          </w:tcPr>
          <w:p w14:paraId="31689603">
            <w:pPr>
              <w:spacing w:line="360" w:lineRule="auto"/>
              <w:jc w:val="center"/>
              <w:rPr>
                <w:rFonts w:ascii="宋体" w:hAnsi="宋体" w:cs="宋体"/>
                <w:sz w:val="24"/>
              </w:rPr>
            </w:pPr>
          </w:p>
        </w:tc>
        <w:tc>
          <w:tcPr>
            <w:tcW w:w="3260" w:type="dxa"/>
            <w:vAlign w:val="center"/>
          </w:tcPr>
          <w:p w14:paraId="013A107E">
            <w:pPr>
              <w:snapToGrid w:val="0"/>
              <w:spacing w:line="360" w:lineRule="auto"/>
              <w:jc w:val="center"/>
              <w:rPr>
                <w:rFonts w:ascii="宋体" w:hAnsi="宋体" w:cs="宋体"/>
                <w:sz w:val="24"/>
              </w:rPr>
            </w:pPr>
          </w:p>
        </w:tc>
        <w:tc>
          <w:tcPr>
            <w:tcW w:w="3118" w:type="dxa"/>
            <w:vAlign w:val="center"/>
          </w:tcPr>
          <w:p w14:paraId="2EB5DD46">
            <w:pPr>
              <w:snapToGrid w:val="0"/>
              <w:spacing w:line="360" w:lineRule="auto"/>
              <w:jc w:val="center"/>
              <w:rPr>
                <w:rFonts w:ascii="宋体" w:hAnsi="宋体" w:cs="宋体"/>
                <w:sz w:val="24"/>
              </w:rPr>
            </w:pPr>
          </w:p>
        </w:tc>
        <w:tc>
          <w:tcPr>
            <w:tcW w:w="993" w:type="dxa"/>
            <w:vAlign w:val="center"/>
          </w:tcPr>
          <w:p w14:paraId="5ADE1B64">
            <w:pPr>
              <w:snapToGrid w:val="0"/>
              <w:spacing w:line="360" w:lineRule="auto"/>
              <w:jc w:val="center"/>
              <w:rPr>
                <w:rFonts w:ascii="宋体" w:hAnsi="宋体" w:cs="宋体"/>
                <w:sz w:val="24"/>
              </w:rPr>
            </w:pPr>
          </w:p>
        </w:tc>
        <w:tc>
          <w:tcPr>
            <w:tcW w:w="1559" w:type="dxa"/>
            <w:vAlign w:val="center"/>
          </w:tcPr>
          <w:p w14:paraId="5CD8D78D">
            <w:pPr>
              <w:spacing w:line="360" w:lineRule="auto"/>
              <w:jc w:val="center"/>
              <w:rPr>
                <w:rFonts w:ascii="宋体" w:hAnsi="宋体" w:cs="宋体"/>
                <w:sz w:val="24"/>
              </w:rPr>
            </w:pPr>
          </w:p>
        </w:tc>
        <w:tc>
          <w:tcPr>
            <w:tcW w:w="1984" w:type="dxa"/>
            <w:vAlign w:val="center"/>
          </w:tcPr>
          <w:p w14:paraId="024C9DD2">
            <w:pPr>
              <w:spacing w:line="360" w:lineRule="auto"/>
              <w:jc w:val="center"/>
              <w:rPr>
                <w:rFonts w:ascii="宋体" w:hAnsi="宋体" w:cs="宋体"/>
                <w:sz w:val="24"/>
              </w:rPr>
            </w:pPr>
          </w:p>
        </w:tc>
        <w:tc>
          <w:tcPr>
            <w:tcW w:w="3119" w:type="dxa"/>
            <w:vAlign w:val="center"/>
          </w:tcPr>
          <w:p w14:paraId="3820E8AE">
            <w:pPr>
              <w:spacing w:line="360" w:lineRule="auto"/>
              <w:jc w:val="center"/>
              <w:rPr>
                <w:rFonts w:ascii="宋体" w:hAnsi="宋体" w:cs="宋体"/>
                <w:sz w:val="24"/>
              </w:rPr>
            </w:pPr>
          </w:p>
        </w:tc>
      </w:tr>
      <w:tr w14:paraId="01C9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912" w:type="dxa"/>
            <w:gridSpan w:val="3"/>
            <w:vAlign w:val="center"/>
          </w:tcPr>
          <w:p w14:paraId="5AD8224F">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vAlign w:val="center"/>
          </w:tcPr>
          <w:p w14:paraId="0E6AD2A0">
            <w:pPr>
              <w:spacing w:line="360" w:lineRule="auto"/>
              <w:jc w:val="center"/>
              <w:rPr>
                <w:rFonts w:ascii="宋体" w:hAnsi="宋体" w:cs="宋体"/>
                <w:sz w:val="24"/>
              </w:rPr>
            </w:pPr>
          </w:p>
        </w:tc>
      </w:tr>
      <w:tr w14:paraId="7B200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912" w:type="dxa"/>
            <w:gridSpan w:val="3"/>
            <w:vAlign w:val="center"/>
          </w:tcPr>
          <w:p w14:paraId="52CF98F7">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vAlign w:val="center"/>
          </w:tcPr>
          <w:p w14:paraId="72CC9D75">
            <w:pPr>
              <w:spacing w:line="360" w:lineRule="auto"/>
              <w:jc w:val="center"/>
              <w:rPr>
                <w:rFonts w:ascii="宋体" w:hAnsi="宋体" w:cs="宋体"/>
                <w:sz w:val="24"/>
              </w:rPr>
            </w:pPr>
          </w:p>
        </w:tc>
      </w:tr>
    </w:tbl>
    <w:p w14:paraId="16BAB69F">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247D501A">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14:paraId="4C3F99AA">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4ED88E91">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w:t>
      </w:r>
      <w:r>
        <w:rPr>
          <w:rFonts w:hint="eastAsia" w:ascii="宋体" w:hAnsi="宋体" w:cs="宋体"/>
          <w:color w:val="auto"/>
          <w:kern w:val="0"/>
          <w:sz w:val="24"/>
          <w:lang w:val="zh-CN"/>
        </w:rPr>
        <w:t>规格型号、数量、单价等予以公示。</w:t>
      </w:r>
    </w:p>
    <w:p w14:paraId="1EEF4598">
      <w:pPr>
        <w:snapToGrid w:val="0"/>
        <w:spacing w:line="360" w:lineRule="auto"/>
        <w:ind w:firstLine="480" w:firstLineChars="200"/>
        <w:jc w:val="left"/>
        <w:rPr>
          <w:rFonts w:ascii="宋体" w:hAnsi="宋体" w:cs="宋体"/>
          <w:bCs/>
          <w:sz w:val="24"/>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sectPr>
      <w:headerReference r:id="rId17" w:type="first"/>
      <w:footerReference r:id="rId20" w:type="first"/>
      <w:headerReference r:id="rId16" w:type="default"/>
      <w:footerReference r:id="rId18" w:type="default"/>
      <w:footerReference r:id="rId19" w:type="even"/>
      <w:pgSz w:w="16838" w:h="11906" w:orient="landscape"/>
      <w:pgMar w:top="1417" w:right="1276" w:bottom="1417" w:left="1247" w:header="851" w:footer="992" w:gutter="0"/>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30D7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74006">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02" w:name="_Toc131845147"/>
    <w:bookmarkStart w:id="403" w:name="_Toc91899912"/>
    <w:bookmarkStart w:id="404" w:name="_Toc36110187"/>
    <w:bookmarkStart w:id="405" w:name="_Toc164085800"/>
    <w:r>
      <w:rPr>
        <w:rFonts w:hint="eastAsia" w:ascii="仿宋_GB2312" w:eastAsia="仿宋_GB2312"/>
        <w:kern w:val="0"/>
        <w:szCs w:val="21"/>
      </w:rPr>
      <w:t xml:space="preserve"> 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6C329">
    <w:pPr>
      <w:pStyle w:val="40"/>
      <w:framePr w:wrap="around" w:vAnchor="text" w:hAnchor="margin" w:xAlign="right" w:y="1"/>
      <w:rPr>
        <w:rStyle w:val="75"/>
      </w:rPr>
    </w:pPr>
    <w:r>
      <w:fldChar w:fldCharType="begin"/>
    </w:r>
    <w:r>
      <w:rPr>
        <w:rStyle w:val="75"/>
      </w:rPr>
      <w:instrText xml:space="preserve">PAGE  </w:instrText>
    </w:r>
    <w:r>
      <w:fldChar w:fldCharType="end"/>
    </w:r>
  </w:p>
  <w:p w14:paraId="2DEBA142">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305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6490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DE7176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8289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EA155C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856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9CDBF9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FBA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538E6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6A7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D78C2">
    <w:pPr>
      <w:pStyle w:val="40"/>
      <w:framePr w:wrap="around" w:vAnchor="text" w:hAnchor="margin" w:xAlign="right" w:y="1"/>
      <w:rPr>
        <w:rStyle w:val="75"/>
      </w:rPr>
    </w:pPr>
    <w:r>
      <w:fldChar w:fldCharType="begin"/>
    </w:r>
    <w:r>
      <w:rPr>
        <w:rStyle w:val="75"/>
      </w:rPr>
      <w:instrText xml:space="preserve">PAGE  </w:instrText>
    </w:r>
    <w:r>
      <w:fldChar w:fldCharType="end"/>
    </w:r>
  </w:p>
  <w:p w14:paraId="280E6277">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F6FF8">
    <w:pPr>
      <w:pStyle w:val="42"/>
      <w:pBdr>
        <w:bottom w:val="single" w:color="auto" w:sz="6" w:space="4"/>
      </w:pBdr>
      <w:jc w:val="right"/>
      <w:rPr>
        <w:rFonts w:hint="eastAsia" w:eastAsia="宋体"/>
        <w:lang w:eastAsia="zh-CN"/>
      </w:rPr>
    </w:pPr>
    <w:r>
      <w:t></w:t>
    </w:r>
    <w:r>
      <w:rPr>
        <w:rFonts w:hint="eastAsia"/>
      </w:rPr>
      <w:t xml:space="preserve">          </w:t>
    </w:r>
    <w:r>
      <w:rPr>
        <w:rFonts w:hint="eastAsia"/>
        <w:lang w:eastAsia="zh-CN"/>
      </w:rPr>
      <w:t>竞争性磋商文件</w:t>
    </w:r>
  </w:p>
  <w:p w14:paraId="3D18616B">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A6C65">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581A2">
    <w:pPr>
      <w:pStyle w:val="42"/>
      <w:rPr>
        <w:rFonts w:hint="eastAsia" w:ascii="仿宋_GB2312" w:eastAsia="宋体"/>
        <w:b/>
        <w:i/>
        <w:u w:val="single"/>
        <w:lang w:eastAsia="zh-CN"/>
      </w:rPr>
    </w:pPr>
    <w:r>
      <w:t></w:t>
    </w:r>
    <w:r>
      <w:rPr>
        <w:rFonts w:hint="eastAsia"/>
      </w:rPr>
      <w:t xml:space="preserve">                                                </w:t>
    </w:r>
    <w:r>
      <w:t xml:space="preserve"> </w:t>
    </w:r>
    <w:r>
      <w:rPr>
        <w:rFonts w:hint="eastAsia"/>
        <w:lang w:eastAsia="zh-CN"/>
      </w:rPr>
      <w:t>竞争性磋商文件</w:t>
    </w:r>
  </w:p>
  <w:p w14:paraId="2D37C188">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69C83">
    <w:pPr>
      <w:pStyle w:val="42"/>
      <w:jc w:val="right"/>
      <w:rPr>
        <w:rFonts w:hint="eastAsia" w:eastAsia="宋体"/>
        <w:lang w:eastAsia="zh-CN"/>
      </w:rPr>
    </w:pPr>
    <w:r>
      <w:t></w:t>
    </w:r>
    <w:r>
      <w:rPr>
        <w:rFonts w:hint="eastAsia"/>
      </w:rPr>
      <w:t xml:space="preserve">                                                                    </w:t>
    </w:r>
    <w:r>
      <w:rPr>
        <w:rFonts w:hint="eastAsia"/>
        <w:lang w:eastAsia="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47032">
    <w:pPr>
      <w:pStyle w:val="42"/>
      <w:jc w:val="right"/>
      <w:rPr>
        <w:rFonts w:hint="eastAsia" w:ascii="仿宋_GB2312" w:eastAsia="宋体"/>
        <w:b/>
        <w:i/>
        <w:u w:val="single"/>
        <w:lang w:eastAsia="zh-CN"/>
      </w:rPr>
    </w:pPr>
    <w:r>
      <w:rPr>
        <w:rFonts w:hint="eastAsia"/>
      </w:rPr>
      <w:t xml:space="preserve">                               </w:t>
    </w:r>
    <w:r>
      <w:rPr>
        <w:rFonts w:hint="eastAsia"/>
        <w:lang w:eastAsia="zh-CN"/>
      </w:rPr>
      <w:t>竞争性磋商文件</w:t>
    </w:r>
  </w:p>
  <w:p w14:paraId="335ECA50">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868E3">
    <w:pPr>
      <w:pStyle w:val="42"/>
      <w:jc w:val="right"/>
      <w:rPr>
        <w:rFonts w:hint="eastAsia" w:eastAsia="宋体"/>
        <w:lang w:eastAsia="zh-CN"/>
      </w:rPr>
    </w:pPr>
    <w:r>
      <w:rPr>
        <w:rFonts w:hint="eastAsia"/>
      </w:rPr>
      <w:t xml:space="preserve">                                                                                                        </w:t>
    </w:r>
    <w:r>
      <w:rPr>
        <w:rFonts w:hint="eastAsia"/>
        <w:lang w:eastAsia="zh-CN"/>
      </w:rPr>
      <w:t>竞争性磋商文件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FFCE9">
    <w:pPr>
      <w:pStyle w:val="42"/>
      <w:jc w:val="right"/>
      <w:rPr>
        <w:rFonts w:hint="eastAsia" w:ascii="仿宋_GB2312" w:eastAsia="宋体"/>
        <w:b/>
        <w:i/>
        <w:iCs/>
        <w:u w:val="single"/>
        <w:lang w:eastAsia="zh-CN"/>
      </w:rPr>
    </w:pPr>
    <w:r>
      <w:t></w:t>
    </w:r>
    <w:r>
      <w:rPr>
        <w:rFonts w:hint="eastAsia"/>
        <w:lang w:eastAsia="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C8A2E">
    <w:pPr>
      <w:pStyle w:val="42"/>
      <w:rPr>
        <w:rFonts w:hint="eastAsia" w:eastAsia="宋体"/>
        <w:lang w:eastAsia="zh-CN"/>
      </w:rPr>
    </w:pPr>
    <w:r>
      <w:t></w:t>
    </w:r>
    <w:r>
      <w:rPr>
        <w:rFonts w:hint="eastAsia"/>
      </w:rPr>
      <w:t xml:space="preserve">                                            </w:t>
    </w:r>
    <w:r>
      <w:rPr>
        <w:rFonts w:hint="eastAsia"/>
        <w:lang w:eastAsia="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92639"/>
    <w:multiLevelType w:val="singleLevel"/>
    <w:tmpl w:val="B7A92639"/>
    <w:lvl w:ilvl="0" w:tentative="0">
      <w:start w:val="1"/>
      <w:numFmt w:val="decimal"/>
      <w:suff w:val="nothing"/>
      <w:lvlText w:val="%1、"/>
      <w:lvlJc w:val="left"/>
    </w:lvl>
  </w:abstractNum>
  <w:abstractNum w:abstractNumId="1">
    <w:nsid w:val="CD28C0AC"/>
    <w:multiLevelType w:val="singleLevel"/>
    <w:tmpl w:val="CD28C0AC"/>
    <w:lvl w:ilvl="0" w:tentative="0">
      <w:start w:val="1"/>
      <w:numFmt w:val="decimal"/>
      <w:suff w:val="nothing"/>
      <w:lvlText w:val="%1、"/>
      <w:lvlJc w:val="left"/>
    </w:lvl>
  </w:abstractNum>
  <w:abstractNum w:abstractNumId="2">
    <w:nsid w:val="21B9810C"/>
    <w:multiLevelType w:val="singleLevel"/>
    <w:tmpl w:val="21B9810C"/>
    <w:lvl w:ilvl="0" w:tentative="0">
      <w:start w:val="2"/>
      <w:numFmt w:val="chineseCounting"/>
      <w:suff w:val="nothing"/>
      <w:lvlText w:val="（%1）"/>
      <w:lvlJc w:val="left"/>
      <w:rPr>
        <w:rFonts w:hint="eastAsia"/>
      </w:rPr>
    </w:lvl>
  </w:abstractNum>
  <w:abstractNum w:abstractNumId="3">
    <w:nsid w:val="23D1D62D"/>
    <w:multiLevelType w:val="singleLevel"/>
    <w:tmpl w:val="23D1D62D"/>
    <w:lvl w:ilvl="0" w:tentative="0">
      <w:start w:val="3"/>
      <w:numFmt w:val="chineseCounting"/>
      <w:suff w:val="space"/>
      <w:lvlText w:val="第%1部分"/>
      <w:lvlJc w:val="left"/>
      <w:rPr>
        <w:rFonts w:hint="eastAsia"/>
      </w:rPr>
    </w:lvl>
  </w:abstractNum>
  <w:abstractNum w:abstractNumId="4">
    <w:nsid w:val="2C3BD57F"/>
    <w:multiLevelType w:val="singleLevel"/>
    <w:tmpl w:val="2C3BD57F"/>
    <w:lvl w:ilvl="0" w:tentative="0">
      <w:start w:val="2"/>
      <w:numFmt w:val="decimal"/>
      <w:lvlText w:val="%1."/>
      <w:lvlJc w:val="left"/>
      <w:pPr>
        <w:tabs>
          <w:tab w:val="left" w:pos="312"/>
        </w:tabs>
      </w:pPr>
    </w:lvl>
  </w:abstractNum>
  <w:abstractNum w:abstractNumId="5">
    <w:nsid w:val="2D4262EC"/>
    <w:multiLevelType w:val="singleLevel"/>
    <w:tmpl w:val="2D4262EC"/>
    <w:lvl w:ilvl="0" w:tentative="0">
      <w:start w:val="1"/>
      <w:numFmt w:val="chineseCounting"/>
      <w:suff w:val="nothing"/>
      <w:lvlText w:val="%1、"/>
      <w:lvlJc w:val="left"/>
      <w:rPr>
        <w:rFonts w:hint="eastAsia"/>
      </w:rPr>
    </w:lvl>
  </w:abstractNum>
  <w:abstractNum w:abstractNumId="6">
    <w:nsid w:val="4D835A34"/>
    <w:multiLevelType w:val="singleLevel"/>
    <w:tmpl w:val="4D835A34"/>
    <w:lvl w:ilvl="0" w:tentative="0">
      <w:start w:val="10"/>
      <w:numFmt w:val="chineseCounting"/>
      <w:suff w:val="nothing"/>
      <w:lvlText w:val="%1、"/>
      <w:lvlJc w:val="left"/>
      <w:rPr>
        <w:rFonts w:hint="eastAsia"/>
      </w:rPr>
    </w:lvl>
  </w:abstractNum>
  <w:abstractNum w:abstractNumId="7">
    <w:nsid w:val="5F7181FD"/>
    <w:multiLevelType w:val="singleLevel"/>
    <w:tmpl w:val="5F7181FD"/>
    <w:lvl w:ilvl="0" w:tentative="0">
      <w:start w:val="2"/>
      <w:numFmt w:val="chineseCounting"/>
      <w:suff w:val="nothing"/>
      <w:lvlText w:val="%1、"/>
      <w:lvlJc w:val="left"/>
      <w:rPr>
        <w:rFonts w:hint="eastAsia"/>
      </w:rPr>
    </w:lvl>
  </w:abstractNum>
  <w:abstractNum w:abstractNumId="8">
    <w:nsid w:val="6D70E3C1"/>
    <w:multiLevelType w:val="singleLevel"/>
    <w:tmpl w:val="6D70E3C1"/>
    <w:lvl w:ilvl="0" w:tentative="0">
      <w:start w:val="1"/>
      <w:numFmt w:val="decimal"/>
      <w:lvlText w:val="%1."/>
      <w:lvlJc w:val="left"/>
      <w:pPr>
        <w:tabs>
          <w:tab w:val="left" w:pos="312"/>
        </w:tabs>
      </w:pPr>
    </w:lvl>
  </w:abstractNum>
  <w:num w:numId="1">
    <w:abstractNumId w:val="6"/>
  </w:num>
  <w:num w:numId="2">
    <w:abstractNumId w:val="3"/>
  </w:num>
  <w:num w:numId="3">
    <w:abstractNumId w:val="5"/>
  </w:num>
  <w:num w:numId="4">
    <w:abstractNumId w:val="8"/>
  </w:num>
  <w:num w:numId="5">
    <w:abstractNumId w:val="0"/>
  </w:num>
  <w:num w:numId="6">
    <w:abstractNumId w:val="4"/>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MzA3MjI3ZGQ0ODhjZGE1M2ZiYWVjODkwYzc2Y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1C90"/>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695"/>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54"/>
    <w:rsid w:val="00081671"/>
    <w:rsid w:val="00082AD4"/>
    <w:rsid w:val="00083E07"/>
    <w:rsid w:val="0008412C"/>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235"/>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403"/>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DEE"/>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6DA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00"/>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78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5CD"/>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06B3"/>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8C4"/>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5CF"/>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15"/>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D05"/>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24FE"/>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DB7"/>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1AC"/>
    <w:rsid w:val="00951517"/>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0E5C"/>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93A"/>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01B"/>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988"/>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2D5A"/>
    <w:rsid w:val="00E333D5"/>
    <w:rsid w:val="00E33444"/>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5F9"/>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B3F"/>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5D1"/>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13A8"/>
    <w:rsid w:val="01236AFB"/>
    <w:rsid w:val="01303AC5"/>
    <w:rsid w:val="01315E28"/>
    <w:rsid w:val="014F03EF"/>
    <w:rsid w:val="016E2F6B"/>
    <w:rsid w:val="01730582"/>
    <w:rsid w:val="01853E11"/>
    <w:rsid w:val="018E53BB"/>
    <w:rsid w:val="019F7441"/>
    <w:rsid w:val="01AA5738"/>
    <w:rsid w:val="01AC161D"/>
    <w:rsid w:val="01AE0334"/>
    <w:rsid w:val="01B36BD0"/>
    <w:rsid w:val="01B37585"/>
    <w:rsid w:val="01C611A0"/>
    <w:rsid w:val="01D55165"/>
    <w:rsid w:val="01DF6BF8"/>
    <w:rsid w:val="01E40747"/>
    <w:rsid w:val="01EC2C57"/>
    <w:rsid w:val="02021905"/>
    <w:rsid w:val="02146128"/>
    <w:rsid w:val="02156531"/>
    <w:rsid w:val="0227311A"/>
    <w:rsid w:val="023A4BFB"/>
    <w:rsid w:val="025A34EF"/>
    <w:rsid w:val="025F0711"/>
    <w:rsid w:val="026551BA"/>
    <w:rsid w:val="0268276F"/>
    <w:rsid w:val="026B2E25"/>
    <w:rsid w:val="02824D4D"/>
    <w:rsid w:val="02873BB9"/>
    <w:rsid w:val="02A76009"/>
    <w:rsid w:val="02DC4B10"/>
    <w:rsid w:val="02DC5CB3"/>
    <w:rsid w:val="02DD76CE"/>
    <w:rsid w:val="02E77F77"/>
    <w:rsid w:val="02F36323"/>
    <w:rsid w:val="02F5619C"/>
    <w:rsid w:val="030259B8"/>
    <w:rsid w:val="030F6088"/>
    <w:rsid w:val="0326446A"/>
    <w:rsid w:val="032D5555"/>
    <w:rsid w:val="03325C09"/>
    <w:rsid w:val="03345AEF"/>
    <w:rsid w:val="036634D2"/>
    <w:rsid w:val="03791753"/>
    <w:rsid w:val="037E2A51"/>
    <w:rsid w:val="03A8471B"/>
    <w:rsid w:val="03C922E4"/>
    <w:rsid w:val="03CC6B28"/>
    <w:rsid w:val="03DD35E4"/>
    <w:rsid w:val="03E272F9"/>
    <w:rsid w:val="03E85749"/>
    <w:rsid w:val="03F0145B"/>
    <w:rsid w:val="03F6747E"/>
    <w:rsid w:val="03FF2029"/>
    <w:rsid w:val="04076900"/>
    <w:rsid w:val="040C5F4D"/>
    <w:rsid w:val="04114082"/>
    <w:rsid w:val="041A5A3B"/>
    <w:rsid w:val="04205BD7"/>
    <w:rsid w:val="042311BA"/>
    <w:rsid w:val="04235B63"/>
    <w:rsid w:val="04247911"/>
    <w:rsid w:val="042B157A"/>
    <w:rsid w:val="044D7F82"/>
    <w:rsid w:val="046046C1"/>
    <w:rsid w:val="048F763B"/>
    <w:rsid w:val="049F330E"/>
    <w:rsid w:val="04AA775C"/>
    <w:rsid w:val="04AF1889"/>
    <w:rsid w:val="04B2316F"/>
    <w:rsid w:val="04BA64C7"/>
    <w:rsid w:val="04CB4231"/>
    <w:rsid w:val="04E63EAF"/>
    <w:rsid w:val="04F574FF"/>
    <w:rsid w:val="04F66F48"/>
    <w:rsid w:val="051B1C4D"/>
    <w:rsid w:val="05251E14"/>
    <w:rsid w:val="05300538"/>
    <w:rsid w:val="053578FC"/>
    <w:rsid w:val="05486BAC"/>
    <w:rsid w:val="05526700"/>
    <w:rsid w:val="05654685"/>
    <w:rsid w:val="057230AE"/>
    <w:rsid w:val="057A17B3"/>
    <w:rsid w:val="057E2F8C"/>
    <w:rsid w:val="058014BF"/>
    <w:rsid w:val="058645FB"/>
    <w:rsid w:val="05A16594"/>
    <w:rsid w:val="05A7762D"/>
    <w:rsid w:val="05B41DF3"/>
    <w:rsid w:val="05B81D48"/>
    <w:rsid w:val="05C66D09"/>
    <w:rsid w:val="05CD3FD8"/>
    <w:rsid w:val="05D64292"/>
    <w:rsid w:val="05D657FF"/>
    <w:rsid w:val="05ED01D7"/>
    <w:rsid w:val="05F477B7"/>
    <w:rsid w:val="05F74152"/>
    <w:rsid w:val="05FB0B46"/>
    <w:rsid w:val="05FE23E4"/>
    <w:rsid w:val="060E5941"/>
    <w:rsid w:val="06110FAF"/>
    <w:rsid w:val="06257C9E"/>
    <w:rsid w:val="062F259D"/>
    <w:rsid w:val="063D62C0"/>
    <w:rsid w:val="06493CA7"/>
    <w:rsid w:val="065A6178"/>
    <w:rsid w:val="065D0272"/>
    <w:rsid w:val="066E30C6"/>
    <w:rsid w:val="066F1CF3"/>
    <w:rsid w:val="06767680"/>
    <w:rsid w:val="067747D3"/>
    <w:rsid w:val="067C4372"/>
    <w:rsid w:val="06852A6A"/>
    <w:rsid w:val="068624B2"/>
    <w:rsid w:val="0687687D"/>
    <w:rsid w:val="068D121F"/>
    <w:rsid w:val="06930BB8"/>
    <w:rsid w:val="06A116ED"/>
    <w:rsid w:val="06A21A04"/>
    <w:rsid w:val="06B07B82"/>
    <w:rsid w:val="06BA455D"/>
    <w:rsid w:val="06C278B5"/>
    <w:rsid w:val="06E17D3B"/>
    <w:rsid w:val="06EA081F"/>
    <w:rsid w:val="070677A2"/>
    <w:rsid w:val="07084BBA"/>
    <w:rsid w:val="071F79EE"/>
    <w:rsid w:val="07222102"/>
    <w:rsid w:val="07245D42"/>
    <w:rsid w:val="07264C62"/>
    <w:rsid w:val="0738619F"/>
    <w:rsid w:val="07592A82"/>
    <w:rsid w:val="07660241"/>
    <w:rsid w:val="07740BAF"/>
    <w:rsid w:val="0779354C"/>
    <w:rsid w:val="07853973"/>
    <w:rsid w:val="079A6992"/>
    <w:rsid w:val="07A066C0"/>
    <w:rsid w:val="07F1511A"/>
    <w:rsid w:val="07F537BE"/>
    <w:rsid w:val="07FB6F8A"/>
    <w:rsid w:val="07FC0BA5"/>
    <w:rsid w:val="08002443"/>
    <w:rsid w:val="08061376"/>
    <w:rsid w:val="08177B09"/>
    <w:rsid w:val="083245C7"/>
    <w:rsid w:val="08452D77"/>
    <w:rsid w:val="084560A8"/>
    <w:rsid w:val="08630AB1"/>
    <w:rsid w:val="086401F8"/>
    <w:rsid w:val="086E6B01"/>
    <w:rsid w:val="08751CAA"/>
    <w:rsid w:val="087E4C40"/>
    <w:rsid w:val="0884474B"/>
    <w:rsid w:val="08907C6B"/>
    <w:rsid w:val="08A871D0"/>
    <w:rsid w:val="08AC25CB"/>
    <w:rsid w:val="08D03AAE"/>
    <w:rsid w:val="08D257C6"/>
    <w:rsid w:val="08D66AD6"/>
    <w:rsid w:val="08DA33A3"/>
    <w:rsid w:val="08E12275"/>
    <w:rsid w:val="08E80F13"/>
    <w:rsid w:val="08E83D84"/>
    <w:rsid w:val="08F31FA8"/>
    <w:rsid w:val="09291013"/>
    <w:rsid w:val="09335624"/>
    <w:rsid w:val="094256E5"/>
    <w:rsid w:val="09425BB7"/>
    <w:rsid w:val="0944690F"/>
    <w:rsid w:val="09535675"/>
    <w:rsid w:val="095F057D"/>
    <w:rsid w:val="09630FAA"/>
    <w:rsid w:val="09642282"/>
    <w:rsid w:val="09733572"/>
    <w:rsid w:val="09772C16"/>
    <w:rsid w:val="097906FF"/>
    <w:rsid w:val="098353B5"/>
    <w:rsid w:val="098B2263"/>
    <w:rsid w:val="099F7A3A"/>
    <w:rsid w:val="09A92330"/>
    <w:rsid w:val="09B06B87"/>
    <w:rsid w:val="09C13146"/>
    <w:rsid w:val="09E04166"/>
    <w:rsid w:val="09E57B43"/>
    <w:rsid w:val="09F71DBF"/>
    <w:rsid w:val="0A03446D"/>
    <w:rsid w:val="0A03621B"/>
    <w:rsid w:val="0A0D52EB"/>
    <w:rsid w:val="0A0F6BB8"/>
    <w:rsid w:val="0A1C0718"/>
    <w:rsid w:val="0A3132B5"/>
    <w:rsid w:val="0A3E7710"/>
    <w:rsid w:val="0A546A76"/>
    <w:rsid w:val="0A597BE4"/>
    <w:rsid w:val="0A5B7E63"/>
    <w:rsid w:val="0A8455AD"/>
    <w:rsid w:val="0A9363DC"/>
    <w:rsid w:val="0A93759F"/>
    <w:rsid w:val="0AA374A5"/>
    <w:rsid w:val="0AA73876"/>
    <w:rsid w:val="0AAB7649"/>
    <w:rsid w:val="0AB5284D"/>
    <w:rsid w:val="0ABC5606"/>
    <w:rsid w:val="0AC734B8"/>
    <w:rsid w:val="0AC74521"/>
    <w:rsid w:val="0AC84FEF"/>
    <w:rsid w:val="0AC97E63"/>
    <w:rsid w:val="0ADF27E4"/>
    <w:rsid w:val="0AF618DB"/>
    <w:rsid w:val="0AFA2F23"/>
    <w:rsid w:val="0B097861"/>
    <w:rsid w:val="0B1270F5"/>
    <w:rsid w:val="0B270AEA"/>
    <w:rsid w:val="0B30404E"/>
    <w:rsid w:val="0B3C7C36"/>
    <w:rsid w:val="0B4C6C14"/>
    <w:rsid w:val="0B547599"/>
    <w:rsid w:val="0B5605CC"/>
    <w:rsid w:val="0B631A88"/>
    <w:rsid w:val="0B683D45"/>
    <w:rsid w:val="0B6A015B"/>
    <w:rsid w:val="0B7F3F11"/>
    <w:rsid w:val="0B884417"/>
    <w:rsid w:val="0BB2614A"/>
    <w:rsid w:val="0BB377CC"/>
    <w:rsid w:val="0BC83278"/>
    <w:rsid w:val="0BD16125"/>
    <w:rsid w:val="0BE77065"/>
    <w:rsid w:val="0BF24799"/>
    <w:rsid w:val="0BF57EE4"/>
    <w:rsid w:val="0BF6188C"/>
    <w:rsid w:val="0BF71DAF"/>
    <w:rsid w:val="0BF73C91"/>
    <w:rsid w:val="0C05627A"/>
    <w:rsid w:val="0C170175"/>
    <w:rsid w:val="0C1C1816"/>
    <w:rsid w:val="0C272694"/>
    <w:rsid w:val="0C285E2F"/>
    <w:rsid w:val="0C2A3F33"/>
    <w:rsid w:val="0C4059A7"/>
    <w:rsid w:val="0C42513B"/>
    <w:rsid w:val="0C4402CF"/>
    <w:rsid w:val="0C446AE7"/>
    <w:rsid w:val="0C52092A"/>
    <w:rsid w:val="0C571A41"/>
    <w:rsid w:val="0C5C1171"/>
    <w:rsid w:val="0C5E1CBC"/>
    <w:rsid w:val="0C615B50"/>
    <w:rsid w:val="0C6A07D3"/>
    <w:rsid w:val="0C7C4062"/>
    <w:rsid w:val="0C8445DA"/>
    <w:rsid w:val="0C87121B"/>
    <w:rsid w:val="0CB63A18"/>
    <w:rsid w:val="0CC007F7"/>
    <w:rsid w:val="0CC617AC"/>
    <w:rsid w:val="0CD15FAB"/>
    <w:rsid w:val="0CD619C5"/>
    <w:rsid w:val="0CD66A67"/>
    <w:rsid w:val="0CD81BE1"/>
    <w:rsid w:val="0CE618DF"/>
    <w:rsid w:val="0CEC568C"/>
    <w:rsid w:val="0CEE6D0E"/>
    <w:rsid w:val="0CFE2CC9"/>
    <w:rsid w:val="0CFE707A"/>
    <w:rsid w:val="0D063BDA"/>
    <w:rsid w:val="0D08375F"/>
    <w:rsid w:val="0D114A4A"/>
    <w:rsid w:val="0D184CFB"/>
    <w:rsid w:val="0D4A7419"/>
    <w:rsid w:val="0D520DFB"/>
    <w:rsid w:val="0D827401"/>
    <w:rsid w:val="0D84094E"/>
    <w:rsid w:val="0D8A00E9"/>
    <w:rsid w:val="0D8B02D0"/>
    <w:rsid w:val="0D8D589E"/>
    <w:rsid w:val="0DA01C73"/>
    <w:rsid w:val="0DA821D1"/>
    <w:rsid w:val="0DAD4E1B"/>
    <w:rsid w:val="0DC64FDA"/>
    <w:rsid w:val="0DC70563"/>
    <w:rsid w:val="0DD63300"/>
    <w:rsid w:val="0DF50604"/>
    <w:rsid w:val="0DF702FE"/>
    <w:rsid w:val="0E060E51"/>
    <w:rsid w:val="0E2520B0"/>
    <w:rsid w:val="0E4F5ED2"/>
    <w:rsid w:val="0E5604B2"/>
    <w:rsid w:val="0E5F6733"/>
    <w:rsid w:val="0E666D78"/>
    <w:rsid w:val="0E6A54A7"/>
    <w:rsid w:val="0E6D5D79"/>
    <w:rsid w:val="0E721BC1"/>
    <w:rsid w:val="0E807B27"/>
    <w:rsid w:val="0E9D0089"/>
    <w:rsid w:val="0EB803EE"/>
    <w:rsid w:val="0EDB1514"/>
    <w:rsid w:val="0EDB310F"/>
    <w:rsid w:val="0EF1655F"/>
    <w:rsid w:val="0EF94D4B"/>
    <w:rsid w:val="0F0A004B"/>
    <w:rsid w:val="0F0A3BA7"/>
    <w:rsid w:val="0F135152"/>
    <w:rsid w:val="0F1A028E"/>
    <w:rsid w:val="0F1D38DB"/>
    <w:rsid w:val="0F39623B"/>
    <w:rsid w:val="0F4958DC"/>
    <w:rsid w:val="0F515DF7"/>
    <w:rsid w:val="0F596BA8"/>
    <w:rsid w:val="0F6248D2"/>
    <w:rsid w:val="0F693536"/>
    <w:rsid w:val="0F7B0511"/>
    <w:rsid w:val="0F7B76D9"/>
    <w:rsid w:val="0F7E0589"/>
    <w:rsid w:val="0F7F4595"/>
    <w:rsid w:val="0F816ACD"/>
    <w:rsid w:val="0F82794C"/>
    <w:rsid w:val="0F9256C4"/>
    <w:rsid w:val="0F9832DB"/>
    <w:rsid w:val="0F9A13CF"/>
    <w:rsid w:val="0FBF3FD2"/>
    <w:rsid w:val="0FBF7FF3"/>
    <w:rsid w:val="0FCD4108"/>
    <w:rsid w:val="0FF17879"/>
    <w:rsid w:val="0FFE7C9A"/>
    <w:rsid w:val="100D7DF3"/>
    <w:rsid w:val="103F7521"/>
    <w:rsid w:val="104906FF"/>
    <w:rsid w:val="104E3DB9"/>
    <w:rsid w:val="10590E40"/>
    <w:rsid w:val="105D24B8"/>
    <w:rsid w:val="10646583"/>
    <w:rsid w:val="107D4B15"/>
    <w:rsid w:val="10806817"/>
    <w:rsid w:val="108A3C80"/>
    <w:rsid w:val="109E251C"/>
    <w:rsid w:val="10A01DEB"/>
    <w:rsid w:val="10AC760C"/>
    <w:rsid w:val="10B1077E"/>
    <w:rsid w:val="10B71B0D"/>
    <w:rsid w:val="10C06C14"/>
    <w:rsid w:val="10C21917"/>
    <w:rsid w:val="10C26171"/>
    <w:rsid w:val="10DB1C9F"/>
    <w:rsid w:val="10ED552F"/>
    <w:rsid w:val="10F33360"/>
    <w:rsid w:val="10FC16EA"/>
    <w:rsid w:val="110F1D40"/>
    <w:rsid w:val="11135F14"/>
    <w:rsid w:val="11203B56"/>
    <w:rsid w:val="1122167C"/>
    <w:rsid w:val="11266F33"/>
    <w:rsid w:val="112F3D99"/>
    <w:rsid w:val="113D64B6"/>
    <w:rsid w:val="11513D10"/>
    <w:rsid w:val="11567CCE"/>
    <w:rsid w:val="11596568"/>
    <w:rsid w:val="116166BB"/>
    <w:rsid w:val="118963A1"/>
    <w:rsid w:val="119E59A4"/>
    <w:rsid w:val="11A13517"/>
    <w:rsid w:val="11A405D2"/>
    <w:rsid w:val="11A6405B"/>
    <w:rsid w:val="11AD0113"/>
    <w:rsid w:val="11BA7B07"/>
    <w:rsid w:val="11C14E50"/>
    <w:rsid w:val="11C6522A"/>
    <w:rsid w:val="11CE6631"/>
    <w:rsid w:val="11D861DF"/>
    <w:rsid w:val="11E104CC"/>
    <w:rsid w:val="11E20309"/>
    <w:rsid w:val="11E478CB"/>
    <w:rsid w:val="11E93F48"/>
    <w:rsid w:val="11F76BA0"/>
    <w:rsid w:val="120174E4"/>
    <w:rsid w:val="12042DDC"/>
    <w:rsid w:val="120C7C36"/>
    <w:rsid w:val="120D52C6"/>
    <w:rsid w:val="12174F59"/>
    <w:rsid w:val="121C431D"/>
    <w:rsid w:val="12255233"/>
    <w:rsid w:val="12274A70"/>
    <w:rsid w:val="122B6FC7"/>
    <w:rsid w:val="122C4BF7"/>
    <w:rsid w:val="123258EF"/>
    <w:rsid w:val="1235718D"/>
    <w:rsid w:val="12386F16"/>
    <w:rsid w:val="123F61BB"/>
    <w:rsid w:val="12530213"/>
    <w:rsid w:val="125E4FBB"/>
    <w:rsid w:val="12631F4C"/>
    <w:rsid w:val="127723A9"/>
    <w:rsid w:val="127759F8"/>
    <w:rsid w:val="12862074"/>
    <w:rsid w:val="12883966"/>
    <w:rsid w:val="128B222B"/>
    <w:rsid w:val="129C6793"/>
    <w:rsid w:val="129E45B4"/>
    <w:rsid w:val="12A9442C"/>
    <w:rsid w:val="12B04A66"/>
    <w:rsid w:val="12C10A21"/>
    <w:rsid w:val="12C577B1"/>
    <w:rsid w:val="12D81596"/>
    <w:rsid w:val="13072A44"/>
    <w:rsid w:val="131E4D72"/>
    <w:rsid w:val="13257202"/>
    <w:rsid w:val="135F4BE2"/>
    <w:rsid w:val="13631AD8"/>
    <w:rsid w:val="1395195D"/>
    <w:rsid w:val="139B1A0A"/>
    <w:rsid w:val="139B3968"/>
    <w:rsid w:val="139D25C7"/>
    <w:rsid w:val="13AC5570"/>
    <w:rsid w:val="13B32A60"/>
    <w:rsid w:val="13BF3CE4"/>
    <w:rsid w:val="13CC1D73"/>
    <w:rsid w:val="13DD307C"/>
    <w:rsid w:val="13E72029"/>
    <w:rsid w:val="13EE427B"/>
    <w:rsid w:val="14010222"/>
    <w:rsid w:val="141008D8"/>
    <w:rsid w:val="14125FE6"/>
    <w:rsid w:val="14425B91"/>
    <w:rsid w:val="14596DEA"/>
    <w:rsid w:val="14633BA9"/>
    <w:rsid w:val="14665D24"/>
    <w:rsid w:val="146D271E"/>
    <w:rsid w:val="147246C9"/>
    <w:rsid w:val="14982588"/>
    <w:rsid w:val="149A5AD9"/>
    <w:rsid w:val="149B7A97"/>
    <w:rsid w:val="14A7619D"/>
    <w:rsid w:val="14B7657F"/>
    <w:rsid w:val="14BE346A"/>
    <w:rsid w:val="14C65B91"/>
    <w:rsid w:val="14C842E9"/>
    <w:rsid w:val="14DB6D92"/>
    <w:rsid w:val="150536C3"/>
    <w:rsid w:val="150C1963"/>
    <w:rsid w:val="15121A08"/>
    <w:rsid w:val="151447A0"/>
    <w:rsid w:val="154040B1"/>
    <w:rsid w:val="154800FF"/>
    <w:rsid w:val="154A6454"/>
    <w:rsid w:val="155C1A60"/>
    <w:rsid w:val="15762120"/>
    <w:rsid w:val="159E0850"/>
    <w:rsid w:val="15AD2ED4"/>
    <w:rsid w:val="15B040AA"/>
    <w:rsid w:val="15C47161"/>
    <w:rsid w:val="15CF3196"/>
    <w:rsid w:val="15D46CBD"/>
    <w:rsid w:val="15EA028F"/>
    <w:rsid w:val="15EC7686"/>
    <w:rsid w:val="15EF40F2"/>
    <w:rsid w:val="15FA2BC8"/>
    <w:rsid w:val="160C6457"/>
    <w:rsid w:val="161A0B74"/>
    <w:rsid w:val="16204FC8"/>
    <w:rsid w:val="16410AD2"/>
    <w:rsid w:val="165322D8"/>
    <w:rsid w:val="16692350"/>
    <w:rsid w:val="16716B52"/>
    <w:rsid w:val="16781D3E"/>
    <w:rsid w:val="16994438"/>
    <w:rsid w:val="16A20B69"/>
    <w:rsid w:val="16A8729C"/>
    <w:rsid w:val="16B33777"/>
    <w:rsid w:val="16BC70A7"/>
    <w:rsid w:val="16C62AAA"/>
    <w:rsid w:val="16C6339E"/>
    <w:rsid w:val="16C76A44"/>
    <w:rsid w:val="16CC1091"/>
    <w:rsid w:val="16CC3B78"/>
    <w:rsid w:val="16DE66AA"/>
    <w:rsid w:val="172C5003"/>
    <w:rsid w:val="172F2D79"/>
    <w:rsid w:val="1735576E"/>
    <w:rsid w:val="1739327C"/>
    <w:rsid w:val="174165D4"/>
    <w:rsid w:val="174560C4"/>
    <w:rsid w:val="174F484D"/>
    <w:rsid w:val="17557BEF"/>
    <w:rsid w:val="175E0F34"/>
    <w:rsid w:val="17620A24"/>
    <w:rsid w:val="17743C14"/>
    <w:rsid w:val="177C760C"/>
    <w:rsid w:val="178A1D29"/>
    <w:rsid w:val="178E0E47"/>
    <w:rsid w:val="179D7CAF"/>
    <w:rsid w:val="17A74689"/>
    <w:rsid w:val="17B7378B"/>
    <w:rsid w:val="17C84600"/>
    <w:rsid w:val="17CC7113"/>
    <w:rsid w:val="17D349C1"/>
    <w:rsid w:val="17E34AC2"/>
    <w:rsid w:val="180563B9"/>
    <w:rsid w:val="18095344"/>
    <w:rsid w:val="18244F26"/>
    <w:rsid w:val="182A10E9"/>
    <w:rsid w:val="1830729E"/>
    <w:rsid w:val="1847137D"/>
    <w:rsid w:val="184F561A"/>
    <w:rsid w:val="18645FCC"/>
    <w:rsid w:val="186461EE"/>
    <w:rsid w:val="18666607"/>
    <w:rsid w:val="1870062C"/>
    <w:rsid w:val="18817102"/>
    <w:rsid w:val="18830A15"/>
    <w:rsid w:val="18852B28"/>
    <w:rsid w:val="188964A2"/>
    <w:rsid w:val="188B5321"/>
    <w:rsid w:val="189C385F"/>
    <w:rsid w:val="18A21883"/>
    <w:rsid w:val="18A776DE"/>
    <w:rsid w:val="18BE5BD4"/>
    <w:rsid w:val="18D24B20"/>
    <w:rsid w:val="18D53478"/>
    <w:rsid w:val="18DA45EA"/>
    <w:rsid w:val="18E01443"/>
    <w:rsid w:val="18E72BB0"/>
    <w:rsid w:val="19061883"/>
    <w:rsid w:val="19175B5B"/>
    <w:rsid w:val="19341F4D"/>
    <w:rsid w:val="19371A3D"/>
    <w:rsid w:val="19393A07"/>
    <w:rsid w:val="19932372"/>
    <w:rsid w:val="19A20DD5"/>
    <w:rsid w:val="19AB08EA"/>
    <w:rsid w:val="19AE03F1"/>
    <w:rsid w:val="19B1359D"/>
    <w:rsid w:val="1A071A03"/>
    <w:rsid w:val="1A0C111B"/>
    <w:rsid w:val="1A146B50"/>
    <w:rsid w:val="1A1B310D"/>
    <w:rsid w:val="1A1F16AE"/>
    <w:rsid w:val="1A3B5C77"/>
    <w:rsid w:val="1A41348C"/>
    <w:rsid w:val="1A466BC3"/>
    <w:rsid w:val="1A497C7A"/>
    <w:rsid w:val="1A4C32C6"/>
    <w:rsid w:val="1A5E15C2"/>
    <w:rsid w:val="1A606D71"/>
    <w:rsid w:val="1A633C8B"/>
    <w:rsid w:val="1A6C021E"/>
    <w:rsid w:val="1A953AC4"/>
    <w:rsid w:val="1A984BAD"/>
    <w:rsid w:val="1AA83F9F"/>
    <w:rsid w:val="1AB30AE0"/>
    <w:rsid w:val="1AB8220E"/>
    <w:rsid w:val="1AD11A1D"/>
    <w:rsid w:val="1AE4166C"/>
    <w:rsid w:val="1AF06CFB"/>
    <w:rsid w:val="1AF11B8D"/>
    <w:rsid w:val="1B11359C"/>
    <w:rsid w:val="1B2A271F"/>
    <w:rsid w:val="1B3F2E2B"/>
    <w:rsid w:val="1B530544"/>
    <w:rsid w:val="1B5B5EB7"/>
    <w:rsid w:val="1B684BF1"/>
    <w:rsid w:val="1B7113FD"/>
    <w:rsid w:val="1B713184"/>
    <w:rsid w:val="1B75456D"/>
    <w:rsid w:val="1BA209CF"/>
    <w:rsid w:val="1BB4777D"/>
    <w:rsid w:val="1BC11A92"/>
    <w:rsid w:val="1BC9751D"/>
    <w:rsid w:val="1BD01CD5"/>
    <w:rsid w:val="1BD75AB8"/>
    <w:rsid w:val="1BD82BF0"/>
    <w:rsid w:val="1BF1246E"/>
    <w:rsid w:val="1C0459C2"/>
    <w:rsid w:val="1C0E70FD"/>
    <w:rsid w:val="1C1B3B4A"/>
    <w:rsid w:val="1C6A5624"/>
    <w:rsid w:val="1C6E10CC"/>
    <w:rsid w:val="1C705992"/>
    <w:rsid w:val="1C88086E"/>
    <w:rsid w:val="1CA433C2"/>
    <w:rsid w:val="1CC32B65"/>
    <w:rsid w:val="1CC41839"/>
    <w:rsid w:val="1CCB2BC8"/>
    <w:rsid w:val="1CF960F0"/>
    <w:rsid w:val="1D047E88"/>
    <w:rsid w:val="1D063C00"/>
    <w:rsid w:val="1D266CE1"/>
    <w:rsid w:val="1D3963AF"/>
    <w:rsid w:val="1D6A673C"/>
    <w:rsid w:val="1D84346A"/>
    <w:rsid w:val="1D8C7E3F"/>
    <w:rsid w:val="1D901466"/>
    <w:rsid w:val="1D9247AE"/>
    <w:rsid w:val="1DB4365C"/>
    <w:rsid w:val="1DB567EC"/>
    <w:rsid w:val="1DB96EC4"/>
    <w:rsid w:val="1DBF3C5B"/>
    <w:rsid w:val="1DE61A0D"/>
    <w:rsid w:val="1DED6B6E"/>
    <w:rsid w:val="1DF4536B"/>
    <w:rsid w:val="1DF51A98"/>
    <w:rsid w:val="1E051CD9"/>
    <w:rsid w:val="1E0F2F88"/>
    <w:rsid w:val="1E152767"/>
    <w:rsid w:val="1E1A25DE"/>
    <w:rsid w:val="1E2444AC"/>
    <w:rsid w:val="1E3D060F"/>
    <w:rsid w:val="1E3F7D2E"/>
    <w:rsid w:val="1E4134E4"/>
    <w:rsid w:val="1E443A4A"/>
    <w:rsid w:val="1E5057EA"/>
    <w:rsid w:val="1E5062B3"/>
    <w:rsid w:val="1E523514"/>
    <w:rsid w:val="1E5B541A"/>
    <w:rsid w:val="1E714A66"/>
    <w:rsid w:val="1E802593"/>
    <w:rsid w:val="1E8B6156"/>
    <w:rsid w:val="1EA703CC"/>
    <w:rsid w:val="1EAA4163"/>
    <w:rsid w:val="1EB7330C"/>
    <w:rsid w:val="1EC2624D"/>
    <w:rsid w:val="1EC57AEB"/>
    <w:rsid w:val="1ED057E4"/>
    <w:rsid w:val="1EE73F05"/>
    <w:rsid w:val="1F073C5F"/>
    <w:rsid w:val="1F0A0FF3"/>
    <w:rsid w:val="1F297E2A"/>
    <w:rsid w:val="1F316F2E"/>
    <w:rsid w:val="1F501AAA"/>
    <w:rsid w:val="1F553656"/>
    <w:rsid w:val="1F5771FF"/>
    <w:rsid w:val="1F6A3017"/>
    <w:rsid w:val="1F6E6F3C"/>
    <w:rsid w:val="1F727BBC"/>
    <w:rsid w:val="1F784B5D"/>
    <w:rsid w:val="1F861028"/>
    <w:rsid w:val="1FA140B4"/>
    <w:rsid w:val="1FB91CB1"/>
    <w:rsid w:val="1FD52574"/>
    <w:rsid w:val="1FE83A91"/>
    <w:rsid w:val="1FE868A9"/>
    <w:rsid w:val="20034907"/>
    <w:rsid w:val="200C3C23"/>
    <w:rsid w:val="20173E4B"/>
    <w:rsid w:val="2027280B"/>
    <w:rsid w:val="204038CD"/>
    <w:rsid w:val="204279AB"/>
    <w:rsid w:val="204E48BC"/>
    <w:rsid w:val="20686980"/>
    <w:rsid w:val="206C021E"/>
    <w:rsid w:val="20881480"/>
    <w:rsid w:val="208921B3"/>
    <w:rsid w:val="20973DEB"/>
    <w:rsid w:val="20A16773"/>
    <w:rsid w:val="20A91472"/>
    <w:rsid w:val="20AA6F98"/>
    <w:rsid w:val="20B26522"/>
    <w:rsid w:val="20B44310"/>
    <w:rsid w:val="20C067BC"/>
    <w:rsid w:val="20E701EC"/>
    <w:rsid w:val="20EA55E7"/>
    <w:rsid w:val="20F36B91"/>
    <w:rsid w:val="20F3755F"/>
    <w:rsid w:val="20F63CA0"/>
    <w:rsid w:val="20FF1092"/>
    <w:rsid w:val="211116EB"/>
    <w:rsid w:val="212136FE"/>
    <w:rsid w:val="212E0A02"/>
    <w:rsid w:val="213A176F"/>
    <w:rsid w:val="213B1D8E"/>
    <w:rsid w:val="214B4D0B"/>
    <w:rsid w:val="21520AB6"/>
    <w:rsid w:val="21537630"/>
    <w:rsid w:val="216133FC"/>
    <w:rsid w:val="21645399"/>
    <w:rsid w:val="21812F0B"/>
    <w:rsid w:val="21817CF9"/>
    <w:rsid w:val="218D3C38"/>
    <w:rsid w:val="21933ED0"/>
    <w:rsid w:val="21947BAF"/>
    <w:rsid w:val="21A17A07"/>
    <w:rsid w:val="21C4408A"/>
    <w:rsid w:val="21C85928"/>
    <w:rsid w:val="21D02A2F"/>
    <w:rsid w:val="21D227AA"/>
    <w:rsid w:val="21D56769"/>
    <w:rsid w:val="21D62288"/>
    <w:rsid w:val="21DF0EC4"/>
    <w:rsid w:val="21DF2C72"/>
    <w:rsid w:val="21E52EF3"/>
    <w:rsid w:val="21ED14A0"/>
    <w:rsid w:val="21ED15FB"/>
    <w:rsid w:val="21FB5D7B"/>
    <w:rsid w:val="22015E94"/>
    <w:rsid w:val="2205224A"/>
    <w:rsid w:val="220B1C3D"/>
    <w:rsid w:val="221D1D20"/>
    <w:rsid w:val="22334A87"/>
    <w:rsid w:val="22346E31"/>
    <w:rsid w:val="223E5BEA"/>
    <w:rsid w:val="22445508"/>
    <w:rsid w:val="225A597E"/>
    <w:rsid w:val="2285391D"/>
    <w:rsid w:val="22995516"/>
    <w:rsid w:val="229F0EF3"/>
    <w:rsid w:val="22A719E1"/>
    <w:rsid w:val="22AF1749"/>
    <w:rsid w:val="22BE6801"/>
    <w:rsid w:val="22C5793E"/>
    <w:rsid w:val="22D60519"/>
    <w:rsid w:val="22E11B9B"/>
    <w:rsid w:val="22F559BC"/>
    <w:rsid w:val="22F56C92"/>
    <w:rsid w:val="22FA349E"/>
    <w:rsid w:val="231067C1"/>
    <w:rsid w:val="23166B67"/>
    <w:rsid w:val="233500BF"/>
    <w:rsid w:val="23377FF7"/>
    <w:rsid w:val="23403BE4"/>
    <w:rsid w:val="2346744C"/>
    <w:rsid w:val="234A1D38"/>
    <w:rsid w:val="23694A7D"/>
    <w:rsid w:val="236B425F"/>
    <w:rsid w:val="236C5450"/>
    <w:rsid w:val="23836192"/>
    <w:rsid w:val="238E0DF3"/>
    <w:rsid w:val="23901F29"/>
    <w:rsid w:val="239161EE"/>
    <w:rsid w:val="2392443F"/>
    <w:rsid w:val="23963804"/>
    <w:rsid w:val="239C0061"/>
    <w:rsid w:val="23A203FB"/>
    <w:rsid w:val="23B70C57"/>
    <w:rsid w:val="23B908A4"/>
    <w:rsid w:val="23C1798F"/>
    <w:rsid w:val="23CE6DEF"/>
    <w:rsid w:val="23D675DC"/>
    <w:rsid w:val="23D762F6"/>
    <w:rsid w:val="23E95BEF"/>
    <w:rsid w:val="23FD0064"/>
    <w:rsid w:val="241412F8"/>
    <w:rsid w:val="24322753"/>
    <w:rsid w:val="245375B0"/>
    <w:rsid w:val="24642C0A"/>
    <w:rsid w:val="24762F44"/>
    <w:rsid w:val="247E49C4"/>
    <w:rsid w:val="248D4C07"/>
    <w:rsid w:val="249B2604"/>
    <w:rsid w:val="24AD78DF"/>
    <w:rsid w:val="24B22173"/>
    <w:rsid w:val="24B77ED6"/>
    <w:rsid w:val="24B95AD9"/>
    <w:rsid w:val="24BE24DA"/>
    <w:rsid w:val="24CB2E0D"/>
    <w:rsid w:val="24CF5825"/>
    <w:rsid w:val="24D12D46"/>
    <w:rsid w:val="24D663E6"/>
    <w:rsid w:val="24D77F2B"/>
    <w:rsid w:val="24DB0BC9"/>
    <w:rsid w:val="24DD5A44"/>
    <w:rsid w:val="24DF4095"/>
    <w:rsid w:val="24ED38F7"/>
    <w:rsid w:val="24F53353"/>
    <w:rsid w:val="25020A34"/>
    <w:rsid w:val="250D7AF6"/>
    <w:rsid w:val="25253091"/>
    <w:rsid w:val="252F3F10"/>
    <w:rsid w:val="253260F8"/>
    <w:rsid w:val="25620124"/>
    <w:rsid w:val="256E67E6"/>
    <w:rsid w:val="257B6EF3"/>
    <w:rsid w:val="258424AE"/>
    <w:rsid w:val="25846F3B"/>
    <w:rsid w:val="258B00E2"/>
    <w:rsid w:val="258E5721"/>
    <w:rsid w:val="258E6E89"/>
    <w:rsid w:val="25951FC5"/>
    <w:rsid w:val="259873F6"/>
    <w:rsid w:val="25A32E60"/>
    <w:rsid w:val="25A8619C"/>
    <w:rsid w:val="25A917A6"/>
    <w:rsid w:val="25BE27CC"/>
    <w:rsid w:val="25DF1492"/>
    <w:rsid w:val="25F141FA"/>
    <w:rsid w:val="25F5633E"/>
    <w:rsid w:val="25F74A5C"/>
    <w:rsid w:val="2601765A"/>
    <w:rsid w:val="2628662C"/>
    <w:rsid w:val="262D45DE"/>
    <w:rsid w:val="26373CD8"/>
    <w:rsid w:val="264D6D44"/>
    <w:rsid w:val="265B1322"/>
    <w:rsid w:val="26712A32"/>
    <w:rsid w:val="26871DC8"/>
    <w:rsid w:val="26914E82"/>
    <w:rsid w:val="26922A33"/>
    <w:rsid w:val="26976CEB"/>
    <w:rsid w:val="269B598F"/>
    <w:rsid w:val="26A10E3D"/>
    <w:rsid w:val="26A53EF9"/>
    <w:rsid w:val="26A94201"/>
    <w:rsid w:val="26AA310B"/>
    <w:rsid w:val="26AC274F"/>
    <w:rsid w:val="26AE2F94"/>
    <w:rsid w:val="26DD4165"/>
    <w:rsid w:val="27020C04"/>
    <w:rsid w:val="27044A29"/>
    <w:rsid w:val="271A5192"/>
    <w:rsid w:val="271D34C8"/>
    <w:rsid w:val="27231852"/>
    <w:rsid w:val="272B7390"/>
    <w:rsid w:val="27347EDA"/>
    <w:rsid w:val="274E2D73"/>
    <w:rsid w:val="276142BF"/>
    <w:rsid w:val="27783712"/>
    <w:rsid w:val="278E3170"/>
    <w:rsid w:val="278E4F1E"/>
    <w:rsid w:val="27907362"/>
    <w:rsid w:val="279865C5"/>
    <w:rsid w:val="279F537D"/>
    <w:rsid w:val="27BB1A8B"/>
    <w:rsid w:val="27D07956"/>
    <w:rsid w:val="27D25752"/>
    <w:rsid w:val="27E15995"/>
    <w:rsid w:val="27E64D5A"/>
    <w:rsid w:val="27EE2905"/>
    <w:rsid w:val="27FB2AE2"/>
    <w:rsid w:val="27FF7BCA"/>
    <w:rsid w:val="28133675"/>
    <w:rsid w:val="28174CD6"/>
    <w:rsid w:val="28256734"/>
    <w:rsid w:val="28321D4D"/>
    <w:rsid w:val="28333E1D"/>
    <w:rsid w:val="28343B00"/>
    <w:rsid w:val="283A787A"/>
    <w:rsid w:val="28454BD6"/>
    <w:rsid w:val="28455253"/>
    <w:rsid w:val="28506677"/>
    <w:rsid w:val="2852419D"/>
    <w:rsid w:val="28551971"/>
    <w:rsid w:val="285B1C53"/>
    <w:rsid w:val="285E31AD"/>
    <w:rsid w:val="286C4045"/>
    <w:rsid w:val="286C5AD0"/>
    <w:rsid w:val="28707A67"/>
    <w:rsid w:val="287B54B3"/>
    <w:rsid w:val="28821586"/>
    <w:rsid w:val="289D557E"/>
    <w:rsid w:val="289F7086"/>
    <w:rsid w:val="28C32028"/>
    <w:rsid w:val="28CC490F"/>
    <w:rsid w:val="28CF4F56"/>
    <w:rsid w:val="28DE40AA"/>
    <w:rsid w:val="28E3573D"/>
    <w:rsid w:val="28EF5E90"/>
    <w:rsid w:val="28F434A6"/>
    <w:rsid w:val="28F436DA"/>
    <w:rsid w:val="29104DD0"/>
    <w:rsid w:val="29257B04"/>
    <w:rsid w:val="292D4147"/>
    <w:rsid w:val="29345E77"/>
    <w:rsid w:val="2936586D"/>
    <w:rsid w:val="293E0BC6"/>
    <w:rsid w:val="294C65AD"/>
    <w:rsid w:val="29724C30"/>
    <w:rsid w:val="297665B1"/>
    <w:rsid w:val="29806583"/>
    <w:rsid w:val="298B3C4C"/>
    <w:rsid w:val="29A03F38"/>
    <w:rsid w:val="29AD323B"/>
    <w:rsid w:val="29B26C31"/>
    <w:rsid w:val="29BA649E"/>
    <w:rsid w:val="29CE3CF8"/>
    <w:rsid w:val="29CF2FB4"/>
    <w:rsid w:val="29D75008"/>
    <w:rsid w:val="29E17ECF"/>
    <w:rsid w:val="29F26D24"/>
    <w:rsid w:val="2A102562"/>
    <w:rsid w:val="2A15033F"/>
    <w:rsid w:val="2A1662C1"/>
    <w:rsid w:val="2A1831C5"/>
    <w:rsid w:val="2A1C6312"/>
    <w:rsid w:val="2A1C7367"/>
    <w:rsid w:val="2A1E6FD4"/>
    <w:rsid w:val="2A2815FA"/>
    <w:rsid w:val="2A2F78FA"/>
    <w:rsid w:val="2A337FFE"/>
    <w:rsid w:val="2A353D77"/>
    <w:rsid w:val="2A475858"/>
    <w:rsid w:val="2A5F1B2E"/>
    <w:rsid w:val="2A617D64"/>
    <w:rsid w:val="2A6D6092"/>
    <w:rsid w:val="2A702E0D"/>
    <w:rsid w:val="2A727FC6"/>
    <w:rsid w:val="2A7A79DB"/>
    <w:rsid w:val="2A7D76B4"/>
    <w:rsid w:val="2A8678D3"/>
    <w:rsid w:val="2A9D36CA"/>
    <w:rsid w:val="2AA533A9"/>
    <w:rsid w:val="2AA66A22"/>
    <w:rsid w:val="2AB54EB7"/>
    <w:rsid w:val="2AC455D6"/>
    <w:rsid w:val="2AF02ADA"/>
    <w:rsid w:val="2AF32348"/>
    <w:rsid w:val="2AFE23BA"/>
    <w:rsid w:val="2B05127B"/>
    <w:rsid w:val="2B1020EE"/>
    <w:rsid w:val="2B1606E6"/>
    <w:rsid w:val="2B225B98"/>
    <w:rsid w:val="2B247780"/>
    <w:rsid w:val="2B252F7F"/>
    <w:rsid w:val="2B437463"/>
    <w:rsid w:val="2B4F0E68"/>
    <w:rsid w:val="2B772238"/>
    <w:rsid w:val="2B7807EE"/>
    <w:rsid w:val="2B85488A"/>
    <w:rsid w:val="2B8C5C18"/>
    <w:rsid w:val="2BA2543C"/>
    <w:rsid w:val="2BA50BF7"/>
    <w:rsid w:val="2BB60EE7"/>
    <w:rsid w:val="2BBE1B4A"/>
    <w:rsid w:val="2BBF00EC"/>
    <w:rsid w:val="2BC37CFD"/>
    <w:rsid w:val="2BC75C64"/>
    <w:rsid w:val="2BD5237F"/>
    <w:rsid w:val="2BE12049"/>
    <w:rsid w:val="2BE536CE"/>
    <w:rsid w:val="2BE758D9"/>
    <w:rsid w:val="2BF346BB"/>
    <w:rsid w:val="2C070988"/>
    <w:rsid w:val="2C09049E"/>
    <w:rsid w:val="2C0A4D8F"/>
    <w:rsid w:val="2C0A653C"/>
    <w:rsid w:val="2C155C0E"/>
    <w:rsid w:val="2C191F85"/>
    <w:rsid w:val="2C2422F5"/>
    <w:rsid w:val="2C264E20"/>
    <w:rsid w:val="2C2C11A9"/>
    <w:rsid w:val="2C324A12"/>
    <w:rsid w:val="2C365B84"/>
    <w:rsid w:val="2C3B715E"/>
    <w:rsid w:val="2C4958B7"/>
    <w:rsid w:val="2C6265EC"/>
    <w:rsid w:val="2C636CEA"/>
    <w:rsid w:val="2C6E3570"/>
    <w:rsid w:val="2C7A06EF"/>
    <w:rsid w:val="2C7F752B"/>
    <w:rsid w:val="2C895B5D"/>
    <w:rsid w:val="2C8F0579"/>
    <w:rsid w:val="2CAB47C4"/>
    <w:rsid w:val="2CBC5B97"/>
    <w:rsid w:val="2CC82C80"/>
    <w:rsid w:val="2CD41A9F"/>
    <w:rsid w:val="2CE82D6F"/>
    <w:rsid w:val="2D1D1969"/>
    <w:rsid w:val="2D2E0549"/>
    <w:rsid w:val="2D343236"/>
    <w:rsid w:val="2D3E2F42"/>
    <w:rsid w:val="2D4267AC"/>
    <w:rsid w:val="2D4765B9"/>
    <w:rsid w:val="2D490D28"/>
    <w:rsid w:val="2D4976DC"/>
    <w:rsid w:val="2D5653F1"/>
    <w:rsid w:val="2D575011"/>
    <w:rsid w:val="2D727090"/>
    <w:rsid w:val="2DA329A6"/>
    <w:rsid w:val="2DA97277"/>
    <w:rsid w:val="2DC601B2"/>
    <w:rsid w:val="2DD15014"/>
    <w:rsid w:val="2DF72DE4"/>
    <w:rsid w:val="2E0220AF"/>
    <w:rsid w:val="2E0A72C8"/>
    <w:rsid w:val="2E3B4004"/>
    <w:rsid w:val="2E3D144C"/>
    <w:rsid w:val="2E4B082A"/>
    <w:rsid w:val="2E5038BF"/>
    <w:rsid w:val="2E5D389C"/>
    <w:rsid w:val="2E5D4E86"/>
    <w:rsid w:val="2E5D790B"/>
    <w:rsid w:val="2E6C1D31"/>
    <w:rsid w:val="2E6C7508"/>
    <w:rsid w:val="2E772D84"/>
    <w:rsid w:val="2E7A6053"/>
    <w:rsid w:val="2E8D23D3"/>
    <w:rsid w:val="2E9A3C18"/>
    <w:rsid w:val="2EB72D0D"/>
    <w:rsid w:val="2EBB0FEE"/>
    <w:rsid w:val="2EC63002"/>
    <w:rsid w:val="2EE31FF3"/>
    <w:rsid w:val="2EF92DD4"/>
    <w:rsid w:val="2F0A6B38"/>
    <w:rsid w:val="2F155F25"/>
    <w:rsid w:val="2F175DA7"/>
    <w:rsid w:val="2F1F4EBF"/>
    <w:rsid w:val="2F23646D"/>
    <w:rsid w:val="2F2B5748"/>
    <w:rsid w:val="2F2E0915"/>
    <w:rsid w:val="2F324816"/>
    <w:rsid w:val="2F407445"/>
    <w:rsid w:val="2F5D6E05"/>
    <w:rsid w:val="2F633134"/>
    <w:rsid w:val="2F807842"/>
    <w:rsid w:val="2F8F217B"/>
    <w:rsid w:val="2F946CCB"/>
    <w:rsid w:val="2F98086E"/>
    <w:rsid w:val="2F994DA8"/>
    <w:rsid w:val="2FA06328"/>
    <w:rsid w:val="2FA71A90"/>
    <w:rsid w:val="2FA80B7A"/>
    <w:rsid w:val="2FB25651"/>
    <w:rsid w:val="2FB63264"/>
    <w:rsid w:val="2FBE67CE"/>
    <w:rsid w:val="2FBF10B5"/>
    <w:rsid w:val="2FD25781"/>
    <w:rsid w:val="2FDC745C"/>
    <w:rsid w:val="2FDF4393"/>
    <w:rsid w:val="2FE778C1"/>
    <w:rsid w:val="2FF3270A"/>
    <w:rsid w:val="2FFD7934"/>
    <w:rsid w:val="300D3D16"/>
    <w:rsid w:val="30116B32"/>
    <w:rsid w:val="30147209"/>
    <w:rsid w:val="30183F1E"/>
    <w:rsid w:val="3019245F"/>
    <w:rsid w:val="3029612C"/>
    <w:rsid w:val="30425F19"/>
    <w:rsid w:val="305111DE"/>
    <w:rsid w:val="3056624A"/>
    <w:rsid w:val="306C5BCE"/>
    <w:rsid w:val="30720D16"/>
    <w:rsid w:val="30733ACD"/>
    <w:rsid w:val="308C3862"/>
    <w:rsid w:val="309379D8"/>
    <w:rsid w:val="309A2B85"/>
    <w:rsid w:val="30A270F7"/>
    <w:rsid w:val="30A47560"/>
    <w:rsid w:val="30B916E8"/>
    <w:rsid w:val="30CC6AB7"/>
    <w:rsid w:val="30CD2F5B"/>
    <w:rsid w:val="30DF1478"/>
    <w:rsid w:val="30E3452C"/>
    <w:rsid w:val="30EC586F"/>
    <w:rsid w:val="30F1651D"/>
    <w:rsid w:val="310B3A83"/>
    <w:rsid w:val="310E5321"/>
    <w:rsid w:val="310E5DFD"/>
    <w:rsid w:val="31126C1A"/>
    <w:rsid w:val="31242ED2"/>
    <w:rsid w:val="31462D0D"/>
    <w:rsid w:val="31486DB5"/>
    <w:rsid w:val="31886E82"/>
    <w:rsid w:val="319445F5"/>
    <w:rsid w:val="319951CC"/>
    <w:rsid w:val="319C6071"/>
    <w:rsid w:val="31AA329C"/>
    <w:rsid w:val="31AB59F0"/>
    <w:rsid w:val="31AC537E"/>
    <w:rsid w:val="31B86368"/>
    <w:rsid w:val="31E3679B"/>
    <w:rsid w:val="31E542D4"/>
    <w:rsid w:val="31E732FD"/>
    <w:rsid w:val="31F3014F"/>
    <w:rsid w:val="31F86B9A"/>
    <w:rsid w:val="32021A78"/>
    <w:rsid w:val="322070BA"/>
    <w:rsid w:val="323D193A"/>
    <w:rsid w:val="32517576"/>
    <w:rsid w:val="3264169D"/>
    <w:rsid w:val="32713DBA"/>
    <w:rsid w:val="3291620A"/>
    <w:rsid w:val="32A0644D"/>
    <w:rsid w:val="32BE5C2C"/>
    <w:rsid w:val="32EB3B6C"/>
    <w:rsid w:val="32EB46F7"/>
    <w:rsid w:val="32FB6478"/>
    <w:rsid w:val="32FF4F22"/>
    <w:rsid w:val="3304078A"/>
    <w:rsid w:val="33081BCA"/>
    <w:rsid w:val="33121135"/>
    <w:rsid w:val="331F55C4"/>
    <w:rsid w:val="33263B3F"/>
    <w:rsid w:val="332B2EBD"/>
    <w:rsid w:val="33343396"/>
    <w:rsid w:val="33386686"/>
    <w:rsid w:val="333E1EEE"/>
    <w:rsid w:val="3344502A"/>
    <w:rsid w:val="334943EF"/>
    <w:rsid w:val="33541711"/>
    <w:rsid w:val="33633703"/>
    <w:rsid w:val="336963EB"/>
    <w:rsid w:val="33710FD5"/>
    <w:rsid w:val="33816EEB"/>
    <w:rsid w:val="33896EE1"/>
    <w:rsid w:val="33BE302F"/>
    <w:rsid w:val="33EB55CD"/>
    <w:rsid w:val="33EC4C02"/>
    <w:rsid w:val="34052A0C"/>
    <w:rsid w:val="340D2360"/>
    <w:rsid w:val="3410665D"/>
    <w:rsid w:val="34211214"/>
    <w:rsid w:val="34214415"/>
    <w:rsid w:val="34254E5C"/>
    <w:rsid w:val="342E63AB"/>
    <w:rsid w:val="343B01DB"/>
    <w:rsid w:val="34551E0D"/>
    <w:rsid w:val="34823C36"/>
    <w:rsid w:val="34864CF7"/>
    <w:rsid w:val="34950E68"/>
    <w:rsid w:val="34963377"/>
    <w:rsid w:val="34970741"/>
    <w:rsid w:val="34986E94"/>
    <w:rsid w:val="349E4B2E"/>
    <w:rsid w:val="34AA4405"/>
    <w:rsid w:val="34AD2DF1"/>
    <w:rsid w:val="34AF62C9"/>
    <w:rsid w:val="34B800A1"/>
    <w:rsid w:val="34CA155F"/>
    <w:rsid w:val="34CB4388"/>
    <w:rsid w:val="34F50C6A"/>
    <w:rsid w:val="34F860CC"/>
    <w:rsid w:val="34FA6E12"/>
    <w:rsid w:val="35084A68"/>
    <w:rsid w:val="3538101C"/>
    <w:rsid w:val="35431A3E"/>
    <w:rsid w:val="354747BA"/>
    <w:rsid w:val="354D7158"/>
    <w:rsid w:val="35681034"/>
    <w:rsid w:val="357D1A5C"/>
    <w:rsid w:val="358D5588"/>
    <w:rsid w:val="35951B6D"/>
    <w:rsid w:val="35AF5C6F"/>
    <w:rsid w:val="35B46497"/>
    <w:rsid w:val="35CB558F"/>
    <w:rsid w:val="35CC1DE0"/>
    <w:rsid w:val="35DB15A7"/>
    <w:rsid w:val="35E0728C"/>
    <w:rsid w:val="35E11256"/>
    <w:rsid w:val="35ED2981"/>
    <w:rsid w:val="360B4A5E"/>
    <w:rsid w:val="360D3DFA"/>
    <w:rsid w:val="36160F00"/>
    <w:rsid w:val="362829E1"/>
    <w:rsid w:val="362E54FC"/>
    <w:rsid w:val="363A3B40"/>
    <w:rsid w:val="365302AE"/>
    <w:rsid w:val="36607A0A"/>
    <w:rsid w:val="366E227C"/>
    <w:rsid w:val="366F2E0D"/>
    <w:rsid w:val="367B6A5C"/>
    <w:rsid w:val="36806379"/>
    <w:rsid w:val="369A1140"/>
    <w:rsid w:val="36A74ADA"/>
    <w:rsid w:val="36AD60D5"/>
    <w:rsid w:val="36B224F9"/>
    <w:rsid w:val="36CC347C"/>
    <w:rsid w:val="36D36DF1"/>
    <w:rsid w:val="36E70D89"/>
    <w:rsid w:val="36EC0CC9"/>
    <w:rsid w:val="370D0E59"/>
    <w:rsid w:val="371130CD"/>
    <w:rsid w:val="3720190B"/>
    <w:rsid w:val="373B25BD"/>
    <w:rsid w:val="373F410B"/>
    <w:rsid w:val="37401061"/>
    <w:rsid w:val="37735EDE"/>
    <w:rsid w:val="377752F0"/>
    <w:rsid w:val="37915A31"/>
    <w:rsid w:val="37962418"/>
    <w:rsid w:val="37AD13F0"/>
    <w:rsid w:val="37B248D1"/>
    <w:rsid w:val="37D83F93"/>
    <w:rsid w:val="37EE7094"/>
    <w:rsid w:val="37EF450A"/>
    <w:rsid w:val="3827418B"/>
    <w:rsid w:val="38296C89"/>
    <w:rsid w:val="382D22B3"/>
    <w:rsid w:val="382D2531"/>
    <w:rsid w:val="383002EB"/>
    <w:rsid w:val="383218F5"/>
    <w:rsid w:val="38404012"/>
    <w:rsid w:val="3845787B"/>
    <w:rsid w:val="38563836"/>
    <w:rsid w:val="38586797"/>
    <w:rsid w:val="385B462A"/>
    <w:rsid w:val="385D15DF"/>
    <w:rsid w:val="3862667F"/>
    <w:rsid w:val="38732E9C"/>
    <w:rsid w:val="38740160"/>
    <w:rsid w:val="388E7705"/>
    <w:rsid w:val="38B60778"/>
    <w:rsid w:val="38BB67D8"/>
    <w:rsid w:val="38BC0149"/>
    <w:rsid w:val="38C95FDA"/>
    <w:rsid w:val="38D62BC9"/>
    <w:rsid w:val="38D87D1C"/>
    <w:rsid w:val="38E1010B"/>
    <w:rsid w:val="38FB618B"/>
    <w:rsid w:val="390123BC"/>
    <w:rsid w:val="390F1C37"/>
    <w:rsid w:val="391B4A7F"/>
    <w:rsid w:val="39276AC3"/>
    <w:rsid w:val="39311BAD"/>
    <w:rsid w:val="395B30CE"/>
    <w:rsid w:val="39636459"/>
    <w:rsid w:val="396B7F6C"/>
    <w:rsid w:val="3986014B"/>
    <w:rsid w:val="39B417A9"/>
    <w:rsid w:val="39B80A14"/>
    <w:rsid w:val="39CD3FCC"/>
    <w:rsid w:val="39CE1AF2"/>
    <w:rsid w:val="39DD1263"/>
    <w:rsid w:val="39FC5695"/>
    <w:rsid w:val="3A006D8E"/>
    <w:rsid w:val="3A1A0893"/>
    <w:rsid w:val="3A261B5D"/>
    <w:rsid w:val="3A3651E5"/>
    <w:rsid w:val="3A383AE9"/>
    <w:rsid w:val="3A435B6A"/>
    <w:rsid w:val="3A475429"/>
    <w:rsid w:val="3A692AF3"/>
    <w:rsid w:val="3A6B10EF"/>
    <w:rsid w:val="3A744481"/>
    <w:rsid w:val="3A8C7BEF"/>
    <w:rsid w:val="3A906246"/>
    <w:rsid w:val="3A96260F"/>
    <w:rsid w:val="3A971BB4"/>
    <w:rsid w:val="3A9B7C26"/>
    <w:rsid w:val="3AA80595"/>
    <w:rsid w:val="3AB72576"/>
    <w:rsid w:val="3AB84000"/>
    <w:rsid w:val="3AC52EF5"/>
    <w:rsid w:val="3ADB6274"/>
    <w:rsid w:val="3AE274F9"/>
    <w:rsid w:val="3AE3337B"/>
    <w:rsid w:val="3AEC09A7"/>
    <w:rsid w:val="3B14592F"/>
    <w:rsid w:val="3B2349B7"/>
    <w:rsid w:val="3B255741"/>
    <w:rsid w:val="3B27423B"/>
    <w:rsid w:val="3B382329"/>
    <w:rsid w:val="3B491430"/>
    <w:rsid w:val="3B6049F6"/>
    <w:rsid w:val="3B616CFF"/>
    <w:rsid w:val="3B620744"/>
    <w:rsid w:val="3B6259F6"/>
    <w:rsid w:val="3B6A75F8"/>
    <w:rsid w:val="3B6D51AE"/>
    <w:rsid w:val="3B8B7C9A"/>
    <w:rsid w:val="3B976654"/>
    <w:rsid w:val="3B9A42AF"/>
    <w:rsid w:val="3BC01EFC"/>
    <w:rsid w:val="3BCA3477"/>
    <w:rsid w:val="3BCA786A"/>
    <w:rsid w:val="3BD17677"/>
    <w:rsid w:val="3BD31E2F"/>
    <w:rsid w:val="3BDB547B"/>
    <w:rsid w:val="3BDD426E"/>
    <w:rsid w:val="3BE52240"/>
    <w:rsid w:val="3BF15831"/>
    <w:rsid w:val="3BF27D19"/>
    <w:rsid w:val="3BF36A21"/>
    <w:rsid w:val="3C105946"/>
    <w:rsid w:val="3C430575"/>
    <w:rsid w:val="3C471448"/>
    <w:rsid w:val="3C5F759A"/>
    <w:rsid w:val="3C641CA7"/>
    <w:rsid w:val="3C6C525A"/>
    <w:rsid w:val="3C7249B6"/>
    <w:rsid w:val="3C7B3B74"/>
    <w:rsid w:val="3C981BBE"/>
    <w:rsid w:val="3C9E709B"/>
    <w:rsid w:val="3CA54940"/>
    <w:rsid w:val="3CB2018A"/>
    <w:rsid w:val="3CB43221"/>
    <w:rsid w:val="3CCE0424"/>
    <w:rsid w:val="3CCE23CB"/>
    <w:rsid w:val="3CD17D17"/>
    <w:rsid w:val="3CD236A7"/>
    <w:rsid w:val="3CD45671"/>
    <w:rsid w:val="3CDE029E"/>
    <w:rsid w:val="3D0C4E0B"/>
    <w:rsid w:val="3D0D46DF"/>
    <w:rsid w:val="3D0F2205"/>
    <w:rsid w:val="3D115F7D"/>
    <w:rsid w:val="3D2E2FD3"/>
    <w:rsid w:val="3D3C7F39"/>
    <w:rsid w:val="3D440F09"/>
    <w:rsid w:val="3D4504A0"/>
    <w:rsid w:val="3D714C6E"/>
    <w:rsid w:val="3D716A94"/>
    <w:rsid w:val="3D7E738B"/>
    <w:rsid w:val="3D8734BB"/>
    <w:rsid w:val="3D9A11D4"/>
    <w:rsid w:val="3DA16D89"/>
    <w:rsid w:val="3DA2751D"/>
    <w:rsid w:val="3DA364BE"/>
    <w:rsid w:val="3DE041CB"/>
    <w:rsid w:val="3E0D48F6"/>
    <w:rsid w:val="3E157CEF"/>
    <w:rsid w:val="3E1868B4"/>
    <w:rsid w:val="3E1C7514"/>
    <w:rsid w:val="3E2A582C"/>
    <w:rsid w:val="3E2E0DB1"/>
    <w:rsid w:val="3E377251"/>
    <w:rsid w:val="3E42664B"/>
    <w:rsid w:val="3E483C21"/>
    <w:rsid w:val="3E5117E8"/>
    <w:rsid w:val="3E5A7334"/>
    <w:rsid w:val="3E646581"/>
    <w:rsid w:val="3E68506A"/>
    <w:rsid w:val="3E6F5F9B"/>
    <w:rsid w:val="3E774506"/>
    <w:rsid w:val="3E7B5D6B"/>
    <w:rsid w:val="3E7B6237"/>
    <w:rsid w:val="3E843E66"/>
    <w:rsid w:val="3E886713"/>
    <w:rsid w:val="3E8F51FE"/>
    <w:rsid w:val="3E926F87"/>
    <w:rsid w:val="3E942EC5"/>
    <w:rsid w:val="3E952BDE"/>
    <w:rsid w:val="3E974BA8"/>
    <w:rsid w:val="3E9A3EC0"/>
    <w:rsid w:val="3E9A59DE"/>
    <w:rsid w:val="3EAF4836"/>
    <w:rsid w:val="3EC33DFA"/>
    <w:rsid w:val="3EC70685"/>
    <w:rsid w:val="3ECB6973"/>
    <w:rsid w:val="3EFB6EE5"/>
    <w:rsid w:val="3F055D48"/>
    <w:rsid w:val="3F055FB6"/>
    <w:rsid w:val="3F060E16"/>
    <w:rsid w:val="3F116709"/>
    <w:rsid w:val="3F1D1096"/>
    <w:rsid w:val="3F235115"/>
    <w:rsid w:val="3F2F0234"/>
    <w:rsid w:val="3F3D58DF"/>
    <w:rsid w:val="3F4A1C1A"/>
    <w:rsid w:val="3F4B7D4A"/>
    <w:rsid w:val="3F5D2E48"/>
    <w:rsid w:val="3F5E4800"/>
    <w:rsid w:val="3F6363FE"/>
    <w:rsid w:val="3F6C1B91"/>
    <w:rsid w:val="3F7171A7"/>
    <w:rsid w:val="3F756B8F"/>
    <w:rsid w:val="3F95482B"/>
    <w:rsid w:val="3FA1067C"/>
    <w:rsid w:val="3FAA090B"/>
    <w:rsid w:val="3FB92F27"/>
    <w:rsid w:val="3FDF2363"/>
    <w:rsid w:val="3FE1257F"/>
    <w:rsid w:val="3FE21E53"/>
    <w:rsid w:val="3FED1EB2"/>
    <w:rsid w:val="3FF214A4"/>
    <w:rsid w:val="40134A38"/>
    <w:rsid w:val="4019356B"/>
    <w:rsid w:val="40271F5C"/>
    <w:rsid w:val="403A57EB"/>
    <w:rsid w:val="403C6AC9"/>
    <w:rsid w:val="404E1296"/>
    <w:rsid w:val="40592157"/>
    <w:rsid w:val="406E1CAE"/>
    <w:rsid w:val="407C5E04"/>
    <w:rsid w:val="408F6708"/>
    <w:rsid w:val="409969B6"/>
    <w:rsid w:val="409A44DC"/>
    <w:rsid w:val="40A0133A"/>
    <w:rsid w:val="40C31A53"/>
    <w:rsid w:val="40CF322D"/>
    <w:rsid w:val="40ED5808"/>
    <w:rsid w:val="40F31238"/>
    <w:rsid w:val="40FF545D"/>
    <w:rsid w:val="410067C8"/>
    <w:rsid w:val="41061B71"/>
    <w:rsid w:val="410866D9"/>
    <w:rsid w:val="41151BC8"/>
    <w:rsid w:val="41241745"/>
    <w:rsid w:val="414032D5"/>
    <w:rsid w:val="41566DE6"/>
    <w:rsid w:val="415B1EBD"/>
    <w:rsid w:val="416666BA"/>
    <w:rsid w:val="41685BD9"/>
    <w:rsid w:val="41825932"/>
    <w:rsid w:val="418F0D2A"/>
    <w:rsid w:val="41AA69A0"/>
    <w:rsid w:val="41B8730F"/>
    <w:rsid w:val="41D01505"/>
    <w:rsid w:val="41E00614"/>
    <w:rsid w:val="41EE4ADF"/>
    <w:rsid w:val="41F1637D"/>
    <w:rsid w:val="41FD7D78"/>
    <w:rsid w:val="42320077"/>
    <w:rsid w:val="423B1D21"/>
    <w:rsid w:val="424501A2"/>
    <w:rsid w:val="42474939"/>
    <w:rsid w:val="424C3C57"/>
    <w:rsid w:val="42613FF3"/>
    <w:rsid w:val="42641245"/>
    <w:rsid w:val="42660D96"/>
    <w:rsid w:val="427137C6"/>
    <w:rsid w:val="4278550C"/>
    <w:rsid w:val="427D102F"/>
    <w:rsid w:val="428667D2"/>
    <w:rsid w:val="42935686"/>
    <w:rsid w:val="42BF4B02"/>
    <w:rsid w:val="42C45840"/>
    <w:rsid w:val="42C82CA2"/>
    <w:rsid w:val="42CD1CE0"/>
    <w:rsid w:val="42D53EF1"/>
    <w:rsid w:val="42E1381E"/>
    <w:rsid w:val="42ED6459"/>
    <w:rsid w:val="42FE58DD"/>
    <w:rsid w:val="431247FD"/>
    <w:rsid w:val="43174B3D"/>
    <w:rsid w:val="431C567C"/>
    <w:rsid w:val="43225D7D"/>
    <w:rsid w:val="433504EC"/>
    <w:rsid w:val="434B790E"/>
    <w:rsid w:val="4360274F"/>
    <w:rsid w:val="43827BD5"/>
    <w:rsid w:val="43977AB6"/>
    <w:rsid w:val="43A3342B"/>
    <w:rsid w:val="43BA2077"/>
    <w:rsid w:val="43C77C27"/>
    <w:rsid w:val="43D441A9"/>
    <w:rsid w:val="43DB1BA5"/>
    <w:rsid w:val="43DE09EE"/>
    <w:rsid w:val="43DF4999"/>
    <w:rsid w:val="43EE0D41"/>
    <w:rsid w:val="44002FAD"/>
    <w:rsid w:val="44202F4A"/>
    <w:rsid w:val="44232423"/>
    <w:rsid w:val="442C3FB3"/>
    <w:rsid w:val="444035EC"/>
    <w:rsid w:val="447339C1"/>
    <w:rsid w:val="44772A0F"/>
    <w:rsid w:val="44784B34"/>
    <w:rsid w:val="449101DD"/>
    <w:rsid w:val="449556E6"/>
    <w:rsid w:val="44A80C9D"/>
    <w:rsid w:val="44AC3552"/>
    <w:rsid w:val="44C11D2A"/>
    <w:rsid w:val="44CD30D2"/>
    <w:rsid w:val="44CF48CB"/>
    <w:rsid w:val="44D3620E"/>
    <w:rsid w:val="44D51F86"/>
    <w:rsid w:val="44DE1391"/>
    <w:rsid w:val="451701BC"/>
    <w:rsid w:val="451B225C"/>
    <w:rsid w:val="451F4904"/>
    <w:rsid w:val="452410C9"/>
    <w:rsid w:val="45317DFB"/>
    <w:rsid w:val="453C03A2"/>
    <w:rsid w:val="455C1FE8"/>
    <w:rsid w:val="456D3CE4"/>
    <w:rsid w:val="45761CF7"/>
    <w:rsid w:val="4579042C"/>
    <w:rsid w:val="457F0571"/>
    <w:rsid w:val="45851176"/>
    <w:rsid w:val="45997458"/>
    <w:rsid w:val="45AE607F"/>
    <w:rsid w:val="45BD3146"/>
    <w:rsid w:val="45C63B94"/>
    <w:rsid w:val="45D129F5"/>
    <w:rsid w:val="45D377F7"/>
    <w:rsid w:val="45D67D64"/>
    <w:rsid w:val="45DB181E"/>
    <w:rsid w:val="45E13C62"/>
    <w:rsid w:val="460E7DA5"/>
    <w:rsid w:val="462E135F"/>
    <w:rsid w:val="46422483"/>
    <w:rsid w:val="46511AE0"/>
    <w:rsid w:val="4659254A"/>
    <w:rsid w:val="465B0637"/>
    <w:rsid w:val="465E3F0D"/>
    <w:rsid w:val="466A16E6"/>
    <w:rsid w:val="46821C9A"/>
    <w:rsid w:val="46893F2B"/>
    <w:rsid w:val="46A400D6"/>
    <w:rsid w:val="46A6513E"/>
    <w:rsid w:val="46B151CF"/>
    <w:rsid w:val="46BC1650"/>
    <w:rsid w:val="46C4686E"/>
    <w:rsid w:val="46C67DD9"/>
    <w:rsid w:val="46DF70EC"/>
    <w:rsid w:val="46E666CD"/>
    <w:rsid w:val="46EE7D0C"/>
    <w:rsid w:val="46F9712C"/>
    <w:rsid w:val="471E5E67"/>
    <w:rsid w:val="472A26A1"/>
    <w:rsid w:val="4746716B"/>
    <w:rsid w:val="474B0A87"/>
    <w:rsid w:val="47714B20"/>
    <w:rsid w:val="477B5067"/>
    <w:rsid w:val="477B778F"/>
    <w:rsid w:val="478203EC"/>
    <w:rsid w:val="47953C4F"/>
    <w:rsid w:val="47AD2664"/>
    <w:rsid w:val="47B025FA"/>
    <w:rsid w:val="47C21809"/>
    <w:rsid w:val="47CB141F"/>
    <w:rsid w:val="47E0311C"/>
    <w:rsid w:val="47E744AA"/>
    <w:rsid w:val="48082673"/>
    <w:rsid w:val="4809698F"/>
    <w:rsid w:val="480C2163"/>
    <w:rsid w:val="4811697D"/>
    <w:rsid w:val="481B05F8"/>
    <w:rsid w:val="48281095"/>
    <w:rsid w:val="48295182"/>
    <w:rsid w:val="483376F0"/>
    <w:rsid w:val="48345C7B"/>
    <w:rsid w:val="483B65A4"/>
    <w:rsid w:val="485A3F00"/>
    <w:rsid w:val="487A3E25"/>
    <w:rsid w:val="488B5503"/>
    <w:rsid w:val="48937E21"/>
    <w:rsid w:val="489A0361"/>
    <w:rsid w:val="489C7870"/>
    <w:rsid w:val="48A905A4"/>
    <w:rsid w:val="48AC00E5"/>
    <w:rsid w:val="48B14AB8"/>
    <w:rsid w:val="48B94FF3"/>
    <w:rsid w:val="48C23D7A"/>
    <w:rsid w:val="48E37AAB"/>
    <w:rsid w:val="48F84495"/>
    <w:rsid w:val="48FD4B4C"/>
    <w:rsid w:val="48FE3902"/>
    <w:rsid w:val="490A68E0"/>
    <w:rsid w:val="491055FE"/>
    <w:rsid w:val="49396F88"/>
    <w:rsid w:val="493B39EC"/>
    <w:rsid w:val="494B0A69"/>
    <w:rsid w:val="495C67D2"/>
    <w:rsid w:val="495F5B3E"/>
    <w:rsid w:val="49642FD6"/>
    <w:rsid w:val="496F77D7"/>
    <w:rsid w:val="497654FD"/>
    <w:rsid w:val="49900B72"/>
    <w:rsid w:val="49B32A51"/>
    <w:rsid w:val="49B503C7"/>
    <w:rsid w:val="49B64211"/>
    <w:rsid w:val="49CB3B7E"/>
    <w:rsid w:val="49D22F38"/>
    <w:rsid w:val="49E2167E"/>
    <w:rsid w:val="49E750DB"/>
    <w:rsid w:val="49F556AA"/>
    <w:rsid w:val="49F6167F"/>
    <w:rsid w:val="4A064FA0"/>
    <w:rsid w:val="4A16615C"/>
    <w:rsid w:val="4A280DAA"/>
    <w:rsid w:val="4A2C089A"/>
    <w:rsid w:val="4A3239D7"/>
    <w:rsid w:val="4A4424D7"/>
    <w:rsid w:val="4A4B7699"/>
    <w:rsid w:val="4A5E2A1E"/>
    <w:rsid w:val="4A5E657A"/>
    <w:rsid w:val="4A7D37B2"/>
    <w:rsid w:val="4A902700"/>
    <w:rsid w:val="4A936D5A"/>
    <w:rsid w:val="4AAA1891"/>
    <w:rsid w:val="4AB82D0F"/>
    <w:rsid w:val="4AC22FAD"/>
    <w:rsid w:val="4AC72371"/>
    <w:rsid w:val="4AD8457E"/>
    <w:rsid w:val="4ADD78AD"/>
    <w:rsid w:val="4AEB42B2"/>
    <w:rsid w:val="4AEB7664"/>
    <w:rsid w:val="4AEE3DA2"/>
    <w:rsid w:val="4AF07B1A"/>
    <w:rsid w:val="4AF40C8C"/>
    <w:rsid w:val="4AFD7C19"/>
    <w:rsid w:val="4B0567D1"/>
    <w:rsid w:val="4B0610EB"/>
    <w:rsid w:val="4B124C8E"/>
    <w:rsid w:val="4B132359"/>
    <w:rsid w:val="4B1F21AD"/>
    <w:rsid w:val="4B1F3F5B"/>
    <w:rsid w:val="4B236AAE"/>
    <w:rsid w:val="4B2F76F0"/>
    <w:rsid w:val="4B337FB5"/>
    <w:rsid w:val="4B382E9F"/>
    <w:rsid w:val="4B6D2F19"/>
    <w:rsid w:val="4B707271"/>
    <w:rsid w:val="4B775B45"/>
    <w:rsid w:val="4B8B3770"/>
    <w:rsid w:val="4B9652B7"/>
    <w:rsid w:val="4B9739F7"/>
    <w:rsid w:val="4BA12BC2"/>
    <w:rsid w:val="4BBF129A"/>
    <w:rsid w:val="4BCE3A3B"/>
    <w:rsid w:val="4BE40D01"/>
    <w:rsid w:val="4BE551A5"/>
    <w:rsid w:val="4BEC331C"/>
    <w:rsid w:val="4BEE2503"/>
    <w:rsid w:val="4BFC429C"/>
    <w:rsid w:val="4C0473C6"/>
    <w:rsid w:val="4C124550"/>
    <w:rsid w:val="4C245A30"/>
    <w:rsid w:val="4C286E40"/>
    <w:rsid w:val="4C63256E"/>
    <w:rsid w:val="4C681932"/>
    <w:rsid w:val="4C931C38"/>
    <w:rsid w:val="4CA3296A"/>
    <w:rsid w:val="4CB6685F"/>
    <w:rsid w:val="4CBB1B22"/>
    <w:rsid w:val="4CC367FE"/>
    <w:rsid w:val="4CCF19B1"/>
    <w:rsid w:val="4CF67277"/>
    <w:rsid w:val="4CF907DC"/>
    <w:rsid w:val="4D077F3C"/>
    <w:rsid w:val="4D123355"/>
    <w:rsid w:val="4D261F37"/>
    <w:rsid w:val="4D2A3B31"/>
    <w:rsid w:val="4D312C52"/>
    <w:rsid w:val="4D3846F1"/>
    <w:rsid w:val="4D445EFB"/>
    <w:rsid w:val="4D5679DC"/>
    <w:rsid w:val="4D700A9E"/>
    <w:rsid w:val="4D8B0FAD"/>
    <w:rsid w:val="4D905305"/>
    <w:rsid w:val="4D964A72"/>
    <w:rsid w:val="4D9C1254"/>
    <w:rsid w:val="4DB04BB4"/>
    <w:rsid w:val="4DB210B7"/>
    <w:rsid w:val="4DB35B27"/>
    <w:rsid w:val="4DB64E4B"/>
    <w:rsid w:val="4DB777D9"/>
    <w:rsid w:val="4DE17BEE"/>
    <w:rsid w:val="4DED6593"/>
    <w:rsid w:val="4DF92AF6"/>
    <w:rsid w:val="4E291AE9"/>
    <w:rsid w:val="4E347D1E"/>
    <w:rsid w:val="4E3F4E94"/>
    <w:rsid w:val="4E5D10DB"/>
    <w:rsid w:val="4E6F3A9B"/>
    <w:rsid w:val="4E760336"/>
    <w:rsid w:val="4E793892"/>
    <w:rsid w:val="4E7C3473"/>
    <w:rsid w:val="4E7E24EA"/>
    <w:rsid w:val="4E800872"/>
    <w:rsid w:val="4EA371D4"/>
    <w:rsid w:val="4EB652CE"/>
    <w:rsid w:val="4EC569ED"/>
    <w:rsid w:val="4ED50EA1"/>
    <w:rsid w:val="4EE7055B"/>
    <w:rsid w:val="4EEC050C"/>
    <w:rsid w:val="4EF6564B"/>
    <w:rsid w:val="4EF722C1"/>
    <w:rsid w:val="4F0B6608"/>
    <w:rsid w:val="4F104EC3"/>
    <w:rsid w:val="4F182A40"/>
    <w:rsid w:val="4F195165"/>
    <w:rsid w:val="4F22401A"/>
    <w:rsid w:val="4F47354A"/>
    <w:rsid w:val="4F652159"/>
    <w:rsid w:val="4F7A3E56"/>
    <w:rsid w:val="4F911C54"/>
    <w:rsid w:val="4FA54E3F"/>
    <w:rsid w:val="4FBB7FCB"/>
    <w:rsid w:val="4FC06364"/>
    <w:rsid w:val="4FDB1B8F"/>
    <w:rsid w:val="4FE625E0"/>
    <w:rsid w:val="4FED4628"/>
    <w:rsid w:val="4FF359B6"/>
    <w:rsid w:val="50052C12"/>
    <w:rsid w:val="5014082C"/>
    <w:rsid w:val="5021480F"/>
    <w:rsid w:val="50296267"/>
    <w:rsid w:val="503426B5"/>
    <w:rsid w:val="50362B19"/>
    <w:rsid w:val="50434A93"/>
    <w:rsid w:val="504E0018"/>
    <w:rsid w:val="506D7517"/>
    <w:rsid w:val="507961FF"/>
    <w:rsid w:val="508779BD"/>
    <w:rsid w:val="50962ECB"/>
    <w:rsid w:val="50A078EC"/>
    <w:rsid w:val="50A42E38"/>
    <w:rsid w:val="50A4577F"/>
    <w:rsid w:val="50B05655"/>
    <w:rsid w:val="50B73D1F"/>
    <w:rsid w:val="50BD5BC9"/>
    <w:rsid w:val="50C11EEE"/>
    <w:rsid w:val="50C64E79"/>
    <w:rsid w:val="50DE6667"/>
    <w:rsid w:val="50E83041"/>
    <w:rsid w:val="50E97CFC"/>
    <w:rsid w:val="50EA6DB9"/>
    <w:rsid w:val="50F4606E"/>
    <w:rsid w:val="50FA4028"/>
    <w:rsid w:val="50FC089B"/>
    <w:rsid w:val="50FE2865"/>
    <w:rsid w:val="510D65B7"/>
    <w:rsid w:val="511157AB"/>
    <w:rsid w:val="5122775A"/>
    <w:rsid w:val="51281690"/>
    <w:rsid w:val="512C4D86"/>
    <w:rsid w:val="512E4EF8"/>
    <w:rsid w:val="512F5A8C"/>
    <w:rsid w:val="5136510B"/>
    <w:rsid w:val="5142540C"/>
    <w:rsid w:val="517843C5"/>
    <w:rsid w:val="51822A84"/>
    <w:rsid w:val="518832C8"/>
    <w:rsid w:val="519D3C50"/>
    <w:rsid w:val="51A0432A"/>
    <w:rsid w:val="51A86090"/>
    <w:rsid w:val="51B7396D"/>
    <w:rsid w:val="51D610EC"/>
    <w:rsid w:val="51F05EFF"/>
    <w:rsid w:val="521D6D1B"/>
    <w:rsid w:val="522E4CC3"/>
    <w:rsid w:val="5244713B"/>
    <w:rsid w:val="52566DC5"/>
    <w:rsid w:val="525941F7"/>
    <w:rsid w:val="52615633"/>
    <w:rsid w:val="526F4DE4"/>
    <w:rsid w:val="527D1D4E"/>
    <w:rsid w:val="52837396"/>
    <w:rsid w:val="52862B12"/>
    <w:rsid w:val="5294522F"/>
    <w:rsid w:val="52977FD4"/>
    <w:rsid w:val="52A25790"/>
    <w:rsid w:val="52A631B4"/>
    <w:rsid w:val="52A96B6F"/>
    <w:rsid w:val="52AB07CA"/>
    <w:rsid w:val="52B45975"/>
    <w:rsid w:val="52C2246A"/>
    <w:rsid w:val="52D47D21"/>
    <w:rsid w:val="52D94AA4"/>
    <w:rsid w:val="52D97F09"/>
    <w:rsid w:val="52E74226"/>
    <w:rsid w:val="52EA3A62"/>
    <w:rsid w:val="52EF4B5B"/>
    <w:rsid w:val="52F50BB8"/>
    <w:rsid w:val="53097272"/>
    <w:rsid w:val="530F63D1"/>
    <w:rsid w:val="531719BC"/>
    <w:rsid w:val="53250FA9"/>
    <w:rsid w:val="532540D9"/>
    <w:rsid w:val="532B3CB4"/>
    <w:rsid w:val="53312A7E"/>
    <w:rsid w:val="53346A12"/>
    <w:rsid w:val="53373E0C"/>
    <w:rsid w:val="53487DC7"/>
    <w:rsid w:val="5352215E"/>
    <w:rsid w:val="53544462"/>
    <w:rsid w:val="53584B0B"/>
    <w:rsid w:val="535B21AD"/>
    <w:rsid w:val="53620E89"/>
    <w:rsid w:val="536308AB"/>
    <w:rsid w:val="536522FF"/>
    <w:rsid w:val="537868FE"/>
    <w:rsid w:val="5394125E"/>
    <w:rsid w:val="5397158E"/>
    <w:rsid w:val="539D40D5"/>
    <w:rsid w:val="539F5C59"/>
    <w:rsid w:val="53B4545D"/>
    <w:rsid w:val="53D97EF7"/>
    <w:rsid w:val="53E06435"/>
    <w:rsid w:val="53E0670E"/>
    <w:rsid w:val="53ED0102"/>
    <w:rsid w:val="53F31BCB"/>
    <w:rsid w:val="53FA7313"/>
    <w:rsid w:val="54013861"/>
    <w:rsid w:val="5402266C"/>
    <w:rsid w:val="542E520F"/>
    <w:rsid w:val="544669FD"/>
    <w:rsid w:val="54487265"/>
    <w:rsid w:val="544D6070"/>
    <w:rsid w:val="544E58B1"/>
    <w:rsid w:val="54514172"/>
    <w:rsid w:val="54605E1E"/>
    <w:rsid w:val="548B7409"/>
    <w:rsid w:val="548E4B14"/>
    <w:rsid w:val="54B3506A"/>
    <w:rsid w:val="54B46D2D"/>
    <w:rsid w:val="54B716A8"/>
    <w:rsid w:val="54C55B73"/>
    <w:rsid w:val="54CA0D16"/>
    <w:rsid w:val="54CB6E0A"/>
    <w:rsid w:val="54DD4057"/>
    <w:rsid w:val="54E7490F"/>
    <w:rsid w:val="54EC75A4"/>
    <w:rsid w:val="54FA4409"/>
    <w:rsid w:val="550764A4"/>
    <w:rsid w:val="550B2BF6"/>
    <w:rsid w:val="55171D5C"/>
    <w:rsid w:val="55214EB5"/>
    <w:rsid w:val="55216B22"/>
    <w:rsid w:val="55364EFD"/>
    <w:rsid w:val="555D4828"/>
    <w:rsid w:val="556C5FEF"/>
    <w:rsid w:val="556D295D"/>
    <w:rsid w:val="556F3D31"/>
    <w:rsid w:val="55717AA9"/>
    <w:rsid w:val="557A4C8B"/>
    <w:rsid w:val="558931E1"/>
    <w:rsid w:val="55913D77"/>
    <w:rsid w:val="55923347"/>
    <w:rsid w:val="55925180"/>
    <w:rsid w:val="55983B1B"/>
    <w:rsid w:val="559B68D4"/>
    <w:rsid w:val="55A57753"/>
    <w:rsid w:val="55A8376B"/>
    <w:rsid w:val="55C20305"/>
    <w:rsid w:val="55D51F06"/>
    <w:rsid w:val="55DC0794"/>
    <w:rsid w:val="55DC29B6"/>
    <w:rsid w:val="55DD4241"/>
    <w:rsid w:val="55E4692E"/>
    <w:rsid w:val="55E65310"/>
    <w:rsid w:val="55EB785C"/>
    <w:rsid w:val="55EC4451"/>
    <w:rsid w:val="561B1367"/>
    <w:rsid w:val="5621599F"/>
    <w:rsid w:val="563D1A20"/>
    <w:rsid w:val="56446F6C"/>
    <w:rsid w:val="56553C8D"/>
    <w:rsid w:val="566273F2"/>
    <w:rsid w:val="566B6D1E"/>
    <w:rsid w:val="567621BE"/>
    <w:rsid w:val="56927CD7"/>
    <w:rsid w:val="56B04601"/>
    <w:rsid w:val="56CA670E"/>
    <w:rsid w:val="56D80385"/>
    <w:rsid w:val="56E30533"/>
    <w:rsid w:val="56E36785"/>
    <w:rsid w:val="56E869B7"/>
    <w:rsid w:val="5700408A"/>
    <w:rsid w:val="57032A2C"/>
    <w:rsid w:val="570F30D6"/>
    <w:rsid w:val="570F5219"/>
    <w:rsid w:val="57104A92"/>
    <w:rsid w:val="57295166"/>
    <w:rsid w:val="573766E6"/>
    <w:rsid w:val="573F66EF"/>
    <w:rsid w:val="575D12B5"/>
    <w:rsid w:val="57610A87"/>
    <w:rsid w:val="576407A8"/>
    <w:rsid w:val="57723665"/>
    <w:rsid w:val="577B1140"/>
    <w:rsid w:val="577B7F21"/>
    <w:rsid w:val="577F181B"/>
    <w:rsid w:val="57805D82"/>
    <w:rsid w:val="57921984"/>
    <w:rsid w:val="579737F0"/>
    <w:rsid w:val="57AB7B30"/>
    <w:rsid w:val="57AF5251"/>
    <w:rsid w:val="57B076F2"/>
    <w:rsid w:val="57B26373"/>
    <w:rsid w:val="57B44CCE"/>
    <w:rsid w:val="57B63F04"/>
    <w:rsid w:val="57C87729"/>
    <w:rsid w:val="57CD20C2"/>
    <w:rsid w:val="57D165DD"/>
    <w:rsid w:val="57D675AB"/>
    <w:rsid w:val="57D73717"/>
    <w:rsid w:val="57D95FDD"/>
    <w:rsid w:val="582229A5"/>
    <w:rsid w:val="58632197"/>
    <w:rsid w:val="58810003"/>
    <w:rsid w:val="588F3629"/>
    <w:rsid w:val="58917D2F"/>
    <w:rsid w:val="5894085C"/>
    <w:rsid w:val="58AE4F0C"/>
    <w:rsid w:val="58B85899"/>
    <w:rsid w:val="58CD4FF7"/>
    <w:rsid w:val="58E363A9"/>
    <w:rsid w:val="58F307D5"/>
    <w:rsid w:val="59166304"/>
    <w:rsid w:val="593713D6"/>
    <w:rsid w:val="59457283"/>
    <w:rsid w:val="59480B21"/>
    <w:rsid w:val="595212EF"/>
    <w:rsid w:val="595E1678"/>
    <w:rsid w:val="596D5BD4"/>
    <w:rsid w:val="596E59A1"/>
    <w:rsid w:val="59752920"/>
    <w:rsid w:val="597E3DD8"/>
    <w:rsid w:val="597F7F8E"/>
    <w:rsid w:val="59A65848"/>
    <w:rsid w:val="59F14D15"/>
    <w:rsid w:val="59F80043"/>
    <w:rsid w:val="59FB37ED"/>
    <w:rsid w:val="5A09252F"/>
    <w:rsid w:val="5A0B2778"/>
    <w:rsid w:val="5A196BE1"/>
    <w:rsid w:val="5A1D1FAE"/>
    <w:rsid w:val="5A2A7C7B"/>
    <w:rsid w:val="5A366BCB"/>
    <w:rsid w:val="5A3E2560"/>
    <w:rsid w:val="5A4968FF"/>
    <w:rsid w:val="5A5D3B6E"/>
    <w:rsid w:val="5A637A76"/>
    <w:rsid w:val="5A6D33BA"/>
    <w:rsid w:val="5A7476F4"/>
    <w:rsid w:val="5A792B1F"/>
    <w:rsid w:val="5A8244FA"/>
    <w:rsid w:val="5A843DDB"/>
    <w:rsid w:val="5A874767"/>
    <w:rsid w:val="5A886720"/>
    <w:rsid w:val="5A8B6F17"/>
    <w:rsid w:val="5A9A1850"/>
    <w:rsid w:val="5AA85BE2"/>
    <w:rsid w:val="5AAD6F28"/>
    <w:rsid w:val="5ACB1A0A"/>
    <w:rsid w:val="5AD0663F"/>
    <w:rsid w:val="5AD63A24"/>
    <w:rsid w:val="5AE80652"/>
    <w:rsid w:val="5B0D3DD0"/>
    <w:rsid w:val="5B2E1A1D"/>
    <w:rsid w:val="5B3361D7"/>
    <w:rsid w:val="5B464CD3"/>
    <w:rsid w:val="5B5B0FE0"/>
    <w:rsid w:val="5B5F41FD"/>
    <w:rsid w:val="5B641FD2"/>
    <w:rsid w:val="5B6E2594"/>
    <w:rsid w:val="5B74028D"/>
    <w:rsid w:val="5B7D20D3"/>
    <w:rsid w:val="5B843A1C"/>
    <w:rsid w:val="5B873E3F"/>
    <w:rsid w:val="5B9938B6"/>
    <w:rsid w:val="5BA83AF9"/>
    <w:rsid w:val="5BAF30D9"/>
    <w:rsid w:val="5BB43399"/>
    <w:rsid w:val="5BD26DC8"/>
    <w:rsid w:val="5BD6018F"/>
    <w:rsid w:val="5BE2736F"/>
    <w:rsid w:val="5BED3C02"/>
    <w:rsid w:val="5BEF797A"/>
    <w:rsid w:val="5C02690E"/>
    <w:rsid w:val="5C196DA7"/>
    <w:rsid w:val="5C1D44E7"/>
    <w:rsid w:val="5C2A048C"/>
    <w:rsid w:val="5C2F421A"/>
    <w:rsid w:val="5C3A5B1E"/>
    <w:rsid w:val="5C4D1418"/>
    <w:rsid w:val="5C5C71D2"/>
    <w:rsid w:val="5C80234E"/>
    <w:rsid w:val="5C8A680C"/>
    <w:rsid w:val="5C9E4B87"/>
    <w:rsid w:val="5CB55333"/>
    <w:rsid w:val="5CB84210"/>
    <w:rsid w:val="5CBD35D4"/>
    <w:rsid w:val="5CCB7AA5"/>
    <w:rsid w:val="5CD7058A"/>
    <w:rsid w:val="5CE86703"/>
    <w:rsid w:val="5CE96715"/>
    <w:rsid w:val="5CED2246"/>
    <w:rsid w:val="5CFE68C9"/>
    <w:rsid w:val="5D0009CB"/>
    <w:rsid w:val="5D0C4701"/>
    <w:rsid w:val="5D0F0395"/>
    <w:rsid w:val="5D105DFA"/>
    <w:rsid w:val="5D153410"/>
    <w:rsid w:val="5D221076"/>
    <w:rsid w:val="5D2C3456"/>
    <w:rsid w:val="5D397964"/>
    <w:rsid w:val="5D3B0055"/>
    <w:rsid w:val="5D4F6922"/>
    <w:rsid w:val="5D5A391C"/>
    <w:rsid w:val="5D5F10C0"/>
    <w:rsid w:val="5D6D6DA8"/>
    <w:rsid w:val="5D7C348F"/>
    <w:rsid w:val="5D891B7B"/>
    <w:rsid w:val="5DAD38EE"/>
    <w:rsid w:val="5DCB1D21"/>
    <w:rsid w:val="5DD40BD5"/>
    <w:rsid w:val="5E006862"/>
    <w:rsid w:val="5E0207B9"/>
    <w:rsid w:val="5E115985"/>
    <w:rsid w:val="5E1834A1"/>
    <w:rsid w:val="5E261785"/>
    <w:rsid w:val="5E2E2BE4"/>
    <w:rsid w:val="5E342B9E"/>
    <w:rsid w:val="5E371164"/>
    <w:rsid w:val="5E416667"/>
    <w:rsid w:val="5E4A0E97"/>
    <w:rsid w:val="5E4A7017"/>
    <w:rsid w:val="5E547F68"/>
    <w:rsid w:val="5E552BBA"/>
    <w:rsid w:val="5E611C10"/>
    <w:rsid w:val="5E7A0F3F"/>
    <w:rsid w:val="5E8C792C"/>
    <w:rsid w:val="5E99597B"/>
    <w:rsid w:val="5EB033F0"/>
    <w:rsid w:val="5EB33205"/>
    <w:rsid w:val="5EBA601D"/>
    <w:rsid w:val="5EBD3D5F"/>
    <w:rsid w:val="5EC021E4"/>
    <w:rsid w:val="5EE06817"/>
    <w:rsid w:val="5EFC7377"/>
    <w:rsid w:val="5F04373C"/>
    <w:rsid w:val="5F06174D"/>
    <w:rsid w:val="5F2D4A41"/>
    <w:rsid w:val="5F3A3602"/>
    <w:rsid w:val="5F45733B"/>
    <w:rsid w:val="5F6277C6"/>
    <w:rsid w:val="5F687BD0"/>
    <w:rsid w:val="5F6D0B1D"/>
    <w:rsid w:val="5F6F2B7D"/>
    <w:rsid w:val="5F712EA7"/>
    <w:rsid w:val="5F721E1D"/>
    <w:rsid w:val="5F7C1524"/>
    <w:rsid w:val="5F824661"/>
    <w:rsid w:val="5F8D0B82"/>
    <w:rsid w:val="5FC32C98"/>
    <w:rsid w:val="5FCC5339"/>
    <w:rsid w:val="5FCE751A"/>
    <w:rsid w:val="5FDB26EF"/>
    <w:rsid w:val="5FE34A5B"/>
    <w:rsid w:val="5FFE1E36"/>
    <w:rsid w:val="600375C0"/>
    <w:rsid w:val="60232584"/>
    <w:rsid w:val="604B74BF"/>
    <w:rsid w:val="60563B24"/>
    <w:rsid w:val="607330CE"/>
    <w:rsid w:val="60787F3E"/>
    <w:rsid w:val="60825176"/>
    <w:rsid w:val="60841B82"/>
    <w:rsid w:val="609F2AC4"/>
    <w:rsid w:val="60B44CEE"/>
    <w:rsid w:val="60C56EFB"/>
    <w:rsid w:val="60C70EC5"/>
    <w:rsid w:val="60D17E61"/>
    <w:rsid w:val="60F22B5C"/>
    <w:rsid w:val="60FA2EE8"/>
    <w:rsid w:val="61021EFD"/>
    <w:rsid w:val="61054A27"/>
    <w:rsid w:val="610A52BC"/>
    <w:rsid w:val="610C4B2A"/>
    <w:rsid w:val="61113EEE"/>
    <w:rsid w:val="611D2366"/>
    <w:rsid w:val="61204131"/>
    <w:rsid w:val="61353EA7"/>
    <w:rsid w:val="613A1697"/>
    <w:rsid w:val="61421856"/>
    <w:rsid w:val="615227C4"/>
    <w:rsid w:val="615C26B1"/>
    <w:rsid w:val="61654E3F"/>
    <w:rsid w:val="616B1851"/>
    <w:rsid w:val="6182292A"/>
    <w:rsid w:val="61834DEC"/>
    <w:rsid w:val="61844A4B"/>
    <w:rsid w:val="6189617B"/>
    <w:rsid w:val="618F442A"/>
    <w:rsid w:val="619D39D4"/>
    <w:rsid w:val="619F51E6"/>
    <w:rsid w:val="619F7F92"/>
    <w:rsid w:val="61A30FEA"/>
    <w:rsid w:val="61A8270A"/>
    <w:rsid w:val="61AD3C17"/>
    <w:rsid w:val="61B431F8"/>
    <w:rsid w:val="61CE1DDF"/>
    <w:rsid w:val="61D9643B"/>
    <w:rsid w:val="61DE2022"/>
    <w:rsid w:val="61F94C26"/>
    <w:rsid w:val="62000E56"/>
    <w:rsid w:val="620123E4"/>
    <w:rsid w:val="62033ECA"/>
    <w:rsid w:val="62065A1D"/>
    <w:rsid w:val="620A0059"/>
    <w:rsid w:val="620B6B90"/>
    <w:rsid w:val="62166B64"/>
    <w:rsid w:val="623C143F"/>
    <w:rsid w:val="62404A8B"/>
    <w:rsid w:val="62463853"/>
    <w:rsid w:val="624F3E49"/>
    <w:rsid w:val="62562501"/>
    <w:rsid w:val="625B7B17"/>
    <w:rsid w:val="62632286"/>
    <w:rsid w:val="62683FE2"/>
    <w:rsid w:val="626D4A1D"/>
    <w:rsid w:val="62885958"/>
    <w:rsid w:val="628A03FC"/>
    <w:rsid w:val="62B31652"/>
    <w:rsid w:val="62B81F78"/>
    <w:rsid w:val="62BD60DC"/>
    <w:rsid w:val="62C1421A"/>
    <w:rsid w:val="62F40B65"/>
    <w:rsid w:val="62FC2CFE"/>
    <w:rsid w:val="63024505"/>
    <w:rsid w:val="63041F5D"/>
    <w:rsid w:val="63253C81"/>
    <w:rsid w:val="6349571A"/>
    <w:rsid w:val="635600A5"/>
    <w:rsid w:val="635B1DB5"/>
    <w:rsid w:val="635B58F5"/>
    <w:rsid w:val="635C7BC6"/>
    <w:rsid w:val="635D166D"/>
    <w:rsid w:val="636429FB"/>
    <w:rsid w:val="636C4EC6"/>
    <w:rsid w:val="636F4F4A"/>
    <w:rsid w:val="63711FED"/>
    <w:rsid w:val="637864A7"/>
    <w:rsid w:val="63880DDC"/>
    <w:rsid w:val="638D750D"/>
    <w:rsid w:val="63957059"/>
    <w:rsid w:val="639A466F"/>
    <w:rsid w:val="63AB23D8"/>
    <w:rsid w:val="63AC6CC0"/>
    <w:rsid w:val="63D41CDA"/>
    <w:rsid w:val="63F7386F"/>
    <w:rsid w:val="64055776"/>
    <w:rsid w:val="640815D9"/>
    <w:rsid w:val="64240056"/>
    <w:rsid w:val="643E143A"/>
    <w:rsid w:val="64410F8F"/>
    <w:rsid w:val="64491666"/>
    <w:rsid w:val="646B1B68"/>
    <w:rsid w:val="646B35EA"/>
    <w:rsid w:val="64760C38"/>
    <w:rsid w:val="648A6492"/>
    <w:rsid w:val="648B6EEF"/>
    <w:rsid w:val="649966D5"/>
    <w:rsid w:val="64A62BA0"/>
    <w:rsid w:val="64A82A4B"/>
    <w:rsid w:val="64B75D57"/>
    <w:rsid w:val="64C158BF"/>
    <w:rsid w:val="64CE2EAA"/>
    <w:rsid w:val="64D94D23"/>
    <w:rsid w:val="653C3090"/>
    <w:rsid w:val="65442AE4"/>
    <w:rsid w:val="65460804"/>
    <w:rsid w:val="6546685C"/>
    <w:rsid w:val="6556221B"/>
    <w:rsid w:val="65600494"/>
    <w:rsid w:val="657F1D6E"/>
    <w:rsid w:val="65854376"/>
    <w:rsid w:val="658767BE"/>
    <w:rsid w:val="65892531"/>
    <w:rsid w:val="659F41BF"/>
    <w:rsid w:val="65A672FB"/>
    <w:rsid w:val="65EE0CA2"/>
    <w:rsid w:val="65F75DA9"/>
    <w:rsid w:val="66083B12"/>
    <w:rsid w:val="6609788A"/>
    <w:rsid w:val="66195831"/>
    <w:rsid w:val="661C136B"/>
    <w:rsid w:val="66240220"/>
    <w:rsid w:val="662E75B1"/>
    <w:rsid w:val="66342C2E"/>
    <w:rsid w:val="663E784C"/>
    <w:rsid w:val="664779F8"/>
    <w:rsid w:val="664901B0"/>
    <w:rsid w:val="6669046B"/>
    <w:rsid w:val="66754F1F"/>
    <w:rsid w:val="667E3B2E"/>
    <w:rsid w:val="66835C83"/>
    <w:rsid w:val="668B6A45"/>
    <w:rsid w:val="668D6CDE"/>
    <w:rsid w:val="66A15D14"/>
    <w:rsid w:val="66A17AC3"/>
    <w:rsid w:val="66B9305E"/>
    <w:rsid w:val="66D165FA"/>
    <w:rsid w:val="66FC65BD"/>
    <w:rsid w:val="672F3F24"/>
    <w:rsid w:val="67395D8D"/>
    <w:rsid w:val="673E055F"/>
    <w:rsid w:val="67551CE3"/>
    <w:rsid w:val="676657F5"/>
    <w:rsid w:val="678E0047"/>
    <w:rsid w:val="678E6299"/>
    <w:rsid w:val="67A22552"/>
    <w:rsid w:val="67A83750"/>
    <w:rsid w:val="67AC671F"/>
    <w:rsid w:val="67B22DCC"/>
    <w:rsid w:val="67B51A77"/>
    <w:rsid w:val="67BD37D6"/>
    <w:rsid w:val="67BE71AA"/>
    <w:rsid w:val="67C12E69"/>
    <w:rsid w:val="67C95196"/>
    <w:rsid w:val="67D672D0"/>
    <w:rsid w:val="67D90273"/>
    <w:rsid w:val="67D94D56"/>
    <w:rsid w:val="67DE5875"/>
    <w:rsid w:val="67E265E5"/>
    <w:rsid w:val="67E55852"/>
    <w:rsid w:val="67E75936"/>
    <w:rsid w:val="67E854ED"/>
    <w:rsid w:val="67EB1AB4"/>
    <w:rsid w:val="67EE31DB"/>
    <w:rsid w:val="67EE5002"/>
    <w:rsid w:val="67FA1285"/>
    <w:rsid w:val="6810661C"/>
    <w:rsid w:val="6817003C"/>
    <w:rsid w:val="68321BEC"/>
    <w:rsid w:val="6836628F"/>
    <w:rsid w:val="68406483"/>
    <w:rsid w:val="684A6664"/>
    <w:rsid w:val="684F6120"/>
    <w:rsid w:val="68551F4F"/>
    <w:rsid w:val="686B0388"/>
    <w:rsid w:val="687C10C9"/>
    <w:rsid w:val="68840C16"/>
    <w:rsid w:val="68876EFB"/>
    <w:rsid w:val="68884654"/>
    <w:rsid w:val="689F444F"/>
    <w:rsid w:val="68AA0AE4"/>
    <w:rsid w:val="68B96DBB"/>
    <w:rsid w:val="68C15847"/>
    <w:rsid w:val="68CA2805"/>
    <w:rsid w:val="68E937A3"/>
    <w:rsid w:val="6900318D"/>
    <w:rsid w:val="6908207B"/>
    <w:rsid w:val="69126A56"/>
    <w:rsid w:val="691B590A"/>
    <w:rsid w:val="691D5B26"/>
    <w:rsid w:val="692F7608"/>
    <w:rsid w:val="693E15D3"/>
    <w:rsid w:val="694855A7"/>
    <w:rsid w:val="695E0B89"/>
    <w:rsid w:val="69627681"/>
    <w:rsid w:val="6977531D"/>
    <w:rsid w:val="697A2F79"/>
    <w:rsid w:val="697B45FB"/>
    <w:rsid w:val="69822E37"/>
    <w:rsid w:val="69A62FC6"/>
    <w:rsid w:val="69B1626F"/>
    <w:rsid w:val="69C91DA2"/>
    <w:rsid w:val="69CC2BFF"/>
    <w:rsid w:val="69D97BDC"/>
    <w:rsid w:val="69DF44A7"/>
    <w:rsid w:val="69FD55B8"/>
    <w:rsid w:val="6A026ACA"/>
    <w:rsid w:val="6A042842"/>
    <w:rsid w:val="6A097E59"/>
    <w:rsid w:val="6A0B1C62"/>
    <w:rsid w:val="6A11102A"/>
    <w:rsid w:val="6A220F1A"/>
    <w:rsid w:val="6A2406C8"/>
    <w:rsid w:val="6A24151D"/>
    <w:rsid w:val="6A484E25"/>
    <w:rsid w:val="6A553A73"/>
    <w:rsid w:val="6A5C57C6"/>
    <w:rsid w:val="6A62704D"/>
    <w:rsid w:val="6A647785"/>
    <w:rsid w:val="6A9A6D03"/>
    <w:rsid w:val="6AA37350"/>
    <w:rsid w:val="6AB73D58"/>
    <w:rsid w:val="6AD20B92"/>
    <w:rsid w:val="6AD40467"/>
    <w:rsid w:val="6ADA17F5"/>
    <w:rsid w:val="6ADE0BD1"/>
    <w:rsid w:val="6AE96859"/>
    <w:rsid w:val="6B085E04"/>
    <w:rsid w:val="6B147746"/>
    <w:rsid w:val="6B24787C"/>
    <w:rsid w:val="6B2D0BBF"/>
    <w:rsid w:val="6B460C38"/>
    <w:rsid w:val="6B573233"/>
    <w:rsid w:val="6B5B6274"/>
    <w:rsid w:val="6B5C045C"/>
    <w:rsid w:val="6B804CFA"/>
    <w:rsid w:val="6B851761"/>
    <w:rsid w:val="6B935D53"/>
    <w:rsid w:val="6BA53BB1"/>
    <w:rsid w:val="6BCE135A"/>
    <w:rsid w:val="6BCE4EB6"/>
    <w:rsid w:val="6BF07522"/>
    <w:rsid w:val="6C196F71"/>
    <w:rsid w:val="6C226FCB"/>
    <w:rsid w:val="6C31226F"/>
    <w:rsid w:val="6C3F5DB4"/>
    <w:rsid w:val="6C552F0B"/>
    <w:rsid w:val="6C5E37B1"/>
    <w:rsid w:val="6C6D019E"/>
    <w:rsid w:val="6C7237FE"/>
    <w:rsid w:val="6C7D2314"/>
    <w:rsid w:val="6C8C67B7"/>
    <w:rsid w:val="6C8E61E8"/>
    <w:rsid w:val="6C9D744C"/>
    <w:rsid w:val="6CA12646"/>
    <w:rsid w:val="6CBF537B"/>
    <w:rsid w:val="6CCC200F"/>
    <w:rsid w:val="6CD6583E"/>
    <w:rsid w:val="6D167928"/>
    <w:rsid w:val="6D1A237D"/>
    <w:rsid w:val="6D26299B"/>
    <w:rsid w:val="6D325918"/>
    <w:rsid w:val="6D34343E"/>
    <w:rsid w:val="6D3527BF"/>
    <w:rsid w:val="6D4772EC"/>
    <w:rsid w:val="6D706274"/>
    <w:rsid w:val="6D745F31"/>
    <w:rsid w:val="6D9078AF"/>
    <w:rsid w:val="6D920165"/>
    <w:rsid w:val="6D9A7BD1"/>
    <w:rsid w:val="6DA560EA"/>
    <w:rsid w:val="6DA57E98"/>
    <w:rsid w:val="6DAA3FEF"/>
    <w:rsid w:val="6DC0172B"/>
    <w:rsid w:val="6DC91220"/>
    <w:rsid w:val="6DCB690C"/>
    <w:rsid w:val="6DD10C8D"/>
    <w:rsid w:val="6DD41A5B"/>
    <w:rsid w:val="6DDA2238"/>
    <w:rsid w:val="6DE52173"/>
    <w:rsid w:val="6DF1554C"/>
    <w:rsid w:val="6DF43C2E"/>
    <w:rsid w:val="6DF45ADD"/>
    <w:rsid w:val="6DF51CA3"/>
    <w:rsid w:val="6E0628E0"/>
    <w:rsid w:val="6E0E1EE1"/>
    <w:rsid w:val="6E5024FA"/>
    <w:rsid w:val="6E600263"/>
    <w:rsid w:val="6E6E771C"/>
    <w:rsid w:val="6E732B24"/>
    <w:rsid w:val="6E8201DA"/>
    <w:rsid w:val="6E8335BD"/>
    <w:rsid w:val="6E8B0345"/>
    <w:rsid w:val="6E8E12EF"/>
    <w:rsid w:val="6E972936"/>
    <w:rsid w:val="6EB34837"/>
    <w:rsid w:val="6EB56801"/>
    <w:rsid w:val="6ECD2DED"/>
    <w:rsid w:val="6ED446C5"/>
    <w:rsid w:val="6EF2710D"/>
    <w:rsid w:val="6F0A69C5"/>
    <w:rsid w:val="6F2A7D94"/>
    <w:rsid w:val="6F2B3A69"/>
    <w:rsid w:val="6F436E95"/>
    <w:rsid w:val="6F72024E"/>
    <w:rsid w:val="6F7915DC"/>
    <w:rsid w:val="6F805914"/>
    <w:rsid w:val="6F8331F1"/>
    <w:rsid w:val="6F991C7F"/>
    <w:rsid w:val="6FAB550E"/>
    <w:rsid w:val="6FAE1A09"/>
    <w:rsid w:val="6FAF14A2"/>
    <w:rsid w:val="6FC85970"/>
    <w:rsid w:val="6FD75BF8"/>
    <w:rsid w:val="70030C0A"/>
    <w:rsid w:val="70384FF4"/>
    <w:rsid w:val="705204E9"/>
    <w:rsid w:val="705A0FAC"/>
    <w:rsid w:val="707723D0"/>
    <w:rsid w:val="70E205F7"/>
    <w:rsid w:val="70F5661B"/>
    <w:rsid w:val="70F83976"/>
    <w:rsid w:val="70FE140A"/>
    <w:rsid w:val="7107366D"/>
    <w:rsid w:val="71125845"/>
    <w:rsid w:val="71212C12"/>
    <w:rsid w:val="71360107"/>
    <w:rsid w:val="713B688E"/>
    <w:rsid w:val="713C4783"/>
    <w:rsid w:val="71471F27"/>
    <w:rsid w:val="7149023D"/>
    <w:rsid w:val="714A7573"/>
    <w:rsid w:val="716B017F"/>
    <w:rsid w:val="716D33C3"/>
    <w:rsid w:val="71762034"/>
    <w:rsid w:val="717B3721"/>
    <w:rsid w:val="717F7EE8"/>
    <w:rsid w:val="718A7AD1"/>
    <w:rsid w:val="718C1A9B"/>
    <w:rsid w:val="71A843FB"/>
    <w:rsid w:val="71BA1462"/>
    <w:rsid w:val="71D43752"/>
    <w:rsid w:val="71DE1BCB"/>
    <w:rsid w:val="71E2790D"/>
    <w:rsid w:val="71EF09DD"/>
    <w:rsid w:val="71F1796A"/>
    <w:rsid w:val="71FF1231"/>
    <w:rsid w:val="7203109F"/>
    <w:rsid w:val="720A08DB"/>
    <w:rsid w:val="720E6BFD"/>
    <w:rsid w:val="72154626"/>
    <w:rsid w:val="721D6B97"/>
    <w:rsid w:val="72220F73"/>
    <w:rsid w:val="72262B5D"/>
    <w:rsid w:val="72283FF7"/>
    <w:rsid w:val="722E7212"/>
    <w:rsid w:val="723A0474"/>
    <w:rsid w:val="724A1B0C"/>
    <w:rsid w:val="725923E4"/>
    <w:rsid w:val="72864BF7"/>
    <w:rsid w:val="729023FC"/>
    <w:rsid w:val="72987FCC"/>
    <w:rsid w:val="72B62608"/>
    <w:rsid w:val="72B82C8B"/>
    <w:rsid w:val="72BE2BA9"/>
    <w:rsid w:val="72C709A2"/>
    <w:rsid w:val="72CB03A1"/>
    <w:rsid w:val="72EC0317"/>
    <w:rsid w:val="72F01BB6"/>
    <w:rsid w:val="72F44289"/>
    <w:rsid w:val="72F84E49"/>
    <w:rsid w:val="730516AB"/>
    <w:rsid w:val="73504D4A"/>
    <w:rsid w:val="73532145"/>
    <w:rsid w:val="735A0C79"/>
    <w:rsid w:val="736400EF"/>
    <w:rsid w:val="736600CA"/>
    <w:rsid w:val="738B0D99"/>
    <w:rsid w:val="739A07A7"/>
    <w:rsid w:val="73B21561"/>
    <w:rsid w:val="73C0646E"/>
    <w:rsid w:val="73C179F6"/>
    <w:rsid w:val="73D36B56"/>
    <w:rsid w:val="73FC458A"/>
    <w:rsid w:val="74004AEB"/>
    <w:rsid w:val="74081181"/>
    <w:rsid w:val="74105838"/>
    <w:rsid w:val="741152AF"/>
    <w:rsid w:val="742222F5"/>
    <w:rsid w:val="743E2DF5"/>
    <w:rsid w:val="74476126"/>
    <w:rsid w:val="74664E45"/>
    <w:rsid w:val="74706664"/>
    <w:rsid w:val="747F3682"/>
    <w:rsid w:val="74806F69"/>
    <w:rsid w:val="7482026A"/>
    <w:rsid w:val="74864F0A"/>
    <w:rsid w:val="74996CD2"/>
    <w:rsid w:val="749C4185"/>
    <w:rsid w:val="74B76DD7"/>
    <w:rsid w:val="74DA48CB"/>
    <w:rsid w:val="74DB6631"/>
    <w:rsid w:val="74E474F8"/>
    <w:rsid w:val="74E90FB2"/>
    <w:rsid w:val="74F3598D"/>
    <w:rsid w:val="75067759"/>
    <w:rsid w:val="751353F0"/>
    <w:rsid w:val="751B5D7A"/>
    <w:rsid w:val="75271ADB"/>
    <w:rsid w:val="752E6DCD"/>
    <w:rsid w:val="754B7577"/>
    <w:rsid w:val="7551380D"/>
    <w:rsid w:val="75600BE5"/>
    <w:rsid w:val="75611881"/>
    <w:rsid w:val="7564475C"/>
    <w:rsid w:val="757F36C5"/>
    <w:rsid w:val="757F7487"/>
    <w:rsid w:val="7581743D"/>
    <w:rsid w:val="7583797F"/>
    <w:rsid w:val="75976C60"/>
    <w:rsid w:val="75A153E9"/>
    <w:rsid w:val="75B426F8"/>
    <w:rsid w:val="75D20F1D"/>
    <w:rsid w:val="75DA2C18"/>
    <w:rsid w:val="75E874BC"/>
    <w:rsid w:val="75F06E12"/>
    <w:rsid w:val="75F54412"/>
    <w:rsid w:val="75FE283B"/>
    <w:rsid w:val="760C18E2"/>
    <w:rsid w:val="760F67F7"/>
    <w:rsid w:val="761777BD"/>
    <w:rsid w:val="761D08E0"/>
    <w:rsid w:val="76276370"/>
    <w:rsid w:val="76277FE4"/>
    <w:rsid w:val="762B73A9"/>
    <w:rsid w:val="76304C49"/>
    <w:rsid w:val="76404C02"/>
    <w:rsid w:val="765719E0"/>
    <w:rsid w:val="765B46C5"/>
    <w:rsid w:val="765D347C"/>
    <w:rsid w:val="767848C6"/>
    <w:rsid w:val="767F788F"/>
    <w:rsid w:val="76826699"/>
    <w:rsid w:val="7696195D"/>
    <w:rsid w:val="76B178AE"/>
    <w:rsid w:val="76C05D43"/>
    <w:rsid w:val="76C87133"/>
    <w:rsid w:val="76CC51E3"/>
    <w:rsid w:val="76CD08D5"/>
    <w:rsid w:val="76DB4B92"/>
    <w:rsid w:val="76E6521D"/>
    <w:rsid w:val="76E77774"/>
    <w:rsid w:val="770413FC"/>
    <w:rsid w:val="77052AA4"/>
    <w:rsid w:val="77067136"/>
    <w:rsid w:val="770C6FDB"/>
    <w:rsid w:val="770E1F6A"/>
    <w:rsid w:val="770E2FDD"/>
    <w:rsid w:val="77136511"/>
    <w:rsid w:val="77144054"/>
    <w:rsid w:val="77181BB0"/>
    <w:rsid w:val="771A36A5"/>
    <w:rsid w:val="77233EDC"/>
    <w:rsid w:val="77340A39"/>
    <w:rsid w:val="77351FD0"/>
    <w:rsid w:val="77363904"/>
    <w:rsid w:val="773B361B"/>
    <w:rsid w:val="77472422"/>
    <w:rsid w:val="77534E09"/>
    <w:rsid w:val="77705279"/>
    <w:rsid w:val="777F31F2"/>
    <w:rsid w:val="779416A9"/>
    <w:rsid w:val="779F635B"/>
    <w:rsid w:val="77C803EE"/>
    <w:rsid w:val="77CD0C62"/>
    <w:rsid w:val="77D1700D"/>
    <w:rsid w:val="77D71596"/>
    <w:rsid w:val="77EC04CC"/>
    <w:rsid w:val="77F474AF"/>
    <w:rsid w:val="77F51A1C"/>
    <w:rsid w:val="77FC0FFD"/>
    <w:rsid w:val="780879A1"/>
    <w:rsid w:val="78106856"/>
    <w:rsid w:val="78131FCB"/>
    <w:rsid w:val="782B3690"/>
    <w:rsid w:val="7831514A"/>
    <w:rsid w:val="783B18D7"/>
    <w:rsid w:val="784F7ECA"/>
    <w:rsid w:val="785B5D23"/>
    <w:rsid w:val="78762B5D"/>
    <w:rsid w:val="78775729"/>
    <w:rsid w:val="787F10F7"/>
    <w:rsid w:val="788567E4"/>
    <w:rsid w:val="78883DB8"/>
    <w:rsid w:val="789E20B4"/>
    <w:rsid w:val="78A31478"/>
    <w:rsid w:val="78A42DB0"/>
    <w:rsid w:val="78A656AB"/>
    <w:rsid w:val="78AE7AE9"/>
    <w:rsid w:val="78B2245C"/>
    <w:rsid w:val="78B96EAB"/>
    <w:rsid w:val="78BE7ED0"/>
    <w:rsid w:val="78C733B9"/>
    <w:rsid w:val="78E172CC"/>
    <w:rsid w:val="78EA1D1F"/>
    <w:rsid w:val="78EF290F"/>
    <w:rsid w:val="78F1414E"/>
    <w:rsid w:val="7904172F"/>
    <w:rsid w:val="7908577F"/>
    <w:rsid w:val="790F7E27"/>
    <w:rsid w:val="7912140C"/>
    <w:rsid w:val="792720A9"/>
    <w:rsid w:val="792A231A"/>
    <w:rsid w:val="79316829"/>
    <w:rsid w:val="794E5888"/>
    <w:rsid w:val="795804B5"/>
    <w:rsid w:val="795E1890"/>
    <w:rsid w:val="796110D2"/>
    <w:rsid w:val="797E66A9"/>
    <w:rsid w:val="798518A4"/>
    <w:rsid w:val="798B088A"/>
    <w:rsid w:val="79A758CD"/>
    <w:rsid w:val="79A97383"/>
    <w:rsid w:val="79BE2367"/>
    <w:rsid w:val="79C22DE6"/>
    <w:rsid w:val="79D00993"/>
    <w:rsid w:val="79E27E8B"/>
    <w:rsid w:val="79F60DA7"/>
    <w:rsid w:val="79F850CE"/>
    <w:rsid w:val="79FD443C"/>
    <w:rsid w:val="7A1379C8"/>
    <w:rsid w:val="7A17211E"/>
    <w:rsid w:val="7A1D1975"/>
    <w:rsid w:val="7A350891"/>
    <w:rsid w:val="7A3E5150"/>
    <w:rsid w:val="7A4670D6"/>
    <w:rsid w:val="7A506EC0"/>
    <w:rsid w:val="7A5073DE"/>
    <w:rsid w:val="7A534B63"/>
    <w:rsid w:val="7A5944E4"/>
    <w:rsid w:val="7A615382"/>
    <w:rsid w:val="7A67303B"/>
    <w:rsid w:val="7A692EAA"/>
    <w:rsid w:val="7A8F2DE1"/>
    <w:rsid w:val="7AA37E55"/>
    <w:rsid w:val="7AA634A2"/>
    <w:rsid w:val="7AAB1D04"/>
    <w:rsid w:val="7AAD2A82"/>
    <w:rsid w:val="7AAF3F86"/>
    <w:rsid w:val="7ABA4368"/>
    <w:rsid w:val="7ABD04CB"/>
    <w:rsid w:val="7ABD5153"/>
    <w:rsid w:val="7AD05746"/>
    <w:rsid w:val="7AD408A4"/>
    <w:rsid w:val="7ADA573C"/>
    <w:rsid w:val="7AEC5358"/>
    <w:rsid w:val="7AF91198"/>
    <w:rsid w:val="7B0A153E"/>
    <w:rsid w:val="7B257FFD"/>
    <w:rsid w:val="7B286688"/>
    <w:rsid w:val="7B343476"/>
    <w:rsid w:val="7B42141C"/>
    <w:rsid w:val="7B454A69"/>
    <w:rsid w:val="7B533629"/>
    <w:rsid w:val="7B5A2978"/>
    <w:rsid w:val="7B5A7E4C"/>
    <w:rsid w:val="7B667AF9"/>
    <w:rsid w:val="7B7468F8"/>
    <w:rsid w:val="7B9003DA"/>
    <w:rsid w:val="7B9B0B2D"/>
    <w:rsid w:val="7BAD1AA1"/>
    <w:rsid w:val="7BB06386"/>
    <w:rsid w:val="7BBC2F7D"/>
    <w:rsid w:val="7BD32074"/>
    <w:rsid w:val="7BE2517A"/>
    <w:rsid w:val="7BE86D5E"/>
    <w:rsid w:val="7BEE0103"/>
    <w:rsid w:val="7BF5023D"/>
    <w:rsid w:val="7C0717E1"/>
    <w:rsid w:val="7C0925CC"/>
    <w:rsid w:val="7C0A0FE4"/>
    <w:rsid w:val="7C0E12FE"/>
    <w:rsid w:val="7C1C1C6D"/>
    <w:rsid w:val="7C1D7794"/>
    <w:rsid w:val="7C2432F8"/>
    <w:rsid w:val="7C254906"/>
    <w:rsid w:val="7C294768"/>
    <w:rsid w:val="7C46041C"/>
    <w:rsid w:val="7C4A252D"/>
    <w:rsid w:val="7C4C2591"/>
    <w:rsid w:val="7C507B69"/>
    <w:rsid w:val="7C590818"/>
    <w:rsid w:val="7C596A1E"/>
    <w:rsid w:val="7C66113B"/>
    <w:rsid w:val="7C730C1B"/>
    <w:rsid w:val="7C7C10F6"/>
    <w:rsid w:val="7C853BEA"/>
    <w:rsid w:val="7C8724CE"/>
    <w:rsid w:val="7C881368"/>
    <w:rsid w:val="7CA76A30"/>
    <w:rsid w:val="7CAB358F"/>
    <w:rsid w:val="7CB00608"/>
    <w:rsid w:val="7CB54D42"/>
    <w:rsid w:val="7CB63E70"/>
    <w:rsid w:val="7CC77E2B"/>
    <w:rsid w:val="7CC97334"/>
    <w:rsid w:val="7CD47889"/>
    <w:rsid w:val="7CD91F98"/>
    <w:rsid w:val="7CE27788"/>
    <w:rsid w:val="7D0C32F1"/>
    <w:rsid w:val="7D0F408D"/>
    <w:rsid w:val="7D13259F"/>
    <w:rsid w:val="7D1C1452"/>
    <w:rsid w:val="7D2C2AAE"/>
    <w:rsid w:val="7D470F6C"/>
    <w:rsid w:val="7D491C6C"/>
    <w:rsid w:val="7D494CE4"/>
    <w:rsid w:val="7D5429C0"/>
    <w:rsid w:val="7D6E6D43"/>
    <w:rsid w:val="7D715E27"/>
    <w:rsid w:val="7D747399"/>
    <w:rsid w:val="7D8D6FA9"/>
    <w:rsid w:val="7D953281"/>
    <w:rsid w:val="7D9F4260"/>
    <w:rsid w:val="7DB57A34"/>
    <w:rsid w:val="7DE60973"/>
    <w:rsid w:val="7DEF0916"/>
    <w:rsid w:val="7DF862C3"/>
    <w:rsid w:val="7E0C7AC0"/>
    <w:rsid w:val="7E1E5218"/>
    <w:rsid w:val="7E3E1D90"/>
    <w:rsid w:val="7E5020A2"/>
    <w:rsid w:val="7E544334"/>
    <w:rsid w:val="7E5E394E"/>
    <w:rsid w:val="7E5F2F81"/>
    <w:rsid w:val="7E6B0C8A"/>
    <w:rsid w:val="7E7B1E30"/>
    <w:rsid w:val="7E9A4E1F"/>
    <w:rsid w:val="7EA7723A"/>
    <w:rsid w:val="7EAB1087"/>
    <w:rsid w:val="7EAC5F5B"/>
    <w:rsid w:val="7EC873B0"/>
    <w:rsid w:val="7ECD54A1"/>
    <w:rsid w:val="7ED700CE"/>
    <w:rsid w:val="7EF173E1"/>
    <w:rsid w:val="7EF56FBB"/>
    <w:rsid w:val="7F0768EB"/>
    <w:rsid w:val="7F143BEC"/>
    <w:rsid w:val="7F2C666B"/>
    <w:rsid w:val="7F323556"/>
    <w:rsid w:val="7F5015C2"/>
    <w:rsid w:val="7F6851CA"/>
    <w:rsid w:val="7F6E3D98"/>
    <w:rsid w:val="7F715AF2"/>
    <w:rsid w:val="7F815AF4"/>
    <w:rsid w:val="7F842003"/>
    <w:rsid w:val="7F886E69"/>
    <w:rsid w:val="7FAE7080"/>
    <w:rsid w:val="7FB4040F"/>
    <w:rsid w:val="7FEA615E"/>
    <w:rsid w:val="7FF356D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6">
    <w:name w:val="Normal Indent"/>
    <w:basedOn w:val="1"/>
    <w:link w:val="19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index 8"/>
    <w:next w:val="1"/>
    <w:qFormat/>
    <w:uiPriority w:val="0"/>
    <w:pPr>
      <w:widowControl w:val="0"/>
      <w:ind w:left="2940" w:leftChars="1400"/>
      <w:jc w:val="both"/>
    </w:pPr>
    <w:rPr>
      <w:rFonts w:ascii="Times New Roman" w:hAnsi="Times New Roman" w:eastAsia="宋体" w:cs="Times New Roman"/>
      <w:kern w:val="2"/>
      <w:sz w:val="21"/>
      <w:szCs w:val="24"/>
      <w:lang w:val="en-US" w:eastAsia="zh-CN" w:bidi="ar-SA"/>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7"/>
    <w:qFormat/>
    <w:uiPriority w:val="0"/>
    <w:pPr>
      <w:shd w:val="clear" w:color="auto" w:fill="000080"/>
    </w:pPr>
  </w:style>
  <w:style w:type="paragraph" w:styleId="21">
    <w:name w:val="annotation text"/>
    <w:basedOn w:val="1"/>
    <w:link w:val="348"/>
    <w:qFormat/>
    <w:uiPriority w:val="99"/>
    <w:pPr>
      <w:jc w:val="left"/>
    </w:pPr>
  </w:style>
  <w:style w:type="paragraph" w:styleId="22">
    <w:name w:val="Salutation"/>
    <w:basedOn w:val="1"/>
    <w:next w:val="1"/>
    <w:link w:val="302"/>
    <w:qFormat/>
    <w:uiPriority w:val="0"/>
    <w:rPr>
      <w:rFonts w:ascii="仿宋_GB2312" w:eastAsia="仿宋_GB2312"/>
      <w:sz w:val="28"/>
      <w:szCs w:val="20"/>
    </w:rPr>
  </w:style>
  <w:style w:type="paragraph" w:styleId="23">
    <w:name w:val="Body Text 3"/>
    <w:basedOn w:val="1"/>
    <w:link w:val="33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3"/>
    <w:qFormat/>
    <w:uiPriority w:val="0"/>
    <w:pPr>
      <w:autoSpaceDE w:val="0"/>
      <w:autoSpaceDN w:val="0"/>
      <w:spacing w:line="360" w:lineRule="auto"/>
    </w:pPr>
    <w:rPr>
      <w:rFonts w:ascii="宋体" w:hAnsi="Arial" w:cs="Arial"/>
      <w:snapToGrid w:val="0"/>
      <w:sz w:val="24"/>
      <w:szCs w:val="21"/>
      <w:lang w:val="zh-CN"/>
    </w:rPr>
  </w:style>
  <w:style w:type="paragraph" w:styleId="26">
    <w:name w:val="Body Text Indent"/>
    <w:basedOn w:val="1"/>
    <w:next w:val="6"/>
    <w:link w:val="269"/>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30"/>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6"/>
    <w:qFormat/>
    <w:uiPriority w:val="0"/>
    <w:pPr>
      <w:ind w:left="100" w:leftChars="2500"/>
    </w:pPr>
    <w:rPr>
      <w:rFonts w:ascii="宋体"/>
      <w:sz w:val="24"/>
      <w:szCs w:val="21"/>
      <w:lang w:val="zh-CN"/>
    </w:rPr>
  </w:style>
  <w:style w:type="paragraph" w:styleId="37">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93"/>
    <w:qFormat/>
    <w:uiPriority w:val="0"/>
    <w:rPr>
      <w:sz w:val="18"/>
      <w:szCs w:val="18"/>
    </w:rPr>
  </w:style>
  <w:style w:type="paragraph" w:styleId="40">
    <w:name w:val="footer"/>
    <w:basedOn w:val="1"/>
    <w:link w:val="387"/>
    <w:qFormat/>
    <w:uiPriority w:val="99"/>
    <w:pPr>
      <w:tabs>
        <w:tab w:val="center" w:pos="4153"/>
        <w:tab w:val="right" w:pos="8306"/>
      </w:tabs>
      <w:snapToGrid w:val="0"/>
      <w:jc w:val="left"/>
    </w:pPr>
    <w:rPr>
      <w:sz w:val="18"/>
      <w:szCs w:val="18"/>
    </w:rPr>
  </w:style>
  <w:style w:type="paragraph" w:styleId="41">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6"/>
    <w:qFormat/>
    <w:uiPriority w:val="0"/>
    <w:pPr>
      <w:spacing w:after="120" w:line="480" w:lineRule="auto"/>
    </w:pPr>
  </w:style>
  <w:style w:type="paragraph" w:styleId="58">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next w:val="1"/>
    <w:link w:val="290"/>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2"/>
    <w:qFormat/>
    <w:uiPriority w:val="0"/>
    <w:rPr>
      <w:b/>
      <w:bCs/>
    </w:rPr>
  </w:style>
  <w:style w:type="paragraph" w:styleId="62">
    <w:name w:val="Body Text First Indent"/>
    <w:basedOn w:val="25"/>
    <w:link w:val="325"/>
    <w:qFormat/>
    <w:uiPriority w:val="0"/>
    <w:pPr>
      <w:ind w:firstLine="420"/>
    </w:pPr>
    <w:rPr>
      <w:rFonts w:hAnsi="Calibri" w:cs="Times New Roman"/>
      <w:snapToGrid/>
      <w:szCs w:val="20"/>
    </w:rPr>
  </w:style>
  <w:style w:type="paragraph" w:styleId="63">
    <w:name w:val="Body Text First Indent 2"/>
    <w:basedOn w:val="26"/>
    <w:next w:val="64"/>
    <w:link w:val="126"/>
    <w:qFormat/>
    <w:uiPriority w:val="0"/>
    <w:pPr>
      <w:adjustRightInd/>
      <w:spacing w:after="120" w:line="240" w:lineRule="auto"/>
      <w:ind w:left="420" w:leftChars="200" w:firstLine="210"/>
    </w:pPr>
    <w:rPr>
      <w:sz w:val="21"/>
    </w:rPr>
  </w:style>
  <w:style w:type="paragraph" w:customStyle="1" w:styleId="64">
    <w:name w:val="xl53"/>
    <w:basedOn w:val="1"/>
    <w:next w:val="1"/>
    <w:qFormat/>
    <w:uiPriority w:val="0"/>
    <w:pPr>
      <w:tabs>
        <w:tab w:val="left" w:pos="0"/>
      </w:tabs>
      <w:spacing w:before="280" w:after="280" w:line="100" w:lineRule="exact"/>
      <w:jc w:val="center"/>
    </w:pPr>
    <w:rPr>
      <w:rFonts w:ascii="宋体"/>
      <w:b/>
      <w:sz w:val="20"/>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22"/>
    <w:rPr>
      <w:b/>
      <w:bCs/>
    </w:rPr>
  </w:style>
  <w:style w:type="character" w:styleId="74">
    <w:name w:val="endnote reference"/>
    <w:qFormat/>
    <w:uiPriority w:val="0"/>
    <w:rPr>
      <w:vertAlign w:val="superscript"/>
    </w:rPr>
  </w:style>
  <w:style w:type="character" w:styleId="75">
    <w:name w:val="page number"/>
    <w:basedOn w:val="72"/>
    <w:qFormat/>
    <w:uiPriority w:val="0"/>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2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paragraph" w:customStyle="1" w:styleId="82">
    <w:name w:val="_Style 3"/>
    <w:basedOn w:val="1"/>
    <w:qFormat/>
    <w:uiPriority w:val="0"/>
    <w:pPr>
      <w:adjustRightInd/>
      <w:ind w:firstLine="420" w:firstLineChars="200"/>
    </w:pPr>
    <w:rPr>
      <w:rFonts w:eastAsia="仿宋_GB2312"/>
      <w:sz w:val="28"/>
    </w:rPr>
  </w:style>
  <w:style w:type="character" w:customStyle="1" w:styleId="83">
    <w:name w:val="标题 1 字符"/>
    <w:qFormat/>
    <w:uiPriority w:val="9"/>
    <w:rPr>
      <w:rFonts w:ascii="Arial" w:hAnsi="Arial" w:eastAsia="黑体" w:cs="Arial"/>
      <w:b/>
      <w:bCs/>
      <w:snapToGrid w:val="0"/>
      <w:kern w:val="44"/>
      <w:sz w:val="44"/>
      <w:szCs w:val="44"/>
    </w:rPr>
  </w:style>
  <w:style w:type="character" w:customStyle="1" w:styleId="84">
    <w:name w:val="标题 4 Char"/>
    <w:qFormat/>
    <w:uiPriority w:val="0"/>
    <w:rPr>
      <w:rFonts w:ascii="Arial" w:hAnsi="Arial" w:eastAsia="黑体"/>
      <w:b/>
      <w:kern w:val="2"/>
      <w:sz w:val="28"/>
    </w:rPr>
  </w:style>
  <w:style w:type="paragraph" w:customStyle="1" w:styleId="85">
    <w:name w:val="Default"/>
    <w:next w:val="16"/>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character" w:customStyle="1" w:styleId="88">
    <w:name w:val="表格非标题文字 Char"/>
    <w:link w:val="89"/>
    <w:qFormat/>
    <w:uiPriority w:val="0"/>
    <w:rPr>
      <w:rFonts w:ascii="Futura Bk" w:hAnsi="Futura Bk"/>
      <w:kern w:val="2"/>
      <w:sz w:val="18"/>
      <w:szCs w:val="21"/>
      <w:lang w:val="en-US" w:eastAsia="zh-CN" w:bidi="ar-SA"/>
    </w:rPr>
  </w:style>
  <w:style w:type="paragraph" w:customStyle="1" w:styleId="89">
    <w:name w:val="表格非标题文字"/>
    <w:link w:val="88"/>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0">
    <w:name w:val="*正文 Char"/>
    <w:link w:val="91"/>
    <w:qFormat/>
    <w:locked/>
    <w:uiPriority w:val="0"/>
    <w:rPr>
      <w:rFonts w:ascii="宋体" w:hAnsi="宋体"/>
      <w:sz w:val="24"/>
    </w:rPr>
  </w:style>
  <w:style w:type="paragraph" w:customStyle="1" w:styleId="91">
    <w:name w:val="*正文"/>
    <w:basedOn w:val="1"/>
    <w:link w:val="90"/>
    <w:qFormat/>
    <w:uiPriority w:val="0"/>
    <w:pPr>
      <w:snapToGrid w:val="0"/>
      <w:spacing w:line="360" w:lineRule="auto"/>
      <w:ind w:firstLine="482"/>
      <w:jc w:val="left"/>
    </w:pPr>
    <w:rPr>
      <w:rFonts w:ascii="宋体" w:hAnsi="宋体"/>
      <w:kern w:val="0"/>
      <w:sz w:val="24"/>
      <w:szCs w:val="20"/>
    </w:rPr>
  </w:style>
  <w:style w:type="character" w:customStyle="1" w:styleId="92">
    <w:name w:val="Char Char71"/>
    <w:semiHidden/>
    <w:qFormat/>
    <w:uiPriority w:val="0"/>
    <w:rPr>
      <w:rFonts w:eastAsia="宋体"/>
      <w:kern w:val="2"/>
      <w:sz w:val="21"/>
      <w:szCs w:val="24"/>
      <w:lang w:val="en-US" w:eastAsia="zh-CN" w:bidi="ar-SA"/>
    </w:rPr>
  </w:style>
  <w:style w:type="character" w:customStyle="1" w:styleId="93">
    <w:name w:val="Char Char6"/>
    <w:qFormat/>
    <w:uiPriority w:val="0"/>
    <w:rPr>
      <w:rFonts w:eastAsia="宋体"/>
      <w:kern w:val="2"/>
      <w:sz w:val="21"/>
      <w:szCs w:val="24"/>
      <w:lang w:val="en-US" w:eastAsia="zh-CN" w:bidi="ar-SA"/>
    </w:rPr>
  </w:style>
  <w:style w:type="character" w:customStyle="1" w:styleId="94">
    <w:name w:val="正文缩进 Char"/>
    <w:qFormat/>
    <w:uiPriority w:val="0"/>
    <w:rPr>
      <w:rFonts w:eastAsia="宋体"/>
      <w:kern w:val="2"/>
      <w:sz w:val="21"/>
      <w:lang w:val="en-US" w:eastAsia="zh-CN"/>
    </w:rPr>
  </w:style>
  <w:style w:type="character" w:customStyle="1" w:styleId="95">
    <w:name w:val="正文首行缩进 Char1"/>
    <w:qFormat/>
    <w:uiPriority w:val="0"/>
    <w:rPr>
      <w:rFonts w:ascii="宋体" w:hAnsi="Times New Roman" w:eastAsia="宋体" w:cs="Times New Roman"/>
      <w:snapToGrid w:val="0"/>
      <w:kern w:val="2"/>
      <w:sz w:val="24"/>
      <w:szCs w:val="21"/>
      <w:lang w:val="zh-CN"/>
    </w:rPr>
  </w:style>
  <w:style w:type="character" w:customStyle="1" w:styleId="96">
    <w:name w:val="Char Char28"/>
    <w:qFormat/>
    <w:uiPriority w:val="6"/>
    <w:rPr>
      <w:rFonts w:ascii="仿宋_GB2312" w:hAnsi="仿宋_GB2312" w:eastAsia="仿宋_GB2312"/>
      <w:kern w:val="1"/>
      <w:sz w:val="28"/>
    </w:rPr>
  </w:style>
  <w:style w:type="character" w:customStyle="1" w:styleId="9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8">
    <w:name w:val="Heading 1 Char"/>
    <w:qFormat/>
    <w:uiPriority w:val="6"/>
    <w:rPr>
      <w:rFonts w:ascii="Times New Roman" w:hAnsi="Times New Roman" w:eastAsia="黑体" w:cs="Times New Roman"/>
      <w:b/>
      <w:kern w:val="0"/>
      <w:sz w:val="24"/>
      <w:szCs w:val="24"/>
    </w:rPr>
  </w:style>
  <w:style w:type="character" w:customStyle="1" w:styleId="99">
    <w:name w:val="U_正文 Char"/>
    <w:link w:val="100"/>
    <w:qFormat/>
    <w:uiPriority w:val="0"/>
    <w:rPr>
      <w:sz w:val="24"/>
      <w:szCs w:val="24"/>
    </w:rPr>
  </w:style>
  <w:style w:type="paragraph" w:customStyle="1" w:styleId="100">
    <w:name w:val="U_正文"/>
    <w:basedOn w:val="1"/>
    <w:link w:val="99"/>
    <w:qFormat/>
    <w:uiPriority w:val="0"/>
    <w:pPr>
      <w:adjustRightInd/>
      <w:spacing w:beforeLines="20" w:afterLines="20" w:line="300" w:lineRule="auto"/>
      <w:ind w:firstLine="200" w:firstLineChars="200"/>
    </w:pPr>
    <w:rPr>
      <w:kern w:val="0"/>
      <w:sz w:val="24"/>
    </w:rPr>
  </w:style>
  <w:style w:type="character" w:customStyle="1" w:styleId="101">
    <w:name w:val="HTML 地址 Char1"/>
    <w:qFormat/>
    <w:uiPriority w:val="0"/>
    <w:rPr>
      <w:rFonts w:ascii="Times New Roman" w:hAnsi="Times New Roman" w:eastAsia="宋体" w:cs="Times New Roman"/>
      <w:i/>
      <w:iCs/>
      <w:szCs w:val="24"/>
    </w:rPr>
  </w:style>
  <w:style w:type="character" w:customStyle="1" w:styleId="102">
    <w:name w:val="批注主题 字符"/>
    <w:link w:val="61"/>
    <w:qFormat/>
    <w:uiPriority w:val="0"/>
    <w:rPr>
      <w:b/>
      <w:bCs/>
      <w:kern w:val="2"/>
      <w:sz w:val="21"/>
      <w:szCs w:val="24"/>
    </w:rPr>
  </w:style>
  <w:style w:type="character" w:customStyle="1" w:styleId="103">
    <w:name w:val="Char Char51"/>
    <w:qFormat/>
    <w:uiPriority w:val="0"/>
    <w:rPr>
      <w:rFonts w:ascii="宋体" w:hAnsi="Courier New" w:eastAsia="宋体"/>
      <w:kern w:val="2"/>
      <w:sz w:val="21"/>
      <w:lang w:val="en-US" w:eastAsia="zh-CN"/>
    </w:rPr>
  </w:style>
  <w:style w:type="character" w:customStyle="1" w:styleId="104">
    <w:name w:val="表正文 Char"/>
    <w:qFormat/>
    <w:uiPriority w:val="0"/>
    <w:rPr>
      <w:rFonts w:ascii="宋体" w:eastAsia="宋体"/>
      <w:snapToGrid w:val="0"/>
      <w:color w:val="000000"/>
      <w:kern w:val="28"/>
      <w:sz w:val="28"/>
      <w:lang w:val="en-US" w:eastAsia="zh-CN" w:bidi="ar-SA"/>
    </w:rPr>
  </w:style>
  <w:style w:type="character" w:customStyle="1" w:styleId="105">
    <w:name w:val="Char Char34"/>
    <w:qFormat/>
    <w:uiPriority w:val="6"/>
    <w:rPr>
      <w:b/>
      <w:kern w:val="1"/>
      <w:sz w:val="28"/>
      <w:szCs w:val="28"/>
    </w:rPr>
  </w:style>
  <w:style w:type="character" w:customStyle="1" w:styleId="106">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7">
    <w:name w:val="哈哈正文 Char"/>
    <w:link w:val="108"/>
    <w:qFormat/>
    <w:uiPriority w:val="0"/>
    <w:rPr>
      <w:rFonts w:ascii="宋体" w:hAnsi="宋体" w:eastAsia="宋体"/>
      <w:kern w:val="2"/>
      <w:sz w:val="24"/>
      <w:lang w:bidi="ar-SA"/>
    </w:rPr>
  </w:style>
  <w:style w:type="paragraph" w:customStyle="1" w:styleId="108">
    <w:name w:val="哈哈正文"/>
    <w:basedOn w:val="1"/>
    <w:link w:val="107"/>
    <w:qFormat/>
    <w:uiPriority w:val="0"/>
    <w:pPr>
      <w:adjustRightInd/>
      <w:spacing w:line="360" w:lineRule="auto"/>
      <w:ind w:firstLine="200" w:firstLineChars="200"/>
    </w:pPr>
    <w:rPr>
      <w:rFonts w:ascii="宋体" w:hAnsi="宋体"/>
      <w:sz w:val="24"/>
      <w:szCs w:val="20"/>
    </w:rPr>
  </w:style>
  <w:style w:type="character" w:customStyle="1" w:styleId="109">
    <w:name w:val="未处理的提及1"/>
    <w:qFormat/>
    <w:uiPriority w:val="0"/>
    <w:rPr>
      <w:color w:val="808080"/>
      <w:shd w:val="clear" w:color="auto" w:fill="E6E6E6"/>
    </w:rPr>
  </w:style>
  <w:style w:type="character" w:customStyle="1" w:styleId="110">
    <w:name w:val="txt"/>
    <w:qFormat/>
    <w:uiPriority w:val="0"/>
    <w:rPr>
      <w:rFonts w:ascii="仿宋_GB2312" w:eastAsia="微软雅黑"/>
      <w:b/>
      <w:kern w:val="2"/>
      <w:sz w:val="32"/>
      <w:szCs w:val="32"/>
      <w:lang w:val="en-US" w:eastAsia="zh-CN" w:bidi="ar-SA"/>
    </w:rPr>
  </w:style>
  <w:style w:type="character" w:customStyle="1" w:styleId="111">
    <w:name w:val="二级标题 Char Char"/>
    <w:qFormat/>
    <w:uiPriority w:val="0"/>
    <w:rPr>
      <w:rFonts w:ascii="宋体" w:hAnsi="宋体" w:eastAsia="宋体"/>
      <w:b/>
      <w:snapToGrid w:val="0"/>
      <w:kern w:val="2"/>
      <w:sz w:val="24"/>
      <w:szCs w:val="24"/>
      <w:lang w:val="en-US" w:eastAsia="zh-CN" w:bidi="ar-SA"/>
    </w:rPr>
  </w:style>
  <w:style w:type="character" w:customStyle="1" w:styleId="112">
    <w:name w:val="Char Char32"/>
    <w:qFormat/>
    <w:uiPriority w:val="6"/>
    <w:rPr>
      <w:b/>
      <w:kern w:val="1"/>
      <w:sz w:val="24"/>
      <w:szCs w:val="24"/>
    </w:rPr>
  </w:style>
  <w:style w:type="character" w:customStyle="1" w:styleId="113">
    <w:name w:val="PI Char1"/>
    <w:qFormat/>
    <w:uiPriority w:val="0"/>
    <w:rPr>
      <w:rFonts w:ascii="宋体" w:hAnsi="宋体"/>
      <w:kern w:val="2"/>
      <w:sz w:val="24"/>
      <w:szCs w:val="24"/>
    </w:rPr>
  </w:style>
  <w:style w:type="character" w:customStyle="1" w:styleId="114">
    <w:name w:val="tw4winTerm"/>
    <w:qFormat/>
    <w:uiPriority w:val="0"/>
    <w:rPr>
      <w:color w:val="0000FF"/>
    </w:rPr>
  </w:style>
  <w:style w:type="character" w:customStyle="1" w:styleId="115">
    <w:name w:val="Footer Char"/>
    <w:qFormat/>
    <w:locked/>
    <w:uiPriority w:val="0"/>
    <w:rPr>
      <w:rFonts w:eastAsia="宋体"/>
      <w:kern w:val="2"/>
      <w:sz w:val="18"/>
      <w:lang w:val="en-US" w:eastAsia="zh-CN" w:bidi="ar-SA"/>
    </w:rPr>
  </w:style>
  <w:style w:type="character" w:customStyle="1" w:styleId="116">
    <w:name w:val="普通文字 Char Char1"/>
    <w:qFormat/>
    <w:uiPriority w:val="0"/>
    <w:rPr>
      <w:rFonts w:ascii="宋体" w:hAnsi="Courier New"/>
      <w:kern w:val="2"/>
      <w:sz w:val="21"/>
    </w:rPr>
  </w:style>
  <w:style w:type="character" w:customStyle="1" w:styleId="117">
    <w:name w:val="Char Char101"/>
    <w:qFormat/>
    <w:uiPriority w:val="6"/>
    <w:rPr>
      <w:rFonts w:ascii="宋体" w:hAnsi="宋体"/>
      <w:kern w:val="2"/>
      <w:sz w:val="21"/>
      <w:szCs w:val="24"/>
      <w:lang w:val="en-US" w:eastAsia="zh-CN"/>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文本首行缩进 2 字符"/>
    <w:link w:val="63"/>
    <w:qFormat/>
    <w:uiPriority w:val="0"/>
    <w:rPr>
      <w:rFonts w:ascii="宋体" w:hAnsi="宋体"/>
      <w:kern w:val="2"/>
      <w:sz w:val="21"/>
      <w:szCs w:val="24"/>
    </w:rPr>
  </w:style>
  <w:style w:type="character" w:customStyle="1" w:styleId="127">
    <w:name w:val="font11"/>
    <w:basedOn w:val="72"/>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72"/>
    <w:qFormat/>
    <w:uiPriority w:val="0"/>
    <w:rPr>
      <w:rFonts w:ascii="Arial" w:hAnsi="Arial" w:eastAsia="黑体" w:cs="Arial"/>
      <w:snapToGrid w:val="0"/>
      <w:kern w:val="0"/>
      <w:szCs w:val="21"/>
    </w:rPr>
  </w:style>
  <w:style w:type="character" w:customStyle="1" w:styleId="130">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字符"/>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basedOn w:val="72"/>
    <w:qFormat/>
    <w:uiPriority w:val="0"/>
    <w:rPr>
      <w:rFonts w:hint="eastAsia" w:ascii="仿宋_GB2312" w:eastAsia="仿宋_GB2312" w:cs="仿宋_GB2312"/>
      <w:color w:val="000000"/>
      <w:sz w:val="22"/>
      <w:szCs w:val="22"/>
      <w:u w:val="none"/>
    </w:rPr>
  </w:style>
  <w:style w:type="character" w:customStyle="1" w:styleId="152">
    <w:name w:val="标题 6 字符"/>
    <w:link w:val="9"/>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字符"/>
    <w:link w:val="36"/>
    <w:qFormat/>
    <w:uiPriority w:val="0"/>
    <w:rPr>
      <w:rFonts w:ascii="宋体"/>
      <w:kern w:val="2"/>
      <w:sz w:val="24"/>
      <w:szCs w:val="21"/>
      <w:lang w:val="zh-CN"/>
    </w:rPr>
  </w:style>
  <w:style w:type="character" w:customStyle="1" w:styleId="187">
    <w:name w:val="标题 9 字符"/>
    <w:link w:val="12"/>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0"/>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字符1"/>
    <w:link w:val="39"/>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字符2"/>
    <w:link w:val="6"/>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字符"/>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72"/>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字符"/>
    <w:link w:val="30"/>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7"/>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字符"/>
    <w:link w:val="18"/>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85"/>
    <w:qFormat/>
    <w:uiPriority w:val="0"/>
    <w:rPr>
      <w:rFonts w:ascii="仿宋_GB2312"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6"/>
    <w:qFormat/>
    <w:uiPriority w:val="0"/>
    <w:rPr>
      <w:rFonts w:ascii="宋体" w:hAnsi="宋体"/>
      <w:kern w:val="2"/>
      <w:sz w:val="24"/>
      <w:szCs w:val="24"/>
    </w:rPr>
  </w:style>
  <w:style w:type="character" w:customStyle="1" w:styleId="270">
    <w:name w:val="font01"/>
    <w:basedOn w:val="72"/>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60"/>
    <w:qFormat/>
    <w:uiPriority w:val="10"/>
    <w:rPr>
      <w:b/>
      <w:sz w:val="24"/>
      <w:lang w:val="en-GB"/>
    </w:rPr>
  </w:style>
  <w:style w:type="character" w:customStyle="1" w:styleId="291">
    <w:name w:val="font81"/>
    <w:basedOn w:val="72"/>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8"/>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2"/>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8"/>
    <w:qFormat/>
    <w:uiPriority w:val="0"/>
    <w:rPr>
      <w:rFonts w:ascii="黑体" w:hAnsi="Courier New" w:eastAsia="黑体"/>
    </w:rPr>
  </w:style>
  <w:style w:type="character" w:customStyle="1" w:styleId="306">
    <w:name w:val="正文文本 2 字符1"/>
    <w:link w:val="57"/>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7"/>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10"/>
    <w:qFormat/>
    <w:uiPriority w:val="0"/>
    <w:rPr>
      <w:b/>
      <w:bCs/>
      <w:kern w:val="2"/>
      <w:sz w:val="24"/>
      <w:szCs w:val="24"/>
    </w:rPr>
  </w:style>
  <w:style w:type="character" w:customStyle="1" w:styleId="312">
    <w:name w:val="正文文本缩进 2 字符"/>
    <w:link w:val="37"/>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basedOn w:val="72"/>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文本首行缩进 字符"/>
    <w:link w:val="62"/>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7"/>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3"/>
    <w:qFormat/>
    <w:uiPriority w:val="0"/>
    <w:rPr>
      <w:kern w:val="2"/>
      <w:sz w:val="21"/>
    </w:rPr>
  </w:style>
  <w:style w:type="character" w:customStyle="1" w:styleId="335">
    <w:name w:val="font31"/>
    <w:basedOn w:val="72"/>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21"/>
    <w:qFormat/>
    <w:uiPriority w:val="0"/>
    <w:rPr>
      <w:kern w:val="2"/>
      <w:sz w:val="21"/>
      <w:szCs w:val="24"/>
    </w:rPr>
  </w:style>
  <w:style w:type="character" w:customStyle="1" w:styleId="349">
    <w:name w:val="签名 字符"/>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1"/>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0"/>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4"/>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85"/>
    <w:next w:val="85"/>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85"/>
    <w:next w:val="85"/>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5"/>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数字标题5"/>
    <w:basedOn w:val="8"/>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6"/>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8"/>
    <w:qFormat/>
    <w:uiPriority w:val="0"/>
    <w:rPr>
      <w:kern w:val="2"/>
      <w:sz w:val="21"/>
      <w:szCs w:val="24"/>
      <w:lang w:val="zh-CN"/>
    </w:rPr>
  </w:style>
  <w:style w:type="character" w:customStyle="1" w:styleId="934">
    <w:name w:val="无间隔 字符"/>
    <w:link w:val="486"/>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2"/>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Unresolved Mention"/>
    <w:basedOn w:val="72"/>
    <w:semiHidden/>
    <w:unhideWhenUsed/>
    <w:qFormat/>
    <w:uiPriority w:val="99"/>
    <w:rPr>
      <w:color w:val="605E5C"/>
      <w:shd w:val="clear" w:color="auto" w:fill="E1DFDD"/>
    </w:rPr>
  </w:style>
  <w:style w:type="paragraph" w:customStyle="1" w:styleId="967">
    <w:name w:val="Other|1"/>
    <w:basedOn w:val="1"/>
    <w:qFormat/>
    <w:uiPriority w:val="0"/>
    <w:rPr>
      <w:rFonts w:ascii="宋体" w:hAnsi="宋体" w:cs="宋体"/>
      <w:sz w:val="22"/>
      <w:szCs w:val="22"/>
      <w:lang w:val="zh-TW" w:eastAsia="zh-TW" w:bidi="zh-TW"/>
    </w:rPr>
  </w:style>
  <w:style w:type="character" w:customStyle="1" w:styleId="968">
    <w:name w:val="NormalCharacter"/>
    <w:autoRedefine/>
    <w:qFormat/>
    <w:uiPriority w:val="0"/>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64</Pages>
  <Words>23763</Words>
  <Characters>25400</Characters>
  <Lines>279</Lines>
  <Paragraphs>78</Paragraphs>
  <TotalTime>1</TotalTime>
  <ScaleCrop>false</ScaleCrop>
  <LinksUpToDate>false</LinksUpToDate>
  <CharactersWithSpaces>25946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网芋鹅鹅</cp:lastModifiedBy>
  <cp:lastPrinted>2025-01-07T02:22:00Z</cp:lastPrinted>
  <dcterms:modified xsi:type="dcterms:W3CDTF">2025-07-11T11:57:59Z</dcterms:modified>
  <dc:title>杭州市市民卡扩大发卡工程</dc:title>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588A63F77F014EB0AF77669F21277375_13</vt:lpwstr>
  </property>
  <property fmtid="{D5CDD505-2E9C-101B-9397-08002B2CF9AE}" pid="5" name="KSOTemplateDocerSaveRecord">
    <vt:lpwstr>eyJoZGlkIjoiNzg3OGM3ZjM4MTAwMzdjYTMyODEyY2IzYjdmNTlmYzciLCJ1c2VySWQiOiI3MjQ4NTY0NTYifQ==</vt:lpwstr>
  </property>
</Properties>
</file>