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AA4927">
      <w:pPr>
        <w:adjustRightInd/>
        <w:spacing w:line="360" w:lineRule="auto"/>
        <w:jc w:val="center"/>
        <w:rPr>
          <w:rFonts w:ascii="宋体" w:hAnsi="宋体" w:cs="宋体"/>
          <w:sz w:val="48"/>
          <w:szCs w:val="48"/>
          <w:highlight w:val="none"/>
        </w:rPr>
      </w:pPr>
    </w:p>
    <w:p w14:paraId="1444FC79">
      <w:pPr>
        <w:adjustRightInd/>
        <w:spacing w:line="360" w:lineRule="auto"/>
        <w:jc w:val="center"/>
        <w:rPr>
          <w:rFonts w:ascii="宋体" w:hAnsi="宋体" w:cs="宋体"/>
          <w:sz w:val="44"/>
          <w:szCs w:val="44"/>
          <w:highlight w:val="none"/>
        </w:rPr>
      </w:pPr>
      <w:r>
        <w:rPr>
          <w:rFonts w:hint="eastAsia" w:ascii="宋体" w:hAnsi="宋体" w:cs="宋体"/>
          <w:sz w:val="44"/>
          <w:szCs w:val="44"/>
          <w:highlight w:val="none"/>
          <w:lang w:eastAsia="zh-CN"/>
        </w:rPr>
        <w:t>嘉兴南湖高新区实验学校专用教室采购项目</w:t>
      </w:r>
    </w:p>
    <w:p w14:paraId="14C49939">
      <w:pPr>
        <w:spacing w:line="360" w:lineRule="auto"/>
        <w:jc w:val="both"/>
        <w:rPr>
          <w:rFonts w:hint="eastAsia" w:ascii="宋体" w:hAnsi="宋体"/>
          <w:b/>
          <w:sz w:val="56"/>
          <w:szCs w:val="44"/>
          <w:highlight w:val="none"/>
        </w:rPr>
      </w:pPr>
    </w:p>
    <w:p w14:paraId="23EF05BD">
      <w:pPr>
        <w:spacing w:line="360" w:lineRule="auto"/>
        <w:jc w:val="center"/>
        <w:rPr>
          <w:rFonts w:hint="default" w:ascii="宋体" w:hAnsi="宋体" w:eastAsia="宋体"/>
          <w:b/>
          <w:sz w:val="56"/>
          <w:szCs w:val="44"/>
          <w:highlight w:val="none"/>
          <w:lang w:val="en-US" w:eastAsia="zh-CN"/>
        </w:rPr>
      </w:pPr>
      <w:r>
        <w:rPr>
          <w:rFonts w:hint="eastAsia" w:ascii="宋体" w:hAnsi="宋体"/>
          <w:b/>
          <w:sz w:val="56"/>
          <w:szCs w:val="44"/>
          <w:highlight w:val="none"/>
        </w:rPr>
        <w:t>竞</w:t>
      </w:r>
    </w:p>
    <w:p w14:paraId="1B4521C6">
      <w:pPr>
        <w:spacing w:line="360" w:lineRule="auto"/>
        <w:jc w:val="center"/>
        <w:rPr>
          <w:rFonts w:ascii="宋体" w:hAnsi="宋体"/>
          <w:b/>
          <w:sz w:val="56"/>
          <w:szCs w:val="44"/>
          <w:highlight w:val="none"/>
        </w:rPr>
      </w:pPr>
      <w:r>
        <w:rPr>
          <w:rFonts w:hint="eastAsia" w:ascii="宋体" w:hAnsi="宋体"/>
          <w:b/>
          <w:sz w:val="56"/>
          <w:szCs w:val="44"/>
          <w:highlight w:val="none"/>
        </w:rPr>
        <w:t>争</w:t>
      </w:r>
    </w:p>
    <w:p w14:paraId="7B6146EA">
      <w:pPr>
        <w:spacing w:line="360" w:lineRule="auto"/>
        <w:jc w:val="center"/>
        <w:rPr>
          <w:rFonts w:ascii="宋体" w:hAnsi="宋体"/>
          <w:b/>
          <w:sz w:val="56"/>
          <w:szCs w:val="44"/>
          <w:highlight w:val="none"/>
        </w:rPr>
      </w:pPr>
      <w:r>
        <w:rPr>
          <w:rFonts w:hint="eastAsia" w:ascii="宋体" w:hAnsi="宋体"/>
          <w:b/>
          <w:sz w:val="56"/>
          <w:szCs w:val="44"/>
          <w:highlight w:val="none"/>
        </w:rPr>
        <w:t>性</w:t>
      </w:r>
    </w:p>
    <w:p w14:paraId="7E2CA303">
      <w:pPr>
        <w:spacing w:line="360" w:lineRule="auto"/>
        <w:jc w:val="center"/>
        <w:rPr>
          <w:rFonts w:ascii="宋体" w:hAnsi="宋体"/>
          <w:b/>
          <w:sz w:val="56"/>
          <w:szCs w:val="44"/>
          <w:highlight w:val="none"/>
        </w:rPr>
      </w:pPr>
      <w:r>
        <w:rPr>
          <w:rFonts w:hint="eastAsia" w:ascii="宋体" w:hAnsi="宋体"/>
          <w:b/>
          <w:sz w:val="56"/>
          <w:szCs w:val="44"/>
          <w:highlight w:val="none"/>
        </w:rPr>
        <w:t>磋</w:t>
      </w:r>
    </w:p>
    <w:p w14:paraId="1858046A">
      <w:pPr>
        <w:spacing w:line="360" w:lineRule="auto"/>
        <w:jc w:val="center"/>
        <w:rPr>
          <w:rFonts w:ascii="宋体" w:hAnsi="宋体"/>
          <w:b/>
          <w:sz w:val="56"/>
          <w:szCs w:val="44"/>
          <w:highlight w:val="none"/>
        </w:rPr>
      </w:pPr>
      <w:r>
        <w:rPr>
          <w:rFonts w:hint="eastAsia" w:ascii="宋体" w:hAnsi="宋体"/>
          <w:b/>
          <w:sz w:val="56"/>
          <w:szCs w:val="44"/>
          <w:highlight w:val="none"/>
        </w:rPr>
        <w:t>商</w:t>
      </w:r>
    </w:p>
    <w:p w14:paraId="6D455DA8">
      <w:pPr>
        <w:spacing w:line="360" w:lineRule="auto"/>
        <w:jc w:val="center"/>
        <w:rPr>
          <w:rFonts w:ascii="宋体" w:hAnsi="宋体"/>
          <w:b/>
          <w:sz w:val="56"/>
          <w:szCs w:val="44"/>
          <w:highlight w:val="none"/>
        </w:rPr>
      </w:pPr>
      <w:r>
        <w:rPr>
          <w:rFonts w:hint="eastAsia" w:ascii="宋体" w:hAnsi="宋体"/>
          <w:b/>
          <w:sz w:val="56"/>
          <w:szCs w:val="44"/>
          <w:highlight w:val="none"/>
        </w:rPr>
        <w:t>文</w:t>
      </w:r>
    </w:p>
    <w:p w14:paraId="53DEF06D">
      <w:pPr>
        <w:spacing w:line="360" w:lineRule="auto"/>
        <w:jc w:val="center"/>
        <w:rPr>
          <w:rFonts w:ascii="宋体" w:hAnsi="宋体"/>
          <w:b/>
          <w:sz w:val="56"/>
          <w:szCs w:val="44"/>
          <w:highlight w:val="none"/>
        </w:rPr>
      </w:pPr>
      <w:r>
        <w:rPr>
          <w:rFonts w:hint="eastAsia" w:ascii="宋体" w:hAnsi="宋体"/>
          <w:b/>
          <w:sz w:val="56"/>
          <w:szCs w:val="44"/>
          <w:highlight w:val="none"/>
        </w:rPr>
        <w:t>件</w:t>
      </w:r>
    </w:p>
    <w:p w14:paraId="72B52E25">
      <w:pPr>
        <w:pStyle w:val="89"/>
        <w:rPr>
          <w:highlight w:val="none"/>
        </w:rPr>
      </w:pPr>
    </w:p>
    <w:p w14:paraId="6684C95B">
      <w:pPr>
        <w:snapToGrid w:val="0"/>
        <w:spacing w:line="360" w:lineRule="auto"/>
        <w:ind w:firstLine="600" w:firstLineChars="200"/>
        <w:jc w:val="both"/>
        <w:rPr>
          <w:rFonts w:hint="eastAsia" w:ascii="宋体" w:hAnsi="宋体" w:eastAsia="宋体" w:cs="宋体"/>
          <w:color w:val="auto"/>
          <w:sz w:val="30"/>
          <w:szCs w:val="30"/>
          <w:highlight w:val="none"/>
          <w:lang w:val="en-US" w:eastAsia="zh-CN"/>
        </w:rPr>
      </w:pPr>
      <w:r>
        <w:rPr>
          <w:rFonts w:hint="eastAsia" w:ascii="宋体" w:hAnsi="宋体" w:cs="宋体"/>
          <w:sz w:val="30"/>
          <w:szCs w:val="30"/>
          <w:highlight w:val="none"/>
          <w:lang w:val="en-US" w:eastAsia="zh-CN"/>
        </w:rPr>
        <w:t>项目</w:t>
      </w:r>
      <w:r>
        <w:rPr>
          <w:rFonts w:hint="eastAsia" w:ascii="宋体" w:hAnsi="宋体" w:cs="宋体"/>
          <w:sz w:val="30"/>
          <w:szCs w:val="30"/>
          <w:highlight w:val="none"/>
        </w:rPr>
        <w:t>编号:</w:t>
      </w:r>
      <w:r>
        <w:rPr>
          <w:rFonts w:hint="eastAsia" w:ascii="宋体" w:hAnsi="宋体" w:cs="宋体"/>
          <w:color w:val="auto"/>
          <w:sz w:val="30"/>
          <w:szCs w:val="30"/>
          <w:highlight w:val="none"/>
          <w:lang w:eastAsia="zh-CN"/>
        </w:rPr>
        <w:t>ZJFLCX-2025-37</w:t>
      </w:r>
    </w:p>
    <w:p w14:paraId="608DC8FA">
      <w:pPr>
        <w:snapToGrid w:val="0"/>
        <w:spacing w:line="360" w:lineRule="auto"/>
        <w:ind w:firstLine="640" w:firstLineChars="200"/>
        <w:rPr>
          <w:rFonts w:hint="eastAsia" w:ascii="宋体" w:hAnsi="宋体" w:cs="宋体"/>
          <w:bCs/>
          <w:sz w:val="32"/>
          <w:szCs w:val="32"/>
          <w:highlight w:val="none"/>
          <w:lang w:eastAsia="zh-CN"/>
        </w:rPr>
      </w:pPr>
      <w:r>
        <w:rPr>
          <w:rFonts w:hint="eastAsia" w:ascii="宋体" w:hAnsi="宋体" w:cs="宋体"/>
          <w:bCs/>
          <w:sz w:val="32"/>
          <w:szCs w:val="32"/>
          <w:highlight w:val="none"/>
        </w:rPr>
        <w:t>采购人:</w:t>
      </w:r>
      <w:r>
        <w:rPr>
          <w:rFonts w:hint="eastAsia" w:ascii="宋体" w:hAnsi="宋体" w:cs="宋体"/>
          <w:bCs/>
          <w:sz w:val="32"/>
          <w:szCs w:val="32"/>
          <w:highlight w:val="none"/>
          <w:lang w:eastAsia="zh-CN"/>
        </w:rPr>
        <w:t>嘉兴南湖高新区实验学校</w:t>
      </w:r>
    </w:p>
    <w:p w14:paraId="6A4E352B">
      <w:pPr>
        <w:snapToGrid w:val="0"/>
        <w:spacing w:line="360" w:lineRule="auto"/>
        <w:ind w:firstLine="640" w:firstLineChars="200"/>
        <w:rPr>
          <w:rFonts w:hint="eastAsia" w:ascii="宋体" w:hAnsi="宋体" w:eastAsia="宋体" w:cs="宋体"/>
          <w:bCs/>
          <w:sz w:val="32"/>
          <w:szCs w:val="32"/>
          <w:highlight w:val="none"/>
          <w:lang w:eastAsia="zh-CN"/>
        </w:rPr>
      </w:pPr>
      <w:r>
        <w:rPr>
          <w:rFonts w:hint="eastAsia" w:ascii="宋体" w:hAnsi="宋体" w:cs="宋体"/>
          <w:bCs/>
          <w:sz w:val="32"/>
          <w:szCs w:val="32"/>
          <w:highlight w:val="none"/>
        </w:rPr>
        <w:t>采购代理机构：</w:t>
      </w:r>
      <w:r>
        <w:rPr>
          <w:rFonts w:hint="eastAsia" w:ascii="宋体" w:hAnsi="宋体" w:cs="宋体"/>
          <w:bCs/>
          <w:sz w:val="32"/>
          <w:szCs w:val="32"/>
          <w:highlight w:val="none"/>
          <w:lang w:eastAsia="zh-CN"/>
        </w:rPr>
        <w:t>浙江富力诚欣工程顾问有限公司</w:t>
      </w:r>
    </w:p>
    <w:p w14:paraId="081BE30F">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二〇二</w:t>
      </w:r>
      <w:r>
        <w:rPr>
          <w:rFonts w:hint="eastAsia" w:ascii="宋体" w:hAnsi="宋体" w:cs="宋体"/>
          <w:bCs/>
          <w:sz w:val="32"/>
          <w:szCs w:val="32"/>
          <w:highlight w:val="none"/>
          <w:lang w:eastAsia="zh-CN"/>
        </w:rPr>
        <w:t>五</w:t>
      </w:r>
      <w:r>
        <w:rPr>
          <w:rFonts w:hint="eastAsia" w:ascii="宋体" w:hAnsi="宋体" w:cs="宋体"/>
          <w:bCs/>
          <w:sz w:val="32"/>
          <w:szCs w:val="32"/>
          <w:highlight w:val="none"/>
        </w:rPr>
        <w:t>年</w:t>
      </w:r>
      <w:r>
        <w:rPr>
          <w:rFonts w:hint="eastAsia" w:ascii="宋体" w:hAnsi="宋体" w:cs="宋体"/>
          <w:bCs/>
          <w:sz w:val="32"/>
          <w:szCs w:val="32"/>
          <w:highlight w:val="none"/>
          <w:lang w:val="en-US" w:eastAsia="zh-CN"/>
        </w:rPr>
        <w:t>七</w:t>
      </w:r>
      <w:r>
        <w:rPr>
          <w:rFonts w:hint="eastAsia" w:ascii="宋体" w:hAnsi="宋体" w:cs="宋体"/>
          <w:bCs/>
          <w:sz w:val="32"/>
          <w:szCs w:val="32"/>
          <w:highlight w:val="none"/>
        </w:rPr>
        <w:t xml:space="preserve">月 </w:t>
      </w:r>
    </w:p>
    <w:p w14:paraId="0395AE08">
      <w:pPr>
        <w:spacing w:line="360" w:lineRule="auto"/>
        <w:jc w:val="center"/>
        <w:rPr>
          <w:rFonts w:ascii="宋体" w:hAnsi="宋体" w:cs="宋体"/>
          <w:sz w:val="24"/>
          <w:highlight w:val="none"/>
        </w:rPr>
      </w:pPr>
      <w:r>
        <w:rPr>
          <w:rFonts w:hint="eastAsia" w:ascii="宋体" w:hAnsi="宋体" w:cs="宋体"/>
          <w:sz w:val="24"/>
          <w:highlight w:val="none"/>
        </w:rPr>
        <w:br w:type="page"/>
      </w:r>
      <w:bookmarkStart w:id="0" w:name="_Hlt67893495"/>
      <w:bookmarkEnd w:id="0"/>
    </w:p>
    <w:p w14:paraId="475B130F">
      <w:pPr>
        <w:spacing w:line="360" w:lineRule="auto"/>
        <w:jc w:val="center"/>
        <w:rPr>
          <w:rFonts w:ascii="宋体" w:hAnsi="宋体" w:cs="宋体"/>
          <w:sz w:val="24"/>
          <w:highlight w:val="none"/>
        </w:rPr>
      </w:pPr>
    </w:p>
    <w:p w14:paraId="1FD05A07">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141DB722">
      <w:pPr>
        <w:spacing w:line="360" w:lineRule="auto"/>
        <w:rPr>
          <w:rFonts w:ascii="宋体" w:hAnsi="宋体" w:cs="宋体"/>
          <w:sz w:val="32"/>
          <w:szCs w:val="32"/>
          <w:highlight w:val="none"/>
        </w:rPr>
      </w:pPr>
    </w:p>
    <w:p w14:paraId="783CCE82">
      <w:pPr>
        <w:spacing w:line="360" w:lineRule="auto"/>
        <w:rPr>
          <w:rFonts w:ascii="宋体" w:hAnsi="宋体" w:cs="宋体"/>
          <w:sz w:val="32"/>
          <w:szCs w:val="32"/>
          <w:highlight w:val="none"/>
        </w:rPr>
      </w:pPr>
    </w:p>
    <w:p w14:paraId="674C00E9">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14:paraId="79EC3C55">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14:paraId="0E304D66">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0F85E095">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14:paraId="4265E7E5">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14:paraId="35738EA0">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14:paraId="44C8C147">
      <w:pPr>
        <w:spacing w:line="360" w:lineRule="auto"/>
        <w:ind w:firstLine="549" w:firstLineChars="229"/>
        <w:rPr>
          <w:rFonts w:ascii="宋体" w:hAnsi="宋体" w:cs="宋体"/>
          <w:sz w:val="24"/>
          <w:highlight w:val="none"/>
        </w:rPr>
      </w:pPr>
      <w:bookmarkStart w:id="1" w:name="_Hlt91233176"/>
      <w:bookmarkEnd w:id="1"/>
      <w:bookmarkStart w:id="2" w:name="_Toc91899869"/>
    </w:p>
    <w:p w14:paraId="425F3E09">
      <w:pPr>
        <w:spacing w:line="360" w:lineRule="auto"/>
        <w:ind w:firstLine="549" w:firstLineChars="229"/>
        <w:rPr>
          <w:rFonts w:ascii="宋体" w:hAnsi="宋体" w:cs="宋体"/>
          <w:sz w:val="24"/>
          <w:highlight w:val="none"/>
        </w:rPr>
      </w:pPr>
    </w:p>
    <w:p w14:paraId="2DBC7446">
      <w:pPr>
        <w:spacing w:line="360" w:lineRule="auto"/>
        <w:ind w:firstLine="549" w:firstLineChars="229"/>
        <w:rPr>
          <w:rFonts w:ascii="宋体" w:hAnsi="宋体" w:cs="宋体"/>
          <w:sz w:val="24"/>
          <w:highlight w:val="none"/>
        </w:rPr>
      </w:pPr>
    </w:p>
    <w:p w14:paraId="42A31DB9">
      <w:pPr>
        <w:spacing w:line="360" w:lineRule="auto"/>
        <w:ind w:firstLine="549" w:firstLineChars="229"/>
        <w:rPr>
          <w:rFonts w:ascii="宋体" w:hAnsi="宋体" w:cs="宋体"/>
          <w:sz w:val="24"/>
          <w:highlight w:val="none"/>
        </w:rPr>
      </w:pPr>
    </w:p>
    <w:p w14:paraId="007EB5BB">
      <w:pPr>
        <w:spacing w:line="360" w:lineRule="auto"/>
        <w:ind w:firstLine="549" w:firstLineChars="229"/>
        <w:rPr>
          <w:rFonts w:ascii="宋体" w:hAnsi="宋体" w:cs="宋体"/>
          <w:sz w:val="24"/>
          <w:highlight w:val="none"/>
        </w:rPr>
      </w:pPr>
    </w:p>
    <w:p w14:paraId="51A9EC81">
      <w:pPr>
        <w:spacing w:line="360" w:lineRule="auto"/>
        <w:ind w:firstLine="549" w:firstLineChars="229"/>
        <w:rPr>
          <w:rFonts w:ascii="宋体" w:hAnsi="宋体" w:cs="宋体"/>
          <w:sz w:val="24"/>
          <w:highlight w:val="none"/>
        </w:rPr>
      </w:pPr>
    </w:p>
    <w:p w14:paraId="606198C1">
      <w:pPr>
        <w:spacing w:line="360" w:lineRule="auto"/>
        <w:ind w:firstLine="549" w:firstLineChars="229"/>
        <w:rPr>
          <w:rFonts w:ascii="宋体" w:hAnsi="宋体" w:cs="宋体"/>
          <w:sz w:val="24"/>
          <w:highlight w:val="none"/>
        </w:rPr>
      </w:pPr>
    </w:p>
    <w:p w14:paraId="1AC56EFB">
      <w:pPr>
        <w:spacing w:line="360" w:lineRule="auto"/>
        <w:ind w:firstLine="549" w:firstLineChars="229"/>
        <w:rPr>
          <w:rFonts w:ascii="宋体" w:hAnsi="宋体" w:cs="宋体"/>
          <w:sz w:val="24"/>
          <w:highlight w:val="none"/>
        </w:rPr>
      </w:pPr>
    </w:p>
    <w:p w14:paraId="05CB2EFD">
      <w:pPr>
        <w:spacing w:line="360" w:lineRule="auto"/>
        <w:ind w:firstLine="549" w:firstLineChars="229"/>
        <w:rPr>
          <w:rFonts w:ascii="宋体" w:hAnsi="宋体" w:cs="宋体"/>
          <w:sz w:val="24"/>
          <w:highlight w:val="none"/>
        </w:rPr>
      </w:pPr>
    </w:p>
    <w:p w14:paraId="7A7881D8">
      <w:pPr>
        <w:spacing w:line="360" w:lineRule="auto"/>
        <w:ind w:firstLine="549" w:firstLineChars="229"/>
        <w:rPr>
          <w:rFonts w:ascii="宋体" w:hAnsi="宋体" w:cs="宋体"/>
          <w:sz w:val="24"/>
          <w:highlight w:val="none"/>
        </w:rPr>
      </w:pPr>
    </w:p>
    <w:p w14:paraId="665CF7F2">
      <w:pPr>
        <w:spacing w:line="360" w:lineRule="auto"/>
        <w:ind w:firstLine="549" w:firstLineChars="229"/>
        <w:rPr>
          <w:rFonts w:ascii="宋体" w:hAnsi="宋体" w:cs="宋体"/>
          <w:sz w:val="24"/>
          <w:highlight w:val="none"/>
        </w:rPr>
      </w:pPr>
    </w:p>
    <w:p w14:paraId="56F5383B">
      <w:pPr>
        <w:spacing w:line="360" w:lineRule="auto"/>
        <w:ind w:firstLine="549" w:firstLineChars="229"/>
        <w:rPr>
          <w:rFonts w:ascii="宋体" w:hAnsi="宋体" w:cs="宋体"/>
          <w:sz w:val="24"/>
          <w:highlight w:val="none"/>
        </w:rPr>
      </w:pPr>
    </w:p>
    <w:p w14:paraId="59478E9D">
      <w:pPr>
        <w:spacing w:line="360" w:lineRule="auto"/>
        <w:ind w:firstLine="549" w:firstLineChars="229"/>
        <w:rPr>
          <w:rFonts w:ascii="宋体" w:hAnsi="宋体" w:cs="宋体"/>
          <w:sz w:val="24"/>
          <w:highlight w:val="none"/>
        </w:rPr>
      </w:pPr>
    </w:p>
    <w:p w14:paraId="31A3730B">
      <w:pPr>
        <w:spacing w:line="360" w:lineRule="auto"/>
        <w:rPr>
          <w:rFonts w:ascii="宋体" w:hAnsi="宋体" w:cs="宋体"/>
          <w:sz w:val="24"/>
          <w:highlight w:val="none"/>
        </w:rPr>
      </w:pPr>
    </w:p>
    <w:p w14:paraId="09F2E0D3">
      <w:pPr>
        <w:adjustRightInd/>
        <w:spacing w:line="360" w:lineRule="auto"/>
        <w:jc w:val="center"/>
        <w:outlineLvl w:val="0"/>
        <w:rPr>
          <w:rFonts w:ascii="宋体" w:hAnsi="宋体" w:cs="宋体"/>
          <w:b/>
          <w:sz w:val="36"/>
          <w:szCs w:val="20"/>
          <w:highlight w:val="none"/>
        </w:rPr>
      </w:pPr>
      <w:bookmarkStart w:id="3" w:name="第一部分"/>
      <w:r>
        <w:rPr>
          <w:rFonts w:hint="eastAsia" w:ascii="宋体" w:hAnsi="宋体" w:cs="宋体"/>
          <w:b/>
          <w:sz w:val="36"/>
          <w:szCs w:val="36"/>
          <w:highlight w:val="none"/>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highlight w:val="none"/>
        </w:rPr>
        <w:t>第一部分 招标公告</w:t>
      </w:r>
    </w:p>
    <w:p w14:paraId="7630056D">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项目概况</w:t>
      </w:r>
    </w:p>
    <w:p w14:paraId="5CFA4512">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lang w:eastAsia="zh-CN"/>
        </w:rPr>
        <w:t xml:space="preserve">嘉兴南湖高新区实验学校专用教室采购项目 </w:t>
      </w:r>
      <w:r>
        <w:rPr>
          <w:rFonts w:hint="eastAsia" w:asciiTheme="minorEastAsia" w:hAnsiTheme="minorEastAsia" w:eastAsiaTheme="minorEastAsia"/>
          <w:color w:val="auto"/>
          <w:sz w:val="24"/>
          <w:highlight w:val="none"/>
        </w:rPr>
        <w:t>的潜在投标人应在政采云平台（</w:t>
      </w:r>
      <w:r>
        <w:rPr>
          <w:color w:val="auto"/>
          <w:highlight w:val="none"/>
        </w:rPr>
        <w:fldChar w:fldCharType="begin"/>
      </w:r>
      <w:r>
        <w:rPr>
          <w:color w:val="auto"/>
          <w:highlight w:val="none"/>
        </w:rPr>
        <w:instrText xml:space="preserve"> HYPERLINK "https://www.zcygov.cn/）获取（下载）招标文件，并于2023%20年%20月%20日%20点%20分00秒" </w:instrText>
      </w:r>
      <w:r>
        <w:rPr>
          <w:color w:val="auto"/>
          <w:highlight w:val="none"/>
        </w:rPr>
        <w:fldChar w:fldCharType="separate"/>
      </w:r>
      <w:r>
        <w:rPr>
          <w:rStyle w:val="79"/>
          <w:rFonts w:cs="Times New Roman" w:asciiTheme="minorEastAsia" w:hAnsiTheme="minorEastAsia" w:eastAsiaTheme="minorEastAsia"/>
          <w:snapToGrid/>
          <w:color w:val="auto"/>
          <w:kern w:val="2"/>
          <w:sz w:val="24"/>
          <w:szCs w:val="24"/>
          <w:highlight w:val="none"/>
        </w:rPr>
        <w:t>https://www.zcygov.cn/）获取（下载）招标文件，并于</w:t>
      </w:r>
      <w:r>
        <w:rPr>
          <w:rStyle w:val="79"/>
          <w:rFonts w:hint="eastAsia" w:cs="Times New Roman" w:asciiTheme="minorEastAsia" w:hAnsiTheme="minorEastAsia" w:eastAsiaTheme="minorEastAsia"/>
          <w:snapToGrid/>
          <w:color w:val="auto"/>
          <w:kern w:val="2"/>
          <w:sz w:val="24"/>
          <w:szCs w:val="24"/>
          <w:highlight w:val="none"/>
        </w:rPr>
        <w:t>202</w:t>
      </w:r>
      <w:r>
        <w:rPr>
          <w:rStyle w:val="79"/>
          <w:rFonts w:hint="eastAsia" w:cs="Times New Roman" w:asciiTheme="minorEastAsia" w:hAnsiTheme="minorEastAsia" w:eastAsiaTheme="minorEastAsia"/>
          <w:snapToGrid/>
          <w:color w:val="auto"/>
          <w:kern w:val="2"/>
          <w:sz w:val="24"/>
          <w:szCs w:val="24"/>
          <w:highlight w:val="none"/>
          <w:lang w:val="en-US" w:eastAsia="zh-CN"/>
        </w:rPr>
        <w:t>5</w:t>
      </w:r>
      <w:r>
        <w:rPr>
          <w:rStyle w:val="79"/>
          <w:rFonts w:cs="Times New Roman" w:asciiTheme="minorEastAsia" w:hAnsiTheme="minorEastAsia" w:eastAsiaTheme="minorEastAsia"/>
          <w:snapToGrid/>
          <w:color w:val="auto"/>
          <w:kern w:val="2"/>
          <w:sz w:val="24"/>
          <w:szCs w:val="24"/>
          <w:highlight w:val="none"/>
        </w:rPr>
        <w:t>年</w:t>
      </w:r>
      <w:r>
        <w:rPr>
          <w:rStyle w:val="79"/>
          <w:rFonts w:hint="eastAsia" w:cs="Times New Roman" w:asciiTheme="minorEastAsia" w:hAnsiTheme="minorEastAsia" w:eastAsiaTheme="minorEastAsia"/>
          <w:snapToGrid/>
          <w:color w:val="auto"/>
          <w:kern w:val="2"/>
          <w:sz w:val="24"/>
          <w:szCs w:val="24"/>
          <w:highlight w:val="none"/>
          <w:lang w:val="en-US" w:eastAsia="zh-CN"/>
        </w:rPr>
        <w:t>7</w:t>
      </w:r>
      <w:r>
        <w:rPr>
          <w:rStyle w:val="79"/>
          <w:rFonts w:hint="eastAsia" w:cs="Times New Roman" w:asciiTheme="minorEastAsia" w:hAnsiTheme="minorEastAsia" w:eastAsiaTheme="minorEastAsia"/>
          <w:snapToGrid/>
          <w:color w:val="auto"/>
          <w:kern w:val="2"/>
          <w:sz w:val="24"/>
          <w:szCs w:val="24"/>
          <w:highlight w:val="none"/>
        </w:rPr>
        <w:t>月</w:t>
      </w:r>
      <w:r>
        <w:rPr>
          <w:rStyle w:val="79"/>
          <w:rFonts w:hint="eastAsia" w:cs="Times New Roman" w:asciiTheme="minorEastAsia" w:hAnsiTheme="minorEastAsia" w:eastAsiaTheme="minorEastAsia"/>
          <w:snapToGrid/>
          <w:color w:val="auto"/>
          <w:kern w:val="2"/>
          <w:sz w:val="24"/>
          <w:szCs w:val="24"/>
          <w:highlight w:val="none"/>
          <w:lang w:val="en-US" w:eastAsia="zh-CN"/>
        </w:rPr>
        <w:t>22</w:t>
      </w:r>
      <w:r>
        <w:rPr>
          <w:rStyle w:val="79"/>
          <w:rFonts w:hint="eastAsia" w:cs="Times New Roman" w:asciiTheme="minorEastAsia" w:hAnsiTheme="minorEastAsia" w:eastAsiaTheme="minorEastAsia"/>
          <w:snapToGrid/>
          <w:color w:val="auto"/>
          <w:kern w:val="2"/>
          <w:sz w:val="24"/>
          <w:szCs w:val="24"/>
          <w:highlight w:val="none"/>
        </w:rPr>
        <w:t>日</w:t>
      </w:r>
      <w:r>
        <w:rPr>
          <w:rStyle w:val="79"/>
          <w:rFonts w:hint="eastAsia" w:cs="Times New Roman" w:asciiTheme="minorEastAsia" w:hAnsiTheme="minorEastAsia" w:eastAsiaTheme="minorEastAsia"/>
          <w:snapToGrid/>
          <w:color w:val="auto"/>
          <w:kern w:val="2"/>
          <w:sz w:val="24"/>
          <w:szCs w:val="24"/>
          <w:highlight w:val="none"/>
          <w:lang w:val="en-US" w:eastAsia="zh-CN"/>
        </w:rPr>
        <w:t>9</w:t>
      </w:r>
      <w:r>
        <w:rPr>
          <w:rStyle w:val="79"/>
          <w:rFonts w:hint="eastAsia" w:cs="Times New Roman" w:asciiTheme="minorEastAsia" w:hAnsiTheme="minorEastAsia" w:eastAsiaTheme="minorEastAsia"/>
          <w:snapToGrid/>
          <w:color w:val="auto"/>
          <w:kern w:val="2"/>
          <w:sz w:val="24"/>
          <w:szCs w:val="24"/>
          <w:highlight w:val="none"/>
        </w:rPr>
        <w:t>点</w:t>
      </w:r>
      <w:r>
        <w:rPr>
          <w:rStyle w:val="79"/>
          <w:rFonts w:hint="eastAsia" w:cs="Times New Roman" w:asciiTheme="minorEastAsia" w:hAnsiTheme="minorEastAsia" w:eastAsiaTheme="minorEastAsia"/>
          <w:snapToGrid/>
          <w:color w:val="auto"/>
          <w:kern w:val="2"/>
          <w:sz w:val="24"/>
          <w:szCs w:val="24"/>
          <w:highlight w:val="none"/>
          <w:lang w:val="en-US" w:eastAsia="zh-CN"/>
        </w:rPr>
        <w:t>00</w:t>
      </w:r>
      <w:r>
        <w:rPr>
          <w:rStyle w:val="79"/>
          <w:rFonts w:hint="eastAsia" w:cs="Times New Roman" w:asciiTheme="minorEastAsia" w:hAnsiTheme="minorEastAsia" w:eastAsiaTheme="minorEastAsia"/>
          <w:snapToGrid/>
          <w:color w:val="auto"/>
          <w:kern w:val="2"/>
          <w:sz w:val="24"/>
          <w:szCs w:val="24"/>
          <w:highlight w:val="none"/>
        </w:rPr>
        <w:t>分</w:t>
      </w:r>
      <w:r>
        <w:rPr>
          <w:rStyle w:val="79"/>
          <w:rFonts w:hint="eastAsia" w:cs="Times New Roman" w:asciiTheme="minorEastAsia" w:hAnsiTheme="minorEastAsia" w:eastAsiaTheme="minorEastAsia"/>
          <w:bCs/>
          <w:snapToGrid/>
          <w:color w:val="auto"/>
          <w:kern w:val="2"/>
          <w:sz w:val="24"/>
          <w:szCs w:val="24"/>
          <w:highlight w:val="none"/>
        </w:rPr>
        <w:t>00秒</w:t>
      </w:r>
      <w:r>
        <w:rPr>
          <w:rStyle w:val="79"/>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564B7B84">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9D8799E">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b/>
          <w:bCs/>
          <w:color w:val="auto"/>
          <w:sz w:val="24"/>
          <w:highlight w:val="none"/>
          <w:lang w:val="en-US" w:eastAsia="zh-CN"/>
        </w:rPr>
      </w:pPr>
      <w:r>
        <w:rPr>
          <w:rFonts w:hint="eastAsia" w:ascii="宋体" w:hAnsi="宋体" w:cs="宋体"/>
          <w:b/>
          <w:color w:val="auto"/>
          <w:sz w:val="24"/>
          <w:highlight w:val="none"/>
        </w:rPr>
        <w:t>项目编号：</w:t>
      </w:r>
      <w:r>
        <w:rPr>
          <w:rFonts w:hint="eastAsia" w:ascii="宋体" w:hAnsi="宋体" w:cs="宋体"/>
          <w:b/>
          <w:bCs/>
          <w:color w:val="auto"/>
          <w:sz w:val="24"/>
          <w:highlight w:val="none"/>
          <w:lang w:eastAsia="zh-CN"/>
        </w:rPr>
        <w:t>ZJFLCX-2025-3</w:t>
      </w:r>
      <w:r>
        <w:rPr>
          <w:rFonts w:hint="eastAsia" w:ascii="宋体" w:hAnsi="宋体" w:cs="宋体"/>
          <w:b/>
          <w:bCs/>
          <w:color w:val="auto"/>
          <w:sz w:val="24"/>
          <w:highlight w:val="none"/>
          <w:lang w:val="en-US" w:eastAsia="zh-CN"/>
        </w:rPr>
        <w:t>7</w:t>
      </w:r>
    </w:p>
    <w:p w14:paraId="3D072A9B">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cs="宋体"/>
          <w:b/>
          <w:color w:val="auto"/>
          <w:sz w:val="24"/>
          <w:highlight w:val="none"/>
          <w:lang w:val="en-US" w:eastAsia="zh-CN"/>
        </w:rPr>
      </w:pPr>
      <w:r>
        <w:rPr>
          <w:rFonts w:hint="eastAsia" w:ascii="宋体" w:hAnsi="宋体" w:cs="宋体"/>
          <w:b/>
          <w:color w:val="auto"/>
          <w:sz w:val="24"/>
          <w:highlight w:val="none"/>
        </w:rPr>
        <w:t>项目名称：</w:t>
      </w:r>
      <w:r>
        <w:rPr>
          <w:rFonts w:hint="eastAsia" w:ascii="宋体" w:hAnsi="宋体" w:cs="宋体"/>
          <w:b/>
          <w:color w:val="auto"/>
          <w:sz w:val="24"/>
          <w:highlight w:val="none"/>
          <w:lang w:eastAsia="zh-CN"/>
        </w:rPr>
        <w:t xml:space="preserve">嘉兴南湖高新区实验学校专用教室采购项目 </w:t>
      </w:r>
    </w:p>
    <w:p w14:paraId="4D8F4494">
      <w:pPr>
        <w:keepNext w:val="0"/>
        <w:keepLines w:val="0"/>
        <w:pageBreakBefore w:val="0"/>
        <w:kinsoku/>
        <w:wordWrap/>
        <w:overflowPunct/>
        <w:topLinePunct w:val="0"/>
        <w:autoSpaceDE/>
        <w:autoSpaceDN/>
        <w:bidi w:val="0"/>
        <w:adjustRightIn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710000</w:t>
      </w:r>
    </w:p>
    <w:p w14:paraId="5829121C">
      <w:pPr>
        <w:keepNext w:val="0"/>
        <w:keepLines w:val="0"/>
        <w:pageBreakBefore w:val="0"/>
        <w:kinsoku/>
        <w:wordWrap/>
        <w:overflowPunct/>
        <w:topLinePunct w:val="0"/>
        <w:autoSpaceDE/>
        <w:autoSpaceDN/>
        <w:bidi w:val="0"/>
        <w:adjustRightInd w:val="0"/>
        <w:spacing w:line="360" w:lineRule="auto"/>
        <w:ind w:firstLine="480"/>
        <w:textAlignment w:val="auto"/>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710000</w:t>
      </w:r>
    </w:p>
    <w:p w14:paraId="32303C4F">
      <w:pPr>
        <w:pStyle w:val="5"/>
        <w:keepNext w:val="0"/>
        <w:keepLines w:val="0"/>
        <w:pageBreakBefore w:val="0"/>
        <w:kinsoku/>
        <w:wordWrap/>
        <w:overflowPunct/>
        <w:topLinePunct w:val="0"/>
        <w:autoSpaceDE/>
        <w:autoSpaceDN/>
        <w:bidi w:val="0"/>
        <w:adjustRightInd w:val="0"/>
        <w:spacing w:line="360" w:lineRule="auto"/>
        <w:ind w:firstLine="480"/>
        <w:textAlignment w:val="auto"/>
        <w:rPr>
          <w:rFonts w:hint="eastAsia" w:hAnsi="宋体" w:cs="宋体"/>
          <w:b/>
          <w:color w:val="auto"/>
          <w:sz w:val="24"/>
          <w:highlight w:val="none"/>
        </w:rPr>
      </w:pPr>
      <w:r>
        <w:rPr>
          <w:rFonts w:hint="eastAsia" w:hAnsi="宋体" w:cs="宋体"/>
          <w:b/>
          <w:color w:val="auto"/>
          <w:sz w:val="24"/>
          <w:highlight w:val="none"/>
        </w:rPr>
        <w:t>采购需求：</w:t>
      </w:r>
    </w:p>
    <w:p w14:paraId="556A1A9A">
      <w:pPr>
        <w:pStyle w:val="5"/>
        <w:keepNext w:val="0"/>
        <w:keepLines w:val="0"/>
        <w:pageBreakBefore w:val="0"/>
        <w:kinsoku/>
        <w:wordWrap/>
        <w:overflowPunct/>
        <w:topLinePunct w:val="0"/>
        <w:autoSpaceDE/>
        <w:autoSpaceDN/>
        <w:bidi w:val="0"/>
        <w:adjustRightInd w:val="0"/>
        <w:spacing w:line="360" w:lineRule="auto"/>
        <w:ind w:firstLine="480"/>
        <w:textAlignment w:val="auto"/>
        <w:rPr>
          <w:rFonts w:hint="eastAsia" w:hAnsi="宋体" w:cs="宋体" w:eastAsiaTheme="minorEastAsia"/>
          <w:bCs/>
          <w:snapToGrid/>
          <w:color w:val="auto"/>
          <w:kern w:val="2"/>
          <w:sz w:val="24"/>
          <w:szCs w:val="24"/>
          <w:highlight w:val="none"/>
          <w:lang w:eastAsia="zh-CN"/>
        </w:rPr>
      </w:pPr>
      <w:r>
        <w:rPr>
          <w:rFonts w:hint="eastAsia" w:asciiTheme="minorEastAsia" w:hAnsiTheme="minorEastAsia" w:eastAsiaTheme="minorEastAsia"/>
          <w:snapToGrid/>
          <w:color w:val="auto"/>
          <w:kern w:val="2"/>
          <w:sz w:val="24"/>
          <w:szCs w:val="24"/>
          <w:highlight w:val="none"/>
          <w:lang w:eastAsia="zh-CN"/>
        </w:rPr>
        <w:t>嘉兴南湖高新区实验学校专用教室采购项目 ，</w:t>
      </w:r>
      <w:r>
        <w:rPr>
          <w:rFonts w:hint="eastAsia" w:asciiTheme="minorEastAsia" w:hAnsiTheme="minorEastAsia" w:eastAsiaTheme="minorEastAsia"/>
          <w:snapToGrid/>
          <w:color w:val="auto"/>
          <w:kern w:val="2"/>
          <w:sz w:val="24"/>
          <w:szCs w:val="24"/>
          <w:highlight w:val="none"/>
        </w:rPr>
        <w:t>具体以招标文件第三部分采购需求为准，</w:t>
      </w:r>
      <w:r>
        <w:rPr>
          <w:rFonts w:hint="eastAsia" w:asciiTheme="minorEastAsia" w:hAnsiTheme="minorEastAsia" w:eastAsiaTheme="minorEastAsia"/>
          <w:snapToGrid/>
          <w:color w:val="auto"/>
          <w:kern w:val="2"/>
          <w:sz w:val="24"/>
          <w:szCs w:val="24"/>
          <w:highlight w:val="none"/>
          <w:lang w:val="en-US" w:eastAsia="zh-CN"/>
        </w:rPr>
        <w:t>主要内容包括专用教师内的智能设备与相关辅材的采购与安装等</w:t>
      </w:r>
      <w:r>
        <w:rPr>
          <w:rFonts w:hint="eastAsia" w:asciiTheme="minorEastAsia" w:hAnsiTheme="minorEastAsia" w:eastAsiaTheme="minorEastAsia"/>
          <w:snapToGrid/>
          <w:color w:val="auto"/>
          <w:kern w:val="2"/>
          <w:sz w:val="24"/>
          <w:szCs w:val="24"/>
          <w:highlight w:val="none"/>
          <w:lang w:eastAsia="zh-CN"/>
        </w:rPr>
        <w:t>。</w:t>
      </w:r>
    </w:p>
    <w:p w14:paraId="3C70F99A">
      <w:pPr>
        <w:pStyle w:val="138"/>
        <w:keepNext w:val="0"/>
        <w:keepLines w:val="0"/>
        <w:pageBreakBefore w:val="0"/>
        <w:kinsoku/>
        <w:wordWrap/>
        <w:overflowPunct/>
        <w:topLinePunct w:val="0"/>
        <w:autoSpaceDE/>
        <w:autoSpaceDN/>
        <w:bidi w:val="0"/>
        <w:adjustRightInd w:val="0"/>
        <w:spacing w:before="0" w:line="360" w:lineRule="auto"/>
        <w:ind w:firstLine="482"/>
        <w:textAlignment w:val="auto"/>
        <w:outlineLvl w:val="2"/>
        <w:rPr>
          <w:rFonts w:hint="eastAsia" w:ascii="宋体" w:hAnsi="宋体" w:cs="宋体"/>
          <w:b/>
          <w:highlight w:val="none"/>
          <w:lang w:val="en-US" w:eastAsia="zh-CN"/>
        </w:rPr>
      </w:pPr>
      <w:r>
        <w:rPr>
          <w:rFonts w:hint="eastAsia" w:ascii="宋体" w:hAnsi="宋体" w:cs="宋体"/>
          <w:b/>
          <w:highlight w:val="none"/>
        </w:rPr>
        <w:t>合同履约期限：</w:t>
      </w:r>
      <w:r>
        <w:rPr>
          <w:rFonts w:hint="eastAsia" w:ascii="宋体" w:hAnsi="宋体" w:cs="宋体"/>
          <w:b/>
          <w:highlight w:val="none"/>
          <w:lang w:val="en-US" w:eastAsia="zh-CN"/>
        </w:rPr>
        <w:t>签订合同后至合同履行完毕。</w:t>
      </w:r>
    </w:p>
    <w:p w14:paraId="64CC4AB9">
      <w:pPr>
        <w:pStyle w:val="5"/>
        <w:keepNext w:val="0"/>
        <w:keepLines w:val="0"/>
        <w:pageBreakBefore w:val="0"/>
        <w:kinsoku/>
        <w:wordWrap/>
        <w:overflowPunct/>
        <w:topLinePunct w:val="0"/>
        <w:autoSpaceDE/>
        <w:autoSpaceDN/>
        <w:bidi w:val="0"/>
        <w:adjustRightInd w:val="0"/>
        <w:spacing w:line="360" w:lineRule="auto"/>
        <w:ind w:firstLine="480"/>
        <w:textAlignment w:val="auto"/>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4333F0E5">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b/>
          <w:sz w:val="24"/>
          <w:highlight w:val="none"/>
        </w:rPr>
      </w:pPr>
      <w:r>
        <w:rPr>
          <w:rFonts w:hint="eastAsia" w:ascii="宋体" w:hAnsi="宋体" w:cs="宋体"/>
          <w:b/>
          <w:sz w:val="24"/>
          <w:highlight w:val="none"/>
        </w:rPr>
        <w:t>二、</w:t>
      </w:r>
      <w:bookmarkStart w:id="11" w:name="_Hlk101132948"/>
      <w:r>
        <w:rPr>
          <w:rFonts w:hint="eastAsia" w:ascii="宋体" w:hAnsi="宋体" w:cs="宋体"/>
          <w:b/>
          <w:sz w:val="24"/>
          <w:highlight w:val="none"/>
        </w:rPr>
        <w:t>申请人的资格要求</w:t>
      </w:r>
      <w:bookmarkEnd w:id="11"/>
      <w:r>
        <w:rPr>
          <w:rFonts w:hint="eastAsia" w:ascii="宋体" w:hAnsi="宋体" w:cs="宋体"/>
          <w:b/>
          <w:sz w:val="24"/>
          <w:highlight w:val="none"/>
        </w:rPr>
        <w:t>：</w:t>
      </w:r>
    </w:p>
    <w:p w14:paraId="1ECED72C">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D594D28">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宋体" w:hAnsi="宋体" w:cs="宋体"/>
          <w:snapToGrid w:val="0"/>
          <w:kern w:val="28"/>
          <w:sz w:val="24"/>
          <w:szCs w:val="20"/>
          <w:highlight w:val="none"/>
        </w:rPr>
      </w:pP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.落实政府采购政策需满足的资格要求：</w:t>
      </w:r>
    </w:p>
    <w:p w14:paraId="2A7B611D">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宋体" w:hAnsi="宋体" w:cs="宋体"/>
          <w:color w:val="auto"/>
          <w:sz w:val="24"/>
          <w:highlight w:val="none"/>
        </w:rPr>
      </w:pPr>
      <w:sdt>
        <w:sdtPr>
          <w:rPr>
            <w:rFonts w:hint="eastAsia" w:ascii="宋体" w:hAnsi="宋体" w:cs="宋体"/>
            <w:color w:val="0000FF"/>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p>
    <w:p w14:paraId="7B463ADD">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23840EA5">
      <w:pPr>
        <w:keepNext w:val="0"/>
        <w:keepLines w:val="0"/>
        <w:pageBreakBefore w:val="0"/>
        <w:kinsoku/>
        <w:wordWrap/>
        <w:overflowPunct/>
        <w:topLinePunct w:val="0"/>
        <w:autoSpaceDE/>
        <w:autoSpaceDN/>
        <w:bidi w:val="0"/>
        <w:adjustRightInd w:val="0"/>
        <w:spacing w:line="360" w:lineRule="auto"/>
        <w:ind w:firstLine="897" w:firstLineChars="374"/>
        <w:textAlignment w:val="auto"/>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货物全部由符合政策要求的中小企业制造，提供中小企业声明函；</w:t>
      </w:r>
    </w:p>
    <w:p w14:paraId="4988B4C3">
      <w:pPr>
        <w:keepNext w:val="0"/>
        <w:keepLines w:val="0"/>
        <w:pageBreakBefore w:val="0"/>
        <w:kinsoku/>
        <w:wordWrap/>
        <w:overflowPunct/>
        <w:topLinePunct w:val="0"/>
        <w:autoSpaceDE/>
        <w:autoSpaceDN/>
        <w:bidi w:val="0"/>
        <w:adjustRightInd w:val="0"/>
        <w:spacing w:line="360" w:lineRule="auto"/>
        <w:ind w:firstLine="897" w:firstLineChars="374"/>
        <w:textAlignment w:val="auto"/>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14:paraId="3193F2A2">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7D341561">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52E175B7">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.本项目的特定资格要求：无；</w:t>
      </w:r>
    </w:p>
    <w:p w14:paraId="3ADA586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highlight w:val="none"/>
        </w:rPr>
      </w:pPr>
      <w:r>
        <w:rPr>
          <w:rFonts w:hint="eastAsia" w:ascii="宋体" w:hAnsi="宋体" w:cs="宋体"/>
          <w:sz w:val="24"/>
          <w:highlight w:val="none"/>
          <w:lang w:val="en-US" w:eastAsia="zh-CN"/>
        </w:rPr>
        <w:t>4</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BB6CFA1">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b/>
          <w:sz w:val="24"/>
          <w:highlight w:val="none"/>
        </w:rPr>
      </w:pPr>
      <w:r>
        <w:rPr>
          <w:rFonts w:hint="eastAsia" w:ascii="宋体" w:hAnsi="宋体" w:cs="宋体"/>
          <w:b/>
          <w:sz w:val="24"/>
          <w:highlight w:val="none"/>
        </w:rPr>
        <w:t xml:space="preserve">三、获取招标文件 </w:t>
      </w:r>
    </w:p>
    <w:p w14:paraId="1ECB22E2">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ascii="宋体" w:hAnsi="宋体" w:cs="宋体"/>
          <w:sz w:val="24"/>
          <w:highlight w:val="none"/>
        </w:rPr>
      </w:pPr>
      <w:r>
        <w:rPr>
          <w:rFonts w:hint="eastAsia" w:ascii="宋体" w:hAnsi="宋体" w:cs="宋体"/>
          <w:b/>
          <w:sz w:val="24"/>
          <w:highlight w:val="none"/>
        </w:rPr>
        <w:t>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22</w:t>
      </w:r>
      <w:r>
        <w:rPr>
          <w:rFonts w:hint="eastAsia" w:ascii="宋体" w:hAnsi="宋体" w:cs="宋体"/>
          <w:color w:val="auto"/>
          <w:sz w:val="24"/>
          <w:highlight w:val="none"/>
          <w:u w:val="single"/>
        </w:rPr>
        <w:t>日</w:t>
      </w:r>
      <w:r>
        <w:rPr>
          <w:rFonts w:hint="eastAsia" w:ascii="宋体" w:hAnsi="宋体" w:cs="宋体"/>
          <w:color w:val="auto"/>
          <w:sz w:val="24"/>
          <w:highlight w:val="none"/>
        </w:rPr>
        <w:t>，每天上</w:t>
      </w:r>
      <w:r>
        <w:rPr>
          <w:rFonts w:hint="eastAsia" w:ascii="宋体" w:hAnsi="宋体" w:cs="宋体"/>
          <w:sz w:val="24"/>
          <w:highlight w:val="none"/>
        </w:rPr>
        <w:t>午00:00至12:00 ，下午12:00至23:59（北京时间，线上获取法定节假日均可，线下获取文件法定节假日除外）</w:t>
      </w:r>
    </w:p>
    <w:p w14:paraId="10BB5C95">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72E97FE7">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27F25B55">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01246774">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2B5C102D">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 xml:space="preserve"> </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sz w:val="24"/>
          <w:highlight w:val="none"/>
        </w:rPr>
        <w:t>（北京时间）</w:t>
      </w:r>
    </w:p>
    <w:p w14:paraId="29B677ED">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2347D9F2">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p>
    <w:p w14:paraId="07780648">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w:t>
      </w:r>
    </w:p>
    <w:p w14:paraId="5F123927">
      <w:pPr>
        <w:keepNext w:val="0"/>
        <w:keepLines w:val="0"/>
        <w:pageBreakBefore w:val="0"/>
        <w:kinsoku/>
        <w:wordWrap/>
        <w:overflowPunct/>
        <w:topLinePunct w:val="0"/>
        <w:autoSpaceDE/>
        <w:autoSpaceDN/>
        <w:bidi w:val="0"/>
        <w:adjustRightInd w:val="0"/>
        <w:spacing w:line="360" w:lineRule="auto"/>
        <w:ind w:firstLine="480" w:firstLineChars="200"/>
        <w:textAlignment w:val="auto"/>
        <w:rPr>
          <w:highlight w:val="none"/>
        </w:rPr>
      </w:pPr>
      <w:r>
        <w:rPr>
          <w:rFonts w:hint="eastAsia" w:ascii="宋体" w:hAnsi="宋体" w:eastAsia="宋体" w:cs="宋体"/>
          <w:sz w:val="24"/>
          <w:highlight w:val="none"/>
        </w:rPr>
        <w:t>开标地点：</w:t>
      </w:r>
      <w:r>
        <w:rPr>
          <w:rFonts w:hint="eastAsia" w:ascii="宋体" w:hAnsi="宋体" w:eastAsia="宋体" w:cs="宋体"/>
          <w:sz w:val="24"/>
          <w:highlight w:val="none"/>
          <w:lang w:eastAsia="zh-CN"/>
        </w:rPr>
        <w:t>浙江富力诚欣工程顾问有限公司</w:t>
      </w:r>
      <w:r>
        <w:rPr>
          <w:rFonts w:hint="eastAsia" w:ascii="宋体" w:hAnsi="宋体" w:eastAsia="宋体" w:cs="宋体"/>
          <w:sz w:val="24"/>
          <w:highlight w:val="none"/>
        </w:rPr>
        <w:t>开标室（</w:t>
      </w:r>
      <w:r>
        <w:rPr>
          <w:rFonts w:hint="eastAsia" w:ascii="宋体" w:hAnsi="宋体" w:eastAsia="宋体" w:cs="宋体"/>
          <w:sz w:val="24"/>
          <w:highlight w:val="none"/>
          <w:lang w:eastAsia="zh-CN"/>
        </w:rPr>
        <w:t>嘉兴市经济技术开发区姚家荡路42号长新农贸市场办公楼5楼501室</w:t>
      </w:r>
      <w:r>
        <w:rPr>
          <w:rFonts w:hint="eastAsia" w:ascii="宋体" w:hAnsi="宋体" w:eastAsia="宋体" w:cs="宋体"/>
          <w:sz w:val="24"/>
          <w:highlight w:val="none"/>
        </w:rPr>
        <w:t>）</w:t>
      </w:r>
    </w:p>
    <w:p w14:paraId="311DCEF0">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sz w:val="24"/>
          <w:highlight w:val="none"/>
        </w:rPr>
      </w:pPr>
      <w:r>
        <w:rPr>
          <w:rFonts w:hint="eastAsia" w:ascii="宋体" w:hAnsi="宋体" w:cs="宋体"/>
          <w:b/>
          <w:sz w:val="24"/>
          <w:highlight w:val="none"/>
        </w:rPr>
        <w:t xml:space="preserve">五、公告期限 </w:t>
      </w:r>
    </w:p>
    <w:p w14:paraId="1DF75A42">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自本公告发布之日起5个工作日。</w:t>
      </w:r>
    </w:p>
    <w:p w14:paraId="37AB8431">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b/>
          <w:sz w:val="24"/>
          <w:highlight w:val="none"/>
        </w:rPr>
      </w:pPr>
      <w:r>
        <w:rPr>
          <w:rFonts w:hint="eastAsia" w:ascii="宋体" w:hAnsi="宋体" w:cs="宋体"/>
          <w:b/>
          <w:sz w:val="24"/>
          <w:highlight w:val="none"/>
        </w:rPr>
        <w:t>六、其他补充事宜</w:t>
      </w:r>
    </w:p>
    <w:p w14:paraId="1558C756">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 xml:space="preserve"> 1. </w:t>
      </w:r>
      <w:r>
        <w:rPr>
          <w:rFonts w:ascii="宋体" w:hAnsi="宋体"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highlight w:val="none"/>
        </w:rPr>
        <w:t>。</w:t>
      </w:r>
    </w:p>
    <w:p w14:paraId="6332F400">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57ACD7F">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B90D4A0">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DC51013">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547D3679">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color w:val="auto"/>
          <w:sz w:val="24"/>
          <w:highlight w:val="none"/>
        </w:rPr>
      </w:pPr>
      <w:r>
        <w:rPr>
          <w:rFonts w:hint="eastAsia" w:ascii="宋体" w:hAnsi="宋体" w:cs="宋体"/>
          <w:sz w:val="24"/>
          <w:highlight w:val="none"/>
        </w:rPr>
        <w:t xml:space="preserve">    1.采购人信息</w:t>
      </w:r>
    </w:p>
    <w:p w14:paraId="53337A7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highlight w:val="none"/>
        </w:rPr>
      </w:pPr>
      <w:r>
        <w:rPr>
          <w:rFonts w:hint="eastAsia"/>
          <w:color w:val="auto"/>
          <w:sz w:val="24"/>
          <w:highlight w:val="none"/>
        </w:rPr>
        <w:t>名    称：</w:t>
      </w:r>
      <w:r>
        <w:rPr>
          <w:rFonts w:hint="eastAsia"/>
          <w:color w:val="auto"/>
          <w:sz w:val="24"/>
          <w:highlight w:val="none"/>
          <w:lang w:eastAsia="zh-CN"/>
        </w:rPr>
        <w:t>嘉兴南湖高新区实验学校</w:t>
      </w:r>
      <w:r>
        <w:rPr>
          <w:rFonts w:hint="eastAsia"/>
          <w:color w:val="auto"/>
          <w:sz w:val="24"/>
          <w:highlight w:val="none"/>
        </w:rPr>
        <w:t xml:space="preserve"> </w:t>
      </w:r>
    </w:p>
    <w:p w14:paraId="3A08821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highlight w:val="none"/>
          <w:lang w:eastAsia="zh-CN"/>
        </w:rPr>
      </w:pPr>
      <w:r>
        <w:rPr>
          <w:rFonts w:hint="eastAsia"/>
          <w:color w:val="auto"/>
          <w:sz w:val="24"/>
          <w:highlight w:val="none"/>
        </w:rPr>
        <w:t>地    址：</w:t>
      </w:r>
      <w:r>
        <w:rPr>
          <w:rFonts w:hint="eastAsia"/>
          <w:color w:val="auto"/>
          <w:sz w:val="24"/>
          <w:highlight w:val="none"/>
          <w:lang w:eastAsia="zh-CN"/>
        </w:rPr>
        <w:t>嘉兴市南湖区</w:t>
      </w:r>
    </w:p>
    <w:p w14:paraId="32527A8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highlight w:val="none"/>
        </w:rPr>
      </w:pPr>
      <w:r>
        <w:rPr>
          <w:rFonts w:hint="eastAsia"/>
          <w:color w:val="auto"/>
          <w:sz w:val="24"/>
          <w:highlight w:val="none"/>
        </w:rPr>
        <w:t>传    真： /</w:t>
      </w:r>
    </w:p>
    <w:p w14:paraId="78E801F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highlight w:val="none"/>
          <w:lang w:eastAsia="zh-CN"/>
        </w:rPr>
      </w:pPr>
      <w:r>
        <w:rPr>
          <w:rFonts w:hint="eastAsia"/>
          <w:color w:val="auto"/>
          <w:sz w:val="24"/>
          <w:highlight w:val="none"/>
        </w:rPr>
        <w:t>项目联系人（询问）：</w:t>
      </w:r>
      <w:r>
        <w:rPr>
          <w:rFonts w:hint="eastAsia" w:ascii="Times New Roman" w:hAnsi="Times New Roman" w:eastAsia="宋体" w:cs="Times New Roman"/>
          <w:color w:val="auto"/>
          <w:sz w:val="24"/>
          <w:highlight w:val="none"/>
          <w:lang w:val="en-US" w:eastAsia="zh-CN"/>
        </w:rPr>
        <w:t>沈老师</w:t>
      </w:r>
    </w:p>
    <w:p w14:paraId="3D44799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highlight w:val="none"/>
          <w:lang w:val="en-US" w:eastAsia="zh-CN"/>
        </w:rPr>
      </w:pPr>
      <w:r>
        <w:rPr>
          <w:rFonts w:hint="eastAsia"/>
          <w:color w:val="auto"/>
          <w:sz w:val="24"/>
          <w:highlight w:val="none"/>
        </w:rPr>
        <w:t>项目联系方式（询问）：</w:t>
      </w:r>
      <w:r>
        <w:rPr>
          <w:rFonts w:hint="eastAsia" w:ascii="Times New Roman" w:hAnsi="Times New Roman" w:eastAsia="宋体" w:cs="Times New Roman"/>
          <w:color w:val="auto"/>
          <w:sz w:val="24"/>
          <w:highlight w:val="none"/>
          <w:lang w:val="en-US" w:eastAsia="zh-CN"/>
        </w:rPr>
        <w:t>13757325297</w:t>
      </w:r>
    </w:p>
    <w:p w14:paraId="3EF0606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highlight w:val="none"/>
        </w:rPr>
      </w:pPr>
      <w:r>
        <w:rPr>
          <w:rFonts w:hint="eastAsia"/>
          <w:color w:val="auto"/>
          <w:sz w:val="24"/>
          <w:highlight w:val="none"/>
        </w:rPr>
        <w:t>质疑联系人：</w:t>
      </w:r>
      <w:r>
        <w:rPr>
          <w:rFonts w:hint="eastAsia"/>
          <w:color w:val="auto"/>
          <w:sz w:val="24"/>
          <w:highlight w:val="none"/>
          <w:lang w:val="en-US" w:eastAsia="zh-CN"/>
        </w:rPr>
        <w:t>沈老</w:t>
      </w:r>
      <w:r>
        <w:rPr>
          <w:rFonts w:hint="eastAsia"/>
          <w:color w:val="auto"/>
          <w:sz w:val="24"/>
          <w:highlight w:val="none"/>
          <w:lang w:eastAsia="zh-CN"/>
        </w:rPr>
        <w:t>师</w:t>
      </w:r>
      <w:r>
        <w:rPr>
          <w:rFonts w:hint="eastAsia"/>
          <w:color w:val="auto"/>
          <w:sz w:val="24"/>
          <w:highlight w:val="none"/>
        </w:rPr>
        <w:t xml:space="preserve"> </w:t>
      </w:r>
    </w:p>
    <w:p w14:paraId="52C98EA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highlight w:val="none"/>
        </w:rPr>
      </w:pPr>
      <w:r>
        <w:rPr>
          <w:rFonts w:hint="eastAsia"/>
          <w:color w:val="auto"/>
          <w:sz w:val="24"/>
          <w:highlight w:val="none"/>
        </w:rPr>
        <w:t>质疑联系方式：</w:t>
      </w:r>
      <w:r>
        <w:rPr>
          <w:rFonts w:hint="eastAsia" w:ascii="Times New Roman" w:hAnsi="Times New Roman" w:eastAsia="宋体" w:cs="Times New Roman"/>
          <w:color w:val="auto"/>
          <w:sz w:val="24"/>
          <w:highlight w:val="none"/>
          <w:lang w:val="en-US" w:eastAsia="zh-CN"/>
        </w:rPr>
        <w:t>13757325297</w:t>
      </w:r>
      <w:r>
        <w:rPr>
          <w:rFonts w:hint="eastAsia"/>
          <w:color w:val="auto"/>
          <w:sz w:val="24"/>
          <w:highlight w:val="none"/>
        </w:rPr>
        <w:t xml:space="preserve">    </w:t>
      </w:r>
    </w:p>
    <w:p w14:paraId="171A9F0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 xml:space="preserve">2.采购代理机构信息            </w:t>
      </w:r>
    </w:p>
    <w:p w14:paraId="326A78A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highlight w:val="none"/>
          <w:lang w:eastAsia="zh-CN"/>
        </w:rPr>
      </w:pPr>
      <w:r>
        <w:rPr>
          <w:rFonts w:hint="eastAsia" w:ascii="宋体" w:hAnsi="宋体" w:cs="宋体"/>
          <w:sz w:val="24"/>
          <w:highlight w:val="none"/>
        </w:rPr>
        <w:t>名    称：</w:t>
      </w:r>
      <w:r>
        <w:rPr>
          <w:rFonts w:hint="eastAsia" w:ascii="宋体" w:hAnsi="宋体" w:cs="宋体"/>
          <w:sz w:val="24"/>
          <w:highlight w:val="none"/>
          <w:lang w:eastAsia="zh-CN"/>
        </w:rPr>
        <w:t>浙江富力诚欣工程顾问有限公司</w:t>
      </w:r>
    </w:p>
    <w:p w14:paraId="5C95136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highlight w:val="none"/>
          <w:lang w:eastAsia="zh-CN"/>
        </w:rPr>
      </w:pPr>
      <w:r>
        <w:rPr>
          <w:rFonts w:hint="eastAsia" w:ascii="宋体" w:hAnsi="宋体" w:cs="宋体"/>
          <w:sz w:val="24"/>
          <w:highlight w:val="none"/>
        </w:rPr>
        <w:t>地    址：</w:t>
      </w:r>
      <w:r>
        <w:rPr>
          <w:rFonts w:hint="eastAsia" w:ascii="宋体" w:hAnsi="宋体" w:eastAsia="宋体" w:cs="宋体"/>
          <w:sz w:val="24"/>
          <w:highlight w:val="none"/>
          <w:lang w:eastAsia="zh-CN"/>
        </w:rPr>
        <w:t>嘉兴市经济技术开发区姚家荡路42号长新农贸市场办公楼5楼501室</w:t>
      </w:r>
    </w:p>
    <w:p w14:paraId="24A3E56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 xml:space="preserve">传    真： /            </w:t>
      </w:r>
    </w:p>
    <w:p w14:paraId="0551498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项目联系人（询问）：</w:t>
      </w:r>
      <w:r>
        <w:rPr>
          <w:rFonts w:hint="eastAsia" w:ascii="宋体" w:hAnsi="宋体" w:eastAsia="宋体" w:cs="宋体"/>
          <w:sz w:val="24"/>
          <w:highlight w:val="none"/>
          <w:lang w:eastAsia="zh-CN"/>
        </w:rPr>
        <w:t>王宇涵</w:t>
      </w:r>
      <w:r>
        <w:rPr>
          <w:rFonts w:hint="eastAsia" w:ascii="宋体" w:hAnsi="宋体" w:eastAsia="宋体" w:cs="宋体"/>
          <w:sz w:val="24"/>
          <w:highlight w:val="none"/>
        </w:rPr>
        <w:t xml:space="preserve">   </w:t>
      </w:r>
      <w:r>
        <w:rPr>
          <w:rFonts w:hint="eastAsia" w:ascii="宋体" w:hAnsi="宋体" w:cs="宋体"/>
          <w:sz w:val="24"/>
          <w:highlight w:val="none"/>
        </w:rPr>
        <w:t xml:space="preserve">      </w:t>
      </w:r>
    </w:p>
    <w:p w14:paraId="5766B27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项目联系方式（询问）：</w:t>
      </w:r>
      <w:r>
        <w:rPr>
          <w:rFonts w:hint="eastAsia" w:ascii="宋体" w:hAnsi="宋体" w:eastAsia="宋体" w:cs="宋体"/>
          <w:sz w:val="24"/>
          <w:highlight w:val="none"/>
          <w:lang w:eastAsia="zh-CN"/>
        </w:rPr>
        <w:t>0573-83626629/17757370605</w:t>
      </w:r>
    </w:p>
    <w:p w14:paraId="1A85235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 xml:space="preserve">质疑联系人： </w:t>
      </w:r>
      <w:r>
        <w:rPr>
          <w:rFonts w:hint="eastAsia" w:ascii="宋体" w:hAnsi="宋体" w:cs="宋体"/>
          <w:sz w:val="24"/>
          <w:highlight w:val="none"/>
          <w:lang w:val="en-US" w:eastAsia="zh-CN"/>
        </w:rPr>
        <w:t>孙柳群</w:t>
      </w:r>
      <w:r>
        <w:rPr>
          <w:rFonts w:hint="eastAsia" w:ascii="宋体" w:hAnsi="宋体" w:cs="宋体"/>
          <w:sz w:val="24"/>
          <w:highlight w:val="none"/>
        </w:rPr>
        <w:t xml:space="preserve">             </w:t>
      </w:r>
    </w:p>
    <w:p w14:paraId="75D7F2A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质疑联系方式：</w:t>
      </w:r>
      <w:r>
        <w:rPr>
          <w:rFonts w:hint="eastAsia" w:ascii="宋体" w:hAnsi="宋体" w:cs="宋体"/>
          <w:sz w:val="24"/>
          <w:highlight w:val="none"/>
          <w:lang w:val="en-US" w:eastAsia="zh-CN"/>
        </w:rPr>
        <w:t>13758089993</w:t>
      </w:r>
      <w:r>
        <w:rPr>
          <w:rFonts w:hint="eastAsia" w:ascii="宋体" w:hAnsi="宋体" w:cs="宋体"/>
          <w:sz w:val="24"/>
          <w:highlight w:val="none"/>
        </w:rPr>
        <w:t xml:space="preserve"> </w:t>
      </w:r>
    </w:p>
    <w:p w14:paraId="0C6C9B7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 xml:space="preserve">3.同级政府采购监督管理部门            </w:t>
      </w:r>
    </w:p>
    <w:p w14:paraId="2B8AD62C">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default" w:ascii="宋体" w:hAnsi="宋体" w:eastAsia="宋体" w:cs="宋体"/>
          <w:sz w:val="24"/>
          <w:highlight w:val="none"/>
          <w:lang w:val="en-US" w:eastAsia="zh-CN"/>
        </w:rPr>
      </w:pPr>
      <w:r>
        <w:rPr>
          <w:rFonts w:hint="eastAsia" w:ascii="宋体" w:hAnsi="宋体" w:cs="宋体"/>
          <w:sz w:val="24"/>
          <w:highlight w:val="none"/>
        </w:rPr>
        <w:t>名    称：</w:t>
      </w:r>
      <w:r>
        <w:rPr>
          <w:rFonts w:hint="eastAsia" w:ascii="宋体" w:hAnsi="宋体" w:cs="宋体"/>
          <w:sz w:val="24"/>
          <w:highlight w:val="none"/>
          <w:lang w:val="en-US" w:eastAsia="zh-CN"/>
        </w:rPr>
        <w:t>南湖区财政局监督局</w:t>
      </w:r>
    </w:p>
    <w:p w14:paraId="13F35161">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default" w:ascii="宋体" w:hAnsi="宋体" w:eastAsia="宋体" w:cs="宋体"/>
          <w:sz w:val="24"/>
          <w:highlight w:val="none"/>
          <w:lang w:val="en-US" w:eastAsia="zh-CN"/>
        </w:rPr>
      </w:pPr>
      <w:r>
        <w:rPr>
          <w:rFonts w:hint="eastAsia" w:ascii="宋体" w:hAnsi="宋体" w:cs="宋体"/>
          <w:sz w:val="24"/>
          <w:highlight w:val="none"/>
        </w:rPr>
        <w:t>地    址：</w:t>
      </w:r>
      <w:r>
        <w:rPr>
          <w:rFonts w:hint="eastAsia" w:ascii="宋体" w:hAnsi="宋体" w:cs="宋体"/>
          <w:sz w:val="24"/>
          <w:highlight w:val="none"/>
          <w:lang w:eastAsia="zh-CN"/>
        </w:rPr>
        <w:t>嘉兴市凌公塘路1260号南湖区行政中心</w:t>
      </w:r>
    </w:p>
    <w:p w14:paraId="180B7F8A">
      <w:pPr>
        <w:keepNext w:val="0"/>
        <w:keepLines w:val="0"/>
        <w:pageBreakBefore w:val="0"/>
        <w:kinsoku/>
        <w:wordWrap/>
        <w:overflowPunct/>
        <w:topLinePunct w:val="0"/>
        <w:autoSpaceDE/>
        <w:autoSpaceDN/>
        <w:bidi w:val="0"/>
        <w:adjustRightInd w:val="0"/>
        <w:spacing w:line="360" w:lineRule="auto"/>
        <w:ind w:firstLine="480"/>
        <w:textAlignment w:val="auto"/>
        <w:rPr>
          <w:rFonts w:ascii="宋体" w:hAnsi="宋体" w:cs="宋体"/>
          <w:sz w:val="24"/>
          <w:highlight w:val="none"/>
        </w:rPr>
      </w:pPr>
      <w:r>
        <w:rPr>
          <w:rFonts w:hint="eastAsia" w:ascii="宋体" w:hAnsi="宋体" w:cs="宋体"/>
          <w:sz w:val="24"/>
          <w:highlight w:val="none"/>
        </w:rPr>
        <w:t>传    真： /</w:t>
      </w:r>
    </w:p>
    <w:p w14:paraId="1E7E9EDF">
      <w:pPr>
        <w:keepNext w:val="0"/>
        <w:keepLines w:val="0"/>
        <w:pageBreakBefore w:val="0"/>
        <w:kinsoku/>
        <w:wordWrap/>
        <w:overflowPunct/>
        <w:topLinePunct w:val="0"/>
        <w:autoSpaceDE/>
        <w:autoSpaceDN/>
        <w:bidi w:val="0"/>
        <w:adjustRightInd w:val="0"/>
        <w:spacing w:line="360" w:lineRule="auto"/>
        <w:ind w:firstLine="480"/>
        <w:textAlignment w:val="auto"/>
        <w:rPr>
          <w:rFonts w:hint="default" w:ascii="宋体" w:hAnsi="宋体" w:eastAsia="宋体" w:cs="宋体"/>
          <w:sz w:val="24"/>
          <w:highlight w:val="none"/>
          <w:lang w:val="en-US" w:eastAsia="zh-CN"/>
        </w:rPr>
      </w:pPr>
      <w:r>
        <w:rPr>
          <w:rFonts w:hint="eastAsia" w:ascii="宋体" w:hAnsi="宋体" w:cs="宋体"/>
          <w:sz w:val="24"/>
          <w:highlight w:val="none"/>
        </w:rPr>
        <w:t>联系人 ：</w:t>
      </w:r>
      <w:r>
        <w:rPr>
          <w:rFonts w:hint="eastAsia" w:ascii="宋体" w:hAnsi="宋体" w:cs="宋体"/>
          <w:sz w:val="24"/>
          <w:highlight w:val="none"/>
          <w:lang w:eastAsia="zh-CN"/>
        </w:rPr>
        <w:t>乔先生</w:t>
      </w:r>
    </w:p>
    <w:p w14:paraId="1289E536">
      <w:pPr>
        <w:keepNext w:val="0"/>
        <w:keepLines w:val="0"/>
        <w:pageBreakBefore w:val="0"/>
        <w:kinsoku/>
        <w:wordWrap/>
        <w:overflowPunct/>
        <w:topLinePunct w:val="0"/>
        <w:autoSpaceDE/>
        <w:autoSpaceDN/>
        <w:bidi w:val="0"/>
        <w:adjustRightInd w:val="0"/>
        <w:spacing w:line="360" w:lineRule="auto"/>
        <w:ind w:firstLine="480"/>
        <w:textAlignment w:val="auto"/>
        <w:rPr>
          <w:rFonts w:hint="default" w:ascii="宋体" w:hAnsi="宋体" w:eastAsia="宋体" w:cs="宋体"/>
          <w:sz w:val="24"/>
          <w:highlight w:val="none"/>
          <w:lang w:val="en-US" w:eastAsia="zh-CN"/>
        </w:rPr>
      </w:pPr>
      <w:r>
        <w:rPr>
          <w:rFonts w:hint="eastAsia" w:ascii="宋体" w:hAnsi="宋体" w:cs="宋体"/>
          <w:sz w:val="24"/>
          <w:highlight w:val="none"/>
        </w:rPr>
        <w:t>监督投诉电话：0573-82832019</w:t>
      </w:r>
    </w:p>
    <w:p w14:paraId="12F77E64">
      <w:pPr>
        <w:keepNext w:val="0"/>
        <w:keepLines w:val="0"/>
        <w:pageBreakBefore w:val="0"/>
        <w:kinsoku/>
        <w:wordWrap/>
        <w:overflowPunct/>
        <w:topLinePunct w:val="0"/>
        <w:autoSpaceDE/>
        <w:autoSpaceDN/>
        <w:bidi w:val="0"/>
        <w:adjustRightInd w:val="0"/>
        <w:spacing w:line="360" w:lineRule="auto"/>
        <w:ind w:firstLine="480"/>
        <w:textAlignment w:val="auto"/>
        <w:rPr>
          <w:rFonts w:ascii="宋体" w:hAnsi="宋体" w:cs="宋体"/>
          <w:sz w:val="24"/>
          <w:highlight w:val="none"/>
        </w:rPr>
      </w:pPr>
      <w:r>
        <w:rPr>
          <w:rFonts w:hint="eastAsia" w:ascii="宋体" w:hAnsi="宋体" w:cs="宋体"/>
          <w:sz w:val="24"/>
          <w:highlight w:val="none"/>
        </w:rPr>
        <w:t xml:space="preserve"> </w:t>
      </w:r>
    </w:p>
    <w:p w14:paraId="18A52820">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若对项目采购电子交易系统操作有疑问，可登录政采云（https://www.zcygov.cn/），点击右侧咨询小采，获取采小蜜智能服务管家帮助，或拨打政采云服务热线95763获取热线服务帮助。</w:t>
      </w:r>
    </w:p>
    <w:p w14:paraId="722FB6D9">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CA问题联系电话（人工）：汇信CA 400-888-4636；天谷CA 400-087-8198。</w:t>
      </w:r>
    </w:p>
    <w:p w14:paraId="38E5A5E2">
      <w:pPr>
        <w:pStyle w:val="33"/>
        <w:spacing w:line="360" w:lineRule="auto"/>
        <w:rPr>
          <w:rFonts w:hAnsi="宋体" w:cs="宋体"/>
          <w:b/>
          <w:sz w:val="36"/>
          <w:szCs w:val="20"/>
          <w:highlight w:val="none"/>
        </w:rPr>
      </w:pPr>
      <w:r>
        <w:rPr>
          <w:rFonts w:hint="eastAsia" w:hAnsi="宋体" w:cs="宋体"/>
          <w:sz w:val="24"/>
          <w:highlight w:val="none"/>
        </w:rPr>
        <w:t xml:space="preserve">                        </w:t>
      </w:r>
      <w:r>
        <w:rPr>
          <w:rFonts w:hAnsi="宋体" w:cs="宋体"/>
          <w:b/>
          <w:sz w:val="36"/>
          <w:szCs w:val="20"/>
          <w:highlight w:val="none"/>
        </w:rPr>
        <w:t xml:space="preserve"> </w:t>
      </w:r>
    </w:p>
    <w:p w14:paraId="65EE043D">
      <w:pPr>
        <w:pStyle w:val="33"/>
        <w:spacing w:line="360" w:lineRule="auto"/>
        <w:rPr>
          <w:rFonts w:hAnsi="宋体" w:cs="宋体"/>
          <w:b/>
          <w:sz w:val="36"/>
          <w:szCs w:val="20"/>
          <w:highlight w:val="none"/>
        </w:rPr>
      </w:pPr>
    </w:p>
    <w:p w14:paraId="5DC35B78">
      <w:pPr>
        <w:pStyle w:val="33"/>
        <w:spacing w:line="360" w:lineRule="auto"/>
        <w:rPr>
          <w:rFonts w:hAnsi="宋体" w:cs="宋体"/>
          <w:b/>
          <w:sz w:val="36"/>
          <w:szCs w:val="20"/>
          <w:highlight w:val="none"/>
        </w:rPr>
      </w:pPr>
    </w:p>
    <w:p w14:paraId="46569978">
      <w:pPr>
        <w:pStyle w:val="33"/>
        <w:spacing w:line="360" w:lineRule="auto"/>
        <w:rPr>
          <w:rFonts w:hAnsi="宋体" w:cs="宋体"/>
          <w:b/>
          <w:sz w:val="36"/>
          <w:szCs w:val="20"/>
          <w:highlight w:val="none"/>
        </w:rPr>
      </w:pPr>
    </w:p>
    <w:p w14:paraId="5D87B946">
      <w:pPr>
        <w:pStyle w:val="33"/>
        <w:spacing w:line="360" w:lineRule="auto"/>
        <w:rPr>
          <w:rFonts w:hAnsi="宋体" w:cs="宋体"/>
          <w:b/>
          <w:sz w:val="36"/>
          <w:szCs w:val="20"/>
          <w:highlight w:val="none"/>
        </w:rPr>
      </w:pPr>
    </w:p>
    <w:p w14:paraId="68973AE6">
      <w:pPr>
        <w:pStyle w:val="33"/>
        <w:spacing w:line="360" w:lineRule="auto"/>
        <w:rPr>
          <w:rFonts w:hAnsi="宋体" w:cs="宋体"/>
          <w:b/>
          <w:sz w:val="36"/>
          <w:szCs w:val="20"/>
          <w:highlight w:val="none"/>
        </w:rPr>
      </w:pPr>
    </w:p>
    <w:p w14:paraId="586B786A">
      <w:pPr>
        <w:pStyle w:val="33"/>
        <w:spacing w:line="360" w:lineRule="auto"/>
        <w:rPr>
          <w:rFonts w:hAnsi="宋体" w:cs="宋体"/>
          <w:b/>
          <w:sz w:val="36"/>
          <w:szCs w:val="20"/>
          <w:highlight w:val="none"/>
        </w:rPr>
      </w:pPr>
    </w:p>
    <w:p w14:paraId="5E54CB72">
      <w:pPr>
        <w:pStyle w:val="33"/>
        <w:spacing w:line="360" w:lineRule="auto"/>
        <w:rPr>
          <w:rFonts w:hAnsi="宋体" w:cs="宋体"/>
          <w:b/>
          <w:sz w:val="36"/>
          <w:szCs w:val="20"/>
          <w:highlight w:val="none"/>
        </w:rPr>
      </w:pPr>
    </w:p>
    <w:p w14:paraId="550ABE63">
      <w:pPr>
        <w:pStyle w:val="33"/>
        <w:spacing w:line="360" w:lineRule="auto"/>
        <w:rPr>
          <w:rFonts w:hAnsi="宋体" w:cs="宋体"/>
          <w:b/>
          <w:sz w:val="36"/>
          <w:szCs w:val="20"/>
          <w:highlight w:val="none"/>
        </w:rPr>
      </w:pPr>
    </w:p>
    <w:p w14:paraId="6F944B59">
      <w:pPr>
        <w:pStyle w:val="33"/>
        <w:spacing w:line="360" w:lineRule="auto"/>
        <w:rPr>
          <w:rFonts w:hAnsi="宋体" w:cs="宋体"/>
          <w:b/>
          <w:sz w:val="36"/>
          <w:szCs w:val="20"/>
          <w:highlight w:val="none"/>
        </w:rPr>
      </w:pPr>
    </w:p>
    <w:p w14:paraId="1B6D90F7">
      <w:pPr>
        <w:pStyle w:val="33"/>
        <w:spacing w:line="360" w:lineRule="auto"/>
        <w:rPr>
          <w:rFonts w:hAnsi="宋体" w:cs="宋体"/>
          <w:b/>
          <w:sz w:val="36"/>
          <w:szCs w:val="20"/>
          <w:highlight w:val="none"/>
        </w:rPr>
      </w:pPr>
    </w:p>
    <w:p w14:paraId="63B232FA">
      <w:pPr>
        <w:pStyle w:val="33"/>
        <w:spacing w:line="360" w:lineRule="auto"/>
        <w:rPr>
          <w:rFonts w:hAnsi="宋体" w:cs="宋体"/>
          <w:b/>
          <w:sz w:val="36"/>
          <w:szCs w:val="20"/>
          <w:highlight w:val="none"/>
        </w:rPr>
      </w:pPr>
    </w:p>
    <w:p w14:paraId="1A6D93A0">
      <w:pPr>
        <w:pStyle w:val="33"/>
        <w:spacing w:line="360" w:lineRule="auto"/>
        <w:rPr>
          <w:rFonts w:hAnsi="宋体" w:cs="宋体"/>
          <w:b/>
          <w:sz w:val="36"/>
          <w:szCs w:val="20"/>
          <w:highlight w:val="none"/>
        </w:rPr>
      </w:pPr>
    </w:p>
    <w:p w14:paraId="6766FE66">
      <w:pPr>
        <w:pStyle w:val="33"/>
        <w:spacing w:line="360" w:lineRule="auto"/>
        <w:rPr>
          <w:rFonts w:hAnsi="宋体" w:cs="宋体"/>
          <w:b/>
          <w:sz w:val="36"/>
          <w:szCs w:val="20"/>
          <w:highlight w:val="none"/>
        </w:rPr>
      </w:pPr>
    </w:p>
    <w:p w14:paraId="0FDFC0EC">
      <w:pPr>
        <w:pStyle w:val="33"/>
        <w:spacing w:line="360" w:lineRule="auto"/>
        <w:rPr>
          <w:rFonts w:hAnsi="宋体" w:cs="宋体"/>
          <w:b/>
          <w:sz w:val="36"/>
          <w:szCs w:val="20"/>
          <w:highlight w:val="none"/>
        </w:rPr>
      </w:pPr>
    </w:p>
    <w:p w14:paraId="57CA1161">
      <w:pPr>
        <w:pStyle w:val="33"/>
        <w:spacing w:line="360" w:lineRule="auto"/>
        <w:rPr>
          <w:rFonts w:hAnsi="宋体" w:cs="宋体"/>
          <w:b/>
          <w:sz w:val="36"/>
          <w:szCs w:val="20"/>
          <w:highlight w:val="none"/>
        </w:rPr>
      </w:pPr>
    </w:p>
    <w:p w14:paraId="755EE948">
      <w:pPr>
        <w:pStyle w:val="33"/>
        <w:spacing w:line="360" w:lineRule="auto"/>
        <w:rPr>
          <w:rFonts w:hAnsi="宋体" w:cs="宋体"/>
          <w:b/>
          <w:sz w:val="36"/>
          <w:szCs w:val="20"/>
          <w:highlight w:val="none"/>
        </w:rPr>
      </w:pPr>
    </w:p>
    <w:p w14:paraId="46158571">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第二部分</w:t>
      </w:r>
      <w:bookmarkEnd w:id="8"/>
      <w:r>
        <w:rPr>
          <w:rFonts w:hint="eastAsia" w:ascii="宋体" w:hAnsi="宋体" w:cs="宋体"/>
          <w:b/>
          <w:sz w:val="36"/>
          <w:szCs w:val="20"/>
          <w:highlight w:val="none"/>
        </w:rPr>
        <w:t xml:space="preserve"> 投标人须知</w:t>
      </w:r>
      <w:bookmarkEnd w:id="9"/>
    </w:p>
    <w:p w14:paraId="7D2F68B7">
      <w:pPr>
        <w:adjustRightInd/>
        <w:spacing w:line="36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前附表</w:t>
      </w:r>
    </w:p>
    <w:tbl>
      <w:tblPr>
        <w:tblStyle w:val="65"/>
        <w:tblW w:w="106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74"/>
        <w:gridCol w:w="2918"/>
        <w:gridCol w:w="7000"/>
      </w:tblGrid>
      <w:tr w14:paraId="7026F4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jc w:val="center"/>
        </w:trPr>
        <w:tc>
          <w:tcPr>
            <w:tcW w:w="774" w:type="dxa"/>
            <w:tcBorders>
              <w:top w:val="single" w:color="auto" w:sz="4" w:space="0"/>
              <w:left w:val="single" w:color="auto" w:sz="4" w:space="0"/>
              <w:bottom w:val="single" w:color="auto" w:sz="4" w:space="0"/>
              <w:right w:val="single" w:color="auto" w:sz="4" w:space="0"/>
            </w:tcBorders>
            <w:vAlign w:val="center"/>
          </w:tcPr>
          <w:p w14:paraId="224822AE">
            <w:pPr>
              <w:snapToGrid w:val="0"/>
              <w:spacing w:line="240" w:lineRule="auto"/>
              <w:jc w:val="center"/>
              <w:rPr>
                <w:rFonts w:ascii="宋体" w:hAnsi="宋体" w:cs="宋体"/>
                <w:b/>
                <w:sz w:val="24"/>
                <w:highlight w:val="none"/>
              </w:rPr>
            </w:pPr>
            <w:r>
              <w:rPr>
                <w:rFonts w:hint="eastAsia" w:ascii="宋体" w:hAnsi="宋体" w:cs="宋体"/>
                <w:b/>
                <w:sz w:val="24"/>
                <w:highlight w:val="none"/>
              </w:rPr>
              <w:t>序号</w:t>
            </w:r>
          </w:p>
        </w:tc>
        <w:tc>
          <w:tcPr>
            <w:tcW w:w="2918" w:type="dxa"/>
            <w:tcBorders>
              <w:top w:val="single" w:color="000000" w:sz="8" w:space="0"/>
              <w:left w:val="single" w:color="auto" w:sz="4" w:space="0"/>
              <w:bottom w:val="single" w:color="000000" w:sz="8" w:space="0"/>
              <w:right w:val="single" w:color="000000" w:sz="8" w:space="0"/>
            </w:tcBorders>
            <w:vAlign w:val="center"/>
          </w:tcPr>
          <w:p w14:paraId="081837E2">
            <w:pPr>
              <w:snapToGrid w:val="0"/>
              <w:spacing w:line="240" w:lineRule="auto"/>
              <w:jc w:val="center"/>
              <w:rPr>
                <w:rFonts w:ascii="宋体" w:hAnsi="宋体" w:cs="宋体"/>
                <w:b/>
                <w:sz w:val="24"/>
                <w:highlight w:val="none"/>
              </w:rPr>
            </w:pPr>
            <w:r>
              <w:rPr>
                <w:rFonts w:hint="eastAsia" w:ascii="宋体" w:hAnsi="宋体" w:cs="宋体"/>
                <w:b/>
                <w:sz w:val="24"/>
                <w:highlight w:val="none"/>
              </w:rPr>
              <w:t>事项</w:t>
            </w:r>
          </w:p>
        </w:tc>
        <w:tc>
          <w:tcPr>
            <w:tcW w:w="7000" w:type="dxa"/>
            <w:tcBorders>
              <w:top w:val="single" w:color="000000" w:sz="8" w:space="0"/>
              <w:left w:val="single" w:color="000000" w:sz="2" w:space="0"/>
              <w:bottom w:val="single" w:color="000000" w:sz="8" w:space="0"/>
              <w:right w:val="single" w:color="000000" w:sz="8" w:space="0"/>
            </w:tcBorders>
            <w:vAlign w:val="center"/>
          </w:tcPr>
          <w:p w14:paraId="13E7E1A4">
            <w:pPr>
              <w:snapToGrid w:val="0"/>
              <w:spacing w:line="240" w:lineRule="auto"/>
              <w:jc w:val="center"/>
              <w:rPr>
                <w:rFonts w:ascii="宋体" w:hAnsi="宋体" w:cs="宋体"/>
                <w:b/>
                <w:sz w:val="24"/>
                <w:highlight w:val="none"/>
              </w:rPr>
            </w:pPr>
            <w:r>
              <w:rPr>
                <w:rFonts w:hint="eastAsia" w:ascii="宋体" w:hAnsi="宋体" w:cs="宋体"/>
                <w:b/>
                <w:sz w:val="24"/>
                <w:highlight w:val="none"/>
              </w:rPr>
              <w:t>本项目的特别规定</w:t>
            </w:r>
          </w:p>
        </w:tc>
      </w:tr>
      <w:tr w14:paraId="2E6742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8" w:hRule="atLeast"/>
          <w:tblHeader/>
          <w:jc w:val="center"/>
        </w:trPr>
        <w:tc>
          <w:tcPr>
            <w:tcW w:w="774" w:type="dxa"/>
            <w:tcBorders>
              <w:top w:val="single" w:color="auto" w:sz="4" w:space="0"/>
              <w:left w:val="single" w:color="auto" w:sz="4" w:space="0"/>
              <w:bottom w:val="single" w:color="auto" w:sz="4" w:space="0"/>
              <w:right w:val="single" w:color="auto" w:sz="4" w:space="0"/>
            </w:tcBorders>
            <w:vAlign w:val="center"/>
          </w:tcPr>
          <w:p w14:paraId="77B36AD5">
            <w:pPr>
              <w:snapToGrid w:val="0"/>
              <w:spacing w:line="240" w:lineRule="auto"/>
              <w:jc w:val="center"/>
              <w:rPr>
                <w:rFonts w:ascii="宋体" w:hAnsi="宋体" w:cs="宋体"/>
                <w:sz w:val="24"/>
                <w:highlight w:val="none"/>
              </w:rPr>
            </w:pPr>
          </w:p>
          <w:p w14:paraId="082F1DDD">
            <w:pPr>
              <w:snapToGrid w:val="0"/>
              <w:spacing w:line="240" w:lineRule="auto"/>
              <w:jc w:val="center"/>
              <w:rPr>
                <w:rFonts w:ascii="宋体" w:hAnsi="宋体" w:cs="宋体"/>
                <w:sz w:val="24"/>
                <w:highlight w:val="none"/>
              </w:rPr>
            </w:pPr>
            <w:r>
              <w:rPr>
                <w:rFonts w:hint="eastAsia" w:ascii="宋体" w:hAnsi="宋体" w:cs="宋体"/>
                <w:sz w:val="24"/>
                <w:highlight w:val="none"/>
              </w:rPr>
              <w:t>1</w:t>
            </w:r>
          </w:p>
        </w:tc>
        <w:tc>
          <w:tcPr>
            <w:tcW w:w="2918" w:type="dxa"/>
            <w:tcBorders>
              <w:top w:val="single" w:color="000000" w:sz="8" w:space="0"/>
              <w:left w:val="single" w:color="auto" w:sz="4" w:space="0"/>
              <w:bottom w:val="single" w:color="000000" w:sz="8" w:space="0"/>
              <w:right w:val="single" w:color="000000" w:sz="8" w:space="0"/>
            </w:tcBorders>
            <w:vAlign w:val="center"/>
          </w:tcPr>
          <w:p w14:paraId="0D855D29">
            <w:pPr>
              <w:snapToGrid w:val="0"/>
              <w:spacing w:line="240" w:lineRule="auto"/>
              <w:jc w:val="center"/>
              <w:rPr>
                <w:rFonts w:ascii="宋体" w:hAnsi="宋体" w:cs="宋体"/>
                <w:b/>
                <w:sz w:val="24"/>
                <w:highlight w:val="none"/>
              </w:rPr>
            </w:pPr>
            <w:r>
              <w:rPr>
                <w:rFonts w:hint="eastAsia" w:ascii="宋体" w:hAnsi="宋体" w:cs="宋体"/>
                <w:b/>
                <w:sz w:val="24"/>
                <w:highlight w:val="none"/>
              </w:rPr>
              <w:t>项目属性与核心产品</w:t>
            </w:r>
          </w:p>
        </w:tc>
        <w:tc>
          <w:tcPr>
            <w:tcW w:w="7000" w:type="dxa"/>
            <w:tcBorders>
              <w:top w:val="single" w:color="000000" w:sz="8" w:space="0"/>
              <w:left w:val="single" w:color="000000" w:sz="2" w:space="0"/>
              <w:bottom w:val="single" w:color="000000" w:sz="8" w:space="0"/>
              <w:right w:val="single" w:color="000000" w:sz="8" w:space="0"/>
            </w:tcBorders>
            <w:vAlign w:val="center"/>
          </w:tcPr>
          <w:p w14:paraId="428FDE04">
            <w:pPr>
              <w:spacing w:line="240" w:lineRule="auto"/>
              <w:jc w:val="both"/>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rPr>
              <w:t>货物类，</w:t>
            </w:r>
            <w:r>
              <w:rPr>
                <w:rFonts w:hint="eastAsia" w:ascii="宋体" w:hAnsi="宋体" w:cs="宋体"/>
                <w:b/>
                <w:bCs/>
                <w:color w:val="auto"/>
                <w:kern w:val="0"/>
                <w:sz w:val="24"/>
                <w:highlight w:val="none"/>
              </w:rPr>
              <w:t>核心产品为：</w:t>
            </w:r>
            <w:r>
              <w:rPr>
                <w:rFonts w:hint="eastAsia" w:ascii="宋体" w:hAnsi="宋体" w:cs="宋体"/>
                <w:b/>
                <w:bCs/>
                <w:color w:val="auto"/>
                <w:kern w:val="0"/>
                <w:sz w:val="24"/>
                <w:highlight w:val="none"/>
                <w:u w:val="single"/>
                <w:lang w:val="en-US" w:eastAsia="zh-CN"/>
              </w:rPr>
              <w:t>高清录</w:t>
            </w:r>
            <w:bookmarkStart w:id="406" w:name="_GoBack"/>
            <w:bookmarkEnd w:id="406"/>
            <w:r>
              <w:rPr>
                <w:rFonts w:hint="eastAsia" w:ascii="宋体" w:hAnsi="宋体" w:cs="宋体"/>
                <w:b/>
                <w:bCs/>
                <w:color w:val="auto"/>
                <w:kern w:val="0"/>
                <w:sz w:val="24"/>
                <w:highlight w:val="none"/>
                <w:u w:val="single"/>
                <w:lang w:val="en-US" w:eastAsia="zh-CN"/>
              </w:rPr>
              <w:t>播主机、虚拟演播室主机</w:t>
            </w:r>
          </w:p>
        </w:tc>
      </w:tr>
      <w:tr w14:paraId="3C29B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6" w:hRule="atLeast"/>
          <w:tblHeader/>
          <w:jc w:val="center"/>
        </w:trPr>
        <w:tc>
          <w:tcPr>
            <w:tcW w:w="774" w:type="dxa"/>
            <w:tcBorders>
              <w:top w:val="single" w:color="auto" w:sz="4" w:space="0"/>
              <w:left w:val="single" w:color="auto" w:sz="4" w:space="0"/>
              <w:bottom w:val="single" w:color="auto" w:sz="4" w:space="0"/>
              <w:right w:val="single" w:color="auto" w:sz="4" w:space="0"/>
            </w:tcBorders>
            <w:vAlign w:val="center"/>
          </w:tcPr>
          <w:p w14:paraId="7F962113">
            <w:pPr>
              <w:snapToGrid w:val="0"/>
              <w:spacing w:line="240" w:lineRule="auto"/>
              <w:jc w:val="center"/>
              <w:rPr>
                <w:rFonts w:ascii="宋体" w:hAnsi="宋体" w:cs="宋体"/>
                <w:sz w:val="24"/>
                <w:highlight w:val="none"/>
              </w:rPr>
            </w:pPr>
          </w:p>
          <w:p w14:paraId="73D06AEE">
            <w:pPr>
              <w:snapToGrid w:val="0"/>
              <w:spacing w:line="240" w:lineRule="auto"/>
              <w:jc w:val="center"/>
              <w:rPr>
                <w:rFonts w:ascii="宋体" w:hAnsi="宋体" w:cs="宋体"/>
                <w:sz w:val="24"/>
                <w:highlight w:val="none"/>
              </w:rPr>
            </w:pPr>
            <w:r>
              <w:rPr>
                <w:rFonts w:hint="eastAsia" w:ascii="宋体" w:hAnsi="宋体" w:cs="宋体"/>
                <w:sz w:val="24"/>
                <w:highlight w:val="none"/>
              </w:rPr>
              <w:t>2</w:t>
            </w:r>
          </w:p>
        </w:tc>
        <w:tc>
          <w:tcPr>
            <w:tcW w:w="2918" w:type="dxa"/>
            <w:tcBorders>
              <w:top w:val="single" w:color="000000" w:sz="8" w:space="0"/>
              <w:left w:val="single" w:color="auto" w:sz="4" w:space="0"/>
              <w:bottom w:val="single" w:color="000000" w:sz="8" w:space="0"/>
              <w:right w:val="single" w:color="000000" w:sz="8" w:space="0"/>
            </w:tcBorders>
            <w:vAlign w:val="center"/>
          </w:tcPr>
          <w:p w14:paraId="6261A637">
            <w:pPr>
              <w:snapToGrid w:val="0"/>
              <w:spacing w:line="240" w:lineRule="auto"/>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7000" w:type="dxa"/>
            <w:tcBorders>
              <w:top w:val="single" w:color="000000" w:sz="8" w:space="0"/>
              <w:left w:val="single" w:color="000000" w:sz="2" w:space="0"/>
              <w:bottom w:val="single" w:color="000000" w:sz="8" w:space="0"/>
              <w:right w:val="single" w:color="000000" w:sz="8" w:space="0"/>
            </w:tcBorders>
            <w:vAlign w:val="center"/>
          </w:tcPr>
          <w:p w14:paraId="56B775E8">
            <w:pPr>
              <w:snapToGrid w:val="0"/>
              <w:spacing w:line="24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标的：</w:t>
            </w:r>
          </w:p>
          <w:p w14:paraId="7579B0BD">
            <w:pPr>
              <w:snapToGrid w:val="0"/>
              <w:spacing w:line="240" w:lineRule="auto"/>
              <w:rPr>
                <w:rFonts w:ascii="宋体" w:hAnsi="宋体" w:eastAsia="宋体" w:cs="宋体"/>
                <w:color w:val="auto"/>
                <w:highlight w:val="none"/>
                <w:lang w:val="en-US"/>
              </w:rPr>
            </w:pPr>
            <w:r>
              <w:rPr>
                <w:rFonts w:hint="eastAsia" w:ascii="宋体" w:hAnsi="宋体" w:cs="宋体"/>
                <w:color w:val="auto"/>
                <w:kern w:val="0"/>
                <w:sz w:val="24"/>
                <w:highlight w:val="none"/>
                <w:lang w:eastAsia="zh-CN"/>
              </w:rPr>
              <w:t xml:space="preserve">嘉兴南湖高新区实验学校专用教室采购项目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工业</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行业；</w:t>
            </w:r>
          </w:p>
        </w:tc>
      </w:tr>
      <w:tr w14:paraId="46CED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6" w:hRule="atLeast"/>
          <w:tblHeader/>
          <w:jc w:val="center"/>
        </w:trPr>
        <w:tc>
          <w:tcPr>
            <w:tcW w:w="774" w:type="dxa"/>
            <w:tcBorders>
              <w:top w:val="single" w:color="auto" w:sz="4" w:space="0"/>
              <w:left w:val="single" w:color="auto" w:sz="4" w:space="0"/>
              <w:bottom w:val="single" w:color="auto" w:sz="4" w:space="0"/>
              <w:right w:val="single" w:color="auto" w:sz="4" w:space="0"/>
            </w:tcBorders>
            <w:vAlign w:val="center"/>
          </w:tcPr>
          <w:p w14:paraId="1DFE1C0E">
            <w:pPr>
              <w:snapToGrid w:val="0"/>
              <w:spacing w:line="240" w:lineRule="auto"/>
              <w:jc w:val="center"/>
              <w:rPr>
                <w:rFonts w:ascii="宋体" w:hAnsi="宋体" w:cs="宋体"/>
                <w:sz w:val="24"/>
                <w:highlight w:val="none"/>
              </w:rPr>
            </w:pPr>
          </w:p>
          <w:p w14:paraId="5E1C5C8F">
            <w:pPr>
              <w:snapToGrid w:val="0"/>
              <w:spacing w:line="240" w:lineRule="auto"/>
              <w:jc w:val="center"/>
              <w:rPr>
                <w:rFonts w:ascii="宋体" w:hAnsi="宋体" w:cs="宋体"/>
                <w:sz w:val="24"/>
                <w:highlight w:val="none"/>
              </w:rPr>
            </w:pPr>
            <w:r>
              <w:rPr>
                <w:rFonts w:hint="eastAsia" w:ascii="宋体" w:hAnsi="宋体" w:cs="宋体"/>
                <w:sz w:val="24"/>
                <w:highlight w:val="none"/>
              </w:rPr>
              <w:t>3</w:t>
            </w:r>
          </w:p>
        </w:tc>
        <w:tc>
          <w:tcPr>
            <w:tcW w:w="2918" w:type="dxa"/>
            <w:tcBorders>
              <w:top w:val="single" w:color="000000" w:sz="8" w:space="0"/>
              <w:left w:val="single" w:color="auto" w:sz="4" w:space="0"/>
              <w:bottom w:val="single" w:color="000000" w:sz="8" w:space="0"/>
              <w:right w:val="single" w:color="000000" w:sz="8" w:space="0"/>
            </w:tcBorders>
            <w:vAlign w:val="center"/>
          </w:tcPr>
          <w:p w14:paraId="47DB4D85">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7000" w:type="dxa"/>
            <w:tcBorders>
              <w:top w:val="single" w:color="000000" w:sz="8" w:space="0"/>
              <w:left w:val="single" w:color="000000" w:sz="2" w:space="0"/>
              <w:bottom w:val="single" w:color="000000" w:sz="8" w:space="0"/>
              <w:right w:val="single" w:color="000000" w:sz="8" w:space="0"/>
            </w:tcBorders>
            <w:vAlign w:val="center"/>
          </w:tcPr>
          <w:p w14:paraId="1F20AC54">
            <w:pPr>
              <w:spacing w:line="24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本项目不允许采购进口产品。</w:t>
            </w:r>
          </w:p>
          <w:p w14:paraId="17581A0A">
            <w:pPr>
              <w:spacing w:line="24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792FC7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7" w:hRule="atLeast"/>
          <w:tblHeader/>
          <w:jc w:val="center"/>
        </w:trPr>
        <w:tc>
          <w:tcPr>
            <w:tcW w:w="774" w:type="dxa"/>
            <w:tcBorders>
              <w:top w:val="single" w:color="auto" w:sz="4" w:space="0"/>
              <w:left w:val="single" w:color="auto" w:sz="4" w:space="0"/>
              <w:bottom w:val="single" w:color="auto" w:sz="4" w:space="0"/>
              <w:right w:val="single" w:color="auto" w:sz="4" w:space="0"/>
            </w:tcBorders>
            <w:vAlign w:val="center"/>
          </w:tcPr>
          <w:p w14:paraId="30AD2447">
            <w:pPr>
              <w:snapToGrid w:val="0"/>
              <w:spacing w:line="240" w:lineRule="auto"/>
              <w:jc w:val="center"/>
              <w:rPr>
                <w:rFonts w:ascii="宋体" w:hAnsi="宋体" w:cs="宋体"/>
                <w:sz w:val="24"/>
                <w:highlight w:val="none"/>
              </w:rPr>
            </w:pPr>
            <w:r>
              <w:rPr>
                <w:rFonts w:hint="eastAsia" w:ascii="宋体" w:hAnsi="宋体" w:cs="宋体"/>
                <w:sz w:val="24"/>
                <w:highlight w:val="none"/>
              </w:rPr>
              <w:t>4</w:t>
            </w:r>
          </w:p>
        </w:tc>
        <w:tc>
          <w:tcPr>
            <w:tcW w:w="2918" w:type="dxa"/>
            <w:tcBorders>
              <w:top w:val="single" w:color="000000" w:sz="8" w:space="0"/>
              <w:left w:val="single" w:color="auto" w:sz="4" w:space="0"/>
              <w:bottom w:val="single" w:color="000000" w:sz="8" w:space="0"/>
              <w:right w:val="single" w:color="000000" w:sz="8" w:space="0"/>
            </w:tcBorders>
            <w:vAlign w:val="center"/>
          </w:tcPr>
          <w:p w14:paraId="54F22DBB">
            <w:pPr>
              <w:snapToGrid w:val="0"/>
              <w:spacing w:line="240" w:lineRule="auto"/>
              <w:ind w:firstLine="482" w:firstLineChars="200"/>
              <w:jc w:val="center"/>
              <w:rPr>
                <w:rFonts w:ascii="宋体" w:hAnsi="宋体" w:cs="宋体"/>
                <w:b/>
                <w:sz w:val="24"/>
                <w:highlight w:val="none"/>
              </w:rPr>
            </w:pPr>
            <w:r>
              <w:rPr>
                <w:rFonts w:hint="eastAsia" w:ascii="宋体" w:hAnsi="宋体" w:cs="宋体"/>
                <w:b/>
                <w:sz w:val="24"/>
                <w:highlight w:val="none"/>
              </w:rPr>
              <w:t>分包</w:t>
            </w:r>
          </w:p>
        </w:tc>
        <w:tc>
          <w:tcPr>
            <w:tcW w:w="7000" w:type="dxa"/>
            <w:tcBorders>
              <w:top w:val="single" w:color="000000" w:sz="8" w:space="0"/>
              <w:left w:val="single" w:color="000000" w:sz="2" w:space="0"/>
              <w:bottom w:val="single" w:color="000000" w:sz="8" w:space="0"/>
              <w:right w:val="single" w:color="000000" w:sz="8" w:space="0"/>
            </w:tcBorders>
            <w:vAlign w:val="center"/>
          </w:tcPr>
          <w:p w14:paraId="2C6C6215">
            <w:pPr>
              <w:spacing w:line="24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01CC71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7" w:hRule="atLeast"/>
          <w:tblHeader/>
          <w:jc w:val="center"/>
        </w:trPr>
        <w:tc>
          <w:tcPr>
            <w:tcW w:w="774" w:type="dxa"/>
            <w:tcBorders>
              <w:top w:val="single" w:color="auto" w:sz="4" w:space="0"/>
              <w:left w:val="single" w:color="auto" w:sz="4" w:space="0"/>
              <w:bottom w:val="single" w:color="auto" w:sz="4" w:space="0"/>
              <w:right w:val="single" w:color="auto" w:sz="4" w:space="0"/>
            </w:tcBorders>
            <w:vAlign w:val="center"/>
          </w:tcPr>
          <w:p w14:paraId="0BE63B7B">
            <w:pPr>
              <w:snapToGrid w:val="0"/>
              <w:spacing w:line="240" w:lineRule="auto"/>
              <w:jc w:val="center"/>
              <w:rPr>
                <w:rFonts w:ascii="宋体" w:hAnsi="宋体" w:cs="宋体"/>
                <w:sz w:val="24"/>
                <w:highlight w:val="none"/>
              </w:rPr>
            </w:pPr>
            <w:r>
              <w:rPr>
                <w:rFonts w:hint="eastAsia" w:ascii="宋体" w:hAnsi="宋体" w:cs="宋体"/>
                <w:sz w:val="24"/>
                <w:highlight w:val="none"/>
              </w:rPr>
              <w:t>5</w:t>
            </w:r>
          </w:p>
        </w:tc>
        <w:tc>
          <w:tcPr>
            <w:tcW w:w="2918" w:type="dxa"/>
            <w:tcBorders>
              <w:top w:val="single" w:color="000000" w:sz="8" w:space="0"/>
              <w:left w:val="single" w:color="auto" w:sz="4" w:space="0"/>
              <w:bottom w:val="single" w:color="000000" w:sz="8" w:space="0"/>
              <w:right w:val="single" w:color="000000" w:sz="8" w:space="0"/>
            </w:tcBorders>
            <w:vAlign w:val="center"/>
          </w:tcPr>
          <w:p w14:paraId="16E8C4FF">
            <w:pPr>
              <w:snapToGrid w:val="0"/>
              <w:spacing w:line="240" w:lineRule="auto"/>
              <w:jc w:val="center"/>
              <w:rPr>
                <w:rFonts w:hint="eastAsia" w:ascii="宋体" w:hAnsi="宋体" w:eastAsia="宋体" w:cs="宋体"/>
                <w:b/>
                <w:sz w:val="24"/>
                <w:highlight w:val="none"/>
                <w:lang w:eastAsia="zh-CN"/>
              </w:rPr>
            </w:pPr>
            <w:r>
              <w:rPr>
                <w:rFonts w:hint="eastAsia" w:ascii="宋体" w:hAnsi="宋体" w:cs="宋体"/>
                <w:b/>
                <w:sz w:val="24"/>
                <w:highlight w:val="none"/>
                <w:lang w:eastAsia="zh-CN"/>
              </w:rPr>
              <w:t>现场踏勘</w:t>
            </w:r>
          </w:p>
        </w:tc>
        <w:tc>
          <w:tcPr>
            <w:tcW w:w="7000" w:type="dxa"/>
            <w:tcBorders>
              <w:top w:val="single" w:color="000000" w:sz="8" w:space="0"/>
              <w:left w:val="single" w:color="000000" w:sz="2" w:space="0"/>
              <w:bottom w:val="single" w:color="000000" w:sz="8" w:space="0"/>
              <w:right w:val="single" w:color="000000" w:sz="8" w:space="0"/>
            </w:tcBorders>
            <w:vAlign w:val="center"/>
          </w:tcPr>
          <w:p w14:paraId="2629A640">
            <w:pPr>
              <w:spacing w:line="240" w:lineRule="auto"/>
              <w:rPr>
                <w:rFonts w:ascii="宋体" w:hAnsi="宋体" w:cs="宋体"/>
                <w:sz w:val="24"/>
                <w:highlight w:val="none"/>
              </w:rPr>
            </w:pPr>
            <w:sdt>
              <w:sdtPr>
                <w:rPr>
                  <w:rFonts w:hint="eastAsia" w:ascii="宋体" w:hAnsi="宋体" w:cs="宋体"/>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72051861">
            <w:pPr>
              <w:spacing w:line="240" w:lineRule="auto"/>
              <w:rPr>
                <w:rFonts w:hint="default" w:ascii="宋体" w:hAnsi="宋体" w:eastAsia="宋体" w:cs="宋体"/>
                <w:sz w:val="24"/>
                <w:szCs w:val="20"/>
                <w:highlight w:val="none"/>
                <w:lang w:val="en-US" w:eastAsia="zh-CN"/>
              </w:rPr>
            </w:pPr>
            <w:sdt>
              <w:sdtPr>
                <w:rPr>
                  <w:rFonts w:hint="eastAsia" w:ascii="宋体" w:hAnsi="宋体" w:cs="宋体"/>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kern w:val="0"/>
                <w:sz w:val="24"/>
                <w:highlight w:val="none"/>
              </w:rPr>
              <w:t>B组织</w:t>
            </w:r>
            <w:r>
              <w:rPr>
                <w:rFonts w:hint="eastAsia" w:ascii="宋体" w:hAnsi="宋体" w:cs="宋体"/>
                <w:kern w:val="0"/>
                <w:sz w:val="24"/>
                <w:highlight w:val="none"/>
                <w:lang w:val="en-US" w:eastAsia="zh-CN"/>
              </w:rPr>
              <w:t xml:space="preserve"> </w:t>
            </w:r>
          </w:p>
        </w:tc>
      </w:tr>
      <w:tr w14:paraId="4D9BDD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jc w:val="center"/>
        </w:trPr>
        <w:tc>
          <w:tcPr>
            <w:tcW w:w="774" w:type="dxa"/>
            <w:tcBorders>
              <w:top w:val="single" w:color="auto" w:sz="4" w:space="0"/>
              <w:left w:val="single" w:color="auto" w:sz="4" w:space="0"/>
              <w:bottom w:val="single" w:color="auto" w:sz="4" w:space="0"/>
              <w:right w:val="single" w:color="auto" w:sz="4" w:space="0"/>
            </w:tcBorders>
            <w:vAlign w:val="center"/>
          </w:tcPr>
          <w:p w14:paraId="36B45048">
            <w:pPr>
              <w:snapToGrid w:val="0"/>
              <w:spacing w:line="240" w:lineRule="auto"/>
              <w:jc w:val="center"/>
              <w:rPr>
                <w:rFonts w:ascii="宋体" w:hAnsi="宋体" w:cs="宋体"/>
                <w:sz w:val="24"/>
                <w:highlight w:val="none"/>
              </w:rPr>
            </w:pPr>
            <w:r>
              <w:rPr>
                <w:rFonts w:hint="eastAsia" w:ascii="宋体" w:hAnsi="宋体" w:cs="宋体"/>
                <w:sz w:val="24"/>
                <w:highlight w:val="none"/>
              </w:rPr>
              <w:t>6</w:t>
            </w:r>
          </w:p>
        </w:tc>
        <w:tc>
          <w:tcPr>
            <w:tcW w:w="2918" w:type="dxa"/>
            <w:tcBorders>
              <w:top w:val="single" w:color="000000" w:sz="8" w:space="0"/>
              <w:left w:val="single" w:color="auto" w:sz="4" w:space="0"/>
              <w:bottom w:val="single" w:color="000000" w:sz="8" w:space="0"/>
              <w:right w:val="single" w:color="000000" w:sz="8" w:space="0"/>
            </w:tcBorders>
            <w:vAlign w:val="center"/>
          </w:tcPr>
          <w:p w14:paraId="681F5A44">
            <w:pPr>
              <w:snapToGrid w:val="0"/>
              <w:spacing w:line="240" w:lineRule="auto"/>
              <w:jc w:val="center"/>
              <w:rPr>
                <w:rFonts w:ascii="宋体" w:hAnsi="宋体" w:cs="宋体"/>
                <w:b/>
                <w:sz w:val="24"/>
                <w:highlight w:val="none"/>
              </w:rPr>
            </w:pPr>
            <w:r>
              <w:rPr>
                <w:rFonts w:hint="eastAsia" w:ascii="宋体" w:hAnsi="宋体" w:cs="宋体"/>
                <w:b/>
                <w:sz w:val="24"/>
                <w:highlight w:val="none"/>
              </w:rPr>
              <w:t>样品提供</w:t>
            </w:r>
          </w:p>
        </w:tc>
        <w:tc>
          <w:tcPr>
            <w:tcW w:w="7000" w:type="dxa"/>
            <w:tcBorders>
              <w:top w:val="single" w:color="000000" w:sz="8" w:space="0"/>
              <w:left w:val="single" w:color="000000" w:sz="2" w:space="0"/>
              <w:bottom w:val="single" w:color="000000" w:sz="8" w:space="0"/>
              <w:right w:val="single" w:color="000000" w:sz="8" w:space="0"/>
            </w:tcBorders>
            <w:vAlign w:val="center"/>
          </w:tcPr>
          <w:p w14:paraId="2EACDFED">
            <w:pPr>
              <w:spacing w:line="240" w:lineRule="auto"/>
              <w:rPr>
                <w:rFonts w:ascii="宋体" w:hAnsi="宋体" w:cs="宋体"/>
                <w:sz w:val="24"/>
                <w:highlight w:val="none"/>
              </w:rPr>
            </w:pPr>
            <w:sdt>
              <w:sdtPr>
                <w:rPr>
                  <w:rFonts w:hint="eastAsia" w:ascii="宋体" w:hAnsi="宋体" w:cs="宋体"/>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kern w:val="0"/>
                <w:sz w:val="24"/>
                <w:highlight w:val="none"/>
              </w:rPr>
              <w:t>A</w:t>
            </w:r>
            <w:r>
              <w:rPr>
                <w:rFonts w:hint="eastAsia" w:ascii="宋体" w:hAnsi="宋体" w:cs="宋体"/>
                <w:sz w:val="24"/>
                <w:highlight w:val="none"/>
              </w:rPr>
              <w:t>不要求提供。</w:t>
            </w:r>
          </w:p>
          <w:p w14:paraId="3D999B2D">
            <w:pPr>
              <w:spacing w:line="240" w:lineRule="auto"/>
              <w:rPr>
                <w:highlight w:val="none"/>
              </w:rPr>
            </w:pPr>
            <w:sdt>
              <w:sdtPr>
                <w:rPr>
                  <w:rFonts w:hint="eastAsia" w:ascii="宋体" w:hAnsi="宋体" w:cs="宋体"/>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szCs w:val="24"/>
                    <w:highlight w:val="none"/>
                    <w:lang w:val="en-US" w:eastAsia="zh-CN" w:bidi="ar-SA"/>
                  </w:rPr>
                  <w:t>☐</w:t>
                </w:r>
              </w:sdtContent>
            </w:sdt>
            <w:r>
              <w:rPr>
                <w:rFonts w:hint="eastAsia" w:ascii="宋体" w:hAnsi="宋体" w:cs="宋体"/>
                <w:kern w:val="0"/>
                <w:sz w:val="24"/>
                <w:highlight w:val="none"/>
              </w:rPr>
              <w:t>B要求提供</w:t>
            </w:r>
            <w:r>
              <w:rPr>
                <w:rFonts w:hint="eastAsia" w:ascii="宋体" w:hAnsi="宋体" w:cs="宋体"/>
                <w:kern w:val="0"/>
                <w:sz w:val="24"/>
                <w:highlight w:val="none"/>
                <w:lang w:eastAsia="zh-CN"/>
              </w:rPr>
              <w:t>。</w:t>
            </w:r>
          </w:p>
        </w:tc>
      </w:tr>
      <w:tr w14:paraId="4D79C6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0" w:hRule="atLeast"/>
          <w:tblHeader/>
          <w:jc w:val="center"/>
        </w:trPr>
        <w:tc>
          <w:tcPr>
            <w:tcW w:w="774" w:type="dxa"/>
            <w:tcBorders>
              <w:top w:val="single" w:color="auto" w:sz="4" w:space="0"/>
              <w:left w:val="single" w:color="auto" w:sz="4" w:space="0"/>
              <w:bottom w:val="single" w:color="auto" w:sz="4" w:space="0"/>
              <w:right w:val="single" w:color="auto" w:sz="4" w:space="0"/>
            </w:tcBorders>
            <w:vAlign w:val="center"/>
          </w:tcPr>
          <w:p w14:paraId="49C639C0">
            <w:pPr>
              <w:snapToGrid w:val="0"/>
              <w:spacing w:line="240" w:lineRule="auto"/>
              <w:jc w:val="center"/>
              <w:rPr>
                <w:rFonts w:ascii="宋体" w:hAnsi="宋体" w:cs="宋体"/>
                <w:sz w:val="24"/>
                <w:highlight w:val="none"/>
              </w:rPr>
            </w:pPr>
          </w:p>
          <w:p w14:paraId="757689A4">
            <w:pPr>
              <w:snapToGrid w:val="0"/>
              <w:spacing w:line="240" w:lineRule="auto"/>
              <w:jc w:val="center"/>
              <w:rPr>
                <w:rFonts w:ascii="宋体" w:hAnsi="宋体" w:cs="宋体"/>
                <w:sz w:val="24"/>
                <w:highlight w:val="none"/>
              </w:rPr>
            </w:pPr>
            <w:r>
              <w:rPr>
                <w:rFonts w:hint="eastAsia" w:ascii="宋体" w:hAnsi="宋体" w:cs="宋体"/>
                <w:sz w:val="24"/>
                <w:highlight w:val="none"/>
              </w:rPr>
              <w:t>7</w:t>
            </w:r>
          </w:p>
        </w:tc>
        <w:tc>
          <w:tcPr>
            <w:tcW w:w="2918" w:type="dxa"/>
            <w:tcBorders>
              <w:top w:val="single" w:color="000000" w:sz="8" w:space="0"/>
              <w:left w:val="single" w:color="auto" w:sz="4" w:space="0"/>
              <w:bottom w:val="single" w:color="000000" w:sz="8" w:space="0"/>
              <w:right w:val="single" w:color="000000" w:sz="8" w:space="0"/>
            </w:tcBorders>
            <w:vAlign w:val="center"/>
          </w:tcPr>
          <w:p w14:paraId="186DBE5C">
            <w:pPr>
              <w:snapToGrid w:val="0"/>
              <w:spacing w:line="240" w:lineRule="auto"/>
              <w:jc w:val="center"/>
              <w:rPr>
                <w:rFonts w:ascii="宋体" w:hAnsi="宋体" w:cs="宋体"/>
                <w:bCs/>
                <w:sz w:val="24"/>
                <w:highlight w:val="none"/>
              </w:rPr>
            </w:pPr>
            <w:r>
              <w:rPr>
                <w:rFonts w:hint="eastAsia" w:ascii="宋体" w:hAnsi="宋体" w:cs="宋体"/>
                <w:b/>
                <w:sz w:val="24"/>
                <w:highlight w:val="none"/>
              </w:rPr>
              <w:t>演示</w:t>
            </w:r>
          </w:p>
        </w:tc>
        <w:tc>
          <w:tcPr>
            <w:tcW w:w="7000" w:type="dxa"/>
            <w:tcBorders>
              <w:top w:val="single" w:color="000000" w:sz="8" w:space="0"/>
              <w:left w:val="single" w:color="000000" w:sz="2" w:space="0"/>
              <w:bottom w:val="single" w:color="000000" w:sz="8" w:space="0"/>
              <w:right w:val="single" w:color="000000" w:sz="8" w:space="0"/>
            </w:tcBorders>
            <w:vAlign w:val="center"/>
          </w:tcPr>
          <w:p w14:paraId="1DC9DFA4">
            <w:pPr>
              <w:spacing w:line="240" w:lineRule="auto"/>
              <w:rPr>
                <w:rFonts w:ascii="宋体" w:hAnsi="宋体" w:cs="宋体"/>
                <w:sz w:val="24"/>
                <w:highlight w:val="none"/>
              </w:rPr>
            </w:pPr>
            <w:sdt>
              <w:sdtPr>
                <w:rPr>
                  <w:rFonts w:hint="eastAsia" w:ascii="宋体" w:hAnsi="宋体" w:cs="宋体"/>
                  <w:kern w:val="0"/>
                  <w:sz w:val="24"/>
                  <w:highlight w:val="none"/>
                </w:rPr>
                <w:id w:val="-1859348549"/>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szCs w:val="24"/>
                    <w:highlight w:val="none"/>
                    <w:lang w:val="en-US" w:eastAsia="zh-CN" w:bidi="ar-SA"/>
                  </w:rPr>
                  <w:t>☐</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793A90AF">
            <w:pPr>
              <w:spacing w:line="240" w:lineRule="auto"/>
              <w:rPr>
                <w:rFonts w:hint="eastAsia" w:ascii="宋体" w:hAnsi="宋体" w:cs="宋体"/>
                <w:kern w:val="0"/>
                <w:sz w:val="24"/>
                <w:highlight w:val="none"/>
                <w:lang w:val="zh-CN"/>
              </w:rPr>
            </w:pPr>
            <w:sdt>
              <w:sdtPr>
                <w:rPr>
                  <w:rFonts w:hint="eastAsia" w:ascii="宋体" w:hAnsi="宋体" w:cs="宋体"/>
                  <w:kern w:val="0"/>
                  <w:sz w:val="24"/>
                  <w:highlight w:val="none"/>
                </w:rPr>
                <w:id w:val="117407171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kern w:val="0"/>
                <w:sz w:val="24"/>
                <w:highlight w:val="none"/>
              </w:rPr>
              <w:t>B组织。</w:t>
            </w:r>
          </w:p>
        </w:tc>
      </w:tr>
      <w:tr w14:paraId="5C097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774" w:type="dxa"/>
            <w:vMerge w:val="restart"/>
            <w:tcBorders>
              <w:top w:val="single" w:color="auto" w:sz="4" w:space="0"/>
              <w:left w:val="single" w:color="auto" w:sz="4" w:space="0"/>
              <w:right w:val="single" w:color="auto" w:sz="4" w:space="0"/>
            </w:tcBorders>
            <w:vAlign w:val="center"/>
          </w:tcPr>
          <w:p w14:paraId="72627858">
            <w:pPr>
              <w:snapToGrid w:val="0"/>
              <w:spacing w:line="240" w:lineRule="auto"/>
              <w:jc w:val="center"/>
              <w:rPr>
                <w:rFonts w:ascii="宋体" w:hAnsi="宋体" w:cs="宋体"/>
                <w:sz w:val="24"/>
                <w:highlight w:val="none"/>
              </w:rPr>
            </w:pPr>
          </w:p>
          <w:p w14:paraId="49D1A260">
            <w:pPr>
              <w:snapToGrid w:val="0"/>
              <w:spacing w:line="240" w:lineRule="auto"/>
              <w:jc w:val="center"/>
              <w:rPr>
                <w:rFonts w:ascii="宋体" w:hAnsi="宋体" w:cs="宋体"/>
                <w:sz w:val="24"/>
                <w:highlight w:val="none"/>
              </w:rPr>
            </w:pPr>
          </w:p>
          <w:p w14:paraId="7D07F28D">
            <w:pPr>
              <w:snapToGrid w:val="0"/>
              <w:spacing w:line="240" w:lineRule="auto"/>
              <w:jc w:val="center"/>
              <w:rPr>
                <w:rFonts w:ascii="宋体" w:hAnsi="宋体" w:cs="宋体"/>
                <w:sz w:val="24"/>
                <w:highlight w:val="none"/>
              </w:rPr>
            </w:pPr>
            <w:r>
              <w:rPr>
                <w:rFonts w:hint="eastAsia" w:ascii="宋体" w:hAnsi="宋体" w:cs="宋体"/>
                <w:sz w:val="24"/>
                <w:highlight w:val="none"/>
              </w:rPr>
              <w:t>8</w:t>
            </w:r>
          </w:p>
        </w:tc>
        <w:tc>
          <w:tcPr>
            <w:tcW w:w="2918" w:type="dxa"/>
            <w:vMerge w:val="restart"/>
            <w:tcBorders>
              <w:top w:val="single" w:color="000000" w:sz="8" w:space="0"/>
              <w:left w:val="single" w:color="auto" w:sz="4" w:space="0"/>
              <w:right w:val="single" w:color="000000" w:sz="8" w:space="0"/>
            </w:tcBorders>
            <w:vAlign w:val="center"/>
          </w:tcPr>
          <w:p w14:paraId="59A838BB">
            <w:pPr>
              <w:snapToGrid w:val="0"/>
              <w:spacing w:line="240" w:lineRule="auto"/>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7000" w:type="dxa"/>
            <w:tcBorders>
              <w:top w:val="single" w:color="000000" w:sz="8" w:space="0"/>
              <w:left w:val="single" w:color="000000" w:sz="2" w:space="0"/>
              <w:bottom w:val="single" w:color="auto" w:sz="4" w:space="0"/>
              <w:right w:val="single" w:color="000000" w:sz="8" w:space="0"/>
            </w:tcBorders>
            <w:vAlign w:val="center"/>
          </w:tcPr>
          <w:p w14:paraId="1D7FA93A">
            <w:pPr>
              <w:spacing w:line="240" w:lineRule="auto"/>
              <w:rPr>
                <w:rFonts w:ascii="宋体" w:hAnsi="宋体" w:cs="宋体"/>
                <w:sz w:val="24"/>
                <w:highlight w:val="none"/>
              </w:rPr>
            </w:pPr>
            <w:r>
              <w:rPr>
                <w:rFonts w:hint="eastAsia" w:ascii="宋体" w:hAnsi="宋体" w:cs="宋体"/>
                <w:sz w:val="24"/>
                <w:highlight w:val="none"/>
              </w:rPr>
              <w:t>（1）资格证明文件：见招标文件第二部分11.1。</w:t>
            </w:r>
          </w:p>
          <w:p w14:paraId="0E8D9B9C">
            <w:pPr>
              <w:spacing w:line="240" w:lineRule="auto"/>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02A04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5" w:hRule="atLeast"/>
          <w:tblHeader/>
          <w:jc w:val="center"/>
        </w:trPr>
        <w:tc>
          <w:tcPr>
            <w:tcW w:w="774" w:type="dxa"/>
            <w:vMerge w:val="continue"/>
            <w:tcBorders>
              <w:left w:val="single" w:color="auto" w:sz="4" w:space="0"/>
              <w:bottom w:val="single" w:color="auto" w:sz="4" w:space="0"/>
              <w:right w:val="single" w:color="auto" w:sz="4" w:space="0"/>
            </w:tcBorders>
            <w:vAlign w:val="center"/>
          </w:tcPr>
          <w:p w14:paraId="548DC52F">
            <w:pPr>
              <w:snapToGrid w:val="0"/>
              <w:spacing w:line="240" w:lineRule="auto"/>
              <w:jc w:val="center"/>
              <w:rPr>
                <w:rFonts w:ascii="宋体" w:hAnsi="宋体" w:cs="宋体"/>
                <w:sz w:val="24"/>
                <w:highlight w:val="none"/>
              </w:rPr>
            </w:pPr>
          </w:p>
        </w:tc>
        <w:tc>
          <w:tcPr>
            <w:tcW w:w="2918" w:type="dxa"/>
            <w:vMerge w:val="continue"/>
            <w:tcBorders>
              <w:left w:val="single" w:color="auto" w:sz="4" w:space="0"/>
              <w:bottom w:val="single" w:color="000000" w:sz="8" w:space="0"/>
              <w:right w:val="single" w:color="000000" w:sz="8" w:space="0"/>
            </w:tcBorders>
            <w:vAlign w:val="center"/>
          </w:tcPr>
          <w:p w14:paraId="0AD09B18">
            <w:pPr>
              <w:snapToGrid w:val="0"/>
              <w:spacing w:line="240" w:lineRule="auto"/>
              <w:jc w:val="center"/>
              <w:rPr>
                <w:rFonts w:ascii="宋体" w:hAnsi="宋体" w:cs="宋体"/>
                <w:b/>
                <w:sz w:val="24"/>
                <w:highlight w:val="none"/>
              </w:rPr>
            </w:pPr>
          </w:p>
        </w:tc>
        <w:tc>
          <w:tcPr>
            <w:tcW w:w="7000" w:type="dxa"/>
            <w:tcBorders>
              <w:top w:val="single" w:color="auto" w:sz="4" w:space="0"/>
              <w:left w:val="single" w:color="000000" w:sz="2" w:space="0"/>
              <w:bottom w:val="single" w:color="000000" w:sz="8" w:space="0"/>
              <w:right w:val="single" w:color="000000" w:sz="8" w:space="0"/>
            </w:tcBorders>
            <w:vAlign w:val="center"/>
          </w:tcPr>
          <w:p w14:paraId="05277965">
            <w:pPr>
              <w:spacing w:line="240" w:lineRule="auto"/>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14:paraId="0653CE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774" w:type="dxa"/>
            <w:tcBorders>
              <w:top w:val="single" w:color="auto" w:sz="4" w:space="0"/>
              <w:left w:val="single" w:color="000000" w:sz="8" w:space="0"/>
              <w:bottom w:val="single" w:color="auto" w:sz="4" w:space="0"/>
              <w:right w:val="single" w:color="000000" w:sz="2" w:space="0"/>
            </w:tcBorders>
            <w:vAlign w:val="center"/>
          </w:tcPr>
          <w:p w14:paraId="23714D33">
            <w:pPr>
              <w:snapToGrid w:val="0"/>
              <w:spacing w:line="240" w:lineRule="auto"/>
              <w:jc w:val="center"/>
              <w:rPr>
                <w:rFonts w:ascii="宋体" w:hAnsi="宋体" w:cs="宋体"/>
                <w:sz w:val="24"/>
                <w:highlight w:val="none"/>
              </w:rPr>
            </w:pPr>
          </w:p>
          <w:p w14:paraId="77008A60">
            <w:pPr>
              <w:snapToGrid w:val="0"/>
              <w:spacing w:line="240" w:lineRule="auto"/>
              <w:jc w:val="center"/>
              <w:rPr>
                <w:rFonts w:ascii="宋体" w:hAnsi="宋体" w:cs="宋体"/>
                <w:sz w:val="24"/>
                <w:highlight w:val="none"/>
              </w:rPr>
            </w:pPr>
          </w:p>
          <w:p w14:paraId="0B864385">
            <w:pPr>
              <w:snapToGrid w:val="0"/>
              <w:spacing w:line="240" w:lineRule="auto"/>
              <w:jc w:val="center"/>
              <w:rPr>
                <w:rFonts w:ascii="宋体" w:hAnsi="宋体" w:cs="宋体"/>
                <w:sz w:val="24"/>
                <w:highlight w:val="none"/>
              </w:rPr>
            </w:pPr>
            <w:r>
              <w:rPr>
                <w:rFonts w:hint="eastAsia" w:ascii="宋体" w:hAnsi="宋体" w:cs="宋体"/>
                <w:sz w:val="24"/>
                <w:highlight w:val="none"/>
              </w:rPr>
              <w:t>9</w:t>
            </w:r>
          </w:p>
        </w:tc>
        <w:tc>
          <w:tcPr>
            <w:tcW w:w="2918" w:type="dxa"/>
            <w:tcBorders>
              <w:top w:val="single" w:color="000000" w:sz="8" w:space="0"/>
              <w:left w:val="single" w:color="000000" w:sz="2" w:space="0"/>
              <w:bottom w:val="single" w:color="000000" w:sz="8" w:space="0"/>
              <w:right w:val="single" w:color="000000" w:sz="8" w:space="0"/>
            </w:tcBorders>
            <w:vAlign w:val="center"/>
          </w:tcPr>
          <w:p w14:paraId="005522B5">
            <w:pPr>
              <w:snapToGrid w:val="0"/>
              <w:spacing w:line="240" w:lineRule="auto"/>
              <w:jc w:val="center"/>
              <w:rPr>
                <w:rFonts w:ascii="宋体" w:hAnsi="宋体" w:cs="宋体"/>
                <w:b/>
                <w:sz w:val="24"/>
                <w:highlight w:val="none"/>
              </w:rPr>
            </w:pPr>
            <w:r>
              <w:rPr>
                <w:rFonts w:hint="eastAsia" w:ascii="宋体" w:hAnsi="宋体" w:cs="宋体"/>
                <w:b/>
                <w:sz w:val="24"/>
                <w:highlight w:val="none"/>
              </w:rPr>
              <w:t>节能产品、环境标志产品</w:t>
            </w:r>
          </w:p>
        </w:tc>
        <w:tc>
          <w:tcPr>
            <w:tcW w:w="7000" w:type="dxa"/>
            <w:tcBorders>
              <w:top w:val="single" w:color="000000" w:sz="8" w:space="0"/>
              <w:left w:val="single" w:color="000000" w:sz="2" w:space="0"/>
              <w:bottom w:val="single" w:color="000000" w:sz="8" w:space="0"/>
              <w:right w:val="single" w:color="000000" w:sz="8" w:space="0"/>
            </w:tcBorders>
            <w:vAlign w:val="center"/>
          </w:tcPr>
          <w:p w14:paraId="7EC1D9D6">
            <w:pPr>
              <w:snapToGrid w:val="0"/>
              <w:spacing w:line="240" w:lineRule="auto"/>
              <w:rPr>
                <w:rFonts w:ascii="宋体" w:hAnsi="宋体" w:cs="宋体"/>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86CD0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774" w:type="dxa"/>
            <w:tcBorders>
              <w:top w:val="single" w:color="auto" w:sz="4" w:space="0"/>
              <w:left w:val="single" w:color="000000" w:sz="8" w:space="0"/>
              <w:bottom w:val="single" w:color="auto" w:sz="4" w:space="0"/>
              <w:right w:val="single" w:color="000000" w:sz="2" w:space="0"/>
            </w:tcBorders>
            <w:vAlign w:val="center"/>
          </w:tcPr>
          <w:p w14:paraId="15A43899">
            <w:pPr>
              <w:snapToGrid w:val="0"/>
              <w:spacing w:line="240" w:lineRule="auto"/>
              <w:jc w:val="center"/>
              <w:rPr>
                <w:rFonts w:ascii="宋体" w:hAnsi="宋体" w:cs="宋体"/>
                <w:sz w:val="24"/>
                <w:highlight w:val="none"/>
              </w:rPr>
            </w:pPr>
          </w:p>
          <w:p w14:paraId="54B1A715">
            <w:pPr>
              <w:snapToGrid w:val="0"/>
              <w:spacing w:line="240" w:lineRule="auto"/>
              <w:jc w:val="center"/>
              <w:rPr>
                <w:rFonts w:ascii="宋体" w:hAnsi="宋体" w:cs="宋体"/>
                <w:sz w:val="24"/>
                <w:highlight w:val="none"/>
              </w:rPr>
            </w:pPr>
          </w:p>
          <w:p w14:paraId="160095F8">
            <w:pPr>
              <w:snapToGrid w:val="0"/>
              <w:spacing w:line="240" w:lineRule="auto"/>
              <w:jc w:val="center"/>
              <w:rPr>
                <w:rFonts w:ascii="宋体" w:hAnsi="宋体" w:cs="宋体"/>
                <w:sz w:val="24"/>
                <w:highlight w:val="none"/>
              </w:rPr>
            </w:pPr>
          </w:p>
          <w:p w14:paraId="70138D79">
            <w:pPr>
              <w:snapToGrid w:val="0"/>
              <w:spacing w:line="240" w:lineRule="auto"/>
              <w:jc w:val="center"/>
              <w:rPr>
                <w:rFonts w:ascii="宋体" w:hAnsi="宋体" w:cs="宋体"/>
                <w:sz w:val="24"/>
                <w:highlight w:val="none"/>
              </w:rPr>
            </w:pPr>
          </w:p>
          <w:p w14:paraId="523B9157">
            <w:pPr>
              <w:snapToGrid w:val="0"/>
              <w:spacing w:line="240" w:lineRule="auto"/>
              <w:jc w:val="center"/>
              <w:rPr>
                <w:rFonts w:ascii="宋体" w:hAnsi="宋体" w:cs="宋体"/>
                <w:sz w:val="24"/>
                <w:highlight w:val="none"/>
              </w:rPr>
            </w:pPr>
          </w:p>
          <w:p w14:paraId="071FD269">
            <w:pPr>
              <w:snapToGrid w:val="0"/>
              <w:spacing w:line="240" w:lineRule="auto"/>
              <w:jc w:val="center"/>
              <w:rPr>
                <w:rFonts w:ascii="宋体" w:hAnsi="宋体" w:cs="宋体"/>
                <w:sz w:val="24"/>
                <w:highlight w:val="none"/>
              </w:rPr>
            </w:pPr>
            <w:r>
              <w:rPr>
                <w:rFonts w:hint="eastAsia" w:ascii="宋体" w:hAnsi="宋体" w:cs="宋体"/>
                <w:sz w:val="24"/>
                <w:highlight w:val="none"/>
              </w:rPr>
              <w:t>10</w:t>
            </w:r>
          </w:p>
        </w:tc>
        <w:tc>
          <w:tcPr>
            <w:tcW w:w="2918" w:type="dxa"/>
            <w:tcBorders>
              <w:top w:val="single" w:color="000000" w:sz="8" w:space="0"/>
              <w:left w:val="single" w:color="000000" w:sz="2" w:space="0"/>
              <w:bottom w:val="single" w:color="000000" w:sz="8" w:space="0"/>
              <w:right w:val="single" w:color="000000" w:sz="8" w:space="0"/>
            </w:tcBorders>
            <w:vAlign w:val="center"/>
          </w:tcPr>
          <w:p w14:paraId="2B73E336">
            <w:pPr>
              <w:snapToGrid w:val="0"/>
              <w:spacing w:line="240" w:lineRule="auto"/>
              <w:jc w:val="center"/>
              <w:rPr>
                <w:rFonts w:ascii="宋体" w:hAnsi="宋体" w:cs="宋体"/>
                <w:b/>
                <w:sz w:val="24"/>
                <w:highlight w:val="none"/>
              </w:rPr>
            </w:pPr>
            <w:r>
              <w:rPr>
                <w:rFonts w:hint="eastAsia" w:ascii="宋体" w:hAnsi="宋体" w:cs="宋体"/>
                <w:b/>
                <w:sz w:val="24"/>
                <w:highlight w:val="none"/>
              </w:rPr>
              <w:t>报价要求</w:t>
            </w:r>
          </w:p>
        </w:tc>
        <w:tc>
          <w:tcPr>
            <w:tcW w:w="7000" w:type="dxa"/>
            <w:tcBorders>
              <w:top w:val="single" w:color="000000" w:sz="8" w:space="0"/>
              <w:left w:val="single" w:color="000000" w:sz="2" w:space="0"/>
              <w:bottom w:val="single" w:color="000000" w:sz="8" w:space="0"/>
              <w:right w:val="single" w:color="000000" w:sz="8" w:space="0"/>
            </w:tcBorders>
            <w:vAlign w:val="center"/>
          </w:tcPr>
          <w:p w14:paraId="2C91EE41">
            <w:pPr>
              <w:snapToGrid w:val="0"/>
              <w:spacing w:line="240" w:lineRule="auto"/>
              <w:jc w:val="left"/>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b/>
                <w:bCs/>
                <w:kern w:val="0"/>
                <w:sz w:val="24"/>
                <w:highlight w:val="none"/>
                <w:lang w:val="zh-CN"/>
              </w:rPr>
              <w:t>投标文件</w:t>
            </w:r>
            <w:r>
              <w:rPr>
                <w:rFonts w:hint="eastAsia" w:ascii="宋体" w:hAnsi="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投标文件中价格全部采用人民币报价。招标文件未列明，而投标人认为必需的费用也需列入报价。</w:t>
            </w:r>
          </w:p>
          <w:p w14:paraId="1D90DBC0">
            <w:pPr>
              <w:snapToGrid w:val="0"/>
              <w:spacing w:line="240" w:lineRule="auto"/>
              <w:jc w:val="left"/>
              <w:rPr>
                <w:rFonts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14:paraId="12C34988">
            <w:pPr>
              <w:snapToGrid w:val="0"/>
              <w:spacing w:line="240" w:lineRule="auto"/>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14:paraId="5B30A7B2">
            <w:pPr>
              <w:snapToGrid w:val="0"/>
              <w:spacing w:line="240" w:lineRule="auto"/>
              <w:ind w:firstLine="241" w:firstLineChars="100"/>
              <w:jc w:val="left"/>
              <w:rPr>
                <w:rFonts w:ascii="宋体" w:hAnsi="宋体" w:cs="宋体"/>
                <w:kern w:val="0"/>
                <w:sz w:val="24"/>
                <w:highlight w:val="none"/>
                <w:lang w:val="zh-CN"/>
              </w:rPr>
            </w:pPr>
            <w:r>
              <w:rPr>
                <w:rFonts w:hint="eastAsia" w:ascii="宋体" w:hAnsi="宋体" w:cs="宋体"/>
                <w:b/>
                <w:kern w:val="0"/>
                <w:sz w:val="24"/>
                <w:highlight w:val="none"/>
                <w:lang w:val="zh-CN"/>
              </w:rPr>
              <w:t>投标报价超过招标文件中规定的预算金额或者最高限价的;</w:t>
            </w:r>
          </w:p>
          <w:p w14:paraId="4552BBA9">
            <w:pPr>
              <w:spacing w:line="240" w:lineRule="auto"/>
              <w:ind w:firstLine="241" w:firstLineChars="100"/>
              <w:rPr>
                <w:rFonts w:ascii="宋体" w:hAnsi="宋体" w:cs="宋体"/>
                <w:b/>
                <w:sz w:val="24"/>
                <w:highlight w:val="none"/>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highlight w:val="none"/>
              </w:rPr>
              <w:t>;</w:t>
            </w:r>
          </w:p>
          <w:p w14:paraId="4873BF49">
            <w:pPr>
              <w:spacing w:line="240" w:lineRule="auto"/>
              <w:ind w:firstLine="241" w:firstLineChars="100"/>
              <w:rPr>
                <w:rFonts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14:paraId="121C9B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67" w:hRule="atLeast"/>
          <w:tblHeader/>
          <w:jc w:val="center"/>
        </w:trPr>
        <w:tc>
          <w:tcPr>
            <w:tcW w:w="774" w:type="dxa"/>
            <w:tcBorders>
              <w:top w:val="single" w:color="auto" w:sz="4" w:space="0"/>
              <w:left w:val="single" w:color="000000" w:sz="8" w:space="0"/>
              <w:right w:val="single" w:color="000000" w:sz="2" w:space="0"/>
            </w:tcBorders>
            <w:vAlign w:val="center"/>
          </w:tcPr>
          <w:p w14:paraId="7D0B79C3">
            <w:pPr>
              <w:snapToGrid w:val="0"/>
              <w:spacing w:line="240" w:lineRule="auto"/>
              <w:jc w:val="center"/>
              <w:rPr>
                <w:rFonts w:ascii="宋体" w:hAnsi="宋体" w:cs="宋体"/>
                <w:sz w:val="24"/>
                <w:highlight w:val="none"/>
              </w:rPr>
            </w:pPr>
          </w:p>
          <w:p w14:paraId="2814F441">
            <w:pPr>
              <w:snapToGrid w:val="0"/>
              <w:spacing w:line="240" w:lineRule="auto"/>
              <w:jc w:val="center"/>
              <w:rPr>
                <w:rFonts w:ascii="宋体" w:hAnsi="宋体" w:cs="宋体"/>
                <w:sz w:val="24"/>
                <w:highlight w:val="none"/>
              </w:rPr>
            </w:pPr>
            <w:r>
              <w:rPr>
                <w:rFonts w:hint="eastAsia" w:ascii="宋体" w:hAnsi="宋体" w:cs="宋体"/>
                <w:sz w:val="24"/>
                <w:highlight w:val="none"/>
              </w:rPr>
              <w:t>11</w:t>
            </w:r>
          </w:p>
        </w:tc>
        <w:tc>
          <w:tcPr>
            <w:tcW w:w="2918" w:type="dxa"/>
            <w:tcBorders>
              <w:top w:val="single" w:color="000000" w:sz="8" w:space="0"/>
              <w:left w:val="single" w:color="000000" w:sz="2" w:space="0"/>
              <w:right w:val="single" w:color="000000" w:sz="8" w:space="0"/>
            </w:tcBorders>
            <w:vAlign w:val="center"/>
          </w:tcPr>
          <w:p w14:paraId="39D8D161">
            <w:pPr>
              <w:snapToGrid w:val="0"/>
              <w:spacing w:line="240" w:lineRule="auto"/>
              <w:jc w:val="center"/>
              <w:rPr>
                <w:rFonts w:ascii="宋体" w:hAnsi="宋体" w:cs="宋体"/>
                <w:b/>
                <w:sz w:val="24"/>
                <w:highlight w:val="none"/>
              </w:rPr>
            </w:pPr>
            <w:r>
              <w:rPr>
                <w:rFonts w:hint="eastAsia" w:ascii="宋体" w:hAnsi="宋体" w:cs="宋体"/>
                <w:b/>
                <w:sz w:val="24"/>
                <w:highlight w:val="none"/>
              </w:rPr>
              <w:t>中小企业信用融资</w:t>
            </w:r>
          </w:p>
        </w:tc>
        <w:tc>
          <w:tcPr>
            <w:tcW w:w="7000" w:type="dxa"/>
            <w:tcBorders>
              <w:top w:val="single" w:color="000000" w:sz="8" w:space="0"/>
              <w:left w:val="single" w:color="000000" w:sz="2" w:space="0"/>
              <w:right w:val="single" w:color="000000" w:sz="8" w:space="0"/>
            </w:tcBorders>
            <w:vAlign w:val="center"/>
          </w:tcPr>
          <w:p w14:paraId="535ED613">
            <w:pPr>
              <w:spacing w:line="240" w:lineRule="auto"/>
              <w:ind w:firstLine="480" w:firstLineChars="200"/>
              <w:rPr>
                <w:rFonts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D8E0C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774" w:type="dxa"/>
            <w:tcBorders>
              <w:top w:val="single" w:color="auto" w:sz="4" w:space="0"/>
              <w:left w:val="single" w:color="000000" w:sz="8" w:space="0"/>
              <w:bottom w:val="single" w:color="auto" w:sz="4" w:space="0"/>
              <w:right w:val="single" w:color="000000" w:sz="2" w:space="0"/>
            </w:tcBorders>
            <w:vAlign w:val="center"/>
          </w:tcPr>
          <w:p w14:paraId="1B8A59E3">
            <w:pPr>
              <w:snapToGrid w:val="0"/>
              <w:spacing w:line="240" w:lineRule="auto"/>
              <w:jc w:val="center"/>
              <w:rPr>
                <w:rFonts w:ascii="宋体" w:hAnsi="宋体" w:cs="宋体"/>
                <w:sz w:val="24"/>
                <w:highlight w:val="none"/>
              </w:rPr>
            </w:pPr>
            <w:r>
              <w:rPr>
                <w:rFonts w:hint="eastAsia" w:ascii="宋体" w:hAnsi="宋体" w:cs="宋体"/>
                <w:sz w:val="24"/>
                <w:highlight w:val="none"/>
              </w:rPr>
              <w:t>12</w:t>
            </w:r>
          </w:p>
        </w:tc>
        <w:tc>
          <w:tcPr>
            <w:tcW w:w="2918" w:type="dxa"/>
            <w:tcBorders>
              <w:top w:val="single" w:color="000000" w:sz="8" w:space="0"/>
              <w:left w:val="single" w:color="000000" w:sz="2" w:space="0"/>
              <w:bottom w:val="single" w:color="000000" w:sz="8" w:space="0"/>
              <w:right w:val="single" w:color="000000" w:sz="8" w:space="0"/>
            </w:tcBorders>
            <w:vAlign w:val="center"/>
          </w:tcPr>
          <w:p w14:paraId="4809F429">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lang w:val="en-US" w:eastAsia="zh-CN"/>
              </w:rPr>
              <w:t>演示视频、</w:t>
            </w:r>
            <w:r>
              <w:rPr>
                <w:rFonts w:hint="eastAsia" w:ascii="宋体" w:hAnsi="宋体" w:cs="宋体"/>
                <w:b/>
                <w:color w:val="auto"/>
                <w:sz w:val="24"/>
                <w:highlight w:val="none"/>
              </w:rPr>
              <w:t>备份投标文件送达地点和签收人员</w:t>
            </w:r>
          </w:p>
        </w:tc>
        <w:tc>
          <w:tcPr>
            <w:tcW w:w="7000" w:type="dxa"/>
            <w:tcBorders>
              <w:top w:val="single" w:color="000000" w:sz="8" w:space="0"/>
              <w:left w:val="single" w:color="000000" w:sz="2" w:space="0"/>
              <w:bottom w:val="single" w:color="000000" w:sz="8" w:space="0"/>
              <w:right w:val="single" w:color="000000" w:sz="8" w:space="0"/>
            </w:tcBorders>
            <w:vAlign w:val="center"/>
          </w:tcPr>
          <w:p w14:paraId="60E646F1">
            <w:pPr>
              <w:pStyle w:val="33"/>
              <w:spacing w:line="24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ascii="宋体" w:hAnsi="宋体" w:eastAsia="宋体" w:cs="宋体"/>
                <w:color w:val="auto"/>
                <w:kern w:val="28"/>
                <w:sz w:val="24"/>
                <w:szCs w:val="24"/>
                <w:highlight w:val="none"/>
                <w:u w:val="single"/>
                <w:lang w:eastAsia="zh-CN"/>
              </w:rPr>
              <w:t>嘉兴市经济技术开发区姚家荡路42号长新农贸市场办公楼5楼50</w:t>
            </w:r>
            <w:r>
              <w:rPr>
                <w:rFonts w:hint="eastAsia" w:ascii="宋体" w:hAnsi="宋体" w:eastAsia="宋体" w:cs="宋体"/>
                <w:color w:val="auto"/>
                <w:kern w:val="28"/>
                <w:sz w:val="24"/>
                <w:szCs w:val="24"/>
                <w:highlight w:val="none"/>
                <w:u w:val="single"/>
                <w:lang w:val="en-US" w:eastAsia="zh-CN"/>
              </w:rPr>
              <w:t>2</w:t>
            </w:r>
            <w:r>
              <w:rPr>
                <w:rFonts w:hint="eastAsia" w:ascii="宋体" w:hAnsi="宋体" w:eastAsia="宋体" w:cs="宋体"/>
                <w:color w:val="auto"/>
                <w:kern w:val="28"/>
                <w:sz w:val="24"/>
                <w:szCs w:val="24"/>
                <w:highlight w:val="none"/>
                <w:u w:val="single"/>
                <w:lang w:eastAsia="zh-CN"/>
              </w:rPr>
              <w:t>室</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kern w:val="28"/>
                <w:sz w:val="24"/>
                <w:szCs w:val="24"/>
                <w:highlight w:val="none"/>
                <w:lang w:eastAsia="zh-CN"/>
              </w:rPr>
              <w:t>：</w:t>
            </w:r>
            <w:r>
              <w:rPr>
                <w:rFonts w:hint="eastAsia" w:ascii="宋体" w:hAnsi="宋体" w:eastAsia="宋体" w:cs="宋体"/>
                <w:color w:val="auto"/>
                <w:kern w:val="28"/>
                <w:sz w:val="24"/>
                <w:szCs w:val="24"/>
                <w:highlight w:val="none"/>
                <w:u w:val="single"/>
                <w:lang w:eastAsia="zh-CN"/>
              </w:rPr>
              <w:t xml:space="preserve">王宇涵 ，17757370605 </w:t>
            </w:r>
            <w:r>
              <w:rPr>
                <w:rFonts w:hint="eastAsia" w:hAnsi="宋体" w:cs="宋体"/>
                <w:color w:val="auto"/>
                <w:sz w:val="24"/>
                <w:szCs w:val="24"/>
                <w:highlight w:val="none"/>
              </w:rPr>
              <w:t>。</w:t>
            </w:r>
            <w:r>
              <w:rPr>
                <w:rFonts w:hint="eastAsia" w:hAnsi="宋体" w:cs="宋体"/>
                <w:b/>
                <w:color w:val="auto"/>
                <w:sz w:val="24"/>
                <w:szCs w:val="24"/>
                <w:highlight w:val="none"/>
              </w:rPr>
              <w:t>不强制投标人提交备份投标文件。</w:t>
            </w:r>
          </w:p>
        </w:tc>
      </w:tr>
    </w:tbl>
    <w:p w14:paraId="7BF96CE0">
      <w:pPr>
        <w:snapToGrid w:val="0"/>
        <w:spacing w:line="360" w:lineRule="auto"/>
        <w:jc w:val="center"/>
        <w:rPr>
          <w:rFonts w:ascii="宋体" w:hAnsi="宋体" w:cs="宋体"/>
          <w:b/>
          <w:sz w:val="32"/>
          <w:szCs w:val="20"/>
          <w:highlight w:val="none"/>
        </w:rPr>
      </w:pPr>
    </w:p>
    <w:bookmarkEnd w:id="10"/>
    <w:p w14:paraId="76A8D771">
      <w:pPr>
        <w:adjustRightInd/>
        <w:spacing w:line="360" w:lineRule="auto"/>
        <w:ind w:firstLine="3845" w:firstLineChars="1197"/>
        <w:outlineLvl w:val="0"/>
        <w:rPr>
          <w:rFonts w:ascii="宋体" w:hAnsi="宋体" w:cs="宋体"/>
          <w:b/>
          <w:sz w:val="32"/>
          <w:szCs w:val="20"/>
          <w:highlight w:val="none"/>
        </w:rPr>
      </w:pPr>
      <w:bookmarkStart w:id="13" w:name="第三部分"/>
      <w:bookmarkStart w:id="14" w:name="_Toc164416483"/>
      <w:r>
        <w:rPr>
          <w:rFonts w:hint="eastAsia" w:ascii="宋体" w:hAnsi="宋体" w:cs="宋体"/>
          <w:b/>
          <w:sz w:val="32"/>
          <w:szCs w:val="20"/>
          <w:highlight w:val="none"/>
        </w:rPr>
        <w:t>一、总则</w:t>
      </w:r>
    </w:p>
    <w:p w14:paraId="7DA5BCC8">
      <w:pPr>
        <w:snapToGrid w:val="0"/>
        <w:spacing w:line="360" w:lineRule="auto"/>
        <w:ind w:firstLine="361" w:firstLineChars="150"/>
        <w:jc w:val="left"/>
        <w:outlineLvl w:val="1"/>
        <w:rPr>
          <w:rFonts w:ascii="宋体" w:hAnsi="宋体" w:cs="宋体"/>
          <w:b/>
          <w:sz w:val="24"/>
          <w:highlight w:val="none"/>
        </w:rPr>
      </w:pPr>
      <w:r>
        <w:rPr>
          <w:rFonts w:hint="eastAsia" w:ascii="宋体" w:hAnsi="宋体" w:cs="宋体"/>
          <w:b/>
          <w:sz w:val="24"/>
          <w:highlight w:val="none"/>
        </w:rPr>
        <w:t>1. 适用范围</w:t>
      </w:r>
    </w:p>
    <w:p w14:paraId="0627318A">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52259C2F">
      <w:pPr>
        <w:adjustRightInd/>
        <w:spacing w:line="360" w:lineRule="auto"/>
        <w:outlineLvl w:val="0"/>
        <w:rPr>
          <w:rFonts w:ascii="宋体" w:hAnsi="宋体" w:cs="宋体"/>
          <w:b/>
          <w:sz w:val="24"/>
          <w:highlight w:val="none"/>
        </w:rPr>
      </w:pPr>
      <w:r>
        <w:rPr>
          <w:rFonts w:hint="eastAsia" w:ascii="宋体" w:hAnsi="宋体" w:cs="宋体"/>
          <w:b/>
          <w:sz w:val="24"/>
          <w:highlight w:val="none"/>
        </w:rPr>
        <w:t xml:space="preserve">   2.定义</w:t>
      </w:r>
    </w:p>
    <w:p w14:paraId="20C90315">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14:paraId="3F7E0B56">
      <w:pPr>
        <w:spacing w:line="360" w:lineRule="auto"/>
        <w:ind w:firstLine="480" w:firstLineChars="200"/>
        <w:rPr>
          <w:rFonts w:ascii="宋体" w:hAnsi="宋体" w:cs="宋体"/>
          <w:sz w:val="24"/>
          <w:highlight w:val="none"/>
        </w:rPr>
      </w:pPr>
      <w:r>
        <w:rPr>
          <w:rFonts w:hint="eastAsia" w:ascii="宋体" w:hAnsi="宋体" w:cs="宋体"/>
          <w:sz w:val="24"/>
          <w:highlight w:val="none"/>
        </w:rPr>
        <w:t>2.2 “采购代理机构”系指招标公告中载明的本项目的采购代理机构。</w:t>
      </w:r>
    </w:p>
    <w:p w14:paraId="582134E5">
      <w:pPr>
        <w:spacing w:line="360" w:lineRule="auto"/>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14:paraId="27C7E419">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6D7E0EF3">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w:t>
      </w:r>
    </w:p>
    <w:p w14:paraId="19B53D17">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2.6“电子交易平台”系指本项目政府采购活动所依托的政府采购云平台（https://www.zcygov.cn/）。</w:t>
      </w:r>
    </w:p>
    <w:p w14:paraId="71384006">
      <w:pPr>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sdt>
        <w:sdtPr>
          <w:rPr>
            <w:rFonts w:hint="eastAsia" w:ascii="宋体" w:hAnsi="宋体" w:cs="宋体"/>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sz w:val="24"/>
          <w:highlight w:val="none"/>
        </w:rPr>
        <w:t>” 系指适用本项目的要求，“</w:t>
      </w:r>
      <w:sdt>
        <w:sdtPr>
          <w:rPr>
            <w:rFonts w:hint="eastAsia" w:ascii="宋体" w:hAnsi="宋体" w:cs="宋体"/>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 系指不适用本项目的要求。</w:t>
      </w:r>
    </w:p>
    <w:p w14:paraId="6ADEF313">
      <w:pPr>
        <w:spacing w:line="360" w:lineRule="auto"/>
        <w:ind w:firstLine="241" w:firstLineChars="100"/>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14:paraId="25988C6F">
      <w:pPr>
        <w:spacing w:line="360" w:lineRule="auto"/>
        <w:ind w:firstLine="240" w:firstLineChars="1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69AD0233">
      <w:pPr>
        <w:spacing w:line="360" w:lineRule="auto"/>
        <w:ind w:firstLine="240" w:firstLineChars="100"/>
        <w:rPr>
          <w:rFonts w:ascii="宋体" w:hAnsi="宋体" w:cs="宋体"/>
          <w:sz w:val="24"/>
          <w:highlight w:val="none"/>
        </w:rPr>
      </w:pPr>
      <w:r>
        <w:rPr>
          <w:rFonts w:hint="eastAsia" w:ascii="宋体" w:hAnsi="宋体" w:cs="宋体"/>
          <w:sz w:val="24"/>
          <w:highlight w:val="none"/>
        </w:rPr>
        <w:t>3.2 支持绿色发展</w:t>
      </w:r>
    </w:p>
    <w:p w14:paraId="0A1947AF">
      <w:pPr>
        <w:spacing w:line="360" w:lineRule="auto"/>
        <w:ind w:firstLine="480" w:firstLineChars="200"/>
        <w:rPr>
          <w:rFonts w:hint="eastAsia" w:ascii="宋体" w:hAnsi="宋体" w:eastAsia="宋体" w:cs="宋体"/>
          <w:b/>
          <w:sz w:val="24"/>
          <w:highlight w:val="none"/>
          <w:lang w:eastAsia="zh-CN"/>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r>
        <w:rPr>
          <w:rFonts w:hint="eastAsia" w:ascii="宋体" w:hAnsi="宋体" w:cs="宋体"/>
          <w:b/>
          <w:sz w:val="24"/>
          <w:highlight w:val="none"/>
          <w:lang w:eastAsia="zh-CN"/>
        </w:rPr>
        <w:t>（本条款不适用）</w:t>
      </w:r>
    </w:p>
    <w:p w14:paraId="63AB617E">
      <w:pPr>
        <w:spacing w:line="360" w:lineRule="auto"/>
        <w:ind w:firstLine="480" w:firstLineChars="200"/>
        <w:rPr>
          <w:rFonts w:ascii="宋体" w:hAnsi="宋体" w:cs="宋体"/>
          <w:sz w:val="24"/>
          <w:highlight w:val="none"/>
        </w:rPr>
      </w:pPr>
      <w:r>
        <w:rPr>
          <w:rFonts w:hint="eastAsia" w:ascii="宋体" w:hAnsi="宋体" w:cs="宋体"/>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411FA45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highlight w:val="none"/>
          <w14:textFill>
            <w14:solidFill>
              <w14:schemeClr w14:val="tx1"/>
            </w14:solidFill>
          </w14:textFill>
        </w:rPr>
        <w:t>鼓励采购单位优先采购秸秆环保板材等资源综合利用产品。鼓励采购单位优先采购绿色物流配送服务、提供新能源交通工具的租赁服务。</w:t>
      </w:r>
    </w:p>
    <w:p w14:paraId="67845677">
      <w:pPr>
        <w:spacing w:line="360" w:lineRule="auto"/>
        <w:ind w:firstLine="480" w:firstLineChars="200"/>
        <w:rPr>
          <w:rFonts w:ascii="宋体" w:hAnsi="宋体" w:cs="宋体"/>
          <w:sz w:val="24"/>
          <w:highlight w:val="none"/>
        </w:rPr>
      </w:pPr>
      <w:r>
        <w:rPr>
          <w:rFonts w:hint="eastAsia" w:ascii="宋体" w:hAnsi="宋体" w:cs="宋体"/>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3E7FBF60">
      <w:pPr>
        <w:spacing w:line="360" w:lineRule="auto"/>
        <w:ind w:firstLine="240" w:firstLineChars="100"/>
        <w:rPr>
          <w:rFonts w:ascii="宋体" w:hAnsi="宋体" w:cs="宋体"/>
          <w:sz w:val="24"/>
          <w:highlight w:val="none"/>
        </w:rPr>
      </w:pPr>
      <w:r>
        <w:rPr>
          <w:rFonts w:hint="eastAsia" w:ascii="宋体" w:hAnsi="宋体" w:cs="宋体"/>
          <w:sz w:val="24"/>
          <w:highlight w:val="none"/>
        </w:rPr>
        <w:t>3.3支持中小企业发展</w:t>
      </w:r>
    </w:p>
    <w:p w14:paraId="40139103">
      <w:pPr>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5495230">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311B4CDD">
      <w:pPr>
        <w:widowControl/>
        <w:spacing w:line="360" w:lineRule="auto"/>
        <w:ind w:firstLine="480" w:firstLineChars="200"/>
        <w:jc w:val="left"/>
        <w:rPr>
          <w:rFonts w:ascii="宋体" w:hAnsi="宋体" w:cs="宋体"/>
          <w:kern w:val="0"/>
          <w:sz w:val="24"/>
          <w:highlight w:val="none"/>
        </w:rPr>
      </w:pPr>
      <w:r>
        <w:rPr>
          <w:rFonts w:ascii="宋体" w:hAnsi="宋体" w:cs="宋体"/>
          <w:bCs/>
          <w:sz w:val="24"/>
          <w:highlight w:val="none"/>
        </w:rPr>
        <w:t>3.3.2</w:t>
      </w:r>
      <w:r>
        <w:rPr>
          <w:rFonts w:hint="eastAsia" w:ascii="宋体" w:hAnsi="宋体" w:cs="宋体"/>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CF35BE1">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255437E1">
      <w:pPr>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3.3.3对于未预留份额专门面向中小企业的政府采购货物项目，以及预留份额政府采购货物项目中的非预留部分标项，对小型和微型企业的投标报价给予</w:t>
      </w:r>
      <w:r>
        <w:rPr>
          <w:rFonts w:hint="eastAsia" w:ascii="宋体" w:hAnsi="宋体" w:cs="宋体"/>
          <w:sz w:val="24"/>
          <w:highlight w:val="none"/>
          <w:lang w:val="en-US" w:eastAsia="zh-CN"/>
        </w:rPr>
        <w:t>1</w:t>
      </w:r>
      <w:r>
        <w:rPr>
          <w:rFonts w:ascii="宋体" w:hAnsi="宋体" w:cs="宋体"/>
          <w:sz w:val="24"/>
          <w:highlight w:val="none"/>
        </w:rPr>
        <w:t>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highlight w:val="none"/>
        </w:rPr>
        <w:t>联合协议或者分包意向协议约定小微企业的合同份额占到合同总金额30%以上的</w:t>
      </w:r>
      <w:bookmarkEnd w:id="16"/>
      <w:r>
        <w:rPr>
          <w:rFonts w:hint="eastAsia" w:ascii="宋体" w:hAnsi="宋体" w:cs="宋体"/>
          <w:sz w:val="24"/>
          <w:highlight w:val="none"/>
        </w:rPr>
        <w:t>，对联合体或者大中型企业的报价给予</w:t>
      </w:r>
      <w:r>
        <w:rPr>
          <w:rFonts w:ascii="宋体" w:hAnsi="宋体" w:cs="宋体"/>
          <w:sz w:val="24"/>
          <w:highlight w:val="none"/>
        </w:rPr>
        <w:t>6</w:t>
      </w:r>
      <w:r>
        <w:rPr>
          <w:rFonts w:hint="eastAsia" w:ascii="宋体" w:hAnsi="宋体" w:cs="宋体"/>
          <w:sz w:val="24"/>
          <w:highlight w:val="none"/>
        </w:rPr>
        <w:t>%的扣除，用扣除后的价格参加评审。组成联合体或者接受分包的小微企业与联合体内其他企业、分包企业之间存在直接控股、管理关系的，不享受价格扣除优惠政策。</w:t>
      </w:r>
    </w:p>
    <w:p w14:paraId="2F35E874">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1968F4F6">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8222318">
      <w:pPr>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109F89E">
      <w:pPr>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5FD98776">
      <w:pPr>
        <w:spacing w:line="360" w:lineRule="auto"/>
        <w:ind w:firstLine="240" w:firstLineChars="1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0618F06E">
      <w:pPr>
        <w:spacing w:line="360" w:lineRule="auto"/>
        <w:ind w:firstLine="480" w:firstLineChars="200"/>
        <w:rPr>
          <w:rFonts w:ascii="宋体" w:hAnsi="宋体" w:cs="宋体"/>
          <w:sz w:val="24"/>
          <w:highlight w:val="none"/>
        </w:rPr>
      </w:pPr>
      <w:r>
        <w:rPr>
          <w:rFonts w:hint="eastAsia" w:ascii="宋体" w:hAnsi="宋体" w:cs="宋体"/>
          <w:sz w:val="24"/>
          <w:highlight w:val="none"/>
        </w:rPr>
        <w:t>3.4.1 采购人优先采购被认定为首台套产品和“制造精品”的自主创新产品。</w:t>
      </w:r>
    </w:p>
    <w:p w14:paraId="12EF6678">
      <w:pPr>
        <w:spacing w:line="360" w:lineRule="auto"/>
        <w:ind w:firstLine="480" w:firstLineChars="200"/>
        <w:rPr>
          <w:rFonts w:ascii="宋体" w:hAnsi="宋体" w:cs="宋体"/>
          <w:sz w:val="24"/>
          <w:highlight w:val="none"/>
        </w:rPr>
      </w:pPr>
      <w:r>
        <w:rPr>
          <w:rFonts w:hint="eastAsia" w:ascii="宋体" w:hAnsi="宋体" w:cs="宋体"/>
          <w:sz w:val="24"/>
          <w:highlight w:val="none"/>
        </w:rPr>
        <w:t>3.4.2首台套产品被纳入《首台套产品推广应用指导目录》之日起</w:t>
      </w:r>
      <w:r>
        <w:rPr>
          <w:rFonts w:ascii="宋体" w:hAnsi="宋体" w:cs="宋体"/>
          <w:sz w:val="24"/>
          <w:highlight w:val="none"/>
        </w:rPr>
        <w:t>3</w:t>
      </w:r>
      <w:r>
        <w:rPr>
          <w:rFonts w:hint="eastAsia" w:ascii="宋体" w:hAnsi="宋体" w:cs="宋体"/>
          <w:sz w:val="24"/>
          <w:highlight w:val="none"/>
        </w:rPr>
        <w:t>年内，以及产品核心技术高于国内领先水平，并具有明晰自主知识产权的“制造精品”产品，自认定之日起2年内视同已具备相应销售业绩，参加政府采购活动时业绩分值为满分。</w:t>
      </w:r>
    </w:p>
    <w:p w14:paraId="699339D8">
      <w:pPr>
        <w:spacing w:line="360" w:lineRule="auto"/>
        <w:ind w:firstLine="240" w:firstLineChars="100"/>
        <w:rPr>
          <w:rFonts w:ascii="宋体" w:hAnsi="宋体" w:cs="宋体"/>
          <w:sz w:val="24"/>
          <w:highlight w:val="none"/>
        </w:rPr>
      </w:pPr>
      <w:r>
        <w:rPr>
          <w:rFonts w:hint="eastAsia" w:ascii="宋体" w:hAnsi="宋体" w:cs="宋体"/>
          <w:sz w:val="24"/>
          <w:highlight w:val="none"/>
        </w:rPr>
        <w:t>3.5平等对待内外资企业和符合条件的破产重整企业</w:t>
      </w:r>
    </w:p>
    <w:p w14:paraId="542E8124">
      <w:pPr>
        <w:spacing w:line="360" w:lineRule="auto"/>
        <w:ind w:firstLine="480" w:firstLineChars="200"/>
        <w:rPr>
          <w:rFonts w:hint="eastAsia" w:ascii="宋体" w:hAnsi="宋体" w:cs="宋体"/>
          <w:b/>
          <w:sz w:val="24"/>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b/>
          <w:sz w:val="24"/>
          <w:highlight w:val="none"/>
        </w:rPr>
        <w:t>4. 询问、质疑、投诉</w:t>
      </w:r>
    </w:p>
    <w:p w14:paraId="016CEA9F">
      <w:pPr>
        <w:pStyle w:val="892"/>
        <w:shd w:val="clear" w:color="auto" w:fill="FFFFFF"/>
        <w:snapToGrid w:val="0"/>
        <w:spacing w:after="240" w:afterAutospacing="0" w:line="360" w:lineRule="auto"/>
        <w:ind w:firstLine="400"/>
        <w:contextualSpacing/>
        <w:rPr>
          <w:highlight w:val="none"/>
          <w:lang w:val="zh-CN"/>
        </w:rPr>
      </w:pPr>
      <w:r>
        <w:rPr>
          <w:rFonts w:hint="eastAsia"/>
          <w:highlight w:val="none"/>
          <w:lang w:val="zh-CN"/>
        </w:rPr>
        <w:t>4.1在线询问、质疑、投诉</w:t>
      </w:r>
    </w:p>
    <w:p w14:paraId="78F28CCA">
      <w:pPr>
        <w:pStyle w:val="892"/>
        <w:shd w:val="clear" w:color="auto" w:fill="FFFFFF"/>
        <w:snapToGrid w:val="0"/>
        <w:spacing w:after="240" w:afterAutospacing="0" w:line="360" w:lineRule="auto"/>
        <w:ind w:firstLine="400"/>
        <w:contextualSpacing/>
        <w:rPr>
          <w:highlight w:val="none"/>
          <w:lang w:val="zh-CN"/>
        </w:rPr>
      </w:pPr>
      <w:r>
        <w:rPr>
          <w:rFonts w:hint="eastAsia"/>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232C47B">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14:paraId="6645F347">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C15C932">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14:paraId="392FB2CB">
      <w:pPr>
        <w:pStyle w:val="33"/>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14:paraId="664F8D02">
      <w:pPr>
        <w:pStyle w:val="33"/>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1C0AFB6">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7E145262">
      <w:pPr>
        <w:pStyle w:val="33"/>
        <w:spacing w:line="360" w:lineRule="auto"/>
        <w:ind w:left="479" w:leftChars="228"/>
        <w:rPr>
          <w:rFonts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14:paraId="28CB9593">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14:paraId="318C98B5">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4.3.3.1供应商的姓名或者名称、地址、邮编、联系人及联系电话；</w:t>
      </w:r>
    </w:p>
    <w:p w14:paraId="39285A55">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4.3.3.2质疑项目的名称、编号；</w:t>
      </w:r>
    </w:p>
    <w:p w14:paraId="2B87A5BD">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4.3.3.3具体、明确的质疑事项和与质疑事项相关的请求；</w:t>
      </w:r>
    </w:p>
    <w:p w14:paraId="1CD8223C">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4.3.3.4事实依据；</w:t>
      </w:r>
    </w:p>
    <w:p w14:paraId="47789C09">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4.3.3.5必要的法律依据；</w:t>
      </w:r>
    </w:p>
    <w:p w14:paraId="21B6FAD8">
      <w:pPr>
        <w:pStyle w:val="33"/>
        <w:spacing w:line="360" w:lineRule="auto"/>
        <w:ind w:firstLine="960" w:firstLineChars="400"/>
        <w:rPr>
          <w:rFonts w:hAnsi="宋体" w:cs="宋体"/>
          <w:kern w:val="0"/>
          <w:sz w:val="24"/>
          <w:highlight w:val="none"/>
          <w:lang w:val="zh-CN"/>
        </w:rPr>
      </w:pPr>
      <w:r>
        <w:rPr>
          <w:rFonts w:hint="eastAsia" w:hAnsi="宋体" w:cs="宋体"/>
          <w:kern w:val="0"/>
          <w:sz w:val="24"/>
          <w:highlight w:val="none"/>
          <w:lang w:val="zh-CN"/>
        </w:rPr>
        <w:t>4.3.3.6提出质疑的日期。</w:t>
      </w:r>
    </w:p>
    <w:p w14:paraId="668AE8E7">
      <w:pPr>
        <w:pStyle w:val="892"/>
        <w:shd w:val="clear" w:color="auto" w:fill="FFFFFF"/>
        <w:snapToGrid w:val="0"/>
        <w:spacing w:after="240" w:afterAutospacing="0" w:line="360" w:lineRule="auto"/>
        <w:ind w:firstLine="4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14:paraId="4F71A534">
      <w:pPr>
        <w:pStyle w:val="892"/>
        <w:shd w:val="clear" w:color="auto" w:fill="FFFFFF"/>
        <w:snapToGrid w:val="0"/>
        <w:spacing w:after="240" w:afterAutospacing="0" w:line="360" w:lineRule="auto"/>
        <w:ind w:firstLine="400"/>
        <w:contextualSpacing/>
        <w:rPr>
          <w:highlight w:val="none"/>
        </w:rPr>
      </w:pPr>
      <w:r>
        <w:rPr>
          <w:rFonts w:hint="eastAsia"/>
          <w:highlight w:val="none"/>
        </w:rPr>
        <w:t>4.3.4对同一采购程序环节的质疑，供应商须在法定质疑期内一次性提出。</w:t>
      </w:r>
    </w:p>
    <w:p w14:paraId="5F4ED75D">
      <w:pPr>
        <w:pStyle w:val="892"/>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388D297E">
      <w:pPr>
        <w:pStyle w:val="892"/>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14:paraId="1FEABFC7">
      <w:pPr>
        <w:pStyle w:val="892"/>
        <w:shd w:val="clear" w:color="auto" w:fill="FFFFFF"/>
        <w:snapToGrid w:val="0"/>
        <w:spacing w:after="240" w:afterAutospacing="0" w:line="360" w:lineRule="auto"/>
        <w:ind w:firstLine="480" w:firstLineChars="200"/>
        <w:contextualSpacing/>
        <w:rPr>
          <w:highlight w:val="none"/>
          <w:lang w:val="zh-CN"/>
        </w:rPr>
      </w:pPr>
      <w:r>
        <w:rPr>
          <w:rFonts w:hint="eastAsia"/>
          <w:highlight w:val="none"/>
          <w:lang w:val="zh-CN"/>
        </w:rPr>
        <w:t>4.4供应商投诉</w:t>
      </w:r>
    </w:p>
    <w:p w14:paraId="7EAF3EAE">
      <w:pPr>
        <w:pStyle w:val="892"/>
        <w:shd w:val="clear" w:color="auto" w:fill="FFFFFF"/>
        <w:snapToGrid w:val="0"/>
        <w:spacing w:after="240" w:afterAutospacing="0" w:line="360" w:lineRule="auto"/>
        <w:ind w:firstLine="400"/>
        <w:contextualSpacing/>
        <w:rPr>
          <w:highlight w:val="none"/>
        </w:rPr>
      </w:pPr>
      <w:r>
        <w:rPr>
          <w:rFonts w:hint="eastAsia"/>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580A9082">
      <w:pPr>
        <w:pStyle w:val="892"/>
        <w:shd w:val="clear" w:color="auto" w:fill="FFFFFF"/>
        <w:snapToGrid w:val="0"/>
        <w:spacing w:after="240" w:afterAutospacing="0" w:line="360" w:lineRule="auto"/>
        <w:ind w:firstLine="400"/>
        <w:contextualSpacing/>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14:paraId="2BA0E681">
      <w:pPr>
        <w:pStyle w:val="892"/>
        <w:shd w:val="clear" w:color="auto" w:fill="FFFFFF"/>
        <w:snapToGrid w:val="0"/>
        <w:spacing w:after="240" w:afterAutospacing="0" w:line="360" w:lineRule="auto"/>
        <w:ind w:firstLine="400"/>
        <w:contextualSpacing/>
        <w:rPr>
          <w:highlight w:val="none"/>
        </w:rPr>
      </w:pPr>
      <w:r>
        <w:rPr>
          <w:rFonts w:hint="eastAsia"/>
          <w:highlight w:val="none"/>
        </w:rPr>
        <w:t>4.4.3供应商投诉应当有明确的请求和必要的证明材料。</w:t>
      </w:r>
    </w:p>
    <w:p w14:paraId="5F85AF49">
      <w:pPr>
        <w:pStyle w:val="892"/>
        <w:shd w:val="clear" w:color="auto" w:fill="FFFFFF"/>
        <w:snapToGrid w:val="0"/>
        <w:spacing w:after="240" w:afterAutospacing="0" w:line="360" w:lineRule="auto"/>
        <w:ind w:firstLine="400"/>
        <w:contextualSpacing/>
        <w:rPr>
          <w:highlight w:val="none"/>
        </w:rPr>
      </w:pPr>
    </w:p>
    <w:p w14:paraId="22A755BA">
      <w:pPr>
        <w:pStyle w:val="138"/>
        <w:snapToGrid w:val="0"/>
        <w:spacing w:before="0"/>
        <w:ind w:firstLine="360"/>
        <w:rPr>
          <w:rFonts w:ascii="宋体" w:hAnsi="宋体" w:cs="宋体"/>
          <w:sz w:val="18"/>
          <w:szCs w:val="18"/>
          <w:highlight w:val="none"/>
        </w:rPr>
      </w:pPr>
    </w:p>
    <w:p w14:paraId="7317C9BD">
      <w:pPr>
        <w:adjustRightInd/>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 xml:space="preserve">      二、招标文件的构成、澄清、修改</w:t>
      </w:r>
    </w:p>
    <w:p w14:paraId="568012F1">
      <w:pPr>
        <w:pStyle w:val="33"/>
        <w:spacing w:line="360" w:lineRule="auto"/>
        <w:rPr>
          <w:rFonts w:hAnsi="宋体" w:cs="宋体"/>
          <w:b/>
          <w:sz w:val="24"/>
          <w:szCs w:val="24"/>
          <w:highlight w:val="none"/>
        </w:rPr>
      </w:pPr>
      <w:r>
        <w:rPr>
          <w:rFonts w:hint="eastAsia" w:hAnsi="宋体" w:cs="宋体"/>
          <w:b/>
          <w:sz w:val="24"/>
          <w:szCs w:val="24"/>
          <w:highlight w:val="none"/>
        </w:rPr>
        <w:t>5．招标文件的构成</w:t>
      </w:r>
    </w:p>
    <w:p w14:paraId="1347CBF9">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14:paraId="7244D6A1">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14:paraId="108183CA">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14:paraId="744FFB8D">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14:paraId="5A31C31B">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14:paraId="2A124A44">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14:paraId="13A69D97">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01288DB4">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58B7E78F">
      <w:pPr>
        <w:pStyle w:val="33"/>
        <w:spacing w:line="360" w:lineRule="auto"/>
        <w:rPr>
          <w:rFonts w:hAnsi="宋体" w:cs="宋体"/>
          <w:b/>
          <w:sz w:val="24"/>
          <w:szCs w:val="24"/>
          <w:highlight w:val="none"/>
        </w:rPr>
      </w:pPr>
      <w:r>
        <w:rPr>
          <w:rFonts w:hint="eastAsia" w:hAnsi="宋体" w:cs="宋体"/>
          <w:b/>
          <w:sz w:val="24"/>
          <w:szCs w:val="24"/>
          <w:highlight w:val="none"/>
        </w:rPr>
        <w:t>6. 招标文件的澄清、修改</w:t>
      </w:r>
    </w:p>
    <w:p w14:paraId="52578BA6">
      <w:pPr>
        <w:pStyle w:val="138"/>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6.1已获取招标文件的潜在投标人，若有问题需要澄清，应于投标截止时间前，以书面形式向采购代理机构提出。</w:t>
      </w:r>
    </w:p>
    <w:p w14:paraId="7E57E32E">
      <w:pPr>
        <w:pStyle w:val="138"/>
        <w:snapToGrid w:val="0"/>
        <w:spacing w:before="0"/>
        <w:ind w:firstLine="480"/>
        <w:rPr>
          <w:rFonts w:ascii="宋体" w:hAnsi="宋体" w:cs="宋体"/>
          <w:highlight w:val="none"/>
        </w:rPr>
      </w:pPr>
      <w:r>
        <w:rPr>
          <w:rFonts w:hint="eastAsia" w:ascii="宋体" w:hAnsi="宋体" w:cs="宋体"/>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ABF1FD3">
      <w:pPr>
        <w:pStyle w:val="24"/>
        <w:rPr>
          <w:rFonts w:hAnsi="宋体" w:cs="宋体"/>
          <w:sz w:val="18"/>
          <w:szCs w:val="18"/>
          <w:highlight w:val="none"/>
          <w:lang w:val="en-US"/>
        </w:rPr>
      </w:pPr>
      <w:r>
        <w:rPr>
          <w:rFonts w:hint="eastAsia" w:hAnsi="宋体" w:cs="宋体"/>
          <w:szCs w:val="24"/>
          <w:highlight w:val="none"/>
          <w:lang w:val="en-US"/>
        </w:rPr>
        <w:t xml:space="preserve">    </w:t>
      </w:r>
    </w:p>
    <w:p w14:paraId="7BB728D6">
      <w:pPr>
        <w:adjustRightInd/>
        <w:spacing w:line="360" w:lineRule="auto"/>
        <w:jc w:val="center"/>
        <w:outlineLvl w:val="0"/>
        <w:rPr>
          <w:rFonts w:ascii="宋体" w:hAnsi="宋体" w:cs="宋体"/>
          <w:b/>
          <w:sz w:val="30"/>
          <w:szCs w:val="20"/>
          <w:highlight w:val="none"/>
        </w:rPr>
      </w:pPr>
      <w:r>
        <w:rPr>
          <w:rFonts w:hint="eastAsia" w:ascii="宋体" w:hAnsi="宋体" w:cs="宋体"/>
          <w:b/>
          <w:sz w:val="30"/>
          <w:szCs w:val="20"/>
          <w:highlight w:val="none"/>
        </w:rPr>
        <w:t>三、投标</w:t>
      </w:r>
    </w:p>
    <w:p w14:paraId="5B3E4CFC">
      <w:pPr>
        <w:pStyle w:val="33"/>
        <w:spacing w:line="360" w:lineRule="auto"/>
        <w:rPr>
          <w:rFonts w:hAnsi="宋体" w:cs="宋体"/>
          <w:b/>
          <w:sz w:val="24"/>
          <w:szCs w:val="24"/>
          <w:highlight w:val="none"/>
        </w:rPr>
      </w:pPr>
      <w:r>
        <w:rPr>
          <w:rFonts w:hint="eastAsia" w:hAnsi="宋体" w:cs="宋体"/>
          <w:b/>
          <w:sz w:val="24"/>
          <w:szCs w:val="24"/>
          <w:highlight w:val="none"/>
        </w:rPr>
        <w:t>7. 招标文件的获取</w:t>
      </w:r>
    </w:p>
    <w:p w14:paraId="709D768E">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3DF8CD16">
      <w:pPr>
        <w:pStyle w:val="33"/>
        <w:spacing w:line="360" w:lineRule="auto"/>
        <w:rPr>
          <w:rFonts w:hAnsi="宋体" w:cs="宋体"/>
          <w:b/>
          <w:sz w:val="24"/>
          <w:szCs w:val="24"/>
          <w:highlight w:val="none"/>
        </w:rPr>
      </w:pPr>
      <w:r>
        <w:rPr>
          <w:rFonts w:hint="eastAsia" w:hAnsi="宋体" w:cs="宋体"/>
          <w:b/>
          <w:sz w:val="24"/>
          <w:szCs w:val="24"/>
          <w:highlight w:val="none"/>
        </w:rPr>
        <w:t>8.开标前答疑会或现场考察</w:t>
      </w:r>
    </w:p>
    <w:p w14:paraId="2090CE6F">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0E1E8745">
      <w:pPr>
        <w:pStyle w:val="33"/>
        <w:spacing w:line="360" w:lineRule="auto"/>
        <w:rPr>
          <w:rFonts w:hAnsi="宋体" w:cs="宋体"/>
          <w:b/>
          <w:szCs w:val="24"/>
          <w:highlight w:val="none"/>
        </w:rPr>
      </w:pPr>
      <w:r>
        <w:rPr>
          <w:rFonts w:hint="eastAsia" w:hAnsi="宋体" w:cs="宋体"/>
          <w:b/>
          <w:kern w:val="28"/>
          <w:sz w:val="24"/>
          <w:szCs w:val="24"/>
          <w:highlight w:val="none"/>
        </w:rPr>
        <w:t>9.投标保证金</w:t>
      </w:r>
    </w:p>
    <w:p w14:paraId="0B4BD9B3">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181B5463">
      <w:pPr>
        <w:pStyle w:val="33"/>
        <w:spacing w:line="360" w:lineRule="auto"/>
        <w:rPr>
          <w:rFonts w:hAnsi="宋体" w:cs="宋体"/>
          <w:b/>
          <w:sz w:val="24"/>
          <w:szCs w:val="24"/>
          <w:highlight w:val="none"/>
        </w:rPr>
      </w:pPr>
      <w:r>
        <w:rPr>
          <w:rFonts w:hint="eastAsia" w:hAnsi="宋体" w:cs="宋体"/>
          <w:b/>
          <w:sz w:val="24"/>
          <w:szCs w:val="24"/>
          <w:highlight w:val="none"/>
        </w:rPr>
        <w:t>10. 投标文件的语言</w:t>
      </w:r>
    </w:p>
    <w:p w14:paraId="021B0EC2">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2172A460">
      <w:pPr>
        <w:pStyle w:val="33"/>
        <w:spacing w:line="360" w:lineRule="auto"/>
        <w:rPr>
          <w:rFonts w:hAnsi="宋体" w:cs="宋体"/>
          <w:b/>
          <w:sz w:val="24"/>
          <w:szCs w:val="24"/>
          <w:highlight w:val="none"/>
        </w:rPr>
      </w:pPr>
      <w:r>
        <w:rPr>
          <w:rFonts w:hint="eastAsia" w:hAnsi="宋体" w:cs="宋体"/>
          <w:b/>
          <w:sz w:val="24"/>
          <w:szCs w:val="24"/>
          <w:highlight w:val="none"/>
        </w:rPr>
        <w:t>11. 投标文件的组成</w:t>
      </w:r>
    </w:p>
    <w:p w14:paraId="7CAE783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14:paraId="3A5EFA14">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11.1.1符合参加政府采购活动应当具备的一般条件的承诺函；</w:t>
      </w:r>
    </w:p>
    <w:p w14:paraId="73A44E44">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sz w:val="24"/>
          <w:highlight w:val="none"/>
        </w:rPr>
        <w:t>11.1.</w:t>
      </w:r>
      <w:r>
        <w:rPr>
          <w:rFonts w:hint="eastAsia" w:ascii="宋体" w:hAnsi="宋体" w:cs="宋体"/>
          <w:sz w:val="24"/>
          <w:highlight w:val="none"/>
          <w:lang w:val="en-US" w:eastAsia="zh-CN"/>
        </w:rPr>
        <w:t>2</w:t>
      </w:r>
      <w:r>
        <w:rPr>
          <w:rFonts w:hint="eastAsia" w:ascii="宋体" w:hAnsi="宋体" w:cs="宋体"/>
          <w:sz w:val="24"/>
          <w:highlight w:val="none"/>
        </w:rPr>
        <w:t>落实政府采购政策需满足的资格要求</w:t>
      </w:r>
      <w:r>
        <w:rPr>
          <w:rFonts w:hint="eastAsia" w:ascii="宋体" w:hAnsi="宋体" w:cs="宋体"/>
          <w:color w:val="auto"/>
          <w:sz w:val="24"/>
          <w:highlight w:val="none"/>
        </w:rPr>
        <w:t>；</w:t>
      </w:r>
    </w:p>
    <w:p w14:paraId="2D798029">
      <w:pPr>
        <w:snapToGrid w:val="0"/>
        <w:spacing w:line="360" w:lineRule="auto"/>
        <w:ind w:firstLine="960" w:firstLineChars="400"/>
        <w:rPr>
          <w:rFonts w:hint="eastAsia"/>
          <w:highlight w:val="none"/>
        </w:rPr>
      </w:pPr>
      <w:r>
        <w:rPr>
          <w:rFonts w:hint="eastAsia" w:ascii="宋体" w:hAnsi="宋体" w:cs="宋体"/>
          <w:sz w:val="24"/>
          <w:highlight w:val="none"/>
          <w:lang w:val="en-US" w:eastAsia="zh-CN"/>
        </w:rPr>
        <w:t>11.1.3中小企业声明函。</w:t>
      </w:r>
    </w:p>
    <w:p w14:paraId="590507EC">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b/>
          <w:bCs/>
          <w:sz w:val="24"/>
          <w:highlight w:val="none"/>
        </w:rPr>
        <w:t>商务技术</w:t>
      </w:r>
      <w:r>
        <w:rPr>
          <w:rFonts w:hint="eastAsia" w:ascii="宋体" w:hAnsi="宋体" w:cs="宋体"/>
          <w:b/>
          <w:bCs/>
          <w:sz w:val="24"/>
          <w:highlight w:val="none"/>
          <w:lang w:val="zh-CN"/>
        </w:rPr>
        <w:t>文件：</w:t>
      </w:r>
    </w:p>
    <w:p w14:paraId="4708AEFF">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11.2.1投标函；</w:t>
      </w:r>
      <w:r>
        <w:rPr>
          <w:rFonts w:hint="eastAsia" w:ascii="宋体" w:hAnsi="宋体" w:cs="宋体"/>
          <w:sz w:val="24"/>
          <w:highlight w:val="none"/>
          <w:lang w:val="zh-CN"/>
        </w:rPr>
        <w:t xml:space="preserve"> </w:t>
      </w:r>
    </w:p>
    <w:p w14:paraId="62B7C87D">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11.2.2授权委托书或法定代表人（单位负责人、自然人本人）身份证明；</w:t>
      </w:r>
    </w:p>
    <w:p w14:paraId="66DDA661">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hint="eastAsia" w:ascii="宋体" w:hAnsi="宋体" w:cs="宋体"/>
          <w:sz w:val="24"/>
          <w:highlight w:val="none"/>
          <w:lang w:val="en-US" w:eastAsia="zh-CN"/>
        </w:rPr>
        <w:t>3</w:t>
      </w:r>
      <w:r>
        <w:rPr>
          <w:rFonts w:hint="eastAsia" w:ascii="宋体" w:hAnsi="宋体" w:cs="宋体"/>
          <w:sz w:val="24"/>
          <w:highlight w:val="none"/>
        </w:rPr>
        <w:t>符合性审查资料；</w:t>
      </w:r>
    </w:p>
    <w:p w14:paraId="60B1F2F6">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11.2.</w:t>
      </w:r>
      <w:r>
        <w:rPr>
          <w:rFonts w:hint="eastAsia" w:ascii="宋体" w:hAnsi="宋体" w:cs="宋体"/>
          <w:sz w:val="24"/>
          <w:highlight w:val="none"/>
          <w:lang w:val="en-US" w:eastAsia="zh-CN"/>
        </w:rPr>
        <w:t>4</w:t>
      </w:r>
      <w:r>
        <w:rPr>
          <w:rFonts w:hint="eastAsia" w:ascii="宋体" w:hAnsi="宋体" w:cs="宋体"/>
          <w:sz w:val="24"/>
          <w:highlight w:val="none"/>
        </w:rPr>
        <w:t>评标标准相应的商务技术资料；</w:t>
      </w:r>
    </w:p>
    <w:p w14:paraId="45436B21">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11.2.</w:t>
      </w:r>
      <w:r>
        <w:rPr>
          <w:rFonts w:hint="eastAsia" w:ascii="宋体" w:hAnsi="宋体" w:cs="宋体"/>
          <w:sz w:val="24"/>
          <w:highlight w:val="none"/>
          <w:lang w:val="en-US" w:eastAsia="zh-CN"/>
        </w:rPr>
        <w:t>5</w:t>
      </w:r>
      <w:r>
        <w:rPr>
          <w:rFonts w:hint="eastAsia" w:ascii="宋体" w:hAnsi="宋体" w:cs="宋体"/>
          <w:sz w:val="24"/>
          <w:highlight w:val="none"/>
        </w:rPr>
        <w:t>投标标的清单；</w:t>
      </w:r>
    </w:p>
    <w:p w14:paraId="7391D7FF">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hint="eastAsia" w:ascii="宋体" w:hAnsi="宋体" w:cs="宋体"/>
          <w:sz w:val="24"/>
          <w:highlight w:val="none"/>
          <w:lang w:val="en-US" w:eastAsia="zh-CN"/>
        </w:rPr>
        <w:t>6</w:t>
      </w:r>
      <w:r>
        <w:rPr>
          <w:rFonts w:hint="eastAsia" w:ascii="宋体" w:hAnsi="宋体" w:cs="宋体"/>
          <w:sz w:val="24"/>
          <w:highlight w:val="none"/>
        </w:rPr>
        <w:t>商务技术偏离表；</w:t>
      </w:r>
    </w:p>
    <w:p w14:paraId="47F679B7">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lang w:val="en-US" w:eastAsia="zh-CN"/>
        </w:rPr>
        <w:t>7</w:t>
      </w:r>
      <w:r>
        <w:rPr>
          <w:rFonts w:hint="eastAsia" w:ascii="宋体" w:hAnsi="宋体" w:cs="宋体"/>
          <w:sz w:val="24"/>
          <w:highlight w:val="none"/>
          <w:lang w:val="zh-CN"/>
        </w:rPr>
        <w:t>政府采购供应商廉洁自律承诺书；</w:t>
      </w:r>
    </w:p>
    <w:p w14:paraId="315F3980">
      <w:pPr>
        <w:snapToGrid w:val="0"/>
        <w:spacing w:line="360" w:lineRule="auto"/>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r>
        <w:rPr>
          <w:rFonts w:hint="eastAsia" w:ascii="宋体" w:hAnsi="宋体" w:cs="宋体"/>
          <w:sz w:val="24"/>
          <w:highlight w:val="none"/>
        </w:rPr>
        <w:t xml:space="preserve"> </w:t>
      </w:r>
    </w:p>
    <w:p w14:paraId="356A5C54">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11.3.1开标一览表（报价表）；</w:t>
      </w:r>
    </w:p>
    <w:p w14:paraId="70DF5BD4">
      <w:pPr>
        <w:spacing w:line="360" w:lineRule="auto"/>
        <w:ind w:firstLine="723" w:firstLineChars="300"/>
        <w:rPr>
          <w:rFonts w:ascii="宋体" w:hAnsi="宋体" w:cs="宋体"/>
          <w:b/>
          <w:sz w:val="24"/>
          <w:highlight w:val="none"/>
        </w:rPr>
      </w:pPr>
      <w:r>
        <w:rPr>
          <w:rFonts w:hint="eastAsia" w:ascii="宋体" w:hAnsi="宋体" w:cs="宋体"/>
          <w:b/>
          <w:sz w:val="24"/>
          <w:highlight w:val="none"/>
        </w:rPr>
        <w:t>投标文件含有采购人不能接受的附加条件的，投标无效；</w:t>
      </w:r>
    </w:p>
    <w:p w14:paraId="189B4586">
      <w:pPr>
        <w:spacing w:line="360" w:lineRule="auto"/>
        <w:ind w:firstLine="723" w:firstLineChars="300"/>
        <w:rPr>
          <w:rFonts w:ascii="宋体" w:hAnsi="宋体" w:cs="宋体"/>
          <w:b/>
          <w:sz w:val="24"/>
          <w:szCs w:val="21"/>
          <w:highlight w:val="none"/>
        </w:rPr>
      </w:pPr>
      <w:r>
        <w:rPr>
          <w:rFonts w:hint="eastAsia" w:ascii="宋体" w:hAnsi="宋体" w:cs="宋体"/>
          <w:b/>
          <w:sz w:val="24"/>
          <w:highlight w:val="none"/>
        </w:rPr>
        <w:t>投标人提供虚假材料投标的，投标无效。</w:t>
      </w:r>
    </w:p>
    <w:p w14:paraId="7AF2D37B">
      <w:pPr>
        <w:pStyle w:val="138"/>
        <w:snapToGrid w:val="0"/>
        <w:spacing w:before="0"/>
        <w:ind w:firstLine="0" w:firstLineChars="0"/>
        <w:outlineLvl w:val="0"/>
        <w:rPr>
          <w:rFonts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p>
    <w:p w14:paraId="3EA88626">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B7D5FAD">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574A03D">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71987947">
      <w:pPr>
        <w:snapToGrid w:val="0"/>
        <w:spacing w:line="360" w:lineRule="auto"/>
        <w:rPr>
          <w:rFonts w:ascii="宋体" w:hAnsi="宋体" w:cs="宋体"/>
          <w:b/>
          <w:sz w:val="24"/>
          <w:highlight w:val="none"/>
        </w:rPr>
      </w:pPr>
      <w:r>
        <w:rPr>
          <w:rFonts w:hint="eastAsia" w:ascii="宋体" w:hAnsi="宋体" w:cs="宋体"/>
          <w:b/>
          <w:sz w:val="24"/>
          <w:highlight w:val="none"/>
        </w:rPr>
        <w:t>13.投标文件的签署、盖章</w:t>
      </w:r>
    </w:p>
    <w:p w14:paraId="0F607FDC">
      <w:pPr>
        <w:pStyle w:val="138"/>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24875EBF">
      <w:pPr>
        <w:pStyle w:val="138"/>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2A3BECE1">
      <w:pPr>
        <w:pStyle w:val="138"/>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14:paraId="48FDE3B5">
      <w:pPr>
        <w:pStyle w:val="138"/>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14:paraId="2AEF3ED1">
      <w:pPr>
        <w:pStyle w:val="138"/>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9923994">
      <w:pPr>
        <w:pStyle w:val="138"/>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C526443">
      <w:pPr>
        <w:pStyle w:val="138"/>
        <w:spacing w:before="0"/>
        <w:ind w:firstLine="480"/>
        <w:rPr>
          <w:rFonts w:ascii="宋体" w:hAnsi="宋体" w:cs="宋体"/>
          <w:szCs w:val="24"/>
          <w:highlight w:val="none"/>
        </w:rPr>
      </w:pPr>
      <w:r>
        <w:rPr>
          <w:rFonts w:hint="eastAsia" w:ascii="宋体" w:hAnsi="宋体" w:cs="宋体"/>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3603D825">
      <w:pPr>
        <w:pStyle w:val="33"/>
        <w:spacing w:line="360" w:lineRule="auto"/>
        <w:rPr>
          <w:rFonts w:hAnsi="宋体" w:cs="宋体"/>
          <w:b/>
          <w:sz w:val="24"/>
          <w:szCs w:val="24"/>
          <w:highlight w:val="none"/>
        </w:rPr>
      </w:pPr>
      <w:r>
        <w:rPr>
          <w:rFonts w:hint="eastAsia" w:hAnsi="宋体" w:cs="宋体"/>
          <w:b/>
          <w:sz w:val="24"/>
          <w:szCs w:val="24"/>
          <w:highlight w:val="none"/>
        </w:rPr>
        <w:t>15.备份投标文件</w:t>
      </w:r>
    </w:p>
    <w:p w14:paraId="359C4E82">
      <w:pPr>
        <w:pStyle w:val="33"/>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采购代理机构不强制投标人提交备份投标文件。</w:t>
      </w:r>
    </w:p>
    <w:p w14:paraId="2BC81A17">
      <w:pPr>
        <w:pStyle w:val="33"/>
        <w:spacing w:line="360" w:lineRule="auto"/>
        <w:ind w:firstLine="480" w:firstLineChars="200"/>
        <w:rPr>
          <w:rFonts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rPr>
        <w:t>DVD光盘等存储介质</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14:paraId="6C6E36F5">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7B38E33C">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highlight w:val="none"/>
        </w:rPr>
        <w:t>招标文件第二部分投标人须知前附表规定的备份投标文件送达地点；</w:t>
      </w:r>
      <w:r>
        <w:rPr>
          <w:rFonts w:hint="eastAsia" w:hAnsi="宋体" w:cs="宋体"/>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6EAF1CCC">
      <w:pPr>
        <w:pStyle w:val="33"/>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14:paraId="0A6BE1CE">
      <w:pPr>
        <w:pStyle w:val="138"/>
        <w:spacing w:before="0"/>
        <w:ind w:firstLine="0" w:firstLineChars="0"/>
        <w:rPr>
          <w:rFonts w:ascii="宋体" w:hAnsi="宋体" w:cs="宋体"/>
          <w:b/>
          <w:szCs w:val="24"/>
          <w:highlight w:val="none"/>
        </w:rPr>
      </w:pPr>
      <w:r>
        <w:rPr>
          <w:rFonts w:hint="eastAsia" w:ascii="宋体" w:hAnsi="宋体" w:cs="宋体"/>
          <w:b/>
          <w:szCs w:val="24"/>
          <w:highlight w:val="none"/>
        </w:rPr>
        <w:t>16.投标文件的无效处理</w:t>
      </w:r>
    </w:p>
    <w:p w14:paraId="65F148EB">
      <w:pPr>
        <w:pStyle w:val="25"/>
        <w:spacing w:line="360" w:lineRule="auto"/>
        <w:ind w:firstLine="360" w:firstLineChars="150"/>
        <w:rPr>
          <w:rFonts w:cs="宋体"/>
          <w:szCs w:val="21"/>
          <w:highlight w:val="none"/>
        </w:rPr>
      </w:pPr>
      <w:r>
        <w:rPr>
          <w:rFonts w:hint="eastAsia" w:cs="宋体"/>
          <w:szCs w:val="21"/>
          <w:highlight w:val="none"/>
        </w:rPr>
        <w:t>有招标文件第四部分</w:t>
      </w:r>
      <w:r>
        <w:rPr>
          <w:rFonts w:cs="宋体"/>
          <w:highlight w:val="none"/>
        </w:rPr>
        <w:t>4.2规定</w:t>
      </w:r>
      <w:r>
        <w:rPr>
          <w:rFonts w:hint="eastAsia" w:cs="宋体"/>
          <w:szCs w:val="21"/>
          <w:highlight w:val="none"/>
        </w:rPr>
        <w:t>的情形之一的，投标无效：</w:t>
      </w:r>
    </w:p>
    <w:p w14:paraId="6E3B31B7">
      <w:pPr>
        <w:pStyle w:val="138"/>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14:paraId="6EDD5A4E">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55962BF5">
      <w:pPr>
        <w:pStyle w:val="138"/>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14:paraId="1792DC4F">
      <w:pPr>
        <w:pStyle w:val="138"/>
        <w:spacing w:before="0"/>
        <w:ind w:firstLine="480"/>
        <w:rPr>
          <w:rFonts w:ascii="宋体" w:hAnsi="宋体" w:cs="宋体"/>
          <w:highlight w:val="none"/>
        </w:rPr>
      </w:pPr>
      <w:r>
        <w:rPr>
          <w:rFonts w:hint="eastAsia" w:ascii="宋体" w:hAnsi="宋体" w:cs="宋体"/>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4B67A3F4">
      <w:pPr>
        <w:pStyle w:val="138"/>
        <w:spacing w:before="0"/>
        <w:ind w:firstLine="643"/>
        <w:rPr>
          <w:rFonts w:ascii="宋体" w:hAnsi="宋体" w:cs="宋体"/>
          <w:b/>
          <w:sz w:val="32"/>
          <w:highlight w:val="none"/>
        </w:rPr>
      </w:pPr>
    </w:p>
    <w:p w14:paraId="6DC2A9F4">
      <w:pPr>
        <w:pStyle w:val="138"/>
        <w:spacing w:before="0"/>
        <w:ind w:firstLine="1928" w:firstLineChars="600"/>
        <w:rPr>
          <w:rFonts w:ascii="宋体" w:hAnsi="宋体" w:cs="宋体"/>
          <w:b/>
          <w:sz w:val="32"/>
          <w:highlight w:val="yellow"/>
        </w:rPr>
      </w:pPr>
      <w:bookmarkStart w:id="17" w:name="_Toc91899903"/>
      <w:r>
        <w:rPr>
          <w:rFonts w:hint="eastAsia" w:ascii="宋体" w:hAnsi="宋体" w:cs="宋体"/>
          <w:b/>
          <w:sz w:val="32"/>
          <w:highlight w:val="yellow"/>
        </w:rPr>
        <w:t>四、开标、资格审查与信用信息查询</w:t>
      </w:r>
    </w:p>
    <w:p w14:paraId="2A563EA7">
      <w:pPr>
        <w:pStyle w:val="560"/>
        <w:spacing w:before="0" w:line="360" w:lineRule="auto"/>
        <w:ind w:left="0" w:firstLine="241" w:firstLineChars="100"/>
        <w:contextualSpacing/>
        <w:rPr>
          <w:rFonts w:hint="eastAsia" w:ascii="宋体" w:hAnsi="宋体" w:cs="宋体"/>
          <w:b/>
          <w:bCs w:val="0"/>
          <w:sz w:val="24"/>
          <w:szCs w:val="24"/>
        </w:rPr>
      </w:pPr>
      <w:r>
        <w:rPr>
          <w:rFonts w:hint="eastAsia" w:ascii="宋体" w:hAnsi="宋体" w:cs="宋体"/>
          <w:b/>
          <w:bCs w:val="0"/>
          <w:sz w:val="24"/>
          <w:szCs w:val="24"/>
          <w:lang w:val="en-US" w:eastAsia="zh-CN"/>
        </w:rPr>
        <w:t>18.</w:t>
      </w:r>
      <w:r>
        <w:rPr>
          <w:rFonts w:hint="eastAsia" w:ascii="宋体" w:hAnsi="宋体" w:cs="宋体"/>
          <w:b/>
          <w:bCs w:val="0"/>
          <w:sz w:val="24"/>
          <w:szCs w:val="24"/>
        </w:rPr>
        <w:t>开标准备</w:t>
      </w:r>
    </w:p>
    <w:p w14:paraId="09D71E10">
      <w:pPr>
        <w:pStyle w:val="560"/>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1、开标的准备工作由采购组织机构负责落实。</w:t>
      </w:r>
    </w:p>
    <w:p w14:paraId="0310B0D1">
      <w:pPr>
        <w:pStyle w:val="560"/>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2、采购组织机构将按照采购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18216914">
      <w:pPr>
        <w:pStyle w:val="560"/>
        <w:spacing w:before="0" w:line="360" w:lineRule="auto"/>
        <w:ind w:left="0" w:firstLine="241" w:firstLineChars="100"/>
        <w:contextualSpacing/>
        <w:rPr>
          <w:rFonts w:hint="eastAsia" w:ascii="宋体" w:hAnsi="宋体" w:cs="宋体"/>
          <w:b/>
          <w:bCs w:val="0"/>
          <w:sz w:val="24"/>
          <w:szCs w:val="24"/>
        </w:rPr>
      </w:pPr>
      <w:r>
        <w:rPr>
          <w:rFonts w:hint="eastAsia" w:ascii="宋体" w:hAnsi="宋体" w:cs="宋体"/>
          <w:b/>
          <w:bCs w:val="0"/>
          <w:sz w:val="24"/>
          <w:szCs w:val="24"/>
          <w:lang w:val="en-US" w:eastAsia="zh-CN"/>
        </w:rPr>
        <w:t>19.</w:t>
      </w:r>
      <w:r>
        <w:rPr>
          <w:rFonts w:hint="eastAsia" w:ascii="宋体" w:hAnsi="宋体" w:cs="宋体"/>
          <w:b/>
          <w:bCs w:val="0"/>
          <w:sz w:val="24"/>
          <w:szCs w:val="24"/>
        </w:rPr>
        <w:t>采购人或者采购代理机构职责</w:t>
      </w:r>
    </w:p>
    <w:p w14:paraId="2B077F8A">
      <w:pPr>
        <w:pStyle w:val="560"/>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采购人或者采购代理机构负责组织评标工作，并履行下列职责：</w:t>
      </w:r>
    </w:p>
    <w:p w14:paraId="08732A93">
      <w:pPr>
        <w:pStyle w:val="560"/>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1、核对评审专家身份和采购人代表授权函，对评审专家在政府采购活动中的职责履行情况予以记录，并及时将有关违法违规行为向财政部门报告；</w:t>
      </w:r>
    </w:p>
    <w:p w14:paraId="5B1740F8">
      <w:pPr>
        <w:pStyle w:val="560"/>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2、宣布评标纪律；</w:t>
      </w:r>
    </w:p>
    <w:p w14:paraId="5ABC543F">
      <w:pPr>
        <w:pStyle w:val="560"/>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3、公布供应商名单，告知评审专家应当回避的情形；</w:t>
      </w:r>
    </w:p>
    <w:p w14:paraId="461465DE">
      <w:pPr>
        <w:pStyle w:val="560"/>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4、组织评标委员会推选评标组长，采购人代表不得担任组长；</w:t>
      </w:r>
    </w:p>
    <w:p w14:paraId="6F07C5CD">
      <w:pPr>
        <w:pStyle w:val="560"/>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5、在评标期间采取必要的通讯管理措施，保证评标活动不受外界干扰；</w:t>
      </w:r>
    </w:p>
    <w:p w14:paraId="59F03E27">
      <w:pPr>
        <w:pStyle w:val="560"/>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6、根据评标委员会的要求介绍政府采购相关政策法规、采购文件；</w:t>
      </w:r>
    </w:p>
    <w:p w14:paraId="76E21A87">
      <w:pPr>
        <w:pStyle w:val="560"/>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7、维护评标秩序，监督评标委员会依照采购文件规定的评标程序、方法和标准进行独立评审，及时制止和纠正采购人代表、评审专家的倾向性言论或者违法违规行为；</w:t>
      </w:r>
    </w:p>
    <w:p w14:paraId="18608BA5">
      <w:pPr>
        <w:pStyle w:val="560"/>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8、核对评标结果，根据《政府采购货物和服务招标投标管理办法》，如有第六十四条规定情形的，要求评标委员会复核或者书面说明理由，评标委员会拒绝的，应予记录并向本级财政部门报告；</w:t>
      </w:r>
    </w:p>
    <w:p w14:paraId="058AA8E4">
      <w:pPr>
        <w:pStyle w:val="560"/>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9、评审工作完成后，按照规定向评审专家支付劳务报酬和异地评审差旅费；</w:t>
      </w:r>
    </w:p>
    <w:p w14:paraId="7D957FF0">
      <w:pPr>
        <w:pStyle w:val="560"/>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10、处理与评标有关的其他事项。</w:t>
      </w:r>
    </w:p>
    <w:p w14:paraId="4392161E">
      <w:pPr>
        <w:pStyle w:val="560"/>
        <w:spacing w:before="0" w:line="360" w:lineRule="auto"/>
        <w:ind w:left="0" w:firstLine="241" w:firstLineChars="100"/>
        <w:contextualSpacing/>
        <w:rPr>
          <w:rFonts w:hint="eastAsia" w:ascii="宋体" w:hAnsi="宋体" w:cs="宋体"/>
          <w:b/>
          <w:bCs w:val="0"/>
          <w:sz w:val="24"/>
          <w:szCs w:val="24"/>
        </w:rPr>
      </w:pPr>
      <w:r>
        <w:rPr>
          <w:rFonts w:hint="eastAsia" w:ascii="宋体" w:hAnsi="宋体" w:cs="宋体"/>
          <w:b/>
          <w:bCs w:val="0"/>
          <w:sz w:val="24"/>
          <w:szCs w:val="24"/>
          <w:lang w:val="en-US" w:eastAsia="zh-CN"/>
        </w:rPr>
        <w:t>20.</w:t>
      </w:r>
      <w:r>
        <w:rPr>
          <w:rFonts w:hint="eastAsia" w:ascii="宋体" w:hAnsi="宋体" w:cs="宋体"/>
          <w:b/>
          <w:bCs w:val="0"/>
          <w:sz w:val="24"/>
          <w:szCs w:val="24"/>
        </w:rPr>
        <w:t>开标流程（两阶段）</w:t>
      </w:r>
    </w:p>
    <w:p w14:paraId="5C58B4DA">
      <w:pPr>
        <w:pStyle w:val="560"/>
        <w:spacing w:before="0" w:line="360" w:lineRule="auto"/>
        <w:ind w:left="0" w:firstLine="241" w:firstLineChars="100"/>
        <w:contextualSpacing/>
        <w:rPr>
          <w:rFonts w:hint="eastAsia" w:ascii="宋体" w:hAnsi="宋体" w:cs="宋体"/>
          <w:b/>
          <w:bCs w:val="0"/>
          <w:sz w:val="24"/>
          <w:szCs w:val="24"/>
        </w:rPr>
      </w:pPr>
      <w:r>
        <w:rPr>
          <w:rFonts w:hint="eastAsia" w:ascii="宋体" w:hAnsi="宋体" w:cs="宋体"/>
          <w:b/>
          <w:bCs w:val="0"/>
          <w:sz w:val="24"/>
          <w:szCs w:val="24"/>
        </w:rPr>
        <w:t>1、开标第一阶段</w:t>
      </w:r>
    </w:p>
    <w:p w14:paraId="710F71BD">
      <w:pPr>
        <w:pStyle w:val="560"/>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6354A43F">
      <w:pPr>
        <w:pStyle w:val="560"/>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（2）开启投标文件，进入资格审查；</w:t>
      </w:r>
    </w:p>
    <w:p w14:paraId="59737E56">
      <w:pPr>
        <w:pStyle w:val="560"/>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（3）开启资格审查通过的投标供应商的商务技术文件进入符合性审查、商务技术评审；</w:t>
      </w:r>
    </w:p>
    <w:p w14:paraId="5DFAC930">
      <w:pPr>
        <w:pStyle w:val="560"/>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（4）第一阶段开标结束。</w:t>
      </w:r>
    </w:p>
    <w:p w14:paraId="6BB707E9">
      <w:pPr>
        <w:pStyle w:val="560"/>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备注：首先依法对投标供应商的资格进行审查，资格审查结束后进入符合性审查和商务技术的评审工作，具体见本章节“投标供应商资格审查”相关规定。</w:t>
      </w:r>
    </w:p>
    <w:p w14:paraId="67F9A268">
      <w:pPr>
        <w:pStyle w:val="560"/>
        <w:spacing w:before="0" w:line="360" w:lineRule="auto"/>
        <w:ind w:left="0" w:firstLine="241" w:firstLineChars="100"/>
        <w:contextualSpacing/>
        <w:rPr>
          <w:rFonts w:hint="eastAsia" w:ascii="宋体" w:hAnsi="宋体" w:cs="宋体"/>
          <w:b/>
          <w:bCs w:val="0"/>
          <w:sz w:val="24"/>
          <w:szCs w:val="24"/>
        </w:rPr>
      </w:pPr>
      <w:r>
        <w:rPr>
          <w:rFonts w:hint="eastAsia" w:ascii="宋体" w:hAnsi="宋体" w:cs="宋体"/>
          <w:b/>
          <w:bCs w:val="0"/>
          <w:sz w:val="24"/>
          <w:szCs w:val="24"/>
        </w:rPr>
        <w:t>2、开标大会第二阶段</w:t>
      </w:r>
    </w:p>
    <w:p w14:paraId="48E690D4">
      <w:pPr>
        <w:pStyle w:val="560"/>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1符合性审查。磋商小组应当对符合资格的供应商的响应文件进行符合性审查，以确定其是否满足采购文件的实质性要求。不满足采购文件的实质性要求的，响应文件无效。</w:t>
      </w:r>
    </w:p>
    <w:p w14:paraId="49685B07">
      <w:pPr>
        <w:pStyle w:val="560"/>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2 磋商。磋商小组将对确定为实质性响应本采购文件的响应文件进行详细评价和比较，主要就资信、服务方案内容、服务承诺等磋商小组认为与本次采购有关的因素与符合性审查合格的供应商逐一进行磋商。</w:t>
      </w:r>
    </w:p>
    <w:p w14:paraId="31E4A913">
      <w:pPr>
        <w:pStyle w:val="560"/>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2.1 供应商逐家回答磋商小组的提问；逐家磋商一次为一个轮次，磋商轮次根据实际情况进行（不超过3次）。</w:t>
      </w:r>
    </w:p>
    <w:p w14:paraId="0B57F17C">
      <w:pPr>
        <w:pStyle w:val="560"/>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2.2 供应商应按磋商小组通知的时间在线或以邮件回复做出承诺或回复，承诺或回复的内容须由供应商盖章，并作为响应文件的补充部分。</w:t>
      </w:r>
    </w:p>
    <w:p w14:paraId="46BB603E">
      <w:pPr>
        <w:pStyle w:val="560"/>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 xml:space="preserve">2.3 在磋商过程中，磋商小组可以根据磋商文件和磋商情况实质性变动采购需求中的“※”号技术、服务要求以及合同草案中的“※”号条款，但不得变动磋商文件中的其他内容。实质性变动的内容，须经采购人代表确认。磋商文件有实质性变动的，磋商小组将以书面形式通知所有符合性审查合格的供应商。 </w:t>
      </w:r>
    </w:p>
    <w:p w14:paraId="7D6F4484">
      <w:pPr>
        <w:pStyle w:val="560"/>
        <w:spacing w:before="0" w:line="360" w:lineRule="auto"/>
        <w:ind w:left="0" w:firstLine="241" w:firstLineChars="100"/>
        <w:contextualSpacing/>
        <w:rPr>
          <w:rFonts w:hint="eastAsia" w:ascii="宋体" w:hAnsi="宋体" w:cs="宋体"/>
          <w:b/>
          <w:bCs w:val="0"/>
          <w:sz w:val="24"/>
          <w:szCs w:val="24"/>
        </w:rPr>
      </w:pPr>
      <w:r>
        <w:rPr>
          <w:rFonts w:hint="eastAsia" w:ascii="宋体" w:hAnsi="宋体" w:cs="宋体"/>
          <w:b/>
          <w:bCs w:val="0"/>
          <w:sz w:val="24"/>
          <w:szCs w:val="24"/>
        </w:rPr>
        <w:t>3最后报价</w:t>
      </w:r>
    </w:p>
    <w:p w14:paraId="7644AC86">
      <w:pPr>
        <w:pStyle w:val="560"/>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3.1 磋商文件能够详细列明采购标的的技术、服务要求的，磋商结束后，磋商小组应当要求所有符合性审查合格的供应商在规定时间内提交最后报价，提交最后报价的供应商不得少于3家。</w:t>
      </w:r>
    </w:p>
    <w:p w14:paraId="51AAACA8">
      <w:pPr>
        <w:pStyle w:val="560"/>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0C47BF66">
      <w:pPr>
        <w:pStyle w:val="560"/>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3.3 已提交响应文件的供应商，在提交最后报价之前，可以根据磋商情况退出磋商</w:t>
      </w:r>
    </w:p>
    <w:p w14:paraId="63979C3A">
      <w:pPr>
        <w:pStyle w:val="560"/>
        <w:spacing w:before="0" w:line="360" w:lineRule="auto"/>
        <w:ind w:left="0" w:firstLine="241" w:firstLineChars="100"/>
        <w:contextualSpacing/>
        <w:rPr>
          <w:rFonts w:hint="eastAsia" w:ascii="宋体" w:hAnsi="宋体" w:cs="宋体"/>
          <w:b w:val="0"/>
          <w:bCs/>
          <w:sz w:val="24"/>
          <w:szCs w:val="24"/>
        </w:rPr>
      </w:pPr>
      <w:r>
        <w:rPr>
          <w:rFonts w:hint="eastAsia" w:ascii="宋体" w:hAnsi="宋体" w:cs="宋体"/>
          <w:b/>
          <w:bCs w:val="0"/>
          <w:sz w:val="24"/>
          <w:szCs w:val="24"/>
        </w:rPr>
        <w:t>4 综合评分</w:t>
      </w:r>
      <w:r>
        <w:rPr>
          <w:rFonts w:hint="eastAsia" w:ascii="宋体" w:hAnsi="宋体" w:cs="宋体"/>
          <w:b w:val="0"/>
          <w:bCs/>
          <w:sz w:val="24"/>
          <w:szCs w:val="24"/>
        </w:rPr>
        <w:t>。经磋商确定最终采购需求和提交最后报价的供应商后，磋商小组应当按照采购文件中规定的评审标准，对符合性审查合格的响应文件进行综合评分。磋商文件中没有规定的评审标准不得作为评审依据。</w:t>
      </w:r>
    </w:p>
    <w:p w14:paraId="642A6989">
      <w:pPr>
        <w:pStyle w:val="560"/>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5汇总商务技术得分。磋商小组各成员应当独立对每个供应商的商务和技术文件进行评价，并汇总商务技术得分情况。</w:t>
      </w:r>
    </w:p>
    <w:p w14:paraId="43D2D4A9">
      <w:pPr>
        <w:pStyle w:val="560"/>
        <w:spacing w:before="0" w:line="360" w:lineRule="auto"/>
        <w:ind w:left="0" w:firstLine="241" w:firstLineChars="100"/>
        <w:contextualSpacing/>
        <w:rPr>
          <w:rFonts w:hint="eastAsia" w:ascii="宋体" w:hAnsi="宋体" w:cs="宋体"/>
          <w:b/>
          <w:bCs w:val="0"/>
          <w:sz w:val="24"/>
          <w:szCs w:val="24"/>
        </w:rPr>
      </w:pPr>
      <w:r>
        <w:rPr>
          <w:rFonts w:hint="eastAsia" w:ascii="宋体" w:hAnsi="宋体" w:cs="宋体"/>
          <w:b/>
          <w:bCs w:val="0"/>
          <w:sz w:val="24"/>
          <w:szCs w:val="24"/>
        </w:rPr>
        <w:t>6报价评审。</w:t>
      </w:r>
    </w:p>
    <w:p w14:paraId="4841932B">
      <w:pPr>
        <w:pStyle w:val="560"/>
        <w:spacing w:before="0" w:line="360" w:lineRule="auto"/>
        <w:ind w:left="0" w:firstLine="241" w:firstLineChars="100"/>
        <w:contextualSpacing/>
        <w:rPr>
          <w:rFonts w:hint="eastAsia" w:ascii="宋体" w:hAnsi="宋体" w:cs="宋体"/>
          <w:b w:val="0"/>
          <w:bCs/>
          <w:sz w:val="24"/>
          <w:szCs w:val="24"/>
        </w:rPr>
      </w:pPr>
      <w:r>
        <w:rPr>
          <w:rFonts w:hint="eastAsia" w:ascii="宋体" w:hAnsi="宋体" w:cs="宋体"/>
          <w:b/>
          <w:bCs w:val="0"/>
          <w:sz w:val="24"/>
          <w:szCs w:val="24"/>
        </w:rPr>
        <w:t>7排序与推荐。</w:t>
      </w:r>
      <w:r>
        <w:rPr>
          <w:rFonts w:hint="eastAsia" w:ascii="宋体" w:hAnsi="宋体" w:cs="宋体"/>
          <w:b w:val="0"/>
          <w:bCs/>
          <w:sz w:val="24"/>
          <w:szCs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7AF2E1F2">
      <w:pPr>
        <w:pStyle w:val="560"/>
        <w:spacing w:before="0" w:line="360" w:lineRule="auto"/>
        <w:ind w:left="0" w:firstLine="241" w:firstLineChars="100"/>
        <w:contextualSpacing/>
        <w:rPr>
          <w:rFonts w:hint="eastAsia" w:ascii="宋体" w:hAnsi="宋体" w:cs="宋体"/>
          <w:b w:val="0"/>
          <w:bCs/>
          <w:sz w:val="24"/>
        </w:rPr>
      </w:pPr>
      <w:r>
        <w:rPr>
          <w:rFonts w:hint="eastAsia" w:ascii="宋体" w:hAnsi="宋体" w:cs="宋体"/>
          <w:b/>
          <w:bCs w:val="0"/>
          <w:sz w:val="24"/>
          <w:szCs w:val="24"/>
        </w:rPr>
        <w:t>8编写评审报告。</w:t>
      </w:r>
      <w:r>
        <w:rPr>
          <w:rFonts w:hint="eastAsia" w:ascii="宋体" w:hAnsi="宋体" w:cs="宋体"/>
          <w:b w:val="0"/>
          <w:bCs/>
          <w:sz w:val="24"/>
          <w:szCs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特别说明：如遇“政府采购云平台”电子化开标或评审程序调整的，按调整后程序执行。</w:t>
      </w:r>
      <w:r>
        <w:rPr>
          <w:rFonts w:hint="eastAsia" w:ascii="宋体" w:hAnsi="宋体" w:cs="宋体"/>
          <w:b w:val="0"/>
          <w:bCs/>
          <w:sz w:val="24"/>
        </w:rPr>
        <w:t>　</w:t>
      </w:r>
      <w:bookmarkStart w:id="18" w:name="_Toc33194393"/>
      <w:bookmarkStart w:id="19" w:name="_Toc24550037"/>
    </w:p>
    <w:p w14:paraId="2F0F562F">
      <w:pPr>
        <w:pStyle w:val="560"/>
        <w:spacing w:before="0" w:line="360" w:lineRule="auto"/>
        <w:ind w:left="0" w:firstLine="241" w:firstLineChars="100"/>
        <w:contextualSpacing/>
        <w:rPr>
          <w:rFonts w:hint="eastAsia" w:ascii="宋体" w:hAnsi="宋体" w:cs="宋体"/>
          <w:b/>
          <w:bCs w:val="0"/>
          <w:sz w:val="24"/>
        </w:rPr>
      </w:pPr>
      <w:r>
        <w:rPr>
          <w:rFonts w:hint="eastAsia" w:ascii="宋体" w:hAnsi="宋体" w:cs="宋体"/>
          <w:b/>
          <w:bCs w:val="0"/>
          <w:sz w:val="24"/>
        </w:rPr>
        <w:t>投标供应商资格审查</w:t>
      </w:r>
      <w:bookmarkEnd w:id="18"/>
      <w:bookmarkEnd w:id="19"/>
    </w:p>
    <w:p w14:paraId="49CA51F5">
      <w:pPr>
        <w:pStyle w:val="560"/>
        <w:spacing w:before="0" w:line="360" w:lineRule="auto"/>
        <w:ind w:left="0" w:firstLine="240" w:firstLineChars="100"/>
        <w:contextualSpacing/>
        <w:rPr>
          <w:rFonts w:hint="eastAsia" w:ascii="宋体" w:hAnsi="宋体" w:cs="宋体"/>
          <w:b w:val="0"/>
          <w:bCs/>
          <w:sz w:val="24"/>
        </w:rPr>
      </w:pPr>
      <w:r>
        <w:rPr>
          <w:rFonts w:hint="eastAsia" w:ascii="宋体" w:hAnsi="宋体" w:cs="宋体"/>
          <w:b w:val="0"/>
          <w:bCs/>
          <w:sz w:val="24"/>
        </w:rPr>
        <w:t>1、开标大会第一阶段结束后，首先依法对各投标供应商的资格进行审查，审查各投标供应商的资格是否满足采购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6F0AD9C5">
      <w:pPr>
        <w:pStyle w:val="560"/>
        <w:spacing w:before="0" w:line="360" w:lineRule="auto"/>
        <w:ind w:left="0" w:firstLine="240" w:firstLineChars="100"/>
        <w:contextualSpacing/>
        <w:rPr>
          <w:rFonts w:hint="eastAsia" w:ascii="宋体" w:hAnsi="宋体" w:cs="宋体"/>
          <w:b/>
          <w:bCs w:val="0"/>
          <w:sz w:val="24"/>
          <w:lang w:val="en-US" w:eastAsia="zh-CN"/>
        </w:rPr>
      </w:pPr>
      <w:r>
        <w:rPr>
          <w:rFonts w:hint="eastAsia" w:ascii="宋体" w:hAnsi="宋体" w:cs="宋体"/>
          <w:b w:val="0"/>
          <w:bCs/>
          <w:sz w:val="24"/>
        </w:rPr>
        <w:t>2、投标供应商提交的资格证明材料无法证明其符合采购文件规定的“投标供应商资格要求”的，采购人或采购代理机构将对其作资格审查不通过处理（无效投标），并不再将其投标提交评标委员会进行后续评审。</w:t>
      </w:r>
    </w:p>
    <w:p w14:paraId="0CD3D0E7">
      <w:pPr>
        <w:pStyle w:val="560"/>
        <w:spacing w:before="0" w:line="360" w:lineRule="auto"/>
        <w:ind w:left="0" w:firstLine="241" w:firstLineChars="100"/>
        <w:contextualSpacing/>
        <w:rPr>
          <w:rFonts w:hint="eastAsia" w:ascii="宋体" w:hAnsi="宋体" w:cs="宋体"/>
          <w:b/>
          <w:bCs w:val="0"/>
          <w:sz w:val="24"/>
        </w:rPr>
      </w:pPr>
      <w:r>
        <w:rPr>
          <w:rFonts w:hint="eastAsia" w:ascii="宋体" w:hAnsi="宋体" w:cs="宋体"/>
          <w:b/>
          <w:bCs w:val="0"/>
          <w:sz w:val="24"/>
        </w:rPr>
        <w:t>信用信息查询</w:t>
      </w:r>
    </w:p>
    <w:p w14:paraId="31EF0F2A">
      <w:pPr>
        <w:pStyle w:val="138"/>
        <w:spacing w:before="0"/>
        <w:ind w:firstLine="495" w:firstLineChars="0"/>
        <w:rPr>
          <w:rFonts w:ascii="宋体" w:hAnsi="宋体" w:cs="宋体"/>
          <w:kern w:val="0"/>
          <w:szCs w:val="24"/>
        </w:rPr>
      </w:pPr>
      <w:r>
        <w:rPr>
          <w:rFonts w:hint="eastAsia" w:ascii="宋体" w:hAnsi="宋体" w:cs="宋体"/>
          <w:kern w:val="0"/>
          <w:szCs w:val="24"/>
          <w:lang w:val="en-US" w:eastAsia="zh-CN"/>
        </w:rPr>
        <w:t>1.</w:t>
      </w:r>
      <w:r>
        <w:rPr>
          <w:rFonts w:hint="eastAsia" w:ascii="宋体" w:hAnsi="宋体" w:cs="宋体"/>
          <w:kern w:val="0"/>
          <w:szCs w:val="24"/>
        </w:rPr>
        <w:t>信用信息查询渠道及截止时间：采购代理机构将在资格审查时通过“信用中国”网站(www.creditchina.gov.cn)、中国政府采购网(www.ccgp.gov.cn)渠道查询投标人接受资格审查时的信用记录。</w:t>
      </w:r>
    </w:p>
    <w:p w14:paraId="29E2DC72">
      <w:pPr>
        <w:pStyle w:val="138"/>
        <w:spacing w:before="0"/>
        <w:ind w:firstLine="495" w:firstLineChars="0"/>
        <w:rPr>
          <w:rFonts w:ascii="宋体" w:hAnsi="宋体" w:cs="宋体"/>
          <w:kern w:val="0"/>
          <w:szCs w:val="24"/>
        </w:rPr>
      </w:pPr>
      <w:r>
        <w:rPr>
          <w:rFonts w:hint="eastAsia" w:ascii="宋体" w:hAnsi="宋体" w:cs="宋体"/>
          <w:kern w:val="0"/>
          <w:szCs w:val="24"/>
          <w:lang w:val="en-US" w:eastAsia="zh-CN"/>
        </w:rPr>
        <w:t>2.</w:t>
      </w:r>
      <w:r>
        <w:rPr>
          <w:rFonts w:hint="eastAsia" w:ascii="宋体" w:hAnsi="宋体" w:cs="宋体"/>
          <w:kern w:val="0"/>
          <w:szCs w:val="24"/>
        </w:rPr>
        <w:t>信用信息查询记录和证据留存的具体方式：现场查询的投标人的信用记录、查询结果经确认后将与采购文件一起存档。</w:t>
      </w:r>
    </w:p>
    <w:p w14:paraId="1CB897B7">
      <w:pPr>
        <w:pStyle w:val="138"/>
        <w:spacing w:before="0"/>
        <w:ind w:firstLine="495" w:firstLineChars="0"/>
        <w:rPr>
          <w:rFonts w:ascii="宋体" w:hAnsi="宋体" w:cs="宋体"/>
          <w:kern w:val="0"/>
          <w:szCs w:val="24"/>
        </w:rPr>
      </w:pPr>
      <w:r>
        <w:rPr>
          <w:rFonts w:hint="eastAsia" w:ascii="宋体" w:hAnsi="宋体" w:cs="宋体"/>
          <w:kern w:val="0"/>
          <w:szCs w:val="24"/>
          <w:lang w:val="en-US" w:eastAsia="zh-CN"/>
        </w:rPr>
        <w:t>3.</w:t>
      </w:r>
      <w:r>
        <w:rPr>
          <w:rFonts w:hint="eastAsia" w:ascii="宋体" w:hAnsi="宋体" w:cs="宋体"/>
          <w:kern w:val="0"/>
          <w:szCs w:val="24"/>
        </w:rPr>
        <w:t>信用信息的使用规则：经查询列入失信被执行人名单、重大税收违法案件当事人名单、政府采购严重违法失信行为记录名单的投标人将被拒绝参与政府采购活动。</w:t>
      </w:r>
    </w:p>
    <w:p w14:paraId="5C40172C">
      <w:pPr>
        <w:pStyle w:val="138"/>
        <w:spacing w:before="0"/>
        <w:ind w:firstLine="480"/>
        <w:rPr>
          <w:rFonts w:ascii="宋体" w:hAnsi="宋体" w:cs="宋体"/>
        </w:rPr>
      </w:pPr>
      <w:r>
        <w:rPr>
          <w:rFonts w:hint="eastAsia" w:ascii="宋体" w:hAnsi="宋体" w:cs="宋体"/>
          <w:kern w:val="0"/>
          <w:szCs w:val="24"/>
          <w:lang w:val="en-US" w:eastAsia="zh-CN"/>
        </w:rPr>
        <w:t>4.</w:t>
      </w:r>
      <w:r>
        <w:rPr>
          <w:rFonts w:hint="eastAsia" w:ascii="宋体" w:hAnsi="宋体" w:cs="宋体"/>
          <w:kern w:val="0"/>
          <w:szCs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388B051E">
      <w:pPr>
        <w:pStyle w:val="138"/>
        <w:spacing w:before="0"/>
        <w:ind w:firstLine="0" w:firstLineChars="0"/>
        <w:rPr>
          <w:rFonts w:ascii="宋体" w:hAnsi="宋体" w:cs="宋体"/>
          <w:kern w:val="0"/>
          <w:szCs w:val="24"/>
        </w:rPr>
      </w:pPr>
    </w:p>
    <w:p w14:paraId="77A1535A">
      <w:pPr>
        <w:snapToGrid w:val="0"/>
        <w:spacing w:line="360" w:lineRule="auto"/>
        <w:jc w:val="center"/>
        <w:outlineLvl w:val="0"/>
        <w:rPr>
          <w:rFonts w:ascii="宋体" w:hAnsi="宋体" w:cs="宋体"/>
          <w:b/>
          <w:sz w:val="36"/>
          <w:szCs w:val="36"/>
          <w:highlight w:val="yellow"/>
        </w:rPr>
      </w:pPr>
      <w:r>
        <w:rPr>
          <w:rFonts w:hint="eastAsia" w:ascii="宋体" w:hAnsi="宋体" w:cs="宋体"/>
          <w:b/>
          <w:sz w:val="36"/>
          <w:szCs w:val="36"/>
          <w:highlight w:val="yellow"/>
        </w:rPr>
        <w:t>五、评标</w:t>
      </w:r>
    </w:p>
    <w:p w14:paraId="2F47EDB9">
      <w:pPr>
        <w:pStyle w:val="138"/>
        <w:spacing w:before="0"/>
        <w:ind w:firstLine="495" w:firstLineChars="0"/>
        <w:rPr>
          <w:rFonts w:hint="eastAsia" w:ascii="宋体" w:hAnsi="宋体" w:cs="宋体"/>
          <w:kern w:val="0"/>
          <w:szCs w:val="24"/>
          <w:lang w:val="en-US" w:eastAsia="zh-CN"/>
        </w:rPr>
      </w:pPr>
      <w:r>
        <w:rPr>
          <w:rFonts w:hint="eastAsia" w:ascii="宋体" w:hAnsi="宋体" w:cs="宋体"/>
          <w:kern w:val="0"/>
          <w:szCs w:val="24"/>
        </w:rPr>
        <w:t xml:space="preserve">21. </w:t>
      </w:r>
      <w:r>
        <w:rPr>
          <w:rFonts w:hint="eastAsia" w:ascii="宋体" w:hAnsi="宋体" w:cs="宋体"/>
          <w:kern w:val="0"/>
          <w:szCs w:val="24"/>
          <w:lang w:val="en-US" w:eastAsia="zh-CN"/>
        </w:rPr>
        <w:t>评标</w:t>
      </w:r>
    </w:p>
    <w:p w14:paraId="7ED91BCB">
      <w:pPr>
        <w:pStyle w:val="138"/>
        <w:spacing w:before="0"/>
        <w:ind w:firstLine="495" w:firstLineChars="0"/>
        <w:rPr>
          <w:rFonts w:hint="eastAsia" w:ascii="宋体" w:hAnsi="宋体" w:cs="宋体"/>
          <w:b/>
          <w:bCs/>
          <w:kern w:val="0"/>
          <w:szCs w:val="24"/>
        </w:rPr>
      </w:pPr>
      <w:r>
        <w:rPr>
          <w:rFonts w:hint="eastAsia" w:ascii="宋体" w:hAnsi="宋体" w:cs="宋体"/>
          <w:b/>
          <w:bCs/>
          <w:kern w:val="0"/>
          <w:szCs w:val="24"/>
        </w:rPr>
        <w:t>（一）组建评标委员会</w:t>
      </w:r>
    </w:p>
    <w:p w14:paraId="33CEC9BA">
      <w:pPr>
        <w:pStyle w:val="138"/>
        <w:spacing w:before="0"/>
        <w:ind w:firstLine="495" w:firstLineChars="0"/>
        <w:rPr>
          <w:rFonts w:hint="eastAsia" w:ascii="宋体" w:hAnsi="宋体" w:cs="宋体"/>
          <w:kern w:val="0"/>
          <w:szCs w:val="24"/>
        </w:rPr>
      </w:pPr>
      <w:r>
        <w:rPr>
          <w:rFonts w:hint="eastAsia" w:ascii="宋体" w:hAnsi="宋体" w:cs="宋体"/>
          <w:kern w:val="0"/>
          <w:szCs w:val="24"/>
        </w:rPr>
        <w:t>评标委员会由政府采购评审专家</w:t>
      </w:r>
      <w:r>
        <w:rPr>
          <w:rFonts w:hint="eastAsia" w:ascii="宋体" w:hAnsi="宋体" w:cs="宋体"/>
          <w:kern w:val="0"/>
          <w:szCs w:val="24"/>
          <w:u w:val="single"/>
        </w:rPr>
        <w:t>2人</w:t>
      </w:r>
      <w:r>
        <w:rPr>
          <w:rFonts w:hint="eastAsia" w:ascii="宋体" w:hAnsi="宋体" w:cs="宋体"/>
          <w:kern w:val="0"/>
          <w:szCs w:val="24"/>
        </w:rPr>
        <w:t>和采购人代表</w:t>
      </w:r>
      <w:r>
        <w:rPr>
          <w:rFonts w:hint="eastAsia" w:ascii="宋体" w:hAnsi="宋体" w:cs="宋体"/>
          <w:kern w:val="0"/>
          <w:szCs w:val="24"/>
          <w:u w:val="single"/>
        </w:rPr>
        <w:t>1人</w:t>
      </w:r>
      <w:r>
        <w:rPr>
          <w:rFonts w:hint="eastAsia" w:ascii="宋体" w:hAnsi="宋体" w:cs="宋体"/>
          <w:kern w:val="0"/>
          <w:szCs w:val="24"/>
        </w:rPr>
        <w:t>，</w:t>
      </w:r>
      <w:r>
        <w:rPr>
          <w:rFonts w:hint="eastAsia" w:ascii="宋体" w:hAnsi="宋体" w:cs="宋体"/>
          <w:kern w:val="0"/>
          <w:szCs w:val="24"/>
          <w:u w:val="single"/>
        </w:rPr>
        <w:t>共3人</w:t>
      </w:r>
      <w:r>
        <w:rPr>
          <w:rFonts w:hint="eastAsia" w:ascii="宋体" w:hAnsi="宋体" w:cs="宋体"/>
          <w:kern w:val="0"/>
          <w:szCs w:val="24"/>
        </w:rPr>
        <w:t>组成。</w:t>
      </w:r>
    </w:p>
    <w:p w14:paraId="2167EADA">
      <w:pPr>
        <w:pStyle w:val="138"/>
        <w:spacing w:before="0"/>
        <w:ind w:firstLine="495" w:firstLineChars="0"/>
        <w:rPr>
          <w:rFonts w:hint="eastAsia" w:ascii="宋体" w:hAnsi="宋体" w:cs="宋体"/>
          <w:kern w:val="0"/>
          <w:szCs w:val="24"/>
        </w:rPr>
      </w:pPr>
      <w:r>
        <w:rPr>
          <w:rFonts w:hint="eastAsia" w:ascii="宋体" w:hAnsi="宋体" w:cs="宋体"/>
          <w:kern w:val="0"/>
          <w:szCs w:val="24"/>
        </w:rPr>
        <w:t>评标委员会负责具体评标事务，并独立履行下列职责：</w:t>
      </w:r>
    </w:p>
    <w:p w14:paraId="4EE0D191">
      <w:pPr>
        <w:pStyle w:val="138"/>
        <w:spacing w:before="0"/>
        <w:ind w:firstLine="495" w:firstLineChars="0"/>
        <w:rPr>
          <w:rFonts w:hint="eastAsia" w:ascii="宋体" w:hAnsi="宋体" w:cs="宋体"/>
          <w:kern w:val="0"/>
          <w:szCs w:val="24"/>
        </w:rPr>
      </w:pPr>
      <w:r>
        <w:rPr>
          <w:rFonts w:hint="eastAsia" w:ascii="宋体" w:hAnsi="宋体" w:cs="宋体"/>
          <w:kern w:val="0"/>
          <w:szCs w:val="24"/>
        </w:rPr>
        <w:t>1、审查、评价投标文件是否符合采购文件的商务、技术等实质性要求；</w:t>
      </w:r>
    </w:p>
    <w:p w14:paraId="72AE61A2">
      <w:pPr>
        <w:pStyle w:val="138"/>
        <w:spacing w:before="0"/>
        <w:ind w:firstLine="495" w:firstLineChars="0"/>
        <w:rPr>
          <w:rFonts w:hint="eastAsia" w:ascii="宋体" w:hAnsi="宋体" w:cs="宋体"/>
          <w:kern w:val="0"/>
          <w:szCs w:val="24"/>
        </w:rPr>
      </w:pPr>
      <w:r>
        <w:rPr>
          <w:rFonts w:hint="eastAsia" w:ascii="宋体" w:hAnsi="宋体" w:cs="宋体"/>
          <w:kern w:val="0"/>
          <w:szCs w:val="24"/>
        </w:rPr>
        <w:t>2、要求供应商对投标文件有关事项作出澄清或者说明；</w:t>
      </w:r>
    </w:p>
    <w:p w14:paraId="72FD96A8">
      <w:pPr>
        <w:pStyle w:val="138"/>
        <w:spacing w:before="0"/>
        <w:ind w:firstLine="495" w:firstLineChars="0"/>
        <w:rPr>
          <w:rFonts w:hint="eastAsia" w:ascii="宋体" w:hAnsi="宋体" w:cs="宋体"/>
          <w:kern w:val="0"/>
          <w:szCs w:val="24"/>
        </w:rPr>
      </w:pPr>
      <w:r>
        <w:rPr>
          <w:rFonts w:hint="eastAsia" w:ascii="宋体" w:hAnsi="宋体" w:cs="宋体"/>
          <w:kern w:val="0"/>
          <w:szCs w:val="24"/>
        </w:rPr>
        <w:t>3、对投标文件进行比较和评价；</w:t>
      </w:r>
    </w:p>
    <w:p w14:paraId="613CA1AF">
      <w:pPr>
        <w:pStyle w:val="138"/>
        <w:spacing w:before="0"/>
        <w:ind w:firstLine="495" w:firstLineChars="0"/>
        <w:rPr>
          <w:rFonts w:hint="eastAsia" w:ascii="宋体" w:hAnsi="宋体" w:cs="宋体"/>
          <w:kern w:val="0"/>
          <w:szCs w:val="24"/>
        </w:rPr>
      </w:pPr>
      <w:r>
        <w:rPr>
          <w:rFonts w:hint="eastAsia" w:ascii="宋体" w:hAnsi="宋体" w:cs="宋体"/>
          <w:kern w:val="0"/>
          <w:szCs w:val="24"/>
        </w:rPr>
        <w:t>4、确定中标候选人名单，以及根据采购人委托直接确定中标人；</w:t>
      </w:r>
    </w:p>
    <w:p w14:paraId="23AFD737">
      <w:pPr>
        <w:pStyle w:val="138"/>
        <w:spacing w:before="0"/>
        <w:ind w:firstLine="495" w:firstLineChars="0"/>
        <w:rPr>
          <w:rFonts w:hint="eastAsia" w:ascii="宋体" w:hAnsi="宋体" w:cs="宋体"/>
          <w:kern w:val="0"/>
          <w:szCs w:val="24"/>
        </w:rPr>
      </w:pPr>
      <w:r>
        <w:rPr>
          <w:rFonts w:hint="eastAsia" w:ascii="宋体" w:hAnsi="宋体" w:cs="宋体"/>
          <w:kern w:val="0"/>
          <w:szCs w:val="24"/>
        </w:rPr>
        <w:t>5、向采购人、采购代理机构或者有关部门报告评标中发现的违法行为。</w:t>
      </w:r>
    </w:p>
    <w:p w14:paraId="28E08646">
      <w:pPr>
        <w:pStyle w:val="138"/>
        <w:spacing w:before="0"/>
        <w:ind w:firstLine="495" w:firstLineChars="0"/>
        <w:rPr>
          <w:rFonts w:hint="eastAsia" w:ascii="宋体" w:hAnsi="宋体" w:cs="宋体"/>
          <w:kern w:val="0"/>
          <w:szCs w:val="24"/>
        </w:rPr>
      </w:pPr>
      <w:r>
        <w:rPr>
          <w:rFonts w:hint="eastAsia" w:ascii="宋体" w:hAnsi="宋体" w:cs="宋体"/>
          <w:kern w:val="0"/>
          <w:szCs w:val="24"/>
        </w:rPr>
        <w:t>除采购人代表、评标现场组织人员外，采购人的其他工作人员以及与评标工作无关的人员不得进入评标现场。</w:t>
      </w:r>
    </w:p>
    <w:p w14:paraId="711824F8">
      <w:pPr>
        <w:pStyle w:val="138"/>
        <w:spacing w:before="0"/>
        <w:ind w:firstLine="495" w:firstLineChars="0"/>
        <w:rPr>
          <w:rFonts w:hint="eastAsia" w:ascii="宋体" w:hAnsi="宋体" w:cs="宋体"/>
          <w:b/>
          <w:bCs/>
          <w:kern w:val="0"/>
          <w:szCs w:val="24"/>
        </w:rPr>
      </w:pPr>
      <w:r>
        <w:rPr>
          <w:rFonts w:hint="eastAsia" w:ascii="宋体" w:hAnsi="宋体" w:cs="宋体"/>
          <w:b/>
          <w:bCs/>
          <w:kern w:val="0"/>
          <w:szCs w:val="24"/>
        </w:rPr>
        <w:t>（二）评标的方式</w:t>
      </w:r>
    </w:p>
    <w:p w14:paraId="6D8D7286">
      <w:pPr>
        <w:pStyle w:val="138"/>
        <w:spacing w:before="0"/>
        <w:ind w:firstLine="495" w:firstLineChars="0"/>
        <w:rPr>
          <w:rFonts w:hint="eastAsia" w:ascii="宋体" w:hAnsi="宋体" w:cs="宋体"/>
          <w:kern w:val="0"/>
          <w:szCs w:val="24"/>
        </w:rPr>
      </w:pPr>
      <w:r>
        <w:rPr>
          <w:rFonts w:hint="eastAsia" w:ascii="宋体" w:hAnsi="宋体" w:cs="宋体"/>
          <w:kern w:val="0"/>
          <w:szCs w:val="24"/>
        </w:rPr>
        <w:t>本项目采用不公开方式评标，评标的依据为采购文件和投标文件。</w:t>
      </w:r>
    </w:p>
    <w:p w14:paraId="7A303F43">
      <w:pPr>
        <w:pStyle w:val="138"/>
        <w:spacing w:before="0"/>
        <w:ind w:firstLine="495" w:firstLineChars="0"/>
        <w:rPr>
          <w:rFonts w:hint="eastAsia" w:ascii="宋体" w:hAnsi="宋体" w:cs="宋体"/>
          <w:b/>
          <w:bCs/>
          <w:kern w:val="0"/>
          <w:szCs w:val="24"/>
        </w:rPr>
      </w:pPr>
      <w:r>
        <w:rPr>
          <w:rFonts w:hint="eastAsia" w:ascii="宋体" w:hAnsi="宋体" w:cs="宋体"/>
          <w:b/>
          <w:bCs/>
          <w:kern w:val="0"/>
          <w:szCs w:val="24"/>
        </w:rPr>
        <w:t>（三）评标程序</w:t>
      </w:r>
    </w:p>
    <w:p w14:paraId="49106569">
      <w:pPr>
        <w:pStyle w:val="138"/>
        <w:spacing w:before="0"/>
        <w:ind w:firstLine="495" w:firstLineChars="0"/>
        <w:rPr>
          <w:rFonts w:hint="eastAsia" w:ascii="宋体" w:hAnsi="宋体" w:cs="宋体"/>
          <w:kern w:val="0"/>
          <w:szCs w:val="24"/>
        </w:rPr>
      </w:pPr>
      <w:r>
        <w:rPr>
          <w:rFonts w:hint="eastAsia" w:ascii="宋体" w:hAnsi="宋体" w:cs="宋体"/>
          <w:kern w:val="0"/>
          <w:szCs w:val="24"/>
        </w:rPr>
        <w:t>采购人可以在评标前说明项目背景和采购需求，说明内容不得含有歧视性、倾向性意见，不得超出采购文件所述范围。说明应当提交书面材料，并随采购文件一并存档。</w:t>
      </w:r>
    </w:p>
    <w:p w14:paraId="217A4151">
      <w:pPr>
        <w:pStyle w:val="138"/>
        <w:spacing w:before="0"/>
        <w:ind w:firstLine="495" w:firstLineChars="0"/>
        <w:rPr>
          <w:rFonts w:hint="eastAsia" w:ascii="宋体" w:hAnsi="宋体" w:cs="宋体"/>
          <w:kern w:val="0"/>
          <w:szCs w:val="24"/>
        </w:rPr>
      </w:pPr>
      <w:r>
        <w:rPr>
          <w:rFonts w:hint="eastAsia" w:ascii="宋体" w:hAnsi="宋体" w:cs="宋体"/>
          <w:kern w:val="0"/>
          <w:szCs w:val="24"/>
        </w:rPr>
        <w:t>1、形式审查</w:t>
      </w:r>
    </w:p>
    <w:p w14:paraId="486DAC92">
      <w:pPr>
        <w:pStyle w:val="138"/>
        <w:spacing w:before="0"/>
        <w:ind w:firstLine="495" w:firstLineChars="0"/>
        <w:rPr>
          <w:rFonts w:hint="eastAsia" w:ascii="宋体" w:hAnsi="宋体" w:cs="宋体"/>
          <w:kern w:val="0"/>
          <w:szCs w:val="24"/>
        </w:rPr>
      </w:pPr>
      <w:r>
        <w:rPr>
          <w:rFonts w:hint="eastAsia" w:ascii="宋体" w:hAnsi="宋体" w:cs="宋体"/>
          <w:kern w:val="0"/>
          <w:szCs w:val="24"/>
        </w:rPr>
        <w:t>形式审查包括资格审查和符合性审查，即对供应商的资格和投标文件的完整性、合法性等进行审查。投标文件形式审查未通过的供应商，其投标文件将不再评审。</w:t>
      </w:r>
    </w:p>
    <w:p w14:paraId="7CB6A47E">
      <w:pPr>
        <w:pStyle w:val="138"/>
        <w:spacing w:before="0"/>
        <w:ind w:firstLine="495" w:firstLineChars="0"/>
        <w:rPr>
          <w:rFonts w:hint="eastAsia" w:ascii="宋体" w:hAnsi="宋体" w:cs="宋体"/>
          <w:kern w:val="0"/>
          <w:szCs w:val="24"/>
        </w:rPr>
      </w:pPr>
      <w:r>
        <w:rPr>
          <w:rFonts w:hint="eastAsia" w:ascii="宋体" w:hAnsi="宋体" w:cs="宋体"/>
          <w:kern w:val="0"/>
          <w:szCs w:val="24"/>
        </w:rPr>
        <w:t>2、实质审查与比较</w:t>
      </w:r>
    </w:p>
    <w:p w14:paraId="318B7998">
      <w:pPr>
        <w:pStyle w:val="138"/>
        <w:spacing w:before="0"/>
        <w:ind w:firstLine="495" w:firstLineChars="0"/>
        <w:rPr>
          <w:rFonts w:hint="eastAsia" w:ascii="宋体" w:hAnsi="宋体" w:cs="宋体"/>
          <w:kern w:val="0"/>
          <w:szCs w:val="24"/>
        </w:rPr>
      </w:pPr>
      <w:r>
        <w:rPr>
          <w:rFonts w:hint="eastAsia" w:ascii="宋体" w:hAnsi="宋体" w:cs="宋体"/>
          <w:kern w:val="0"/>
          <w:szCs w:val="24"/>
        </w:rPr>
        <w:t>（1）评标委员会审查投标文件的实质性内容是否符合采购文件的实质性要求。</w:t>
      </w:r>
    </w:p>
    <w:p w14:paraId="6105EF1B">
      <w:pPr>
        <w:pStyle w:val="138"/>
        <w:spacing w:before="0"/>
        <w:ind w:firstLine="495" w:firstLineChars="0"/>
        <w:rPr>
          <w:rFonts w:hint="eastAsia" w:ascii="宋体" w:hAnsi="宋体" w:cs="宋体"/>
          <w:kern w:val="0"/>
          <w:szCs w:val="24"/>
        </w:rPr>
      </w:pPr>
      <w:r>
        <w:rPr>
          <w:rFonts w:hint="eastAsia" w:ascii="宋体" w:hAnsi="宋体" w:cs="宋体"/>
          <w:kern w:val="0"/>
          <w:szCs w:val="24"/>
        </w:rPr>
        <w:t>（2）评标委员会将根据供应商的投标文件进行审查、核对,如有疑问,将对供应商进行询标,供应商要向评标委员会澄清有关问题,并最终以书面形式进行答复。</w:t>
      </w:r>
    </w:p>
    <w:p w14:paraId="1E096753">
      <w:pPr>
        <w:pStyle w:val="138"/>
        <w:spacing w:before="0"/>
        <w:ind w:firstLine="495" w:firstLineChars="0"/>
        <w:rPr>
          <w:rFonts w:hint="eastAsia" w:ascii="宋体" w:hAnsi="宋体" w:cs="宋体"/>
          <w:kern w:val="0"/>
          <w:szCs w:val="24"/>
        </w:rPr>
      </w:pPr>
      <w:r>
        <w:rPr>
          <w:rFonts w:hint="eastAsia" w:ascii="宋体" w:hAnsi="宋体" w:cs="宋体"/>
          <w:kern w:val="0"/>
          <w:szCs w:val="24"/>
        </w:rPr>
        <w:t>询标时，供应商代表未在线或者拒绝澄清或者澄清的内容改变了投标文件的实质性内容的，评标委员会有权对该投标文件作出不利于供应商的评判。</w:t>
      </w:r>
    </w:p>
    <w:p w14:paraId="1F70AC06">
      <w:pPr>
        <w:pStyle w:val="138"/>
        <w:spacing w:before="0"/>
        <w:ind w:firstLine="495" w:firstLineChars="0"/>
        <w:rPr>
          <w:rFonts w:hint="eastAsia" w:ascii="宋体" w:hAnsi="宋体" w:cs="宋体"/>
          <w:kern w:val="0"/>
          <w:szCs w:val="24"/>
        </w:rPr>
      </w:pPr>
      <w:r>
        <w:rPr>
          <w:rFonts w:hint="eastAsia" w:ascii="宋体" w:hAnsi="宋体" w:cs="宋体"/>
          <w:kern w:val="0"/>
          <w:szCs w:val="24"/>
        </w:rPr>
        <w:t>（3）各供应商的商务资信技术分按照评标委员会成员的独立评分结果汇总后的算术平均分计算。</w:t>
      </w:r>
    </w:p>
    <w:p w14:paraId="234FA900">
      <w:pPr>
        <w:pStyle w:val="138"/>
        <w:spacing w:before="0"/>
        <w:ind w:firstLine="495" w:firstLineChars="0"/>
        <w:rPr>
          <w:rFonts w:hint="eastAsia" w:ascii="宋体" w:hAnsi="宋体" w:cs="宋体"/>
          <w:kern w:val="0"/>
          <w:szCs w:val="24"/>
        </w:rPr>
      </w:pPr>
      <w:r>
        <w:rPr>
          <w:rFonts w:hint="eastAsia" w:ascii="宋体" w:hAnsi="宋体" w:cs="宋体"/>
          <w:kern w:val="0"/>
          <w:szCs w:val="24"/>
        </w:rPr>
        <w:t>（4）采购代理机构工作人员协助评标委员会根据本项目的评分标准操作政府采购业务系统，由系统计算各供应商的报价得分。</w:t>
      </w:r>
    </w:p>
    <w:p w14:paraId="2FB81504">
      <w:pPr>
        <w:pStyle w:val="138"/>
        <w:spacing w:before="0"/>
        <w:ind w:firstLine="495" w:firstLineChars="0"/>
        <w:rPr>
          <w:rFonts w:hint="eastAsia" w:ascii="宋体" w:hAnsi="宋体" w:cs="宋体"/>
          <w:kern w:val="0"/>
          <w:szCs w:val="24"/>
        </w:rPr>
      </w:pPr>
      <w:r>
        <w:rPr>
          <w:rFonts w:hint="eastAsia" w:ascii="宋体" w:hAnsi="宋体" w:cs="宋体"/>
          <w:kern w:val="0"/>
          <w:szCs w:val="24"/>
        </w:rPr>
        <w:t>（5）评标委员会完成评标后,评委对各部分得分汇总，计算出本项目最终得分、性价比、评标价等。评标委员会按评标原则推荐中标候选人同时起草评标报告。</w:t>
      </w:r>
    </w:p>
    <w:p w14:paraId="4B2C2799">
      <w:pPr>
        <w:pStyle w:val="138"/>
        <w:spacing w:before="0"/>
        <w:ind w:firstLine="495" w:firstLineChars="0"/>
        <w:rPr>
          <w:rFonts w:hint="eastAsia" w:ascii="宋体" w:hAnsi="宋体" w:cs="宋体"/>
          <w:b/>
          <w:bCs/>
          <w:kern w:val="0"/>
          <w:szCs w:val="24"/>
        </w:rPr>
      </w:pPr>
      <w:r>
        <w:rPr>
          <w:rFonts w:hint="eastAsia" w:ascii="宋体" w:hAnsi="宋体" w:cs="宋体"/>
          <w:b/>
          <w:bCs/>
          <w:kern w:val="0"/>
          <w:szCs w:val="24"/>
        </w:rPr>
        <w:t>（四）澄清问题的形式</w:t>
      </w:r>
    </w:p>
    <w:p w14:paraId="2E589A80">
      <w:pPr>
        <w:pStyle w:val="138"/>
        <w:spacing w:before="0"/>
        <w:ind w:firstLine="495" w:firstLineChars="0"/>
        <w:rPr>
          <w:rFonts w:hint="eastAsia" w:ascii="宋体" w:hAnsi="宋体" w:cs="宋体"/>
          <w:kern w:val="0"/>
          <w:szCs w:val="24"/>
        </w:rPr>
      </w:pPr>
      <w:r>
        <w:rPr>
          <w:rFonts w:hint="eastAsia" w:ascii="宋体" w:hAnsi="宋体" w:cs="宋体"/>
          <w:kern w:val="0"/>
          <w:szCs w:val="24"/>
        </w:rPr>
        <w:t>（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14:paraId="37BC1264">
      <w:pPr>
        <w:pStyle w:val="138"/>
        <w:spacing w:before="0"/>
        <w:ind w:firstLine="495" w:firstLineChars="0"/>
        <w:rPr>
          <w:rFonts w:hint="eastAsia" w:ascii="宋体" w:hAnsi="宋体" w:cs="宋体"/>
          <w:kern w:val="0"/>
          <w:szCs w:val="24"/>
        </w:rPr>
      </w:pPr>
      <w:r>
        <w:rPr>
          <w:rFonts w:hint="eastAsia" w:ascii="宋体" w:hAnsi="宋体" w:cs="宋体"/>
          <w:kern w:val="0"/>
          <w:szCs w:val="24"/>
        </w:rPr>
        <w:t>（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42FB9A51">
      <w:pPr>
        <w:pStyle w:val="138"/>
        <w:spacing w:before="0"/>
        <w:ind w:firstLine="495" w:firstLineChars="0"/>
        <w:rPr>
          <w:rFonts w:hint="eastAsia" w:ascii="宋体" w:hAnsi="宋体" w:cs="宋体"/>
          <w:b/>
          <w:bCs/>
          <w:kern w:val="0"/>
          <w:szCs w:val="24"/>
        </w:rPr>
      </w:pPr>
      <w:r>
        <w:rPr>
          <w:rFonts w:hint="eastAsia" w:ascii="宋体" w:hAnsi="宋体" w:cs="宋体"/>
          <w:b/>
          <w:bCs/>
          <w:kern w:val="0"/>
          <w:szCs w:val="24"/>
        </w:rPr>
        <w:t>（五）错误修正</w:t>
      </w:r>
    </w:p>
    <w:p w14:paraId="6A27CC71">
      <w:pPr>
        <w:pStyle w:val="138"/>
        <w:spacing w:before="0"/>
        <w:ind w:firstLine="495" w:firstLineChars="0"/>
        <w:rPr>
          <w:rFonts w:hint="eastAsia" w:ascii="宋体" w:hAnsi="宋体" w:cs="宋体"/>
          <w:kern w:val="0"/>
          <w:szCs w:val="24"/>
        </w:rPr>
      </w:pPr>
      <w:r>
        <w:rPr>
          <w:rFonts w:hint="eastAsia" w:ascii="宋体" w:hAnsi="宋体" w:cs="宋体"/>
          <w:kern w:val="0"/>
          <w:szCs w:val="24"/>
        </w:rPr>
        <w:t>投标文件如果出现计算或表达上的错误，修正错误的原则如下：</w:t>
      </w:r>
    </w:p>
    <w:p w14:paraId="57E83C77">
      <w:pPr>
        <w:pStyle w:val="138"/>
        <w:spacing w:before="0"/>
        <w:ind w:firstLine="495" w:firstLineChars="0"/>
        <w:rPr>
          <w:rFonts w:hint="eastAsia" w:ascii="宋体" w:hAnsi="宋体" w:cs="宋体"/>
          <w:kern w:val="0"/>
          <w:szCs w:val="24"/>
        </w:rPr>
      </w:pPr>
      <w:r>
        <w:rPr>
          <w:rFonts w:hint="eastAsia" w:ascii="宋体" w:hAnsi="宋体" w:cs="宋体"/>
          <w:kern w:val="0"/>
          <w:szCs w:val="24"/>
        </w:rPr>
        <w:t>1、开标一览表总价与投标报价明细表汇总数不一致的，以开标一览表为准；</w:t>
      </w:r>
    </w:p>
    <w:p w14:paraId="1CEE1CF8">
      <w:pPr>
        <w:pStyle w:val="138"/>
        <w:spacing w:before="0"/>
        <w:ind w:firstLine="495" w:firstLineChars="0"/>
        <w:rPr>
          <w:rFonts w:hint="eastAsia" w:ascii="宋体" w:hAnsi="宋体" w:cs="宋体"/>
          <w:kern w:val="0"/>
          <w:szCs w:val="24"/>
        </w:rPr>
      </w:pPr>
      <w:r>
        <w:rPr>
          <w:rFonts w:hint="eastAsia" w:ascii="宋体" w:hAnsi="宋体" w:cs="宋体"/>
          <w:kern w:val="0"/>
          <w:szCs w:val="24"/>
        </w:rPr>
        <w:t>2、投标文件的大写金额和小写金额不一致的，以大写金额为准；</w:t>
      </w:r>
    </w:p>
    <w:p w14:paraId="1A2C56A0">
      <w:pPr>
        <w:pStyle w:val="138"/>
        <w:spacing w:before="0"/>
        <w:ind w:firstLine="495" w:firstLineChars="0"/>
        <w:rPr>
          <w:rFonts w:hint="eastAsia" w:ascii="宋体" w:hAnsi="宋体" w:cs="宋体"/>
          <w:kern w:val="0"/>
          <w:szCs w:val="24"/>
        </w:rPr>
      </w:pPr>
      <w:r>
        <w:rPr>
          <w:rFonts w:hint="eastAsia" w:ascii="宋体" w:hAnsi="宋体" w:cs="宋体"/>
          <w:kern w:val="0"/>
          <w:szCs w:val="24"/>
        </w:rPr>
        <w:t>3、总价金额与按单价汇总金额不一致的，以单价金额计算结果为准；</w:t>
      </w:r>
    </w:p>
    <w:p w14:paraId="41AAE818">
      <w:pPr>
        <w:pStyle w:val="138"/>
        <w:spacing w:before="0"/>
        <w:ind w:firstLine="495" w:firstLineChars="0"/>
        <w:rPr>
          <w:rFonts w:hint="eastAsia" w:ascii="宋体" w:hAnsi="宋体" w:cs="宋体"/>
          <w:kern w:val="0"/>
          <w:szCs w:val="24"/>
        </w:rPr>
      </w:pPr>
      <w:r>
        <w:rPr>
          <w:rFonts w:hint="eastAsia" w:ascii="宋体" w:hAnsi="宋体" w:cs="宋体"/>
          <w:kern w:val="0"/>
          <w:szCs w:val="24"/>
        </w:rPr>
        <w:t>4、对不同文字文本投标文件的解释发生异议的，以中文文本为准。</w:t>
      </w:r>
    </w:p>
    <w:p w14:paraId="7095FE00">
      <w:pPr>
        <w:pStyle w:val="138"/>
        <w:spacing w:before="0"/>
        <w:ind w:firstLine="495" w:firstLineChars="0"/>
        <w:rPr>
          <w:rFonts w:hint="eastAsia" w:ascii="宋体" w:hAnsi="宋体" w:cs="宋体"/>
          <w:b/>
          <w:bCs/>
          <w:kern w:val="0"/>
          <w:szCs w:val="24"/>
        </w:rPr>
      </w:pPr>
      <w:r>
        <w:rPr>
          <w:rFonts w:hint="eastAsia" w:ascii="宋体" w:hAnsi="宋体" w:cs="宋体"/>
          <w:b/>
          <w:bCs/>
          <w:kern w:val="0"/>
          <w:szCs w:val="24"/>
        </w:rPr>
        <w:t>（六）评标原则和评标办法</w:t>
      </w:r>
    </w:p>
    <w:p w14:paraId="74371622">
      <w:pPr>
        <w:pStyle w:val="138"/>
        <w:spacing w:before="0"/>
        <w:ind w:firstLine="495" w:firstLineChars="0"/>
        <w:rPr>
          <w:rFonts w:hint="eastAsia" w:ascii="宋体" w:hAnsi="宋体" w:cs="宋体"/>
          <w:kern w:val="0"/>
          <w:szCs w:val="24"/>
        </w:rPr>
      </w:pPr>
      <w:r>
        <w:rPr>
          <w:rFonts w:hint="eastAsia" w:ascii="宋体" w:hAnsi="宋体" w:cs="宋体"/>
          <w:kern w:val="0"/>
          <w:szCs w:val="24"/>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03B4CF55">
      <w:pPr>
        <w:pStyle w:val="138"/>
        <w:spacing w:before="0"/>
        <w:ind w:firstLine="495" w:firstLineChars="0"/>
        <w:rPr>
          <w:rFonts w:hint="eastAsia" w:ascii="宋体" w:hAnsi="宋体" w:cs="宋体"/>
          <w:kern w:val="0"/>
          <w:szCs w:val="24"/>
        </w:rPr>
      </w:pPr>
      <w:r>
        <w:rPr>
          <w:rFonts w:hint="eastAsia" w:ascii="宋体" w:hAnsi="宋体" w:cs="宋体"/>
          <w:kern w:val="0"/>
          <w:szCs w:val="24"/>
        </w:rPr>
        <w:t>2、评标办法。本项目评标办法是 综合评标法 ，具体评标内容及评分标准等详见《第四章：评标办法及评分标准》。</w:t>
      </w:r>
    </w:p>
    <w:p w14:paraId="7669165F">
      <w:pPr>
        <w:pStyle w:val="138"/>
        <w:spacing w:before="0"/>
        <w:ind w:firstLine="495" w:firstLineChars="0"/>
        <w:rPr>
          <w:rFonts w:hint="eastAsia" w:ascii="宋体" w:hAnsi="宋体" w:cs="宋体"/>
          <w:b/>
          <w:bCs/>
          <w:kern w:val="0"/>
          <w:szCs w:val="24"/>
        </w:rPr>
      </w:pPr>
      <w:r>
        <w:rPr>
          <w:rFonts w:hint="eastAsia" w:ascii="宋体" w:hAnsi="宋体" w:cs="宋体"/>
          <w:b/>
          <w:bCs/>
          <w:kern w:val="0"/>
          <w:szCs w:val="24"/>
        </w:rPr>
        <w:t>（七）评标过程的监控</w:t>
      </w:r>
    </w:p>
    <w:p w14:paraId="2F875A14">
      <w:pPr>
        <w:pStyle w:val="138"/>
        <w:spacing w:before="0"/>
        <w:ind w:firstLine="495" w:firstLineChars="0"/>
        <w:rPr>
          <w:rFonts w:hint="eastAsia" w:ascii="宋体" w:hAnsi="宋体" w:cs="宋体"/>
          <w:kern w:val="0"/>
          <w:szCs w:val="24"/>
        </w:rPr>
      </w:pPr>
      <w:r>
        <w:rPr>
          <w:rFonts w:hint="eastAsia" w:ascii="宋体" w:hAnsi="宋体" w:cs="宋体"/>
          <w:kern w:val="0"/>
          <w:szCs w:val="24"/>
        </w:rPr>
        <w:t>本项目评标过程实行全程录音、录像监控。供应商在评标过程中所进行的试图影响评标结果的不公正活动，可能导致其投标被拒绝。</w:t>
      </w:r>
    </w:p>
    <w:p w14:paraId="08141F84">
      <w:pPr>
        <w:spacing w:line="360" w:lineRule="auto"/>
        <w:rPr>
          <w:rFonts w:ascii="宋体" w:hAnsi="宋体" w:cs="宋体"/>
          <w:b/>
          <w:sz w:val="24"/>
          <w:highlight w:val="none"/>
        </w:rPr>
      </w:pPr>
    </w:p>
    <w:p w14:paraId="0414E952">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六、定 标</w:t>
      </w:r>
    </w:p>
    <w:p w14:paraId="60FF2C94">
      <w:pPr>
        <w:pStyle w:val="25"/>
        <w:spacing w:line="360" w:lineRule="auto"/>
        <w:ind w:left="479" w:hanging="479" w:hangingChars="199"/>
        <w:rPr>
          <w:rFonts w:cs="宋体"/>
          <w:b/>
          <w:highlight w:val="none"/>
        </w:rPr>
      </w:pPr>
      <w:r>
        <w:rPr>
          <w:rFonts w:hint="eastAsia" w:cs="宋体"/>
          <w:b/>
          <w:highlight w:val="none"/>
        </w:rPr>
        <w:t>22. 确定中标供应商</w:t>
      </w:r>
    </w:p>
    <w:p w14:paraId="0870F9AF">
      <w:pPr>
        <w:pStyle w:val="138"/>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875F3EF">
      <w:pPr>
        <w:pStyle w:val="138"/>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14:paraId="75D9D097">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23.1自中标人确定之日起2个工作日内，采购代理机构通过电子交易平台编制发布采购结果公告。采购代理机构以纸质形式进行中标通知。</w:t>
      </w:r>
    </w:p>
    <w:p w14:paraId="106CBC11">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w:t>
      </w:r>
      <w:r>
        <w:rPr>
          <w:rFonts w:hint="eastAsia" w:ascii="宋体" w:hAnsi="宋体" w:cs="宋体"/>
          <w:sz w:val="24"/>
          <w:highlight w:val="none"/>
          <w:lang w:val="en-US" w:eastAsia="zh-CN"/>
        </w:rPr>
        <w:t>2</w:t>
      </w:r>
      <w:r>
        <w:rPr>
          <w:rFonts w:hint="eastAsia" w:ascii="宋体" w:hAnsi="宋体" w:cs="宋体"/>
          <w:sz w:val="24"/>
          <w:highlight w:val="none"/>
        </w:rPr>
        <w:t>公告期限为1个工作日。</w:t>
      </w:r>
    </w:p>
    <w:p w14:paraId="0F5E3270">
      <w:pPr>
        <w:snapToGrid w:val="0"/>
        <w:spacing w:line="360" w:lineRule="auto"/>
        <w:ind w:left="120" w:leftChars="57" w:firstLine="482" w:firstLineChars="150"/>
        <w:jc w:val="center"/>
        <w:rPr>
          <w:rFonts w:ascii="宋体" w:hAnsi="宋体" w:cs="宋体"/>
          <w:b/>
          <w:sz w:val="32"/>
          <w:highlight w:val="none"/>
        </w:rPr>
      </w:pPr>
    </w:p>
    <w:p w14:paraId="089660DA">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七、合同授予</w:t>
      </w:r>
    </w:p>
    <w:p w14:paraId="2CB64C09">
      <w:pPr>
        <w:pStyle w:val="25"/>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37426F7C">
      <w:pPr>
        <w:pStyle w:val="25"/>
        <w:spacing w:line="360" w:lineRule="auto"/>
        <w:ind w:left="479" w:hanging="479" w:hangingChars="199"/>
        <w:rPr>
          <w:rFonts w:cs="宋体"/>
          <w:b/>
          <w:highlight w:val="none"/>
        </w:rPr>
      </w:pPr>
      <w:r>
        <w:rPr>
          <w:rFonts w:hint="eastAsia" w:cs="宋体"/>
          <w:b/>
          <w:highlight w:val="none"/>
        </w:rPr>
        <w:t>25. 合同的签订</w:t>
      </w:r>
    </w:p>
    <w:p w14:paraId="3A012917">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除不可抗力等特殊情况外，原则上应当在中标通知书发出之日起10个工作日内，与中标供应商按照采购文件确定的事项签订政府采购合同。</w:t>
      </w:r>
    </w:p>
    <w:p w14:paraId="45151439">
      <w:pPr>
        <w:pStyle w:val="138"/>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w:t>
      </w:r>
    </w:p>
    <w:p w14:paraId="3771ABBF">
      <w:pPr>
        <w:pStyle w:val="138"/>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14:paraId="29019C3E">
      <w:pPr>
        <w:pStyle w:val="138"/>
        <w:snapToGrid w:val="0"/>
        <w:spacing w:before="0"/>
        <w:ind w:firstLine="480"/>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14:paraId="4ACE162A">
      <w:pPr>
        <w:pStyle w:val="25"/>
        <w:spacing w:line="360" w:lineRule="auto"/>
        <w:ind w:left="479" w:hanging="479" w:hangingChars="199"/>
        <w:rPr>
          <w:rFonts w:hint="eastAsia" w:eastAsia="宋体" w:cs="宋体"/>
          <w:b/>
          <w:highlight w:val="none"/>
          <w:lang w:eastAsia="zh-CN"/>
        </w:rPr>
      </w:pPr>
      <w:r>
        <w:rPr>
          <w:rFonts w:hint="eastAsia" w:cs="宋体"/>
          <w:b/>
          <w:highlight w:val="none"/>
        </w:rPr>
        <w:t>26. 履约保证金</w:t>
      </w:r>
      <w:r>
        <w:rPr>
          <w:rFonts w:hint="eastAsia" w:cs="宋体"/>
          <w:b/>
          <w:highlight w:val="none"/>
          <w:lang w:eastAsia="zh-CN"/>
        </w:rPr>
        <w:t>：无</w:t>
      </w:r>
    </w:p>
    <w:p w14:paraId="47044D7A">
      <w:pPr>
        <w:pStyle w:val="3"/>
        <w:rPr>
          <w:rFonts w:hint="eastAsia" w:eastAsia="宋体"/>
          <w:highlight w:val="none"/>
          <w:lang w:eastAsia="zh-CN"/>
        </w:rPr>
      </w:pPr>
      <w:r>
        <w:rPr>
          <w:rFonts w:ascii="宋体" w:hAnsi="宋体" w:eastAsia="宋体"/>
          <w:sz w:val="24"/>
          <w:highlight w:val="none"/>
          <w:lang w:val="en-US"/>
        </w:rPr>
        <w:t>27.预付款</w:t>
      </w:r>
      <w:r>
        <w:rPr>
          <w:rFonts w:hint="eastAsia" w:ascii="宋体" w:hAnsi="宋体" w:eastAsia="宋体"/>
          <w:sz w:val="24"/>
          <w:highlight w:val="none"/>
          <w:lang w:val="en-US" w:eastAsia="zh-CN"/>
        </w:rPr>
        <w:t>：详见付款方式</w:t>
      </w:r>
    </w:p>
    <w:p w14:paraId="222A4F2E">
      <w:pPr>
        <w:rPr>
          <w:highlight w:val="none"/>
        </w:rPr>
      </w:pPr>
    </w:p>
    <w:p w14:paraId="51EC864F">
      <w:pPr>
        <w:snapToGrid w:val="0"/>
        <w:spacing w:line="360" w:lineRule="auto"/>
        <w:ind w:firstLine="3357" w:firstLineChars="1045"/>
        <w:rPr>
          <w:rFonts w:ascii="宋体" w:hAnsi="宋体" w:cs="宋体"/>
          <w:b/>
          <w:sz w:val="32"/>
          <w:highlight w:val="none"/>
        </w:rPr>
      </w:pPr>
    </w:p>
    <w:p w14:paraId="6CCB7574">
      <w:pPr>
        <w:snapToGrid w:val="0"/>
        <w:spacing w:line="360" w:lineRule="auto"/>
        <w:ind w:firstLine="3357" w:firstLineChars="1045"/>
        <w:rPr>
          <w:rFonts w:ascii="宋体" w:hAnsi="宋体" w:cs="宋体"/>
          <w:b/>
          <w:sz w:val="24"/>
          <w:highlight w:val="none"/>
        </w:rPr>
      </w:pPr>
      <w:r>
        <w:rPr>
          <w:rFonts w:hint="eastAsia" w:ascii="宋体" w:hAnsi="宋体" w:cs="宋体"/>
          <w:b/>
          <w:sz w:val="32"/>
          <w:highlight w:val="none"/>
        </w:rPr>
        <w:t>八、电子交易活动的中止</w:t>
      </w:r>
    </w:p>
    <w:p w14:paraId="271D12AF">
      <w:pPr>
        <w:pStyle w:val="138"/>
        <w:snapToGrid w:val="0"/>
        <w:spacing w:before="0"/>
        <w:ind w:firstLine="0" w:firstLineChars="0"/>
        <w:rPr>
          <w:rFonts w:ascii="宋体" w:hAnsi="宋体" w:cs="宋体"/>
          <w:highlight w:val="none"/>
        </w:rPr>
      </w:pPr>
      <w:r>
        <w:rPr>
          <w:rFonts w:ascii="宋体" w:hAnsi="宋体" w:cs="宋体"/>
          <w:b/>
          <w:bCs/>
          <w:highlight w:val="none"/>
        </w:rPr>
        <w:t>2</w:t>
      </w:r>
      <w:r>
        <w:rPr>
          <w:rFonts w:ascii="宋体" w:hAnsi="宋体" w:cs="宋体"/>
          <w:b/>
          <w:bCs/>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采购过程中出现以下情形，导致电子交易平台无法正常运行，或者无法保证电子交易的公平、公正和安全时，采购代理机构可中止电子交易活动：</w:t>
      </w:r>
    </w:p>
    <w:p w14:paraId="792F6A30">
      <w:pPr>
        <w:pStyle w:val="138"/>
        <w:snapToGrid w:val="0"/>
        <w:spacing w:before="0"/>
        <w:ind w:firstLine="480"/>
        <w:rPr>
          <w:rFonts w:ascii="宋体" w:hAnsi="宋体" w:cs="宋体"/>
          <w:highlight w:val="none"/>
        </w:rPr>
      </w:pPr>
      <w:r>
        <w:rPr>
          <w:rFonts w:hint="eastAsia" w:ascii="宋体" w:hAnsi="宋体" w:cs="宋体"/>
          <w:highlight w:val="none"/>
        </w:rPr>
        <w:t xml:space="preserve">28.1电子交易平台发生故障而无法登录访问的； </w:t>
      </w:r>
    </w:p>
    <w:p w14:paraId="668FB0B7">
      <w:pPr>
        <w:pStyle w:val="138"/>
        <w:snapToGrid w:val="0"/>
        <w:spacing w:before="0"/>
        <w:ind w:firstLine="480"/>
        <w:rPr>
          <w:rFonts w:ascii="宋体" w:hAnsi="宋体" w:cs="宋体"/>
          <w:highlight w:val="none"/>
        </w:rPr>
      </w:pPr>
      <w:r>
        <w:rPr>
          <w:rFonts w:hint="eastAsia" w:ascii="宋体" w:hAnsi="宋体" w:cs="宋体"/>
          <w:highlight w:val="none"/>
        </w:rPr>
        <w:t>28.2电子交易平台应用或数据库出现错误，不能进行正常操作的；</w:t>
      </w:r>
    </w:p>
    <w:p w14:paraId="73A8EDE7">
      <w:pPr>
        <w:pStyle w:val="138"/>
        <w:snapToGrid w:val="0"/>
        <w:spacing w:before="0"/>
        <w:ind w:firstLine="480"/>
        <w:rPr>
          <w:rFonts w:ascii="宋体" w:hAnsi="宋体" w:cs="宋体"/>
          <w:highlight w:val="none"/>
        </w:rPr>
      </w:pPr>
      <w:r>
        <w:rPr>
          <w:rFonts w:hint="eastAsia" w:ascii="宋体" w:hAnsi="宋体" w:cs="宋体"/>
          <w:highlight w:val="none"/>
        </w:rPr>
        <w:t>28.3电子交易平台发现严重安全漏洞，有潜在泄密危险的；</w:t>
      </w:r>
    </w:p>
    <w:p w14:paraId="09A57951">
      <w:pPr>
        <w:pStyle w:val="138"/>
        <w:snapToGrid w:val="0"/>
        <w:spacing w:before="0"/>
        <w:ind w:firstLine="480"/>
        <w:rPr>
          <w:rFonts w:ascii="宋体" w:hAnsi="宋体" w:cs="宋体"/>
          <w:highlight w:val="none"/>
        </w:rPr>
      </w:pPr>
      <w:r>
        <w:rPr>
          <w:rFonts w:hint="eastAsia" w:ascii="宋体" w:hAnsi="宋体" w:cs="宋体"/>
          <w:highlight w:val="none"/>
        </w:rPr>
        <w:t xml:space="preserve">28.4病毒发作导致不能进行正常操作的； </w:t>
      </w:r>
    </w:p>
    <w:p w14:paraId="6C3EA664">
      <w:pPr>
        <w:pStyle w:val="138"/>
        <w:snapToGrid w:val="0"/>
        <w:spacing w:before="0"/>
        <w:ind w:firstLine="480"/>
        <w:rPr>
          <w:rFonts w:ascii="宋体" w:hAnsi="宋体" w:cs="宋体"/>
          <w:highlight w:val="none"/>
        </w:rPr>
      </w:pPr>
      <w:r>
        <w:rPr>
          <w:rFonts w:hint="eastAsia" w:ascii="宋体" w:hAnsi="宋体" w:cs="宋体"/>
          <w:highlight w:val="none"/>
        </w:rPr>
        <w:t>28.5其他无法保证电子交易的公平、公正和安全的情况。</w:t>
      </w:r>
    </w:p>
    <w:p w14:paraId="7DDAEF3F">
      <w:pPr>
        <w:pStyle w:val="138"/>
        <w:snapToGrid w:val="0"/>
        <w:spacing w:before="0"/>
        <w:ind w:firstLine="0" w:firstLineChars="0"/>
        <w:rPr>
          <w:rFonts w:ascii="宋体" w:hAnsi="宋体" w:cs="宋体"/>
          <w:highlight w:val="none"/>
        </w:rPr>
      </w:pPr>
      <w:r>
        <w:rPr>
          <w:rFonts w:hint="eastAsia" w:ascii="宋体" w:hAnsi="宋体" w:cs="宋体"/>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93A2D1B">
      <w:pPr>
        <w:tabs>
          <w:tab w:val="left" w:pos="0"/>
        </w:tabs>
        <w:spacing w:line="360" w:lineRule="auto"/>
        <w:ind w:firstLine="480"/>
        <w:rPr>
          <w:rFonts w:ascii="宋体" w:hAnsi="宋体" w:cs="宋体"/>
          <w:sz w:val="24"/>
          <w:highlight w:val="none"/>
        </w:rPr>
      </w:pPr>
    </w:p>
    <w:p w14:paraId="3613D455">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九、验收</w:t>
      </w:r>
    </w:p>
    <w:p w14:paraId="2384EE54">
      <w:pPr>
        <w:pStyle w:val="25"/>
        <w:spacing w:line="360" w:lineRule="auto"/>
        <w:ind w:firstLine="0" w:firstLineChars="0"/>
        <w:rPr>
          <w:rFonts w:cs="宋体"/>
          <w:b/>
          <w:highlight w:val="none"/>
        </w:rPr>
      </w:pPr>
      <w:r>
        <w:rPr>
          <w:rFonts w:hint="eastAsia" w:cs="宋体"/>
          <w:b/>
          <w:highlight w:val="none"/>
        </w:rPr>
        <w:t>30.验收</w:t>
      </w:r>
    </w:p>
    <w:p w14:paraId="4314DE18">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557BFD3">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30.2采购人可以邀请参加本项目的其他投标人或者第三方机构参与验收。参与验收的投标人或者第三方机构的意见作为验收书的参考资料一并存档。</w:t>
      </w:r>
    </w:p>
    <w:p w14:paraId="2779613D">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7076A53">
      <w:pPr>
        <w:tabs>
          <w:tab w:val="left" w:pos="0"/>
        </w:tabs>
        <w:spacing w:line="360" w:lineRule="auto"/>
        <w:ind w:firstLine="480"/>
        <w:rPr>
          <w:rFonts w:ascii="宋体" w:hAnsi="宋体" w:cs="宋体"/>
          <w:sz w:val="18"/>
          <w:szCs w:val="18"/>
          <w:highlight w:val="none"/>
        </w:rPr>
      </w:pPr>
      <w:r>
        <w:rPr>
          <w:rFonts w:hint="eastAsia" w:ascii="宋体" w:hAnsi="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7CDF006E">
      <w:pPr>
        <w:snapToGrid w:val="0"/>
        <w:spacing w:line="360" w:lineRule="auto"/>
        <w:ind w:left="120" w:leftChars="57" w:firstLine="482" w:firstLineChars="150"/>
        <w:jc w:val="center"/>
        <w:rPr>
          <w:rFonts w:hint="eastAsia" w:ascii="宋体" w:hAnsi="宋体" w:eastAsia="宋体" w:cs="宋体"/>
          <w:b/>
          <w:sz w:val="32"/>
          <w:highlight w:val="none"/>
        </w:rPr>
      </w:pPr>
      <w:bookmarkStart w:id="20" w:name="_Hlt75236011"/>
      <w:bookmarkEnd w:id="20"/>
      <w:bookmarkStart w:id="21" w:name="_Hlt68073093"/>
      <w:bookmarkEnd w:id="21"/>
      <w:bookmarkStart w:id="22" w:name="_Hlt68072998"/>
      <w:bookmarkEnd w:id="22"/>
      <w:bookmarkStart w:id="23" w:name="_Hlt75236101"/>
      <w:bookmarkEnd w:id="23"/>
      <w:bookmarkStart w:id="24" w:name="_Hlt74729768"/>
      <w:bookmarkEnd w:id="24"/>
      <w:bookmarkStart w:id="25" w:name="_Hlt68057669"/>
      <w:bookmarkEnd w:id="25"/>
      <w:bookmarkStart w:id="26" w:name="_Hlt74730295"/>
      <w:bookmarkEnd w:id="26"/>
      <w:bookmarkStart w:id="27" w:name="_Hlt75236290"/>
      <w:bookmarkEnd w:id="27"/>
      <w:bookmarkStart w:id="28" w:name="_Hlt68403820"/>
      <w:bookmarkEnd w:id="28"/>
      <w:bookmarkStart w:id="29" w:name="_Hlt74714665"/>
      <w:bookmarkEnd w:id="29"/>
      <w:bookmarkStart w:id="30" w:name="_Hlt74707468"/>
      <w:bookmarkEnd w:id="30"/>
      <w:bookmarkStart w:id="31" w:name="_Hlt68072990"/>
      <w:bookmarkEnd w:id="31"/>
    </w:p>
    <w:p w14:paraId="02C4803C">
      <w:pPr>
        <w:pStyle w:val="3"/>
        <w:numPr>
          <w:ilvl w:val="0"/>
          <w:numId w:val="1"/>
        </w:numPr>
        <w:jc w:val="center"/>
        <w:rPr>
          <w:rFonts w:hint="eastAsia" w:ascii="宋体" w:hAnsi="宋体" w:eastAsia="宋体" w:cs="宋体"/>
          <w:b/>
          <w:bCs w:val="0"/>
          <w:kern w:val="2"/>
          <w:sz w:val="32"/>
          <w:szCs w:val="24"/>
          <w:highlight w:val="none"/>
          <w:lang w:val="en-US" w:eastAsia="zh-CN" w:bidi="ar-SA"/>
        </w:rPr>
      </w:pPr>
      <w:r>
        <w:rPr>
          <w:rFonts w:hint="eastAsia" w:ascii="宋体" w:hAnsi="宋体" w:eastAsia="宋体" w:cs="宋体"/>
          <w:b/>
          <w:bCs w:val="0"/>
          <w:kern w:val="2"/>
          <w:sz w:val="32"/>
          <w:szCs w:val="24"/>
          <w:highlight w:val="none"/>
          <w:lang w:val="en-US" w:eastAsia="zh-CN" w:bidi="ar-SA"/>
        </w:rPr>
        <w:t>代理费</w:t>
      </w:r>
    </w:p>
    <w:p w14:paraId="6D8BD2C2">
      <w:pPr>
        <w:snapToGrid w:val="0"/>
        <w:spacing w:line="360" w:lineRule="auto"/>
        <w:ind w:firstLine="480" w:firstLineChars="200"/>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31.根据“国家发展和改革委员会办公厅《关于招标代理服务收费有关问题的通知》（发改办价格【2003】857号）”规定，招标代理机构向中标人收取招标代理服务费。</w:t>
      </w:r>
    </w:p>
    <w:p w14:paraId="5702EA36">
      <w:pPr>
        <w:snapToGrid w:val="0"/>
        <w:spacing w:line="360" w:lineRule="auto"/>
        <w:ind w:firstLine="480" w:firstLineChars="200"/>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32.中标人应在收取《中标通知书》时向采购代理机构交纳招标代理服务费，服务费的收费标准按浙价服〔2003〕77号文规定计算。</w:t>
      </w:r>
    </w:p>
    <w:tbl>
      <w:tblPr>
        <w:tblStyle w:val="65"/>
        <w:tblW w:w="7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0"/>
        <w:gridCol w:w="3660"/>
      </w:tblGrid>
      <w:tr w14:paraId="172D6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660" w:type="dxa"/>
            <w:shd w:val="clear" w:color="auto" w:fill="D9D9D9"/>
            <w:noWrap w:val="0"/>
            <w:vAlign w:val="center"/>
          </w:tcPr>
          <w:p w14:paraId="0B50F8EC">
            <w:pPr>
              <w:spacing w:line="360" w:lineRule="auto"/>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 xml:space="preserve">  中标金额（万元）</w:t>
            </w:r>
          </w:p>
        </w:tc>
        <w:tc>
          <w:tcPr>
            <w:tcW w:w="3660" w:type="dxa"/>
            <w:shd w:val="clear" w:color="auto" w:fill="D9D9D9"/>
            <w:noWrap w:val="0"/>
            <w:vAlign w:val="top"/>
          </w:tcPr>
          <w:p w14:paraId="02DD4177">
            <w:pPr>
              <w:spacing w:line="360" w:lineRule="auto"/>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货物类招标收费费率</w:t>
            </w:r>
          </w:p>
        </w:tc>
      </w:tr>
      <w:tr w14:paraId="51F0E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660" w:type="dxa"/>
            <w:noWrap w:val="0"/>
            <w:vAlign w:val="center"/>
          </w:tcPr>
          <w:p w14:paraId="3B0C6797">
            <w:pPr>
              <w:spacing w:line="360" w:lineRule="auto"/>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100以下</w:t>
            </w:r>
          </w:p>
        </w:tc>
        <w:tc>
          <w:tcPr>
            <w:tcW w:w="3660" w:type="dxa"/>
            <w:noWrap w:val="0"/>
            <w:vAlign w:val="center"/>
          </w:tcPr>
          <w:p w14:paraId="0B42CFBC">
            <w:pPr>
              <w:spacing w:line="360" w:lineRule="auto"/>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1.5％</w:t>
            </w:r>
          </w:p>
        </w:tc>
      </w:tr>
    </w:tbl>
    <w:p w14:paraId="7689A376">
      <w:pPr>
        <w:snapToGrid w:val="0"/>
        <w:spacing w:line="360" w:lineRule="auto"/>
        <w:ind w:firstLine="480" w:firstLineChars="200"/>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招标代理服务收费按差额定率累进法计算。</w:t>
      </w:r>
    </w:p>
    <w:p w14:paraId="3ECBC5CB">
      <w:pPr>
        <w:spacing w:line="360" w:lineRule="auto"/>
        <w:ind w:firstLine="480"/>
        <w:rPr>
          <w:rFonts w:hint="default"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33.</w:t>
      </w:r>
      <w:r>
        <w:rPr>
          <w:rFonts w:hint="eastAsia" w:ascii="宋体" w:hAnsi="宋体" w:cs="宋体"/>
          <w:snapToGrid w:val="0"/>
          <w:kern w:val="28"/>
          <w:sz w:val="24"/>
          <w:highlight w:val="none"/>
        </w:rPr>
        <w:t>本项目以</w:t>
      </w:r>
      <w:r>
        <w:rPr>
          <w:rFonts w:hint="eastAsia" w:ascii="宋体" w:hAnsi="宋体" w:cs="宋体"/>
          <w:snapToGrid w:val="0"/>
          <w:kern w:val="28"/>
          <w:sz w:val="24"/>
          <w:highlight w:val="none"/>
          <w:lang w:eastAsia="zh-CN"/>
        </w:rPr>
        <w:t>货物</w:t>
      </w:r>
      <w:r>
        <w:rPr>
          <w:rFonts w:hint="eastAsia" w:ascii="宋体" w:hAnsi="宋体" w:cs="宋体"/>
          <w:snapToGrid w:val="0"/>
          <w:kern w:val="28"/>
          <w:sz w:val="24"/>
          <w:highlight w:val="none"/>
        </w:rPr>
        <w:t>类招标收费标准的</w:t>
      </w:r>
      <w:r>
        <w:rPr>
          <w:rFonts w:hint="eastAsia" w:ascii="宋体" w:hAnsi="宋体" w:cs="宋体"/>
          <w:snapToGrid w:val="0"/>
          <w:kern w:val="28"/>
          <w:sz w:val="24"/>
          <w:highlight w:val="none"/>
          <w:lang w:val="en-US" w:eastAsia="zh-CN"/>
        </w:rPr>
        <w:t>70</w:t>
      </w:r>
      <w:r>
        <w:rPr>
          <w:rFonts w:hint="eastAsia" w:ascii="宋体" w:hAnsi="宋体" w:cs="宋体"/>
          <w:snapToGrid w:val="0"/>
          <w:kern w:val="28"/>
          <w:sz w:val="24"/>
          <w:highlight w:val="none"/>
        </w:rPr>
        <w:t>%收取代理服务费</w:t>
      </w:r>
      <w:r>
        <w:rPr>
          <w:rFonts w:hint="eastAsia" w:ascii="宋体" w:hAnsi="宋体" w:cs="宋体"/>
          <w:snapToGrid w:val="0"/>
          <w:kern w:val="28"/>
          <w:sz w:val="24"/>
          <w:highlight w:val="none"/>
          <w:lang w:eastAsia="zh-CN"/>
        </w:rPr>
        <w:t>，</w:t>
      </w:r>
      <w:r>
        <w:rPr>
          <w:rFonts w:hint="eastAsia" w:ascii="宋体" w:hAnsi="宋体" w:cs="宋体"/>
          <w:snapToGrid w:val="0"/>
          <w:kern w:val="28"/>
          <w:sz w:val="24"/>
          <w:highlight w:val="none"/>
          <w:lang w:val="en-US" w:eastAsia="zh-CN"/>
        </w:rPr>
        <w:t>不足6000元按6000元收取。</w:t>
      </w:r>
    </w:p>
    <w:p w14:paraId="25307E9F">
      <w:pPr>
        <w:snapToGrid w:val="0"/>
        <w:spacing w:line="360" w:lineRule="auto"/>
        <w:ind w:firstLine="480" w:firstLineChars="200"/>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34.服务费支付方式：一次性以网银、电汇的形式支付。</w:t>
      </w:r>
    </w:p>
    <w:p w14:paraId="4ABC4E6B">
      <w:pPr>
        <w:snapToGrid w:val="0"/>
        <w:spacing w:line="360" w:lineRule="auto"/>
        <w:ind w:firstLine="480" w:firstLineChars="200"/>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35.服务费以银行划账方式按下列要求提交：</w:t>
      </w:r>
    </w:p>
    <w:p w14:paraId="444A0D0B">
      <w:pPr>
        <w:snapToGrid w:val="0"/>
        <w:spacing w:line="360" w:lineRule="auto"/>
        <w:ind w:left="479" w:leftChars="228" w:firstLine="0" w:firstLineChars="0"/>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开户银行：嘉兴银行股份有限公司开发区支行</w:t>
      </w:r>
      <w:r>
        <w:rPr>
          <w:rFonts w:hint="eastAsia" w:ascii="宋体" w:hAnsi="宋体" w:eastAsia="宋体" w:cs="宋体"/>
          <w:b w:val="0"/>
          <w:bCs w:val="0"/>
          <w:kern w:val="0"/>
          <w:sz w:val="24"/>
          <w:szCs w:val="24"/>
          <w:highlight w:val="none"/>
          <w:lang w:val="en-US" w:eastAsia="zh-CN" w:bidi="ar-SA"/>
        </w:rPr>
        <w:br w:type="textWrapping"/>
      </w:r>
      <w:r>
        <w:rPr>
          <w:rFonts w:hint="eastAsia" w:ascii="宋体" w:hAnsi="宋体" w:eastAsia="宋体" w:cs="宋体"/>
          <w:b w:val="0"/>
          <w:bCs w:val="0"/>
          <w:kern w:val="0"/>
          <w:sz w:val="24"/>
          <w:szCs w:val="24"/>
          <w:highlight w:val="none"/>
          <w:lang w:val="en-US" w:eastAsia="zh-CN" w:bidi="ar-SA"/>
        </w:rPr>
        <w:t>银行账号：8010000008718</w:t>
      </w:r>
    </w:p>
    <w:p w14:paraId="2040DC67">
      <w:pPr>
        <w:snapToGrid w:val="0"/>
        <w:spacing w:line="360" w:lineRule="auto"/>
        <w:ind w:firstLine="480" w:firstLineChars="200"/>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行号：313335085017</w:t>
      </w:r>
    </w:p>
    <w:p w14:paraId="04C5BB03">
      <w:pPr>
        <w:snapToGrid w:val="0"/>
        <w:spacing w:line="360" w:lineRule="auto"/>
        <w:ind w:right="-401" w:rightChars="-191" w:firstLine="480" w:firstLineChars="200"/>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36.服务费支付时间：服务费必须在中标人领取《中标通知书》时一次性付清，如果中标人未能按时交纳服务费，采购代理机构/采购人保留取消其中标资格并追究其法律责任的权利。</w:t>
      </w:r>
    </w:p>
    <w:p w14:paraId="60B8C906">
      <w:pPr>
        <w:snapToGrid w:val="0"/>
        <w:spacing w:line="360" w:lineRule="auto"/>
        <w:ind w:firstLine="480" w:firstLineChars="200"/>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37.服务费不在投标报价中单列。</w:t>
      </w:r>
    </w:p>
    <w:p w14:paraId="39AF754B">
      <w:pPr>
        <w:numPr>
          <w:ilvl w:val="0"/>
          <w:numId w:val="1"/>
        </w:numPr>
        <w:rPr>
          <w:rFonts w:hint="eastAsia" w:ascii="宋体" w:hAnsi="宋体" w:eastAsia="宋体" w:cs="宋体"/>
          <w:b w:val="0"/>
          <w:bCs w:val="0"/>
          <w:kern w:val="0"/>
          <w:sz w:val="24"/>
          <w:szCs w:val="24"/>
          <w:highlight w:val="none"/>
          <w:lang w:val="en-US" w:eastAsia="zh-CN" w:bidi="ar-SA"/>
        </w:rPr>
        <w:sectPr>
          <w:headerReference r:id="rId4" w:type="first"/>
          <w:footerReference r:id="rId7" w:type="first"/>
          <w:headerReference r:id="rId3" w:type="default"/>
          <w:footerReference r:id="rId5" w:type="default"/>
          <w:footerReference r:id="rId6" w:type="even"/>
          <w:pgSz w:w="11906" w:h="16838"/>
          <w:pgMar w:top="1417" w:right="1418" w:bottom="1417" w:left="1418" w:header="851" w:footer="992" w:gutter="0"/>
          <w:cols w:space="720" w:num="1"/>
          <w:titlePg/>
          <w:docGrid w:linePitch="312" w:charSpace="0"/>
        </w:sectPr>
      </w:pPr>
    </w:p>
    <w:bookmarkEnd w:id="13"/>
    <w:bookmarkEnd w:id="14"/>
    <w:p w14:paraId="553D52B9">
      <w:pPr>
        <w:numPr>
          <w:ilvl w:val="0"/>
          <w:numId w:val="2"/>
        </w:numPr>
        <w:spacing w:line="360" w:lineRule="auto"/>
        <w:jc w:val="center"/>
        <w:outlineLvl w:val="0"/>
        <w:rPr>
          <w:rFonts w:hint="eastAsia" w:ascii="宋体" w:hAnsi="宋体" w:cs="宋体"/>
          <w:b/>
          <w:sz w:val="36"/>
          <w:szCs w:val="36"/>
          <w:highlight w:val="none"/>
        </w:rPr>
      </w:pPr>
      <w:bookmarkStart w:id="32" w:name="第四部分"/>
      <w:r>
        <w:rPr>
          <w:rFonts w:hint="eastAsia" w:ascii="宋体" w:hAnsi="宋体" w:cs="宋体"/>
          <w:b/>
          <w:sz w:val="36"/>
          <w:szCs w:val="36"/>
          <w:highlight w:val="none"/>
        </w:rPr>
        <w:t xml:space="preserve">  采购需求</w:t>
      </w:r>
    </w:p>
    <w:p w14:paraId="261A2933">
      <w:pPr>
        <w:pStyle w:val="89"/>
        <w:numPr>
          <w:ilvl w:val="0"/>
          <w:numId w:val="3"/>
        </w:numPr>
        <w:rPr>
          <w:rFonts w:hint="eastAsia" w:ascii="宋体" w:hAnsi="宋体" w:cs="宋体"/>
          <w:b/>
          <w:sz w:val="36"/>
          <w:szCs w:val="36"/>
          <w:highlight w:val="none"/>
        </w:rPr>
      </w:pPr>
      <w:r>
        <w:rPr>
          <w:rFonts w:hint="eastAsia" w:eastAsia="宋体"/>
          <w:b/>
          <w:bCs/>
          <w:highlight w:val="none"/>
          <w:lang w:eastAsia="zh-CN"/>
        </w:rPr>
        <w:t>技术参数</w:t>
      </w:r>
    </w:p>
    <w:tbl>
      <w:tblPr>
        <w:tblStyle w:val="65"/>
        <w:tblW w:w="54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118"/>
        <w:gridCol w:w="5987"/>
        <w:gridCol w:w="711"/>
        <w:gridCol w:w="794"/>
        <w:gridCol w:w="882"/>
      </w:tblGrid>
      <w:tr w14:paraId="3163A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6"/>
            <w:shd w:val="clear" w:color="auto" w:fill="auto"/>
            <w:noWrap/>
            <w:vAlign w:val="center"/>
          </w:tcPr>
          <w:p w14:paraId="27472B6F">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一、录播教室</w:t>
            </w:r>
          </w:p>
        </w:tc>
      </w:tr>
      <w:tr w14:paraId="53180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noWrap/>
            <w:vAlign w:val="center"/>
          </w:tcPr>
          <w:p w14:paraId="0E23A6E5">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编号</w:t>
            </w:r>
          </w:p>
        </w:tc>
        <w:tc>
          <w:tcPr>
            <w:tcW w:w="551" w:type="pct"/>
            <w:shd w:val="clear" w:color="auto" w:fill="auto"/>
            <w:noWrap/>
            <w:vAlign w:val="center"/>
          </w:tcPr>
          <w:p w14:paraId="3CE0A64B">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设备名称</w:t>
            </w:r>
          </w:p>
        </w:tc>
        <w:tc>
          <w:tcPr>
            <w:tcW w:w="2953" w:type="pct"/>
            <w:shd w:val="clear" w:color="auto" w:fill="auto"/>
            <w:noWrap/>
            <w:vAlign w:val="center"/>
          </w:tcPr>
          <w:p w14:paraId="50D5F251">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参数</w:t>
            </w:r>
          </w:p>
        </w:tc>
        <w:tc>
          <w:tcPr>
            <w:tcW w:w="350" w:type="pct"/>
            <w:shd w:val="clear" w:color="auto" w:fill="auto"/>
            <w:noWrap/>
            <w:vAlign w:val="center"/>
          </w:tcPr>
          <w:p w14:paraId="4244BD19">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数量</w:t>
            </w:r>
          </w:p>
        </w:tc>
        <w:tc>
          <w:tcPr>
            <w:tcW w:w="391" w:type="pct"/>
            <w:shd w:val="clear" w:color="auto" w:fill="auto"/>
            <w:noWrap/>
            <w:vAlign w:val="center"/>
          </w:tcPr>
          <w:p w14:paraId="5A3E5595">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单位</w:t>
            </w:r>
          </w:p>
        </w:tc>
        <w:tc>
          <w:tcPr>
            <w:tcW w:w="435" w:type="pct"/>
            <w:shd w:val="clear" w:color="auto" w:fill="auto"/>
            <w:noWrap/>
            <w:vAlign w:val="center"/>
          </w:tcPr>
          <w:p w14:paraId="758E831F">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备注</w:t>
            </w:r>
          </w:p>
        </w:tc>
      </w:tr>
      <w:tr w14:paraId="40B05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noWrap/>
            <w:vAlign w:val="center"/>
          </w:tcPr>
          <w:p w14:paraId="77F114B5">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551" w:type="pct"/>
            <w:shd w:val="clear" w:color="auto" w:fill="auto"/>
            <w:vAlign w:val="center"/>
          </w:tcPr>
          <w:p w14:paraId="71B37D7E">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★高清录播主机</w:t>
            </w:r>
          </w:p>
        </w:tc>
        <w:tc>
          <w:tcPr>
            <w:tcW w:w="2953" w:type="pct"/>
            <w:shd w:val="clear" w:color="auto" w:fill="auto"/>
            <w:vAlign w:val="center"/>
          </w:tcPr>
          <w:p w14:paraId="15493B51">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一.整体设计</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主机架构：为保障系统运行稳定、安全，要求录播主机采用嵌入式架构设计，非PC、服务器架构。主机为标准1U机架式设备，便于安装部署，并要求录播主机为非壁挂式架构，不存在机身显示屏等产生其他视频、强光源变化从而影响学生课堂专注力。</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2.功能设计：要求主机功能高度集成化，需具备录制、导播、自动跟踪、存储、点播、互动等多功能功于一体，无需额外增加跟踪主机、互动主机等其他主机。提供第三方检测报告复印件并加盖厂商</w:t>
            </w:r>
            <w:r>
              <w:rPr>
                <w:rFonts w:hint="eastAsia" w:cs="宋体" w:asciiTheme="minorEastAsia" w:hAnsiTheme="minorEastAsia"/>
                <w:color w:val="000000"/>
                <w:kern w:val="0"/>
                <w:sz w:val="21"/>
                <w:szCs w:val="21"/>
                <w:lang w:eastAsia="zh-CN"/>
              </w:rPr>
              <w:t>公章</w:t>
            </w:r>
            <w:r>
              <w:rPr>
                <w:rFonts w:hint="eastAsia" w:cs="宋体" w:asciiTheme="minorEastAsia" w:hAnsiTheme="minorEastAsia"/>
                <w:color w:val="000000"/>
                <w:kern w:val="0"/>
                <w:sz w:val="21"/>
                <w:szCs w:val="21"/>
              </w:rPr>
              <w:t>进行佐证。</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3.节能环保：应具有嵌入式低功耗环保特性，需采用不高于DC36V安全电压供电，整机正常工作状态下功耗不超过25W。提供第三方检测报告复印件并加盖厂商</w:t>
            </w:r>
            <w:r>
              <w:rPr>
                <w:rFonts w:hint="eastAsia" w:cs="宋体" w:asciiTheme="minorEastAsia" w:hAnsiTheme="minorEastAsia"/>
                <w:color w:val="000000"/>
                <w:kern w:val="0"/>
                <w:sz w:val="21"/>
                <w:szCs w:val="21"/>
                <w:lang w:eastAsia="zh-CN"/>
              </w:rPr>
              <w:t>公章</w:t>
            </w:r>
            <w:r>
              <w:rPr>
                <w:rFonts w:hint="eastAsia" w:cs="宋体" w:asciiTheme="minorEastAsia" w:hAnsiTheme="minorEastAsia"/>
                <w:color w:val="000000"/>
                <w:kern w:val="0"/>
                <w:sz w:val="21"/>
                <w:szCs w:val="21"/>
              </w:rPr>
              <w:t>进行佐证。</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4.低噪声设计：要求所投录播主机产生噪声最大值≤20dB(A)。提供第三方检测报告复印件并加盖厂商</w:t>
            </w:r>
            <w:r>
              <w:rPr>
                <w:rFonts w:hint="eastAsia" w:cs="宋体" w:asciiTheme="minorEastAsia" w:hAnsiTheme="minorEastAsia"/>
                <w:color w:val="000000"/>
                <w:kern w:val="0"/>
                <w:sz w:val="21"/>
                <w:szCs w:val="21"/>
                <w:lang w:eastAsia="zh-CN"/>
              </w:rPr>
              <w:t>公章</w:t>
            </w:r>
            <w:r>
              <w:rPr>
                <w:rFonts w:hint="eastAsia" w:cs="宋体" w:asciiTheme="minorEastAsia" w:hAnsiTheme="minorEastAsia"/>
                <w:color w:val="000000"/>
                <w:kern w:val="0"/>
                <w:sz w:val="21"/>
                <w:szCs w:val="21"/>
              </w:rPr>
              <w:t>进行佐证。</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5.平台对接：要求支持无缝对接视频资源管理应用平台，实现主机录制生成的视频文件自动上传平台归档。</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二.主机性能</w:t>
            </w:r>
            <w:r>
              <w:rPr>
                <w:rFonts w:hint="eastAsia" w:cs="宋体" w:asciiTheme="minorEastAsia" w:hAnsiTheme="minorEastAsia"/>
                <w:color w:val="000000"/>
                <w:kern w:val="0"/>
                <w:sz w:val="21"/>
                <w:szCs w:val="21"/>
              </w:rPr>
              <w:br w:type="textWrapping"/>
            </w:r>
            <w:r>
              <w:rPr>
                <w:rFonts w:cs="宋体" w:asciiTheme="minorEastAsia" w:hAnsiTheme="minorEastAsia"/>
                <w:color w:val="000000"/>
                <w:kern w:val="0"/>
                <w:sz w:val="21"/>
                <w:szCs w:val="21"/>
              </w:rPr>
              <w:t>6</w:t>
            </w:r>
            <w:r>
              <w:rPr>
                <w:rFonts w:hint="eastAsia" w:cs="宋体" w:asciiTheme="minorEastAsia" w:hAnsiTheme="minorEastAsia"/>
                <w:color w:val="000000"/>
                <w:kern w:val="0"/>
                <w:sz w:val="21"/>
                <w:szCs w:val="21"/>
              </w:rPr>
              <w:t>.视频输入输出：具备高清视频输入接口3G-SDI in≥7、HDMI in≥2；高清输出接口HDMI out≥3；且采集和输出分辨率均支持1080P@30fps。</w:t>
            </w:r>
            <w:r>
              <w:rPr>
                <w:rFonts w:hint="eastAsia" w:cs="宋体" w:asciiTheme="minorEastAsia" w:hAnsiTheme="minorEastAsia"/>
                <w:color w:val="000000"/>
                <w:kern w:val="0"/>
                <w:sz w:val="21"/>
                <w:szCs w:val="21"/>
              </w:rPr>
              <w:br w:type="textWrapping"/>
            </w:r>
            <w:r>
              <w:rPr>
                <w:rFonts w:cs="宋体" w:asciiTheme="minorEastAsia" w:hAnsiTheme="minorEastAsia"/>
                <w:color w:val="000000"/>
                <w:kern w:val="0"/>
                <w:sz w:val="21"/>
                <w:szCs w:val="21"/>
              </w:rPr>
              <w:t>8</w:t>
            </w:r>
            <w:r>
              <w:rPr>
                <w:rFonts w:hint="eastAsia" w:cs="宋体" w:asciiTheme="minorEastAsia" w:hAnsiTheme="minorEastAsia"/>
                <w:color w:val="000000"/>
                <w:kern w:val="0"/>
                <w:sz w:val="21"/>
                <w:szCs w:val="21"/>
              </w:rPr>
              <w:t>.视频编解码：支持标准H.264视频编解码协议，要求支持1080P30fps、720P30fps分辨率格式编解码。</w:t>
            </w:r>
            <w:r>
              <w:rPr>
                <w:rFonts w:hint="eastAsia" w:cs="宋体" w:asciiTheme="minorEastAsia" w:hAnsiTheme="minorEastAsia"/>
                <w:color w:val="000000"/>
                <w:kern w:val="0"/>
                <w:sz w:val="21"/>
                <w:szCs w:val="21"/>
              </w:rPr>
              <w:br w:type="textWrapping"/>
            </w:r>
            <w:r>
              <w:rPr>
                <w:rFonts w:cs="宋体" w:asciiTheme="minorEastAsia" w:hAnsiTheme="minorEastAsia"/>
                <w:color w:val="000000"/>
                <w:kern w:val="0"/>
                <w:sz w:val="21"/>
                <w:szCs w:val="21"/>
              </w:rPr>
              <w:t>9</w:t>
            </w:r>
            <w:r>
              <w:rPr>
                <w:rFonts w:hint="eastAsia" w:cs="宋体" w:asciiTheme="minorEastAsia" w:hAnsiTheme="minorEastAsia"/>
                <w:color w:val="000000"/>
                <w:kern w:val="0"/>
                <w:sz w:val="21"/>
                <w:szCs w:val="21"/>
              </w:rPr>
              <w:t>.POC一线通：支持连接摄像机与主机之间通过一根SDI线进行供电、控制、视频信号同传，不接受使用转接器的方式。提供第三方检测报告复印件。</w:t>
            </w:r>
            <w:r>
              <w:rPr>
                <w:rFonts w:hint="eastAsia" w:cs="宋体" w:asciiTheme="minorEastAsia" w:hAnsiTheme="minorEastAsia"/>
                <w:color w:val="000000"/>
                <w:kern w:val="0"/>
                <w:sz w:val="21"/>
                <w:szCs w:val="21"/>
              </w:rPr>
              <w:br w:type="textWrapping"/>
            </w:r>
            <w:r>
              <w:rPr>
                <w:rFonts w:cs="宋体" w:asciiTheme="minorEastAsia" w:hAnsiTheme="minorEastAsia"/>
                <w:color w:val="000000"/>
                <w:kern w:val="0"/>
                <w:sz w:val="21"/>
                <w:szCs w:val="21"/>
              </w:rPr>
              <w:t>10</w:t>
            </w:r>
            <w:r>
              <w:rPr>
                <w:rFonts w:hint="eastAsia" w:cs="宋体" w:asciiTheme="minorEastAsia" w:hAnsiTheme="minorEastAsia"/>
                <w:color w:val="000000"/>
                <w:kern w:val="0"/>
                <w:sz w:val="21"/>
                <w:szCs w:val="21"/>
              </w:rPr>
              <w:t>.音频输入输出：具备数字音频输入接口Digital mic≥6、线性音频输入接口Line in≥2；线性音频输出接口Line out≥2。提供第三方检测报告复印件。</w:t>
            </w:r>
            <w:r>
              <w:rPr>
                <w:rFonts w:hint="eastAsia" w:cs="宋体" w:asciiTheme="minorEastAsia" w:hAnsiTheme="minorEastAsia"/>
                <w:color w:val="000000"/>
                <w:kern w:val="0"/>
                <w:sz w:val="21"/>
                <w:szCs w:val="21"/>
              </w:rPr>
              <w:br w:type="textWrapping"/>
            </w:r>
            <w:r>
              <w:rPr>
                <w:rFonts w:cs="宋体" w:asciiTheme="minorEastAsia" w:hAnsiTheme="minorEastAsia"/>
                <w:color w:val="000000"/>
                <w:kern w:val="0"/>
                <w:sz w:val="21"/>
                <w:szCs w:val="21"/>
              </w:rPr>
              <w:t>11</w:t>
            </w:r>
            <w:r>
              <w:rPr>
                <w:rFonts w:hint="eastAsia" w:cs="宋体" w:asciiTheme="minorEastAsia" w:hAnsiTheme="minorEastAsia"/>
                <w:color w:val="000000"/>
                <w:kern w:val="0"/>
                <w:sz w:val="21"/>
                <w:szCs w:val="21"/>
              </w:rPr>
              <w:t>.音频编解码：采用AAC音频编解码协议标准，并支持音频处理功能。</w:t>
            </w:r>
            <w:r>
              <w:rPr>
                <w:rFonts w:hint="eastAsia" w:cs="宋体" w:asciiTheme="minorEastAsia" w:hAnsiTheme="minorEastAsia"/>
                <w:color w:val="000000"/>
                <w:kern w:val="0"/>
                <w:sz w:val="21"/>
                <w:szCs w:val="21"/>
              </w:rPr>
              <w:br w:type="textWrapping"/>
            </w:r>
            <w:r>
              <w:rPr>
                <w:rFonts w:cs="宋体" w:asciiTheme="minorEastAsia" w:hAnsiTheme="minorEastAsia"/>
                <w:color w:val="000000"/>
                <w:kern w:val="0"/>
                <w:sz w:val="21"/>
                <w:szCs w:val="21"/>
              </w:rPr>
              <w:t>12</w:t>
            </w:r>
            <w:r>
              <w:rPr>
                <w:rFonts w:hint="eastAsia" w:cs="宋体" w:asciiTheme="minorEastAsia" w:hAnsiTheme="minorEastAsia"/>
                <w:color w:val="000000"/>
                <w:kern w:val="0"/>
                <w:sz w:val="21"/>
                <w:szCs w:val="21"/>
              </w:rPr>
              <w:t>.日常音频环出：支持主机在通电关机或休眠状态下，仍能按照预设置完成音频信号的输入环出，实现开展日常授课时（不录制、互动等），仍能完成麦克风、电脑等教学音频环出应用且无需重新调整线路。</w:t>
            </w:r>
            <w:r>
              <w:rPr>
                <w:rFonts w:hint="eastAsia" w:cs="宋体" w:asciiTheme="minorEastAsia" w:hAnsiTheme="minorEastAsia"/>
                <w:color w:val="000000"/>
                <w:kern w:val="0"/>
                <w:sz w:val="21"/>
                <w:szCs w:val="21"/>
              </w:rPr>
              <w:br w:type="textWrapping"/>
            </w:r>
            <w:r>
              <w:rPr>
                <w:rFonts w:cs="宋体" w:asciiTheme="minorEastAsia" w:hAnsiTheme="minorEastAsia"/>
                <w:color w:val="000000"/>
                <w:kern w:val="0"/>
                <w:sz w:val="21"/>
                <w:szCs w:val="21"/>
              </w:rPr>
              <w:t>13</w:t>
            </w:r>
            <w:r>
              <w:rPr>
                <w:rFonts w:hint="eastAsia" w:cs="宋体" w:asciiTheme="minorEastAsia" w:hAnsiTheme="minorEastAsia"/>
                <w:color w:val="000000"/>
                <w:kern w:val="0"/>
                <w:sz w:val="21"/>
                <w:szCs w:val="21"/>
              </w:rPr>
              <w:t>.网络接入：具备标准RJ45网络接口，支持10/100/1000M网络自适应。并要求支持IPv4、IPv6双协议栈。</w:t>
            </w:r>
            <w:r>
              <w:rPr>
                <w:rFonts w:hint="eastAsia" w:cs="宋体" w:asciiTheme="minorEastAsia" w:hAnsiTheme="minorEastAsia"/>
                <w:color w:val="000000"/>
                <w:kern w:val="0"/>
                <w:sz w:val="21"/>
                <w:szCs w:val="21"/>
              </w:rPr>
              <w:br w:type="textWrapping"/>
            </w:r>
            <w:r>
              <w:rPr>
                <w:rFonts w:cs="宋体" w:asciiTheme="minorEastAsia" w:hAnsiTheme="minorEastAsia"/>
                <w:color w:val="000000"/>
                <w:kern w:val="0"/>
                <w:sz w:val="21"/>
                <w:szCs w:val="21"/>
              </w:rPr>
              <w:t>14</w:t>
            </w:r>
            <w:r>
              <w:rPr>
                <w:rFonts w:hint="eastAsia" w:cs="宋体" w:asciiTheme="minorEastAsia" w:hAnsiTheme="minorEastAsia"/>
                <w:color w:val="000000"/>
                <w:kern w:val="0"/>
                <w:sz w:val="21"/>
                <w:szCs w:val="21"/>
              </w:rPr>
              <w:t>.存储容量：内置不少于2T存储空间，用于录制视频文件的本地存储。</w:t>
            </w:r>
            <w:r>
              <w:rPr>
                <w:rFonts w:hint="eastAsia" w:cs="宋体" w:asciiTheme="minorEastAsia" w:hAnsiTheme="minorEastAsia"/>
                <w:color w:val="000000"/>
                <w:kern w:val="0"/>
                <w:sz w:val="21"/>
                <w:szCs w:val="21"/>
              </w:rPr>
              <w:br w:type="textWrapping"/>
            </w:r>
            <w:r>
              <w:rPr>
                <w:rFonts w:cs="宋体" w:asciiTheme="minorEastAsia" w:hAnsiTheme="minorEastAsia"/>
                <w:color w:val="000000"/>
                <w:kern w:val="0"/>
                <w:sz w:val="21"/>
                <w:szCs w:val="21"/>
              </w:rPr>
              <w:t>15</w:t>
            </w:r>
            <w:r>
              <w:rPr>
                <w:rFonts w:hint="eastAsia" w:cs="宋体" w:asciiTheme="minorEastAsia" w:hAnsiTheme="minorEastAsia"/>
                <w:color w:val="000000"/>
                <w:kern w:val="0"/>
                <w:sz w:val="21"/>
                <w:szCs w:val="21"/>
              </w:rPr>
              <w:t>.主机控制：具备Console控制接口≥2，支持RS232/422协议。</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w:t>
            </w:r>
            <w:r>
              <w:rPr>
                <w:rFonts w:cs="宋体" w:asciiTheme="minorEastAsia" w:hAnsiTheme="minorEastAsia"/>
                <w:color w:val="000000"/>
                <w:kern w:val="0"/>
                <w:sz w:val="21"/>
                <w:szCs w:val="21"/>
              </w:rPr>
              <w:t>6</w:t>
            </w:r>
            <w:r>
              <w:rPr>
                <w:rFonts w:hint="eastAsia" w:cs="宋体" w:asciiTheme="minorEastAsia" w:hAnsiTheme="minorEastAsia"/>
                <w:color w:val="000000"/>
                <w:kern w:val="0"/>
                <w:sz w:val="21"/>
                <w:szCs w:val="21"/>
              </w:rPr>
              <w:t>.外设连接：具备USB 2.0接口≥2，可用于连接U盘等外设。</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三.其他要求</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w:t>
            </w:r>
            <w:r>
              <w:rPr>
                <w:rFonts w:cs="宋体" w:asciiTheme="minorEastAsia" w:hAnsiTheme="minorEastAsia"/>
                <w:color w:val="000000"/>
                <w:kern w:val="0"/>
                <w:sz w:val="21"/>
                <w:szCs w:val="21"/>
              </w:rPr>
              <w:t>7</w:t>
            </w:r>
            <w:r>
              <w:rPr>
                <w:rFonts w:hint="eastAsia" w:cs="宋体" w:asciiTheme="minorEastAsia" w:hAnsiTheme="minorEastAsia"/>
                <w:color w:val="000000"/>
                <w:kern w:val="0"/>
                <w:sz w:val="21"/>
                <w:szCs w:val="21"/>
              </w:rPr>
              <w:t>.要求主机与视频资源管理平台、高清摄像机设备为同一品牌；</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w:t>
            </w:r>
            <w:r>
              <w:rPr>
                <w:rFonts w:cs="宋体" w:asciiTheme="minorEastAsia" w:hAnsiTheme="minorEastAsia"/>
                <w:color w:val="000000"/>
                <w:kern w:val="0"/>
                <w:sz w:val="21"/>
                <w:szCs w:val="21"/>
              </w:rPr>
              <w:t>8</w:t>
            </w:r>
            <w:r>
              <w:rPr>
                <w:rFonts w:hint="eastAsia" w:cs="宋体" w:asciiTheme="minorEastAsia" w:hAnsiTheme="minorEastAsia"/>
                <w:color w:val="000000"/>
                <w:kern w:val="0"/>
                <w:sz w:val="21"/>
                <w:szCs w:val="21"/>
              </w:rPr>
              <w:t>.平台对接：支持FTP文件传输协议，主机录制生成的视频文件与应用平台实现自动归档上传；</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w:t>
            </w:r>
            <w:r>
              <w:rPr>
                <w:rFonts w:cs="宋体" w:asciiTheme="minorEastAsia" w:hAnsiTheme="minorEastAsia"/>
                <w:color w:val="000000"/>
                <w:kern w:val="0"/>
                <w:sz w:val="21"/>
                <w:szCs w:val="21"/>
              </w:rPr>
              <w:t>9</w:t>
            </w:r>
            <w:r>
              <w:rPr>
                <w:rFonts w:hint="eastAsia" w:cs="宋体" w:asciiTheme="minorEastAsia" w:hAnsiTheme="minorEastAsia"/>
                <w:color w:val="000000"/>
                <w:kern w:val="0"/>
                <w:sz w:val="21"/>
                <w:szCs w:val="21"/>
              </w:rPr>
              <w:t>.提供该产品的具有CNAS标识的国家权威检测机构出具的检测报告复印件。</w:t>
            </w:r>
            <w:r>
              <w:rPr>
                <w:rFonts w:hint="eastAsia" w:cs="宋体" w:asciiTheme="minorEastAsia" w:hAnsiTheme="minorEastAsia"/>
                <w:color w:val="000000"/>
                <w:kern w:val="0"/>
                <w:sz w:val="21"/>
                <w:szCs w:val="21"/>
              </w:rPr>
              <w:br w:type="textWrapping"/>
            </w:r>
            <w:r>
              <w:rPr>
                <w:rFonts w:cs="宋体" w:asciiTheme="minorEastAsia" w:hAnsiTheme="minorEastAsia"/>
                <w:color w:val="000000"/>
                <w:kern w:val="0"/>
                <w:sz w:val="21"/>
                <w:szCs w:val="21"/>
              </w:rPr>
              <w:t>20</w:t>
            </w:r>
            <w:r>
              <w:rPr>
                <w:rFonts w:hint="eastAsia" w:cs="宋体" w:asciiTheme="minorEastAsia" w:hAnsiTheme="minorEastAsia"/>
                <w:color w:val="000000"/>
                <w:kern w:val="0"/>
                <w:sz w:val="21"/>
                <w:szCs w:val="21"/>
              </w:rPr>
              <w:t>.平台对接：要求与南湖区教育体育局原有同步课堂平台系统无缝完美对接，实现统一管理，实现视频的自动上传、直播、同步课堂等功能，包干相关费用。具体内容如下：</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（1）同步课堂平台：要求新建的同步课堂需兼容区域内原有同步课堂系统，实现任意一对一或一对多的城乡帮扶教学活动（此功能投标时需演示）。</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（2）自动上传对接：新建同步课堂教室系统录制的视频文件须与原有平台进行无缝对接，实现FTP上传功能。（数据接口参数见附表）（此功能投标时需演示）。</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（3）直播对接：录制高清、标清两路视频流，与原有平台对接完成音视频流的实时推送，实现网络直播功能并在通过平台的直播观看中可随时进行高清、标清的分辨率切换（此功能投标时需演示）。</w:t>
            </w:r>
          </w:p>
        </w:tc>
        <w:tc>
          <w:tcPr>
            <w:tcW w:w="350" w:type="pct"/>
            <w:shd w:val="clear" w:color="auto" w:fill="auto"/>
            <w:vAlign w:val="center"/>
          </w:tcPr>
          <w:p w14:paraId="6D80DEC0">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391" w:type="pct"/>
            <w:shd w:val="clear" w:color="auto" w:fill="auto"/>
            <w:vAlign w:val="center"/>
          </w:tcPr>
          <w:p w14:paraId="0CD975D6">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台</w:t>
            </w:r>
          </w:p>
        </w:tc>
        <w:tc>
          <w:tcPr>
            <w:tcW w:w="435" w:type="pct"/>
            <w:shd w:val="clear" w:color="auto" w:fill="auto"/>
            <w:noWrap/>
            <w:vAlign w:val="center"/>
          </w:tcPr>
          <w:p w14:paraId="4DD752CA">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493C4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noWrap/>
            <w:vAlign w:val="center"/>
          </w:tcPr>
          <w:p w14:paraId="62CA1A1C">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2</w:t>
            </w:r>
          </w:p>
        </w:tc>
        <w:tc>
          <w:tcPr>
            <w:tcW w:w="551" w:type="pct"/>
            <w:shd w:val="clear" w:color="auto" w:fill="auto"/>
            <w:vAlign w:val="center"/>
          </w:tcPr>
          <w:p w14:paraId="3AE8BB6D">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录播流媒体处理软件</w:t>
            </w:r>
          </w:p>
        </w:tc>
        <w:tc>
          <w:tcPr>
            <w:tcW w:w="2953" w:type="pct"/>
            <w:shd w:val="clear" w:color="auto" w:fill="auto"/>
            <w:vAlign w:val="center"/>
          </w:tcPr>
          <w:p w14:paraId="16DDFB90">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一.整体要求</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1.要求配套的录播流媒体处理软件在出厂时内置于高清录播主机中。</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2.软件架构：软件需采用B/S架构设计，使用主流浏览器通过网络即可访问软件后台进行管理应用。</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3.自主知识产权：要求录播流媒体处理软件具备自主知识产权，提供录播流媒体处理相关功能的软件著作权登记证书复印件并加盖厂家</w:t>
            </w:r>
            <w:r>
              <w:rPr>
                <w:rFonts w:hint="eastAsia" w:cs="宋体" w:asciiTheme="minorEastAsia" w:hAnsiTheme="minorEastAsia"/>
                <w:color w:val="000000"/>
                <w:kern w:val="0"/>
                <w:sz w:val="21"/>
                <w:szCs w:val="21"/>
                <w:lang w:eastAsia="zh-CN"/>
              </w:rPr>
              <w:t>公章</w:t>
            </w:r>
            <w:r>
              <w:rPr>
                <w:rFonts w:hint="eastAsia" w:cs="宋体" w:asciiTheme="minorEastAsia" w:hAnsiTheme="minorEastAsia"/>
                <w:color w:val="000000"/>
                <w:kern w:val="0"/>
                <w:sz w:val="21"/>
                <w:szCs w:val="21"/>
              </w:rPr>
              <w:t>进行佐证。</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二.录播模块</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1.录制存储：要求在断网情况下也可以对本地教室进行视频录制，并将录制文件保存在录播主机的内置硬盘中。并要求支持1080P高清分辨率录制，采用MP4视频格式封装。</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2.录制模式：支持电影模式、资源模式等录制模式。电影模式下实现多路信号的复合成一路画面进行录制；资源模式下要求摄像机画面、电脑画面均可独立录制封装。</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3.高低码流录制：要求支持高低双码流同步录制，并要求支持自定义录制分辨率、码流。</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分段录制：要求支持长视频分段录制的功能，可自定义视频文件分段时长，当录制课程时间较长时，可在不结束录制的条件下自动按分段时长将课程视频文件分割录制成多个视频文件，提供不分段、30分钟分段、60分钟分段三种方式可选。提供软件分段录制功能配置界面截图或软件配套录播主机的第三方检测报告复印件，并加盖厂家</w:t>
            </w:r>
            <w:r>
              <w:rPr>
                <w:rFonts w:hint="eastAsia" w:cs="宋体" w:asciiTheme="minorEastAsia" w:hAnsiTheme="minorEastAsia"/>
                <w:color w:val="000000"/>
                <w:kern w:val="0"/>
                <w:sz w:val="21"/>
                <w:szCs w:val="21"/>
                <w:lang w:eastAsia="zh-CN"/>
              </w:rPr>
              <w:t>公章</w:t>
            </w:r>
            <w:r>
              <w:rPr>
                <w:rFonts w:hint="eastAsia" w:cs="宋体" w:asciiTheme="minorEastAsia" w:hAnsiTheme="minorEastAsia"/>
                <w:color w:val="000000"/>
                <w:kern w:val="0"/>
                <w:sz w:val="21"/>
                <w:szCs w:val="21"/>
              </w:rPr>
              <w:t>进行佐证。</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5.同步录制：要求支持U盘等外设设备接入主机后，实现本机与U盘同步录制保存的功能。主机正常录制的同时，另存为一份文件保存到U盘中。</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6.云台控制：支持摄像机云台控制技术，实现对接入摄像机的画面进行云台控制，包括画面上下左右移动、放大缩小变焦等操作。云台控制功能应具有鼠标快速定位功能，通过鼠标点击快速居中画面区域。提供软件配套录播主机的第三方检测报告复印件并加盖厂商</w:t>
            </w:r>
            <w:r>
              <w:rPr>
                <w:rFonts w:hint="eastAsia" w:cs="宋体" w:asciiTheme="minorEastAsia" w:hAnsiTheme="minorEastAsia"/>
                <w:color w:val="000000"/>
                <w:kern w:val="0"/>
                <w:sz w:val="21"/>
                <w:szCs w:val="21"/>
                <w:lang w:eastAsia="zh-CN"/>
              </w:rPr>
              <w:t>公章</w:t>
            </w:r>
            <w:r>
              <w:rPr>
                <w:rFonts w:hint="eastAsia" w:cs="宋体" w:asciiTheme="minorEastAsia" w:hAnsiTheme="minorEastAsia"/>
                <w:color w:val="000000"/>
                <w:kern w:val="0"/>
                <w:sz w:val="21"/>
                <w:szCs w:val="21"/>
              </w:rPr>
              <w:t>进行佐证。</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7.录制跟踪：要求内置录制画面跟踪功能，支持搭配摄像机共同实现课堂教师、学生行为的全自动跟踪。跟踪模式需包括教师走动全景、教师授课特写、教学课件跟踪、学生起立特写、学生听课全景等。为保障系统使用、管理便捷稳定，不接受使用额外配置跟踪主机或其他跟踪设备的方式。</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8.跟踪屏蔽：支持设置跟踪屏蔽区域，如主动屏蔽掉教师观摩区、窗户窗帘、教室门口、大屏液晶电视等易干扰跟踪效果的地方，所屏蔽的地方系统将不对其进行图像分析跟踪运算，以避免这些地方干扰整体的跟踪效果。</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9.录制控制：要求支持录制、暂停、结束等基本功能操作，并支持通过外接控制设备以及网页web登录控制等方式进行录制控制。</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10. 音频处理：要求内置音频处理模块，支持EQ均衡、AEC回声抑制、AGC自动增益、ANC噪声抑制等音频处理功能。</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三.导播模块</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1.本地导播：要求支持连接外接导播台进行控制导播，实现本地导播控制。</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网络导播：为保障低配置电脑也能正常使用，要求支持通过浏览器访问录播主机进入导播界面，在导播界面实现对所有接入视频和录制效果画面的实时预览，并支持在手动导播模式下进行信号源实时切换录制。不接受安装客户端软件进行导播的方式。</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3.导播模式：支持全自动、半自动、手动三种导播模式，并支持录制过程中任意切换导播模式。</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4.导播预览：要求导播界面可实现接入画面的导播预览，预览画面需包括教师特写、教师全景、学生全景、学生特写、电脑画面等。并支持点击预览画面可自由切换录制画面进行录制。</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5.画面布局：提供双分屏、三分屏、画中画等录制布局，并支持自定义布局方式，支持多个视频图层自由叠加组合，自定义布局时可随意拖拉画面窗口。</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6.摄像机预置位：要求支持8个摄像机云台预制位设置，导播过程中可便捷调取摄像机预设位置的画面。</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7.字幕台标：要求录制模式下支持Logo台标、字幕设置，可自主上传Logo图标、编辑字幕内容。</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8.可以音量控制：要求可通过导播界面进行音量控制，调整相关输入输出音量大小。</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四.直播模块</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1.多流直播：要求支持RTMP和RTSP视频传输协议，并要求支持不少于3路RTMP同步推流直播，并要求自定义选择主码流或子码流信号源进行推流，实现多流直播。</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2.直播码流：支持自定义直播分辨率和码率，最高支持1080P@30fps，以适应不同网络环境下保持直播的流畅性。</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3.直播模式：要求支持RTMP直播、TS直播、集控推流直播等不少于3种不同直播模式，以适应不同场景直播需求。</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五.互动模块</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1.互动协议：支持H.323、SIP标准视音频互动协议，便捷进行远程互动教学应用。</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FF0000"/>
                <w:kern w:val="0"/>
                <w:sz w:val="21"/>
                <w:szCs w:val="21"/>
              </w:rPr>
              <w:t>2.互动要求：要求内置互动模块，无需额外部署MCU类设备即可支持“1+3”的互动授课模式，实现专递课堂教学应用。同时也需支持会议互动模式，创建或加入大规模视音频实时互动。提供“授课模式”及“会议模式”的功能界面截图。</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双流互动：要求支持双流互动功能，在互动通讯过程中，支持教学场景信号与电脑课件信号以互相独立的信号进行传输，并最终接收端设备可通过两路HDMI接口将接收到的教学场景画面与电脑课件画面同时分别环出到两个显示设备上。</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互动通讯录：支持对接获取互动云系统的通讯录数据，数据内容包括所有已在互动云系统注册的录播账号、录播昵称。支持通过通讯录选择互动对象直接呼叫，或手动输入录播账号进行呼叫，并提供导入通讯录功能。提供软件配套录播主机的第三方检测报告复印件并加盖厂商</w:t>
            </w:r>
            <w:r>
              <w:rPr>
                <w:rFonts w:hint="eastAsia" w:cs="宋体" w:asciiTheme="minorEastAsia" w:hAnsiTheme="minorEastAsia"/>
                <w:color w:val="000000"/>
                <w:kern w:val="0"/>
                <w:sz w:val="21"/>
                <w:szCs w:val="21"/>
                <w:lang w:eastAsia="zh-CN"/>
              </w:rPr>
              <w:t>公章</w:t>
            </w:r>
            <w:r>
              <w:rPr>
                <w:rFonts w:hint="eastAsia" w:cs="宋体" w:asciiTheme="minorEastAsia" w:hAnsiTheme="minorEastAsia"/>
                <w:color w:val="000000"/>
                <w:kern w:val="0"/>
                <w:sz w:val="21"/>
                <w:szCs w:val="21"/>
              </w:rPr>
              <w:t>进行佐证。</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5.</w:t>
            </w:r>
            <w:r>
              <w:rPr>
                <w:rFonts w:hint="eastAsia" w:cs="宋体" w:asciiTheme="minorEastAsia" w:hAnsiTheme="minorEastAsia"/>
                <w:color w:val="FF0000"/>
                <w:kern w:val="0"/>
                <w:sz w:val="21"/>
                <w:szCs w:val="21"/>
              </w:rPr>
              <w:t>发言权限控制：通过录播主机的网络导播界面，需支持主讲端在互动过程中对其余互动参与者的发言权限进行控制，支持单人禁言/开启以及全场禁言/开启的控制方式</w:t>
            </w:r>
            <w:r>
              <w:rPr>
                <w:rFonts w:hint="eastAsia" w:cs="宋体" w:asciiTheme="minorEastAsia" w:hAnsiTheme="minorEastAsia"/>
                <w:color w:val="000000"/>
                <w:kern w:val="0"/>
                <w:sz w:val="21"/>
                <w:szCs w:val="21"/>
              </w:rPr>
              <w:t>。</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6.互动画质：要求录播主机在双向互动过程中，可实现1080P@30FPS画质，并支持网络自适应功能。</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六.管理模块</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1.录像管理：支持对录制视频按标题、主持人、时间、时长进行排序，便于快速检索所需视频。支持对录像文件进行回放和下载</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2.视频修复：支持硬盘格式化功能，支持对设备异常断电、宕机造成的损坏视频文件进行修复。</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3.版本切换：支持中英双语版本切换，适合不同用户的应用需求。要求通过网络导播界面即可便捷切换，无需进行更改授权、系统升级等复杂操作。提供英文界面截图并加盖厂家</w:t>
            </w:r>
            <w:r>
              <w:rPr>
                <w:rFonts w:hint="eastAsia" w:cs="宋体" w:asciiTheme="minorEastAsia" w:hAnsiTheme="minorEastAsia"/>
                <w:color w:val="000000"/>
                <w:kern w:val="0"/>
                <w:sz w:val="21"/>
                <w:szCs w:val="21"/>
                <w:lang w:eastAsia="zh-CN"/>
              </w:rPr>
              <w:t>公章</w:t>
            </w:r>
            <w:r>
              <w:rPr>
                <w:rFonts w:hint="eastAsia" w:cs="宋体" w:asciiTheme="minorEastAsia" w:hAnsiTheme="minorEastAsia"/>
                <w:color w:val="000000"/>
                <w:kern w:val="0"/>
                <w:sz w:val="21"/>
                <w:szCs w:val="21"/>
              </w:rPr>
              <w:t>。</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4.面板管控：支持接入控制面板，对录播设备进行唤醒、录制管理。</w:t>
            </w:r>
          </w:p>
        </w:tc>
        <w:tc>
          <w:tcPr>
            <w:tcW w:w="350" w:type="pct"/>
            <w:shd w:val="clear" w:color="auto" w:fill="auto"/>
            <w:vAlign w:val="center"/>
          </w:tcPr>
          <w:p w14:paraId="254E843F">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391" w:type="pct"/>
            <w:shd w:val="clear" w:color="auto" w:fill="auto"/>
            <w:vAlign w:val="center"/>
          </w:tcPr>
          <w:p w14:paraId="0359F241">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套</w:t>
            </w:r>
          </w:p>
        </w:tc>
        <w:tc>
          <w:tcPr>
            <w:tcW w:w="435" w:type="pct"/>
            <w:shd w:val="clear" w:color="auto" w:fill="auto"/>
            <w:noWrap/>
            <w:vAlign w:val="center"/>
          </w:tcPr>
          <w:p w14:paraId="7FE8A0DF">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4C25A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noWrap/>
            <w:vAlign w:val="center"/>
          </w:tcPr>
          <w:p w14:paraId="44E09F06">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3</w:t>
            </w:r>
          </w:p>
        </w:tc>
        <w:tc>
          <w:tcPr>
            <w:tcW w:w="551" w:type="pct"/>
            <w:shd w:val="clear" w:color="auto" w:fill="auto"/>
            <w:vAlign w:val="center"/>
          </w:tcPr>
          <w:p w14:paraId="12F78355">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AI智能跟踪处理软件</w:t>
            </w:r>
          </w:p>
        </w:tc>
        <w:tc>
          <w:tcPr>
            <w:tcW w:w="2953" w:type="pct"/>
            <w:shd w:val="clear" w:color="auto" w:fill="auto"/>
            <w:vAlign w:val="center"/>
          </w:tcPr>
          <w:p w14:paraId="3E480E5C">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1.摄像机跟踪逻辑分配：支持智能识别接入摄像机的使用定位，并联动摄像机选用对应的跟踪逻辑，如教师跟踪、学生跟踪等。</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2.云台控制：支持对接入摄像机进行云台控制技术，实现画面的上下左右移动、放大缩小变焦等操作。</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3.检测区域设置：支持对接入摄像机的AI跟踪检测区域设置，可根据实景拍摄画面中框选跟踪区域，框选后只在区域中方能触发跟踪，所见所得方便操作。</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4.录制跟踪切换：根据设定的跟踪策略形成跟踪指令，实现多路接入摄像机的全自动AI跟踪画面切换。</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5.AI跟踪目标丢失处理机制：支持对接入摄像机设置AI跟踪目标更新周期时间，在跟踪对象处于检测区域外达到更新时间后，对应摄像机回到预置位0并重新进行新目标的识别跟踪；跟踪对象处于检测区域外的时间小于更新时间并重新进入检测区域时，继续对该跟踪对象进行锁定跟踪。</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6.跟踪屏蔽：支持设置跟踪屏蔽区域，如主动屏蔽掉教师观摩区、窗户窗帘、教室门口、大屏液晶电视等易干扰跟踪效果的地方，所屏蔽的地方系统将不对其进行AI分析跟踪运算，以避免这些地方干扰整体的跟踪效果。提供跟踪场景的屏蔽区域功能设置界面截图并加盖厂家</w:t>
            </w:r>
            <w:r>
              <w:rPr>
                <w:rFonts w:hint="eastAsia" w:cs="宋体" w:asciiTheme="minorEastAsia" w:hAnsiTheme="minorEastAsia"/>
                <w:color w:val="000000"/>
                <w:kern w:val="0"/>
                <w:sz w:val="21"/>
                <w:szCs w:val="21"/>
                <w:lang w:eastAsia="zh-CN"/>
              </w:rPr>
              <w:t>公章</w:t>
            </w:r>
            <w:r>
              <w:rPr>
                <w:rFonts w:hint="eastAsia" w:cs="宋体" w:asciiTheme="minorEastAsia" w:hAnsiTheme="minorEastAsia"/>
                <w:color w:val="000000"/>
                <w:kern w:val="0"/>
                <w:sz w:val="21"/>
                <w:szCs w:val="21"/>
              </w:rPr>
              <w:t>。</w:t>
            </w:r>
          </w:p>
        </w:tc>
        <w:tc>
          <w:tcPr>
            <w:tcW w:w="350" w:type="pct"/>
            <w:shd w:val="clear" w:color="auto" w:fill="auto"/>
            <w:vAlign w:val="center"/>
          </w:tcPr>
          <w:p w14:paraId="7853C874">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391" w:type="pct"/>
            <w:shd w:val="clear" w:color="auto" w:fill="auto"/>
            <w:vAlign w:val="center"/>
          </w:tcPr>
          <w:p w14:paraId="64C258D6">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套</w:t>
            </w:r>
          </w:p>
        </w:tc>
        <w:tc>
          <w:tcPr>
            <w:tcW w:w="435" w:type="pct"/>
            <w:shd w:val="clear" w:color="auto" w:fill="auto"/>
            <w:noWrap/>
            <w:vAlign w:val="center"/>
          </w:tcPr>
          <w:p w14:paraId="3952BC09">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5545E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noWrap/>
            <w:vAlign w:val="center"/>
          </w:tcPr>
          <w:p w14:paraId="4D346C68">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4</w:t>
            </w:r>
          </w:p>
        </w:tc>
        <w:tc>
          <w:tcPr>
            <w:tcW w:w="551" w:type="pct"/>
            <w:shd w:val="clear" w:color="auto" w:fill="auto"/>
            <w:vAlign w:val="center"/>
          </w:tcPr>
          <w:p w14:paraId="4EF6B469">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高清摄像机</w:t>
            </w:r>
          </w:p>
        </w:tc>
        <w:tc>
          <w:tcPr>
            <w:tcW w:w="2953" w:type="pct"/>
            <w:shd w:val="clear" w:color="auto" w:fill="auto"/>
            <w:vAlign w:val="center"/>
          </w:tcPr>
          <w:p w14:paraId="53D217A0">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1.传感器：要求采用CMOS类型图像传感器，尺寸≥1/2.5英寸</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2.像素：有效像素不低于207万</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3.变焦：要求支持自动和手动变焦，变焦倍数≥12倍</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4.云台转动：要求具备机械云台可进行转动跟踪。水平转动速度范围不少于1.0° ~ 94.2°/s，垂直转动速度范围不少于1.0° ~ 74.8°/s</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5.拍摄视场角：要求水平视场角度范围不少于72.0° ~ 6.1°，垂直视场角度范围不少于43.2° ~ 3.5°</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6.视频编码：要求支持H.265、H.264高清视频编码协议</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7.视频输出：要求具备标准SDI视频输出口≥1，HDMI视频输出口≥1</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8.背光补偿：要求具备背光补偿功能</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9.控制协议：要求采用VISCA标准摄像机控制协议</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10.通讯接口：要求具备RS232/RS422≥1</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11.网络输出：要求具备标准RJ45网络接口，并支持RTSP协议支持网络视频输出</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12.音频接口：要求具备不少于1路Line in输入口</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13.USB接口：要求具备USB Type-A≥1</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14.预置位：要求支持设置摄像机预置位，预置位数量≥255</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15.图像翻转：要求支持图像水平、垂直翻转，适应摄像机不同的安装方式要求</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16.一线通：要求与搭配的录播主机连接，可实现摄像机供电、控制以及视频信号传输</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17.AI跟踪：要求内置跟踪算法，无需增加任何辅助设备即可实现人像自动跟踪，包括水平运动、俯仰运动、变焦、聚焦四维实时跟踪</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18.跟踪逻辑自选：要求支持根据AI智能算法，同一摄像机可根据部署使用场景智能应用为教师、学生跟踪模式，无需手动设置</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19.电源支持：支持录播主机供电、POC和DC12V电源适配器等供电方式</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20.要求摄像机与录播主机为同一品牌</w:t>
            </w:r>
          </w:p>
        </w:tc>
        <w:tc>
          <w:tcPr>
            <w:tcW w:w="350" w:type="pct"/>
            <w:shd w:val="clear" w:color="auto" w:fill="auto"/>
            <w:vAlign w:val="center"/>
          </w:tcPr>
          <w:p w14:paraId="799E9EFB">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4</w:t>
            </w:r>
          </w:p>
        </w:tc>
        <w:tc>
          <w:tcPr>
            <w:tcW w:w="391" w:type="pct"/>
            <w:shd w:val="clear" w:color="auto" w:fill="auto"/>
            <w:vAlign w:val="center"/>
          </w:tcPr>
          <w:p w14:paraId="4327AFE8">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台</w:t>
            </w:r>
          </w:p>
        </w:tc>
        <w:tc>
          <w:tcPr>
            <w:tcW w:w="435" w:type="pct"/>
            <w:shd w:val="clear" w:color="auto" w:fill="auto"/>
            <w:noWrap/>
            <w:vAlign w:val="center"/>
          </w:tcPr>
          <w:p w14:paraId="385F1F04">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23736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noWrap/>
            <w:vAlign w:val="center"/>
          </w:tcPr>
          <w:p w14:paraId="2B32EF03">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5</w:t>
            </w:r>
          </w:p>
        </w:tc>
        <w:tc>
          <w:tcPr>
            <w:tcW w:w="551" w:type="pct"/>
            <w:shd w:val="clear" w:color="auto" w:fill="auto"/>
            <w:vAlign w:val="center"/>
          </w:tcPr>
          <w:p w14:paraId="4A1AE1F0">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摄像机管理软件</w:t>
            </w:r>
          </w:p>
        </w:tc>
        <w:tc>
          <w:tcPr>
            <w:tcW w:w="2953" w:type="pct"/>
            <w:shd w:val="clear" w:color="auto" w:fill="auto"/>
            <w:vAlign w:val="center"/>
          </w:tcPr>
          <w:p w14:paraId="753E0B87">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1.摄像机管理软件采用B/S架构，支持通用浏览器直接访问进行管理。</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2.支持曝光模式设置功能，包括自动、手动。</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3.支持抗闪烁频率、动态范围、光圈、快门参数设置。</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4.支持自动白平衡设置功能，红、蓝增益可调。</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5.支持噪声抑制设置功能，支持2D、3D降噪。</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6.支持摄像机图像质量调节功能，包括亮度、对比度、色调、饱和度。</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7.支持摄像机控制功能，包括云台控制、预置位设置与调用、焦距调节等。</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8.支持教师和学生的AI自动识别切换，根据部署位置、模式自主适配教师或学生的跟踪逻辑。</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9.支持AI人体特征识别，能够自动识别并锁定跟踪人，人物丢失后再进入拍摄区域可以继续识别锁定进行跟踪。</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9.采用教师角色识别逻辑，可基于站立姿态、面/背向状态等多维判定，快速识别教师，避免学生站立影响。</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10.支持划分自动跟踪区域，当锁定跟踪人物走出自动跟踪区域时即停止跟踪，直到重新回到区域出现在画面中为止。</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11.支持设置跟踪锁定解除时间，被锁定教师人员脱离画面跟踪区域后，在跟踪锁定解除时间到达之后自动解除人员锁定，回归默认状态，等待下一位人员进入画面中开始重新锁定跟踪。</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12.支持五分像、七分像、全身像等多种教师图像跟踪画面模式，根据实际需要设置选用教师跟踪画面的大小。</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13.支持学生智能跟踪，根据学生站立/做下动作状态，进行学生特写跟踪拍摄，并通知录播主机完成画面切换。</w:t>
            </w:r>
          </w:p>
        </w:tc>
        <w:tc>
          <w:tcPr>
            <w:tcW w:w="350" w:type="pct"/>
            <w:shd w:val="clear" w:color="auto" w:fill="auto"/>
            <w:vAlign w:val="center"/>
          </w:tcPr>
          <w:p w14:paraId="56E8262D">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4</w:t>
            </w:r>
          </w:p>
        </w:tc>
        <w:tc>
          <w:tcPr>
            <w:tcW w:w="391" w:type="pct"/>
            <w:shd w:val="clear" w:color="auto" w:fill="auto"/>
            <w:vAlign w:val="center"/>
          </w:tcPr>
          <w:p w14:paraId="6C3010C3">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套</w:t>
            </w:r>
          </w:p>
        </w:tc>
        <w:tc>
          <w:tcPr>
            <w:tcW w:w="435" w:type="pct"/>
            <w:shd w:val="clear" w:color="auto" w:fill="auto"/>
            <w:noWrap/>
            <w:vAlign w:val="center"/>
          </w:tcPr>
          <w:p w14:paraId="5177B216">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66928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noWrap/>
            <w:vAlign w:val="center"/>
          </w:tcPr>
          <w:p w14:paraId="620B4750">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6</w:t>
            </w:r>
          </w:p>
        </w:tc>
        <w:tc>
          <w:tcPr>
            <w:tcW w:w="551" w:type="pct"/>
            <w:shd w:val="clear" w:color="auto" w:fill="auto"/>
            <w:vAlign w:val="center"/>
          </w:tcPr>
          <w:p w14:paraId="745E7490">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数字音频矩阵</w:t>
            </w:r>
          </w:p>
        </w:tc>
        <w:tc>
          <w:tcPr>
            <w:tcW w:w="2953" w:type="pct"/>
            <w:shd w:val="clear" w:color="auto" w:fill="auto"/>
            <w:vAlign w:val="center"/>
          </w:tcPr>
          <w:p w14:paraId="2740C757">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 xml:space="preserve">12进4出音频处理器，集成自动噪音抑制技术，（去除包含空调、排气扇等噪音干扰）保证声音质量；可通过网络进行监听，软件升级和参数配置（支持局域网和公网）；8路差分输入；4路单声道Line-IN输入, 4路平衡输出，；8路平衡输入可做16段EQ处理（其他输入、输出不作EQ处理）； 音抗混响功能，避免多路语音互相干扰，突出重要语音信号；回声消除功能：无线麦克风、吊麦的混音需要进行AEC处理，参考信号为远程音频信号；具有AGC功能，防止多人大声说话时破音；远程回声消除： 处理回声延迟能力：128ms，256ms，512ms回声抑制比： ＞60dB采样率： 32K采样位数： 16位动态范围： 90db；环境噪声消除：  稳态噪声消除比：30dB ；频率响应 ： 20Hz-16KHz 最大增益 ： 59dB </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具备降噪控制软件证书；具备回声消除专用软件证书；                                       具备音频主机软件证书；具备公安部检测报告或其他可靠性测试报告；</w:t>
            </w:r>
          </w:p>
        </w:tc>
        <w:tc>
          <w:tcPr>
            <w:tcW w:w="350" w:type="pct"/>
            <w:shd w:val="clear" w:color="auto" w:fill="auto"/>
            <w:vAlign w:val="center"/>
          </w:tcPr>
          <w:p w14:paraId="1EBA920D">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391" w:type="pct"/>
            <w:shd w:val="clear" w:color="auto" w:fill="auto"/>
            <w:vAlign w:val="center"/>
          </w:tcPr>
          <w:p w14:paraId="5B0CFA04">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台</w:t>
            </w:r>
          </w:p>
        </w:tc>
        <w:tc>
          <w:tcPr>
            <w:tcW w:w="435" w:type="pct"/>
            <w:shd w:val="clear" w:color="auto" w:fill="auto"/>
            <w:noWrap/>
            <w:vAlign w:val="center"/>
          </w:tcPr>
          <w:p w14:paraId="3780CB71">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4E301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noWrap/>
            <w:vAlign w:val="center"/>
          </w:tcPr>
          <w:p w14:paraId="6022DE2F">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7</w:t>
            </w:r>
          </w:p>
        </w:tc>
        <w:tc>
          <w:tcPr>
            <w:tcW w:w="551" w:type="pct"/>
            <w:shd w:val="clear" w:color="auto" w:fill="auto"/>
            <w:vAlign w:val="center"/>
          </w:tcPr>
          <w:p w14:paraId="49DA8703">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指向性拾音话筒</w:t>
            </w:r>
          </w:p>
        </w:tc>
        <w:tc>
          <w:tcPr>
            <w:tcW w:w="2953" w:type="pct"/>
            <w:shd w:val="clear" w:color="auto" w:fill="auto"/>
            <w:vAlign w:val="center"/>
          </w:tcPr>
          <w:p w14:paraId="3C1576AB">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1)单体：背极式驻极体</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2)指向性：超心型</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3)频率响应：40Hz—16kHz</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4)低频衰减：内置</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5)灵敏度：-29dB±3dB（1dB=1V/Pa at 1kHz）</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6)输出抗阻：500Ω±20%（at 1kHz）</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7)最大声压级：130dB（T.H.D≤1% at 1kHz）</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8)信噪比：70dB（1KHz at 1Pa）</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9)动态范围：106dB（1kHz at Max SPL）</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10)使用电源：48V 幻象电源（48V DC），2mA</w:t>
            </w:r>
          </w:p>
        </w:tc>
        <w:tc>
          <w:tcPr>
            <w:tcW w:w="350" w:type="pct"/>
            <w:shd w:val="clear" w:color="auto" w:fill="auto"/>
            <w:vAlign w:val="center"/>
          </w:tcPr>
          <w:p w14:paraId="70BC5B29">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6</w:t>
            </w:r>
          </w:p>
        </w:tc>
        <w:tc>
          <w:tcPr>
            <w:tcW w:w="391" w:type="pct"/>
            <w:shd w:val="clear" w:color="auto" w:fill="auto"/>
            <w:vAlign w:val="center"/>
          </w:tcPr>
          <w:p w14:paraId="77648B54">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支</w:t>
            </w:r>
          </w:p>
        </w:tc>
        <w:tc>
          <w:tcPr>
            <w:tcW w:w="435" w:type="pct"/>
            <w:shd w:val="clear" w:color="auto" w:fill="auto"/>
            <w:noWrap/>
            <w:vAlign w:val="center"/>
          </w:tcPr>
          <w:p w14:paraId="6216F37A">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79DD9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noWrap/>
            <w:vAlign w:val="center"/>
          </w:tcPr>
          <w:p w14:paraId="0422C8B8">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8</w:t>
            </w:r>
          </w:p>
        </w:tc>
        <w:tc>
          <w:tcPr>
            <w:tcW w:w="551" w:type="pct"/>
            <w:shd w:val="clear" w:color="auto" w:fill="auto"/>
            <w:vAlign w:val="center"/>
          </w:tcPr>
          <w:p w14:paraId="453DB771">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壁挂式触控面板</w:t>
            </w:r>
          </w:p>
        </w:tc>
        <w:tc>
          <w:tcPr>
            <w:tcW w:w="2953" w:type="pct"/>
            <w:shd w:val="clear" w:color="auto" w:fill="auto"/>
            <w:vAlign w:val="center"/>
          </w:tcPr>
          <w:p w14:paraId="1EE15E0B">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1.硬件设计</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1）支持壁挂式上墙部署；</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2）具备10.1英寸1280*800高清全视角显示屏幕；</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3）存储性能：缓存容量不小于2G,存储容量不小于16G；</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4）操作系统 ：Android 5.1及以上版本；</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5）接口类型：SD 卡槽≥1，USB≥1， 网络接口≥1，3.5mm耳麦接口≥1；</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2.整体设计</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1）控制方式：支持通过网络连接进行录播主机的管理、控制；</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2）电源管理：支持控制录播主机的关机、休眠、唤醒操作；</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3）集成录课模式控制、互动模式控制、录像资源管理等控制应用；</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3.录课模式控制</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1）支持通过触控面板实时预览录制信号画面，进行导播操作；</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2）支持录制开始/停止、录制暂停/恢复、直播开启/关闭、电脑画面锁定/解锁等功能操作；</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3）支持常用键位设置，可设置各镜头快速切换、画面布局等相关录课操作常用键位；</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4.互动模式控制</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1）支持通讯录呼叫功能，读取显示录播主机通讯录，并能够通过通讯录进行快速呼叫；</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2）支持快速拨号呼叫功能，输入用户短号实现快速呼叫；</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3）支持通过触控面板实时预览互动信号画面，实现直观互动控制；</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4）支持互动过程的录制、暂停、直播等操作；</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5）支持互动过程的自动导播控制、互动导播画面自由选择控制功能；</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5.录像资源管理控制</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1）支持录像资源管理，通过导播控制软件直观呈现当前录播主机的录像资源信息，并支持选择相关的录课资源进行回放；</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2）支持录制资源下载操作，将文件下载至U盘进行移动共享。"</w:t>
            </w:r>
          </w:p>
        </w:tc>
        <w:tc>
          <w:tcPr>
            <w:tcW w:w="350" w:type="pct"/>
            <w:shd w:val="clear" w:color="auto" w:fill="auto"/>
            <w:vAlign w:val="center"/>
          </w:tcPr>
          <w:p w14:paraId="7124F90D">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vAlign w:val="center"/>
          </w:tcPr>
          <w:p w14:paraId="365B8EE1">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0F6FDC41">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6B761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noWrap/>
            <w:vAlign w:val="center"/>
          </w:tcPr>
          <w:p w14:paraId="486C3E1B">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9</w:t>
            </w:r>
          </w:p>
        </w:tc>
        <w:tc>
          <w:tcPr>
            <w:tcW w:w="551" w:type="pct"/>
            <w:shd w:val="clear" w:color="auto" w:fill="auto"/>
            <w:vAlign w:val="center"/>
          </w:tcPr>
          <w:p w14:paraId="3B43146E">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电源管理器</w:t>
            </w:r>
          </w:p>
        </w:tc>
        <w:tc>
          <w:tcPr>
            <w:tcW w:w="2953" w:type="pct"/>
            <w:shd w:val="clear" w:color="auto" w:fill="auto"/>
            <w:vAlign w:val="center"/>
          </w:tcPr>
          <w:p w14:paraId="59AB8174">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 xml:space="preserve">1）向录播视频系统、音频系统、显示系统提供统一的、至少八路电源管理； </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2）支持对录播系统控制功能，实现通过录制面板一键启动录播系统相关设备的电源；</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3）支持录播系统的远程集中统一控制，实现录播主机远程开关机；</w:t>
            </w:r>
          </w:p>
        </w:tc>
        <w:tc>
          <w:tcPr>
            <w:tcW w:w="350" w:type="pct"/>
            <w:shd w:val="clear" w:color="auto" w:fill="auto"/>
            <w:vAlign w:val="center"/>
          </w:tcPr>
          <w:p w14:paraId="3E15D519">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391" w:type="pct"/>
            <w:shd w:val="clear" w:color="auto" w:fill="auto"/>
            <w:vAlign w:val="center"/>
          </w:tcPr>
          <w:p w14:paraId="4B489032">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台</w:t>
            </w:r>
          </w:p>
        </w:tc>
        <w:tc>
          <w:tcPr>
            <w:tcW w:w="435" w:type="pct"/>
            <w:shd w:val="clear" w:color="auto" w:fill="auto"/>
            <w:noWrap/>
            <w:vAlign w:val="center"/>
          </w:tcPr>
          <w:p w14:paraId="70984267">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01F90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noWrap/>
            <w:vAlign w:val="center"/>
          </w:tcPr>
          <w:p w14:paraId="17A9B174">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10</w:t>
            </w:r>
          </w:p>
        </w:tc>
        <w:tc>
          <w:tcPr>
            <w:tcW w:w="551" w:type="pct"/>
            <w:shd w:val="clear" w:color="auto" w:fill="auto"/>
            <w:vAlign w:val="center"/>
          </w:tcPr>
          <w:p w14:paraId="6E5D0AD4">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导播控制台</w:t>
            </w:r>
          </w:p>
        </w:tc>
        <w:tc>
          <w:tcPr>
            <w:tcW w:w="2953" w:type="pct"/>
            <w:shd w:val="clear" w:color="auto" w:fill="auto"/>
            <w:vAlign w:val="center"/>
          </w:tcPr>
          <w:p w14:paraId="44B34DAB">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1）支持远程操作录播主机的开关机；</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2）支持不少于5种特技效果；</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3）支持不少于6布局选择；6路视频直播切换；6个预置位；6个视频预选功能；</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4）支持云台控制功能：上下左右及变焦功能；</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5）支持录制、暂停、停止功能；</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6）支持全自动录播模式和手动录播模式。</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7）支持通过USB线缆连接录播主机；</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8）安装导播控制台软件，并设置录播地址；</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9）导播界面与导播控制台按键/状态同步对应；</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10）导播控制台关机按键为控制录播系统软关机/唤醒功能。</w:t>
            </w:r>
          </w:p>
        </w:tc>
        <w:tc>
          <w:tcPr>
            <w:tcW w:w="350" w:type="pct"/>
            <w:shd w:val="clear" w:color="auto" w:fill="auto"/>
            <w:vAlign w:val="center"/>
          </w:tcPr>
          <w:p w14:paraId="4F34CEEF">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391" w:type="pct"/>
            <w:shd w:val="clear" w:color="auto" w:fill="auto"/>
            <w:vAlign w:val="center"/>
          </w:tcPr>
          <w:p w14:paraId="7882C9C4">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台</w:t>
            </w:r>
          </w:p>
        </w:tc>
        <w:tc>
          <w:tcPr>
            <w:tcW w:w="435" w:type="pct"/>
            <w:shd w:val="clear" w:color="auto" w:fill="auto"/>
            <w:noWrap/>
            <w:vAlign w:val="center"/>
          </w:tcPr>
          <w:p w14:paraId="34128D72">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5F780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noWrap/>
            <w:vAlign w:val="center"/>
          </w:tcPr>
          <w:p w14:paraId="7D4294BF">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11</w:t>
            </w:r>
          </w:p>
        </w:tc>
        <w:tc>
          <w:tcPr>
            <w:tcW w:w="551" w:type="pct"/>
            <w:shd w:val="clear" w:color="auto" w:fill="auto"/>
            <w:vAlign w:val="center"/>
          </w:tcPr>
          <w:p w14:paraId="25C992E5">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视频资源管理平台</w:t>
            </w:r>
          </w:p>
        </w:tc>
        <w:tc>
          <w:tcPr>
            <w:tcW w:w="2953" w:type="pct"/>
            <w:shd w:val="clear" w:color="auto" w:fill="auto"/>
            <w:vAlign w:val="center"/>
          </w:tcPr>
          <w:p w14:paraId="33384018">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（1）资源管理模块</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1)资源管理应用平台可任意对接所有录播教室，实现录播资源自动发布及录播教室直播收看。</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2)平台支持用户远程在线预约录播教室，可实现单个或批量预约；可直接导入课表实现预约；支持预约信息的申请和审核管理。</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3)平台支持视频资源多维度分类查看，如按出版社、年级、学科等分类管理，并根据关注度、用户推荐度和点击热度的不同在页面显眼处自动生成相应的列表。</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4)用户可灵活创建各种视频专辑收藏及管理视频资源。</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5)支持视频下载、上传、编辑、管理。可实现所有主流视频文件格式自动转码，包括asf、mpg、rmvb、mov、rm、avi、3gp、wmv、flv、mp4等，可设置下载及观看权限。</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6)支持虚拟切片技术，教学视频自动划分知识点和教学环节并以列表形式展示，且不破坏视频原来的完整性。可根据学习进度对重点内容任意切换或循环播放。该功能应能同时支持PC、手机和平板用户端。提供功能界面截图，并加盖厂家公章。</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7)支持对手动上传的视频手动添加“知识点”和“教学环节”，并提供“知识点”和“教学环节”修改工具。。</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8)提供精确搜索功能，用户可直接在资源管理平台的页面搜索框输入关键字，对某个视频标题、知识点和教学环节进行搜索。</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9)平台支持一键置灰功能，恰当的肤色更能切合特殊日的氛围。</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（2）直播点播模块</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1)用户在点播视频或者观看课堂直播</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2)支持直播权限及密码设置，让直播信息更加安全。</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3)应支持教师对录制的视频上传相应的附件，支持word、excel、ppt、PDF、jpeg等格式。用户在点播视频时可查询并下载相关附件，同时无需下载附件即可边在线浏览附件内容边观看视频。</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4)提供视频直播、点播转发分享功能，支持目前主流的二维码分享功能，其中点播支持支持一键转发分享至新浪微博、QQ、微信等社交平台中。</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（3）微课模块</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1)支持自定义微课时长限制，在规定时长内的视频上传平台后自动归类到微课广场当中。</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2)微课视频支持按学段、学科进行归类查询。</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3)微课广场中的微课视频支持归类管理，支持按点击热度、最新更新置顶归类。支持视频点播与评论。</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（5）移动应用服务</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1)资源应用与新媒体发布平台应支持移动设备访问，提供自主研发的平台移动端APP，APP应通过相关标准审核，在AppStore可直接搜索下载，方便教师和学生使用。</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2)手机端平台APP支持IOS和Android系统。</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3)支持通过APP具有老师、家长、学生角色，老师可创建班级并绑定班级学生；家长可绑定与学生关系，打造学校和家庭协同交流平台。</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APP至少具备五种功能模块：通知、作业、学生成绩、家校圈、视频点播直播：长通过APP查看子女的历次考试成绩，并查看子女所在班级平均分，子女历次成绩的变化以曲线图形式展示；支持建立班级群，班级内家长和老师、学生可实现在线文字、图片沟通。提供APP软件界面截图，并加盖厂家公章。</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5)支持通过APP进行在线请假、活动组织功能。</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6)支持通过APP点播学校资源平台的教学视频、观看录播直播节目。移动端APP支持直接播放视频，无需调用其它播放器直播。</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（6）其他要求</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1)为了保证系统兼容性，要求平台与录播主机为同一品牌，并提供教学视频资源管理系统相关自主知识产权证明文件复印件，并加盖厂家公章。"</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（7）其他</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1）硬件架构：嵌入式架构设计，出厂内置平台软件</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2）系统：嵌入式Linux系统</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 xml:space="preserve">3）存储容量：2TB </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4）内存：不小于2G</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5）支持流媒体转发，单台支持不少于200点转发直播。</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6）服务器与视频资源管理平台为同一品牌。</w:t>
            </w:r>
          </w:p>
        </w:tc>
        <w:tc>
          <w:tcPr>
            <w:tcW w:w="350" w:type="pct"/>
            <w:shd w:val="clear" w:color="auto" w:fill="auto"/>
            <w:vAlign w:val="center"/>
          </w:tcPr>
          <w:p w14:paraId="058EDAFD">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vAlign w:val="center"/>
          </w:tcPr>
          <w:p w14:paraId="182C4EA9">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6E1BB04D">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66B1F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noWrap/>
            <w:vAlign w:val="center"/>
          </w:tcPr>
          <w:p w14:paraId="52619D63">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12</w:t>
            </w:r>
          </w:p>
        </w:tc>
        <w:tc>
          <w:tcPr>
            <w:tcW w:w="551" w:type="pct"/>
            <w:shd w:val="clear" w:color="auto" w:fill="auto"/>
            <w:vAlign w:val="center"/>
          </w:tcPr>
          <w:p w14:paraId="2DF6AC20">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智能课堂行为分析软件</w:t>
            </w:r>
          </w:p>
        </w:tc>
        <w:tc>
          <w:tcPr>
            <w:tcW w:w="2953" w:type="pct"/>
            <w:shd w:val="clear" w:color="auto" w:fill="auto"/>
            <w:vAlign w:val="center"/>
          </w:tcPr>
          <w:p w14:paraId="355CD645">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一、课堂教情分析要求</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1.教学行为分析：支持“教师讲授”、“指导学生”、“学生展示汇报”、“教师板书”、“师生互动”、“学生讨论”、“生生互动”、“课件展示”和“教学资源展示”多种维度的教学行为识别。</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2.展示模型：支持以秒为颗粒度对各种类型的教学行为进行基于AI功能的全自动伴随式分析，以课堂时间为轴线形成课堂教学评估数据，并以图表形式直观展示课堂每个时刻的行为类型和持续时长。</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3.互动指数：支持生成师生互动指数热力图，通过互动指数展示一节课堂种师生互动情况。</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4.支持弗兰德斯教学行为分析法（S-T）：要求支持根据图像识别全自动跟踪数据生成S-T曲线图，帮助用户进行教学技能提升和评估。</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5.RT-CH教学模型：引入RT-CH教学分析模型，系统自动生成矩阵图，并判定授课类型属于对话型、练习型、混合型、讲授型。</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6.教师轨迹分析：支持统计整个课节时间内授课教师的授课行动轨迹并形成教师轨迹热力分布图，要求轨迹图以教室横纵坐标形式直观呈现教师授课过程中的授课位置数据。</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7.教师巡视分析：要求支持教师巡视情况统计并形成教师巡视分析图，分析数据应包括教师课堂巡视次数、时长、巡视区域时长占比等数据。</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二、课堂学生分析要求</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1.班级出勤率统计：以班级维度进行班级出勤人数统计，包括应出席人数、实际出席人数、迟到人数、早退人数等。</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2.学生专注度分析：支持以课堂时间为轴线，对各个时刻学生的抬头率进行分析统计，形成学生观课专注度曲线变化数据统计。</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3.支持学生课堂动作分析，包括趴桌子、举手、站立等肢体语言，可对各类动作进行实时检测。以课堂时间为轴线通过图表形象展示课堂中每个时刻各类动作的学生人数。</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4.支持对整节课堂实现学生动作的统计分析，通过图表展示整节课堂每种学生动作的峰值时刻、峰值占比和峰值人数，点击该峰值时刻即跳转到当前时刻查看详细数据。</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5.支持学生课堂表情分析，包括高兴、惊讶、生气、难过、疑惑、害怕等表情。并支持对各类表情进行实时检测，以课堂时间为轴线通过图表形象展示课堂中每个时刻各类表情的学生人数。</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6.支持对整节课堂实现学生表情的统计分析，通过图表展示整节课堂每种学生表情的峰值时刻、峰值占比和峰值人数，点击该峰值时刻即跳转到当前时刻查看详细数据。</w:t>
            </w:r>
          </w:p>
        </w:tc>
        <w:tc>
          <w:tcPr>
            <w:tcW w:w="350" w:type="pct"/>
            <w:shd w:val="clear" w:color="auto" w:fill="auto"/>
            <w:noWrap/>
            <w:vAlign w:val="center"/>
          </w:tcPr>
          <w:p w14:paraId="2035E17C">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vAlign w:val="center"/>
          </w:tcPr>
          <w:p w14:paraId="35DC78B8">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点</w:t>
            </w:r>
          </w:p>
        </w:tc>
        <w:tc>
          <w:tcPr>
            <w:tcW w:w="435" w:type="pct"/>
            <w:shd w:val="clear" w:color="auto" w:fill="auto"/>
            <w:noWrap/>
            <w:vAlign w:val="center"/>
          </w:tcPr>
          <w:p w14:paraId="3F16933C">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572A8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noWrap/>
            <w:vAlign w:val="center"/>
          </w:tcPr>
          <w:p w14:paraId="78B610E3">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13</w:t>
            </w:r>
          </w:p>
        </w:tc>
        <w:tc>
          <w:tcPr>
            <w:tcW w:w="551" w:type="pct"/>
            <w:shd w:val="clear" w:color="auto" w:fill="auto"/>
            <w:vAlign w:val="center"/>
          </w:tcPr>
          <w:p w14:paraId="6ACFAD01">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智能语音分析软件</w:t>
            </w:r>
          </w:p>
        </w:tc>
        <w:tc>
          <w:tcPr>
            <w:tcW w:w="2953" w:type="pct"/>
            <w:shd w:val="clear" w:color="auto" w:fill="auto"/>
            <w:vAlign w:val="center"/>
          </w:tcPr>
          <w:p w14:paraId="755F2054">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1.教师提问情况分析：支持基于课堂语音识别能力进行教师课堂提问行为分析，从提问次数与高频时间段两个核心维度进行数据统计，实现课堂提问情况的清晰回顾。</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2.教师语速分析：支持通过语音识别能力进行教师课堂授课语速分析，呈现数据需包括教师课堂说话词数以及平均语速。</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3.课堂语音转写：要求基于语音语义识别完成课堂音频的文字转换，实现课堂教学过程语音全纪录，要求平台上可输出整节课的文字字幕。实现字幕与视频进度关联，通过点击字幕同步播放对应进度的视频。</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4.课堂关键词分析：支持通过进行课堂语音识别，抓取统计提前设置好的课堂知识点关键词，统计各关键词出现的次数频率，并在课堂时间轴上标注出现的时间点。</w:t>
            </w:r>
          </w:p>
        </w:tc>
        <w:tc>
          <w:tcPr>
            <w:tcW w:w="350" w:type="pct"/>
            <w:shd w:val="clear" w:color="auto" w:fill="auto"/>
            <w:noWrap/>
            <w:vAlign w:val="center"/>
          </w:tcPr>
          <w:p w14:paraId="3541DEBE">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vAlign w:val="center"/>
          </w:tcPr>
          <w:p w14:paraId="1C965FAA">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点</w:t>
            </w:r>
          </w:p>
        </w:tc>
        <w:tc>
          <w:tcPr>
            <w:tcW w:w="435" w:type="pct"/>
            <w:shd w:val="clear" w:color="auto" w:fill="auto"/>
            <w:noWrap/>
            <w:vAlign w:val="center"/>
          </w:tcPr>
          <w:p w14:paraId="00CA412E">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0E49C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noWrap/>
            <w:vAlign w:val="center"/>
          </w:tcPr>
          <w:p w14:paraId="443D77E4">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14</w:t>
            </w:r>
          </w:p>
        </w:tc>
        <w:tc>
          <w:tcPr>
            <w:tcW w:w="551" w:type="pct"/>
            <w:shd w:val="clear" w:color="auto" w:fill="auto"/>
            <w:vAlign w:val="center"/>
          </w:tcPr>
          <w:p w14:paraId="011874CB">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功放</w:t>
            </w:r>
          </w:p>
        </w:tc>
        <w:tc>
          <w:tcPr>
            <w:tcW w:w="2953" w:type="pct"/>
            <w:shd w:val="clear" w:color="auto" w:fill="auto"/>
            <w:vAlign w:val="center"/>
          </w:tcPr>
          <w:p w14:paraId="42E735E0">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功能特点</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1.采用H类电路设计，具有高效率的功率转换和高动态表现</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2.全进口环牛电源变压器，10000UF超大电解电容，保证连续的功率输出和高负载特性</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3.系统采用计算机模拟仿真设计，通道输入输出之间零干扰</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4.电源采用独立屏蔽方式，对信号的干扰减到最低，有更高的用电安全性</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5.独特的在线负载阻值检测，支持检测分析系统温度以调整输出累积功率</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6.提供立体声、桥接、并联三种工作模式可选</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7.XLR平衡接头输入和输出，提供纽崔克和接线柱两种扬声器连接方式</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8.前面板带有精确的音量旋钮控制，并具有故障.削峰.信号和电源指示灯</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9.配备延时启动系统，有效避免开机浪涌，保护音箱不受冲击而损坏</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10.第五代散热架构，机器内部拥有从前到后的导风系统，风机会随机内的温度自动升高而加速排热</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11.提供全功能保护，包括直流保护、过载保护、短路保护、过热保护、软启动、失真限幅输出等</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技术参数</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立体声输出：2x400W/8Ω2x700W/4Ω</w:t>
            </w:r>
          </w:p>
        </w:tc>
        <w:tc>
          <w:tcPr>
            <w:tcW w:w="350" w:type="pct"/>
            <w:shd w:val="clear" w:color="auto" w:fill="auto"/>
            <w:vAlign w:val="center"/>
          </w:tcPr>
          <w:p w14:paraId="4AF9985A">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vAlign w:val="center"/>
          </w:tcPr>
          <w:p w14:paraId="61C0A500">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台</w:t>
            </w:r>
          </w:p>
        </w:tc>
        <w:tc>
          <w:tcPr>
            <w:tcW w:w="435" w:type="pct"/>
            <w:shd w:val="clear" w:color="auto" w:fill="auto"/>
            <w:noWrap/>
            <w:vAlign w:val="center"/>
          </w:tcPr>
          <w:p w14:paraId="632299B9">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53896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noWrap/>
            <w:vAlign w:val="center"/>
          </w:tcPr>
          <w:p w14:paraId="29A2135A">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15</w:t>
            </w:r>
          </w:p>
        </w:tc>
        <w:tc>
          <w:tcPr>
            <w:tcW w:w="551" w:type="pct"/>
            <w:shd w:val="clear" w:color="auto" w:fill="auto"/>
            <w:vAlign w:val="center"/>
          </w:tcPr>
          <w:p w14:paraId="6951DC99">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高保真扬声器</w:t>
            </w:r>
          </w:p>
        </w:tc>
        <w:tc>
          <w:tcPr>
            <w:tcW w:w="2953" w:type="pct"/>
            <w:shd w:val="clear" w:color="auto" w:fill="auto"/>
            <w:vAlign w:val="center"/>
          </w:tcPr>
          <w:p w14:paraId="1F4F4E3B">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功能特点</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1.5寸无源全频高保真音箱。</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2.采用优质MDF板材，1.0mm高强钢网</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3.两个 M8 吊点，标配1个U 型音箱壁架</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4.H90°×V90°超广角辐射角度，适用于近距离大范围扩声环境</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 xml:space="preserve">5.采用背部线夹式接线柱，隐藏式安装，美观大气 </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6.箱体表面喷黑色耐磨树脂晒点油漆</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技术参数</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驱动器：5"同轴单元×1</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频率响应：70Hz-20KHz(-10dB)</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分频模式：内置分频</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灵敏度：（1W/1M）：92dB</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 xml:space="preserve">最大声压级：105dB </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指向性：90°（H）×90°（V）</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功率：50W</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阻抗：4Ω</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单只重量：3kg</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体积（高宽深）：300mm×200mm×165mm</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箱体材料：木质箱体</w:t>
            </w:r>
          </w:p>
        </w:tc>
        <w:tc>
          <w:tcPr>
            <w:tcW w:w="350" w:type="pct"/>
            <w:shd w:val="clear" w:color="auto" w:fill="auto"/>
            <w:vAlign w:val="center"/>
          </w:tcPr>
          <w:p w14:paraId="53FC4EF3">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4</w:t>
            </w:r>
          </w:p>
        </w:tc>
        <w:tc>
          <w:tcPr>
            <w:tcW w:w="391" w:type="pct"/>
            <w:shd w:val="clear" w:color="auto" w:fill="auto"/>
            <w:vAlign w:val="center"/>
          </w:tcPr>
          <w:p w14:paraId="64338123">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只</w:t>
            </w:r>
          </w:p>
        </w:tc>
        <w:tc>
          <w:tcPr>
            <w:tcW w:w="435" w:type="pct"/>
            <w:shd w:val="clear" w:color="auto" w:fill="auto"/>
            <w:noWrap/>
            <w:vAlign w:val="center"/>
          </w:tcPr>
          <w:p w14:paraId="72A5A521">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1D208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noWrap/>
            <w:vAlign w:val="center"/>
          </w:tcPr>
          <w:p w14:paraId="66F8AC25">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16</w:t>
            </w:r>
          </w:p>
        </w:tc>
        <w:tc>
          <w:tcPr>
            <w:tcW w:w="551" w:type="pct"/>
            <w:shd w:val="clear" w:color="auto" w:fill="auto"/>
            <w:vAlign w:val="center"/>
          </w:tcPr>
          <w:p w14:paraId="0ED58015">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8路专业调音台</w:t>
            </w:r>
          </w:p>
        </w:tc>
        <w:tc>
          <w:tcPr>
            <w:tcW w:w="2953" w:type="pct"/>
            <w:shd w:val="clear" w:color="auto" w:fill="auto"/>
            <w:vAlign w:val="center"/>
          </w:tcPr>
          <w:p w14:paraId="0336BBAA">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功能特点</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1.6路两用话筒输入，1组（2路）立体声输入</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2.具有数字显示屏，内置99种DSP效果</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3.1组主输出，1路效果输出</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4.输入每路具有三段可调</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5.带48V幻像供电</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6.带录音功能的多功能MP3播放器</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7.总输出7段均衡可调</w:t>
            </w:r>
          </w:p>
        </w:tc>
        <w:tc>
          <w:tcPr>
            <w:tcW w:w="350" w:type="pct"/>
            <w:shd w:val="clear" w:color="auto" w:fill="auto"/>
            <w:vAlign w:val="center"/>
          </w:tcPr>
          <w:p w14:paraId="30B8E2A4">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vAlign w:val="center"/>
          </w:tcPr>
          <w:p w14:paraId="0996EACA">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台</w:t>
            </w:r>
          </w:p>
        </w:tc>
        <w:tc>
          <w:tcPr>
            <w:tcW w:w="435" w:type="pct"/>
            <w:shd w:val="clear" w:color="auto" w:fill="auto"/>
            <w:noWrap/>
            <w:vAlign w:val="center"/>
          </w:tcPr>
          <w:p w14:paraId="2C256126">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5B5B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noWrap/>
            <w:vAlign w:val="center"/>
          </w:tcPr>
          <w:p w14:paraId="69566C78">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17</w:t>
            </w:r>
          </w:p>
        </w:tc>
        <w:tc>
          <w:tcPr>
            <w:tcW w:w="551" w:type="pct"/>
            <w:shd w:val="clear" w:color="auto" w:fill="auto"/>
            <w:vAlign w:val="center"/>
          </w:tcPr>
          <w:p w14:paraId="52213337">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反听音箱</w:t>
            </w:r>
          </w:p>
        </w:tc>
        <w:tc>
          <w:tcPr>
            <w:tcW w:w="2953" w:type="pct"/>
            <w:shd w:val="clear" w:color="auto" w:fill="auto"/>
            <w:vAlign w:val="center"/>
          </w:tcPr>
          <w:p w14:paraId="499DF8A6">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反听音箱</w:t>
            </w:r>
          </w:p>
        </w:tc>
        <w:tc>
          <w:tcPr>
            <w:tcW w:w="350" w:type="pct"/>
            <w:shd w:val="clear" w:color="auto" w:fill="auto"/>
            <w:vAlign w:val="center"/>
          </w:tcPr>
          <w:p w14:paraId="535B97F8">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vAlign w:val="center"/>
          </w:tcPr>
          <w:p w14:paraId="24212312">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台</w:t>
            </w:r>
          </w:p>
        </w:tc>
        <w:tc>
          <w:tcPr>
            <w:tcW w:w="435" w:type="pct"/>
            <w:shd w:val="clear" w:color="auto" w:fill="auto"/>
            <w:noWrap/>
            <w:vAlign w:val="center"/>
          </w:tcPr>
          <w:p w14:paraId="76B94D31">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6E76B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noWrap/>
            <w:vAlign w:val="center"/>
          </w:tcPr>
          <w:p w14:paraId="47219259">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18</w:t>
            </w:r>
          </w:p>
        </w:tc>
        <w:tc>
          <w:tcPr>
            <w:tcW w:w="551" w:type="pct"/>
            <w:shd w:val="clear" w:color="auto" w:fill="auto"/>
            <w:vAlign w:val="center"/>
          </w:tcPr>
          <w:p w14:paraId="5A222D44">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讲台</w:t>
            </w:r>
          </w:p>
        </w:tc>
        <w:tc>
          <w:tcPr>
            <w:tcW w:w="2953" w:type="pct"/>
            <w:shd w:val="clear" w:color="auto" w:fill="auto"/>
            <w:noWrap/>
            <w:vAlign w:val="center"/>
          </w:tcPr>
          <w:p w14:paraId="0FBC3BBF">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简约升降可移动教师桌子 白色面板+白架</w:t>
            </w:r>
          </w:p>
        </w:tc>
        <w:tc>
          <w:tcPr>
            <w:tcW w:w="350" w:type="pct"/>
            <w:shd w:val="clear" w:color="auto" w:fill="auto"/>
            <w:vAlign w:val="center"/>
          </w:tcPr>
          <w:p w14:paraId="1FBD6479">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vAlign w:val="center"/>
          </w:tcPr>
          <w:p w14:paraId="711E9D5F">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张</w:t>
            </w:r>
          </w:p>
        </w:tc>
        <w:tc>
          <w:tcPr>
            <w:tcW w:w="435" w:type="pct"/>
            <w:shd w:val="clear" w:color="auto" w:fill="auto"/>
            <w:noWrap/>
            <w:vAlign w:val="center"/>
          </w:tcPr>
          <w:p w14:paraId="4073E8F7">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59785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noWrap/>
            <w:vAlign w:val="center"/>
          </w:tcPr>
          <w:p w14:paraId="1BEF4445">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19</w:t>
            </w:r>
          </w:p>
        </w:tc>
        <w:tc>
          <w:tcPr>
            <w:tcW w:w="551" w:type="pct"/>
            <w:shd w:val="clear" w:color="auto" w:fill="auto"/>
            <w:vAlign w:val="center"/>
          </w:tcPr>
          <w:p w14:paraId="76281405">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信发器</w:t>
            </w:r>
          </w:p>
        </w:tc>
        <w:tc>
          <w:tcPr>
            <w:tcW w:w="2953" w:type="pct"/>
            <w:shd w:val="clear" w:color="auto" w:fill="auto"/>
            <w:vAlign w:val="center"/>
          </w:tcPr>
          <w:p w14:paraId="2E3B6162">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65英寸 120Hz 2+32GB 4K超高清。</w:t>
            </w:r>
          </w:p>
        </w:tc>
        <w:tc>
          <w:tcPr>
            <w:tcW w:w="350" w:type="pct"/>
            <w:shd w:val="clear" w:color="auto" w:fill="auto"/>
            <w:vAlign w:val="center"/>
          </w:tcPr>
          <w:p w14:paraId="5BD2B866">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vAlign w:val="center"/>
          </w:tcPr>
          <w:p w14:paraId="568A20E6">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台</w:t>
            </w:r>
          </w:p>
        </w:tc>
        <w:tc>
          <w:tcPr>
            <w:tcW w:w="435" w:type="pct"/>
            <w:shd w:val="clear" w:color="auto" w:fill="auto"/>
            <w:noWrap/>
            <w:vAlign w:val="center"/>
          </w:tcPr>
          <w:p w14:paraId="4172FECF">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505B7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noWrap/>
            <w:vAlign w:val="center"/>
          </w:tcPr>
          <w:p w14:paraId="1AB11520">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20</w:t>
            </w:r>
          </w:p>
        </w:tc>
        <w:tc>
          <w:tcPr>
            <w:tcW w:w="551" w:type="pct"/>
            <w:shd w:val="clear" w:color="auto" w:fill="auto"/>
            <w:vAlign w:val="center"/>
          </w:tcPr>
          <w:p w14:paraId="48132DD6">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移动支架</w:t>
            </w:r>
          </w:p>
        </w:tc>
        <w:tc>
          <w:tcPr>
            <w:tcW w:w="2953" w:type="pct"/>
            <w:shd w:val="clear" w:color="auto" w:fill="auto"/>
            <w:noWrap/>
            <w:vAlign w:val="center"/>
          </w:tcPr>
          <w:p w14:paraId="48B46687">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(49-75') 电视推车 艺术电视支架</w:t>
            </w:r>
          </w:p>
        </w:tc>
        <w:tc>
          <w:tcPr>
            <w:tcW w:w="350" w:type="pct"/>
            <w:shd w:val="clear" w:color="auto" w:fill="auto"/>
            <w:vAlign w:val="center"/>
          </w:tcPr>
          <w:p w14:paraId="72C5BEBF">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vAlign w:val="center"/>
          </w:tcPr>
          <w:p w14:paraId="126A0C94">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44563C03">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5DDC8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noWrap/>
            <w:vAlign w:val="center"/>
          </w:tcPr>
          <w:p w14:paraId="0F0D4987">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21</w:t>
            </w:r>
          </w:p>
        </w:tc>
        <w:tc>
          <w:tcPr>
            <w:tcW w:w="551" w:type="pct"/>
            <w:shd w:val="clear" w:color="auto" w:fill="auto"/>
            <w:vAlign w:val="center"/>
          </w:tcPr>
          <w:p w14:paraId="1A406765">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设备操作台</w:t>
            </w:r>
          </w:p>
        </w:tc>
        <w:tc>
          <w:tcPr>
            <w:tcW w:w="2953" w:type="pct"/>
            <w:shd w:val="clear" w:color="auto" w:fill="auto"/>
            <w:vAlign w:val="center"/>
          </w:tcPr>
          <w:p w14:paraId="4C6C3719">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钢木结构，具有合理的走线槽、全尺寸键盘抽屉 ，面板为耐滑、耐磨，乳白色，带键盘抽,带15U机柜，带通风U板1200*700*800；</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能够容纳录播所有设备；</w:t>
            </w:r>
          </w:p>
        </w:tc>
        <w:tc>
          <w:tcPr>
            <w:tcW w:w="350" w:type="pct"/>
            <w:shd w:val="clear" w:color="auto" w:fill="auto"/>
            <w:vAlign w:val="center"/>
          </w:tcPr>
          <w:p w14:paraId="6D8A8844">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vAlign w:val="center"/>
          </w:tcPr>
          <w:p w14:paraId="3787A7F1">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张</w:t>
            </w:r>
          </w:p>
        </w:tc>
        <w:tc>
          <w:tcPr>
            <w:tcW w:w="435" w:type="pct"/>
            <w:shd w:val="clear" w:color="auto" w:fill="auto"/>
            <w:noWrap/>
            <w:vAlign w:val="center"/>
          </w:tcPr>
          <w:p w14:paraId="0AA455BA">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50064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noWrap/>
            <w:vAlign w:val="center"/>
          </w:tcPr>
          <w:p w14:paraId="597580B6">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22</w:t>
            </w:r>
          </w:p>
        </w:tc>
        <w:tc>
          <w:tcPr>
            <w:tcW w:w="551" w:type="pct"/>
            <w:shd w:val="clear" w:color="auto" w:fill="auto"/>
            <w:vAlign w:val="center"/>
          </w:tcPr>
          <w:p w14:paraId="1B8ED8B3">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吸音板安装</w:t>
            </w:r>
          </w:p>
        </w:tc>
        <w:tc>
          <w:tcPr>
            <w:tcW w:w="2953" w:type="pct"/>
            <w:shd w:val="clear" w:color="auto" w:fill="auto"/>
            <w:vAlign w:val="center"/>
          </w:tcPr>
          <w:p w14:paraId="014C0995">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吸音板安装，四周墙体采用采用浅色新型环保的聚酯吸音材料，窗帘等宜选择色淡遮光的，教室内的布局尽量简洁。</w:t>
            </w:r>
          </w:p>
        </w:tc>
        <w:tc>
          <w:tcPr>
            <w:tcW w:w="350" w:type="pct"/>
            <w:shd w:val="clear" w:color="auto" w:fill="auto"/>
            <w:noWrap/>
            <w:vAlign w:val="center"/>
          </w:tcPr>
          <w:p w14:paraId="08E8DF2B">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140</w:t>
            </w:r>
          </w:p>
        </w:tc>
        <w:tc>
          <w:tcPr>
            <w:tcW w:w="391" w:type="pct"/>
            <w:shd w:val="clear" w:color="auto" w:fill="auto"/>
            <w:noWrap/>
            <w:vAlign w:val="center"/>
          </w:tcPr>
          <w:p w14:paraId="1E6BD534">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平方米</w:t>
            </w:r>
          </w:p>
        </w:tc>
        <w:tc>
          <w:tcPr>
            <w:tcW w:w="435" w:type="pct"/>
            <w:shd w:val="clear" w:color="auto" w:fill="auto"/>
            <w:noWrap/>
            <w:vAlign w:val="center"/>
          </w:tcPr>
          <w:p w14:paraId="50F53C12">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7968D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noWrap/>
            <w:vAlign w:val="center"/>
          </w:tcPr>
          <w:p w14:paraId="3E77683B">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23</w:t>
            </w:r>
          </w:p>
        </w:tc>
        <w:tc>
          <w:tcPr>
            <w:tcW w:w="551" w:type="pct"/>
            <w:shd w:val="clear" w:color="auto" w:fill="auto"/>
            <w:vAlign w:val="center"/>
          </w:tcPr>
          <w:p w14:paraId="34B052FF">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玻璃观察窗</w:t>
            </w:r>
          </w:p>
        </w:tc>
        <w:tc>
          <w:tcPr>
            <w:tcW w:w="2953" w:type="pct"/>
            <w:shd w:val="clear" w:color="auto" w:fill="auto"/>
            <w:vAlign w:val="center"/>
          </w:tcPr>
          <w:p w14:paraId="411D6F99">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双层单向玻璃观察窗（3M*1M），拆除墙体，安装隔音棉，与龙骨石膏板墙面。</w:t>
            </w:r>
          </w:p>
        </w:tc>
        <w:tc>
          <w:tcPr>
            <w:tcW w:w="350" w:type="pct"/>
            <w:shd w:val="clear" w:color="auto" w:fill="auto"/>
            <w:noWrap/>
            <w:vAlign w:val="center"/>
          </w:tcPr>
          <w:p w14:paraId="3A63E6F4">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3765E11D">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项</w:t>
            </w:r>
          </w:p>
        </w:tc>
        <w:tc>
          <w:tcPr>
            <w:tcW w:w="435" w:type="pct"/>
            <w:shd w:val="clear" w:color="auto" w:fill="auto"/>
            <w:noWrap/>
            <w:vAlign w:val="center"/>
          </w:tcPr>
          <w:p w14:paraId="7EF7749D">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0C39A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noWrap/>
            <w:vAlign w:val="center"/>
          </w:tcPr>
          <w:p w14:paraId="4375A9A9">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24</w:t>
            </w:r>
          </w:p>
        </w:tc>
        <w:tc>
          <w:tcPr>
            <w:tcW w:w="551" w:type="pct"/>
            <w:shd w:val="clear" w:color="auto" w:fill="auto"/>
            <w:vAlign w:val="center"/>
          </w:tcPr>
          <w:p w14:paraId="7E6FEC10">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安装人工材料费</w:t>
            </w:r>
          </w:p>
        </w:tc>
        <w:tc>
          <w:tcPr>
            <w:tcW w:w="2953" w:type="pct"/>
            <w:shd w:val="clear" w:color="auto" w:fill="auto"/>
            <w:vAlign w:val="center"/>
          </w:tcPr>
          <w:p w14:paraId="37359030">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安装、拆除及人工材料费、排管与安装信息点位、遮光窗帘安装；教室内部装修选用环保型材料。甲醛、苯、氡等有害气体物质达到环保规范要求。</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安全防护：</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1.供电系统加装漏电保护装置；</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2.接地系统、防雷电系统安全、可靠，符合GB 50343－2004《建筑物电子信息系统防雷技术规范》、GA267-2000《国家计算机系统雷电电磁脉冲安全防护规范》等要求；</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3.要有防火（符合消防要求）、防水、防盗措施。</w:t>
            </w:r>
          </w:p>
        </w:tc>
        <w:tc>
          <w:tcPr>
            <w:tcW w:w="350" w:type="pct"/>
            <w:shd w:val="clear" w:color="auto" w:fill="auto"/>
            <w:noWrap/>
            <w:vAlign w:val="center"/>
          </w:tcPr>
          <w:p w14:paraId="5D7BE6F3">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79589E2D">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项</w:t>
            </w:r>
          </w:p>
        </w:tc>
        <w:tc>
          <w:tcPr>
            <w:tcW w:w="435" w:type="pct"/>
            <w:shd w:val="clear" w:color="auto" w:fill="auto"/>
            <w:noWrap/>
            <w:vAlign w:val="center"/>
          </w:tcPr>
          <w:p w14:paraId="2A6BB070">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2641A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6"/>
            <w:shd w:val="clear" w:color="auto" w:fill="auto"/>
            <w:noWrap/>
            <w:vAlign w:val="center"/>
          </w:tcPr>
          <w:p w14:paraId="76F32F87">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二、校园电视台</w:t>
            </w:r>
          </w:p>
        </w:tc>
      </w:tr>
      <w:tr w14:paraId="06DD5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6549F51C">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551" w:type="pct"/>
            <w:shd w:val="clear" w:color="auto" w:fill="auto"/>
            <w:vAlign w:val="center"/>
          </w:tcPr>
          <w:p w14:paraId="12B3D5C0">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★虚拟演播室主机</w:t>
            </w:r>
          </w:p>
        </w:tc>
        <w:tc>
          <w:tcPr>
            <w:tcW w:w="2953" w:type="pct"/>
            <w:shd w:val="clear" w:color="auto" w:fill="auto"/>
            <w:vAlign w:val="center"/>
          </w:tcPr>
          <w:p w14:paraId="53B4F05F">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1.1U标准机架式外观设计，便于机柜安装。设备前置电源开关和指示灯。</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2.嵌入式ARM架构设计，满负荷功耗≤55W，设备空载时功耗≤25W,满足用户节能要求。提供具备CMA（中国计量认证证书标识）和CNAS（中国合格评定国家认可证书标识）标识的权威检测报告复印件证明；</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3.使用Linux操作系统，高度集成多种功能应用，包括管理、导播、视频抠像、虚拟背景实时渲染、录制、直播、点播等功能。</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4.内置音频处理功能，支持EQ均衡调节、增益调节。支持对音频输入输出通道进行音量调节，支持对音频输出通道进行静音设置。提供上述功能的软件设置界面截图并加盖厂家</w:t>
            </w:r>
            <w:r>
              <w:rPr>
                <w:rFonts w:hint="eastAsia" w:cs="宋体" w:asciiTheme="minorEastAsia" w:hAnsiTheme="minorEastAsia"/>
                <w:color w:val="000000"/>
                <w:kern w:val="0"/>
                <w:sz w:val="21"/>
                <w:szCs w:val="21"/>
                <w:lang w:eastAsia="zh-CN"/>
              </w:rPr>
              <w:t>公章</w:t>
            </w:r>
            <w:r>
              <w:rPr>
                <w:rFonts w:hint="eastAsia" w:cs="宋体" w:asciiTheme="minorEastAsia" w:hAnsiTheme="minorEastAsia"/>
                <w:color w:val="000000"/>
                <w:kern w:val="0"/>
                <w:sz w:val="21"/>
                <w:szCs w:val="21"/>
              </w:rPr>
              <w:t>。</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5.支持3路3G-SDI高清摄像机信号、3路HDMI高清视频信号接入。</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6.为便于部署和维护管理，虚拟演播室主机设备支持POC供电功能，并能够支持设备POC供电信号、高清摄像机视频信号、控制信号同传。提供具备CMA（中国计量认证证书标识）和CNAS（中国合格评定国家认可证书标识）标识的权威检测报告复印件证明；为避免信号干扰，不接受多条不同接口线缆绞合成一条线缆铺设或者增加额外转换设备的方式。</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7.支持2路摄像机蓝/绿背景信号实时同步抠像功能，无需额外增加色键抠像设备。支持1路以上摄像机实景信号拍摄录制。支持虚拟背景信号实时预览；</w:t>
            </w:r>
            <w:r>
              <w:rPr>
                <w:rFonts w:hint="eastAsia" w:cs="宋体" w:asciiTheme="minorEastAsia" w:hAnsiTheme="minorEastAsia"/>
                <w:color w:val="000000"/>
                <w:kern w:val="0"/>
                <w:sz w:val="21"/>
                <w:szCs w:val="21"/>
              </w:rPr>
              <w:br w:type="textWrapping"/>
            </w:r>
            <w:r>
              <w:rPr>
                <w:rFonts w:cs="宋体" w:asciiTheme="minorEastAsia" w:hAnsiTheme="minorEastAsia"/>
                <w:color w:val="000000"/>
                <w:kern w:val="0"/>
                <w:sz w:val="21"/>
                <w:szCs w:val="21"/>
              </w:rPr>
              <w:t>8</w:t>
            </w:r>
            <w:r>
              <w:rPr>
                <w:rFonts w:hint="eastAsia" w:cs="宋体" w:asciiTheme="minorEastAsia" w:hAnsiTheme="minorEastAsia"/>
                <w:color w:val="000000"/>
                <w:kern w:val="0"/>
                <w:sz w:val="21"/>
                <w:szCs w:val="21"/>
              </w:rPr>
              <w:t>.视频存储：内置2T存储硬盘，支持录制文件本地保存，支持标准MP4视频封装格式。</w:t>
            </w:r>
            <w:r>
              <w:rPr>
                <w:rFonts w:hint="eastAsia" w:cs="宋体" w:asciiTheme="minorEastAsia" w:hAnsiTheme="minorEastAsia"/>
                <w:color w:val="000000"/>
                <w:kern w:val="0"/>
                <w:sz w:val="21"/>
                <w:szCs w:val="21"/>
              </w:rPr>
              <w:br w:type="textWrapping"/>
            </w:r>
            <w:r>
              <w:rPr>
                <w:rFonts w:cs="宋体" w:asciiTheme="minorEastAsia" w:hAnsiTheme="minorEastAsia"/>
                <w:color w:val="000000"/>
                <w:kern w:val="0"/>
                <w:sz w:val="21"/>
                <w:szCs w:val="21"/>
              </w:rPr>
              <w:t>9</w:t>
            </w:r>
            <w:r>
              <w:rPr>
                <w:rFonts w:hint="eastAsia" w:cs="宋体" w:asciiTheme="minorEastAsia" w:hAnsiTheme="minorEastAsia"/>
                <w:color w:val="000000"/>
                <w:kern w:val="0"/>
                <w:sz w:val="21"/>
                <w:szCs w:val="21"/>
              </w:rPr>
              <w:t>.视频直播：支持RTMP视频传输协议，满足向云端服务器或直播平台的直播推送功能。</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w:t>
            </w:r>
            <w:r>
              <w:rPr>
                <w:rFonts w:cs="宋体" w:asciiTheme="minorEastAsia" w:hAnsiTheme="minorEastAsia"/>
                <w:color w:val="000000"/>
                <w:kern w:val="0"/>
                <w:sz w:val="21"/>
                <w:szCs w:val="21"/>
              </w:rPr>
              <w:t>0</w:t>
            </w:r>
            <w:r>
              <w:rPr>
                <w:rFonts w:hint="eastAsia" w:cs="宋体" w:asciiTheme="minorEastAsia" w:hAnsiTheme="minorEastAsia"/>
                <w:color w:val="000000"/>
                <w:kern w:val="0"/>
                <w:sz w:val="21"/>
                <w:szCs w:val="21"/>
              </w:rPr>
              <w:t>.为保证设备质量及稳定性，整机使用平均无故障运行时间(MTBF)应≥100000小时,提供具备检测资质的第三方检测机构提供的正规检测报告</w:t>
            </w:r>
          </w:p>
        </w:tc>
        <w:tc>
          <w:tcPr>
            <w:tcW w:w="350" w:type="pct"/>
            <w:shd w:val="clear" w:color="auto" w:fill="auto"/>
            <w:vAlign w:val="center"/>
          </w:tcPr>
          <w:p w14:paraId="27959E40">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21052125">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08EE7A66">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48C39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08B5F91E">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2</w:t>
            </w:r>
          </w:p>
        </w:tc>
        <w:tc>
          <w:tcPr>
            <w:tcW w:w="551" w:type="pct"/>
            <w:shd w:val="clear" w:color="auto" w:fill="auto"/>
            <w:vAlign w:val="center"/>
          </w:tcPr>
          <w:p w14:paraId="058547B8">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管理软件</w:t>
            </w:r>
          </w:p>
        </w:tc>
        <w:tc>
          <w:tcPr>
            <w:tcW w:w="2953" w:type="pct"/>
            <w:shd w:val="clear" w:color="auto" w:fill="auto"/>
            <w:vAlign w:val="center"/>
          </w:tcPr>
          <w:p w14:paraId="4FEC7DB4">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1.支持录制、暂停、停止等基本功能操作，支持一键开启“直播”。</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2.支持校园电视节目导播管理、系统参数管理、录制管理、用户管理、网络参数管理。</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3.支持校园电视节目信息管理，包括录制节目的名称、主持人等信息管理。</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4.提供2路预抠像摄像机信号和1路实景拍摄摄像机信号画面预览窗口，支持HDMI信号、VGA信号、远程网络信号和虚拟背景信号预览。</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5.支持虚拟背景叠加及实时渲染输出，支持静态图片、摄像机实时信号、动态视频、flash动画作为背景；</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6.支持虚拟背景预览、叠加后效果输出前预览。</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7.支持主机虚拟背景图片库，支持导入导出背景图片，支持实时预览。</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8.支持蓝箱和绿箱两种抠像方式，抠像阈值的自定义设置。支持VGA/HDMI作为动态背景叠加，便于老师录制虚拟微课等应用。</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9.支持实时预览人物抠像与虚拟背景实时叠加渲染的效果画面。</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10.支持抠像拍摄和实景拍摄同步进行，可实时进行虚拟场景和实景拍摄画面的切换录制。</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11.支持校园电视台系统视频接入与输出管理，支持POC供电管理。</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12.支持校园电视台系统音频信号管理，包括音频声量调节、EQ均衡的开启与关闭、自动增益的开启与关闭等。</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13.支持系统软件版本管理，包括软件版本查询，在线升级与系统授权。</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14.支持三种上电模式，包括关机模式、休眠模式和工作模式。</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15.支持硬盘格式化功能，支持对设备异常断电、宕机造成的损坏视频文件进行修复。提供上述功能软件界面截图并加盖厂家</w:t>
            </w:r>
            <w:r>
              <w:rPr>
                <w:rFonts w:hint="eastAsia" w:cs="宋体" w:asciiTheme="minorEastAsia" w:hAnsiTheme="minorEastAsia"/>
                <w:color w:val="000000"/>
                <w:kern w:val="0"/>
                <w:sz w:val="21"/>
                <w:szCs w:val="21"/>
                <w:lang w:eastAsia="zh-CN"/>
              </w:rPr>
              <w:t>公章</w:t>
            </w:r>
            <w:r>
              <w:rPr>
                <w:rFonts w:hint="eastAsia" w:cs="宋体" w:asciiTheme="minorEastAsia" w:hAnsiTheme="minorEastAsia"/>
                <w:color w:val="000000"/>
                <w:kern w:val="0"/>
                <w:sz w:val="21"/>
                <w:szCs w:val="21"/>
              </w:rPr>
              <w:t>。</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16.支持录播一键开启“直播”功能。</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17.支持网络直播参数设置、直播码流设置</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18.支持主码流、子码流双码流直播功能，主、子码流可设不同的分辨率与码流。</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19.支持自定义直播分辨率、码流大小，以适应不同网络环境下保持直播的流畅性。提供超清（1080P/4Mbps.、高清（720P/2Mbps.、标清（960*540/1Mbps.等多种直播分辨率与码流可选。</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20.支持HTTP、RTMP、RTSP多种直播视频流协议，支持TCP和UDP传输协议。</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21.支持RTMP推流功能，除录播向资源平台实现FTP推流上传外，至少额外支持3路以上RTMP推流功能，实现与第三方平台和系统的推流对接。提供上述功能软件界面截图并加盖厂家</w:t>
            </w:r>
            <w:r>
              <w:rPr>
                <w:rFonts w:hint="eastAsia" w:cs="宋体" w:asciiTheme="minorEastAsia" w:hAnsiTheme="minorEastAsia"/>
                <w:color w:val="000000"/>
                <w:kern w:val="0"/>
                <w:sz w:val="21"/>
                <w:szCs w:val="21"/>
                <w:lang w:eastAsia="zh-CN"/>
              </w:rPr>
              <w:t>公章</w:t>
            </w:r>
            <w:r>
              <w:rPr>
                <w:rFonts w:hint="eastAsia" w:cs="宋体" w:asciiTheme="minorEastAsia" w:hAnsiTheme="minorEastAsia"/>
                <w:color w:val="000000"/>
                <w:kern w:val="0"/>
                <w:sz w:val="21"/>
                <w:szCs w:val="21"/>
              </w:rPr>
              <w:t>。</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22.支持VLC缓冲设置功能，可精确到毫秒，缓冲时间阈值280~500ms可设。</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23.支持高、低双码流录制功能，支持对输入信号进行点播预览，支持对虚拟背景信号进行预览点播，包括图片、VGA/HDMI信号、摄像机信号。</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24.为方便资源管理，系统需支持对录制视频按标题、主持人、时间、时长进行排序；可按照主题、主讲人进行分组展示；</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25.支持查询视频文件的分辨率、帧率和码流；</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26.支持录像文件下载；</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27.支持对视频进行手动FTP上传。</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28.提供校园电视台管理系统软件著作权证书复印件并加盖厂家</w:t>
            </w:r>
            <w:r>
              <w:rPr>
                <w:rFonts w:hint="eastAsia" w:cs="宋体" w:asciiTheme="minorEastAsia" w:hAnsiTheme="minorEastAsia"/>
                <w:color w:val="000000"/>
                <w:kern w:val="0"/>
                <w:sz w:val="21"/>
                <w:szCs w:val="21"/>
                <w:lang w:eastAsia="zh-CN"/>
              </w:rPr>
              <w:t>公章</w:t>
            </w:r>
            <w:r>
              <w:rPr>
                <w:rFonts w:hint="eastAsia" w:cs="宋体" w:asciiTheme="minorEastAsia" w:hAnsiTheme="minorEastAsia"/>
                <w:color w:val="000000"/>
                <w:kern w:val="0"/>
                <w:sz w:val="21"/>
                <w:szCs w:val="21"/>
              </w:rPr>
              <w:t>及软件测试报告复印件并加盖厂家</w:t>
            </w:r>
            <w:r>
              <w:rPr>
                <w:rFonts w:hint="eastAsia" w:cs="宋体" w:asciiTheme="minorEastAsia" w:hAnsiTheme="minorEastAsia"/>
                <w:color w:val="000000"/>
                <w:kern w:val="0"/>
                <w:sz w:val="21"/>
                <w:szCs w:val="21"/>
                <w:lang w:eastAsia="zh-CN"/>
              </w:rPr>
              <w:t>公章</w:t>
            </w:r>
            <w:r>
              <w:rPr>
                <w:rFonts w:hint="eastAsia" w:cs="宋体" w:asciiTheme="minorEastAsia" w:hAnsiTheme="minorEastAsia"/>
                <w:color w:val="000000"/>
                <w:kern w:val="0"/>
                <w:sz w:val="21"/>
                <w:szCs w:val="21"/>
              </w:rPr>
              <w:t>。</w:t>
            </w:r>
          </w:p>
        </w:tc>
        <w:tc>
          <w:tcPr>
            <w:tcW w:w="350" w:type="pct"/>
            <w:shd w:val="clear" w:color="auto" w:fill="auto"/>
            <w:noWrap/>
            <w:vAlign w:val="center"/>
          </w:tcPr>
          <w:p w14:paraId="5FC3673F">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390D0E49">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4F023917">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49984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239C1C63">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3</w:t>
            </w:r>
          </w:p>
        </w:tc>
        <w:tc>
          <w:tcPr>
            <w:tcW w:w="551" w:type="pct"/>
            <w:shd w:val="clear" w:color="auto" w:fill="auto"/>
            <w:vAlign w:val="center"/>
          </w:tcPr>
          <w:p w14:paraId="7DF4C02E">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导播软件</w:t>
            </w:r>
          </w:p>
        </w:tc>
        <w:tc>
          <w:tcPr>
            <w:tcW w:w="2953" w:type="pct"/>
            <w:shd w:val="clear" w:color="auto" w:fill="auto"/>
            <w:vAlign w:val="center"/>
          </w:tcPr>
          <w:p w14:paraId="1BC90D39">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1.支持本地导播功能，可直接在虚拟演播室主机接入鼠标、键盘、显示器进行导播操作，保证导播具有较好的实时性和流畅性。</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2.提供PVW输出前预览窗口和PGM录制监视窗口，所有预操作包括画面切换、背景切换、布局切换等操作均预先在PVW预览窗口显示。确认输出后进行录制并在PGM录制监视窗口显示。</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支持5种以上可选布局模式，包括双分屏、画中画模式等。支持虚拟大屏布局模式，抠像人物与HDMI/VGA信号结合营造虚拟大屏效果布局模式。支持自定义布局方式，支持多个视频图层自由叠加组合，支持叠加纯色图层，自定义布局时可随意拖拉画面窗口。提供布局模式软件界面截图并加盖厂家</w:t>
            </w:r>
            <w:r>
              <w:rPr>
                <w:rFonts w:hint="eastAsia" w:cs="宋体" w:asciiTheme="minorEastAsia" w:hAnsiTheme="minorEastAsia"/>
                <w:color w:val="000000"/>
                <w:kern w:val="0"/>
                <w:sz w:val="21"/>
                <w:szCs w:val="21"/>
                <w:lang w:eastAsia="zh-CN"/>
              </w:rPr>
              <w:t>公章</w:t>
            </w:r>
            <w:r>
              <w:rPr>
                <w:rFonts w:hint="eastAsia" w:cs="宋体" w:asciiTheme="minorEastAsia" w:hAnsiTheme="minorEastAsia"/>
                <w:color w:val="000000"/>
                <w:kern w:val="0"/>
                <w:sz w:val="21"/>
                <w:szCs w:val="21"/>
              </w:rPr>
              <w:t>。</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提供3种以上转场特效，包括渐变、扩散、推进等。支持添加LOGO、视频标签、字幕功能，支持通过鼠标直接拖拽设置LOGO在画面的显示位置。支持快速调用预设的字幕内容，支持实时添加字幕，字幕颜色、字幕背景颜色可设，支持字幕循环功能。提供上述功能软件界面截图并加盖厂家</w:t>
            </w:r>
            <w:r>
              <w:rPr>
                <w:rFonts w:hint="eastAsia" w:cs="宋体" w:asciiTheme="minorEastAsia" w:hAnsiTheme="minorEastAsia"/>
                <w:color w:val="000000"/>
                <w:kern w:val="0"/>
                <w:sz w:val="21"/>
                <w:szCs w:val="21"/>
                <w:lang w:eastAsia="zh-CN"/>
              </w:rPr>
              <w:t>公章</w:t>
            </w:r>
            <w:r>
              <w:rPr>
                <w:rFonts w:hint="eastAsia" w:cs="宋体" w:asciiTheme="minorEastAsia" w:hAnsiTheme="minorEastAsia"/>
                <w:color w:val="000000"/>
                <w:kern w:val="0"/>
                <w:sz w:val="21"/>
                <w:szCs w:val="21"/>
              </w:rPr>
              <w:t>。</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5.提供流媒体导播软件著作权证书复印件并加盖厂家</w:t>
            </w:r>
            <w:r>
              <w:rPr>
                <w:rFonts w:hint="eastAsia" w:cs="宋体" w:asciiTheme="minorEastAsia" w:hAnsiTheme="minorEastAsia"/>
                <w:color w:val="000000"/>
                <w:kern w:val="0"/>
                <w:sz w:val="21"/>
                <w:szCs w:val="21"/>
                <w:lang w:eastAsia="zh-CN"/>
              </w:rPr>
              <w:t>公章</w:t>
            </w:r>
            <w:r>
              <w:rPr>
                <w:rFonts w:hint="eastAsia" w:cs="宋体" w:asciiTheme="minorEastAsia" w:hAnsiTheme="minorEastAsia"/>
                <w:color w:val="000000"/>
                <w:kern w:val="0"/>
                <w:sz w:val="21"/>
                <w:szCs w:val="21"/>
              </w:rPr>
              <w:t>。</w:t>
            </w:r>
          </w:p>
        </w:tc>
        <w:tc>
          <w:tcPr>
            <w:tcW w:w="350" w:type="pct"/>
            <w:shd w:val="clear" w:color="auto" w:fill="auto"/>
            <w:noWrap/>
            <w:vAlign w:val="center"/>
          </w:tcPr>
          <w:p w14:paraId="4BEBC320">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5523A99C">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47142824">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0F3D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53473C0B">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4</w:t>
            </w:r>
          </w:p>
        </w:tc>
        <w:tc>
          <w:tcPr>
            <w:tcW w:w="551" w:type="pct"/>
            <w:shd w:val="clear" w:color="auto" w:fill="auto"/>
            <w:vAlign w:val="center"/>
          </w:tcPr>
          <w:p w14:paraId="39BA44FD">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导播台</w:t>
            </w:r>
          </w:p>
        </w:tc>
        <w:tc>
          <w:tcPr>
            <w:tcW w:w="2953" w:type="pct"/>
            <w:shd w:val="clear" w:color="auto" w:fill="auto"/>
            <w:vAlign w:val="center"/>
          </w:tcPr>
          <w:p w14:paraId="1CE0354C">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导播台8路HDMI切换高清直播mini pro</w:t>
            </w:r>
          </w:p>
        </w:tc>
        <w:tc>
          <w:tcPr>
            <w:tcW w:w="350" w:type="pct"/>
            <w:shd w:val="clear" w:color="auto" w:fill="auto"/>
            <w:noWrap/>
            <w:vAlign w:val="center"/>
          </w:tcPr>
          <w:p w14:paraId="2FA3210C">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7035A4D3">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69748749">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146A7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5399523F">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5</w:t>
            </w:r>
          </w:p>
        </w:tc>
        <w:tc>
          <w:tcPr>
            <w:tcW w:w="551" w:type="pct"/>
            <w:shd w:val="clear" w:color="auto" w:fill="auto"/>
            <w:vAlign w:val="center"/>
          </w:tcPr>
          <w:p w14:paraId="0EECABD8">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广播级高清摄像机</w:t>
            </w:r>
          </w:p>
        </w:tc>
        <w:tc>
          <w:tcPr>
            <w:tcW w:w="2953" w:type="pct"/>
            <w:shd w:val="clear" w:color="auto" w:fill="auto"/>
            <w:vAlign w:val="center"/>
          </w:tcPr>
          <w:p w14:paraId="02583725">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基本性能</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1、产品类型高清摄像机</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1、产品定位专业摄像机</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2、传感器类型3CMOS</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3、传感器尺寸大于等于（1/2.8）英寸</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4、传感器描述内置光学滤波片：清晰，1/4-1/128可变</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镜头参数</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5、光学变焦25倍</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6、实际焦距f=3.7-92.5mm</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7、等效35mm焦距26-650mm</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8、最大光圈F1.6-F11</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9、滤镜直径82mm</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显示参数</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10、液晶屏尺寸3.5英寸</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11、液晶屏像素156万</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12、取景器描述0.5英寸彩色液晶监视器，236万个像素点</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拍摄性能</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13、摄像性能灵敏度：F9（典型）（1920×1080/59.94i 模式）</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F10（典型）（1920×1080/50i 模式）</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14、对焦方式自动对焦，手动对焦</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15、对焦范围广角：10mm-无穷远，长焦：800mm-无穷远</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16、快门描述1/32-1/2000秒</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17、白平衡预设（3200K），A，B</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录制参数</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18、麦克风内置（全指向立体声驻极体电容麦克风）</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19、录音系统LPCM，AC-3（AVCHD）：2ch—&gt;LPCM（XAVC/MPEG2/AVCHD/DVCAM），杜比数字（AVCHD）：2ch</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接口性能</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20、USB接口MiniB/USB2.0高速/大容量存储（x1）</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A型/用于无线LAN模块（x1）</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A型/USB3.0（x1）（未来更新）</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21、AV端子音频输入：XLR 型 3 针（母）(x2)</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音频输出：立体声迷你插孔ø3.5 mm(x1)</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22、HDMI接口支持</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22)其它接口3G-SDI 输出：BNC 接口（x1）</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复合输出/同步锁相输入：BNC 接口（x1）</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TC 输入/输出：BNC 接口 (x1)</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远程控制：立体声迷你插孔 ø2.5 mm (x1)</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DC输入：DC 插孔（x1）</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靴：MI 热靴（x1）</w:t>
            </w:r>
          </w:p>
        </w:tc>
        <w:tc>
          <w:tcPr>
            <w:tcW w:w="350" w:type="pct"/>
            <w:shd w:val="clear" w:color="auto" w:fill="auto"/>
            <w:vAlign w:val="center"/>
          </w:tcPr>
          <w:p w14:paraId="64016D64">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148844B3">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42F4BABA">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6A670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4041BCE9">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6</w:t>
            </w:r>
          </w:p>
        </w:tc>
        <w:tc>
          <w:tcPr>
            <w:tcW w:w="551" w:type="pct"/>
            <w:shd w:val="clear" w:color="auto" w:fill="auto"/>
            <w:vAlign w:val="center"/>
          </w:tcPr>
          <w:p w14:paraId="798B12C8">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单反相机</w:t>
            </w:r>
          </w:p>
        </w:tc>
        <w:tc>
          <w:tcPr>
            <w:tcW w:w="2953" w:type="pct"/>
            <w:shd w:val="clear" w:color="auto" w:fill="auto"/>
            <w:vAlign w:val="center"/>
          </w:tcPr>
          <w:p w14:paraId="4F2DAC81">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画幅：APS-C画幅</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镜头：18-55mm标准变焦</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视频拍摄能力：4K 30P，1080P 30P</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像素：2000-2500万</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含：256G SD卡</w:t>
            </w:r>
          </w:p>
        </w:tc>
        <w:tc>
          <w:tcPr>
            <w:tcW w:w="350" w:type="pct"/>
            <w:shd w:val="clear" w:color="auto" w:fill="auto"/>
            <w:vAlign w:val="center"/>
          </w:tcPr>
          <w:p w14:paraId="508DE005">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4AC554F9">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7E9C4D14">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2418E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2B563043">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7</w:t>
            </w:r>
          </w:p>
        </w:tc>
        <w:tc>
          <w:tcPr>
            <w:tcW w:w="551" w:type="pct"/>
            <w:shd w:val="clear" w:color="auto" w:fill="auto"/>
            <w:vAlign w:val="center"/>
          </w:tcPr>
          <w:p w14:paraId="4BE5305B">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调音台</w:t>
            </w:r>
          </w:p>
        </w:tc>
        <w:tc>
          <w:tcPr>
            <w:tcW w:w="2953" w:type="pct"/>
            <w:shd w:val="clear" w:color="auto" w:fill="auto"/>
            <w:vAlign w:val="center"/>
          </w:tcPr>
          <w:p w14:paraId="386D5EE9">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功能特点</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1.10路两用话筒输入，1组（2路）立体声输入</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2.具有数字显示屏，内置99种DSP效果</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3.1组主输出，1路效果输出</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4.输入每路具有三段可调</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5.带48V幻像供电</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6.带录音功能的多功能MP3播放器</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7.总输出7段均衡可调</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技术参数</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话筒输入通道：10路</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立体声输入通道：1组（2路）</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电源消耗：40W</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尺寸：宽450x高85x长350mm</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重量：4.4Kg</w:t>
            </w:r>
          </w:p>
        </w:tc>
        <w:tc>
          <w:tcPr>
            <w:tcW w:w="350" w:type="pct"/>
            <w:shd w:val="clear" w:color="auto" w:fill="auto"/>
            <w:vAlign w:val="center"/>
          </w:tcPr>
          <w:p w14:paraId="7B868456">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4B3B4999">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7E05A5D5">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701C0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1E29E8AE">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8</w:t>
            </w:r>
          </w:p>
        </w:tc>
        <w:tc>
          <w:tcPr>
            <w:tcW w:w="551" w:type="pct"/>
            <w:shd w:val="clear" w:color="auto" w:fill="auto"/>
            <w:vAlign w:val="center"/>
          </w:tcPr>
          <w:p w14:paraId="1620C22E">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无线领夹话筒</w:t>
            </w:r>
          </w:p>
        </w:tc>
        <w:tc>
          <w:tcPr>
            <w:tcW w:w="2953" w:type="pct"/>
            <w:shd w:val="clear" w:color="auto" w:fill="auto"/>
            <w:vAlign w:val="center"/>
          </w:tcPr>
          <w:p w14:paraId="3960F46D">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1）收音头类型: 电容式</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2）有无线: 无线</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3）声道: 2</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4）音频衰减器调整范围：0 dB 至 21 dB（衰减范围间隔 3-dB）： 5）麦克风输入</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6）频率响应：传输 23 Hz 至 18 kHz</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7）信噪比：96dB（最大误差，A 加权）</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8)音频延迟：约 0.35 毫秒</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9)导频音信号：32 kHz/ 32.382 kHz/ 32.768 kHz</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10)指向特征: 全指向/无指向</w:t>
            </w:r>
          </w:p>
        </w:tc>
        <w:tc>
          <w:tcPr>
            <w:tcW w:w="350" w:type="pct"/>
            <w:shd w:val="clear" w:color="auto" w:fill="auto"/>
            <w:vAlign w:val="center"/>
          </w:tcPr>
          <w:p w14:paraId="2D20C820">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4C1B525B">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25317FFC">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2C9E3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6727F784">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9</w:t>
            </w:r>
          </w:p>
        </w:tc>
        <w:tc>
          <w:tcPr>
            <w:tcW w:w="551" w:type="pct"/>
            <w:shd w:val="clear" w:color="auto" w:fill="auto"/>
            <w:noWrap/>
            <w:vAlign w:val="center"/>
          </w:tcPr>
          <w:p w14:paraId="02629834">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1拖2无线手持话筒</w:t>
            </w:r>
          </w:p>
        </w:tc>
        <w:tc>
          <w:tcPr>
            <w:tcW w:w="2953" w:type="pct"/>
            <w:shd w:val="clear" w:color="auto" w:fill="auto"/>
            <w:vAlign w:val="center"/>
          </w:tcPr>
          <w:p w14:paraId="41ECBF4D">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功能特点</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1.一拖二UHF无线手持麦克风，两通道接收，金属外壳的1U标准机柜设计结构</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2.采用数字导频和ID码身份认证技术，独有的数字ID码导频技术ID随机码多达16位，彻底解决同频、串频现象</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3.高效的电池能耗设计,使话筒能够连续使用更长时间</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4.接收机、发射器使用屏显示频率及电池健康状况等</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5.采用二次变频的高频电路设计，具有极高的灵敏度</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6.内置多重静噪控制电路，拒绝外部干扰接收距离达100米</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7.专门设计的语音压缩扩展电路，极大地提高信噪比</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8.独特的电路设计，动态大，频响宽，噪音小</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综合参数：</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载波频段：UHF640-690MHz可选</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频宽：50MHz</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动态范围：90dB</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失真度：&lt;0.5%</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使用电池：2X1.5V AA电池</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电池使用时间：&gt;5小时</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手持尺寸：236.2x54.5mm</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手持重量：210g</w:t>
            </w:r>
          </w:p>
        </w:tc>
        <w:tc>
          <w:tcPr>
            <w:tcW w:w="350" w:type="pct"/>
            <w:shd w:val="clear" w:color="auto" w:fill="auto"/>
            <w:vAlign w:val="center"/>
          </w:tcPr>
          <w:p w14:paraId="0E1A3F45">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xml:space="preserve">1 </w:t>
            </w:r>
          </w:p>
        </w:tc>
        <w:tc>
          <w:tcPr>
            <w:tcW w:w="391" w:type="pct"/>
            <w:shd w:val="clear" w:color="auto" w:fill="auto"/>
            <w:noWrap/>
            <w:vAlign w:val="center"/>
          </w:tcPr>
          <w:p w14:paraId="27B09D28">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68B7B2DB">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22D15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1FCF135A">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10</w:t>
            </w:r>
          </w:p>
        </w:tc>
        <w:tc>
          <w:tcPr>
            <w:tcW w:w="551" w:type="pct"/>
            <w:shd w:val="clear" w:color="auto" w:fill="auto"/>
            <w:noWrap/>
            <w:vAlign w:val="center"/>
          </w:tcPr>
          <w:p w14:paraId="3D1691B6">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1拖2无线鹅颈话筒</w:t>
            </w:r>
          </w:p>
        </w:tc>
        <w:tc>
          <w:tcPr>
            <w:tcW w:w="2953" w:type="pct"/>
            <w:shd w:val="clear" w:color="auto" w:fill="auto"/>
            <w:vAlign w:val="center"/>
          </w:tcPr>
          <w:p w14:paraId="65461007">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功能特点</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1.一拖二UHF无线鹅颈麦克风，两通道接收，金属外壳的1U标准机柜设计结构</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2.采用数字导频和ID码身份认证技术，独有的数字ID码导频技术ID随机码多达16位，彻底解决同频、串频现象</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3.高效的电池能耗设计,使话筒能够连续使用更长时间</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4.接收机、发射器使用屏显示频率及电池健康状况等</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5.采用二次变频的高频电路设计，具有极高的灵敏度</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6.内置多重静噪控制电路，拒绝外部干扰接收距离达100米</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7.专门设计的语音压缩扩展电路，极大地提高信噪比</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8.独特的电路设计，动态大，频响宽，噪音小</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综合参数：</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载波频段：UHF640-690MHz可选</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频宽：50MHz</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动态范围：90dB</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失真度：&lt;0.5%</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频率响应：30-20KHz/±2dB</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输出功率：30mW</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谐波辐射：&lt;-50dBc</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使用电池：2X1.5V AA电池</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电池使用时间：&gt;5小时</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手持尺寸：236.2x54.5mm</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手持重量：210g</w:t>
            </w:r>
          </w:p>
        </w:tc>
        <w:tc>
          <w:tcPr>
            <w:tcW w:w="350" w:type="pct"/>
            <w:shd w:val="clear" w:color="auto" w:fill="auto"/>
            <w:vAlign w:val="center"/>
          </w:tcPr>
          <w:p w14:paraId="56944F58">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xml:space="preserve">1 </w:t>
            </w:r>
          </w:p>
        </w:tc>
        <w:tc>
          <w:tcPr>
            <w:tcW w:w="391" w:type="pct"/>
            <w:shd w:val="clear" w:color="auto" w:fill="auto"/>
            <w:noWrap/>
            <w:vAlign w:val="center"/>
          </w:tcPr>
          <w:p w14:paraId="68FF8827">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2B8334D8">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36C88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416AFE3A">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11</w:t>
            </w:r>
          </w:p>
        </w:tc>
        <w:tc>
          <w:tcPr>
            <w:tcW w:w="551" w:type="pct"/>
            <w:shd w:val="clear" w:color="auto" w:fill="auto"/>
            <w:noWrap/>
            <w:vAlign w:val="center"/>
          </w:tcPr>
          <w:p w14:paraId="4964C8CB">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鹅颈有线话筒</w:t>
            </w:r>
          </w:p>
        </w:tc>
        <w:tc>
          <w:tcPr>
            <w:tcW w:w="2953" w:type="pct"/>
            <w:shd w:val="clear" w:color="auto" w:fill="auto"/>
            <w:noWrap/>
            <w:vAlign w:val="center"/>
          </w:tcPr>
          <w:p w14:paraId="403A56F4">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鹅颈有线话筒</w:t>
            </w:r>
          </w:p>
        </w:tc>
        <w:tc>
          <w:tcPr>
            <w:tcW w:w="350" w:type="pct"/>
            <w:shd w:val="clear" w:color="auto" w:fill="auto"/>
            <w:vAlign w:val="center"/>
          </w:tcPr>
          <w:p w14:paraId="013EE85F">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xml:space="preserve">1 </w:t>
            </w:r>
          </w:p>
        </w:tc>
        <w:tc>
          <w:tcPr>
            <w:tcW w:w="391" w:type="pct"/>
            <w:shd w:val="clear" w:color="auto" w:fill="auto"/>
            <w:noWrap/>
            <w:vAlign w:val="center"/>
          </w:tcPr>
          <w:p w14:paraId="3CEE9991">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16A42091">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3695E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6AA2CB70">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12</w:t>
            </w:r>
          </w:p>
        </w:tc>
        <w:tc>
          <w:tcPr>
            <w:tcW w:w="551" w:type="pct"/>
            <w:shd w:val="clear" w:color="auto" w:fill="auto"/>
            <w:vAlign w:val="center"/>
          </w:tcPr>
          <w:p w14:paraId="4D39005B">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数字反馈抑制器</w:t>
            </w:r>
          </w:p>
        </w:tc>
        <w:tc>
          <w:tcPr>
            <w:tcW w:w="2953" w:type="pct"/>
            <w:shd w:val="clear" w:color="auto" w:fill="auto"/>
            <w:vAlign w:val="center"/>
          </w:tcPr>
          <w:p w14:paraId="2A14B1ED">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功能特点</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1.采用自适应环境啸叫抑制算法，可高速全自动完全消除啸叫和回声</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2.内置自适应动态噪声滤波器，可滤掉现场环境的背景噪声</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3.内置智能电平控制技术，可以获的到清晰.持续的语音信号</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4.内置AGC双向控制，具有区分加强信号和轻柔信号的能力，能提升增益达6-15dB</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5.支持平衡/非平衡输入/输出，支持输入高/低电平切换</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6.支持2路线性输入，线性输入音频信号直通输出，不影响音质</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技术参数</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输入：2路XLR输入，2路TS输入，2路LINE输入</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输出：2路XLR输出，2路TS输出</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产品体积：W480xD160xH44mm</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产品重量：3Kg</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工作电源：AC220V，50/60Hz</w:t>
            </w:r>
          </w:p>
        </w:tc>
        <w:tc>
          <w:tcPr>
            <w:tcW w:w="350" w:type="pct"/>
            <w:shd w:val="clear" w:color="auto" w:fill="auto"/>
            <w:vAlign w:val="center"/>
          </w:tcPr>
          <w:p w14:paraId="058BEC27">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xml:space="preserve">1 </w:t>
            </w:r>
          </w:p>
        </w:tc>
        <w:tc>
          <w:tcPr>
            <w:tcW w:w="391" w:type="pct"/>
            <w:shd w:val="clear" w:color="auto" w:fill="auto"/>
            <w:noWrap/>
            <w:vAlign w:val="center"/>
          </w:tcPr>
          <w:p w14:paraId="31578824">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2202700C">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35BDF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21BBFD89">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13</w:t>
            </w:r>
          </w:p>
        </w:tc>
        <w:tc>
          <w:tcPr>
            <w:tcW w:w="551" w:type="pct"/>
            <w:shd w:val="clear" w:color="auto" w:fill="auto"/>
            <w:vAlign w:val="center"/>
          </w:tcPr>
          <w:p w14:paraId="0703D31A">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8路电源时序器</w:t>
            </w:r>
          </w:p>
        </w:tc>
        <w:tc>
          <w:tcPr>
            <w:tcW w:w="2953" w:type="pct"/>
            <w:shd w:val="clear" w:color="auto" w:fill="auto"/>
            <w:vAlign w:val="center"/>
          </w:tcPr>
          <w:p w14:paraId="12F77DA1">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功能特点</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1.8路受控电源时序器，全采用万用插座，符合欧美标准</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2.电路板采用60%高纯度锡，高端分流技术,经强化加粗处理 ,防涌浪保护</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3.前面板具有电压表，用于查看现场电压情况</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4.前面板具有1-8路独立电源开关按键，并具有一路直通电源</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5.具有一路5V工程灯USB插口，可插入电源灯进行照明</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6.每路可设定延时时间，最长可设180秒</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7.具有两路RJ45设备级联口，最大可级联255台</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8.支持RS232协议控制，可通过中央控制系统控制</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技术参数</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最大输入电流：60A</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单路最大输出电流：30A</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每路功率：2000W</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控制接口：232</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照明接口：USB</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工作电压：AC220V/50~60HZ</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尺寸（长*宽*高）：482*225*44mm</w:t>
            </w:r>
          </w:p>
        </w:tc>
        <w:tc>
          <w:tcPr>
            <w:tcW w:w="350" w:type="pct"/>
            <w:shd w:val="clear" w:color="auto" w:fill="auto"/>
            <w:vAlign w:val="center"/>
          </w:tcPr>
          <w:p w14:paraId="20CC9778">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xml:space="preserve">1 </w:t>
            </w:r>
          </w:p>
        </w:tc>
        <w:tc>
          <w:tcPr>
            <w:tcW w:w="391" w:type="pct"/>
            <w:shd w:val="clear" w:color="auto" w:fill="auto"/>
            <w:noWrap/>
            <w:vAlign w:val="center"/>
          </w:tcPr>
          <w:p w14:paraId="7D1FBF8D">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29A98994">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7DC1A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005C3D38">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14</w:t>
            </w:r>
          </w:p>
        </w:tc>
        <w:tc>
          <w:tcPr>
            <w:tcW w:w="551" w:type="pct"/>
            <w:shd w:val="clear" w:color="auto" w:fill="auto"/>
            <w:noWrap/>
            <w:vAlign w:val="center"/>
          </w:tcPr>
          <w:p w14:paraId="4D1ED4A4">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天线分配放大器</w:t>
            </w:r>
          </w:p>
        </w:tc>
        <w:tc>
          <w:tcPr>
            <w:tcW w:w="2953" w:type="pct"/>
            <w:shd w:val="clear" w:color="auto" w:fill="auto"/>
            <w:vAlign w:val="center"/>
          </w:tcPr>
          <w:p w14:paraId="567ADFE4">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功能特点</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1.天线分配放大器，用于增加U段无线话筒信号</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2.超宽工作频段500MHz-1GHz保证系统最大的灵活性</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3.单一台天线分配器主机可支援最多4个天线通道端口</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4.支持外置5安开关电源，设备可提供2个12v直流电给无线接收机</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5.设备支持可链接2台一拖二无线接收机</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6.采用高动态低难讯之主动元件及主动回馈稳流偏压的最新设计，具有超低內调失真特性</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技术参数</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U段频率：500MHz-1GHz</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阻抗：50欧姆 典型</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输出阻抗：15dBmin</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直流输出电压：2个DC 12V 800MA</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天线增幅器电压：8V DC</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输入截断点：+22dBm</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指向性：单指向性</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增益平坦度：+6-9dB(CenterBand)</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电源：DC 12V 2A / DC 12V 3A</w:t>
            </w:r>
          </w:p>
        </w:tc>
        <w:tc>
          <w:tcPr>
            <w:tcW w:w="350" w:type="pct"/>
            <w:shd w:val="clear" w:color="auto" w:fill="auto"/>
            <w:vAlign w:val="center"/>
          </w:tcPr>
          <w:p w14:paraId="1F622364">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xml:space="preserve">1 </w:t>
            </w:r>
          </w:p>
        </w:tc>
        <w:tc>
          <w:tcPr>
            <w:tcW w:w="391" w:type="pct"/>
            <w:shd w:val="clear" w:color="auto" w:fill="auto"/>
            <w:noWrap/>
            <w:vAlign w:val="center"/>
          </w:tcPr>
          <w:p w14:paraId="09553DB5">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0223B4B5">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4147A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4F64E459">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15</w:t>
            </w:r>
          </w:p>
        </w:tc>
        <w:tc>
          <w:tcPr>
            <w:tcW w:w="551" w:type="pct"/>
            <w:shd w:val="clear" w:color="auto" w:fill="auto"/>
            <w:vAlign w:val="center"/>
          </w:tcPr>
          <w:p w14:paraId="5D1E64A9">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6.5寸天花音箱</w:t>
            </w:r>
          </w:p>
        </w:tc>
        <w:tc>
          <w:tcPr>
            <w:tcW w:w="2953" w:type="pct"/>
            <w:shd w:val="clear" w:color="auto" w:fill="auto"/>
            <w:vAlign w:val="center"/>
          </w:tcPr>
          <w:p w14:paraId="044EBE39">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功能特点</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1.6.5"两分频无源同轴向吸顶音箱，轴向聚合体高频驱动器</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2.采用6.5英寸丹麦达尼原装锥体驱动器，1”25芯美国杜邦PEEK音膜，超窄边框设计，美观大方</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3.音箱前面罩采用磁铁方式吸附，方便安装和拆除</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4.无后盖设计，可安装于吊顶空间较小的场合，同时利用吊顶形成共鸣箱体，保证声压级和低频充足</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5.电感耦合驱动同轴点声源单元，层次清晰，还原度高</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6.一次性塑料冲压成型的面板以及护网，外形高雅，美观大方</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技术参数</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扬声器系统：无源天花音箱</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低频单元：6.5”</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高频单元：1”</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额定功率：60W</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峰值功率：120W</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阻抗：8Ω</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灵敏度：89dB1W/1m</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最大声压级：105dB</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频率响应：70Hz-20KHz</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分频点：2.8kHz</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尺寸：φ233x90mm（深）</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开孔尺寸：φ200mm</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净重：1.1Kg</w:t>
            </w:r>
          </w:p>
        </w:tc>
        <w:tc>
          <w:tcPr>
            <w:tcW w:w="350" w:type="pct"/>
            <w:shd w:val="clear" w:color="auto" w:fill="auto"/>
            <w:vAlign w:val="center"/>
          </w:tcPr>
          <w:p w14:paraId="2C86C28A">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xml:space="preserve">4 </w:t>
            </w:r>
          </w:p>
        </w:tc>
        <w:tc>
          <w:tcPr>
            <w:tcW w:w="391" w:type="pct"/>
            <w:shd w:val="clear" w:color="auto" w:fill="auto"/>
            <w:noWrap/>
            <w:vAlign w:val="center"/>
          </w:tcPr>
          <w:p w14:paraId="48855AAA">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45B07E51">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02ACD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38E82A8F">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16</w:t>
            </w:r>
          </w:p>
        </w:tc>
        <w:tc>
          <w:tcPr>
            <w:tcW w:w="551" w:type="pct"/>
            <w:shd w:val="clear" w:color="auto" w:fill="auto"/>
            <w:noWrap/>
            <w:vAlign w:val="center"/>
          </w:tcPr>
          <w:p w14:paraId="11562796">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2*130W移频功放</w:t>
            </w:r>
          </w:p>
        </w:tc>
        <w:tc>
          <w:tcPr>
            <w:tcW w:w="2953" w:type="pct"/>
            <w:shd w:val="clear" w:color="auto" w:fill="auto"/>
            <w:vAlign w:val="center"/>
          </w:tcPr>
          <w:p w14:paraId="1EEB94E9">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功能特点：</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1.多媒体移频功放，具备多种音频线路输入：5路话筒输入，3组线路输入</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2.话筒4、5接口支持48V幻象供电，开关可控</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3.支持MP3与蓝牙播放功能</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4.支持每个通道音量独立调节，话筒带有一键啸叫抑制按键</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5.输出功率：8Ω/130W*2 , 4Ω/180W*2</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6.具有短路保护、直流保护、电源通断多种保护和过热保护</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技术参数：</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功率输出:8Ω/130W*2 , 4Ω/180W*2</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功率输出接口:4组梅花接线柱</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音频输出接口：1组莲花</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音频输入接口：1路音乐（USB/蓝牙)， 5路话筒（3路6.35接口+2路卡侬接口），3组线路（莲花）</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输入灵敏度:音乐0.25V/话筒20MV</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输入阻抗: 音乐20KΩ/话筒200Ω</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信噪比:≥90dB</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频率响应: 20Hz-20kHz（±1dB）</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失真度: &lt;0.1%</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工作电源: AC220-240V/50Hz</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保护: 直流，负载短路，过热</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机器尺寸: （D×W×H）484×350×90</w:t>
            </w:r>
          </w:p>
        </w:tc>
        <w:tc>
          <w:tcPr>
            <w:tcW w:w="350" w:type="pct"/>
            <w:shd w:val="clear" w:color="auto" w:fill="auto"/>
            <w:vAlign w:val="center"/>
          </w:tcPr>
          <w:p w14:paraId="6C9CA39F">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xml:space="preserve">1 </w:t>
            </w:r>
          </w:p>
        </w:tc>
        <w:tc>
          <w:tcPr>
            <w:tcW w:w="391" w:type="pct"/>
            <w:shd w:val="clear" w:color="auto" w:fill="auto"/>
            <w:noWrap/>
            <w:vAlign w:val="center"/>
          </w:tcPr>
          <w:p w14:paraId="3C29FA8F">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3C1B187B">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618D3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58411E40">
            <w:pPr>
              <w:widowControl/>
              <w:jc w:val="center"/>
              <w:rPr>
                <w:rFonts w:hint="eastAsia"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r>
              <w:rPr>
                <w:rFonts w:cs="宋体" w:asciiTheme="minorEastAsia" w:hAnsiTheme="minorEastAsia"/>
                <w:color w:val="000000"/>
                <w:kern w:val="0"/>
                <w:sz w:val="21"/>
                <w:szCs w:val="21"/>
              </w:rPr>
              <w:t>7</w:t>
            </w:r>
          </w:p>
        </w:tc>
        <w:tc>
          <w:tcPr>
            <w:tcW w:w="551" w:type="pct"/>
            <w:shd w:val="clear" w:color="auto" w:fill="auto"/>
            <w:noWrap/>
            <w:vAlign w:val="center"/>
          </w:tcPr>
          <w:p w14:paraId="6DA7E3A5">
            <w:pPr>
              <w:widowControl/>
              <w:jc w:val="left"/>
              <w:rPr>
                <w:rFonts w:hint="eastAsia" w:cs="宋体" w:asciiTheme="minorEastAsia" w:hAnsiTheme="minorEastAsia"/>
                <w:kern w:val="0"/>
                <w:sz w:val="21"/>
                <w:szCs w:val="21"/>
              </w:rPr>
            </w:pPr>
            <w:r>
              <w:rPr>
                <w:rFonts w:hint="eastAsia" w:cs="宋体" w:asciiTheme="minorEastAsia" w:hAnsiTheme="minorEastAsia"/>
                <w:kern w:val="0"/>
                <w:sz w:val="21"/>
                <w:szCs w:val="21"/>
              </w:rPr>
              <w:t>数字控制器</w:t>
            </w:r>
          </w:p>
        </w:tc>
        <w:tc>
          <w:tcPr>
            <w:tcW w:w="2953" w:type="pct"/>
            <w:shd w:val="clear" w:color="auto" w:fill="auto"/>
            <w:vAlign w:val="center"/>
          </w:tcPr>
          <w:p w14:paraId="7979894D">
            <w:pPr>
              <w:widowControl/>
              <w:jc w:val="left"/>
              <w:rPr>
                <w:rFonts w:hint="eastAsia" w:cs="宋体" w:asciiTheme="minorEastAsia" w:hAnsiTheme="minorEastAsia"/>
                <w:kern w:val="0"/>
                <w:sz w:val="21"/>
                <w:szCs w:val="21"/>
              </w:rPr>
            </w:pPr>
            <w:r>
              <w:rPr>
                <w:rFonts w:hint="eastAsia" w:cs="宋体" w:asciiTheme="minorEastAsia" w:hAnsiTheme="minorEastAsia"/>
                <w:kern w:val="0"/>
                <w:sz w:val="21"/>
                <w:szCs w:val="21"/>
              </w:rPr>
              <w:t>10bit高精度推子，支持主流DAW软件，兼容MAC/WIN系统，背光按键，低延时，LED显示屏</w:t>
            </w:r>
          </w:p>
        </w:tc>
        <w:tc>
          <w:tcPr>
            <w:tcW w:w="350" w:type="pct"/>
            <w:shd w:val="clear" w:color="auto" w:fill="auto"/>
            <w:vAlign w:val="center"/>
          </w:tcPr>
          <w:p w14:paraId="3B1B1345">
            <w:pPr>
              <w:widowControl/>
              <w:jc w:val="center"/>
              <w:rPr>
                <w:rFonts w:hint="eastAsia"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425E431F">
            <w:pPr>
              <w:widowControl/>
              <w:jc w:val="center"/>
              <w:rPr>
                <w:rFonts w:hint="eastAsia"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2F4021FE">
            <w:pPr>
              <w:widowControl/>
              <w:jc w:val="left"/>
              <w:rPr>
                <w:rFonts w:hint="eastAsia" w:cs="宋体" w:asciiTheme="minorEastAsia" w:hAnsiTheme="minorEastAsia"/>
                <w:color w:val="000000"/>
                <w:kern w:val="0"/>
                <w:sz w:val="21"/>
                <w:szCs w:val="21"/>
              </w:rPr>
            </w:pPr>
          </w:p>
        </w:tc>
      </w:tr>
      <w:tr w14:paraId="62595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2E35B956">
            <w:pPr>
              <w:widowControl/>
              <w:jc w:val="center"/>
              <w:rPr>
                <w:rFonts w:hint="eastAsia"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r>
              <w:rPr>
                <w:rFonts w:cs="宋体" w:asciiTheme="minorEastAsia" w:hAnsiTheme="minorEastAsia"/>
                <w:color w:val="000000"/>
                <w:kern w:val="0"/>
                <w:sz w:val="21"/>
                <w:szCs w:val="21"/>
              </w:rPr>
              <w:t>8</w:t>
            </w:r>
          </w:p>
        </w:tc>
        <w:tc>
          <w:tcPr>
            <w:tcW w:w="551" w:type="pct"/>
            <w:shd w:val="clear" w:color="auto" w:fill="auto"/>
            <w:noWrap/>
            <w:vAlign w:val="center"/>
          </w:tcPr>
          <w:p w14:paraId="72CC37FF">
            <w:pPr>
              <w:widowControl/>
              <w:jc w:val="left"/>
              <w:rPr>
                <w:sz w:val="21"/>
                <w:szCs w:val="21"/>
              </w:rPr>
            </w:pPr>
            <w:r>
              <w:rPr>
                <w:rFonts w:hint="eastAsia"/>
                <w:sz w:val="21"/>
                <w:szCs w:val="21"/>
              </w:rPr>
              <w:t>音频接口</w:t>
            </w:r>
          </w:p>
        </w:tc>
        <w:tc>
          <w:tcPr>
            <w:tcW w:w="2953" w:type="pct"/>
            <w:shd w:val="clear" w:color="auto" w:fill="auto"/>
            <w:vAlign w:val="center"/>
          </w:tcPr>
          <w:p w14:paraId="39A11F14">
            <w:pPr>
              <w:rPr>
                <w:rFonts w:hint="eastAsia"/>
                <w:sz w:val="21"/>
                <w:szCs w:val="21"/>
              </w:rPr>
            </w:pPr>
            <w:r>
              <w:rPr>
                <w:rFonts w:hint="eastAsia"/>
                <w:sz w:val="21"/>
                <w:szCs w:val="21"/>
              </w:rPr>
              <w:t>24 输入通道</w:t>
            </w:r>
            <w:r>
              <w:rPr>
                <w:rFonts w:hint="eastAsia"/>
                <w:sz w:val="21"/>
                <w:szCs w:val="21"/>
              </w:rPr>
              <w:br w:type="textWrapping"/>
            </w:r>
            <w:r>
              <w:rPr>
                <w:rFonts w:hint="eastAsia"/>
                <w:sz w:val="21"/>
                <w:szCs w:val="21"/>
              </w:rPr>
              <w:t>32 输出通道 (连接USB的时候可同时使用24个)</w:t>
            </w:r>
            <w:r>
              <w:rPr>
                <w:rFonts w:hint="eastAsia"/>
                <w:sz w:val="21"/>
                <w:szCs w:val="21"/>
              </w:rPr>
              <w:br w:type="textWrapping"/>
            </w:r>
            <w:r>
              <w:rPr>
                <w:rFonts w:hint="eastAsia"/>
                <w:sz w:val="21"/>
                <w:szCs w:val="21"/>
              </w:rPr>
              <w:t>8个 A 类 Audient Console 级别的话放</w:t>
            </w:r>
            <w:r>
              <w:rPr>
                <w:rFonts w:hint="eastAsia"/>
                <w:sz w:val="21"/>
                <w:szCs w:val="21"/>
              </w:rPr>
              <w:br w:type="textWrapping"/>
            </w:r>
            <w:r>
              <w:rPr>
                <w:rFonts w:hint="eastAsia"/>
                <w:sz w:val="21"/>
                <w:szCs w:val="21"/>
              </w:rPr>
              <w:t>高级的 AD/DA 转换器</w:t>
            </w:r>
            <w:r>
              <w:rPr>
                <w:rFonts w:hint="eastAsia"/>
                <w:sz w:val="21"/>
                <w:szCs w:val="21"/>
              </w:rPr>
              <w:br w:type="textWrapping"/>
            </w:r>
            <w:r>
              <w:rPr>
                <w:rFonts w:hint="eastAsia"/>
                <w:sz w:val="21"/>
                <w:szCs w:val="21"/>
              </w:rPr>
              <w:t>双分立 JFET Instrument 输入</w:t>
            </w:r>
            <w:r>
              <w:rPr>
                <w:rFonts w:hint="eastAsia"/>
                <w:sz w:val="21"/>
                <w:szCs w:val="21"/>
              </w:rPr>
              <w:br w:type="textWrapping"/>
            </w:r>
            <w:r>
              <w:rPr>
                <w:rFonts w:hint="eastAsia"/>
                <w:sz w:val="21"/>
                <w:szCs w:val="21"/>
              </w:rPr>
              <w:t>主输出和辅助音箱输出</w:t>
            </w:r>
            <w:r>
              <w:rPr>
                <w:rFonts w:hint="eastAsia"/>
                <w:sz w:val="21"/>
                <w:szCs w:val="21"/>
              </w:rPr>
              <w:br w:type="textWrapping"/>
            </w:r>
            <w:r>
              <w:rPr>
                <w:rFonts w:hint="eastAsia"/>
                <w:sz w:val="21"/>
                <w:szCs w:val="21"/>
              </w:rPr>
              <w:t>双独立的耳机输出</w:t>
            </w:r>
            <w:r>
              <w:rPr>
                <w:rFonts w:hint="eastAsia"/>
                <w:sz w:val="21"/>
                <w:szCs w:val="21"/>
              </w:rPr>
              <w:br w:type="textWrapping"/>
            </w:r>
            <w:r>
              <w:rPr>
                <w:rFonts w:hint="eastAsia"/>
                <w:sz w:val="21"/>
                <w:szCs w:val="21"/>
              </w:rPr>
              <w:t>双 ADAT 输入和输出</w:t>
            </w:r>
            <w:r>
              <w:rPr>
                <w:rFonts w:hint="eastAsia"/>
                <w:sz w:val="21"/>
                <w:szCs w:val="21"/>
              </w:rPr>
              <w:br w:type="textWrapping"/>
            </w:r>
            <w:r>
              <w:rPr>
                <w:rFonts w:hint="eastAsia"/>
                <w:sz w:val="21"/>
                <w:szCs w:val="21"/>
              </w:rPr>
              <w:t>8 个可切换的平衡插入输入接口</w:t>
            </w:r>
            <w:r>
              <w:rPr>
                <w:rFonts w:hint="eastAsia"/>
                <w:sz w:val="21"/>
                <w:szCs w:val="21"/>
              </w:rPr>
              <w:br w:type="textWrapping"/>
            </w:r>
            <w:r>
              <w:rPr>
                <w:rFonts w:hint="eastAsia"/>
                <w:sz w:val="21"/>
                <w:szCs w:val="21"/>
              </w:rPr>
              <w:t>超低延迟软件调音台</w:t>
            </w:r>
            <w:r>
              <w:rPr>
                <w:rFonts w:hint="eastAsia"/>
                <w:sz w:val="21"/>
                <w:szCs w:val="21"/>
              </w:rPr>
              <w:br w:type="textWrapping"/>
            </w:r>
            <w:r>
              <w:rPr>
                <w:rFonts w:hint="eastAsia"/>
                <w:sz w:val="21"/>
                <w:szCs w:val="21"/>
              </w:rPr>
              <w:t>音频 Loop-back 内录</w:t>
            </w:r>
            <w:r>
              <w:rPr>
                <w:rFonts w:hint="eastAsia"/>
                <w:sz w:val="21"/>
                <w:szCs w:val="21"/>
              </w:rPr>
              <w:br w:type="textWrapping"/>
            </w:r>
            <w:r>
              <w:rPr>
                <w:rFonts w:hint="eastAsia"/>
                <w:sz w:val="21"/>
                <w:szCs w:val="21"/>
              </w:rPr>
              <w:t>ScrollControl</w:t>
            </w:r>
            <w:r>
              <w:rPr>
                <w:rFonts w:hint="eastAsia"/>
                <w:sz w:val="21"/>
                <w:szCs w:val="21"/>
              </w:rPr>
              <w:br w:type="textWrapping"/>
            </w:r>
            <w:r>
              <w:rPr>
                <w:rFonts w:hint="eastAsia"/>
                <w:sz w:val="21"/>
                <w:szCs w:val="21"/>
              </w:rPr>
              <w:t>独立的辅助音箱和对讲控制</w:t>
            </w:r>
            <w:r>
              <w:rPr>
                <w:rFonts w:hint="eastAsia"/>
                <w:sz w:val="21"/>
                <w:szCs w:val="21"/>
              </w:rPr>
              <w:br w:type="textWrapping"/>
            </w:r>
            <w:r>
              <w:rPr>
                <w:rFonts w:hint="eastAsia"/>
                <w:sz w:val="21"/>
                <w:szCs w:val="21"/>
              </w:rPr>
              <w:t>双可自定义的功能键</w:t>
            </w:r>
            <w:r>
              <w:rPr>
                <w:rFonts w:hint="eastAsia"/>
                <w:sz w:val="21"/>
                <w:szCs w:val="21"/>
              </w:rPr>
              <w:br w:type="textWrapping"/>
            </w:r>
            <w:r>
              <w:rPr>
                <w:rFonts w:hint="eastAsia"/>
                <w:sz w:val="21"/>
                <w:szCs w:val="21"/>
              </w:rPr>
              <w:t>+48V 幻象供电, Pad 衰减, +10dB 增益, 极性反转和高通滤波控制</w:t>
            </w:r>
            <w:r>
              <w:rPr>
                <w:rFonts w:hint="eastAsia"/>
                <w:sz w:val="21"/>
                <w:szCs w:val="21"/>
              </w:rPr>
              <w:br w:type="textWrapping"/>
            </w:r>
            <w:r>
              <w:rPr>
                <w:rFonts w:hint="eastAsia"/>
                <w:sz w:val="21"/>
                <w:szCs w:val="21"/>
              </w:rPr>
              <w:t>字时钟输入和输出</w:t>
            </w:r>
            <w:r>
              <w:rPr>
                <w:rFonts w:hint="eastAsia"/>
                <w:sz w:val="21"/>
                <w:szCs w:val="21"/>
              </w:rPr>
              <w:br w:type="textWrapping"/>
            </w:r>
            <w:r>
              <w:rPr>
                <w:rFonts w:hint="eastAsia"/>
                <w:sz w:val="21"/>
                <w:szCs w:val="21"/>
              </w:rPr>
              <w:t>可独立工作</w:t>
            </w:r>
            <w:r>
              <w:rPr>
                <w:rFonts w:hint="eastAsia"/>
                <w:sz w:val="21"/>
                <w:szCs w:val="21"/>
              </w:rPr>
              <w:br w:type="textWrapping"/>
            </w:r>
            <w:r>
              <w:rPr>
                <w:rFonts w:hint="eastAsia"/>
                <w:sz w:val="21"/>
                <w:szCs w:val="21"/>
              </w:rPr>
              <w:t>带开关机键</w:t>
            </w:r>
            <w:r>
              <w:rPr>
                <w:rFonts w:hint="eastAsia"/>
                <w:sz w:val="21"/>
                <w:szCs w:val="21"/>
              </w:rPr>
              <w:br w:type="textWrapping"/>
            </w:r>
            <w:r>
              <w:rPr>
                <w:rFonts w:hint="eastAsia"/>
                <w:sz w:val="21"/>
                <w:szCs w:val="21"/>
              </w:rPr>
              <w:t>USB 2.0 (24进 / 24出)</w:t>
            </w:r>
            <w:r>
              <w:rPr>
                <w:rFonts w:hint="eastAsia"/>
                <w:sz w:val="21"/>
                <w:szCs w:val="21"/>
              </w:rPr>
              <w:br w:type="textWrapping"/>
            </w:r>
            <w:r>
              <w:rPr>
                <w:rFonts w:hint="eastAsia"/>
                <w:sz w:val="21"/>
                <w:szCs w:val="21"/>
              </w:rPr>
              <w:t>24bit/96kHz</w:t>
            </w:r>
            <w:r>
              <w:rPr>
                <w:rFonts w:hint="eastAsia"/>
                <w:sz w:val="21"/>
                <w:szCs w:val="21"/>
              </w:rPr>
              <w:br w:type="textWrapping"/>
            </w:r>
            <w:r>
              <w:rPr>
                <w:rFonts w:hint="eastAsia"/>
                <w:sz w:val="21"/>
                <w:szCs w:val="21"/>
              </w:rPr>
              <w:t>可拆线的机架耳朵</w:t>
            </w:r>
            <w:r>
              <w:rPr>
                <w:rFonts w:hint="eastAsia"/>
                <w:sz w:val="21"/>
                <w:szCs w:val="21"/>
              </w:rPr>
              <w:br w:type="textWrapping"/>
            </w:r>
            <w:r>
              <w:rPr>
                <w:rFonts w:hint="eastAsia"/>
                <w:sz w:val="21"/>
                <w:szCs w:val="21"/>
              </w:rPr>
              <w:t>全金属设计</w:t>
            </w:r>
          </w:p>
        </w:tc>
        <w:tc>
          <w:tcPr>
            <w:tcW w:w="350" w:type="pct"/>
            <w:shd w:val="clear" w:color="auto" w:fill="auto"/>
            <w:vAlign w:val="center"/>
          </w:tcPr>
          <w:p w14:paraId="74037BFF">
            <w:pPr>
              <w:widowControl/>
              <w:jc w:val="center"/>
              <w:rPr>
                <w:rFonts w:hint="eastAsia" w:cs="宋体" w:asciiTheme="minorEastAsia" w:hAnsiTheme="minorEastAsia"/>
                <w:color w:val="000000"/>
                <w:kern w:val="0"/>
                <w:sz w:val="21"/>
                <w:szCs w:val="21"/>
              </w:rPr>
            </w:pPr>
          </w:p>
        </w:tc>
        <w:tc>
          <w:tcPr>
            <w:tcW w:w="391" w:type="pct"/>
            <w:shd w:val="clear" w:color="auto" w:fill="auto"/>
            <w:noWrap/>
            <w:vAlign w:val="center"/>
          </w:tcPr>
          <w:p w14:paraId="7C2F76EE">
            <w:pPr>
              <w:widowControl/>
              <w:jc w:val="center"/>
              <w:rPr>
                <w:rFonts w:hint="eastAsia" w:cs="宋体" w:asciiTheme="minorEastAsia" w:hAnsiTheme="minorEastAsia"/>
                <w:color w:val="000000"/>
                <w:kern w:val="0"/>
                <w:sz w:val="21"/>
                <w:szCs w:val="21"/>
              </w:rPr>
            </w:pPr>
          </w:p>
        </w:tc>
        <w:tc>
          <w:tcPr>
            <w:tcW w:w="435" w:type="pct"/>
            <w:shd w:val="clear" w:color="auto" w:fill="auto"/>
            <w:noWrap/>
            <w:vAlign w:val="center"/>
          </w:tcPr>
          <w:p w14:paraId="3815FEF4">
            <w:pPr>
              <w:widowControl/>
              <w:jc w:val="left"/>
              <w:rPr>
                <w:rFonts w:hint="eastAsia" w:cs="宋体" w:asciiTheme="minorEastAsia" w:hAnsiTheme="minorEastAsia"/>
                <w:color w:val="000000"/>
                <w:kern w:val="0"/>
                <w:sz w:val="21"/>
                <w:szCs w:val="21"/>
              </w:rPr>
            </w:pPr>
          </w:p>
        </w:tc>
      </w:tr>
      <w:tr w14:paraId="76FA7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206E87A6">
            <w:pPr>
              <w:widowControl/>
              <w:jc w:val="center"/>
              <w:rPr>
                <w:rFonts w:hint="eastAsia"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r>
              <w:rPr>
                <w:rFonts w:cs="宋体" w:asciiTheme="minorEastAsia" w:hAnsiTheme="minorEastAsia"/>
                <w:color w:val="000000"/>
                <w:kern w:val="0"/>
                <w:sz w:val="21"/>
                <w:szCs w:val="21"/>
              </w:rPr>
              <w:t>9</w:t>
            </w:r>
          </w:p>
        </w:tc>
        <w:tc>
          <w:tcPr>
            <w:tcW w:w="551" w:type="pct"/>
            <w:shd w:val="clear" w:color="auto" w:fill="auto"/>
            <w:noWrap/>
            <w:vAlign w:val="center"/>
          </w:tcPr>
          <w:p w14:paraId="01059EFF">
            <w:pPr>
              <w:rPr>
                <w:rFonts w:hint="eastAsia"/>
                <w:sz w:val="21"/>
                <w:szCs w:val="21"/>
              </w:rPr>
            </w:pPr>
            <w:r>
              <w:rPr>
                <w:rFonts w:hint="eastAsia"/>
                <w:sz w:val="21"/>
                <w:szCs w:val="21"/>
              </w:rPr>
              <w:t>话放</w:t>
            </w:r>
          </w:p>
        </w:tc>
        <w:tc>
          <w:tcPr>
            <w:tcW w:w="2953" w:type="pct"/>
            <w:shd w:val="clear" w:color="auto" w:fill="auto"/>
            <w:vAlign w:val="center"/>
          </w:tcPr>
          <w:p w14:paraId="6869F2E4">
            <w:pPr>
              <w:rPr>
                <w:rFonts w:hint="eastAsia"/>
                <w:sz w:val="21"/>
                <w:szCs w:val="21"/>
              </w:rPr>
            </w:pPr>
            <w:r>
              <w:rPr>
                <w:rFonts w:hint="eastAsia"/>
                <w:sz w:val="21"/>
                <w:szCs w:val="21"/>
              </w:rPr>
              <w:t>机架：带240V/110V电源电压输入选择器开关</w:t>
            </w:r>
            <w:r>
              <w:rPr>
                <w:rFonts w:hint="eastAsia"/>
                <w:sz w:val="21"/>
                <w:szCs w:val="21"/>
              </w:rPr>
              <w:br w:type="textWrapping"/>
            </w:r>
            <w:r>
              <w:rPr>
                <w:rFonts w:hint="eastAsia"/>
                <w:sz w:val="21"/>
                <w:szCs w:val="21"/>
              </w:rPr>
              <w:t>A类(DSOP2)输出规格。频率响应:20Hz至20kHz +- 0.5dB，最大输出= +26dBu @ 1kHz，噪声= -90dB @ 20Hz至20kHz。</w:t>
            </w:r>
            <w:r>
              <w:rPr>
                <w:rFonts w:hint="eastAsia"/>
                <w:sz w:val="21"/>
                <w:szCs w:val="21"/>
              </w:rPr>
              <w:br w:type="textWrapping"/>
            </w:r>
            <w:r>
              <w:rPr>
                <w:rFonts w:hint="eastAsia"/>
                <w:sz w:val="21"/>
                <w:szCs w:val="21"/>
              </w:rPr>
              <w:t>输出连接:XLR和TRS 1/4英寸插孔在后面</w:t>
            </w:r>
            <w:r>
              <w:rPr>
                <w:rFonts w:hint="eastAsia"/>
                <w:sz w:val="21"/>
                <w:szCs w:val="21"/>
              </w:rPr>
              <w:br w:type="textWrapping"/>
            </w:r>
            <w:r>
              <w:rPr>
                <w:rFonts w:hint="eastAsia"/>
                <w:sz w:val="21"/>
                <w:szCs w:val="21"/>
              </w:rPr>
              <w:t>麦克风输入:XLR的前面和后面板上</w:t>
            </w:r>
            <w:r>
              <w:rPr>
                <w:rFonts w:hint="eastAsia"/>
                <w:sz w:val="21"/>
                <w:szCs w:val="21"/>
              </w:rPr>
              <w:br w:type="textWrapping"/>
            </w:r>
            <w:r>
              <w:rPr>
                <w:rFonts w:hint="eastAsia"/>
                <w:sz w:val="21"/>
                <w:szCs w:val="21"/>
              </w:rPr>
              <w:t>10K话筒阻抗</w:t>
            </w:r>
            <w:r>
              <w:rPr>
                <w:rFonts w:hint="eastAsia"/>
                <w:sz w:val="21"/>
                <w:szCs w:val="21"/>
              </w:rPr>
              <w:br w:type="textWrapping"/>
            </w:r>
            <w:r>
              <w:rPr>
                <w:rFonts w:hint="eastAsia"/>
                <w:sz w:val="21"/>
                <w:szCs w:val="21"/>
              </w:rPr>
              <w:t>A类DSOP-2离散输出级驱动，</w:t>
            </w:r>
            <w:r>
              <w:rPr>
                <w:rFonts w:hint="eastAsia"/>
                <w:sz w:val="21"/>
                <w:szCs w:val="21"/>
              </w:rPr>
              <w:br w:type="textWrapping"/>
            </w:r>
            <w:r>
              <w:rPr>
                <w:rFonts w:hint="eastAsia"/>
                <w:sz w:val="21"/>
                <w:szCs w:val="21"/>
              </w:rPr>
              <w:t>单独接地:按钮开关</w:t>
            </w:r>
            <w:r>
              <w:rPr>
                <w:rFonts w:hint="eastAsia"/>
                <w:sz w:val="21"/>
                <w:szCs w:val="21"/>
              </w:rPr>
              <w:br w:type="textWrapping"/>
            </w:r>
            <w:r>
              <w:rPr>
                <w:rFonts w:hint="eastAsia"/>
                <w:sz w:val="21"/>
                <w:szCs w:val="21"/>
              </w:rPr>
              <w:t>增益范围(麦克风输入):-30到-70，</w:t>
            </w:r>
            <w:r>
              <w:rPr>
                <w:rFonts w:hint="eastAsia"/>
                <w:sz w:val="21"/>
                <w:szCs w:val="21"/>
              </w:rPr>
              <w:br w:type="textWrapping"/>
            </w:r>
            <w:r>
              <w:rPr>
                <w:rFonts w:hint="eastAsia"/>
                <w:sz w:val="21"/>
                <w:szCs w:val="21"/>
              </w:rPr>
              <w:t>增益降低:-15dB按钮板开关(仅麦克风输入)</w:t>
            </w:r>
            <w:r>
              <w:rPr>
                <w:rFonts w:hint="eastAsia"/>
                <w:sz w:val="21"/>
                <w:szCs w:val="21"/>
              </w:rPr>
              <w:br w:type="textWrapping"/>
            </w:r>
            <w:r>
              <w:rPr>
                <w:rFonts w:hint="eastAsia"/>
                <w:sz w:val="21"/>
                <w:szCs w:val="21"/>
              </w:rPr>
              <w:t>高输入阻抗DI:前面板上的单声道1/4”插孔</w:t>
            </w:r>
            <w:r>
              <w:rPr>
                <w:rFonts w:hint="eastAsia"/>
                <w:sz w:val="21"/>
                <w:szCs w:val="21"/>
              </w:rPr>
              <w:br w:type="textWrapping"/>
            </w:r>
            <w:r>
              <w:rPr>
                <w:rFonts w:hint="eastAsia"/>
                <w:sz w:val="21"/>
                <w:szCs w:val="21"/>
              </w:rPr>
              <w:t>增益计:LED计量。(绿色= 0dB，红色= +8dB，对应于PPM表上的“4”和“6”)</w:t>
            </w:r>
            <w:r>
              <w:rPr>
                <w:rFonts w:hint="eastAsia"/>
                <w:sz w:val="21"/>
                <w:szCs w:val="21"/>
              </w:rPr>
              <w:br w:type="textWrapping"/>
            </w:r>
            <w:r>
              <w:rPr>
                <w:rFonts w:hint="eastAsia"/>
                <w:sz w:val="21"/>
                <w:szCs w:val="21"/>
              </w:rPr>
              <w:t>幻像电源:按钮开关可切换</w:t>
            </w:r>
            <w:r>
              <w:rPr>
                <w:rFonts w:hint="eastAsia"/>
                <w:sz w:val="21"/>
                <w:szCs w:val="21"/>
              </w:rPr>
              <w:br w:type="textWrapping"/>
            </w:r>
            <w:r>
              <w:rPr>
                <w:rFonts w:hint="eastAsia"/>
                <w:sz w:val="21"/>
                <w:szCs w:val="21"/>
              </w:rPr>
              <w:t>高通滤波器:按钮开关</w:t>
            </w:r>
            <w:r>
              <w:rPr>
                <w:rFonts w:hint="eastAsia"/>
                <w:sz w:val="21"/>
                <w:szCs w:val="21"/>
              </w:rPr>
              <w:br w:type="textWrapping"/>
            </w:r>
            <w:r>
              <w:rPr>
                <w:rFonts w:hint="eastAsia"/>
                <w:sz w:val="21"/>
                <w:szCs w:val="21"/>
              </w:rPr>
              <w:t>70hz至400hz可变滤波器控制</w:t>
            </w:r>
            <w:r>
              <w:rPr>
                <w:rFonts w:hint="eastAsia"/>
                <w:sz w:val="21"/>
                <w:szCs w:val="21"/>
              </w:rPr>
              <w:br w:type="textWrapping"/>
            </w:r>
            <w:r>
              <w:rPr>
                <w:rFonts w:hint="eastAsia"/>
                <w:sz w:val="21"/>
                <w:szCs w:val="21"/>
              </w:rPr>
              <w:t>反相:按钮开关</w:t>
            </w:r>
            <w:r>
              <w:rPr>
                <w:rFonts w:hint="eastAsia"/>
                <w:sz w:val="21"/>
                <w:szCs w:val="21"/>
              </w:rPr>
              <w:br w:type="textWrapping"/>
            </w:r>
            <w:r>
              <w:rPr>
                <w:rFonts w:hint="eastAsia"/>
                <w:sz w:val="21"/>
                <w:szCs w:val="21"/>
              </w:rPr>
              <w:t>频率响应:-0.4dB @ 40Hz，-0.3dB @ 25kHz</w:t>
            </w:r>
            <w:r>
              <w:rPr>
                <w:rFonts w:hint="eastAsia"/>
                <w:sz w:val="21"/>
                <w:szCs w:val="21"/>
              </w:rPr>
              <w:br w:type="textWrapping"/>
            </w:r>
            <w:r>
              <w:rPr>
                <w:rFonts w:hint="eastAsia"/>
                <w:sz w:val="21"/>
                <w:szCs w:val="21"/>
              </w:rPr>
              <w:t>频率响应:DI输入级:40Hz时:-0.3dB，25kHz时0.5dB</w:t>
            </w:r>
            <w:r>
              <w:rPr>
                <w:rFonts w:hint="eastAsia"/>
                <w:sz w:val="21"/>
                <w:szCs w:val="21"/>
              </w:rPr>
              <w:br w:type="textWrapping"/>
            </w:r>
            <w:r>
              <w:rPr>
                <w:rFonts w:hint="eastAsia"/>
                <w:sz w:val="21"/>
                <w:szCs w:val="21"/>
              </w:rPr>
              <w:t>麦克风前置级+26dB</w:t>
            </w:r>
            <w:r>
              <w:rPr>
                <w:rFonts w:hint="eastAsia"/>
                <w:sz w:val="21"/>
                <w:szCs w:val="21"/>
              </w:rPr>
              <w:br w:type="textWrapping"/>
            </w:r>
            <w:r>
              <w:rPr>
                <w:rFonts w:hint="eastAsia"/>
                <w:sz w:val="21"/>
                <w:szCs w:val="21"/>
              </w:rPr>
              <w:t>DI级增益:最大30dB</w:t>
            </w:r>
          </w:p>
        </w:tc>
        <w:tc>
          <w:tcPr>
            <w:tcW w:w="350" w:type="pct"/>
            <w:shd w:val="clear" w:color="auto" w:fill="auto"/>
            <w:vAlign w:val="center"/>
          </w:tcPr>
          <w:p w14:paraId="19A3BE6D">
            <w:pPr>
              <w:widowControl/>
              <w:jc w:val="center"/>
              <w:rPr>
                <w:rFonts w:hint="eastAsia" w:cs="宋体" w:asciiTheme="minorEastAsia" w:hAnsiTheme="minorEastAsia"/>
                <w:color w:val="000000"/>
                <w:kern w:val="0"/>
                <w:sz w:val="21"/>
                <w:szCs w:val="21"/>
              </w:rPr>
            </w:pPr>
          </w:p>
        </w:tc>
        <w:tc>
          <w:tcPr>
            <w:tcW w:w="391" w:type="pct"/>
            <w:shd w:val="clear" w:color="auto" w:fill="auto"/>
            <w:noWrap/>
            <w:vAlign w:val="center"/>
          </w:tcPr>
          <w:p w14:paraId="570C4D79">
            <w:pPr>
              <w:widowControl/>
              <w:jc w:val="center"/>
              <w:rPr>
                <w:rFonts w:hint="eastAsia" w:cs="宋体" w:asciiTheme="minorEastAsia" w:hAnsiTheme="minorEastAsia"/>
                <w:color w:val="000000"/>
                <w:kern w:val="0"/>
                <w:sz w:val="21"/>
                <w:szCs w:val="21"/>
              </w:rPr>
            </w:pPr>
          </w:p>
        </w:tc>
        <w:tc>
          <w:tcPr>
            <w:tcW w:w="435" w:type="pct"/>
            <w:shd w:val="clear" w:color="auto" w:fill="auto"/>
            <w:noWrap/>
            <w:vAlign w:val="center"/>
          </w:tcPr>
          <w:p w14:paraId="4EBC365A">
            <w:pPr>
              <w:widowControl/>
              <w:jc w:val="left"/>
              <w:rPr>
                <w:rFonts w:hint="eastAsia" w:cs="宋体" w:asciiTheme="minorEastAsia" w:hAnsiTheme="minorEastAsia"/>
                <w:color w:val="000000"/>
                <w:kern w:val="0"/>
                <w:sz w:val="21"/>
                <w:szCs w:val="21"/>
              </w:rPr>
            </w:pPr>
          </w:p>
        </w:tc>
      </w:tr>
      <w:tr w14:paraId="5D3E0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5A059C7E">
            <w:pPr>
              <w:widowControl/>
              <w:jc w:val="center"/>
              <w:rPr>
                <w:rFonts w:hint="eastAsia" w:cs="宋体" w:asciiTheme="minorEastAsia" w:hAnsiTheme="minorEastAsia"/>
                <w:color w:val="000000"/>
                <w:kern w:val="0"/>
                <w:sz w:val="21"/>
                <w:szCs w:val="21"/>
              </w:rPr>
            </w:pPr>
            <w:r>
              <w:rPr>
                <w:rFonts w:hint="eastAsia" w:cs="宋体" w:asciiTheme="minorEastAsia" w:hAnsiTheme="minorEastAsia"/>
                <w:color w:val="000000"/>
                <w:kern w:val="0"/>
                <w:sz w:val="21"/>
                <w:szCs w:val="21"/>
              </w:rPr>
              <w:t>2</w:t>
            </w:r>
            <w:r>
              <w:rPr>
                <w:rFonts w:cs="宋体" w:asciiTheme="minorEastAsia" w:hAnsiTheme="minorEastAsia"/>
                <w:color w:val="000000"/>
                <w:kern w:val="0"/>
                <w:sz w:val="21"/>
                <w:szCs w:val="21"/>
              </w:rPr>
              <w:t>0</w:t>
            </w:r>
          </w:p>
        </w:tc>
        <w:tc>
          <w:tcPr>
            <w:tcW w:w="551" w:type="pct"/>
            <w:shd w:val="clear" w:color="auto" w:fill="auto"/>
            <w:noWrap/>
            <w:vAlign w:val="center"/>
          </w:tcPr>
          <w:p w14:paraId="05A106F2">
            <w:pPr>
              <w:rPr>
                <w:rFonts w:hint="eastAsia"/>
                <w:sz w:val="21"/>
                <w:szCs w:val="21"/>
              </w:rPr>
            </w:pPr>
            <w:r>
              <w:rPr>
                <w:rFonts w:hint="eastAsia"/>
                <w:sz w:val="21"/>
                <w:szCs w:val="21"/>
              </w:rPr>
              <w:t>大震膜电容话筒</w:t>
            </w:r>
          </w:p>
        </w:tc>
        <w:tc>
          <w:tcPr>
            <w:tcW w:w="2953" w:type="pct"/>
            <w:shd w:val="clear" w:color="auto" w:fill="auto"/>
            <w:vAlign w:val="center"/>
          </w:tcPr>
          <w:p w14:paraId="2FDCAA57">
            <w:pPr>
              <w:rPr>
                <w:rFonts w:hint="eastAsia"/>
                <w:sz w:val="21"/>
                <w:szCs w:val="21"/>
              </w:rPr>
            </w:pPr>
            <w:r>
              <w:rPr>
                <w:rFonts w:hint="eastAsia"/>
                <w:sz w:val="21"/>
                <w:szCs w:val="21"/>
              </w:rPr>
              <w:t>元件:静电型电容式话筒</w:t>
            </w:r>
            <w:r>
              <w:rPr>
                <w:rFonts w:hint="eastAsia"/>
                <w:sz w:val="21"/>
                <w:szCs w:val="21"/>
              </w:rPr>
              <w:br w:type="textWrapping"/>
            </w:r>
            <w:r>
              <w:rPr>
                <w:rFonts w:hint="eastAsia"/>
                <w:sz w:val="21"/>
                <w:szCs w:val="21"/>
              </w:rPr>
              <w:t>指向性:单一指向性</w:t>
            </w:r>
            <w:r>
              <w:rPr>
                <w:rFonts w:hint="eastAsia"/>
                <w:sz w:val="21"/>
                <w:szCs w:val="21"/>
              </w:rPr>
              <w:br w:type="textWrapping"/>
            </w:r>
            <w:r>
              <w:rPr>
                <w:rFonts w:hint="eastAsia"/>
                <w:sz w:val="21"/>
                <w:szCs w:val="21"/>
              </w:rPr>
              <w:t>频率响应:20-20,000Hz</w:t>
            </w:r>
            <w:r>
              <w:rPr>
                <w:rFonts w:hint="eastAsia"/>
                <w:sz w:val="21"/>
                <w:szCs w:val="21"/>
              </w:rPr>
              <w:br w:type="textWrapping"/>
            </w:r>
            <w:r>
              <w:rPr>
                <w:rFonts w:hint="eastAsia"/>
                <w:sz w:val="21"/>
                <w:szCs w:val="21"/>
              </w:rPr>
              <w:t>高通滤波:80Hz,12dB/octave</w:t>
            </w:r>
            <w:r>
              <w:rPr>
                <w:rFonts w:hint="eastAsia"/>
                <w:sz w:val="21"/>
                <w:szCs w:val="21"/>
              </w:rPr>
              <w:br w:type="textWrapping"/>
            </w:r>
            <w:r>
              <w:rPr>
                <w:rFonts w:hint="eastAsia"/>
                <w:sz w:val="21"/>
                <w:szCs w:val="21"/>
              </w:rPr>
              <w:t>开路灵敏度:-32dB(25.1mV) re 1V at 1 Pa</w:t>
            </w:r>
            <w:r>
              <w:rPr>
                <w:rFonts w:hint="eastAsia"/>
                <w:sz w:val="21"/>
                <w:szCs w:val="21"/>
              </w:rPr>
              <w:br w:type="textWrapping"/>
            </w:r>
            <w:r>
              <w:rPr>
                <w:rFonts w:hint="eastAsia"/>
                <w:sz w:val="21"/>
                <w:szCs w:val="21"/>
              </w:rPr>
              <w:t>阻抗:100 ohms</w:t>
            </w:r>
            <w:r>
              <w:rPr>
                <w:rFonts w:hint="eastAsia"/>
                <w:sz w:val="21"/>
                <w:szCs w:val="21"/>
              </w:rPr>
              <w:br w:type="textWrapping"/>
            </w:r>
            <w:r>
              <w:rPr>
                <w:rFonts w:hint="eastAsia"/>
                <w:sz w:val="21"/>
                <w:szCs w:val="21"/>
              </w:rPr>
              <w:t>大输入声压级:145dB SPL(1 kHz,THD 1%)</w:t>
            </w:r>
            <w:r>
              <w:rPr>
                <w:rFonts w:hint="eastAsia"/>
                <w:sz w:val="21"/>
                <w:szCs w:val="21"/>
              </w:rPr>
              <w:br w:type="textWrapping"/>
            </w:r>
            <w:r>
              <w:rPr>
                <w:rFonts w:hint="eastAsia"/>
                <w:sz w:val="21"/>
                <w:szCs w:val="21"/>
              </w:rPr>
              <w:t>噪声:12dB SPL</w:t>
            </w:r>
            <w:r>
              <w:rPr>
                <w:rFonts w:hint="eastAsia"/>
                <w:sz w:val="21"/>
                <w:szCs w:val="21"/>
              </w:rPr>
              <w:br w:type="textWrapping"/>
            </w:r>
            <w:r>
              <w:rPr>
                <w:rFonts w:hint="eastAsia"/>
                <w:sz w:val="21"/>
                <w:szCs w:val="21"/>
              </w:rPr>
              <w:t>动态范围:133dB,1 kHz at Max SPL</w:t>
            </w:r>
            <w:r>
              <w:rPr>
                <w:rFonts w:hint="eastAsia"/>
                <w:sz w:val="21"/>
                <w:szCs w:val="21"/>
              </w:rPr>
              <w:br w:type="textWrapping"/>
            </w:r>
            <w:r>
              <w:rPr>
                <w:rFonts w:hint="eastAsia"/>
                <w:sz w:val="21"/>
                <w:szCs w:val="21"/>
              </w:rPr>
              <w:t>信噪比:82dB,1 kHz at 1 Pa</w:t>
            </w:r>
          </w:p>
        </w:tc>
        <w:tc>
          <w:tcPr>
            <w:tcW w:w="350" w:type="pct"/>
            <w:shd w:val="clear" w:color="auto" w:fill="auto"/>
            <w:vAlign w:val="center"/>
          </w:tcPr>
          <w:p w14:paraId="26338989">
            <w:pPr>
              <w:widowControl/>
              <w:jc w:val="center"/>
              <w:rPr>
                <w:rFonts w:hint="eastAsia" w:cs="宋体" w:asciiTheme="minorEastAsia" w:hAnsiTheme="minorEastAsia"/>
                <w:color w:val="000000"/>
                <w:kern w:val="0"/>
                <w:sz w:val="21"/>
                <w:szCs w:val="21"/>
              </w:rPr>
            </w:pPr>
          </w:p>
        </w:tc>
        <w:tc>
          <w:tcPr>
            <w:tcW w:w="391" w:type="pct"/>
            <w:shd w:val="clear" w:color="auto" w:fill="auto"/>
            <w:noWrap/>
            <w:vAlign w:val="center"/>
          </w:tcPr>
          <w:p w14:paraId="57FA2ABF">
            <w:pPr>
              <w:widowControl/>
              <w:jc w:val="center"/>
              <w:rPr>
                <w:rFonts w:hint="eastAsia" w:cs="宋体" w:asciiTheme="minorEastAsia" w:hAnsiTheme="minorEastAsia"/>
                <w:color w:val="000000"/>
                <w:kern w:val="0"/>
                <w:sz w:val="21"/>
                <w:szCs w:val="21"/>
              </w:rPr>
            </w:pPr>
          </w:p>
        </w:tc>
        <w:tc>
          <w:tcPr>
            <w:tcW w:w="435" w:type="pct"/>
            <w:shd w:val="clear" w:color="auto" w:fill="auto"/>
            <w:noWrap/>
            <w:vAlign w:val="center"/>
          </w:tcPr>
          <w:p w14:paraId="28F33012">
            <w:pPr>
              <w:widowControl/>
              <w:jc w:val="left"/>
              <w:rPr>
                <w:rFonts w:hint="eastAsia" w:cs="宋体" w:asciiTheme="minorEastAsia" w:hAnsiTheme="minorEastAsia"/>
                <w:color w:val="000000"/>
                <w:kern w:val="0"/>
                <w:sz w:val="21"/>
                <w:szCs w:val="21"/>
              </w:rPr>
            </w:pPr>
          </w:p>
        </w:tc>
      </w:tr>
      <w:tr w14:paraId="547CA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334AFC89">
            <w:pPr>
              <w:widowControl/>
              <w:jc w:val="center"/>
              <w:rPr>
                <w:rFonts w:hint="eastAsia" w:cs="宋体" w:asciiTheme="minorEastAsia" w:hAnsiTheme="minorEastAsia"/>
                <w:color w:val="000000"/>
                <w:kern w:val="0"/>
                <w:sz w:val="21"/>
                <w:szCs w:val="21"/>
              </w:rPr>
            </w:pPr>
            <w:r>
              <w:rPr>
                <w:rFonts w:hint="eastAsia" w:cs="宋体" w:asciiTheme="minorEastAsia" w:hAnsiTheme="minorEastAsia"/>
                <w:color w:val="000000"/>
                <w:kern w:val="0"/>
                <w:sz w:val="21"/>
                <w:szCs w:val="21"/>
              </w:rPr>
              <w:t>2</w:t>
            </w:r>
            <w:r>
              <w:rPr>
                <w:rFonts w:cs="宋体" w:asciiTheme="minorEastAsia" w:hAnsiTheme="minorEastAsia"/>
                <w:color w:val="000000"/>
                <w:kern w:val="0"/>
                <w:sz w:val="21"/>
                <w:szCs w:val="21"/>
              </w:rPr>
              <w:t>1</w:t>
            </w:r>
          </w:p>
        </w:tc>
        <w:tc>
          <w:tcPr>
            <w:tcW w:w="551" w:type="pct"/>
            <w:shd w:val="clear" w:color="auto" w:fill="auto"/>
            <w:noWrap/>
            <w:vAlign w:val="center"/>
          </w:tcPr>
          <w:p w14:paraId="544012B9">
            <w:pPr>
              <w:rPr>
                <w:rFonts w:hint="eastAsia"/>
                <w:sz w:val="21"/>
                <w:szCs w:val="21"/>
              </w:rPr>
            </w:pPr>
            <w:r>
              <w:rPr>
                <w:rFonts w:hint="eastAsia"/>
                <w:sz w:val="21"/>
                <w:szCs w:val="21"/>
              </w:rPr>
              <w:t>小震膜电容话筒</w:t>
            </w:r>
          </w:p>
        </w:tc>
        <w:tc>
          <w:tcPr>
            <w:tcW w:w="2953" w:type="pct"/>
            <w:shd w:val="clear" w:color="auto" w:fill="auto"/>
            <w:vAlign w:val="center"/>
          </w:tcPr>
          <w:p w14:paraId="331A4FF2">
            <w:pPr>
              <w:rPr>
                <w:rFonts w:hint="eastAsia"/>
                <w:sz w:val="21"/>
                <w:szCs w:val="21"/>
              </w:rPr>
            </w:pPr>
            <w:r>
              <w:rPr>
                <w:rFonts w:hint="eastAsia"/>
                <w:sz w:val="21"/>
                <w:szCs w:val="21"/>
              </w:rPr>
              <w:t>类 型：电容式话筒</w:t>
            </w:r>
            <w:r>
              <w:rPr>
                <w:rFonts w:hint="eastAsia"/>
                <w:sz w:val="21"/>
                <w:szCs w:val="21"/>
              </w:rPr>
              <w:br w:type="textWrapping"/>
            </w:r>
            <w:r>
              <w:rPr>
                <w:rFonts w:hint="eastAsia"/>
                <w:sz w:val="21"/>
                <w:szCs w:val="21"/>
              </w:rPr>
              <w:t>指向性：心型指向性</w:t>
            </w:r>
            <w:r>
              <w:rPr>
                <w:rFonts w:hint="eastAsia"/>
                <w:sz w:val="21"/>
                <w:szCs w:val="21"/>
              </w:rPr>
              <w:br w:type="textWrapping"/>
            </w:r>
            <w:r>
              <w:rPr>
                <w:rFonts w:hint="eastAsia"/>
                <w:sz w:val="21"/>
                <w:szCs w:val="21"/>
              </w:rPr>
              <w:t>频率响应：20~20000Hz</w:t>
            </w:r>
            <w:r>
              <w:rPr>
                <w:rFonts w:hint="eastAsia"/>
                <w:sz w:val="21"/>
                <w:szCs w:val="21"/>
              </w:rPr>
              <w:br w:type="textWrapping"/>
            </w:r>
            <w:r>
              <w:rPr>
                <w:rFonts w:hint="eastAsia"/>
                <w:sz w:val="21"/>
                <w:szCs w:val="21"/>
              </w:rPr>
              <w:t>灵敏度：-36 dB (15.8 mV),re 1V at 1 Pa</w:t>
            </w:r>
            <w:r>
              <w:rPr>
                <w:rFonts w:hint="eastAsia"/>
                <w:sz w:val="21"/>
                <w:szCs w:val="21"/>
              </w:rPr>
              <w:br w:type="textWrapping"/>
            </w:r>
            <w:r>
              <w:rPr>
                <w:rFonts w:hint="eastAsia"/>
                <w:sz w:val="21"/>
                <w:szCs w:val="21"/>
              </w:rPr>
              <w:t>阻抗：100 ohms</w:t>
            </w:r>
            <w:r>
              <w:rPr>
                <w:rFonts w:hint="eastAsia"/>
                <w:sz w:val="21"/>
                <w:szCs w:val="21"/>
              </w:rPr>
              <w:br w:type="textWrapping"/>
            </w:r>
            <w:r>
              <w:rPr>
                <w:rFonts w:hint="eastAsia"/>
                <w:sz w:val="21"/>
                <w:szCs w:val="21"/>
              </w:rPr>
              <w:t>输入声压级上限145 dB SPL,1 kHz at 1% T.H.D.</w:t>
            </w:r>
          </w:p>
        </w:tc>
        <w:tc>
          <w:tcPr>
            <w:tcW w:w="350" w:type="pct"/>
            <w:shd w:val="clear" w:color="auto" w:fill="auto"/>
            <w:vAlign w:val="center"/>
          </w:tcPr>
          <w:p w14:paraId="206633A4">
            <w:pPr>
              <w:widowControl/>
              <w:jc w:val="center"/>
              <w:rPr>
                <w:rFonts w:hint="eastAsia" w:cs="宋体" w:asciiTheme="minorEastAsia" w:hAnsiTheme="minorEastAsia"/>
                <w:color w:val="000000"/>
                <w:kern w:val="0"/>
                <w:sz w:val="21"/>
                <w:szCs w:val="21"/>
              </w:rPr>
            </w:pPr>
          </w:p>
        </w:tc>
        <w:tc>
          <w:tcPr>
            <w:tcW w:w="391" w:type="pct"/>
            <w:shd w:val="clear" w:color="auto" w:fill="auto"/>
            <w:noWrap/>
            <w:vAlign w:val="center"/>
          </w:tcPr>
          <w:p w14:paraId="338906AF">
            <w:pPr>
              <w:widowControl/>
              <w:jc w:val="center"/>
              <w:rPr>
                <w:rFonts w:hint="eastAsia" w:cs="宋体" w:asciiTheme="minorEastAsia" w:hAnsiTheme="minorEastAsia"/>
                <w:color w:val="000000"/>
                <w:kern w:val="0"/>
                <w:sz w:val="21"/>
                <w:szCs w:val="21"/>
              </w:rPr>
            </w:pPr>
          </w:p>
        </w:tc>
        <w:tc>
          <w:tcPr>
            <w:tcW w:w="435" w:type="pct"/>
            <w:shd w:val="clear" w:color="auto" w:fill="auto"/>
            <w:noWrap/>
            <w:vAlign w:val="center"/>
          </w:tcPr>
          <w:p w14:paraId="3B3761DE">
            <w:pPr>
              <w:widowControl/>
              <w:jc w:val="left"/>
              <w:rPr>
                <w:rFonts w:hint="eastAsia" w:cs="宋体" w:asciiTheme="minorEastAsia" w:hAnsiTheme="minorEastAsia"/>
                <w:color w:val="000000"/>
                <w:kern w:val="0"/>
                <w:sz w:val="21"/>
                <w:szCs w:val="21"/>
              </w:rPr>
            </w:pPr>
          </w:p>
        </w:tc>
      </w:tr>
      <w:tr w14:paraId="73E95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27F94FFF">
            <w:pPr>
              <w:widowControl/>
              <w:jc w:val="center"/>
              <w:rPr>
                <w:rFonts w:hint="eastAsia" w:cs="宋体" w:asciiTheme="minorEastAsia" w:hAnsiTheme="minorEastAsia"/>
                <w:color w:val="000000"/>
                <w:kern w:val="0"/>
                <w:sz w:val="21"/>
                <w:szCs w:val="21"/>
              </w:rPr>
            </w:pPr>
            <w:r>
              <w:rPr>
                <w:rFonts w:hint="eastAsia" w:cs="宋体" w:asciiTheme="minorEastAsia" w:hAnsiTheme="minorEastAsia"/>
                <w:color w:val="000000"/>
                <w:kern w:val="0"/>
                <w:sz w:val="21"/>
                <w:szCs w:val="21"/>
              </w:rPr>
              <w:t>2</w:t>
            </w:r>
            <w:r>
              <w:rPr>
                <w:rFonts w:cs="宋体" w:asciiTheme="minorEastAsia" w:hAnsiTheme="minorEastAsia"/>
                <w:color w:val="000000"/>
                <w:kern w:val="0"/>
                <w:sz w:val="21"/>
                <w:szCs w:val="21"/>
              </w:rPr>
              <w:t>2</w:t>
            </w:r>
          </w:p>
        </w:tc>
        <w:tc>
          <w:tcPr>
            <w:tcW w:w="551" w:type="pct"/>
            <w:shd w:val="clear" w:color="auto" w:fill="auto"/>
            <w:noWrap/>
            <w:vAlign w:val="center"/>
          </w:tcPr>
          <w:p w14:paraId="0BB35678">
            <w:pPr>
              <w:widowControl/>
              <w:jc w:val="left"/>
              <w:rPr>
                <w:sz w:val="21"/>
                <w:szCs w:val="21"/>
              </w:rPr>
            </w:pPr>
            <w:r>
              <w:rPr>
                <w:rFonts w:hint="eastAsia"/>
                <w:sz w:val="21"/>
                <w:szCs w:val="21"/>
              </w:rPr>
              <w:t>谱架</w:t>
            </w:r>
          </w:p>
        </w:tc>
        <w:tc>
          <w:tcPr>
            <w:tcW w:w="2953" w:type="pct"/>
            <w:shd w:val="clear" w:color="auto" w:fill="auto"/>
            <w:vAlign w:val="center"/>
          </w:tcPr>
          <w:p w14:paraId="0B3579C1">
            <w:pPr>
              <w:rPr>
                <w:rFonts w:hint="eastAsia"/>
                <w:sz w:val="21"/>
                <w:szCs w:val="21"/>
              </w:rPr>
            </w:pPr>
            <w:r>
              <w:rPr>
                <w:rFonts w:hint="eastAsia"/>
                <w:sz w:val="21"/>
                <w:szCs w:val="21"/>
              </w:rPr>
              <w:t>高度：65-110 cm</w:t>
            </w:r>
            <w:r>
              <w:rPr>
                <w:rFonts w:hint="eastAsia"/>
                <w:sz w:val="21"/>
                <w:szCs w:val="21"/>
              </w:rPr>
              <w:br w:type="textWrapping"/>
            </w:r>
            <w:r>
              <w:rPr>
                <w:rFonts w:hint="eastAsia"/>
                <w:sz w:val="21"/>
                <w:szCs w:val="21"/>
              </w:rPr>
              <w:t>重量：3.15 kg 　　</w:t>
            </w:r>
            <w:r>
              <w:rPr>
                <w:rFonts w:hint="eastAsia"/>
                <w:sz w:val="21"/>
                <w:szCs w:val="21"/>
              </w:rPr>
              <w:br w:type="textWrapping"/>
            </w:r>
            <w:r>
              <w:rPr>
                <w:rFonts w:hint="eastAsia"/>
                <w:sz w:val="21"/>
                <w:szCs w:val="21"/>
              </w:rPr>
              <w:t>底座：塑胶</w:t>
            </w:r>
            <w:r>
              <w:rPr>
                <w:rFonts w:hint="eastAsia"/>
                <w:sz w:val="21"/>
                <w:szCs w:val="21"/>
              </w:rPr>
              <w:br w:type="textWrapping"/>
            </w:r>
            <w:r>
              <w:rPr>
                <w:rFonts w:hint="eastAsia"/>
                <w:sz w:val="21"/>
                <w:szCs w:val="21"/>
              </w:rPr>
              <w:t>材质：铁</w:t>
            </w:r>
          </w:p>
        </w:tc>
        <w:tc>
          <w:tcPr>
            <w:tcW w:w="350" w:type="pct"/>
            <w:shd w:val="clear" w:color="auto" w:fill="auto"/>
            <w:vAlign w:val="center"/>
          </w:tcPr>
          <w:p w14:paraId="4EE32438">
            <w:pPr>
              <w:widowControl/>
              <w:jc w:val="center"/>
              <w:rPr>
                <w:rFonts w:hint="eastAsia" w:cs="宋体" w:asciiTheme="minorEastAsia" w:hAnsiTheme="minorEastAsia"/>
                <w:color w:val="000000"/>
                <w:kern w:val="0"/>
                <w:sz w:val="21"/>
                <w:szCs w:val="21"/>
              </w:rPr>
            </w:pPr>
          </w:p>
        </w:tc>
        <w:tc>
          <w:tcPr>
            <w:tcW w:w="391" w:type="pct"/>
            <w:shd w:val="clear" w:color="auto" w:fill="auto"/>
            <w:noWrap/>
            <w:vAlign w:val="center"/>
          </w:tcPr>
          <w:p w14:paraId="236C7622">
            <w:pPr>
              <w:widowControl/>
              <w:jc w:val="center"/>
              <w:rPr>
                <w:rFonts w:hint="eastAsia" w:cs="宋体" w:asciiTheme="minorEastAsia" w:hAnsiTheme="minorEastAsia"/>
                <w:color w:val="000000"/>
                <w:kern w:val="0"/>
                <w:sz w:val="21"/>
                <w:szCs w:val="21"/>
              </w:rPr>
            </w:pPr>
          </w:p>
        </w:tc>
        <w:tc>
          <w:tcPr>
            <w:tcW w:w="435" w:type="pct"/>
            <w:shd w:val="clear" w:color="auto" w:fill="auto"/>
            <w:noWrap/>
            <w:vAlign w:val="center"/>
          </w:tcPr>
          <w:p w14:paraId="145A0B85">
            <w:pPr>
              <w:widowControl/>
              <w:jc w:val="left"/>
              <w:rPr>
                <w:rFonts w:hint="eastAsia" w:cs="宋体" w:asciiTheme="minorEastAsia" w:hAnsiTheme="minorEastAsia"/>
                <w:color w:val="000000"/>
                <w:kern w:val="0"/>
                <w:sz w:val="21"/>
                <w:szCs w:val="21"/>
              </w:rPr>
            </w:pPr>
          </w:p>
        </w:tc>
      </w:tr>
      <w:tr w14:paraId="03431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235FA33A">
            <w:pPr>
              <w:widowControl/>
              <w:jc w:val="center"/>
              <w:rPr>
                <w:rFonts w:hint="eastAsia" w:cs="宋体" w:asciiTheme="minorEastAsia" w:hAnsiTheme="minorEastAsia"/>
                <w:color w:val="000000"/>
                <w:kern w:val="0"/>
                <w:sz w:val="21"/>
                <w:szCs w:val="21"/>
              </w:rPr>
            </w:pPr>
            <w:r>
              <w:rPr>
                <w:rFonts w:hint="eastAsia" w:cs="宋体" w:asciiTheme="minorEastAsia" w:hAnsiTheme="minorEastAsia"/>
                <w:color w:val="000000"/>
                <w:kern w:val="0"/>
                <w:sz w:val="21"/>
                <w:szCs w:val="21"/>
              </w:rPr>
              <w:t>2</w:t>
            </w:r>
            <w:r>
              <w:rPr>
                <w:rFonts w:cs="宋体" w:asciiTheme="minorEastAsia" w:hAnsiTheme="minorEastAsia"/>
                <w:color w:val="000000"/>
                <w:kern w:val="0"/>
                <w:sz w:val="21"/>
                <w:szCs w:val="21"/>
              </w:rPr>
              <w:t>3</w:t>
            </w:r>
          </w:p>
        </w:tc>
        <w:tc>
          <w:tcPr>
            <w:tcW w:w="551" w:type="pct"/>
            <w:shd w:val="clear" w:color="auto" w:fill="auto"/>
            <w:noWrap/>
            <w:vAlign w:val="center"/>
          </w:tcPr>
          <w:p w14:paraId="615638DE">
            <w:pPr>
              <w:widowControl/>
              <w:jc w:val="left"/>
              <w:rPr>
                <w:sz w:val="21"/>
                <w:szCs w:val="21"/>
              </w:rPr>
            </w:pPr>
            <w:r>
              <w:rPr>
                <w:rFonts w:hint="eastAsia"/>
                <w:sz w:val="21"/>
                <w:szCs w:val="21"/>
              </w:rPr>
              <w:t>话筒架</w:t>
            </w:r>
          </w:p>
        </w:tc>
        <w:tc>
          <w:tcPr>
            <w:tcW w:w="2953" w:type="pct"/>
            <w:shd w:val="clear" w:color="auto" w:fill="auto"/>
            <w:vAlign w:val="center"/>
          </w:tcPr>
          <w:p w14:paraId="2B8DFF25">
            <w:pPr>
              <w:rPr>
                <w:rFonts w:hint="eastAsia"/>
                <w:sz w:val="21"/>
                <w:szCs w:val="21"/>
              </w:rPr>
            </w:pPr>
            <w:r>
              <w:rPr>
                <w:rFonts w:hint="eastAsia"/>
                <w:sz w:val="21"/>
                <w:szCs w:val="21"/>
              </w:rPr>
              <w:t>高度：65-110 cm (2.1'-3.6')斜杆长度：45-80cm(1.47'-2.62')</w:t>
            </w:r>
            <w:r>
              <w:rPr>
                <w:rFonts w:hint="eastAsia"/>
                <w:sz w:val="21"/>
                <w:szCs w:val="21"/>
              </w:rPr>
              <w:br w:type="textWrapping"/>
            </w:r>
            <w:r>
              <w:rPr>
                <w:rFonts w:hint="eastAsia"/>
                <w:sz w:val="21"/>
                <w:szCs w:val="21"/>
              </w:rPr>
              <w:t>重量：3.15 kg (6.94 lbs)</w:t>
            </w:r>
            <w:r>
              <w:rPr>
                <w:rFonts w:hint="eastAsia"/>
                <w:sz w:val="21"/>
                <w:szCs w:val="21"/>
              </w:rPr>
              <w:br w:type="textWrapping"/>
            </w:r>
            <w:r>
              <w:rPr>
                <w:rFonts w:hint="eastAsia"/>
                <w:sz w:val="21"/>
                <w:szCs w:val="21"/>
              </w:rPr>
              <w:t>材质：铁</w:t>
            </w:r>
            <w:r>
              <w:rPr>
                <w:rFonts w:hint="eastAsia"/>
                <w:sz w:val="21"/>
                <w:szCs w:val="21"/>
              </w:rPr>
              <w:br w:type="textWrapping"/>
            </w:r>
            <w:r>
              <w:rPr>
                <w:rFonts w:hint="eastAsia"/>
                <w:sz w:val="21"/>
                <w:szCs w:val="21"/>
              </w:rPr>
              <w:t>底座：塑料</w:t>
            </w:r>
          </w:p>
        </w:tc>
        <w:tc>
          <w:tcPr>
            <w:tcW w:w="350" w:type="pct"/>
            <w:shd w:val="clear" w:color="auto" w:fill="auto"/>
            <w:vAlign w:val="center"/>
          </w:tcPr>
          <w:p w14:paraId="4DC93E51">
            <w:pPr>
              <w:widowControl/>
              <w:jc w:val="center"/>
              <w:rPr>
                <w:rFonts w:hint="eastAsia" w:cs="宋体" w:asciiTheme="minorEastAsia" w:hAnsiTheme="minorEastAsia"/>
                <w:color w:val="000000"/>
                <w:kern w:val="0"/>
                <w:sz w:val="21"/>
                <w:szCs w:val="21"/>
              </w:rPr>
            </w:pPr>
          </w:p>
        </w:tc>
        <w:tc>
          <w:tcPr>
            <w:tcW w:w="391" w:type="pct"/>
            <w:shd w:val="clear" w:color="auto" w:fill="auto"/>
            <w:noWrap/>
            <w:vAlign w:val="center"/>
          </w:tcPr>
          <w:p w14:paraId="3DE9BBD2">
            <w:pPr>
              <w:widowControl/>
              <w:jc w:val="center"/>
              <w:rPr>
                <w:rFonts w:hint="eastAsia" w:cs="宋体" w:asciiTheme="minorEastAsia" w:hAnsiTheme="minorEastAsia"/>
                <w:color w:val="000000"/>
                <w:kern w:val="0"/>
                <w:sz w:val="21"/>
                <w:szCs w:val="21"/>
              </w:rPr>
            </w:pPr>
          </w:p>
        </w:tc>
        <w:tc>
          <w:tcPr>
            <w:tcW w:w="435" w:type="pct"/>
            <w:shd w:val="clear" w:color="auto" w:fill="auto"/>
            <w:noWrap/>
            <w:vAlign w:val="center"/>
          </w:tcPr>
          <w:p w14:paraId="09413C3E">
            <w:pPr>
              <w:widowControl/>
              <w:jc w:val="left"/>
              <w:rPr>
                <w:rFonts w:hint="eastAsia" w:cs="宋体" w:asciiTheme="minorEastAsia" w:hAnsiTheme="minorEastAsia"/>
                <w:color w:val="000000"/>
                <w:kern w:val="0"/>
                <w:sz w:val="21"/>
                <w:szCs w:val="21"/>
              </w:rPr>
            </w:pPr>
          </w:p>
        </w:tc>
      </w:tr>
      <w:tr w14:paraId="6D359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1CC6AF5C">
            <w:pPr>
              <w:widowControl/>
              <w:jc w:val="center"/>
              <w:rPr>
                <w:rFonts w:hint="eastAsia" w:cs="宋体" w:asciiTheme="minorEastAsia" w:hAnsiTheme="minorEastAsia"/>
                <w:color w:val="000000"/>
                <w:kern w:val="0"/>
                <w:sz w:val="21"/>
                <w:szCs w:val="21"/>
              </w:rPr>
            </w:pPr>
            <w:r>
              <w:rPr>
                <w:rFonts w:hint="eastAsia" w:cs="宋体" w:asciiTheme="minorEastAsia" w:hAnsiTheme="minorEastAsia"/>
                <w:color w:val="000000"/>
                <w:kern w:val="0"/>
                <w:sz w:val="21"/>
                <w:szCs w:val="21"/>
              </w:rPr>
              <w:t>2</w:t>
            </w:r>
            <w:r>
              <w:rPr>
                <w:rFonts w:cs="宋体" w:asciiTheme="minorEastAsia" w:hAnsiTheme="minorEastAsia"/>
                <w:color w:val="000000"/>
                <w:kern w:val="0"/>
                <w:sz w:val="21"/>
                <w:szCs w:val="21"/>
              </w:rPr>
              <w:t>4</w:t>
            </w:r>
          </w:p>
        </w:tc>
        <w:tc>
          <w:tcPr>
            <w:tcW w:w="551" w:type="pct"/>
            <w:shd w:val="clear" w:color="auto" w:fill="auto"/>
            <w:noWrap/>
            <w:vAlign w:val="center"/>
          </w:tcPr>
          <w:p w14:paraId="537BB24A">
            <w:pPr>
              <w:widowControl/>
              <w:jc w:val="left"/>
              <w:rPr>
                <w:sz w:val="21"/>
                <w:szCs w:val="21"/>
              </w:rPr>
            </w:pPr>
            <w:r>
              <w:rPr>
                <w:rFonts w:hint="eastAsia"/>
                <w:sz w:val="21"/>
                <w:szCs w:val="21"/>
              </w:rPr>
              <w:t>防喷罩</w:t>
            </w:r>
          </w:p>
        </w:tc>
        <w:tc>
          <w:tcPr>
            <w:tcW w:w="2953" w:type="pct"/>
            <w:shd w:val="clear" w:color="auto" w:fill="auto"/>
            <w:vAlign w:val="center"/>
          </w:tcPr>
          <w:p w14:paraId="136EFE21">
            <w:pPr>
              <w:rPr>
                <w:rFonts w:hint="eastAsia"/>
                <w:sz w:val="21"/>
                <w:szCs w:val="21"/>
              </w:rPr>
            </w:pPr>
            <w:r>
              <w:rPr>
                <w:rFonts w:hint="eastAsia"/>
                <w:sz w:val="21"/>
                <w:szCs w:val="21"/>
              </w:rPr>
              <w:t>录音防喷网</w:t>
            </w:r>
            <w:r>
              <w:rPr>
                <w:rFonts w:hint="eastAsia"/>
                <w:sz w:val="21"/>
                <w:szCs w:val="21"/>
              </w:rPr>
              <w:br w:type="textWrapping"/>
            </w:r>
            <w:r>
              <w:rPr>
                <w:rFonts w:hint="eastAsia"/>
                <w:sz w:val="21"/>
                <w:szCs w:val="21"/>
              </w:rPr>
              <w:t>包装内含双网：金属网及尼龙网</w:t>
            </w:r>
            <w:r>
              <w:rPr>
                <w:rFonts w:hint="eastAsia"/>
                <w:sz w:val="21"/>
                <w:szCs w:val="21"/>
              </w:rPr>
              <w:br w:type="textWrapping"/>
            </w:r>
            <w:r>
              <w:rPr>
                <w:rFonts w:hint="eastAsia"/>
                <w:sz w:val="21"/>
                <w:szCs w:val="21"/>
              </w:rPr>
              <w:t>黑色</w:t>
            </w:r>
          </w:p>
        </w:tc>
        <w:tc>
          <w:tcPr>
            <w:tcW w:w="350" w:type="pct"/>
            <w:shd w:val="clear" w:color="auto" w:fill="auto"/>
            <w:vAlign w:val="center"/>
          </w:tcPr>
          <w:p w14:paraId="771C49F0">
            <w:pPr>
              <w:widowControl/>
              <w:jc w:val="center"/>
              <w:rPr>
                <w:rFonts w:hint="eastAsia" w:cs="宋体" w:asciiTheme="minorEastAsia" w:hAnsiTheme="minorEastAsia"/>
                <w:color w:val="000000"/>
                <w:kern w:val="0"/>
                <w:sz w:val="21"/>
                <w:szCs w:val="21"/>
              </w:rPr>
            </w:pPr>
          </w:p>
        </w:tc>
        <w:tc>
          <w:tcPr>
            <w:tcW w:w="391" w:type="pct"/>
            <w:shd w:val="clear" w:color="auto" w:fill="auto"/>
            <w:noWrap/>
            <w:vAlign w:val="center"/>
          </w:tcPr>
          <w:p w14:paraId="3F05EC11">
            <w:pPr>
              <w:widowControl/>
              <w:jc w:val="center"/>
              <w:rPr>
                <w:rFonts w:hint="eastAsia" w:cs="宋体" w:asciiTheme="minorEastAsia" w:hAnsiTheme="minorEastAsia"/>
                <w:color w:val="000000"/>
                <w:kern w:val="0"/>
                <w:sz w:val="21"/>
                <w:szCs w:val="21"/>
              </w:rPr>
            </w:pPr>
          </w:p>
        </w:tc>
        <w:tc>
          <w:tcPr>
            <w:tcW w:w="435" w:type="pct"/>
            <w:shd w:val="clear" w:color="auto" w:fill="auto"/>
            <w:noWrap/>
            <w:vAlign w:val="center"/>
          </w:tcPr>
          <w:p w14:paraId="592BC6D4">
            <w:pPr>
              <w:widowControl/>
              <w:jc w:val="left"/>
              <w:rPr>
                <w:rFonts w:hint="eastAsia" w:cs="宋体" w:asciiTheme="minorEastAsia" w:hAnsiTheme="minorEastAsia"/>
                <w:color w:val="000000"/>
                <w:kern w:val="0"/>
                <w:sz w:val="21"/>
                <w:szCs w:val="21"/>
              </w:rPr>
            </w:pPr>
          </w:p>
        </w:tc>
      </w:tr>
      <w:tr w14:paraId="26710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2125F539">
            <w:pPr>
              <w:widowControl/>
              <w:jc w:val="center"/>
              <w:rPr>
                <w:color w:val="000000"/>
                <w:sz w:val="21"/>
                <w:szCs w:val="21"/>
              </w:rPr>
            </w:pPr>
            <w:r>
              <w:rPr>
                <w:rFonts w:hint="eastAsia"/>
                <w:color w:val="000000"/>
                <w:sz w:val="21"/>
                <w:szCs w:val="21"/>
              </w:rPr>
              <w:t>25</w:t>
            </w:r>
          </w:p>
        </w:tc>
        <w:tc>
          <w:tcPr>
            <w:tcW w:w="551" w:type="pct"/>
            <w:shd w:val="clear" w:color="auto" w:fill="auto"/>
            <w:vAlign w:val="center"/>
          </w:tcPr>
          <w:p w14:paraId="0AD27525">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非编软件</w:t>
            </w:r>
          </w:p>
        </w:tc>
        <w:tc>
          <w:tcPr>
            <w:tcW w:w="2953" w:type="pct"/>
            <w:shd w:val="clear" w:color="auto" w:fill="auto"/>
            <w:vAlign w:val="center"/>
          </w:tcPr>
          <w:p w14:paraId="5C677018">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xml:space="preserve">1)教师能够同时导入多个视频，进行多轨道同步编辑，包括合并、剪辑等功能。支持添加视频轨道、音频轨道、图片轨道和文字轨道。实现了音频、视频、字幕的同步编辑与多格式同步输出。最少支持10个以上音视频、文字轨道； </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2)提供“用户专辑”栏，展示用户添加的各种视音频文件、图片，可按“视频”、“图像”和“音频”进行分类展示，并支持按“名称”、“</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3)文件持续时间”和“类型”进行排列。</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4)提供输出效果实时预览窗口，支持对编辑效果的实时输出预览，可对预览视频进行进度条拖动、全屏播放、画面抓拍功能。</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5)具有转场特技功能，支持16种以上转场特技效果可供选择。</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6)具有滤镜处理功能，支持28种以上滤镜效果可供选择。</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7)具有多种视频布局功能，包括2分屏、4分屏、6分屏等至少15种布局模式。</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8)资源非编完成后，教师可根据需求设置编辑好的视频码流，并能够一键上传到应用云平台的个人空间当中，同时也能够保存到教师电脑端，以便教师通过移动存储设备拷贝和存档。</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9)要求与录播主机为同一品牌，提供在线编辑软件相关自主知识产权证明文件复印件，并加盖厂家公章。</w:t>
            </w:r>
          </w:p>
        </w:tc>
        <w:tc>
          <w:tcPr>
            <w:tcW w:w="350" w:type="pct"/>
            <w:shd w:val="clear" w:color="auto" w:fill="auto"/>
            <w:vAlign w:val="center"/>
          </w:tcPr>
          <w:p w14:paraId="0DC0EE37">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10D4EAF4">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19C0EF2C">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4EDEA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66733750">
            <w:pPr>
              <w:jc w:val="center"/>
              <w:rPr>
                <w:rFonts w:hint="eastAsia"/>
                <w:color w:val="000000"/>
                <w:sz w:val="21"/>
                <w:szCs w:val="21"/>
              </w:rPr>
            </w:pPr>
            <w:r>
              <w:rPr>
                <w:rFonts w:hint="eastAsia"/>
                <w:color w:val="000000"/>
                <w:sz w:val="21"/>
                <w:szCs w:val="21"/>
              </w:rPr>
              <w:t>26</w:t>
            </w:r>
          </w:p>
        </w:tc>
        <w:tc>
          <w:tcPr>
            <w:tcW w:w="551" w:type="pct"/>
            <w:shd w:val="clear" w:color="auto" w:fill="auto"/>
            <w:vAlign w:val="center"/>
          </w:tcPr>
          <w:p w14:paraId="6A5A7503">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电源管理器</w:t>
            </w:r>
          </w:p>
        </w:tc>
        <w:tc>
          <w:tcPr>
            <w:tcW w:w="2953" w:type="pct"/>
            <w:shd w:val="clear" w:color="auto" w:fill="auto"/>
            <w:vAlign w:val="center"/>
          </w:tcPr>
          <w:p w14:paraId="53BCD162">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xml:space="preserve">1）向录播视频系统、音频系统、显示系统提供统一的、至少八路电源管理； </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2）支持对虚拟演播系统控制功能，实现通过控制面板一键启动虚拟演播系统相关设备的电源；</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3）支持虚拟演播系统的远程集中统一控制，实现虚拟演播室主机远程开关机；</w:t>
            </w:r>
          </w:p>
        </w:tc>
        <w:tc>
          <w:tcPr>
            <w:tcW w:w="350" w:type="pct"/>
            <w:shd w:val="clear" w:color="auto" w:fill="auto"/>
            <w:vAlign w:val="center"/>
          </w:tcPr>
          <w:p w14:paraId="3255DE5F">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3C485744">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0E182B77">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6A64E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614923A5">
            <w:pPr>
              <w:jc w:val="center"/>
              <w:rPr>
                <w:rFonts w:hint="eastAsia"/>
                <w:color w:val="000000"/>
                <w:sz w:val="21"/>
                <w:szCs w:val="21"/>
              </w:rPr>
            </w:pPr>
            <w:r>
              <w:rPr>
                <w:rFonts w:hint="eastAsia"/>
                <w:color w:val="000000"/>
                <w:sz w:val="21"/>
                <w:szCs w:val="21"/>
              </w:rPr>
              <w:t>27</w:t>
            </w:r>
          </w:p>
        </w:tc>
        <w:tc>
          <w:tcPr>
            <w:tcW w:w="551" w:type="pct"/>
            <w:shd w:val="clear" w:color="auto" w:fill="auto"/>
            <w:vAlign w:val="center"/>
          </w:tcPr>
          <w:p w14:paraId="45214A74">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微课制作软件</w:t>
            </w:r>
          </w:p>
        </w:tc>
        <w:tc>
          <w:tcPr>
            <w:tcW w:w="2953" w:type="pct"/>
            <w:shd w:val="clear" w:color="auto" w:fill="auto"/>
            <w:vAlign w:val="center"/>
          </w:tcPr>
          <w:p w14:paraId="7B8BFEE4">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1)微课软件需满足最基本三路视频信号源录制，包括教师头像、课件PPT，同时支持实物展台或高拍仪的信号输入，满足教师展示课本内容、教学器具等。</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2)支持PPT课件导入、课件批注，在微课录制的同时支持PPT分页预览，并进行切换录制。</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3)可实现老师画面、高拍仪画面和PPT课件画面，共三个画面的切换和自由组合录制，支持课件与老师画中画录制模式；</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4)提供微课制作软件相关自主知识产权证明文件复印件，并加盖厂家公章。</w:t>
            </w:r>
          </w:p>
        </w:tc>
        <w:tc>
          <w:tcPr>
            <w:tcW w:w="350" w:type="pct"/>
            <w:shd w:val="clear" w:color="auto" w:fill="auto"/>
            <w:vAlign w:val="center"/>
          </w:tcPr>
          <w:p w14:paraId="0678FFC3">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4178B2F3">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5812F466">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496D4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53E5CE7C">
            <w:pPr>
              <w:jc w:val="center"/>
              <w:rPr>
                <w:rFonts w:hint="eastAsia"/>
                <w:color w:val="000000"/>
                <w:sz w:val="21"/>
                <w:szCs w:val="21"/>
              </w:rPr>
            </w:pPr>
            <w:r>
              <w:rPr>
                <w:rFonts w:hint="eastAsia"/>
                <w:color w:val="000000"/>
                <w:sz w:val="21"/>
                <w:szCs w:val="21"/>
              </w:rPr>
              <w:t>28</w:t>
            </w:r>
          </w:p>
        </w:tc>
        <w:tc>
          <w:tcPr>
            <w:tcW w:w="551" w:type="pct"/>
            <w:shd w:val="clear" w:color="auto" w:fill="auto"/>
            <w:vAlign w:val="center"/>
          </w:tcPr>
          <w:p w14:paraId="2F28F124">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提词器（含支架）</w:t>
            </w:r>
          </w:p>
        </w:tc>
        <w:tc>
          <w:tcPr>
            <w:tcW w:w="2953" w:type="pct"/>
            <w:shd w:val="clear" w:color="auto" w:fill="auto"/>
            <w:vAlign w:val="center"/>
          </w:tcPr>
          <w:p w14:paraId="6B2B2470">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1．系统支持Windows 7、Windows 8和 Windows 10系统。</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2．系统要求字色、底色256色任意搭配，男女播音员可分别选择不同的背景色和字色方便男女播音员选择自己的播音词,字体和字的大小任意选择，可选多种角色，以区分男角女角或更多播音角色。</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3．文稿录入、编辑方便，操作简单，自动完成排版,支持txt、rtf、word等格式文本，并支持直接打开图片，word，PPT，视频等文件。</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4．分别采用监视器和高分辨率的彩显，清晰度高，字迹清晰。</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5．软件支持汉、藏、蒙、傣、维、朝鲜等少数民族语言。而且还支持国外的一些语言英、日、韩、德、俄、法、阿拉伯文等国家语言。</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6．系统自动记录演播稿，当发生异常停电事故后再加电时自动寻找并且打开演播稿，并保证演播稿的完整性。</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7．相对滚动时间、当前时间可同屏显示，任意设置大小、颜色，一目了然，更易把握节奏；重点语句可通过颜色标明。</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8．控制方式灵活多样，键盘、鼠标、控制手柄均可，字幕速度变化范围可随意调节，前后跳段翻页方便自如；播音稿的行进速度可由播音员自己通过手柄控制，可单、双人控制，方便自如。</w:t>
            </w:r>
          </w:p>
        </w:tc>
        <w:tc>
          <w:tcPr>
            <w:tcW w:w="350" w:type="pct"/>
            <w:shd w:val="clear" w:color="auto" w:fill="auto"/>
            <w:vAlign w:val="center"/>
          </w:tcPr>
          <w:p w14:paraId="773AB285">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270321D8">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1BB03A78">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1E0C7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2C5B879C">
            <w:pPr>
              <w:jc w:val="center"/>
              <w:rPr>
                <w:rFonts w:hint="eastAsia"/>
                <w:color w:val="000000"/>
                <w:sz w:val="21"/>
                <w:szCs w:val="21"/>
              </w:rPr>
            </w:pPr>
            <w:r>
              <w:rPr>
                <w:rFonts w:hint="eastAsia"/>
                <w:color w:val="000000"/>
                <w:sz w:val="21"/>
                <w:szCs w:val="21"/>
              </w:rPr>
              <w:t>29</w:t>
            </w:r>
          </w:p>
        </w:tc>
        <w:tc>
          <w:tcPr>
            <w:tcW w:w="551" w:type="pct"/>
            <w:shd w:val="clear" w:color="auto" w:fill="auto"/>
            <w:vAlign w:val="center"/>
          </w:tcPr>
          <w:p w14:paraId="70ED131E">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演播LED灯</w:t>
            </w:r>
          </w:p>
        </w:tc>
        <w:tc>
          <w:tcPr>
            <w:tcW w:w="2953" w:type="pct"/>
            <w:shd w:val="clear" w:color="auto" w:fill="auto"/>
            <w:vAlign w:val="center"/>
          </w:tcPr>
          <w:p w14:paraId="5D5F3AC8">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质量要求：</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1、LED影视灯功率因数≥0.98，提供检测机构依据GB/T  9468：2008《灯具分布光度测量的一般要求》以及IES LM-79-08《固态照明产品的电气和光度测试》出具的检测报告复印件。</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2、LED影视灯向下光通量≥98000LM，光效≥103LM/W，提供检测机构依据GB/T  9468：2008《灯具分布光度测量的一般要求》出具的检测报告复印件。</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3、LED影视灯色温4900K~5100K，同时一般显色指数≥96，特殊显色指数R9≥80，R15≥95，提供检测机构IES LM-79-08《固态照明产品的电气和光度测试》出具的检测报告复印件。</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4、LED影视灯波动深度≤0.3%，提供CQC 1601-2013《视觉作业台灯认证技术规范》出具的检测报告复印件。</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5、LED影视灯光生物安全检测结果为“无危害”，提供检测机构依据GB/T 20145-2006《灯和灯系统的光生物安全性》出具的检测报告复印件。</w:t>
            </w:r>
          </w:p>
        </w:tc>
        <w:tc>
          <w:tcPr>
            <w:tcW w:w="350" w:type="pct"/>
            <w:shd w:val="clear" w:color="auto" w:fill="auto"/>
            <w:vAlign w:val="center"/>
          </w:tcPr>
          <w:p w14:paraId="0DC721FB">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2</w:t>
            </w:r>
          </w:p>
        </w:tc>
        <w:tc>
          <w:tcPr>
            <w:tcW w:w="391" w:type="pct"/>
            <w:shd w:val="clear" w:color="auto" w:fill="auto"/>
            <w:noWrap/>
            <w:vAlign w:val="center"/>
          </w:tcPr>
          <w:p w14:paraId="3B34BF7F">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693054FE">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332B1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13B74407">
            <w:pPr>
              <w:jc w:val="center"/>
              <w:rPr>
                <w:rFonts w:hint="eastAsia"/>
                <w:color w:val="000000"/>
                <w:sz w:val="21"/>
                <w:szCs w:val="21"/>
              </w:rPr>
            </w:pPr>
            <w:r>
              <w:rPr>
                <w:rFonts w:hint="eastAsia"/>
                <w:color w:val="000000"/>
                <w:sz w:val="21"/>
                <w:szCs w:val="21"/>
              </w:rPr>
              <w:t>30</w:t>
            </w:r>
          </w:p>
        </w:tc>
        <w:tc>
          <w:tcPr>
            <w:tcW w:w="551" w:type="pct"/>
            <w:shd w:val="clear" w:color="auto" w:fill="auto"/>
            <w:vAlign w:val="center"/>
          </w:tcPr>
          <w:p w14:paraId="415135A3">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摄像机支架</w:t>
            </w:r>
          </w:p>
        </w:tc>
        <w:tc>
          <w:tcPr>
            <w:tcW w:w="2953" w:type="pct"/>
            <w:shd w:val="clear" w:color="auto" w:fill="auto"/>
            <w:vAlign w:val="center"/>
          </w:tcPr>
          <w:p w14:paraId="398BBBA6">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24)脚管节数：4节</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25)最大管径：28MM</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26)最小管径：16MM</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27)折合高度：60 CM</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28)最低工作高度：32CM</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29)最高工作高度：1550 mm</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30)脚管锁类型：扳扣</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云台类型：球形</w:t>
            </w:r>
          </w:p>
        </w:tc>
        <w:tc>
          <w:tcPr>
            <w:tcW w:w="350" w:type="pct"/>
            <w:shd w:val="clear" w:color="auto" w:fill="auto"/>
            <w:vAlign w:val="center"/>
          </w:tcPr>
          <w:p w14:paraId="1F781895">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5442BAFD">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29046D8B">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0BDF9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3AC4A14D">
            <w:pPr>
              <w:jc w:val="center"/>
              <w:rPr>
                <w:rFonts w:hint="eastAsia"/>
                <w:color w:val="000000"/>
                <w:sz w:val="21"/>
                <w:szCs w:val="21"/>
              </w:rPr>
            </w:pPr>
            <w:r>
              <w:rPr>
                <w:rFonts w:hint="eastAsia"/>
                <w:color w:val="000000"/>
                <w:sz w:val="21"/>
                <w:szCs w:val="21"/>
              </w:rPr>
              <w:t>31</w:t>
            </w:r>
          </w:p>
        </w:tc>
        <w:tc>
          <w:tcPr>
            <w:tcW w:w="551" w:type="pct"/>
            <w:shd w:val="clear" w:color="auto" w:fill="auto"/>
            <w:vAlign w:val="center"/>
          </w:tcPr>
          <w:p w14:paraId="6DB62960">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灯架</w:t>
            </w:r>
          </w:p>
        </w:tc>
        <w:tc>
          <w:tcPr>
            <w:tcW w:w="2953" w:type="pct"/>
            <w:shd w:val="clear" w:color="auto" w:fill="auto"/>
            <w:vAlign w:val="center"/>
          </w:tcPr>
          <w:p w14:paraId="59FD2BF0">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材质：铝合金</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长度：4米</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规格：工字型带钢质双滑轮或跟据用户定制</w:t>
            </w:r>
          </w:p>
        </w:tc>
        <w:tc>
          <w:tcPr>
            <w:tcW w:w="350" w:type="pct"/>
            <w:shd w:val="clear" w:color="auto" w:fill="auto"/>
            <w:vAlign w:val="center"/>
          </w:tcPr>
          <w:p w14:paraId="301F20BC">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2</w:t>
            </w:r>
          </w:p>
        </w:tc>
        <w:tc>
          <w:tcPr>
            <w:tcW w:w="391" w:type="pct"/>
            <w:shd w:val="clear" w:color="auto" w:fill="auto"/>
            <w:noWrap/>
            <w:vAlign w:val="center"/>
          </w:tcPr>
          <w:p w14:paraId="149ADF13">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6ED74066">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6A8B8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0DFDDB07">
            <w:pPr>
              <w:jc w:val="center"/>
              <w:rPr>
                <w:rFonts w:hint="eastAsia"/>
                <w:color w:val="000000"/>
                <w:sz w:val="21"/>
                <w:szCs w:val="21"/>
              </w:rPr>
            </w:pPr>
            <w:r>
              <w:rPr>
                <w:rFonts w:hint="eastAsia"/>
                <w:color w:val="000000"/>
                <w:sz w:val="21"/>
                <w:szCs w:val="21"/>
              </w:rPr>
              <w:t>32</w:t>
            </w:r>
          </w:p>
        </w:tc>
        <w:tc>
          <w:tcPr>
            <w:tcW w:w="551" w:type="pct"/>
            <w:shd w:val="clear" w:color="auto" w:fill="auto"/>
            <w:vAlign w:val="center"/>
          </w:tcPr>
          <w:p w14:paraId="756DA9F3">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智能变焦面光灯</w:t>
            </w:r>
          </w:p>
        </w:tc>
        <w:tc>
          <w:tcPr>
            <w:tcW w:w="2953" w:type="pct"/>
            <w:shd w:val="clear" w:color="auto" w:fill="auto"/>
            <w:vAlign w:val="center"/>
          </w:tcPr>
          <w:p w14:paraId="0783B487">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电源宽电压：90-240V 50-60HZ；</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电源功率：250W；</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颜色：暖白~正白可选；</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调光性能：16位调光（拍摄无抖动）；</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调焦角度：8-60度；</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色温:3200-6500K；</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散热系统：风冷；</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通道：单色4CH/双色6H；</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效果：面光；</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最远距离：≥50M，电子变焦；</w:t>
            </w:r>
          </w:p>
        </w:tc>
        <w:tc>
          <w:tcPr>
            <w:tcW w:w="350" w:type="pct"/>
            <w:shd w:val="clear" w:color="auto" w:fill="auto"/>
            <w:vAlign w:val="center"/>
          </w:tcPr>
          <w:p w14:paraId="0AE8CACF">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6</w:t>
            </w:r>
          </w:p>
        </w:tc>
        <w:tc>
          <w:tcPr>
            <w:tcW w:w="391" w:type="pct"/>
            <w:shd w:val="clear" w:color="auto" w:fill="auto"/>
            <w:noWrap/>
            <w:vAlign w:val="center"/>
          </w:tcPr>
          <w:p w14:paraId="68348CEB">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739B0430">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3CEA8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7E993CF9">
            <w:pPr>
              <w:jc w:val="center"/>
              <w:rPr>
                <w:rFonts w:hint="eastAsia"/>
                <w:color w:val="000000"/>
                <w:sz w:val="21"/>
                <w:szCs w:val="21"/>
              </w:rPr>
            </w:pPr>
            <w:r>
              <w:rPr>
                <w:rFonts w:hint="eastAsia"/>
                <w:color w:val="000000"/>
                <w:sz w:val="21"/>
                <w:szCs w:val="21"/>
              </w:rPr>
              <w:t>33</w:t>
            </w:r>
          </w:p>
        </w:tc>
        <w:tc>
          <w:tcPr>
            <w:tcW w:w="551" w:type="pct"/>
            <w:shd w:val="clear" w:color="auto" w:fill="auto"/>
            <w:vAlign w:val="center"/>
          </w:tcPr>
          <w:p w14:paraId="6D1A1841">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12路X4KW直通箱</w:t>
            </w:r>
          </w:p>
        </w:tc>
        <w:tc>
          <w:tcPr>
            <w:tcW w:w="2953" w:type="pct"/>
            <w:shd w:val="clear" w:color="auto" w:fill="auto"/>
            <w:vAlign w:val="center"/>
          </w:tcPr>
          <w:p w14:paraId="3C9A21EC">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供电：三相五线制AC380V±10％，频率50Hz±5％.</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额定功率：12路×4KW; 可适用于任何负载.</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过载与短路双重保护高分断空气开关.</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A.B.C三相工作指示灯. 设两脚和三脚万能 ，用插座方便使用，进口接线端输入，单40A胶木插输出。</w:t>
            </w:r>
          </w:p>
        </w:tc>
        <w:tc>
          <w:tcPr>
            <w:tcW w:w="350" w:type="pct"/>
            <w:shd w:val="clear" w:color="auto" w:fill="auto"/>
            <w:vAlign w:val="center"/>
          </w:tcPr>
          <w:p w14:paraId="717590D7">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242B4908">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22264F91">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40354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1C10588F">
            <w:pPr>
              <w:jc w:val="center"/>
              <w:rPr>
                <w:rFonts w:hint="eastAsia"/>
                <w:color w:val="000000"/>
                <w:sz w:val="21"/>
                <w:szCs w:val="21"/>
              </w:rPr>
            </w:pPr>
            <w:r>
              <w:rPr>
                <w:rFonts w:hint="eastAsia"/>
                <w:color w:val="000000"/>
                <w:sz w:val="21"/>
                <w:szCs w:val="21"/>
              </w:rPr>
              <w:t>34</w:t>
            </w:r>
          </w:p>
        </w:tc>
        <w:tc>
          <w:tcPr>
            <w:tcW w:w="551" w:type="pct"/>
            <w:shd w:val="clear" w:color="auto" w:fill="auto"/>
            <w:vAlign w:val="center"/>
          </w:tcPr>
          <w:p w14:paraId="65FBB691">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灯控台</w:t>
            </w:r>
          </w:p>
        </w:tc>
        <w:tc>
          <w:tcPr>
            <w:tcW w:w="2953" w:type="pct"/>
            <w:shd w:val="clear" w:color="auto" w:fill="auto"/>
            <w:vAlign w:val="center"/>
          </w:tcPr>
          <w:p w14:paraId="7A4C7624">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通道数≥1024</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电脑灯的配接数量≥96</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支持电脑灯重新配接地址码</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 xml:space="preserve">支持灯具水平垂直交换  </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 xml:space="preserve">支持灯具通道反倒输出  </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 xml:space="preserve">支持灯具通道滑步模式切换  </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每台电脑灯最多可用控制通道≥40主通道+40微调通道</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灯库  支持珍珠R20灯库</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可保存的场景数量≥60</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可同时运行的场景数量≥10</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多步场景的总步数≥600</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场景的时间控制  淡入、淡出、LTP滑步</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每个场景可存储图形数量≥5</w:t>
            </w:r>
          </w:p>
        </w:tc>
        <w:tc>
          <w:tcPr>
            <w:tcW w:w="350" w:type="pct"/>
            <w:shd w:val="clear" w:color="auto" w:fill="auto"/>
            <w:vAlign w:val="center"/>
          </w:tcPr>
          <w:p w14:paraId="27104F99">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0CEE60FF">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293B4BE8">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73B84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7034EB6A">
            <w:pPr>
              <w:jc w:val="center"/>
              <w:rPr>
                <w:rFonts w:hint="eastAsia"/>
                <w:color w:val="000000"/>
                <w:sz w:val="21"/>
                <w:szCs w:val="21"/>
              </w:rPr>
            </w:pPr>
            <w:r>
              <w:rPr>
                <w:rFonts w:hint="eastAsia"/>
                <w:color w:val="000000"/>
                <w:sz w:val="21"/>
                <w:szCs w:val="21"/>
              </w:rPr>
              <w:t>35</w:t>
            </w:r>
          </w:p>
        </w:tc>
        <w:tc>
          <w:tcPr>
            <w:tcW w:w="551" w:type="pct"/>
            <w:shd w:val="clear" w:color="auto" w:fill="auto"/>
            <w:vAlign w:val="center"/>
          </w:tcPr>
          <w:p w14:paraId="5221119E">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灯勾、吊杆</w:t>
            </w:r>
          </w:p>
        </w:tc>
        <w:tc>
          <w:tcPr>
            <w:tcW w:w="2953" w:type="pct"/>
            <w:shd w:val="clear" w:color="auto" w:fill="auto"/>
            <w:vAlign w:val="center"/>
          </w:tcPr>
          <w:p w14:paraId="565FC5C0">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灯勾承重≥50KG</w:t>
            </w:r>
          </w:p>
        </w:tc>
        <w:tc>
          <w:tcPr>
            <w:tcW w:w="350" w:type="pct"/>
            <w:shd w:val="clear" w:color="auto" w:fill="auto"/>
            <w:vAlign w:val="center"/>
          </w:tcPr>
          <w:p w14:paraId="106582FC">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2</w:t>
            </w:r>
          </w:p>
        </w:tc>
        <w:tc>
          <w:tcPr>
            <w:tcW w:w="391" w:type="pct"/>
            <w:shd w:val="clear" w:color="auto" w:fill="auto"/>
            <w:noWrap/>
            <w:vAlign w:val="center"/>
          </w:tcPr>
          <w:p w14:paraId="64595CED">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3AC5D28E">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5933D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331FF686">
            <w:pPr>
              <w:jc w:val="center"/>
              <w:rPr>
                <w:rFonts w:hint="eastAsia"/>
                <w:color w:val="000000"/>
                <w:sz w:val="21"/>
                <w:szCs w:val="21"/>
              </w:rPr>
            </w:pPr>
            <w:r>
              <w:rPr>
                <w:rFonts w:hint="eastAsia"/>
                <w:color w:val="000000"/>
                <w:sz w:val="21"/>
                <w:szCs w:val="21"/>
              </w:rPr>
              <w:t>36</w:t>
            </w:r>
          </w:p>
        </w:tc>
        <w:tc>
          <w:tcPr>
            <w:tcW w:w="551" w:type="pct"/>
            <w:shd w:val="clear" w:color="auto" w:fill="auto"/>
            <w:vAlign w:val="center"/>
          </w:tcPr>
          <w:p w14:paraId="314375A9">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信发器</w:t>
            </w:r>
          </w:p>
        </w:tc>
        <w:tc>
          <w:tcPr>
            <w:tcW w:w="2953" w:type="pct"/>
            <w:shd w:val="clear" w:color="auto" w:fill="auto"/>
            <w:vAlign w:val="center"/>
          </w:tcPr>
          <w:p w14:paraId="42DD01C9">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屏幕尺寸：≥65英寸</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屏幕比例: 16:9</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颜色分类:黑色</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能效等级:三级</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电视类型:LED电视</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视频显示格式:支持1080p</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背光灯类型: LED发光二极管</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扫描方式：逐点扫描</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接收制式：PAL\NTSC\SECAM</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HDMI接口数量：&gt;=3个HDMI </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接口类型：HDMI LAN端子 USB</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操作系统：安卓</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自带壁拉拉挂架</w:t>
            </w:r>
          </w:p>
        </w:tc>
        <w:tc>
          <w:tcPr>
            <w:tcW w:w="350" w:type="pct"/>
            <w:shd w:val="clear" w:color="auto" w:fill="auto"/>
            <w:vAlign w:val="center"/>
          </w:tcPr>
          <w:p w14:paraId="1344A2C4">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2</w:t>
            </w:r>
          </w:p>
        </w:tc>
        <w:tc>
          <w:tcPr>
            <w:tcW w:w="391" w:type="pct"/>
            <w:shd w:val="clear" w:color="auto" w:fill="auto"/>
            <w:noWrap/>
            <w:vAlign w:val="center"/>
          </w:tcPr>
          <w:p w14:paraId="4C0E1831">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7B68E9AC">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2CA1D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09855CD5">
            <w:pPr>
              <w:jc w:val="center"/>
              <w:rPr>
                <w:rFonts w:hint="eastAsia"/>
                <w:color w:val="000000"/>
                <w:sz w:val="21"/>
                <w:szCs w:val="21"/>
              </w:rPr>
            </w:pPr>
            <w:r>
              <w:rPr>
                <w:rFonts w:hint="eastAsia"/>
                <w:color w:val="000000"/>
                <w:sz w:val="21"/>
                <w:szCs w:val="21"/>
              </w:rPr>
              <w:t>37</w:t>
            </w:r>
          </w:p>
        </w:tc>
        <w:tc>
          <w:tcPr>
            <w:tcW w:w="551" w:type="pct"/>
            <w:shd w:val="clear" w:color="auto" w:fill="auto"/>
            <w:vAlign w:val="center"/>
          </w:tcPr>
          <w:p w14:paraId="25C21CF0">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信发器</w:t>
            </w:r>
          </w:p>
        </w:tc>
        <w:tc>
          <w:tcPr>
            <w:tcW w:w="2953" w:type="pct"/>
            <w:shd w:val="clear" w:color="auto" w:fill="auto"/>
            <w:vAlign w:val="center"/>
          </w:tcPr>
          <w:p w14:paraId="63AA9B2A">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屏幕尺寸：≥85英寸</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屏幕比例: 16:9</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颜色分类:黑色</w:t>
            </w:r>
          </w:p>
        </w:tc>
        <w:tc>
          <w:tcPr>
            <w:tcW w:w="350" w:type="pct"/>
            <w:shd w:val="clear" w:color="auto" w:fill="auto"/>
            <w:vAlign w:val="center"/>
          </w:tcPr>
          <w:p w14:paraId="2C836068">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0EA66B33">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0065F316">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15D69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090D166A">
            <w:pPr>
              <w:jc w:val="center"/>
              <w:rPr>
                <w:rFonts w:hint="eastAsia"/>
                <w:color w:val="000000"/>
                <w:sz w:val="21"/>
                <w:szCs w:val="21"/>
              </w:rPr>
            </w:pPr>
            <w:r>
              <w:rPr>
                <w:rFonts w:hint="eastAsia"/>
                <w:color w:val="000000"/>
                <w:sz w:val="21"/>
                <w:szCs w:val="21"/>
              </w:rPr>
              <w:t>38</w:t>
            </w:r>
          </w:p>
        </w:tc>
        <w:tc>
          <w:tcPr>
            <w:tcW w:w="551" w:type="pct"/>
            <w:shd w:val="clear" w:color="auto" w:fill="auto"/>
            <w:vAlign w:val="center"/>
          </w:tcPr>
          <w:p w14:paraId="3AB7A767">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电视吊装挂架</w:t>
            </w:r>
          </w:p>
        </w:tc>
        <w:tc>
          <w:tcPr>
            <w:tcW w:w="2953" w:type="pct"/>
            <w:shd w:val="clear" w:color="auto" w:fill="auto"/>
            <w:vAlign w:val="center"/>
          </w:tcPr>
          <w:p w14:paraId="2A2360A6">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电视吊装挂架</w:t>
            </w:r>
          </w:p>
        </w:tc>
        <w:tc>
          <w:tcPr>
            <w:tcW w:w="350" w:type="pct"/>
            <w:shd w:val="clear" w:color="auto" w:fill="auto"/>
            <w:vAlign w:val="center"/>
          </w:tcPr>
          <w:p w14:paraId="5CD96D9E">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2</w:t>
            </w:r>
          </w:p>
        </w:tc>
        <w:tc>
          <w:tcPr>
            <w:tcW w:w="391" w:type="pct"/>
            <w:shd w:val="clear" w:color="auto" w:fill="auto"/>
            <w:noWrap/>
            <w:vAlign w:val="center"/>
          </w:tcPr>
          <w:p w14:paraId="37CD11D2">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05BA7EC9">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4CD97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503FA3A5">
            <w:pPr>
              <w:jc w:val="center"/>
              <w:rPr>
                <w:rFonts w:hint="eastAsia"/>
                <w:color w:val="000000"/>
                <w:sz w:val="21"/>
                <w:szCs w:val="21"/>
              </w:rPr>
            </w:pPr>
            <w:r>
              <w:rPr>
                <w:rFonts w:hint="eastAsia"/>
                <w:color w:val="000000"/>
                <w:sz w:val="21"/>
                <w:szCs w:val="21"/>
              </w:rPr>
              <w:t>39</w:t>
            </w:r>
          </w:p>
        </w:tc>
        <w:tc>
          <w:tcPr>
            <w:tcW w:w="551" w:type="pct"/>
            <w:shd w:val="clear" w:color="auto" w:fill="auto"/>
            <w:vAlign w:val="center"/>
          </w:tcPr>
          <w:p w14:paraId="1E57269F">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反听音箱</w:t>
            </w:r>
          </w:p>
        </w:tc>
        <w:tc>
          <w:tcPr>
            <w:tcW w:w="2953" w:type="pct"/>
            <w:shd w:val="clear" w:color="auto" w:fill="auto"/>
            <w:vAlign w:val="center"/>
          </w:tcPr>
          <w:p w14:paraId="0351F114">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反听音箱</w:t>
            </w:r>
          </w:p>
        </w:tc>
        <w:tc>
          <w:tcPr>
            <w:tcW w:w="350" w:type="pct"/>
            <w:shd w:val="clear" w:color="auto" w:fill="auto"/>
            <w:vAlign w:val="center"/>
          </w:tcPr>
          <w:p w14:paraId="50154DEE">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45234581">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67ECDAFB">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0FC7B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6D28FE75">
            <w:pPr>
              <w:jc w:val="center"/>
              <w:rPr>
                <w:rFonts w:hint="eastAsia"/>
                <w:color w:val="000000"/>
                <w:sz w:val="21"/>
                <w:szCs w:val="21"/>
              </w:rPr>
            </w:pPr>
            <w:r>
              <w:rPr>
                <w:rFonts w:hint="eastAsia"/>
                <w:color w:val="000000"/>
                <w:sz w:val="21"/>
                <w:szCs w:val="21"/>
              </w:rPr>
              <w:t>40</w:t>
            </w:r>
          </w:p>
        </w:tc>
        <w:tc>
          <w:tcPr>
            <w:tcW w:w="551" w:type="pct"/>
            <w:shd w:val="clear" w:color="auto" w:fill="auto"/>
            <w:vAlign w:val="center"/>
          </w:tcPr>
          <w:p w14:paraId="34226C99">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导播台</w:t>
            </w:r>
          </w:p>
        </w:tc>
        <w:tc>
          <w:tcPr>
            <w:tcW w:w="2953" w:type="pct"/>
            <w:shd w:val="clear" w:color="auto" w:fill="auto"/>
            <w:vAlign w:val="center"/>
          </w:tcPr>
          <w:p w14:paraId="746913A1">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钢木结构，具有合理的走线槽、全尺寸键盘抽屉 ，面板为耐滑、耐磨，乳白色，带键盘抽,带15U机柜，带通风U板1500*800*800；</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能够容纳录播所有设备；</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投标方带实物图（图中含本次投标所需的设备，正面、反面各一张）</w:t>
            </w:r>
          </w:p>
        </w:tc>
        <w:tc>
          <w:tcPr>
            <w:tcW w:w="350" w:type="pct"/>
            <w:shd w:val="clear" w:color="auto" w:fill="auto"/>
            <w:vAlign w:val="center"/>
          </w:tcPr>
          <w:p w14:paraId="3EAF955A">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64B3093D">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750AA39E">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094A7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1D1C3AEA">
            <w:pPr>
              <w:jc w:val="center"/>
              <w:rPr>
                <w:rFonts w:hint="eastAsia"/>
                <w:color w:val="000000"/>
                <w:sz w:val="21"/>
                <w:szCs w:val="21"/>
              </w:rPr>
            </w:pPr>
            <w:r>
              <w:rPr>
                <w:rFonts w:hint="eastAsia"/>
                <w:color w:val="000000"/>
                <w:sz w:val="21"/>
                <w:szCs w:val="21"/>
              </w:rPr>
              <w:t>41</w:t>
            </w:r>
          </w:p>
        </w:tc>
        <w:tc>
          <w:tcPr>
            <w:tcW w:w="551" w:type="pct"/>
            <w:shd w:val="clear" w:color="auto" w:fill="auto"/>
            <w:vAlign w:val="center"/>
          </w:tcPr>
          <w:p w14:paraId="132D8705">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演播台</w:t>
            </w:r>
          </w:p>
        </w:tc>
        <w:tc>
          <w:tcPr>
            <w:tcW w:w="2953" w:type="pct"/>
            <w:shd w:val="clear" w:color="auto" w:fill="auto"/>
            <w:vAlign w:val="center"/>
          </w:tcPr>
          <w:p w14:paraId="3A654CAD">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尺寸约为2400*750*650mm，刨花板/三聚氰胺板，配套两张吧台椅</w:t>
            </w:r>
          </w:p>
        </w:tc>
        <w:tc>
          <w:tcPr>
            <w:tcW w:w="350" w:type="pct"/>
            <w:shd w:val="clear" w:color="auto" w:fill="auto"/>
            <w:vAlign w:val="center"/>
          </w:tcPr>
          <w:p w14:paraId="297AA959">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55855CF5">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15554EA4">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7DCC2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01D1A339">
            <w:pPr>
              <w:jc w:val="center"/>
              <w:rPr>
                <w:rFonts w:hint="eastAsia"/>
                <w:color w:val="000000"/>
                <w:sz w:val="21"/>
                <w:szCs w:val="21"/>
              </w:rPr>
            </w:pPr>
            <w:r>
              <w:rPr>
                <w:rFonts w:hint="eastAsia"/>
                <w:color w:val="000000"/>
                <w:sz w:val="21"/>
                <w:szCs w:val="21"/>
              </w:rPr>
              <w:t>42</w:t>
            </w:r>
          </w:p>
        </w:tc>
        <w:tc>
          <w:tcPr>
            <w:tcW w:w="551" w:type="pct"/>
            <w:shd w:val="clear" w:color="auto" w:fill="auto"/>
            <w:vAlign w:val="center"/>
          </w:tcPr>
          <w:p w14:paraId="33399819">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户外直播导播一体机</w:t>
            </w:r>
          </w:p>
        </w:tc>
        <w:tc>
          <w:tcPr>
            <w:tcW w:w="2953" w:type="pct"/>
            <w:shd w:val="clear" w:color="auto" w:fill="auto"/>
            <w:vAlign w:val="center"/>
          </w:tcPr>
          <w:p w14:paraId="5D63281A">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高清推流编码器HDMI直播机直播设备全套视频推流内置APP一键开播内置电池</w:t>
            </w:r>
          </w:p>
        </w:tc>
        <w:tc>
          <w:tcPr>
            <w:tcW w:w="350" w:type="pct"/>
            <w:shd w:val="clear" w:color="auto" w:fill="auto"/>
            <w:vAlign w:val="center"/>
          </w:tcPr>
          <w:p w14:paraId="37000C9F">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37AE5F87">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6B94FDF9">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5F576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0650F5AE">
            <w:pPr>
              <w:jc w:val="center"/>
              <w:rPr>
                <w:rFonts w:hint="eastAsia"/>
                <w:color w:val="000000"/>
                <w:sz w:val="21"/>
                <w:szCs w:val="21"/>
              </w:rPr>
            </w:pPr>
            <w:r>
              <w:rPr>
                <w:rFonts w:hint="eastAsia"/>
                <w:color w:val="000000"/>
                <w:sz w:val="21"/>
                <w:szCs w:val="21"/>
              </w:rPr>
              <w:t>43</w:t>
            </w:r>
          </w:p>
        </w:tc>
        <w:tc>
          <w:tcPr>
            <w:tcW w:w="551" w:type="pct"/>
            <w:shd w:val="clear" w:color="auto" w:fill="auto"/>
            <w:vAlign w:val="center"/>
          </w:tcPr>
          <w:p w14:paraId="39C11603">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无线导播通话系统</w:t>
            </w:r>
          </w:p>
        </w:tc>
        <w:tc>
          <w:tcPr>
            <w:tcW w:w="2953" w:type="pct"/>
            <w:shd w:val="clear" w:color="auto" w:fill="auto"/>
            <w:vAlign w:val="center"/>
          </w:tcPr>
          <w:p w14:paraId="151D3F1C">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猛玛立声Pro无线导播通话系统三方通话一拖三</w:t>
            </w:r>
          </w:p>
        </w:tc>
        <w:tc>
          <w:tcPr>
            <w:tcW w:w="350" w:type="pct"/>
            <w:shd w:val="clear" w:color="auto" w:fill="auto"/>
            <w:vAlign w:val="center"/>
          </w:tcPr>
          <w:p w14:paraId="6C188619">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0353FC0D">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0362382B">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2D648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7FB8B6D5">
            <w:pPr>
              <w:jc w:val="center"/>
              <w:rPr>
                <w:rFonts w:hint="eastAsia"/>
                <w:color w:val="000000"/>
                <w:sz w:val="21"/>
                <w:szCs w:val="21"/>
              </w:rPr>
            </w:pPr>
            <w:r>
              <w:rPr>
                <w:rFonts w:hint="eastAsia"/>
                <w:color w:val="000000"/>
                <w:sz w:val="21"/>
                <w:szCs w:val="21"/>
              </w:rPr>
              <w:t>44</w:t>
            </w:r>
          </w:p>
        </w:tc>
        <w:tc>
          <w:tcPr>
            <w:tcW w:w="551" w:type="pct"/>
            <w:shd w:val="clear" w:color="auto" w:fill="auto"/>
            <w:vAlign w:val="center"/>
          </w:tcPr>
          <w:p w14:paraId="0A5AF319">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安装机柜</w:t>
            </w:r>
          </w:p>
        </w:tc>
        <w:tc>
          <w:tcPr>
            <w:tcW w:w="2953" w:type="pct"/>
            <w:shd w:val="clear" w:color="auto" w:fill="auto"/>
            <w:vAlign w:val="center"/>
          </w:tcPr>
          <w:p w14:paraId="2CAB8762">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标准网络机柜，600*600</w:t>
            </w:r>
          </w:p>
        </w:tc>
        <w:tc>
          <w:tcPr>
            <w:tcW w:w="350" w:type="pct"/>
            <w:shd w:val="clear" w:color="auto" w:fill="auto"/>
            <w:vAlign w:val="center"/>
          </w:tcPr>
          <w:p w14:paraId="18E3D731">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56DE9646">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19321E96">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77DED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26E4F508">
            <w:pPr>
              <w:jc w:val="center"/>
              <w:rPr>
                <w:rFonts w:hint="eastAsia"/>
                <w:color w:val="000000"/>
                <w:sz w:val="21"/>
                <w:szCs w:val="21"/>
              </w:rPr>
            </w:pPr>
            <w:r>
              <w:rPr>
                <w:rFonts w:hint="eastAsia"/>
                <w:color w:val="000000"/>
                <w:sz w:val="21"/>
                <w:szCs w:val="21"/>
              </w:rPr>
              <w:t>45</w:t>
            </w:r>
          </w:p>
        </w:tc>
        <w:tc>
          <w:tcPr>
            <w:tcW w:w="551" w:type="pct"/>
            <w:shd w:val="clear" w:color="auto" w:fill="auto"/>
            <w:vAlign w:val="center"/>
          </w:tcPr>
          <w:p w14:paraId="3DD0EF23">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教室基础环境改造</w:t>
            </w:r>
          </w:p>
        </w:tc>
        <w:tc>
          <w:tcPr>
            <w:tcW w:w="2953" w:type="pct"/>
            <w:shd w:val="clear" w:color="auto" w:fill="auto"/>
            <w:vAlign w:val="center"/>
          </w:tcPr>
          <w:p w14:paraId="52D058AF">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环境装修：</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EQ60调谐板600*1800*60mm安装、玻璃观察窗（二块）、地胶、小舞台、窗帘、石膏板造型吊顶、网格天花、绿幕（蓝色聚氨酯涂料）、装饰灯线、复合地板安装、亚克力17MM厚水晶字、屏风、油画布墙面、实木装修板安装、遮光隔音窗帘（电动）、石膏板面隔墙、射灯等。</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 xml:space="preserve">2、教室的室温为18℃－26℃，湿度为60％－80％较合理；录播教室内须安装低噪声的空调系统，具有加热、加湿、制冷、去湿、换气的功能，室内要求空气新鲜，每人每时换气量不小于18立方米； </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3、教室内部装修选用环保型材料。甲醛、苯、氡等有害气体物质达到环保规范要求。</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4、室内区采用平板LED护眼灯，维持平均照度（lx）：≥300（维护系数0.8），眩光值(UGR)：≤16，显色指数(Ra)：≥90，灯光色温5000±200K。</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安全防护：</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1.供电系统加装漏电保护装置；</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2.接地系统、防雷电系统安全、可靠，符合GB 50343－2004《建筑物电子信息系统防雷技术规范》、GA267-2000《国家计算机系统雷电电磁脉冲安全防护规范》等要求；</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3.要有防火（符合消防要求）、防水、防盗措施。</w:t>
            </w:r>
          </w:p>
        </w:tc>
        <w:tc>
          <w:tcPr>
            <w:tcW w:w="350" w:type="pct"/>
            <w:shd w:val="clear" w:color="auto" w:fill="auto"/>
            <w:vAlign w:val="center"/>
          </w:tcPr>
          <w:p w14:paraId="3070FB80">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7A7E6493">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项</w:t>
            </w:r>
          </w:p>
        </w:tc>
        <w:tc>
          <w:tcPr>
            <w:tcW w:w="435" w:type="pct"/>
            <w:shd w:val="clear" w:color="auto" w:fill="auto"/>
            <w:noWrap/>
            <w:vAlign w:val="center"/>
          </w:tcPr>
          <w:p w14:paraId="7586E382">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06F47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64" w:type="pct"/>
            <w:gridSpan w:val="5"/>
            <w:shd w:val="clear" w:color="auto" w:fill="auto"/>
            <w:noWrap/>
            <w:vAlign w:val="center"/>
          </w:tcPr>
          <w:p w14:paraId="18C23334">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三、智慧书法教室</w:t>
            </w:r>
          </w:p>
        </w:tc>
        <w:tc>
          <w:tcPr>
            <w:tcW w:w="435" w:type="pct"/>
            <w:shd w:val="clear" w:color="auto" w:fill="auto"/>
            <w:noWrap/>
            <w:vAlign w:val="center"/>
          </w:tcPr>
          <w:p w14:paraId="51533536">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78D82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7FD2AE1A">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551" w:type="pct"/>
            <w:shd w:val="clear" w:color="auto" w:fill="auto"/>
            <w:vAlign w:val="center"/>
          </w:tcPr>
          <w:p w14:paraId="22CA00B1">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教师中控条案</w:t>
            </w:r>
          </w:p>
        </w:tc>
        <w:tc>
          <w:tcPr>
            <w:tcW w:w="2953" w:type="pct"/>
            <w:shd w:val="clear" w:color="auto" w:fill="auto"/>
            <w:vAlign w:val="center"/>
          </w:tcPr>
          <w:p w14:paraId="3BC37779">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1.规格：200cm×80cm×75cm，木结构；</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2.古典书桌设计，烤漆处理；</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3.全部卯榫结构；</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4.支持将本方案中的中控、教师手绘屏、直播系统集成在中控条案中；</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5.砚台：20cm×13cm×2.5cm，材质：螺纹石；</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6.毛笔笔架：36cm×34cm×10cm，材质: 鸡翅木；</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7.笔洗：7.5cm×20cm，材质：优质陶瓷；</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8.砚台水滴：陶瓷；</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9.镇尺：加重型黑梓木；</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10.笔搁：卧式笔架，材质：实木；</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11.毛毡：1×2米，可以水洗反复使用；</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12.笔筒：12.5cm×9.5cm，材质: 黑檀；</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13.毛笔套装：笔头材质为纯狼毫；笔杆材质：天然黑湘妃；大号毛笔尺寸：出锋3.8cm、口径1.1cm、全长26.5cm；中号毛笔：出锋3.3cm、口径0.9cm、全长26.0cm；小号毛笔：出锋2.8cm，口径0.8cm，全长25.5cm；</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14.配套实木方凳1个。</w:t>
            </w:r>
          </w:p>
        </w:tc>
        <w:tc>
          <w:tcPr>
            <w:tcW w:w="350" w:type="pct"/>
            <w:shd w:val="clear" w:color="auto" w:fill="auto"/>
            <w:vAlign w:val="center"/>
          </w:tcPr>
          <w:p w14:paraId="3A32B717">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391" w:type="pct"/>
            <w:shd w:val="clear" w:color="auto" w:fill="auto"/>
            <w:vAlign w:val="center"/>
          </w:tcPr>
          <w:p w14:paraId="115ACB92">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台</w:t>
            </w:r>
          </w:p>
        </w:tc>
        <w:tc>
          <w:tcPr>
            <w:tcW w:w="435" w:type="pct"/>
            <w:shd w:val="clear" w:color="auto" w:fill="auto"/>
            <w:noWrap/>
            <w:vAlign w:val="center"/>
          </w:tcPr>
          <w:p w14:paraId="363A813E">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53870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485E4BC6">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551" w:type="pct"/>
            <w:shd w:val="clear" w:color="auto" w:fill="auto"/>
            <w:vAlign w:val="center"/>
          </w:tcPr>
          <w:p w14:paraId="2C64CB30">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书法临摹桌</w:t>
            </w:r>
          </w:p>
        </w:tc>
        <w:tc>
          <w:tcPr>
            <w:tcW w:w="2953" w:type="pct"/>
            <w:shd w:val="clear" w:color="auto" w:fill="auto"/>
            <w:vAlign w:val="center"/>
          </w:tcPr>
          <w:p w14:paraId="5EFEE8B3">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1.仿古设计，弧形腿，框架结构：松木；</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2.规格：≤134cm×60cm×75cm；左右两边两个墨盒孔，长宽：≤13.8cm×7.8cm；左右两边两个临摹台开关孔，长宽：≤7.5cm×1.8cm；洗笔器开关孔直径：≤1.6cm；桌面厚度：≥3.2cm；</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3.交互式数字临摹台能无缝嵌入至书法桌，嵌入后临摹台与书法桌表面水平，为一体化设计；</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4.书法桌学生一侧具有嵌入式临摹台开关，音频接口，USB接口；</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5.专业笔搁；</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6.配套实木方凳2个。</w:t>
            </w:r>
          </w:p>
        </w:tc>
        <w:tc>
          <w:tcPr>
            <w:tcW w:w="350" w:type="pct"/>
            <w:shd w:val="clear" w:color="auto" w:fill="auto"/>
            <w:vAlign w:val="center"/>
          </w:tcPr>
          <w:p w14:paraId="69872E21">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24</w:t>
            </w:r>
          </w:p>
        </w:tc>
        <w:tc>
          <w:tcPr>
            <w:tcW w:w="391" w:type="pct"/>
            <w:shd w:val="clear" w:color="auto" w:fill="auto"/>
            <w:vAlign w:val="center"/>
          </w:tcPr>
          <w:p w14:paraId="5AD645FD">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套</w:t>
            </w:r>
          </w:p>
        </w:tc>
        <w:tc>
          <w:tcPr>
            <w:tcW w:w="435" w:type="pct"/>
            <w:shd w:val="clear" w:color="auto" w:fill="auto"/>
            <w:noWrap/>
            <w:vAlign w:val="center"/>
          </w:tcPr>
          <w:p w14:paraId="0DF6F220">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24446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4B431BCB">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2</w:t>
            </w:r>
          </w:p>
        </w:tc>
        <w:tc>
          <w:tcPr>
            <w:tcW w:w="551" w:type="pct"/>
            <w:shd w:val="clear" w:color="auto" w:fill="auto"/>
            <w:vAlign w:val="center"/>
          </w:tcPr>
          <w:p w14:paraId="24FA69D3">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书画教学展示台</w:t>
            </w:r>
          </w:p>
        </w:tc>
        <w:tc>
          <w:tcPr>
            <w:tcW w:w="2953" w:type="pct"/>
            <w:shd w:val="clear" w:color="auto" w:fill="auto"/>
            <w:vAlign w:val="center"/>
          </w:tcPr>
          <w:p w14:paraId="702C53F0">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1.拍摄架：≥10千克，全金属构架,摄像机竖立的主支架杆须立于拍摄架底座板的左上角；</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2.支持清晰拍摄软硬笔、粉笔、美术的书写与绘画；</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3.配置3台摄像机从不同角度拍摄；</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4.摄像机3台。</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（1）拍摄面积：大于A3幅面（距离镜头≥45cm处）；长宽高：≤120 mm×70 mm×70 mm，直播画面分辨率：1920×1080，支持自动亮度调节；支持自动对焦功能。</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（2）帧数：≥30FPS，实时输出画面流畅，移动展示物体无明显拖尾、模糊、延迟等现象；</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 输出接口：RJ45；</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 xml:space="preserve">（4） 电源：DC12V； </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5.支持保存镜头位置，支持6个档位设置，需要时可一键调出，自动恢复到相应位置；</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6.支持场景式网络课堂教学系统直接调取3台摄像机使用；</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7.支持正面摄像机、侧面摄像机拍摄长宽均不大于3毫米的字（可清晰辨识文字内容），拍摄高度不低于65厘米；</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8.摄像机机壳为全封闭结构，镜头必须封闭在摄像机机壳内部，防止落尘或者不慎操作损坏镜头；</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9.软件界面可调整缩放倍数，并立即展示缩放后的效果。缩放后可全自动对焦清晰显示或通过软件界面手动对焦清晰显示。</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10.投标人提供“书画教学展示台”的检测报告，基于本硬件的检测报告必须是独立一份，出具带CMA和CNAS标识的检测报告为佐证，报告内容须体现相应功能且有检测样品图片，提供报告复印件并加盖厂家公章；并提供由中国国家认证认可监督管理委员会颁发的第三方检验检测机构的资质认定证书和由中国合格评定国家认可委员会颁发的第三方检验检测机构的实验室认可证书。</w:t>
            </w:r>
          </w:p>
        </w:tc>
        <w:tc>
          <w:tcPr>
            <w:tcW w:w="350" w:type="pct"/>
            <w:shd w:val="clear" w:color="auto" w:fill="auto"/>
            <w:vAlign w:val="center"/>
          </w:tcPr>
          <w:p w14:paraId="7531C8B8">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391" w:type="pct"/>
            <w:shd w:val="clear" w:color="auto" w:fill="auto"/>
            <w:vAlign w:val="center"/>
          </w:tcPr>
          <w:p w14:paraId="2743C13D">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套</w:t>
            </w:r>
          </w:p>
        </w:tc>
        <w:tc>
          <w:tcPr>
            <w:tcW w:w="435" w:type="pct"/>
            <w:shd w:val="clear" w:color="auto" w:fill="auto"/>
            <w:noWrap/>
            <w:vAlign w:val="center"/>
          </w:tcPr>
          <w:p w14:paraId="32085E43">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4CFC0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47FBDE46">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3</w:t>
            </w:r>
          </w:p>
        </w:tc>
        <w:tc>
          <w:tcPr>
            <w:tcW w:w="551" w:type="pct"/>
            <w:shd w:val="clear" w:color="auto" w:fill="auto"/>
            <w:vAlign w:val="center"/>
          </w:tcPr>
          <w:p w14:paraId="58A81BDD">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书法教学直播系统</w:t>
            </w:r>
          </w:p>
        </w:tc>
        <w:tc>
          <w:tcPr>
            <w:tcW w:w="2953" w:type="pct"/>
            <w:shd w:val="clear" w:color="auto" w:fill="auto"/>
            <w:vAlign w:val="center"/>
          </w:tcPr>
          <w:p w14:paraId="12F5C3E5">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1．系统支持连接书画教学展示台的三台摄像机同时拍摄直播、录像，其中两台摄像机进行同时拍摄录课，另一台摄像机录制授课特写画面；</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软件界面同时显示正面、侧面、特写三个画面，并在画面上进行标识，画面上标识正面、侧面、特写。支持单镜头画面、双镜头画面、三镜头画面、画中画四种录播模式功能，四种显示模式都直接双击切换。支持三台摄像机的视频语音录制功能；支持三个画面同步回放功能；支持播放文件时间显示数字走表功能；支持在软件内直接修改视频、图片文件名，支持拍摄的视频文件自带拍摄年、月、日、时、分、秒信息。</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3.支持快镜头播放、暂停功能；</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4.支持慢镜头播放、暂停功能；</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5.支持摄像机自动录音功能，软件调节声音大小；</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6.支持在画面上任意批注功能；</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7.教师在示范书写的时候，可以在界面同时展现要示范的例字的视频、例字多个字体、例字的多个碑帖，显示在软件摄像机拍摄的界面，字帖可随意放大缩小，可随意放在软件界面的任何位置；</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8.支持一键抓图、看图功能；</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9. 支持正面、侧面、特写三个镜头具有设置功能；</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10. 支持设置功能包括缩放、指定档位功能；</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11. 缩放：支持鼠标滚轮调节缩放比例功能；</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12. 支持缩放比例自动对焦，调节缩放比例，选择自动对焦，系统依据缩放比例自动对焦。（出具带CMA和CNAS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13. 支持教师把调整好的缩放和焦距参数快捷保存到指定档位，下次使用时可以一键选档，一键快捷切换档位时，摄像机缩放和焦距自动调节到本档位的对应参数；支持保存6个档位。（出具带CMA和CNAS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14. 支持回放功能，回放功能具有对已录视频进行重命名和删除功能；</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15. 支持回放视频时正面、侧面、特写三个画面同时显示播放功能；</w:t>
            </w:r>
          </w:p>
        </w:tc>
        <w:tc>
          <w:tcPr>
            <w:tcW w:w="350" w:type="pct"/>
            <w:shd w:val="clear" w:color="auto" w:fill="auto"/>
            <w:vAlign w:val="center"/>
          </w:tcPr>
          <w:p w14:paraId="5A63764F">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391" w:type="pct"/>
            <w:shd w:val="clear" w:color="auto" w:fill="auto"/>
            <w:vAlign w:val="center"/>
          </w:tcPr>
          <w:p w14:paraId="3C6D6BD5">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套</w:t>
            </w:r>
          </w:p>
        </w:tc>
        <w:tc>
          <w:tcPr>
            <w:tcW w:w="435" w:type="pct"/>
            <w:shd w:val="clear" w:color="auto" w:fill="auto"/>
            <w:noWrap/>
            <w:vAlign w:val="center"/>
          </w:tcPr>
          <w:p w14:paraId="6B0CC1DF">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7EA8A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19CCE523">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4</w:t>
            </w:r>
          </w:p>
        </w:tc>
        <w:tc>
          <w:tcPr>
            <w:tcW w:w="551" w:type="pct"/>
            <w:shd w:val="clear" w:color="auto" w:fill="auto"/>
            <w:vAlign w:val="center"/>
          </w:tcPr>
          <w:p w14:paraId="7DEA01C6">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颜体楷书教学软件</w:t>
            </w:r>
          </w:p>
        </w:tc>
        <w:tc>
          <w:tcPr>
            <w:tcW w:w="2953" w:type="pct"/>
            <w:shd w:val="clear" w:color="auto" w:fill="auto"/>
            <w:vAlign w:val="center"/>
          </w:tcPr>
          <w:p w14:paraId="32562143">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1.系统以《多宝塔碑》为范本，进行课程编排，课程≥128课时；</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2.每课时支持查看范字的书写要点讲解，书写示范视频讲解，单钩、双钩、笔法、示意图，核心示范字的文字演变，每课时都有书法知识点讲解；</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3.包括三年级、四年级、五年级、六年级的课程；</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4.每个课时均具有通过拼字游戏进行书法结构练习；</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5.每一课时都包含“示范讲解”、“观察规律”、“知识扩展”、 “课堂练习”、“回帖学习”环节；</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6.示范讲解：包含偏旁、例字的讲解和示范书写。偏旁讲解部分包括书写要点和专家示范视频。例字讲解包括专家示范视频、书写要点，具有拼音、释义、笔画的文字描述、偏旁、结构、书体、作者、作品出处的基本信息，有行笔路线动画（要求手写体），笔顺视图（要求手写体，按照笔顺每幅图增加一个笔画），笔势视图（要求手写体，用箭头、粗细、路线体现出笔画的起笔、行笔、收笔方法），单钩视图（要求手写体），双钩视图，碑帖原图，碑帖修复图（要求按照原帖风格和书体特征进行修复），碑帖修复提取图（修复之后提取，并放在米字格中）。该模块还集成了书体对比、练习等功能。练习功能支持修改例字的底格、换字、自动生成六步临摹。</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7.书体对比：在示范讲解环节中要包括例字的书体对比，支持每个例字自动调取欧体、颜体、柳体、赵体、隶书、篆书、行书、草书字帖进行对比，当该字的某书体有多种时支持选字，选出的字帖要包括书体、书家、碑帖名称，选出的所有字帖以放大的方式呈现在屏幕上。</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8.观察规律：该功能可培养学生观察能力、对比分析总结能力。同一个字具有不同的书体，通过观察某一笔画（如撇画）或者某一部件（如女部）在该字的不同书体中的形态，总结出该笔画（如撇画）或者该部件（如女部）的一般规律。同时系统给出参考性答案。</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9.动手体验：包含“试一试”、“拼一拼”、“写一写”环节，在“试一试”环节中，通过单钩、双钩、画轮廓的练习，让学生去深度感知笔画和结构；在“拼一拼”环节中，将例字分解成几部分，可通过拼字游戏进一步对结构进行感知和实践；在“写一写”环节中，让学生进行临写，并且将笔法图放在最左边，便于学生进行临写。</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10.知识扩展：包括本节课典型例字的文字源流，列出甲骨文、篆书、隶书、草书、行书、楷书的图片，同时以文字的方式列出“说文解字”的内容。同时包含其他的一个书法类的知识，书法知识涉及到文字、书家、书写材料、碑帖知识、书论等内容。</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11.课堂练习：自动生成本节课的主要例字或者偏旁的字帖供学生练习，字帖按照六步临摹法生成（六步临摹法：摹-摹-摹-临-摹-临），在该软件界面中支持一键换书体、一键换底格（米字格、田字格、九宫格、田回格、大方格）、一键换字体颜色、选择其他例字、修改字格数量、收取作业的功能；</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12.回帖学习：该环节回归到本节课对应的原始碑帖进行学习，首先在对应的碑帖上用红圈标识出该字，点击该字可出现这个字的基本信息、笔顺视图、行笔路线、笔势视图、单钩视图、双钩视图、碑帖修复图、修复提取图；同时该碑帖上所有的字都能出现对应的简体，所有字都能呈现基本信息、笔顺视图、行笔路线、笔势视图、单钩视图、双钩视图、碑帖修复图、修复提取图。</w:t>
            </w:r>
          </w:p>
        </w:tc>
        <w:tc>
          <w:tcPr>
            <w:tcW w:w="350" w:type="pct"/>
            <w:shd w:val="clear" w:color="auto" w:fill="auto"/>
            <w:vAlign w:val="center"/>
          </w:tcPr>
          <w:p w14:paraId="05C6FD16">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391" w:type="pct"/>
            <w:shd w:val="clear" w:color="auto" w:fill="auto"/>
            <w:vAlign w:val="center"/>
          </w:tcPr>
          <w:p w14:paraId="0E10A4D0">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套</w:t>
            </w:r>
          </w:p>
        </w:tc>
        <w:tc>
          <w:tcPr>
            <w:tcW w:w="435" w:type="pct"/>
            <w:shd w:val="clear" w:color="auto" w:fill="auto"/>
            <w:noWrap/>
            <w:vAlign w:val="center"/>
          </w:tcPr>
          <w:p w14:paraId="08618469">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43EC3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2662F0E5">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5</w:t>
            </w:r>
          </w:p>
        </w:tc>
        <w:tc>
          <w:tcPr>
            <w:tcW w:w="551" w:type="pct"/>
            <w:shd w:val="clear" w:color="auto" w:fill="auto"/>
            <w:vAlign w:val="center"/>
          </w:tcPr>
          <w:p w14:paraId="65EEA648">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赵体楷书教学软件</w:t>
            </w:r>
          </w:p>
        </w:tc>
        <w:tc>
          <w:tcPr>
            <w:tcW w:w="2953" w:type="pct"/>
            <w:shd w:val="clear" w:color="auto" w:fill="auto"/>
            <w:vAlign w:val="center"/>
          </w:tcPr>
          <w:p w14:paraId="6E7BFD6D">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1.系统以《三门记》为范本，进行课程编排，课程≥128课时；</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2.每课时支持查看范字的书写要点讲解，书写示范视频讲解，单钩、双钩、笔法、示意图，核心示范字的文字演变，每课时都有书法知识点讲解；</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3.包括三年级、四年级、五年级、六年级的课程；</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4.每个课时均具有通过拼字游戏进行书法结构练习；</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5.每一课时都包含“示范讲解”、“观察规律”、“知识扩展”、 “课堂练习”、“回帖学习”环节；</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6.示范讲解：包含偏旁、例字的讲解和示范书写。偏旁讲解部分包括书写要点和专家示范视频。例字讲解包括专家示范视频、书写要点，具有拼音、释义、笔画的文字描述、偏旁、结构、书体、作者、作品出处的基本信息，有行笔路线动画（要求手写体），笔顺视图（要求手写体，按照笔顺每幅图增加一个笔画），笔势视图（要求手写体，用箭头、粗细、路线体现出笔画的起笔、行笔、收笔方法），单钩视图（要求手写体），双钩视图，碑帖原图，碑帖修复图（要求按照原帖风格和书体特征进行修复），碑帖修复提取图（修复之后提取，并放在米字格中）。该模块还集成了书体对比、练习等功能。练习功能支持修改例字的底格、换字、自动生成六步临摹。</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7.书体对比：在示范讲解环节中要包括例字的书体对比，支持每个例字自动调取欧体、颜体、柳体、赵体、隶书、篆书、行书、草书字帖进行对比，当该字的某书体有多种时支持选字，选出的字帖要包括书体、书家、碑帖名称，选出的所有字帖以放大的方式呈现在屏幕上。</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8.观察规律：该功能可培养学生观察能力、对比分析总结能力。同一个字具有不同的书体，通过观察某一笔画（如撇画）或者某一部件（如女部）在该字的不同书体中的形态，总结出该笔画（如撇画）或者该部件（如女部）的一般规律。同时系统给出参考性答案。</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9.动手体验：包含“试一试”、“拼一拼”、“写一写”环节，在“试一试”环节中，通过单钩、双钩、画轮廓的练习，让学生去深度感知笔画和结构；在“拼一拼”环节中，将例字分解成几部分，可通过拼字游戏进一步对结构进行感知和实践；在“写一写”环节中，让学生进行临写，并且将笔法图放在最左边，便于学生进行临写。</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10.知识扩展：包括本节课典型例字的文字源流，列出甲骨文、篆书、隶书、草书、行书、楷书的图片，同时以文字的方式列出“说文解字”的内容。同时包含其他的一个书法类的知识，书法知识涉及到文字、书家、书写材料、碑帖知识、书论等内容。</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11.课堂练习：自动生成本节课的主要例字或者偏旁的字帖供学生练习，字帖按照六步临摹法生成（六步临摹法：摹-摹-摹-临-摹-临），在该软件界面中支持一键换书体、一键换底格（米字格、田字格、九宫格、田回格、大方格）、一键换字体颜色、选择其他例字、修改字格数量、收取作业的功能；</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12.回帖学习：该环节回归到本节课对应的原始碑帖进行学习，首先在对应的碑帖上用红圈标识出该字，点击该字可出现这个字的基本信息、笔顺视图、行笔路线、笔势视图、单钩视图、双钩视图、碑帖修复图、修复提取图；同时该碑帖上所有的字都能出现对应的简体，所有字都能呈现基本信息、笔顺视图、行笔路线、笔势视图、单钩视图、双钩视图、碑帖修复图、修复提取图。</w:t>
            </w:r>
          </w:p>
        </w:tc>
        <w:tc>
          <w:tcPr>
            <w:tcW w:w="350" w:type="pct"/>
            <w:shd w:val="clear" w:color="auto" w:fill="auto"/>
            <w:vAlign w:val="center"/>
          </w:tcPr>
          <w:p w14:paraId="1EBAD55F">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391" w:type="pct"/>
            <w:shd w:val="clear" w:color="auto" w:fill="auto"/>
            <w:vAlign w:val="center"/>
          </w:tcPr>
          <w:p w14:paraId="69950CFF">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套</w:t>
            </w:r>
          </w:p>
        </w:tc>
        <w:tc>
          <w:tcPr>
            <w:tcW w:w="435" w:type="pct"/>
            <w:shd w:val="clear" w:color="auto" w:fill="auto"/>
            <w:noWrap/>
            <w:vAlign w:val="center"/>
          </w:tcPr>
          <w:p w14:paraId="1798A482">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22655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23845146">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6</w:t>
            </w:r>
          </w:p>
        </w:tc>
        <w:tc>
          <w:tcPr>
            <w:tcW w:w="551" w:type="pct"/>
            <w:shd w:val="clear" w:color="auto" w:fill="auto"/>
            <w:vAlign w:val="center"/>
          </w:tcPr>
          <w:p w14:paraId="164B48CC">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柳体楷书教学软件</w:t>
            </w:r>
          </w:p>
        </w:tc>
        <w:tc>
          <w:tcPr>
            <w:tcW w:w="2953" w:type="pct"/>
            <w:shd w:val="clear" w:color="auto" w:fill="auto"/>
            <w:vAlign w:val="center"/>
          </w:tcPr>
          <w:p w14:paraId="3A2BC576">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1.系统以《玄秘塔碑》为范本，进行课程编排，课程≥128课时；</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2.每课时支持查看范字的书写要点讲解，书写示范视频讲解，单钩、双钩、笔法、示意图，核心示范字的文字演变，每课时都有书法知识点讲解；</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3.包括三年级、四年级、五年级、六年级的课程；</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4.每个课时均具有通过拼字游戏进行书法结构练习；</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5.每一课时都包含“示范讲解”、“观察规律”、“知识扩展”、 “课堂练习”、“回帖学习”环节；</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6.示范讲解：包含偏旁、例字的讲解和示范书写。偏旁讲解部分包括书写要点和专家示范视频。例字讲解包括专家示范视频、书写要点，具有拼音、释义、笔画的文字描述、偏旁、结构、书体、作者、作品出处的基本信息，有行笔路线动画（要求手写体），笔顺视图（要求手写体，按照笔顺每幅图增加一个笔画），笔势视图（要求手写体，用箭头、粗细、路线体现出笔画的起笔、行笔、收笔方法），单钩视图（要求手写体），双钩视图，碑帖原图，碑帖修复图（要求按照原帖风格和书体特征进行修复），碑帖修复提取图（修复之后提取，并放在米字格中）。该模块还集成了书体对比、练习等功能。练习功能支持修改例字的底格、换字、自动生成六步临摹。</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7.书体对比：在示范讲解环节中要包括例字的书体对比，支持每个例字自动调取欧体、颜体、柳体、赵体、隶书、篆书、行书、草书字帖进行对比，当该字的某书体有多种时支持选字，选出的字帖要包括书体、书家、碑帖名称，选出的所有字帖以放大的方式呈现在屏幕上。</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8.观察规律：该功能可培养学生观察能力、对比分析总结能力。同一个字具有不同的书体，通过观察某一笔画（如撇画）或者某一部件（如女部）在该字的不同书体中的形态，总结出该笔画（如撇画）或者该部件（如女部）的一般规律。同时系统给出参考性答案。</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9.动手体验：包含“试一试”、“拼一拼”、“写一写”环节，在“试一试”环节中，通过单钩、双钩、画轮廓的练习，让学生去深度感知笔画和结构；在“拼一拼”环节中，将例字分解成几部分，可通过拼字游戏进一步对结构进行感知和实践；在“写一写”环节中，让学生进行临写，并且将笔法图放在最左边，便于学生进行临写。</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10.知识扩展：包括本节课典型例字的文字源流，列出甲骨文、篆书、隶书、草书、行书、楷书的图片，同时以文字的方式列出“说文解字”的内容。同时包含其他的一个书法类的知识，书法知识涉及到文字、书家、书写材料、碑帖知识、书论等内容。</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11.课堂练习：自动生成本节课的主要例字或者偏旁的字帖供学生练习，字帖按照六步临摹法生成（六步临摹法：摹-摹-摹-临-摹-临），在该软件界面中支持一键换书体、一键换底格（米字格、田字格、九宫格、田回格、大方格）、一键换字体颜色、选择其他例字、修改字格数量、收取作业的功能；</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12.回帖学习：该环节回归到本节课对应的原始碑帖进行学习，首先在对应的碑帖上用红圈标识出该字，点击该字可出现这个字的基本信息、笔顺视图、行笔路线、笔势视图、单钩视图、双钩视图、碑帖修复图、修复提取图；同时该碑帖上所有的字都能出现对应的简体，所有字都能呈现基本信息、笔顺视图、行笔路线、笔势视图、单钩视图、双钩视图、碑帖修复图、修复提取图。</w:t>
            </w:r>
          </w:p>
        </w:tc>
        <w:tc>
          <w:tcPr>
            <w:tcW w:w="350" w:type="pct"/>
            <w:shd w:val="clear" w:color="auto" w:fill="auto"/>
            <w:vAlign w:val="center"/>
          </w:tcPr>
          <w:p w14:paraId="7D571AF8">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391" w:type="pct"/>
            <w:shd w:val="clear" w:color="auto" w:fill="auto"/>
            <w:vAlign w:val="center"/>
          </w:tcPr>
          <w:p w14:paraId="56A16274">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套</w:t>
            </w:r>
          </w:p>
        </w:tc>
        <w:tc>
          <w:tcPr>
            <w:tcW w:w="435" w:type="pct"/>
            <w:shd w:val="clear" w:color="auto" w:fill="auto"/>
            <w:noWrap/>
            <w:vAlign w:val="center"/>
          </w:tcPr>
          <w:p w14:paraId="3580E797">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13AE4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2186CD20">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7</w:t>
            </w:r>
          </w:p>
        </w:tc>
        <w:tc>
          <w:tcPr>
            <w:tcW w:w="551" w:type="pct"/>
            <w:shd w:val="clear" w:color="auto" w:fill="auto"/>
            <w:vAlign w:val="center"/>
          </w:tcPr>
          <w:p w14:paraId="68CBE7AA">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欧体楷书教学软件</w:t>
            </w:r>
          </w:p>
        </w:tc>
        <w:tc>
          <w:tcPr>
            <w:tcW w:w="2953" w:type="pct"/>
            <w:shd w:val="clear" w:color="auto" w:fill="auto"/>
            <w:vAlign w:val="center"/>
          </w:tcPr>
          <w:p w14:paraId="40F103CD">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1.系统以《九成宫碑》为范本，进行课程编排，课程≥128课时；</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2.每课时支持查看范字的书写要点讲解，书写示范视频讲解，单钩、双钩、笔法、示意图，核心示范字的文字演变，每课时都有书法知识点讲解；</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3.包括三年级、四年级、五年级、六年级的课程；</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4.每个课时均具有通过拼字游戏进行书法结构练习；</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5.每一课时都包含“示范讲解”、“观察规律”、“知识扩展”、 “课堂练习”、“回帖学习”环节；</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6.示范讲解：包含偏旁、例字的讲解和示范书写。偏旁讲解部分包括书写要点和专家示范视频。例字讲解包括专家示范视频、书写要点，具有拼音、释义、笔画的文字描述、偏旁、结构、书体、作者、作品出处的基本信息，有行笔路线动画（要求手写体），笔顺视图（要求手写体，按照笔顺每幅图增加一个笔画），笔势视图（要求手写体，用箭头、粗细、路线体现出笔画的起笔、行笔、收笔方法），单钩视图（要求手写体），双钩视图，碑帖原图，碑帖修复图（要求按照原帖风格和书体特征进行修复），碑帖修复提取图（修复之后提取，并放在米字格中）。该模块还集成了书体对比、练习等功能。练习功能支持修改例字的底格、换字、自动生成六步临摹。</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7.书体对比：在示范讲解环节中要包括例字的书体对比，支持每个例字自动调取欧体、颜体、柳体、赵体、隶书、篆书、行书、草书字帖进行对比，当该字的某书体有多种时支持选字，选出的字帖要包括书体、书家、碑帖名称，选出的所有字帖以放大的方式呈现在屏幕上。</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8.观察规律：该功能可培养学生观察能力、对比分析总结能力。同一个字具有不同的书体，通过观察某一笔画（如撇画）或者某一部件（如女部）在该字的不同书体中的形态，总结出该笔画（如撇画）或者该部件（如女部）的一般规律。同时系统给出参考性答案。</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9.动手体验：包含“试一试”、“拼一拼”、“写一写”环节，在“试一试”环节中，通过单钩、双钩、画轮廓的练习，让学生去深度感知笔画和结构；在“拼一拼”环节中，将例字分解成几部分，可通过拼字游戏进一步对结构进行感知和实践；在“写一写”环节中，让学生进行临写，并且将笔法图放在最左边，便于学生进行临写。</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10.知识扩展：包括本节课典型例字的文字源流，列出甲骨文、篆书、隶书、草书、行书、楷书的图片，同时以文字的方式列出“说文解字”的内容。同时包含其他的一个书法类的知识，书法知识涉及到文字、书家、书写材料、碑帖知识、书论等内容。</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11.课堂练习：自动生成本节课的主要例字或者偏旁的字帖供学生练习，字帖按照六步临摹法生成（六步临摹法：摹-摹-摹-临-摹-临），在该软件界面中支持一键换书体、一键换底格（米字格、田字格、九宫格、田回格、大方格）、一键换字体颜色、选择其他例字、修改字格数量、收取作业的功能；</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12.回帖学习：该环节回归到本节课对应的原始碑帖进行学习，首先在对应的碑帖上用红圈标识出该字，点击该字可出现这个字的基本信息、笔顺视图、行笔路线、笔势视图、单钩视图、双钩视图、碑帖修复图、修复提取图；同时该碑帖上所有的字都能出现对应的简体，所有字都能呈现基本信息、笔顺视图、行笔路线、笔势视图、单钩视图、双钩视图、碑帖修复图、修复提取图。</w:t>
            </w:r>
          </w:p>
        </w:tc>
        <w:tc>
          <w:tcPr>
            <w:tcW w:w="350" w:type="pct"/>
            <w:shd w:val="clear" w:color="auto" w:fill="auto"/>
            <w:vAlign w:val="center"/>
          </w:tcPr>
          <w:p w14:paraId="0A394AD8">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391" w:type="pct"/>
            <w:shd w:val="clear" w:color="auto" w:fill="auto"/>
            <w:vAlign w:val="center"/>
          </w:tcPr>
          <w:p w14:paraId="1B1A8CC5">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套</w:t>
            </w:r>
          </w:p>
        </w:tc>
        <w:tc>
          <w:tcPr>
            <w:tcW w:w="435" w:type="pct"/>
            <w:shd w:val="clear" w:color="auto" w:fill="auto"/>
            <w:noWrap/>
            <w:vAlign w:val="center"/>
          </w:tcPr>
          <w:p w14:paraId="1CB4DBCE">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7FAD5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7E636C6C">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8</w:t>
            </w:r>
          </w:p>
        </w:tc>
        <w:tc>
          <w:tcPr>
            <w:tcW w:w="551" w:type="pct"/>
            <w:shd w:val="clear" w:color="auto" w:fill="auto"/>
            <w:vAlign w:val="center"/>
          </w:tcPr>
          <w:p w14:paraId="28B6B43E">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行书教学软件</w:t>
            </w:r>
          </w:p>
        </w:tc>
        <w:tc>
          <w:tcPr>
            <w:tcW w:w="2953" w:type="pct"/>
            <w:shd w:val="clear" w:color="auto" w:fill="auto"/>
            <w:vAlign w:val="center"/>
          </w:tcPr>
          <w:p w14:paraId="7467846B">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1.系统精讲行书《兰亭序》、《集王圣教序》、《梦奠帖》、《李思训碑》、《祭侄文稿》、《韭花帖》、《寒食帖》、《蜀素贴》，进行课程编排，课程≥100课时；</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2.软件包含行书笔法讲解、字法讲解、章法讲解，其中字法讲解≥40课时；</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3.每一课时都是专家视频讲解，包含碑帖详解、示范讲解；</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4.每一课时都有课堂练习。</w:t>
            </w:r>
          </w:p>
        </w:tc>
        <w:tc>
          <w:tcPr>
            <w:tcW w:w="350" w:type="pct"/>
            <w:shd w:val="clear" w:color="auto" w:fill="auto"/>
            <w:vAlign w:val="center"/>
          </w:tcPr>
          <w:p w14:paraId="16F32F3D">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391" w:type="pct"/>
            <w:shd w:val="clear" w:color="auto" w:fill="auto"/>
            <w:vAlign w:val="center"/>
          </w:tcPr>
          <w:p w14:paraId="58212CD6">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套</w:t>
            </w:r>
          </w:p>
        </w:tc>
        <w:tc>
          <w:tcPr>
            <w:tcW w:w="435" w:type="pct"/>
            <w:shd w:val="clear" w:color="auto" w:fill="auto"/>
            <w:noWrap/>
            <w:vAlign w:val="center"/>
          </w:tcPr>
          <w:p w14:paraId="21031B79">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2619B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484090BA">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9</w:t>
            </w:r>
          </w:p>
        </w:tc>
        <w:tc>
          <w:tcPr>
            <w:tcW w:w="551" w:type="pct"/>
            <w:shd w:val="clear" w:color="auto" w:fill="auto"/>
            <w:vAlign w:val="center"/>
          </w:tcPr>
          <w:p w14:paraId="4DD8DA65">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隶书课程软件</w:t>
            </w:r>
          </w:p>
        </w:tc>
        <w:tc>
          <w:tcPr>
            <w:tcW w:w="2953" w:type="pct"/>
            <w:shd w:val="clear" w:color="auto" w:fill="auto"/>
            <w:vAlign w:val="center"/>
          </w:tcPr>
          <w:p w14:paraId="1694F0E3">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1.以《曹全碑》为范本，进行课程编排。</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2.课程包括笔法、结构规律、创作共24课时。</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3.笔法部分包括控笔练习、初步印象、对比观察、笔法讲解等内容。</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4.结构部分包括控笔练习、初步印象、结构规律等内容。</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5.讲解的每个字均有笔法分析、专家示范视频，示范视频均有配音、字幕讲解。</w:t>
            </w:r>
          </w:p>
        </w:tc>
        <w:tc>
          <w:tcPr>
            <w:tcW w:w="350" w:type="pct"/>
            <w:shd w:val="clear" w:color="auto" w:fill="auto"/>
            <w:vAlign w:val="center"/>
          </w:tcPr>
          <w:p w14:paraId="204C6BD8">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391" w:type="pct"/>
            <w:shd w:val="clear" w:color="auto" w:fill="auto"/>
            <w:vAlign w:val="center"/>
          </w:tcPr>
          <w:p w14:paraId="7B3C382F">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套</w:t>
            </w:r>
          </w:p>
        </w:tc>
        <w:tc>
          <w:tcPr>
            <w:tcW w:w="435" w:type="pct"/>
            <w:shd w:val="clear" w:color="auto" w:fill="auto"/>
            <w:noWrap/>
            <w:vAlign w:val="center"/>
          </w:tcPr>
          <w:p w14:paraId="2A7FB72D">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5EC7B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5B1AD53E">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10</w:t>
            </w:r>
          </w:p>
        </w:tc>
        <w:tc>
          <w:tcPr>
            <w:tcW w:w="551" w:type="pct"/>
            <w:shd w:val="clear" w:color="auto" w:fill="auto"/>
            <w:vAlign w:val="center"/>
          </w:tcPr>
          <w:p w14:paraId="67894B01">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碑帖深度学习软件</w:t>
            </w:r>
          </w:p>
        </w:tc>
        <w:tc>
          <w:tcPr>
            <w:tcW w:w="2953" w:type="pct"/>
            <w:shd w:val="clear" w:color="auto" w:fill="auto"/>
            <w:vAlign w:val="center"/>
          </w:tcPr>
          <w:p w14:paraId="6C8F83AF">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1.该软件从智慧书法教学系统界面进入，支持打开碑帖深度学习软件，要求在碑帖深度学习软件界面上出现《九成宫碑》、《多宝塔碑》、《玄秘塔碑》、《颜勤礼碑》、《三门记》、《曹全碑》、《兰亭序》。</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点击碑帖名称，出现碑帖的相应图片，要求相应的碑帖图片可进行拖动条、滚轮、数字加减三种方式进行缩放。可通过翻页按钮选择该碑帖的任意一张图片，要求该图片可缩放和拖动，选择图片后鼠标点击碑帖上的任意一个字，要求碑帖上该字的右下角自动出现对应的简体字；</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3.点击单字后，该单字的碑帖原图出现在界面左侧；再点击左侧的碑帖原图，可查看笔顺图，要求笔顺图中的每一笔为硬笔手写体；</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4.可查看该字的行笔路线动画，要求行笔路线动画的每一笔为硬笔手写体；</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5.可查看该字的笔势视图，视图中的每一个笔画的起笔、行笔、转折处要求用手写箭头标识出来；</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6.可查看该字的单钩视图、双钩视图，单钩视图要求为硬笔手写体；</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7.可查看碑帖原图和碑帖修复图，要求碑帖修复图为对破损的碑帖进行原意修复，修复后的字帖要求笔画完整、不允许变形、背景干净无污；</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8.可查看碑帖修复提取图，要求碑帖修复图经过处理后变成背景透明字体，并放在米字格中；</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9.可查看该字的其他书体，要求该字对应的颜体、欧体、柳体、赵体、隶书、篆书、草书同时自动出现在界面上，并且点击任何一种书体可出现该书体对应的多个字帖，继续点击字帖可以放大的方式自动排列在界面上进行书体对比；</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10.可直接进入练习界面，左侧为碑帖原图，右侧为米字格，要求在该界面可以直接进行换字操作，换字操作可直接选取系统中的其他一个字进行练习；要求可直接切换到该字的其他书体进行练习；要求练习界面可以修改底格，包括米字格、田字格、九宫格、田回格、大方格；要求可直接切换到六步临摹法，出现“摹-摹-摹-临-摹-临” 的模式进行练习。</w:t>
            </w:r>
          </w:p>
        </w:tc>
        <w:tc>
          <w:tcPr>
            <w:tcW w:w="350" w:type="pct"/>
            <w:shd w:val="clear" w:color="auto" w:fill="auto"/>
            <w:vAlign w:val="center"/>
          </w:tcPr>
          <w:p w14:paraId="4113AE26">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391" w:type="pct"/>
            <w:shd w:val="clear" w:color="auto" w:fill="auto"/>
            <w:vAlign w:val="center"/>
          </w:tcPr>
          <w:p w14:paraId="4A0E199D">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套</w:t>
            </w:r>
          </w:p>
        </w:tc>
        <w:tc>
          <w:tcPr>
            <w:tcW w:w="435" w:type="pct"/>
            <w:shd w:val="clear" w:color="auto" w:fill="auto"/>
            <w:noWrap/>
            <w:vAlign w:val="center"/>
          </w:tcPr>
          <w:p w14:paraId="7D686420">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13B29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1A370C57">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11</w:t>
            </w:r>
          </w:p>
        </w:tc>
        <w:tc>
          <w:tcPr>
            <w:tcW w:w="551" w:type="pct"/>
            <w:shd w:val="clear" w:color="auto" w:fill="auto"/>
            <w:vAlign w:val="center"/>
          </w:tcPr>
          <w:p w14:paraId="56A68A29">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学生镇尺</w:t>
            </w:r>
          </w:p>
        </w:tc>
        <w:tc>
          <w:tcPr>
            <w:tcW w:w="2953" w:type="pct"/>
            <w:shd w:val="clear" w:color="auto" w:fill="auto"/>
            <w:vAlign w:val="center"/>
          </w:tcPr>
          <w:p w14:paraId="139ADE05">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专业镇尺。</w:t>
            </w:r>
          </w:p>
        </w:tc>
        <w:tc>
          <w:tcPr>
            <w:tcW w:w="350" w:type="pct"/>
            <w:shd w:val="clear" w:color="auto" w:fill="auto"/>
            <w:vAlign w:val="center"/>
          </w:tcPr>
          <w:p w14:paraId="1EF8DE61">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48</w:t>
            </w:r>
          </w:p>
        </w:tc>
        <w:tc>
          <w:tcPr>
            <w:tcW w:w="391" w:type="pct"/>
            <w:shd w:val="clear" w:color="auto" w:fill="auto"/>
            <w:vAlign w:val="center"/>
          </w:tcPr>
          <w:p w14:paraId="39B310F8">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对</w:t>
            </w:r>
          </w:p>
        </w:tc>
        <w:tc>
          <w:tcPr>
            <w:tcW w:w="435" w:type="pct"/>
            <w:shd w:val="clear" w:color="auto" w:fill="auto"/>
            <w:noWrap/>
            <w:vAlign w:val="center"/>
          </w:tcPr>
          <w:p w14:paraId="3F10A136">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06973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6F7E0C7A">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12</w:t>
            </w:r>
          </w:p>
        </w:tc>
        <w:tc>
          <w:tcPr>
            <w:tcW w:w="551" w:type="pct"/>
            <w:shd w:val="clear" w:color="auto" w:fill="auto"/>
            <w:vAlign w:val="center"/>
          </w:tcPr>
          <w:p w14:paraId="6153C772">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学生毛笔</w:t>
            </w:r>
          </w:p>
        </w:tc>
        <w:tc>
          <w:tcPr>
            <w:tcW w:w="2953" w:type="pct"/>
            <w:shd w:val="clear" w:color="auto" w:fill="auto"/>
            <w:vAlign w:val="center"/>
          </w:tcPr>
          <w:p w14:paraId="41BEFE83">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学生练习专用毛笔。</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兼毫中锋。</w:t>
            </w:r>
          </w:p>
        </w:tc>
        <w:tc>
          <w:tcPr>
            <w:tcW w:w="350" w:type="pct"/>
            <w:shd w:val="clear" w:color="auto" w:fill="auto"/>
            <w:vAlign w:val="center"/>
          </w:tcPr>
          <w:p w14:paraId="39FDE665">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48</w:t>
            </w:r>
          </w:p>
        </w:tc>
        <w:tc>
          <w:tcPr>
            <w:tcW w:w="391" w:type="pct"/>
            <w:shd w:val="clear" w:color="auto" w:fill="auto"/>
            <w:vAlign w:val="center"/>
          </w:tcPr>
          <w:p w14:paraId="7F703AA6">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支</w:t>
            </w:r>
          </w:p>
        </w:tc>
        <w:tc>
          <w:tcPr>
            <w:tcW w:w="435" w:type="pct"/>
            <w:shd w:val="clear" w:color="auto" w:fill="auto"/>
            <w:noWrap/>
            <w:vAlign w:val="center"/>
          </w:tcPr>
          <w:p w14:paraId="3D9BC380">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52228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256DB771">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13</w:t>
            </w:r>
          </w:p>
        </w:tc>
        <w:tc>
          <w:tcPr>
            <w:tcW w:w="551" w:type="pct"/>
            <w:shd w:val="clear" w:color="auto" w:fill="auto"/>
            <w:vAlign w:val="center"/>
          </w:tcPr>
          <w:p w14:paraId="008F7EF7">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多功能墨盒</w:t>
            </w:r>
          </w:p>
        </w:tc>
        <w:tc>
          <w:tcPr>
            <w:tcW w:w="2953" w:type="pct"/>
            <w:shd w:val="clear" w:color="auto" w:fill="auto"/>
            <w:vAlign w:val="center"/>
          </w:tcPr>
          <w:p w14:paraId="74B687C6">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1.墨盒嵌入在桌面；材质：ABS；</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2.外观尺寸：≤140×80×33mm；墨盒盖尺寸：≤140.mm×80.mm×6.5mm；墨盒右边水池：≤46×67mm，墨盒左上墨水池：≤33×56mm，左下舔笔台：≤33×56mm，左上角引流槽一个。</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3.墨盒采用微倒扣防挥发设计，所盛墨汁可保持百日以上不干涸。墨盒集刮笔、舔笔、润笔功能于一体。</w:t>
            </w:r>
          </w:p>
        </w:tc>
        <w:tc>
          <w:tcPr>
            <w:tcW w:w="350" w:type="pct"/>
            <w:shd w:val="clear" w:color="auto" w:fill="auto"/>
            <w:vAlign w:val="center"/>
          </w:tcPr>
          <w:p w14:paraId="4EADBEA3">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48</w:t>
            </w:r>
          </w:p>
        </w:tc>
        <w:tc>
          <w:tcPr>
            <w:tcW w:w="391" w:type="pct"/>
            <w:shd w:val="clear" w:color="auto" w:fill="auto"/>
            <w:vAlign w:val="center"/>
          </w:tcPr>
          <w:p w14:paraId="2877C18E">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个</w:t>
            </w:r>
          </w:p>
        </w:tc>
        <w:tc>
          <w:tcPr>
            <w:tcW w:w="435" w:type="pct"/>
            <w:shd w:val="clear" w:color="auto" w:fill="auto"/>
            <w:noWrap/>
            <w:vAlign w:val="center"/>
          </w:tcPr>
          <w:p w14:paraId="5D3DB5BC">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40477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712330C5">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14</w:t>
            </w:r>
          </w:p>
        </w:tc>
        <w:tc>
          <w:tcPr>
            <w:tcW w:w="551" w:type="pct"/>
            <w:shd w:val="clear" w:color="auto" w:fill="auto"/>
            <w:vAlign w:val="center"/>
          </w:tcPr>
          <w:p w14:paraId="4E06D0A3">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毛毡</w:t>
            </w:r>
          </w:p>
        </w:tc>
        <w:tc>
          <w:tcPr>
            <w:tcW w:w="2953" w:type="pct"/>
            <w:shd w:val="clear" w:color="auto" w:fill="auto"/>
            <w:vAlign w:val="center"/>
          </w:tcPr>
          <w:p w14:paraId="02F5A066">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规格：不小于30×50cm；</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支持铺在交互式临摹台上，再铺上宣纸临摹，还能清晰的看见1cm大小的电子字帖。</w:t>
            </w:r>
          </w:p>
        </w:tc>
        <w:tc>
          <w:tcPr>
            <w:tcW w:w="350" w:type="pct"/>
            <w:shd w:val="clear" w:color="auto" w:fill="auto"/>
            <w:vAlign w:val="center"/>
          </w:tcPr>
          <w:p w14:paraId="3CBA295B">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#REF!</w:t>
            </w:r>
          </w:p>
        </w:tc>
        <w:tc>
          <w:tcPr>
            <w:tcW w:w="391" w:type="pct"/>
            <w:shd w:val="clear" w:color="auto" w:fill="auto"/>
            <w:vAlign w:val="center"/>
          </w:tcPr>
          <w:p w14:paraId="5A1B73F3">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张</w:t>
            </w:r>
          </w:p>
        </w:tc>
        <w:tc>
          <w:tcPr>
            <w:tcW w:w="435" w:type="pct"/>
            <w:shd w:val="clear" w:color="auto" w:fill="auto"/>
            <w:noWrap/>
            <w:vAlign w:val="center"/>
          </w:tcPr>
          <w:p w14:paraId="3ECFD913">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02DDD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22179BAF">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15</w:t>
            </w:r>
          </w:p>
        </w:tc>
        <w:tc>
          <w:tcPr>
            <w:tcW w:w="551" w:type="pct"/>
            <w:shd w:val="clear" w:color="auto" w:fill="auto"/>
            <w:vAlign w:val="center"/>
          </w:tcPr>
          <w:p w14:paraId="024F287A">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临摹专用纸</w:t>
            </w:r>
          </w:p>
        </w:tc>
        <w:tc>
          <w:tcPr>
            <w:tcW w:w="2953" w:type="pct"/>
            <w:shd w:val="clear" w:color="auto" w:fill="auto"/>
            <w:vAlign w:val="center"/>
          </w:tcPr>
          <w:p w14:paraId="3928E13A">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书法专用临摹纸，100张/包。</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吸墨性好，且不透墨。</w:t>
            </w:r>
          </w:p>
        </w:tc>
        <w:tc>
          <w:tcPr>
            <w:tcW w:w="350" w:type="pct"/>
            <w:shd w:val="clear" w:color="auto" w:fill="auto"/>
            <w:vAlign w:val="center"/>
          </w:tcPr>
          <w:p w14:paraId="0006FBA9">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48</w:t>
            </w:r>
          </w:p>
        </w:tc>
        <w:tc>
          <w:tcPr>
            <w:tcW w:w="391" w:type="pct"/>
            <w:shd w:val="clear" w:color="auto" w:fill="auto"/>
            <w:vAlign w:val="center"/>
          </w:tcPr>
          <w:p w14:paraId="068C0313">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包</w:t>
            </w:r>
          </w:p>
        </w:tc>
        <w:tc>
          <w:tcPr>
            <w:tcW w:w="435" w:type="pct"/>
            <w:shd w:val="clear" w:color="auto" w:fill="auto"/>
            <w:noWrap/>
            <w:vAlign w:val="center"/>
          </w:tcPr>
          <w:p w14:paraId="3E6937E2">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72466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607E0A2C">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16</w:t>
            </w:r>
          </w:p>
        </w:tc>
        <w:tc>
          <w:tcPr>
            <w:tcW w:w="551" w:type="pct"/>
            <w:shd w:val="clear" w:color="auto" w:fill="auto"/>
            <w:vAlign w:val="center"/>
          </w:tcPr>
          <w:p w14:paraId="793B58BD">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中控系统</w:t>
            </w:r>
          </w:p>
        </w:tc>
        <w:tc>
          <w:tcPr>
            <w:tcW w:w="2953" w:type="pct"/>
            <w:shd w:val="clear" w:color="auto" w:fill="auto"/>
            <w:vAlign w:val="center"/>
          </w:tcPr>
          <w:p w14:paraId="2C7BBD2E">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1.开机界面即是智慧书法教学系统平台界面，通过主机系统直接控制书法直播系统、大屏、软件等软硬件；</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2.支持统一授课模式，把教师端软件直接同步到学生端交互式数字临摹台；</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3.教师在控制系统软件平台上直接可以切换到自主学习模式，学生独立使用临摹台上的学生端软件；</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4.支持所有学生端临摹台智能洗笔的统一控制；</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5.系统平台有独立的音乐背景模块软件；</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6.控制系统硬件规格：</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CPU：酷睿I5；</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内存：16G；</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硬盘：1TB；</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7.板书专用手写屏规格：</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显示尺寸：21.5寸（16:9）；</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解析度：1920*1080；</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对比度：1000:1；</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感应方式：电磁式；</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分辨率：2000Lpi；</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反应速度：200点/秒；</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压感：2048级；</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压感笔1支。</w:t>
            </w:r>
          </w:p>
        </w:tc>
        <w:tc>
          <w:tcPr>
            <w:tcW w:w="350" w:type="pct"/>
            <w:shd w:val="clear" w:color="auto" w:fill="auto"/>
            <w:vAlign w:val="center"/>
          </w:tcPr>
          <w:p w14:paraId="36900BB6">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391" w:type="pct"/>
            <w:shd w:val="clear" w:color="auto" w:fill="auto"/>
            <w:vAlign w:val="center"/>
          </w:tcPr>
          <w:p w14:paraId="36B224AF">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台</w:t>
            </w:r>
          </w:p>
        </w:tc>
        <w:tc>
          <w:tcPr>
            <w:tcW w:w="435" w:type="pct"/>
            <w:shd w:val="clear" w:color="auto" w:fill="auto"/>
            <w:noWrap/>
            <w:vAlign w:val="center"/>
          </w:tcPr>
          <w:p w14:paraId="1FE4D8F0">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7F027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0E082948">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17</w:t>
            </w:r>
          </w:p>
        </w:tc>
        <w:tc>
          <w:tcPr>
            <w:tcW w:w="551" w:type="pct"/>
            <w:shd w:val="clear" w:color="auto" w:fill="auto"/>
            <w:vAlign w:val="center"/>
          </w:tcPr>
          <w:p w14:paraId="27B285C5">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系统集成</w:t>
            </w:r>
          </w:p>
        </w:tc>
        <w:tc>
          <w:tcPr>
            <w:tcW w:w="2953" w:type="pct"/>
            <w:shd w:val="clear" w:color="auto" w:fill="auto"/>
            <w:vAlign w:val="center"/>
          </w:tcPr>
          <w:p w14:paraId="6430E969">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包含运费、安装、调试费。</w:t>
            </w:r>
          </w:p>
        </w:tc>
        <w:tc>
          <w:tcPr>
            <w:tcW w:w="350" w:type="pct"/>
            <w:shd w:val="clear" w:color="auto" w:fill="auto"/>
            <w:vAlign w:val="center"/>
          </w:tcPr>
          <w:p w14:paraId="2FBBD7A3">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391" w:type="pct"/>
            <w:shd w:val="clear" w:color="auto" w:fill="auto"/>
            <w:vAlign w:val="center"/>
          </w:tcPr>
          <w:p w14:paraId="6BAE94F5">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套</w:t>
            </w:r>
          </w:p>
        </w:tc>
        <w:tc>
          <w:tcPr>
            <w:tcW w:w="435" w:type="pct"/>
            <w:shd w:val="clear" w:color="auto" w:fill="auto"/>
            <w:noWrap/>
            <w:vAlign w:val="center"/>
          </w:tcPr>
          <w:p w14:paraId="345376DF">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1197F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71DAA2FC">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18</w:t>
            </w:r>
          </w:p>
        </w:tc>
        <w:tc>
          <w:tcPr>
            <w:tcW w:w="551" w:type="pct"/>
            <w:shd w:val="clear" w:color="auto" w:fill="auto"/>
            <w:vAlign w:val="center"/>
          </w:tcPr>
          <w:p w14:paraId="309D1CC4">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氛围布置</w:t>
            </w:r>
          </w:p>
        </w:tc>
        <w:tc>
          <w:tcPr>
            <w:tcW w:w="2953" w:type="pct"/>
            <w:shd w:val="clear" w:color="auto" w:fill="auto"/>
            <w:vAlign w:val="center"/>
          </w:tcPr>
          <w:p w14:paraId="7FF7861C">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顶面铝格栅，墙面墙纸，窗帘，后背景墙软木板作品展示。</w:t>
            </w:r>
          </w:p>
        </w:tc>
        <w:tc>
          <w:tcPr>
            <w:tcW w:w="350" w:type="pct"/>
            <w:shd w:val="clear" w:color="auto" w:fill="auto"/>
            <w:vAlign w:val="center"/>
          </w:tcPr>
          <w:p w14:paraId="4FB3A03A">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391" w:type="pct"/>
            <w:shd w:val="clear" w:color="auto" w:fill="auto"/>
            <w:vAlign w:val="center"/>
          </w:tcPr>
          <w:p w14:paraId="4C66D878">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间</w:t>
            </w:r>
          </w:p>
        </w:tc>
        <w:tc>
          <w:tcPr>
            <w:tcW w:w="435" w:type="pct"/>
            <w:shd w:val="clear" w:color="auto" w:fill="auto"/>
            <w:noWrap/>
            <w:vAlign w:val="center"/>
          </w:tcPr>
          <w:p w14:paraId="65DF2519">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bl>
    <w:p w14:paraId="461201B4">
      <w:pPr>
        <w:spacing w:line="240" w:lineRule="auto"/>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注：1、投标单位应结合踏勘现场情况，如发现工程量与实现方案效果所需工程量有偏差时，相关风险及费用应在投标报价中自行考虑，今后结算时不再调整。</w:t>
      </w:r>
    </w:p>
    <w:p w14:paraId="1756B3EE">
      <w:pPr>
        <w:spacing w:line="240" w:lineRule="auto"/>
        <w:ind w:firstLine="422" w:firstLineChars="200"/>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2、清单内所需提供的检测报告等资料，可在中标之后提供给采购人，无需制作在投标文件中。</w:t>
      </w:r>
    </w:p>
    <w:p w14:paraId="5A34E2C3">
      <w:pPr>
        <w:spacing w:line="42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二、质量保证</w:t>
      </w:r>
    </w:p>
    <w:p w14:paraId="4E32F61C">
      <w:pPr>
        <w:pStyle w:val="59"/>
        <w:widowControl w:val="0"/>
        <w:snapToGrid w:val="0"/>
        <w:spacing w:before="0" w:beforeAutospacing="0" w:after="0" w:afterAutospacing="0" w:line="420" w:lineRule="exact"/>
        <w:ind w:firstLine="480" w:firstLineChars="200"/>
        <w:jc w:val="both"/>
        <w:outlineLvl w:val="0"/>
        <w:rPr>
          <w:rFonts w:hint="eastAsia" w:ascii="宋体" w:hAnsi="宋体" w:eastAsia="宋体" w:cs="宋体"/>
          <w:sz w:val="24"/>
          <w:szCs w:val="24"/>
          <w:highlight w:val="none"/>
        </w:rPr>
      </w:pPr>
      <w:bookmarkStart w:id="33" w:name="_Toc450515865"/>
      <w:r>
        <w:rPr>
          <w:rFonts w:hint="eastAsia" w:ascii="宋体" w:hAnsi="宋体" w:eastAsia="宋体" w:cs="宋体"/>
          <w:kern w:val="2"/>
          <w:sz w:val="24"/>
          <w:szCs w:val="24"/>
          <w:highlight w:val="none"/>
        </w:rPr>
        <w:t>投标人应保证所供商品是近一年以内生产的，符合国家法律规定和技术规格、质量标准的出厂原装合格产品；如发生所供商品与合同（材质、规格尺寸等）不符，招标人有权拒收或退货，由此产生的一切责任和后果由投标人承担。</w:t>
      </w:r>
      <w:bookmarkEnd w:id="33"/>
    </w:p>
    <w:p w14:paraId="7A8560C3">
      <w:pPr>
        <w:spacing w:line="42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三、验收</w:t>
      </w:r>
    </w:p>
    <w:p w14:paraId="53957D14">
      <w:pPr>
        <w:snapToGrid w:val="0"/>
        <w:spacing w:line="4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中标人将所供产品运至交货地点，安装完毕后，由需方进行验收。如发现有重大的质量问题，招标人有权提请国家法定检测机构鉴定，检测费用由中标人承担；如检测结果证明产品有质量问题，中标人除承担检测费用外，同时中标人同意招标人无条件退货并支付给招标人货款总价10％的赔偿金。</w:t>
      </w:r>
    </w:p>
    <w:p w14:paraId="23173BFB">
      <w:pPr>
        <w:pStyle w:val="59"/>
        <w:widowControl w:val="0"/>
        <w:snapToGrid w:val="0"/>
        <w:spacing w:before="0" w:beforeAutospacing="0" w:after="0" w:afterAutospacing="0" w:line="420" w:lineRule="exact"/>
        <w:jc w:val="both"/>
        <w:outlineLvl w:val="0"/>
        <w:rPr>
          <w:rFonts w:hint="eastAsia" w:ascii="宋体" w:hAnsi="宋体" w:eastAsia="宋体" w:cs="宋体"/>
          <w:b/>
          <w:bCs/>
          <w:sz w:val="24"/>
          <w:szCs w:val="24"/>
          <w:highlight w:val="none"/>
        </w:rPr>
      </w:pPr>
      <w:bookmarkStart w:id="34" w:name="_Toc450515866"/>
      <w:r>
        <w:rPr>
          <w:rFonts w:hint="eastAsia" w:ascii="宋体" w:hAnsi="宋体" w:eastAsia="宋体" w:cs="宋体"/>
          <w:b/>
          <w:bCs/>
          <w:kern w:val="2"/>
          <w:sz w:val="24"/>
          <w:szCs w:val="24"/>
          <w:highlight w:val="none"/>
        </w:rPr>
        <w:t>四、商务要求</w:t>
      </w:r>
      <w:bookmarkEnd w:id="34"/>
    </w:p>
    <w:tbl>
      <w:tblPr>
        <w:tblStyle w:val="65"/>
        <w:tblW w:w="9833"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036"/>
        <w:gridCol w:w="7797"/>
      </w:tblGrid>
      <w:tr w14:paraId="1729A27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670" w:hRule="atLeast"/>
          <w:jc w:val="center"/>
        </w:trPr>
        <w:tc>
          <w:tcPr>
            <w:tcW w:w="2036" w:type="dxa"/>
            <w:tcBorders>
              <w:top w:val="single" w:color="auto" w:sz="4" w:space="0"/>
              <w:bottom w:val="single" w:color="auto" w:sz="4" w:space="0"/>
              <w:right w:val="single" w:color="auto" w:sz="4" w:space="0"/>
            </w:tcBorders>
            <w:noWrap w:val="0"/>
            <w:vAlign w:val="center"/>
          </w:tcPr>
          <w:p w14:paraId="5C6E7E6E">
            <w:pPr>
              <w:snapToGrid w:val="0"/>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质保期</w:t>
            </w:r>
          </w:p>
        </w:tc>
        <w:tc>
          <w:tcPr>
            <w:tcW w:w="7797" w:type="dxa"/>
            <w:tcBorders>
              <w:top w:val="single" w:color="auto" w:sz="4" w:space="0"/>
              <w:left w:val="single" w:color="auto" w:sz="4" w:space="0"/>
              <w:bottom w:val="single" w:color="auto" w:sz="4" w:space="0"/>
            </w:tcBorders>
            <w:noWrap w:val="0"/>
            <w:vAlign w:val="center"/>
          </w:tcPr>
          <w:p w14:paraId="1652DEEF">
            <w:pPr>
              <w:numPr>
                <w:ilvl w:val="0"/>
                <w:numId w:val="4"/>
              </w:numPr>
              <w:snapToGrid w:val="0"/>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投标人应提供自验收合格之日起</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年</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设备</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的免费质保服务。</w:t>
            </w:r>
          </w:p>
          <w:p w14:paraId="21104841">
            <w:pPr>
              <w:numPr>
                <w:ilvl w:val="0"/>
                <w:numId w:val="4"/>
              </w:numPr>
              <w:snapToGrid w:val="0"/>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投标人应提供自验收合格之日起</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年</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除设备以外的货物</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的免费质保服务。</w:t>
            </w:r>
          </w:p>
        </w:tc>
      </w:tr>
      <w:tr w14:paraId="060096F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8" w:hRule="atLeast"/>
          <w:jc w:val="center"/>
        </w:trPr>
        <w:tc>
          <w:tcPr>
            <w:tcW w:w="2036" w:type="dxa"/>
            <w:tcBorders>
              <w:top w:val="single" w:color="auto" w:sz="4" w:space="0"/>
              <w:bottom w:val="single" w:color="auto" w:sz="4" w:space="0"/>
              <w:right w:val="single" w:color="auto" w:sz="4" w:space="0"/>
            </w:tcBorders>
            <w:noWrap w:val="0"/>
            <w:vAlign w:val="center"/>
          </w:tcPr>
          <w:p w14:paraId="1F9C6FD1">
            <w:pPr>
              <w:snapToGrid w:val="0"/>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交货时间及地点</w:t>
            </w:r>
          </w:p>
        </w:tc>
        <w:tc>
          <w:tcPr>
            <w:tcW w:w="7797" w:type="dxa"/>
            <w:tcBorders>
              <w:top w:val="single" w:color="auto" w:sz="4" w:space="0"/>
              <w:left w:val="single" w:color="auto" w:sz="4" w:space="0"/>
              <w:bottom w:val="single" w:color="auto" w:sz="4" w:space="0"/>
            </w:tcBorders>
            <w:noWrap w:val="0"/>
            <w:vAlign w:val="center"/>
          </w:tcPr>
          <w:p w14:paraId="3E23E997">
            <w:pPr>
              <w:snapToGrid w:val="0"/>
              <w:spacing w:line="34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交货期及安装工期：</w:t>
            </w:r>
            <w:r>
              <w:rPr>
                <w:rFonts w:hint="eastAsia" w:ascii="宋体" w:hAnsi="宋体" w:cs="宋体"/>
                <w:color w:val="000000"/>
                <w:sz w:val="24"/>
                <w:szCs w:val="24"/>
                <w:highlight w:val="none"/>
                <w:lang w:val="en-US" w:eastAsia="zh-CN"/>
              </w:rPr>
              <w:t>30</w:t>
            </w:r>
            <w:r>
              <w:rPr>
                <w:rFonts w:hint="eastAsia" w:ascii="宋体" w:hAnsi="宋体" w:eastAsia="宋体" w:cs="宋体"/>
                <w:color w:val="000000"/>
                <w:sz w:val="24"/>
                <w:szCs w:val="24"/>
                <w:highlight w:val="none"/>
              </w:rPr>
              <w:t>天</w:t>
            </w:r>
            <w:r>
              <w:rPr>
                <w:rFonts w:hint="eastAsia" w:ascii="宋体" w:hAnsi="宋体" w:eastAsia="宋体" w:cs="宋体"/>
                <w:sz w:val="24"/>
                <w:szCs w:val="24"/>
                <w:highlight w:val="none"/>
              </w:rPr>
              <w:t>完成供货、安装</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2025年8月20日安装完成</w:t>
            </w:r>
            <w:r>
              <w:rPr>
                <w:rFonts w:hint="eastAsia" w:ascii="宋体" w:hAnsi="宋体" w:cs="宋体"/>
                <w:sz w:val="24"/>
                <w:szCs w:val="24"/>
                <w:highlight w:val="none"/>
                <w:lang w:eastAsia="zh-CN"/>
              </w:rPr>
              <w:t>）。</w:t>
            </w:r>
          </w:p>
          <w:p w14:paraId="075256BA">
            <w:pPr>
              <w:snapToGrid w:val="0"/>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交货地点：招标人指定地点。</w:t>
            </w:r>
          </w:p>
        </w:tc>
      </w:tr>
      <w:tr w14:paraId="0E516B1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8" w:hRule="atLeast"/>
          <w:jc w:val="center"/>
        </w:trPr>
        <w:tc>
          <w:tcPr>
            <w:tcW w:w="2036" w:type="dxa"/>
            <w:tcBorders>
              <w:top w:val="single" w:color="auto" w:sz="4" w:space="0"/>
              <w:bottom w:val="single" w:color="auto" w:sz="4" w:space="0"/>
              <w:right w:val="single" w:color="auto" w:sz="4" w:space="0"/>
            </w:tcBorders>
            <w:noWrap w:val="0"/>
            <w:vAlign w:val="center"/>
          </w:tcPr>
          <w:p w14:paraId="3E56D50A">
            <w:pPr>
              <w:snapToGrid w:val="0"/>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w:t>
            </w:r>
          </w:p>
        </w:tc>
        <w:tc>
          <w:tcPr>
            <w:tcW w:w="7797" w:type="dxa"/>
            <w:tcBorders>
              <w:top w:val="single" w:color="auto" w:sz="4" w:space="0"/>
              <w:left w:val="single" w:color="auto" w:sz="4" w:space="0"/>
              <w:bottom w:val="single" w:color="auto" w:sz="4" w:space="0"/>
            </w:tcBorders>
            <w:noWrap w:val="0"/>
            <w:vAlign w:val="center"/>
          </w:tcPr>
          <w:p w14:paraId="4E14E48B">
            <w:pPr>
              <w:snapToGrid w:val="0"/>
              <w:spacing w:line="34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无</w:t>
            </w:r>
          </w:p>
        </w:tc>
      </w:tr>
      <w:tr w14:paraId="0527012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29" w:hRule="atLeast"/>
          <w:jc w:val="center"/>
        </w:trPr>
        <w:tc>
          <w:tcPr>
            <w:tcW w:w="2036" w:type="dxa"/>
            <w:tcBorders>
              <w:top w:val="single" w:color="auto" w:sz="4" w:space="0"/>
              <w:bottom w:val="single" w:color="auto" w:sz="4" w:space="0"/>
              <w:right w:val="single" w:color="auto" w:sz="4" w:space="0"/>
            </w:tcBorders>
            <w:noWrap w:val="0"/>
            <w:vAlign w:val="center"/>
          </w:tcPr>
          <w:p w14:paraId="2836E4BE">
            <w:pPr>
              <w:snapToGrid w:val="0"/>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付款条件</w:t>
            </w:r>
          </w:p>
        </w:tc>
        <w:tc>
          <w:tcPr>
            <w:tcW w:w="7797" w:type="dxa"/>
            <w:tcBorders>
              <w:top w:val="single" w:color="auto" w:sz="4" w:space="0"/>
              <w:left w:val="single" w:color="auto" w:sz="4" w:space="0"/>
              <w:bottom w:val="single" w:color="auto" w:sz="4" w:space="0"/>
            </w:tcBorders>
            <w:noWrap w:val="0"/>
            <w:vAlign w:val="center"/>
          </w:tcPr>
          <w:p w14:paraId="767A5E8D">
            <w:pPr>
              <w:snapToGrid w:val="0"/>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、合同</w:t>
            </w:r>
            <w:r>
              <w:rPr>
                <w:rFonts w:hint="eastAsia" w:ascii="宋体" w:hAnsi="宋体" w:cs="宋体"/>
                <w:sz w:val="24"/>
                <w:szCs w:val="24"/>
                <w:highlight w:val="none"/>
                <w:lang w:val="en-US" w:eastAsia="zh-CN"/>
              </w:rPr>
              <w:t>签订后</w:t>
            </w:r>
            <w:r>
              <w:rPr>
                <w:rFonts w:hint="eastAsia" w:ascii="宋体" w:hAnsi="宋体" w:eastAsia="宋体" w:cs="宋体"/>
                <w:sz w:val="24"/>
                <w:szCs w:val="24"/>
                <w:highlight w:val="none"/>
              </w:rPr>
              <w:t>，支付合同价的</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0%作为预付款；</w:t>
            </w:r>
          </w:p>
          <w:p w14:paraId="638402CA">
            <w:pPr>
              <w:snapToGrid w:val="0"/>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、全部安装完毕且验收合格后1个月内，支付至合同价的</w:t>
            </w:r>
            <w:r>
              <w:rPr>
                <w:rFonts w:hint="eastAsia" w:ascii="宋体" w:hAnsi="宋体" w:cs="宋体"/>
                <w:sz w:val="24"/>
                <w:szCs w:val="24"/>
                <w:highlight w:val="none"/>
                <w:lang w:val="en-US" w:eastAsia="zh-CN"/>
              </w:rPr>
              <w:t>100</w:t>
            </w:r>
            <w:r>
              <w:rPr>
                <w:rFonts w:hint="eastAsia" w:ascii="宋体" w:hAnsi="宋体" w:eastAsia="宋体" w:cs="宋体"/>
                <w:sz w:val="24"/>
                <w:szCs w:val="24"/>
                <w:highlight w:val="none"/>
              </w:rPr>
              <w:t>%。</w:t>
            </w:r>
          </w:p>
        </w:tc>
      </w:tr>
      <w:tr w14:paraId="2A2A3CB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43" w:hRule="atLeast"/>
          <w:jc w:val="center"/>
        </w:trPr>
        <w:tc>
          <w:tcPr>
            <w:tcW w:w="2036" w:type="dxa"/>
            <w:tcBorders>
              <w:top w:val="single" w:color="auto" w:sz="4" w:space="0"/>
              <w:bottom w:val="single" w:color="auto" w:sz="4" w:space="0"/>
              <w:right w:val="single" w:color="auto" w:sz="4" w:space="0"/>
            </w:tcBorders>
            <w:noWrap w:val="0"/>
            <w:vAlign w:val="center"/>
          </w:tcPr>
          <w:p w14:paraId="040A0018">
            <w:pPr>
              <w:snapToGrid w:val="0"/>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售后服务保障或维修响应时间要求</w:t>
            </w:r>
          </w:p>
        </w:tc>
        <w:tc>
          <w:tcPr>
            <w:tcW w:w="7797" w:type="dxa"/>
            <w:tcBorders>
              <w:top w:val="single" w:color="auto" w:sz="4" w:space="0"/>
              <w:left w:val="single" w:color="auto" w:sz="4" w:space="0"/>
              <w:bottom w:val="single" w:color="auto" w:sz="4" w:space="0"/>
            </w:tcBorders>
            <w:noWrap w:val="0"/>
            <w:vAlign w:val="center"/>
          </w:tcPr>
          <w:p w14:paraId="7B3FF3CD">
            <w:pPr>
              <w:snapToGrid w:val="0"/>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1、质保期</w:t>
            </w:r>
            <w:r>
              <w:rPr>
                <w:rFonts w:hint="eastAsia" w:ascii="宋体" w:hAnsi="宋体" w:cs="宋体"/>
                <w:sz w:val="24"/>
                <w:szCs w:val="24"/>
                <w:highlight w:val="none"/>
                <w:lang w:val="en-US" w:eastAsia="zh-CN"/>
              </w:rPr>
              <w:t>内，投标人应无偿提供售后服务；</w:t>
            </w:r>
            <w:r>
              <w:rPr>
                <w:rFonts w:hint="eastAsia" w:ascii="宋体" w:hAnsi="宋体" w:eastAsia="宋体" w:cs="宋体"/>
                <w:sz w:val="24"/>
                <w:szCs w:val="24"/>
                <w:highlight w:val="none"/>
              </w:rPr>
              <w:t>质保期满后，投标人应提供优先的有偿售后服务。</w:t>
            </w:r>
          </w:p>
          <w:p w14:paraId="0A1E03EA">
            <w:pPr>
              <w:snapToGrid w:val="0"/>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2、维修响应时间：2小时内电话响应，4小时内电话技术支持，24小时内到达现场维修。</w:t>
            </w:r>
          </w:p>
        </w:tc>
      </w:tr>
      <w:tr w14:paraId="4C8B7D2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24" w:hRule="atLeast"/>
          <w:jc w:val="center"/>
        </w:trPr>
        <w:tc>
          <w:tcPr>
            <w:tcW w:w="2036" w:type="dxa"/>
            <w:tcBorders>
              <w:top w:val="single" w:color="auto" w:sz="4" w:space="0"/>
              <w:bottom w:val="single" w:color="auto" w:sz="4" w:space="0"/>
              <w:right w:val="single" w:color="auto" w:sz="4" w:space="0"/>
            </w:tcBorders>
            <w:noWrap w:val="0"/>
            <w:vAlign w:val="center"/>
          </w:tcPr>
          <w:p w14:paraId="4F6B9565">
            <w:pPr>
              <w:snapToGrid w:val="0"/>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备品备件及耗材等要求</w:t>
            </w:r>
          </w:p>
        </w:tc>
        <w:tc>
          <w:tcPr>
            <w:tcW w:w="7797" w:type="dxa"/>
            <w:tcBorders>
              <w:top w:val="single" w:color="auto" w:sz="4" w:space="0"/>
              <w:left w:val="single" w:color="auto" w:sz="4" w:space="0"/>
              <w:bottom w:val="single" w:color="auto" w:sz="4" w:space="0"/>
            </w:tcBorders>
            <w:noWrap w:val="0"/>
            <w:vAlign w:val="center"/>
          </w:tcPr>
          <w:p w14:paraId="453B4341">
            <w:pPr>
              <w:snapToGrid w:val="0"/>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设备随机备品备件及使用、维修保养过程中所必须的备品备件。</w:t>
            </w:r>
          </w:p>
        </w:tc>
      </w:tr>
      <w:tr w14:paraId="48E6CFD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2036" w:type="dxa"/>
            <w:tcBorders>
              <w:top w:val="single" w:color="auto" w:sz="4" w:space="0"/>
              <w:bottom w:val="single" w:color="auto" w:sz="4" w:space="0"/>
              <w:right w:val="single" w:color="auto" w:sz="4" w:space="0"/>
            </w:tcBorders>
            <w:noWrap w:val="0"/>
            <w:vAlign w:val="center"/>
          </w:tcPr>
          <w:p w14:paraId="56A86B24">
            <w:pPr>
              <w:snapToGrid w:val="0"/>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招标人的特殊要求及说明</w:t>
            </w:r>
          </w:p>
        </w:tc>
        <w:tc>
          <w:tcPr>
            <w:tcW w:w="7797" w:type="dxa"/>
            <w:tcBorders>
              <w:top w:val="single" w:color="auto" w:sz="4" w:space="0"/>
              <w:left w:val="single" w:color="auto" w:sz="4" w:space="0"/>
              <w:bottom w:val="single" w:color="auto" w:sz="4" w:space="0"/>
            </w:tcBorders>
            <w:noWrap w:val="0"/>
            <w:vAlign w:val="top"/>
          </w:tcPr>
          <w:p w14:paraId="14CD507C">
            <w:pPr>
              <w:snapToGrid w:val="0"/>
              <w:spacing w:line="340" w:lineRule="exact"/>
              <w:ind w:leftChars="-1" w:hanging="2" w:hangingChars="1"/>
              <w:rPr>
                <w:rFonts w:hint="eastAsia" w:ascii="宋体" w:hAnsi="宋体" w:eastAsia="宋体" w:cs="宋体"/>
                <w:sz w:val="24"/>
                <w:szCs w:val="24"/>
                <w:highlight w:val="none"/>
              </w:rPr>
            </w:pPr>
            <w:r>
              <w:rPr>
                <w:rFonts w:hint="eastAsia" w:ascii="宋体" w:hAnsi="宋体" w:eastAsia="宋体" w:cs="宋体"/>
                <w:sz w:val="24"/>
                <w:szCs w:val="24"/>
                <w:highlight w:val="none"/>
              </w:rPr>
              <w:t>按合同到货后，由投标人的专业技术人员现场调试（所有供试材料由供货方提供），招标人进行现场验收（在必要时，招标人将组织专业部门或机构进行现场检测，检测费用由投标人承担），所有技术指标达到要求后，给予验收。</w:t>
            </w:r>
          </w:p>
        </w:tc>
      </w:tr>
    </w:tbl>
    <w:p w14:paraId="077CEAF4">
      <w:pPr>
        <w:keepNext w:val="0"/>
        <w:keepLines w:val="0"/>
        <w:widowControl/>
        <w:numPr>
          <w:ilvl w:val="0"/>
          <w:numId w:val="0"/>
        </w:numPr>
        <w:suppressLineNumbers w:val="0"/>
        <w:jc w:val="left"/>
        <w:textAlignment w:val="center"/>
        <w:rPr>
          <w:rFonts w:hint="eastAsia" w:ascii="宋体" w:hAnsi="宋体" w:eastAsia="宋体" w:cs="宋体"/>
          <w:b/>
          <w:bCs/>
          <w:i w:val="0"/>
          <w:iCs w:val="0"/>
          <w:color w:val="000000"/>
          <w:kern w:val="0"/>
          <w:sz w:val="24"/>
          <w:szCs w:val="24"/>
          <w:highlight w:val="none"/>
          <w:u w:val="none"/>
          <w:lang w:val="en-US" w:eastAsia="zh-CN" w:bidi="ar"/>
        </w:rPr>
      </w:pPr>
    </w:p>
    <w:p w14:paraId="6CE66D65">
      <w:pPr>
        <w:keepNext w:val="0"/>
        <w:keepLines w:val="0"/>
        <w:widowControl/>
        <w:numPr>
          <w:ilvl w:val="0"/>
          <w:numId w:val="0"/>
        </w:numPr>
        <w:suppressLineNumbers w:val="0"/>
        <w:jc w:val="left"/>
        <w:textAlignment w:val="center"/>
        <w:rPr>
          <w:rFonts w:hint="eastAsia" w:ascii="宋体" w:hAnsi="宋体" w:eastAsia="宋体" w:cs="宋体"/>
          <w:b/>
          <w:bCs/>
          <w:i w:val="0"/>
          <w:iCs w:val="0"/>
          <w:color w:val="000000"/>
          <w:kern w:val="0"/>
          <w:sz w:val="24"/>
          <w:szCs w:val="24"/>
          <w:highlight w:val="none"/>
          <w:u w:val="none"/>
          <w:lang w:val="en-US" w:eastAsia="zh-CN" w:bidi="ar"/>
        </w:rPr>
      </w:pPr>
    </w:p>
    <w:p w14:paraId="19BD14D3">
      <w:pPr>
        <w:keepNext w:val="0"/>
        <w:keepLines w:val="0"/>
        <w:widowControl/>
        <w:numPr>
          <w:ilvl w:val="0"/>
          <w:numId w:val="0"/>
        </w:numPr>
        <w:suppressLineNumbers w:val="0"/>
        <w:jc w:val="left"/>
        <w:textAlignment w:val="center"/>
        <w:rPr>
          <w:rFonts w:hint="eastAsia" w:ascii="宋体" w:hAnsi="宋体" w:eastAsia="宋体" w:cs="宋体"/>
          <w:b/>
          <w:bCs/>
          <w:i w:val="0"/>
          <w:iCs w:val="0"/>
          <w:color w:val="000000"/>
          <w:kern w:val="0"/>
          <w:sz w:val="24"/>
          <w:szCs w:val="24"/>
          <w:highlight w:val="none"/>
          <w:u w:val="none"/>
          <w:lang w:val="en-US" w:eastAsia="zh-CN" w:bidi="ar"/>
        </w:rPr>
      </w:pPr>
    </w:p>
    <w:p w14:paraId="4272973F">
      <w:pPr>
        <w:numPr>
          <w:ilvl w:val="0"/>
          <w:numId w:val="0"/>
        </w:numPr>
        <w:spacing w:line="360" w:lineRule="auto"/>
        <w:ind w:leftChars="0"/>
        <w:jc w:val="center"/>
        <w:outlineLvl w:val="0"/>
        <w:rPr>
          <w:rFonts w:hint="eastAsia" w:ascii="宋体" w:hAnsi="宋体" w:cs="宋体"/>
          <w:b/>
          <w:sz w:val="36"/>
          <w:szCs w:val="36"/>
          <w:highlight w:val="none"/>
        </w:rPr>
      </w:pPr>
      <w:r>
        <w:rPr>
          <w:rFonts w:hint="eastAsia" w:ascii="宋体" w:hAnsi="宋体" w:cs="宋体"/>
          <w:b/>
          <w:sz w:val="36"/>
          <w:szCs w:val="36"/>
          <w:highlight w:val="none"/>
        </w:rPr>
        <w:t xml:space="preserve"> </w:t>
      </w:r>
      <w:bookmarkStart w:id="35" w:name="_Toc184314473"/>
      <w:bookmarkEnd w:id="35"/>
      <w:bookmarkStart w:id="36" w:name="_Toc184308045"/>
      <w:bookmarkEnd w:id="36"/>
      <w:bookmarkStart w:id="37" w:name="_Toc184310317"/>
      <w:bookmarkEnd w:id="37"/>
      <w:bookmarkStart w:id="38" w:name="_Toc184312126"/>
      <w:bookmarkEnd w:id="38"/>
      <w:bookmarkStart w:id="39" w:name="_Toc184308095"/>
      <w:bookmarkEnd w:id="39"/>
      <w:bookmarkStart w:id="40" w:name="_Toc184313244"/>
      <w:bookmarkEnd w:id="40"/>
      <w:bookmarkStart w:id="41" w:name="_Toc184310303"/>
      <w:bookmarkEnd w:id="41"/>
      <w:bookmarkStart w:id="42" w:name="_Toc184313262"/>
      <w:bookmarkEnd w:id="42"/>
      <w:bookmarkStart w:id="43" w:name="_Toc184308088"/>
      <w:bookmarkEnd w:id="43"/>
      <w:bookmarkStart w:id="44" w:name="_Toc184314454"/>
      <w:bookmarkEnd w:id="44"/>
      <w:bookmarkStart w:id="45" w:name="_Toc184308077"/>
      <w:bookmarkEnd w:id="45"/>
      <w:bookmarkStart w:id="46" w:name="_Toc184314440"/>
      <w:bookmarkEnd w:id="46"/>
      <w:bookmarkStart w:id="47" w:name="_Toc184312138"/>
      <w:bookmarkEnd w:id="47"/>
      <w:bookmarkStart w:id="48" w:name="_Toc184310342"/>
      <w:bookmarkEnd w:id="48"/>
      <w:bookmarkStart w:id="49" w:name="_Toc184314477"/>
      <w:bookmarkEnd w:id="49"/>
      <w:bookmarkStart w:id="50" w:name="_Toc184313248"/>
      <w:bookmarkEnd w:id="50"/>
      <w:bookmarkStart w:id="51" w:name="_Toc184314448"/>
      <w:bookmarkEnd w:id="51"/>
      <w:bookmarkStart w:id="52" w:name="_Toc184314415"/>
      <w:bookmarkEnd w:id="52"/>
      <w:bookmarkStart w:id="53" w:name="_Toc184313284"/>
      <w:bookmarkEnd w:id="53"/>
      <w:bookmarkStart w:id="54" w:name="_Toc184310304"/>
      <w:bookmarkEnd w:id="54"/>
      <w:bookmarkStart w:id="55" w:name="_Toc184313271"/>
      <w:bookmarkEnd w:id="55"/>
      <w:bookmarkStart w:id="56" w:name="_Toc184310296"/>
      <w:bookmarkEnd w:id="56"/>
      <w:bookmarkStart w:id="57" w:name="_Toc184308060"/>
      <w:bookmarkEnd w:id="57"/>
      <w:bookmarkStart w:id="58" w:name="_Toc184314420"/>
      <w:bookmarkEnd w:id="58"/>
      <w:bookmarkStart w:id="59" w:name="_Toc184308100"/>
      <w:bookmarkEnd w:id="59"/>
      <w:bookmarkStart w:id="60" w:name="_Toc184310283"/>
      <w:bookmarkEnd w:id="60"/>
      <w:bookmarkStart w:id="61" w:name="_Toc184308047"/>
      <w:bookmarkEnd w:id="61"/>
      <w:bookmarkStart w:id="62" w:name="_Toc184310276"/>
      <w:bookmarkEnd w:id="62"/>
      <w:bookmarkStart w:id="63" w:name="_Toc184312115"/>
      <w:bookmarkEnd w:id="63"/>
      <w:bookmarkStart w:id="64" w:name="_Toc184308067"/>
      <w:bookmarkEnd w:id="64"/>
      <w:bookmarkStart w:id="65" w:name="_Toc184314431"/>
      <w:bookmarkEnd w:id="65"/>
      <w:bookmarkStart w:id="66" w:name="_Toc184310279"/>
      <w:bookmarkEnd w:id="66"/>
      <w:bookmarkStart w:id="67" w:name="_Toc184312132"/>
      <w:bookmarkEnd w:id="67"/>
      <w:bookmarkStart w:id="68" w:name="_Toc184312088"/>
      <w:bookmarkEnd w:id="68"/>
      <w:bookmarkStart w:id="69" w:name="_Toc184314464"/>
      <w:bookmarkEnd w:id="69"/>
      <w:bookmarkStart w:id="70" w:name="_Toc184308071"/>
      <w:bookmarkEnd w:id="70"/>
      <w:bookmarkStart w:id="71" w:name="_Toc184310335"/>
      <w:bookmarkEnd w:id="71"/>
      <w:bookmarkStart w:id="72" w:name="_Toc184308037"/>
      <w:bookmarkEnd w:id="72"/>
      <w:bookmarkStart w:id="73" w:name="_Toc184310300"/>
      <w:bookmarkEnd w:id="73"/>
      <w:bookmarkStart w:id="74" w:name="_Toc184312102"/>
      <w:bookmarkEnd w:id="74"/>
      <w:bookmarkStart w:id="75" w:name="_Toc184314463"/>
      <w:bookmarkEnd w:id="75"/>
      <w:bookmarkStart w:id="76" w:name="_Toc184310286"/>
      <w:bookmarkEnd w:id="76"/>
      <w:bookmarkStart w:id="77" w:name="_Toc184308078"/>
      <w:bookmarkEnd w:id="77"/>
      <w:bookmarkStart w:id="78" w:name="_Toc184313242"/>
      <w:bookmarkEnd w:id="78"/>
      <w:bookmarkStart w:id="79" w:name="_Toc184308039"/>
      <w:bookmarkEnd w:id="79"/>
      <w:bookmarkStart w:id="80" w:name="_Toc184310274"/>
      <w:bookmarkEnd w:id="80"/>
      <w:bookmarkStart w:id="81" w:name="_Toc184314453"/>
      <w:bookmarkEnd w:id="81"/>
      <w:bookmarkStart w:id="82" w:name="_Toc184312076"/>
      <w:bookmarkEnd w:id="82"/>
      <w:bookmarkStart w:id="83" w:name="_Toc184310278"/>
      <w:bookmarkEnd w:id="83"/>
      <w:bookmarkStart w:id="84" w:name="_Toc184310290"/>
      <w:bookmarkEnd w:id="84"/>
      <w:bookmarkStart w:id="85" w:name="_Toc184312130"/>
      <w:bookmarkEnd w:id="85"/>
      <w:bookmarkStart w:id="86" w:name="_Toc184314434"/>
      <w:bookmarkEnd w:id="86"/>
      <w:bookmarkStart w:id="87" w:name="_Toc184312122"/>
      <w:bookmarkEnd w:id="87"/>
      <w:bookmarkStart w:id="88" w:name="_Toc184314466"/>
      <w:bookmarkEnd w:id="88"/>
      <w:bookmarkStart w:id="89" w:name="_Toc184314443"/>
      <w:bookmarkEnd w:id="89"/>
      <w:bookmarkStart w:id="90" w:name="_Toc184314413"/>
      <w:bookmarkEnd w:id="90"/>
      <w:bookmarkStart w:id="91" w:name="_Toc184312139"/>
      <w:bookmarkEnd w:id="91"/>
      <w:bookmarkStart w:id="92" w:name="_Toc184308101"/>
      <w:bookmarkEnd w:id="92"/>
      <w:bookmarkStart w:id="93" w:name="_Toc184313245"/>
      <w:bookmarkEnd w:id="93"/>
      <w:bookmarkStart w:id="94" w:name="_Toc184312103"/>
      <w:bookmarkEnd w:id="94"/>
      <w:bookmarkStart w:id="95" w:name="_Toc184310288"/>
      <w:bookmarkEnd w:id="95"/>
      <w:bookmarkStart w:id="96" w:name="_Toc184312106"/>
      <w:bookmarkEnd w:id="96"/>
      <w:bookmarkStart w:id="97" w:name="_Toc184314441"/>
      <w:bookmarkEnd w:id="97"/>
      <w:bookmarkStart w:id="98" w:name="_Toc184314416"/>
      <w:bookmarkEnd w:id="98"/>
      <w:bookmarkStart w:id="99" w:name="_Toc184308105"/>
      <w:bookmarkEnd w:id="99"/>
      <w:bookmarkStart w:id="100" w:name="_Toc184310289"/>
      <w:bookmarkEnd w:id="100"/>
      <w:bookmarkStart w:id="101" w:name="_Toc184313251"/>
      <w:bookmarkEnd w:id="101"/>
      <w:bookmarkStart w:id="102" w:name="_Toc184312125"/>
      <w:bookmarkEnd w:id="102"/>
      <w:bookmarkStart w:id="103" w:name="_Toc184312119"/>
      <w:bookmarkEnd w:id="103"/>
      <w:bookmarkStart w:id="104" w:name="_Toc184313281"/>
      <w:bookmarkEnd w:id="104"/>
      <w:bookmarkStart w:id="105" w:name="_Toc184313309"/>
      <w:bookmarkEnd w:id="105"/>
      <w:bookmarkStart w:id="106" w:name="_Toc184312134"/>
      <w:bookmarkEnd w:id="106"/>
      <w:bookmarkStart w:id="107" w:name="_Toc184314411"/>
      <w:bookmarkEnd w:id="107"/>
      <w:bookmarkStart w:id="108" w:name="_Toc184312087"/>
      <w:bookmarkEnd w:id="108"/>
      <w:bookmarkStart w:id="109" w:name="_Toc184308094"/>
      <w:bookmarkEnd w:id="109"/>
      <w:bookmarkStart w:id="110" w:name="_Toc184308054"/>
      <w:bookmarkEnd w:id="110"/>
      <w:bookmarkStart w:id="111" w:name="_Toc184314471"/>
      <w:bookmarkEnd w:id="111"/>
      <w:bookmarkStart w:id="112" w:name="_Toc184308066"/>
      <w:bookmarkEnd w:id="112"/>
      <w:bookmarkStart w:id="113" w:name="_Toc184310320"/>
      <w:bookmarkEnd w:id="113"/>
      <w:bookmarkStart w:id="114" w:name="_Toc184312079"/>
      <w:bookmarkEnd w:id="114"/>
      <w:bookmarkStart w:id="115" w:name="_Toc184313290"/>
      <w:bookmarkEnd w:id="115"/>
      <w:bookmarkStart w:id="116" w:name="_Toc184314425"/>
      <w:bookmarkEnd w:id="116"/>
      <w:bookmarkStart w:id="117" w:name="_Toc184308102"/>
      <w:bookmarkEnd w:id="117"/>
      <w:bookmarkStart w:id="118" w:name="_Toc184308075"/>
      <w:bookmarkEnd w:id="118"/>
      <w:bookmarkStart w:id="119" w:name="_Toc184308104"/>
      <w:bookmarkEnd w:id="119"/>
      <w:bookmarkStart w:id="120" w:name="_Toc184313238"/>
      <w:bookmarkEnd w:id="120"/>
      <w:bookmarkStart w:id="121" w:name="_Toc184312086"/>
      <w:bookmarkEnd w:id="121"/>
      <w:bookmarkStart w:id="122" w:name="_Toc184308097"/>
      <w:bookmarkEnd w:id="122"/>
      <w:bookmarkStart w:id="123" w:name="_Toc184314457"/>
      <w:bookmarkEnd w:id="123"/>
      <w:bookmarkStart w:id="124" w:name="_Toc184310292"/>
      <w:bookmarkEnd w:id="124"/>
      <w:bookmarkStart w:id="125" w:name="_Toc184308083"/>
      <w:bookmarkEnd w:id="125"/>
      <w:bookmarkStart w:id="126" w:name="_Toc184310302"/>
      <w:bookmarkEnd w:id="126"/>
      <w:bookmarkStart w:id="127" w:name="_Toc184314468"/>
      <w:bookmarkEnd w:id="127"/>
      <w:bookmarkStart w:id="128" w:name="_Toc184308092"/>
      <w:bookmarkEnd w:id="128"/>
      <w:bookmarkStart w:id="129" w:name="_Toc184308064"/>
      <w:bookmarkEnd w:id="129"/>
      <w:bookmarkStart w:id="130" w:name="_Toc184313241"/>
      <w:bookmarkEnd w:id="130"/>
      <w:bookmarkStart w:id="131" w:name="_Toc184314470"/>
      <w:bookmarkEnd w:id="131"/>
      <w:bookmarkStart w:id="132" w:name="_Toc184308080"/>
      <w:bookmarkEnd w:id="132"/>
      <w:bookmarkStart w:id="133" w:name="_Toc184314479"/>
      <w:bookmarkEnd w:id="133"/>
      <w:bookmarkStart w:id="134" w:name="_Toc184312097"/>
      <w:bookmarkEnd w:id="134"/>
      <w:bookmarkStart w:id="135" w:name="_Toc184312096"/>
      <w:bookmarkEnd w:id="135"/>
      <w:bookmarkStart w:id="136" w:name="_Toc184312092"/>
      <w:bookmarkEnd w:id="136"/>
      <w:bookmarkStart w:id="137" w:name="_Toc184313261"/>
      <w:bookmarkEnd w:id="137"/>
      <w:bookmarkStart w:id="138" w:name="_Toc184312121"/>
      <w:bookmarkEnd w:id="138"/>
      <w:bookmarkStart w:id="139" w:name="_Toc184310336"/>
      <w:bookmarkEnd w:id="139"/>
      <w:bookmarkStart w:id="140" w:name="_Toc184313250"/>
      <w:bookmarkEnd w:id="140"/>
      <w:bookmarkStart w:id="141" w:name="_Toc184308046"/>
      <w:bookmarkEnd w:id="141"/>
      <w:bookmarkStart w:id="142" w:name="_Toc184314424"/>
      <w:bookmarkEnd w:id="142"/>
      <w:bookmarkStart w:id="143" w:name="_Toc184313249"/>
      <w:bookmarkEnd w:id="143"/>
      <w:bookmarkStart w:id="144" w:name="_Toc184313263"/>
      <w:bookmarkEnd w:id="144"/>
      <w:bookmarkStart w:id="145" w:name="_Toc184313255"/>
      <w:bookmarkEnd w:id="145"/>
      <w:bookmarkStart w:id="146" w:name="_Toc184310321"/>
      <w:bookmarkEnd w:id="146"/>
      <w:bookmarkStart w:id="147" w:name="_Toc184314421"/>
      <w:bookmarkEnd w:id="147"/>
      <w:bookmarkStart w:id="148" w:name="_Toc184308091"/>
      <w:bookmarkEnd w:id="148"/>
      <w:bookmarkStart w:id="149" w:name="_Toc184312117"/>
      <w:bookmarkEnd w:id="149"/>
      <w:bookmarkStart w:id="150" w:name="_Toc184314445"/>
      <w:bookmarkEnd w:id="150"/>
      <w:bookmarkStart w:id="151" w:name="_Toc184310340"/>
      <w:bookmarkEnd w:id="151"/>
      <w:bookmarkStart w:id="152" w:name="_Toc184313256"/>
      <w:bookmarkEnd w:id="152"/>
      <w:bookmarkStart w:id="153" w:name="_Toc184313259"/>
      <w:bookmarkEnd w:id="153"/>
      <w:bookmarkStart w:id="154" w:name="_Toc184312072"/>
      <w:bookmarkEnd w:id="154"/>
      <w:bookmarkStart w:id="155" w:name="_Toc184312113"/>
      <w:bookmarkEnd w:id="155"/>
      <w:bookmarkStart w:id="156" w:name="_Toc184314429"/>
      <w:bookmarkEnd w:id="156"/>
      <w:bookmarkStart w:id="157" w:name="_Toc184312093"/>
      <w:bookmarkEnd w:id="157"/>
      <w:bookmarkStart w:id="158" w:name="_Toc184310326"/>
      <w:bookmarkEnd w:id="158"/>
      <w:bookmarkStart w:id="159" w:name="_Toc184308055"/>
      <w:bookmarkEnd w:id="159"/>
      <w:bookmarkStart w:id="160" w:name="_Toc184310333"/>
      <w:bookmarkEnd w:id="160"/>
      <w:bookmarkStart w:id="161" w:name="_Toc184313278"/>
      <w:bookmarkEnd w:id="161"/>
      <w:bookmarkStart w:id="162" w:name="_Toc184313287"/>
      <w:bookmarkEnd w:id="162"/>
      <w:bookmarkStart w:id="163" w:name="_Toc184313260"/>
      <w:bookmarkEnd w:id="163"/>
      <w:bookmarkStart w:id="164" w:name="_Toc184308051"/>
      <w:bookmarkEnd w:id="164"/>
      <w:bookmarkStart w:id="165" w:name="_Toc184308053"/>
      <w:bookmarkEnd w:id="165"/>
      <w:bookmarkStart w:id="166" w:name="_Toc184308036"/>
      <w:bookmarkEnd w:id="166"/>
      <w:bookmarkStart w:id="167" w:name="_Toc184310284"/>
      <w:bookmarkEnd w:id="167"/>
      <w:bookmarkStart w:id="168" w:name="_Toc184308042"/>
      <w:bookmarkEnd w:id="168"/>
      <w:bookmarkStart w:id="169" w:name="_Toc184312078"/>
      <w:bookmarkEnd w:id="169"/>
      <w:bookmarkStart w:id="170" w:name="_Toc184310318"/>
      <w:bookmarkEnd w:id="170"/>
      <w:bookmarkStart w:id="171" w:name="_Toc184314419"/>
      <w:bookmarkEnd w:id="171"/>
      <w:bookmarkStart w:id="172" w:name="_Toc184310280"/>
      <w:bookmarkEnd w:id="172"/>
      <w:bookmarkStart w:id="173" w:name="_Toc184310295"/>
      <w:bookmarkEnd w:id="173"/>
      <w:bookmarkStart w:id="174" w:name="_Toc184312090"/>
      <w:bookmarkEnd w:id="174"/>
      <w:bookmarkStart w:id="175" w:name="_Toc184314423"/>
      <w:bookmarkEnd w:id="175"/>
      <w:bookmarkStart w:id="176" w:name="_Toc184308052"/>
      <w:bookmarkEnd w:id="176"/>
      <w:bookmarkStart w:id="177" w:name="_Toc184313310"/>
      <w:bookmarkEnd w:id="177"/>
      <w:bookmarkStart w:id="178" w:name="_Toc184314451"/>
      <w:bookmarkEnd w:id="178"/>
      <w:bookmarkStart w:id="179" w:name="_Toc184314438"/>
      <w:bookmarkEnd w:id="179"/>
      <w:bookmarkStart w:id="180" w:name="_Toc184308072"/>
      <w:bookmarkEnd w:id="180"/>
      <w:bookmarkStart w:id="181" w:name="_Toc184312118"/>
      <w:bookmarkEnd w:id="181"/>
      <w:bookmarkStart w:id="182" w:name="_Toc184313264"/>
      <w:bookmarkEnd w:id="182"/>
      <w:bookmarkStart w:id="183" w:name="_Toc184313305"/>
      <w:bookmarkEnd w:id="183"/>
      <w:bookmarkStart w:id="184" w:name="_Toc184314428"/>
      <w:bookmarkEnd w:id="184"/>
      <w:bookmarkStart w:id="185" w:name="_Toc184310327"/>
      <w:bookmarkEnd w:id="185"/>
      <w:bookmarkStart w:id="186" w:name="_Toc184310282"/>
      <w:bookmarkEnd w:id="186"/>
      <w:bookmarkStart w:id="187" w:name="_Toc184314467"/>
      <w:bookmarkEnd w:id="187"/>
      <w:bookmarkStart w:id="188" w:name="_Toc184314456"/>
      <w:bookmarkEnd w:id="188"/>
      <w:bookmarkStart w:id="189" w:name="_Toc184314435"/>
      <w:bookmarkEnd w:id="189"/>
      <w:bookmarkStart w:id="190" w:name="_Toc184312111"/>
      <w:bookmarkEnd w:id="190"/>
      <w:bookmarkStart w:id="191" w:name="_Toc184312068"/>
      <w:bookmarkEnd w:id="191"/>
      <w:bookmarkStart w:id="192" w:name="_Toc184308098"/>
      <w:bookmarkEnd w:id="192"/>
      <w:bookmarkStart w:id="193" w:name="_Toc184313291"/>
      <w:bookmarkEnd w:id="193"/>
      <w:bookmarkStart w:id="194" w:name="_Toc184308044"/>
      <w:bookmarkEnd w:id="194"/>
      <w:bookmarkStart w:id="195" w:name="_Toc184310306"/>
      <w:bookmarkEnd w:id="195"/>
      <w:bookmarkStart w:id="196" w:name="_Toc184313300"/>
      <w:bookmarkEnd w:id="196"/>
      <w:bookmarkStart w:id="197" w:name="_Toc184313253"/>
      <w:bookmarkEnd w:id="197"/>
      <w:bookmarkStart w:id="198" w:name="_Toc184310314"/>
      <w:bookmarkEnd w:id="198"/>
      <w:bookmarkStart w:id="199" w:name="_Toc184310312"/>
      <w:bookmarkEnd w:id="199"/>
      <w:bookmarkStart w:id="200" w:name="_Toc184308056"/>
      <w:bookmarkEnd w:id="200"/>
      <w:bookmarkStart w:id="201" w:name="_Toc184312070"/>
      <w:bookmarkEnd w:id="201"/>
      <w:bookmarkStart w:id="202" w:name="_Toc184313307"/>
      <w:bookmarkEnd w:id="202"/>
      <w:bookmarkStart w:id="203" w:name="_Toc184313273"/>
      <w:bookmarkEnd w:id="203"/>
      <w:bookmarkStart w:id="204" w:name="_Toc184314444"/>
      <w:bookmarkEnd w:id="204"/>
      <w:bookmarkStart w:id="205" w:name="_Toc184312081"/>
      <w:bookmarkEnd w:id="205"/>
      <w:bookmarkStart w:id="206" w:name="_Toc184313289"/>
      <w:bookmarkEnd w:id="206"/>
      <w:bookmarkStart w:id="207" w:name="_Toc184308062"/>
      <w:bookmarkEnd w:id="207"/>
      <w:bookmarkStart w:id="208" w:name="_Toc184308106"/>
      <w:bookmarkEnd w:id="208"/>
      <w:bookmarkStart w:id="209" w:name="_Toc184314458"/>
      <w:bookmarkEnd w:id="209"/>
      <w:bookmarkStart w:id="210" w:name="_Toc184310297"/>
      <w:bookmarkEnd w:id="210"/>
      <w:bookmarkStart w:id="211" w:name="_Toc184313254"/>
      <w:bookmarkEnd w:id="211"/>
      <w:bookmarkStart w:id="212" w:name="_Toc184312128"/>
      <w:bookmarkEnd w:id="212"/>
      <w:bookmarkStart w:id="213" w:name="_Toc184313274"/>
      <w:bookmarkEnd w:id="213"/>
      <w:bookmarkStart w:id="214" w:name="_Toc184312080"/>
      <w:bookmarkEnd w:id="214"/>
      <w:bookmarkStart w:id="215" w:name="_Toc184314465"/>
      <w:bookmarkEnd w:id="215"/>
      <w:bookmarkStart w:id="216" w:name="_Toc184310311"/>
      <w:bookmarkEnd w:id="216"/>
      <w:bookmarkStart w:id="217" w:name="_Toc184310310"/>
      <w:bookmarkEnd w:id="217"/>
      <w:bookmarkStart w:id="218" w:name="_Toc184313298"/>
      <w:bookmarkEnd w:id="218"/>
      <w:bookmarkStart w:id="219" w:name="_Toc184313282"/>
      <w:bookmarkEnd w:id="219"/>
      <w:bookmarkStart w:id="220" w:name="_Toc184314449"/>
      <w:bookmarkEnd w:id="220"/>
      <w:bookmarkStart w:id="221" w:name="_Toc184313267"/>
      <w:bookmarkEnd w:id="221"/>
      <w:bookmarkStart w:id="222" w:name="_Toc184314446"/>
      <w:bookmarkEnd w:id="222"/>
      <w:bookmarkStart w:id="223" w:name="_Toc184314481"/>
      <w:bookmarkEnd w:id="223"/>
      <w:bookmarkStart w:id="224" w:name="_Toc184308073"/>
      <w:bookmarkEnd w:id="224"/>
      <w:bookmarkStart w:id="225" w:name="_Toc184312075"/>
      <w:bookmarkEnd w:id="225"/>
      <w:bookmarkStart w:id="226" w:name="_Toc184313276"/>
      <w:bookmarkEnd w:id="226"/>
      <w:bookmarkStart w:id="227" w:name="_Toc184313302"/>
      <w:bookmarkEnd w:id="227"/>
      <w:bookmarkStart w:id="228" w:name="_Toc184310323"/>
      <w:bookmarkEnd w:id="228"/>
      <w:bookmarkStart w:id="229" w:name="_Toc184314437"/>
      <w:bookmarkEnd w:id="229"/>
      <w:bookmarkStart w:id="230" w:name="_Toc184308085"/>
      <w:bookmarkEnd w:id="230"/>
      <w:bookmarkStart w:id="231" w:name="_Toc184308050"/>
      <w:bookmarkEnd w:id="231"/>
      <w:bookmarkStart w:id="232" w:name="_Toc184312120"/>
      <w:bookmarkEnd w:id="232"/>
      <w:bookmarkStart w:id="233" w:name="_Toc184314417"/>
      <w:bookmarkEnd w:id="233"/>
      <w:bookmarkStart w:id="234" w:name="_Toc184312104"/>
      <w:bookmarkEnd w:id="234"/>
      <w:bookmarkStart w:id="235" w:name="_Toc184314450"/>
      <w:bookmarkEnd w:id="235"/>
      <w:bookmarkStart w:id="236" w:name="_Toc184312116"/>
      <w:bookmarkEnd w:id="236"/>
      <w:bookmarkStart w:id="237" w:name="_Toc184312089"/>
      <w:bookmarkEnd w:id="237"/>
      <w:bookmarkStart w:id="238" w:name="_Toc184313279"/>
      <w:bookmarkEnd w:id="238"/>
      <w:bookmarkStart w:id="239" w:name="_Toc184312131"/>
      <w:bookmarkEnd w:id="239"/>
      <w:bookmarkStart w:id="240" w:name="_Toc184313265"/>
      <w:bookmarkEnd w:id="240"/>
      <w:bookmarkStart w:id="241" w:name="_Toc184314460"/>
      <w:bookmarkEnd w:id="241"/>
      <w:bookmarkStart w:id="242" w:name="_Toc184308103"/>
      <w:bookmarkEnd w:id="242"/>
      <w:bookmarkStart w:id="243" w:name="_Toc184308057"/>
      <w:bookmarkEnd w:id="243"/>
      <w:bookmarkStart w:id="244" w:name="_Toc184313308"/>
      <w:bookmarkEnd w:id="244"/>
      <w:bookmarkStart w:id="245" w:name="_Toc184314462"/>
      <w:bookmarkEnd w:id="245"/>
      <w:bookmarkStart w:id="246" w:name="_Toc184312110"/>
      <w:bookmarkEnd w:id="246"/>
      <w:bookmarkStart w:id="247" w:name="_Toc184310285"/>
      <w:bookmarkEnd w:id="247"/>
      <w:bookmarkStart w:id="248" w:name="_Toc184313303"/>
      <w:bookmarkEnd w:id="248"/>
      <w:bookmarkStart w:id="249" w:name="_Toc184310328"/>
      <w:bookmarkEnd w:id="249"/>
      <w:bookmarkStart w:id="250" w:name="_Toc184308093"/>
      <w:bookmarkEnd w:id="250"/>
      <w:bookmarkStart w:id="251" w:name="_Toc184314414"/>
      <w:bookmarkEnd w:id="251"/>
      <w:bookmarkStart w:id="252" w:name="_Toc184313297"/>
      <w:bookmarkEnd w:id="252"/>
      <w:bookmarkStart w:id="253" w:name="_Toc184312073"/>
      <w:bookmarkEnd w:id="253"/>
      <w:bookmarkStart w:id="254" w:name="_Toc184312085"/>
      <w:bookmarkEnd w:id="254"/>
      <w:bookmarkStart w:id="255" w:name="_Toc184310331"/>
      <w:bookmarkEnd w:id="255"/>
      <w:bookmarkStart w:id="256" w:name="_Toc184310332"/>
      <w:bookmarkEnd w:id="256"/>
      <w:bookmarkStart w:id="257" w:name="_Toc184308038"/>
      <w:bookmarkEnd w:id="257"/>
      <w:bookmarkStart w:id="258" w:name="_Toc184314472"/>
      <w:bookmarkEnd w:id="258"/>
      <w:bookmarkStart w:id="259" w:name="_Toc184312135"/>
      <w:bookmarkEnd w:id="259"/>
      <w:bookmarkStart w:id="260" w:name="_Toc184312124"/>
      <w:bookmarkEnd w:id="260"/>
      <w:bookmarkStart w:id="261" w:name="_Toc184314418"/>
      <w:bookmarkEnd w:id="261"/>
      <w:bookmarkStart w:id="262" w:name="_Toc184310337"/>
      <w:bookmarkEnd w:id="262"/>
      <w:bookmarkStart w:id="263" w:name="_Toc184308096"/>
      <w:bookmarkEnd w:id="263"/>
      <w:bookmarkStart w:id="264" w:name="_Toc184308043"/>
      <w:bookmarkEnd w:id="264"/>
      <w:bookmarkStart w:id="265" w:name="_Toc184310315"/>
      <w:bookmarkEnd w:id="265"/>
      <w:bookmarkStart w:id="266" w:name="_Toc184310322"/>
      <w:bookmarkEnd w:id="266"/>
      <w:bookmarkStart w:id="267" w:name="_Toc184314432"/>
      <w:bookmarkEnd w:id="267"/>
      <w:bookmarkStart w:id="268" w:name="_Toc184312095"/>
      <w:bookmarkEnd w:id="268"/>
      <w:bookmarkStart w:id="269" w:name="_Toc184308079"/>
      <w:bookmarkEnd w:id="269"/>
      <w:bookmarkStart w:id="270" w:name="_Toc184310281"/>
      <w:bookmarkEnd w:id="270"/>
      <w:bookmarkStart w:id="271" w:name="_Toc184310301"/>
      <w:bookmarkEnd w:id="271"/>
      <w:bookmarkStart w:id="272" w:name="_Toc184310294"/>
      <w:bookmarkEnd w:id="272"/>
      <w:bookmarkStart w:id="273" w:name="_Toc184313292"/>
      <w:bookmarkEnd w:id="273"/>
      <w:bookmarkStart w:id="274" w:name="_Toc184308081"/>
      <w:bookmarkEnd w:id="274"/>
      <w:bookmarkStart w:id="275" w:name="_Toc184308048"/>
      <w:bookmarkEnd w:id="275"/>
      <w:bookmarkStart w:id="276" w:name="_Toc184310313"/>
      <w:bookmarkEnd w:id="276"/>
      <w:bookmarkStart w:id="277" w:name="_Toc184313280"/>
      <w:bookmarkEnd w:id="277"/>
      <w:bookmarkStart w:id="278" w:name="_Toc184312082"/>
      <w:bookmarkEnd w:id="278"/>
      <w:bookmarkStart w:id="279" w:name="_Toc184313239"/>
      <w:bookmarkEnd w:id="279"/>
      <w:bookmarkStart w:id="280" w:name="_Toc184314426"/>
      <w:bookmarkEnd w:id="280"/>
      <w:bookmarkStart w:id="281" w:name="_Toc184313294"/>
      <w:bookmarkEnd w:id="281"/>
      <w:bookmarkStart w:id="282" w:name="_Toc184308069"/>
      <w:bookmarkEnd w:id="282"/>
      <w:bookmarkStart w:id="283" w:name="_Toc184310316"/>
      <w:bookmarkEnd w:id="283"/>
      <w:bookmarkStart w:id="284" w:name="_Toc184308068"/>
      <w:bookmarkEnd w:id="284"/>
      <w:bookmarkStart w:id="285" w:name="_Toc184312127"/>
      <w:bookmarkEnd w:id="285"/>
      <w:bookmarkStart w:id="286" w:name="_Toc184310339"/>
      <w:bookmarkEnd w:id="286"/>
      <w:bookmarkStart w:id="287" w:name="_Toc184313257"/>
      <w:bookmarkEnd w:id="287"/>
      <w:bookmarkStart w:id="288" w:name="_Toc184312094"/>
      <w:bookmarkEnd w:id="288"/>
      <w:bookmarkStart w:id="289" w:name="_Toc184310307"/>
      <w:bookmarkEnd w:id="289"/>
      <w:bookmarkStart w:id="290" w:name="_Toc184312137"/>
      <w:bookmarkEnd w:id="290"/>
      <w:bookmarkStart w:id="291" w:name="_Toc184310325"/>
      <w:bookmarkEnd w:id="291"/>
      <w:bookmarkStart w:id="292" w:name="_Toc184313277"/>
      <w:bookmarkEnd w:id="292"/>
      <w:bookmarkStart w:id="293" w:name="_Toc184312136"/>
      <w:bookmarkEnd w:id="293"/>
      <w:bookmarkStart w:id="294" w:name="_Toc184312133"/>
      <w:bookmarkEnd w:id="294"/>
      <w:bookmarkStart w:id="295" w:name="_Toc184310298"/>
      <w:bookmarkEnd w:id="295"/>
      <w:bookmarkStart w:id="296" w:name="_Toc184310305"/>
      <w:bookmarkEnd w:id="296"/>
      <w:bookmarkStart w:id="297" w:name="_Toc184308074"/>
      <w:bookmarkEnd w:id="297"/>
      <w:bookmarkStart w:id="298" w:name="_Toc184314475"/>
      <w:bookmarkEnd w:id="298"/>
      <w:bookmarkStart w:id="299" w:name="_Toc184310299"/>
      <w:bookmarkEnd w:id="299"/>
      <w:bookmarkStart w:id="300" w:name="_Toc184312074"/>
      <w:bookmarkEnd w:id="300"/>
      <w:bookmarkStart w:id="301" w:name="_Toc184310329"/>
      <w:bookmarkEnd w:id="301"/>
      <w:bookmarkStart w:id="302" w:name="_Toc184310334"/>
      <w:bookmarkEnd w:id="302"/>
      <w:bookmarkStart w:id="303" w:name="_Toc184310319"/>
      <w:bookmarkEnd w:id="303"/>
      <w:bookmarkStart w:id="304" w:name="_Toc184310275"/>
      <w:bookmarkEnd w:id="304"/>
      <w:bookmarkStart w:id="305" w:name="_Toc184308089"/>
      <w:bookmarkEnd w:id="305"/>
      <w:bookmarkStart w:id="306" w:name="_Toc184313246"/>
      <w:bookmarkEnd w:id="306"/>
      <w:bookmarkStart w:id="307" w:name="_Toc184313269"/>
      <w:bookmarkEnd w:id="307"/>
      <w:bookmarkStart w:id="308" w:name="_Toc184314433"/>
      <w:bookmarkEnd w:id="308"/>
      <w:bookmarkStart w:id="309" w:name="_Toc184313285"/>
      <w:bookmarkEnd w:id="309"/>
      <w:bookmarkStart w:id="310" w:name="_Toc184313272"/>
      <w:bookmarkEnd w:id="310"/>
      <w:bookmarkStart w:id="311" w:name="_Toc184314482"/>
      <w:bookmarkEnd w:id="311"/>
      <w:bookmarkStart w:id="312" w:name="_Toc184310309"/>
      <w:bookmarkEnd w:id="312"/>
      <w:bookmarkStart w:id="313" w:name="_Toc184314439"/>
      <w:bookmarkEnd w:id="313"/>
      <w:bookmarkStart w:id="314" w:name="_Toc184313286"/>
      <w:bookmarkEnd w:id="314"/>
      <w:bookmarkStart w:id="315" w:name="_Toc184314442"/>
      <w:bookmarkEnd w:id="315"/>
      <w:bookmarkStart w:id="316" w:name="_Toc184308040"/>
      <w:bookmarkEnd w:id="316"/>
      <w:bookmarkStart w:id="317" w:name="_Toc184313299"/>
      <w:bookmarkEnd w:id="317"/>
      <w:bookmarkStart w:id="318" w:name="_Toc184312114"/>
      <w:bookmarkEnd w:id="318"/>
      <w:bookmarkStart w:id="319" w:name="_Toc184312100"/>
      <w:bookmarkEnd w:id="319"/>
      <w:bookmarkStart w:id="320" w:name="_Toc184312129"/>
      <w:bookmarkEnd w:id="320"/>
      <w:bookmarkStart w:id="321" w:name="_Toc184313270"/>
      <w:bookmarkEnd w:id="321"/>
      <w:bookmarkStart w:id="322" w:name="_Toc184313306"/>
      <w:bookmarkEnd w:id="322"/>
      <w:bookmarkStart w:id="323" w:name="_Toc184312098"/>
      <w:bookmarkEnd w:id="323"/>
      <w:bookmarkStart w:id="324" w:name="_Toc184314410"/>
      <w:bookmarkEnd w:id="324"/>
      <w:bookmarkStart w:id="325" w:name="_Toc184312108"/>
      <w:bookmarkEnd w:id="325"/>
      <w:bookmarkStart w:id="326" w:name="_Toc184313304"/>
      <w:bookmarkEnd w:id="326"/>
      <w:bookmarkStart w:id="327" w:name="_Toc184312077"/>
      <w:bookmarkEnd w:id="327"/>
      <w:bookmarkStart w:id="328" w:name="_Toc184308061"/>
      <w:bookmarkEnd w:id="328"/>
      <w:bookmarkStart w:id="329" w:name="_Toc184314461"/>
      <w:bookmarkEnd w:id="329"/>
      <w:bookmarkStart w:id="330" w:name="_Toc184310324"/>
      <w:bookmarkEnd w:id="330"/>
      <w:bookmarkStart w:id="331" w:name="_Toc184314447"/>
      <w:bookmarkEnd w:id="331"/>
      <w:bookmarkStart w:id="332" w:name="_Toc184308084"/>
      <w:bookmarkEnd w:id="332"/>
      <w:bookmarkStart w:id="333" w:name="_Toc184313288"/>
      <w:bookmarkEnd w:id="333"/>
      <w:bookmarkStart w:id="334" w:name="_Toc184314455"/>
      <w:bookmarkEnd w:id="334"/>
      <w:bookmarkStart w:id="335" w:name="_Toc184314480"/>
      <w:bookmarkEnd w:id="335"/>
      <w:bookmarkStart w:id="336" w:name="_Toc184308041"/>
      <w:bookmarkEnd w:id="336"/>
      <w:bookmarkStart w:id="337" w:name="_Toc184314474"/>
      <w:bookmarkEnd w:id="337"/>
      <w:bookmarkStart w:id="338" w:name="_Toc184308082"/>
      <w:bookmarkEnd w:id="338"/>
      <w:bookmarkStart w:id="339" w:name="_Toc184310338"/>
      <w:bookmarkEnd w:id="339"/>
      <w:bookmarkStart w:id="340" w:name="_Toc184314478"/>
      <w:bookmarkEnd w:id="340"/>
      <w:bookmarkStart w:id="341" w:name="_Toc184308087"/>
      <w:bookmarkEnd w:id="341"/>
      <w:bookmarkStart w:id="342" w:name="_Toc184313293"/>
      <w:bookmarkEnd w:id="342"/>
      <w:bookmarkStart w:id="343" w:name="_Toc184314476"/>
      <w:bookmarkEnd w:id="343"/>
      <w:bookmarkStart w:id="344" w:name="_Toc184312084"/>
      <w:bookmarkEnd w:id="344"/>
      <w:bookmarkStart w:id="345" w:name="_Toc184312083"/>
      <w:bookmarkEnd w:id="345"/>
      <w:bookmarkStart w:id="346" w:name="_Toc184314427"/>
      <w:bookmarkEnd w:id="346"/>
      <w:bookmarkStart w:id="347" w:name="_Toc184310344"/>
      <w:bookmarkEnd w:id="347"/>
      <w:bookmarkStart w:id="348" w:name="_Toc184308099"/>
      <w:bookmarkEnd w:id="348"/>
      <w:bookmarkStart w:id="349" w:name="_Toc184310291"/>
      <w:bookmarkEnd w:id="349"/>
      <w:bookmarkStart w:id="350" w:name="_Toc184308090"/>
      <w:bookmarkEnd w:id="350"/>
      <w:bookmarkStart w:id="351" w:name="_Toc184310287"/>
      <w:bookmarkEnd w:id="351"/>
      <w:bookmarkStart w:id="352" w:name="_Toc184310343"/>
      <w:bookmarkEnd w:id="352"/>
      <w:bookmarkStart w:id="353" w:name="_Toc184310293"/>
      <w:bookmarkEnd w:id="353"/>
      <w:bookmarkStart w:id="354" w:name="_Toc184313268"/>
      <w:bookmarkEnd w:id="354"/>
      <w:bookmarkStart w:id="355" w:name="_Toc184308063"/>
      <w:bookmarkEnd w:id="355"/>
      <w:bookmarkStart w:id="356" w:name="_Toc184308107"/>
      <w:bookmarkEnd w:id="356"/>
      <w:bookmarkStart w:id="357" w:name="_Toc184314469"/>
      <w:bookmarkEnd w:id="357"/>
      <w:bookmarkStart w:id="358" w:name="_Toc184313266"/>
      <w:bookmarkEnd w:id="358"/>
      <w:bookmarkStart w:id="359" w:name="_Toc184314412"/>
      <w:bookmarkEnd w:id="359"/>
      <w:bookmarkStart w:id="360" w:name="_Toc184314436"/>
      <w:bookmarkEnd w:id="360"/>
      <w:bookmarkStart w:id="361" w:name="_Toc184312071"/>
      <w:bookmarkEnd w:id="361"/>
      <w:bookmarkStart w:id="362" w:name="_Toc184312099"/>
      <w:bookmarkEnd w:id="362"/>
      <w:bookmarkStart w:id="363" w:name="_Toc184310273"/>
      <w:bookmarkEnd w:id="363"/>
      <w:bookmarkStart w:id="364" w:name="_Toc184308049"/>
      <w:bookmarkEnd w:id="364"/>
      <w:bookmarkStart w:id="365" w:name="_Toc184313295"/>
      <w:bookmarkEnd w:id="365"/>
      <w:bookmarkStart w:id="366" w:name="_Toc184308065"/>
      <w:bookmarkEnd w:id="366"/>
      <w:bookmarkStart w:id="367" w:name="_Toc184314422"/>
      <w:bookmarkEnd w:id="367"/>
      <w:bookmarkStart w:id="368" w:name="_Toc184310341"/>
      <w:bookmarkEnd w:id="368"/>
      <w:bookmarkStart w:id="369" w:name="_Toc184308059"/>
      <w:bookmarkEnd w:id="369"/>
      <w:bookmarkStart w:id="370" w:name="_Toc184312109"/>
      <w:bookmarkEnd w:id="370"/>
      <w:bookmarkStart w:id="371" w:name="_Toc184314452"/>
      <w:bookmarkEnd w:id="371"/>
      <w:bookmarkStart w:id="372" w:name="_Toc184310272"/>
      <w:bookmarkEnd w:id="372"/>
      <w:bookmarkStart w:id="373" w:name="_Toc184312101"/>
      <w:bookmarkEnd w:id="373"/>
      <w:bookmarkStart w:id="374" w:name="_Toc184312069"/>
      <w:bookmarkEnd w:id="374"/>
      <w:bookmarkStart w:id="375" w:name="_Toc184313283"/>
      <w:bookmarkEnd w:id="375"/>
      <w:bookmarkStart w:id="376" w:name="_Toc184313258"/>
      <w:bookmarkEnd w:id="376"/>
      <w:bookmarkStart w:id="377" w:name="_Toc184313240"/>
      <w:bookmarkEnd w:id="377"/>
      <w:bookmarkStart w:id="378" w:name="_Toc184313243"/>
      <w:bookmarkEnd w:id="378"/>
      <w:bookmarkStart w:id="379" w:name="_Toc184310330"/>
      <w:bookmarkEnd w:id="379"/>
      <w:bookmarkStart w:id="380" w:name="_Toc184308076"/>
      <w:bookmarkEnd w:id="380"/>
      <w:bookmarkStart w:id="381" w:name="_Toc184312112"/>
      <w:bookmarkEnd w:id="381"/>
      <w:bookmarkStart w:id="382" w:name="_Toc184312091"/>
      <w:bookmarkEnd w:id="382"/>
      <w:bookmarkStart w:id="383" w:name="_Toc184308108"/>
      <w:bookmarkEnd w:id="383"/>
      <w:bookmarkStart w:id="384" w:name="_Toc184308086"/>
      <w:bookmarkEnd w:id="384"/>
      <w:bookmarkStart w:id="385" w:name="_Toc184314430"/>
      <w:bookmarkEnd w:id="385"/>
      <w:bookmarkStart w:id="386" w:name="_Toc184313247"/>
      <w:bookmarkEnd w:id="386"/>
      <w:bookmarkStart w:id="387" w:name="_Toc184310308"/>
      <w:bookmarkEnd w:id="387"/>
      <w:bookmarkStart w:id="388" w:name="_Toc184308058"/>
      <w:bookmarkEnd w:id="388"/>
      <w:bookmarkStart w:id="389" w:name="_Toc184313296"/>
      <w:bookmarkEnd w:id="389"/>
      <w:bookmarkStart w:id="390" w:name="_Toc184312105"/>
      <w:bookmarkEnd w:id="390"/>
      <w:bookmarkStart w:id="391" w:name="_Toc184313252"/>
      <w:bookmarkEnd w:id="391"/>
      <w:bookmarkStart w:id="392" w:name="_Toc184314459"/>
      <w:bookmarkEnd w:id="392"/>
      <w:bookmarkStart w:id="393" w:name="_Toc184312067"/>
      <w:bookmarkEnd w:id="393"/>
      <w:bookmarkStart w:id="394" w:name="_Toc184308070"/>
      <w:bookmarkEnd w:id="394"/>
      <w:bookmarkStart w:id="395" w:name="_Toc184310277"/>
      <w:bookmarkEnd w:id="395"/>
      <w:bookmarkStart w:id="396" w:name="_Toc184313275"/>
      <w:bookmarkEnd w:id="396"/>
      <w:bookmarkStart w:id="397" w:name="_Toc184312107"/>
      <w:bookmarkEnd w:id="397"/>
      <w:bookmarkStart w:id="398" w:name="_Toc184312123"/>
      <w:bookmarkEnd w:id="398"/>
      <w:bookmarkStart w:id="399" w:name="_Toc184313301"/>
      <w:bookmarkEnd w:id="399"/>
      <w:r>
        <w:rPr>
          <w:rFonts w:hint="eastAsia" w:ascii="宋体" w:hAnsi="宋体" w:cs="宋体"/>
          <w:b/>
          <w:sz w:val="36"/>
          <w:szCs w:val="36"/>
          <w:highlight w:val="none"/>
          <w:lang w:eastAsia="zh-CN"/>
        </w:rPr>
        <w:t>第四部分</w:t>
      </w:r>
      <w:r>
        <w:rPr>
          <w:rFonts w:hint="eastAsia" w:ascii="宋体" w:hAnsi="宋体" w:cs="宋体"/>
          <w:b/>
          <w:sz w:val="36"/>
          <w:szCs w:val="36"/>
          <w:highlight w:val="none"/>
          <w:lang w:val="en-US" w:eastAsia="zh-CN"/>
        </w:rPr>
        <w:t xml:space="preserve">  </w:t>
      </w:r>
      <w:r>
        <w:rPr>
          <w:rFonts w:hint="eastAsia" w:ascii="宋体" w:hAnsi="宋体" w:cs="宋体"/>
          <w:b/>
          <w:sz w:val="36"/>
          <w:szCs w:val="36"/>
          <w:highlight w:val="none"/>
        </w:rPr>
        <w:t>评标办法</w:t>
      </w:r>
    </w:p>
    <w:p w14:paraId="46139479">
      <w:pPr>
        <w:pStyle w:val="24"/>
        <w:rPr>
          <w:rFonts w:hint="eastAsia"/>
          <w:highlight w:val="none"/>
        </w:rPr>
      </w:pPr>
    </w:p>
    <w:p w14:paraId="460AD847">
      <w:pPr>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为公正、公平、科学地选择中标供应商，根据《中华人民共和国政府采购法》等有关法律法规的规定，并结合本项目的实际，制定本办法。</w:t>
      </w:r>
    </w:p>
    <w:p w14:paraId="0D17C342">
      <w:pPr>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本办法适用于本项目的评标。</w:t>
      </w:r>
    </w:p>
    <w:p w14:paraId="7C1C6376">
      <w:pPr>
        <w:keepNext w:val="0"/>
        <w:keepLines w:val="0"/>
        <w:pageBreakBefore w:val="0"/>
        <w:widowControl/>
        <w:suppressLineNumbers w:val="0"/>
        <w:kinsoku/>
        <w:wordWrap/>
        <w:overflowPunct/>
        <w:topLinePunct w:val="0"/>
        <w:autoSpaceDE/>
        <w:autoSpaceDN/>
        <w:bidi w:val="0"/>
        <w:adjustRightInd w:val="0"/>
        <w:snapToGrid/>
        <w:spacing w:line="360" w:lineRule="auto"/>
        <w:ind w:firstLine="482" w:firstLineChars="200"/>
        <w:jc w:val="left"/>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一、总则</w:t>
      </w:r>
    </w:p>
    <w:p w14:paraId="69081019">
      <w:pPr>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本次评标采用综合评分法，总分为100分。合格供应商的评标得分为各项目汇总得分，中标候选资格按评标得分由高到低顺序排列，得分相同的，按投标报价由低到高顺序排列；得分且投标报价相同的，按商务技术得分由高到低顺序排列，仍不能分出前后的，以投标解密先后顺序确定中标候选供应商。中标候选供应商数量：2家，采购人应从评审报告确定的中标候选供应商名单中按顺序确定中标供应商，中标供应商拒绝与采购人签订合同的，确定下一候选供应商为中标供应商，也可以重新开展政府采购活动。评分过程中采用四舍五入法，并保留小数2位。</w:t>
      </w:r>
    </w:p>
    <w:p w14:paraId="39CF1A0A">
      <w:pPr>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供应商评标综合得分=价格分+技术分+资信及其他分</w:t>
      </w:r>
    </w:p>
    <w:p w14:paraId="6F2F5FF6">
      <w:pPr>
        <w:keepNext w:val="0"/>
        <w:keepLines w:val="0"/>
        <w:pageBreakBefore w:val="0"/>
        <w:widowControl/>
        <w:suppressLineNumbers w:val="0"/>
        <w:kinsoku/>
        <w:wordWrap/>
        <w:overflowPunct/>
        <w:topLinePunct w:val="0"/>
        <w:autoSpaceDE/>
        <w:autoSpaceDN/>
        <w:bidi w:val="0"/>
        <w:adjustRightInd w:val="0"/>
        <w:snapToGrid/>
        <w:spacing w:line="360" w:lineRule="auto"/>
        <w:ind w:firstLine="482" w:firstLineChars="200"/>
        <w:jc w:val="left"/>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二、评标内容及标准</w:t>
      </w:r>
    </w:p>
    <w:p w14:paraId="13DABD75">
      <w:pPr>
        <w:pStyle w:val="25"/>
        <w:spacing w:before="120" w:beforeLines="50" w:after="120" w:afterLines="50" w:line="360" w:lineRule="auto"/>
        <w:ind w:left="0" w:leftChars="0" w:firstLine="0" w:firstLineChars="0"/>
        <w:rPr>
          <w:rFonts w:hint="eastAsia" w:hAnsi="宋体" w:eastAsia="宋体"/>
          <w:b/>
          <w:bCs/>
          <w:sz w:val="24"/>
          <w:szCs w:val="24"/>
          <w:highlight w:val="none"/>
          <w:lang w:eastAsia="zh-CN"/>
        </w:rPr>
      </w:pPr>
      <w:r>
        <w:rPr>
          <w:rFonts w:hint="eastAsia" w:hAnsi="宋体"/>
          <w:b/>
          <w:sz w:val="24"/>
          <w:szCs w:val="24"/>
          <w:highlight w:val="none"/>
        </w:rPr>
        <w:t>（一）</w:t>
      </w:r>
      <w:r>
        <w:rPr>
          <w:rFonts w:hint="eastAsia" w:hAnsi="宋体"/>
          <w:b/>
          <w:bCs/>
          <w:sz w:val="24"/>
          <w:szCs w:val="24"/>
          <w:highlight w:val="none"/>
        </w:rPr>
        <w:t>价格分（</w:t>
      </w:r>
      <w:r>
        <w:rPr>
          <w:rFonts w:hint="eastAsia"/>
          <w:b/>
          <w:bCs/>
          <w:sz w:val="24"/>
          <w:szCs w:val="24"/>
          <w:highlight w:val="none"/>
          <w:lang w:val="en-US" w:eastAsia="zh-CN"/>
        </w:rPr>
        <w:t>30</w:t>
      </w:r>
      <w:r>
        <w:rPr>
          <w:rFonts w:hint="eastAsia" w:hAnsi="宋体"/>
          <w:b/>
          <w:bCs/>
          <w:sz w:val="24"/>
          <w:szCs w:val="24"/>
          <w:highlight w:val="none"/>
        </w:rPr>
        <w:t>分）</w:t>
      </w:r>
    </w:p>
    <w:p w14:paraId="522BF3D4">
      <w:pPr>
        <w:pStyle w:val="25"/>
        <w:numPr>
          <w:ilvl w:val="0"/>
          <w:numId w:val="0"/>
        </w:numPr>
        <w:spacing w:before="120" w:beforeLines="50" w:after="120" w:afterLines="50" w:line="360" w:lineRule="auto"/>
        <w:ind w:firstLine="480" w:firstLineChars="200"/>
        <w:rPr>
          <w:rFonts w:hint="eastAsia" w:hAnsi="宋体"/>
          <w:bCs/>
          <w:sz w:val="24"/>
          <w:szCs w:val="24"/>
          <w:highlight w:val="none"/>
        </w:rPr>
      </w:pPr>
      <w:r>
        <w:rPr>
          <w:rFonts w:hint="eastAsia" w:hAnsi="宋体"/>
          <w:bCs/>
          <w:sz w:val="24"/>
          <w:szCs w:val="24"/>
          <w:highlight w:val="none"/>
        </w:rPr>
        <w:t>1.价格分采用低价优先法计算，即满足招标文件要求且投标价格最低的投标报价为评标基准价，其他供应商的价格分按照下列公式计算：</w:t>
      </w:r>
    </w:p>
    <w:p w14:paraId="3A4FDE3B">
      <w:pPr>
        <w:pStyle w:val="25"/>
        <w:numPr>
          <w:ilvl w:val="0"/>
          <w:numId w:val="0"/>
        </w:numPr>
        <w:spacing w:before="120" w:beforeLines="50" w:after="120" w:afterLines="50" w:line="360" w:lineRule="auto"/>
        <w:ind w:firstLine="480" w:firstLineChars="200"/>
        <w:rPr>
          <w:rFonts w:hint="eastAsia" w:hAnsi="宋体"/>
          <w:bCs/>
          <w:sz w:val="24"/>
          <w:szCs w:val="24"/>
          <w:highlight w:val="none"/>
        </w:rPr>
      </w:pPr>
      <w:r>
        <w:rPr>
          <w:rFonts w:hint="eastAsia" w:cs="Times New Roman"/>
          <w:bCs/>
          <w:kern w:val="2"/>
          <w:sz w:val="24"/>
          <w:szCs w:val="24"/>
          <w:highlight w:val="none"/>
          <w:lang w:val="en-US" w:eastAsia="zh-CN" w:bidi="ar-SA"/>
        </w:rPr>
        <w:t>2</w:t>
      </w:r>
      <w:r>
        <w:rPr>
          <w:rFonts w:hint="eastAsia" w:ascii="宋体" w:hAnsi="宋体" w:eastAsia="宋体" w:cs="Times New Roman"/>
          <w:bCs/>
          <w:kern w:val="2"/>
          <w:sz w:val="24"/>
          <w:szCs w:val="24"/>
          <w:highlight w:val="none"/>
          <w:lang w:val="en-US" w:eastAsia="zh-CN" w:bidi="ar-SA"/>
        </w:rPr>
        <w:t>.</w:t>
      </w:r>
      <w:r>
        <w:rPr>
          <w:rFonts w:hint="eastAsia" w:hAnsi="宋体"/>
          <w:bCs/>
          <w:sz w:val="24"/>
          <w:szCs w:val="24"/>
          <w:highlight w:val="none"/>
        </w:rPr>
        <w:t>价格分=（评标基准价/投标报价）×3</w:t>
      </w:r>
      <w:r>
        <w:rPr>
          <w:rFonts w:hint="eastAsia"/>
          <w:bCs/>
          <w:sz w:val="24"/>
          <w:szCs w:val="24"/>
          <w:highlight w:val="none"/>
          <w:lang w:val="en-US" w:eastAsia="zh-CN"/>
        </w:rPr>
        <w:t>0</w:t>
      </w:r>
      <w:r>
        <w:rPr>
          <w:rFonts w:hint="eastAsia" w:hAnsi="宋体"/>
          <w:bCs/>
          <w:sz w:val="24"/>
          <w:szCs w:val="24"/>
          <w:highlight w:val="none"/>
        </w:rPr>
        <w:t>%×100</w:t>
      </w:r>
    </w:p>
    <w:p w14:paraId="050EFB0C">
      <w:pPr>
        <w:pStyle w:val="25"/>
        <w:numPr>
          <w:ilvl w:val="0"/>
          <w:numId w:val="0"/>
        </w:numPr>
        <w:spacing w:before="120" w:beforeLines="50" w:after="120" w:afterLines="50" w:line="360" w:lineRule="auto"/>
        <w:ind w:firstLine="480" w:firstLineChars="200"/>
        <w:rPr>
          <w:rFonts w:hint="eastAsia" w:hAnsi="宋体"/>
          <w:bCs/>
          <w:sz w:val="24"/>
          <w:szCs w:val="24"/>
          <w:highlight w:val="none"/>
        </w:rPr>
      </w:pPr>
      <w:r>
        <w:rPr>
          <w:rFonts w:hint="eastAsia" w:cs="Times New Roman"/>
          <w:bCs/>
          <w:kern w:val="2"/>
          <w:sz w:val="24"/>
          <w:szCs w:val="24"/>
          <w:highlight w:val="none"/>
          <w:lang w:val="en-US" w:eastAsia="zh-CN" w:bidi="ar-SA"/>
        </w:rPr>
        <w:t>3</w:t>
      </w:r>
      <w:r>
        <w:rPr>
          <w:rFonts w:hint="eastAsia" w:hAnsi="宋体"/>
          <w:bCs/>
          <w:sz w:val="24"/>
          <w:szCs w:val="24"/>
          <w:highlight w:val="none"/>
        </w:rPr>
        <w:t>.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6509793C">
      <w:pPr>
        <w:numPr>
          <w:ilvl w:val="0"/>
          <w:numId w:val="5"/>
        </w:numPr>
        <w:spacing w:line="360" w:lineRule="auto"/>
        <w:rPr>
          <w:rFonts w:hint="eastAsia" w:ascii="宋体" w:hAnsi="宋体" w:eastAsia="宋体" w:cs="Times New Roman"/>
          <w:b/>
          <w:bCs/>
          <w:kern w:val="2"/>
          <w:sz w:val="24"/>
          <w:szCs w:val="24"/>
          <w:highlight w:val="none"/>
          <w:lang w:val="en-US" w:eastAsia="zh-CN" w:bidi="ar-SA"/>
        </w:rPr>
      </w:pPr>
      <w:r>
        <w:rPr>
          <w:rFonts w:hint="eastAsia" w:ascii="宋体" w:hAnsi="宋体" w:eastAsia="宋体" w:cs="Times New Roman"/>
          <w:b/>
          <w:bCs/>
          <w:kern w:val="2"/>
          <w:sz w:val="24"/>
          <w:szCs w:val="24"/>
          <w:highlight w:val="none"/>
          <w:lang w:val="en-US" w:eastAsia="zh-CN" w:bidi="ar-SA"/>
        </w:rPr>
        <w:t>技术、商务资信及其他分（0-</w:t>
      </w:r>
      <w:r>
        <w:rPr>
          <w:rFonts w:hint="eastAsia" w:ascii="宋体" w:hAnsi="宋体" w:cs="Times New Roman"/>
          <w:b/>
          <w:bCs/>
          <w:kern w:val="2"/>
          <w:sz w:val="24"/>
          <w:szCs w:val="24"/>
          <w:highlight w:val="none"/>
          <w:lang w:val="en-US" w:eastAsia="zh-CN" w:bidi="ar-SA"/>
        </w:rPr>
        <w:t>70</w:t>
      </w:r>
      <w:r>
        <w:rPr>
          <w:rFonts w:hint="eastAsia" w:ascii="宋体" w:hAnsi="宋体" w:eastAsia="宋体" w:cs="Times New Roman"/>
          <w:b/>
          <w:bCs/>
          <w:kern w:val="2"/>
          <w:sz w:val="24"/>
          <w:szCs w:val="24"/>
          <w:highlight w:val="none"/>
          <w:lang w:val="en-US" w:eastAsia="zh-CN" w:bidi="ar-SA"/>
        </w:rPr>
        <w:t>分）</w:t>
      </w:r>
    </w:p>
    <w:tbl>
      <w:tblPr>
        <w:tblStyle w:val="65"/>
        <w:tblW w:w="100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2"/>
        <w:gridCol w:w="517"/>
        <w:gridCol w:w="2000"/>
        <w:gridCol w:w="5103"/>
        <w:gridCol w:w="708"/>
      </w:tblGrid>
      <w:tr w14:paraId="5C1F9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4239" w:type="dxa"/>
            <w:gridSpan w:val="3"/>
            <w:vAlign w:val="center"/>
          </w:tcPr>
          <w:p w14:paraId="603E72DE">
            <w:pPr>
              <w:spacing w:line="240" w:lineRule="auto"/>
              <w:jc w:val="center"/>
              <w:rPr>
                <w:rFonts w:asciiTheme="minorEastAsia" w:hAnsiTheme="minorEastAsia"/>
                <w:sz w:val="21"/>
                <w:szCs w:val="21"/>
                <w:highlight w:val="none"/>
              </w:rPr>
            </w:pPr>
            <w:r>
              <w:rPr>
                <w:rFonts w:hint="eastAsia" w:asciiTheme="minorEastAsia" w:hAnsiTheme="minorEastAsia"/>
                <w:sz w:val="21"/>
                <w:szCs w:val="21"/>
                <w:highlight w:val="none"/>
              </w:rPr>
              <w:t>评分项目</w:t>
            </w:r>
          </w:p>
        </w:tc>
        <w:tc>
          <w:tcPr>
            <w:tcW w:w="5103" w:type="dxa"/>
            <w:vAlign w:val="center"/>
          </w:tcPr>
          <w:p w14:paraId="5A4775D3">
            <w:pPr>
              <w:spacing w:line="240" w:lineRule="auto"/>
              <w:jc w:val="center"/>
              <w:rPr>
                <w:rFonts w:asciiTheme="minorEastAsia" w:hAnsiTheme="minorEastAsia"/>
                <w:sz w:val="21"/>
                <w:szCs w:val="21"/>
                <w:highlight w:val="none"/>
              </w:rPr>
            </w:pPr>
            <w:r>
              <w:rPr>
                <w:rFonts w:hint="eastAsia" w:asciiTheme="minorEastAsia" w:hAnsiTheme="minorEastAsia"/>
                <w:sz w:val="21"/>
                <w:szCs w:val="21"/>
                <w:highlight w:val="none"/>
              </w:rPr>
              <w:t>评分标准</w:t>
            </w:r>
          </w:p>
        </w:tc>
        <w:tc>
          <w:tcPr>
            <w:tcW w:w="708" w:type="dxa"/>
            <w:vAlign w:val="center"/>
          </w:tcPr>
          <w:p w14:paraId="0F9E107D">
            <w:pPr>
              <w:spacing w:line="240" w:lineRule="auto"/>
              <w:jc w:val="center"/>
              <w:rPr>
                <w:rFonts w:hint="eastAsia" w:asciiTheme="minorEastAsia" w:hAnsiTheme="minorEastAsia"/>
                <w:sz w:val="21"/>
                <w:szCs w:val="21"/>
                <w:highlight w:val="none"/>
              </w:rPr>
            </w:pPr>
            <w:r>
              <w:rPr>
                <w:rFonts w:hint="eastAsia" w:asciiTheme="minorEastAsia" w:hAnsiTheme="minorEastAsia"/>
                <w:sz w:val="21"/>
                <w:szCs w:val="21"/>
                <w:highlight w:val="none"/>
              </w:rPr>
              <w:t>分值</w:t>
            </w:r>
          </w:p>
        </w:tc>
      </w:tr>
      <w:tr w14:paraId="61327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1722" w:type="dxa"/>
            <w:vMerge w:val="restart"/>
            <w:vAlign w:val="center"/>
          </w:tcPr>
          <w:p w14:paraId="2C25BBFF">
            <w:pPr>
              <w:spacing w:line="240" w:lineRule="auto"/>
              <w:jc w:val="center"/>
              <w:rPr>
                <w:rFonts w:asciiTheme="minorEastAsia" w:hAnsiTheme="minorEastAsia"/>
                <w:sz w:val="21"/>
                <w:szCs w:val="21"/>
                <w:highlight w:val="none"/>
              </w:rPr>
            </w:pPr>
            <w:r>
              <w:rPr>
                <w:rFonts w:hint="eastAsia" w:asciiTheme="minorEastAsia" w:hAnsiTheme="minorEastAsia"/>
                <w:sz w:val="21"/>
                <w:szCs w:val="21"/>
                <w:highlight w:val="none"/>
              </w:rPr>
              <w:t>技术分(</w:t>
            </w:r>
            <w:r>
              <w:rPr>
                <w:rFonts w:asciiTheme="minorEastAsia" w:hAnsiTheme="minorEastAsia"/>
                <w:sz w:val="21"/>
                <w:szCs w:val="21"/>
                <w:highlight w:val="none"/>
              </w:rPr>
              <w:t>6</w:t>
            </w:r>
            <w:r>
              <w:rPr>
                <w:rFonts w:hint="eastAsia" w:asciiTheme="minorEastAsia" w:hAnsiTheme="minorEastAsia"/>
                <w:sz w:val="21"/>
                <w:szCs w:val="21"/>
                <w:highlight w:val="none"/>
              </w:rPr>
              <w:t>1分)</w:t>
            </w:r>
          </w:p>
        </w:tc>
        <w:tc>
          <w:tcPr>
            <w:tcW w:w="517" w:type="dxa"/>
            <w:vAlign w:val="center"/>
          </w:tcPr>
          <w:p w14:paraId="0D782DED">
            <w:pPr>
              <w:spacing w:line="240" w:lineRule="auto"/>
              <w:jc w:val="center"/>
              <w:rPr>
                <w:rFonts w:hint="eastAsia" w:asciiTheme="minorEastAsia" w:hAnsiTheme="minorEastAsia"/>
                <w:sz w:val="21"/>
                <w:szCs w:val="21"/>
                <w:highlight w:val="none"/>
              </w:rPr>
            </w:pPr>
            <w:r>
              <w:rPr>
                <w:rFonts w:hint="eastAsia" w:asciiTheme="minorEastAsia" w:hAnsiTheme="minorEastAsia"/>
                <w:sz w:val="21"/>
                <w:szCs w:val="21"/>
                <w:highlight w:val="none"/>
              </w:rPr>
              <w:t>1</w:t>
            </w:r>
          </w:p>
        </w:tc>
        <w:tc>
          <w:tcPr>
            <w:tcW w:w="2000" w:type="dxa"/>
            <w:vAlign w:val="center"/>
          </w:tcPr>
          <w:p w14:paraId="6575AE3E">
            <w:pPr>
              <w:spacing w:line="240" w:lineRule="auto"/>
              <w:jc w:val="center"/>
              <w:rPr>
                <w:rFonts w:asciiTheme="minorEastAsia" w:hAnsiTheme="minorEastAsia"/>
                <w:sz w:val="21"/>
                <w:szCs w:val="21"/>
                <w:highlight w:val="none"/>
              </w:rPr>
            </w:pPr>
            <w:r>
              <w:rPr>
                <w:rFonts w:hint="eastAsia" w:asciiTheme="minorEastAsia" w:hAnsiTheme="minorEastAsia"/>
                <w:kern w:val="0"/>
                <w:sz w:val="21"/>
                <w:szCs w:val="21"/>
                <w:highlight w:val="none"/>
              </w:rPr>
              <w:t>满足招标货物的性能及技术指标要求（核心产品）</w:t>
            </w:r>
          </w:p>
        </w:tc>
        <w:tc>
          <w:tcPr>
            <w:tcW w:w="5103" w:type="dxa"/>
            <w:vAlign w:val="center"/>
          </w:tcPr>
          <w:p w14:paraId="6EE0E772">
            <w:pPr>
              <w:widowControl/>
              <w:adjustRightInd w:val="0"/>
              <w:snapToGrid w:val="0"/>
              <w:spacing w:line="240" w:lineRule="auto"/>
              <w:textAlignment w:val="center"/>
              <w:rPr>
                <w:rFonts w:asciiTheme="minorEastAsia" w:hAnsiTheme="minorEastAsia"/>
                <w:sz w:val="21"/>
                <w:szCs w:val="21"/>
                <w:highlight w:val="none"/>
              </w:rPr>
            </w:pPr>
            <w:r>
              <w:rPr>
                <w:rFonts w:hint="eastAsia" w:asciiTheme="minorEastAsia" w:hAnsiTheme="minorEastAsia"/>
                <w:bCs/>
                <w:sz w:val="21"/>
                <w:szCs w:val="21"/>
                <w:highlight w:val="none"/>
              </w:rPr>
              <w:t>满足核心产品的参数技术指标，满足</w:t>
            </w:r>
            <w:r>
              <w:rPr>
                <w:rFonts w:hint="eastAsia" w:asciiTheme="minorEastAsia" w:hAnsiTheme="minorEastAsia"/>
                <w:bCs/>
                <w:sz w:val="21"/>
                <w:szCs w:val="21"/>
                <w:highlight w:val="none"/>
                <w:lang w:val="en-US" w:eastAsia="zh-CN"/>
              </w:rPr>
              <w:t>的得5分</w:t>
            </w:r>
            <w:r>
              <w:rPr>
                <w:rFonts w:hint="eastAsia" w:asciiTheme="minorEastAsia" w:hAnsiTheme="minorEastAsia"/>
                <w:bCs/>
                <w:sz w:val="21"/>
                <w:szCs w:val="21"/>
                <w:highlight w:val="none"/>
              </w:rPr>
              <w:t>；不满足不得分。</w:t>
            </w:r>
          </w:p>
        </w:tc>
        <w:tc>
          <w:tcPr>
            <w:tcW w:w="708" w:type="dxa"/>
            <w:vAlign w:val="center"/>
          </w:tcPr>
          <w:p w14:paraId="6B33DC2C">
            <w:pPr>
              <w:spacing w:line="240" w:lineRule="auto"/>
              <w:jc w:val="center"/>
              <w:rPr>
                <w:rFonts w:hint="eastAsia" w:eastAsia="宋体" w:asciiTheme="minorEastAsia" w:hAnsiTheme="minorEastAsia"/>
                <w:kern w:val="0"/>
                <w:sz w:val="21"/>
                <w:szCs w:val="21"/>
                <w:highlight w:val="none"/>
                <w:lang w:eastAsia="zh-CN"/>
              </w:rPr>
            </w:pPr>
            <w:r>
              <w:rPr>
                <w:rFonts w:hint="eastAsia" w:asciiTheme="minorEastAsia" w:hAnsiTheme="minorEastAsia"/>
                <w:kern w:val="0"/>
                <w:sz w:val="21"/>
                <w:szCs w:val="21"/>
                <w:highlight w:val="none"/>
                <w:lang w:val="en-US" w:eastAsia="zh-CN"/>
              </w:rPr>
              <w:t>5</w:t>
            </w:r>
          </w:p>
        </w:tc>
      </w:tr>
      <w:tr w14:paraId="237F8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1722" w:type="dxa"/>
            <w:vMerge w:val="continue"/>
            <w:vAlign w:val="center"/>
          </w:tcPr>
          <w:p w14:paraId="4F7E509F">
            <w:pPr>
              <w:spacing w:line="240" w:lineRule="auto"/>
              <w:jc w:val="center"/>
              <w:rPr>
                <w:rFonts w:asciiTheme="minorEastAsia" w:hAnsiTheme="minorEastAsia"/>
                <w:sz w:val="21"/>
                <w:szCs w:val="21"/>
                <w:highlight w:val="none"/>
              </w:rPr>
            </w:pPr>
          </w:p>
        </w:tc>
        <w:tc>
          <w:tcPr>
            <w:tcW w:w="517" w:type="dxa"/>
            <w:vAlign w:val="center"/>
          </w:tcPr>
          <w:p w14:paraId="507445E4">
            <w:pPr>
              <w:spacing w:line="240" w:lineRule="auto"/>
              <w:jc w:val="center"/>
              <w:rPr>
                <w:rFonts w:hint="eastAsia" w:asciiTheme="minorEastAsia" w:hAnsiTheme="minorEastAsia"/>
                <w:sz w:val="21"/>
                <w:szCs w:val="21"/>
                <w:highlight w:val="none"/>
              </w:rPr>
            </w:pPr>
            <w:r>
              <w:rPr>
                <w:rFonts w:hint="eastAsia" w:asciiTheme="minorEastAsia" w:hAnsiTheme="minorEastAsia"/>
                <w:sz w:val="21"/>
                <w:szCs w:val="21"/>
                <w:highlight w:val="none"/>
              </w:rPr>
              <w:t>2</w:t>
            </w:r>
          </w:p>
        </w:tc>
        <w:tc>
          <w:tcPr>
            <w:tcW w:w="2000" w:type="dxa"/>
            <w:vAlign w:val="center"/>
          </w:tcPr>
          <w:p w14:paraId="55A9B777">
            <w:pPr>
              <w:spacing w:line="240" w:lineRule="auto"/>
              <w:jc w:val="center"/>
              <w:rPr>
                <w:rFonts w:asciiTheme="minorEastAsia" w:hAnsiTheme="minorEastAsia"/>
                <w:sz w:val="21"/>
                <w:szCs w:val="21"/>
                <w:highlight w:val="none"/>
              </w:rPr>
            </w:pPr>
            <w:r>
              <w:rPr>
                <w:rFonts w:hint="eastAsia" w:asciiTheme="minorEastAsia" w:hAnsiTheme="minorEastAsia"/>
                <w:kern w:val="0"/>
                <w:sz w:val="21"/>
                <w:szCs w:val="21"/>
                <w:highlight w:val="none"/>
              </w:rPr>
              <w:t>满足招标货物的性能及技术指标要求（非核心产品）</w:t>
            </w:r>
          </w:p>
        </w:tc>
        <w:tc>
          <w:tcPr>
            <w:tcW w:w="5103" w:type="dxa"/>
            <w:vAlign w:val="center"/>
          </w:tcPr>
          <w:p w14:paraId="00BFAFAD">
            <w:pPr>
              <w:pStyle w:val="3"/>
              <w:keepNext/>
              <w:keepLines/>
              <w:pageBreakBefore w:val="0"/>
              <w:widowControl w:val="0"/>
              <w:kinsoku/>
              <w:wordWrap/>
              <w:overflowPunct/>
              <w:topLinePunct w:val="0"/>
              <w:autoSpaceDE/>
              <w:autoSpaceDN/>
              <w:bidi w:val="0"/>
              <w:adjustRightInd/>
              <w:snapToGrid/>
              <w:spacing w:line="240" w:lineRule="auto"/>
              <w:ind w:left="0" w:firstLine="0"/>
              <w:textAlignment w:val="auto"/>
              <w:rPr>
                <w:rFonts w:asciiTheme="minorEastAsia" w:hAnsiTheme="minorEastAsia" w:eastAsiaTheme="minorEastAsia"/>
                <w:b w:val="0"/>
                <w:sz w:val="21"/>
                <w:szCs w:val="21"/>
                <w:highlight w:val="none"/>
              </w:rPr>
            </w:pPr>
            <w:r>
              <w:rPr>
                <w:rFonts w:hint="eastAsia" w:cs="宋体" w:asciiTheme="minorEastAsia" w:hAnsiTheme="minorEastAsia" w:eastAsiaTheme="minorEastAsia"/>
                <w:b w:val="0"/>
                <w:bCs w:val="0"/>
                <w:sz w:val="21"/>
                <w:szCs w:val="21"/>
                <w:highlight w:val="none"/>
              </w:rPr>
              <w:t>采购需求非核心产品：高清摄像机、数字音频矩阵、教师中控条案等，合计7</w:t>
            </w:r>
            <w:r>
              <w:rPr>
                <w:rFonts w:cs="宋体" w:asciiTheme="minorEastAsia" w:hAnsiTheme="minorEastAsia" w:eastAsiaTheme="minorEastAsia"/>
                <w:b w:val="0"/>
                <w:bCs w:val="0"/>
                <w:sz w:val="21"/>
                <w:szCs w:val="21"/>
                <w:highlight w:val="none"/>
              </w:rPr>
              <w:t>7项</w:t>
            </w:r>
            <w:r>
              <w:rPr>
                <w:rFonts w:hint="eastAsia" w:cs="宋体" w:asciiTheme="minorEastAsia" w:hAnsiTheme="minorEastAsia" w:eastAsiaTheme="minorEastAsia"/>
                <w:b w:val="0"/>
                <w:bCs w:val="0"/>
                <w:sz w:val="21"/>
                <w:szCs w:val="21"/>
                <w:highlight w:val="none"/>
              </w:rPr>
              <w:t>，所有功能、性能及技术指标满足要求的共得</w:t>
            </w:r>
            <w:r>
              <w:rPr>
                <w:rFonts w:hint="eastAsia" w:cs="宋体" w:asciiTheme="minorEastAsia" w:hAnsiTheme="minorEastAsia" w:eastAsiaTheme="minorEastAsia"/>
                <w:b w:val="0"/>
                <w:bCs w:val="0"/>
                <w:sz w:val="21"/>
                <w:szCs w:val="21"/>
                <w:highlight w:val="none"/>
                <w:lang w:val="en-US" w:eastAsia="zh-CN"/>
              </w:rPr>
              <w:t>5</w:t>
            </w:r>
            <w:r>
              <w:rPr>
                <w:rFonts w:hint="eastAsia" w:cs="宋体" w:asciiTheme="minorEastAsia" w:hAnsiTheme="minorEastAsia" w:eastAsiaTheme="minorEastAsia"/>
                <w:b w:val="0"/>
                <w:bCs w:val="0"/>
                <w:sz w:val="21"/>
                <w:szCs w:val="21"/>
                <w:highlight w:val="none"/>
              </w:rPr>
              <w:t>分，</w:t>
            </w:r>
            <w:r>
              <w:rPr>
                <w:rFonts w:hint="eastAsia" w:cs="宋体" w:asciiTheme="minorEastAsia" w:hAnsiTheme="minorEastAsia" w:eastAsiaTheme="minorEastAsia"/>
                <w:b w:val="0"/>
                <w:bCs w:val="0"/>
                <w:sz w:val="21"/>
                <w:szCs w:val="21"/>
                <w:highlight w:val="none"/>
                <w:lang w:val="en-US" w:eastAsia="zh-CN"/>
              </w:rPr>
              <w:t>不满足</w:t>
            </w:r>
            <w:r>
              <w:rPr>
                <w:rFonts w:hint="eastAsia" w:cs="宋体" w:asciiTheme="minorEastAsia" w:hAnsiTheme="minorEastAsia" w:eastAsiaTheme="minorEastAsia"/>
                <w:b w:val="0"/>
                <w:bCs w:val="0"/>
                <w:sz w:val="21"/>
                <w:szCs w:val="21"/>
                <w:highlight w:val="none"/>
              </w:rPr>
              <w:t>不得分。</w:t>
            </w:r>
          </w:p>
        </w:tc>
        <w:tc>
          <w:tcPr>
            <w:tcW w:w="708" w:type="dxa"/>
            <w:vAlign w:val="center"/>
          </w:tcPr>
          <w:p w14:paraId="04796D56">
            <w:pPr>
              <w:spacing w:line="240" w:lineRule="auto"/>
              <w:jc w:val="center"/>
              <w:rPr>
                <w:rFonts w:hint="eastAsia" w:eastAsia="宋体" w:asciiTheme="minorEastAsia" w:hAnsiTheme="minorEastAsia"/>
                <w:kern w:val="0"/>
                <w:sz w:val="21"/>
                <w:szCs w:val="21"/>
                <w:highlight w:val="none"/>
                <w:lang w:eastAsia="zh-CN"/>
              </w:rPr>
            </w:pPr>
            <w:r>
              <w:rPr>
                <w:rFonts w:hint="eastAsia" w:asciiTheme="minorEastAsia" w:hAnsiTheme="minorEastAsia"/>
                <w:kern w:val="0"/>
                <w:sz w:val="21"/>
                <w:szCs w:val="21"/>
                <w:highlight w:val="none"/>
                <w:lang w:val="en-US" w:eastAsia="zh-CN"/>
              </w:rPr>
              <w:t>5</w:t>
            </w:r>
          </w:p>
        </w:tc>
      </w:tr>
      <w:tr w14:paraId="6A46F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22" w:type="dxa"/>
            <w:vMerge w:val="continue"/>
            <w:vAlign w:val="center"/>
          </w:tcPr>
          <w:p w14:paraId="02DF6E9B">
            <w:pPr>
              <w:spacing w:line="240" w:lineRule="auto"/>
              <w:jc w:val="center"/>
              <w:rPr>
                <w:rFonts w:asciiTheme="minorEastAsia" w:hAnsiTheme="minorEastAsia"/>
                <w:sz w:val="21"/>
                <w:szCs w:val="21"/>
                <w:highlight w:val="none"/>
              </w:rPr>
            </w:pPr>
          </w:p>
        </w:tc>
        <w:tc>
          <w:tcPr>
            <w:tcW w:w="517" w:type="dxa"/>
            <w:vAlign w:val="center"/>
          </w:tcPr>
          <w:p w14:paraId="42E77364">
            <w:pPr>
              <w:spacing w:line="240" w:lineRule="auto"/>
              <w:jc w:val="center"/>
              <w:rPr>
                <w:rFonts w:hint="eastAsia" w:asciiTheme="minorEastAsia" w:hAnsiTheme="minorEastAsia"/>
                <w:sz w:val="21"/>
                <w:szCs w:val="21"/>
                <w:highlight w:val="none"/>
              </w:rPr>
            </w:pPr>
            <w:r>
              <w:rPr>
                <w:rFonts w:hint="eastAsia" w:asciiTheme="minorEastAsia" w:hAnsiTheme="minorEastAsia"/>
                <w:sz w:val="21"/>
                <w:szCs w:val="21"/>
                <w:highlight w:val="none"/>
              </w:rPr>
              <w:t>3</w:t>
            </w:r>
          </w:p>
        </w:tc>
        <w:tc>
          <w:tcPr>
            <w:tcW w:w="2000" w:type="dxa"/>
            <w:vAlign w:val="center"/>
          </w:tcPr>
          <w:p w14:paraId="6CA46FEF">
            <w:pPr>
              <w:widowControl/>
              <w:adjustRightInd w:val="0"/>
              <w:snapToGrid w:val="0"/>
              <w:spacing w:line="240" w:lineRule="auto"/>
              <w:jc w:val="center"/>
              <w:textAlignment w:val="center"/>
              <w:rPr>
                <w:rFonts w:asciiTheme="minorEastAsia" w:hAnsiTheme="minorEastAsia"/>
                <w:kern w:val="0"/>
                <w:sz w:val="21"/>
                <w:szCs w:val="21"/>
                <w:highlight w:val="none"/>
              </w:rPr>
            </w:pPr>
            <w:r>
              <w:rPr>
                <w:rFonts w:hint="eastAsia" w:asciiTheme="minorEastAsia" w:hAnsiTheme="minorEastAsia"/>
                <w:kern w:val="0"/>
                <w:sz w:val="21"/>
                <w:szCs w:val="21"/>
                <w:highlight w:val="none"/>
              </w:rPr>
              <w:t>系统集成方案</w:t>
            </w:r>
          </w:p>
        </w:tc>
        <w:tc>
          <w:tcPr>
            <w:tcW w:w="5103" w:type="dxa"/>
            <w:vAlign w:val="center"/>
          </w:tcPr>
          <w:p w14:paraId="6FCE6F0F">
            <w:pPr>
              <w:widowControl/>
              <w:adjustRightInd w:val="0"/>
              <w:snapToGrid w:val="0"/>
              <w:spacing w:line="240" w:lineRule="auto"/>
              <w:textAlignment w:val="center"/>
              <w:rPr>
                <w:rFonts w:hint="eastAsia" w:asciiTheme="minorEastAsia" w:hAnsiTheme="minorEastAsia"/>
                <w:kern w:val="0"/>
                <w:sz w:val="21"/>
                <w:szCs w:val="21"/>
                <w:highlight w:val="none"/>
              </w:rPr>
            </w:pPr>
            <w:r>
              <w:rPr>
                <w:rFonts w:hint="eastAsia" w:asciiTheme="minorEastAsia" w:hAnsiTheme="minorEastAsia"/>
                <w:kern w:val="0"/>
                <w:sz w:val="21"/>
                <w:szCs w:val="21"/>
                <w:highlight w:val="none"/>
              </w:rPr>
              <w:t>根据</w:t>
            </w:r>
            <w:r>
              <w:rPr>
                <w:rFonts w:asciiTheme="minorEastAsia" w:hAnsiTheme="minorEastAsia"/>
                <w:kern w:val="0"/>
                <w:sz w:val="21"/>
                <w:szCs w:val="21"/>
                <w:highlight w:val="none"/>
              </w:rPr>
              <w:t>供应</w:t>
            </w:r>
            <w:r>
              <w:rPr>
                <w:rFonts w:hint="eastAsia" w:asciiTheme="minorEastAsia" w:hAnsiTheme="minorEastAsia"/>
                <w:kern w:val="0"/>
                <w:sz w:val="21"/>
                <w:szCs w:val="21"/>
                <w:highlight w:val="none"/>
              </w:rPr>
              <w:t>商提供</w:t>
            </w:r>
            <w:r>
              <w:rPr>
                <w:rFonts w:asciiTheme="minorEastAsia" w:hAnsiTheme="minorEastAsia"/>
                <w:kern w:val="0"/>
                <w:sz w:val="21"/>
                <w:szCs w:val="21"/>
                <w:highlight w:val="none"/>
              </w:rPr>
              <w:t>的</w:t>
            </w:r>
            <w:r>
              <w:rPr>
                <w:rFonts w:hint="eastAsia" w:asciiTheme="minorEastAsia" w:hAnsiTheme="minorEastAsia"/>
                <w:kern w:val="0"/>
                <w:sz w:val="21"/>
                <w:szCs w:val="21"/>
                <w:highlight w:val="none"/>
              </w:rPr>
              <w:t>系统集成方案</w:t>
            </w:r>
            <w:r>
              <w:rPr>
                <w:rFonts w:asciiTheme="minorEastAsia" w:hAnsiTheme="minorEastAsia"/>
                <w:kern w:val="0"/>
                <w:sz w:val="21"/>
                <w:szCs w:val="21"/>
                <w:highlight w:val="none"/>
              </w:rPr>
              <w:t>进行评审</w:t>
            </w:r>
            <w:r>
              <w:rPr>
                <w:rFonts w:hint="eastAsia" w:asciiTheme="minorEastAsia" w:hAnsiTheme="minorEastAsia"/>
                <w:kern w:val="0"/>
                <w:sz w:val="21"/>
                <w:szCs w:val="21"/>
                <w:highlight w:val="none"/>
              </w:rPr>
              <w:t>，得0-</w:t>
            </w:r>
            <w:r>
              <w:rPr>
                <w:rFonts w:hint="eastAsia" w:asciiTheme="minorEastAsia" w:hAnsiTheme="minorEastAsia"/>
                <w:kern w:val="0"/>
                <w:sz w:val="21"/>
                <w:szCs w:val="21"/>
                <w:highlight w:val="none"/>
                <w:lang w:val="en-US" w:eastAsia="zh-CN"/>
              </w:rPr>
              <w:t>8</w:t>
            </w:r>
            <w:r>
              <w:rPr>
                <w:rFonts w:hint="eastAsia" w:asciiTheme="minorEastAsia" w:hAnsiTheme="minorEastAsia"/>
                <w:kern w:val="0"/>
                <w:sz w:val="21"/>
                <w:szCs w:val="21"/>
                <w:highlight w:val="none"/>
              </w:rPr>
              <w:t>分</w:t>
            </w:r>
          </w:p>
        </w:tc>
        <w:tc>
          <w:tcPr>
            <w:tcW w:w="708" w:type="dxa"/>
            <w:vAlign w:val="center"/>
          </w:tcPr>
          <w:p w14:paraId="40796C9A">
            <w:pPr>
              <w:spacing w:line="240" w:lineRule="auto"/>
              <w:jc w:val="center"/>
              <w:rPr>
                <w:rFonts w:hint="eastAsia" w:eastAsia="宋体" w:asciiTheme="minorEastAsia" w:hAnsiTheme="minorEastAsia"/>
                <w:sz w:val="21"/>
                <w:szCs w:val="21"/>
                <w:highlight w:val="none"/>
                <w:lang w:val="en" w:eastAsia="zh-CN"/>
              </w:rPr>
            </w:pPr>
            <w:r>
              <w:rPr>
                <w:rFonts w:hint="eastAsia" w:asciiTheme="minorEastAsia" w:hAnsiTheme="minorEastAsia"/>
                <w:kern w:val="0"/>
                <w:sz w:val="21"/>
                <w:szCs w:val="21"/>
                <w:highlight w:val="none"/>
                <w:lang w:val="en-US" w:eastAsia="zh-CN"/>
              </w:rPr>
              <w:t>8</w:t>
            </w:r>
          </w:p>
        </w:tc>
      </w:tr>
      <w:tr w14:paraId="6F1B7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22" w:type="dxa"/>
            <w:vMerge w:val="continue"/>
            <w:vAlign w:val="center"/>
          </w:tcPr>
          <w:p w14:paraId="217F5D39">
            <w:pPr>
              <w:spacing w:line="240" w:lineRule="auto"/>
              <w:jc w:val="center"/>
              <w:rPr>
                <w:rFonts w:asciiTheme="minorEastAsia" w:hAnsiTheme="minorEastAsia"/>
                <w:sz w:val="21"/>
                <w:szCs w:val="21"/>
                <w:highlight w:val="none"/>
              </w:rPr>
            </w:pPr>
          </w:p>
        </w:tc>
        <w:tc>
          <w:tcPr>
            <w:tcW w:w="517" w:type="dxa"/>
            <w:vAlign w:val="center"/>
          </w:tcPr>
          <w:p w14:paraId="56CE6980">
            <w:pPr>
              <w:spacing w:line="240" w:lineRule="auto"/>
              <w:jc w:val="center"/>
              <w:rPr>
                <w:rFonts w:hint="eastAsia" w:asciiTheme="minorEastAsia" w:hAnsiTheme="minorEastAsia"/>
                <w:sz w:val="21"/>
                <w:szCs w:val="21"/>
                <w:highlight w:val="none"/>
              </w:rPr>
            </w:pPr>
            <w:r>
              <w:rPr>
                <w:rFonts w:hint="eastAsia" w:asciiTheme="minorEastAsia" w:hAnsiTheme="minorEastAsia"/>
                <w:sz w:val="21"/>
                <w:szCs w:val="21"/>
                <w:highlight w:val="none"/>
              </w:rPr>
              <w:t>4</w:t>
            </w:r>
          </w:p>
        </w:tc>
        <w:tc>
          <w:tcPr>
            <w:tcW w:w="2000" w:type="dxa"/>
            <w:vAlign w:val="center"/>
          </w:tcPr>
          <w:p w14:paraId="325EDA9E">
            <w:pPr>
              <w:widowControl/>
              <w:adjustRightInd w:val="0"/>
              <w:snapToGrid w:val="0"/>
              <w:spacing w:line="240" w:lineRule="auto"/>
              <w:jc w:val="center"/>
              <w:textAlignment w:val="center"/>
              <w:rPr>
                <w:rFonts w:hint="eastAsia" w:asciiTheme="minorEastAsia" w:hAnsiTheme="minorEastAsia"/>
                <w:kern w:val="0"/>
                <w:sz w:val="21"/>
                <w:szCs w:val="21"/>
                <w:highlight w:val="none"/>
              </w:rPr>
            </w:pPr>
            <w:r>
              <w:rPr>
                <w:rFonts w:hint="eastAsia" w:asciiTheme="minorEastAsia" w:hAnsiTheme="minorEastAsia"/>
                <w:kern w:val="0"/>
                <w:sz w:val="21"/>
                <w:szCs w:val="21"/>
                <w:highlight w:val="none"/>
              </w:rPr>
              <w:t>设计、供货、安装、调试方案</w:t>
            </w:r>
          </w:p>
        </w:tc>
        <w:tc>
          <w:tcPr>
            <w:tcW w:w="5103" w:type="dxa"/>
            <w:vAlign w:val="center"/>
          </w:tcPr>
          <w:p w14:paraId="7A522130">
            <w:pPr>
              <w:widowControl/>
              <w:adjustRightInd w:val="0"/>
              <w:snapToGrid w:val="0"/>
              <w:spacing w:line="240" w:lineRule="auto"/>
              <w:textAlignment w:val="center"/>
              <w:rPr>
                <w:rFonts w:hint="eastAsia" w:asciiTheme="minorEastAsia" w:hAnsiTheme="minorEastAsia"/>
                <w:kern w:val="0"/>
                <w:sz w:val="21"/>
                <w:szCs w:val="21"/>
                <w:highlight w:val="none"/>
              </w:rPr>
            </w:pPr>
            <w:r>
              <w:rPr>
                <w:rFonts w:hint="eastAsia" w:asciiTheme="minorEastAsia" w:hAnsiTheme="minorEastAsia"/>
                <w:kern w:val="0"/>
                <w:sz w:val="21"/>
                <w:szCs w:val="21"/>
                <w:highlight w:val="none"/>
              </w:rPr>
              <w:t>根据供应商提供设计、供货、安装、调试方案进行</w:t>
            </w:r>
            <w:r>
              <w:rPr>
                <w:rFonts w:asciiTheme="minorEastAsia" w:hAnsiTheme="minorEastAsia"/>
                <w:kern w:val="0"/>
                <w:sz w:val="21"/>
                <w:szCs w:val="21"/>
                <w:highlight w:val="none"/>
              </w:rPr>
              <w:t>评审</w:t>
            </w:r>
            <w:r>
              <w:rPr>
                <w:rFonts w:hint="eastAsia" w:asciiTheme="minorEastAsia" w:hAnsiTheme="minorEastAsia"/>
                <w:kern w:val="0"/>
                <w:sz w:val="21"/>
                <w:szCs w:val="21"/>
                <w:highlight w:val="none"/>
              </w:rPr>
              <w:t>，得0-</w:t>
            </w:r>
            <w:r>
              <w:rPr>
                <w:rFonts w:hint="eastAsia" w:asciiTheme="minorEastAsia" w:hAnsiTheme="minorEastAsia"/>
                <w:kern w:val="0"/>
                <w:sz w:val="21"/>
                <w:szCs w:val="21"/>
                <w:highlight w:val="none"/>
                <w:lang w:val="en-US" w:eastAsia="zh-CN"/>
              </w:rPr>
              <w:t>8</w:t>
            </w:r>
            <w:r>
              <w:rPr>
                <w:rFonts w:hint="eastAsia" w:asciiTheme="minorEastAsia" w:hAnsiTheme="minorEastAsia"/>
                <w:kern w:val="0"/>
                <w:sz w:val="21"/>
                <w:szCs w:val="21"/>
                <w:highlight w:val="none"/>
              </w:rPr>
              <w:t>分。</w:t>
            </w:r>
          </w:p>
        </w:tc>
        <w:tc>
          <w:tcPr>
            <w:tcW w:w="708" w:type="dxa"/>
            <w:vAlign w:val="center"/>
          </w:tcPr>
          <w:p w14:paraId="639FD158">
            <w:pPr>
              <w:spacing w:line="240" w:lineRule="auto"/>
              <w:jc w:val="center"/>
              <w:rPr>
                <w:rFonts w:hint="eastAsia" w:eastAsia="宋体" w:asciiTheme="minorEastAsia" w:hAnsiTheme="minorEastAsia"/>
                <w:sz w:val="21"/>
                <w:szCs w:val="21"/>
                <w:highlight w:val="none"/>
                <w:lang w:val="en" w:eastAsia="zh-CN"/>
              </w:rPr>
            </w:pPr>
            <w:r>
              <w:rPr>
                <w:rFonts w:hint="eastAsia" w:asciiTheme="minorEastAsia" w:hAnsiTheme="minorEastAsia"/>
                <w:sz w:val="21"/>
                <w:szCs w:val="21"/>
                <w:highlight w:val="none"/>
                <w:lang w:val="en-US" w:eastAsia="zh-CN"/>
              </w:rPr>
              <w:t>8</w:t>
            </w:r>
          </w:p>
        </w:tc>
      </w:tr>
      <w:tr w14:paraId="73CDD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22" w:type="dxa"/>
            <w:vMerge w:val="continue"/>
            <w:vAlign w:val="center"/>
          </w:tcPr>
          <w:p w14:paraId="3AB37421">
            <w:pPr>
              <w:spacing w:line="240" w:lineRule="auto"/>
              <w:jc w:val="center"/>
              <w:rPr>
                <w:rFonts w:asciiTheme="minorEastAsia" w:hAnsiTheme="minorEastAsia"/>
                <w:sz w:val="21"/>
                <w:szCs w:val="21"/>
                <w:highlight w:val="none"/>
              </w:rPr>
            </w:pPr>
          </w:p>
        </w:tc>
        <w:tc>
          <w:tcPr>
            <w:tcW w:w="517" w:type="dxa"/>
            <w:vAlign w:val="center"/>
          </w:tcPr>
          <w:p w14:paraId="11178E44">
            <w:pPr>
              <w:widowControl/>
              <w:adjustRightInd w:val="0"/>
              <w:snapToGrid w:val="0"/>
              <w:spacing w:line="240" w:lineRule="auto"/>
              <w:jc w:val="center"/>
              <w:textAlignment w:val="center"/>
              <w:rPr>
                <w:rFonts w:hint="eastAsia" w:asciiTheme="minorEastAsia" w:hAnsiTheme="minorEastAsia"/>
                <w:bCs/>
                <w:sz w:val="21"/>
                <w:szCs w:val="21"/>
                <w:highlight w:val="none"/>
              </w:rPr>
            </w:pPr>
            <w:r>
              <w:rPr>
                <w:rFonts w:hint="eastAsia" w:asciiTheme="minorEastAsia" w:hAnsiTheme="minorEastAsia"/>
                <w:bCs/>
                <w:sz w:val="21"/>
                <w:szCs w:val="21"/>
                <w:highlight w:val="none"/>
              </w:rPr>
              <w:t>5</w:t>
            </w:r>
          </w:p>
        </w:tc>
        <w:tc>
          <w:tcPr>
            <w:tcW w:w="2000" w:type="dxa"/>
            <w:vAlign w:val="center"/>
          </w:tcPr>
          <w:p w14:paraId="0B2C047E">
            <w:pPr>
              <w:widowControl/>
              <w:adjustRightInd w:val="0"/>
              <w:snapToGrid w:val="0"/>
              <w:spacing w:line="240" w:lineRule="auto"/>
              <w:jc w:val="center"/>
              <w:textAlignment w:val="center"/>
              <w:rPr>
                <w:rFonts w:hint="eastAsia" w:asciiTheme="minorEastAsia" w:hAnsiTheme="minorEastAsia"/>
                <w:bCs/>
                <w:sz w:val="21"/>
                <w:szCs w:val="21"/>
                <w:highlight w:val="none"/>
              </w:rPr>
            </w:pPr>
            <w:r>
              <w:rPr>
                <w:rFonts w:hint="eastAsia" w:asciiTheme="minorEastAsia" w:hAnsiTheme="minorEastAsia"/>
                <w:bCs/>
                <w:sz w:val="21"/>
                <w:szCs w:val="21"/>
                <w:highlight w:val="none"/>
              </w:rPr>
              <w:t>演示</w:t>
            </w:r>
          </w:p>
        </w:tc>
        <w:tc>
          <w:tcPr>
            <w:tcW w:w="5103" w:type="dxa"/>
            <w:vAlign w:val="center"/>
          </w:tcPr>
          <w:p w14:paraId="57A015A4">
            <w:pPr>
              <w:widowControl/>
              <w:adjustRightInd w:val="0"/>
              <w:snapToGrid w:val="0"/>
              <w:spacing w:line="240" w:lineRule="auto"/>
              <w:textAlignment w:val="center"/>
              <w:rPr>
                <w:rFonts w:asciiTheme="minorEastAsia" w:hAnsiTheme="minorEastAsia"/>
                <w:bCs/>
                <w:sz w:val="21"/>
                <w:szCs w:val="21"/>
                <w:highlight w:val="none"/>
              </w:rPr>
            </w:pPr>
            <w:r>
              <w:rPr>
                <w:rFonts w:hint="eastAsia" w:asciiTheme="minorEastAsia" w:hAnsiTheme="minorEastAsia"/>
                <w:bCs/>
                <w:sz w:val="21"/>
                <w:szCs w:val="21"/>
                <w:highlight w:val="none"/>
              </w:rPr>
              <w:t>演示时间控制在10分钟以内；不演示本项不得分。</w:t>
            </w:r>
          </w:p>
          <w:p w14:paraId="3BBC763D">
            <w:pPr>
              <w:widowControl/>
              <w:adjustRightInd w:val="0"/>
              <w:snapToGrid w:val="0"/>
              <w:spacing w:line="240" w:lineRule="auto"/>
              <w:textAlignment w:val="center"/>
              <w:rPr>
                <w:rFonts w:hint="eastAsia" w:asciiTheme="minorEastAsia" w:hAnsiTheme="minorEastAsia"/>
                <w:bCs/>
                <w:sz w:val="21"/>
                <w:szCs w:val="21"/>
                <w:highlight w:val="none"/>
              </w:rPr>
            </w:pPr>
            <w:r>
              <w:rPr>
                <w:rFonts w:asciiTheme="minorEastAsia" w:hAnsiTheme="minorEastAsia"/>
                <w:bCs/>
                <w:sz w:val="21"/>
                <w:szCs w:val="21"/>
                <w:highlight w:val="none"/>
              </w:rPr>
              <w:t>一、录播教室：</w:t>
            </w:r>
          </w:p>
          <w:p w14:paraId="54A9314E">
            <w:pPr>
              <w:widowControl/>
              <w:adjustRightInd w:val="0"/>
              <w:snapToGrid w:val="0"/>
              <w:spacing w:line="240" w:lineRule="auto"/>
              <w:textAlignment w:val="center"/>
              <w:rPr>
                <w:rFonts w:asciiTheme="minorEastAsia" w:hAnsiTheme="minorEastAsia"/>
                <w:bCs/>
                <w:sz w:val="21"/>
                <w:szCs w:val="21"/>
                <w:highlight w:val="none"/>
              </w:rPr>
            </w:pPr>
            <w:r>
              <w:rPr>
                <w:rFonts w:hint="eastAsia" w:asciiTheme="minorEastAsia" w:hAnsiTheme="minorEastAsia"/>
                <w:bCs/>
                <w:sz w:val="21"/>
                <w:szCs w:val="21"/>
                <w:highlight w:val="none"/>
              </w:rPr>
              <w:t>1、同步课堂平台：要求新建的同步课堂需兼容区域内原有同步课堂系统，实现任意一对一或一对多的城乡帮扶教学活动。演示满足功能的得</w:t>
            </w:r>
            <w:r>
              <w:rPr>
                <w:rFonts w:hint="eastAsia" w:asciiTheme="minorEastAsia" w:hAnsiTheme="minorEastAsia"/>
                <w:bCs/>
                <w:sz w:val="21"/>
                <w:szCs w:val="21"/>
                <w:highlight w:val="none"/>
                <w:lang w:val="en-US" w:eastAsia="zh-CN"/>
              </w:rPr>
              <w:t>1</w:t>
            </w:r>
            <w:r>
              <w:rPr>
                <w:rFonts w:hint="eastAsia" w:asciiTheme="minorEastAsia" w:hAnsiTheme="minorEastAsia"/>
                <w:bCs/>
                <w:sz w:val="21"/>
                <w:szCs w:val="21"/>
                <w:highlight w:val="none"/>
              </w:rPr>
              <w:t>分，不满足或者不演示的得0分。</w:t>
            </w:r>
          </w:p>
          <w:p w14:paraId="38A4EBD2">
            <w:pPr>
              <w:widowControl/>
              <w:adjustRightInd w:val="0"/>
              <w:snapToGrid w:val="0"/>
              <w:spacing w:line="240" w:lineRule="auto"/>
              <w:textAlignment w:val="center"/>
              <w:rPr>
                <w:rFonts w:asciiTheme="minorEastAsia" w:hAnsiTheme="minorEastAsia"/>
                <w:bCs/>
                <w:sz w:val="21"/>
                <w:szCs w:val="21"/>
                <w:highlight w:val="none"/>
              </w:rPr>
            </w:pPr>
            <w:r>
              <w:rPr>
                <w:rFonts w:asciiTheme="minorEastAsia" w:hAnsiTheme="minorEastAsia"/>
                <w:bCs/>
                <w:sz w:val="21"/>
                <w:szCs w:val="21"/>
                <w:highlight w:val="none"/>
              </w:rPr>
              <w:t>2、</w:t>
            </w:r>
            <w:r>
              <w:rPr>
                <w:rFonts w:hint="eastAsia" w:asciiTheme="minorEastAsia" w:hAnsiTheme="minorEastAsia"/>
                <w:bCs/>
                <w:sz w:val="21"/>
                <w:szCs w:val="21"/>
                <w:highlight w:val="none"/>
              </w:rPr>
              <w:t>自动上传对接：新建同步课堂教室系统录制的视频文件须与原有平台进行无缝对接，实现FTP上传功能。演示满足功能的得</w:t>
            </w:r>
            <w:r>
              <w:rPr>
                <w:rFonts w:hint="eastAsia" w:asciiTheme="minorEastAsia" w:hAnsiTheme="minorEastAsia"/>
                <w:bCs/>
                <w:sz w:val="21"/>
                <w:szCs w:val="21"/>
                <w:highlight w:val="none"/>
                <w:lang w:val="en-US" w:eastAsia="zh-CN"/>
              </w:rPr>
              <w:t>1</w:t>
            </w:r>
            <w:r>
              <w:rPr>
                <w:rFonts w:hint="eastAsia" w:asciiTheme="minorEastAsia" w:hAnsiTheme="minorEastAsia"/>
                <w:bCs/>
                <w:sz w:val="21"/>
                <w:szCs w:val="21"/>
                <w:highlight w:val="none"/>
              </w:rPr>
              <w:t>分，不满足或者不演示的得0分。</w:t>
            </w:r>
          </w:p>
          <w:p w14:paraId="5E0A7BBE">
            <w:pPr>
              <w:widowControl/>
              <w:adjustRightInd w:val="0"/>
              <w:snapToGrid w:val="0"/>
              <w:spacing w:line="240" w:lineRule="auto"/>
              <w:textAlignment w:val="center"/>
              <w:rPr>
                <w:rFonts w:asciiTheme="minorEastAsia" w:hAnsiTheme="minorEastAsia"/>
                <w:bCs/>
                <w:sz w:val="21"/>
                <w:szCs w:val="21"/>
                <w:highlight w:val="none"/>
              </w:rPr>
            </w:pPr>
            <w:r>
              <w:rPr>
                <w:rFonts w:hint="eastAsia" w:asciiTheme="minorEastAsia" w:hAnsiTheme="minorEastAsia"/>
                <w:bCs/>
                <w:sz w:val="21"/>
                <w:szCs w:val="21"/>
                <w:highlight w:val="none"/>
              </w:rPr>
              <w:t>3、直播对接：录制高清、标清两路视频流，与原有平台对接完成音视频流的实时推送，实现网络直播功能并在通过平台的直播观看中可随时进行高清、标清的分辨率切换。演示满足功能的得</w:t>
            </w:r>
            <w:r>
              <w:rPr>
                <w:rFonts w:hint="eastAsia" w:asciiTheme="minorEastAsia" w:hAnsiTheme="minorEastAsia"/>
                <w:bCs/>
                <w:sz w:val="21"/>
                <w:szCs w:val="21"/>
                <w:highlight w:val="none"/>
                <w:lang w:val="en-US" w:eastAsia="zh-CN"/>
              </w:rPr>
              <w:t>1</w:t>
            </w:r>
            <w:r>
              <w:rPr>
                <w:rFonts w:hint="eastAsia" w:asciiTheme="minorEastAsia" w:hAnsiTheme="minorEastAsia"/>
                <w:bCs/>
                <w:sz w:val="21"/>
                <w:szCs w:val="21"/>
                <w:highlight w:val="none"/>
              </w:rPr>
              <w:t>分，不满足或者不演示的得0分。</w:t>
            </w:r>
          </w:p>
          <w:p w14:paraId="4BE2A104">
            <w:pPr>
              <w:widowControl/>
              <w:adjustRightInd w:val="0"/>
              <w:snapToGrid w:val="0"/>
              <w:spacing w:line="240" w:lineRule="auto"/>
              <w:textAlignment w:val="center"/>
              <w:rPr>
                <w:rFonts w:asciiTheme="minorEastAsia" w:hAnsiTheme="minorEastAsia"/>
                <w:bCs/>
                <w:sz w:val="21"/>
                <w:szCs w:val="21"/>
                <w:highlight w:val="none"/>
              </w:rPr>
            </w:pPr>
            <w:r>
              <w:rPr>
                <w:rFonts w:asciiTheme="minorEastAsia" w:hAnsiTheme="minorEastAsia"/>
                <w:bCs/>
                <w:sz w:val="21"/>
                <w:szCs w:val="21"/>
                <w:highlight w:val="none"/>
              </w:rPr>
              <w:t>二、校园电视台</w:t>
            </w:r>
          </w:p>
          <w:p w14:paraId="3D9D4A52">
            <w:pPr>
              <w:widowControl/>
              <w:adjustRightInd w:val="0"/>
              <w:snapToGrid w:val="0"/>
              <w:spacing w:line="240" w:lineRule="auto"/>
              <w:textAlignment w:val="center"/>
              <w:rPr>
                <w:rFonts w:asciiTheme="minorEastAsia" w:hAnsiTheme="minorEastAsia"/>
                <w:bCs/>
                <w:sz w:val="21"/>
                <w:szCs w:val="21"/>
                <w:highlight w:val="none"/>
              </w:rPr>
            </w:pPr>
            <w:r>
              <w:rPr>
                <w:rFonts w:hint="eastAsia" w:asciiTheme="minorEastAsia" w:hAnsiTheme="minorEastAsia"/>
                <w:bCs/>
                <w:sz w:val="21"/>
                <w:szCs w:val="21"/>
                <w:highlight w:val="none"/>
              </w:rPr>
              <w:t>1、内置音频处理功能，支持EQ均衡调节、增益调节。支持对音频输入输出通道进行音量调节，支持对音频输出通道进行静音设置。演示满足功能的得</w:t>
            </w:r>
            <w:r>
              <w:rPr>
                <w:rFonts w:hint="eastAsia" w:asciiTheme="minorEastAsia" w:hAnsiTheme="minorEastAsia"/>
                <w:bCs/>
                <w:sz w:val="21"/>
                <w:szCs w:val="21"/>
                <w:highlight w:val="none"/>
                <w:lang w:val="en-US" w:eastAsia="zh-CN"/>
              </w:rPr>
              <w:t>2</w:t>
            </w:r>
            <w:r>
              <w:rPr>
                <w:rFonts w:hint="eastAsia" w:asciiTheme="minorEastAsia" w:hAnsiTheme="minorEastAsia"/>
                <w:bCs/>
                <w:sz w:val="21"/>
                <w:szCs w:val="21"/>
                <w:highlight w:val="none"/>
              </w:rPr>
              <w:t>分，不满足或者不演示的得0分。</w:t>
            </w:r>
          </w:p>
          <w:p w14:paraId="37D11301">
            <w:pPr>
              <w:widowControl/>
              <w:adjustRightInd w:val="0"/>
              <w:snapToGrid w:val="0"/>
              <w:spacing w:line="240" w:lineRule="auto"/>
              <w:textAlignment w:val="center"/>
              <w:rPr>
                <w:rFonts w:asciiTheme="minorEastAsia" w:hAnsiTheme="minorEastAsia"/>
                <w:bCs/>
                <w:sz w:val="21"/>
                <w:szCs w:val="21"/>
                <w:highlight w:val="none"/>
              </w:rPr>
            </w:pPr>
            <w:r>
              <w:rPr>
                <w:rFonts w:asciiTheme="minorEastAsia" w:hAnsiTheme="minorEastAsia"/>
                <w:bCs/>
                <w:sz w:val="21"/>
                <w:szCs w:val="21"/>
                <w:highlight w:val="none"/>
              </w:rPr>
              <w:t>2、</w:t>
            </w:r>
            <w:r>
              <w:rPr>
                <w:rFonts w:hint="eastAsia" w:asciiTheme="minorEastAsia" w:hAnsiTheme="minorEastAsia"/>
                <w:bCs/>
                <w:sz w:val="21"/>
                <w:szCs w:val="21"/>
                <w:highlight w:val="none"/>
              </w:rPr>
              <w:t>提供3种以上转场特效，包括渐变、扩散、推进等。支持添加LOGO、视频标签、字幕功能，支持通过鼠标直接拖拽设置LOGO在画面的显示位置。支持快速调用预设的字幕内容，支持实时添加字幕，字幕颜色、字幕背景颜色可设，支持字幕循环功能。演示满足功能的得</w:t>
            </w:r>
            <w:r>
              <w:rPr>
                <w:rFonts w:asciiTheme="minorEastAsia" w:hAnsiTheme="minorEastAsia"/>
                <w:bCs/>
                <w:sz w:val="21"/>
                <w:szCs w:val="21"/>
                <w:highlight w:val="none"/>
              </w:rPr>
              <w:t>2</w:t>
            </w:r>
            <w:r>
              <w:rPr>
                <w:rFonts w:hint="eastAsia" w:asciiTheme="minorEastAsia" w:hAnsiTheme="minorEastAsia"/>
                <w:bCs/>
                <w:sz w:val="21"/>
                <w:szCs w:val="21"/>
                <w:highlight w:val="none"/>
              </w:rPr>
              <w:t>分，不满足或者不演示的得0分。</w:t>
            </w:r>
          </w:p>
          <w:p w14:paraId="507F16C1">
            <w:pPr>
              <w:widowControl/>
              <w:adjustRightInd w:val="0"/>
              <w:snapToGrid w:val="0"/>
              <w:spacing w:line="240" w:lineRule="auto"/>
              <w:textAlignment w:val="center"/>
              <w:rPr>
                <w:rFonts w:asciiTheme="minorEastAsia" w:hAnsiTheme="minorEastAsia"/>
                <w:bCs/>
                <w:sz w:val="21"/>
                <w:szCs w:val="21"/>
                <w:highlight w:val="none"/>
              </w:rPr>
            </w:pPr>
            <w:r>
              <w:rPr>
                <w:rFonts w:asciiTheme="minorEastAsia" w:hAnsiTheme="minorEastAsia"/>
                <w:bCs/>
                <w:sz w:val="21"/>
                <w:szCs w:val="21"/>
                <w:highlight w:val="none"/>
              </w:rPr>
              <w:t>三、</w:t>
            </w:r>
            <w:r>
              <w:rPr>
                <w:rFonts w:hint="eastAsia" w:asciiTheme="minorEastAsia" w:hAnsiTheme="minorEastAsia"/>
                <w:bCs/>
                <w:sz w:val="21"/>
                <w:szCs w:val="21"/>
                <w:highlight w:val="none"/>
              </w:rPr>
              <w:t>书画教学展示台</w:t>
            </w:r>
          </w:p>
          <w:p w14:paraId="0A42344E">
            <w:pPr>
              <w:widowControl/>
              <w:adjustRightInd w:val="0"/>
              <w:snapToGrid w:val="0"/>
              <w:spacing w:line="240" w:lineRule="auto"/>
              <w:textAlignment w:val="center"/>
              <w:rPr>
                <w:rFonts w:hint="eastAsia" w:asciiTheme="minorEastAsia" w:hAnsiTheme="minorEastAsia"/>
                <w:bCs/>
                <w:sz w:val="21"/>
                <w:szCs w:val="21"/>
                <w:highlight w:val="none"/>
              </w:rPr>
            </w:pPr>
            <w:r>
              <w:rPr>
                <w:rFonts w:hint="eastAsia" w:asciiTheme="minorEastAsia" w:hAnsiTheme="minorEastAsia"/>
                <w:bCs/>
                <w:sz w:val="21"/>
                <w:szCs w:val="21"/>
                <w:highlight w:val="none"/>
              </w:rPr>
              <w:t>1、摄像机机壳为全封闭结构，镜头必须封闭在摄像机机壳内部，防止落尘或者不慎操作损坏镜头；演示满足功能的得1分，不满足或者不演示的得0分。</w:t>
            </w:r>
          </w:p>
          <w:p w14:paraId="4BC85D8A">
            <w:pPr>
              <w:widowControl/>
              <w:adjustRightInd w:val="0"/>
              <w:snapToGrid w:val="0"/>
              <w:spacing w:line="240" w:lineRule="auto"/>
              <w:textAlignment w:val="center"/>
              <w:rPr>
                <w:rFonts w:hint="eastAsia" w:asciiTheme="minorEastAsia" w:hAnsiTheme="minorEastAsia"/>
                <w:bCs/>
                <w:sz w:val="21"/>
                <w:szCs w:val="21"/>
                <w:highlight w:val="none"/>
              </w:rPr>
            </w:pPr>
            <w:r>
              <w:rPr>
                <w:rFonts w:hint="eastAsia" w:asciiTheme="minorEastAsia" w:hAnsiTheme="minorEastAsia"/>
                <w:bCs/>
                <w:sz w:val="21"/>
                <w:szCs w:val="21"/>
                <w:highlight w:val="none"/>
              </w:rPr>
              <w:t>2、书法教学直播系统：1、支持保存镜头位置，支持6个档位设置，需要时可一键调出，自动恢复到相应位置。演示满足功能的得</w:t>
            </w:r>
            <w:r>
              <w:rPr>
                <w:rFonts w:hint="eastAsia" w:asciiTheme="minorEastAsia" w:hAnsiTheme="minorEastAsia"/>
                <w:bCs/>
                <w:sz w:val="21"/>
                <w:szCs w:val="21"/>
                <w:highlight w:val="none"/>
                <w:lang w:val="en-US" w:eastAsia="zh-CN"/>
              </w:rPr>
              <w:t>1</w:t>
            </w:r>
            <w:r>
              <w:rPr>
                <w:rFonts w:hint="eastAsia" w:asciiTheme="minorEastAsia" w:hAnsiTheme="minorEastAsia"/>
                <w:bCs/>
                <w:sz w:val="21"/>
                <w:szCs w:val="21"/>
                <w:highlight w:val="none"/>
              </w:rPr>
              <w:t>分，不满足或者不演示的得0分。</w:t>
            </w:r>
          </w:p>
          <w:p w14:paraId="5CA67D4B">
            <w:pPr>
              <w:widowControl/>
              <w:adjustRightInd w:val="0"/>
              <w:snapToGrid w:val="0"/>
              <w:spacing w:line="240" w:lineRule="auto"/>
              <w:textAlignment w:val="center"/>
              <w:rPr>
                <w:rFonts w:hint="eastAsia" w:asciiTheme="minorEastAsia" w:hAnsiTheme="minorEastAsia"/>
                <w:bCs/>
                <w:sz w:val="21"/>
                <w:szCs w:val="21"/>
                <w:highlight w:val="none"/>
              </w:rPr>
            </w:pPr>
            <w:r>
              <w:rPr>
                <w:rFonts w:hint="eastAsia" w:asciiTheme="minorEastAsia" w:hAnsiTheme="minorEastAsia"/>
                <w:bCs/>
                <w:sz w:val="21"/>
                <w:szCs w:val="21"/>
                <w:highlight w:val="none"/>
              </w:rPr>
              <w:t>3、支持自动对焦功能，软件界面可调整缩放倍数，并立即展示缩放后的效果，放后可全自动对焦清晰显示或通过软件界面手动对焦清晰显示。演示满足功能的得1分，不满足或者不演示的得0分。</w:t>
            </w:r>
          </w:p>
          <w:p w14:paraId="1C3BF917">
            <w:pPr>
              <w:widowControl/>
              <w:adjustRightInd w:val="0"/>
              <w:snapToGrid w:val="0"/>
              <w:spacing w:line="240" w:lineRule="auto"/>
              <w:textAlignment w:val="center"/>
              <w:rPr>
                <w:rFonts w:hint="eastAsia" w:asciiTheme="minorEastAsia" w:hAnsiTheme="minorEastAsia"/>
                <w:bCs/>
                <w:sz w:val="21"/>
                <w:szCs w:val="21"/>
                <w:highlight w:val="none"/>
              </w:rPr>
            </w:pPr>
            <w:r>
              <w:rPr>
                <w:rFonts w:hint="eastAsia" w:ascii="宋体" w:hAnsi="宋体" w:cs="宋体"/>
                <w:b/>
                <w:bCs/>
                <w:color w:val="FF0000"/>
                <w:kern w:val="2"/>
                <w:sz w:val="21"/>
                <w:szCs w:val="24"/>
                <w:highlight w:val="none"/>
                <w:lang w:val="en-US" w:eastAsia="zh-CN" w:bidi="ar-SA"/>
              </w:rPr>
              <w:t>请各投标单位将存有演示视频的 U 盘于投标截止时间前送达本次招标代理单位指定接收地点。</w:t>
            </w:r>
          </w:p>
        </w:tc>
        <w:tc>
          <w:tcPr>
            <w:tcW w:w="708" w:type="dxa"/>
            <w:vAlign w:val="center"/>
          </w:tcPr>
          <w:p w14:paraId="20597B52">
            <w:pPr>
              <w:spacing w:line="240" w:lineRule="auto"/>
              <w:jc w:val="center"/>
              <w:rPr>
                <w:rFonts w:hint="eastAsia" w:eastAsia="宋体" w:asciiTheme="minorEastAsia" w:hAnsiTheme="minorEastAsia"/>
                <w:sz w:val="21"/>
                <w:szCs w:val="21"/>
                <w:highlight w:val="none"/>
                <w:lang w:eastAsia="zh-CN"/>
              </w:rPr>
            </w:pPr>
            <w:r>
              <w:rPr>
                <w:rFonts w:asciiTheme="minorEastAsia" w:hAnsiTheme="minorEastAsia"/>
                <w:sz w:val="21"/>
                <w:szCs w:val="21"/>
                <w:highlight w:val="none"/>
              </w:rPr>
              <w:t>1</w:t>
            </w:r>
            <w:r>
              <w:rPr>
                <w:rFonts w:hint="eastAsia" w:asciiTheme="minorEastAsia" w:hAnsiTheme="minorEastAsia"/>
                <w:sz w:val="21"/>
                <w:szCs w:val="21"/>
                <w:highlight w:val="none"/>
                <w:lang w:val="en-US" w:eastAsia="zh-CN"/>
              </w:rPr>
              <w:t>0</w:t>
            </w:r>
          </w:p>
        </w:tc>
      </w:tr>
      <w:tr w14:paraId="6E7A8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22" w:type="dxa"/>
            <w:vMerge w:val="continue"/>
            <w:vAlign w:val="center"/>
          </w:tcPr>
          <w:p w14:paraId="2B8ECFA8">
            <w:pPr>
              <w:spacing w:line="240" w:lineRule="auto"/>
              <w:jc w:val="center"/>
              <w:rPr>
                <w:rFonts w:asciiTheme="minorEastAsia" w:hAnsiTheme="minorEastAsia"/>
                <w:sz w:val="21"/>
                <w:szCs w:val="21"/>
                <w:highlight w:val="none"/>
              </w:rPr>
            </w:pPr>
          </w:p>
        </w:tc>
        <w:tc>
          <w:tcPr>
            <w:tcW w:w="517" w:type="dxa"/>
            <w:vAlign w:val="center"/>
          </w:tcPr>
          <w:p w14:paraId="576F58AE">
            <w:pPr>
              <w:spacing w:line="240" w:lineRule="auto"/>
              <w:jc w:val="center"/>
              <w:rPr>
                <w:rFonts w:hint="eastAsia" w:asciiTheme="minorEastAsia" w:hAnsiTheme="minorEastAsia"/>
                <w:kern w:val="0"/>
                <w:sz w:val="21"/>
                <w:szCs w:val="21"/>
                <w:highlight w:val="none"/>
              </w:rPr>
            </w:pPr>
            <w:r>
              <w:rPr>
                <w:rFonts w:hint="eastAsia" w:asciiTheme="minorEastAsia" w:hAnsiTheme="minorEastAsia"/>
                <w:kern w:val="0"/>
                <w:sz w:val="21"/>
                <w:szCs w:val="21"/>
                <w:highlight w:val="none"/>
              </w:rPr>
              <w:t>6</w:t>
            </w:r>
          </w:p>
        </w:tc>
        <w:tc>
          <w:tcPr>
            <w:tcW w:w="2000" w:type="dxa"/>
            <w:vAlign w:val="center"/>
          </w:tcPr>
          <w:p w14:paraId="09FABEC8">
            <w:pPr>
              <w:widowControl/>
              <w:adjustRightInd w:val="0"/>
              <w:snapToGrid w:val="0"/>
              <w:spacing w:line="240" w:lineRule="auto"/>
              <w:jc w:val="center"/>
              <w:textAlignment w:val="center"/>
              <w:rPr>
                <w:rFonts w:hint="eastAsia" w:asciiTheme="minorEastAsia" w:hAnsiTheme="minorEastAsia"/>
                <w:bCs/>
                <w:sz w:val="21"/>
                <w:szCs w:val="21"/>
                <w:highlight w:val="none"/>
              </w:rPr>
            </w:pPr>
            <w:r>
              <w:rPr>
                <w:rFonts w:hint="eastAsia" w:asciiTheme="minorEastAsia" w:hAnsiTheme="minorEastAsia"/>
                <w:bCs/>
                <w:sz w:val="21"/>
                <w:szCs w:val="21"/>
                <w:highlight w:val="none"/>
              </w:rPr>
              <w:t>培训方案</w:t>
            </w:r>
          </w:p>
        </w:tc>
        <w:tc>
          <w:tcPr>
            <w:tcW w:w="5103" w:type="dxa"/>
            <w:vAlign w:val="center"/>
          </w:tcPr>
          <w:p w14:paraId="58703B9F">
            <w:pPr>
              <w:widowControl/>
              <w:adjustRightInd w:val="0"/>
              <w:snapToGrid w:val="0"/>
              <w:spacing w:line="240" w:lineRule="auto"/>
              <w:textAlignment w:val="center"/>
              <w:rPr>
                <w:rFonts w:hint="eastAsia" w:asciiTheme="minorEastAsia" w:hAnsiTheme="minorEastAsia"/>
                <w:bCs/>
                <w:sz w:val="21"/>
                <w:szCs w:val="21"/>
                <w:highlight w:val="none"/>
              </w:rPr>
            </w:pPr>
            <w:r>
              <w:rPr>
                <w:rFonts w:hint="eastAsia" w:asciiTheme="minorEastAsia" w:hAnsiTheme="minorEastAsia"/>
                <w:bCs/>
                <w:sz w:val="21"/>
                <w:szCs w:val="21"/>
                <w:highlight w:val="none"/>
              </w:rPr>
              <w:t>投标供应商针对本项目制定全面、详尽、科学的培训计划（培训人员、人数、方式、时间等实质性内容）并按承诺计划实施，根据培训方案的完整性、周到性等情况进行综合打分，得0-</w:t>
            </w:r>
            <w:r>
              <w:rPr>
                <w:rFonts w:hint="eastAsia" w:asciiTheme="minorEastAsia" w:hAnsiTheme="minorEastAsia"/>
                <w:bCs/>
                <w:sz w:val="21"/>
                <w:szCs w:val="21"/>
                <w:highlight w:val="none"/>
                <w:lang w:val="en-US" w:eastAsia="zh-CN"/>
              </w:rPr>
              <w:t>10</w:t>
            </w:r>
            <w:r>
              <w:rPr>
                <w:rFonts w:hint="eastAsia" w:asciiTheme="minorEastAsia" w:hAnsiTheme="minorEastAsia"/>
                <w:bCs/>
                <w:sz w:val="21"/>
                <w:szCs w:val="21"/>
                <w:highlight w:val="none"/>
              </w:rPr>
              <w:t>分。</w:t>
            </w:r>
          </w:p>
        </w:tc>
        <w:tc>
          <w:tcPr>
            <w:tcW w:w="708" w:type="dxa"/>
            <w:vAlign w:val="center"/>
          </w:tcPr>
          <w:p w14:paraId="5166F15A">
            <w:pPr>
              <w:spacing w:line="240" w:lineRule="auto"/>
              <w:jc w:val="center"/>
              <w:rPr>
                <w:rFonts w:hint="default" w:eastAsia="宋体" w:asciiTheme="minorEastAsia" w:hAnsiTheme="minorEastAsia"/>
                <w:sz w:val="21"/>
                <w:szCs w:val="21"/>
                <w:highlight w:val="none"/>
                <w:lang w:val="en-US" w:eastAsia="zh-CN"/>
              </w:rPr>
            </w:pPr>
            <w:r>
              <w:rPr>
                <w:rFonts w:hint="eastAsia" w:asciiTheme="minorEastAsia" w:hAnsiTheme="minorEastAsia"/>
                <w:sz w:val="21"/>
                <w:szCs w:val="21"/>
                <w:highlight w:val="none"/>
                <w:lang w:val="en-US" w:eastAsia="zh-CN"/>
              </w:rPr>
              <w:t>10</w:t>
            </w:r>
          </w:p>
        </w:tc>
      </w:tr>
      <w:tr w14:paraId="1E4CA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22" w:type="dxa"/>
            <w:vMerge w:val="continue"/>
            <w:vAlign w:val="center"/>
          </w:tcPr>
          <w:p w14:paraId="42A32CBA">
            <w:pPr>
              <w:spacing w:line="240" w:lineRule="auto"/>
              <w:jc w:val="center"/>
              <w:rPr>
                <w:rFonts w:asciiTheme="minorEastAsia" w:hAnsiTheme="minorEastAsia"/>
                <w:sz w:val="21"/>
                <w:szCs w:val="21"/>
                <w:highlight w:val="none"/>
              </w:rPr>
            </w:pPr>
          </w:p>
        </w:tc>
        <w:tc>
          <w:tcPr>
            <w:tcW w:w="517" w:type="dxa"/>
            <w:vAlign w:val="center"/>
          </w:tcPr>
          <w:p w14:paraId="417FFDB5">
            <w:pPr>
              <w:spacing w:line="240" w:lineRule="auto"/>
              <w:jc w:val="center"/>
              <w:rPr>
                <w:rFonts w:hint="eastAsia" w:asciiTheme="minorEastAsia" w:hAnsiTheme="minorEastAsia"/>
                <w:kern w:val="0"/>
                <w:sz w:val="21"/>
                <w:szCs w:val="21"/>
                <w:highlight w:val="none"/>
              </w:rPr>
            </w:pPr>
            <w:r>
              <w:rPr>
                <w:rFonts w:hint="eastAsia" w:asciiTheme="minorEastAsia" w:hAnsiTheme="minorEastAsia"/>
                <w:kern w:val="0"/>
                <w:sz w:val="21"/>
                <w:szCs w:val="21"/>
                <w:highlight w:val="none"/>
              </w:rPr>
              <w:t>7</w:t>
            </w:r>
          </w:p>
        </w:tc>
        <w:tc>
          <w:tcPr>
            <w:tcW w:w="2000" w:type="dxa"/>
            <w:vAlign w:val="center"/>
          </w:tcPr>
          <w:p w14:paraId="47104F57">
            <w:pPr>
              <w:widowControl/>
              <w:adjustRightInd w:val="0"/>
              <w:snapToGrid w:val="0"/>
              <w:spacing w:line="240" w:lineRule="auto"/>
              <w:jc w:val="center"/>
              <w:textAlignment w:val="center"/>
              <w:rPr>
                <w:rFonts w:hint="eastAsia" w:asciiTheme="minorEastAsia" w:hAnsiTheme="minorEastAsia"/>
                <w:bCs/>
                <w:sz w:val="21"/>
                <w:szCs w:val="21"/>
                <w:highlight w:val="none"/>
              </w:rPr>
            </w:pPr>
            <w:r>
              <w:rPr>
                <w:rFonts w:hint="eastAsia" w:asciiTheme="minorEastAsia" w:hAnsiTheme="minorEastAsia"/>
                <w:bCs/>
                <w:sz w:val="21"/>
                <w:szCs w:val="21"/>
                <w:highlight w:val="none"/>
              </w:rPr>
              <w:t>投标产品综合情况</w:t>
            </w:r>
          </w:p>
        </w:tc>
        <w:tc>
          <w:tcPr>
            <w:tcW w:w="5103" w:type="dxa"/>
            <w:vAlign w:val="center"/>
          </w:tcPr>
          <w:p w14:paraId="72F1C8F6">
            <w:pPr>
              <w:widowControl/>
              <w:adjustRightInd w:val="0"/>
              <w:snapToGrid w:val="0"/>
              <w:spacing w:line="240" w:lineRule="auto"/>
              <w:textAlignment w:val="center"/>
              <w:rPr>
                <w:rFonts w:hint="eastAsia" w:asciiTheme="minorEastAsia" w:hAnsiTheme="minorEastAsia"/>
                <w:bCs/>
                <w:sz w:val="21"/>
                <w:szCs w:val="21"/>
                <w:highlight w:val="none"/>
              </w:rPr>
            </w:pPr>
            <w:r>
              <w:rPr>
                <w:rFonts w:hint="eastAsia" w:asciiTheme="minorEastAsia" w:hAnsiTheme="minorEastAsia"/>
                <w:bCs/>
                <w:sz w:val="21"/>
                <w:szCs w:val="21"/>
                <w:highlight w:val="none"/>
              </w:rPr>
              <w:t>根据投标产品所具有的功能特性、整体优势及所拥有的各类证书、检测报告等情况综合打分，得0-</w:t>
            </w:r>
            <w:r>
              <w:rPr>
                <w:rFonts w:hint="eastAsia" w:asciiTheme="minorEastAsia" w:hAnsiTheme="minorEastAsia"/>
                <w:bCs/>
                <w:sz w:val="21"/>
                <w:szCs w:val="21"/>
                <w:highlight w:val="none"/>
                <w:lang w:val="en-US" w:eastAsia="zh-CN"/>
              </w:rPr>
              <w:t>5</w:t>
            </w:r>
            <w:r>
              <w:rPr>
                <w:rFonts w:hint="eastAsia" w:asciiTheme="minorEastAsia" w:hAnsiTheme="minorEastAsia"/>
                <w:bCs/>
                <w:sz w:val="21"/>
                <w:szCs w:val="21"/>
                <w:highlight w:val="none"/>
              </w:rPr>
              <w:t>分。</w:t>
            </w:r>
          </w:p>
        </w:tc>
        <w:tc>
          <w:tcPr>
            <w:tcW w:w="708" w:type="dxa"/>
            <w:vAlign w:val="center"/>
          </w:tcPr>
          <w:p w14:paraId="352FDE4E">
            <w:pPr>
              <w:spacing w:line="240" w:lineRule="auto"/>
              <w:jc w:val="center"/>
              <w:rPr>
                <w:rFonts w:hint="eastAsia" w:eastAsia="宋体" w:asciiTheme="minorEastAsia" w:hAnsiTheme="minorEastAsia"/>
                <w:sz w:val="21"/>
                <w:szCs w:val="21"/>
                <w:highlight w:val="none"/>
                <w:lang w:val="en" w:eastAsia="zh-CN"/>
              </w:rPr>
            </w:pPr>
            <w:r>
              <w:rPr>
                <w:rFonts w:hint="eastAsia" w:asciiTheme="minorEastAsia" w:hAnsiTheme="minorEastAsia"/>
                <w:sz w:val="21"/>
                <w:szCs w:val="21"/>
                <w:highlight w:val="none"/>
                <w:lang w:val="en-US" w:eastAsia="zh-CN"/>
              </w:rPr>
              <w:t>5</w:t>
            </w:r>
          </w:p>
        </w:tc>
      </w:tr>
      <w:tr w14:paraId="3BF68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22" w:type="dxa"/>
            <w:vMerge w:val="continue"/>
            <w:vAlign w:val="center"/>
          </w:tcPr>
          <w:p w14:paraId="50DEE9E5">
            <w:pPr>
              <w:spacing w:line="240" w:lineRule="auto"/>
              <w:jc w:val="center"/>
              <w:rPr>
                <w:rFonts w:asciiTheme="minorEastAsia" w:hAnsiTheme="minorEastAsia"/>
                <w:sz w:val="21"/>
                <w:szCs w:val="21"/>
                <w:highlight w:val="none"/>
              </w:rPr>
            </w:pPr>
          </w:p>
        </w:tc>
        <w:tc>
          <w:tcPr>
            <w:tcW w:w="517" w:type="dxa"/>
            <w:vAlign w:val="center"/>
          </w:tcPr>
          <w:p w14:paraId="29B79404">
            <w:pPr>
              <w:spacing w:line="240" w:lineRule="auto"/>
              <w:jc w:val="center"/>
              <w:rPr>
                <w:rFonts w:asciiTheme="minorEastAsia" w:hAnsiTheme="minorEastAsia"/>
                <w:kern w:val="0"/>
                <w:sz w:val="21"/>
                <w:szCs w:val="21"/>
                <w:highlight w:val="none"/>
              </w:rPr>
            </w:pPr>
            <w:r>
              <w:rPr>
                <w:rFonts w:hint="eastAsia" w:asciiTheme="minorEastAsia" w:hAnsiTheme="minorEastAsia"/>
                <w:kern w:val="0"/>
                <w:sz w:val="21"/>
                <w:szCs w:val="21"/>
                <w:highlight w:val="none"/>
              </w:rPr>
              <w:t>8</w:t>
            </w:r>
          </w:p>
        </w:tc>
        <w:tc>
          <w:tcPr>
            <w:tcW w:w="2000" w:type="dxa"/>
            <w:vAlign w:val="center"/>
          </w:tcPr>
          <w:p w14:paraId="1D459AA0">
            <w:pPr>
              <w:spacing w:line="240" w:lineRule="auto"/>
              <w:jc w:val="center"/>
              <w:rPr>
                <w:rFonts w:hint="eastAsia" w:asciiTheme="minorEastAsia" w:hAnsiTheme="minorEastAsia"/>
                <w:kern w:val="0"/>
                <w:sz w:val="21"/>
                <w:szCs w:val="21"/>
                <w:highlight w:val="none"/>
                <w:lang w:val="en" w:bidi="ar"/>
              </w:rPr>
            </w:pPr>
            <w:r>
              <w:rPr>
                <w:rFonts w:hint="eastAsia" w:asciiTheme="minorEastAsia" w:hAnsiTheme="minorEastAsia"/>
                <w:kern w:val="0"/>
                <w:sz w:val="21"/>
                <w:szCs w:val="21"/>
                <w:highlight w:val="none"/>
                <w:lang w:bidi="ar"/>
              </w:rPr>
              <w:t>售后服务</w:t>
            </w:r>
          </w:p>
        </w:tc>
        <w:tc>
          <w:tcPr>
            <w:tcW w:w="5103" w:type="dxa"/>
            <w:vAlign w:val="center"/>
          </w:tcPr>
          <w:p w14:paraId="58C678AE">
            <w:pPr>
              <w:spacing w:line="240" w:lineRule="auto"/>
              <w:rPr>
                <w:rFonts w:hint="eastAsia" w:asciiTheme="minorEastAsia" w:hAnsiTheme="minorEastAsia"/>
                <w:kern w:val="0"/>
                <w:sz w:val="21"/>
                <w:szCs w:val="21"/>
                <w:highlight w:val="none"/>
                <w:lang w:bidi="ar"/>
              </w:rPr>
            </w:pPr>
            <w:r>
              <w:rPr>
                <w:rFonts w:hint="eastAsia" w:asciiTheme="minorEastAsia" w:hAnsiTheme="minorEastAsia"/>
                <w:kern w:val="0"/>
                <w:sz w:val="21"/>
                <w:szCs w:val="21"/>
                <w:highlight w:val="none"/>
                <w:lang w:bidi="ar"/>
              </w:rPr>
              <w:t>售后服务保障体系（包括免费服务范围、主要服务内容、解决问题方案、排除问题的速度、备品备件库情况等），得0-</w:t>
            </w:r>
            <w:r>
              <w:rPr>
                <w:rFonts w:hint="eastAsia" w:asciiTheme="minorEastAsia" w:hAnsiTheme="minorEastAsia"/>
                <w:kern w:val="0"/>
                <w:sz w:val="21"/>
                <w:szCs w:val="21"/>
                <w:highlight w:val="none"/>
                <w:lang w:val="en-US" w:eastAsia="zh-CN" w:bidi="ar"/>
              </w:rPr>
              <w:t>5</w:t>
            </w:r>
            <w:r>
              <w:rPr>
                <w:rFonts w:hint="eastAsia" w:asciiTheme="minorEastAsia" w:hAnsiTheme="minorEastAsia"/>
                <w:kern w:val="0"/>
                <w:sz w:val="21"/>
                <w:szCs w:val="21"/>
                <w:highlight w:val="none"/>
                <w:lang w:bidi="ar"/>
              </w:rPr>
              <w:t>分。</w:t>
            </w:r>
          </w:p>
        </w:tc>
        <w:tc>
          <w:tcPr>
            <w:tcW w:w="708" w:type="dxa"/>
            <w:vAlign w:val="center"/>
          </w:tcPr>
          <w:p w14:paraId="3D616708">
            <w:pPr>
              <w:widowControl/>
              <w:adjustRightInd w:val="0"/>
              <w:snapToGrid w:val="0"/>
              <w:spacing w:line="240" w:lineRule="auto"/>
              <w:jc w:val="center"/>
              <w:textAlignment w:val="center"/>
              <w:rPr>
                <w:rFonts w:hint="eastAsia" w:eastAsia="宋体" w:asciiTheme="minorEastAsia" w:hAnsiTheme="minorEastAsia"/>
                <w:bCs/>
                <w:sz w:val="21"/>
                <w:szCs w:val="21"/>
                <w:highlight w:val="none"/>
                <w:lang w:val="en-US" w:eastAsia="zh-CN"/>
              </w:rPr>
            </w:pPr>
            <w:r>
              <w:rPr>
                <w:rFonts w:hint="eastAsia" w:asciiTheme="minorEastAsia" w:hAnsiTheme="minorEastAsia"/>
                <w:bCs/>
                <w:sz w:val="21"/>
                <w:szCs w:val="21"/>
                <w:highlight w:val="none"/>
                <w:lang w:val="en-US" w:eastAsia="zh-CN"/>
              </w:rPr>
              <w:t>5</w:t>
            </w:r>
          </w:p>
        </w:tc>
      </w:tr>
      <w:tr w14:paraId="03ED5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22" w:type="dxa"/>
            <w:vMerge w:val="continue"/>
            <w:vAlign w:val="center"/>
          </w:tcPr>
          <w:p w14:paraId="60F40329">
            <w:pPr>
              <w:spacing w:line="240" w:lineRule="auto"/>
              <w:jc w:val="center"/>
              <w:rPr>
                <w:rFonts w:asciiTheme="minorEastAsia" w:hAnsiTheme="minorEastAsia"/>
                <w:sz w:val="21"/>
                <w:szCs w:val="21"/>
                <w:highlight w:val="none"/>
              </w:rPr>
            </w:pPr>
          </w:p>
        </w:tc>
        <w:tc>
          <w:tcPr>
            <w:tcW w:w="517" w:type="dxa"/>
            <w:vAlign w:val="center"/>
          </w:tcPr>
          <w:p w14:paraId="13736856">
            <w:pPr>
              <w:spacing w:line="240" w:lineRule="auto"/>
              <w:jc w:val="center"/>
              <w:rPr>
                <w:rFonts w:asciiTheme="minorEastAsia" w:hAnsiTheme="minorEastAsia"/>
                <w:kern w:val="0"/>
                <w:sz w:val="21"/>
                <w:szCs w:val="21"/>
                <w:highlight w:val="none"/>
              </w:rPr>
            </w:pPr>
            <w:r>
              <w:rPr>
                <w:rFonts w:hint="eastAsia" w:asciiTheme="minorEastAsia" w:hAnsiTheme="minorEastAsia"/>
                <w:kern w:val="0"/>
                <w:sz w:val="21"/>
                <w:szCs w:val="21"/>
                <w:highlight w:val="none"/>
              </w:rPr>
              <w:t>9</w:t>
            </w:r>
          </w:p>
        </w:tc>
        <w:tc>
          <w:tcPr>
            <w:tcW w:w="2000" w:type="dxa"/>
            <w:vAlign w:val="center"/>
          </w:tcPr>
          <w:p w14:paraId="48B09EB0">
            <w:pPr>
              <w:spacing w:line="240" w:lineRule="auto"/>
              <w:jc w:val="center"/>
              <w:rPr>
                <w:rFonts w:hint="eastAsia" w:asciiTheme="minorEastAsia" w:hAnsiTheme="minorEastAsia"/>
                <w:kern w:val="0"/>
                <w:sz w:val="21"/>
                <w:szCs w:val="21"/>
                <w:highlight w:val="none"/>
                <w:lang w:bidi="ar"/>
              </w:rPr>
            </w:pPr>
            <w:r>
              <w:rPr>
                <w:rFonts w:hint="eastAsia" w:asciiTheme="minorEastAsia" w:hAnsiTheme="minorEastAsia"/>
                <w:kern w:val="0"/>
                <w:sz w:val="21"/>
                <w:szCs w:val="21"/>
                <w:highlight w:val="none"/>
                <w:lang w:bidi="ar"/>
              </w:rPr>
              <w:t>项目实施人员</w:t>
            </w:r>
          </w:p>
        </w:tc>
        <w:tc>
          <w:tcPr>
            <w:tcW w:w="5103" w:type="dxa"/>
            <w:vAlign w:val="center"/>
          </w:tcPr>
          <w:p w14:paraId="529CFB7C">
            <w:pPr>
              <w:spacing w:line="240" w:lineRule="auto"/>
              <w:rPr>
                <w:rFonts w:hint="eastAsia" w:asciiTheme="minorEastAsia" w:hAnsiTheme="minorEastAsia"/>
                <w:kern w:val="0"/>
                <w:sz w:val="21"/>
                <w:szCs w:val="21"/>
                <w:highlight w:val="none"/>
                <w:lang w:bidi="ar"/>
              </w:rPr>
            </w:pPr>
            <w:r>
              <w:rPr>
                <w:rFonts w:hint="eastAsia" w:asciiTheme="minorEastAsia" w:hAnsiTheme="minorEastAsia"/>
                <w:kern w:val="0"/>
                <w:sz w:val="21"/>
                <w:szCs w:val="21"/>
                <w:highlight w:val="none"/>
                <w:lang w:bidi="ar"/>
              </w:rPr>
              <w:t>根据投标供应商拟派往本项目的项目团队人员的数量、人员配备的合理性、人员职称、学历、荣誉、类似项目经验、履职经历进行综合评分，得0-</w:t>
            </w:r>
            <w:r>
              <w:rPr>
                <w:rFonts w:hint="eastAsia" w:asciiTheme="minorEastAsia" w:hAnsiTheme="minorEastAsia"/>
                <w:kern w:val="0"/>
                <w:sz w:val="21"/>
                <w:szCs w:val="21"/>
                <w:highlight w:val="none"/>
                <w:lang w:val="en-US" w:eastAsia="zh-CN" w:bidi="ar"/>
              </w:rPr>
              <w:t>5</w:t>
            </w:r>
            <w:r>
              <w:rPr>
                <w:rFonts w:hint="eastAsia" w:asciiTheme="minorEastAsia" w:hAnsiTheme="minorEastAsia"/>
                <w:kern w:val="0"/>
                <w:sz w:val="21"/>
                <w:szCs w:val="21"/>
                <w:highlight w:val="none"/>
                <w:lang w:bidi="ar"/>
              </w:rPr>
              <w:t>分（附有效期内相关证书和在投标单位半年内任意一个月的社会保险参保证明复印件等证明材料）。</w:t>
            </w:r>
          </w:p>
        </w:tc>
        <w:tc>
          <w:tcPr>
            <w:tcW w:w="708" w:type="dxa"/>
            <w:vAlign w:val="center"/>
          </w:tcPr>
          <w:p w14:paraId="35592A73">
            <w:pPr>
              <w:spacing w:line="240" w:lineRule="auto"/>
              <w:jc w:val="center"/>
              <w:rPr>
                <w:rFonts w:hint="eastAsia" w:eastAsia="宋体" w:asciiTheme="minorEastAsia" w:hAnsiTheme="minorEastAsia"/>
                <w:sz w:val="21"/>
                <w:szCs w:val="21"/>
                <w:highlight w:val="none"/>
                <w:lang w:eastAsia="zh-CN"/>
              </w:rPr>
            </w:pPr>
            <w:r>
              <w:rPr>
                <w:rFonts w:hint="eastAsia" w:asciiTheme="minorEastAsia" w:hAnsiTheme="minorEastAsia"/>
                <w:sz w:val="21"/>
                <w:szCs w:val="21"/>
                <w:highlight w:val="none"/>
                <w:lang w:val="en-US" w:eastAsia="zh-CN"/>
              </w:rPr>
              <w:t>5</w:t>
            </w:r>
          </w:p>
        </w:tc>
      </w:tr>
      <w:tr w14:paraId="7ECE5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22" w:type="dxa"/>
            <w:vMerge w:val="restart"/>
            <w:vAlign w:val="center"/>
          </w:tcPr>
          <w:p w14:paraId="0283F5A9">
            <w:pPr>
              <w:spacing w:line="240" w:lineRule="auto"/>
              <w:jc w:val="center"/>
              <w:rPr>
                <w:rFonts w:asciiTheme="minorEastAsia" w:hAnsiTheme="minorEastAsia"/>
                <w:sz w:val="21"/>
                <w:szCs w:val="21"/>
                <w:highlight w:val="none"/>
              </w:rPr>
            </w:pPr>
            <w:r>
              <w:rPr>
                <w:rFonts w:hint="eastAsia" w:asciiTheme="minorEastAsia" w:hAnsiTheme="minorEastAsia"/>
                <w:sz w:val="21"/>
                <w:szCs w:val="21"/>
                <w:highlight w:val="none"/>
              </w:rPr>
              <w:t>资信商务及其他（9分）</w:t>
            </w:r>
          </w:p>
        </w:tc>
        <w:tc>
          <w:tcPr>
            <w:tcW w:w="517" w:type="dxa"/>
            <w:tcBorders>
              <w:top w:val="single" w:color="auto" w:sz="4" w:space="0"/>
            </w:tcBorders>
            <w:vAlign w:val="center"/>
          </w:tcPr>
          <w:p w14:paraId="166494C7">
            <w:pPr>
              <w:spacing w:line="240" w:lineRule="auto"/>
              <w:jc w:val="center"/>
              <w:rPr>
                <w:rFonts w:asciiTheme="minorEastAsia" w:hAnsiTheme="minorEastAsia"/>
                <w:kern w:val="0"/>
                <w:sz w:val="21"/>
                <w:szCs w:val="21"/>
                <w:highlight w:val="none"/>
                <w:lang w:bidi="ar"/>
              </w:rPr>
            </w:pPr>
            <w:r>
              <w:rPr>
                <w:rFonts w:hint="eastAsia" w:asciiTheme="minorEastAsia" w:hAnsiTheme="minorEastAsia"/>
                <w:kern w:val="0"/>
                <w:sz w:val="21"/>
                <w:szCs w:val="21"/>
                <w:highlight w:val="none"/>
                <w:lang w:bidi="ar"/>
              </w:rPr>
              <w:t>10</w:t>
            </w:r>
          </w:p>
        </w:tc>
        <w:tc>
          <w:tcPr>
            <w:tcW w:w="2000" w:type="dxa"/>
            <w:vAlign w:val="center"/>
          </w:tcPr>
          <w:p w14:paraId="39B7E457">
            <w:pPr>
              <w:spacing w:line="240" w:lineRule="auto"/>
              <w:jc w:val="center"/>
              <w:rPr>
                <w:rFonts w:hint="eastAsia" w:asciiTheme="minorEastAsia" w:hAnsiTheme="minorEastAsia"/>
                <w:kern w:val="0"/>
                <w:sz w:val="21"/>
                <w:szCs w:val="21"/>
                <w:highlight w:val="none"/>
                <w:lang w:bidi="ar"/>
              </w:rPr>
            </w:pPr>
            <w:r>
              <w:rPr>
                <w:rFonts w:hint="eastAsia" w:asciiTheme="minorEastAsia" w:hAnsiTheme="minorEastAsia"/>
                <w:kern w:val="0"/>
                <w:sz w:val="21"/>
                <w:szCs w:val="21"/>
                <w:highlight w:val="none"/>
                <w:lang w:bidi="ar"/>
              </w:rPr>
              <w:t>同类项目业绩</w:t>
            </w:r>
          </w:p>
        </w:tc>
        <w:tc>
          <w:tcPr>
            <w:tcW w:w="5103" w:type="dxa"/>
            <w:vAlign w:val="center"/>
          </w:tcPr>
          <w:p w14:paraId="77E5D61D">
            <w:pPr>
              <w:spacing w:line="240" w:lineRule="auto"/>
              <w:rPr>
                <w:rFonts w:hint="eastAsia" w:asciiTheme="minorEastAsia" w:hAnsiTheme="minorEastAsia"/>
                <w:kern w:val="0"/>
                <w:sz w:val="21"/>
                <w:szCs w:val="21"/>
                <w:highlight w:val="none"/>
                <w:lang w:bidi="ar"/>
              </w:rPr>
            </w:pPr>
            <w:r>
              <w:rPr>
                <w:rFonts w:hint="eastAsia" w:cs="Times New Roman" w:asciiTheme="minorEastAsia" w:hAnsiTheme="minorEastAsia"/>
                <w:kern w:val="0"/>
                <w:sz w:val="21"/>
                <w:szCs w:val="21"/>
                <w:highlight w:val="none"/>
                <w:lang w:bidi="ar"/>
              </w:rPr>
              <w:t>追溯投标截止时间前三年（以合同签订时间为准）的同类项目，同时提供合同和验收报告等证明材料复印件并加盖公章，每个得1分，最高得</w:t>
            </w:r>
            <w:r>
              <w:rPr>
                <w:rFonts w:cs="Times New Roman" w:asciiTheme="minorEastAsia" w:hAnsiTheme="minorEastAsia"/>
                <w:kern w:val="0"/>
                <w:sz w:val="21"/>
                <w:szCs w:val="21"/>
                <w:highlight w:val="none"/>
                <w:lang w:bidi="ar"/>
              </w:rPr>
              <w:t>2</w:t>
            </w:r>
            <w:r>
              <w:rPr>
                <w:rFonts w:hint="eastAsia" w:cs="Times New Roman" w:asciiTheme="minorEastAsia" w:hAnsiTheme="minorEastAsia"/>
                <w:kern w:val="0"/>
                <w:sz w:val="21"/>
                <w:szCs w:val="21"/>
                <w:highlight w:val="none"/>
                <w:lang w:bidi="ar"/>
              </w:rPr>
              <w:t>分</w:t>
            </w:r>
            <w:r>
              <w:rPr>
                <w:rFonts w:cs="Times New Roman" w:asciiTheme="minorEastAsia" w:hAnsiTheme="minorEastAsia"/>
                <w:sz w:val="21"/>
                <w:szCs w:val="21"/>
                <w:highlight w:val="none"/>
              </w:rPr>
              <w:t>，不满足不得分</w:t>
            </w:r>
            <w:r>
              <w:rPr>
                <w:rFonts w:hint="eastAsia" w:cs="Times New Roman" w:asciiTheme="minorEastAsia" w:hAnsiTheme="minorEastAsia"/>
                <w:kern w:val="0"/>
                <w:sz w:val="21"/>
                <w:szCs w:val="21"/>
                <w:highlight w:val="none"/>
                <w:lang w:bidi="ar"/>
              </w:rPr>
              <w:t>。（注：根据浙财采监〔2022〕8号文规定，对省级以上主管部门认定的首台套产品，自纳入《省推广应用指导目录》起三年内参加政府采购活动，视同已具备相应销售业绩，业绩分为满分。投标时提供相关证明材料）</w:t>
            </w:r>
          </w:p>
        </w:tc>
        <w:tc>
          <w:tcPr>
            <w:tcW w:w="708" w:type="dxa"/>
            <w:vAlign w:val="center"/>
          </w:tcPr>
          <w:p w14:paraId="063D1F13">
            <w:pPr>
              <w:spacing w:line="240" w:lineRule="auto"/>
              <w:jc w:val="center"/>
              <w:rPr>
                <w:rFonts w:hint="eastAsia" w:asciiTheme="minorEastAsia" w:hAnsiTheme="minorEastAsia"/>
                <w:kern w:val="0"/>
                <w:sz w:val="21"/>
                <w:szCs w:val="21"/>
                <w:highlight w:val="none"/>
                <w:lang w:bidi="ar"/>
              </w:rPr>
            </w:pPr>
            <w:r>
              <w:rPr>
                <w:rFonts w:asciiTheme="minorEastAsia" w:hAnsiTheme="minorEastAsia"/>
                <w:kern w:val="0"/>
                <w:sz w:val="21"/>
                <w:szCs w:val="21"/>
                <w:highlight w:val="none"/>
                <w:lang w:bidi="ar"/>
              </w:rPr>
              <w:t>2</w:t>
            </w:r>
          </w:p>
        </w:tc>
      </w:tr>
      <w:tr w14:paraId="6F14A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22" w:type="dxa"/>
            <w:vMerge w:val="continue"/>
            <w:vAlign w:val="center"/>
          </w:tcPr>
          <w:p w14:paraId="67EC2452">
            <w:pPr>
              <w:spacing w:line="240" w:lineRule="auto"/>
              <w:jc w:val="center"/>
              <w:rPr>
                <w:rFonts w:asciiTheme="minorEastAsia" w:hAnsiTheme="minorEastAsia"/>
                <w:sz w:val="21"/>
                <w:szCs w:val="21"/>
                <w:highlight w:val="none"/>
              </w:rPr>
            </w:pPr>
          </w:p>
        </w:tc>
        <w:tc>
          <w:tcPr>
            <w:tcW w:w="517" w:type="dxa"/>
            <w:vAlign w:val="center"/>
          </w:tcPr>
          <w:p w14:paraId="3AA4C62F">
            <w:pPr>
              <w:spacing w:line="240" w:lineRule="auto"/>
              <w:jc w:val="center"/>
              <w:rPr>
                <w:rFonts w:asciiTheme="minorEastAsia" w:hAnsiTheme="minorEastAsia"/>
                <w:kern w:val="0"/>
                <w:sz w:val="21"/>
                <w:szCs w:val="21"/>
                <w:highlight w:val="none"/>
                <w:lang w:bidi="ar"/>
              </w:rPr>
            </w:pPr>
            <w:r>
              <w:rPr>
                <w:rFonts w:hint="eastAsia" w:asciiTheme="minorEastAsia" w:hAnsiTheme="minorEastAsia"/>
                <w:kern w:val="0"/>
                <w:sz w:val="21"/>
                <w:szCs w:val="21"/>
                <w:highlight w:val="none"/>
                <w:lang w:bidi="ar"/>
              </w:rPr>
              <w:t>11</w:t>
            </w:r>
          </w:p>
        </w:tc>
        <w:tc>
          <w:tcPr>
            <w:tcW w:w="2000" w:type="dxa"/>
            <w:vAlign w:val="center"/>
          </w:tcPr>
          <w:p w14:paraId="4FD18B55">
            <w:pPr>
              <w:spacing w:line="240" w:lineRule="auto"/>
              <w:jc w:val="center"/>
              <w:rPr>
                <w:rFonts w:hint="eastAsia" w:asciiTheme="minorEastAsia" w:hAnsiTheme="minorEastAsia"/>
                <w:kern w:val="0"/>
                <w:sz w:val="21"/>
                <w:szCs w:val="21"/>
                <w:highlight w:val="none"/>
                <w:lang w:bidi="ar"/>
              </w:rPr>
            </w:pPr>
            <w:r>
              <w:rPr>
                <w:rFonts w:hint="eastAsia" w:asciiTheme="minorEastAsia" w:hAnsiTheme="minorEastAsia"/>
                <w:kern w:val="0"/>
                <w:sz w:val="21"/>
                <w:szCs w:val="21"/>
                <w:highlight w:val="none"/>
                <w:lang w:bidi="ar"/>
              </w:rPr>
              <w:t>政策分</w:t>
            </w:r>
          </w:p>
        </w:tc>
        <w:tc>
          <w:tcPr>
            <w:tcW w:w="5103" w:type="dxa"/>
            <w:vAlign w:val="center"/>
          </w:tcPr>
          <w:p w14:paraId="3DC9E137">
            <w:pPr>
              <w:spacing w:line="240" w:lineRule="auto"/>
              <w:rPr>
                <w:rFonts w:hint="eastAsia" w:asciiTheme="minorEastAsia" w:hAnsiTheme="minorEastAsia"/>
                <w:kern w:val="0"/>
                <w:sz w:val="21"/>
                <w:szCs w:val="21"/>
                <w:highlight w:val="none"/>
                <w:lang w:bidi="ar"/>
              </w:rPr>
            </w:pPr>
            <w:r>
              <w:rPr>
                <w:rFonts w:hint="eastAsia" w:asciiTheme="minorEastAsia" w:hAnsiTheme="minorEastAsia"/>
                <w:kern w:val="0"/>
                <w:sz w:val="21"/>
                <w:szCs w:val="21"/>
                <w:highlight w:val="none"/>
                <w:lang w:bidi="ar"/>
              </w:rPr>
              <w:t>投标产品符合财库〔2019〕9号《关于调整优化节能产品、环境标志产品政府采购执行机制的通知》条件，不属于强制采购的产品鼓励使用节能产品，每样得1分，最高得</w:t>
            </w:r>
            <w:r>
              <w:rPr>
                <w:rFonts w:hint="eastAsia" w:asciiTheme="minorEastAsia" w:hAnsiTheme="minorEastAsia"/>
                <w:kern w:val="0"/>
                <w:sz w:val="21"/>
                <w:szCs w:val="21"/>
                <w:highlight w:val="none"/>
                <w:lang w:val="en-US" w:eastAsia="zh-CN" w:bidi="ar"/>
              </w:rPr>
              <w:t>4</w:t>
            </w:r>
            <w:r>
              <w:rPr>
                <w:rFonts w:hint="eastAsia" w:asciiTheme="minorEastAsia" w:hAnsiTheme="minorEastAsia"/>
                <w:kern w:val="0"/>
                <w:sz w:val="21"/>
                <w:szCs w:val="21"/>
                <w:highlight w:val="none"/>
                <w:lang w:bidi="ar"/>
              </w:rPr>
              <w:t>分。（投标时提供证明材料复印件）</w:t>
            </w:r>
          </w:p>
        </w:tc>
        <w:tc>
          <w:tcPr>
            <w:tcW w:w="708" w:type="dxa"/>
            <w:vAlign w:val="center"/>
          </w:tcPr>
          <w:p w14:paraId="54221A5E">
            <w:pPr>
              <w:spacing w:line="240" w:lineRule="auto"/>
              <w:jc w:val="center"/>
              <w:rPr>
                <w:rFonts w:hint="eastAsia" w:eastAsia="宋体" w:asciiTheme="minorEastAsia" w:hAnsiTheme="minorEastAsia"/>
                <w:kern w:val="0"/>
                <w:sz w:val="21"/>
                <w:szCs w:val="21"/>
                <w:highlight w:val="none"/>
                <w:lang w:eastAsia="zh-CN" w:bidi="ar"/>
              </w:rPr>
            </w:pPr>
            <w:r>
              <w:rPr>
                <w:rFonts w:hint="eastAsia" w:asciiTheme="minorEastAsia" w:hAnsiTheme="minorEastAsia"/>
                <w:kern w:val="0"/>
                <w:sz w:val="21"/>
                <w:szCs w:val="21"/>
                <w:highlight w:val="none"/>
                <w:lang w:val="en-US" w:eastAsia="zh-CN" w:bidi="ar"/>
              </w:rPr>
              <w:t>4</w:t>
            </w:r>
          </w:p>
        </w:tc>
      </w:tr>
      <w:tr w14:paraId="30817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1722" w:type="dxa"/>
            <w:vMerge w:val="continue"/>
            <w:vAlign w:val="center"/>
          </w:tcPr>
          <w:p w14:paraId="07B94F08">
            <w:pPr>
              <w:spacing w:line="240" w:lineRule="auto"/>
              <w:jc w:val="center"/>
              <w:rPr>
                <w:rFonts w:asciiTheme="minorEastAsia" w:hAnsiTheme="minorEastAsia"/>
                <w:sz w:val="21"/>
                <w:szCs w:val="21"/>
                <w:highlight w:val="none"/>
              </w:rPr>
            </w:pPr>
          </w:p>
        </w:tc>
        <w:tc>
          <w:tcPr>
            <w:tcW w:w="517" w:type="dxa"/>
            <w:vAlign w:val="center"/>
          </w:tcPr>
          <w:p w14:paraId="02FB09CC">
            <w:pPr>
              <w:spacing w:line="240" w:lineRule="auto"/>
              <w:jc w:val="center"/>
              <w:rPr>
                <w:rFonts w:asciiTheme="minorEastAsia" w:hAnsiTheme="minorEastAsia"/>
                <w:kern w:val="0"/>
                <w:sz w:val="21"/>
                <w:szCs w:val="21"/>
                <w:highlight w:val="none"/>
                <w:lang w:bidi="ar"/>
              </w:rPr>
            </w:pPr>
            <w:r>
              <w:rPr>
                <w:rFonts w:hint="eastAsia" w:asciiTheme="minorEastAsia" w:hAnsiTheme="minorEastAsia"/>
                <w:kern w:val="0"/>
                <w:sz w:val="21"/>
                <w:szCs w:val="21"/>
                <w:highlight w:val="none"/>
                <w:lang w:bidi="ar"/>
              </w:rPr>
              <w:t>12</w:t>
            </w:r>
          </w:p>
        </w:tc>
        <w:tc>
          <w:tcPr>
            <w:tcW w:w="2000" w:type="dxa"/>
            <w:vAlign w:val="center"/>
          </w:tcPr>
          <w:p w14:paraId="44B55880">
            <w:pPr>
              <w:widowControl/>
              <w:adjustRightInd w:val="0"/>
              <w:snapToGrid w:val="0"/>
              <w:spacing w:line="240" w:lineRule="auto"/>
              <w:jc w:val="center"/>
              <w:textAlignment w:val="center"/>
              <w:rPr>
                <w:rFonts w:hint="eastAsia" w:asciiTheme="minorEastAsia" w:hAnsiTheme="minorEastAsia"/>
                <w:bCs/>
                <w:sz w:val="21"/>
                <w:szCs w:val="21"/>
                <w:highlight w:val="none"/>
              </w:rPr>
            </w:pPr>
            <w:r>
              <w:rPr>
                <w:rFonts w:hint="eastAsia" w:asciiTheme="minorEastAsia" w:hAnsiTheme="minorEastAsia"/>
                <w:bCs/>
                <w:sz w:val="21"/>
                <w:szCs w:val="21"/>
                <w:highlight w:val="none"/>
              </w:rPr>
              <w:t>企业资质</w:t>
            </w:r>
          </w:p>
        </w:tc>
        <w:tc>
          <w:tcPr>
            <w:tcW w:w="5103" w:type="dxa"/>
            <w:vAlign w:val="center"/>
          </w:tcPr>
          <w:p w14:paraId="3FED2952">
            <w:pPr>
              <w:widowControl/>
              <w:adjustRightInd w:val="0"/>
              <w:snapToGrid w:val="0"/>
              <w:spacing w:line="240" w:lineRule="auto"/>
              <w:textAlignment w:val="center"/>
              <w:rPr>
                <w:rFonts w:asciiTheme="minorEastAsia" w:hAnsiTheme="minorEastAsia"/>
                <w:bCs/>
                <w:sz w:val="21"/>
                <w:szCs w:val="21"/>
                <w:highlight w:val="none"/>
              </w:rPr>
            </w:pPr>
            <w:r>
              <w:rPr>
                <w:rFonts w:hint="eastAsia" w:asciiTheme="minorEastAsia" w:hAnsiTheme="minorEastAsia"/>
                <w:bCs/>
                <w:sz w:val="21"/>
                <w:szCs w:val="21"/>
                <w:highlight w:val="none"/>
              </w:rPr>
              <w:t>根据</w:t>
            </w:r>
            <w:r>
              <w:rPr>
                <w:rFonts w:hint="eastAsia" w:asciiTheme="minorEastAsia" w:hAnsiTheme="minorEastAsia"/>
                <w:kern w:val="0"/>
                <w:sz w:val="21"/>
                <w:szCs w:val="21"/>
                <w:highlight w:val="none"/>
                <w:lang w:bidi="ar"/>
              </w:rPr>
              <w:t>投标</w:t>
            </w:r>
            <w:r>
              <w:rPr>
                <w:rFonts w:hint="eastAsia" w:asciiTheme="minorEastAsia" w:hAnsiTheme="minorEastAsia"/>
                <w:bCs/>
                <w:sz w:val="21"/>
                <w:szCs w:val="21"/>
                <w:highlight w:val="none"/>
              </w:rPr>
              <w:t>供应商提供的有效期内的认证证书（0-</w:t>
            </w:r>
            <w:r>
              <w:rPr>
                <w:rFonts w:asciiTheme="minorEastAsia" w:hAnsiTheme="minorEastAsia"/>
                <w:bCs/>
                <w:sz w:val="21"/>
                <w:szCs w:val="21"/>
                <w:highlight w:val="none"/>
              </w:rPr>
              <w:t>2</w:t>
            </w:r>
            <w:r>
              <w:rPr>
                <w:rFonts w:hint="eastAsia" w:asciiTheme="minorEastAsia" w:hAnsiTheme="minorEastAsia"/>
                <w:bCs/>
                <w:sz w:val="21"/>
                <w:szCs w:val="21"/>
                <w:highlight w:val="none"/>
              </w:rPr>
              <w:t>分）：1、ISO9001质量管理体系认证、ISO14001环境管理体系认证，每提供一个得</w:t>
            </w:r>
            <w:r>
              <w:rPr>
                <w:rFonts w:hint="eastAsia" w:asciiTheme="minorEastAsia" w:hAnsiTheme="minorEastAsia"/>
                <w:bCs/>
                <w:sz w:val="21"/>
                <w:szCs w:val="21"/>
                <w:highlight w:val="none"/>
                <w:lang w:val="en-US" w:eastAsia="zh-CN"/>
              </w:rPr>
              <w:t>1</w:t>
            </w:r>
            <w:r>
              <w:rPr>
                <w:rFonts w:hint="eastAsia" w:asciiTheme="minorEastAsia" w:hAnsiTheme="minorEastAsia"/>
                <w:bCs/>
                <w:sz w:val="21"/>
                <w:szCs w:val="21"/>
                <w:highlight w:val="none"/>
              </w:rPr>
              <w:t>分。最高得</w:t>
            </w:r>
            <w:r>
              <w:rPr>
                <w:rFonts w:hint="eastAsia" w:asciiTheme="minorEastAsia" w:hAnsiTheme="minorEastAsia"/>
                <w:bCs/>
                <w:sz w:val="21"/>
                <w:szCs w:val="21"/>
                <w:highlight w:val="none"/>
                <w:lang w:val="en-US" w:eastAsia="zh-CN"/>
              </w:rPr>
              <w:t>2</w:t>
            </w:r>
            <w:r>
              <w:rPr>
                <w:rFonts w:hint="eastAsia" w:asciiTheme="minorEastAsia" w:hAnsiTheme="minorEastAsia"/>
                <w:bCs/>
                <w:sz w:val="21"/>
                <w:szCs w:val="21"/>
                <w:highlight w:val="none"/>
              </w:rPr>
              <w:t>分。</w:t>
            </w:r>
          </w:p>
          <w:p w14:paraId="4CA01D95">
            <w:pPr>
              <w:widowControl/>
              <w:adjustRightInd w:val="0"/>
              <w:snapToGrid w:val="0"/>
              <w:spacing w:line="240" w:lineRule="auto"/>
              <w:textAlignment w:val="center"/>
              <w:rPr>
                <w:rFonts w:hint="eastAsia" w:asciiTheme="minorEastAsia" w:hAnsiTheme="minorEastAsia"/>
                <w:bCs/>
                <w:sz w:val="21"/>
                <w:szCs w:val="21"/>
                <w:highlight w:val="none"/>
              </w:rPr>
            </w:pPr>
            <w:r>
              <w:rPr>
                <w:rFonts w:hint="eastAsia" w:asciiTheme="minorEastAsia" w:hAnsiTheme="minorEastAsia"/>
                <w:bCs/>
                <w:sz w:val="21"/>
                <w:szCs w:val="21"/>
                <w:highlight w:val="none"/>
              </w:rPr>
              <w:t>2、投标企业具有高新技术企业证书。得</w:t>
            </w:r>
            <w:r>
              <w:rPr>
                <w:rFonts w:hint="eastAsia" w:asciiTheme="minorEastAsia" w:hAnsiTheme="minorEastAsia"/>
                <w:bCs/>
                <w:sz w:val="21"/>
                <w:szCs w:val="21"/>
                <w:highlight w:val="none"/>
                <w:lang w:val="en-US" w:eastAsia="zh-CN"/>
              </w:rPr>
              <w:t>1</w:t>
            </w:r>
            <w:r>
              <w:rPr>
                <w:rFonts w:hint="eastAsia" w:asciiTheme="minorEastAsia" w:hAnsiTheme="minorEastAsia"/>
                <w:bCs/>
                <w:sz w:val="21"/>
                <w:szCs w:val="21"/>
                <w:highlight w:val="none"/>
              </w:rPr>
              <w:t>分。</w:t>
            </w:r>
          </w:p>
        </w:tc>
        <w:tc>
          <w:tcPr>
            <w:tcW w:w="708" w:type="dxa"/>
            <w:vAlign w:val="center"/>
          </w:tcPr>
          <w:p w14:paraId="1EE979C8">
            <w:pPr>
              <w:widowControl/>
              <w:adjustRightInd w:val="0"/>
              <w:snapToGrid w:val="0"/>
              <w:spacing w:line="240" w:lineRule="auto"/>
              <w:jc w:val="center"/>
              <w:textAlignment w:val="center"/>
              <w:rPr>
                <w:rFonts w:hint="eastAsia" w:eastAsia="宋体" w:asciiTheme="minorEastAsia" w:hAnsiTheme="minorEastAsia"/>
                <w:bCs/>
                <w:sz w:val="21"/>
                <w:szCs w:val="21"/>
                <w:highlight w:val="none"/>
                <w:lang w:eastAsia="zh-CN"/>
              </w:rPr>
            </w:pPr>
            <w:r>
              <w:rPr>
                <w:rFonts w:hint="eastAsia" w:asciiTheme="minorEastAsia" w:hAnsiTheme="minorEastAsia"/>
                <w:bCs/>
                <w:sz w:val="21"/>
                <w:szCs w:val="21"/>
                <w:highlight w:val="none"/>
                <w:lang w:val="en-US" w:eastAsia="zh-CN"/>
              </w:rPr>
              <w:t>3</w:t>
            </w:r>
          </w:p>
        </w:tc>
      </w:tr>
    </w:tbl>
    <w:p w14:paraId="46591C88">
      <w:pPr>
        <w:numPr>
          <w:ilvl w:val="0"/>
          <w:numId w:val="0"/>
        </w:numPr>
        <w:spacing w:line="360" w:lineRule="auto"/>
        <w:rPr>
          <w:rFonts w:hint="eastAsia" w:ascii="宋体" w:hAnsi="宋体" w:eastAsia="宋体" w:cs="Times New Roman"/>
          <w:b/>
          <w:bCs/>
          <w:kern w:val="2"/>
          <w:sz w:val="24"/>
          <w:szCs w:val="24"/>
          <w:highlight w:val="none"/>
          <w:lang w:val="en-US" w:eastAsia="zh-CN" w:bidi="ar-SA"/>
        </w:rPr>
      </w:pPr>
    </w:p>
    <w:p w14:paraId="3443CDEC">
      <w:pPr>
        <w:spacing w:line="360" w:lineRule="auto"/>
        <w:outlineLvl w:val="0"/>
        <w:rPr>
          <w:rFonts w:ascii="宋体" w:hAnsi="宋体" w:cs="宋体"/>
          <w:b/>
          <w:sz w:val="36"/>
          <w:szCs w:val="36"/>
          <w:highlight w:val="none"/>
        </w:rPr>
      </w:pPr>
      <w:r>
        <w:rPr>
          <w:rFonts w:hint="eastAsia" w:ascii="宋体" w:hAnsi="宋体" w:cs="宋体"/>
          <w:b/>
          <w:sz w:val="36"/>
          <w:szCs w:val="36"/>
          <w:highlight w:val="none"/>
        </w:rPr>
        <w:t>三、评标程序</w:t>
      </w:r>
    </w:p>
    <w:p w14:paraId="721E910F">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51963A3F">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14:paraId="4B54D94E">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14:paraId="70DD4BA3">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14:paraId="0AB58E15">
      <w:pPr>
        <w:pStyle w:val="138"/>
        <w:spacing w:before="0"/>
        <w:ind w:firstLine="508" w:firstLineChars="212"/>
        <w:rPr>
          <w:rFonts w:ascii="宋体" w:hAnsi="宋体" w:cs="宋体"/>
          <w:kern w:val="0"/>
          <w:highlight w:val="none"/>
        </w:rPr>
      </w:pPr>
      <w:r>
        <w:rPr>
          <w:rFonts w:hint="eastAsia" w:ascii="宋体" w:hAnsi="宋体" w:cs="宋体"/>
          <w:kern w:val="0"/>
          <w:highlight w:val="none"/>
        </w:rPr>
        <w:t>3.4.1投标文件报价出现前后不一致的，按照下列规定修正：</w:t>
      </w:r>
    </w:p>
    <w:p w14:paraId="1B684E65">
      <w:pPr>
        <w:pStyle w:val="138"/>
        <w:spacing w:before="0"/>
        <w:ind w:firstLine="480"/>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14:paraId="5AD96438">
      <w:pPr>
        <w:pStyle w:val="138"/>
        <w:spacing w:before="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14:paraId="31C92540">
      <w:pPr>
        <w:pStyle w:val="138"/>
        <w:spacing w:before="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14:paraId="40FCD4CB">
      <w:pPr>
        <w:pStyle w:val="138"/>
        <w:spacing w:before="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14:paraId="73335740">
      <w:pPr>
        <w:pStyle w:val="138"/>
        <w:spacing w:before="0"/>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D2E45F4">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14:paraId="35BD4110">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14:paraId="5C8E9174">
      <w:pPr>
        <w:pStyle w:val="138"/>
        <w:spacing w:before="0"/>
        <w:ind w:firstLine="48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775532B">
      <w:pPr>
        <w:pStyle w:val="138"/>
        <w:spacing w:before="0"/>
        <w:ind w:firstLine="480"/>
        <w:rPr>
          <w:rFonts w:ascii="宋体" w:hAnsi="宋体" w:cs="宋体"/>
          <w:kern w:val="0"/>
          <w:szCs w:val="24"/>
          <w:highlight w:val="none"/>
        </w:rPr>
      </w:pPr>
      <w:r>
        <w:rPr>
          <w:rFonts w:hint="eastAsia" w:ascii="宋体" w:hAnsi="宋体" w:cs="宋体"/>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kern w:val="0"/>
          <w:szCs w:val="24"/>
          <w:highlight w:val="none"/>
        </w:rPr>
        <w:t>6</w:t>
      </w:r>
      <w:r>
        <w:rPr>
          <w:rFonts w:hint="eastAsia" w:ascii="宋体" w:hAnsi="宋体" w:cs="宋体"/>
          <w:kern w:val="0"/>
          <w:szCs w:val="24"/>
          <w:highlight w:val="none"/>
        </w:rPr>
        <w:t>%的扣除，用扣除后的价格参加评审。组成联合体或者接受分包的小微企业与联合体内其他企业、分包企业之间存在直接控股、管理关系的，不享受价格扣除优惠政策。</w:t>
      </w:r>
    </w:p>
    <w:p w14:paraId="70B5F49D">
      <w:pPr>
        <w:spacing w:line="360" w:lineRule="auto"/>
        <w:ind w:firstLine="482" w:firstLineChars="200"/>
        <w:rPr>
          <w:rFonts w:hint="eastAsia"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合格供应商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供应商。排名第一的供应商为中标供应商，排名第二的供应商为候补中标供应商，其他供应商中标候选资格依此类推。中标供应商拒绝与采购人签订合同的，采购人可以按照评审报告推荐的中标供应商名单顺序，确定下一候选人为中标供应商，也可以重新开展政府采购活动。评分过程中采用四舍五入法，并保留小数2位。</w:t>
      </w:r>
    </w:p>
    <w:p w14:paraId="6AE43170">
      <w:pPr>
        <w:spacing w:line="360" w:lineRule="auto"/>
        <w:ind w:firstLine="480" w:firstLineChars="200"/>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03E7515">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3527DF1">
      <w:pPr>
        <w:widowControl/>
        <w:shd w:val="clear" w:color="auto" w:fill="FFFFFF"/>
        <w:adjustRightInd/>
        <w:spacing w:after="225" w:line="315" w:lineRule="atLeast"/>
        <w:jc w:val="left"/>
        <w:rPr>
          <w:rFonts w:ascii="宋体" w:hAnsi="宋体" w:cs="宋体"/>
          <w:b/>
          <w:sz w:val="32"/>
          <w:highlight w:val="none"/>
        </w:rPr>
      </w:pPr>
      <w:r>
        <w:rPr>
          <w:rFonts w:hint="eastAsia" w:ascii="宋体" w:hAnsi="宋体" w:cs="宋体"/>
          <w:b/>
          <w:sz w:val="32"/>
          <w:highlight w:val="none"/>
        </w:rPr>
        <w:t>四、评标中的其他事项</w:t>
      </w:r>
    </w:p>
    <w:p w14:paraId="77517795">
      <w:pPr>
        <w:pStyle w:val="138"/>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BC5B46C">
      <w:pPr>
        <w:pStyle w:val="25"/>
        <w:spacing w:line="360" w:lineRule="auto"/>
        <w:ind w:left="954" w:leftChars="226" w:hanging="479" w:firstLineChars="0"/>
        <w:rPr>
          <w:rFonts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14:paraId="2EE219E3">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14:paraId="7F112F3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14:paraId="4A6205DB">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BEC5321">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4.2.4投标文件含有采购人不能接受的附加条件的；</w:t>
      </w:r>
    </w:p>
    <w:p w14:paraId="4C8E7D0E">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14:paraId="65066859">
      <w:pPr>
        <w:snapToGrid w:val="0"/>
        <w:spacing w:line="360" w:lineRule="auto"/>
        <w:ind w:firstLine="120" w:firstLineChars="50"/>
        <w:jc w:val="left"/>
        <w:rPr>
          <w:rFonts w:hint="eastAsia" w:ascii="宋体" w:hAnsi="宋体" w:eastAsia="宋体" w:cs="宋体"/>
          <w:kern w:val="0"/>
          <w:sz w:val="24"/>
          <w:highlight w:val="none"/>
          <w:lang w:eastAsia="zh-CN"/>
        </w:rPr>
      </w:pPr>
      <w:r>
        <w:rPr>
          <w:rFonts w:hint="eastAsia" w:ascii="宋体" w:hAnsi="宋体" w:cs="宋体"/>
          <w:kern w:val="0"/>
          <w:sz w:val="24"/>
          <w:highlight w:val="none"/>
        </w:rPr>
        <w:t xml:space="preserve">   4.2.6投标文件出现不是唯一的、有选择性投标报价的</w:t>
      </w:r>
      <w:r>
        <w:rPr>
          <w:rFonts w:hint="eastAsia" w:ascii="宋体" w:hAnsi="宋体" w:cs="宋体"/>
          <w:kern w:val="0"/>
          <w:sz w:val="24"/>
          <w:highlight w:val="none"/>
          <w:lang w:eastAsia="zh-CN"/>
        </w:rPr>
        <w:t>；</w:t>
      </w:r>
    </w:p>
    <w:p w14:paraId="4D3D2993">
      <w:pPr>
        <w:spacing w:line="360" w:lineRule="auto"/>
        <w:ind w:firstLine="480" w:firstLineChars="200"/>
        <w:rPr>
          <w:rFonts w:hint="eastAsia" w:ascii="宋体" w:hAnsi="宋体" w:eastAsia="宋体" w:cs="宋体"/>
          <w:kern w:val="0"/>
          <w:sz w:val="24"/>
          <w:highlight w:val="none"/>
          <w:lang w:eastAsia="zh-CN"/>
        </w:rPr>
      </w:pPr>
      <w:r>
        <w:rPr>
          <w:rFonts w:hint="eastAsia" w:ascii="宋体" w:hAnsi="宋体" w:cs="宋体"/>
          <w:kern w:val="0"/>
          <w:sz w:val="24"/>
          <w:highlight w:val="none"/>
        </w:rPr>
        <w:t>4.2.7投标报价超过招标文件中规定的预算金额或者最高限价的</w:t>
      </w:r>
      <w:r>
        <w:rPr>
          <w:rFonts w:hint="eastAsia" w:ascii="宋体" w:hAnsi="宋体" w:cs="宋体"/>
          <w:kern w:val="0"/>
          <w:sz w:val="24"/>
          <w:highlight w:val="none"/>
          <w:lang w:eastAsia="zh-CN"/>
        </w:rPr>
        <w:t>；</w:t>
      </w:r>
    </w:p>
    <w:p w14:paraId="78D39164">
      <w:pPr>
        <w:spacing w:line="360" w:lineRule="auto"/>
        <w:ind w:firstLine="480" w:firstLineChars="200"/>
        <w:rPr>
          <w:rFonts w:hint="eastAsia" w:ascii="宋体" w:hAnsi="宋体" w:eastAsia="宋体" w:cs="宋体"/>
          <w:kern w:val="0"/>
          <w:sz w:val="24"/>
          <w:highlight w:val="none"/>
          <w:lang w:eastAsia="zh-CN"/>
        </w:rPr>
      </w:pPr>
      <w:r>
        <w:rPr>
          <w:rFonts w:hint="eastAsia" w:ascii="宋体" w:hAnsi="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kern w:val="0"/>
          <w:sz w:val="24"/>
          <w:highlight w:val="none"/>
          <w:lang w:eastAsia="zh-CN"/>
        </w:rPr>
        <w:t>；</w:t>
      </w:r>
    </w:p>
    <w:p w14:paraId="1D0C1B9B">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4.2.9投标人对根据修正原则修正后的报价不确认的；</w:t>
      </w:r>
    </w:p>
    <w:p w14:paraId="6286C47A">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4.2.10投标人提供虚假材料投标的；</w:t>
      </w:r>
    </w:p>
    <w:p w14:paraId="0FC2AFEA">
      <w:pPr>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xml:space="preserve">  4.2.11投标人有恶意串通、妨碍其他投标人的竞争行为、损害采购人或者其他投标人的合法权益情形的；</w:t>
      </w:r>
    </w:p>
    <w:p w14:paraId="62386EE0">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4.2.12投标人仅提交备份投标文件，未在电子交易平台传输递交投标文件的，投标无效；</w:t>
      </w:r>
    </w:p>
    <w:p w14:paraId="15A88C8C">
      <w:pPr>
        <w:spacing w:line="360" w:lineRule="auto"/>
        <w:ind w:firstLine="482" w:firstLineChars="200"/>
        <w:rPr>
          <w:rFonts w:hint="eastAsia" w:ascii="宋体" w:hAnsi="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4.2.13不同供应商的电子投标（响应）文件上传计算机的网卡MAC地址、CPU序列号和硬盘序列号等硬件信息相同的；</w:t>
      </w:r>
    </w:p>
    <w:p w14:paraId="666995C5">
      <w:pPr>
        <w:spacing w:line="360" w:lineRule="auto"/>
        <w:ind w:firstLine="482" w:firstLineChars="200"/>
        <w:rPr>
          <w:rFonts w:hint="eastAsia" w:ascii="宋体" w:hAnsi="宋体" w:cs="宋体"/>
          <w:b/>
          <w:bCs/>
          <w:kern w:val="0"/>
          <w:sz w:val="24"/>
          <w:highlight w:val="none"/>
          <w:lang w:val="en-US" w:eastAsia="zh-CN"/>
        </w:rPr>
      </w:pPr>
      <w:r>
        <w:rPr>
          <w:rFonts w:hint="eastAsia" w:ascii="宋体" w:hAnsi="宋体" w:cs="宋体"/>
          <w:b/>
          <w:bCs/>
          <w:color w:val="auto"/>
          <w:kern w:val="0"/>
          <w:sz w:val="24"/>
          <w:highlight w:val="none"/>
          <w:lang w:val="en-US" w:eastAsia="zh-CN"/>
        </w:rPr>
        <w:t>4.2.14上传的电子投标（响应）文件若出现使用本项目其他投标（响应）供应商的</w:t>
      </w:r>
      <w:r>
        <w:rPr>
          <w:rFonts w:hint="eastAsia" w:ascii="宋体" w:hAnsi="宋体" w:cs="宋体"/>
          <w:b/>
          <w:bCs/>
          <w:kern w:val="0"/>
          <w:sz w:val="24"/>
          <w:highlight w:val="none"/>
          <w:lang w:val="en-US" w:eastAsia="zh-CN"/>
        </w:rPr>
        <w:t xml:space="preserve">数字证书加息密的，或者加盖本项目其他投标（响应）供应商的电子印章的； </w:t>
      </w:r>
    </w:p>
    <w:p w14:paraId="3CBF234D">
      <w:pPr>
        <w:spacing w:line="360" w:lineRule="auto"/>
        <w:ind w:firstLine="482" w:firstLineChars="200"/>
        <w:rPr>
          <w:rFonts w:hint="eastAsia" w:ascii="宋体" w:hAnsi="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4.2.15不同供应商的投标（响应）文件的内容存在三处（含）以上错误一致，且无法合理解释的；</w:t>
      </w:r>
    </w:p>
    <w:p w14:paraId="3555056C">
      <w:pPr>
        <w:spacing w:line="360" w:lineRule="auto"/>
        <w:ind w:firstLine="482" w:firstLineChars="200"/>
        <w:rPr>
          <w:rFonts w:hint="eastAsia" w:ascii="宋体" w:hAnsi="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 xml:space="preserve">4.2.16不同供应商联系人为同一人或不同联系人的联系电话一致，且无法合理解释的。 </w:t>
      </w:r>
    </w:p>
    <w:p w14:paraId="55A07FA1">
      <w:pPr>
        <w:pStyle w:val="3"/>
        <w:ind w:left="862" w:leftChars="205"/>
        <w:rPr>
          <w:rFonts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w:t>
      </w:r>
      <w:r>
        <w:rPr>
          <w:rFonts w:hint="eastAsia" w:ascii="宋体" w:hAnsi="宋体" w:eastAsia="宋体" w:cs="宋体"/>
          <w:b w:val="0"/>
          <w:bCs w:val="0"/>
          <w:kern w:val="0"/>
          <w:sz w:val="24"/>
          <w:szCs w:val="24"/>
          <w:highlight w:val="none"/>
          <w:lang w:val="en-US" w:eastAsia="zh-CN"/>
        </w:rPr>
        <w:t>7</w:t>
      </w:r>
      <w:r>
        <w:rPr>
          <w:rFonts w:hint="eastAsia" w:ascii="宋体" w:hAnsi="宋体" w:eastAsia="宋体" w:cs="宋体"/>
          <w:b w:val="0"/>
          <w:bCs w:val="0"/>
          <w:kern w:val="0"/>
          <w:sz w:val="24"/>
          <w:szCs w:val="24"/>
          <w:highlight w:val="none"/>
          <w:lang w:val="en-US"/>
        </w:rPr>
        <w:t xml:space="preserve"> 投标文件不满足招标文件的其它实质性要求的；</w:t>
      </w:r>
    </w:p>
    <w:p w14:paraId="0F6C0503">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w:t>
      </w:r>
      <w:r>
        <w:rPr>
          <w:rFonts w:hint="eastAsia" w:ascii="宋体" w:hAnsi="宋体" w:cs="宋体"/>
          <w:kern w:val="0"/>
          <w:sz w:val="24"/>
          <w:highlight w:val="none"/>
          <w:lang w:val="en-US" w:eastAsia="zh-CN"/>
        </w:rPr>
        <w:t>8</w:t>
      </w:r>
      <w:r>
        <w:rPr>
          <w:rFonts w:hint="eastAsia" w:ascii="宋体" w:hAnsi="宋体" w:cs="宋体"/>
          <w:kern w:val="0"/>
          <w:sz w:val="24"/>
          <w:highlight w:val="none"/>
        </w:rPr>
        <w:t>法律、法规、规章（适用本市的）及省级以上规范性文件（适用本市的）规定的其他无效情形。</w:t>
      </w:r>
    </w:p>
    <w:p w14:paraId="4176B6D4">
      <w:pPr>
        <w:pStyle w:val="25"/>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14:paraId="14F7E73E">
      <w:pPr>
        <w:pStyle w:val="25"/>
        <w:snapToGrid w:val="0"/>
        <w:spacing w:line="360" w:lineRule="auto"/>
        <w:rPr>
          <w:rFonts w:cs="宋体"/>
          <w:highlight w:val="none"/>
        </w:rPr>
      </w:pPr>
      <w:r>
        <w:rPr>
          <w:rFonts w:hint="eastAsia" w:cs="宋体"/>
          <w:highlight w:val="none"/>
        </w:rPr>
        <w:t>5.1符合专业条件的供应商或者对招标文件作实质响应的供应商不足3家的；</w:t>
      </w:r>
    </w:p>
    <w:p w14:paraId="5691139C">
      <w:pPr>
        <w:pStyle w:val="25"/>
        <w:snapToGrid w:val="0"/>
        <w:spacing w:line="360" w:lineRule="auto"/>
        <w:rPr>
          <w:rFonts w:cs="宋体"/>
          <w:highlight w:val="none"/>
        </w:rPr>
      </w:pPr>
      <w:r>
        <w:rPr>
          <w:rFonts w:hint="eastAsia" w:cs="宋体"/>
          <w:highlight w:val="none"/>
        </w:rPr>
        <w:t>5.2出现影响采购公正的违法、违规行为的；</w:t>
      </w:r>
    </w:p>
    <w:p w14:paraId="4A2A2488">
      <w:pPr>
        <w:pStyle w:val="25"/>
        <w:snapToGrid w:val="0"/>
        <w:spacing w:line="360" w:lineRule="auto"/>
        <w:rPr>
          <w:rFonts w:cs="宋体"/>
          <w:highlight w:val="none"/>
        </w:rPr>
      </w:pPr>
      <w:r>
        <w:rPr>
          <w:rFonts w:hint="eastAsia" w:cs="宋体"/>
          <w:highlight w:val="none"/>
        </w:rPr>
        <w:t>5.3投标人的报价均超过了采购预算，采购人不能支付的；</w:t>
      </w:r>
    </w:p>
    <w:p w14:paraId="0581AF1A">
      <w:pPr>
        <w:pStyle w:val="25"/>
        <w:snapToGrid w:val="0"/>
        <w:spacing w:line="360" w:lineRule="auto"/>
        <w:rPr>
          <w:rFonts w:cs="宋体"/>
          <w:highlight w:val="none"/>
        </w:rPr>
      </w:pPr>
      <w:r>
        <w:rPr>
          <w:rFonts w:hint="eastAsia" w:cs="宋体"/>
          <w:highlight w:val="none"/>
        </w:rPr>
        <w:t>5.4因重大变故，采购任务取消的。</w:t>
      </w:r>
    </w:p>
    <w:p w14:paraId="21DB3F3D">
      <w:pPr>
        <w:pStyle w:val="25"/>
        <w:snapToGrid w:val="0"/>
        <w:spacing w:line="360" w:lineRule="auto"/>
        <w:rPr>
          <w:rFonts w:cs="宋体"/>
          <w:highlight w:val="none"/>
        </w:rPr>
      </w:pPr>
      <w:r>
        <w:rPr>
          <w:rFonts w:hint="eastAsia" w:cs="宋体"/>
          <w:highlight w:val="none"/>
        </w:rPr>
        <w:t>废标后，采购代理机构应当将废标理由通知所有投标人。</w:t>
      </w:r>
    </w:p>
    <w:p w14:paraId="33FDB8E5">
      <w:pPr>
        <w:pStyle w:val="25"/>
        <w:snapToGrid w:val="0"/>
        <w:spacing w:line="360" w:lineRule="auto"/>
        <w:ind w:firstLine="590" w:firstLineChars="245"/>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98C7D53">
      <w:pPr>
        <w:pStyle w:val="25"/>
        <w:snapToGrid w:val="0"/>
        <w:spacing w:line="360" w:lineRule="auto"/>
        <w:ind w:firstLine="482"/>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14:paraId="5C278B7C">
      <w:pPr>
        <w:pStyle w:val="25"/>
        <w:snapToGrid w:val="0"/>
        <w:spacing w:line="360" w:lineRule="auto"/>
        <w:rPr>
          <w:rFonts w:cs="宋体"/>
          <w:highlight w:val="none"/>
        </w:rPr>
      </w:pPr>
      <w:r>
        <w:rPr>
          <w:rFonts w:hint="eastAsia" w:cs="宋体"/>
          <w:highlight w:val="none"/>
        </w:rPr>
        <w:t>7.1未确定中标供应商的，终止本次政府采购活动，重新开展政府采购活动。</w:t>
      </w:r>
    </w:p>
    <w:p w14:paraId="7C827792">
      <w:pPr>
        <w:pStyle w:val="25"/>
        <w:snapToGrid w:val="0"/>
        <w:spacing w:line="360" w:lineRule="auto"/>
        <w:rPr>
          <w:rFonts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14:paraId="2ADA6630">
      <w:pPr>
        <w:pStyle w:val="25"/>
        <w:snapToGrid w:val="0"/>
        <w:spacing w:line="360" w:lineRule="auto"/>
        <w:rPr>
          <w:rFonts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14:paraId="295FF867">
      <w:pPr>
        <w:pStyle w:val="25"/>
        <w:snapToGrid w:val="0"/>
        <w:spacing w:line="360" w:lineRule="auto"/>
        <w:rPr>
          <w:rFonts w:cs="宋体"/>
          <w:highlight w:val="none"/>
        </w:rPr>
      </w:pPr>
      <w:r>
        <w:rPr>
          <w:rFonts w:hint="eastAsia" w:cs="宋体"/>
          <w:highlight w:val="none"/>
        </w:rPr>
        <w:t>7.4政府采购合同已经履行，给采购人、供应商造成损失的，由责任人承担赔偿责任。</w:t>
      </w:r>
    </w:p>
    <w:p w14:paraId="78C8E1CD">
      <w:pPr>
        <w:pStyle w:val="25"/>
        <w:snapToGrid w:val="0"/>
        <w:spacing w:line="360" w:lineRule="auto"/>
        <w:rPr>
          <w:rFonts w:cs="宋体"/>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4DA90C16">
      <w:pPr>
        <w:pStyle w:val="25"/>
        <w:snapToGrid w:val="0"/>
        <w:spacing w:line="360" w:lineRule="auto"/>
        <w:ind w:firstLine="0" w:firstLineChars="0"/>
        <w:rPr>
          <w:rFonts w:cs="宋体"/>
          <w:highlight w:val="none"/>
        </w:rPr>
      </w:pPr>
    </w:p>
    <w:bookmarkEnd w:id="32"/>
    <w:p w14:paraId="0CE8E2AD">
      <w:pPr>
        <w:pStyle w:val="44"/>
        <w:rPr>
          <w:rFonts w:ascii="宋体" w:hAnsi="宋体" w:cs="宋体"/>
          <w:b/>
          <w:sz w:val="36"/>
          <w:szCs w:val="36"/>
          <w:highlight w:val="none"/>
        </w:rPr>
      </w:pPr>
      <w:bookmarkStart w:id="400" w:name="第五部分"/>
      <w:bookmarkStart w:id="401" w:name="_Toc86217003"/>
    </w:p>
    <w:p w14:paraId="512F4CCC">
      <w:pPr>
        <w:rPr>
          <w:highlight w:val="none"/>
        </w:rPr>
      </w:pPr>
    </w:p>
    <w:p w14:paraId="7F22CE74">
      <w:pPr>
        <w:spacing w:line="360" w:lineRule="auto"/>
        <w:ind w:left="720" w:leftChars="343" w:firstLine="1807" w:firstLineChars="500"/>
        <w:outlineLvl w:val="0"/>
        <w:rPr>
          <w:rFonts w:ascii="宋体" w:hAnsi="宋体" w:cs="宋体"/>
          <w:b/>
          <w:sz w:val="36"/>
          <w:szCs w:val="36"/>
          <w:highlight w:val="none"/>
        </w:rPr>
      </w:pPr>
      <w:r>
        <w:rPr>
          <w:rFonts w:hint="eastAsia" w:ascii="宋体" w:hAnsi="宋体" w:cs="宋体"/>
          <w:b/>
          <w:sz w:val="36"/>
          <w:szCs w:val="36"/>
          <w:highlight w:val="none"/>
        </w:rPr>
        <w:t>第五部分 拟签订的合同文本</w:t>
      </w:r>
    </w:p>
    <w:p w14:paraId="2EA35E31">
      <w:pPr>
        <w:tabs>
          <w:tab w:val="left" w:pos="8306"/>
        </w:tabs>
        <w:spacing w:line="360" w:lineRule="auto"/>
        <w:ind w:right="84" w:firstLine="3253" w:firstLineChars="900"/>
        <w:rPr>
          <w:rFonts w:hint="eastAsia" w:eastAsia="方正小标宋简体"/>
          <w:b/>
          <w:sz w:val="36"/>
          <w:szCs w:val="36"/>
          <w:highlight w:val="none"/>
        </w:rPr>
      </w:pPr>
      <w:r>
        <w:rPr>
          <w:rFonts w:hint="eastAsia" w:eastAsia="方正小标宋简体"/>
          <w:b/>
          <w:sz w:val="36"/>
          <w:szCs w:val="36"/>
          <w:highlight w:val="none"/>
        </w:rPr>
        <w:t>货物采购合同（指引）</w:t>
      </w:r>
    </w:p>
    <w:p w14:paraId="1B2675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highlight w:val="none"/>
        </w:rPr>
      </w:pPr>
      <w:r>
        <w:rPr>
          <w:rFonts w:hint="eastAsia" w:ascii="宋体" w:hAnsi="宋体" w:cs="Arial"/>
          <w:kern w:val="0"/>
          <w:sz w:val="24"/>
          <w:highlight w:val="none"/>
        </w:rPr>
        <w:t>合同编号：</w:t>
      </w:r>
      <w:r>
        <w:rPr>
          <w:rFonts w:ascii="宋体" w:hAnsi="宋体" w:cs="Arial"/>
          <w:kern w:val="0"/>
          <w:sz w:val="24"/>
          <w:highlight w:val="none"/>
        </w:rPr>
        <w:t xml:space="preserve"> </w:t>
      </w:r>
    </w:p>
    <w:p w14:paraId="01DD2A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 w:val="24"/>
          <w:highlight w:val="none"/>
        </w:rPr>
      </w:pPr>
      <w:r>
        <w:rPr>
          <w:rFonts w:hint="eastAsia" w:ascii="宋体" w:hAnsi="宋体" w:cs="Arial"/>
          <w:kern w:val="0"/>
          <w:sz w:val="24"/>
          <w:highlight w:val="none"/>
        </w:rPr>
        <w:t>项目名称：</w:t>
      </w:r>
    </w:p>
    <w:p w14:paraId="21FEC7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Arial"/>
          <w:kern w:val="0"/>
          <w:sz w:val="24"/>
          <w:highlight w:val="none"/>
          <w:lang w:val="en-US" w:eastAsia="zh-CN"/>
        </w:rPr>
      </w:pPr>
      <w:r>
        <w:rPr>
          <w:rFonts w:hint="eastAsia" w:ascii="宋体" w:hAnsi="宋体" w:cs="Arial"/>
          <w:kern w:val="0"/>
          <w:sz w:val="24"/>
          <w:highlight w:val="none"/>
        </w:rPr>
        <w:t>项目编号：</w:t>
      </w:r>
      <w:r>
        <w:rPr>
          <w:rFonts w:hint="eastAsia" w:ascii="宋体" w:hAnsi="宋体" w:cs="Arial"/>
          <w:kern w:val="0"/>
          <w:sz w:val="24"/>
          <w:highlight w:val="none"/>
          <w:lang w:eastAsia="zh-CN"/>
        </w:rPr>
        <w:t>ZJFLCX-2025-37</w:t>
      </w:r>
    </w:p>
    <w:p w14:paraId="7F8FD5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 w:val="24"/>
          <w:highlight w:val="none"/>
        </w:rPr>
      </w:pPr>
      <w:r>
        <w:rPr>
          <w:rFonts w:hint="eastAsia" w:ascii="宋体" w:hAnsi="宋体" w:cs="Arial"/>
          <w:kern w:val="0"/>
          <w:sz w:val="24"/>
          <w:highlight w:val="none"/>
        </w:rPr>
        <w:t>政府采购计划（预算）确认书号：</w:t>
      </w:r>
    </w:p>
    <w:p w14:paraId="54B54D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 w:val="24"/>
          <w:highlight w:val="none"/>
        </w:rPr>
      </w:pPr>
      <w:r>
        <w:rPr>
          <w:rFonts w:hint="eastAsia" w:ascii="宋体" w:hAnsi="宋体" w:cs="Arial"/>
          <w:kern w:val="0"/>
          <w:sz w:val="24"/>
          <w:highlight w:val="none"/>
        </w:rPr>
        <w:t>采购单位（以下称甲方）：</w:t>
      </w:r>
    </w:p>
    <w:p w14:paraId="59CEEA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 w:val="24"/>
          <w:highlight w:val="none"/>
        </w:rPr>
      </w:pPr>
      <w:r>
        <w:rPr>
          <w:rFonts w:hint="eastAsia" w:ascii="宋体" w:hAnsi="宋体" w:cs="Arial"/>
          <w:kern w:val="0"/>
          <w:sz w:val="24"/>
          <w:highlight w:val="none"/>
        </w:rPr>
        <w:t>供应商（以下称乙方）：</w:t>
      </w:r>
    </w:p>
    <w:p w14:paraId="564107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Arial"/>
          <w:kern w:val="0"/>
          <w:sz w:val="24"/>
          <w:highlight w:val="none"/>
          <w:lang w:eastAsia="zh-CN"/>
        </w:rPr>
      </w:pPr>
      <w:r>
        <w:rPr>
          <w:rFonts w:hint="eastAsia" w:ascii="宋体" w:hAnsi="宋体" w:cs="Arial"/>
          <w:kern w:val="0"/>
          <w:sz w:val="24"/>
          <w:highlight w:val="none"/>
        </w:rPr>
        <w:t>采购代理机构：</w:t>
      </w:r>
      <w:r>
        <w:rPr>
          <w:rFonts w:hint="eastAsia" w:ascii="宋体" w:hAnsi="宋体" w:cs="Arial"/>
          <w:kern w:val="0"/>
          <w:sz w:val="24"/>
          <w:highlight w:val="none"/>
          <w:lang w:eastAsia="zh-CN"/>
        </w:rPr>
        <w:t>浙江富力诚欣工程顾问有限公司</w:t>
      </w:r>
    </w:p>
    <w:p w14:paraId="709C65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highlight w:val="none"/>
        </w:rPr>
      </w:pPr>
      <w:r>
        <w:rPr>
          <w:rFonts w:hint="eastAsia" w:ascii="宋体" w:hAnsi="宋体" w:cs="Arial"/>
          <w:kern w:val="0"/>
          <w:sz w:val="24"/>
          <w:highlight w:val="none"/>
        </w:rPr>
        <w:t>采购方式：</w:t>
      </w:r>
      <w:r>
        <w:rPr>
          <w:rFonts w:hint="eastAsia" w:ascii="宋体" w:hAnsi="宋体" w:cs="Arial"/>
          <w:kern w:val="0"/>
          <w:sz w:val="24"/>
          <w:highlight w:val="none"/>
          <w:lang w:eastAsia="zh-CN"/>
        </w:rPr>
        <w:t>竞争性磋商</w:t>
      </w:r>
      <w:r>
        <w:rPr>
          <w:rFonts w:ascii="宋体" w:hAnsi="宋体" w:cs="Arial"/>
          <w:kern w:val="0"/>
          <w:sz w:val="24"/>
          <w:highlight w:val="none"/>
        </w:rPr>
        <w:t xml:space="preserve"> </w:t>
      </w:r>
    </w:p>
    <w:p w14:paraId="7554A8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imes New Roman" w:hAnsi="Times New Roman"/>
          <w:highlight w:val="none"/>
        </w:rPr>
      </w:pPr>
      <w:r>
        <w:rPr>
          <w:rFonts w:hint="eastAsia" w:ascii="宋体" w:hAnsi="宋体" w:eastAsia="宋体" w:cs="Arial"/>
          <w:snapToGrid/>
          <w:kern w:val="0"/>
          <w:sz w:val="24"/>
          <w:szCs w:val="24"/>
          <w:highlight w:val="none"/>
          <w:lang w:val="en-US" w:eastAsia="zh-CN" w:bidi="ar-SA"/>
        </w:rPr>
        <w:t>甲、乙双方根据</w:t>
      </w:r>
      <w:r>
        <w:rPr>
          <w:rFonts w:hint="eastAsia" w:ascii="宋体" w:hAnsi="宋体" w:cs="Arial"/>
          <w:snapToGrid/>
          <w:kern w:val="0"/>
          <w:sz w:val="24"/>
          <w:szCs w:val="24"/>
          <w:highlight w:val="none"/>
          <w:u w:val="single"/>
          <w:lang w:val="en-US" w:eastAsia="zh-CN" w:bidi="ar-SA"/>
        </w:rPr>
        <w:t xml:space="preserve">                      </w:t>
      </w:r>
      <w:r>
        <w:rPr>
          <w:rFonts w:hint="eastAsia" w:hAnsi="宋体" w:cs="Arial"/>
          <w:snapToGrid/>
          <w:kern w:val="0"/>
          <w:sz w:val="24"/>
          <w:szCs w:val="24"/>
          <w:highlight w:val="none"/>
          <w:u w:val="single"/>
          <w:lang w:val="en-US" w:eastAsia="zh-CN" w:bidi="ar-SA"/>
        </w:rPr>
        <w:t>竞争性磋商</w:t>
      </w:r>
      <w:r>
        <w:rPr>
          <w:rFonts w:hint="eastAsia" w:ascii="宋体" w:hAnsi="宋体" w:eastAsia="宋体" w:cs="Arial"/>
          <w:snapToGrid/>
          <w:kern w:val="0"/>
          <w:sz w:val="24"/>
          <w:szCs w:val="24"/>
          <w:highlight w:val="none"/>
          <w:lang w:val="en-US" w:eastAsia="zh-CN" w:bidi="ar-SA"/>
        </w:rPr>
        <w:t>采购的结果，依据相应的招标文件、投标文件，签署本合同。</w:t>
      </w:r>
    </w:p>
    <w:p w14:paraId="060A04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kern w:val="0"/>
          <w:sz w:val="24"/>
          <w:highlight w:val="none"/>
        </w:rPr>
      </w:pPr>
      <w:r>
        <w:rPr>
          <w:rFonts w:hint="eastAsia" w:ascii="宋体" w:hAnsi="宋体" w:cs="Arial"/>
          <w:b/>
          <w:kern w:val="0"/>
          <w:sz w:val="24"/>
          <w:highlight w:val="none"/>
        </w:rPr>
        <w:t>一、 合同组成</w:t>
      </w:r>
    </w:p>
    <w:p w14:paraId="06176E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 w:val="24"/>
          <w:highlight w:val="none"/>
        </w:rPr>
      </w:pPr>
      <w:r>
        <w:rPr>
          <w:rFonts w:hint="eastAsia" w:ascii="宋体" w:hAnsi="宋体" w:cs="Arial"/>
          <w:kern w:val="0"/>
          <w:sz w:val="24"/>
          <w:highlight w:val="none"/>
        </w:rPr>
        <w:t>本次采购活动的相关文件为本合同的组成部分，与本合同具有同等法律效力,这些文件包括但不限于：</w:t>
      </w:r>
    </w:p>
    <w:p w14:paraId="44F1E863">
      <w:pPr>
        <w:spacing w:line="360" w:lineRule="auto"/>
        <w:ind w:firstLine="480" w:firstLineChars="200"/>
        <w:jc w:val="left"/>
        <w:rPr>
          <w:rFonts w:ascii="宋体" w:hAnsi="宋体" w:cs="Arial"/>
          <w:kern w:val="0"/>
          <w:sz w:val="24"/>
          <w:highlight w:val="none"/>
        </w:rPr>
      </w:pPr>
      <w:r>
        <w:rPr>
          <w:rFonts w:ascii="宋体" w:hAnsi="宋体" w:cs="Arial"/>
          <w:kern w:val="0"/>
          <w:sz w:val="24"/>
          <w:highlight w:val="none"/>
        </w:rPr>
        <w:t>1.</w:t>
      </w:r>
      <w:r>
        <w:rPr>
          <w:rFonts w:hint="eastAsia" w:ascii="宋体" w:hAnsi="宋体" w:cs="Arial"/>
          <w:kern w:val="0"/>
          <w:sz w:val="24"/>
          <w:highlight w:val="none"/>
        </w:rPr>
        <w:t>甲方的采购文件与采购补充文件。</w:t>
      </w:r>
    </w:p>
    <w:p w14:paraId="1F2171F3">
      <w:pPr>
        <w:spacing w:line="360" w:lineRule="auto"/>
        <w:ind w:firstLine="480" w:firstLineChars="200"/>
        <w:jc w:val="left"/>
        <w:rPr>
          <w:rFonts w:ascii="宋体" w:hAnsi="宋体" w:cs="Arial"/>
          <w:kern w:val="0"/>
          <w:sz w:val="24"/>
          <w:highlight w:val="none"/>
        </w:rPr>
      </w:pPr>
      <w:r>
        <w:rPr>
          <w:rFonts w:ascii="宋体" w:hAnsi="宋体" w:cs="Arial"/>
          <w:kern w:val="0"/>
          <w:sz w:val="24"/>
          <w:highlight w:val="none"/>
        </w:rPr>
        <w:t>2.</w:t>
      </w:r>
      <w:r>
        <w:rPr>
          <w:rFonts w:hint="eastAsia" w:ascii="宋体" w:hAnsi="宋体" w:cs="Arial"/>
          <w:kern w:val="0"/>
          <w:sz w:val="24"/>
          <w:highlight w:val="none"/>
        </w:rPr>
        <w:t>成交供应商投标文件。</w:t>
      </w:r>
    </w:p>
    <w:p w14:paraId="55406D1B">
      <w:pPr>
        <w:spacing w:line="360" w:lineRule="auto"/>
        <w:ind w:firstLine="480" w:firstLineChars="200"/>
        <w:jc w:val="left"/>
        <w:rPr>
          <w:rFonts w:ascii="宋体" w:hAnsi="宋体" w:cs="Arial"/>
          <w:kern w:val="0"/>
          <w:sz w:val="24"/>
          <w:highlight w:val="none"/>
        </w:rPr>
      </w:pPr>
      <w:r>
        <w:rPr>
          <w:rFonts w:ascii="宋体" w:hAnsi="宋体" w:cs="Arial"/>
          <w:kern w:val="0"/>
          <w:sz w:val="24"/>
          <w:highlight w:val="none"/>
        </w:rPr>
        <w:t>3.</w:t>
      </w:r>
      <w:r>
        <w:rPr>
          <w:rFonts w:hint="eastAsia" w:ascii="宋体" w:hAnsi="宋体" w:cs="Arial"/>
          <w:kern w:val="0"/>
          <w:sz w:val="24"/>
          <w:highlight w:val="none"/>
        </w:rPr>
        <w:t>答疑纪要和承诺书。</w:t>
      </w:r>
    </w:p>
    <w:p w14:paraId="304D82D0">
      <w:pPr>
        <w:spacing w:line="360" w:lineRule="auto"/>
        <w:ind w:firstLine="480" w:firstLineChars="200"/>
        <w:jc w:val="left"/>
        <w:rPr>
          <w:rFonts w:hint="eastAsia" w:ascii="宋体" w:hAnsi="宋体" w:cs="Arial"/>
          <w:kern w:val="0"/>
          <w:sz w:val="24"/>
          <w:highlight w:val="none"/>
        </w:rPr>
      </w:pPr>
      <w:r>
        <w:rPr>
          <w:rFonts w:ascii="宋体" w:hAnsi="宋体" w:cs="Arial"/>
          <w:kern w:val="0"/>
          <w:sz w:val="24"/>
          <w:highlight w:val="none"/>
        </w:rPr>
        <w:t>4.</w:t>
      </w:r>
      <w:r>
        <w:rPr>
          <w:rFonts w:hint="eastAsia" w:ascii="宋体" w:hAnsi="宋体" w:cs="Arial"/>
          <w:kern w:val="0"/>
          <w:sz w:val="24"/>
          <w:highlight w:val="none"/>
        </w:rPr>
        <w:t>中标通知书。</w:t>
      </w:r>
    </w:p>
    <w:p w14:paraId="14917440">
      <w:pPr>
        <w:spacing w:line="380" w:lineRule="exact"/>
        <w:ind w:firstLine="480" w:firstLineChars="200"/>
        <w:jc w:val="left"/>
        <w:rPr>
          <w:rFonts w:hint="eastAsia" w:ascii="宋体" w:hAnsi="宋体" w:cs="Arial"/>
          <w:kern w:val="0"/>
          <w:sz w:val="24"/>
          <w:highlight w:val="none"/>
        </w:rPr>
      </w:pPr>
      <w:r>
        <w:rPr>
          <w:rFonts w:hint="eastAsia" w:ascii="宋体" w:hAnsi="宋体" w:cs="Arial"/>
          <w:kern w:val="0"/>
          <w:sz w:val="24"/>
          <w:highlight w:val="none"/>
        </w:rPr>
        <w:t>组成本合同的所有文件必须为书面形式。组成本合同的文件的优先顺序为：（1）本合同；（2）答疑纪要和承诺书；（3）甲方的采购文件与采购补充文件；（4）中标通知书；（5）成交供应商投标文件。</w:t>
      </w:r>
    </w:p>
    <w:p w14:paraId="7A2DF244">
      <w:pPr>
        <w:pStyle w:val="33"/>
        <w:numPr>
          <w:ilvl w:val="0"/>
          <w:numId w:val="6"/>
        </w:numPr>
        <w:snapToGrid w:val="0"/>
        <w:spacing w:beforeLines="0" w:afterLines="0" w:line="360" w:lineRule="auto"/>
        <w:rPr>
          <w:rFonts w:ascii="Times New Roman" w:hAnsi="Times New Roman"/>
          <w:b/>
          <w:sz w:val="28"/>
          <w:szCs w:val="28"/>
          <w:highlight w:val="none"/>
        </w:rPr>
      </w:pPr>
      <w:r>
        <w:rPr>
          <w:rFonts w:ascii="Times New Roman" w:hAnsi="Times New Roman"/>
          <w:b/>
          <w:sz w:val="28"/>
          <w:szCs w:val="28"/>
          <w:highlight w:val="none"/>
        </w:rPr>
        <w:t>货物内容</w:t>
      </w:r>
    </w:p>
    <w:p w14:paraId="0B52F3AF">
      <w:pPr>
        <w:pStyle w:val="33"/>
        <w:widowControl/>
        <w:adjustRightInd w:val="0"/>
        <w:snapToGrid w:val="0"/>
        <w:spacing w:line="460" w:lineRule="exact"/>
        <w:ind w:firstLine="511" w:firstLineChars="213"/>
        <w:jc w:val="center"/>
        <w:rPr>
          <w:rFonts w:hint="eastAsia" w:ascii="宋体" w:hAnsi="宋体" w:eastAsia="宋体" w:cs="Arial"/>
          <w:snapToGrid/>
          <w:kern w:val="0"/>
          <w:sz w:val="24"/>
          <w:szCs w:val="24"/>
          <w:highlight w:val="none"/>
          <w:lang w:val="en-US" w:eastAsia="zh-CN" w:bidi="ar-SA"/>
        </w:rPr>
      </w:pPr>
      <w:r>
        <w:rPr>
          <w:rFonts w:hint="eastAsia" w:hAnsi="宋体" w:cs="Arial"/>
          <w:snapToGrid/>
          <w:kern w:val="0"/>
          <w:sz w:val="24"/>
          <w:szCs w:val="24"/>
          <w:highlight w:val="none"/>
          <w:lang w:val="en-US" w:eastAsia="zh-CN" w:bidi="ar-SA"/>
        </w:rPr>
        <w:t xml:space="preserve">                                                   </w:t>
      </w:r>
      <w:r>
        <w:rPr>
          <w:rFonts w:hint="eastAsia" w:ascii="宋体" w:hAnsi="宋体" w:eastAsia="宋体" w:cs="Arial"/>
          <w:snapToGrid/>
          <w:kern w:val="0"/>
          <w:sz w:val="24"/>
          <w:szCs w:val="24"/>
          <w:highlight w:val="none"/>
          <w:lang w:val="en-US" w:eastAsia="zh-CN" w:bidi="ar-SA"/>
        </w:rPr>
        <w:t xml:space="preserve">金额单位：元 </w:t>
      </w:r>
    </w:p>
    <w:tbl>
      <w:tblPr>
        <w:tblStyle w:val="65"/>
        <w:tblW w:w="8687" w:type="dxa"/>
        <w:jc w:val="center"/>
        <w:tblLayout w:type="fixed"/>
        <w:tblCellMar>
          <w:top w:w="0" w:type="dxa"/>
          <w:left w:w="108" w:type="dxa"/>
          <w:bottom w:w="0" w:type="dxa"/>
          <w:right w:w="108" w:type="dxa"/>
        </w:tblCellMar>
      </w:tblPr>
      <w:tblGrid>
        <w:gridCol w:w="663"/>
        <w:gridCol w:w="1220"/>
        <w:gridCol w:w="1417"/>
        <w:gridCol w:w="1540"/>
        <w:gridCol w:w="1230"/>
        <w:gridCol w:w="1245"/>
        <w:gridCol w:w="1372"/>
      </w:tblGrid>
      <w:tr w14:paraId="4C901DA8">
        <w:tblPrEx>
          <w:tblCellMar>
            <w:top w:w="0" w:type="dxa"/>
            <w:left w:w="108" w:type="dxa"/>
            <w:bottom w:w="0" w:type="dxa"/>
            <w:right w:w="108" w:type="dxa"/>
          </w:tblCellMar>
        </w:tblPrEx>
        <w:trPr>
          <w:trHeight w:val="968" w:hRule="atLeast"/>
          <w:jc w:val="center"/>
        </w:trPr>
        <w:tc>
          <w:tcPr>
            <w:tcW w:w="663" w:type="dxa"/>
            <w:tcBorders>
              <w:top w:val="single" w:color="auto" w:sz="8" w:space="0"/>
              <w:left w:val="single" w:color="auto" w:sz="8" w:space="0"/>
              <w:bottom w:val="single" w:color="auto" w:sz="8" w:space="0"/>
              <w:right w:val="single" w:color="auto" w:sz="8" w:space="0"/>
            </w:tcBorders>
            <w:noWrap w:val="0"/>
            <w:vAlign w:val="center"/>
          </w:tcPr>
          <w:p w14:paraId="1B99A620">
            <w:pPr>
              <w:widowControl/>
              <w:jc w:val="center"/>
              <w:rPr>
                <w:rFonts w:hint="eastAsia"/>
                <w:b/>
                <w:bCs/>
                <w:kern w:val="0"/>
                <w:szCs w:val="21"/>
                <w:highlight w:val="none"/>
              </w:rPr>
            </w:pPr>
            <w:r>
              <w:rPr>
                <w:rFonts w:hint="eastAsia"/>
                <w:b/>
                <w:bCs/>
                <w:kern w:val="0"/>
                <w:szCs w:val="21"/>
                <w:highlight w:val="none"/>
              </w:rPr>
              <w:t>序号</w:t>
            </w:r>
          </w:p>
        </w:tc>
        <w:tc>
          <w:tcPr>
            <w:tcW w:w="1220" w:type="dxa"/>
            <w:tcBorders>
              <w:top w:val="single" w:color="auto" w:sz="8" w:space="0"/>
              <w:left w:val="single" w:color="auto" w:sz="8" w:space="0"/>
              <w:bottom w:val="single" w:color="auto" w:sz="8" w:space="0"/>
              <w:right w:val="single" w:color="auto" w:sz="8" w:space="0"/>
            </w:tcBorders>
            <w:noWrap w:val="0"/>
            <w:vAlign w:val="center"/>
          </w:tcPr>
          <w:p w14:paraId="6BE80FC1">
            <w:pPr>
              <w:widowControl/>
              <w:jc w:val="center"/>
              <w:rPr>
                <w:b/>
                <w:bCs/>
                <w:kern w:val="0"/>
                <w:szCs w:val="21"/>
                <w:highlight w:val="none"/>
              </w:rPr>
            </w:pPr>
            <w:r>
              <w:rPr>
                <w:rFonts w:hint="eastAsia"/>
                <w:b/>
                <w:bCs/>
                <w:kern w:val="0"/>
                <w:szCs w:val="21"/>
                <w:highlight w:val="none"/>
              </w:rPr>
              <w:t>名称</w:t>
            </w:r>
          </w:p>
        </w:tc>
        <w:tc>
          <w:tcPr>
            <w:tcW w:w="1417" w:type="dxa"/>
            <w:tcBorders>
              <w:top w:val="single" w:color="auto" w:sz="8" w:space="0"/>
              <w:left w:val="nil"/>
              <w:bottom w:val="single" w:color="auto" w:sz="8" w:space="0"/>
              <w:right w:val="single" w:color="auto" w:sz="4" w:space="0"/>
            </w:tcBorders>
            <w:noWrap w:val="0"/>
            <w:vAlign w:val="center"/>
          </w:tcPr>
          <w:p w14:paraId="3BFAD7E6">
            <w:pPr>
              <w:widowControl/>
              <w:jc w:val="center"/>
              <w:rPr>
                <w:rFonts w:hint="eastAsia"/>
                <w:b/>
                <w:bCs/>
                <w:kern w:val="0"/>
                <w:szCs w:val="21"/>
                <w:highlight w:val="none"/>
              </w:rPr>
            </w:pPr>
            <w:r>
              <w:rPr>
                <w:rFonts w:hint="eastAsia"/>
                <w:b/>
                <w:bCs/>
                <w:kern w:val="0"/>
                <w:szCs w:val="21"/>
                <w:highlight w:val="none"/>
                <w:lang w:val="en-US" w:eastAsia="zh-CN"/>
              </w:rPr>
              <w:t>参数</w:t>
            </w:r>
          </w:p>
        </w:tc>
        <w:tc>
          <w:tcPr>
            <w:tcW w:w="1540" w:type="dxa"/>
            <w:tcBorders>
              <w:top w:val="single" w:color="auto" w:sz="8" w:space="0"/>
              <w:left w:val="single" w:color="auto" w:sz="4" w:space="0"/>
              <w:bottom w:val="single" w:color="auto" w:sz="8" w:space="0"/>
              <w:right w:val="single" w:color="auto" w:sz="8" w:space="0"/>
            </w:tcBorders>
            <w:noWrap w:val="0"/>
            <w:vAlign w:val="center"/>
          </w:tcPr>
          <w:p w14:paraId="16FCDD7A">
            <w:pPr>
              <w:widowControl/>
              <w:jc w:val="center"/>
              <w:rPr>
                <w:rFonts w:hint="default" w:eastAsia="宋体"/>
                <w:b/>
                <w:bCs/>
                <w:kern w:val="0"/>
                <w:szCs w:val="21"/>
                <w:highlight w:val="none"/>
                <w:lang w:val="en-US" w:eastAsia="zh-CN"/>
              </w:rPr>
            </w:pPr>
            <w:r>
              <w:rPr>
                <w:rFonts w:hint="eastAsia"/>
                <w:b/>
                <w:bCs/>
                <w:kern w:val="0"/>
                <w:szCs w:val="21"/>
                <w:highlight w:val="none"/>
                <w:lang w:val="en-US" w:eastAsia="zh-CN"/>
              </w:rPr>
              <w:t>单位</w:t>
            </w:r>
          </w:p>
        </w:tc>
        <w:tc>
          <w:tcPr>
            <w:tcW w:w="1230" w:type="dxa"/>
            <w:tcBorders>
              <w:top w:val="single" w:color="auto" w:sz="8" w:space="0"/>
              <w:left w:val="nil"/>
              <w:bottom w:val="single" w:color="auto" w:sz="8" w:space="0"/>
              <w:right w:val="single" w:color="auto" w:sz="8" w:space="0"/>
            </w:tcBorders>
            <w:noWrap w:val="0"/>
            <w:vAlign w:val="center"/>
          </w:tcPr>
          <w:p w14:paraId="28BD8E27">
            <w:pPr>
              <w:widowControl/>
              <w:jc w:val="center"/>
              <w:rPr>
                <w:rFonts w:hint="eastAsia"/>
                <w:b/>
                <w:bCs/>
                <w:kern w:val="0"/>
                <w:szCs w:val="21"/>
                <w:highlight w:val="none"/>
              </w:rPr>
            </w:pPr>
            <w:r>
              <w:rPr>
                <w:rFonts w:hint="eastAsia"/>
                <w:b/>
                <w:bCs/>
                <w:kern w:val="0"/>
                <w:szCs w:val="21"/>
                <w:highlight w:val="none"/>
              </w:rPr>
              <w:t>数量</w:t>
            </w:r>
          </w:p>
        </w:tc>
        <w:tc>
          <w:tcPr>
            <w:tcW w:w="1245" w:type="dxa"/>
            <w:tcBorders>
              <w:top w:val="single" w:color="auto" w:sz="8" w:space="0"/>
              <w:left w:val="nil"/>
              <w:bottom w:val="single" w:color="auto" w:sz="8" w:space="0"/>
              <w:right w:val="single" w:color="auto" w:sz="8" w:space="0"/>
            </w:tcBorders>
            <w:noWrap w:val="0"/>
            <w:vAlign w:val="center"/>
          </w:tcPr>
          <w:p w14:paraId="16A1379A">
            <w:pPr>
              <w:jc w:val="center"/>
              <w:rPr>
                <w:rFonts w:hint="eastAsia"/>
                <w:b/>
                <w:bCs/>
                <w:kern w:val="0"/>
                <w:szCs w:val="21"/>
                <w:highlight w:val="none"/>
              </w:rPr>
            </w:pPr>
            <w:r>
              <w:rPr>
                <w:rFonts w:hint="eastAsia"/>
                <w:b/>
                <w:bCs/>
                <w:kern w:val="0"/>
                <w:szCs w:val="21"/>
                <w:highlight w:val="none"/>
              </w:rPr>
              <w:t>单价</w:t>
            </w:r>
          </w:p>
        </w:tc>
        <w:tc>
          <w:tcPr>
            <w:tcW w:w="1372" w:type="dxa"/>
            <w:tcBorders>
              <w:top w:val="single" w:color="auto" w:sz="8" w:space="0"/>
              <w:left w:val="nil"/>
              <w:bottom w:val="single" w:color="auto" w:sz="8" w:space="0"/>
              <w:right w:val="single" w:color="auto" w:sz="8" w:space="0"/>
            </w:tcBorders>
            <w:noWrap w:val="0"/>
            <w:vAlign w:val="center"/>
          </w:tcPr>
          <w:p w14:paraId="02F69E0D">
            <w:pPr>
              <w:widowControl/>
              <w:jc w:val="center"/>
              <w:rPr>
                <w:b/>
                <w:bCs/>
                <w:kern w:val="0"/>
                <w:szCs w:val="21"/>
                <w:highlight w:val="none"/>
              </w:rPr>
            </w:pPr>
            <w:r>
              <w:rPr>
                <w:rFonts w:hint="eastAsia"/>
                <w:b/>
                <w:bCs/>
                <w:kern w:val="0"/>
                <w:szCs w:val="21"/>
                <w:highlight w:val="none"/>
              </w:rPr>
              <w:t>总价</w:t>
            </w:r>
          </w:p>
        </w:tc>
      </w:tr>
      <w:tr w14:paraId="1365DE87">
        <w:tblPrEx>
          <w:tblCellMar>
            <w:top w:w="0" w:type="dxa"/>
            <w:left w:w="108" w:type="dxa"/>
            <w:bottom w:w="0" w:type="dxa"/>
            <w:right w:w="108" w:type="dxa"/>
          </w:tblCellMar>
        </w:tblPrEx>
        <w:trPr>
          <w:trHeight w:val="968" w:hRule="atLeast"/>
          <w:jc w:val="center"/>
        </w:trPr>
        <w:tc>
          <w:tcPr>
            <w:tcW w:w="663" w:type="dxa"/>
            <w:tcBorders>
              <w:top w:val="single" w:color="auto" w:sz="8" w:space="0"/>
              <w:left w:val="single" w:color="auto" w:sz="8" w:space="0"/>
              <w:bottom w:val="single" w:color="auto" w:sz="8" w:space="0"/>
              <w:right w:val="single" w:color="auto" w:sz="8" w:space="0"/>
            </w:tcBorders>
            <w:noWrap w:val="0"/>
            <w:vAlign w:val="center"/>
          </w:tcPr>
          <w:p w14:paraId="1F3AFFD1">
            <w:pPr>
              <w:snapToGrid w:val="0"/>
              <w:spacing w:before="50" w:after="50"/>
              <w:jc w:val="center"/>
              <w:rPr>
                <w:b/>
                <w:bCs/>
                <w:kern w:val="0"/>
                <w:szCs w:val="21"/>
                <w:highlight w:val="none"/>
              </w:rPr>
            </w:pPr>
          </w:p>
        </w:tc>
        <w:tc>
          <w:tcPr>
            <w:tcW w:w="1220" w:type="dxa"/>
            <w:tcBorders>
              <w:top w:val="single" w:color="auto" w:sz="8" w:space="0"/>
              <w:left w:val="single" w:color="auto" w:sz="8" w:space="0"/>
              <w:bottom w:val="single" w:color="auto" w:sz="8" w:space="0"/>
              <w:right w:val="single" w:color="auto" w:sz="8" w:space="0"/>
            </w:tcBorders>
            <w:noWrap w:val="0"/>
            <w:vAlign w:val="center"/>
          </w:tcPr>
          <w:p w14:paraId="6A9402F8">
            <w:pPr>
              <w:spacing w:line="360" w:lineRule="auto"/>
              <w:jc w:val="center"/>
              <w:rPr>
                <w:b/>
                <w:bCs/>
                <w:kern w:val="0"/>
                <w:szCs w:val="21"/>
                <w:highlight w:val="none"/>
              </w:rPr>
            </w:pPr>
          </w:p>
        </w:tc>
        <w:tc>
          <w:tcPr>
            <w:tcW w:w="1417" w:type="dxa"/>
            <w:tcBorders>
              <w:top w:val="single" w:color="auto" w:sz="8" w:space="0"/>
              <w:left w:val="nil"/>
              <w:bottom w:val="single" w:color="auto" w:sz="8" w:space="0"/>
              <w:right w:val="single" w:color="auto" w:sz="4" w:space="0"/>
            </w:tcBorders>
            <w:noWrap w:val="0"/>
            <w:vAlign w:val="center"/>
          </w:tcPr>
          <w:p w14:paraId="69B5E3A9">
            <w:pPr>
              <w:spacing w:line="360" w:lineRule="auto"/>
              <w:jc w:val="center"/>
              <w:rPr>
                <w:b/>
                <w:bCs/>
                <w:kern w:val="0"/>
                <w:szCs w:val="21"/>
                <w:highlight w:val="none"/>
              </w:rPr>
            </w:pPr>
          </w:p>
        </w:tc>
        <w:tc>
          <w:tcPr>
            <w:tcW w:w="1540" w:type="dxa"/>
            <w:tcBorders>
              <w:top w:val="single" w:color="auto" w:sz="8" w:space="0"/>
              <w:left w:val="single" w:color="auto" w:sz="4" w:space="0"/>
              <w:bottom w:val="single" w:color="auto" w:sz="8" w:space="0"/>
              <w:right w:val="single" w:color="auto" w:sz="8" w:space="0"/>
            </w:tcBorders>
            <w:noWrap w:val="0"/>
            <w:vAlign w:val="top"/>
          </w:tcPr>
          <w:p w14:paraId="75BAA51D">
            <w:pPr>
              <w:rPr>
                <w:rFonts w:hint="eastAsia"/>
                <w:szCs w:val="21"/>
                <w:highlight w:val="none"/>
              </w:rPr>
            </w:pPr>
          </w:p>
        </w:tc>
        <w:tc>
          <w:tcPr>
            <w:tcW w:w="1230" w:type="dxa"/>
            <w:tcBorders>
              <w:top w:val="single" w:color="auto" w:sz="8" w:space="0"/>
              <w:left w:val="nil"/>
              <w:bottom w:val="single" w:color="auto" w:sz="8" w:space="0"/>
              <w:right w:val="single" w:color="auto" w:sz="8" w:space="0"/>
            </w:tcBorders>
            <w:noWrap w:val="0"/>
            <w:vAlign w:val="center"/>
          </w:tcPr>
          <w:p w14:paraId="3A9C6B61">
            <w:pPr>
              <w:ind w:left="-420" w:leftChars="-200" w:firstLine="422" w:firstLineChars="200"/>
              <w:jc w:val="center"/>
              <w:rPr>
                <w:rFonts w:hint="eastAsia"/>
                <w:b/>
                <w:bCs/>
                <w:kern w:val="0"/>
                <w:szCs w:val="21"/>
                <w:highlight w:val="none"/>
              </w:rPr>
            </w:pPr>
          </w:p>
        </w:tc>
        <w:tc>
          <w:tcPr>
            <w:tcW w:w="1245" w:type="dxa"/>
            <w:tcBorders>
              <w:top w:val="single" w:color="auto" w:sz="8" w:space="0"/>
              <w:left w:val="nil"/>
              <w:bottom w:val="single" w:color="auto" w:sz="8" w:space="0"/>
              <w:right w:val="single" w:color="auto" w:sz="8" w:space="0"/>
            </w:tcBorders>
            <w:noWrap w:val="0"/>
            <w:vAlign w:val="center"/>
          </w:tcPr>
          <w:p w14:paraId="575B5D7D">
            <w:pPr>
              <w:widowControl/>
              <w:jc w:val="center"/>
              <w:rPr>
                <w:rFonts w:hint="eastAsia"/>
                <w:b/>
                <w:bCs/>
                <w:kern w:val="0"/>
                <w:szCs w:val="21"/>
                <w:highlight w:val="none"/>
              </w:rPr>
            </w:pPr>
          </w:p>
        </w:tc>
        <w:tc>
          <w:tcPr>
            <w:tcW w:w="1372" w:type="dxa"/>
            <w:tcBorders>
              <w:top w:val="single" w:color="auto" w:sz="8" w:space="0"/>
              <w:left w:val="nil"/>
              <w:bottom w:val="single" w:color="auto" w:sz="8" w:space="0"/>
              <w:right w:val="single" w:color="auto" w:sz="8" w:space="0"/>
            </w:tcBorders>
            <w:noWrap w:val="0"/>
            <w:vAlign w:val="center"/>
          </w:tcPr>
          <w:p w14:paraId="3EA47802">
            <w:pPr>
              <w:snapToGrid w:val="0"/>
              <w:spacing w:before="50" w:after="50"/>
              <w:jc w:val="center"/>
              <w:rPr>
                <w:b/>
                <w:bCs/>
                <w:kern w:val="0"/>
                <w:szCs w:val="21"/>
                <w:highlight w:val="none"/>
              </w:rPr>
            </w:pPr>
          </w:p>
        </w:tc>
      </w:tr>
      <w:tr w14:paraId="25EEF5FA">
        <w:tblPrEx>
          <w:tblCellMar>
            <w:top w:w="0" w:type="dxa"/>
            <w:left w:w="108" w:type="dxa"/>
            <w:bottom w:w="0" w:type="dxa"/>
            <w:right w:w="108" w:type="dxa"/>
          </w:tblCellMar>
        </w:tblPrEx>
        <w:trPr>
          <w:trHeight w:val="968" w:hRule="atLeast"/>
          <w:jc w:val="center"/>
        </w:trPr>
        <w:tc>
          <w:tcPr>
            <w:tcW w:w="663" w:type="dxa"/>
            <w:tcBorders>
              <w:top w:val="single" w:color="auto" w:sz="8" w:space="0"/>
              <w:left w:val="single" w:color="auto" w:sz="8" w:space="0"/>
              <w:bottom w:val="single" w:color="auto" w:sz="8" w:space="0"/>
              <w:right w:val="single" w:color="auto" w:sz="8" w:space="0"/>
            </w:tcBorders>
            <w:noWrap w:val="0"/>
            <w:vAlign w:val="center"/>
          </w:tcPr>
          <w:p w14:paraId="2E3F7ED3">
            <w:pPr>
              <w:widowControl/>
              <w:jc w:val="center"/>
              <w:rPr>
                <w:color w:val="000000"/>
                <w:kern w:val="0"/>
                <w:szCs w:val="21"/>
                <w:highlight w:val="none"/>
              </w:rPr>
            </w:pPr>
          </w:p>
        </w:tc>
        <w:tc>
          <w:tcPr>
            <w:tcW w:w="1220" w:type="dxa"/>
            <w:tcBorders>
              <w:top w:val="single" w:color="auto" w:sz="8" w:space="0"/>
              <w:left w:val="single" w:color="auto" w:sz="8" w:space="0"/>
              <w:bottom w:val="single" w:color="auto" w:sz="8" w:space="0"/>
              <w:right w:val="single" w:color="auto" w:sz="8" w:space="0"/>
            </w:tcBorders>
            <w:noWrap w:val="0"/>
            <w:vAlign w:val="center"/>
          </w:tcPr>
          <w:p w14:paraId="2E963EA1">
            <w:pPr>
              <w:widowControl/>
              <w:jc w:val="left"/>
              <w:rPr>
                <w:rFonts w:ascii="宋体" w:hAnsi="宋体" w:cs="宋体"/>
                <w:color w:val="000000"/>
                <w:kern w:val="0"/>
                <w:szCs w:val="21"/>
                <w:highlight w:val="none"/>
              </w:rPr>
            </w:pPr>
          </w:p>
        </w:tc>
        <w:tc>
          <w:tcPr>
            <w:tcW w:w="1417" w:type="dxa"/>
            <w:tcBorders>
              <w:top w:val="single" w:color="auto" w:sz="8" w:space="0"/>
              <w:left w:val="nil"/>
              <w:bottom w:val="single" w:color="auto" w:sz="8" w:space="0"/>
              <w:right w:val="single" w:color="auto" w:sz="4" w:space="0"/>
            </w:tcBorders>
            <w:noWrap w:val="0"/>
            <w:vAlign w:val="center"/>
          </w:tcPr>
          <w:p w14:paraId="4ED9185A">
            <w:pPr>
              <w:widowControl/>
              <w:jc w:val="center"/>
              <w:rPr>
                <w:rFonts w:ascii="宋体" w:hAnsi="宋体" w:cs="宋体"/>
                <w:color w:val="000000"/>
                <w:kern w:val="0"/>
                <w:szCs w:val="21"/>
                <w:highlight w:val="none"/>
              </w:rPr>
            </w:pPr>
          </w:p>
        </w:tc>
        <w:tc>
          <w:tcPr>
            <w:tcW w:w="1540" w:type="dxa"/>
            <w:tcBorders>
              <w:top w:val="single" w:color="auto" w:sz="8" w:space="0"/>
              <w:left w:val="single" w:color="auto" w:sz="4" w:space="0"/>
              <w:bottom w:val="single" w:color="auto" w:sz="8" w:space="0"/>
              <w:right w:val="single" w:color="auto" w:sz="8" w:space="0"/>
            </w:tcBorders>
            <w:noWrap w:val="0"/>
            <w:vAlign w:val="center"/>
          </w:tcPr>
          <w:p w14:paraId="0FF1CA04">
            <w:pPr>
              <w:widowControl/>
              <w:jc w:val="left"/>
              <w:rPr>
                <w:color w:val="000000"/>
                <w:kern w:val="0"/>
                <w:szCs w:val="21"/>
                <w:highlight w:val="none"/>
              </w:rPr>
            </w:pPr>
          </w:p>
        </w:tc>
        <w:tc>
          <w:tcPr>
            <w:tcW w:w="1230" w:type="dxa"/>
            <w:tcBorders>
              <w:top w:val="single" w:color="auto" w:sz="8" w:space="0"/>
              <w:left w:val="nil"/>
              <w:bottom w:val="single" w:color="auto" w:sz="8" w:space="0"/>
              <w:right w:val="single" w:color="auto" w:sz="8" w:space="0"/>
            </w:tcBorders>
            <w:noWrap w:val="0"/>
            <w:vAlign w:val="center"/>
          </w:tcPr>
          <w:p w14:paraId="6D7F6879">
            <w:pPr>
              <w:ind w:left="-420" w:leftChars="-200" w:firstLine="422" w:firstLineChars="200"/>
              <w:jc w:val="center"/>
              <w:rPr>
                <w:rFonts w:hint="eastAsia"/>
                <w:b/>
                <w:bCs/>
                <w:kern w:val="0"/>
                <w:szCs w:val="21"/>
                <w:highlight w:val="none"/>
              </w:rPr>
            </w:pPr>
          </w:p>
        </w:tc>
        <w:tc>
          <w:tcPr>
            <w:tcW w:w="1245" w:type="dxa"/>
            <w:tcBorders>
              <w:top w:val="single" w:color="auto" w:sz="8" w:space="0"/>
              <w:left w:val="nil"/>
              <w:bottom w:val="single" w:color="auto" w:sz="8" w:space="0"/>
              <w:right w:val="single" w:color="auto" w:sz="8" w:space="0"/>
            </w:tcBorders>
            <w:noWrap w:val="0"/>
            <w:vAlign w:val="center"/>
          </w:tcPr>
          <w:p w14:paraId="205EE675">
            <w:pPr>
              <w:widowControl/>
              <w:jc w:val="center"/>
              <w:rPr>
                <w:rFonts w:hint="eastAsia"/>
                <w:b/>
                <w:bCs/>
                <w:kern w:val="0"/>
                <w:szCs w:val="21"/>
                <w:highlight w:val="none"/>
              </w:rPr>
            </w:pPr>
          </w:p>
        </w:tc>
        <w:tc>
          <w:tcPr>
            <w:tcW w:w="1372" w:type="dxa"/>
            <w:tcBorders>
              <w:top w:val="single" w:color="auto" w:sz="8" w:space="0"/>
              <w:left w:val="nil"/>
              <w:bottom w:val="single" w:color="auto" w:sz="8" w:space="0"/>
              <w:right w:val="single" w:color="auto" w:sz="8" w:space="0"/>
            </w:tcBorders>
            <w:noWrap w:val="0"/>
            <w:vAlign w:val="center"/>
          </w:tcPr>
          <w:p w14:paraId="70A878A8">
            <w:pPr>
              <w:snapToGrid w:val="0"/>
              <w:spacing w:before="50" w:after="50"/>
              <w:jc w:val="center"/>
              <w:rPr>
                <w:rFonts w:hint="eastAsia" w:ascii="宋体" w:hAnsi="宋体"/>
                <w:szCs w:val="21"/>
                <w:highlight w:val="none"/>
              </w:rPr>
            </w:pPr>
          </w:p>
        </w:tc>
      </w:tr>
      <w:tr w14:paraId="2F341C6A">
        <w:tblPrEx>
          <w:tblCellMar>
            <w:top w:w="0" w:type="dxa"/>
            <w:left w:w="108" w:type="dxa"/>
            <w:bottom w:w="0" w:type="dxa"/>
            <w:right w:w="108" w:type="dxa"/>
          </w:tblCellMar>
        </w:tblPrEx>
        <w:trPr>
          <w:trHeight w:val="968" w:hRule="atLeast"/>
          <w:jc w:val="center"/>
        </w:trPr>
        <w:tc>
          <w:tcPr>
            <w:tcW w:w="663" w:type="dxa"/>
            <w:tcBorders>
              <w:top w:val="single" w:color="auto" w:sz="8" w:space="0"/>
              <w:left w:val="single" w:color="auto" w:sz="8" w:space="0"/>
              <w:bottom w:val="single" w:color="auto" w:sz="8" w:space="0"/>
              <w:right w:val="single" w:color="auto" w:sz="8" w:space="0"/>
            </w:tcBorders>
            <w:noWrap w:val="0"/>
            <w:vAlign w:val="center"/>
          </w:tcPr>
          <w:p w14:paraId="03B38F11">
            <w:pPr>
              <w:widowControl/>
              <w:jc w:val="center"/>
              <w:rPr>
                <w:color w:val="000000"/>
                <w:kern w:val="0"/>
                <w:szCs w:val="21"/>
                <w:highlight w:val="none"/>
              </w:rPr>
            </w:pPr>
          </w:p>
        </w:tc>
        <w:tc>
          <w:tcPr>
            <w:tcW w:w="1220" w:type="dxa"/>
            <w:tcBorders>
              <w:top w:val="single" w:color="auto" w:sz="8" w:space="0"/>
              <w:left w:val="single" w:color="auto" w:sz="8" w:space="0"/>
              <w:bottom w:val="single" w:color="auto" w:sz="8" w:space="0"/>
              <w:right w:val="single" w:color="auto" w:sz="8" w:space="0"/>
            </w:tcBorders>
            <w:noWrap w:val="0"/>
            <w:vAlign w:val="center"/>
          </w:tcPr>
          <w:p w14:paraId="3A3496AC">
            <w:pPr>
              <w:widowControl/>
              <w:jc w:val="left"/>
              <w:rPr>
                <w:rFonts w:ascii="宋体" w:hAnsi="宋体" w:cs="宋体"/>
                <w:color w:val="000000"/>
                <w:kern w:val="0"/>
                <w:szCs w:val="21"/>
                <w:highlight w:val="none"/>
              </w:rPr>
            </w:pPr>
          </w:p>
        </w:tc>
        <w:tc>
          <w:tcPr>
            <w:tcW w:w="1417" w:type="dxa"/>
            <w:tcBorders>
              <w:top w:val="single" w:color="auto" w:sz="8" w:space="0"/>
              <w:left w:val="nil"/>
              <w:bottom w:val="single" w:color="auto" w:sz="8" w:space="0"/>
              <w:right w:val="single" w:color="auto" w:sz="4" w:space="0"/>
            </w:tcBorders>
            <w:noWrap w:val="0"/>
            <w:vAlign w:val="center"/>
          </w:tcPr>
          <w:p w14:paraId="70BF8662">
            <w:pPr>
              <w:widowControl/>
              <w:jc w:val="center"/>
              <w:rPr>
                <w:rFonts w:ascii="宋体" w:hAnsi="宋体" w:cs="宋体"/>
                <w:color w:val="000000"/>
                <w:kern w:val="0"/>
                <w:szCs w:val="21"/>
                <w:highlight w:val="none"/>
              </w:rPr>
            </w:pPr>
          </w:p>
        </w:tc>
        <w:tc>
          <w:tcPr>
            <w:tcW w:w="1540" w:type="dxa"/>
            <w:tcBorders>
              <w:top w:val="single" w:color="auto" w:sz="8" w:space="0"/>
              <w:left w:val="single" w:color="auto" w:sz="4" w:space="0"/>
              <w:bottom w:val="single" w:color="auto" w:sz="8" w:space="0"/>
              <w:right w:val="single" w:color="auto" w:sz="8" w:space="0"/>
            </w:tcBorders>
            <w:noWrap w:val="0"/>
            <w:vAlign w:val="center"/>
          </w:tcPr>
          <w:p w14:paraId="6300A605">
            <w:pPr>
              <w:widowControl/>
              <w:jc w:val="left"/>
              <w:rPr>
                <w:rFonts w:ascii="宋体" w:hAnsi="宋体" w:cs="宋体"/>
                <w:color w:val="000000"/>
                <w:kern w:val="0"/>
                <w:szCs w:val="21"/>
                <w:highlight w:val="none"/>
              </w:rPr>
            </w:pPr>
          </w:p>
        </w:tc>
        <w:tc>
          <w:tcPr>
            <w:tcW w:w="1230" w:type="dxa"/>
            <w:tcBorders>
              <w:top w:val="single" w:color="auto" w:sz="8" w:space="0"/>
              <w:left w:val="nil"/>
              <w:bottom w:val="single" w:color="auto" w:sz="8" w:space="0"/>
              <w:right w:val="single" w:color="auto" w:sz="8" w:space="0"/>
            </w:tcBorders>
            <w:noWrap w:val="0"/>
            <w:vAlign w:val="center"/>
          </w:tcPr>
          <w:p w14:paraId="636CAE06">
            <w:pPr>
              <w:ind w:left="-420" w:leftChars="-200" w:firstLine="422" w:firstLineChars="200"/>
              <w:jc w:val="center"/>
              <w:rPr>
                <w:rFonts w:hint="eastAsia"/>
                <w:b/>
                <w:bCs/>
                <w:kern w:val="0"/>
                <w:szCs w:val="21"/>
                <w:highlight w:val="none"/>
              </w:rPr>
            </w:pPr>
          </w:p>
        </w:tc>
        <w:tc>
          <w:tcPr>
            <w:tcW w:w="1245" w:type="dxa"/>
            <w:tcBorders>
              <w:top w:val="single" w:color="auto" w:sz="8" w:space="0"/>
              <w:left w:val="nil"/>
              <w:bottom w:val="single" w:color="auto" w:sz="8" w:space="0"/>
              <w:right w:val="single" w:color="auto" w:sz="8" w:space="0"/>
            </w:tcBorders>
            <w:noWrap w:val="0"/>
            <w:vAlign w:val="center"/>
          </w:tcPr>
          <w:p w14:paraId="61708D30">
            <w:pPr>
              <w:widowControl/>
              <w:jc w:val="center"/>
              <w:rPr>
                <w:rFonts w:hint="eastAsia"/>
                <w:b/>
                <w:bCs/>
                <w:kern w:val="0"/>
                <w:szCs w:val="21"/>
                <w:highlight w:val="none"/>
              </w:rPr>
            </w:pPr>
          </w:p>
        </w:tc>
        <w:tc>
          <w:tcPr>
            <w:tcW w:w="1372" w:type="dxa"/>
            <w:tcBorders>
              <w:top w:val="single" w:color="auto" w:sz="8" w:space="0"/>
              <w:left w:val="nil"/>
              <w:bottom w:val="single" w:color="auto" w:sz="8" w:space="0"/>
              <w:right w:val="single" w:color="auto" w:sz="8" w:space="0"/>
            </w:tcBorders>
            <w:noWrap w:val="0"/>
            <w:vAlign w:val="center"/>
          </w:tcPr>
          <w:p w14:paraId="433495CA">
            <w:pPr>
              <w:snapToGrid w:val="0"/>
              <w:spacing w:before="50" w:after="50"/>
              <w:jc w:val="center"/>
              <w:rPr>
                <w:rFonts w:hint="eastAsia" w:ascii="宋体" w:hAnsi="宋体"/>
                <w:szCs w:val="21"/>
                <w:highlight w:val="none"/>
              </w:rPr>
            </w:pPr>
          </w:p>
        </w:tc>
      </w:tr>
      <w:tr w14:paraId="7343F090">
        <w:tblPrEx>
          <w:tblCellMar>
            <w:top w:w="0" w:type="dxa"/>
            <w:left w:w="108" w:type="dxa"/>
            <w:bottom w:w="0" w:type="dxa"/>
            <w:right w:w="108" w:type="dxa"/>
          </w:tblCellMar>
        </w:tblPrEx>
        <w:trPr>
          <w:trHeight w:val="968" w:hRule="atLeast"/>
          <w:jc w:val="center"/>
        </w:trPr>
        <w:tc>
          <w:tcPr>
            <w:tcW w:w="3300" w:type="dxa"/>
            <w:gridSpan w:val="3"/>
            <w:tcBorders>
              <w:top w:val="single" w:color="auto" w:sz="8" w:space="0"/>
              <w:left w:val="single" w:color="auto" w:sz="8" w:space="0"/>
              <w:bottom w:val="single" w:color="auto" w:sz="8" w:space="0"/>
              <w:right w:val="single" w:color="auto" w:sz="4" w:space="0"/>
            </w:tcBorders>
            <w:noWrap w:val="0"/>
            <w:vAlign w:val="center"/>
          </w:tcPr>
          <w:p w14:paraId="3D84AC75">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合同总价</w:t>
            </w:r>
          </w:p>
        </w:tc>
        <w:tc>
          <w:tcPr>
            <w:tcW w:w="5387" w:type="dxa"/>
            <w:gridSpan w:val="4"/>
            <w:tcBorders>
              <w:top w:val="single" w:color="auto" w:sz="8" w:space="0"/>
              <w:left w:val="single" w:color="auto" w:sz="4" w:space="0"/>
              <w:bottom w:val="single" w:color="auto" w:sz="8" w:space="0"/>
              <w:right w:val="single" w:color="auto" w:sz="8" w:space="0"/>
            </w:tcBorders>
            <w:noWrap w:val="0"/>
            <w:vAlign w:val="center"/>
          </w:tcPr>
          <w:p w14:paraId="2EFE649C">
            <w:pPr>
              <w:snapToGrid w:val="0"/>
              <w:spacing w:before="50" w:after="50"/>
              <w:jc w:val="left"/>
              <w:rPr>
                <w:rFonts w:hint="eastAsia" w:ascii="宋体" w:hAnsi="宋体"/>
                <w:szCs w:val="21"/>
                <w:highlight w:val="none"/>
              </w:rPr>
            </w:pPr>
            <w:r>
              <w:rPr>
                <w:rFonts w:hint="eastAsia" w:ascii="宋体" w:hAnsi="宋体"/>
                <w:szCs w:val="21"/>
                <w:highlight w:val="none"/>
              </w:rPr>
              <w:t xml:space="preserve">大写：        </w:t>
            </w:r>
          </w:p>
          <w:p w14:paraId="7C76E024">
            <w:pPr>
              <w:snapToGrid w:val="0"/>
              <w:spacing w:before="50" w:after="50"/>
              <w:jc w:val="left"/>
              <w:rPr>
                <w:rFonts w:hint="eastAsia" w:ascii="宋体" w:hAnsi="宋体"/>
                <w:szCs w:val="21"/>
                <w:highlight w:val="none"/>
              </w:rPr>
            </w:pPr>
            <w:r>
              <w:rPr>
                <w:rFonts w:hint="eastAsia" w:ascii="宋体" w:hAnsi="宋体"/>
                <w:szCs w:val="21"/>
                <w:highlight w:val="none"/>
              </w:rPr>
              <w:t xml:space="preserve">小写：    </w:t>
            </w:r>
          </w:p>
        </w:tc>
      </w:tr>
    </w:tbl>
    <w:p w14:paraId="234E408D">
      <w:pPr>
        <w:pStyle w:val="33"/>
        <w:snapToGrid w:val="0"/>
        <w:spacing w:line="360" w:lineRule="auto"/>
        <w:rPr>
          <w:rFonts w:hint="eastAsia" w:ascii="Times New Roman" w:hAnsi="Times New Roman"/>
          <w:b/>
          <w:sz w:val="28"/>
          <w:szCs w:val="28"/>
          <w:highlight w:val="none"/>
        </w:rPr>
      </w:pPr>
      <w:r>
        <w:rPr>
          <w:rFonts w:hint="eastAsia" w:ascii="Times New Roman" w:hAnsi="Times New Roman"/>
          <w:b/>
          <w:sz w:val="28"/>
          <w:szCs w:val="28"/>
          <w:highlight w:val="none"/>
        </w:rPr>
        <w:t>三、合同金额</w:t>
      </w:r>
    </w:p>
    <w:p w14:paraId="089C6BE3">
      <w:pPr>
        <w:pStyle w:val="33"/>
        <w:snapToGrid w:val="0"/>
        <w:spacing w:line="360" w:lineRule="auto"/>
        <w:rPr>
          <w:rFonts w:hint="eastAsia" w:hAnsi="宋体" w:cs="Arial"/>
          <w:kern w:val="0"/>
          <w:sz w:val="24"/>
          <w:szCs w:val="24"/>
          <w:highlight w:val="none"/>
          <w:u w:val="single"/>
        </w:rPr>
      </w:pPr>
      <w:r>
        <w:rPr>
          <w:rFonts w:hint="eastAsia" w:hAnsi="宋体" w:cs="Arial"/>
          <w:kern w:val="0"/>
          <w:sz w:val="24"/>
          <w:szCs w:val="24"/>
          <w:highlight w:val="none"/>
        </w:rPr>
        <w:t>本合同金额为人民币（大写）：</w:t>
      </w:r>
      <w:r>
        <w:rPr>
          <w:rFonts w:hint="eastAsia" w:hAnsi="宋体" w:cs="Arial"/>
          <w:kern w:val="0"/>
          <w:sz w:val="24"/>
          <w:szCs w:val="24"/>
          <w:highlight w:val="none"/>
          <w:u w:val="single"/>
        </w:rPr>
        <w:t xml:space="preserve">              </w:t>
      </w:r>
      <w:r>
        <w:rPr>
          <w:rFonts w:hint="eastAsia" w:hAnsi="宋体" w:cs="Arial"/>
          <w:kern w:val="0"/>
          <w:sz w:val="24"/>
          <w:szCs w:val="24"/>
          <w:highlight w:val="none"/>
        </w:rPr>
        <w:t>（小写）:</w:t>
      </w:r>
      <w:r>
        <w:rPr>
          <w:rFonts w:hint="eastAsia" w:hAnsi="宋体" w:cs="Arial"/>
          <w:kern w:val="0"/>
          <w:sz w:val="24"/>
          <w:szCs w:val="24"/>
          <w:highlight w:val="none"/>
          <w:u w:val="single"/>
        </w:rPr>
        <w:t xml:space="preserve">            </w:t>
      </w:r>
    </w:p>
    <w:p w14:paraId="24CE4A1B">
      <w:pPr>
        <w:pStyle w:val="33"/>
        <w:snapToGrid w:val="0"/>
        <w:spacing w:line="360" w:lineRule="auto"/>
        <w:rPr>
          <w:rFonts w:hint="eastAsia" w:ascii="Times New Roman" w:hAnsi="Times New Roman"/>
          <w:b/>
          <w:sz w:val="28"/>
          <w:szCs w:val="28"/>
          <w:highlight w:val="none"/>
        </w:rPr>
      </w:pPr>
      <w:r>
        <w:rPr>
          <w:rFonts w:hint="eastAsia" w:ascii="Times New Roman" w:hAnsi="Times New Roman"/>
          <w:b/>
          <w:sz w:val="28"/>
          <w:szCs w:val="28"/>
          <w:highlight w:val="none"/>
        </w:rPr>
        <w:t>四、技术资料</w:t>
      </w:r>
    </w:p>
    <w:p w14:paraId="52430B69">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1.乙方应按投标文件规定的时间向甲方提供使用货物的有关技术资料。</w:t>
      </w:r>
    </w:p>
    <w:p w14:paraId="5F4BF214">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F6DE90C">
      <w:pPr>
        <w:pStyle w:val="33"/>
        <w:snapToGrid w:val="0"/>
        <w:spacing w:line="360" w:lineRule="auto"/>
        <w:rPr>
          <w:rFonts w:hint="eastAsia" w:ascii="Times New Roman" w:hAnsi="Times New Roman"/>
          <w:b/>
          <w:sz w:val="28"/>
          <w:szCs w:val="28"/>
          <w:highlight w:val="none"/>
        </w:rPr>
      </w:pPr>
      <w:r>
        <w:rPr>
          <w:rFonts w:hint="eastAsia" w:ascii="Times New Roman" w:hAnsi="Times New Roman"/>
          <w:b/>
          <w:sz w:val="28"/>
          <w:szCs w:val="28"/>
          <w:highlight w:val="none"/>
        </w:rPr>
        <w:t>五、知识产权</w:t>
      </w:r>
    </w:p>
    <w:p w14:paraId="695D983D">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乙方应保证所提供的货物或其任何一部分均不会侵犯任何第三方的知识产权。</w:t>
      </w:r>
    </w:p>
    <w:p w14:paraId="1A78471D">
      <w:pPr>
        <w:pStyle w:val="33"/>
        <w:snapToGrid w:val="0"/>
        <w:spacing w:line="360" w:lineRule="auto"/>
        <w:rPr>
          <w:rFonts w:hint="eastAsia" w:ascii="Times New Roman" w:hAnsi="Times New Roman"/>
          <w:b/>
          <w:sz w:val="28"/>
          <w:szCs w:val="28"/>
          <w:highlight w:val="none"/>
        </w:rPr>
      </w:pPr>
      <w:r>
        <w:rPr>
          <w:rFonts w:hint="eastAsia" w:ascii="Times New Roman" w:hAnsi="Times New Roman"/>
          <w:b/>
          <w:sz w:val="28"/>
          <w:szCs w:val="28"/>
          <w:highlight w:val="none"/>
        </w:rPr>
        <w:t>六、产权担保</w:t>
      </w:r>
    </w:p>
    <w:p w14:paraId="29D738D2">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乙方保证所交付的货物的所有权完全属于乙方且无任何抵押、查封等产权瑕疵。</w:t>
      </w:r>
    </w:p>
    <w:p w14:paraId="5882A6F8">
      <w:pPr>
        <w:pStyle w:val="33"/>
        <w:snapToGrid w:val="0"/>
        <w:spacing w:line="360" w:lineRule="auto"/>
        <w:rPr>
          <w:rFonts w:hint="eastAsia" w:ascii="Times New Roman" w:hAnsi="Times New Roman" w:eastAsia="宋体"/>
          <w:b/>
          <w:sz w:val="28"/>
          <w:szCs w:val="28"/>
          <w:highlight w:val="none"/>
          <w:lang w:eastAsia="zh-CN"/>
        </w:rPr>
      </w:pPr>
      <w:r>
        <w:rPr>
          <w:rFonts w:hint="eastAsia" w:ascii="Times New Roman" w:hAnsi="Times New Roman"/>
          <w:b/>
          <w:sz w:val="28"/>
          <w:szCs w:val="28"/>
          <w:highlight w:val="none"/>
        </w:rPr>
        <w:t>七、履约保证金</w:t>
      </w:r>
      <w:r>
        <w:rPr>
          <w:rFonts w:hint="eastAsia" w:ascii="Times New Roman" w:hAnsi="Times New Roman"/>
          <w:b/>
          <w:sz w:val="28"/>
          <w:szCs w:val="28"/>
          <w:highlight w:val="none"/>
          <w:lang w:eastAsia="zh-CN"/>
        </w:rPr>
        <w:t>：无</w:t>
      </w:r>
    </w:p>
    <w:p w14:paraId="3470AB34">
      <w:pPr>
        <w:pStyle w:val="33"/>
        <w:snapToGrid w:val="0"/>
        <w:spacing w:line="360" w:lineRule="auto"/>
        <w:rPr>
          <w:rFonts w:hint="eastAsia" w:ascii="Times New Roman" w:hAnsi="Times New Roman"/>
          <w:b/>
          <w:sz w:val="28"/>
          <w:szCs w:val="28"/>
          <w:highlight w:val="none"/>
        </w:rPr>
      </w:pPr>
      <w:r>
        <w:rPr>
          <w:rFonts w:hint="eastAsia" w:ascii="Times New Roman" w:hAnsi="Times New Roman"/>
          <w:b/>
          <w:sz w:val="28"/>
          <w:szCs w:val="28"/>
          <w:highlight w:val="none"/>
        </w:rPr>
        <w:t>八、转包或分包</w:t>
      </w:r>
    </w:p>
    <w:p w14:paraId="518D7635">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1.本合同范围内的货物，应由乙方直接供应，不得转包他人供应。</w:t>
      </w:r>
    </w:p>
    <w:p w14:paraId="11DC6E3A">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2.乙方不得部分分包给他人供应，除非得到甲方的书面同意。</w:t>
      </w:r>
    </w:p>
    <w:p w14:paraId="4D6E62AE">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3.如有转让和未经甲方同意的分包行为，甲方有权单方面解除合同，没收履约保证金并追究乙方的违约责任。</w:t>
      </w:r>
    </w:p>
    <w:p w14:paraId="3F4AE5C9">
      <w:pPr>
        <w:pStyle w:val="33"/>
        <w:snapToGrid w:val="0"/>
        <w:spacing w:line="360" w:lineRule="auto"/>
        <w:rPr>
          <w:rFonts w:hint="eastAsia" w:ascii="Times New Roman" w:hAnsi="Times New Roman"/>
          <w:b/>
          <w:sz w:val="28"/>
          <w:szCs w:val="28"/>
          <w:highlight w:val="none"/>
        </w:rPr>
      </w:pPr>
      <w:r>
        <w:rPr>
          <w:rFonts w:hint="eastAsia" w:ascii="Times New Roman" w:hAnsi="Times New Roman"/>
          <w:b/>
          <w:sz w:val="28"/>
          <w:szCs w:val="28"/>
          <w:highlight w:val="none"/>
        </w:rPr>
        <w:t>九、质保期</w:t>
      </w:r>
    </w:p>
    <w:p w14:paraId="012DBA20">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1.质保期（自最终验收合格之日起计算）：</w:t>
      </w:r>
      <w:r>
        <w:rPr>
          <w:rFonts w:hint="eastAsia" w:hAnsi="宋体" w:cs="Arial"/>
          <w:kern w:val="0"/>
          <w:sz w:val="24"/>
          <w:szCs w:val="24"/>
          <w:highlight w:val="none"/>
          <w:lang w:val="en-US" w:eastAsia="zh-CN"/>
        </w:rPr>
        <w:t>设备质保期</w:t>
      </w:r>
      <w:r>
        <w:rPr>
          <w:rFonts w:hint="eastAsia" w:hAnsi="宋体" w:cs="Arial"/>
          <w:kern w:val="0"/>
          <w:sz w:val="24"/>
          <w:szCs w:val="24"/>
          <w:highlight w:val="none"/>
          <w:u w:val="single"/>
        </w:rPr>
        <w:t xml:space="preserve"> </w:t>
      </w:r>
      <w:r>
        <w:rPr>
          <w:rFonts w:hint="eastAsia" w:hAnsi="宋体" w:cs="Arial"/>
          <w:kern w:val="0"/>
          <w:sz w:val="24"/>
          <w:szCs w:val="24"/>
          <w:highlight w:val="none"/>
          <w:u w:val="single"/>
          <w:lang w:val="en-US" w:eastAsia="zh-CN"/>
        </w:rPr>
        <w:t>6</w:t>
      </w:r>
      <w:r>
        <w:rPr>
          <w:rFonts w:hint="eastAsia" w:hAnsi="宋体" w:cs="Arial"/>
          <w:kern w:val="0"/>
          <w:sz w:val="24"/>
          <w:szCs w:val="24"/>
          <w:highlight w:val="none"/>
          <w:u w:val="single"/>
        </w:rPr>
        <w:t xml:space="preserve"> </w:t>
      </w:r>
      <w:r>
        <w:rPr>
          <w:rFonts w:hint="eastAsia" w:hAnsi="宋体" w:cs="Arial"/>
          <w:kern w:val="0"/>
          <w:sz w:val="24"/>
          <w:szCs w:val="24"/>
          <w:highlight w:val="none"/>
        </w:rPr>
        <w:t>年</w:t>
      </w:r>
      <w:r>
        <w:rPr>
          <w:rFonts w:hint="eastAsia" w:hAnsi="宋体" w:cs="Arial"/>
          <w:kern w:val="0"/>
          <w:sz w:val="24"/>
          <w:szCs w:val="24"/>
          <w:highlight w:val="none"/>
          <w:lang w:eastAsia="zh-CN"/>
        </w:rPr>
        <w:t>；</w:t>
      </w:r>
      <w:r>
        <w:rPr>
          <w:rFonts w:hint="eastAsia" w:hAnsi="宋体" w:cs="Arial"/>
          <w:kern w:val="0"/>
          <w:sz w:val="24"/>
          <w:szCs w:val="24"/>
          <w:highlight w:val="none"/>
          <w:lang w:val="en-US" w:eastAsia="zh-CN"/>
        </w:rPr>
        <w:t>装修材料质保期</w:t>
      </w:r>
      <w:r>
        <w:rPr>
          <w:rFonts w:hint="eastAsia" w:hAnsi="宋体" w:cs="Arial"/>
          <w:kern w:val="0"/>
          <w:sz w:val="24"/>
          <w:szCs w:val="24"/>
          <w:highlight w:val="none"/>
          <w:u w:val="single"/>
          <w:lang w:val="en-US" w:eastAsia="zh-CN"/>
        </w:rPr>
        <w:t xml:space="preserve"> 2</w:t>
      </w:r>
      <w:r>
        <w:rPr>
          <w:rFonts w:hint="eastAsia" w:hAnsi="宋体" w:cs="Arial"/>
          <w:kern w:val="0"/>
          <w:sz w:val="24"/>
          <w:szCs w:val="24"/>
          <w:highlight w:val="none"/>
          <w:lang w:val="en-US" w:eastAsia="zh-CN"/>
        </w:rPr>
        <w:t>年</w:t>
      </w:r>
      <w:r>
        <w:rPr>
          <w:rFonts w:hint="eastAsia" w:hAnsi="宋体" w:cs="Arial"/>
          <w:kern w:val="0"/>
          <w:sz w:val="24"/>
          <w:szCs w:val="24"/>
          <w:highlight w:val="none"/>
        </w:rPr>
        <w:t>。</w:t>
      </w:r>
    </w:p>
    <w:p w14:paraId="3FFBCC24">
      <w:pPr>
        <w:pStyle w:val="33"/>
        <w:snapToGrid w:val="0"/>
        <w:spacing w:line="360" w:lineRule="auto"/>
        <w:rPr>
          <w:rFonts w:hint="eastAsia" w:ascii="Times New Roman" w:hAnsi="Times New Roman"/>
          <w:b/>
          <w:sz w:val="28"/>
          <w:szCs w:val="28"/>
          <w:highlight w:val="none"/>
        </w:rPr>
      </w:pPr>
      <w:r>
        <w:rPr>
          <w:rFonts w:hint="eastAsia" w:ascii="Times New Roman" w:hAnsi="Times New Roman"/>
          <w:b/>
          <w:sz w:val="28"/>
          <w:szCs w:val="28"/>
          <w:highlight w:val="none"/>
        </w:rPr>
        <w:t>十、交货期及交货地点</w:t>
      </w:r>
    </w:p>
    <w:p w14:paraId="7CF62996">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1. 交货期：在合同签订后</w:t>
      </w:r>
      <w:r>
        <w:rPr>
          <w:rFonts w:hint="eastAsia" w:hAnsi="宋体" w:cs="Arial"/>
          <w:kern w:val="0"/>
          <w:sz w:val="24"/>
          <w:szCs w:val="24"/>
          <w:highlight w:val="none"/>
          <w:u w:val="single"/>
        </w:rPr>
        <w:t xml:space="preserve">      </w:t>
      </w:r>
      <w:r>
        <w:rPr>
          <w:rFonts w:hint="eastAsia" w:hAnsi="宋体" w:cs="Arial"/>
          <w:kern w:val="0"/>
          <w:sz w:val="24"/>
          <w:szCs w:val="24"/>
          <w:highlight w:val="none"/>
        </w:rPr>
        <w:t>日内完成交货、安装调试并交付甲方最终验收。</w:t>
      </w:r>
    </w:p>
    <w:p w14:paraId="6FBA07E2">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2. 交货地点：</w:t>
      </w:r>
      <w:r>
        <w:rPr>
          <w:rFonts w:hint="eastAsia" w:hAnsi="宋体" w:cs="Arial"/>
          <w:kern w:val="0"/>
          <w:sz w:val="24"/>
          <w:szCs w:val="24"/>
          <w:highlight w:val="none"/>
          <w:u w:val="single"/>
        </w:rPr>
        <w:t xml:space="preserve">      </w:t>
      </w:r>
      <w:r>
        <w:rPr>
          <w:rFonts w:hint="eastAsia" w:hAnsi="宋体" w:cs="Arial"/>
          <w:kern w:val="0"/>
          <w:sz w:val="24"/>
          <w:szCs w:val="24"/>
          <w:highlight w:val="none"/>
        </w:rPr>
        <w:t>（具体地点由甲方项目负责人指定）。</w:t>
      </w:r>
    </w:p>
    <w:p w14:paraId="3CF1033B">
      <w:pPr>
        <w:pStyle w:val="33"/>
        <w:snapToGrid w:val="0"/>
        <w:spacing w:line="360" w:lineRule="auto"/>
        <w:rPr>
          <w:rFonts w:hint="eastAsia" w:ascii="Times New Roman" w:hAnsi="Times New Roman"/>
          <w:b/>
          <w:sz w:val="28"/>
          <w:szCs w:val="28"/>
          <w:highlight w:val="none"/>
        </w:rPr>
      </w:pPr>
      <w:r>
        <w:rPr>
          <w:rFonts w:hint="eastAsia" w:ascii="Times New Roman" w:hAnsi="Times New Roman"/>
          <w:b/>
          <w:sz w:val="28"/>
          <w:szCs w:val="28"/>
          <w:highlight w:val="none"/>
        </w:rPr>
        <w:t>十一、货款支付</w:t>
      </w:r>
    </w:p>
    <w:p w14:paraId="2A8DAAA3">
      <w:pPr>
        <w:rPr>
          <w:rFonts w:hint="eastAsia"/>
          <w:b/>
          <w:sz w:val="24"/>
          <w:szCs w:val="24"/>
          <w:highlight w:val="none"/>
        </w:rPr>
      </w:pPr>
      <w:r>
        <w:rPr>
          <w:rFonts w:hint="eastAsia" w:hAnsi="宋体" w:cs="Arial"/>
          <w:kern w:val="0"/>
          <w:sz w:val="24"/>
          <w:szCs w:val="24"/>
          <w:highlight w:val="none"/>
        </w:rPr>
        <w:t>1.</w:t>
      </w:r>
      <w:r>
        <w:rPr>
          <w:rFonts w:hint="eastAsia"/>
          <w:b/>
          <w:sz w:val="24"/>
          <w:szCs w:val="24"/>
          <w:highlight w:val="none"/>
        </w:rPr>
        <w:t>付款方式：</w:t>
      </w:r>
    </w:p>
    <w:p w14:paraId="03FA44F0">
      <w:pPr>
        <w:snapToGrid w:val="0"/>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、合同</w:t>
      </w:r>
      <w:r>
        <w:rPr>
          <w:rFonts w:hint="eastAsia" w:ascii="宋体" w:hAnsi="宋体" w:cs="宋体"/>
          <w:sz w:val="24"/>
          <w:szCs w:val="24"/>
          <w:highlight w:val="none"/>
          <w:lang w:val="en-US" w:eastAsia="zh-CN"/>
        </w:rPr>
        <w:t>签订后</w:t>
      </w:r>
      <w:r>
        <w:rPr>
          <w:rFonts w:hint="eastAsia" w:ascii="宋体" w:hAnsi="宋体" w:eastAsia="宋体" w:cs="宋体"/>
          <w:sz w:val="24"/>
          <w:szCs w:val="24"/>
          <w:highlight w:val="none"/>
        </w:rPr>
        <w:t>，支付合同价的</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0%作为预付款；</w:t>
      </w:r>
    </w:p>
    <w:p w14:paraId="749C4062">
      <w:pPr>
        <w:pStyle w:val="33"/>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、全部安装完毕且验收合格后1个月内，支付至合同价的</w:t>
      </w:r>
      <w:r>
        <w:rPr>
          <w:rFonts w:hint="eastAsia" w:hAnsi="宋体" w:cs="宋体"/>
          <w:sz w:val="24"/>
          <w:szCs w:val="24"/>
          <w:highlight w:val="none"/>
          <w:lang w:val="en-US" w:eastAsia="zh-CN"/>
        </w:rPr>
        <w:t>100</w:t>
      </w:r>
      <w:r>
        <w:rPr>
          <w:rFonts w:hint="eastAsia" w:ascii="宋体" w:hAnsi="宋体" w:eastAsia="宋体" w:cs="宋体"/>
          <w:sz w:val="24"/>
          <w:szCs w:val="24"/>
          <w:highlight w:val="none"/>
        </w:rPr>
        <w:t>%。</w:t>
      </w:r>
    </w:p>
    <w:p w14:paraId="616D0E42">
      <w:pPr>
        <w:pStyle w:val="33"/>
        <w:snapToGrid w:val="0"/>
        <w:spacing w:line="360" w:lineRule="auto"/>
        <w:rPr>
          <w:rFonts w:hint="eastAsia" w:ascii="Times New Roman" w:hAnsi="Times New Roman"/>
          <w:b/>
          <w:sz w:val="28"/>
          <w:szCs w:val="28"/>
          <w:highlight w:val="none"/>
        </w:rPr>
      </w:pPr>
      <w:r>
        <w:rPr>
          <w:rFonts w:hint="eastAsia" w:ascii="Times New Roman" w:hAnsi="Times New Roman"/>
          <w:b/>
          <w:sz w:val="28"/>
          <w:szCs w:val="28"/>
          <w:highlight w:val="none"/>
        </w:rPr>
        <w:t>十二、税</w:t>
      </w:r>
    </w:p>
    <w:p w14:paraId="2B682426">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本合同执行中相关的一切税费均由乙方负担。</w:t>
      </w:r>
    </w:p>
    <w:p w14:paraId="062AEE4D">
      <w:pPr>
        <w:pStyle w:val="33"/>
        <w:snapToGrid w:val="0"/>
        <w:spacing w:line="360" w:lineRule="auto"/>
        <w:rPr>
          <w:rFonts w:hint="eastAsia" w:ascii="Times New Roman" w:hAnsi="Times New Roman"/>
          <w:b/>
          <w:sz w:val="28"/>
          <w:szCs w:val="28"/>
          <w:highlight w:val="none"/>
        </w:rPr>
      </w:pPr>
      <w:r>
        <w:rPr>
          <w:rFonts w:hint="eastAsia" w:ascii="Times New Roman" w:hAnsi="Times New Roman"/>
          <w:b/>
          <w:sz w:val="28"/>
          <w:szCs w:val="28"/>
          <w:highlight w:val="none"/>
        </w:rPr>
        <w:t>十三、质量保证及售后服务</w:t>
      </w:r>
    </w:p>
    <w:p w14:paraId="460D2355">
      <w:pPr>
        <w:pStyle w:val="33"/>
        <w:snapToGrid w:val="0"/>
        <w:spacing w:line="360" w:lineRule="auto"/>
        <w:rPr>
          <w:rFonts w:hint="eastAsia" w:hAnsi="宋体" w:cs="Arial"/>
          <w:color w:val="000000"/>
          <w:kern w:val="0"/>
          <w:sz w:val="24"/>
          <w:szCs w:val="24"/>
          <w:highlight w:val="none"/>
        </w:rPr>
      </w:pPr>
      <w:r>
        <w:rPr>
          <w:rFonts w:hint="eastAsia" w:hAnsi="宋体" w:cs="Arial"/>
          <w:color w:val="000000"/>
          <w:kern w:val="0"/>
          <w:sz w:val="24"/>
          <w:szCs w:val="24"/>
          <w:highlight w:val="none"/>
        </w:rPr>
        <w:t>1.乙方应按招标文件、投标文件规定的货物性能、技术要求、质量标准向甲方提供未经使用的全新合格产品。合同、</w:t>
      </w:r>
      <w:r>
        <w:rPr>
          <w:rFonts w:hint="eastAsia"/>
          <w:color w:val="000000"/>
          <w:sz w:val="24"/>
          <w:szCs w:val="24"/>
          <w:highlight w:val="none"/>
        </w:rPr>
        <w:t>招标文件、投标文件、国家相关标准对同一产品的性能、技术要求、质量标准约定不一致的，以要求高者为准。</w:t>
      </w:r>
    </w:p>
    <w:p w14:paraId="582C9A1B">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2.乙方提供的货物在质保期内因货物本身的质量问题发生故障，乙方应负责在故障发生后</w:t>
      </w:r>
      <w:r>
        <w:rPr>
          <w:rFonts w:hint="eastAsia" w:hAnsi="宋体" w:cs="Arial"/>
          <w:kern w:val="0"/>
          <w:sz w:val="24"/>
          <w:szCs w:val="24"/>
          <w:highlight w:val="none"/>
          <w:u w:val="single"/>
        </w:rPr>
        <w:t xml:space="preserve">       </w:t>
      </w:r>
      <w:r>
        <w:rPr>
          <w:rFonts w:hint="eastAsia" w:hAnsi="宋体" w:cs="Arial"/>
          <w:kern w:val="0"/>
          <w:sz w:val="24"/>
          <w:szCs w:val="24"/>
          <w:highlight w:val="none"/>
        </w:rPr>
        <w:t>个工作日内免费更换。对达不到技术要求者，根据实际情况，甲方有权选择按以下任一办法处理：</w:t>
      </w:r>
    </w:p>
    <w:p w14:paraId="504AA135">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（1）更换：由乙方承担所发生的全部费用；</w:t>
      </w:r>
    </w:p>
    <w:p w14:paraId="389349C8">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（2）贬值处理：由甲乙双方合议定价，无法合议时由甲方定价；</w:t>
      </w:r>
    </w:p>
    <w:p w14:paraId="746061A5">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（3）退货处理：乙方应退还甲方支付的合同款，同时应承担该货物的直接费用（运输、保险、检验、货款利息及银行手续费等）。</w:t>
      </w:r>
    </w:p>
    <w:p w14:paraId="58510AEA">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3.如在使用过程中发生质量问题，24小时维修电话</w:t>
      </w:r>
      <w:r>
        <w:rPr>
          <w:rFonts w:hint="eastAsia" w:hAnsi="宋体" w:cs="Arial"/>
          <w:kern w:val="0"/>
          <w:sz w:val="24"/>
          <w:szCs w:val="24"/>
          <w:highlight w:val="none"/>
          <w:u w:val="single"/>
        </w:rPr>
        <w:t xml:space="preserve">              </w:t>
      </w:r>
      <w:r>
        <w:rPr>
          <w:rFonts w:hint="eastAsia" w:hAnsi="宋体" w:cs="Arial"/>
          <w:kern w:val="0"/>
          <w:sz w:val="24"/>
          <w:szCs w:val="24"/>
          <w:highlight w:val="none"/>
        </w:rPr>
        <w:t>，乙方接到甲方通知后2小时内响应，24小时内提出解决方案。如需上门维修则应在接到甲方通知后 2 小时内派出维修人员到达现场进行服务。如维修时间超过1周，乙方免费提供备件及备品服务（具体根据招标文件或投标承诺）。</w:t>
      </w:r>
    </w:p>
    <w:p w14:paraId="3F6DD983">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4.在质保期内，乙方应对货物出现的质量及安全问题负责处理解决并承担一切费用。因人为因素出现的故障不在质保范围内。超过质保期的机器设备，乙方负责终身维修，维修时只收部件成本费。</w:t>
      </w:r>
    </w:p>
    <w:p w14:paraId="17331A0D">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5.乙方应保证所提供的软件为原厂正品。</w:t>
      </w:r>
    </w:p>
    <w:p w14:paraId="52A90E7A">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6.乙方负责对甲方人员进行仪器设备使用、维护、保养的培训，直至甲方人员熟练掌握使用、维护、保养技巧，培训费用由乙方承担。</w:t>
      </w:r>
    </w:p>
    <w:p w14:paraId="650F1516">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7.仪器设备投入正常运行后，乙方应定期回访甲方。</w:t>
      </w:r>
    </w:p>
    <w:p w14:paraId="3A78E4DF">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8.乙方承诺完全知悉、理解甲方现场以及需求，因产品不能符合甲方软硬件环境导致产品无法实现合同目的，责任由乙方承担，甲方有权单方面解除合同。</w:t>
      </w:r>
    </w:p>
    <w:p w14:paraId="4F810543">
      <w:pPr>
        <w:pStyle w:val="33"/>
        <w:snapToGrid w:val="0"/>
        <w:spacing w:line="360" w:lineRule="auto"/>
        <w:rPr>
          <w:rFonts w:hint="eastAsia" w:ascii="Times New Roman" w:hAnsi="Times New Roman"/>
          <w:b/>
          <w:sz w:val="24"/>
          <w:szCs w:val="24"/>
          <w:highlight w:val="none"/>
        </w:rPr>
      </w:pPr>
      <w:r>
        <w:rPr>
          <w:rFonts w:hint="eastAsia" w:hAnsi="宋体" w:cs="Arial"/>
          <w:kern w:val="0"/>
          <w:sz w:val="24"/>
          <w:szCs w:val="24"/>
          <w:highlight w:val="none"/>
        </w:rPr>
        <w:t xml:space="preserve">9.其他售后服务内容： </w:t>
      </w:r>
      <w:r>
        <w:rPr>
          <w:rFonts w:hint="eastAsia" w:hAnsi="宋体" w:cs="Arial"/>
          <w:kern w:val="0"/>
          <w:sz w:val="24"/>
          <w:szCs w:val="24"/>
          <w:highlight w:val="none"/>
          <w:u w:val="single"/>
        </w:rPr>
        <w:t xml:space="preserve">     按照招标文件规定执行(如有其它，可添加) </w:t>
      </w:r>
    </w:p>
    <w:p w14:paraId="7DF490FD">
      <w:pPr>
        <w:pStyle w:val="33"/>
        <w:snapToGrid w:val="0"/>
        <w:spacing w:line="360" w:lineRule="auto"/>
        <w:rPr>
          <w:rFonts w:hint="eastAsia" w:ascii="Times New Roman" w:hAnsi="Times New Roman"/>
          <w:b/>
          <w:sz w:val="28"/>
          <w:szCs w:val="28"/>
          <w:highlight w:val="none"/>
        </w:rPr>
      </w:pPr>
      <w:r>
        <w:rPr>
          <w:rFonts w:hint="eastAsia" w:ascii="Times New Roman" w:hAnsi="Times New Roman"/>
          <w:b/>
          <w:sz w:val="28"/>
          <w:szCs w:val="28"/>
          <w:highlight w:val="none"/>
        </w:rPr>
        <w:t>十四、调试和验收</w:t>
      </w:r>
    </w:p>
    <w:p w14:paraId="3107FCC3">
      <w:pPr>
        <w:pStyle w:val="33"/>
        <w:snapToGrid w:val="0"/>
        <w:spacing w:line="360" w:lineRule="auto"/>
        <w:rPr>
          <w:rFonts w:hint="eastAsia" w:hAnsi="宋体" w:cs="Arial"/>
          <w:color w:val="000000"/>
          <w:kern w:val="0"/>
          <w:sz w:val="24"/>
          <w:szCs w:val="24"/>
          <w:highlight w:val="none"/>
        </w:rPr>
      </w:pPr>
      <w:r>
        <w:rPr>
          <w:rFonts w:hint="eastAsia" w:hAnsi="宋体" w:cs="Arial"/>
          <w:color w:val="000000"/>
          <w:kern w:val="0"/>
          <w:sz w:val="24"/>
          <w:szCs w:val="24"/>
          <w:highlight w:val="none"/>
        </w:rPr>
        <w:t>1.甲方对乙方提交的货物依据招标文件、投标文件上的技术规格要求和国家有关质量标准（合同、</w:t>
      </w:r>
      <w:r>
        <w:rPr>
          <w:rFonts w:hint="eastAsia"/>
          <w:color w:val="000000"/>
          <w:sz w:val="24"/>
          <w:szCs w:val="24"/>
          <w:highlight w:val="none"/>
        </w:rPr>
        <w:t>招标文件、投标文件、国家相关标准对同一产品的技术规格要求、质量标准约定不一致的，以要求高者为准</w:t>
      </w:r>
      <w:r>
        <w:rPr>
          <w:rFonts w:hint="eastAsia" w:hAnsi="宋体" w:cs="Arial"/>
          <w:color w:val="000000"/>
          <w:kern w:val="0"/>
          <w:sz w:val="24"/>
          <w:szCs w:val="24"/>
          <w:highlight w:val="none"/>
        </w:rPr>
        <w:t>）进行现场初步验收，外观、说明书符合招标文件及投标文件技术要求的，给予签收，初步验收不合格的不予签收，并出具验收不合格通知书。初步验收不合格的，乙方必须在十个工作日内重新提供符合合同约定的货物，逾期则按乙方逾期交货处理。货到后，甲方需在调试好后五个工作日内组织验收。初步验收合格并不代表甲方已认可乙方的货物质量，只有最终验收合格才能代表甲方认可乙方的货物质量。</w:t>
      </w:r>
    </w:p>
    <w:p w14:paraId="75BFE5B6">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2.乙方交货前应对产品作出全面检查和对验收文件进行整理，并列出清单，作为甲方收货验收和使用的技术条件依据，检验的结果应随货物交甲方。</w:t>
      </w:r>
    </w:p>
    <w:p w14:paraId="3CCEF95D">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3.乙方应对提供的货物在使用前进行调试，乙方需负责安装并培训甲方的使用操作人员，直到符合技术要求，甲方才做最终验收。</w:t>
      </w:r>
    </w:p>
    <w:p w14:paraId="6E5758E5">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4.对技术复杂的货物，甲方应请国家认可的专业检测机构参与初步验收及最终验收，并由其出具质量检测报告。如乙方对验收结果有异议，可以委托甲方所在地专业检测部门或甲方指定的质量鉴定单位进行复检。因复检发生的费用由乙方承担。</w:t>
      </w:r>
    </w:p>
    <w:p w14:paraId="7FFB6636">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5.验收时乙方必须在现场，乙方未到现场的，甲方可推迟验收时间，因此造成的逾期交货责任由乙方承担。验收完毕后出具验收结果报告（合同验收单），验收费用由乙方承担。</w:t>
      </w:r>
    </w:p>
    <w:p w14:paraId="7AAE5A56">
      <w:pPr>
        <w:pStyle w:val="33"/>
        <w:snapToGrid w:val="0"/>
        <w:spacing w:line="360" w:lineRule="auto"/>
        <w:rPr>
          <w:rFonts w:hint="eastAsia" w:ascii="Times New Roman" w:hAnsi="Times New Roman"/>
          <w:b/>
          <w:sz w:val="28"/>
          <w:szCs w:val="28"/>
          <w:highlight w:val="none"/>
        </w:rPr>
      </w:pPr>
      <w:r>
        <w:rPr>
          <w:rFonts w:hint="eastAsia" w:ascii="Times New Roman" w:hAnsi="Times New Roman"/>
          <w:b/>
          <w:sz w:val="28"/>
          <w:szCs w:val="28"/>
          <w:highlight w:val="none"/>
        </w:rPr>
        <w:t>十五、货物包装、发运及运输</w:t>
      </w:r>
    </w:p>
    <w:p w14:paraId="20ECC5F3">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1.乙方应在货物发运前对其进行满足运输距离、防潮、防震、防锈和防破损装卸等要求包装，以保证货物安全运达甲方指定地点。</w:t>
      </w:r>
    </w:p>
    <w:p w14:paraId="1E021BAC">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2.使用说明书、质量检验证明书、随配附件和工具以及清单一并附于货物内。</w:t>
      </w:r>
    </w:p>
    <w:p w14:paraId="24DC1D04">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3.乙方在货物发运手续办理完毕后24小时内或货到甲方48小时前通知甲方，以准备接货。</w:t>
      </w:r>
    </w:p>
    <w:p w14:paraId="60378D06">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4.货物在交付甲方并安装调试完成前发生的风险均由乙方负责。</w:t>
      </w:r>
    </w:p>
    <w:p w14:paraId="1EBE2F9D">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5.货物在规定的交付期限内由乙方送达甲方指定的地点并安装调试完成后视为交付，乙方须同时通知甲方货物已送达。</w:t>
      </w:r>
    </w:p>
    <w:p w14:paraId="50FB3047">
      <w:pPr>
        <w:pStyle w:val="33"/>
        <w:snapToGrid w:val="0"/>
        <w:spacing w:line="360" w:lineRule="auto"/>
        <w:rPr>
          <w:rFonts w:hint="eastAsia" w:ascii="Times New Roman" w:hAnsi="Times New Roman"/>
          <w:b/>
          <w:sz w:val="28"/>
          <w:szCs w:val="28"/>
          <w:highlight w:val="none"/>
        </w:rPr>
      </w:pPr>
      <w:r>
        <w:rPr>
          <w:rFonts w:hint="eastAsia" w:ascii="Times New Roman" w:hAnsi="Times New Roman"/>
          <w:b/>
          <w:sz w:val="28"/>
          <w:szCs w:val="28"/>
          <w:highlight w:val="none"/>
        </w:rPr>
        <w:t>十六、违约责任</w:t>
      </w:r>
    </w:p>
    <w:p w14:paraId="685EFD94">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1.甲方无正当理由拒收货物的，甲方向乙方偿付拒收货款总值百分之五的违约金。</w:t>
      </w:r>
    </w:p>
    <w:p w14:paraId="543461D1">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2.甲方无故逾期验收和办理货款支付手续的，甲方应按逾期付款总额每日万分之五向乙方支付违约金。如果学校已经向国库集中支付中心提出货款支付申请，视同甲方已经付款。</w:t>
      </w:r>
    </w:p>
    <w:p w14:paraId="4C441C50">
      <w:pPr>
        <w:pStyle w:val="33"/>
        <w:snapToGrid w:val="0"/>
        <w:spacing w:line="360" w:lineRule="auto"/>
        <w:rPr>
          <w:rFonts w:hint="eastAsia" w:hAnsi="宋体" w:cs="Arial"/>
          <w:color w:val="000000"/>
          <w:kern w:val="0"/>
          <w:sz w:val="24"/>
          <w:szCs w:val="24"/>
          <w:highlight w:val="none"/>
        </w:rPr>
      </w:pPr>
      <w:r>
        <w:rPr>
          <w:rFonts w:hint="eastAsia" w:hAnsi="宋体" w:cs="Arial"/>
          <w:color w:val="000000"/>
          <w:kern w:val="0"/>
          <w:sz w:val="24"/>
          <w:szCs w:val="24"/>
          <w:highlight w:val="none"/>
        </w:rPr>
        <w:t>3.乙方逾期交付货物的</w:t>
      </w:r>
      <w:r>
        <w:rPr>
          <w:rFonts w:hint="eastAsia"/>
          <w:sz w:val="24"/>
          <w:szCs w:val="24"/>
          <w:highlight w:val="none"/>
        </w:rPr>
        <w:t>（未按期完成安装调试或通过最终验收的，也视为逾期交货）</w:t>
      </w:r>
      <w:r>
        <w:rPr>
          <w:rFonts w:hint="eastAsia" w:hAnsi="宋体" w:cs="Arial"/>
          <w:color w:val="000000"/>
          <w:kern w:val="0"/>
          <w:sz w:val="24"/>
          <w:szCs w:val="24"/>
          <w:highlight w:val="none"/>
        </w:rPr>
        <w:t xml:space="preserve">，乙方应按逾期交货总额每日千分之六向甲方支付违约金，由甲方从待付货款中扣除。乙方逾期10个工作日以上未交付货物的，甲方可单方面解除本合同。乙方因逾期交货或因其他违约行为导致甲方解除合同的，乙方应向甲方支付合同总值百分之五的违约金，如造成甲方损失超过违约金的，超出部分由乙方继续承担赔偿责任，赔偿责任范围还包括但不限于甲方因此支付的公证费、鉴定费、诉讼费、律师费等费用。 </w:t>
      </w:r>
    </w:p>
    <w:p w14:paraId="1EFCB61D">
      <w:pPr>
        <w:pStyle w:val="33"/>
        <w:snapToGrid w:val="0"/>
        <w:spacing w:line="360" w:lineRule="auto"/>
        <w:rPr>
          <w:rFonts w:hint="eastAsia" w:hAnsi="宋体" w:cs="Arial"/>
          <w:color w:val="000000"/>
          <w:kern w:val="0"/>
          <w:sz w:val="24"/>
          <w:szCs w:val="24"/>
          <w:highlight w:val="none"/>
        </w:rPr>
      </w:pPr>
      <w:r>
        <w:rPr>
          <w:rFonts w:hint="eastAsia" w:hAnsi="宋体" w:cs="Arial"/>
          <w:color w:val="000000"/>
          <w:kern w:val="0"/>
          <w:sz w:val="24"/>
          <w:szCs w:val="24"/>
          <w:highlight w:val="none"/>
        </w:rPr>
        <w:t>4.乙方所交的货物品种、型号、规格、技术参数、质量不符合合同规定及招标文件、投标文件规定标准的（合同、</w:t>
      </w:r>
      <w:r>
        <w:rPr>
          <w:rFonts w:hint="eastAsia"/>
          <w:color w:val="000000"/>
          <w:sz w:val="24"/>
          <w:szCs w:val="24"/>
          <w:highlight w:val="none"/>
        </w:rPr>
        <w:t>招标文件、投标文件、国家相关标准对同一产品的技术规格要求、质量标准约定不一致的，以要求高者为准</w:t>
      </w:r>
      <w:r>
        <w:rPr>
          <w:rFonts w:hint="eastAsia" w:hAnsi="宋体" w:cs="Arial"/>
          <w:color w:val="000000"/>
          <w:kern w:val="0"/>
          <w:sz w:val="24"/>
          <w:szCs w:val="24"/>
          <w:highlight w:val="none"/>
        </w:rPr>
        <w:t>），甲方有权拒收该货物，乙方愿意更换货物但逾期交货的，按乙方逾期交货处理（本合同第十六条第3项约定）。乙方拒绝更换货物的，甲方可单方面解除合同，乙方须承担甲方全部损失。</w:t>
      </w:r>
    </w:p>
    <w:p w14:paraId="7F9A57EB">
      <w:pPr>
        <w:pStyle w:val="33"/>
        <w:snapToGrid w:val="0"/>
        <w:spacing w:line="360" w:lineRule="auto"/>
        <w:rPr>
          <w:rFonts w:hint="eastAsia" w:ascii="Times New Roman" w:hAnsi="Times New Roman"/>
          <w:b/>
          <w:sz w:val="28"/>
          <w:szCs w:val="28"/>
          <w:highlight w:val="none"/>
        </w:rPr>
      </w:pPr>
      <w:r>
        <w:rPr>
          <w:rFonts w:hint="eastAsia" w:ascii="Times New Roman" w:hAnsi="Times New Roman"/>
          <w:b/>
          <w:sz w:val="28"/>
          <w:szCs w:val="28"/>
          <w:highlight w:val="none"/>
        </w:rPr>
        <w:t>十七、不可抗力事件处理</w:t>
      </w:r>
    </w:p>
    <w:p w14:paraId="4EB1C1BC">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1.在合同有效期内，任何一方因不可抗力事件导致不能履行合同，则合同履行期可顺延，其延长期与不可抗力影响期相等。</w:t>
      </w:r>
    </w:p>
    <w:p w14:paraId="3C84BFCE">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2. 遭受不可抗力一方应在不可抗力事件发生后3个工作日内立即通知对方，并寄送有关权威机构出具的证明，否则不视为发生不可抗力事件。</w:t>
      </w:r>
    </w:p>
    <w:p w14:paraId="300A1CC5">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3.不可抗力事件延续120天以上的，双方应通过友好协商，确定是否继续履行合同。</w:t>
      </w:r>
    </w:p>
    <w:p w14:paraId="58BCA474">
      <w:pPr>
        <w:pStyle w:val="33"/>
        <w:snapToGrid w:val="0"/>
        <w:spacing w:line="360" w:lineRule="auto"/>
        <w:rPr>
          <w:rFonts w:hint="eastAsia" w:ascii="Times New Roman" w:hAnsi="Times New Roman"/>
          <w:b/>
          <w:sz w:val="28"/>
          <w:szCs w:val="28"/>
          <w:highlight w:val="none"/>
        </w:rPr>
      </w:pPr>
      <w:r>
        <w:rPr>
          <w:rFonts w:hint="eastAsia" w:ascii="Times New Roman" w:hAnsi="Times New Roman"/>
          <w:b/>
          <w:sz w:val="28"/>
          <w:szCs w:val="28"/>
          <w:highlight w:val="none"/>
        </w:rPr>
        <w:t>十八、诉讼</w:t>
      </w:r>
    </w:p>
    <w:p w14:paraId="08E46E9C">
      <w:pPr>
        <w:pStyle w:val="33"/>
        <w:snapToGrid w:val="0"/>
        <w:spacing w:line="360" w:lineRule="auto"/>
        <w:rPr>
          <w:rFonts w:hint="eastAsia" w:hAnsi="宋体" w:cs="Arial"/>
          <w:color w:val="000000"/>
          <w:kern w:val="0"/>
          <w:sz w:val="24"/>
          <w:szCs w:val="24"/>
          <w:highlight w:val="none"/>
        </w:rPr>
      </w:pPr>
      <w:r>
        <w:rPr>
          <w:rFonts w:hint="eastAsia" w:hAnsi="宋体" w:cs="Arial"/>
          <w:color w:val="000000"/>
          <w:kern w:val="0"/>
          <w:sz w:val="24"/>
          <w:szCs w:val="24"/>
          <w:highlight w:val="none"/>
        </w:rPr>
        <w:t>双方在履行合同中所发生的一切争议，应通过协商解决。如协商不成，可向合同签订地法院起诉，合同签订地在此约定为</w:t>
      </w:r>
      <w:r>
        <w:rPr>
          <w:rFonts w:hint="eastAsia" w:hAnsi="宋体" w:cs="Arial"/>
          <w:color w:val="000000"/>
          <w:kern w:val="0"/>
          <w:sz w:val="24"/>
          <w:szCs w:val="24"/>
          <w:highlight w:val="none"/>
          <w:lang w:eastAsia="zh-CN"/>
        </w:rPr>
        <w:t>甲方所在地</w:t>
      </w:r>
      <w:r>
        <w:rPr>
          <w:rFonts w:hint="eastAsia" w:hAnsi="宋体" w:cs="Arial"/>
          <w:color w:val="000000"/>
          <w:kern w:val="0"/>
          <w:sz w:val="24"/>
          <w:szCs w:val="24"/>
          <w:highlight w:val="none"/>
        </w:rPr>
        <w:t>。因诉讼导致的诉讼费、保全费、鉴定费、律师代理费等费用由违约方承担。</w:t>
      </w:r>
    </w:p>
    <w:p w14:paraId="585ABD20">
      <w:pPr>
        <w:pStyle w:val="33"/>
        <w:snapToGrid w:val="0"/>
        <w:spacing w:line="360" w:lineRule="auto"/>
        <w:rPr>
          <w:rFonts w:hint="eastAsia" w:ascii="Times New Roman" w:hAnsi="Times New Roman"/>
          <w:b/>
          <w:sz w:val="28"/>
          <w:szCs w:val="28"/>
          <w:highlight w:val="none"/>
        </w:rPr>
      </w:pPr>
      <w:r>
        <w:rPr>
          <w:rFonts w:hint="eastAsia" w:ascii="Times New Roman" w:hAnsi="Times New Roman"/>
          <w:b/>
          <w:sz w:val="28"/>
          <w:szCs w:val="28"/>
          <w:highlight w:val="none"/>
        </w:rPr>
        <w:t>十九、合同生效及其它</w:t>
      </w:r>
    </w:p>
    <w:p w14:paraId="1D33E4C8">
      <w:pPr>
        <w:pStyle w:val="33"/>
        <w:snapToGrid w:val="0"/>
        <w:spacing w:line="360" w:lineRule="auto"/>
        <w:rPr>
          <w:rFonts w:hint="eastAsia" w:hAnsi="宋体" w:cs="Arial"/>
          <w:color w:val="000000"/>
          <w:kern w:val="0"/>
          <w:sz w:val="24"/>
          <w:szCs w:val="24"/>
          <w:highlight w:val="none"/>
        </w:rPr>
      </w:pPr>
      <w:r>
        <w:rPr>
          <w:rFonts w:hint="eastAsia" w:hAnsi="宋体" w:cs="Arial"/>
          <w:color w:val="000000"/>
          <w:kern w:val="0"/>
          <w:sz w:val="24"/>
          <w:szCs w:val="24"/>
          <w:highlight w:val="none"/>
        </w:rPr>
        <w:t>1.合同经双方法定代表人或授权委托代理人签字并加盖单位公章后生效。</w:t>
      </w:r>
    </w:p>
    <w:p w14:paraId="2593E085">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2.本合同未尽事宜，遵照《中华人民共和国民法典》有关条文，经双方友好协商解决。</w:t>
      </w:r>
    </w:p>
    <w:p w14:paraId="64EBF2D1">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3.招标文件、投标文件及评标过程中形成的文字资料、询价纪要均作为本合同的组成部分，具有同等效力。如果合同执行中涉及采购资金和采购内容修改或补充的，须经学校相关部门审批，并签书面补充协议报主管部门备案后，方可作为主合同不可分割的一部分。</w:t>
      </w:r>
    </w:p>
    <w:p w14:paraId="4AD6FF08">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4.本合同一式</w:t>
      </w:r>
      <w:r>
        <w:rPr>
          <w:rFonts w:hint="eastAsia" w:hAnsi="宋体" w:cs="Arial"/>
          <w:kern w:val="0"/>
          <w:sz w:val="24"/>
          <w:szCs w:val="24"/>
          <w:highlight w:val="none"/>
          <w:u w:val="single"/>
        </w:rPr>
        <w:t xml:space="preserve">     </w:t>
      </w:r>
      <w:r>
        <w:rPr>
          <w:rFonts w:hint="eastAsia" w:hAnsi="宋体" w:cs="Arial"/>
          <w:kern w:val="0"/>
          <w:sz w:val="24"/>
          <w:szCs w:val="24"/>
          <w:highlight w:val="none"/>
        </w:rPr>
        <w:t>份，具有同等法律效力，甲方执</w:t>
      </w:r>
      <w:r>
        <w:rPr>
          <w:rFonts w:hint="eastAsia" w:hAnsi="宋体" w:cs="Arial"/>
          <w:kern w:val="0"/>
          <w:sz w:val="24"/>
          <w:szCs w:val="24"/>
          <w:highlight w:val="none"/>
          <w:u w:val="single"/>
        </w:rPr>
        <w:t xml:space="preserve">    </w:t>
      </w:r>
      <w:r>
        <w:rPr>
          <w:rFonts w:hint="eastAsia" w:hAnsi="宋体" w:cs="Arial"/>
          <w:kern w:val="0"/>
          <w:sz w:val="24"/>
          <w:szCs w:val="24"/>
          <w:highlight w:val="none"/>
        </w:rPr>
        <w:t>份、乙方执</w:t>
      </w:r>
      <w:r>
        <w:rPr>
          <w:rFonts w:hint="eastAsia" w:hAnsi="宋体" w:cs="Arial"/>
          <w:kern w:val="0"/>
          <w:sz w:val="24"/>
          <w:szCs w:val="24"/>
          <w:highlight w:val="none"/>
          <w:u w:val="single"/>
        </w:rPr>
        <w:t xml:space="preserve">    </w:t>
      </w:r>
      <w:r>
        <w:rPr>
          <w:rFonts w:hint="eastAsia" w:hAnsi="宋体" w:cs="Arial"/>
          <w:kern w:val="0"/>
          <w:sz w:val="24"/>
          <w:szCs w:val="24"/>
          <w:highlight w:val="none"/>
        </w:rPr>
        <w:t>份。</w:t>
      </w:r>
    </w:p>
    <w:p w14:paraId="42ED1361">
      <w:pPr>
        <w:pStyle w:val="59"/>
        <w:ind w:firstLine="420"/>
        <w:rPr>
          <w:rFonts w:hint="eastAsia" w:ascii="宋体" w:hAnsi="宋体" w:cs="宋体"/>
          <w:b/>
          <w:color w:val="000000"/>
          <w:kern w:val="0"/>
          <w:sz w:val="28"/>
          <w:szCs w:val="28"/>
          <w:highlight w:val="none"/>
          <w:lang w:bidi="ar"/>
        </w:rPr>
      </w:pPr>
      <w:r>
        <w:rPr>
          <w:rFonts w:hint="eastAsia" w:ascii="宋体" w:hAnsi="宋体" w:cs="宋体"/>
          <w:b/>
          <w:color w:val="000000"/>
          <w:kern w:val="0"/>
          <w:sz w:val="28"/>
          <w:szCs w:val="28"/>
          <w:highlight w:val="none"/>
          <w:lang w:bidi="ar"/>
        </w:rPr>
        <w:t>（以下无正文）</w:t>
      </w:r>
    </w:p>
    <w:p w14:paraId="117D2853">
      <w:pPr>
        <w:pStyle w:val="59"/>
        <w:ind w:firstLine="420"/>
        <w:rPr>
          <w:rFonts w:hint="eastAsia" w:ascii="宋体" w:hAnsi="宋体" w:cs="宋体"/>
          <w:b/>
          <w:color w:val="000000"/>
          <w:sz w:val="28"/>
          <w:szCs w:val="28"/>
          <w:highlight w:val="none"/>
        </w:rPr>
      </w:pPr>
      <w:r>
        <w:rPr>
          <w:rFonts w:hint="eastAsia" w:ascii="宋体" w:hAnsi="宋体" w:cs="宋体"/>
          <w:b/>
          <w:color w:val="000000"/>
          <w:sz w:val="28"/>
          <w:szCs w:val="28"/>
          <w:highlight w:val="none"/>
        </w:rPr>
        <w:t>（本页为签字盖章页）</w:t>
      </w:r>
    </w:p>
    <w:p w14:paraId="79D95BB9">
      <w:pPr>
        <w:pStyle w:val="33"/>
        <w:snapToGrid w:val="0"/>
        <w:spacing w:line="360" w:lineRule="auto"/>
        <w:rPr>
          <w:rFonts w:hint="eastAsia" w:hAnsi="宋体" w:cs="Arial"/>
          <w:kern w:val="0"/>
          <w:highlight w:val="none"/>
        </w:rPr>
      </w:pPr>
    </w:p>
    <w:p w14:paraId="321065BC">
      <w:pPr>
        <w:pStyle w:val="33"/>
        <w:snapToGrid w:val="0"/>
        <w:spacing w:beforeLines="0" w:afterLines="0" w:line="360" w:lineRule="auto"/>
        <w:rPr>
          <w:rFonts w:hint="eastAsia" w:ascii="Times New Roman" w:hAnsi="Times New Roman"/>
          <w:highlight w:val="none"/>
        </w:rPr>
      </w:pPr>
    </w:p>
    <w:p w14:paraId="0D04AE9A">
      <w:pPr>
        <w:pStyle w:val="33"/>
        <w:snapToGrid w:val="0"/>
        <w:spacing w:beforeLines="0" w:afterLines="0" w:line="360" w:lineRule="auto"/>
        <w:rPr>
          <w:rFonts w:ascii="Times New Roman" w:hAnsi="Times New Roman"/>
          <w:sz w:val="24"/>
          <w:szCs w:val="24"/>
          <w:highlight w:val="none"/>
        </w:rPr>
      </w:pPr>
      <w:r>
        <w:rPr>
          <w:rFonts w:hint="eastAsia" w:ascii="Times New Roman" w:hAnsi="Times New Roman"/>
          <w:highlight w:val="none"/>
        </w:rPr>
        <w:t xml:space="preserve"> </w:t>
      </w:r>
      <w:r>
        <w:rPr>
          <w:rFonts w:ascii="Times New Roman" w:hAnsi="Times New Roman"/>
          <w:sz w:val="24"/>
          <w:szCs w:val="24"/>
          <w:highlight w:val="none"/>
        </w:rPr>
        <w:t xml:space="preserve">甲方（公章）：        </w:t>
      </w:r>
      <w:r>
        <w:rPr>
          <w:rFonts w:hint="eastAsia" w:ascii="Times New Roman" w:hAnsi="Times New Roman"/>
          <w:sz w:val="24"/>
          <w:szCs w:val="24"/>
          <w:highlight w:val="none"/>
        </w:rPr>
        <w:t xml:space="preserve">  </w:t>
      </w:r>
      <w:r>
        <w:rPr>
          <w:rFonts w:hint="eastAsia" w:ascii="Times New Roman" w:hAnsi="Times New Roman"/>
          <w:sz w:val="24"/>
          <w:szCs w:val="24"/>
          <w:highlight w:val="none"/>
          <w:lang w:val="en-US" w:eastAsia="zh-CN"/>
        </w:rPr>
        <w:t xml:space="preserve">         </w:t>
      </w:r>
      <w:r>
        <w:rPr>
          <w:rFonts w:hint="eastAsia" w:ascii="Times New Roman" w:hAnsi="Times New Roman"/>
          <w:sz w:val="24"/>
          <w:szCs w:val="24"/>
          <w:highlight w:val="none"/>
        </w:rPr>
        <w:t xml:space="preserve"> </w:t>
      </w:r>
      <w:r>
        <w:rPr>
          <w:rFonts w:ascii="Times New Roman" w:hAnsi="Times New Roman"/>
          <w:sz w:val="24"/>
          <w:szCs w:val="24"/>
          <w:highlight w:val="none"/>
        </w:rPr>
        <w:t>乙方（公章）：</w:t>
      </w:r>
      <w:r>
        <w:rPr>
          <w:rFonts w:hint="eastAsia" w:ascii="Times New Roman" w:hAnsi="Times New Roman"/>
          <w:sz w:val="24"/>
          <w:szCs w:val="24"/>
          <w:highlight w:val="none"/>
        </w:rPr>
        <w:t xml:space="preserve"> </w:t>
      </w:r>
    </w:p>
    <w:p w14:paraId="562C64E5">
      <w:pPr>
        <w:pStyle w:val="33"/>
        <w:snapToGrid w:val="0"/>
        <w:spacing w:beforeLines="0" w:afterLines="0" w:line="360" w:lineRule="auto"/>
        <w:ind w:left="239" w:leftChars="114"/>
        <w:rPr>
          <w:rFonts w:ascii="Times New Roman" w:hAnsi="Times New Roman"/>
          <w:sz w:val="24"/>
          <w:szCs w:val="24"/>
          <w:highlight w:val="none"/>
        </w:rPr>
      </w:pPr>
      <w:r>
        <w:rPr>
          <w:rFonts w:ascii="Times New Roman" w:hAnsi="Times New Roman"/>
          <w:sz w:val="24"/>
          <w:szCs w:val="24"/>
          <w:highlight w:val="none"/>
        </w:rPr>
        <w:t xml:space="preserve">地址： </w:t>
      </w:r>
      <w:r>
        <w:rPr>
          <w:rFonts w:hint="eastAsia" w:ascii="Times New Roman" w:hAnsi="Times New Roman"/>
          <w:sz w:val="24"/>
          <w:szCs w:val="24"/>
          <w:highlight w:val="none"/>
        </w:rPr>
        <w:t xml:space="preserve">      </w:t>
      </w:r>
      <w:r>
        <w:rPr>
          <w:rFonts w:hint="eastAsia" w:ascii="Times New Roman" w:hAnsi="Times New Roman"/>
          <w:sz w:val="24"/>
          <w:szCs w:val="24"/>
          <w:highlight w:val="none"/>
          <w:lang w:val="en-US" w:eastAsia="zh-CN"/>
        </w:rPr>
        <w:t xml:space="preserve">                   </w:t>
      </w:r>
      <w:r>
        <w:rPr>
          <w:rFonts w:ascii="Times New Roman" w:hAnsi="Times New Roman"/>
          <w:sz w:val="24"/>
          <w:szCs w:val="24"/>
          <w:highlight w:val="none"/>
        </w:rPr>
        <w:t>地址：</w:t>
      </w:r>
      <w:r>
        <w:rPr>
          <w:rFonts w:hint="eastAsia" w:ascii="Times New Roman" w:hAnsi="Times New Roman"/>
          <w:sz w:val="24"/>
          <w:szCs w:val="24"/>
          <w:highlight w:val="none"/>
        </w:rPr>
        <w:t xml:space="preserve"> </w:t>
      </w:r>
    </w:p>
    <w:p w14:paraId="7ED85316">
      <w:pPr>
        <w:pStyle w:val="33"/>
        <w:snapToGrid w:val="0"/>
        <w:spacing w:beforeLines="0" w:afterLines="0" w:line="360" w:lineRule="auto"/>
        <w:ind w:firstLine="240" w:firstLineChars="100"/>
        <w:rPr>
          <w:rFonts w:ascii="Times New Roman" w:hAnsi="Times New Roman"/>
          <w:sz w:val="24"/>
          <w:szCs w:val="24"/>
          <w:highlight w:val="none"/>
          <w:u w:val="single"/>
        </w:rPr>
      </w:pPr>
      <w:r>
        <w:rPr>
          <w:rFonts w:ascii="Times New Roman" w:hAnsi="Times New Roman"/>
          <w:sz w:val="24"/>
          <w:szCs w:val="24"/>
          <w:highlight w:val="none"/>
        </w:rPr>
        <w:t xml:space="preserve">法定代表或委托代理人：         </w:t>
      </w:r>
      <w:r>
        <w:rPr>
          <w:rFonts w:hint="eastAsia" w:ascii="Times New Roman" w:hAnsi="Times New Roman"/>
          <w:sz w:val="24"/>
          <w:szCs w:val="24"/>
          <w:highlight w:val="none"/>
        </w:rPr>
        <w:t xml:space="preserve">  </w:t>
      </w:r>
      <w:r>
        <w:rPr>
          <w:rFonts w:ascii="Times New Roman" w:hAnsi="Times New Roman"/>
          <w:sz w:val="24"/>
          <w:szCs w:val="24"/>
          <w:highlight w:val="none"/>
        </w:rPr>
        <w:t>法定代表或委托代理人：</w:t>
      </w:r>
    </w:p>
    <w:p w14:paraId="3CF4FB45">
      <w:pPr>
        <w:pStyle w:val="33"/>
        <w:snapToGrid w:val="0"/>
        <w:spacing w:beforeLines="0" w:afterLines="0" w:line="360" w:lineRule="auto"/>
        <w:ind w:firstLine="240" w:firstLineChars="100"/>
        <w:rPr>
          <w:rFonts w:hint="eastAsia" w:ascii="Times New Roman" w:hAnsi="Times New Roman"/>
          <w:color w:val="auto"/>
          <w:sz w:val="24"/>
          <w:szCs w:val="24"/>
          <w:highlight w:val="none"/>
        </w:rPr>
      </w:pPr>
      <w:r>
        <w:rPr>
          <w:rFonts w:ascii="Times New Roman" w:hAnsi="Times New Roman"/>
          <w:sz w:val="24"/>
          <w:szCs w:val="24"/>
          <w:highlight w:val="none"/>
        </w:rPr>
        <w:t xml:space="preserve">                              </w:t>
      </w:r>
      <w:r>
        <w:rPr>
          <w:rFonts w:hint="eastAsia" w:ascii="Times New Roman" w:hAnsi="Times New Roman"/>
          <w:sz w:val="24"/>
          <w:szCs w:val="24"/>
          <w:highlight w:val="none"/>
        </w:rPr>
        <w:t xml:space="preserve">  </w:t>
      </w:r>
      <w:r>
        <w:rPr>
          <w:rFonts w:hint="eastAsia" w:ascii="Times New Roman" w:hAnsi="Times New Roman"/>
          <w:color w:val="auto"/>
          <w:sz w:val="24"/>
          <w:szCs w:val="24"/>
          <w:highlight w:val="none"/>
        </w:rPr>
        <w:t xml:space="preserve"> </w:t>
      </w:r>
      <w:r>
        <w:rPr>
          <w:rFonts w:ascii="Times New Roman" w:hAnsi="Times New Roman"/>
          <w:color w:val="auto"/>
          <w:sz w:val="24"/>
          <w:szCs w:val="24"/>
          <w:highlight w:val="none"/>
        </w:rPr>
        <w:t xml:space="preserve"> 联系电话：</w:t>
      </w:r>
    </w:p>
    <w:p w14:paraId="6258B946">
      <w:pPr>
        <w:pStyle w:val="33"/>
        <w:snapToGrid w:val="0"/>
        <w:spacing w:beforeLines="0" w:afterLines="0" w:line="360" w:lineRule="auto"/>
        <w:ind w:firstLine="4320" w:firstLineChars="18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收款银行：</w:t>
      </w:r>
    </w:p>
    <w:p w14:paraId="188A2447">
      <w:pPr>
        <w:pStyle w:val="33"/>
        <w:snapToGrid w:val="0"/>
        <w:spacing w:beforeLines="0" w:afterLines="0" w:line="360" w:lineRule="auto"/>
        <w:ind w:firstLine="4320" w:firstLineChars="1800"/>
        <w:rPr>
          <w:rFonts w:hint="eastAsia" w:hAnsi="宋体"/>
          <w:color w:val="auto"/>
          <w:sz w:val="24"/>
          <w:szCs w:val="24"/>
          <w:highlight w:val="none"/>
        </w:rPr>
      </w:pPr>
      <w:r>
        <w:rPr>
          <w:rFonts w:hint="eastAsia" w:ascii="Times New Roman" w:hAnsi="Times New Roman"/>
          <w:color w:val="auto"/>
          <w:sz w:val="24"/>
          <w:szCs w:val="24"/>
          <w:highlight w:val="none"/>
        </w:rPr>
        <w:t>账号信息：</w:t>
      </w:r>
    </w:p>
    <w:p w14:paraId="18A48507">
      <w:pPr>
        <w:pStyle w:val="33"/>
        <w:snapToGrid w:val="0"/>
        <w:spacing w:beforeLines="0" w:afterLines="0" w:line="360" w:lineRule="auto"/>
        <w:rPr>
          <w:rFonts w:ascii="Times New Roman" w:hAnsi="Times New Roman"/>
          <w:sz w:val="24"/>
          <w:szCs w:val="24"/>
          <w:highlight w:val="none"/>
        </w:rPr>
      </w:pPr>
      <w:r>
        <w:rPr>
          <w:rFonts w:ascii="Times New Roman" w:hAnsi="Times New Roman"/>
          <w:sz w:val="24"/>
          <w:szCs w:val="24"/>
          <w:highlight w:val="none"/>
        </w:rPr>
        <w:t xml:space="preserve">  签订日期：</w:t>
      </w:r>
      <w:r>
        <w:rPr>
          <w:rFonts w:hint="eastAsia"/>
          <w:sz w:val="24"/>
          <w:szCs w:val="24"/>
          <w:highlight w:val="none"/>
        </w:rPr>
        <w:t xml:space="preserve">   </w:t>
      </w:r>
      <w:r>
        <w:rPr>
          <w:sz w:val="24"/>
          <w:szCs w:val="24"/>
          <w:highlight w:val="none"/>
        </w:rPr>
        <w:t>年</w:t>
      </w:r>
      <w:r>
        <w:rPr>
          <w:rFonts w:hint="eastAsia"/>
          <w:sz w:val="24"/>
          <w:szCs w:val="24"/>
          <w:highlight w:val="none"/>
        </w:rPr>
        <w:t xml:space="preserve">   </w:t>
      </w:r>
      <w:r>
        <w:rPr>
          <w:sz w:val="24"/>
          <w:szCs w:val="24"/>
          <w:highlight w:val="none"/>
        </w:rPr>
        <w:t xml:space="preserve">月 </w:t>
      </w:r>
      <w:r>
        <w:rPr>
          <w:rFonts w:hint="eastAsia"/>
          <w:sz w:val="24"/>
          <w:szCs w:val="24"/>
          <w:highlight w:val="none"/>
        </w:rPr>
        <w:t xml:space="preserve"> </w:t>
      </w:r>
      <w:r>
        <w:rPr>
          <w:sz w:val="24"/>
          <w:szCs w:val="24"/>
          <w:highlight w:val="none"/>
        </w:rPr>
        <w:t xml:space="preserve">日   </w:t>
      </w:r>
      <w:r>
        <w:rPr>
          <w:rFonts w:ascii="Times New Roman" w:hAnsi="Times New Roman"/>
          <w:sz w:val="24"/>
          <w:szCs w:val="24"/>
          <w:highlight w:val="none"/>
        </w:rPr>
        <w:t xml:space="preserve">      </w:t>
      </w:r>
      <w:r>
        <w:rPr>
          <w:rFonts w:hint="eastAsia" w:ascii="Times New Roman" w:hAnsi="Times New Roman"/>
          <w:sz w:val="24"/>
          <w:szCs w:val="24"/>
          <w:highlight w:val="none"/>
        </w:rPr>
        <w:t xml:space="preserve"> </w:t>
      </w:r>
      <w:r>
        <w:rPr>
          <w:rFonts w:ascii="Times New Roman" w:hAnsi="Times New Roman"/>
          <w:sz w:val="24"/>
          <w:szCs w:val="24"/>
          <w:highlight w:val="none"/>
        </w:rPr>
        <w:t xml:space="preserve">签订日期： </w:t>
      </w:r>
      <w:r>
        <w:rPr>
          <w:rFonts w:hint="eastAsia"/>
          <w:sz w:val="24"/>
          <w:szCs w:val="24"/>
          <w:highlight w:val="none"/>
        </w:rPr>
        <w:t xml:space="preserve"> </w:t>
      </w:r>
      <w:r>
        <w:rPr>
          <w:sz w:val="24"/>
          <w:szCs w:val="24"/>
          <w:highlight w:val="none"/>
        </w:rPr>
        <w:t>年</w:t>
      </w:r>
      <w:r>
        <w:rPr>
          <w:rFonts w:hint="eastAsia"/>
          <w:sz w:val="24"/>
          <w:szCs w:val="24"/>
          <w:highlight w:val="none"/>
        </w:rPr>
        <w:t xml:space="preserve"> </w:t>
      </w:r>
      <w:r>
        <w:rPr>
          <w:sz w:val="24"/>
          <w:szCs w:val="24"/>
          <w:highlight w:val="none"/>
        </w:rPr>
        <w:t xml:space="preserve"> 月 </w:t>
      </w:r>
      <w:r>
        <w:rPr>
          <w:rFonts w:hint="eastAsia"/>
          <w:sz w:val="24"/>
          <w:szCs w:val="24"/>
          <w:highlight w:val="none"/>
        </w:rPr>
        <w:t xml:space="preserve"> </w:t>
      </w:r>
      <w:r>
        <w:rPr>
          <w:sz w:val="24"/>
          <w:szCs w:val="24"/>
          <w:highlight w:val="none"/>
        </w:rPr>
        <w:t xml:space="preserve"> 日   </w:t>
      </w:r>
    </w:p>
    <w:p w14:paraId="0DE438CE">
      <w:pPr>
        <w:pStyle w:val="33"/>
        <w:snapToGrid w:val="0"/>
        <w:spacing w:beforeLines="0" w:afterLines="0" w:line="360" w:lineRule="auto"/>
        <w:ind w:firstLine="240" w:firstLineChars="100"/>
        <w:rPr>
          <w:rFonts w:ascii="Times New Roman" w:hAnsi="Times New Roman"/>
          <w:sz w:val="24"/>
          <w:szCs w:val="24"/>
          <w:highlight w:val="none"/>
        </w:rPr>
      </w:pPr>
      <w:r>
        <w:rPr>
          <w:rFonts w:ascii="Times New Roman" w:hAnsi="Times New Roman"/>
          <w:sz w:val="24"/>
          <w:szCs w:val="24"/>
          <w:highlight w:val="none"/>
        </w:rPr>
        <w:t>签订地点：</w:t>
      </w:r>
      <w:r>
        <w:rPr>
          <w:rFonts w:hint="eastAsia"/>
          <w:sz w:val="24"/>
          <w:szCs w:val="24"/>
          <w:highlight w:val="none"/>
        </w:rPr>
        <w:t>嘉兴</w:t>
      </w:r>
      <w:r>
        <w:rPr>
          <w:rFonts w:ascii="Times New Roman" w:hAnsi="Times New Roman"/>
          <w:sz w:val="24"/>
          <w:szCs w:val="24"/>
          <w:highlight w:val="none"/>
        </w:rPr>
        <w:t xml:space="preserve">       </w:t>
      </w:r>
    </w:p>
    <w:p w14:paraId="2DE60008">
      <w:pPr>
        <w:pStyle w:val="33"/>
        <w:snapToGrid w:val="0"/>
        <w:spacing w:beforeLines="0" w:afterLines="0" w:line="360" w:lineRule="auto"/>
        <w:ind w:firstLine="210" w:firstLineChars="100"/>
        <w:rPr>
          <w:rFonts w:hint="eastAsia" w:ascii="Times New Roman" w:hAnsi="Times New Roman"/>
          <w:highlight w:val="none"/>
        </w:rPr>
      </w:pPr>
    </w:p>
    <w:p w14:paraId="7ECA1C07">
      <w:pPr>
        <w:pStyle w:val="33"/>
        <w:snapToGrid w:val="0"/>
        <w:spacing w:beforeLines="0" w:afterLines="0" w:line="360" w:lineRule="auto"/>
        <w:ind w:firstLine="210" w:firstLineChars="100"/>
        <w:rPr>
          <w:rFonts w:hint="eastAsia" w:ascii="Times New Roman" w:hAnsi="Times New Roman"/>
          <w:highlight w:val="none"/>
        </w:rPr>
      </w:pPr>
    </w:p>
    <w:p w14:paraId="52730964">
      <w:pPr>
        <w:pStyle w:val="33"/>
        <w:snapToGrid w:val="0"/>
        <w:spacing w:beforeLines="0" w:afterLines="0" w:line="360" w:lineRule="auto"/>
        <w:ind w:firstLine="210" w:firstLineChars="100"/>
        <w:rPr>
          <w:rFonts w:hint="eastAsia" w:ascii="Times New Roman" w:hAnsi="Times New Roman"/>
          <w:highlight w:val="none"/>
        </w:rPr>
      </w:pPr>
    </w:p>
    <w:p w14:paraId="53BDCC7F">
      <w:pPr>
        <w:pStyle w:val="33"/>
        <w:snapToGrid w:val="0"/>
        <w:spacing w:beforeLines="0" w:afterLines="0" w:line="360" w:lineRule="auto"/>
        <w:ind w:firstLine="210" w:firstLineChars="100"/>
        <w:rPr>
          <w:rFonts w:hint="eastAsia" w:ascii="Times New Roman" w:hAnsi="Times New Roman"/>
          <w:highlight w:val="none"/>
        </w:rPr>
      </w:pPr>
    </w:p>
    <w:p w14:paraId="661D9C76">
      <w:pPr>
        <w:pStyle w:val="33"/>
        <w:snapToGrid w:val="0"/>
        <w:spacing w:beforeLines="0" w:afterLines="0" w:line="360" w:lineRule="auto"/>
        <w:ind w:firstLine="210" w:firstLineChars="100"/>
        <w:rPr>
          <w:rFonts w:hint="eastAsia" w:ascii="Times New Roman" w:hAnsi="Times New Roman"/>
          <w:highlight w:val="none"/>
        </w:rPr>
      </w:pPr>
    </w:p>
    <w:p w14:paraId="02C3B6CE">
      <w:pPr>
        <w:pStyle w:val="33"/>
        <w:snapToGrid w:val="0"/>
        <w:spacing w:beforeLines="0" w:afterLines="0" w:line="360" w:lineRule="auto"/>
        <w:ind w:firstLine="210" w:firstLineChars="100"/>
        <w:rPr>
          <w:rFonts w:hint="eastAsia" w:ascii="Times New Roman" w:hAnsi="Times New Roman"/>
          <w:highlight w:val="none"/>
        </w:rPr>
      </w:pPr>
    </w:p>
    <w:p w14:paraId="110CFEE3">
      <w:pPr>
        <w:pStyle w:val="33"/>
        <w:snapToGrid w:val="0"/>
        <w:spacing w:beforeLines="0" w:afterLines="0" w:line="360" w:lineRule="auto"/>
        <w:ind w:firstLine="210" w:firstLineChars="100"/>
        <w:rPr>
          <w:rFonts w:hint="eastAsia" w:ascii="Times New Roman" w:hAnsi="Times New Roman"/>
          <w:highlight w:val="none"/>
        </w:rPr>
      </w:pPr>
    </w:p>
    <w:p w14:paraId="157715DC">
      <w:pPr>
        <w:pStyle w:val="33"/>
        <w:snapToGrid w:val="0"/>
        <w:spacing w:beforeLines="0" w:afterLines="0" w:line="360" w:lineRule="auto"/>
        <w:ind w:firstLine="210" w:firstLineChars="100"/>
        <w:rPr>
          <w:rFonts w:hint="eastAsia" w:ascii="Times New Roman" w:hAnsi="Times New Roman"/>
          <w:highlight w:val="none"/>
        </w:rPr>
      </w:pPr>
    </w:p>
    <w:p w14:paraId="322ACEED">
      <w:pPr>
        <w:pStyle w:val="33"/>
        <w:snapToGrid w:val="0"/>
        <w:spacing w:beforeLines="0" w:afterLines="0" w:line="360" w:lineRule="auto"/>
        <w:ind w:firstLine="210" w:firstLineChars="100"/>
        <w:rPr>
          <w:rFonts w:hint="eastAsia" w:ascii="Times New Roman" w:hAnsi="Times New Roman"/>
          <w:highlight w:val="none"/>
        </w:rPr>
      </w:pPr>
    </w:p>
    <w:p w14:paraId="2C9A802A">
      <w:pPr>
        <w:pStyle w:val="33"/>
        <w:snapToGrid w:val="0"/>
        <w:spacing w:beforeLines="0" w:afterLines="0" w:line="360" w:lineRule="auto"/>
        <w:ind w:firstLine="210" w:firstLineChars="100"/>
        <w:rPr>
          <w:rFonts w:hint="eastAsia" w:ascii="Times New Roman" w:hAnsi="Times New Roman"/>
          <w:highlight w:val="none"/>
        </w:rPr>
      </w:pPr>
    </w:p>
    <w:p w14:paraId="65C2D4F2">
      <w:pPr>
        <w:pStyle w:val="33"/>
        <w:snapToGrid w:val="0"/>
        <w:spacing w:beforeLines="0" w:afterLines="0" w:line="360" w:lineRule="auto"/>
        <w:rPr>
          <w:rFonts w:hint="eastAsia" w:ascii="Times New Roman" w:hAnsi="Times New Roman"/>
          <w:highlight w:val="none"/>
        </w:rPr>
      </w:pPr>
    </w:p>
    <w:p w14:paraId="1DB7070D">
      <w:pPr>
        <w:pStyle w:val="33"/>
        <w:snapToGrid w:val="0"/>
        <w:spacing w:beforeLines="0" w:afterLines="0" w:line="360" w:lineRule="auto"/>
        <w:rPr>
          <w:rFonts w:hint="eastAsia" w:ascii="Times New Roman" w:hAnsi="Times New Roman"/>
          <w:highlight w:val="none"/>
        </w:rPr>
      </w:pPr>
    </w:p>
    <w:p w14:paraId="2CFA7C96">
      <w:pPr>
        <w:pStyle w:val="33"/>
        <w:snapToGrid w:val="0"/>
        <w:spacing w:beforeLines="0" w:afterLines="0" w:line="360" w:lineRule="auto"/>
        <w:rPr>
          <w:rFonts w:hint="eastAsia" w:ascii="Times New Roman" w:hAnsi="Times New Roman"/>
          <w:highlight w:val="none"/>
        </w:rPr>
      </w:pPr>
    </w:p>
    <w:p w14:paraId="35D5FF83">
      <w:pPr>
        <w:rPr>
          <w:highlight w:val="none"/>
        </w:rPr>
      </w:pPr>
    </w:p>
    <w:p w14:paraId="6EE7B177">
      <w:pPr>
        <w:spacing w:line="360" w:lineRule="auto"/>
        <w:ind w:left="720" w:firstLine="723" w:firstLineChars="200"/>
        <w:outlineLvl w:val="0"/>
        <w:rPr>
          <w:rFonts w:ascii="宋体" w:hAnsi="宋体" w:cs="宋体"/>
          <w:b/>
          <w:sz w:val="36"/>
          <w:szCs w:val="20"/>
          <w:highlight w:val="none"/>
        </w:rPr>
      </w:pPr>
      <w:r>
        <w:rPr>
          <w:rFonts w:hint="eastAsia" w:ascii="宋体" w:hAnsi="宋体" w:cs="宋体"/>
          <w:b/>
          <w:sz w:val="36"/>
          <w:szCs w:val="20"/>
          <w:highlight w:val="none"/>
        </w:rPr>
        <w:t>第六部分</w:t>
      </w:r>
      <w:bookmarkEnd w:id="400"/>
      <w:r>
        <w:rPr>
          <w:rFonts w:hint="eastAsia" w:ascii="宋体" w:hAnsi="宋体" w:cs="宋体"/>
          <w:b/>
          <w:sz w:val="36"/>
          <w:szCs w:val="20"/>
          <w:highlight w:val="none"/>
        </w:rPr>
        <w:t xml:space="preserve"> </w:t>
      </w:r>
      <w:bookmarkEnd w:id="401"/>
      <w:r>
        <w:rPr>
          <w:rFonts w:hint="eastAsia" w:ascii="宋体" w:hAnsi="宋体" w:cs="宋体"/>
          <w:b/>
          <w:sz w:val="36"/>
          <w:szCs w:val="20"/>
          <w:highlight w:val="none"/>
        </w:rPr>
        <w:t>应提交的有关格式范例</w:t>
      </w:r>
    </w:p>
    <w:p w14:paraId="73AC7BA7">
      <w:pPr>
        <w:spacing w:line="360" w:lineRule="auto"/>
        <w:jc w:val="center"/>
        <w:outlineLvl w:val="0"/>
        <w:rPr>
          <w:rFonts w:ascii="宋体" w:hAnsi="宋体" w:cs="宋体"/>
          <w:b/>
          <w:kern w:val="0"/>
          <w:sz w:val="36"/>
          <w:szCs w:val="36"/>
          <w:highlight w:val="none"/>
        </w:rPr>
      </w:pPr>
    </w:p>
    <w:p w14:paraId="2260B79C">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14:paraId="57F8CED9">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53B56B72">
      <w:pPr>
        <w:spacing w:line="360" w:lineRule="auto"/>
        <w:jc w:val="center"/>
        <w:outlineLvl w:val="0"/>
        <w:rPr>
          <w:rFonts w:ascii="宋体" w:hAnsi="宋体" w:cs="宋体"/>
          <w:b/>
          <w:kern w:val="0"/>
          <w:sz w:val="36"/>
          <w:szCs w:val="36"/>
          <w:highlight w:val="none"/>
        </w:rPr>
      </w:pPr>
    </w:p>
    <w:p w14:paraId="1D0D5D00">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14:paraId="58CB96C7">
      <w:pPr>
        <w:snapToGrid w:val="0"/>
        <w:spacing w:line="360" w:lineRule="auto"/>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2</w:t>
      </w:r>
      <w:r>
        <w:rPr>
          <w:rFonts w:hint="eastAsia" w:ascii="宋体" w:hAnsi="宋体" w:cs="宋体"/>
          <w:sz w:val="24"/>
          <w:highlight w:val="none"/>
        </w:rPr>
        <w:t>）落实政府采购政策需满足的资格要求………………………………（页码）</w:t>
      </w:r>
    </w:p>
    <w:p w14:paraId="1C88FA9F">
      <w:pPr>
        <w:snapToGrid w:val="0"/>
        <w:spacing w:line="360" w:lineRule="auto"/>
        <w:rPr>
          <w:rFonts w:hint="eastAsia" w:ascii="宋体" w:hAnsi="宋体" w:eastAsia="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cs="宋体"/>
          <w:sz w:val="24"/>
          <w:highlight w:val="none"/>
          <w:lang w:eastAsia="zh-CN"/>
        </w:rPr>
        <w:t>）中小企业声明函</w:t>
      </w:r>
      <w:r>
        <w:rPr>
          <w:rFonts w:hint="eastAsia" w:ascii="宋体" w:hAnsi="宋体" w:cs="宋体"/>
          <w:sz w:val="24"/>
          <w:highlight w:val="none"/>
        </w:rPr>
        <w:t>………………………………………………………（页码）</w:t>
      </w:r>
    </w:p>
    <w:p w14:paraId="29A225D0">
      <w:pPr>
        <w:snapToGrid w:val="0"/>
        <w:spacing w:line="360" w:lineRule="auto"/>
        <w:ind w:firstLine="480" w:firstLineChars="200"/>
        <w:rPr>
          <w:rFonts w:ascii="宋体" w:hAnsi="宋体" w:cs="宋体"/>
          <w:sz w:val="24"/>
          <w:highlight w:val="none"/>
        </w:rPr>
      </w:pPr>
    </w:p>
    <w:p w14:paraId="13423D34">
      <w:pPr>
        <w:spacing w:line="360" w:lineRule="auto"/>
        <w:ind w:firstLine="480" w:firstLineChars="200"/>
        <w:rPr>
          <w:rFonts w:ascii="宋体" w:hAnsi="宋体" w:cs="宋体"/>
          <w:sz w:val="24"/>
          <w:highlight w:val="none"/>
        </w:rPr>
      </w:pPr>
    </w:p>
    <w:p w14:paraId="59064DDD">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 符合参加政府采购活动应当具备的一般条件的承诺函</w:t>
      </w:r>
    </w:p>
    <w:p w14:paraId="584769D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663C9CC">
      <w:pPr>
        <w:snapToGrid w:val="0"/>
        <w:spacing w:line="360" w:lineRule="auto"/>
        <w:ind w:firstLine="480" w:firstLineChars="200"/>
        <w:rPr>
          <w:rFonts w:ascii="宋体" w:hAnsi="宋体" w:cs="宋体"/>
          <w:sz w:val="24"/>
          <w:highlight w:val="none"/>
        </w:rPr>
      </w:pPr>
      <w:r>
        <w:rPr>
          <w:rFonts w:hint="eastAsia" w:ascii="宋体" w:hAnsi="宋体" w:cs="宋体"/>
          <w:color w:val="auto"/>
          <w:sz w:val="24"/>
          <w:highlight w:val="none"/>
        </w:rPr>
        <w:t>我方参与（项目名称）【招标编号：（采购编号）】政府采</w:t>
      </w:r>
      <w:r>
        <w:rPr>
          <w:rFonts w:hint="eastAsia" w:ascii="宋体" w:hAnsi="宋体" w:cs="宋体"/>
          <w:sz w:val="24"/>
          <w:highlight w:val="none"/>
        </w:rPr>
        <w:t>购活动，郑重承诺：</w:t>
      </w:r>
    </w:p>
    <w:p w14:paraId="12AB7B9E">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04AE602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14:paraId="3D795BE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34AFA96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371544A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5F19673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022B8CE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4580C91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14:paraId="798B310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51DD105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2B18784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2ACE00C7">
      <w:pPr>
        <w:snapToGrid w:val="0"/>
        <w:spacing w:line="360" w:lineRule="auto"/>
        <w:ind w:firstLine="5520" w:firstLineChars="2300"/>
        <w:rPr>
          <w:rFonts w:hint="eastAsia" w:ascii="宋体" w:hAnsi="宋体" w:cs="宋体"/>
          <w:kern w:val="0"/>
          <w:sz w:val="24"/>
          <w:highlight w:val="none"/>
          <w:lang w:val="zh-CN"/>
        </w:rPr>
      </w:pPr>
    </w:p>
    <w:p w14:paraId="0AAFF044">
      <w:pPr>
        <w:snapToGrid w:val="0"/>
        <w:spacing w:line="360" w:lineRule="auto"/>
        <w:ind w:firstLine="5520" w:firstLineChars="2300"/>
        <w:rPr>
          <w:rFonts w:hint="eastAsia" w:ascii="宋体" w:hAnsi="宋体" w:cs="宋体"/>
          <w:kern w:val="0"/>
          <w:sz w:val="24"/>
          <w:highlight w:val="none"/>
          <w:lang w:val="zh-CN"/>
        </w:rPr>
      </w:pPr>
    </w:p>
    <w:p w14:paraId="638F5472">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68A8EF58">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14A888F7">
      <w:pPr>
        <w:snapToGrid w:val="0"/>
        <w:spacing w:line="360" w:lineRule="auto"/>
        <w:ind w:right="480"/>
        <w:jc w:val="center"/>
        <w:rPr>
          <w:rFonts w:ascii="宋体" w:hAnsi="宋体" w:cs="宋体"/>
          <w:b/>
          <w:kern w:val="0"/>
          <w:sz w:val="32"/>
          <w:szCs w:val="32"/>
          <w:highlight w:val="none"/>
        </w:rPr>
      </w:pPr>
    </w:p>
    <w:p w14:paraId="4AB91F1C">
      <w:pPr>
        <w:snapToGrid w:val="0"/>
        <w:spacing w:line="360" w:lineRule="auto"/>
        <w:ind w:right="480"/>
        <w:jc w:val="center"/>
        <w:rPr>
          <w:rFonts w:ascii="宋体" w:hAnsi="宋体" w:cs="宋体"/>
          <w:b/>
          <w:kern w:val="0"/>
          <w:sz w:val="32"/>
          <w:szCs w:val="32"/>
          <w:highlight w:val="none"/>
        </w:rPr>
      </w:pPr>
    </w:p>
    <w:p w14:paraId="1886DF2B">
      <w:pPr>
        <w:snapToGrid w:val="0"/>
        <w:spacing w:line="360" w:lineRule="auto"/>
        <w:ind w:right="480"/>
        <w:jc w:val="center"/>
        <w:rPr>
          <w:rFonts w:ascii="宋体" w:hAnsi="宋体" w:cs="宋体"/>
          <w:b/>
          <w:kern w:val="0"/>
          <w:sz w:val="32"/>
          <w:szCs w:val="32"/>
          <w:highlight w:val="none"/>
        </w:rPr>
      </w:pPr>
    </w:p>
    <w:p w14:paraId="257871FB">
      <w:pPr>
        <w:rPr>
          <w:rFonts w:ascii="宋体" w:hAnsi="宋体" w:cs="宋体"/>
          <w:highlight w:val="none"/>
        </w:rPr>
      </w:pPr>
    </w:p>
    <w:p w14:paraId="2FCD0FBA">
      <w:pPr>
        <w:snapToGrid w:val="0"/>
        <w:spacing w:line="360" w:lineRule="auto"/>
        <w:ind w:right="480"/>
        <w:jc w:val="center"/>
        <w:rPr>
          <w:rFonts w:ascii="宋体" w:hAnsi="宋体" w:cs="宋体"/>
          <w:b/>
          <w:kern w:val="0"/>
          <w:sz w:val="32"/>
          <w:szCs w:val="32"/>
          <w:highlight w:val="none"/>
        </w:rPr>
      </w:pPr>
    </w:p>
    <w:p w14:paraId="2E493A21">
      <w:pPr>
        <w:snapToGrid w:val="0"/>
        <w:spacing w:line="360" w:lineRule="auto"/>
        <w:ind w:right="480"/>
        <w:jc w:val="center"/>
        <w:rPr>
          <w:rFonts w:ascii="宋体" w:hAnsi="宋体" w:cs="宋体"/>
          <w:b/>
          <w:kern w:val="0"/>
          <w:sz w:val="32"/>
          <w:szCs w:val="32"/>
          <w:highlight w:val="none"/>
        </w:rPr>
      </w:pPr>
    </w:p>
    <w:p w14:paraId="52294BA8">
      <w:pPr>
        <w:snapToGrid w:val="0"/>
        <w:spacing w:line="360" w:lineRule="auto"/>
        <w:ind w:right="480"/>
        <w:jc w:val="center"/>
        <w:rPr>
          <w:rFonts w:ascii="宋体" w:hAnsi="宋体" w:cs="宋体"/>
          <w:b/>
          <w:kern w:val="0"/>
          <w:sz w:val="32"/>
          <w:szCs w:val="32"/>
          <w:highlight w:val="none"/>
        </w:rPr>
      </w:pPr>
    </w:p>
    <w:p w14:paraId="7688E77B">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lang w:eastAsia="zh-CN"/>
        </w:rPr>
        <w:t>二</w:t>
      </w:r>
      <w:r>
        <w:rPr>
          <w:rFonts w:hint="eastAsia" w:ascii="宋体" w:hAnsi="宋体" w:cs="宋体"/>
          <w:b/>
          <w:kern w:val="0"/>
          <w:sz w:val="32"/>
          <w:szCs w:val="32"/>
          <w:highlight w:val="none"/>
        </w:rPr>
        <w:t>、落实政府采购政策需满足的资格要求</w:t>
      </w:r>
    </w:p>
    <w:p w14:paraId="577582A6">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14:paraId="6900E985">
      <w:pPr>
        <w:widowControl/>
        <w:spacing w:line="360" w:lineRule="auto"/>
        <w:ind w:firstLine="480"/>
        <w:jc w:val="left"/>
        <w:rPr>
          <w:rFonts w:ascii="宋体" w:hAnsi="宋体" w:cs="宋体"/>
          <w:sz w:val="24"/>
          <w:highlight w:val="none"/>
        </w:rPr>
      </w:pPr>
    </w:p>
    <w:p w14:paraId="6B581C43">
      <w:pPr>
        <w:widowControl/>
        <w:spacing w:line="360" w:lineRule="auto"/>
        <w:ind w:left="150"/>
        <w:jc w:val="center"/>
        <w:rPr>
          <w:rFonts w:ascii="宋体" w:hAnsi="宋体" w:cs="宋体"/>
          <w:b/>
          <w:kern w:val="0"/>
          <w:sz w:val="32"/>
          <w:szCs w:val="32"/>
          <w:highlight w:val="none"/>
        </w:rPr>
      </w:pPr>
    </w:p>
    <w:p w14:paraId="7B820B45">
      <w:pPr>
        <w:rPr>
          <w:rFonts w:ascii="宋体" w:hAnsi="宋体" w:cs="宋体"/>
          <w:highlight w:val="none"/>
        </w:rPr>
      </w:pPr>
    </w:p>
    <w:p w14:paraId="4F5F90C4">
      <w:pPr>
        <w:pStyle w:val="696"/>
        <w:keepNext w:val="0"/>
        <w:pageBreakBefore w:val="0"/>
        <w:tabs>
          <w:tab w:val="clear" w:pos="720"/>
        </w:tabs>
        <w:snapToGrid w:val="0"/>
        <w:spacing w:before="120" w:after="120"/>
        <w:jc w:val="center"/>
        <w:outlineLvl w:val="9"/>
        <w:rPr>
          <w:rFonts w:ascii="宋体" w:hAnsi="宋体" w:eastAsia="宋体" w:cs="宋体"/>
          <w:color w:val="auto"/>
          <w:sz w:val="32"/>
          <w:szCs w:val="32"/>
          <w:highlight w:val="none"/>
        </w:rPr>
      </w:pPr>
      <w:r>
        <w:rPr>
          <w:rFonts w:hint="eastAsia" w:ascii="宋体" w:hAnsi="宋体" w:eastAsia="宋体" w:cs="宋体"/>
          <w:b/>
          <w:kern w:val="0"/>
          <w:sz w:val="32"/>
          <w:szCs w:val="32"/>
          <w:highlight w:val="none"/>
          <w:lang w:val="en-US" w:eastAsia="zh-CN" w:bidi="ar-SA"/>
        </w:rPr>
        <w:t>三、</w:t>
      </w:r>
      <w:r>
        <w:rPr>
          <w:rFonts w:hint="eastAsia" w:ascii="宋体" w:hAnsi="宋体" w:eastAsia="宋体" w:cs="宋体"/>
          <w:color w:val="auto"/>
          <w:sz w:val="32"/>
          <w:szCs w:val="32"/>
          <w:highlight w:val="none"/>
        </w:rPr>
        <w:t>中小企业声明函</w:t>
      </w:r>
    </w:p>
    <w:p w14:paraId="2CACB250">
      <w:pPr>
        <w:widowControl/>
        <w:spacing w:line="360" w:lineRule="auto"/>
        <w:ind w:firstLine="120" w:firstLineChars="50"/>
        <w:jc w:val="left"/>
        <w:rPr>
          <w:rFonts w:ascii="宋体" w:hAnsi="宋体" w:cs="宋体"/>
          <w:b/>
          <w:color w:val="auto"/>
          <w:sz w:val="24"/>
          <w:highlight w:val="none"/>
        </w:rPr>
      </w:pPr>
    </w:p>
    <w:p w14:paraId="707CBFBB">
      <w:pPr>
        <w:widowControl/>
        <w:spacing w:line="360" w:lineRule="auto"/>
        <w:ind w:firstLine="120" w:firstLineChars="50"/>
        <w:jc w:val="left"/>
        <w:rPr>
          <w:rFonts w:ascii="宋体" w:hAnsi="宋体" w:cs="宋体"/>
          <w:b/>
          <w:color w:val="auto"/>
          <w:sz w:val="24"/>
          <w:highlight w:val="none"/>
        </w:rPr>
      </w:pPr>
    </w:p>
    <w:p w14:paraId="4E2F2220">
      <w:pPr>
        <w:widowControl/>
        <w:spacing w:line="360" w:lineRule="auto"/>
        <w:ind w:firstLine="120" w:firstLineChars="50"/>
        <w:jc w:val="left"/>
        <w:rPr>
          <w:rFonts w:ascii="宋体" w:hAnsi="宋体" w:cs="宋体"/>
          <w:b/>
          <w:color w:val="auto"/>
          <w:sz w:val="24"/>
          <w:highlight w:val="none"/>
        </w:rPr>
      </w:pPr>
    </w:p>
    <w:p w14:paraId="0693777D">
      <w:pPr>
        <w:pStyle w:val="696"/>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44C31A1D">
      <w:pPr>
        <w:spacing w:line="360" w:lineRule="auto"/>
        <w:ind w:right="420" w:firstLine="3614" w:firstLineChars="1000"/>
        <w:rPr>
          <w:rFonts w:ascii="宋体" w:hAnsi="宋体" w:cs="宋体"/>
          <w:b/>
          <w:kern w:val="0"/>
          <w:sz w:val="36"/>
          <w:szCs w:val="36"/>
          <w:highlight w:val="none"/>
        </w:rPr>
      </w:pPr>
    </w:p>
    <w:p w14:paraId="344EAF45">
      <w:pPr>
        <w:spacing w:line="360" w:lineRule="auto"/>
        <w:ind w:right="420" w:firstLine="3614" w:firstLineChars="1000"/>
        <w:rPr>
          <w:rFonts w:ascii="宋体" w:hAnsi="宋体" w:cs="宋体"/>
          <w:b/>
          <w:kern w:val="0"/>
          <w:sz w:val="36"/>
          <w:szCs w:val="36"/>
          <w:highlight w:val="none"/>
        </w:rPr>
      </w:pPr>
    </w:p>
    <w:p w14:paraId="5D55AE81">
      <w:pPr>
        <w:spacing w:line="360" w:lineRule="auto"/>
        <w:ind w:right="420" w:firstLine="3614" w:firstLineChars="1000"/>
        <w:rPr>
          <w:rFonts w:ascii="宋体" w:hAnsi="宋体" w:cs="宋体"/>
          <w:b/>
          <w:kern w:val="0"/>
          <w:sz w:val="36"/>
          <w:szCs w:val="36"/>
          <w:highlight w:val="none"/>
        </w:rPr>
      </w:pPr>
    </w:p>
    <w:p w14:paraId="5E9D9F26">
      <w:pPr>
        <w:spacing w:line="360" w:lineRule="auto"/>
        <w:ind w:right="420" w:firstLine="3614" w:firstLineChars="1000"/>
        <w:rPr>
          <w:rFonts w:ascii="宋体" w:hAnsi="宋体" w:cs="宋体"/>
          <w:b/>
          <w:kern w:val="0"/>
          <w:sz w:val="36"/>
          <w:szCs w:val="36"/>
          <w:highlight w:val="none"/>
        </w:rPr>
      </w:pPr>
    </w:p>
    <w:p w14:paraId="25995E87">
      <w:pPr>
        <w:spacing w:line="360" w:lineRule="auto"/>
        <w:ind w:right="420" w:firstLine="3614" w:firstLineChars="1000"/>
        <w:rPr>
          <w:rFonts w:ascii="宋体" w:hAnsi="宋体" w:cs="宋体"/>
          <w:b/>
          <w:kern w:val="0"/>
          <w:sz w:val="36"/>
          <w:szCs w:val="36"/>
          <w:highlight w:val="none"/>
        </w:rPr>
      </w:pPr>
    </w:p>
    <w:p w14:paraId="0203744A">
      <w:pPr>
        <w:spacing w:line="360" w:lineRule="auto"/>
        <w:ind w:right="420" w:firstLine="3614" w:firstLineChars="1000"/>
        <w:rPr>
          <w:rFonts w:ascii="宋体" w:hAnsi="宋体" w:cs="宋体"/>
          <w:b/>
          <w:kern w:val="0"/>
          <w:sz w:val="36"/>
          <w:szCs w:val="36"/>
          <w:highlight w:val="none"/>
        </w:rPr>
      </w:pPr>
    </w:p>
    <w:p w14:paraId="0111A3E5">
      <w:pPr>
        <w:spacing w:line="360" w:lineRule="auto"/>
        <w:ind w:right="420" w:firstLine="3614" w:firstLineChars="1000"/>
        <w:rPr>
          <w:rFonts w:ascii="宋体" w:hAnsi="宋体" w:cs="宋体"/>
          <w:b/>
          <w:kern w:val="0"/>
          <w:sz w:val="36"/>
          <w:szCs w:val="36"/>
          <w:highlight w:val="none"/>
        </w:rPr>
      </w:pPr>
    </w:p>
    <w:p w14:paraId="5286C7D9">
      <w:pPr>
        <w:spacing w:line="360" w:lineRule="auto"/>
        <w:ind w:right="420" w:firstLine="3614" w:firstLineChars="1000"/>
        <w:rPr>
          <w:rFonts w:ascii="宋体" w:hAnsi="宋体" w:cs="宋体"/>
          <w:b/>
          <w:kern w:val="0"/>
          <w:sz w:val="36"/>
          <w:szCs w:val="36"/>
          <w:highlight w:val="none"/>
        </w:rPr>
      </w:pPr>
    </w:p>
    <w:p w14:paraId="2B055506">
      <w:pPr>
        <w:spacing w:line="360" w:lineRule="auto"/>
        <w:ind w:right="420" w:firstLine="3614" w:firstLineChars="1000"/>
        <w:rPr>
          <w:rFonts w:ascii="宋体" w:hAnsi="宋体" w:cs="宋体"/>
          <w:b/>
          <w:kern w:val="0"/>
          <w:sz w:val="36"/>
          <w:szCs w:val="36"/>
          <w:highlight w:val="none"/>
        </w:rPr>
      </w:pPr>
    </w:p>
    <w:p w14:paraId="7C4301B7">
      <w:pPr>
        <w:spacing w:line="360" w:lineRule="auto"/>
        <w:ind w:right="420" w:firstLine="3614" w:firstLineChars="1000"/>
        <w:rPr>
          <w:rFonts w:ascii="宋体" w:hAnsi="宋体" w:cs="宋体"/>
          <w:b/>
          <w:kern w:val="0"/>
          <w:sz w:val="36"/>
          <w:szCs w:val="36"/>
          <w:highlight w:val="none"/>
        </w:rPr>
      </w:pPr>
    </w:p>
    <w:p w14:paraId="18BD5082">
      <w:pPr>
        <w:spacing w:line="360" w:lineRule="auto"/>
        <w:ind w:right="420" w:firstLine="3614" w:firstLineChars="1000"/>
        <w:rPr>
          <w:rFonts w:ascii="宋体" w:hAnsi="宋体" w:cs="宋体"/>
          <w:b/>
          <w:kern w:val="0"/>
          <w:sz w:val="36"/>
          <w:szCs w:val="36"/>
          <w:highlight w:val="none"/>
        </w:rPr>
      </w:pPr>
    </w:p>
    <w:p w14:paraId="05384C43">
      <w:pPr>
        <w:spacing w:line="360" w:lineRule="auto"/>
        <w:ind w:right="420" w:firstLine="3614" w:firstLineChars="1000"/>
        <w:rPr>
          <w:rFonts w:ascii="宋体" w:hAnsi="宋体" w:cs="宋体"/>
          <w:b/>
          <w:kern w:val="0"/>
          <w:sz w:val="36"/>
          <w:szCs w:val="36"/>
          <w:highlight w:val="none"/>
        </w:rPr>
      </w:pPr>
    </w:p>
    <w:p w14:paraId="3D43EDA2">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14:paraId="0CCA0B3B">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残疾人福利性单位声明函</w:t>
      </w:r>
    </w:p>
    <w:p w14:paraId="22790598">
      <w:pPr>
        <w:spacing w:line="360" w:lineRule="auto"/>
        <w:rPr>
          <w:rFonts w:ascii="宋体" w:hAnsi="宋体" w:cs="宋体"/>
          <w:b/>
          <w:spacing w:val="6"/>
          <w:sz w:val="30"/>
          <w:szCs w:val="30"/>
          <w:highlight w:val="none"/>
        </w:rPr>
      </w:pPr>
    </w:p>
    <w:p w14:paraId="7A57E2BC">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w:t>
      </w:r>
      <w:r>
        <w:rPr>
          <w:rFonts w:hint="eastAsia" w:ascii="宋体" w:hAnsi="宋体" w:cs="宋体"/>
          <w:color w:val="auto"/>
          <w:sz w:val="24"/>
          <w:highlight w:val="none"/>
        </w:rPr>
        <w:t>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w:t>
      </w:r>
      <w:r>
        <w:rPr>
          <w:rFonts w:hint="eastAsia" w:ascii="宋体" w:hAnsi="宋体" w:cs="宋体"/>
          <w:sz w:val="24"/>
          <w:highlight w:val="none"/>
        </w:rPr>
        <w:t>提供本单位制造的货物（由本单位承担工程/提供服务），或者提供其他残疾人福利性单位制造的货物（不包括使用非残疾人福利性单位注册商标的货物）。</w:t>
      </w:r>
    </w:p>
    <w:p w14:paraId="1D0BE15C">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688439E6">
      <w:pPr>
        <w:spacing w:line="360" w:lineRule="auto"/>
        <w:ind w:firstLine="480" w:firstLineChars="200"/>
        <w:rPr>
          <w:rFonts w:ascii="宋体" w:hAnsi="宋体" w:cs="宋体"/>
          <w:sz w:val="24"/>
          <w:highlight w:val="none"/>
        </w:rPr>
      </w:pPr>
    </w:p>
    <w:p w14:paraId="74A13393">
      <w:pPr>
        <w:spacing w:line="360" w:lineRule="auto"/>
        <w:ind w:firstLine="480" w:firstLineChars="200"/>
        <w:rPr>
          <w:rFonts w:ascii="宋体" w:hAnsi="宋体" w:cs="宋体"/>
          <w:sz w:val="24"/>
          <w:highlight w:val="none"/>
        </w:rPr>
      </w:pPr>
    </w:p>
    <w:p w14:paraId="2C286BB5">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7925F226">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28B6F08D">
      <w:pPr>
        <w:spacing w:line="360" w:lineRule="auto"/>
        <w:ind w:firstLine="480" w:firstLineChars="200"/>
        <w:rPr>
          <w:rFonts w:ascii="宋体" w:hAnsi="宋体" w:cs="宋体"/>
          <w:sz w:val="24"/>
          <w:highlight w:val="none"/>
        </w:rPr>
      </w:pPr>
    </w:p>
    <w:p w14:paraId="36C7B634">
      <w:pPr>
        <w:spacing w:line="360" w:lineRule="auto"/>
        <w:ind w:firstLine="420" w:firstLineChars="200"/>
        <w:rPr>
          <w:rFonts w:ascii="宋体" w:hAnsi="宋体" w:cs="宋体"/>
          <w:highlight w:val="none"/>
        </w:rPr>
      </w:pPr>
    </w:p>
    <w:p w14:paraId="4F821E78">
      <w:pPr>
        <w:spacing w:line="360" w:lineRule="auto"/>
        <w:ind w:firstLine="420" w:firstLineChars="200"/>
        <w:rPr>
          <w:rFonts w:ascii="宋体" w:hAnsi="宋体" w:cs="宋体"/>
          <w:highlight w:val="none"/>
        </w:rPr>
      </w:pPr>
    </w:p>
    <w:p w14:paraId="407B44B6">
      <w:pPr>
        <w:spacing w:line="360" w:lineRule="auto"/>
        <w:ind w:firstLine="420" w:firstLineChars="200"/>
        <w:rPr>
          <w:rFonts w:ascii="宋体" w:hAnsi="宋体" w:cs="宋体"/>
          <w:highlight w:val="none"/>
        </w:rPr>
      </w:pPr>
    </w:p>
    <w:p w14:paraId="5F5DD533">
      <w:pPr>
        <w:spacing w:line="360" w:lineRule="auto"/>
        <w:ind w:firstLine="420" w:firstLineChars="200"/>
        <w:rPr>
          <w:rFonts w:ascii="宋体" w:hAnsi="宋体" w:cs="宋体"/>
          <w:highlight w:val="none"/>
        </w:rPr>
      </w:pPr>
    </w:p>
    <w:p w14:paraId="16FDDF95">
      <w:pPr>
        <w:spacing w:line="360" w:lineRule="auto"/>
        <w:rPr>
          <w:rFonts w:ascii="宋体" w:hAnsi="宋体" w:cs="宋体"/>
          <w:b/>
          <w:sz w:val="24"/>
          <w:highlight w:val="none"/>
        </w:rPr>
      </w:pPr>
    </w:p>
    <w:p w14:paraId="37E45AF2">
      <w:pPr>
        <w:spacing w:line="360" w:lineRule="auto"/>
        <w:rPr>
          <w:rFonts w:ascii="宋体" w:hAnsi="宋体" w:cs="宋体"/>
          <w:b/>
          <w:sz w:val="24"/>
          <w:highlight w:val="none"/>
        </w:rPr>
      </w:pPr>
    </w:p>
    <w:p w14:paraId="11796AC6">
      <w:pPr>
        <w:spacing w:line="360" w:lineRule="auto"/>
        <w:rPr>
          <w:rFonts w:ascii="宋体" w:hAnsi="宋体" w:cs="宋体"/>
          <w:b/>
          <w:sz w:val="24"/>
          <w:highlight w:val="none"/>
        </w:rPr>
      </w:pPr>
    </w:p>
    <w:p w14:paraId="28394601">
      <w:pPr>
        <w:spacing w:line="360" w:lineRule="auto"/>
        <w:rPr>
          <w:rFonts w:ascii="宋体" w:hAnsi="宋体" w:cs="宋体"/>
          <w:b/>
          <w:sz w:val="24"/>
          <w:highlight w:val="none"/>
        </w:rPr>
      </w:pPr>
    </w:p>
    <w:p w14:paraId="1D536ECE">
      <w:pPr>
        <w:spacing w:line="360" w:lineRule="auto"/>
        <w:rPr>
          <w:rFonts w:ascii="宋体" w:hAnsi="宋体" w:cs="宋体"/>
          <w:b/>
          <w:sz w:val="24"/>
          <w:highlight w:val="none"/>
        </w:rPr>
      </w:pPr>
    </w:p>
    <w:p w14:paraId="1EAA33F6">
      <w:pPr>
        <w:spacing w:line="360" w:lineRule="auto"/>
        <w:rPr>
          <w:rFonts w:ascii="宋体" w:hAnsi="宋体" w:cs="宋体"/>
          <w:b/>
          <w:sz w:val="24"/>
          <w:highlight w:val="none"/>
        </w:rPr>
      </w:pPr>
    </w:p>
    <w:p w14:paraId="638BBCB5">
      <w:pPr>
        <w:spacing w:line="360" w:lineRule="auto"/>
        <w:rPr>
          <w:rFonts w:ascii="宋体" w:hAnsi="宋体" w:cs="宋体"/>
          <w:b/>
          <w:sz w:val="24"/>
          <w:highlight w:val="none"/>
        </w:rPr>
      </w:pPr>
    </w:p>
    <w:p w14:paraId="017CAB0E">
      <w:pPr>
        <w:spacing w:line="360" w:lineRule="auto"/>
        <w:rPr>
          <w:rFonts w:ascii="宋体" w:hAnsi="宋体" w:cs="宋体"/>
          <w:b/>
          <w:sz w:val="24"/>
          <w:highlight w:val="none"/>
        </w:rPr>
      </w:pPr>
    </w:p>
    <w:p w14:paraId="4A506247">
      <w:pPr>
        <w:autoSpaceDE w:val="0"/>
        <w:autoSpaceDN w:val="0"/>
        <w:jc w:val="center"/>
        <w:rPr>
          <w:rFonts w:ascii="宋体" w:hAnsi="宋体" w:cs="宋体"/>
          <w:b/>
          <w:spacing w:val="6"/>
          <w:sz w:val="32"/>
          <w:szCs w:val="32"/>
          <w:highlight w:val="none"/>
        </w:rPr>
      </w:pPr>
    </w:p>
    <w:p w14:paraId="796C9E2C">
      <w:pPr>
        <w:autoSpaceDE w:val="0"/>
        <w:autoSpaceDN w:val="0"/>
        <w:jc w:val="center"/>
        <w:rPr>
          <w:rFonts w:ascii="宋体" w:hAnsi="宋体" w:cs="宋体"/>
          <w:b/>
          <w:spacing w:val="6"/>
          <w:sz w:val="32"/>
          <w:szCs w:val="32"/>
          <w:highlight w:val="none"/>
        </w:rPr>
      </w:pPr>
    </w:p>
    <w:p w14:paraId="4676C77E">
      <w:pPr>
        <w:autoSpaceDE w:val="0"/>
        <w:autoSpaceDN w:val="0"/>
        <w:jc w:val="center"/>
        <w:rPr>
          <w:rFonts w:ascii="宋体" w:hAnsi="宋体" w:cs="宋体"/>
          <w:b/>
          <w:spacing w:val="6"/>
          <w:sz w:val="32"/>
          <w:szCs w:val="32"/>
          <w:highlight w:val="none"/>
        </w:rPr>
      </w:pPr>
    </w:p>
    <w:p w14:paraId="71B8114E">
      <w:pPr>
        <w:pStyle w:val="84"/>
        <w:rPr>
          <w:rFonts w:ascii="宋体" w:hAnsi="宋体" w:cs="宋体"/>
          <w:b/>
          <w:spacing w:val="6"/>
          <w:sz w:val="32"/>
          <w:szCs w:val="32"/>
          <w:highlight w:val="none"/>
        </w:rPr>
      </w:pPr>
    </w:p>
    <w:p w14:paraId="6614AF71">
      <w:pPr>
        <w:spacing w:line="360" w:lineRule="auto"/>
        <w:rPr>
          <w:rFonts w:hint="eastAsia" w:ascii="宋体" w:hAnsi="宋体" w:cs="宋体"/>
          <w:b/>
          <w:spacing w:val="6"/>
          <w:sz w:val="32"/>
          <w:szCs w:val="32"/>
          <w:highlight w:val="none"/>
        </w:rPr>
      </w:pPr>
      <w:r>
        <w:rPr>
          <w:rFonts w:hint="eastAsia" w:ascii="宋体" w:hAnsi="宋体" w:cs="宋体"/>
          <w:b/>
          <w:spacing w:val="6"/>
          <w:sz w:val="32"/>
          <w:szCs w:val="32"/>
          <w:highlight w:val="none"/>
        </w:rPr>
        <w:t>附件</w:t>
      </w:r>
      <w:r>
        <w:rPr>
          <w:rFonts w:hint="eastAsia" w:ascii="宋体" w:hAnsi="宋体" w:cs="宋体"/>
          <w:b/>
          <w:spacing w:val="6"/>
          <w:sz w:val="32"/>
          <w:szCs w:val="32"/>
          <w:highlight w:val="none"/>
          <w:lang w:val="en-US" w:eastAsia="zh-CN"/>
        </w:rPr>
        <w:t>2</w:t>
      </w:r>
      <w:r>
        <w:rPr>
          <w:rFonts w:hint="eastAsia" w:ascii="宋体" w:hAnsi="宋体" w:cs="宋体"/>
          <w:b/>
          <w:spacing w:val="6"/>
          <w:sz w:val="32"/>
          <w:szCs w:val="32"/>
          <w:highlight w:val="none"/>
        </w:rPr>
        <w:t>：</w:t>
      </w:r>
    </w:p>
    <w:p w14:paraId="79420CEB">
      <w:pPr>
        <w:spacing w:line="360" w:lineRule="auto"/>
        <w:jc w:val="center"/>
        <w:rPr>
          <w:rFonts w:ascii="宋体" w:hAnsi="宋体" w:cs="宋体"/>
          <w:sz w:val="24"/>
          <w:highlight w:val="none"/>
          <w:u w:val="single"/>
        </w:rPr>
      </w:pPr>
    </w:p>
    <w:p w14:paraId="1EA1A569">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中小企业声明函（货物）</w:t>
      </w:r>
    </w:p>
    <w:p w14:paraId="72935F03">
      <w:pPr>
        <w:spacing w:line="360" w:lineRule="auto"/>
        <w:ind w:firstLine="480" w:firstLineChars="200"/>
        <w:rPr>
          <w:rFonts w:ascii="宋体" w:hAnsi="宋体" w:cs="宋体"/>
          <w:color w:val="auto"/>
          <w:sz w:val="24"/>
          <w:highlight w:val="none"/>
        </w:rPr>
      </w:pPr>
      <w:r>
        <w:rPr>
          <w:rFonts w:hint="eastAsia" w:ascii="宋体" w:hAnsi="宋体" w:cs="宋体"/>
          <w:sz w:val="24"/>
          <w:highlight w:val="none"/>
        </w:rPr>
        <w:t>本公司（联合体）郑重声明，根据《政府采购促进中小企业发展管理办法》（财库﹝2020﹞46 号）的规定，本公司（联合体）参</w:t>
      </w:r>
      <w:r>
        <w:rPr>
          <w:rFonts w:hint="eastAsia" w:ascii="宋体" w:hAnsi="宋体" w:cs="宋体"/>
          <w:color w:val="auto"/>
          <w:sz w:val="24"/>
          <w:highlight w:val="none"/>
        </w:rPr>
        <w:t xml:space="preserve">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w:t>
      </w:r>
      <w:r>
        <w:rPr>
          <w:rFonts w:hint="eastAsia" w:ascii="宋体" w:hAnsi="宋体" w:cs="宋体"/>
          <w:b/>
          <w:bCs/>
          <w:color w:val="auto"/>
          <w:sz w:val="24"/>
          <w:highlight w:val="none"/>
        </w:rPr>
        <w:t>提供的货物全部由符合政策要求的中小企业制造。</w:t>
      </w:r>
      <w:r>
        <w:rPr>
          <w:rFonts w:hint="eastAsia" w:ascii="宋体" w:hAnsi="宋体" w:cs="宋体"/>
          <w:color w:val="auto"/>
          <w:sz w:val="24"/>
          <w:highlight w:val="none"/>
        </w:rPr>
        <w:t>相关企业的具体情况如下：</w:t>
      </w:r>
    </w:p>
    <w:p w14:paraId="0484DC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78818E9">
      <w:pPr>
        <w:spacing w:line="360" w:lineRule="auto"/>
        <w:ind w:firstLine="480" w:firstLineChars="200"/>
        <w:rPr>
          <w:rFonts w:ascii="宋体" w:hAnsi="宋体" w:cs="宋体"/>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w:t>
      </w:r>
      <w:r>
        <w:rPr>
          <w:rFonts w:hint="eastAsia" w:ascii="宋体" w:hAnsi="宋体" w:cs="宋体"/>
          <w:sz w:val="24"/>
          <w:highlight w:val="none"/>
        </w:rPr>
        <w:t>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14:paraId="232CFFC7">
      <w:pPr>
        <w:spacing w:line="360" w:lineRule="auto"/>
        <w:ind w:firstLine="480" w:firstLineChars="200"/>
        <w:rPr>
          <w:rFonts w:ascii="宋体" w:hAnsi="宋体" w:cs="宋体"/>
          <w:sz w:val="24"/>
          <w:highlight w:val="none"/>
        </w:rPr>
      </w:pPr>
      <w:r>
        <w:rPr>
          <w:rFonts w:hint="eastAsia" w:ascii="宋体" w:hAnsi="宋体" w:cs="宋体"/>
          <w:sz w:val="24"/>
          <w:highlight w:val="none"/>
        </w:rPr>
        <w:t>……</w:t>
      </w:r>
    </w:p>
    <w:p w14:paraId="36041824">
      <w:pPr>
        <w:spacing w:line="360" w:lineRule="auto"/>
        <w:ind w:firstLine="480" w:firstLineChars="200"/>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1FA43372">
      <w:pPr>
        <w:spacing w:line="360" w:lineRule="auto"/>
        <w:ind w:firstLine="480" w:firstLineChars="200"/>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3110D399">
      <w:pPr>
        <w:snapToGrid w:val="0"/>
        <w:spacing w:line="360" w:lineRule="auto"/>
        <w:ind w:firstLine="5160" w:firstLineChars="215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16E9C91E">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25532322">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从业人员、营业收入、资产总额填报上一年度数据，无上一年度数据的新成立企业可不填报。</w:t>
      </w:r>
    </w:p>
    <w:p w14:paraId="3F1D0FF3">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注：</w:t>
      </w:r>
    </w:p>
    <w:p w14:paraId="25153189">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B7C5EAA">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31A3FE9">
      <w:pPr>
        <w:spacing w:line="360" w:lineRule="auto"/>
        <w:jc w:val="center"/>
        <w:rPr>
          <w:rFonts w:ascii="宋体" w:hAnsi="宋体" w:cs="宋体"/>
          <w:b/>
          <w:sz w:val="32"/>
          <w:szCs w:val="32"/>
          <w:highlight w:val="none"/>
        </w:rPr>
      </w:pPr>
    </w:p>
    <w:p w14:paraId="63F7CC48">
      <w:pPr>
        <w:spacing w:line="360" w:lineRule="auto"/>
        <w:jc w:val="center"/>
        <w:rPr>
          <w:rFonts w:ascii="宋体" w:hAnsi="宋体" w:cs="宋体"/>
          <w:b/>
          <w:sz w:val="32"/>
          <w:szCs w:val="32"/>
          <w:highlight w:val="none"/>
        </w:rPr>
      </w:pPr>
    </w:p>
    <w:p w14:paraId="61CDC5BD">
      <w:pPr>
        <w:spacing w:line="360" w:lineRule="auto"/>
        <w:jc w:val="center"/>
        <w:rPr>
          <w:rFonts w:ascii="宋体" w:hAnsi="宋体" w:cs="宋体"/>
          <w:b/>
          <w:sz w:val="32"/>
          <w:szCs w:val="32"/>
          <w:highlight w:val="none"/>
        </w:rPr>
      </w:pPr>
    </w:p>
    <w:p w14:paraId="2AADD5DE">
      <w:pPr>
        <w:spacing w:line="360" w:lineRule="auto"/>
        <w:rPr>
          <w:rFonts w:ascii="宋体" w:hAnsi="宋体" w:cs="宋体"/>
          <w:bCs/>
          <w:sz w:val="24"/>
          <w:highlight w:val="none"/>
        </w:rPr>
      </w:pPr>
    </w:p>
    <w:p w14:paraId="0C343BFB">
      <w:pPr>
        <w:spacing w:line="360" w:lineRule="auto"/>
        <w:jc w:val="center"/>
        <w:rPr>
          <w:rFonts w:ascii="宋体" w:hAnsi="宋体" w:cs="宋体"/>
          <w:b/>
          <w:sz w:val="32"/>
          <w:szCs w:val="32"/>
          <w:highlight w:val="none"/>
        </w:rPr>
      </w:pPr>
      <w:r>
        <w:rPr>
          <w:rFonts w:ascii="宋体" w:hAnsi="宋体" w:cs="宋体"/>
          <w:b/>
          <w:kern w:val="0"/>
          <w:sz w:val="32"/>
          <w:szCs w:val="32"/>
          <w:highlight w:val="none"/>
        </w:rPr>
        <w:br w:type="page"/>
      </w:r>
    </w:p>
    <w:p w14:paraId="0C058FD8">
      <w:pPr>
        <w:spacing w:line="360" w:lineRule="auto"/>
        <w:jc w:val="center"/>
        <w:rPr>
          <w:rFonts w:ascii="宋体" w:hAnsi="宋体" w:cs="宋体"/>
          <w:b/>
          <w:sz w:val="32"/>
          <w:szCs w:val="32"/>
          <w:highlight w:val="none"/>
        </w:rPr>
      </w:pPr>
    </w:p>
    <w:p w14:paraId="200E94B3">
      <w:pPr>
        <w:spacing w:line="360" w:lineRule="auto"/>
        <w:ind w:right="420" w:firstLine="3614" w:firstLineChars="10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6BC74B78">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14:paraId="33A7796B">
      <w:pPr>
        <w:snapToGrid w:val="0"/>
        <w:spacing w:line="360" w:lineRule="auto"/>
        <w:ind w:left="479" w:leftChars="228"/>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14:paraId="3F5793F2">
      <w:pPr>
        <w:snapToGrid w:val="0"/>
        <w:spacing w:line="360" w:lineRule="auto"/>
        <w:ind w:firstLine="480" w:firstLineChars="200"/>
        <w:rPr>
          <w:rFonts w:ascii="宋体" w:hAnsi="宋体" w:cs="宋体"/>
          <w:highlight w:val="none"/>
        </w:rPr>
      </w:pP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）符合性审查资料</w:t>
      </w:r>
      <w:r>
        <w:rPr>
          <w:rFonts w:hint="eastAsia" w:ascii="宋体" w:hAnsi="宋体" w:cs="宋体"/>
          <w:highlight w:val="none"/>
        </w:rPr>
        <w:t>………………………………………………………………………（页码）</w:t>
      </w:r>
    </w:p>
    <w:p w14:paraId="2C2C7BA8">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hint="eastAsia" w:ascii="宋体" w:hAnsi="宋体" w:cs="宋体"/>
          <w:sz w:val="24"/>
          <w:highlight w:val="none"/>
          <w:lang w:val="en-US" w:eastAsia="zh-CN"/>
        </w:rPr>
        <w:t>4</w:t>
      </w:r>
      <w:r>
        <w:rPr>
          <w:rFonts w:hint="eastAsia" w:ascii="宋体" w:hAnsi="宋体" w:cs="宋体"/>
          <w:sz w:val="24"/>
          <w:highlight w:val="none"/>
        </w:rPr>
        <w:t>）评标标准相应的商务技术资料</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）投标标的清单</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hint="eastAsia" w:ascii="宋体" w:hAnsi="宋体" w:cs="宋体"/>
          <w:sz w:val="24"/>
          <w:highlight w:val="none"/>
          <w:lang w:val="en-US" w:eastAsia="zh-CN"/>
        </w:rPr>
        <w:t>6</w:t>
      </w:r>
      <w:r>
        <w:rPr>
          <w:rFonts w:hint="eastAsia" w:ascii="宋体" w:hAnsi="宋体" w:cs="宋体"/>
          <w:sz w:val="24"/>
          <w:highlight w:val="none"/>
        </w:rPr>
        <w:t>）商务技术偏离表</w:t>
      </w:r>
      <w:r>
        <w:rPr>
          <w:rFonts w:hint="eastAsia" w:ascii="宋体" w:hAnsi="宋体" w:cs="宋体"/>
          <w:highlight w:val="none"/>
        </w:rPr>
        <w:t>………………………………………………………………………（页码）</w:t>
      </w:r>
    </w:p>
    <w:p w14:paraId="6747AA7B">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hint="eastAsia" w:ascii="宋体" w:hAnsi="宋体" w:cs="宋体"/>
          <w:sz w:val="24"/>
          <w:highlight w:val="none"/>
          <w:lang w:val="en-US" w:eastAsia="zh-CN"/>
        </w:rPr>
        <w:t>7</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14:paraId="3DE37ECD">
      <w:pPr>
        <w:snapToGrid w:val="0"/>
        <w:spacing w:line="360" w:lineRule="auto"/>
        <w:jc w:val="center"/>
        <w:rPr>
          <w:rFonts w:ascii="宋体" w:hAnsi="宋体" w:cs="宋体"/>
          <w:b/>
          <w:kern w:val="0"/>
          <w:sz w:val="32"/>
          <w:szCs w:val="32"/>
          <w:highlight w:val="none"/>
          <w:lang w:val="zh-CN"/>
        </w:rPr>
      </w:pPr>
    </w:p>
    <w:p w14:paraId="2A46BEF2">
      <w:pPr>
        <w:snapToGrid w:val="0"/>
        <w:spacing w:line="360" w:lineRule="auto"/>
        <w:jc w:val="center"/>
        <w:rPr>
          <w:rFonts w:ascii="宋体" w:hAnsi="宋体" w:cs="宋体"/>
          <w:b/>
          <w:kern w:val="0"/>
          <w:sz w:val="32"/>
          <w:szCs w:val="32"/>
          <w:highlight w:val="none"/>
          <w:lang w:val="zh-CN"/>
        </w:rPr>
      </w:pPr>
    </w:p>
    <w:p w14:paraId="562CF817">
      <w:pPr>
        <w:snapToGrid w:val="0"/>
        <w:spacing w:line="360" w:lineRule="auto"/>
        <w:jc w:val="center"/>
        <w:rPr>
          <w:rFonts w:ascii="宋体" w:hAnsi="宋体" w:cs="宋体"/>
          <w:b/>
          <w:kern w:val="0"/>
          <w:sz w:val="32"/>
          <w:szCs w:val="32"/>
          <w:highlight w:val="none"/>
          <w:lang w:val="zh-CN"/>
        </w:rPr>
      </w:pPr>
    </w:p>
    <w:p w14:paraId="7FC05ADD">
      <w:pPr>
        <w:snapToGrid w:val="0"/>
        <w:spacing w:line="360" w:lineRule="auto"/>
        <w:jc w:val="center"/>
        <w:rPr>
          <w:rFonts w:ascii="宋体" w:hAnsi="宋体" w:cs="宋体"/>
          <w:b/>
          <w:kern w:val="0"/>
          <w:sz w:val="32"/>
          <w:szCs w:val="32"/>
          <w:highlight w:val="none"/>
          <w:lang w:val="zh-CN"/>
        </w:rPr>
      </w:pPr>
    </w:p>
    <w:p w14:paraId="79B7E884">
      <w:pPr>
        <w:snapToGrid w:val="0"/>
        <w:spacing w:line="360" w:lineRule="auto"/>
        <w:jc w:val="center"/>
        <w:rPr>
          <w:rFonts w:ascii="宋体" w:hAnsi="宋体" w:cs="宋体"/>
          <w:b/>
          <w:kern w:val="0"/>
          <w:sz w:val="32"/>
          <w:szCs w:val="32"/>
          <w:highlight w:val="none"/>
          <w:lang w:val="zh-CN"/>
        </w:rPr>
      </w:pPr>
    </w:p>
    <w:p w14:paraId="1E6DA95D">
      <w:pPr>
        <w:snapToGrid w:val="0"/>
        <w:spacing w:line="360" w:lineRule="auto"/>
        <w:jc w:val="center"/>
        <w:outlineLvl w:val="0"/>
        <w:rPr>
          <w:rFonts w:ascii="宋体" w:hAnsi="宋体" w:cs="宋体"/>
          <w:b/>
          <w:kern w:val="0"/>
          <w:sz w:val="32"/>
          <w:szCs w:val="32"/>
          <w:highlight w:val="none"/>
        </w:rPr>
      </w:pPr>
    </w:p>
    <w:p w14:paraId="320D9BB9">
      <w:pPr>
        <w:snapToGrid w:val="0"/>
        <w:spacing w:line="360" w:lineRule="auto"/>
        <w:jc w:val="center"/>
        <w:outlineLvl w:val="0"/>
        <w:rPr>
          <w:rFonts w:ascii="宋体" w:hAnsi="宋体" w:cs="宋体"/>
          <w:b/>
          <w:kern w:val="0"/>
          <w:sz w:val="32"/>
          <w:szCs w:val="32"/>
          <w:highlight w:val="none"/>
        </w:rPr>
      </w:pPr>
    </w:p>
    <w:p w14:paraId="6353625A">
      <w:pPr>
        <w:rPr>
          <w:rFonts w:ascii="宋体" w:hAnsi="宋体" w:cs="宋体"/>
          <w:highlight w:val="none"/>
        </w:rPr>
      </w:pPr>
    </w:p>
    <w:p w14:paraId="1306851D">
      <w:pPr>
        <w:snapToGrid w:val="0"/>
        <w:spacing w:line="360" w:lineRule="auto"/>
        <w:jc w:val="center"/>
        <w:outlineLvl w:val="0"/>
        <w:rPr>
          <w:rFonts w:ascii="宋体" w:hAnsi="宋体" w:cs="宋体"/>
          <w:b/>
          <w:kern w:val="0"/>
          <w:sz w:val="32"/>
          <w:szCs w:val="32"/>
          <w:highlight w:val="none"/>
        </w:rPr>
      </w:pPr>
    </w:p>
    <w:p w14:paraId="532AA912">
      <w:pPr>
        <w:snapToGrid w:val="0"/>
        <w:spacing w:line="360" w:lineRule="auto"/>
        <w:jc w:val="center"/>
        <w:outlineLvl w:val="0"/>
        <w:rPr>
          <w:rFonts w:ascii="宋体" w:hAnsi="宋体" w:cs="宋体"/>
          <w:b/>
          <w:kern w:val="0"/>
          <w:sz w:val="32"/>
          <w:szCs w:val="32"/>
          <w:highlight w:val="none"/>
        </w:rPr>
      </w:pPr>
    </w:p>
    <w:p w14:paraId="19C62DB8">
      <w:pPr>
        <w:pStyle w:val="3"/>
        <w:rPr>
          <w:highlight w:val="none"/>
          <w:lang w:val="en-US"/>
        </w:rPr>
      </w:pPr>
    </w:p>
    <w:p w14:paraId="124A9603">
      <w:pPr>
        <w:rPr>
          <w:highlight w:val="none"/>
        </w:rPr>
      </w:pPr>
    </w:p>
    <w:p w14:paraId="7107B10B">
      <w:pPr>
        <w:snapToGrid w:val="0"/>
        <w:spacing w:line="360" w:lineRule="auto"/>
        <w:ind w:firstLine="3855" w:firstLineChars="1200"/>
        <w:outlineLvl w:val="0"/>
        <w:rPr>
          <w:rFonts w:ascii="宋体" w:hAnsi="宋体" w:cs="宋体"/>
          <w:b/>
          <w:kern w:val="0"/>
          <w:sz w:val="32"/>
          <w:szCs w:val="32"/>
          <w:highlight w:val="none"/>
        </w:rPr>
      </w:pPr>
    </w:p>
    <w:p w14:paraId="6BE06CF3">
      <w:pPr>
        <w:snapToGrid w:val="0"/>
        <w:spacing w:line="360" w:lineRule="auto"/>
        <w:ind w:firstLine="3855" w:firstLineChars="1200"/>
        <w:outlineLvl w:val="0"/>
        <w:rPr>
          <w:rFonts w:ascii="宋体" w:hAnsi="宋体" w:cs="宋体"/>
          <w:b/>
          <w:kern w:val="0"/>
          <w:sz w:val="32"/>
          <w:szCs w:val="32"/>
          <w:highlight w:val="none"/>
        </w:rPr>
      </w:pPr>
    </w:p>
    <w:p w14:paraId="21420435">
      <w:pPr>
        <w:snapToGrid w:val="0"/>
        <w:spacing w:line="360" w:lineRule="auto"/>
        <w:ind w:firstLine="3855" w:firstLineChars="1200"/>
        <w:outlineLvl w:val="0"/>
        <w:rPr>
          <w:rFonts w:ascii="宋体" w:hAnsi="宋体" w:cs="宋体"/>
          <w:b/>
          <w:kern w:val="0"/>
          <w:sz w:val="32"/>
          <w:szCs w:val="32"/>
          <w:highlight w:val="none"/>
        </w:rPr>
      </w:pPr>
    </w:p>
    <w:p w14:paraId="21ED85C9">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163CA05F">
      <w:pPr>
        <w:snapToGrid w:val="0"/>
        <w:spacing w:line="360" w:lineRule="auto"/>
        <w:ind w:firstLine="3855" w:firstLineChars="1200"/>
        <w:outlineLvl w:val="0"/>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14:paraId="21B5879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075F81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600CF79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7ABFCBC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7EF2809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543E34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5011BF09">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C021A83">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2.1.3</w:t>
      </w:r>
      <w:r>
        <w:rPr>
          <w:rFonts w:hint="eastAsia" w:ascii="宋体" w:hAnsi="宋体" w:cs="宋体"/>
          <w:color w:val="auto"/>
          <w:sz w:val="24"/>
          <w:highlight w:val="none"/>
        </w:rPr>
        <w:t>中小企业声明函</w:t>
      </w:r>
    </w:p>
    <w:p w14:paraId="67FFBC5F">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5BDC0D39">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2.2.1投标函；</w:t>
      </w:r>
      <w:r>
        <w:rPr>
          <w:rFonts w:hint="eastAsia" w:ascii="宋体" w:hAnsi="宋体" w:cs="宋体"/>
          <w:sz w:val="24"/>
          <w:highlight w:val="none"/>
          <w:lang w:val="zh-CN"/>
        </w:rPr>
        <w:t xml:space="preserve"> </w:t>
      </w:r>
    </w:p>
    <w:p w14:paraId="64DDE73B">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2.2.2授权委托书或法定代表人（单位负责人）身份证明；</w:t>
      </w:r>
    </w:p>
    <w:p w14:paraId="06055E23">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hint="eastAsia" w:ascii="宋体" w:hAnsi="宋体" w:cs="宋体"/>
          <w:sz w:val="24"/>
          <w:highlight w:val="none"/>
          <w:lang w:val="en-US" w:eastAsia="zh-CN"/>
        </w:rPr>
        <w:t>3</w:t>
      </w:r>
      <w:r>
        <w:rPr>
          <w:rFonts w:hint="eastAsia" w:ascii="宋体" w:hAnsi="宋体" w:cs="宋体"/>
          <w:sz w:val="24"/>
          <w:highlight w:val="none"/>
        </w:rPr>
        <w:t>符合性审查资料；</w:t>
      </w:r>
    </w:p>
    <w:p w14:paraId="42ADA8D7">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hint="eastAsia" w:ascii="宋体" w:hAnsi="宋体" w:cs="宋体"/>
          <w:sz w:val="24"/>
          <w:highlight w:val="none"/>
          <w:lang w:val="en-US" w:eastAsia="zh-CN"/>
        </w:rPr>
        <w:t>4</w:t>
      </w:r>
      <w:r>
        <w:rPr>
          <w:rFonts w:hint="eastAsia" w:ascii="宋体" w:hAnsi="宋体" w:cs="宋体"/>
          <w:sz w:val="24"/>
          <w:highlight w:val="none"/>
        </w:rPr>
        <w:t>评标标准相应的商务技术资料；</w:t>
      </w:r>
    </w:p>
    <w:p w14:paraId="2E2128B3">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hint="eastAsia" w:ascii="宋体" w:hAnsi="宋体" w:cs="宋体"/>
          <w:sz w:val="24"/>
          <w:highlight w:val="none"/>
          <w:lang w:val="en-US" w:eastAsia="zh-CN"/>
        </w:rPr>
        <w:t>5</w:t>
      </w:r>
      <w:r>
        <w:rPr>
          <w:rFonts w:hint="eastAsia" w:ascii="宋体" w:hAnsi="宋体" w:cs="宋体"/>
          <w:sz w:val="24"/>
          <w:highlight w:val="none"/>
        </w:rPr>
        <w:t>投标标的清单；</w:t>
      </w:r>
    </w:p>
    <w:p w14:paraId="26847DB7">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hint="eastAsia" w:ascii="宋体" w:hAnsi="宋体" w:cs="宋体"/>
          <w:sz w:val="24"/>
          <w:highlight w:val="none"/>
          <w:lang w:val="en-US" w:eastAsia="zh-CN"/>
        </w:rPr>
        <w:t>6</w:t>
      </w:r>
      <w:r>
        <w:rPr>
          <w:rFonts w:hint="eastAsia" w:ascii="宋体" w:hAnsi="宋体" w:cs="宋体"/>
          <w:sz w:val="24"/>
          <w:highlight w:val="none"/>
        </w:rPr>
        <w:t>商务技术偏离表；</w:t>
      </w:r>
    </w:p>
    <w:p w14:paraId="33F39634">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lang w:val="en-US" w:eastAsia="zh-CN"/>
        </w:rPr>
        <w:t>7</w:t>
      </w:r>
      <w:r>
        <w:rPr>
          <w:rFonts w:hint="eastAsia" w:ascii="宋体" w:hAnsi="宋体" w:cs="宋体"/>
          <w:sz w:val="24"/>
          <w:highlight w:val="none"/>
          <w:lang w:val="zh-CN"/>
        </w:rPr>
        <w:t>政府采购供应商廉洁自律承诺书；</w:t>
      </w:r>
    </w:p>
    <w:p w14:paraId="3002E73B">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06FAAE6A">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2.3.1开标一览表（报价表）；</w:t>
      </w:r>
    </w:p>
    <w:p w14:paraId="0A94FBA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w:t>
      </w:r>
    </w:p>
    <w:p w14:paraId="48DAAA5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14:paraId="598BA768">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413E14F3">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17B44282">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lang w:val="en-US" w:eastAsia="zh-CN"/>
        </w:rPr>
        <w:t>3</w:t>
      </w:r>
      <w:r>
        <w:rPr>
          <w:rFonts w:hint="eastAsia" w:ascii="宋体" w:hAnsi="宋体" w:cs="宋体"/>
          <w:sz w:val="24"/>
          <w:highlight w:val="none"/>
        </w:rPr>
        <w:t xml:space="preserve">在合同约定的期限内完成合同规定的全部义务。 </w:t>
      </w:r>
    </w:p>
    <w:p w14:paraId="3F9AEC43">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14:paraId="1EA2A7C3">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14:paraId="659B9E91">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23806694">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5864B753">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48C80E8E">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14:paraId="1C4FE492">
      <w:pPr>
        <w:snapToGrid w:val="0"/>
        <w:spacing w:line="360" w:lineRule="auto"/>
        <w:ind w:firstLine="3511" w:firstLineChars="1093"/>
        <w:rPr>
          <w:rFonts w:ascii="宋体" w:hAnsi="宋体" w:cs="宋体"/>
          <w:highlight w:val="none"/>
        </w:rPr>
      </w:pPr>
      <w:r>
        <w:rPr>
          <w:rFonts w:hint="eastAsia" w:ascii="宋体" w:hAnsi="宋体" w:cs="宋体"/>
          <w:b/>
          <w:kern w:val="0"/>
          <w:sz w:val="32"/>
          <w:szCs w:val="32"/>
          <w:highlight w:val="none"/>
          <w:lang w:val="zh-CN"/>
        </w:rPr>
        <w:t>授权委托书</w:t>
      </w:r>
      <w:r>
        <w:rPr>
          <w:rFonts w:hint="eastAsia" w:ascii="宋体" w:hAnsi="宋体" w:cs="宋体"/>
          <w:highlight w:val="none"/>
        </w:rPr>
        <w:t xml:space="preserve">                           </w:t>
      </w:r>
    </w:p>
    <w:p w14:paraId="4F61E388">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785B8E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1FCD1BC8">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77CB29D5">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3088CFA2">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投标人名称(电子签名)：</w:t>
      </w:r>
    </w:p>
    <w:p w14:paraId="5E194CCD">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77B049EE">
      <w:pPr>
        <w:snapToGrid w:val="0"/>
        <w:spacing w:line="360" w:lineRule="auto"/>
        <w:rPr>
          <w:rFonts w:ascii="宋体" w:hAnsi="宋体" w:cs="宋体"/>
          <w:sz w:val="24"/>
          <w:highlight w:val="none"/>
        </w:rPr>
      </w:pPr>
    </w:p>
    <w:p w14:paraId="59DF02C2">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6C325095">
      <w:pPr>
        <w:pStyle w:val="156"/>
        <w:spacing w:line="360" w:lineRule="auto"/>
        <w:rPr>
          <w:rFonts w:hAnsi="宋体" w:cs="宋体"/>
          <w:bCs/>
          <w:sz w:val="24"/>
          <w:highlight w:val="none"/>
        </w:rPr>
      </w:pPr>
      <w:r>
        <w:rPr>
          <w:rFonts w:hint="eastAsia" w:hAnsi="宋体" w:cs="宋体"/>
          <w:bCs/>
          <w:sz w:val="24"/>
          <w:highlight w:val="none"/>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7DE2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9" w:hRule="atLeast"/>
          <w:jc w:val="center"/>
        </w:trPr>
        <w:tc>
          <w:tcPr>
            <w:tcW w:w="9207" w:type="dxa"/>
          </w:tcPr>
          <w:p w14:paraId="21F824BF">
            <w:pPr>
              <w:pStyle w:val="156"/>
              <w:adjustRightInd w:val="0"/>
              <w:spacing w:line="360" w:lineRule="auto"/>
              <w:rPr>
                <w:rFonts w:hAnsi="宋体" w:cs="宋体"/>
                <w:bCs/>
                <w:sz w:val="24"/>
                <w:highlight w:val="none"/>
              </w:rPr>
            </w:pPr>
            <w:r>
              <w:rPr>
                <w:rFonts w:hint="eastAsia" w:hAnsi="宋体" w:cs="宋体"/>
                <w:bCs/>
                <w:sz w:val="24"/>
                <w:highlight w:val="none"/>
              </w:rPr>
              <w:t>正面：                                 反面：</w:t>
            </w:r>
          </w:p>
          <w:p w14:paraId="314AB42D">
            <w:pPr>
              <w:pStyle w:val="156"/>
              <w:adjustRightInd w:val="0"/>
              <w:spacing w:line="360" w:lineRule="auto"/>
              <w:rPr>
                <w:rFonts w:hAnsi="宋体" w:cs="宋体"/>
                <w:bCs/>
                <w:sz w:val="24"/>
                <w:highlight w:val="none"/>
              </w:rPr>
            </w:pPr>
          </w:p>
        </w:tc>
      </w:tr>
    </w:tbl>
    <w:p w14:paraId="7389D728">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040A58E9">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1EF61675">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2227210E">
      <w:pPr>
        <w:jc w:val="center"/>
        <w:rPr>
          <w:rFonts w:ascii="宋体" w:hAnsi="宋体" w:cs="宋体"/>
          <w:b/>
          <w:kern w:val="0"/>
          <w:sz w:val="32"/>
          <w:szCs w:val="32"/>
          <w:highlight w:val="none"/>
        </w:rPr>
      </w:pPr>
    </w:p>
    <w:p w14:paraId="1459CD37">
      <w:pPr>
        <w:jc w:val="center"/>
        <w:rPr>
          <w:rFonts w:ascii="宋体" w:hAnsi="宋体" w:cs="宋体"/>
          <w:b/>
          <w:kern w:val="0"/>
          <w:sz w:val="32"/>
          <w:szCs w:val="32"/>
          <w:highlight w:val="none"/>
        </w:rPr>
      </w:pPr>
      <w:r>
        <w:rPr>
          <w:rFonts w:hint="eastAsia" w:ascii="宋体" w:hAnsi="宋体" w:cs="宋体"/>
          <w:b/>
          <w:kern w:val="0"/>
          <w:sz w:val="32"/>
          <w:szCs w:val="32"/>
          <w:highlight w:val="none"/>
          <w:lang w:eastAsia="zh-CN"/>
        </w:rPr>
        <w:t>三</w:t>
      </w:r>
      <w:r>
        <w:rPr>
          <w:rFonts w:hint="eastAsia" w:ascii="宋体" w:hAnsi="宋体" w:cs="宋体"/>
          <w:b/>
          <w:kern w:val="0"/>
          <w:sz w:val="32"/>
          <w:szCs w:val="32"/>
          <w:highlight w:val="none"/>
        </w:rPr>
        <w:t>、符合性审查资料</w:t>
      </w:r>
    </w:p>
    <w:p w14:paraId="035A1616">
      <w:pPr>
        <w:jc w:val="center"/>
        <w:rPr>
          <w:rFonts w:ascii="宋体" w:hAnsi="宋体" w:cs="宋体"/>
          <w:b/>
          <w:kern w:val="0"/>
          <w:sz w:val="32"/>
          <w:szCs w:val="32"/>
          <w:highlight w:val="none"/>
        </w:rPr>
      </w:pPr>
    </w:p>
    <w:tbl>
      <w:tblPr>
        <w:tblStyle w:val="65"/>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A301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3711D42F">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14:paraId="7BDA9349">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1C3DF404">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7E5D3A0A">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14:paraId="578E9D7A">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4D4D4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56524DF">
            <w:pPr>
              <w:jc w:val="center"/>
              <w:rPr>
                <w:rFonts w:ascii="宋体" w:hAnsi="宋体" w:cs="宋体"/>
                <w:sz w:val="24"/>
                <w:highlight w:val="none"/>
              </w:rPr>
            </w:pPr>
            <w:r>
              <w:rPr>
                <w:rFonts w:hint="eastAsia" w:ascii="宋体" w:hAnsi="宋体" w:cs="宋体"/>
                <w:sz w:val="24"/>
                <w:highlight w:val="none"/>
              </w:rPr>
              <w:t>1</w:t>
            </w:r>
          </w:p>
        </w:tc>
        <w:tc>
          <w:tcPr>
            <w:tcW w:w="4991" w:type="dxa"/>
            <w:vAlign w:val="center"/>
          </w:tcPr>
          <w:p w14:paraId="0767F20A">
            <w:pPr>
              <w:spacing w:line="360" w:lineRule="auto"/>
              <w:jc w:val="left"/>
              <w:rPr>
                <w:rFonts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14:paraId="68B336E1">
            <w:pPr>
              <w:jc w:val="left"/>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vAlign w:val="center"/>
          </w:tcPr>
          <w:p w14:paraId="0BD7FBF8">
            <w:pPr>
              <w:jc w:val="left"/>
              <w:rPr>
                <w:rFonts w:ascii="宋体" w:hAnsi="宋体" w:cs="宋体"/>
                <w:sz w:val="24"/>
                <w:highlight w:val="none"/>
              </w:rPr>
            </w:pPr>
          </w:p>
          <w:p w14:paraId="508BEA32">
            <w:pPr>
              <w:jc w:val="left"/>
              <w:rPr>
                <w:rFonts w:ascii="宋体" w:hAnsi="宋体" w:cs="宋体"/>
                <w:sz w:val="24"/>
                <w:highlight w:val="none"/>
              </w:rPr>
            </w:pPr>
            <w:r>
              <w:rPr>
                <w:rFonts w:hint="eastAsia" w:ascii="宋体" w:hAnsi="宋体" w:cs="宋体"/>
                <w:sz w:val="24"/>
                <w:highlight w:val="none"/>
              </w:rPr>
              <w:t>见投标文件</w:t>
            </w:r>
          </w:p>
          <w:p w14:paraId="75E9ECE4">
            <w:pPr>
              <w:jc w:val="left"/>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69EFC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7D27E5AB">
            <w:pPr>
              <w:jc w:val="center"/>
              <w:rPr>
                <w:rFonts w:ascii="宋体" w:hAnsi="宋体" w:cs="宋体"/>
                <w:sz w:val="24"/>
                <w:highlight w:val="none"/>
              </w:rPr>
            </w:pPr>
            <w:r>
              <w:rPr>
                <w:rFonts w:hint="eastAsia" w:ascii="宋体" w:hAnsi="宋体" w:cs="宋体"/>
                <w:sz w:val="24"/>
                <w:highlight w:val="none"/>
              </w:rPr>
              <w:t>2</w:t>
            </w:r>
          </w:p>
        </w:tc>
        <w:tc>
          <w:tcPr>
            <w:tcW w:w="4991" w:type="dxa"/>
            <w:vAlign w:val="center"/>
          </w:tcPr>
          <w:p w14:paraId="36A114DA">
            <w:pPr>
              <w:spacing w:line="360" w:lineRule="auto"/>
              <w:jc w:val="left"/>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14:paraId="15993D3F">
            <w:pPr>
              <w:jc w:val="left"/>
              <w:rPr>
                <w:rFonts w:ascii="宋体" w:hAnsi="宋体" w:cs="宋体"/>
                <w:sz w:val="24"/>
                <w:highlight w:val="none"/>
              </w:rPr>
            </w:pPr>
            <w:r>
              <w:rPr>
                <w:rFonts w:hint="eastAsia" w:ascii="宋体" w:hAnsi="宋体" w:cs="宋体"/>
                <w:sz w:val="24"/>
                <w:highlight w:val="none"/>
              </w:rPr>
              <w:t>投标函</w:t>
            </w:r>
          </w:p>
        </w:tc>
        <w:tc>
          <w:tcPr>
            <w:tcW w:w="1418" w:type="dxa"/>
            <w:vAlign w:val="center"/>
          </w:tcPr>
          <w:p w14:paraId="45DA1CA9">
            <w:pPr>
              <w:jc w:val="left"/>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6ACFB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43A9C46">
            <w:pPr>
              <w:jc w:val="center"/>
              <w:rPr>
                <w:rFonts w:ascii="宋体" w:hAnsi="宋体" w:cs="宋体"/>
                <w:sz w:val="24"/>
                <w:highlight w:val="none"/>
              </w:rPr>
            </w:pPr>
            <w:r>
              <w:rPr>
                <w:rFonts w:hint="eastAsia" w:ascii="宋体" w:hAnsi="宋体" w:cs="宋体"/>
                <w:sz w:val="24"/>
                <w:highlight w:val="none"/>
              </w:rPr>
              <w:t>3</w:t>
            </w:r>
          </w:p>
        </w:tc>
        <w:tc>
          <w:tcPr>
            <w:tcW w:w="4991" w:type="dxa"/>
            <w:vAlign w:val="center"/>
          </w:tcPr>
          <w:p w14:paraId="4384E754">
            <w:pPr>
              <w:spacing w:line="360" w:lineRule="auto"/>
              <w:jc w:val="left"/>
              <w:rPr>
                <w:rFonts w:ascii="宋体" w:hAnsi="宋体" w:cs="宋体"/>
                <w:sz w:val="24"/>
                <w:highlight w:val="none"/>
              </w:rPr>
            </w:pPr>
            <w:r>
              <w:rPr>
                <w:rFonts w:hint="eastAsia" w:ascii="宋体" w:hAnsi="宋体" w:cs="宋体"/>
                <w:sz w:val="24"/>
                <w:highlight w:val="none"/>
              </w:rPr>
              <w:t>投标文件满足招标文件的其它实质性要求。</w:t>
            </w:r>
          </w:p>
        </w:tc>
        <w:tc>
          <w:tcPr>
            <w:tcW w:w="2551" w:type="dxa"/>
            <w:vAlign w:val="center"/>
          </w:tcPr>
          <w:p w14:paraId="28997804">
            <w:pPr>
              <w:jc w:val="left"/>
              <w:rPr>
                <w:rFonts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vAlign w:val="center"/>
          </w:tcPr>
          <w:p w14:paraId="778F52CE">
            <w:pPr>
              <w:jc w:val="left"/>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715EA0F2">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8815729">
      <w:pPr>
        <w:jc w:val="center"/>
        <w:rPr>
          <w:rFonts w:ascii="宋体" w:hAnsi="宋体" w:cs="宋体"/>
          <w:b/>
          <w:kern w:val="0"/>
          <w:sz w:val="32"/>
          <w:szCs w:val="32"/>
          <w:highlight w:val="none"/>
        </w:rPr>
      </w:pPr>
    </w:p>
    <w:p w14:paraId="1A191763">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14:paraId="125D0871">
      <w:pPr>
        <w:jc w:val="center"/>
        <w:rPr>
          <w:rFonts w:ascii="宋体" w:hAnsi="宋体" w:cs="宋体"/>
          <w:b/>
          <w:kern w:val="0"/>
          <w:sz w:val="32"/>
          <w:szCs w:val="32"/>
          <w:highlight w:val="none"/>
        </w:rPr>
      </w:pPr>
    </w:p>
    <w:p w14:paraId="1765F687">
      <w:pPr>
        <w:jc w:val="center"/>
        <w:rPr>
          <w:rFonts w:ascii="宋体" w:hAnsi="宋体" w:cs="宋体"/>
          <w:b/>
          <w:kern w:val="0"/>
          <w:sz w:val="32"/>
          <w:szCs w:val="32"/>
          <w:highlight w:val="none"/>
        </w:rPr>
      </w:pPr>
    </w:p>
    <w:p w14:paraId="5DADB78B">
      <w:pPr>
        <w:jc w:val="center"/>
        <w:rPr>
          <w:rFonts w:ascii="宋体" w:hAnsi="宋体" w:cs="宋体"/>
          <w:b/>
          <w:kern w:val="0"/>
          <w:sz w:val="32"/>
          <w:szCs w:val="32"/>
          <w:highlight w:val="none"/>
        </w:rPr>
      </w:pPr>
    </w:p>
    <w:p w14:paraId="7AA8B4F7">
      <w:pPr>
        <w:jc w:val="center"/>
        <w:rPr>
          <w:rFonts w:ascii="宋体" w:hAnsi="宋体" w:cs="宋体"/>
          <w:b/>
          <w:kern w:val="0"/>
          <w:sz w:val="32"/>
          <w:szCs w:val="32"/>
          <w:highlight w:val="none"/>
        </w:rPr>
      </w:pPr>
    </w:p>
    <w:p w14:paraId="00D8B7A8">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17901EC2">
      <w:pPr>
        <w:jc w:val="center"/>
        <w:rPr>
          <w:rFonts w:ascii="宋体" w:hAnsi="宋体" w:cs="宋体"/>
          <w:highlight w:val="none"/>
        </w:rPr>
      </w:pPr>
      <w:r>
        <w:rPr>
          <w:rFonts w:hint="eastAsia" w:ascii="宋体" w:hAnsi="宋体" w:cs="宋体"/>
          <w:b/>
          <w:kern w:val="0"/>
          <w:sz w:val="32"/>
          <w:szCs w:val="32"/>
          <w:highlight w:val="none"/>
          <w:lang w:eastAsia="zh-CN"/>
        </w:rPr>
        <w:t>四</w:t>
      </w:r>
      <w:r>
        <w:rPr>
          <w:rFonts w:hint="eastAsia" w:ascii="宋体" w:hAnsi="宋体" w:cs="宋体"/>
          <w:b/>
          <w:kern w:val="0"/>
          <w:sz w:val="32"/>
          <w:szCs w:val="32"/>
          <w:highlight w:val="none"/>
        </w:rPr>
        <w:t>、评标标准相应的商务技术资料</w:t>
      </w:r>
    </w:p>
    <w:p w14:paraId="03E2F0A6">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p w14:paraId="5553484C">
      <w:pPr>
        <w:jc w:val="center"/>
        <w:rPr>
          <w:rFonts w:ascii="宋体" w:hAnsi="宋体" w:cs="宋体"/>
          <w:b/>
          <w:kern w:val="0"/>
          <w:sz w:val="32"/>
          <w:szCs w:val="32"/>
          <w:highlight w:val="none"/>
        </w:rPr>
      </w:pPr>
    </w:p>
    <w:p w14:paraId="6E547E0D">
      <w:pPr>
        <w:jc w:val="center"/>
        <w:rPr>
          <w:rFonts w:ascii="宋体" w:hAnsi="宋体" w:cs="宋体"/>
          <w:b/>
          <w:kern w:val="0"/>
          <w:sz w:val="32"/>
          <w:szCs w:val="32"/>
          <w:highlight w:val="none"/>
        </w:rPr>
      </w:pPr>
    </w:p>
    <w:p w14:paraId="290F3207">
      <w:pPr>
        <w:jc w:val="center"/>
        <w:rPr>
          <w:rFonts w:ascii="宋体" w:hAnsi="宋体" w:cs="宋体"/>
          <w:b/>
          <w:kern w:val="0"/>
          <w:sz w:val="32"/>
          <w:szCs w:val="32"/>
          <w:highlight w:val="none"/>
        </w:rPr>
      </w:pPr>
    </w:p>
    <w:p w14:paraId="493E3A95">
      <w:pPr>
        <w:ind w:firstLine="2891" w:firstLineChars="900"/>
        <w:rPr>
          <w:rFonts w:ascii="宋体" w:hAnsi="宋体" w:cs="宋体"/>
          <w:b/>
          <w:kern w:val="0"/>
          <w:sz w:val="32"/>
          <w:szCs w:val="32"/>
          <w:highlight w:val="none"/>
        </w:rPr>
      </w:pPr>
      <w:r>
        <w:rPr>
          <w:rFonts w:hint="eastAsia" w:ascii="宋体" w:hAnsi="宋体" w:cs="宋体"/>
          <w:b/>
          <w:kern w:val="0"/>
          <w:sz w:val="32"/>
          <w:szCs w:val="32"/>
          <w:highlight w:val="none"/>
          <w:lang w:eastAsia="zh-CN"/>
        </w:rPr>
        <w:t>五</w:t>
      </w:r>
      <w:r>
        <w:rPr>
          <w:rFonts w:hint="eastAsia" w:ascii="宋体" w:hAnsi="宋体" w:cs="宋体"/>
          <w:b/>
          <w:kern w:val="0"/>
          <w:sz w:val="32"/>
          <w:szCs w:val="32"/>
          <w:highlight w:val="none"/>
        </w:rPr>
        <w:t>、投标标的清单</w:t>
      </w:r>
    </w:p>
    <w:tbl>
      <w:tblPr>
        <w:tblStyle w:val="65"/>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C574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30713FF">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C0F3FF8">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2BC6FF34">
            <w:pPr>
              <w:spacing w:line="360" w:lineRule="auto"/>
              <w:jc w:val="center"/>
              <w:rPr>
                <w:rFonts w:ascii="宋体" w:hAnsi="宋体" w:cs="宋体"/>
                <w:b/>
                <w:sz w:val="24"/>
                <w:highlight w:val="none"/>
              </w:rPr>
            </w:pPr>
          </w:p>
          <w:p w14:paraId="1A5207D0">
            <w:pPr>
              <w:spacing w:line="360" w:lineRule="auto"/>
              <w:jc w:val="center"/>
              <w:rPr>
                <w:rFonts w:ascii="宋体" w:hAnsi="宋体" w:cs="宋体"/>
                <w:b/>
                <w:sz w:val="24"/>
                <w:highlight w:val="none"/>
              </w:rPr>
            </w:pPr>
            <w:r>
              <w:rPr>
                <w:rFonts w:hint="eastAsia" w:ascii="宋体" w:hAnsi="宋体" w:cs="宋体"/>
                <w:b/>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88142FC">
            <w:pPr>
              <w:spacing w:line="360" w:lineRule="auto"/>
              <w:jc w:val="center"/>
              <w:rPr>
                <w:rFonts w:ascii="宋体" w:hAnsi="宋体" w:cs="宋体"/>
                <w:b/>
                <w:sz w:val="24"/>
                <w:highlight w:val="none"/>
              </w:rPr>
            </w:pPr>
            <w:r>
              <w:rPr>
                <w:rFonts w:hint="eastAsia" w:ascii="宋体" w:hAnsi="宋体" w:cs="宋体"/>
                <w:b/>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3A656468">
            <w:pPr>
              <w:spacing w:line="360" w:lineRule="auto"/>
              <w:jc w:val="center"/>
              <w:rPr>
                <w:rFonts w:ascii="宋体" w:hAnsi="宋体" w:cs="宋体"/>
                <w:b/>
                <w:sz w:val="24"/>
                <w:highlight w:val="none"/>
              </w:rPr>
            </w:pPr>
            <w:r>
              <w:rPr>
                <w:rFonts w:hint="eastAsia" w:ascii="宋体" w:hAnsi="宋体" w:cs="宋体"/>
                <w:b/>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4469F5D">
            <w:pPr>
              <w:spacing w:line="360" w:lineRule="auto"/>
              <w:jc w:val="center"/>
              <w:rPr>
                <w:rFonts w:ascii="宋体" w:hAnsi="宋体" w:cs="宋体"/>
                <w:b/>
                <w:sz w:val="24"/>
                <w:highlight w:val="none"/>
              </w:rPr>
            </w:pPr>
            <w:r>
              <w:rPr>
                <w:rFonts w:hint="eastAsia" w:ascii="宋体" w:hAnsi="宋体" w:cs="宋体"/>
                <w:b/>
                <w:sz w:val="24"/>
                <w:highlight w:val="none"/>
              </w:rPr>
              <w:t>备注</w:t>
            </w:r>
          </w:p>
        </w:tc>
      </w:tr>
      <w:tr w14:paraId="30B07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4E8E809">
            <w:pPr>
              <w:spacing w:line="360" w:lineRule="auto"/>
              <w:jc w:val="center"/>
              <w:rPr>
                <w:rFonts w:ascii="宋体" w:hAnsi="宋体" w:cs="宋体"/>
                <w:sz w:val="24"/>
                <w:highlight w:val="none"/>
              </w:rPr>
            </w:pPr>
            <w:r>
              <w:rPr>
                <w:rFonts w:hint="eastAsia" w:ascii="宋体" w:hAnsi="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0F52557">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7317858">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64C3E57">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744796A">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C661574">
            <w:pPr>
              <w:spacing w:line="360" w:lineRule="auto"/>
              <w:jc w:val="center"/>
              <w:rPr>
                <w:rFonts w:ascii="宋体" w:hAnsi="宋体" w:cs="宋体"/>
                <w:sz w:val="24"/>
                <w:highlight w:val="none"/>
              </w:rPr>
            </w:pPr>
          </w:p>
        </w:tc>
      </w:tr>
      <w:tr w14:paraId="31B68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4842D47">
            <w:pPr>
              <w:spacing w:line="360" w:lineRule="auto"/>
              <w:jc w:val="center"/>
              <w:rPr>
                <w:rFonts w:ascii="宋体" w:hAnsi="宋体" w:cs="宋体"/>
                <w:sz w:val="24"/>
                <w:highlight w:val="none"/>
              </w:rPr>
            </w:pPr>
            <w:r>
              <w:rPr>
                <w:rFonts w:hint="eastAsia" w:ascii="宋体" w:hAnsi="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106965A">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12BB417">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2DCFC97">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51069E8">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B931739">
            <w:pPr>
              <w:spacing w:line="360" w:lineRule="auto"/>
              <w:jc w:val="center"/>
              <w:rPr>
                <w:rFonts w:ascii="宋体" w:hAnsi="宋体" w:cs="宋体"/>
                <w:sz w:val="24"/>
                <w:highlight w:val="none"/>
              </w:rPr>
            </w:pPr>
          </w:p>
        </w:tc>
      </w:tr>
      <w:tr w14:paraId="1E08F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42F219C">
            <w:pPr>
              <w:spacing w:line="360" w:lineRule="auto"/>
              <w:jc w:val="center"/>
              <w:rPr>
                <w:rFonts w:ascii="宋体" w:hAnsi="宋体" w:cs="宋体"/>
                <w:sz w:val="24"/>
                <w:highlight w:val="none"/>
              </w:rPr>
            </w:pPr>
            <w:r>
              <w:rPr>
                <w:rFonts w:hint="eastAsia" w:ascii="宋体" w:hAnsi="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0CC9B8D">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EC6593B">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6B58B3C">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289BCC0">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1A7483C">
            <w:pPr>
              <w:spacing w:line="360" w:lineRule="auto"/>
              <w:jc w:val="center"/>
              <w:rPr>
                <w:rFonts w:ascii="宋体" w:hAnsi="宋体" w:cs="宋体"/>
                <w:sz w:val="24"/>
                <w:highlight w:val="none"/>
              </w:rPr>
            </w:pPr>
          </w:p>
        </w:tc>
      </w:tr>
    </w:tbl>
    <w:p w14:paraId="23A275FC">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2187CC53">
      <w:pPr>
        <w:jc w:val="center"/>
        <w:rPr>
          <w:rFonts w:ascii="宋体" w:hAnsi="宋体" w:cs="宋体"/>
          <w:b/>
          <w:kern w:val="0"/>
          <w:sz w:val="32"/>
          <w:szCs w:val="32"/>
          <w:highlight w:val="none"/>
        </w:rPr>
      </w:pPr>
    </w:p>
    <w:p w14:paraId="24D2422B">
      <w:pPr>
        <w:jc w:val="center"/>
        <w:rPr>
          <w:rFonts w:ascii="宋体" w:hAnsi="宋体" w:cs="宋体"/>
          <w:b/>
          <w:kern w:val="0"/>
          <w:sz w:val="32"/>
          <w:szCs w:val="32"/>
          <w:highlight w:val="none"/>
        </w:rPr>
      </w:pPr>
    </w:p>
    <w:p w14:paraId="2222C136">
      <w:pPr>
        <w:jc w:val="center"/>
        <w:rPr>
          <w:rFonts w:ascii="宋体" w:hAnsi="宋体" w:cs="宋体"/>
          <w:b/>
          <w:kern w:val="0"/>
          <w:sz w:val="32"/>
          <w:szCs w:val="32"/>
          <w:highlight w:val="none"/>
        </w:rPr>
      </w:pPr>
      <w:r>
        <w:rPr>
          <w:rFonts w:hint="eastAsia" w:ascii="宋体" w:hAnsi="宋体" w:cs="宋体"/>
          <w:b/>
          <w:kern w:val="0"/>
          <w:sz w:val="32"/>
          <w:szCs w:val="32"/>
          <w:highlight w:val="none"/>
          <w:lang w:eastAsia="zh-CN"/>
        </w:rPr>
        <w:t>六</w:t>
      </w:r>
      <w:r>
        <w:rPr>
          <w:rFonts w:hint="eastAsia" w:ascii="宋体" w:hAnsi="宋体" w:cs="宋体"/>
          <w:b/>
          <w:kern w:val="0"/>
          <w:sz w:val="32"/>
          <w:szCs w:val="32"/>
          <w:highlight w:val="none"/>
        </w:rPr>
        <w:t>、商务技术偏离表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19ED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3CEE12">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tcPr>
          <w:p w14:paraId="16FBC2B8">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546" w:type="dxa"/>
          </w:tcPr>
          <w:p w14:paraId="779C6DFE">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276" w:type="dxa"/>
          </w:tcPr>
          <w:p w14:paraId="3AC09538">
            <w:pPr>
              <w:jc w:val="center"/>
              <w:rPr>
                <w:rFonts w:ascii="宋体" w:hAnsi="宋体" w:cs="宋体"/>
                <w:b/>
                <w:bCs/>
                <w:sz w:val="24"/>
                <w:highlight w:val="none"/>
              </w:rPr>
            </w:pPr>
            <w:r>
              <w:rPr>
                <w:rFonts w:hint="eastAsia" w:ascii="宋体" w:hAnsi="宋体" w:cs="宋体"/>
                <w:b/>
                <w:bCs/>
                <w:sz w:val="24"/>
                <w:highlight w:val="none"/>
              </w:rPr>
              <w:t>偏离说明</w:t>
            </w:r>
          </w:p>
        </w:tc>
      </w:tr>
      <w:tr w14:paraId="03CDE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7C04116">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tcPr>
          <w:p w14:paraId="2A682761">
            <w:pPr>
              <w:jc w:val="center"/>
              <w:rPr>
                <w:rFonts w:ascii="宋体" w:hAnsi="宋体" w:cs="宋体"/>
                <w:b/>
                <w:kern w:val="0"/>
                <w:sz w:val="32"/>
                <w:szCs w:val="32"/>
                <w:highlight w:val="none"/>
              </w:rPr>
            </w:pPr>
          </w:p>
        </w:tc>
        <w:tc>
          <w:tcPr>
            <w:tcW w:w="3546" w:type="dxa"/>
          </w:tcPr>
          <w:p w14:paraId="3E6BFD10">
            <w:pPr>
              <w:jc w:val="center"/>
              <w:rPr>
                <w:rFonts w:ascii="宋体" w:hAnsi="宋体" w:cs="宋体"/>
                <w:b/>
                <w:kern w:val="0"/>
                <w:sz w:val="32"/>
                <w:szCs w:val="32"/>
                <w:highlight w:val="none"/>
              </w:rPr>
            </w:pPr>
          </w:p>
        </w:tc>
        <w:tc>
          <w:tcPr>
            <w:tcW w:w="1276" w:type="dxa"/>
          </w:tcPr>
          <w:p w14:paraId="2C8CA7D8">
            <w:pPr>
              <w:jc w:val="center"/>
              <w:rPr>
                <w:rFonts w:ascii="宋体" w:hAnsi="宋体" w:cs="宋体"/>
                <w:b/>
                <w:kern w:val="0"/>
                <w:sz w:val="32"/>
                <w:szCs w:val="32"/>
                <w:highlight w:val="none"/>
              </w:rPr>
            </w:pPr>
          </w:p>
        </w:tc>
      </w:tr>
      <w:tr w14:paraId="6E1E0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2471FD">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tcPr>
          <w:p w14:paraId="32C3ED73">
            <w:pPr>
              <w:jc w:val="center"/>
              <w:rPr>
                <w:rFonts w:ascii="宋体" w:hAnsi="宋体" w:cs="宋体"/>
                <w:b/>
                <w:kern w:val="0"/>
                <w:sz w:val="32"/>
                <w:szCs w:val="32"/>
                <w:highlight w:val="none"/>
              </w:rPr>
            </w:pPr>
          </w:p>
        </w:tc>
        <w:tc>
          <w:tcPr>
            <w:tcW w:w="3546" w:type="dxa"/>
          </w:tcPr>
          <w:p w14:paraId="04940C57">
            <w:pPr>
              <w:jc w:val="center"/>
              <w:rPr>
                <w:rFonts w:ascii="宋体" w:hAnsi="宋体" w:cs="宋体"/>
                <w:b/>
                <w:kern w:val="0"/>
                <w:sz w:val="32"/>
                <w:szCs w:val="32"/>
                <w:highlight w:val="none"/>
              </w:rPr>
            </w:pPr>
          </w:p>
        </w:tc>
        <w:tc>
          <w:tcPr>
            <w:tcW w:w="1276" w:type="dxa"/>
          </w:tcPr>
          <w:p w14:paraId="40C3566A">
            <w:pPr>
              <w:jc w:val="center"/>
              <w:rPr>
                <w:rFonts w:ascii="宋体" w:hAnsi="宋体" w:cs="宋体"/>
                <w:b/>
                <w:kern w:val="0"/>
                <w:sz w:val="32"/>
                <w:szCs w:val="32"/>
                <w:highlight w:val="none"/>
              </w:rPr>
            </w:pPr>
          </w:p>
        </w:tc>
      </w:tr>
      <w:tr w14:paraId="114B6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A0A423">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tcPr>
          <w:p w14:paraId="641E2D5F">
            <w:pPr>
              <w:jc w:val="center"/>
              <w:rPr>
                <w:rFonts w:ascii="宋体" w:hAnsi="宋体" w:cs="宋体"/>
                <w:b/>
                <w:kern w:val="0"/>
                <w:sz w:val="32"/>
                <w:szCs w:val="32"/>
                <w:highlight w:val="none"/>
              </w:rPr>
            </w:pPr>
          </w:p>
        </w:tc>
        <w:tc>
          <w:tcPr>
            <w:tcW w:w="3546" w:type="dxa"/>
          </w:tcPr>
          <w:p w14:paraId="2BD5E464">
            <w:pPr>
              <w:jc w:val="center"/>
              <w:rPr>
                <w:rFonts w:ascii="宋体" w:hAnsi="宋体" w:cs="宋体"/>
                <w:b/>
                <w:kern w:val="0"/>
                <w:sz w:val="32"/>
                <w:szCs w:val="32"/>
                <w:highlight w:val="none"/>
              </w:rPr>
            </w:pPr>
          </w:p>
        </w:tc>
        <w:tc>
          <w:tcPr>
            <w:tcW w:w="1276" w:type="dxa"/>
          </w:tcPr>
          <w:p w14:paraId="6C1E9EA9">
            <w:pPr>
              <w:jc w:val="center"/>
              <w:rPr>
                <w:rFonts w:ascii="宋体" w:hAnsi="宋体" w:cs="宋体"/>
                <w:b/>
                <w:kern w:val="0"/>
                <w:sz w:val="32"/>
                <w:szCs w:val="32"/>
                <w:highlight w:val="none"/>
              </w:rPr>
            </w:pPr>
          </w:p>
        </w:tc>
      </w:tr>
    </w:tbl>
    <w:p w14:paraId="60352140">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14:paraId="000E1025">
      <w:pPr>
        <w:jc w:val="center"/>
        <w:rPr>
          <w:rFonts w:ascii="宋体" w:hAnsi="宋体" w:cs="宋体"/>
          <w:b/>
          <w:kern w:val="0"/>
          <w:sz w:val="32"/>
          <w:szCs w:val="32"/>
          <w:highlight w:val="none"/>
        </w:rPr>
      </w:pPr>
    </w:p>
    <w:p w14:paraId="465986B0">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1C69DEAD">
      <w:pPr>
        <w:ind w:firstLine="1911" w:firstLineChars="595"/>
        <w:rPr>
          <w:rFonts w:ascii="宋体" w:hAnsi="宋体" w:cs="宋体"/>
          <w:b/>
          <w:bCs/>
          <w:sz w:val="32"/>
          <w:szCs w:val="32"/>
          <w:highlight w:val="none"/>
        </w:rPr>
      </w:pPr>
    </w:p>
    <w:p w14:paraId="2D224A66">
      <w:pPr>
        <w:ind w:firstLine="1911" w:firstLineChars="595"/>
        <w:rPr>
          <w:rFonts w:ascii="宋体" w:hAnsi="宋体" w:cs="宋体"/>
          <w:b/>
          <w:bCs/>
          <w:sz w:val="32"/>
          <w:szCs w:val="32"/>
          <w:highlight w:val="none"/>
        </w:rPr>
      </w:pPr>
    </w:p>
    <w:p w14:paraId="5181E6E5">
      <w:pPr>
        <w:ind w:firstLine="1911" w:firstLineChars="595"/>
        <w:rPr>
          <w:rFonts w:ascii="宋体" w:hAnsi="宋体" w:cs="宋体"/>
          <w:b/>
          <w:bCs/>
          <w:sz w:val="32"/>
          <w:szCs w:val="32"/>
          <w:highlight w:val="none"/>
        </w:rPr>
      </w:pPr>
    </w:p>
    <w:p w14:paraId="71DE7D52">
      <w:pPr>
        <w:ind w:firstLine="1911" w:firstLineChars="595"/>
        <w:rPr>
          <w:rFonts w:ascii="宋体" w:hAnsi="宋体" w:cs="宋体"/>
          <w:b/>
          <w:bCs/>
          <w:sz w:val="32"/>
          <w:szCs w:val="32"/>
          <w:highlight w:val="none"/>
        </w:rPr>
      </w:pPr>
    </w:p>
    <w:p w14:paraId="7094D6B7">
      <w:pPr>
        <w:ind w:firstLine="1911" w:firstLineChars="595"/>
        <w:rPr>
          <w:rFonts w:ascii="宋体" w:hAnsi="宋体" w:cs="宋体"/>
          <w:b/>
          <w:bCs/>
          <w:sz w:val="32"/>
          <w:szCs w:val="32"/>
          <w:highlight w:val="none"/>
        </w:rPr>
      </w:pPr>
    </w:p>
    <w:p w14:paraId="6DB53C9A">
      <w:pPr>
        <w:widowControl/>
        <w:adjustRightInd/>
        <w:jc w:val="left"/>
        <w:rPr>
          <w:rFonts w:ascii="宋体" w:hAnsi="宋体" w:cs="宋体"/>
          <w:b/>
          <w:bCs/>
          <w:sz w:val="32"/>
          <w:szCs w:val="32"/>
          <w:highlight w:val="none"/>
        </w:rPr>
      </w:pPr>
      <w:r>
        <w:rPr>
          <w:rFonts w:ascii="宋体" w:hAnsi="宋体" w:cs="宋体"/>
          <w:b/>
          <w:bCs/>
          <w:sz w:val="32"/>
          <w:szCs w:val="32"/>
          <w:highlight w:val="none"/>
        </w:rPr>
        <w:br w:type="page"/>
      </w:r>
    </w:p>
    <w:p w14:paraId="7AADEB5B">
      <w:pPr>
        <w:ind w:firstLine="1911" w:firstLineChars="595"/>
        <w:rPr>
          <w:rFonts w:ascii="宋体" w:hAnsi="宋体" w:cs="宋体"/>
          <w:b/>
          <w:kern w:val="0"/>
          <w:sz w:val="32"/>
          <w:szCs w:val="32"/>
          <w:highlight w:val="none"/>
        </w:rPr>
      </w:pPr>
      <w:r>
        <w:rPr>
          <w:rFonts w:hint="eastAsia" w:ascii="宋体" w:hAnsi="宋体" w:cs="宋体"/>
          <w:b/>
          <w:kern w:val="0"/>
          <w:sz w:val="32"/>
          <w:szCs w:val="32"/>
          <w:highlight w:val="none"/>
          <w:lang w:eastAsia="zh-CN"/>
        </w:rPr>
        <w:t>七</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14:paraId="58A56C13">
      <w:pPr>
        <w:snapToGrid w:val="0"/>
        <w:spacing w:line="360" w:lineRule="auto"/>
        <w:rPr>
          <w:rFonts w:ascii="宋体" w:hAnsi="宋体" w:cs="宋体"/>
          <w:sz w:val="24"/>
          <w:highlight w:val="none"/>
        </w:rPr>
      </w:pPr>
    </w:p>
    <w:p w14:paraId="60293338">
      <w:pPr>
        <w:snapToGrid w:val="0"/>
        <w:spacing w:line="360" w:lineRule="auto"/>
        <w:rPr>
          <w:rFonts w:ascii="宋体" w:hAnsi="宋体" w:cs="宋体"/>
          <w:kern w:val="0"/>
          <w:sz w:val="24"/>
          <w:highlight w:val="none"/>
        </w:rPr>
      </w:pPr>
      <w:r>
        <w:rPr>
          <w:rFonts w:hint="eastAsia" w:ascii="宋体" w:hAnsi="宋体" w:cs="宋体"/>
          <w:color w:val="auto"/>
          <w:sz w:val="24"/>
          <w:highlight w:val="none"/>
        </w:rPr>
        <w:t>（采购人）、（</w:t>
      </w:r>
      <w:r>
        <w:rPr>
          <w:rFonts w:hint="eastAsia" w:ascii="宋体" w:hAnsi="宋体" w:cs="宋体"/>
          <w:sz w:val="24"/>
          <w:highlight w:val="none"/>
        </w:rPr>
        <w:t>采购代理机构）</w:t>
      </w:r>
      <w:r>
        <w:rPr>
          <w:rFonts w:hint="eastAsia" w:ascii="宋体" w:hAnsi="宋体" w:cs="宋体"/>
          <w:kern w:val="0"/>
          <w:sz w:val="24"/>
          <w:highlight w:val="none"/>
          <w:lang w:val="zh-CN"/>
        </w:rPr>
        <w:t>：</w:t>
      </w:r>
    </w:p>
    <w:p w14:paraId="4CBADE40">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650975CA">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249F0699">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00D0D77C">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17438548">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379AE6E6">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06972E90">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469F7399">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w:t>
      </w:r>
    </w:p>
    <w:p w14:paraId="417A6E01">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76E71F84">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66D8EFB1">
      <w:pPr>
        <w:autoSpaceDE w:val="0"/>
        <w:autoSpaceDN w:val="0"/>
        <w:spacing w:line="360" w:lineRule="auto"/>
        <w:ind w:left="2"/>
        <w:jc w:val="left"/>
        <w:rPr>
          <w:rFonts w:ascii="宋体" w:hAnsi="宋体" w:cs="宋体"/>
          <w:kern w:val="0"/>
          <w:sz w:val="24"/>
          <w:highlight w:val="none"/>
          <w:lang w:val="zh-CN"/>
        </w:rPr>
      </w:pPr>
    </w:p>
    <w:p w14:paraId="5E5B4110">
      <w:pPr>
        <w:autoSpaceDE w:val="0"/>
        <w:autoSpaceDN w:val="0"/>
        <w:spacing w:line="360" w:lineRule="auto"/>
        <w:ind w:left="2"/>
        <w:jc w:val="left"/>
        <w:rPr>
          <w:rFonts w:ascii="宋体" w:hAnsi="宋体" w:cs="宋体"/>
          <w:kern w:val="0"/>
          <w:sz w:val="24"/>
          <w:highlight w:val="none"/>
          <w:lang w:val="zh-CN"/>
        </w:rPr>
      </w:pPr>
    </w:p>
    <w:p w14:paraId="3DAD4E10">
      <w:pPr>
        <w:autoSpaceDE w:val="0"/>
        <w:autoSpaceDN w:val="0"/>
        <w:spacing w:line="360" w:lineRule="auto"/>
        <w:ind w:left="2"/>
        <w:jc w:val="left"/>
        <w:rPr>
          <w:rFonts w:ascii="宋体" w:hAnsi="宋体" w:cs="宋体"/>
          <w:kern w:val="0"/>
          <w:sz w:val="24"/>
          <w:highlight w:val="none"/>
          <w:lang w:val="zh-CN"/>
        </w:rPr>
      </w:pPr>
    </w:p>
    <w:p w14:paraId="30670CE2">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349C14B1">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69CA665E">
      <w:pPr>
        <w:spacing w:line="360" w:lineRule="auto"/>
        <w:jc w:val="center"/>
        <w:rPr>
          <w:rFonts w:ascii="宋体" w:hAnsi="宋体" w:cs="宋体"/>
          <w:b/>
          <w:bCs/>
          <w:sz w:val="24"/>
          <w:highlight w:val="none"/>
        </w:rPr>
      </w:pPr>
    </w:p>
    <w:p w14:paraId="49D83D5F">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72F5C1AE">
      <w:pPr>
        <w:spacing w:line="360" w:lineRule="auto"/>
        <w:jc w:val="center"/>
        <w:rPr>
          <w:rFonts w:ascii="宋体" w:hAnsi="宋体" w:cs="宋体"/>
          <w:b/>
          <w:bCs/>
          <w:sz w:val="24"/>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F84F680">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7E48FC2D">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6925D9A4">
      <w:pPr>
        <w:spacing w:line="360" w:lineRule="auto"/>
        <w:jc w:val="center"/>
        <w:outlineLvl w:val="0"/>
        <w:rPr>
          <w:rFonts w:ascii="宋体" w:hAnsi="宋体" w:cs="宋体"/>
          <w:b/>
          <w:kern w:val="0"/>
          <w:sz w:val="36"/>
          <w:szCs w:val="36"/>
          <w:highlight w:val="none"/>
        </w:rPr>
      </w:pPr>
    </w:p>
    <w:p w14:paraId="5F08ECD8">
      <w:pPr>
        <w:snapToGrid w:val="0"/>
        <w:spacing w:line="360" w:lineRule="auto"/>
        <w:rPr>
          <w:rFonts w:hint="eastAsia" w:ascii="宋体" w:hAnsi="宋体" w:cs="宋体"/>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r>
        <w:rPr>
          <w:rFonts w:hint="eastAsia" w:ascii="宋体" w:hAnsi="宋体" w:cs="宋体"/>
          <w:sz w:val="24"/>
          <w:highlight w:val="none"/>
        </w:rPr>
        <w:t>（1）开标一览表（报价表）………………………………………………………（页码）</w:t>
      </w:r>
    </w:p>
    <w:p w14:paraId="09EE0EFA">
      <w:pPr>
        <w:pStyle w:val="696"/>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1C2CE0E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7046A44">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4273F80E">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5"/>
        <w:tblW w:w="14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260"/>
        <w:gridCol w:w="3118"/>
        <w:gridCol w:w="993"/>
        <w:gridCol w:w="1559"/>
        <w:gridCol w:w="1984"/>
        <w:gridCol w:w="3119"/>
      </w:tblGrid>
      <w:tr w14:paraId="6EE57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534" w:type="dxa"/>
            <w:vAlign w:val="center"/>
          </w:tcPr>
          <w:p w14:paraId="531051A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260" w:type="dxa"/>
            <w:vAlign w:val="center"/>
          </w:tcPr>
          <w:p w14:paraId="1B4D94F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p w14:paraId="3642B235">
            <w:pPr>
              <w:spacing w:line="360" w:lineRule="auto"/>
              <w:jc w:val="center"/>
              <w:rPr>
                <w:rFonts w:ascii="宋体" w:hAnsi="宋体" w:cs="宋体"/>
                <w:b/>
                <w:color w:val="auto"/>
                <w:sz w:val="24"/>
                <w:highlight w:val="none"/>
              </w:rPr>
            </w:pPr>
          </w:p>
          <w:p w14:paraId="598DF556">
            <w:pPr>
              <w:spacing w:line="360" w:lineRule="auto"/>
              <w:jc w:val="center"/>
              <w:rPr>
                <w:rFonts w:ascii="宋体" w:hAnsi="宋体" w:cs="宋体"/>
                <w:b/>
                <w:color w:val="auto"/>
                <w:sz w:val="24"/>
                <w:highlight w:val="none"/>
              </w:rPr>
            </w:pPr>
          </w:p>
        </w:tc>
        <w:tc>
          <w:tcPr>
            <w:tcW w:w="3118" w:type="dxa"/>
            <w:vAlign w:val="center"/>
          </w:tcPr>
          <w:p w14:paraId="405991C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6E4CD39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6EFC03A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611E442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4A772784">
            <w:pPr>
              <w:spacing w:line="360" w:lineRule="auto"/>
              <w:jc w:val="center"/>
              <w:rPr>
                <w:rFonts w:ascii="宋体" w:hAnsi="宋体" w:cs="宋体"/>
                <w:b/>
                <w:color w:val="auto"/>
                <w:sz w:val="24"/>
                <w:highlight w:val="none"/>
              </w:rPr>
            </w:pPr>
          </w:p>
          <w:p w14:paraId="0A751BE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F06DAF0">
            <w:pPr>
              <w:spacing w:line="360" w:lineRule="auto"/>
              <w:jc w:val="center"/>
              <w:rPr>
                <w:rFonts w:ascii="宋体" w:hAnsi="宋体" w:cs="宋体"/>
                <w:b/>
                <w:color w:val="auto"/>
                <w:sz w:val="24"/>
                <w:highlight w:val="none"/>
              </w:rPr>
            </w:pPr>
          </w:p>
        </w:tc>
      </w:tr>
      <w:tr w14:paraId="34F5B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4" w:type="dxa"/>
            <w:vAlign w:val="center"/>
          </w:tcPr>
          <w:p w14:paraId="0BC1D63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3260" w:type="dxa"/>
            <w:vAlign w:val="center"/>
          </w:tcPr>
          <w:p w14:paraId="6E0A2FC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3118" w:type="dxa"/>
            <w:vAlign w:val="center"/>
          </w:tcPr>
          <w:p w14:paraId="6AAACE93">
            <w:pPr>
              <w:snapToGrid w:val="0"/>
              <w:spacing w:line="360" w:lineRule="auto"/>
              <w:jc w:val="center"/>
              <w:rPr>
                <w:rFonts w:ascii="宋体" w:hAnsi="宋体" w:cs="宋体"/>
                <w:color w:val="auto"/>
                <w:sz w:val="24"/>
                <w:highlight w:val="none"/>
              </w:rPr>
            </w:pPr>
          </w:p>
        </w:tc>
        <w:tc>
          <w:tcPr>
            <w:tcW w:w="993" w:type="dxa"/>
            <w:vAlign w:val="center"/>
          </w:tcPr>
          <w:p w14:paraId="138E6B75">
            <w:pPr>
              <w:snapToGrid w:val="0"/>
              <w:spacing w:line="360" w:lineRule="auto"/>
              <w:jc w:val="center"/>
              <w:rPr>
                <w:rFonts w:ascii="宋体" w:hAnsi="宋体" w:cs="宋体"/>
                <w:color w:val="auto"/>
                <w:sz w:val="24"/>
                <w:highlight w:val="none"/>
              </w:rPr>
            </w:pPr>
          </w:p>
        </w:tc>
        <w:tc>
          <w:tcPr>
            <w:tcW w:w="1559" w:type="dxa"/>
            <w:vAlign w:val="center"/>
          </w:tcPr>
          <w:p w14:paraId="2227316B">
            <w:pPr>
              <w:spacing w:line="360" w:lineRule="auto"/>
              <w:jc w:val="center"/>
              <w:rPr>
                <w:rFonts w:ascii="宋体" w:hAnsi="宋体" w:cs="宋体"/>
                <w:color w:val="auto"/>
                <w:sz w:val="24"/>
                <w:highlight w:val="none"/>
              </w:rPr>
            </w:pPr>
          </w:p>
        </w:tc>
        <w:tc>
          <w:tcPr>
            <w:tcW w:w="1984" w:type="dxa"/>
            <w:vAlign w:val="center"/>
          </w:tcPr>
          <w:p w14:paraId="366BB3E0">
            <w:pPr>
              <w:spacing w:line="360" w:lineRule="auto"/>
              <w:jc w:val="center"/>
              <w:rPr>
                <w:rFonts w:ascii="宋体" w:hAnsi="宋体" w:cs="宋体"/>
                <w:color w:val="auto"/>
                <w:sz w:val="24"/>
                <w:highlight w:val="none"/>
              </w:rPr>
            </w:pPr>
          </w:p>
        </w:tc>
        <w:tc>
          <w:tcPr>
            <w:tcW w:w="3119" w:type="dxa"/>
            <w:vAlign w:val="center"/>
          </w:tcPr>
          <w:p w14:paraId="5DA06D03">
            <w:pPr>
              <w:spacing w:line="360" w:lineRule="auto"/>
              <w:jc w:val="center"/>
              <w:rPr>
                <w:rFonts w:ascii="宋体" w:hAnsi="宋体" w:cs="宋体"/>
                <w:color w:val="auto"/>
                <w:sz w:val="24"/>
                <w:highlight w:val="none"/>
              </w:rPr>
            </w:pPr>
          </w:p>
        </w:tc>
      </w:tr>
      <w:tr w14:paraId="139D2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51DE2B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3260" w:type="dxa"/>
            <w:vAlign w:val="center"/>
          </w:tcPr>
          <w:p w14:paraId="5E967BD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3118" w:type="dxa"/>
            <w:vAlign w:val="center"/>
          </w:tcPr>
          <w:p w14:paraId="4E999C16">
            <w:pPr>
              <w:snapToGrid w:val="0"/>
              <w:spacing w:line="360" w:lineRule="auto"/>
              <w:jc w:val="center"/>
              <w:rPr>
                <w:rFonts w:ascii="宋体" w:hAnsi="宋体" w:cs="宋体"/>
                <w:color w:val="auto"/>
                <w:sz w:val="24"/>
                <w:highlight w:val="none"/>
              </w:rPr>
            </w:pPr>
          </w:p>
        </w:tc>
        <w:tc>
          <w:tcPr>
            <w:tcW w:w="993" w:type="dxa"/>
            <w:vAlign w:val="center"/>
          </w:tcPr>
          <w:p w14:paraId="5244285F">
            <w:pPr>
              <w:snapToGrid w:val="0"/>
              <w:spacing w:line="360" w:lineRule="auto"/>
              <w:jc w:val="center"/>
              <w:rPr>
                <w:rFonts w:ascii="宋体" w:hAnsi="宋体" w:cs="宋体"/>
                <w:color w:val="auto"/>
                <w:sz w:val="24"/>
                <w:highlight w:val="none"/>
              </w:rPr>
            </w:pPr>
          </w:p>
        </w:tc>
        <w:tc>
          <w:tcPr>
            <w:tcW w:w="1559" w:type="dxa"/>
            <w:vAlign w:val="center"/>
          </w:tcPr>
          <w:p w14:paraId="31E2D54C">
            <w:pPr>
              <w:spacing w:line="360" w:lineRule="auto"/>
              <w:jc w:val="center"/>
              <w:rPr>
                <w:rFonts w:ascii="宋体" w:hAnsi="宋体" w:cs="宋体"/>
                <w:color w:val="auto"/>
                <w:sz w:val="24"/>
                <w:highlight w:val="none"/>
              </w:rPr>
            </w:pPr>
          </w:p>
        </w:tc>
        <w:tc>
          <w:tcPr>
            <w:tcW w:w="1984" w:type="dxa"/>
            <w:vAlign w:val="center"/>
          </w:tcPr>
          <w:p w14:paraId="397AE0C6">
            <w:pPr>
              <w:spacing w:line="360" w:lineRule="auto"/>
              <w:jc w:val="center"/>
              <w:rPr>
                <w:rFonts w:ascii="宋体" w:hAnsi="宋体" w:cs="宋体"/>
                <w:color w:val="auto"/>
                <w:sz w:val="24"/>
                <w:highlight w:val="none"/>
              </w:rPr>
            </w:pPr>
          </w:p>
        </w:tc>
        <w:tc>
          <w:tcPr>
            <w:tcW w:w="3119" w:type="dxa"/>
            <w:vAlign w:val="center"/>
          </w:tcPr>
          <w:p w14:paraId="1CE80E32">
            <w:pPr>
              <w:spacing w:line="360" w:lineRule="auto"/>
              <w:jc w:val="center"/>
              <w:rPr>
                <w:rFonts w:ascii="宋体" w:hAnsi="宋体" w:cs="宋体"/>
                <w:color w:val="auto"/>
                <w:sz w:val="24"/>
                <w:highlight w:val="none"/>
              </w:rPr>
            </w:pPr>
          </w:p>
        </w:tc>
      </w:tr>
      <w:tr w14:paraId="43C67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724CD38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3260" w:type="dxa"/>
            <w:vAlign w:val="center"/>
          </w:tcPr>
          <w:p w14:paraId="1281EF77">
            <w:pPr>
              <w:snapToGrid w:val="0"/>
              <w:spacing w:line="360" w:lineRule="auto"/>
              <w:jc w:val="center"/>
              <w:rPr>
                <w:rFonts w:ascii="宋体" w:hAnsi="宋体" w:cs="宋体"/>
                <w:color w:val="auto"/>
                <w:sz w:val="24"/>
                <w:highlight w:val="none"/>
              </w:rPr>
            </w:pPr>
          </w:p>
        </w:tc>
        <w:tc>
          <w:tcPr>
            <w:tcW w:w="3118" w:type="dxa"/>
            <w:vAlign w:val="center"/>
          </w:tcPr>
          <w:p w14:paraId="4C315E50">
            <w:pPr>
              <w:snapToGrid w:val="0"/>
              <w:spacing w:line="360" w:lineRule="auto"/>
              <w:jc w:val="center"/>
              <w:rPr>
                <w:rFonts w:ascii="宋体" w:hAnsi="宋体" w:cs="宋体"/>
                <w:color w:val="auto"/>
                <w:sz w:val="24"/>
                <w:highlight w:val="none"/>
              </w:rPr>
            </w:pPr>
          </w:p>
        </w:tc>
        <w:tc>
          <w:tcPr>
            <w:tcW w:w="993" w:type="dxa"/>
            <w:vAlign w:val="center"/>
          </w:tcPr>
          <w:p w14:paraId="4D5A4C67">
            <w:pPr>
              <w:snapToGrid w:val="0"/>
              <w:spacing w:line="360" w:lineRule="auto"/>
              <w:jc w:val="center"/>
              <w:rPr>
                <w:rFonts w:ascii="宋体" w:hAnsi="宋体" w:cs="宋体"/>
                <w:color w:val="auto"/>
                <w:sz w:val="24"/>
                <w:highlight w:val="none"/>
              </w:rPr>
            </w:pPr>
          </w:p>
        </w:tc>
        <w:tc>
          <w:tcPr>
            <w:tcW w:w="1559" w:type="dxa"/>
            <w:vAlign w:val="center"/>
          </w:tcPr>
          <w:p w14:paraId="21FF86F1">
            <w:pPr>
              <w:spacing w:line="360" w:lineRule="auto"/>
              <w:jc w:val="center"/>
              <w:rPr>
                <w:rFonts w:ascii="宋体" w:hAnsi="宋体" w:cs="宋体"/>
                <w:color w:val="auto"/>
                <w:sz w:val="24"/>
                <w:highlight w:val="none"/>
              </w:rPr>
            </w:pPr>
          </w:p>
        </w:tc>
        <w:tc>
          <w:tcPr>
            <w:tcW w:w="1984" w:type="dxa"/>
            <w:vAlign w:val="center"/>
          </w:tcPr>
          <w:p w14:paraId="47310476">
            <w:pPr>
              <w:spacing w:line="360" w:lineRule="auto"/>
              <w:jc w:val="center"/>
              <w:rPr>
                <w:rFonts w:ascii="宋体" w:hAnsi="宋体" w:cs="宋体"/>
                <w:color w:val="auto"/>
                <w:sz w:val="24"/>
                <w:highlight w:val="none"/>
              </w:rPr>
            </w:pPr>
          </w:p>
        </w:tc>
        <w:tc>
          <w:tcPr>
            <w:tcW w:w="3119" w:type="dxa"/>
            <w:vAlign w:val="center"/>
          </w:tcPr>
          <w:p w14:paraId="7E27CB03">
            <w:pPr>
              <w:spacing w:line="360" w:lineRule="auto"/>
              <w:jc w:val="center"/>
              <w:rPr>
                <w:rFonts w:ascii="宋体" w:hAnsi="宋体" w:cs="宋体"/>
                <w:color w:val="auto"/>
                <w:sz w:val="24"/>
                <w:highlight w:val="none"/>
              </w:rPr>
            </w:pPr>
          </w:p>
        </w:tc>
      </w:tr>
      <w:tr w14:paraId="7AE6E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2891BCCC">
            <w:pPr>
              <w:spacing w:line="360" w:lineRule="auto"/>
              <w:jc w:val="center"/>
              <w:rPr>
                <w:rFonts w:ascii="宋体" w:hAnsi="宋体" w:cs="宋体"/>
                <w:color w:val="auto"/>
                <w:sz w:val="24"/>
                <w:highlight w:val="none"/>
              </w:rPr>
            </w:pPr>
          </w:p>
        </w:tc>
        <w:tc>
          <w:tcPr>
            <w:tcW w:w="3260" w:type="dxa"/>
            <w:vAlign w:val="center"/>
          </w:tcPr>
          <w:p w14:paraId="5AA77080">
            <w:pPr>
              <w:snapToGrid w:val="0"/>
              <w:spacing w:line="360" w:lineRule="auto"/>
              <w:jc w:val="center"/>
              <w:rPr>
                <w:rFonts w:ascii="宋体" w:hAnsi="宋体" w:cs="宋体"/>
                <w:color w:val="auto"/>
                <w:sz w:val="24"/>
                <w:highlight w:val="none"/>
              </w:rPr>
            </w:pPr>
          </w:p>
        </w:tc>
        <w:tc>
          <w:tcPr>
            <w:tcW w:w="3118" w:type="dxa"/>
            <w:vAlign w:val="center"/>
          </w:tcPr>
          <w:p w14:paraId="194337B0">
            <w:pPr>
              <w:snapToGrid w:val="0"/>
              <w:spacing w:line="360" w:lineRule="auto"/>
              <w:jc w:val="center"/>
              <w:rPr>
                <w:rFonts w:ascii="宋体" w:hAnsi="宋体" w:cs="宋体"/>
                <w:color w:val="auto"/>
                <w:sz w:val="24"/>
                <w:highlight w:val="none"/>
              </w:rPr>
            </w:pPr>
          </w:p>
        </w:tc>
        <w:tc>
          <w:tcPr>
            <w:tcW w:w="993" w:type="dxa"/>
            <w:vAlign w:val="center"/>
          </w:tcPr>
          <w:p w14:paraId="57C710E9">
            <w:pPr>
              <w:snapToGrid w:val="0"/>
              <w:spacing w:line="360" w:lineRule="auto"/>
              <w:jc w:val="center"/>
              <w:rPr>
                <w:rFonts w:ascii="宋体" w:hAnsi="宋体" w:cs="宋体"/>
                <w:color w:val="auto"/>
                <w:sz w:val="24"/>
                <w:highlight w:val="none"/>
              </w:rPr>
            </w:pPr>
          </w:p>
        </w:tc>
        <w:tc>
          <w:tcPr>
            <w:tcW w:w="1559" w:type="dxa"/>
            <w:vAlign w:val="center"/>
          </w:tcPr>
          <w:p w14:paraId="27ED14B6">
            <w:pPr>
              <w:spacing w:line="360" w:lineRule="auto"/>
              <w:jc w:val="center"/>
              <w:rPr>
                <w:rFonts w:ascii="宋体" w:hAnsi="宋体" w:cs="宋体"/>
                <w:color w:val="auto"/>
                <w:sz w:val="24"/>
                <w:highlight w:val="none"/>
              </w:rPr>
            </w:pPr>
          </w:p>
        </w:tc>
        <w:tc>
          <w:tcPr>
            <w:tcW w:w="1984" w:type="dxa"/>
            <w:vAlign w:val="center"/>
          </w:tcPr>
          <w:p w14:paraId="72DEE60A">
            <w:pPr>
              <w:spacing w:line="360" w:lineRule="auto"/>
              <w:jc w:val="center"/>
              <w:rPr>
                <w:rFonts w:ascii="宋体" w:hAnsi="宋体" w:cs="宋体"/>
                <w:color w:val="auto"/>
                <w:sz w:val="24"/>
                <w:highlight w:val="none"/>
              </w:rPr>
            </w:pPr>
          </w:p>
        </w:tc>
        <w:tc>
          <w:tcPr>
            <w:tcW w:w="3119" w:type="dxa"/>
            <w:vAlign w:val="center"/>
          </w:tcPr>
          <w:p w14:paraId="18DFD630">
            <w:pPr>
              <w:spacing w:line="360" w:lineRule="auto"/>
              <w:jc w:val="center"/>
              <w:rPr>
                <w:rFonts w:ascii="宋体" w:hAnsi="宋体" w:cs="宋体"/>
                <w:color w:val="auto"/>
                <w:sz w:val="24"/>
                <w:highlight w:val="none"/>
              </w:rPr>
            </w:pPr>
          </w:p>
        </w:tc>
      </w:tr>
      <w:tr w14:paraId="256BA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31689603">
            <w:pPr>
              <w:spacing w:line="360" w:lineRule="auto"/>
              <w:jc w:val="center"/>
              <w:rPr>
                <w:rFonts w:ascii="宋体" w:hAnsi="宋体" w:cs="宋体"/>
                <w:sz w:val="24"/>
                <w:highlight w:val="none"/>
              </w:rPr>
            </w:pPr>
          </w:p>
        </w:tc>
        <w:tc>
          <w:tcPr>
            <w:tcW w:w="3260" w:type="dxa"/>
            <w:vAlign w:val="center"/>
          </w:tcPr>
          <w:p w14:paraId="013A107E">
            <w:pPr>
              <w:snapToGrid w:val="0"/>
              <w:spacing w:line="360" w:lineRule="auto"/>
              <w:jc w:val="center"/>
              <w:rPr>
                <w:rFonts w:ascii="宋体" w:hAnsi="宋体" w:cs="宋体"/>
                <w:sz w:val="24"/>
                <w:highlight w:val="none"/>
              </w:rPr>
            </w:pPr>
          </w:p>
        </w:tc>
        <w:tc>
          <w:tcPr>
            <w:tcW w:w="3118" w:type="dxa"/>
            <w:vAlign w:val="center"/>
          </w:tcPr>
          <w:p w14:paraId="2EB5DD46">
            <w:pPr>
              <w:snapToGrid w:val="0"/>
              <w:spacing w:line="360" w:lineRule="auto"/>
              <w:jc w:val="center"/>
              <w:rPr>
                <w:rFonts w:ascii="宋体" w:hAnsi="宋体" w:cs="宋体"/>
                <w:sz w:val="24"/>
                <w:highlight w:val="none"/>
              </w:rPr>
            </w:pPr>
          </w:p>
        </w:tc>
        <w:tc>
          <w:tcPr>
            <w:tcW w:w="993" w:type="dxa"/>
            <w:vAlign w:val="center"/>
          </w:tcPr>
          <w:p w14:paraId="5ADE1B64">
            <w:pPr>
              <w:snapToGrid w:val="0"/>
              <w:spacing w:line="360" w:lineRule="auto"/>
              <w:jc w:val="center"/>
              <w:rPr>
                <w:rFonts w:ascii="宋体" w:hAnsi="宋体" w:cs="宋体"/>
                <w:sz w:val="24"/>
                <w:highlight w:val="none"/>
              </w:rPr>
            </w:pPr>
          </w:p>
        </w:tc>
        <w:tc>
          <w:tcPr>
            <w:tcW w:w="1559" w:type="dxa"/>
            <w:vAlign w:val="center"/>
          </w:tcPr>
          <w:p w14:paraId="5CD8D78D">
            <w:pPr>
              <w:spacing w:line="360" w:lineRule="auto"/>
              <w:jc w:val="center"/>
              <w:rPr>
                <w:rFonts w:ascii="宋体" w:hAnsi="宋体" w:cs="宋体"/>
                <w:sz w:val="24"/>
                <w:highlight w:val="none"/>
              </w:rPr>
            </w:pPr>
          </w:p>
        </w:tc>
        <w:tc>
          <w:tcPr>
            <w:tcW w:w="1984" w:type="dxa"/>
            <w:vAlign w:val="center"/>
          </w:tcPr>
          <w:p w14:paraId="024C9DD2">
            <w:pPr>
              <w:spacing w:line="360" w:lineRule="auto"/>
              <w:jc w:val="center"/>
              <w:rPr>
                <w:rFonts w:ascii="宋体" w:hAnsi="宋体" w:cs="宋体"/>
                <w:sz w:val="24"/>
                <w:highlight w:val="none"/>
              </w:rPr>
            </w:pPr>
          </w:p>
        </w:tc>
        <w:tc>
          <w:tcPr>
            <w:tcW w:w="3119" w:type="dxa"/>
            <w:vAlign w:val="center"/>
          </w:tcPr>
          <w:p w14:paraId="3820E8AE">
            <w:pPr>
              <w:spacing w:line="360" w:lineRule="auto"/>
              <w:jc w:val="center"/>
              <w:rPr>
                <w:rFonts w:ascii="宋体" w:hAnsi="宋体" w:cs="宋体"/>
                <w:sz w:val="24"/>
                <w:highlight w:val="none"/>
              </w:rPr>
            </w:pPr>
          </w:p>
        </w:tc>
      </w:tr>
      <w:tr w14:paraId="01C9C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912" w:type="dxa"/>
            <w:gridSpan w:val="3"/>
            <w:vAlign w:val="center"/>
          </w:tcPr>
          <w:p w14:paraId="5AD8224F">
            <w:pPr>
              <w:spacing w:line="360" w:lineRule="auto"/>
              <w:jc w:val="center"/>
              <w:rPr>
                <w:rFonts w:ascii="宋体" w:hAnsi="宋体" w:cs="宋体"/>
                <w:b/>
                <w:sz w:val="24"/>
                <w:highlight w:val="none"/>
              </w:rPr>
            </w:pPr>
            <w:r>
              <w:rPr>
                <w:rFonts w:hint="eastAsia" w:ascii="宋体" w:hAnsi="宋体" w:cs="宋体"/>
                <w:b/>
                <w:sz w:val="24"/>
                <w:highlight w:val="none"/>
              </w:rPr>
              <w:t>投标报价（小写）</w:t>
            </w:r>
          </w:p>
        </w:tc>
        <w:tc>
          <w:tcPr>
            <w:tcW w:w="7655" w:type="dxa"/>
            <w:gridSpan w:val="4"/>
            <w:vAlign w:val="center"/>
          </w:tcPr>
          <w:p w14:paraId="0E6AD2A0">
            <w:pPr>
              <w:spacing w:line="360" w:lineRule="auto"/>
              <w:jc w:val="center"/>
              <w:rPr>
                <w:rFonts w:ascii="宋体" w:hAnsi="宋体" w:cs="宋体"/>
                <w:sz w:val="24"/>
                <w:highlight w:val="none"/>
              </w:rPr>
            </w:pPr>
          </w:p>
        </w:tc>
      </w:tr>
      <w:tr w14:paraId="7B200DB0">
        <w:tblPrEx>
          <w:tblCellMar>
            <w:top w:w="0" w:type="dxa"/>
            <w:left w:w="108" w:type="dxa"/>
            <w:bottom w:w="0" w:type="dxa"/>
            <w:right w:w="108" w:type="dxa"/>
          </w:tblCellMar>
        </w:tblPrEx>
        <w:trPr>
          <w:trHeight w:val="597" w:hRule="atLeast"/>
          <w:jc w:val="center"/>
        </w:trPr>
        <w:tc>
          <w:tcPr>
            <w:tcW w:w="6912" w:type="dxa"/>
            <w:gridSpan w:val="3"/>
            <w:vAlign w:val="center"/>
          </w:tcPr>
          <w:p w14:paraId="52CF98F7">
            <w:pPr>
              <w:spacing w:line="360" w:lineRule="auto"/>
              <w:jc w:val="center"/>
              <w:rPr>
                <w:rFonts w:ascii="宋体" w:hAnsi="宋体" w:cs="宋体"/>
                <w:b/>
                <w:sz w:val="24"/>
                <w:highlight w:val="none"/>
              </w:rPr>
            </w:pPr>
            <w:r>
              <w:rPr>
                <w:rFonts w:hint="eastAsia" w:ascii="宋体" w:hAnsi="宋体" w:cs="宋体"/>
                <w:b/>
                <w:sz w:val="24"/>
                <w:highlight w:val="none"/>
              </w:rPr>
              <w:t>投标报价（大写）</w:t>
            </w:r>
          </w:p>
        </w:tc>
        <w:tc>
          <w:tcPr>
            <w:tcW w:w="7655" w:type="dxa"/>
            <w:gridSpan w:val="4"/>
            <w:vAlign w:val="center"/>
          </w:tcPr>
          <w:p w14:paraId="72CC9D75">
            <w:pPr>
              <w:spacing w:line="360" w:lineRule="auto"/>
              <w:jc w:val="center"/>
              <w:rPr>
                <w:rFonts w:ascii="宋体" w:hAnsi="宋体" w:cs="宋体"/>
                <w:sz w:val="24"/>
                <w:highlight w:val="none"/>
              </w:rPr>
            </w:pPr>
          </w:p>
        </w:tc>
      </w:tr>
    </w:tbl>
    <w:p w14:paraId="16BAB69F">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14:paraId="247D501A">
      <w:pPr>
        <w:spacing w:line="360" w:lineRule="auto"/>
        <w:ind w:left="-2" w:leftChars="-1"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kern w:val="0"/>
          <w:sz w:val="24"/>
          <w:highlight w:val="none"/>
          <w:lang w:val="zh-CN"/>
        </w:rPr>
        <w:t>。</w:t>
      </w:r>
    </w:p>
    <w:p w14:paraId="4C3F99AA">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w:t>
      </w:r>
      <w:r>
        <w:rPr>
          <w:rFonts w:hint="eastAsia" w:ascii="宋体" w:hAnsi="宋体" w:cs="宋体"/>
          <w:b/>
          <w:kern w:val="0"/>
          <w:sz w:val="24"/>
          <w:highlight w:val="none"/>
          <w:lang w:val="zh-CN"/>
        </w:rPr>
        <w:t>采购人将以合同形式有偿取得货物或服务，不接受投标人给予的赠品、回扣或者与采购无关的其他商品、服务</w:t>
      </w:r>
      <w:r>
        <w:rPr>
          <w:rFonts w:hint="eastAsia" w:ascii="宋体" w:hAnsi="宋体" w:cs="宋体"/>
          <w:kern w:val="0"/>
          <w:sz w:val="24"/>
          <w:highlight w:val="none"/>
          <w:lang w:val="zh-CN"/>
        </w:rPr>
        <w:t>，</w:t>
      </w:r>
      <w:r>
        <w:rPr>
          <w:rFonts w:hint="eastAsia" w:ascii="宋体" w:hAnsi="宋体" w:cs="宋体"/>
          <w:b/>
          <w:kern w:val="0"/>
          <w:sz w:val="24"/>
          <w:highlight w:val="none"/>
          <w:lang w:val="zh-CN"/>
        </w:rPr>
        <w:t>不得出现“0元”“免费赠送”等形式的无偿报价，</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4ED88E9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kern w:val="0"/>
          <w:sz w:val="24"/>
          <w:highlight w:val="none"/>
          <w:lang w:val="zh-CN"/>
        </w:rPr>
        <w:t>3、特别提示：采购代理机构将对项目名称和项目编号，中标供应商名称、地址和中标金额，主要中标标的名称、品牌（如果有）、</w:t>
      </w:r>
      <w:r>
        <w:rPr>
          <w:rFonts w:hint="eastAsia" w:ascii="宋体" w:hAnsi="宋体" w:cs="宋体"/>
          <w:color w:val="auto"/>
          <w:kern w:val="0"/>
          <w:sz w:val="24"/>
          <w:highlight w:val="none"/>
          <w:lang w:val="zh-CN"/>
        </w:rPr>
        <w:t>规格型号、数量、单价等予以公示。</w:t>
      </w:r>
    </w:p>
    <w:p w14:paraId="1EEF4598">
      <w:pPr>
        <w:snapToGrid w:val="0"/>
        <w:spacing w:line="360" w:lineRule="auto"/>
        <w:ind w:firstLine="480" w:firstLineChars="200"/>
        <w:jc w:val="left"/>
        <w:rPr>
          <w:rFonts w:ascii="宋体" w:hAnsi="宋体" w:cs="宋体"/>
          <w:bCs/>
          <w:sz w:val="24"/>
          <w:highlight w:val="none"/>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sectPr>
      <w:headerReference r:id="rId17" w:type="first"/>
      <w:footerReference r:id="rId20" w:type="first"/>
      <w:headerReference r:id="rId16" w:type="default"/>
      <w:footerReference r:id="rId18" w:type="default"/>
      <w:footerReference r:id="rId19" w:type="even"/>
      <w:pgSz w:w="16838" w:h="11906" w:orient="landscape"/>
      <w:pgMar w:top="1417" w:right="1276" w:bottom="1417" w:left="1247"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30D7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74006">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02" w:name="_Toc164085800"/>
    <w:bookmarkStart w:id="403" w:name="_Toc131845147"/>
    <w:bookmarkStart w:id="404" w:name="_Toc36110187"/>
    <w:bookmarkStart w:id="405" w:name="_Toc91899912"/>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6C329">
    <w:pPr>
      <w:pStyle w:val="40"/>
      <w:framePr w:wrap="around" w:vAnchor="text" w:hAnchor="margin" w:xAlign="right" w:y="1"/>
      <w:rPr>
        <w:rStyle w:val="75"/>
      </w:rPr>
    </w:pPr>
    <w:r>
      <w:fldChar w:fldCharType="begin"/>
    </w:r>
    <w:r>
      <w:rPr>
        <w:rStyle w:val="75"/>
      </w:rPr>
      <w:instrText xml:space="preserve">PAGE  </w:instrText>
    </w:r>
    <w:r>
      <w:fldChar w:fldCharType="end"/>
    </w:r>
  </w:p>
  <w:p w14:paraId="2DEBA142">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3059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7176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8289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EA155C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F856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9CDBF9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0FB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8538E6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E6A7F">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D78C2">
    <w:pPr>
      <w:pStyle w:val="40"/>
      <w:framePr w:wrap="around" w:vAnchor="text" w:hAnchor="margin" w:xAlign="right" w:y="1"/>
      <w:rPr>
        <w:rStyle w:val="75"/>
      </w:rPr>
    </w:pPr>
    <w:r>
      <w:fldChar w:fldCharType="begin"/>
    </w:r>
    <w:r>
      <w:rPr>
        <w:rStyle w:val="75"/>
      </w:rPr>
      <w:instrText xml:space="preserve">PAGE  </w:instrText>
    </w:r>
    <w:r>
      <w:fldChar w:fldCharType="end"/>
    </w:r>
  </w:p>
  <w:p w14:paraId="280E6277">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F6FF8">
    <w:pPr>
      <w:pStyle w:val="42"/>
      <w:pBdr>
        <w:bottom w:val="single" w:color="auto" w:sz="6" w:space="4"/>
      </w:pBdr>
      <w:jc w:val="right"/>
    </w:pPr>
    <w:r>
      <w:t></w:t>
    </w:r>
    <w:r>
      <w:rPr>
        <w:rFonts w:hint="eastAsia"/>
      </w:rPr>
      <w:t xml:space="preserve">          </w:t>
    </w:r>
    <w:r>
      <w:rPr>
        <w:rFonts w:hint="eastAsia"/>
        <w:lang w:eastAsia="zh-CN"/>
      </w:rPr>
      <w:t>竞争性磋商</w:t>
    </w:r>
    <w:r>
      <w:t>文件</w:t>
    </w:r>
  </w:p>
  <w:p w14:paraId="3D18616B">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A6C65">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竞争性磋商</w:t>
    </w:r>
    <w:r>
      <w:rPr>
        <w:lang w:val="zh-CN"/>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581A2">
    <w:pPr>
      <w:pStyle w:val="42"/>
      <w:rPr>
        <w:rFonts w:ascii="仿宋_GB2312" w:eastAsia="仿宋_GB2312"/>
        <w:b/>
        <w:i/>
        <w:u w:val="single"/>
      </w:rPr>
    </w:pPr>
    <w:r>
      <w:t></w:t>
    </w:r>
    <w:r>
      <w:rPr>
        <w:rFonts w:hint="eastAsia"/>
      </w:rPr>
      <w:t xml:space="preserve">                                                </w:t>
    </w:r>
    <w:r>
      <w:t xml:space="preserve"> </w:t>
    </w:r>
    <w:r>
      <w:rPr>
        <w:rFonts w:hint="eastAsia"/>
        <w:lang w:eastAsia="zh-CN"/>
      </w:rPr>
      <w:t>竞争性磋商</w:t>
    </w:r>
    <w:r>
      <w:t>文件</w:t>
    </w:r>
  </w:p>
  <w:p w14:paraId="2D37C188">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69C83">
    <w:pPr>
      <w:pStyle w:val="42"/>
      <w:jc w:val="right"/>
    </w:pPr>
    <w:r>
      <w:t></w:t>
    </w:r>
    <w:r>
      <w:rPr>
        <w:rFonts w:hint="eastAsia"/>
      </w:rPr>
      <w:t xml:space="preserve">                                                                    </w:t>
    </w:r>
    <w:r>
      <w:rPr>
        <w:rFonts w:hint="eastAsia"/>
        <w:lang w:eastAsia="zh-CN"/>
      </w:rPr>
      <w:t>竞争性磋商</w:t>
    </w:r>
    <w:r>
      <w:t>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47032">
    <w:pPr>
      <w:pStyle w:val="42"/>
      <w:jc w:val="right"/>
      <w:rPr>
        <w:rFonts w:ascii="仿宋_GB2312" w:eastAsia="仿宋_GB2312"/>
        <w:b/>
        <w:i/>
        <w:u w:val="single"/>
      </w:rPr>
    </w:pPr>
    <w:r>
      <w:rPr>
        <w:rFonts w:hint="eastAsia"/>
      </w:rPr>
      <w:t xml:space="preserve">                               </w:t>
    </w:r>
    <w:r>
      <w:rPr>
        <w:rFonts w:hint="eastAsia"/>
        <w:lang w:eastAsia="zh-CN"/>
      </w:rPr>
      <w:t>竞争性磋商</w:t>
    </w:r>
    <w:r>
      <w:t>文件</w:t>
    </w:r>
  </w:p>
  <w:p w14:paraId="335ECA50">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868E3">
    <w:pPr>
      <w:pStyle w:val="42"/>
      <w:jc w:val="right"/>
    </w:pPr>
    <w:r>
      <w:rPr>
        <w:rFonts w:hint="eastAsia"/>
      </w:rPr>
      <w:t xml:space="preserve">                                                                                                        </w:t>
    </w:r>
    <w:r>
      <w:rPr>
        <w:rFonts w:hint="eastAsia"/>
        <w:lang w:eastAsia="zh-CN"/>
      </w:rPr>
      <w:t>竞争性磋商</w:t>
    </w:r>
    <w:r>
      <w:t>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FFCE9">
    <w:pPr>
      <w:pStyle w:val="42"/>
      <w:jc w:val="right"/>
      <w:rPr>
        <w:rFonts w:ascii="仿宋_GB2312" w:eastAsia="仿宋_GB2312"/>
        <w:b/>
        <w:i/>
        <w:iCs/>
        <w:u w:val="single"/>
      </w:rPr>
    </w:pPr>
    <w:r>
      <w:t></w:t>
    </w:r>
    <w:r>
      <w:rPr>
        <w:rFonts w:hint="eastAsia"/>
        <w:lang w:eastAsia="zh-CN"/>
      </w:rPr>
      <w:t>竞争性磋商</w:t>
    </w:r>
    <w:r>
      <w:t>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C8A2E">
    <w:pPr>
      <w:pStyle w:val="42"/>
    </w:pPr>
    <w:r>
      <w:t></w:t>
    </w:r>
    <w:r>
      <w:rPr>
        <w:rFonts w:hint="eastAsia"/>
      </w:rPr>
      <w:t xml:space="preserve">                                            </w:t>
    </w:r>
    <w:r>
      <w:rPr>
        <w:rFonts w:hint="eastAsia"/>
        <w:lang w:eastAsia="zh-CN"/>
      </w:rPr>
      <w:t>竞争性磋商</w:t>
    </w:r>
    <w: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A92639"/>
    <w:multiLevelType w:val="singleLevel"/>
    <w:tmpl w:val="B7A92639"/>
    <w:lvl w:ilvl="0" w:tentative="0">
      <w:start w:val="1"/>
      <w:numFmt w:val="decimal"/>
      <w:suff w:val="nothing"/>
      <w:lvlText w:val="%1、"/>
      <w:lvlJc w:val="left"/>
    </w:lvl>
  </w:abstractNum>
  <w:abstractNum w:abstractNumId="1">
    <w:nsid w:val="21B9810C"/>
    <w:multiLevelType w:val="singleLevel"/>
    <w:tmpl w:val="21B9810C"/>
    <w:lvl w:ilvl="0" w:tentative="0">
      <w:start w:val="2"/>
      <w:numFmt w:val="chineseCounting"/>
      <w:suff w:val="nothing"/>
      <w:lvlText w:val="（%1）"/>
      <w:lvlJc w:val="left"/>
      <w:rPr>
        <w:rFonts w:hint="eastAsia"/>
      </w:rPr>
    </w:lvl>
  </w:abstractNum>
  <w:abstractNum w:abstractNumId="2">
    <w:nsid w:val="23D1D62D"/>
    <w:multiLevelType w:val="singleLevel"/>
    <w:tmpl w:val="23D1D62D"/>
    <w:lvl w:ilvl="0" w:tentative="0">
      <w:start w:val="3"/>
      <w:numFmt w:val="chineseCounting"/>
      <w:suff w:val="space"/>
      <w:lvlText w:val="第%1部分"/>
      <w:lvlJc w:val="left"/>
      <w:rPr>
        <w:rFonts w:hint="eastAsia"/>
      </w:rPr>
    </w:lvl>
  </w:abstractNum>
  <w:abstractNum w:abstractNumId="3">
    <w:nsid w:val="2D4262EC"/>
    <w:multiLevelType w:val="singleLevel"/>
    <w:tmpl w:val="2D4262EC"/>
    <w:lvl w:ilvl="0" w:tentative="0">
      <w:start w:val="1"/>
      <w:numFmt w:val="chineseCounting"/>
      <w:suff w:val="nothing"/>
      <w:lvlText w:val="%1、"/>
      <w:lvlJc w:val="left"/>
      <w:rPr>
        <w:rFonts w:hint="eastAsia"/>
      </w:rPr>
    </w:lvl>
  </w:abstractNum>
  <w:abstractNum w:abstractNumId="4">
    <w:nsid w:val="4D835A34"/>
    <w:multiLevelType w:val="singleLevel"/>
    <w:tmpl w:val="4D835A34"/>
    <w:lvl w:ilvl="0" w:tentative="0">
      <w:start w:val="10"/>
      <w:numFmt w:val="chineseCounting"/>
      <w:suff w:val="nothing"/>
      <w:lvlText w:val="%1、"/>
      <w:lvlJc w:val="left"/>
      <w:rPr>
        <w:rFonts w:hint="eastAsia"/>
      </w:rPr>
    </w:lvl>
  </w:abstractNum>
  <w:abstractNum w:abstractNumId="5">
    <w:nsid w:val="5F7181FD"/>
    <w:multiLevelType w:val="singleLevel"/>
    <w:tmpl w:val="5F7181FD"/>
    <w:lvl w:ilvl="0" w:tentative="0">
      <w:start w:val="2"/>
      <w:numFmt w:val="chineseCounting"/>
      <w:suff w:val="nothing"/>
      <w:lvlText w:val="%1、"/>
      <w:lvlJc w:val="left"/>
      <w:rPr>
        <w:rFonts w:hint="eastAsia"/>
      </w:r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MzA3MjI3ZGQ0ODhjZGE1M2ZiYWVjODkwYzc2YW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1C90"/>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695"/>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54"/>
    <w:rsid w:val="00081671"/>
    <w:rsid w:val="00082AD4"/>
    <w:rsid w:val="00083E07"/>
    <w:rsid w:val="0008412C"/>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235"/>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403"/>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DEE"/>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6DA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00"/>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781"/>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5CD"/>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06B3"/>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8C4"/>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5CF"/>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15"/>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D05"/>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24FE"/>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2DB7"/>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1AC"/>
    <w:rsid w:val="00951517"/>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0E5C"/>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93A"/>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6D9F"/>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01B"/>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988"/>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D5A"/>
    <w:rsid w:val="00E333D5"/>
    <w:rsid w:val="00E33444"/>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5F9"/>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B3F"/>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5D1"/>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13A8"/>
    <w:rsid w:val="01236AFB"/>
    <w:rsid w:val="01303AC5"/>
    <w:rsid w:val="01315E28"/>
    <w:rsid w:val="014F03EF"/>
    <w:rsid w:val="016E2F6B"/>
    <w:rsid w:val="01730582"/>
    <w:rsid w:val="01853E11"/>
    <w:rsid w:val="018E53BB"/>
    <w:rsid w:val="019F7441"/>
    <w:rsid w:val="01AA5738"/>
    <w:rsid w:val="01AC161D"/>
    <w:rsid w:val="01AE0334"/>
    <w:rsid w:val="01B36BD0"/>
    <w:rsid w:val="01B37585"/>
    <w:rsid w:val="01C611A0"/>
    <w:rsid w:val="01D55165"/>
    <w:rsid w:val="01DF6BF8"/>
    <w:rsid w:val="01E40747"/>
    <w:rsid w:val="01EC2C57"/>
    <w:rsid w:val="02021905"/>
    <w:rsid w:val="02146128"/>
    <w:rsid w:val="02156531"/>
    <w:rsid w:val="0227311A"/>
    <w:rsid w:val="023A4BFB"/>
    <w:rsid w:val="025A34EF"/>
    <w:rsid w:val="025F0711"/>
    <w:rsid w:val="026551BA"/>
    <w:rsid w:val="0268276F"/>
    <w:rsid w:val="026B2E25"/>
    <w:rsid w:val="02824D4D"/>
    <w:rsid w:val="02873BB9"/>
    <w:rsid w:val="02A76009"/>
    <w:rsid w:val="02DC4B10"/>
    <w:rsid w:val="02DC5CB3"/>
    <w:rsid w:val="02DD76CE"/>
    <w:rsid w:val="02E77F77"/>
    <w:rsid w:val="02F36323"/>
    <w:rsid w:val="02F5619C"/>
    <w:rsid w:val="030259B8"/>
    <w:rsid w:val="030F6088"/>
    <w:rsid w:val="0326446A"/>
    <w:rsid w:val="032D5555"/>
    <w:rsid w:val="03325C09"/>
    <w:rsid w:val="03345AEF"/>
    <w:rsid w:val="036634D2"/>
    <w:rsid w:val="03791753"/>
    <w:rsid w:val="037E2A51"/>
    <w:rsid w:val="03A8471B"/>
    <w:rsid w:val="03C922E4"/>
    <w:rsid w:val="03CC6B28"/>
    <w:rsid w:val="03DD35E4"/>
    <w:rsid w:val="03E272F9"/>
    <w:rsid w:val="03E85749"/>
    <w:rsid w:val="03F0145B"/>
    <w:rsid w:val="03F6747E"/>
    <w:rsid w:val="03FF2029"/>
    <w:rsid w:val="04076900"/>
    <w:rsid w:val="040C5F4D"/>
    <w:rsid w:val="04114082"/>
    <w:rsid w:val="041A5A3B"/>
    <w:rsid w:val="04205BD7"/>
    <w:rsid w:val="042311BA"/>
    <w:rsid w:val="04235B63"/>
    <w:rsid w:val="04247911"/>
    <w:rsid w:val="042B157A"/>
    <w:rsid w:val="044D7F82"/>
    <w:rsid w:val="046046C1"/>
    <w:rsid w:val="048F763B"/>
    <w:rsid w:val="049F330E"/>
    <w:rsid w:val="04AA775C"/>
    <w:rsid w:val="04AF1889"/>
    <w:rsid w:val="04B2316F"/>
    <w:rsid w:val="04BA64C7"/>
    <w:rsid w:val="04CB4231"/>
    <w:rsid w:val="04E63EAF"/>
    <w:rsid w:val="04F574FF"/>
    <w:rsid w:val="04F66F48"/>
    <w:rsid w:val="05251E14"/>
    <w:rsid w:val="05300538"/>
    <w:rsid w:val="053578FC"/>
    <w:rsid w:val="05486BAC"/>
    <w:rsid w:val="05526700"/>
    <w:rsid w:val="05654685"/>
    <w:rsid w:val="057230AE"/>
    <w:rsid w:val="057A17B3"/>
    <w:rsid w:val="057E2F8C"/>
    <w:rsid w:val="058014BF"/>
    <w:rsid w:val="058645FB"/>
    <w:rsid w:val="05A16594"/>
    <w:rsid w:val="05A7762D"/>
    <w:rsid w:val="05B41DF3"/>
    <w:rsid w:val="05B81D48"/>
    <w:rsid w:val="05C66D09"/>
    <w:rsid w:val="05CD3FD8"/>
    <w:rsid w:val="05D64292"/>
    <w:rsid w:val="05D657FF"/>
    <w:rsid w:val="05ED01D7"/>
    <w:rsid w:val="05F477B7"/>
    <w:rsid w:val="05F74152"/>
    <w:rsid w:val="05FB0B46"/>
    <w:rsid w:val="05FE23E4"/>
    <w:rsid w:val="060E5941"/>
    <w:rsid w:val="06110FAF"/>
    <w:rsid w:val="06257C9E"/>
    <w:rsid w:val="062F259D"/>
    <w:rsid w:val="063D62C0"/>
    <w:rsid w:val="06493CA7"/>
    <w:rsid w:val="065A6178"/>
    <w:rsid w:val="065D0272"/>
    <w:rsid w:val="066E30C6"/>
    <w:rsid w:val="066F1CF3"/>
    <w:rsid w:val="06767680"/>
    <w:rsid w:val="067747D3"/>
    <w:rsid w:val="067C4372"/>
    <w:rsid w:val="06852A6A"/>
    <w:rsid w:val="068624B2"/>
    <w:rsid w:val="0687687D"/>
    <w:rsid w:val="068D121F"/>
    <w:rsid w:val="06930BB8"/>
    <w:rsid w:val="06A116ED"/>
    <w:rsid w:val="06A21A04"/>
    <w:rsid w:val="06B07B82"/>
    <w:rsid w:val="06BA455D"/>
    <w:rsid w:val="06C278B5"/>
    <w:rsid w:val="06E17D3B"/>
    <w:rsid w:val="06EA081F"/>
    <w:rsid w:val="070677A2"/>
    <w:rsid w:val="07084BBA"/>
    <w:rsid w:val="071F79EE"/>
    <w:rsid w:val="07222102"/>
    <w:rsid w:val="07245D42"/>
    <w:rsid w:val="07264C62"/>
    <w:rsid w:val="0738619F"/>
    <w:rsid w:val="07592A82"/>
    <w:rsid w:val="07660241"/>
    <w:rsid w:val="07740BAF"/>
    <w:rsid w:val="0779354C"/>
    <w:rsid w:val="07853973"/>
    <w:rsid w:val="079A6992"/>
    <w:rsid w:val="07A066C0"/>
    <w:rsid w:val="07F1511A"/>
    <w:rsid w:val="07F537BE"/>
    <w:rsid w:val="07FB6F8A"/>
    <w:rsid w:val="07FC0BA5"/>
    <w:rsid w:val="08002443"/>
    <w:rsid w:val="08061376"/>
    <w:rsid w:val="08177B09"/>
    <w:rsid w:val="083245C7"/>
    <w:rsid w:val="08452D77"/>
    <w:rsid w:val="084560A8"/>
    <w:rsid w:val="08630AB1"/>
    <w:rsid w:val="086401F8"/>
    <w:rsid w:val="086E6B01"/>
    <w:rsid w:val="08751CAA"/>
    <w:rsid w:val="087E4C40"/>
    <w:rsid w:val="0884474B"/>
    <w:rsid w:val="08907C6B"/>
    <w:rsid w:val="08A871D0"/>
    <w:rsid w:val="08AC25CB"/>
    <w:rsid w:val="08D03AAE"/>
    <w:rsid w:val="08D257C6"/>
    <w:rsid w:val="08D66AD6"/>
    <w:rsid w:val="08DA33A3"/>
    <w:rsid w:val="08E12275"/>
    <w:rsid w:val="08E80F13"/>
    <w:rsid w:val="08E83D84"/>
    <w:rsid w:val="08F31FA8"/>
    <w:rsid w:val="09291013"/>
    <w:rsid w:val="09335624"/>
    <w:rsid w:val="094256E5"/>
    <w:rsid w:val="09425BB7"/>
    <w:rsid w:val="0944690F"/>
    <w:rsid w:val="09535675"/>
    <w:rsid w:val="095F057D"/>
    <w:rsid w:val="09630FAA"/>
    <w:rsid w:val="09642282"/>
    <w:rsid w:val="09733572"/>
    <w:rsid w:val="09772C16"/>
    <w:rsid w:val="097906FF"/>
    <w:rsid w:val="098353B5"/>
    <w:rsid w:val="098B2263"/>
    <w:rsid w:val="099F7A3A"/>
    <w:rsid w:val="09A92330"/>
    <w:rsid w:val="09B06B87"/>
    <w:rsid w:val="09C13146"/>
    <w:rsid w:val="09E04166"/>
    <w:rsid w:val="09E57B43"/>
    <w:rsid w:val="09F71DBF"/>
    <w:rsid w:val="0A03446D"/>
    <w:rsid w:val="0A03621B"/>
    <w:rsid w:val="0A0D52EB"/>
    <w:rsid w:val="0A0F6BB8"/>
    <w:rsid w:val="0A1C0718"/>
    <w:rsid w:val="0A3132B5"/>
    <w:rsid w:val="0A3E7710"/>
    <w:rsid w:val="0A546A76"/>
    <w:rsid w:val="0A597BE4"/>
    <w:rsid w:val="0A5B7E63"/>
    <w:rsid w:val="0A8455AD"/>
    <w:rsid w:val="0A9363DC"/>
    <w:rsid w:val="0A93759F"/>
    <w:rsid w:val="0AA374A5"/>
    <w:rsid w:val="0AA73876"/>
    <w:rsid w:val="0AAB7649"/>
    <w:rsid w:val="0AB5284D"/>
    <w:rsid w:val="0ABC5606"/>
    <w:rsid w:val="0AC734B8"/>
    <w:rsid w:val="0AC74521"/>
    <w:rsid w:val="0AC84FEF"/>
    <w:rsid w:val="0AC97E63"/>
    <w:rsid w:val="0ADF27E4"/>
    <w:rsid w:val="0AF618DB"/>
    <w:rsid w:val="0AFA2F23"/>
    <w:rsid w:val="0B097861"/>
    <w:rsid w:val="0B1270F5"/>
    <w:rsid w:val="0B270AEA"/>
    <w:rsid w:val="0B30404E"/>
    <w:rsid w:val="0B3C7C36"/>
    <w:rsid w:val="0B4C6C14"/>
    <w:rsid w:val="0B547599"/>
    <w:rsid w:val="0B5605CC"/>
    <w:rsid w:val="0B631A88"/>
    <w:rsid w:val="0B683D45"/>
    <w:rsid w:val="0B6A015B"/>
    <w:rsid w:val="0B7F3F11"/>
    <w:rsid w:val="0B884417"/>
    <w:rsid w:val="0BB2614A"/>
    <w:rsid w:val="0BB377CC"/>
    <w:rsid w:val="0BC83278"/>
    <w:rsid w:val="0BD16125"/>
    <w:rsid w:val="0BE77065"/>
    <w:rsid w:val="0BF24799"/>
    <w:rsid w:val="0BF57EE4"/>
    <w:rsid w:val="0BF6188C"/>
    <w:rsid w:val="0BF64289"/>
    <w:rsid w:val="0BF71DAF"/>
    <w:rsid w:val="0BF73C91"/>
    <w:rsid w:val="0C05627A"/>
    <w:rsid w:val="0C170175"/>
    <w:rsid w:val="0C1C1816"/>
    <w:rsid w:val="0C272694"/>
    <w:rsid w:val="0C285E2F"/>
    <w:rsid w:val="0C4059A7"/>
    <w:rsid w:val="0C42513B"/>
    <w:rsid w:val="0C4402CF"/>
    <w:rsid w:val="0C446AE7"/>
    <w:rsid w:val="0C52092A"/>
    <w:rsid w:val="0C571A41"/>
    <w:rsid w:val="0C5C1171"/>
    <w:rsid w:val="0C5E1CBC"/>
    <w:rsid w:val="0C615B50"/>
    <w:rsid w:val="0C7C4062"/>
    <w:rsid w:val="0C8445DA"/>
    <w:rsid w:val="0C87121B"/>
    <w:rsid w:val="0CC007F7"/>
    <w:rsid w:val="0CC617AC"/>
    <w:rsid w:val="0CD15FAB"/>
    <w:rsid w:val="0CD619C5"/>
    <w:rsid w:val="0CD66A67"/>
    <w:rsid w:val="0CD81BE1"/>
    <w:rsid w:val="0CE618DF"/>
    <w:rsid w:val="0CEC568C"/>
    <w:rsid w:val="0CEE6D0E"/>
    <w:rsid w:val="0CFE2CC9"/>
    <w:rsid w:val="0CFE707A"/>
    <w:rsid w:val="0D063BDA"/>
    <w:rsid w:val="0D08375F"/>
    <w:rsid w:val="0D114A4A"/>
    <w:rsid w:val="0D184CFB"/>
    <w:rsid w:val="0D4A7419"/>
    <w:rsid w:val="0D520DFB"/>
    <w:rsid w:val="0D827401"/>
    <w:rsid w:val="0D84094E"/>
    <w:rsid w:val="0D8A00E9"/>
    <w:rsid w:val="0D8B02D0"/>
    <w:rsid w:val="0D8D589E"/>
    <w:rsid w:val="0DA01C73"/>
    <w:rsid w:val="0DA821D1"/>
    <w:rsid w:val="0DAD4E1B"/>
    <w:rsid w:val="0DC70563"/>
    <w:rsid w:val="0DD63300"/>
    <w:rsid w:val="0DF50604"/>
    <w:rsid w:val="0DF702FE"/>
    <w:rsid w:val="0E060E51"/>
    <w:rsid w:val="0E2520B0"/>
    <w:rsid w:val="0E4F5ED2"/>
    <w:rsid w:val="0E5604B2"/>
    <w:rsid w:val="0E5F6733"/>
    <w:rsid w:val="0E666D78"/>
    <w:rsid w:val="0E6A54A7"/>
    <w:rsid w:val="0E6D5D79"/>
    <w:rsid w:val="0E721BC1"/>
    <w:rsid w:val="0E807B27"/>
    <w:rsid w:val="0E9D0089"/>
    <w:rsid w:val="0EB803EE"/>
    <w:rsid w:val="0EDB1514"/>
    <w:rsid w:val="0EDB310F"/>
    <w:rsid w:val="0EF1655F"/>
    <w:rsid w:val="0EF94D4B"/>
    <w:rsid w:val="0F0A004B"/>
    <w:rsid w:val="0F0A3BA7"/>
    <w:rsid w:val="0F135152"/>
    <w:rsid w:val="0F1A028E"/>
    <w:rsid w:val="0F1D38DB"/>
    <w:rsid w:val="0F39623B"/>
    <w:rsid w:val="0F4958DC"/>
    <w:rsid w:val="0F515DF7"/>
    <w:rsid w:val="0F596BA8"/>
    <w:rsid w:val="0F6248D2"/>
    <w:rsid w:val="0F693536"/>
    <w:rsid w:val="0F7B0511"/>
    <w:rsid w:val="0F7B76D9"/>
    <w:rsid w:val="0F7E0589"/>
    <w:rsid w:val="0F816ACD"/>
    <w:rsid w:val="0F82794C"/>
    <w:rsid w:val="0F9256C4"/>
    <w:rsid w:val="0F9832DB"/>
    <w:rsid w:val="0F9A13CF"/>
    <w:rsid w:val="0FBF3FD2"/>
    <w:rsid w:val="0FBF7FF3"/>
    <w:rsid w:val="0FCD4108"/>
    <w:rsid w:val="0FF17879"/>
    <w:rsid w:val="0FFE7C9A"/>
    <w:rsid w:val="100D7DF3"/>
    <w:rsid w:val="103F7521"/>
    <w:rsid w:val="104906FF"/>
    <w:rsid w:val="104E3DB9"/>
    <w:rsid w:val="10590E40"/>
    <w:rsid w:val="105D24B8"/>
    <w:rsid w:val="10646583"/>
    <w:rsid w:val="107D4B15"/>
    <w:rsid w:val="10806817"/>
    <w:rsid w:val="108A3C80"/>
    <w:rsid w:val="109E251C"/>
    <w:rsid w:val="10A01DEB"/>
    <w:rsid w:val="10AC760C"/>
    <w:rsid w:val="10B1077E"/>
    <w:rsid w:val="10B71B0D"/>
    <w:rsid w:val="10C06C14"/>
    <w:rsid w:val="10C21917"/>
    <w:rsid w:val="10C26171"/>
    <w:rsid w:val="10DB1C9F"/>
    <w:rsid w:val="10ED552F"/>
    <w:rsid w:val="10F33360"/>
    <w:rsid w:val="10FC16EA"/>
    <w:rsid w:val="110F1D40"/>
    <w:rsid w:val="11135F14"/>
    <w:rsid w:val="11203B56"/>
    <w:rsid w:val="1122167C"/>
    <w:rsid w:val="11266F33"/>
    <w:rsid w:val="112F3D99"/>
    <w:rsid w:val="113D64B6"/>
    <w:rsid w:val="11513D10"/>
    <w:rsid w:val="11567CCE"/>
    <w:rsid w:val="11596568"/>
    <w:rsid w:val="116166BB"/>
    <w:rsid w:val="118963A1"/>
    <w:rsid w:val="119E59A4"/>
    <w:rsid w:val="11A13517"/>
    <w:rsid w:val="11A405D2"/>
    <w:rsid w:val="11A6405B"/>
    <w:rsid w:val="11AD0113"/>
    <w:rsid w:val="11BA7B07"/>
    <w:rsid w:val="11C14E50"/>
    <w:rsid w:val="11C6522A"/>
    <w:rsid w:val="11CE6631"/>
    <w:rsid w:val="11D861DF"/>
    <w:rsid w:val="11E104CC"/>
    <w:rsid w:val="11E20309"/>
    <w:rsid w:val="11E478CB"/>
    <w:rsid w:val="11E93F48"/>
    <w:rsid w:val="11F76BA0"/>
    <w:rsid w:val="12042DDC"/>
    <w:rsid w:val="120C7C36"/>
    <w:rsid w:val="120D52C6"/>
    <w:rsid w:val="12174F59"/>
    <w:rsid w:val="121C431D"/>
    <w:rsid w:val="12255233"/>
    <w:rsid w:val="12274A70"/>
    <w:rsid w:val="122B6FC7"/>
    <w:rsid w:val="122C4BF7"/>
    <w:rsid w:val="123258EF"/>
    <w:rsid w:val="1235718D"/>
    <w:rsid w:val="12386F16"/>
    <w:rsid w:val="123F61BB"/>
    <w:rsid w:val="12530213"/>
    <w:rsid w:val="125E4FBB"/>
    <w:rsid w:val="127723A9"/>
    <w:rsid w:val="127759F8"/>
    <w:rsid w:val="12862074"/>
    <w:rsid w:val="12883966"/>
    <w:rsid w:val="128B222B"/>
    <w:rsid w:val="129C6793"/>
    <w:rsid w:val="129E45B4"/>
    <w:rsid w:val="12A9442C"/>
    <w:rsid w:val="12B04A66"/>
    <w:rsid w:val="12C10A21"/>
    <w:rsid w:val="12C577B1"/>
    <w:rsid w:val="12D81596"/>
    <w:rsid w:val="13072A44"/>
    <w:rsid w:val="131E4D72"/>
    <w:rsid w:val="13257202"/>
    <w:rsid w:val="135F4BE2"/>
    <w:rsid w:val="13631AD8"/>
    <w:rsid w:val="1395195D"/>
    <w:rsid w:val="139B1A0A"/>
    <w:rsid w:val="139B3968"/>
    <w:rsid w:val="139D25C7"/>
    <w:rsid w:val="13AC5570"/>
    <w:rsid w:val="13B32A60"/>
    <w:rsid w:val="13BF3CE4"/>
    <w:rsid w:val="13CC1D73"/>
    <w:rsid w:val="13DD307C"/>
    <w:rsid w:val="13E72029"/>
    <w:rsid w:val="13EE427B"/>
    <w:rsid w:val="14010222"/>
    <w:rsid w:val="141008D8"/>
    <w:rsid w:val="14125FE6"/>
    <w:rsid w:val="14425B91"/>
    <w:rsid w:val="14596DEA"/>
    <w:rsid w:val="14633BA9"/>
    <w:rsid w:val="14665D24"/>
    <w:rsid w:val="146D271E"/>
    <w:rsid w:val="147246C9"/>
    <w:rsid w:val="14982588"/>
    <w:rsid w:val="149A5AD9"/>
    <w:rsid w:val="149B7A97"/>
    <w:rsid w:val="14A7619D"/>
    <w:rsid w:val="14B7657F"/>
    <w:rsid w:val="14BE346A"/>
    <w:rsid w:val="14C65B91"/>
    <w:rsid w:val="14C842E9"/>
    <w:rsid w:val="14DB6D92"/>
    <w:rsid w:val="150536C3"/>
    <w:rsid w:val="150C1963"/>
    <w:rsid w:val="15121A08"/>
    <w:rsid w:val="151447A0"/>
    <w:rsid w:val="154040B1"/>
    <w:rsid w:val="154800FF"/>
    <w:rsid w:val="154A6454"/>
    <w:rsid w:val="155C1A60"/>
    <w:rsid w:val="15762120"/>
    <w:rsid w:val="159E0850"/>
    <w:rsid w:val="15AD2ED4"/>
    <w:rsid w:val="15B040AA"/>
    <w:rsid w:val="15C47161"/>
    <w:rsid w:val="15CF3196"/>
    <w:rsid w:val="15D46CBD"/>
    <w:rsid w:val="15EA028F"/>
    <w:rsid w:val="15EC7686"/>
    <w:rsid w:val="15EF40F2"/>
    <w:rsid w:val="15FA2BC8"/>
    <w:rsid w:val="160C6457"/>
    <w:rsid w:val="161A0B74"/>
    <w:rsid w:val="16204FC8"/>
    <w:rsid w:val="16410AD2"/>
    <w:rsid w:val="165322D8"/>
    <w:rsid w:val="16634A54"/>
    <w:rsid w:val="16692350"/>
    <w:rsid w:val="16781D3E"/>
    <w:rsid w:val="16994438"/>
    <w:rsid w:val="16A20B69"/>
    <w:rsid w:val="16A8729C"/>
    <w:rsid w:val="16B33777"/>
    <w:rsid w:val="16BC70A7"/>
    <w:rsid w:val="16C62AAA"/>
    <w:rsid w:val="16C6339E"/>
    <w:rsid w:val="16C76A44"/>
    <w:rsid w:val="16CC1091"/>
    <w:rsid w:val="16CC3B78"/>
    <w:rsid w:val="16DE66AA"/>
    <w:rsid w:val="172C5003"/>
    <w:rsid w:val="172F2D79"/>
    <w:rsid w:val="1735576E"/>
    <w:rsid w:val="1739327C"/>
    <w:rsid w:val="174165D4"/>
    <w:rsid w:val="174560C4"/>
    <w:rsid w:val="174F484D"/>
    <w:rsid w:val="17557BEF"/>
    <w:rsid w:val="175E0F34"/>
    <w:rsid w:val="17620A24"/>
    <w:rsid w:val="17743C14"/>
    <w:rsid w:val="177C760C"/>
    <w:rsid w:val="178A1D29"/>
    <w:rsid w:val="178E0E47"/>
    <w:rsid w:val="179D7CAF"/>
    <w:rsid w:val="17A74689"/>
    <w:rsid w:val="17B7378B"/>
    <w:rsid w:val="17C84600"/>
    <w:rsid w:val="17CC7113"/>
    <w:rsid w:val="17D349C1"/>
    <w:rsid w:val="17E34AC2"/>
    <w:rsid w:val="180563B9"/>
    <w:rsid w:val="18095344"/>
    <w:rsid w:val="18244F26"/>
    <w:rsid w:val="182A10E9"/>
    <w:rsid w:val="1830729E"/>
    <w:rsid w:val="1847137D"/>
    <w:rsid w:val="184F561A"/>
    <w:rsid w:val="186461EE"/>
    <w:rsid w:val="18666607"/>
    <w:rsid w:val="1870062C"/>
    <w:rsid w:val="18817102"/>
    <w:rsid w:val="18830A15"/>
    <w:rsid w:val="18852B28"/>
    <w:rsid w:val="188964A2"/>
    <w:rsid w:val="188B5321"/>
    <w:rsid w:val="189C385F"/>
    <w:rsid w:val="18A21883"/>
    <w:rsid w:val="18A776DE"/>
    <w:rsid w:val="18BE5BD4"/>
    <w:rsid w:val="18D24B20"/>
    <w:rsid w:val="18D53478"/>
    <w:rsid w:val="18DA45EA"/>
    <w:rsid w:val="18E01443"/>
    <w:rsid w:val="18E72BB0"/>
    <w:rsid w:val="19061883"/>
    <w:rsid w:val="19175B5B"/>
    <w:rsid w:val="19371A3D"/>
    <w:rsid w:val="19393A07"/>
    <w:rsid w:val="19932372"/>
    <w:rsid w:val="19A20DD5"/>
    <w:rsid w:val="19AB08EA"/>
    <w:rsid w:val="19AE03F1"/>
    <w:rsid w:val="19B1359D"/>
    <w:rsid w:val="1A071A03"/>
    <w:rsid w:val="1A0C111B"/>
    <w:rsid w:val="1A146B50"/>
    <w:rsid w:val="1A1B310D"/>
    <w:rsid w:val="1A1F16AE"/>
    <w:rsid w:val="1A3B5C77"/>
    <w:rsid w:val="1A41348C"/>
    <w:rsid w:val="1A466BC3"/>
    <w:rsid w:val="1A497C7A"/>
    <w:rsid w:val="1A4C32C6"/>
    <w:rsid w:val="1A5E15C2"/>
    <w:rsid w:val="1A606D71"/>
    <w:rsid w:val="1A633C8B"/>
    <w:rsid w:val="1A6C021E"/>
    <w:rsid w:val="1A953AC4"/>
    <w:rsid w:val="1A984BAD"/>
    <w:rsid w:val="1AA83F9F"/>
    <w:rsid w:val="1AB30AE0"/>
    <w:rsid w:val="1AB8220E"/>
    <w:rsid w:val="1AD11A1D"/>
    <w:rsid w:val="1AE4166C"/>
    <w:rsid w:val="1AF06CFB"/>
    <w:rsid w:val="1AF11B8D"/>
    <w:rsid w:val="1B11359C"/>
    <w:rsid w:val="1B2A271F"/>
    <w:rsid w:val="1B3F2E2B"/>
    <w:rsid w:val="1B530544"/>
    <w:rsid w:val="1B5B5EB7"/>
    <w:rsid w:val="1B684BF1"/>
    <w:rsid w:val="1B7113FD"/>
    <w:rsid w:val="1B713184"/>
    <w:rsid w:val="1B75456D"/>
    <w:rsid w:val="1BA209CF"/>
    <w:rsid w:val="1BB4777D"/>
    <w:rsid w:val="1BC11A92"/>
    <w:rsid w:val="1BC9751D"/>
    <w:rsid w:val="1BD01CD5"/>
    <w:rsid w:val="1BD75AB8"/>
    <w:rsid w:val="1BD82BF0"/>
    <w:rsid w:val="1BF1246E"/>
    <w:rsid w:val="1C0459C2"/>
    <w:rsid w:val="1C0E70FD"/>
    <w:rsid w:val="1C1B3B4A"/>
    <w:rsid w:val="1C6A5624"/>
    <w:rsid w:val="1C6E10CC"/>
    <w:rsid w:val="1C705992"/>
    <w:rsid w:val="1C88086E"/>
    <w:rsid w:val="1CA433C2"/>
    <w:rsid w:val="1CC32B65"/>
    <w:rsid w:val="1CC41839"/>
    <w:rsid w:val="1CCB2BC8"/>
    <w:rsid w:val="1CF960F0"/>
    <w:rsid w:val="1D047E88"/>
    <w:rsid w:val="1D063C00"/>
    <w:rsid w:val="1D266CE1"/>
    <w:rsid w:val="1D3963AF"/>
    <w:rsid w:val="1D6A673C"/>
    <w:rsid w:val="1D84346A"/>
    <w:rsid w:val="1D8C7E3F"/>
    <w:rsid w:val="1D901466"/>
    <w:rsid w:val="1D9247AE"/>
    <w:rsid w:val="1D9751A0"/>
    <w:rsid w:val="1DB4365C"/>
    <w:rsid w:val="1DB567EC"/>
    <w:rsid w:val="1DB96EC4"/>
    <w:rsid w:val="1DBF3C5B"/>
    <w:rsid w:val="1DE61A0D"/>
    <w:rsid w:val="1DED6B6E"/>
    <w:rsid w:val="1DF4536B"/>
    <w:rsid w:val="1DF51A98"/>
    <w:rsid w:val="1E051CD9"/>
    <w:rsid w:val="1E0F2F88"/>
    <w:rsid w:val="1E152767"/>
    <w:rsid w:val="1E1A25DE"/>
    <w:rsid w:val="1E2444AC"/>
    <w:rsid w:val="1E3D060F"/>
    <w:rsid w:val="1E3F7D2E"/>
    <w:rsid w:val="1E4134E4"/>
    <w:rsid w:val="1E443A4A"/>
    <w:rsid w:val="1E5057EA"/>
    <w:rsid w:val="1E5062B3"/>
    <w:rsid w:val="1E523514"/>
    <w:rsid w:val="1E5B541A"/>
    <w:rsid w:val="1E714A66"/>
    <w:rsid w:val="1E802593"/>
    <w:rsid w:val="1E8B6156"/>
    <w:rsid w:val="1EA703CC"/>
    <w:rsid w:val="1EAA4163"/>
    <w:rsid w:val="1EB7330C"/>
    <w:rsid w:val="1EC2624D"/>
    <w:rsid w:val="1EC57AEB"/>
    <w:rsid w:val="1ED057E4"/>
    <w:rsid w:val="1EE73F05"/>
    <w:rsid w:val="1F073C5F"/>
    <w:rsid w:val="1F0A0FF3"/>
    <w:rsid w:val="1F297E2A"/>
    <w:rsid w:val="1F316F2E"/>
    <w:rsid w:val="1F501AAA"/>
    <w:rsid w:val="1F553656"/>
    <w:rsid w:val="1F5771FF"/>
    <w:rsid w:val="1F6A3017"/>
    <w:rsid w:val="1F6E6F3C"/>
    <w:rsid w:val="1F727BBC"/>
    <w:rsid w:val="1F784B5D"/>
    <w:rsid w:val="1F861028"/>
    <w:rsid w:val="1FA140B4"/>
    <w:rsid w:val="1FB91CB1"/>
    <w:rsid w:val="1FD52574"/>
    <w:rsid w:val="1FE83A91"/>
    <w:rsid w:val="1FE868A9"/>
    <w:rsid w:val="20034907"/>
    <w:rsid w:val="200C3C23"/>
    <w:rsid w:val="20173E4B"/>
    <w:rsid w:val="2027280B"/>
    <w:rsid w:val="204038CD"/>
    <w:rsid w:val="204279AB"/>
    <w:rsid w:val="204E48BC"/>
    <w:rsid w:val="20686980"/>
    <w:rsid w:val="206C021E"/>
    <w:rsid w:val="20881480"/>
    <w:rsid w:val="208921B3"/>
    <w:rsid w:val="20973DEB"/>
    <w:rsid w:val="20A16773"/>
    <w:rsid w:val="20A91472"/>
    <w:rsid w:val="20AA6F98"/>
    <w:rsid w:val="20B26522"/>
    <w:rsid w:val="20B44310"/>
    <w:rsid w:val="20E701EC"/>
    <w:rsid w:val="20EA55E7"/>
    <w:rsid w:val="20F36B91"/>
    <w:rsid w:val="20F3755F"/>
    <w:rsid w:val="20F63CA0"/>
    <w:rsid w:val="20FF1092"/>
    <w:rsid w:val="211116EB"/>
    <w:rsid w:val="212136FE"/>
    <w:rsid w:val="212E0A02"/>
    <w:rsid w:val="213A176F"/>
    <w:rsid w:val="213B1D8E"/>
    <w:rsid w:val="214B4D0B"/>
    <w:rsid w:val="21520AB6"/>
    <w:rsid w:val="21537630"/>
    <w:rsid w:val="216133FC"/>
    <w:rsid w:val="21645399"/>
    <w:rsid w:val="21812F0B"/>
    <w:rsid w:val="21817CF9"/>
    <w:rsid w:val="218D3C38"/>
    <w:rsid w:val="21933ED0"/>
    <w:rsid w:val="21947BAF"/>
    <w:rsid w:val="21A17A07"/>
    <w:rsid w:val="21C4408A"/>
    <w:rsid w:val="21D02A2F"/>
    <w:rsid w:val="21D227AA"/>
    <w:rsid w:val="21D56769"/>
    <w:rsid w:val="21D62288"/>
    <w:rsid w:val="21DF0EC4"/>
    <w:rsid w:val="21DF2C72"/>
    <w:rsid w:val="21E52EF3"/>
    <w:rsid w:val="21ED14A0"/>
    <w:rsid w:val="21ED15FB"/>
    <w:rsid w:val="21FB5D7B"/>
    <w:rsid w:val="22015E94"/>
    <w:rsid w:val="2205224A"/>
    <w:rsid w:val="220B1C3D"/>
    <w:rsid w:val="221D1D20"/>
    <w:rsid w:val="22334A87"/>
    <w:rsid w:val="22346E31"/>
    <w:rsid w:val="223E5BEA"/>
    <w:rsid w:val="22445508"/>
    <w:rsid w:val="225A597E"/>
    <w:rsid w:val="2285391D"/>
    <w:rsid w:val="22995516"/>
    <w:rsid w:val="229F0EF3"/>
    <w:rsid w:val="22A719E1"/>
    <w:rsid w:val="22AF1749"/>
    <w:rsid w:val="22BE6801"/>
    <w:rsid w:val="22C5793E"/>
    <w:rsid w:val="22D60519"/>
    <w:rsid w:val="22E11B9B"/>
    <w:rsid w:val="22F559BC"/>
    <w:rsid w:val="22F56C92"/>
    <w:rsid w:val="22FA349E"/>
    <w:rsid w:val="231067C1"/>
    <w:rsid w:val="23166B67"/>
    <w:rsid w:val="233500BF"/>
    <w:rsid w:val="23377FF7"/>
    <w:rsid w:val="23403BE4"/>
    <w:rsid w:val="2346744C"/>
    <w:rsid w:val="234A1D38"/>
    <w:rsid w:val="23694A7D"/>
    <w:rsid w:val="236B425F"/>
    <w:rsid w:val="236C5450"/>
    <w:rsid w:val="23836192"/>
    <w:rsid w:val="23901F29"/>
    <w:rsid w:val="239161EE"/>
    <w:rsid w:val="2392443F"/>
    <w:rsid w:val="23963804"/>
    <w:rsid w:val="239C0061"/>
    <w:rsid w:val="23A203FB"/>
    <w:rsid w:val="23B70C57"/>
    <w:rsid w:val="23B908A4"/>
    <w:rsid w:val="23C1798F"/>
    <w:rsid w:val="23CE6DEF"/>
    <w:rsid w:val="23D675DC"/>
    <w:rsid w:val="23D762F6"/>
    <w:rsid w:val="23E95BEF"/>
    <w:rsid w:val="23FD0064"/>
    <w:rsid w:val="241412F8"/>
    <w:rsid w:val="24322753"/>
    <w:rsid w:val="245375B0"/>
    <w:rsid w:val="24642C0A"/>
    <w:rsid w:val="24762F44"/>
    <w:rsid w:val="247E49C4"/>
    <w:rsid w:val="248D4C07"/>
    <w:rsid w:val="249B2604"/>
    <w:rsid w:val="24AD78DF"/>
    <w:rsid w:val="24B22173"/>
    <w:rsid w:val="24B77ED6"/>
    <w:rsid w:val="24B95AD9"/>
    <w:rsid w:val="24BE24DA"/>
    <w:rsid w:val="24CB2E0D"/>
    <w:rsid w:val="24CF5825"/>
    <w:rsid w:val="24D12D46"/>
    <w:rsid w:val="24D663E6"/>
    <w:rsid w:val="24D77F2B"/>
    <w:rsid w:val="24DB0BC9"/>
    <w:rsid w:val="24DD5A44"/>
    <w:rsid w:val="24DF4095"/>
    <w:rsid w:val="24ED38F7"/>
    <w:rsid w:val="24F53353"/>
    <w:rsid w:val="25020A34"/>
    <w:rsid w:val="250D7AF6"/>
    <w:rsid w:val="25253091"/>
    <w:rsid w:val="252F3F10"/>
    <w:rsid w:val="253260F8"/>
    <w:rsid w:val="25620124"/>
    <w:rsid w:val="256E67E6"/>
    <w:rsid w:val="257B6EF3"/>
    <w:rsid w:val="258424AE"/>
    <w:rsid w:val="25846F3B"/>
    <w:rsid w:val="258B00E2"/>
    <w:rsid w:val="258E5721"/>
    <w:rsid w:val="258E6E89"/>
    <w:rsid w:val="25951FC5"/>
    <w:rsid w:val="259873F6"/>
    <w:rsid w:val="25A32E60"/>
    <w:rsid w:val="25A8619C"/>
    <w:rsid w:val="25A917A6"/>
    <w:rsid w:val="25BE27CC"/>
    <w:rsid w:val="25DF1492"/>
    <w:rsid w:val="25F141FA"/>
    <w:rsid w:val="25F5633E"/>
    <w:rsid w:val="25F74A5C"/>
    <w:rsid w:val="2601765A"/>
    <w:rsid w:val="26034D00"/>
    <w:rsid w:val="2628662C"/>
    <w:rsid w:val="262D45DE"/>
    <w:rsid w:val="26373CD8"/>
    <w:rsid w:val="264D6D44"/>
    <w:rsid w:val="265B1322"/>
    <w:rsid w:val="26712A32"/>
    <w:rsid w:val="26871DC8"/>
    <w:rsid w:val="26914E82"/>
    <w:rsid w:val="26922A33"/>
    <w:rsid w:val="26976CEB"/>
    <w:rsid w:val="269B598F"/>
    <w:rsid w:val="26A10E3D"/>
    <w:rsid w:val="26A53EF9"/>
    <w:rsid w:val="26A94201"/>
    <w:rsid w:val="26AA310B"/>
    <w:rsid w:val="26AC274F"/>
    <w:rsid w:val="26AE2F94"/>
    <w:rsid w:val="26DD4165"/>
    <w:rsid w:val="27020C04"/>
    <w:rsid w:val="27044A29"/>
    <w:rsid w:val="271A5192"/>
    <w:rsid w:val="271D34C8"/>
    <w:rsid w:val="27231852"/>
    <w:rsid w:val="272B7390"/>
    <w:rsid w:val="27347EDA"/>
    <w:rsid w:val="274E2D73"/>
    <w:rsid w:val="276142BF"/>
    <w:rsid w:val="27783712"/>
    <w:rsid w:val="278E3170"/>
    <w:rsid w:val="278E4F1E"/>
    <w:rsid w:val="27907362"/>
    <w:rsid w:val="279865C5"/>
    <w:rsid w:val="279F537D"/>
    <w:rsid w:val="27BB1A8B"/>
    <w:rsid w:val="27CC41B7"/>
    <w:rsid w:val="27D07956"/>
    <w:rsid w:val="27D25752"/>
    <w:rsid w:val="27E15995"/>
    <w:rsid w:val="27E64D5A"/>
    <w:rsid w:val="27EE2905"/>
    <w:rsid w:val="27FB2AE2"/>
    <w:rsid w:val="27FF7BCA"/>
    <w:rsid w:val="28133675"/>
    <w:rsid w:val="28174CD6"/>
    <w:rsid w:val="28256734"/>
    <w:rsid w:val="282A2EFA"/>
    <w:rsid w:val="28321D4D"/>
    <w:rsid w:val="28333E1D"/>
    <w:rsid w:val="28343B00"/>
    <w:rsid w:val="283A787A"/>
    <w:rsid w:val="28454BD6"/>
    <w:rsid w:val="28455253"/>
    <w:rsid w:val="28506677"/>
    <w:rsid w:val="2852419D"/>
    <w:rsid w:val="28551971"/>
    <w:rsid w:val="285B1C53"/>
    <w:rsid w:val="285E31AD"/>
    <w:rsid w:val="286C4045"/>
    <w:rsid w:val="286C5AD0"/>
    <w:rsid w:val="28707A67"/>
    <w:rsid w:val="287B54B3"/>
    <w:rsid w:val="28821586"/>
    <w:rsid w:val="289D557E"/>
    <w:rsid w:val="289F7086"/>
    <w:rsid w:val="28C32028"/>
    <w:rsid w:val="28CC490F"/>
    <w:rsid w:val="28CF4F56"/>
    <w:rsid w:val="28DE40AA"/>
    <w:rsid w:val="28E3573D"/>
    <w:rsid w:val="28EF5E90"/>
    <w:rsid w:val="28F434A6"/>
    <w:rsid w:val="28F436DA"/>
    <w:rsid w:val="29104DD0"/>
    <w:rsid w:val="29257B04"/>
    <w:rsid w:val="292D4147"/>
    <w:rsid w:val="29345E77"/>
    <w:rsid w:val="2936586D"/>
    <w:rsid w:val="293E0BC6"/>
    <w:rsid w:val="294C65AD"/>
    <w:rsid w:val="29724C30"/>
    <w:rsid w:val="297665B1"/>
    <w:rsid w:val="29806583"/>
    <w:rsid w:val="298B3C4C"/>
    <w:rsid w:val="29A03F38"/>
    <w:rsid w:val="29AD323B"/>
    <w:rsid w:val="29B26C31"/>
    <w:rsid w:val="29BA649E"/>
    <w:rsid w:val="29CE3CF8"/>
    <w:rsid w:val="29CF2FB4"/>
    <w:rsid w:val="29D75008"/>
    <w:rsid w:val="29E17ECF"/>
    <w:rsid w:val="29F26D24"/>
    <w:rsid w:val="2A102562"/>
    <w:rsid w:val="2A15033F"/>
    <w:rsid w:val="2A1662C1"/>
    <w:rsid w:val="2A1831C5"/>
    <w:rsid w:val="2A1C6312"/>
    <w:rsid w:val="2A1C7367"/>
    <w:rsid w:val="2A1E6FD4"/>
    <w:rsid w:val="2A2815FA"/>
    <w:rsid w:val="2A2F78FA"/>
    <w:rsid w:val="2A337FFE"/>
    <w:rsid w:val="2A353D77"/>
    <w:rsid w:val="2A475858"/>
    <w:rsid w:val="2A5F1B2E"/>
    <w:rsid w:val="2A617D64"/>
    <w:rsid w:val="2A6D6092"/>
    <w:rsid w:val="2A702E0D"/>
    <w:rsid w:val="2A727FC6"/>
    <w:rsid w:val="2A7A79DB"/>
    <w:rsid w:val="2A7D76B4"/>
    <w:rsid w:val="2A8678D3"/>
    <w:rsid w:val="2A9D36CA"/>
    <w:rsid w:val="2AA533A9"/>
    <w:rsid w:val="2AA66A22"/>
    <w:rsid w:val="2AB54EB7"/>
    <w:rsid w:val="2AC455D6"/>
    <w:rsid w:val="2AF02ADA"/>
    <w:rsid w:val="2AF32348"/>
    <w:rsid w:val="2AFE23BA"/>
    <w:rsid w:val="2B05127B"/>
    <w:rsid w:val="2B1020EE"/>
    <w:rsid w:val="2B1606E6"/>
    <w:rsid w:val="2B225B98"/>
    <w:rsid w:val="2B247780"/>
    <w:rsid w:val="2B252F7F"/>
    <w:rsid w:val="2B437463"/>
    <w:rsid w:val="2B4F0E68"/>
    <w:rsid w:val="2B772238"/>
    <w:rsid w:val="2B7807EE"/>
    <w:rsid w:val="2B85488A"/>
    <w:rsid w:val="2B8C5C18"/>
    <w:rsid w:val="2BA2543C"/>
    <w:rsid w:val="2BA50BF7"/>
    <w:rsid w:val="2BB60EE7"/>
    <w:rsid w:val="2BBE1B4A"/>
    <w:rsid w:val="2BBF00EC"/>
    <w:rsid w:val="2BC37CFD"/>
    <w:rsid w:val="2BC75C64"/>
    <w:rsid w:val="2BD5237F"/>
    <w:rsid w:val="2BE12049"/>
    <w:rsid w:val="2BE536CE"/>
    <w:rsid w:val="2BE758D9"/>
    <w:rsid w:val="2BF346BB"/>
    <w:rsid w:val="2C070988"/>
    <w:rsid w:val="2C09049E"/>
    <w:rsid w:val="2C0A4D8F"/>
    <w:rsid w:val="2C0A653C"/>
    <w:rsid w:val="2C155C0E"/>
    <w:rsid w:val="2C191F85"/>
    <w:rsid w:val="2C2422F5"/>
    <w:rsid w:val="2C264E20"/>
    <w:rsid w:val="2C2C11A9"/>
    <w:rsid w:val="2C324A12"/>
    <w:rsid w:val="2C365B84"/>
    <w:rsid w:val="2C3B715E"/>
    <w:rsid w:val="2C4958B7"/>
    <w:rsid w:val="2C6265EC"/>
    <w:rsid w:val="2C636CEA"/>
    <w:rsid w:val="2C6E3570"/>
    <w:rsid w:val="2C7A06EF"/>
    <w:rsid w:val="2C7F752B"/>
    <w:rsid w:val="2C895B5D"/>
    <w:rsid w:val="2CAB47C4"/>
    <w:rsid w:val="2CBC5B97"/>
    <w:rsid w:val="2CD41A9F"/>
    <w:rsid w:val="2CE82D6F"/>
    <w:rsid w:val="2D1D1969"/>
    <w:rsid w:val="2D2E0549"/>
    <w:rsid w:val="2D343236"/>
    <w:rsid w:val="2D3E2F42"/>
    <w:rsid w:val="2D4267AC"/>
    <w:rsid w:val="2D4765B9"/>
    <w:rsid w:val="2D490D28"/>
    <w:rsid w:val="2D4976DC"/>
    <w:rsid w:val="2D5653F1"/>
    <w:rsid w:val="2D575011"/>
    <w:rsid w:val="2D727090"/>
    <w:rsid w:val="2DA329A6"/>
    <w:rsid w:val="2DA97277"/>
    <w:rsid w:val="2DC601B2"/>
    <w:rsid w:val="2DD15014"/>
    <w:rsid w:val="2DF72DE4"/>
    <w:rsid w:val="2E0220AF"/>
    <w:rsid w:val="2E0A72C8"/>
    <w:rsid w:val="2E3B4004"/>
    <w:rsid w:val="2E3D144C"/>
    <w:rsid w:val="2E4B082A"/>
    <w:rsid w:val="2E5038BF"/>
    <w:rsid w:val="2E5D389C"/>
    <w:rsid w:val="2E5D4E86"/>
    <w:rsid w:val="2E5D790B"/>
    <w:rsid w:val="2E6C1D31"/>
    <w:rsid w:val="2E6C7508"/>
    <w:rsid w:val="2E772D84"/>
    <w:rsid w:val="2E7A6053"/>
    <w:rsid w:val="2E8D23D3"/>
    <w:rsid w:val="2E9A3C18"/>
    <w:rsid w:val="2EB72D0D"/>
    <w:rsid w:val="2EBB0FEE"/>
    <w:rsid w:val="2EC63002"/>
    <w:rsid w:val="2EF92DD4"/>
    <w:rsid w:val="2F0A6B38"/>
    <w:rsid w:val="2F155F25"/>
    <w:rsid w:val="2F175DA7"/>
    <w:rsid w:val="2F1F4EBF"/>
    <w:rsid w:val="2F23646D"/>
    <w:rsid w:val="2F2B5748"/>
    <w:rsid w:val="2F2E0915"/>
    <w:rsid w:val="2F324816"/>
    <w:rsid w:val="2F407445"/>
    <w:rsid w:val="2F5D6E05"/>
    <w:rsid w:val="2F633134"/>
    <w:rsid w:val="2F8F217B"/>
    <w:rsid w:val="2F946CCB"/>
    <w:rsid w:val="2F98086E"/>
    <w:rsid w:val="2F994DA8"/>
    <w:rsid w:val="2FA06328"/>
    <w:rsid w:val="2FA71A90"/>
    <w:rsid w:val="2FA80B7A"/>
    <w:rsid w:val="2FB25651"/>
    <w:rsid w:val="2FB63264"/>
    <w:rsid w:val="2FBE67CE"/>
    <w:rsid w:val="2FBF10B5"/>
    <w:rsid w:val="2FD25781"/>
    <w:rsid w:val="2FDC745C"/>
    <w:rsid w:val="2FDF4393"/>
    <w:rsid w:val="2FE778C1"/>
    <w:rsid w:val="2FF3270A"/>
    <w:rsid w:val="2FFD7934"/>
    <w:rsid w:val="300D3D16"/>
    <w:rsid w:val="30116B32"/>
    <w:rsid w:val="30147209"/>
    <w:rsid w:val="30183F1E"/>
    <w:rsid w:val="3019245F"/>
    <w:rsid w:val="3029612C"/>
    <w:rsid w:val="30425F19"/>
    <w:rsid w:val="305111DE"/>
    <w:rsid w:val="3056624A"/>
    <w:rsid w:val="306C5BCE"/>
    <w:rsid w:val="30720D16"/>
    <w:rsid w:val="30733ACD"/>
    <w:rsid w:val="308C3862"/>
    <w:rsid w:val="309379D8"/>
    <w:rsid w:val="30A270F7"/>
    <w:rsid w:val="30A47560"/>
    <w:rsid w:val="30B916E8"/>
    <w:rsid w:val="30CC6AB7"/>
    <w:rsid w:val="30CD2F5B"/>
    <w:rsid w:val="30DF1478"/>
    <w:rsid w:val="30E3452C"/>
    <w:rsid w:val="30EC586F"/>
    <w:rsid w:val="30F1651D"/>
    <w:rsid w:val="30F46739"/>
    <w:rsid w:val="310B3A83"/>
    <w:rsid w:val="310E5321"/>
    <w:rsid w:val="310E5DFD"/>
    <w:rsid w:val="31126C1A"/>
    <w:rsid w:val="31242ED2"/>
    <w:rsid w:val="31462D0D"/>
    <w:rsid w:val="31486DB5"/>
    <w:rsid w:val="31886E82"/>
    <w:rsid w:val="319445F5"/>
    <w:rsid w:val="319951CC"/>
    <w:rsid w:val="319C6071"/>
    <w:rsid w:val="31AA329C"/>
    <w:rsid w:val="31AB59F0"/>
    <w:rsid w:val="31AC537E"/>
    <w:rsid w:val="31E3679B"/>
    <w:rsid w:val="31E542D4"/>
    <w:rsid w:val="31E732FD"/>
    <w:rsid w:val="31F3014F"/>
    <w:rsid w:val="31F86B9A"/>
    <w:rsid w:val="32021A78"/>
    <w:rsid w:val="322070BA"/>
    <w:rsid w:val="323D193A"/>
    <w:rsid w:val="32517576"/>
    <w:rsid w:val="3264169D"/>
    <w:rsid w:val="32713DBA"/>
    <w:rsid w:val="3291620A"/>
    <w:rsid w:val="32A0644D"/>
    <w:rsid w:val="32BE5C2C"/>
    <w:rsid w:val="32EB3B6C"/>
    <w:rsid w:val="32EB46F7"/>
    <w:rsid w:val="32FB6478"/>
    <w:rsid w:val="32FF4F22"/>
    <w:rsid w:val="3304078A"/>
    <w:rsid w:val="33081BCA"/>
    <w:rsid w:val="33121135"/>
    <w:rsid w:val="331F55C4"/>
    <w:rsid w:val="33263B3F"/>
    <w:rsid w:val="332B2EBD"/>
    <w:rsid w:val="33343396"/>
    <w:rsid w:val="33386686"/>
    <w:rsid w:val="333E1EEE"/>
    <w:rsid w:val="3344502A"/>
    <w:rsid w:val="334943EF"/>
    <w:rsid w:val="33541711"/>
    <w:rsid w:val="33633703"/>
    <w:rsid w:val="336963EB"/>
    <w:rsid w:val="33710FD5"/>
    <w:rsid w:val="337A6C9E"/>
    <w:rsid w:val="33816EEB"/>
    <w:rsid w:val="33896EE1"/>
    <w:rsid w:val="33BE302F"/>
    <w:rsid w:val="33EB55CD"/>
    <w:rsid w:val="33EC4C02"/>
    <w:rsid w:val="34052A0C"/>
    <w:rsid w:val="340D2360"/>
    <w:rsid w:val="3410665D"/>
    <w:rsid w:val="34211214"/>
    <w:rsid w:val="34214415"/>
    <w:rsid w:val="34254E5C"/>
    <w:rsid w:val="342E63AB"/>
    <w:rsid w:val="343B01DB"/>
    <w:rsid w:val="34551E0D"/>
    <w:rsid w:val="34823C36"/>
    <w:rsid w:val="34864CF7"/>
    <w:rsid w:val="34950E68"/>
    <w:rsid w:val="34963377"/>
    <w:rsid w:val="34970741"/>
    <w:rsid w:val="34986E94"/>
    <w:rsid w:val="349E4B2E"/>
    <w:rsid w:val="34AA4405"/>
    <w:rsid w:val="34AD2DF1"/>
    <w:rsid w:val="34AF62C9"/>
    <w:rsid w:val="34B800A1"/>
    <w:rsid w:val="34CA155F"/>
    <w:rsid w:val="34CB4388"/>
    <w:rsid w:val="34F50C6A"/>
    <w:rsid w:val="34F860CC"/>
    <w:rsid w:val="34FA6E12"/>
    <w:rsid w:val="35084A68"/>
    <w:rsid w:val="3538101C"/>
    <w:rsid w:val="35431A3E"/>
    <w:rsid w:val="354747BA"/>
    <w:rsid w:val="354D7158"/>
    <w:rsid w:val="35681034"/>
    <w:rsid w:val="357D1A5C"/>
    <w:rsid w:val="358D5588"/>
    <w:rsid w:val="35951B6D"/>
    <w:rsid w:val="35AF5C6F"/>
    <w:rsid w:val="35BB0E93"/>
    <w:rsid w:val="35CB558F"/>
    <w:rsid w:val="35CC1DE0"/>
    <w:rsid w:val="35DB15A7"/>
    <w:rsid w:val="35E0728C"/>
    <w:rsid w:val="35E11256"/>
    <w:rsid w:val="35ED2981"/>
    <w:rsid w:val="35F42D38"/>
    <w:rsid w:val="360B4A5E"/>
    <w:rsid w:val="360D3DFA"/>
    <w:rsid w:val="36160F00"/>
    <w:rsid w:val="362829E1"/>
    <w:rsid w:val="362E54FC"/>
    <w:rsid w:val="363A3B40"/>
    <w:rsid w:val="365302AE"/>
    <w:rsid w:val="36607A0A"/>
    <w:rsid w:val="366E227C"/>
    <w:rsid w:val="366F2E0D"/>
    <w:rsid w:val="367B6A5C"/>
    <w:rsid w:val="36806379"/>
    <w:rsid w:val="369A1140"/>
    <w:rsid w:val="36A74ADA"/>
    <w:rsid w:val="36AD60D5"/>
    <w:rsid w:val="36B224F9"/>
    <w:rsid w:val="36CC347C"/>
    <w:rsid w:val="36D36DF1"/>
    <w:rsid w:val="36E70D89"/>
    <w:rsid w:val="36EC0CC9"/>
    <w:rsid w:val="370D0E59"/>
    <w:rsid w:val="371130CD"/>
    <w:rsid w:val="3720190B"/>
    <w:rsid w:val="373B25BD"/>
    <w:rsid w:val="373F410B"/>
    <w:rsid w:val="37735EDE"/>
    <w:rsid w:val="377752F0"/>
    <w:rsid w:val="37915A31"/>
    <w:rsid w:val="37962418"/>
    <w:rsid w:val="37AD13F0"/>
    <w:rsid w:val="37B248D1"/>
    <w:rsid w:val="37D83F93"/>
    <w:rsid w:val="37EE7094"/>
    <w:rsid w:val="37EF450A"/>
    <w:rsid w:val="3827418B"/>
    <w:rsid w:val="38296C89"/>
    <w:rsid w:val="382D22B3"/>
    <w:rsid w:val="382D2531"/>
    <w:rsid w:val="383002EB"/>
    <w:rsid w:val="383218F5"/>
    <w:rsid w:val="38404012"/>
    <w:rsid w:val="3845787B"/>
    <w:rsid w:val="38563836"/>
    <w:rsid w:val="38586797"/>
    <w:rsid w:val="385B462A"/>
    <w:rsid w:val="385D15DF"/>
    <w:rsid w:val="3862667F"/>
    <w:rsid w:val="38732E9C"/>
    <w:rsid w:val="38740160"/>
    <w:rsid w:val="388E7705"/>
    <w:rsid w:val="38B60778"/>
    <w:rsid w:val="38BB67D8"/>
    <w:rsid w:val="38BC0149"/>
    <w:rsid w:val="38C95FDA"/>
    <w:rsid w:val="38D62BC9"/>
    <w:rsid w:val="38D87D1C"/>
    <w:rsid w:val="38E1010B"/>
    <w:rsid w:val="38FB618B"/>
    <w:rsid w:val="390123BC"/>
    <w:rsid w:val="390F1C37"/>
    <w:rsid w:val="391B4A7F"/>
    <w:rsid w:val="39276AC3"/>
    <w:rsid w:val="39311BAD"/>
    <w:rsid w:val="395B30CE"/>
    <w:rsid w:val="39636459"/>
    <w:rsid w:val="396B7F6C"/>
    <w:rsid w:val="3986014B"/>
    <w:rsid w:val="39B417A9"/>
    <w:rsid w:val="39B80A14"/>
    <w:rsid w:val="39CE1AF2"/>
    <w:rsid w:val="39DD1263"/>
    <w:rsid w:val="39FC5695"/>
    <w:rsid w:val="3A006D8E"/>
    <w:rsid w:val="3A1A0893"/>
    <w:rsid w:val="3A261B5D"/>
    <w:rsid w:val="3A3651E5"/>
    <w:rsid w:val="3A383AE9"/>
    <w:rsid w:val="3A435B6A"/>
    <w:rsid w:val="3A475429"/>
    <w:rsid w:val="3A692AF3"/>
    <w:rsid w:val="3A6B10EF"/>
    <w:rsid w:val="3A744481"/>
    <w:rsid w:val="3A8C7BEF"/>
    <w:rsid w:val="3A906246"/>
    <w:rsid w:val="3A96260F"/>
    <w:rsid w:val="3A971BB4"/>
    <w:rsid w:val="3A9B7C26"/>
    <w:rsid w:val="3AA80595"/>
    <w:rsid w:val="3AB72576"/>
    <w:rsid w:val="3AB84000"/>
    <w:rsid w:val="3AC52EF5"/>
    <w:rsid w:val="3ADB6274"/>
    <w:rsid w:val="3AE274F9"/>
    <w:rsid w:val="3AE3337B"/>
    <w:rsid w:val="3AEC09A7"/>
    <w:rsid w:val="3B14592F"/>
    <w:rsid w:val="3B2349B7"/>
    <w:rsid w:val="3B255741"/>
    <w:rsid w:val="3B382329"/>
    <w:rsid w:val="3B491430"/>
    <w:rsid w:val="3B6049F6"/>
    <w:rsid w:val="3B616CFF"/>
    <w:rsid w:val="3B620744"/>
    <w:rsid w:val="3B6259F6"/>
    <w:rsid w:val="3B6A75F8"/>
    <w:rsid w:val="3B6D51AE"/>
    <w:rsid w:val="3B8B7C9A"/>
    <w:rsid w:val="3B976654"/>
    <w:rsid w:val="3B9A42AF"/>
    <w:rsid w:val="3BC01EFC"/>
    <w:rsid w:val="3BCA3477"/>
    <w:rsid w:val="3BCA786A"/>
    <w:rsid w:val="3BD17677"/>
    <w:rsid w:val="3BD31E2F"/>
    <w:rsid w:val="3BDB547B"/>
    <w:rsid w:val="3BDD426E"/>
    <w:rsid w:val="3BE52240"/>
    <w:rsid w:val="3BF15831"/>
    <w:rsid w:val="3BF27D19"/>
    <w:rsid w:val="3BF36A21"/>
    <w:rsid w:val="3C105946"/>
    <w:rsid w:val="3C300842"/>
    <w:rsid w:val="3C471448"/>
    <w:rsid w:val="3C5F759A"/>
    <w:rsid w:val="3C641CA7"/>
    <w:rsid w:val="3C6C525A"/>
    <w:rsid w:val="3C7249B6"/>
    <w:rsid w:val="3C7B3B74"/>
    <w:rsid w:val="3C981BBE"/>
    <w:rsid w:val="3C9E709B"/>
    <w:rsid w:val="3CA54940"/>
    <w:rsid w:val="3CB2018A"/>
    <w:rsid w:val="3CB43221"/>
    <w:rsid w:val="3CCE0424"/>
    <w:rsid w:val="3CCE23CB"/>
    <w:rsid w:val="3CD17D17"/>
    <w:rsid w:val="3CD236A7"/>
    <w:rsid w:val="3CD45671"/>
    <w:rsid w:val="3CDE029E"/>
    <w:rsid w:val="3D0C4E0B"/>
    <w:rsid w:val="3D0D46DF"/>
    <w:rsid w:val="3D0F2205"/>
    <w:rsid w:val="3D115F7D"/>
    <w:rsid w:val="3D2E2FD3"/>
    <w:rsid w:val="3D3C7F39"/>
    <w:rsid w:val="3D440F09"/>
    <w:rsid w:val="3D4504A0"/>
    <w:rsid w:val="3D714C6E"/>
    <w:rsid w:val="3D716A94"/>
    <w:rsid w:val="3D7E738B"/>
    <w:rsid w:val="3D8734BB"/>
    <w:rsid w:val="3D9A11D4"/>
    <w:rsid w:val="3DA16D89"/>
    <w:rsid w:val="3DA2751D"/>
    <w:rsid w:val="3DA364BE"/>
    <w:rsid w:val="3DE041CB"/>
    <w:rsid w:val="3E0D48F6"/>
    <w:rsid w:val="3E157CEF"/>
    <w:rsid w:val="3E1868B4"/>
    <w:rsid w:val="3E1C7514"/>
    <w:rsid w:val="3E2A582C"/>
    <w:rsid w:val="3E2E0DB1"/>
    <w:rsid w:val="3E377251"/>
    <w:rsid w:val="3E42664B"/>
    <w:rsid w:val="3E483C21"/>
    <w:rsid w:val="3E5117E8"/>
    <w:rsid w:val="3E5A7334"/>
    <w:rsid w:val="3E646581"/>
    <w:rsid w:val="3E68506A"/>
    <w:rsid w:val="3E6F5F9B"/>
    <w:rsid w:val="3E774506"/>
    <w:rsid w:val="3E7B5D6B"/>
    <w:rsid w:val="3E7B6237"/>
    <w:rsid w:val="3E843E66"/>
    <w:rsid w:val="3E886713"/>
    <w:rsid w:val="3E8F51FE"/>
    <w:rsid w:val="3E926F87"/>
    <w:rsid w:val="3E942EC5"/>
    <w:rsid w:val="3E952BDE"/>
    <w:rsid w:val="3E974BA8"/>
    <w:rsid w:val="3E9A3EC0"/>
    <w:rsid w:val="3E9A59DE"/>
    <w:rsid w:val="3EAF4836"/>
    <w:rsid w:val="3EC33DFA"/>
    <w:rsid w:val="3EC70685"/>
    <w:rsid w:val="3ECB6973"/>
    <w:rsid w:val="3EFB6EE5"/>
    <w:rsid w:val="3F055D48"/>
    <w:rsid w:val="3F055FB6"/>
    <w:rsid w:val="3F060E16"/>
    <w:rsid w:val="3F116709"/>
    <w:rsid w:val="3F1D1096"/>
    <w:rsid w:val="3F235115"/>
    <w:rsid w:val="3F2F0234"/>
    <w:rsid w:val="3F3D58DF"/>
    <w:rsid w:val="3F4A1C1A"/>
    <w:rsid w:val="3F4B7D4A"/>
    <w:rsid w:val="3F5D2E48"/>
    <w:rsid w:val="3F5E4800"/>
    <w:rsid w:val="3F6363FE"/>
    <w:rsid w:val="3F7171A7"/>
    <w:rsid w:val="3F756B8F"/>
    <w:rsid w:val="3F95482B"/>
    <w:rsid w:val="3FA1067C"/>
    <w:rsid w:val="3FB92F27"/>
    <w:rsid w:val="3FDF2363"/>
    <w:rsid w:val="3FE1257F"/>
    <w:rsid w:val="3FE21E53"/>
    <w:rsid w:val="3FED1EB2"/>
    <w:rsid w:val="3FF214A4"/>
    <w:rsid w:val="40134A38"/>
    <w:rsid w:val="4019356B"/>
    <w:rsid w:val="40271F5C"/>
    <w:rsid w:val="403A57EB"/>
    <w:rsid w:val="403C6AC9"/>
    <w:rsid w:val="40592157"/>
    <w:rsid w:val="406E1CAE"/>
    <w:rsid w:val="407C5E04"/>
    <w:rsid w:val="408F6708"/>
    <w:rsid w:val="409969B6"/>
    <w:rsid w:val="409A44DC"/>
    <w:rsid w:val="40A0133A"/>
    <w:rsid w:val="40C31A53"/>
    <w:rsid w:val="40CF322D"/>
    <w:rsid w:val="40F31238"/>
    <w:rsid w:val="40FF545D"/>
    <w:rsid w:val="410067C8"/>
    <w:rsid w:val="41061B71"/>
    <w:rsid w:val="410866D9"/>
    <w:rsid w:val="41151BC8"/>
    <w:rsid w:val="41241745"/>
    <w:rsid w:val="414032D5"/>
    <w:rsid w:val="41566DE6"/>
    <w:rsid w:val="415B1EBD"/>
    <w:rsid w:val="416666BA"/>
    <w:rsid w:val="41685BD9"/>
    <w:rsid w:val="41825932"/>
    <w:rsid w:val="418F0D2A"/>
    <w:rsid w:val="41AA69A0"/>
    <w:rsid w:val="41B8730F"/>
    <w:rsid w:val="41D01505"/>
    <w:rsid w:val="41E00614"/>
    <w:rsid w:val="41EE4ADF"/>
    <w:rsid w:val="41F1637D"/>
    <w:rsid w:val="41FD7D78"/>
    <w:rsid w:val="42320077"/>
    <w:rsid w:val="423B1D21"/>
    <w:rsid w:val="424501A2"/>
    <w:rsid w:val="42474939"/>
    <w:rsid w:val="424C3C57"/>
    <w:rsid w:val="42613FF3"/>
    <w:rsid w:val="42641245"/>
    <w:rsid w:val="42660D96"/>
    <w:rsid w:val="427137C6"/>
    <w:rsid w:val="4278550C"/>
    <w:rsid w:val="427D102F"/>
    <w:rsid w:val="428667D2"/>
    <w:rsid w:val="42935686"/>
    <w:rsid w:val="42A16CA7"/>
    <w:rsid w:val="42AB4583"/>
    <w:rsid w:val="42BF4B02"/>
    <w:rsid w:val="42C45840"/>
    <w:rsid w:val="42C82CA2"/>
    <w:rsid w:val="42CD1CE0"/>
    <w:rsid w:val="42D53EF1"/>
    <w:rsid w:val="42E1381E"/>
    <w:rsid w:val="42ED6459"/>
    <w:rsid w:val="42FE58DD"/>
    <w:rsid w:val="431247FD"/>
    <w:rsid w:val="43174B3D"/>
    <w:rsid w:val="431C567C"/>
    <w:rsid w:val="43225D7D"/>
    <w:rsid w:val="433504EC"/>
    <w:rsid w:val="434B790E"/>
    <w:rsid w:val="4360274F"/>
    <w:rsid w:val="43827BD5"/>
    <w:rsid w:val="43977AB6"/>
    <w:rsid w:val="43A3342B"/>
    <w:rsid w:val="43BA2077"/>
    <w:rsid w:val="43C77C27"/>
    <w:rsid w:val="43D441A9"/>
    <w:rsid w:val="43DB1BA5"/>
    <w:rsid w:val="43DE09EE"/>
    <w:rsid w:val="43DF4999"/>
    <w:rsid w:val="43EE0D41"/>
    <w:rsid w:val="44002FAD"/>
    <w:rsid w:val="44202F4A"/>
    <w:rsid w:val="44232423"/>
    <w:rsid w:val="442C3FB3"/>
    <w:rsid w:val="444035EC"/>
    <w:rsid w:val="447339C1"/>
    <w:rsid w:val="44772A0F"/>
    <w:rsid w:val="44784B34"/>
    <w:rsid w:val="449101DD"/>
    <w:rsid w:val="449556E6"/>
    <w:rsid w:val="44A80C9D"/>
    <w:rsid w:val="44AC3552"/>
    <w:rsid w:val="44C11D2A"/>
    <w:rsid w:val="44CD30D2"/>
    <w:rsid w:val="44CF48CB"/>
    <w:rsid w:val="44D3620E"/>
    <w:rsid w:val="44D51F86"/>
    <w:rsid w:val="44DE1391"/>
    <w:rsid w:val="450D7972"/>
    <w:rsid w:val="451701BC"/>
    <w:rsid w:val="451B225C"/>
    <w:rsid w:val="451F4904"/>
    <w:rsid w:val="452410C9"/>
    <w:rsid w:val="45317DFB"/>
    <w:rsid w:val="453C03A2"/>
    <w:rsid w:val="455C1FE8"/>
    <w:rsid w:val="456D3CE4"/>
    <w:rsid w:val="45761CF7"/>
    <w:rsid w:val="4579042C"/>
    <w:rsid w:val="457F0571"/>
    <w:rsid w:val="45851176"/>
    <w:rsid w:val="45997458"/>
    <w:rsid w:val="45AE607F"/>
    <w:rsid w:val="45BD3146"/>
    <w:rsid w:val="45C63B94"/>
    <w:rsid w:val="45D129F5"/>
    <w:rsid w:val="45D377F7"/>
    <w:rsid w:val="45D67D64"/>
    <w:rsid w:val="45E13C62"/>
    <w:rsid w:val="460E7DA5"/>
    <w:rsid w:val="462E135F"/>
    <w:rsid w:val="46422483"/>
    <w:rsid w:val="46511AE0"/>
    <w:rsid w:val="4659254A"/>
    <w:rsid w:val="465B0637"/>
    <w:rsid w:val="465E3F0D"/>
    <w:rsid w:val="466A16E6"/>
    <w:rsid w:val="46821C9A"/>
    <w:rsid w:val="46893F2B"/>
    <w:rsid w:val="46A400D6"/>
    <w:rsid w:val="46A6513E"/>
    <w:rsid w:val="46B151CF"/>
    <w:rsid w:val="46BC1650"/>
    <w:rsid w:val="46C4686E"/>
    <w:rsid w:val="46C67DD9"/>
    <w:rsid w:val="46DF70EC"/>
    <w:rsid w:val="46E666CD"/>
    <w:rsid w:val="46EE7D0C"/>
    <w:rsid w:val="46F9712C"/>
    <w:rsid w:val="471E5E67"/>
    <w:rsid w:val="472A26A1"/>
    <w:rsid w:val="4746716B"/>
    <w:rsid w:val="474B0A87"/>
    <w:rsid w:val="47714B20"/>
    <w:rsid w:val="477B778F"/>
    <w:rsid w:val="478203EC"/>
    <w:rsid w:val="47953C4F"/>
    <w:rsid w:val="47AD2664"/>
    <w:rsid w:val="47B025FA"/>
    <w:rsid w:val="47C21809"/>
    <w:rsid w:val="47CB141F"/>
    <w:rsid w:val="47E0311C"/>
    <w:rsid w:val="47E744AA"/>
    <w:rsid w:val="48082673"/>
    <w:rsid w:val="4809698F"/>
    <w:rsid w:val="480C2163"/>
    <w:rsid w:val="4811697D"/>
    <w:rsid w:val="481B05F8"/>
    <w:rsid w:val="48281095"/>
    <w:rsid w:val="48295182"/>
    <w:rsid w:val="483376F0"/>
    <w:rsid w:val="483B65A4"/>
    <w:rsid w:val="485A3F00"/>
    <w:rsid w:val="487A3E25"/>
    <w:rsid w:val="488B5503"/>
    <w:rsid w:val="48937E21"/>
    <w:rsid w:val="489A0361"/>
    <w:rsid w:val="489C7870"/>
    <w:rsid w:val="48A905A4"/>
    <w:rsid w:val="48AC00E5"/>
    <w:rsid w:val="48B14AB8"/>
    <w:rsid w:val="48B94FF3"/>
    <w:rsid w:val="48C23D7A"/>
    <w:rsid w:val="48E37AAB"/>
    <w:rsid w:val="48F84495"/>
    <w:rsid w:val="48FD4B4C"/>
    <w:rsid w:val="48FE3902"/>
    <w:rsid w:val="490A68E0"/>
    <w:rsid w:val="490D6193"/>
    <w:rsid w:val="491055FE"/>
    <w:rsid w:val="49396F88"/>
    <w:rsid w:val="493B39EC"/>
    <w:rsid w:val="494B0A69"/>
    <w:rsid w:val="495C67D2"/>
    <w:rsid w:val="495F5B3E"/>
    <w:rsid w:val="49642FD6"/>
    <w:rsid w:val="496F77D7"/>
    <w:rsid w:val="497654FD"/>
    <w:rsid w:val="49900B72"/>
    <w:rsid w:val="49B503C7"/>
    <w:rsid w:val="49B64211"/>
    <w:rsid w:val="49CB3B7E"/>
    <w:rsid w:val="49D22F38"/>
    <w:rsid w:val="49E2167E"/>
    <w:rsid w:val="49E750DB"/>
    <w:rsid w:val="49F556AA"/>
    <w:rsid w:val="49F6167F"/>
    <w:rsid w:val="4A064FA0"/>
    <w:rsid w:val="4A16615C"/>
    <w:rsid w:val="4A280DAA"/>
    <w:rsid w:val="4A2C089A"/>
    <w:rsid w:val="4A3239D7"/>
    <w:rsid w:val="4A4424D7"/>
    <w:rsid w:val="4A4B7699"/>
    <w:rsid w:val="4A5E2A1E"/>
    <w:rsid w:val="4A5E657A"/>
    <w:rsid w:val="4A7D37B2"/>
    <w:rsid w:val="4A902700"/>
    <w:rsid w:val="4A936D5A"/>
    <w:rsid w:val="4AAA1891"/>
    <w:rsid w:val="4AB82D0F"/>
    <w:rsid w:val="4AC22FAD"/>
    <w:rsid w:val="4AC72371"/>
    <w:rsid w:val="4AD8457E"/>
    <w:rsid w:val="4ADD78AD"/>
    <w:rsid w:val="4AEB42B2"/>
    <w:rsid w:val="4AEB7664"/>
    <w:rsid w:val="4AEE3DA2"/>
    <w:rsid w:val="4AF07B1A"/>
    <w:rsid w:val="4AF40C8C"/>
    <w:rsid w:val="4AFD7C19"/>
    <w:rsid w:val="4B0567D1"/>
    <w:rsid w:val="4B0610EB"/>
    <w:rsid w:val="4B124C8E"/>
    <w:rsid w:val="4B132359"/>
    <w:rsid w:val="4B1F21AD"/>
    <w:rsid w:val="4B1F3F5B"/>
    <w:rsid w:val="4B236AAE"/>
    <w:rsid w:val="4B2F76F0"/>
    <w:rsid w:val="4B337FB5"/>
    <w:rsid w:val="4B382E9F"/>
    <w:rsid w:val="4B6D2F19"/>
    <w:rsid w:val="4B707271"/>
    <w:rsid w:val="4B775B45"/>
    <w:rsid w:val="4B8B3770"/>
    <w:rsid w:val="4B9652B7"/>
    <w:rsid w:val="4B9739F7"/>
    <w:rsid w:val="4BA12BC2"/>
    <w:rsid w:val="4BBF129A"/>
    <w:rsid w:val="4BCE3A3B"/>
    <w:rsid w:val="4BE551A5"/>
    <w:rsid w:val="4BEC331C"/>
    <w:rsid w:val="4BEE2503"/>
    <w:rsid w:val="4BFC429C"/>
    <w:rsid w:val="4C0473C6"/>
    <w:rsid w:val="4C124550"/>
    <w:rsid w:val="4C245A30"/>
    <w:rsid w:val="4C286E40"/>
    <w:rsid w:val="4C63256E"/>
    <w:rsid w:val="4C681932"/>
    <w:rsid w:val="4C8E75EA"/>
    <w:rsid w:val="4C931C38"/>
    <w:rsid w:val="4CA3296A"/>
    <w:rsid w:val="4CB6685F"/>
    <w:rsid w:val="4CBB1B22"/>
    <w:rsid w:val="4CC367FE"/>
    <w:rsid w:val="4CCF19B1"/>
    <w:rsid w:val="4CF67277"/>
    <w:rsid w:val="4CF907DC"/>
    <w:rsid w:val="4D077F3C"/>
    <w:rsid w:val="4D123355"/>
    <w:rsid w:val="4D261F37"/>
    <w:rsid w:val="4D2A3B31"/>
    <w:rsid w:val="4D312C52"/>
    <w:rsid w:val="4D3846F1"/>
    <w:rsid w:val="4D445EFB"/>
    <w:rsid w:val="4D700A9E"/>
    <w:rsid w:val="4D8B0FAD"/>
    <w:rsid w:val="4D905305"/>
    <w:rsid w:val="4D964A72"/>
    <w:rsid w:val="4D9C1254"/>
    <w:rsid w:val="4DB04BB4"/>
    <w:rsid w:val="4DB210B7"/>
    <w:rsid w:val="4DB35B27"/>
    <w:rsid w:val="4DB64E4B"/>
    <w:rsid w:val="4DB7491F"/>
    <w:rsid w:val="4DB777D9"/>
    <w:rsid w:val="4DE17BEE"/>
    <w:rsid w:val="4DED6593"/>
    <w:rsid w:val="4DF92AF6"/>
    <w:rsid w:val="4E291AE9"/>
    <w:rsid w:val="4E347D1E"/>
    <w:rsid w:val="4E3F4E94"/>
    <w:rsid w:val="4E5D10DB"/>
    <w:rsid w:val="4E6F3A9B"/>
    <w:rsid w:val="4E760336"/>
    <w:rsid w:val="4E793892"/>
    <w:rsid w:val="4E7C3473"/>
    <w:rsid w:val="4E7E24EA"/>
    <w:rsid w:val="4E800872"/>
    <w:rsid w:val="4EA371D4"/>
    <w:rsid w:val="4EB652CE"/>
    <w:rsid w:val="4EC569ED"/>
    <w:rsid w:val="4ED50EA1"/>
    <w:rsid w:val="4EE7055B"/>
    <w:rsid w:val="4EEC050C"/>
    <w:rsid w:val="4EF6564B"/>
    <w:rsid w:val="4EF722C1"/>
    <w:rsid w:val="4F0B6608"/>
    <w:rsid w:val="4F104EC3"/>
    <w:rsid w:val="4F182A40"/>
    <w:rsid w:val="4F195165"/>
    <w:rsid w:val="4F22401A"/>
    <w:rsid w:val="4F47354A"/>
    <w:rsid w:val="4F652159"/>
    <w:rsid w:val="4F7A3E56"/>
    <w:rsid w:val="4F911C54"/>
    <w:rsid w:val="4FA54E3F"/>
    <w:rsid w:val="4FBB7FCB"/>
    <w:rsid w:val="4FC06364"/>
    <w:rsid w:val="4FDB1B8F"/>
    <w:rsid w:val="4FE625E0"/>
    <w:rsid w:val="4FED4628"/>
    <w:rsid w:val="4FF359B6"/>
    <w:rsid w:val="50052C12"/>
    <w:rsid w:val="5014082C"/>
    <w:rsid w:val="5021480F"/>
    <w:rsid w:val="50296267"/>
    <w:rsid w:val="503426B5"/>
    <w:rsid w:val="50362B19"/>
    <w:rsid w:val="50434A93"/>
    <w:rsid w:val="504E0018"/>
    <w:rsid w:val="506D7517"/>
    <w:rsid w:val="507961FF"/>
    <w:rsid w:val="508779BD"/>
    <w:rsid w:val="50962ECB"/>
    <w:rsid w:val="50A078EC"/>
    <w:rsid w:val="50A42E38"/>
    <w:rsid w:val="50A4577F"/>
    <w:rsid w:val="50B05655"/>
    <w:rsid w:val="50B73D1F"/>
    <w:rsid w:val="50BD5BC9"/>
    <w:rsid w:val="50C11EEE"/>
    <w:rsid w:val="50C64E79"/>
    <w:rsid w:val="50DE6667"/>
    <w:rsid w:val="50E0418D"/>
    <w:rsid w:val="50E83041"/>
    <w:rsid w:val="50E97CFC"/>
    <w:rsid w:val="50EA6DB9"/>
    <w:rsid w:val="50F4606E"/>
    <w:rsid w:val="50FA4028"/>
    <w:rsid w:val="50FC089B"/>
    <w:rsid w:val="50FE2865"/>
    <w:rsid w:val="510D65B7"/>
    <w:rsid w:val="511157AB"/>
    <w:rsid w:val="5122775A"/>
    <w:rsid w:val="512C4D86"/>
    <w:rsid w:val="512E4EF8"/>
    <w:rsid w:val="512F5A8C"/>
    <w:rsid w:val="5136510B"/>
    <w:rsid w:val="5142540C"/>
    <w:rsid w:val="517843C5"/>
    <w:rsid w:val="51822A84"/>
    <w:rsid w:val="518832C8"/>
    <w:rsid w:val="519D3C50"/>
    <w:rsid w:val="51A0432A"/>
    <w:rsid w:val="51A86090"/>
    <w:rsid w:val="51B7396D"/>
    <w:rsid w:val="51D610EC"/>
    <w:rsid w:val="51F05EFF"/>
    <w:rsid w:val="521D6D1B"/>
    <w:rsid w:val="522E4CC3"/>
    <w:rsid w:val="5244713B"/>
    <w:rsid w:val="52566DC5"/>
    <w:rsid w:val="525941F7"/>
    <w:rsid w:val="52615633"/>
    <w:rsid w:val="526F4DE4"/>
    <w:rsid w:val="527D1D4E"/>
    <w:rsid w:val="52837396"/>
    <w:rsid w:val="52862B12"/>
    <w:rsid w:val="5294522F"/>
    <w:rsid w:val="52977FD4"/>
    <w:rsid w:val="52A25790"/>
    <w:rsid w:val="52A631B4"/>
    <w:rsid w:val="52A96B6F"/>
    <w:rsid w:val="52AB07CA"/>
    <w:rsid w:val="52B45975"/>
    <w:rsid w:val="52D47D21"/>
    <w:rsid w:val="52D94AA4"/>
    <w:rsid w:val="52D97F09"/>
    <w:rsid w:val="52E74226"/>
    <w:rsid w:val="52EA3A62"/>
    <w:rsid w:val="52F50BB8"/>
    <w:rsid w:val="53097272"/>
    <w:rsid w:val="530F63D1"/>
    <w:rsid w:val="531719BC"/>
    <w:rsid w:val="53250FA9"/>
    <w:rsid w:val="532540D9"/>
    <w:rsid w:val="532B3CB4"/>
    <w:rsid w:val="53312A7E"/>
    <w:rsid w:val="53346A12"/>
    <w:rsid w:val="53373E0C"/>
    <w:rsid w:val="53487DC7"/>
    <w:rsid w:val="5352215E"/>
    <w:rsid w:val="53544462"/>
    <w:rsid w:val="53584B0B"/>
    <w:rsid w:val="535B21AD"/>
    <w:rsid w:val="53620E89"/>
    <w:rsid w:val="536308AB"/>
    <w:rsid w:val="536522FF"/>
    <w:rsid w:val="537868FE"/>
    <w:rsid w:val="5394125E"/>
    <w:rsid w:val="5397158E"/>
    <w:rsid w:val="539D40D5"/>
    <w:rsid w:val="539F5C59"/>
    <w:rsid w:val="53B4545D"/>
    <w:rsid w:val="53D97EF7"/>
    <w:rsid w:val="53E06435"/>
    <w:rsid w:val="53E0670E"/>
    <w:rsid w:val="53ED0102"/>
    <w:rsid w:val="53F31BCB"/>
    <w:rsid w:val="53FA7313"/>
    <w:rsid w:val="54013861"/>
    <w:rsid w:val="5402266C"/>
    <w:rsid w:val="542E520F"/>
    <w:rsid w:val="544669FD"/>
    <w:rsid w:val="54487265"/>
    <w:rsid w:val="544D6070"/>
    <w:rsid w:val="544E58B1"/>
    <w:rsid w:val="54514172"/>
    <w:rsid w:val="54605E1E"/>
    <w:rsid w:val="548B7409"/>
    <w:rsid w:val="548E4B14"/>
    <w:rsid w:val="54B3506A"/>
    <w:rsid w:val="54B46D2D"/>
    <w:rsid w:val="54B716A8"/>
    <w:rsid w:val="54C55B73"/>
    <w:rsid w:val="54CA0D16"/>
    <w:rsid w:val="54CB6E0A"/>
    <w:rsid w:val="54DD4057"/>
    <w:rsid w:val="54E7490F"/>
    <w:rsid w:val="54EC75A4"/>
    <w:rsid w:val="54FA4409"/>
    <w:rsid w:val="550764A4"/>
    <w:rsid w:val="550B2BF6"/>
    <w:rsid w:val="55171D5C"/>
    <w:rsid w:val="55214EB5"/>
    <w:rsid w:val="55216B22"/>
    <w:rsid w:val="55364EFD"/>
    <w:rsid w:val="555D4828"/>
    <w:rsid w:val="556C5FEF"/>
    <w:rsid w:val="556D295D"/>
    <w:rsid w:val="556F3D31"/>
    <w:rsid w:val="55717AA9"/>
    <w:rsid w:val="557A4C8B"/>
    <w:rsid w:val="558931E1"/>
    <w:rsid w:val="55913D77"/>
    <w:rsid w:val="55923347"/>
    <w:rsid w:val="55925180"/>
    <w:rsid w:val="55983B1B"/>
    <w:rsid w:val="559B68D4"/>
    <w:rsid w:val="55A57753"/>
    <w:rsid w:val="55A8376B"/>
    <w:rsid w:val="55C20305"/>
    <w:rsid w:val="55D51F06"/>
    <w:rsid w:val="55DC0794"/>
    <w:rsid w:val="55DC29B6"/>
    <w:rsid w:val="55DD4241"/>
    <w:rsid w:val="55E4692E"/>
    <w:rsid w:val="55E65310"/>
    <w:rsid w:val="55EB785C"/>
    <w:rsid w:val="55EC4451"/>
    <w:rsid w:val="561B1367"/>
    <w:rsid w:val="5621599F"/>
    <w:rsid w:val="563D1A20"/>
    <w:rsid w:val="56446F6C"/>
    <w:rsid w:val="56553C8D"/>
    <w:rsid w:val="566273F2"/>
    <w:rsid w:val="566B6D1E"/>
    <w:rsid w:val="567621BE"/>
    <w:rsid w:val="56927CD7"/>
    <w:rsid w:val="56B04601"/>
    <w:rsid w:val="56CA670E"/>
    <w:rsid w:val="56D80385"/>
    <w:rsid w:val="56E30533"/>
    <w:rsid w:val="56E36785"/>
    <w:rsid w:val="56E869B7"/>
    <w:rsid w:val="5700408A"/>
    <w:rsid w:val="57032A2C"/>
    <w:rsid w:val="570F30D6"/>
    <w:rsid w:val="570F5219"/>
    <w:rsid w:val="57104A92"/>
    <w:rsid w:val="57295166"/>
    <w:rsid w:val="573766E6"/>
    <w:rsid w:val="573F66EF"/>
    <w:rsid w:val="575D12B5"/>
    <w:rsid w:val="57610A87"/>
    <w:rsid w:val="576407A8"/>
    <w:rsid w:val="57723665"/>
    <w:rsid w:val="577B1140"/>
    <w:rsid w:val="577B7F21"/>
    <w:rsid w:val="577F181B"/>
    <w:rsid w:val="57805D82"/>
    <w:rsid w:val="57921984"/>
    <w:rsid w:val="579737F0"/>
    <w:rsid w:val="57AB7B30"/>
    <w:rsid w:val="57AF5251"/>
    <w:rsid w:val="57B076F2"/>
    <w:rsid w:val="57B26373"/>
    <w:rsid w:val="57B44CCE"/>
    <w:rsid w:val="57B63F04"/>
    <w:rsid w:val="57CD20C2"/>
    <w:rsid w:val="57D165DD"/>
    <w:rsid w:val="57D675AB"/>
    <w:rsid w:val="57D73717"/>
    <w:rsid w:val="57D95FDD"/>
    <w:rsid w:val="582229A5"/>
    <w:rsid w:val="58632197"/>
    <w:rsid w:val="58810003"/>
    <w:rsid w:val="588F3629"/>
    <w:rsid w:val="58917D2F"/>
    <w:rsid w:val="5894085C"/>
    <w:rsid w:val="58AE4F0C"/>
    <w:rsid w:val="58B85899"/>
    <w:rsid w:val="58CD4FF7"/>
    <w:rsid w:val="58E363A9"/>
    <w:rsid w:val="58F307D5"/>
    <w:rsid w:val="59166304"/>
    <w:rsid w:val="593713D6"/>
    <w:rsid w:val="59457283"/>
    <w:rsid w:val="59480B21"/>
    <w:rsid w:val="595212EF"/>
    <w:rsid w:val="595E1678"/>
    <w:rsid w:val="596D5BD4"/>
    <w:rsid w:val="596E59A1"/>
    <w:rsid w:val="59752920"/>
    <w:rsid w:val="597E3DD8"/>
    <w:rsid w:val="597F7F8E"/>
    <w:rsid w:val="59A65848"/>
    <w:rsid w:val="59F14D15"/>
    <w:rsid w:val="59F80043"/>
    <w:rsid w:val="59FB37ED"/>
    <w:rsid w:val="5A09252F"/>
    <w:rsid w:val="5A0B2778"/>
    <w:rsid w:val="5A196BE1"/>
    <w:rsid w:val="5A1D1FAE"/>
    <w:rsid w:val="5A2A7C7B"/>
    <w:rsid w:val="5A366BCB"/>
    <w:rsid w:val="5A3E2560"/>
    <w:rsid w:val="5A4968FF"/>
    <w:rsid w:val="5A5D3B6E"/>
    <w:rsid w:val="5A637A76"/>
    <w:rsid w:val="5A6D33BA"/>
    <w:rsid w:val="5A7476F4"/>
    <w:rsid w:val="5A792B1F"/>
    <w:rsid w:val="5A8244FA"/>
    <w:rsid w:val="5A843DDB"/>
    <w:rsid w:val="5A874767"/>
    <w:rsid w:val="5A886720"/>
    <w:rsid w:val="5A9A1850"/>
    <w:rsid w:val="5AA85BE2"/>
    <w:rsid w:val="5AAD6F28"/>
    <w:rsid w:val="5ACB1A0A"/>
    <w:rsid w:val="5AD0663F"/>
    <w:rsid w:val="5AD63A24"/>
    <w:rsid w:val="5AE80652"/>
    <w:rsid w:val="5B0D3DD0"/>
    <w:rsid w:val="5B2E1A1D"/>
    <w:rsid w:val="5B3361D7"/>
    <w:rsid w:val="5B464CD3"/>
    <w:rsid w:val="5B5B0FE0"/>
    <w:rsid w:val="5B5F41FD"/>
    <w:rsid w:val="5B641FD2"/>
    <w:rsid w:val="5B6E2594"/>
    <w:rsid w:val="5B74028D"/>
    <w:rsid w:val="5B7D20D3"/>
    <w:rsid w:val="5B843A1C"/>
    <w:rsid w:val="5B873E3F"/>
    <w:rsid w:val="5B9938B6"/>
    <w:rsid w:val="5BA83AF9"/>
    <w:rsid w:val="5BAF30D9"/>
    <w:rsid w:val="5BB43399"/>
    <w:rsid w:val="5BD26DC8"/>
    <w:rsid w:val="5BD6018F"/>
    <w:rsid w:val="5BE2736F"/>
    <w:rsid w:val="5C02690E"/>
    <w:rsid w:val="5C196DA7"/>
    <w:rsid w:val="5C1D44E7"/>
    <w:rsid w:val="5C2A048C"/>
    <w:rsid w:val="5C2F421A"/>
    <w:rsid w:val="5C3A5B1E"/>
    <w:rsid w:val="5C4D1418"/>
    <w:rsid w:val="5C5C71D2"/>
    <w:rsid w:val="5C80234E"/>
    <w:rsid w:val="5C8A680C"/>
    <w:rsid w:val="5C9E4B87"/>
    <w:rsid w:val="5CB55333"/>
    <w:rsid w:val="5CB84210"/>
    <w:rsid w:val="5CBD35D4"/>
    <w:rsid w:val="5CCB7AA5"/>
    <w:rsid w:val="5CD7058A"/>
    <w:rsid w:val="5CE86703"/>
    <w:rsid w:val="5CE96715"/>
    <w:rsid w:val="5CED2246"/>
    <w:rsid w:val="5CFE68C9"/>
    <w:rsid w:val="5D0009CB"/>
    <w:rsid w:val="5D0C4701"/>
    <w:rsid w:val="5D0F0395"/>
    <w:rsid w:val="5D153410"/>
    <w:rsid w:val="5D221076"/>
    <w:rsid w:val="5D2C3456"/>
    <w:rsid w:val="5D397964"/>
    <w:rsid w:val="5D3B0055"/>
    <w:rsid w:val="5D4F6922"/>
    <w:rsid w:val="5D5A391C"/>
    <w:rsid w:val="5D5F10C0"/>
    <w:rsid w:val="5D6D6DA8"/>
    <w:rsid w:val="5D7C348F"/>
    <w:rsid w:val="5D891B7B"/>
    <w:rsid w:val="5DAD38EE"/>
    <w:rsid w:val="5DCB1D21"/>
    <w:rsid w:val="5DD40BD5"/>
    <w:rsid w:val="5E006862"/>
    <w:rsid w:val="5E0207B9"/>
    <w:rsid w:val="5E115985"/>
    <w:rsid w:val="5E1834A1"/>
    <w:rsid w:val="5E261785"/>
    <w:rsid w:val="5E2E2BE4"/>
    <w:rsid w:val="5E342B9E"/>
    <w:rsid w:val="5E371164"/>
    <w:rsid w:val="5E416667"/>
    <w:rsid w:val="5E4A0E97"/>
    <w:rsid w:val="5E4A7017"/>
    <w:rsid w:val="5E547F68"/>
    <w:rsid w:val="5E552BBA"/>
    <w:rsid w:val="5E611C10"/>
    <w:rsid w:val="5E7A0F3F"/>
    <w:rsid w:val="5E8C792C"/>
    <w:rsid w:val="5E99597B"/>
    <w:rsid w:val="5EB033F0"/>
    <w:rsid w:val="5EB33205"/>
    <w:rsid w:val="5EBA601D"/>
    <w:rsid w:val="5EBD3D5F"/>
    <w:rsid w:val="5EC021E4"/>
    <w:rsid w:val="5EE06817"/>
    <w:rsid w:val="5EFC7377"/>
    <w:rsid w:val="5F04373C"/>
    <w:rsid w:val="5F06174D"/>
    <w:rsid w:val="5F2D4A41"/>
    <w:rsid w:val="5F3A3602"/>
    <w:rsid w:val="5F45733B"/>
    <w:rsid w:val="5F6277C6"/>
    <w:rsid w:val="5F687BD0"/>
    <w:rsid w:val="5F6D0B1D"/>
    <w:rsid w:val="5F6F2B7D"/>
    <w:rsid w:val="5F721E1D"/>
    <w:rsid w:val="5F7C1524"/>
    <w:rsid w:val="5F824661"/>
    <w:rsid w:val="5F8D0B82"/>
    <w:rsid w:val="5FC32C98"/>
    <w:rsid w:val="5FCC5339"/>
    <w:rsid w:val="5FCE751A"/>
    <w:rsid w:val="5FDB26EF"/>
    <w:rsid w:val="5FE34A5B"/>
    <w:rsid w:val="5FFE1E36"/>
    <w:rsid w:val="600375C0"/>
    <w:rsid w:val="60232584"/>
    <w:rsid w:val="60275934"/>
    <w:rsid w:val="604B74BF"/>
    <w:rsid w:val="60563B24"/>
    <w:rsid w:val="607330CE"/>
    <w:rsid w:val="60787F3E"/>
    <w:rsid w:val="60825176"/>
    <w:rsid w:val="60841B82"/>
    <w:rsid w:val="609F2AC4"/>
    <w:rsid w:val="60B44CEE"/>
    <w:rsid w:val="60C56EFB"/>
    <w:rsid w:val="60C70EC5"/>
    <w:rsid w:val="60D17E61"/>
    <w:rsid w:val="60F22B5C"/>
    <w:rsid w:val="60FA2EE8"/>
    <w:rsid w:val="61021EFD"/>
    <w:rsid w:val="61054A27"/>
    <w:rsid w:val="610A52BC"/>
    <w:rsid w:val="61113EEE"/>
    <w:rsid w:val="611D2366"/>
    <w:rsid w:val="61204131"/>
    <w:rsid w:val="61241E74"/>
    <w:rsid w:val="61353EA7"/>
    <w:rsid w:val="613A1697"/>
    <w:rsid w:val="61421856"/>
    <w:rsid w:val="615227C4"/>
    <w:rsid w:val="615C26B1"/>
    <w:rsid w:val="61654E3F"/>
    <w:rsid w:val="616B1851"/>
    <w:rsid w:val="6182292A"/>
    <w:rsid w:val="61834DEC"/>
    <w:rsid w:val="61844A4B"/>
    <w:rsid w:val="61855433"/>
    <w:rsid w:val="6189617B"/>
    <w:rsid w:val="618F442A"/>
    <w:rsid w:val="619D39D4"/>
    <w:rsid w:val="619F51E6"/>
    <w:rsid w:val="619F7F92"/>
    <w:rsid w:val="61A30FEA"/>
    <w:rsid w:val="61A8270A"/>
    <w:rsid w:val="61AD3C17"/>
    <w:rsid w:val="61B431F8"/>
    <w:rsid w:val="61CE1DDF"/>
    <w:rsid w:val="61D9643B"/>
    <w:rsid w:val="61DE2022"/>
    <w:rsid w:val="61F94C26"/>
    <w:rsid w:val="62000E56"/>
    <w:rsid w:val="620123E4"/>
    <w:rsid w:val="62033ECA"/>
    <w:rsid w:val="62065A1D"/>
    <w:rsid w:val="620A0059"/>
    <w:rsid w:val="620B6B90"/>
    <w:rsid w:val="62166B64"/>
    <w:rsid w:val="623C143F"/>
    <w:rsid w:val="62404A8B"/>
    <w:rsid w:val="62463853"/>
    <w:rsid w:val="624F3E49"/>
    <w:rsid w:val="62562501"/>
    <w:rsid w:val="625B7B17"/>
    <w:rsid w:val="62632286"/>
    <w:rsid w:val="62683FE2"/>
    <w:rsid w:val="626D4A1D"/>
    <w:rsid w:val="62885958"/>
    <w:rsid w:val="628A03FC"/>
    <w:rsid w:val="62B31652"/>
    <w:rsid w:val="62B81F78"/>
    <w:rsid w:val="62BD60DC"/>
    <w:rsid w:val="62C1421A"/>
    <w:rsid w:val="62F40B65"/>
    <w:rsid w:val="62FC2CFE"/>
    <w:rsid w:val="63024505"/>
    <w:rsid w:val="63041F5D"/>
    <w:rsid w:val="63253C81"/>
    <w:rsid w:val="6349571A"/>
    <w:rsid w:val="635600A5"/>
    <w:rsid w:val="635B1DB5"/>
    <w:rsid w:val="635B58F5"/>
    <w:rsid w:val="635C7BC6"/>
    <w:rsid w:val="635D166D"/>
    <w:rsid w:val="636429FB"/>
    <w:rsid w:val="636C4EC6"/>
    <w:rsid w:val="636F4F4A"/>
    <w:rsid w:val="63711FED"/>
    <w:rsid w:val="637864A7"/>
    <w:rsid w:val="63880DDC"/>
    <w:rsid w:val="638D750D"/>
    <w:rsid w:val="63957059"/>
    <w:rsid w:val="639A466F"/>
    <w:rsid w:val="63AB23D8"/>
    <w:rsid w:val="63AC6CC0"/>
    <w:rsid w:val="63D41CDA"/>
    <w:rsid w:val="63F7386F"/>
    <w:rsid w:val="64055776"/>
    <w:rsid w:val="640815D9"/>
    <w:rsid w:val="64240056"/>
    <w:rsid w:val="643E143A"/>
    <w:rsid w:val="64410F8F"/>
    <w:rsid w:val="64491666"/>
    <w:rsid w:val="646B1B68"/>
    <w:rsid w:val="646B35EA"/>
    <w:rsid w:val="64760C38"/>
    <w:rsid w:val="648A6492"/>
    <w:rsid w:val="648B6EEF"/>
    <w:rsid w:val="649966D5"/>
    <w:rsid w:val="64A62BA0"/>
    <w:rsid w:val="64A82A4B"/>
    <w:rsid w:val="64B75D57"/>
    <w:rsid w:val="64C158BF"/>
    <w:rsid w:val="64CE2EAA"/>
    <w:rsid w:val="64D94D23"/>
    <w:rsid w:val="653C3090"/>
    <w:rsid w:val="65442AE4"/>
    <w:rsid w:val="65460804"/>
    <w:rsid w:val="6546685C"/>
    <w:rsid w:val="6556221B"/>
    <w:rsid w:val="65600494"/>
    <w:rsid w:val="657F1D6E"/>
    <w:rsid w:val="65854376"/>
    <w:rsid w:val="658767BE"/>
    <w:rsid w:val="65892531"/>
    <w:rsid w:val="659F41BF"/>
    <w:rsid w:val="65A672FB"/>
    <w:rsid w:val="65EE0CA2"/>
    <w:rsid w:val="65F75DA9"/>
    <w:rsid w:val="66083B12"/>
    <w:rsid w:val="6609788A"/>
    <w:rsid w:val="66195831"/>
    <w:rsid w:val="661C136B"/>
    <w:rsid w:val="66240220"/>
    <w:rsid w:val="662E75B1"/>
    <w:rsid w:val="66342C2E"/>
    <w:rsid w:val="663E784C"/>
    <w:rsid w:val="664779F8"/>
    <w:rsid w:val="664901B0"/>
    <w:rsid w:val="6669046B"/>
    <w:rsid w:val="66754F1F"/>
    <w:rsid w:val="667E3B2E"/>
    <w:rsid w:val="66835C83"/>
    <w:rsid w:val="668B6A45"/>
    <w:rsid w:val="668D6CDE"/>
    <w:rsid w:val="66A15D14"/>
    <w:rsid w:val="66A17AC3"/>
    <w:rsid w:val="66B9305E"/>
    <w:rsid w:val="66D165FA"/>
    <w:rsid w:val="66FC65BD"/>
    <w:rsid w:val="672F3F24"/>
    <w:rsid w:val="67395D8D"/>
    <w:rsid w:val="673E055F"/>
    <w:rsid w:val="67551CE3"/>
    <w:rsid w:val="676657F5"/>
    <w:rsid w:val="678E0047"/>
    <w:rsid w:val="678E6299"/>
    <w:rsid w:val="67A22552"/>
    <w:rsid w:val="67A83750"/>
    <w:rsid w:val="67AC671F"/>
    <w:rsid w:val="67B22DCC"/>
    <w:rsid w:val="67B51A77"/>
    <w:rsid w:val="67BD37D6"/>
    <w:rsid w:val="67BE71AA"/>
    <w:rsid w:val="67C12E69"/>
    <w:rsid w:val="67C95196"/>
    <w:rsid w:val="67D672D0"/>
    <w:rsid w:val="67D90273"/>
    <w:rsid w:val="67D94D56"/>
    <w:rsid w:val="67DE5875"/>
    <w:rsid w:val="67E265E5"/>
    <w:rsid w:val="67E55852"/>
    <w:rsid w:val="67E75936"/>
    <w:rsid w:val="67E854ED"/>
    <w:rsid w:val="67EB1AB4"/>
    <w:rsid w:val="67EE31DB"/>
    <w:rsid w:val="67EE5002"/>
    <w:rsid w:val="67FA1285"/>
    <w:rsid w:val="6810661C"/>
    <w:rsid w:val="68321BEC"/>
    <w:rsid w:val="6836628F"/>
    <w:rsid w:val="68406483"/>
    <w:rsid w:val="684A6664"/>
    <w:rsid w:val="684F6120"/>
    <w:rsid w:val="68551F4F"/>
    <w:rsid w:val="686B0388"/>
    <w:rsid w:val="687C10C9"/>
    <w:rsid w:val="68840C16"/>
    <w:rsid w:val="68876EFB"/>
    <w:rsid w:val="68884654"/>
    <w:rsid w:val="689F444F"/>
    <w:rsid w:val="68AA0AE4"/>
    <w:rsid w:val="68B00491"/>
    <w:rsid w:val="68B96DBB"/>
    <w:rsid w:val="68C15847"/>
    <w:rsid w:val="68CA2805"/>
    <w:rsid w:val="68E937A3"/>
    <w:rsid w:val="6900318D"/>
    <w:rsid w:val="6908207B"/>
    <w:rsid w:val="69126A56"/>
    <w:rsid w:val="691B590A"/>
    <w:rsid w:val="691D5B26"/>
    <w:rsid w:val="692F7608"/>
    <w:rsid w:val="693E15D3"/>
    <w:rsid w:val="694855A7"/>
    <w:rsid w:val="695E0B89"/>
    <w:rsid w:val="69627681"/>
    <w:rsid w:val="6977531D"/>
    <w:rsid w:val="697A2F79"/>
    <w:rsid w:val="697B45FB"/>
    <w:rsid w:val="69822E37"/>
    <w:rsid w:val="69A62FC6"/>
    <w:rsid w:val="69B1626F"/>
    <w:rsid w:val="69C91DA2"/>
    <w:rsid w:val="69CC2BFF"/>
    <w:rsid w:val="69D97BDC"/>
    <w:rsid w:val="69DF44A7"/>
    <w:rsid w:val="69FD55B8"/>
    <w:rsid w:val="6A026ACA"/>
    <w:rsid w:val="6A042842"/>
    <w:rsid w:val="6A097E59"/>
    <w:rsid w:val="6A0B1C62"/>
    <w:rsid w:val="6A11102A"/>
    <w:rsid w:val="6A1308E3"/>
    <w:rsid w:val="6A220F1A"/>
    <w:rsid w:val="6A2406C8"/>
    <w:rsid w:val="6A24151D"/>
    <w:rsid w:val="6A484E25"/>
    <w:rsid w:val="6A553A73"/>
    <w:rsid w:val="6A5C57C6"/>
    <w:rsid w:val="6A62704D"/>
    <w:rsid w:val="6A647785"/>
    <w:rsid w:val="6A9A6D03"/>
    <w:rsid w:val="6AB73D58"/>
    <w:rsid w:val="6AD20B92"/>
    <w:rsid w:val="6AD40467"/>
    <w:rsid w:val="6ADA17F5"/>
    <w:rsid w:val="6ADE0BD1"/>
    <w:rsid w:val="6AE96859"/>
    <w:rsid w:val="6B085E04"/>
    <w:rsid w:val="6B147746"/>
    <w:rsid w:val="6B24787C"/>
    <w:rsid w:val="6B2D0BBF"/>
    <w:rsid w:val="6B460C38"/>
    <w:rsid w:val="6B573233"/>
    <w:rsid w:val="6B5B6274"/>
    <w:rsid w:val="6B5C045C"/>
    <w:rsid w:val="6B804CFA"/>
    <w:rsid w:val="6B851761"/>
    <w:rsid w:val="6B935D53"/>
    <w:rsid w:val="6BA53BB1"/>
    <w:rsid w:val="6BCE135A"/>
    <w:rsid w:val="6BCE4EB6"/>
    <w:rsid w:val="6BF07522"/>
    <w:rsid w:val="6C196F71"/>
    <w:rsid w:val="6C226FCB"/>
    <w:rsid w:val="6C31226F"/>
    <w:rsid w:val="6C3F5DB4"/>
    <w:rsid w:val="6C507FC1"/>
    <w:rsid w:val="6C552F0B"/>
    <w:rsid w:val="6C5E37B1"/>
    <w:rsid w:val="6C6D019E"/>
    <w:rsid w:val="6C7237FE"/>
    <w:rsid w:val="6C7D2314"/>
    <w:rsid w:val="6C861D70"/>
    <w:rsid w:val="6C8C67B7"/>
    <w:rsid w:val="6C8E61E8"/>
    <w:rsid w:val="6C9D744C"/>
    <w:rsid w:val="6CA12646"/>
    <w:rsid w:val="6CBF537B"/>
    <w:rsid w:val="6CCC200F"/>
    <w:rsid w:val="6CD6583E"/>
    <w:rsid w:val="6D167928"/>
    <w:rsid w:val="6D1A237D"/>
    <w:rsid w:val="6D26299B"/>
    <w:rsid w:val="6D325918"/>
    <w:rsid w:val="6D34343E"/>
    <w:rsid w:val="6D3527BF"/>
    <w:rsid w:val="6D4772EC"/>
    <w:rsid w:val="6D706274"/>
    <w:rsid w:val="6D745F31"/>
    <w:rsid w:val="6D9078AF"/>
    <w:rsid w:val="6D920165"/>
    <w:rsid w:val="6D9A7BD1"/>
    <w:rsid w:val="6DA560EA"/>
    <w:rsid w:val="6DA57E98"/>
    <w:rsid w:val="6DAA3FEF"/>
    <w:rsid w:val="6DC0172B"/>
    <w:rsid w:val="6DC91220"/>
    <w:rsid w:val="6DCB690C"/>
    <w:rsid w:val="6DD10C8D"/>
    <w:rsid w:val="6DD41A5B"/>
    <w:rsid w:val="6DDA2238"/>
    <w:rsid w:val="6DE52173"/>
    <w:rsid w:val="6DF1554C"/>
    <w:rsid w:val="6DF43C2E"/>
    <w:rsid w:val="6DF45ADD"/>
    <w:rsid w:val="6DF51CA3"/>
    <w:rsid w:val="6E0628E0"/>
    <w:rsid w:val="6E0E1EE1"/>
    <w:rsid w:val="6E5024FA"/>
    <w:rsid w:val="6E600263"/>
    <w:rsid w:val="6E6E771C"/>
    <w:rsid w:val="6E732B24"/>
    <w:rsid w:val="6E8201DA"/>
    <w:rsid w:val="6E8335BD"/>
    <w:rsid w:val="6E8B0345"/>
    <w:rsid w:val="6E8E12EF"/>
    <w:rsid w:val="6E972936"/>
    <w:rsid w:val="6EB34837"/>
    <w:rsid w:val="6EB56801"/>
    <w:rsid w:val="6ECD2DED"/>
    <w:rsid w:val="6ED446C5"/>
    <w:rsid w:val="6EF2710D"/>
    <w:rsid w:val="6F0A69C5"/>
    <w:rsid w:val="6F2A7D94"/>
    <w:rsid w:val="6F2B3A69"/>
    <w:rsid w:val="6F436E95"/>
    <w:rsid w:val="6F7915DC"/>
    <w:rsid w:val="6F805914"/>
    <w:rsid w:val="6F8331F1"/>
    <w:rsid w:val="6F991C7F"/>
    <w:rsid w:val="6FAB550E"/>
    <w:rsid w:val="6FAE1A09"/>
    <w:rsid w:val="6FAF14A2"/>
    <w:rsid w:val="6FC85970"/>
    <w:rsid w:val="6FD75BF8"/>
    <w:rsid w:val="70030C0A"/>
    <w:rsid w:val="70082DD6"/>
    <w:rsid w:val="70384FF4"/>
    <w:rsid w:val="705204E9"/>
    <w:rsid w:val="705A0FAC"/>
    <w:rsid w:val="707723D0"/>
    <w:rsid w:val="70E205F7"/>
    <w:rsid w:val="70F5661B"/>
    <w:rsid w:val="70F83976"/>
    <w:rsid w:val="70FE140A"/>
    <w:rsid w:val="7107366D"/>
    <w:rsid w:val="71125845"/>
    <w:rsid w:val="71212C12"/>
    <w:rsid w:val="71360107"/>
    <w:rsid w:val="713B688E"/>
    <w:rsid w:val="713C4783"/>
    <w:rsid w:val="71471F27"/>
    <w:rsid w:val="7149023D"/>
    <w:rsid w:val="714A7573"/>
    <w:rsid w:val="716B017F"/>
    <w:rsid w:val="716D33C3"/>
    <w:rsid w:val="71762034"/>
    <w:rsid w:val="717B3721"/>
    <w:rsid w:val="717F7EE8"/>
    <w:rsid w:val="718A7AD1"/>
    <w:rsid w:val="71A843FB"/>
    <w:rsid w:val="71BA1462"/>
    <w:rsid w:val="71D43752"/>
    <w:rsid w:val="71DE1BCB"/>
    <w:rsid w:val="71E2790D"/>
    <w:rsid w:val="71EF09DD"/>
    <w:rsid w:val="71F1796A"/>
    <w:rsid w:val="71FF1231"/>
    <w:rsid w:val="7203109F"/>
    <w:rsid w:val="720A08DB"/>
    <w:rsid w:val="720E6BFD"/>
    <w:rsid w:val="72154626"/>
    <w:rsid w:val="721D6B97"/>
    <w:rsid w:val="72220F73"/>
    <w:rsid w:val="72262B5D"/>
    <w:rsid w:val="72283FF7"/>
    <w:rsid w:val="722E7212"/>
    <w:rsid w:val="723A0474"/>
    <w:rsid w:val="724A1B0C"/>
    <w:rsid w:val="725923E4"/>
    <w:rsid w:val="72864BF7"/>
    <w:rsid w:val="729023FC"/>
    <w:rsid w:val="72987FCC"/>
    <w:rsid w:val="72B62608"/>
    <w:rsid w:val="72B82C8B"/>
    <w:rsid w:val="72BE2BA9"/>
    <w:rsid w:val="72C709A2"/>
    <w:rsid w:val="72CB03A1"/>
    <w:rsid w:val="72EC0317"/>
    <w:rsid w:val="72F01BB6"/>
    <w:rsid w:val="72F44289"/>
    <w:rsid w:val="72F84E49"/>
    <w:rsid w:val="730516AB"/>
    <w:rsid w:val="73504D4A"/>
    <w:rsid w:val="73532145"/>
    <w:rsid w:val="735A0C79"/>
    <w:rsid w:val="736400EF"/>
    <w:rsid w:val="736600CA"/>
    <w:rsid w:val="738B0D99"/>
    <w:rsid w:val="739A07A7"/>
    <w:rsid w:val="73B21561"/>
    <w:rsid w:val="73C0646E"/>
    <w:rsid w:val="73C179F6"/>
    <w:rsid w:val="73D36B56"/>
    <w:rsid w:val="73FC458A"/>
    <w:rsid w:val="74004AEB"/>
    <w:rsid w:val="74105838"/>
    <w:rsid w:val="741152AF"/>
    <w:rsid w:val="742222F5"/>
    <w:rsid w:val="743E2DF5"/>
    <w:rsid w:val="74476126"/>
    <w:rsid w:val="74664E45"/>
    <w:rsid w:val="74706664"/>
    <w:rsid w:val="747F3682"/>
    <w:rsid w:val="74806F69"/>
    <w:rsid w:val="7482026A"/>
    <w:rsid w:val="74864F0A"/>
    <w:rsid w:val="74996CD2"/>
    <w:rsid w:val="749C4185"/>
    <w:rsid w:val="74DA48CB"/>
    <w:rsid w:val="74DB6631"/>
    <w:rsid w:val="74E474F8"/>
    <w:rsid w:val="74E90FB2"/>
    <w:rsid w:val="74F3598D"/>
    <w:rsid w:val="75067759"/>
    <w:rsid w:val="751353F0"/>
    <w:rsid w:val="751B5D7A"/>
    <w:rsid w:val="75271ADB"/>
    <w:rsid w:val="752E6DCD"/>
    <w:rsid w:val="754B7577"/>
    <w:rsid w:val="7551380D"/>
    <w:rsid w:val="75600BE5"/>
    <w:rsid w:val="75611881"/>
    <w:rsid w:val="7564475C"/>
    <w:rsid w:val="757F36C5"/>
    <w:rsid w:val="757F7487"/>
    <w:rsid w:val="7581743D"/>
    <w:rsid w:val="7583797F"/>
    <w:rsid w:val="75976C60"/>
    <w:rsid w:val="75A153E9"/>
    <w:rsid w:val="75B426F8"/>
    <w:rsid w:val="75D20F1D"/>
    <w:rsid w:val="75DA2C18"/>
    <w:rsid w:val="75E874BC"/>
    <w:rsid w:val="75F06E12"/>
    <w:rsid w:val="75F54412"/>
    <w:rsid w:val="75FE283B"/>
    <w:rsid w:val="760C18E2"/>
    <w:rsid w:val="760F67F7"/>
    <w:rsid w:val="761777BD"/>
    <w:rsid w:val="761D08E0"/>
    <w:rsid w:val="76276370"/>
    <w:rsid w:val="76277FE4"/>
    <w:rsid w:val="762B73A9"/>
    <w:rsid w:val="76304C49"/>
    <w:rsid w:val="76404C02"/>
    <w:rsid w:val="765719E0"/>
    <w:rsid w:val="765B46C5"/>
    <w:rsid w:val="765D347C"/>
    <w:rsid w:val="767848C6"/>
    <w:rsid w:val="767F788F"/>
    <w:rsid w:val="76826699"/>
    <w:rsid w:val="7696195D"/>
    <w:rsid w:val="76B178AE"/>
    <w:rsid w:val="76C05D43"/>
    <w:rsid w:val="76C87133"/>
    <w:rsid w:val="76CC51E3"/>
    <w:rsid w:val="76CD08D5"/>
    <w:rsid w:val="76DB4B92"/>
    <w:rsid w:val="76E6521D"/>
    <w:rsid w:val="76E77774"/>
    <w:rsid w:val="770413FC"/>
    <w:rsid w:val="77052AA4"/>
    <w:rsid w:val="77067136"/>
    <w:rsid w:val="770C6FDB"/>
    <w:rsid w:val="770E1F6A"/>
    <w:rsid w:val="770E2FDD"/>
    <w:rsid w:val="77136511"/>
    <w:rsid w:val="77144054"/>
    <w:rsid w:val="77181BB0"/>
    <w:rsid w:val="771A36A5"/>
    <w:rsid w:val="77233EDC"/>
    <w:rsid w:val="77340A39"/>
    <w:rsid w:val="77351FD0"/>
    <w:rsid w:val="77363904"/>
    <w:rsid w:val="773B361B"/>
    <w:rsid w:val="77472422"/>
    <w:rsid w:val="77534E09"/>
    <w:rsid w:val="77705279"/>
    <w:rsid w:val="777F31F2"/>
    <w:rsid w:val="779416A9"/>
    <w:rsid w:val="779F635B"/>
    <w:rsid w:val="77C803EE"/>
    <w:rsid w:val="77CD0C62"/>
    <w:rsid w:val="77D1700D"/>
    <w:rsid w:val="77D71596"/>
    <w:rsid w:val="77EC04CC"/>
    <w:rsid w:val="77F474AF"/>
    <w:rsid w:val="77F51A1C"/>
    <w:rsid w:val="77FC0FFD"/>
    <w:rsid w:val="780879A1"/>
    <w:rsid w:val="78106856"/>
    <w:rsid w:val="78131FCB"/>
    <w:rsid w:val="782B3690"/>
    <w:rsid w:val="7831514A"/>
    <w:rsid w:val="783B18D7"/>
    <w:rsid w:val="784F7ECA"/>
    <w:rsid w:val="785B5D23"/>
    <w:rsid w:val="7870037B"/>
    <w:rsid w:val="78762B5D"/>
    <w:rsid w:val="78775729"/>
    <w:rsid w:val="787F10F7"/>
    <w:rsid w:val="788567E4"/>
    <w:rsid w:val="78883DB8"/>
    <w:rsid w:val="789E20B4"/>
    <w:rsid w:val="78A31478"/>
    <w:rsid w:val="78A42DB0"/>
    <w:rsid w:val="78A656AB"/>
    <w:rsid w:val="78AE7AE9"/>
    <w:rsid w:val="78B2245C"/>
    <w:rsid w:val="78B96EAB"/>
    <w:rsid w:val="78BE7ED0"/>
    <w:rsid w:val="78C733B9"/>
    <w:rsid w:val="78E172CC"/>
    <w:rsid w:val="78EA1D1F"/>
    <w:rsid w:val="78EF290F"/>
    <w:rsid w:val="78F1414E"/>
    <w:rsid w:val="7904172F"/>
    <w:rsid w:val="7908577F"/>
    <w:rsid w:val="790F7E27"/>
    <w:rsid w:val="7912140C"/>
    <w:rsid w:val="792720A9"/>
    <w:rsid w:val="792A231A"/>
    <w:rsid w:val="79316829"/>
    <w:rsid w:val="794E5888"/>
    <w:rsid w:val="795804B5"/>
    <w:rsid w:val="795E1890"/>
    <w:rsid w:val="796110D2"/>
    <w:rsid w:val="797E66A9"/>
    <w:rsid w:val="798518A4"/>
    <w:rsid w:val="798B088A"/>
    <w:rsid w:val="79A758CD"/>
    <w:rsid w:val="79A97383"/>
    <w:rsid w:val="79BE2367"/>
    <w:rsid w:val="79C22DE6"/>
    <w:rsid w:val="79D00993"/>
    <w:rsid w:val="79E27E8B"/>
    <w:rsid w:val="79F60DA7"/>
    <w:rsid w:val="79F850CE"/>
    <w:rsid w:val="79FD443C"/>
    <w:rsid w:val="7A1379C8"/>
    <w:rsid w:val="7A17211E"/>
    <w:rsid w:val="7A1D1975"/>
    <w:rsid w:val="7A350891"/>
    <w:rsid w:val="7A3E5150"/>
    <w:rsid w:val="7A4670D6"/>
    <w:rsid w:val="7A506EC0"/>
    <w:rsid w:val="7A5073DE"/>
    <w:rsid w:val="7A534B63"/>
    <w:rsid w:val="7A5944E4"/>
    <w:rsid w:val="7A615382"/>
    <w:rsid w:val="7A67303B"/>
    <w:rsid w:val="7A692EAA"/>
    <w:rsid w:val="7A8F2DE1"/>
    <w:rsid w:val="7AA37E55"/>
    <w:rsid w:val="7AA634A2"/>
    <w:rsid w:val="7AAB1D04"/>
    <w:rsid w:val="7AAD2A82"/>
    <w:rsid w:val="7AAF3F86"/>
    <w:rsid w:val="7ABA4368"/>
    <w:rsid w:val="7ABD04CB"/>
    <w:rsid w:val="7ABD5153"/>
    <w:rsid w:val="7AD05746"/>
    <w:rsid w:val="7AD408A4"/>
    <w:rsid w:val="7ADA573C"/>
    <w:rsid w:val="7AEC5358"/>
    <w:rsid w:val="7AF91198"/>
    <w:rsid w:val="7B0A153E"/>
    <w:rsid w:val="7B257FFD"/>
    <w:rsid w:val="7B286688"/>
    <w:rsid w:val="7B343476"/>
    <w:rsid w:val="7B42141C"/>
    <w:rsid w:val="7B454A69"/>
    <w:rsid w:val="7B533629"/>
    <w:rsid w:val="7B5A2978"/>
    <w:rsid w:val="7B5A7E4C"/>
    <w:rsid w:val="7B667AF9"/>
    <w:rsid w:val="7B7468F8"/>
    <w:rsid w:val="7B9003DA"/>
    <w:rsid w:val="7B9B0B2D"/>
    <w:rsid w:val="7BAD1AA1"/>
    <w:rsid w:val="7BB06386"/>
    <w:rsid w:val="7BBC2F7D"/>
    <w:rsid w:val="7BD32074"/>
    <w:rsid w:val="7BE2517A"/>
    <w:rsid w:val="7BE86D5E"/>
    <w:rsid w:val="7BEE0103"/>
    <w:rsid w:val="7BF5023D"/>
    <w:rsid w:val="7C0717E1"/>
    <w:rsid w:val="7C0925CC"/>
    <w:rsid w:val="7C0A0FE4"/>
    <w:rsid w:val="7C0E12FE"/>
    <w:rsid w:val="7C1C1C6D"/>
    <w:rsid w:val="7C1D7794"/>
    <w:rsid w:val="7C2432F8"/>
    <w:rsid w:val="7C254906"/>
    <w:rsid w:val="7C294768"/>
    <w:rsid w:val="7C46041C"/>
    <w:rsid w:val="7C4A252D"/>
    <w:rsid w:val="7C4C2591"/>
    <w:rsid w:val="7C507B69"/>
    <w:rsid w:val="7C590818"/>
    <w:rsid w:val="7C596A1E"/>
    <w:rsid w:val="7C66113B"/>
    <w:rsid w:val="7C730C1B"/>
    <w:rsid w:val="7C7C10F6"/>
    <w:rsid w:val="7C853BEA"/>
    <w:rsid w:val="7C8724CE"/>
    <w:rsid w:val="7C881368"/>
    <w:rsid w:val="7CA76A30"/>
    <w:rsid w:val="7CAB358F"/>
    <w:rsid w:val="7CB00608"/>
    <w:rsid w:val="7CB54D42"/>
    <w:rsid w:val="7CB63E70"/>
    <w:rsid w:val="7CC77E2B"/>
    <w:rsid w:val="7CC97334"/>
    <w:rsid w:val="7CD47889"/>
    <w:rsid w:val="7CD91F98"/>
    <w:rsid w:val="7CE27788"/>
    <w:rsid w:val="7D0C32F1"/>
    <w:rsid w:val="7D0F408D"/>
    <w:rsid w:val="7D13259F"/>
    <w:rsid w:val="7D1C1452"/>
    <w:rsid w:val="7D2C2AAE"/>
    <w:rsid w:val="7D470F6C"/>
    <w:rsid w:val="7D491C6C"/>
    <w:rsid w:val="7D494CE4"/>
    <w:rsid w:val="7D5429C0"/>
    <w:rsid w:val="7D6E6D43"/>
    <w:rsid w:val="7D715E27"/>
    <w:rsid w:val="7D747399"/>
    <w:rsid w:val="7D8D6FA9"/>
    <w:rsid w:val="7D953281"/>
    <w:rsid w:val="7D9F4260"/>
    <w:rsid w:val="7DB57A34"/>
    <w:rsid w:val="7DE60973"/>
    <w:rsid w:val="7DEF0916"/>
    <w:rsid w:val="7DF862C3"/>
    <w:rsid w:val="7E0C7AC0"/>
    <w:rsid w:val="7E10135E"/>
    <w:rsid w:val="7E1E5218"/>
    <w:rsid w:val="7E3E1D90"/>
    <w:rsid w:val="7E5020A2"/>
    <w:rsid w:val="7E544334"/>
    <w:rsid w:val="7E5E394E"/>
    <w:rsid w:val="7E5F2F81"/>
    <w:rsid w:val="7E6B0C8A"/>
    <w:rsid w:val="7E7B1E30"/>
    <w:rsid w:val="7E9A4E1F"/>
    <w:rsid w:val="7EA7723A"/>
    <w:rsid w:val="7EAB1087"/>
    <w:rsid w:val="7EAC5F5B"/>
    <w:rsid w:val="7EC873B0"/>
    <w:rsid w:val="7ECD54A1"/>
    <w:rsid w:val="7ED700CE"/>
    <w:rsid w:val="7EF173E1"/>
    <w:rsid w:val="7EF56FBB"/>
    <w:rsid w:val="7F0768EB"/>
    <w:rsid w:val="7F143BEC"/>
    <w:rsid w:val="7F2C666B"/>
    <w:rsid w:val="7F323556"/>
    <w:rsid w:val="7F5015C2"/>
    <w:rsid w:val="7F6851CA"/>
    <w:rsid w:val="7F715AF2"/>
    <w:rsid w:val="7F815AF4"/>
    <w:rsid w:val="7F842003"/>
    <w:rsid w:val="7F886E69"/>
    <w:rsid w:val="7FAE7080"/>
    <w:rsid w:val="7FB4040F"/>
    <w:rsid w:val="7FEA615E"/>
    <w:rsid w:val="7FF356DE"/>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2"/>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20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index 8"/>
    <w:next w:val="1"/>
    <w:qFormat/>
    <w:uiPriority w:val="0"/>
    <w:pPr>
      <w:widowControl w:val="0"/>
      <w:ind w:left="2940" w:leftChars="1400"/>
      <w:jc w:val="both"/>
    </w:pPr>
    <w:rPr>
      <w:rFonts w:ascii="Times New Roman" w:hAnsi="Times New Roman" w:eastAsia="宋体" w:cs="Times New Roman"/>
      <w:kern w:val="2"/>
      <w:sz w:val="21"/>
      <w:szCs w:val="24"/>
      <w:lang w:val="en-US" w:eastAsia="zh-CN" w:bidi="ar-SA"/>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5"/>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9"/>
    <w:qFormat/>
    <w:uiPriority w:val="0"/>
    <w:pPr>
      <w:shd w:val="clear" w:color="auto" w:fill="000080"/>
    </w:pPr>
  </w:style>
  <w:style w:type="paragraph" w:styleId="20">
    <w:name w:val="annotation text"/>
    <w:basedOn w:val="1"/>
    <w:link w:val="349"/>
    <w:qFormat/>
    <w:uiPriority w:val="99"/>
    <w:pPr>
      <w:jc w:val="left"/>
    </w:pPr>
  </w:style>
  <w:style w:type="paragraph" w:styleId="21">
    <w:name w:val="Salutation"/>
    <w:basedOn w:val="1"/>
    <w:next w:val="1"/>
    <w:link w:val="303"/>
    <w:qFormat/>
    <w:uiPriority w:val="0"/>
    <w:rPr>
      <w:rFonts w:ascii="仿宋_GB2312" w:eastAsia="仿宋_GB2312"/>
      <w:sz w:val="28"/>
      <w:szCs w:val="20"/>
    </w:rPr>
  </w:style>
  <w:style w:type="paragraph" w:styleId="22">
    <w:name w:val="Body Text 3"/>
    <w:basedOn w:val="1"/>
    <w:link w:val="335"/>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34"/>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5"/>
    <w:link w:val="270"/>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5"/>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3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8"/>
    <w:qFormat/>
    <w:uiPriority w:val="0"/>
    <w:pPr>
      <w:ind w:left="100" w:leftChars="2500"/>
    </w:pPr>
    <w:rPr>
      <w:rFonts w:ascii="宋体"/>
      <w:sz w:val="24"/>
      <w:szCs w:val="21"/>
      <w:lang w:val="zh-CN"/>
    </w:rPr>
  </w:style>
  <w:style w:type="paragraph" w:styleId="37">
    <w:name w:val="Body Text Indent 2"/>
    <w:basedOn w:val="1"/>
    <w:link w:val="313"/>
    <w:qFormat/>
    <w:uiPriority w:val="0"/>
    <w:pPr>
      <w:spacing w:line="360" w:lineRule="auto"/>
      <w:ind w:firstLine="601"/>
      <w:textAlignment w:val="baseline"/>
    </w:pPr>
    <w:rPr>
      <w:rFonts w:ascii="宋体"/>
      <w:kern w:val="0"/>
      <w:sz w:val="28"/>
      <w:szCs w:val="20"/>
    </w:rPr>
  </w:style>
  <w:style w:type="paragraph" w:styleId="38">
    <w:name w:val="endnote text"/>
    <w:basedOn w:val="1"/>
    <w:link w:val="934"/>
    <w:qFormat/>
    <w:uiPriority w:val="0"/>
    <w:rPr>
      <w:lang w:val="zh-CN"/>
    </w:rPr>
  </w:style>
  <w:style w:type="paragraph" w:styleId="39">
    <w:name w:val="Balloon Text"/>
    <w:basedOn w:val="1"/>
    <w:link w:val="195"/>
    <w:qFormat/>
    <w:uiPriority w:val="0"/>
    <w:rPr>
      <w:sz w:val="18"/>
      <w:szCs w:val="18"/>
    </w:rPr>
  </w:style>
  <w:style w:type="paragraph" w:styleId="40">
    <w:name w:val="footer"/>
    <w:basedOn w:val="1"/>
    <w:link w:val="388"/>
    <w:qFormat/>
    <w:uiPriority w:val="99"/>
    <w:pPr>
      <w:tabs>
        <w:tab w:val="center" w:pos="4153"/>
        <w:tab w:val="right" w:pos="8306"/>
      </w:tabs>
      <w:snapToGrid w:val="0"/>
      <w:jc w:val="left"/>
    </w:pPr>
    <w:rPr>
      <w:sz w:val="18"/>
      <w:szCs w:val="18"/>
    </w:rPr>
  </w:style>
  <w:style w:type="paragraph" w:styleId="41">
    <w:name w:val="envelope return"/>
    <w:basedOn w:val="1"/>
    <w:qFormat/>
    <w:uiPriority w:val="0"/>
    <w:pPr>
      <w:widowControl/>
      <w:adjustRightInd w:val="0"/>
      <w:snapToGrid w:val="0"/>
      <w:spacing w:after="200"/>
      <w:jc w:val="left"/>
    </w:pPr>
    <w:rPr>
      <w:rFonts w:ascii="Arial" w:hAnsi="Arial" w:eastAsia="微软雅黑"/>
      <w:kern w:val="0"/>
      <w:sz w:val="22"/>
      <w:szCs w:val="22"/>
    </w:rPr>
  </w:style>
  <w:style w:type="paragraph" w:styleId="42">
    <w:name w:val="header"/>
    <w:basedOn w:val="1"/>
    <w:link w:val="397"/>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50"/>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4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5"/>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80"/>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7"/>
    <w:qFormat/>
    <w:uiPriority w:val="0"/>
    <w:pPr>
      <w:spacing w:after="120" w:line="480" w:lineRule="auto"/>
    </w:pPr>
  </w:style>
  <w:style w:type="paragraph" w:styleId="58">
    <w:name w:val="HTML Preformatted"/>
    <w:basedOn w:val="1"/>
    <w:link w:val="3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91"/>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104"/>
    <w:qFormat/>
    <w:uiPriority w:val="0"/>
    <w:rPr>
      <w:b/>
      <w:bCs/>
    </w:rPr>
  </w:style>
  <w:style w:type="paragraph" w:styleId="62">
    <w:name w:val="Body Text First Indent"/>
    <w:basedOn w:val="24"/>
    <w:link w:val="326"/>
    <w:qFormat/>
    <w:uiPriority w:val="0"/>
    <w:pPr>
      <w:ind w:firstLine="420"/>
    </w:pPr>
    <w:rPr>
      <w:rFonts w:hAnsi="Calibri" w:cs="Times New Roman"/>
      <w:snapToGrid/>
      <w:szCs w:val="20"/>
    </w:rPr>
  </w:style>
  <w:style w:type="paragraph" w:styleId="63">
    <w:name w:val="Body Text First Indent 2"/>
    <w:basedOn w:val="25"/>
    <w:next w:val="64"/>
    <w:link w:val="128"/>
    <w:qFormat/>
    <w:uiPriority w:val="0"/>
    <w:pPr>
      <w:adjustRightInd/>
      <w:spacing w:after="120" w:line="240" w:lineRule="auto"/>
      <w:ind w:left="420" w:leftChars="200" w:firstLine="210"/>
    </w:pPr>
    <w:rPr>
      <w:sz w:val="21"/>
    </w:rPr>
  </w:style>
  <w:style w:type="paragraph" w:customStyle="1" w:styleId="64">
    <w:name w:val="xl53"/>
    <w:basedOn w:val="1"/>
    <w:next w:val="1"/>
    <w:qFormat/>
    <w:uiPriority w:val="0"/>
    <w:pPr>
      <w:tabs>
        <w:tab w:val="left" w:pos="0"/>
      </w:tabs>
      <w:spacing w:before="280" w:after="280" w:line="100" w:lineRule="exact"/>
      <w:jc w:val="center"/>
    </w:pPr>
    <w:rPr>
      <w:rFonts w:ascii="宋体"/>
      <w:b/>
      <w:sz w:val="20"/>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character" w:customStyle="1" w:styleId="82">
    <w:name w:val="NormalCharacter"/>
    <w:autoRedefine/>
    <w:qFormat/>
    <w:uiPriority w:val="0"/>
    <w:rPr>
      <w:sz w:val="21"/>
      <w:szCs w:val="24"/>
    </w:rPr>
  </w:style>
  <w:style w:type="character" w:customStyle="1" w:styleId="83">
    <w:name w:val="标题 2 Char"/>
    <w:qFormat/>
    <w:uiPriority w:val="0"/>
    <w:rPr>
      <w:rFonts w:ascii="Arial" w:hAnsi="Arial" w:eastAsia="黑体"/>
      <w:b/>
      <w:kern w:val="2"/>
      <w:sz w:val="32"/>
      <w:lang w:val="en-US" w:eastAsia="zh-CN"/>
    </w:rPr>
  </w:style>
  <w:style w:type="paragraph" w:customStyle="1" w:styleId="84">
    <w:name w:val="_Style 3"/>
    <w:basedOn w:val="1"/>
    <w:qFormat/>
    <w:uiPriority w:val="0"/>
    <w:pPr>
      <w:adjustRightInd/>
      <w:ind w:firstLine="420" w:firstLineChars="200"/>
    </w:pPr>
    <w:rPr>
      <w:rFonts w:eastAsia="仿宋_GB2312"/>
      <w:sz w:val="28"/>
    </w:rPr>
  </w:style>
  <w:style w:type="character" w:customStyle="1" w:styleId="85">
    <w:name w:val="标题 1 字符"/>
    <w:qFormat/>
    <w:uiPriority w:val="9"/>
    <w:rPr>
      <w:rFonts w:ascii="Arial" w:hAnsi="Arial" w:eastAsia="黑体" w:cs="Arial"/>
      <w:b/>
      <w:bCs/>
      <w:snapToGrid w:val="0"/>
      <w:kern w:val="44"/>
      <w:sz w:val="44"/>
      <w:szCs w:val="44"/>
    </w:rPr>
  </w:style>
  <w:style w:type="character" w:customStyle="1" w:styleId="86">
    <w:name w:val="标题 4 Char"/>
    <w:qFormat/>
    <w:uiPriority w:val="0"/>
    <w:rPr>
      <w:rFonts w:ascii="Arial" w:hAnsi="Arial" w:eastAsia="黑体"/>
      <w:b/>
      <w:kern w:val="2"/>
      <w:sz w:val="28"/>
    </w:rPr>
  </w:style>
  <w:style w:type="paragraph" w:customStyle="1" w:styleId="87">
    <w:name w:val="Default"/>
    <w:next w:val="15"/>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character" w:customStyle="1" w:styleId="90">
    <w:name w:val="表格非标题文字 Char"/>
    <w:link w:val="91"/>
    <w:qFormat/>
    <w:uiPriority w:val="0"/>
    <w:rPr>
      <w:rFonts w:ascii="Futura Bk" w:hAnsi="Futura Bk"/>
      <w:kern w:val="2"/>
      <w:sz w:val="18"/>
      <w:szCs w:val="21"/>
      <w:lang w:val="en-US" w:eastAsia="zh-CN" w:bidi="ar-SA"/>
    </w:rPr>
  </w:style>
  <w:style w:type="paragraph" w:customStyle="1" w:styleId="91">
    <w:name w:val="表格非标题文字"/>
    <w:link w:val="9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qFormat/>
    <w:locked/>
    <w:uiPriority w:val="0"/>
    <w:rPr>
      <w:rFonts w:ascii="宋体" w:hAnsi="宋体"/>
      <w:sz w:val="24"/>
    </w:rPr>
  </w:style>
  <w:style w:type="paragraph" w:customStyle="1" w:styleId="93">
    <w:name w:val="*正文"/>
    <w:basedOn w:val="1"/>
    <w:link w:val="92"/>
    <w:qFormat/>
    <w:uiPriority w:val="0"/>
    <w:pPr>
      <w:snapToGrid w:val="0"/>
      <w:spacing w:line="360" w:lineRule="auto"/>
      <w:ind w:firstLine="482"/>
      <w:jc w:val="left"/>
    </w:pPr>
    <w:rPr>
      <w:rFonts w:ascii="宋体" w:hAnsi="宋体"/>
      <w:kern w:val="0"/>
      <w:sz w:val="24"/>
      <w:szCs w:val="20"/>
    </w:rPr>
  </w:style>
  <w:style w:type="character" w:customStyle="1" w:styleId="94">
    <w:name w:val="Char Char71"/>
    <w:semiHidden/>
    <w:qFormat/>
    <w:uiPriority w:val="0"/>
    <w:rPr>
      <w:rFonts w:eastAsia="宋体"/>
      <w:kern w:val="2"/>
      <w:sz w:val="21"/>
      <w:szCs w:val="24"/>
      <w:lang w:val="en-US" w:eastAsia="zh-CN" w:bidi="ar-SA"/>
    </w:rPr>
  </w:style>
  <w:style w:type="character" w:customStyle="1" w:styleId="95">
    <w:name w:val="Char Char6"/>
    <w:qFormat/>
    <w:uiPriority w:val="0"/>
    <w:rPr>
      <w:rFonts w:eastAsia="宋体"/>
      <w:kern w:val="2"/>
      <w:sz w:val="21"/>
      <w:szCs w:val="24"/>
      <w:lang w:val="en-US" w:eastAsia="zh-CN" w:bidi="ar-SA"/>
    </w:rPr>
  </w:style>
  <w:style w:type="character" w:customStyle="1" w:styleId="96">
    <w:name w:val="正文缩进 Char"/>
    <w:qFormat/>
    <w:uiPriority w:val="0"/>
    <w:rPr>
      <w:rFonts w:eastAsia="宋体"/>
      <w:kern w:val="2"/>
      <w:sz w:val="21"/>
      <w:lang w:val="en-US" w:eastAsia="zh-CN"/>
    </w:rPr>
  </w:style>
  <w:style w:type="character" w:customStyle="1" w:styleId="97">
    <w:name w:val="正文首行缩进 Char1"/>
    <w:qFormat/>
    <w:uiPriority w:val="0"/>
    <w:rPr>
      <w:rFonts w:ascii="宋体" w:hAnsi="Times New Roman" w:eastAsia="宋体" w:cs="Times New Roman"/>
      <w:snapToGrid w:val="0"/>
      <w:kern w:val="2"/>
      <w:sz w:val="24"/>
      <w:szCs w:val="21"/>
      <w:lang w:val="zh-CN"/>
    </w:rPr>
  </w:style>
  <w:style w:type="character" w:customStyle="1" w:styleId="98">
    <w:name w:val="Char Char28"/>
    <w:qFormat/>
    <w:uiPriority w:val="6"/>
    <w:rPr>
      <w:rFonts w:ascii="仿宋_GB2312" w:hAnsi="仿宋_GB2312" w:eastAsia="仿宋_GB2312"/>
      <w:kern w:val="1"/>
      <w:sz w:val="28"/>
    </w:rPr>
  </w:style>
  <w:style w:type="character" w:customStyle="1" w:styleId="9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qFormat/>
    <w:uiPriority w:val="6"/>
    <w:rPr>
      <w:rFonts w:ascii="Times New Roman" w:hAnsi="Times New Roman" w:eastAsia="黑体" w:cs="Times New Roman"/>
      <w:b/>
      <w:kern w:val="0"/>
      <w:sz w:val="24"/>
      <w:szCs w:val="24"/>
    </w:rPr>
  </w:style>
  <w:style w:type="character" w:customStyle="1" w:styleId="101">
    <w:name w:val="U_正文 Char"/>
    <w:link w:val="102"/>
    <w:qFormat/>
    <w:uiPriority w:val="0"/>
    <w:rPr>
      <w:sz w:val="24"/>
      <w:szCs w:val="24"/>
    </w:rPr>
  </w:style>
  <w:style w:type="paragraph" w:customStyle="1" w:styleId="102">
    <w:name w:val="U_正文"/>
    <w:basedOn w:val="1"/>
    <w:link w:val="101"/>
    <w:qFormat/>
    <w:uiPriority w:val="0"/>
    <w:pPr>
      <w:adjustRightInd/>
      <w:spacing w:beforeLines="20" w:afterLines="20" w:line="300" w:lineRule="auto"/>
      <w:ind w:firstLine="200" w:firstLineChars="200"/>
    </w:pPr>
    <w:rPr>
      <w:kern w:val="0"/>
      <w:sz w:val="24"/>
    </w:rPr>
  </w:style>
  <w:style w:type="character" w:customStyle="1" w:styleId="103">
    <w:name w:val="HTML 地址 Char1"/>
    <w:qFormat/>
    <w:uiPriority w:val="0"/>
    <w:rPr>
      <w:rFonts w:ascii="Times New Roman" w:hAnsi="Times New Roman" w:eastAsia="宋体" w:cs="Times New Roman"/>
      <w:i/>
      <w:iCs/>
      <w:szCs w:val="24"/>
    </w:rPr>
  </w:style>
  <w:style w:type="character" w:customStyle="1" w:styleId="104">
    <w:name w:val="批注主题 字符"/>
    <w:link w:val="61"/>
    <w:qFormat/>
    <w:uiPriority w:val="0"/>
    <w:rPr>
      <w:b/>
      <w:bCs/>
      <w:kern w:val="2"/>
      <w:sz w:val="21"/>
      <w:szCs w:val="24"/>
    </w:rPr>
  </w:style>
  <w:style w:type="character" w:customStyle="1" w:styleId="105">
    <w:name w:val="Char Char51"/>
    <w:qFormat/>
    <w:uiPriority w:val="0"/>
    <w:rPr>
      <w:rFonts w:ascii="宋体" w:hAnsi="Courier New" w:eastAsia="宋体"/>
      <w:kern w:val="2"/>
      <w:sz w:val="21"/>
      <w:lang w:val="en-US" w:eastAsia="zh-CN"/>
    </w:rPr>
  </w:style>
  <w:style w:type="character" w:customStyle="1" w:styleId="106">
    <w:name w:val="表正文 Char"/>
    <w:qFormat/>
    <w:uiPriority w:val="0"/>
    <w:rPr>
      <w:rFonts w:ascii="宋体" w:eastAsia="宋体"/>
      <w:snapToGrid w:val="0"/>
      <w:color w:val="000000"/>
      <w:kern w:val="28"/>
      <w:sz w:val="28"/>
      <w:lang w:val="en-US" w:eastAsia="zh-CN" w:bidi="ar-SA"/>
    </w:rPr>
  </w:style>
  <w:style w:type="character" w:customStyle="1" w:styleId="107">
    <w:name w:val="Char Char34"/>
    <w:qFormat/>
    <w:uiPriority w:val="6"/>
    <w:rPr>
      <w:b/>
      <w:kern w:val="1"/>
      <w:sz w:val="28"/>
      <w:szCs w:val="28"/>
    </w:rPr>
  </w:style>
  <w:style w:type="character" w:customStyle="1" w:styleId="10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qFormat/>
    <w:uiPriority w:val="0"/>
    <w:rPr>
      <w:rFonts w:ascii="宋体" w:hAnsi="宋体" w:eastAsia="宋体"/>
      <w:kern w:val="2"/>
      <w:sz w:val="24"/>
      <w:lang w:bidi="ar-SA"/>
    </w:rPr>
  </w:style>
  <w:style w:type="paragraph" w:customStyle="1" w:styleId="110">
    <w:name w:val="哈哈正文"/>
    <w:basedOn w:val="1"/>
    <w:link w:val="109"/>
    <w:qFormat/>
    <w:uiPriority w:val="0"/>
    <w:pPr>
      <w:adjustRightInd/>
      <w:spacing w:line="360" w:lineRule="auto"/>
      <w:ind w:firstLine="200" w:firstLineChars="200"/>
    </w:pPr>
    <w:rPr>
      <w:rFonts w:ascii="宋体" w:hAnsi="宋体"/>
      <w:sz w:val="24"/>
      <w:szCs w:val="20"/>
    </w:rPr>
  </w:style>
  <w:style w:type="character" w:customStyle="1" w:styleId="111">
    <w:name w:val="未处理的提及1"/>
    <w:qFormat/>
    <w:uiPriority w:val="0"/>
    <w:rPr>
      <w:color w:val="808080"/>
      <w:shd w:val="clear" w:color="auto" w:fill="E6E6E6"/>
    </w:rPr>
  </w:style>
  <w:style w:type="character" w:customStyle="1" w:styleId="112">
    <w:name w:val="txt"/>
    <w:qFormat/>
    <w:uiPriority w:val="0"/>
    <w:rPr>
      <w:rFonts w:ascii="仿宋_GB2312" w:eastAsia="微软雅黑"/>
      <w:b/>
      <w:kern w:val="2"/>
      <w:sz w:val="32"/>
      <w:szCs w:val="32"/>
      <w:lang w:val="en-US" w:eastAsia="zh-CN" w:bidi="ar-SA"/>
    </w:rPr>
  </w:style>
  <w:style w:type="character" w:customStyle="1" w:styleId="113">
    <w:name w:val="二级标题 Char Char"/>
    <w:qFormat/>
    <w:uiPriority w:val="0"/>
    <w:rPr>
      <w:rFonts w:ascii="宋体" w:hAnsi="宋体" w:eastAsia="宋体"/>
      <w:b/>
      <w:snapToGrid w:val="0"/>
      <w:kern w:val="2"/>
      <w:sz w:val="24"/>
      <w:szCs w:val="24"/>
      <w:lang w:val="en-US" w:eastAsia="zh-CN" w:bidi="ar-SA"/>
    </w:rPr>
  </w:style>
  <w:style w:type="character" w:customStyle="1" w:styleId="114">
    <w:name w:val="Char Char32"/>
    <w:qFormat/>
    <w:uiPriority w:val="6"/>
    <w:rPr>
      <w:b/>
      <w:kern w:val="1"/>
      <w:sz w:val="24"/>
      <w:szCs w:val="24"/>
    </w:rPr>
  </w:style>
  <w:style w:type="character" w:customStyle="1" w:styleId="115">
    <w:name w:val="PI Char1"/>
    <w:qFormat/>
    <w:uiPriority w:val="0"/>
    <w:rPr>
      <w:rFonts w:ascii="宋体" w:hAnsi="宋体"/>
      <w:kern w:val="2"/>
      <w:sz w:val="24"/>
      <w:szCs w:val="24"/>
    </w:rPr>
  </w:style>
  <w:style w:type="character" w:customStyle="1" w:styleId="116">
    <w:name w:val="tw4winTerm"/>
    <w:qFormat/>
    <w:uiPriority w:val="0"/>
    <w:rPr>
      <w:color w:val="0000FF"/>
    </w:rPr>
  </w:style>
  <w:style w:type="character" w:customStyle="1" w:styleId="117">
    <w:name w:val="Footer Char"/>
    <w:qFormat/>
    <w:locked/>
    <w:uiPriority w:val="0"/>
    <w:rPr>
      <w:rFonts w:eastAsia="宋体"/>
      <w:kern w:val="2"/>
      <w:sz w:val="18"/>
      <w:lang w:val="en-US" w:eastAsia="zh-CN" w:bidi="ar-SA"/>
    </w:rPr>
  </w:style>
  <w:style w:type="character" w:customStyle="1" w:styleId="118">
    <w:name w:val="普通文字 Char Char1"/>
    <w:qFormat/>
    <w:uiPriority w:val="0"/>
    <w:rPr>
      <w:rFonts w:ascii="宋体" w:hAnsi="Courier New"/>
      <w:kern w:val="2"/>
      <w:sz w:val="21"/>
    </w:rPr>
  </w:style>
  <w:style w:type="character" w:customStyle="1" w:styleId="119">
    <w:name w:val="Char Char101"/>
    <w:qFormat/>
    <w:uiPriority w:val="6"/>
    <w:rPr>
      <w:rFonts w:ascii="宋体" w:hAnsi="宋体"/>
      <w:kern w:val="2"/>
      <w:sz w:val="21"/>
      <w:szCs w:val="24"/>
      <w:lang w:val="en-US" w:eastAsia="zh-CN"/>
    </w:rPr>
  </w:style>
  <w:style w:type="character" w:customStyle="1" w:styleId="120">
    <w:name w:val="链接"/>
    <w:qFormat/>
    <w:uiPriority w:val="0"/>
    <w:rPr>
      <w:color w:val="0000FF"/>
      <w:sz w:val="21"/>
      <w:szCs w:val="21"/>
      <w:u w:val="single"/>
    </w:rPr>
  </w:style>
  <w:style w:type="character" w:customStyle="1" w:styleId="121">
    <w:name w:val="h4 Char"/>
    <w:qFormat/>
    <w:uiPriority w:val="0"/>
    <w:rPr>
      <w:rFonts w:ascii="Arial" w:hAnsi="Arial" w:eastAsia="黑体"/>
      <w:b/>
      <w:bCs/>
      <w:kern w:val="2"/>
      <w:sz w:val="28"/>
      <w:szCs w:val="28"/>
      <w:lang w:val="zh-CN" w:eastAsia="zh-CN" w:bidi="ar-SA"/>
    </w:rPr>
  </w:style>
  <w:style w:type="character" w:customStyle="1" w:styleId="122">
    <w:name w:val="5正文 Char"/>
    <w:link w:val="123"/>
    <w:qFormat/>
    <w:uiPriority w:val="0"/>
    <w:rPr>
      <w:rFonts w:ascii="仿宋_GB2312" w:hAnsi="微软雅黑" w:eastAsia="仿宋_GB2312"/>
      <w:sz w:val="28"/>
      <w:szCs w:val="21"/>
    </w:rPr>
  </w:style>
  <w:style w:type="paragraph" w:customStyle="1" w:styleId="123">
    <w:name w:val="5正文"/>
    <w:basedOn w:val="1"/>
    <w:link w:val="12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4">
    <w:name w:val="标题 3 字符"/>
    <w:qFormat/>
    <w:uiPriority w:val="9"/>
    <w:rPr>
      <w:b/>
      <w:bCs/>
      <w:kern w:val="2"/>
      <w:sz w:val="32"/>
      <w:szCs w:val="32"/>
    </w:rPr>
  </w:style>
  <w:style w:type="character" w:customStyle="1" w:styleId="125">
    <w:name w:val="样式6 Char"/>
    <w:qFormat/>
    <w:uiPriority w:val="0"/>
    <w:rPr>
      <w:rFonts w:ascii="仿宋_GB2312" w:hAnsi="宋体" w:eastAsia="仿宋_GB2312"/>
      <w:b/>
      <w:bCs/>
      <w:kern w:val="2"/>
      <w:sz w:val="24"/>
      <w:szCs w:val="24"/>
      <w:lang w:val="en-US" w:eastAsia="zh-CN" w:bidi="ar-SA"/>
    </w:rPr>
  </w:style>
  <w:style w:type="character" w:customStyle="1" w:styleId="126">
    <w:name w:val="Char Char14"/>
    <w:qFormat/>
    <w:uiPriority w:val="6"/>
    <w:rPr>
      <w:rFonts w:ascii="黑体" w:hAnsi="黑体" w:eastAsia="黑体"/>
    </w:rPr>
  </w:style>
  <w:style w:type="character" w:customStyle="1" w:styleId="127">
    <w:name w:val="Heading 2 Hidden Char"/>
    <w:qFormat/>
    <w:uiPriority w:val="0"/>
    <w:rPr>
      <w:rFonts w:ascii="仿宋_GB2312" w:eastAsia="仿宋_GB2312"/>
      <w:b/>
      <w:bCs/>
      <w:kern w:val="2"/>
      <w:sz w:val="24"/>
      <w:szCs w:val="24"/>
      <w:lang w:val="zh-CN" w:eastAsia="zh-CN" w:bidi="ar-SA"/>
    </w:rPr>
  </w:style>
  <w:style w:type="character" w:customStyle="1" w:styleId="128">
    <w:name w:val="正文文本首行缩进 2 字符"/>
    <w:link w:val="63"/>
    <w:qFormat/>
    <w:uiPriority w:val="0"/>
    <w:rPr>
      <w:rFonts w:ascii="宋体" w:hAnsi="宋体"/>
      <w:kern w:val="2"/>
      <w:sz w:val="21"/>
      <w:szCs w:val="24"/>
    </w:rPr>
  </w:style>
  <w:style w:type="character" w:customStyle="1" w:styleId="129">
    <w:name w:val="font11"/>
    <w:basedOn w:val="72"/>
    <w:qFormat/>
    <w:uiPriority w:val="0"/>
    <w:rPr>
      <w:rFonts w:hint="default" w:ascii="Times New Roman" w:hAnsi="Times New Roman" w:cs="Times New Roman"/>
      <w:color w:val="000000"/>
      <w:sz w:val="22"/>
      <w:szCs w:val="22"/>
      <w:u w:val="none"/>
    </w:rPr>
  </w:style>
  <w:style w:type="character" w:customStyle="1" w:styleId="130">
    <w:name w:val="表正文 Char1"/>
    <w:qFormat/>
    <w:uiPriority w:val="0"/>
    <w:rPr>
      <w:rFonts w:ascii="宋体" w:eastAsia="宋体"/>
      <w:snapToGrid w:val="0"/>
      <w:color w:val="000000"/>
      <w:kern w:val="28"/>
      <w:sz w:val="28"/>
    </w:rPr>
  </w:style>
  <w:style w:type="character" w:customStyle="1" w:styleId="131">
    <w:name w:val="blue1"/>
    <w:basedOn w:val="72"/>
    <w:qFormat/>
    <w:uiPriority w:val="0"/>
    <w:rPr>
      <w:rFonts w:ascii="Arial" w:hAnsi="Arial" w:eastAsia="黑体" w:cs="Arial"/>
      <w:snapToGrid w:val="0"/>
      <w:kern w:val="0"/>
      <w:szCs w:val="21"/>
    </w:rPr>
  </w:style>
  <w:style w:type="character" w:customStyle="1" w:styleId="132">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33">
    <w:name w:val="标书1 Char"/>
    <w:qFormat/>
    <w:uiPriority w:val="0"/>
    <w:rPr>
      <w:rFonts w:eastAsia="宋体"/>
      <w:b/>
      <w:bCs/>
      <w:kern w:val="44"/>
      <w:sz w:val="44"/>
      <w:szCs w:val="44"/>
      <w:lang w:val="en-US" w:eastAsia="zh-CN" w:bidi="ar-SA"/>
    </w:rPr>
  </w:style>
  <w:style w:type="character" w:customStyle="1" w:styleId="134">
    <w:name w:val="样式5 Char"/>
    <w:qFormat/>
    <w:uiPriority w:val="0"/>
    <w:rPr>
      <w:rFonts w:ascii="仿宋_GB2312" w:hAnsi="仿宋" w:eastAsia="仿宋_GB2312"/>
      <w:kern w:val="2"/>
      <w:sz w:val="24"/>
      <w:szCs w:val="24"/>
    </w:rPr>
  </w:style>
  <w:style w:type="character" w:customStyle="1" w:styleId="135">
    <w:name w:val="样式4 Char"/>
    <w:qFormat/>
    <w:uiPriority w:val="0"/>
    <w:rPr>
      <w:rFonts w:ascii="仿宋_GB2312" w:hAnsi="仿宋" w:eastAsia="仿宋_GB2312"/>
      <w:b/>
      <w:kern w:val="2"/>
      <w:sz w:val="32"/>
      <w:szCs w:val="32"/>
      <w:lang w:bidi="ar-SA"/>
    </w:rPr>
  </w:style>
  <w:style w:type="character" w:customStyle="1" w:styleId="136">
    <w:name w:val="插图说明 Char"/>
    <w:qFormat/>
    <w:uiPriority w:val="0"/>
    <w:rPr>
      <w:rFonts w:eastAsia="黑体"/>
      <w:sz w:val="24"/>
      <w:lang w:val="en-US" w:eastAsia="zh-CN"/>
    </w:rPr>
  </w:style>
  <w:style w:type="character" w:customStyle="1" w:styleId="137">
    <w:name w:val="正文2 Char Char"/>
    <w:link w:val="138"/>
    <w:qFormat/>
    <w:uiPriority w:val="0"/>
    <w:rPr>
      <w:rFonts w:eastAsia="宋体"/>
      <w:kern w:val="2"/>
      <w:sz w:val="24"/>
      <w:lang w:val="en-US" w:eastAsia="zh-CN" w:bidi="ar-SA"/>
    </w:rPr>
  </w:style>
  <w:style w:type="paragraph" w:customStyle="1" w:styleId="138">
    <w:name w:val="正文2"/>
    <w:basedOn w:val="1"/>
    <w:link w:val="137"/>
    <w:qFormat/>
    <w:uiPriority w:val="0"/>
    <w:pPr>
      <w:spacing w:before="156" w:line="360" w:lineRule="auto"/>
      <w:ind w:firstLine="510" w:firstLineChars="200"/>
    </w:pPr>
    <w:rPr>
      <w:sz w:val="24"/>
      <w:szCs w:val="20"/>
    </w:rPr>
  </w:style>
  <w:style w:type="character" w:customStyle="1" w:styleId="139">
    <w:name w:val="Char Char24"/>
    <w:qFormat/>
    <w:uiPriority w:val="6"/>
    <w:rPr>
      <w:kern w:val="1"/>
      <w:sz w:val="21"/>
    </w:rPr>
  </w:style>
  <w:style w:type="character" w:customStyle="1" w:styleId="140">
    <w:name w:val="副标题 字符"/>
    <w:link w:val="48"/>
    <w:qFormat/>
    <w:uiPriority w:val="0"/>
    <w:rPr>
      <w:rFonts w:ascii="Arial" w:hAnsi="Arial" w:eastAsia="隶书"/>
      <w:b/>
      <w:bCs/>
      <w:kern w:val="28"/>
      <w:sz w:val="44"/>
      <w:szCs w:val="32"/>
      <w:lang w:val="en-US" w:eastAsia="zh-CN" w:bidi="ar-SA"/>
    </w:rPr>
  </w:style>
  <w:style w:type="character" w:customStyle="1" w:styleId="141">
    <w:name w:val="普通文字 Char1 Char"/>
    <w:qFormat/>
    <w:uiPriority w:val="0"/>
    <w:rPr>
      <w:rFonts w:ascii="宋体" w:hAnsi="Courier New" w:eastAsia="宋体"/>
      <w:kern w:val="2"/>
      <w:sz w:val="21"/>
      <w:szCs w:val="24"/>
      <w:lang w:val="en-US" w:eastAsia="zh-CN" w:bidi="ar-SA"/>
    </w:rPr>
  </w:style>
  <w:style w:type="character" w:customStyle="1" w:styleId="142">
    <w:name w:val="h3 Char1"/>
    <w:qFormat/>
    <w:uiPriority w:val="0"/>
    <w:rPr>
      <w:rFonts w:eastAsia="宋体"/>
      <w:b/>
      <w:bCs/>
      <w:kern w:val="2"/>
      <w:sz w:val="32"/>
      <w:szCs w:val="32"/>
      <w:lang w:bidi="ar-SA"/>
    </w:rPr>
  </w:style>
  <w:style w:type="character" w:customStyle="1" w:styleId="143">
    <w:name w:val="标题 Char1"/>
    <w:qFormat/>
    <w:uiPriority w:val="0"/>
    <w:rPr>
      <w:rFonts w:ascii="Cambria" w:hAnsi="Cambria" w:eastAsia="宋体" w:cs="Times New Roman"/>
      <w:b/>
      <w:bCs/>
      <w:sz w:val="32"/>
      <w:szCs w:val="32"/>
      <w:lang w:bidi="ar-SA"/>
    </w:rPr>
  </w:style>
  <w:style w:type="character" w:customStyle="1" w:styleId="144">
    <w:name w:val="gf正文1 Char"/>
    <w:qFormat/>
    <w:uiPriority w:val="0"/>
    <w:rPr>
      <w:rFonts w:ascii="宋体" w:hAnsi="宋体" w:eastAsia="宋体" w:cs="宋体"/>
      <w:kern w:val="2"/>
      <w:sz w:val="24"/>
      <w:szCs w:val="24"/>
      <w:lang w:val="en-US" w:eastAsia="zh-CN" w:bidi="ar-SA"/>
    </w:rPr>
  </w:style>
  <w:style w:type="character" w:customStyle="1" w:styleId="145">
    <w:name w:val="正文文本缩进 Char1"/>
    <w:qFormat/>
    <w:uiPriority w:val="0"/>
    <w:rPr>
      <w:rFonts w:ascii="Calibri" w:hAnsi="Calibri"/>
      <w:sz w:val="28"/>
    </w:rPr>
  </w:style>
  <w:style w:type="character" w:customStyle="1" w:styleId="146">
    <w:name w:val="No Spacing Char"/>
    <w:link w:val="147"/>
    <w:qFormat/>
    <w:uiPriority w:val="1"/>
    <w:rPr>
      <w:sz w:val="22"/>
      <w:szCs w:val="22"/>
      <w:lang w:val="en-US" w:eastAsia="zh-CN" w:bidi="ar-SA"/>
    </w:rPr>
  </w:style>
  <w:style w:type="paragraph" w:customStyle="1" w:styleId="147">
    <w:name w:val="无间隔1"/>
    <w:link w:val="146"/>
    <w:qFormat/>
    <w:uiPriority w:val="1"/>
    <w:rPr>
      <w:rFonts w:ascii="Times New Roman" w:hAnsi="Times New Roman" w:eastAsia="宋体" w:cs="Times New Roman"/>
      <w:sz w:val="22"/>
      <w:szCs w:val="22"/>
      <w:lang w:val="en-US" w:eastAsia="zh-CN" w:bidi="ar-SA"/>
    </w:rPr>
  </w:style>
  <w:style w:type="character" w:customStyle="1" w:styleId="148">
    <w:name w:val="样式7 Char"/>
    <w:qFormat/>
    <w:uiPriority w:val="0"/>
    <w:rPr>
      <w:rFonts w:ascii="仿宋_GB2312" w:hAnsi="仿宋" w:eastAsia="仿宋_GB2312"/>
      <w:b/>
      <w:kern w:val="2"/>
      <w:sz w:val="24"/>
      <w:szCs w:val="24"/>
    </w:rPr>
  </w:style>
  <w:style w:type="character" w:customStyle="1" w:styleId="149">
    <w:name w:val="font12gray1"/>
    <w:qFormat/>
    <w:uiPriority w:val="0"/>
    <w:rPr>
      <w:rFonts w:ascii="仿宋_GB2312" w:eastAsia="微软雅黑"/>
      <w:b/>
      <w:spacing w:val="300"/>
      <w:kern w:val="2"/>
      <w:sz w:val="18"/>
      <w:szCs w:val="18"/>
      <w:lang w:val="en-US" w:eastAsia="zh-CN" w:bidi="ar-SA"/>
    </w:rPr>
  </w:style>
  <w:style w:type="character" w:customStyle="1" w:styleId="150">
    <w:name w:val="Char Char7"/>
    <w:semiHidden/>
    <w:qFormat/>
    <w:uiPriority w:val="0"/>
    <w:rPr>
      <w:rFonts w:eastAsia="宋体"/>
      <w:kern w:val="2"/>
      <w:sz w:val="21"/>
      <w:szCs w:val="24"/>
      <w:lang w:val="en-US" w:eastAsia="zh-CN" w:bidi="ar-SA"/>
    </w:rPr>
  </w:style>
  <w:style w:type="character" w:customStyle="1" w:styleId="151">
    <w:name w:val="表名 Char"/>
    <w:qFormat/>
    <w:uiPriority w:val="0"/>
    <w:rPr>
      <w:rFonts w:eastAsia="宋体"/>
      <w:b/>
      <w:bCs/>
      <w:kern w:val="2"/>
      <w:sz w:val="24"/>
      <w:szCs w:val="24"/>
      <w:lang w:val="en-US" w:eastAsia="zh-CN" w:bidi="ar-SA"/>
    </w:rPr>
  </w:style>
  <w:style w:type="character" w:customStyle="1" w:styleId="152">
    <w:name w:val="Document Map Char"/>
    <w:qFormat/>
    <w:locked/>
    <w:uiPriority w:val="0"/>
    <w:rPr>
      <w:rFonts w:eastAsia="宋体"/>
      <w:kern w:val="2"/>
      <w:sz w:val="21"/>
      <w:szCs w:val="24"/>
      <w:lang w:val="en-US" w:eastAsia="zh-CN" w:bidi="ar-SA"/>
    </w:rPr>
  </w:style>
  <w:style w:type="character" w:customStyle="1" w:styleId="153">
    <w:name w:val="font41"/>
    <w:basedOn w:val="72"/>
    <w:qFormat/>
    <w:uiPriority w:val="0"/>
    <w:rPr>
      <w:rFonts w:hint="eastAsia" w:ascii="仿宋_GB2312" w:eastAsia="仿宋_GB2312" w:cs="仿宋_GB2312"/>
      <w:color w:val="000000"/>
      <w:sz w:val="22"/>
      <w:szCs w:val="22"/>
      <w:u w:val="none"/>
    </w:rPr>
  </w:style>
  <w:style w:type="character" w:customStyle="1" w:styleId="154">
    <w:name w:val="标题 6 字符"/>
    <w:link w:val="8"/>
    <w:qFormat/>
    <w:uiPriority w:val="0"/>
    <w:rPr>
      <w:rFonts w:ascii="Arial" w:hAnsi="Arial" w:eastAsia="黑体"/>
      <w:b/>
      <w:bCs/>
      <w:kern w:val="2"/>
      <w:sz w:val="24"/>
      <w:szCs w:val="24"/>
    </w:rPr>
  </w:style>
  <w:style w:type="character" w:customStyle="1" w:styleId="155">
    <w:name w:val="纯文本 Char_0"/>
    <w:link w:val="156"/>
    <w:qFormat/>
    <w:uiPriority w:val="0"/>
    <w:rPr>
      <w:rFonts w:ascii="宋体" w:hAnsi="Courier New"/>
      <w:kern w:val="2"/>
      <w:sz w:val="21"/>
      <w:szCs w:val="21"/>
      <w:lang w:val="en-US" w:eastAsia="zh-CN"/>
    </w:rPr>
  </w:style>
  <w:style w:type="paragraph" w:customStyle="1" w:styleId="156">
    <w:name w:val="纯文本_0_0"/>
    <w:basedOn w:val="157"/>
    <w:link w:val="155"/>
    <w:qFormat/>
    <w:uiPriority w:val="0"/>
    <w:rPr>
      <w:rFonts w:ascii="宋体" w:hAnsi="Courier New"/>
      <w:szCs w:val="21"/>
    </w:rPr>
  </w:style>
  <w:style w:type="paragraph" w:customStyle="1" w:styleId="15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Balloon Text Char"/>
    <w:qFormat/>
    <w:locked/>
    <w:uiPriority w:val="0"/>
    <w:rPr>
      <w:rFonts w:eastAsia="宋体"/>
      <w:kern w:val="2"/>
      <w:sz w:val="18"/>
      <w:szCs w:val="18"/>
      <w:lang w:val="en-US" w:eastAsia="zh-CN" w:bidi="ar-SA"/>
    </w:rPr>
  </w:style>
  <w:style w:type="character" w:customStyle="1" w:styleId="159">
    <w:name w:val="正文 项目2 Char"/>
    <w:basedOn w:val="160"/>
    <w:qFormat/>
    <w:uiPriority w:val="0"/>
    <w:rPr>
      <w:rFonts w:ascii="仿宋_GB2312" w:hAnsi="仿宋_GB2312" w:eastAsia="仿宋_GB2312"/>
      <w:kern w:val="2"/>
      <w:sz w:val="24"/>
      <w:lang w:bidi="ar-SA"/>
    </w:rPr>
  </w:style>
  <w:style w:type="character" w:customStyle="1" w:styleId="160">
    <w:name w:val="正文 项目 Char"/>
    <w:qFormat/>
    <w:uiPriority w:val="0"/>
    <w:rPr>
      <w:rFonts w:ascii="仿宋_GB2312" w:hAnsi="仿宋_GB2312" w:eastAsia="仿宋_GB2312"/>
      <w:kern w:val="2"/>
      <w:sz w:val="24"/>
      <w:lang w:bidi="ar-SA"/>
    </w:rPr>
  </w:style>
  <w:style w:type="character" w:customStyle="1" w:styleId="161">
    <w:name w:val="h Char Char1"/>
    <w:qFormat/>
    <w:uiPriority w:val="0"/>
    <w:rPr>
      <w:rFonts w:eastAsia="宋体"/>
      <w:kern w:val="2"/>
      <w:sz w:val="18"/>
      <w:szCs w:val="18"/>
      <w:lang w:val="en-US" w:eastAsia="zh-CN" w:bidi="ar-SA"/>
    </w:rPr>
  </w:style>
  <w:style w:type="character" w:customStyle="1" w:styleId="162">
    <w:name w:val="Char Char27"/>
    <w:qFormat/>
    <w:uiPriority w:val="6"/>
    <w:rPr>
      <w:rFonts w:ascii="宋体" w:hAnsi="宋体" w:eastAsia="宋体"/>
      <w:color w:val="000000"/>
      <w:kern w:val="1"/>
      <w:sz w:val="28"/>
      <w:lang w:val="en-US" w:eastAsia="zh-CN" w:bidi="ar-SA"/>
    </w:rPr>
  </w:style>
  <w:style w:type="character" w:customStyle="1" w:styleId="163">
    <w:name w:val="px14"/>
    <w:qFormat/>
    <w:uiPriority w:val="0"/>
    <w:rPr>
      <w:rFonts w:ascii="仿宋_GB2312" w:eastAsia="微软雅黑" w:cs="Times New Roman"/>
      <w:b/>
      <w:kern w:val="2"/>
      <w:sz w:val="32"/>
      <w:szCs w:val="32"/>
      <w:lang w:val="en-US" w:eastAsia="zh-CN" w:bidi="ar-SA"/>
    </w:rPr>
  </w:style>
  <w:style w:type="character" w:customStyle="1" w:styleId="164">
    <w:name w:val="HTML 预设格式 Char1"/>
    <w:qFormat/>
    <w:uiPriority w:val="0"/>
    <w:rPr>
      <w:rFonts w:ascii="Courier New" w:hAnsi="Courier New" w:eastAsia="宋体" w:cs="Courier New"/>
      <w:sz w:val="20"/>
      <w:szCs w:val="20"/>
    </w:rPr>
  </w:style>
  <w:style w:type="character" w:customStyle="1" w:styleId="165">
    <w:name w:val="普通文字 Char1"/>
    <w:qFormat/>
    <w:uiPriority w:val="0"/>
    <w:rPr>
      <w:rFonts w:ascii="宋体" w:hAnsi="Courier New" w:eastAsia="宋体"/>
      <w:kern w:val="2"/>
      <w:sz w:val="21"/>
      <w:lang w:val="en-US" w:eastAsia="zh-CN"/>
    </w:rPr>
  </w:style>
  <w:style w:type="character" w:customStyle="1" w:styleId="166">
    <w:name w:val="hei16b1"/>
    <w:qFormat/>
    <w:uiPriority w:val="0"/>
    <w:rPr>
      <w:rFonts w:hint="default" w:ascii="Arial" w:hAnsi="Arial" w:cs="Arial"/>
      <w:b/>
      <w:bCs/>
      <w:color w:val="000000"/>
      <w:sz w:val="24"/>
      <w:szCs w:val="24"/>
    </w:rPr>
  </w:style>
  <w:style w:type="character" w:customStyle="1" w:styleId="167">
    <w:name w:val="正文（绿盟科技） Char"/>
    <w:link w:val="168"/>
    <w:qFormat/>
    <w:uiPriority w:val="0"/>
    <w:rPr>
      <w:rFonts w:ascii="Arial" w:hAnsi="Arial"/>
      <w:sz w:val="21"/>
      <w:szCs w:val="21"/>
    </w:rPr>
  </w:style>
  <w:style w:type="paragraph" w:customStyle="1" w:styleId="168">
    <w:name w:val="正文（绿盟科技）"/>
    <w:link w:val="167"/>
    <w:qFormat/>
    <w:uiPriority w:val="0"/>
    <w:pPr>
      <w:spacing w:line="300" w:lineRule="auto"/>
    </w:pPr>
    <w:rPr>
      <w:rFonts w:ascii="Arial" w:hAnsi="Arial" w:eastAsia="宋体" w:cs="Times New Roman"/>
      <w:sz w:val="21"/>
      <w:szCs w:val="21"/>
      <w:lang w:val="en-US" w:eastAsia="zh-CN" w:bidi="ar-SA"/>
    </w:rPr>
  </w:style>
  <w:style w:type="character" w:customStyle="1" w:styleId="169">
    <w:name w:val="Char Char19"/>
    <w:qFormat/>
    <w:uiPriority w:val="6"/>
    <w:rPr>
      <w:rFonts w:ascii="宋体" w:hAnsi="宋体"/>
      <w:i/>
      <w:sz w:val="24"/>
      <w:szCs w:val="24"/>
    </w:rPr>
  </w:style>
  <w:style w:type="character" w:customStyle="1" w:styleId="170">
    <w:name w:val="页脚 Char"/>
    <w:qFormat/>
    <w:uiPriority w:val="0"/>
    <w:rPr>
      <w:rFonts w:eastAsia="仿宋_GB2312"/>
      <w:kern w:val="2"/>
      <w:sz w:val="18"/>
      <w:lang w:val="en-US" w:eastAsia="zh-CN"/>
    </w:rPr>
  </w:style>
  <w:style w:type="character" w:customStyle="1" w:styleId="171">
    <w:name w:val="批注主题 Char"/>
    <w:qFormat/>
    <w:uiPriority w:val="0"/>
    <w:rPr>
      <w:rFonts w:eastAsia="宋体"/>
      <w:b/>
      <w:bCs/>
      <w:kern w:val="2"/>
      <w:sz w:val="21"/>
      <w:szCs w:val="24"/>
      <w:lang w:val="en-US" w:eastAsia="zh-CN" w:bidi="ar-SA"/>
    </w:rPr>
  </w:style>
  <w:style w:type="character" w:customStyle="1" w:styleId="172">
    <w:name w:val="Comment Text Char"/>
    <w:qFormat/>
    <w:locked/>
    <w:uiPriority w:val="0"/>
    <w:rPr>
      <w:rFonts w:ascii="宋体" w:hAnsi="宋体" w:eastAsia="宋体"/>
      <w:kern w:val="2"/>
      <w:sz w:val="24"/>
      <w:lang w:val="en-US" w:eastAsia="zh-CN" w:bidi="ar-SA"/>
    </w:rPr>
  </w:style>
  <w:style w:type="character" w:customStyle="1" w:styleId="173">
    <w:name w:val="标题 2 字符"/>
    <w:qFormat/>
    <w:uiPriority w:val="1"/>
    <w:rPr>
      <w:rFonts w:ascii="仿宋_GB2312" w:hAnsi="Times New Roman" w:eastAsia="仿宋_GB2312" w:cs="Times New Roman"/>
      <w:b/>
      <w:kern w:val="2"/>
      <w:sz w:val="24"/>
      <w:lang w:val="zh-CN"/>
    </w:rPr>
  </w:style>
  <w:style w:type="character" w:customStyle="1" w:styleId="174">
    <w:name w:val="Char Char72"/>
    <w:qFormat/>
    <w:uiPriority w:val="0"/>
    <w:rPr>
      <w:rFonts w:eastAsia="宋体"/>
      <w:kern w:val="2"/>
      <w:sz w:val="21"/>
      <w:szCs w:val="24"/>
      <w:lang w:val="en-US" w:eastAsia="zh-CN" w:bidi="ar-SA"/>
    </w:rPr>
  </w:style>
  <w:style w:type="character" w:customStyle="1" w:styleId="175">
    <w:name w:val="正文文本缩进 Char2"/>
    <w:qFormat/>
    <w:uiPriority w:val="0"/>
    <w:rPr>
      <w:rFonts w:ascii="Times New Roman" w:hAnsi="Times New Roman" w:eastAsia="宋体" w:cs="Times New Roman"/>
      <w:snapToGrid w:val="0"/>
      <w:kern w:val="0"/>
      <w:szCs w:val="24"/>
    </w:rPr>
  </w:style>
  <w:style w:type="character" w:customStyle="1" w:styleId="176">
    <w:name w:val="样式2 Char"/>
    <w:qFormat/>
    <w:uiPriority w:val="0"/>
    <w:rPr>
      <w:rFonts w:ascii="仿宋_GB2312" w:hAnsi="仿宋" w:eastAsia="仿宋_GB2312" w:cs="仿宋_GB2312"/>
      <w:b/>
      <w:bCs/>
      <w:sz w:val="32"/>
      <w:szCs w:val="30"/>
      <w:lang w:val="zh-CN"/>
    </w:rPr>
  </w:style>
  <w:style w:type="character" w:customStyle="1" w:styleId="177">
    <w:name w:val="表格名称[858D7CFB-ED40-4347-BF05-701D383B685F]"/>
    <w:link w:val="178"/>
    <w:qFormat/>
    <w:uiPriority w:val="0"/>
    <w:rPr>
      <w:sz w:val="32"/>
    </w:rPr>
  </w:style>
  <w:style w:type="paragraph" w:customStyle="1" w:styleId="178">
    <w:name w:val="表格名称"/>
    <w:basedOn w:val="3"/>
    <w:link w:val="17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9">
    <w:name w:val="Char Char4"/>
    <w:qFormat/>
    <w:uiPriority w:val="0"/>
    <w:rPr>
      <w:rFonts w:eastAsia="宋体"/>
      <w:b/>
      <w:sz w:val="24"/>
      <w:lang w:val="en-GB" w:eastAsia="zh-CN" w:bidi="ar-SA"/>
    </w:rPr>
  </w:style>
  <w:style w:type="character" w:customStyle="1" w:styleId="180">
    <w:name w:val="c7 style3"/>
    <w:qFormat/>
    <w:uiPriority w:val="0"/>
  </w:style>
  <w:style w:type="character" w:customStyle="1" w:styleId="181">
    <w:name w:val="正文文本 3 Char1"/>
    <w:semiHidden/>
    <w:qFormat/>
    <w:uiPriority w:val="99"/>
    <w:rPr>
      <w:rFonts w:ascii="Times New Roman" w:hAnsi="Times New Roman" w:eastAsia="宋体" w:cs="Times New Roman"/>
      <w:sz w:val="16"/>
      <w:szCs w:val="16"/>
    </w:rPr>
  </w:style>
  <w:style w:type="character" w:customStyle="1" w:styleId="182">
    <w:name w:val="tw4winInternal"/>
    <w:qFormat/>
    <w:uiPriority w:val="0"/>
    <w:rPr>
      <w:rFonts w:ascii="Courier New" w:hAnsi="Courier New" w:cs="Courier New"/>
      <w:color w:val="FF0000"/>
      <w:lang w:val="en-US" w:eastAsia="zh-CN"/>
    </w:rPr>
  </w:style>
  <w:style w:type="character" w:customStyle="1" w:styleId="183">
    <w:name w:val="Char Char10"/>
    <w:semiHidden/>
    <w:qFormat/>
    <w:uiPriority w:val="0"/>
    <w:rPr>
      <w:rFonts w:ascii="宋体" w:hAnsi="宋体"/>
      <w:kern w:val="2"/>
      <w:sz w:val="21"/>
      <w:szCs w:val="24"/>
      <w:lang w:val="en-US" w:eastAsia="zh-CN"/>
    </w:rPr>
  </w:style>
  <w:style w:type="character" w:customStyle="1" w:styleId="184">
    <w:name w:val="shadow11"/>
    <w:qFormat/>
    <w:uiPriority w:val="0"/>
    <w:rPr>
      <w:color w:val="000000"/>
      <w:sz w:val="21"/>
    </w:rPr>
  </w:style>
  <w:style w:type="character" w:customStyle="1" w:styleId="185">
    <w:name w:val="正文非缩进 Char3"/>
    <w:qFormat/>
    <w:uiPriority w:val="0"/>
    <w:rPr>
      <w:rFonts w:ascii="宋体" w:eastAsia="宋体"/>
      <w:snapToGrid w:val="0"/>
      <w:color w:val="000000"/>
      <w:kern w:val="28"/>
      <w:sz w:val="28"/>
      <w:lang w:val="en-US" w:eastAsia="zh-CN" w:bidi="ar-SA"/>
    </w:rPr>
  </w:style>
  <w:style w:type="character" w:customStyle="1" w:styleId="186">
    <w:name w:val="Char Char"/>
    <w:qFormat/>
    <w:uiPriority w:val="0"/>
    <w:rPr>
      <w:rFonts w:ascii="宋体" w:hAnsi="Courier New" w:eastAsia="宋体"/>
      <w:kern w:val="2"/>
      <w:sz w:val="21"/>
      <w:lang w:val="en-US" w:eastAsia="zh-CN" w:bidi="ar-SA"/>
    </w:rPr>
  </w:style>
  <w:style w:type="character" w:customStyle="1" w:styleId="187">
    <w:name w:val="签名 Char1"/>
    <w:qFormat/>
    <w:uiPriority w:val="0"/>
    <w:rPr>
      <w:rFonts w:ascii="Times New Roman" w:hAnsi="Times New Roman" w:eastAsia="宋体" w:cs="Times New Roman"/>
      <w:szCs w:val="24"/>
    </w:rPr>
  </w:style>
  <w:style w:type="character" w:customStyle="1" w:styleId="188">
    <w:name w:val="日期 字符"/>
    <w:link w:val="36"/>
    <w:qFormat/>
    <w:uiPriority w:val="0"/>
    <w:rPr>
      <w:rFonts w:ascii="宋体"/>
      <w:kern w:val="2"/>
      <w:sz w:val="24"/>
      <w:szCs w:val="21"/>
      <w:lang w:val="zh-CN"/>
    </w:rPr>
  </w:style>
  <w:style w:type="character" w:customStyle="1" w:styleId="189">
    <w:name w:val="标题 9 字符"/>
    <w:link w:val="11"/>
    <w:qFormat/>
    <w:uiPriority w:val="0"/>
    <w:rPr>
      <w:rFonts w:ascii="Arial" w:hAnsi="Arial" w:eastAsia="黑体"/>
      <w:kern w:val="2"/>
      <w:sz w:val="21"/>
      <w:szCs w:val="21"/>
    </w:rPr>
  </w:style>
  <w:style w:type="character" w:customStyle="1" w:styleId="190">
    <w:name w:val="Char Char18"/>
    <w:qFormat/>
    <w:uiPriority w:val="6"/>
    <w:rPr>
      <w:rFonts w:ascii="宋体" w:hAnsi="宋体"/>
      <w:sz w:val="28"/>
    </w:rPr>
  </w:style>
  <w:style w:type="character" w:customStyle="1" w:styleId="191">
    <w:name w:val="批注文字 Char"/>
    <w:qFormat/>
    <w:uiPriority w:val="0"/>
    <w:rPr>
      <w:kern w:val="2"/>
      <w:sz w:val="21"/>
      <w:szCs w:val="24"/>
    </w:rPr>
  </w:style>
  <w:style w:type="character" w:customStyle="1" w:styleId="192">
    <w:name w:val="Char Char22"/>
    <w:qFormat/>
    <w:uiPriority w:val="6"/>
    <w:rPr>
      <w:rFonts w:ascii="宋体" w:hAnsi="宋体"/>
      <w:kern w:val="1"/>
      <w:sz w:val="24"/>
      <w:szCs w:val="24"/>
    </w:rPr>
  </w:style>
  <w:style w:type="character" w:customStyle="1" w:styleId="193">
    <w:name w:val="pt141"/>
    <w:qFormat/>
    <w:uiPriority w:val="0"/>
    <w:rPr>
      <w:color w:val="330066"/>
      <w:sz w:val="22"/>
      <w:szCs w:val="22"/>
    </w:rPr>
  </w:style>
  <w:style w:type="character" w:customStyle="1" w:styleId="194">
    <w:name w:val="正文文本缩进 2 Char1"/>
    <w:semiHidden/>
    <w:qFormat/>
    <w:uiPriority w:val="99"/>
    <w:rPr>
      <w:rFonts w:ascii="Times New Roman" w:hAnsi="Times New Roman" w:eastAsia="宋体" w:cs="Times New Roman"/>
      <w:szCs w:val="24"/>
    </w:rPr>
  </w:style>
  <w:style w:type="character" w:customStyle="1" w:styleId="195">
    <w:name w:val="批注框文本 字符1"/>
    <w:link w:val="39"/>
    <w:qFormat/>
    <w:uiPriority w:val="0"/>
    <w:rPr>
      <w:kern w:val="2"/>
      <w:sz w:val="18"/>
      <w:szCs w:val="18"/>
    </w:rPr>
  </w:style>
  <w:style w:type="character" w:customStyle="1" w:styleId="196">
    <w:name w:val="Char Char611"/>
    <w:qFormat/>
    <w:uiPriority w:val="0"/>
    <w:rPr>
      <w:rFonts w:eastAsia="宋体"/>
      <w:kern w:val="2"/>
      <w:sz w:val="21"/>
      <w:szCs w:val="24"/>
      <w:lang w:val="en-US" w:eastAsia="zh-CN" w:bidi="ar-SA"/>
    </w:rPr>
  </w:style>
  <w:style w:type="character" w:customStyle="1" w:styleId="197">
    <w:name w:val="highlight1"/>
    <w:qFormat/>
    <w:uiPriority w:val="0"/>
    <w:rPr>
      <w:rFonts w:ascii="仿宋_GB2312" w:eastAsia="微软雅黑"/>
      <w:b/>
      <w:kern w:val="2"/>
      <w:sz w:val="23"/>
      <w:szCs w:val="23"/>
      <w:lang w:val="en-US" w:eastAsia="zh-CN" w:bidi="ar-SA"/>
    </w:rPr>
  </w:style>
  <w:style w:type="character" w:customStyle="1" w:styleId="198">
    <w:name w:val="my正文 Char"/>
    <w:link w:val="199"/>
    <w:qFormat/>
    <w:locked/>
    <w:uiPriority w:val="0"/>
    <w:rPr>
      <w:rFonts w:ascii="Tahoma" w:hAnsi="Tahoma"/>
      <w:sz w:val="24"/>
      <w:szCs w:val="24"/>
    </w:rPr>
  </w:style>
  <w:style w:type="paragraph" w:customStyle="1" w:styleId="199">
    <w:name w:val="my正文"/>
    <w:basedOn w:val="1"/>
    <w:link w:val="198"/>
    <w:qFormat/>
    <w:uiPriority w:val="0"/>
    <w:pPr>
      <w:adjustRightInd/>
      <w:spacing w:line="360" w:lineRule="auto"/>
      <w:ind w:firstLine="480" w:firstLineChars="200"/>
    </w:pPr>
    <w:rPr>
      <w:rFonts w:ascii="Tahoma" w:hAnsi="Tahoma"/>
      <w:kern w:val="0"/>
      <w:sz w:val="24"/>
    </w:rPr>
  </w:style>
  <w:style w:type="character" w:customStyle="1" w:styleId="200">
    <w:name w:val="正文缩进 字符2"/>
    <w:link w:val="5"/>
    <w:qFormat/>
    <w:uiPriority w:val="0"/>
    <w:rPr>
      <w:rFonts w:ascii="宋体" w:eastAsia="宋体"/>
      <w:snapToGrid w:val="0"/>
      <w:color w:val="000000"/>
      <w:kern w:val="28"/>
      <w:sz w:val="28"/>
      <w:lang w:val="en-US" w:eastAsia="zh-CN" w:bidi="ar-SA"/>
    </w:rPr>
  </w:style>
  <w:style w:type="character" w:customStyle="1" w:styleId="201">
    <w:name w:val="Used by Word for text of Help footnotes Char Char1"/>
    <w:qFormat/>
    <w:uiPriority w:val="0"/>
    <w:rPr>
      <w:color w:val="0000FF"/>
      <w:sz w:val="21"/>
    </w:rPr>
  </w:style>
  <w:style w:type="character" w:customStyle="1" w:styleId="202">
    <w:name w:val="页眉 Char"/>
    <w:qFormat/>
    <w:uiPriority w:val="0"/>
    <w:rPr>
      <w:rFonts w:eastAsia="仿宋_GB2312"/>
      <w:kern w:val="2"/>
      <w:sz w:val="18"/>
      <w:lang w:val="en-US" w:eastAsia="zh-CN"/>
    </w:rPr>
  </w:style>
  <w:style w:type="character" w:customStyle="1" w:styleId="203">
    <w:name w:val="FA正文 Char Char"/>
    <w:qFormat/>
    <w:uiPriority w:val="0"/>
    <w:rPr>
      <w:rFonts w:hAnsi="宋体"/>
      <w:kern w:val="2"/>
      <w:sz w:val="24"/>
      <w:lang w:bidi="ar-SA"/>
    </w:rPr>
  </w:style>
  <w:style w:type="character" w:customStyle="1" w:styleId="204">
    <w:name w:val="纯文本 字符"/>
    <w:qFormat/>
    <w:uiPriority w:val="0"/>
    <w:rPr>
      <w:rFonts w:ascii="宋体" w:hAnsi="Courier New" w:eastAsia="宋体" w:cs="Arial"/>
      <w:snapToGrid w:val="0"/>
      <w:kern w:val="2"/>
      <w:sz w:val="21"/>
      <w:szCs w:val="21"/>
      <w:lang w:val="en-US" w:eastAsia="zh-CN" w:bidi="ar-SA"/>
    </w:rPr>
  </w:style>
  <w:style w:type="character" w:customStyle="1" w:styleId="205">
    <w:name w:val="3级 Char"/>
    <w:link w:val="206"/>
    <w:qFormat/>
    <w:uiPriority w:val="0"/>
    <w:rPr>
      <w:rFonts w:ascii="宋体" w:hAnsi="宋体"/>
      <w:b/>
      <w:bCs/>
      <w:snapToGrid/>
      <w:sz w:val="28"/>
    </w:rPr>
  </w:style>
  <w:style w:type="paragraph" w:customStyle="1" w:styleId="206">
    <w:name w:val="3级"/>
    <w:basedOn w:val="207"/>
    <w:link w:val="205"/>
    <w:qFormat/>
    <w:uiPriority w:val="0"/>
    <w:pPr>
      <w:ind w:left="0" w:right="466" w:firstLine="288"/>
    </w:pPr>
    <w:rPr>
      <w:rFonts w:hAnsi="宋体"/>
      <w:snapToGrid/>
    </w:rPr>
  </w:style>
  <w:style w:type="paragraph" w:customStyle="1" w:styleId="20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8">
    <w:name w:val="myp11"/>
    <w:qFormat/>
    <w:uiPriority w:val="0"/>
    <w:rPr>
      <w:rFonts w:ascii="仿宋_GB2312" w:eastAsia="微软雅黑"/>
      <w:b/>
      <w:kern w:val="2"/>
      <w:sz w:val="32"/>
      <w:szCs w:val="32"/>
      <w:lang w:val="en-US" w:eastAsia="zh-CN" w:bidi="ar-SA"/>
    </w:rPr>
  </w:style>
  <w:style w:type="character" w:customStyle="1" w:styleId="209">
    <w:name w:val="文档结构图 字符"/>
    <w:link w:val="19"/>
    <w:qFormat/>
    <w:uiPriority w:val="0"/>
    <w:rPr>
      <w:kern w:val="2"/>
      <w:sz w:val="21"/>
      <w:szCs w:val="24"/>
      <w:shd w:val="clear" w:color="auto" w:fill="000080"/>
    </w:rPr>
  </w:style>
  <w:style w:type="character" w:customStyle="1" w:styleId="210">
    <w:name w:val="H6 Char"/>
    <w:qFormat/>
    <w:uiPriority w:val="0"/>
    <w:rPr>
      <w:rFonts w:ascii="Arial" w:hAnsi="Arial" w:eastAsia="黑体"/>
      <w:b/>
      <w:bCs/>
      <w:kern w:val="2"/>
      <w:sz w:val="24"/>
      <w:szCs w:val="24"/>
    </w:rPr>
  </w:style>
  <w:style w:type="character" w:customStyle="1" w:styleId="211">
    <w:name w:val="Char Char91"/>
    <w:qFormat/>
    <w:uiPriority w:val="0"/>
    <w:rPr>
      <w:rFonts w:eastAsia="宋体"/>
      <w:kern w:val="2"/>
      <w:sz w:val="18"/>
      <w:szCs w:val="18"/>
      <w:lang w:val="en-US" w:eastAsia="zh-CN" w:bidi="ar-SA"/>
    </w:rPr>
  </w:style>
  <w:style w:type="character" w:customStyle="1" w:styleId="212">
    <w:name w:val="副标题 Char1"/>
    <w:qFormat/>
    <w:uiPriority w:val="0"/>
    <w:rPr>
      <w:rFonts w:ascii="Cambria" w:hAnsi="Cambria" w:eastAsia="宋体" w:cs="Times New Roman"/>
      <w:b/>
      <w:bCs/>
      <w:snapToGrid w:val="0"/>
      <w:kern w:val="28"/>
      <w:sz w:val="32"/>
      <w:szCs w:val="32"/>
    </w:rPr>
  </w:style>
  <w:style w:type="character" w:customStyle="1" w:styleId="213">
    <w:name w:val="font61"/>
    <w:qFormat/>
    <w:uiPriority w:val="0"/>
    <w:rPr>
      <w:rFonts w:hint="eastAsia" w:ascii="仿宋" w:hAnsi="仿宋" w:eastAsia="仿宋" w:cs="仿宋"/>
      <w:color w:val="000000"/>
      <w:sz w:val="20"/>
      <w:szCs w:val="20"/>
      <w:u w:val="none"/>
    </w:rPr>
  </w:style>
  <w:style w:type="character" w:customStyle="1" w:styleId="21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5">
    <w:name w:val="Char Char211"/>
    <w:qFormat/>
    <w:uiPriority w:val="0"/>
    <w:rPr>
      <w:rFonts w:eastAsia="宋体"/>
      <w:b/>
      <w:bCs/>
      <w:kern w:val="2"/>
      <w:sz w:val="21"/>
      <w:szCs w:val="24"/>
      <w:lang w:val="en-US" w:eastAsia="zh-CN" w:bidi="ar-SA"/>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72"/>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6"/>
    <w:qFormat/>
    <w:uiPriority w:val="0"/>
    <w:rPr>
      <w:rFonts w:ascii="仿宋_GB2312" w:hAnsi="仿宋" w:eastAsia="仿宋_GB2312" w:cs="仿宋_GB2312"/>
      <w:sz w:val="32"/>
      <w:szCs w:val="30"/>
      <w:lang w:val="zh-CN"/>
    </w:rPr>
  </w:style>
  <w:style w:type="character" w:customStyle="1" w:styleId="225">
    <w:name w:val="HTML 地址 字符"/>
    <w:link w:val="30"/>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6"/>
    <w:link w:val="22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字符"/>
    <w:link w:val="17"/>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87"/>
    <w:qFormat/>
    <w:uiPriority w:val="0"/>
    <w:rPr>
      <w:rFonts w:ascii="仿宋_GB2312" w:eastAsia="仿宋_GB2312" w:cs="仿宋_GB2312"/>
      <w:color w:val="000000"/>
      <w:sz w:val="24"/>
      <w:szCs w:val="24"/>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sz w:val="24"/>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263"/>
    <w:link w:val="261"/>
    <w:qFormat/>
    <w:uiPriority w:val="0"/>
    <w:pPr>
      <w:widowControl/>
      <w:adjustRightInd/>
      <w:spacing w:after="200" w:line="360" w:lineRule="auto"/>
      <w:ind w:left="720" w:firstLine="200" w:firstLineChars="200"/>
      <w:jc w:val="left"/>
    </w:pPr>
    <w:rPr>
      <w:kern w:val="0"/>
      <w:sz w:val="24"/>
      <w:szCs w:val="20"/>
      <w:lang w:eastAsia="en-US"/>
    </w:rPr>
  </w:style>
  <w:style w:type="paragraph" w:styleId="263">
    <w:name w:val="List Paragraph"/>
    <w:basedOn w:val="1"/>
    <w:qFormat/>
    <w:uiPriority w:val="34"/>
    <w:pPr>
      <w:spacing w:line="360" w:lineRule="auto"/>
      <w:ind w:firstLine="200" w:firstLineChars="200"/>
    </w:pPr>
    <w:rPr>
      <w:rFonts w:eastAsia="楷体_GB2312" w:cs="Lucida Sans"/>
      <w:sz w:val="24"/>
    </w:rPr>
  </w:style>
  <w:style w:type="character" w:customStyle="1" w:styleId="264">
    <w:name w:val="Char Char8"/>
    <w:qFormat/>
    <w:uiPriority w:val="0"/>
    <w:rPr>
      <w:rFonts w:eastAsia="宋体"/>
      <w:b/>
      <w:sz w:val="24"/>
      <w:lang w:val="en-GB" w:eastAsia="zh-CN"/>
    </w:rPr>
  </w:style>
  <w:style w:type="character" w:customStyle="1" w:styleId="265">
    <w:name w:val="Normal Indent Char Char"/>
    <w:qFormat/>
    <w:uiPriority w:val="0"/>
    <w:rPr>
      <w:rFonts w:eastAsia="宋体"/>
      <w:kern w:val="2"/>
      <w:sz w:val="21"/>
      <w:lang w:val="en-US" w:eastAsia="zh-CN" w:bidi="ar-SA"/>
    </w:rPr>
  </w:style>
  <w:style w:type="character" w:customStyle="1" w:styleId="266">
    <w:name w:val="列表段落 字符"/>
    <w:qFormat/>
    <w:uiPriority w:val="99"/>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方案正文 Char"/>
    <w:qFormat/>
    <w:uiPriority w:val="0"/>
    <w:rPr>
      <w:rFonts w:ascii="仿宋_GB2312" w:eastAsia="仿宋_GB2312"/>
      <w:b/>
      <w:color w:val="000000"/>
      <w:kern w:val="2"/>
      <w:sz w:val="24"/>
      <w:lang w:val="en-US" w:eastAsia="zh-CN" w:bidi="ar-SA"/>
    </w:rPr>
  </w:style>
  <w:style w:type="character" w:customStyle="1" w:styleId="269">
    <w:name w:val="Char Char30"/>
    <w:qFormat/>
    <w:uiPriority w:val="6"/>
    <w:rPr>
      <w:rFonts w:ascii="Arial" w:hAnsi="Arial" w:eastAsia="黑体"/>
      <w:kern w:val="1"/>
      <w:sz w:val="21"/>
      <w:szCs w:val="21"/>
    </w:rPr>
  </w:style>
  <w:style w:type="character" w:customStyle="1" w:styleId="270">
    <w:name w:val="正文文本缩进 字符1"/>
    <w:link w:val="25"/>
    <w:qFormat/>
    <w:uiPriority w:val="0"/>
    <w:rPr>
      <w:rFonts w:ascii="宋体" w:hAnsi="宋体"/>
      <w:kern w:val="2"/>
      <w:sz w:val="24"/>
      <w:szCs w:val="24"/>
    </w:rPr>
  </w:style>
  <w:style w:type="character" w:customStyle="1" w:styleId="271">
    <w:name w:val="font01"/>
    <w:basedOn w:val="72"/>
    <w:qFormat/>
    <w:uiPriority w:val="0"/>
    <w:rPr>
      <w:rFonts w:hint="eastAsia" w:ascii="微软雅黑" w:hAnsi="微软雅黑" w:eastAsia="微软雅黑" w:cs="微软雅黑"/>
      <w:color w:val="000000"/>
      <w:sz w:val="20"/>
      <w:szCs w:val="20"/>
      <w:u w:val="none"/>
    </w:rPr>
  </w:style>
  <w:style w:type="character" w:customStyle="1" w:styleId="272">
    <w:name w:val="Char Char20"/>
    <w:qFormat/>
    <w:uiPriority w:val="6"/>
    <w:rPr>
      <w:kern w:val="1"/>
      <w:sz w:val="24"/>
    </w:rPr>
  </w:style>
  <w:style w:type="character" w:customStyle="1" w:styleId="273">
    <w:name w:val="tw4winExternal"/>
    <w:qFormat/>
    <w:uiPriority w:val="0"/>
    <w:rPr>
      <w:rFonts w:ascii="Courier New" w:hAnsi="Courier New" w:cs="Courier New"/>
      <w:color w:val="808080"/>
      <w:lang w:val="en-US" w:eastAsia="zh-CN"/>
    </w:rPr>
  </w:style>
  <w:style w:type="character" w:customStyle="1" w:styleId="274">
    <w:name w:val="标题 4 Char1"/>
    <w:qFormat/>
    <w:uiPriority w:val="9"/>
    <w:rPr>
      <w:rFonts w:ascii="Cambria" w:hAnsi="Cambria" w:eastAsia="宋体" w:cs="Times New Roman"/>
      <w:b/>
      <w:bCs/>
      <w:kern w:val="2"/>
      <w:sz w:val="28"/>
      <w:szCs w:val="28"/>
    </w:rPr>
  </w:style>
  <w:style w:type="character" w:customStyle="1" w:styleId="275">
    <w:name w:val="批注文字 Char2"/>
    <w:qFormat/>
    <w:uiPriority w:val="99"/>
    <w:rPr>
      <w:rFonts w:ascii="Times New Roman" w:hAnsi="Times New Roman" w:eastAsia="宋体" w:cs="Times New Roman"/>
      <w:snapToGrid w:val="0"/>
      <w:kern w:val="0"/>
      <w:szCs w:val="24"/>
    </w:rPr>
  </w:style>
  <w:style w:type="character" w:customStyle="1" w:styleId="276">
    <w:name w:val="正文文本 2 Char"/>
    <w:qFormat/>
    <w:uiPriority w:val="0"/>
    <w:rPr>
      <w:rFonts w:eastAsia="宋体"/>
      <w:kern w:val="2"/>
      <w:sz w:val="21"/>
      <w:szCs w:val="24"/>
      <w:lang w:val="en-US" w:eastAsia="zh-CN" w:bidi="ar-SA"/>
    </w:rPr>
  </w:style>
  <w:style w:type="character" w:customStyle="1" w:styleId="277">
    <w:name w:val="Ò³Ã¼ Char Char"/>
    <w:qFormat/>
    <w:uiPriority w:val="0"/>
    <w:rPr>
      <w:rFonts w:eastAsia="宋体"/>
      <w:kern w:val="2"/>
      <w:sz w:val="18"/>
      <w:lang w:val="en-US" w:eastAsia="zh-CN" w:bidi="ar-SA"/>
    </w:rPr>
  </w:style>
  <w:style w:type="character" w:customStyle="1" w:styleId="278">
    <w:name w:val="message1"/>
    <w:qFormat/>
    <w:uiPriority w:val="0"/>
    <w:rPr>
      <w:rFonts w:hint="default" w:ascii="Tahoma" w:hAnsi="Tahoma" w:cs="Tahoma"/>
      <w:sz w:val="18"/>
      <w:szCs w:val="18"/>
    </w:rPr>
  </w:style>
  <w:style w:type="character" w:customStyle="1" w:styleId="279">
    <w:name w:val="Char Char23"/>
    <w:qFormat/>
    <w:uiPriority w:val="6"/>
    <w:rPr>
      <w:color w:val="0000FF"/>
      <w:sz w:val="21"/>
    </w:rPr>
  </w:style>
  <w:style w:type="character" w:customStyle="1" w:styleId="280">
    <w:name w:val="批注框文本 字符"/>
    <w:qFormat/>
    <w:uiPriority w:val="0"/>
    <w:rPr>
      <w:rFonts w:ascii="Arial" w:hAnsi="Arial" w:eastAsia="黑体" w:cs="Arial"/>
      <w:snapToGrid w:val="0"/>
      <w:kern w:val="0"/>
      <w:sz w:val="18"/>
      <w:szCs w:val="18"/>
    </w:rPr>
  </w:style>
  <w:style w:type="character" w:customStyle="1" w:styleId="281">
    <w:name w:val="纯文本 Char2"/>
    <w:semiHidden/>
    <w:qFormat/>
    <w:uiPriority w:val="99"/>
    <w:rPr>
      <w:rFonts w:ascii="宋体" w:hAnsi="Courier New" w:eastAsia="宋体" w:cs="Courier New"/>
    </w:rPr>
  </w:style>
  <w:style w:type="character" w:customStyle="1" w:styleId="282">
    <w:name w:val="Char Char25"/>
    <w:qFormat/>
    <w:uiPriority w:val="6"/>
    <w:rPr>
      <w:rFonts w:ascii="宋体" w:hAnsi="宋体"/>
      <w:kern w:val="1"/>
      <w:sz w:val="24"/>
      <w:lang w:val="zh-CN"/>
    </w:rPr>
  </w:style>
  <w:style w:type="character" w:customStyle="1" w:styleId="283">
    <w:name w:val="Char Char411"/>
    <w:qFormat/>
    <w:uiPriority w:val="0"/>
    <w:rPr>
      <w:rFonts w:eastAsia="宋体"/>
      <w:b/>
      <w:sz w:val="24"/>
      <w:lang w:val="en-GB" w:eastAsia="zh-CN" w:bidi="ar-SA"/>
    </w:rPr>
  </w:style>
  <w:style w:type="character" w:customStyle="1" w:styleId="284">
    <w:name w:val="Heading 7 Char"/>
    <w:qFormat/>
    <w:locked/>
    <w:uiPriority w:val="0"/>
    <w:rPr>
      <w:rFonts w:ascii="宋体" w:hAnsi="宋体" w:eastAsia="宋体"/>
      <w:b/>
      <w:bCs/>
      <w:kern w:val="2"/>
      <w:sz w:val="24"/>
      <w:szCs w:val="24"/>
      <w:lang w:val="en-US" w:eastAsia="zh-CN" w:bidi="ar-SA"/>
    </w:rPr>
  </w:style>
  <w:style w:type="character" w:customStyle="1" w:styleId="285">
    <w:name w:val="此正文 Char"/>
    <w:link w:val="286"/>
    <w:qFormat/>
    <w:uiPriority w:val="0"/>
    <w:rPr>
      <w:kern w:val="2"/>
      <w:sz w:val="24"/>
      <w:szCs w:val="24"/>
    </w:rPr>
  </w:style>
  <w:style w:type="paragraph" w:customStyle="1" w:styleId="286">
    <w:name w:val="此正文"/>
    <w:basedOn w:val="1"/>
    <w:link w:val="285"/>
    <w:qFormat/>
    <w:uiPriority w:val="0"/>
    <w:pPr>
      <w:adjustRightInd/>
      <w:spacing w:line="360" w:lineRule="auto"/>
      <w:ind w:firstLine="200" w:firstLineChars="200"/>
    </w:pPr>
    <w:rPr>
      <w:sz w:val="24"/>
    </w:rPr>
  </w:style>
  <w:style w:type="character" w:customStyle="1" w:styleId="287">
    <w:name w:val="Char Char2"/>
    <w:qFormat/>
    <w:uiPriority w:val="0"/>
    <w:rPr>
      <w:rFonts w:eastAsia="宋体"/>
      <w:b/>
      <w:bCs/>
      <w:kern w:val="2"/>
      <w:sz w:val="21"/>
      <w:szCs w:val="24"/>
      <w:lang w:val="en-US" w:eastAsia="zh-CN" w:bidi="ar-SA"/>
    </w:rPr>
  </w:style>
  <w:style w:type="character" w:customStyle="1" w:styleId="288">
    <w:name w:val="标题 1 字符1"/>
    <w:link w:val="2"/>
    <w:qFormat/>
    <w:uiPriority w:val="9"/>
    <w:rPr>
      <w:b/>
      <w:bCs/>
      <w:kern w:val="44"/>
      <w:sz w:val="44"/>
      <w:szCs w:val="44"/>
    </w:rPr>
  </w:style>
  <w:style w:type="character" w:customStyle="1" w:styleId="289">
    <w:name w:val="Footer-Even Char1"/>
    <w:qFormat/>
    <w:uiPriority w:val="0"/>
    <w:rPr>
      <w:rFonts w:eastAsia="宋体"/>
      <w:kern w:val="2"/>
      <w:sz w:val="18"/>
      <w:szCs w:val="18"/>
      <w:lang w:val="en-US" w:eastAsia="zh-CN" w:bidi="ar-SA"/>
    </w:rPr>
  </w:style>
  <w:style w:type="character" w:customStyle="1" w:styleId="290">
    <w:name w:val="Char Char29"/>
    <w:qFormat/>
    <w:uiPriority w:val="6"/>
    <w:rPr>
      <w:rFonts w:ascii="Arial" w:hAnsi="Arial" w:eastAsia="微软雅黑"/>
      <w:b/>
      <w:kern w:val="1"/>
      <w:sz w:val="44"/>
      <w:szCs w:val="32"/>
      <w:lang w:val="en-US" w:eastAsia="zh-CN" w:bidi="ar-SA"/>
    </w:rPr>
  </w:style>
  <w:style w:type="character" w:customStyle="1" w:styleId="291">
    <w:name w:val="标题 字符"/>
    <w:link w:val="60"/>
    <w:qFormat/>
    <w:uiPriority w:val="10"/>
    <w:rPr>
      <w:b/>
      <w:sz w:val="24"/>
      <w:lang w:val="en-GB"/>
    </w:rPr>
  </w:style>
  <w:style w:type="character" w:customStyle="1" w:styleId="292">
    <w:name w:val="font81"/>
    <w:basedOn w:val="72"/>
    <w:qFormat/>
    <w:uiPriority w:val="0"/>
    <w:rPr>
      <w:rFonts w:ascii="微软雅黑" w:hAnsi="微软雅黑" w:eastAsia="微软雅黑" w:cs="微软雅黑"/>
      <w:color w:val="000000"/>
      <w:sz w:val="20"/>
      <w:szCs w:val="20"/>
      <w:u w:val="none"/>
    </w:rPr>
  </w:style>
  <w:style w:type="character" w:customStyle="1" w:styleId="293">
    <w:name w:val="Char Char312"/>
    <w:qFormat/>
    <w:uiPriority w:val="0"/>
    <w:rPr>
      <w:rFonts w:ascii="Times New Roman" w:hAnsi="Times New Roman" w:eastAsia="宋体" w:cs="Times New Roman"/>
      <w:b/>
      <w:kern w:val="2"/>
      <w:sz w:val="32"/>
      <w:szCs w:val="24"/>
      <w:lang w:val="en-US" w:eastAsia="zh-CN" w:bidi="ar-SA"/>
    </w:rPr>
  </w:style>
  <w:style w:type="character" w:customStyle="1" w:styleId="294">
    <w:name w:val="t21"/>
    <w:qFormat/>
    <w:uiPriority w:val="0"/>
    <w:rPr>
      <w:rFonts w:ascii="仿宋_GB2312" w:eastAsia="微软雅黑"/>
      <w:b/>
      <w:kern w:val="2"/>
      <w:sz w:val="23"/>
      <w:szCs w:val="23"/>
      <w:lang w:val="en-US" w:eastAsia="zh-CN" w:bidi="ar-SA"/>
    </w:rPr>
  </w:style>
  <w:style w:type="character" w:customStyle="1" w:styleId="295">
    <w:name w:val="样式8 Char"/>
    <w:qFormat/>
    <w:uiPriority w:val="0"/>
    <w:rPr>
      <w:rFonts w:ascii="仿宋_GB2312" w:hAnsi="宋体" w:eastAsia="仿宋_GB2312"/>
      <w:b/>
      <w:bCs/>
      <w:kern w:val="2"/>
      <w:sz w:val="24"/>
      <w:szCs w:val="24"/>
    </w:rPr>
  </w:style>
  <w:style w:type="character" w:customStyle="1" w:styleId="296">
    <w:name w:val="表格 Char Char"/>
    <w:qFormat/>
    <w:uiPriority w:val="0"/>
    <w:rPr>
      <w:rFonts w:ascii="宋体" w:hAnsi="宋体" w:eastAsia="宋体"/>
      <w:lang w:bidi="ar-SA"/>
    </w:rPr>
  </w:style>
  <w:style w:type="character" w:customStyle="1" w:styleId="297">
    <w:name w:val="正文文本 字符1"/>
    <w:qFormat/>
    <w:uiPriority w:val="0"/>
    <w:rPr>
      <w:rFonts w:ascii="Calibri" w:hAnsi="Calibri" w:eastAsia="黑体" w:cs="Arial"/>
      <w:snapToGrid w:val="0"/>
      <w:kern w:val="2"/>
      <w:sz w:val="28"/>
      <w:szCs w:val="21"/>
    </w:rPr>
  </w:style>
  <w:style w:type="character" w:customStyle="1" w:styleId="298">
    <w:name w:val="标题 5 字符"/>
    <w:link w:val="7"/>
    <w:qFormat/>
    <w:uiPriority w:val="9"/>
    <w:rPr>
      <w:b/>
      <w:bCs/>
      <w:kern w:val="2"/>
      <w:sz w:val="28"/>
      <w:szCs w:val="28"/>
    </w:rPr>
  </w:style>
  <w:style w:type="character" w:customStyle="1" w:styleId="299">
    <w:name w:val="标题 6 Char1"/>
    <w:qFormat/>
    <w:uiPriority w:val="0"/>
    <w:rPr>
      <w:rFonts w:ascii="Arial" w:hAnsi="Arial" w:eastAsia="黑体" w:cs="Times New Roman"/>
      <w:b/>
      <w:sz w:val="24"/>
      <w:szCs w:val="20"/>
      <w:lang w:bidi="ar-SA"/>
    </w:rPr>
  </w:style>
  <w:style w:type="character" w:customStyle="1" w:styleId="300">
    <w:name w:val="带编号样式 Char"/>
    <w:qFormat/>
    <w:uiPriority w:val="0"/>
    <w:rPr>
      <w:rFonts w:ascii="仿宋_GB2312" w:eastAsia="仿宋_GB2312"/>
      <w:color w:val="000000"/>
      <w:sz w:val="24"/>
      <w:lang w:bidi="ar-SA"/>
    </w:rPr>
  </w:style>
  <w:style w:type="character" w:customStyle="1" w:styleId="301">
    <w:name w:val="unnamed31"/>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qFormat/>
    <w:uiPriority w:val="0"/>
    <w:rPr>
      <w:rFonts w:ascii="宋体" w:eastAsia="宋体"/>
      <w:kern w:val="2"/>
      <w:sz w:val="24"/>
      <w:szCs w:val="24"/>
      <w:lang w:val="zh-CN" w:bidi="ar-SA"/>
    </w:rPr>
  </w:style>
  <w:style w:type="character" w:customStyle="1" w:styleId="303">
    <w:name w:val="称呼 字符"/>
    <w:link w:val="21"/>
    <w:qFormat/>
    <w:uiPriority w:val="0"/>
    <w:rPr>
      <w:rFonts w:ascii="仿宋_GB2312" w:eastAsia="仿宋_GB2312"/>
      <w:kern w:val="2"/>
      <w:sz w:val="28"/>
    </w:rPr>
  </w:style>
  <w:style w:type="character" w:customStyle="1" w:styleId="304">
    <w:name w:val="文本正文 Char Char"/>
    <w:qFormat/>
    <w:locked/>
    <w:uiPriority w:val="0"/>
    <w:rPr>
      <w:sz w:val="24"/>
      <w:lang w:bidi="ar-SA"/>
    </w:rPr>
  </w:style>
  <w:style w:type="character" w:customStyle="1" w:styleId="305">
    <w:name w:val="正文缩进 字符"/>
    <w:qFormat/>
    <w:uiPriority w:val="0"/>
    <w:rPr>
      <w:rFonts w:ascii="宋体" w:eastAsia="宋体"/>
      <w:snapToGrid w:val="0"/>
      <w:color w:val="000000"/>
      <w:kern w:val="28"/>
      <w:sz w:val="28"/>
      <w:lang w:val="en-US" w:eastAsia="zh-CN" w:bidi="ar-SA"/>
    </w:rPr>
  </w:style>
  <w:style w:type="character" w:customStyle="1" w:styleId="306">
    <w:name w:val="HTML 预设格式 字符"/>
    <w:link w:val="58"/>
    <w:qFormat/>
    <w:uiPriority w:val="0"/>
    <w:rPr>
      <w:rFonts w:ascii="黑体" w:hAnsi="Courier New" w:eastAsia="黑体"/>
    </w:rPr>
  </w:style>
  <w:style w:type="character" w:customStyle="1" w:styleId="307">
    <w:name w:val="正文文本 2 字符1"/>
    <w:link w:val="57"/>
    <w:qFormat/>
    <w:uiPriority w:val="0"/>
    <w:rPr>
      <w:kern w:val="2"/>
      <w:sz w:val="21"/>
      <w:szCs w:val="24"/>
    </w:rPr>
  </w:style>
  <w:style w:type="character" w:customStyle="1" w:styleId="308">
    <w:name w:val="样式 样式 标题 4h4H4Fab-4T5Ref Heading 1rh1Heading sqlsect 1.2.3.... +... Char"/>
    <w:link w:val="309"/>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qFormat/>
    <w:uiPriority w:val="0"/>
    <w:pPr>
      <w:tabs>
        <w:tab w:val="left" w:pos="2356"/>
      </w:tabs>
    </w:pPr>
  </w:style>
  <w:style w:type="paragraph" w:customStyle="1" w:styleId="310">
    <w:name w:val="样式 标题 4h4H4Fab-4T5Ref Heading 1rh1Heading sqlsect 1.2.3...."/>
    <w:basedOn w:val="6"/>
    <w:link w:val="4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qFormat/>
    <w:uiPriority w:val="0"/>
    <w:rPr>
      <w:rFonts w:ascii="宋体" w:eastAsia="宋体"/>
      <w:snapToGrid w:val="0"/>
      <w:color w:val="000000"/>
      <w:kern w:val="28"/>
      <w:sz w:val="28"/>
      <w:lang w:val="en-US" w:eastAsia="zh-CN" w:bidi="ar-SA"/>
    </w:rPr>
  </w:style>
  <w:style w:type="character" w:customStyle="1" w:styleId="312">
    <w:name w:val="标题 7 字符"/>
    <w:link w:val="9"/>
    <w:qFormat/>
    <w:uiPriority w:val="0"/>
    <w:rPr>
      <w:b/>
      <w:bCs/>
      <w:kern w:val="2"/>
      <w:sz w:val="24"/>
      <w:szCs w:val="24"/>
    </w:rPr>
  </w:style>
  <w:style w:type="character" w:customStyle="1" w:styleId="313">
    <w:name w:val="正文文本缩进 2 字符"/>
    <w:link w:val="37"/>
    <w:qFormat/>
    <w:uiPriority w:val="0"/>
    <w:rPr>
      <w:rFonts w:ascii="宋体"/>
      <w:sz w:val="28"/>
    </w:rPr>
  </w:style>
  <w:style w:type="character" w:customStyle="1" w:styleId="314">
    <w:name w:val="Char Char5"/>
    <w:qFormat/>
    <w:uiPriority w:val="0"/>
    <w:rPr>
      <w:rFonts w:ascii="宋体" w:hAnsi="Courier New" w:eastAsia="宋体"/>
      <w:kern w:val="2"/>
      <w:sz w:val="21"/>
      <w:lang w:val="en-US" w:eastAsia="zh-CN"/>
    </w:rPr>
  </w:style>
  <w:style w:type="character" w:customStyle="1" w:styleId="315">
    <w:name w:val="脚注文本 字符"/>
    <w:link w:val="51"/>
    <w:qFormat/>
    <w:uiPriority w:val="0"/>
    <w:rPr>
      <w:color w:val="0000FF"/>
      <w:sz w:val="21"/>
    </w:rPr>
  </w:style>
  <w:style w:type="character" w:customStyle="1" w:styleId="316">
    <w:name w:val="称呼 Char1"/>
    <w:qFormat/>
    <w:uiPriority w:val="0"/>
    <w:rPr>
      <w:rFonts w:ascii="Times New Roman" w:hAnsi="Times New Roman" w:eastAsia="宋体" w:cs="Times New Roman"/>
      <w:szCs w:val="24"/>
    </w:rPr>
  </w:style>
  <w:style w:type="character" w:customStyle="1" w:styleId="317">
    <w:name w:val="正文1 Char"/>
    <w:qFormat/>
    <w:uiPriority w:val="0"/>
    <w:rPr>
      <w:rFonts w:ascii="宋体" w:eastAsia="宋体"/>
      <w:snapToGrid w:val="0"/>
      <w:color w:val="000000"/>
      <w:kern w:val="28"/>
      <w:sz w:val="28"/>
      <w:lang w:val="en-US" w:eastAsia="zh-CN" w:bidi="ar-SA"/>
    </w:rPr>
  </w:style>
  <w:style w:type="character" w:customStyle="1" w:styleId="318">
    <w:name w:val="正文缩进 Char1"/>
    <w:qFormat/>
    <w:uiPriority w:val="0"/>
    <w:rPr>
      <w:rFonts w:ascii="宋体" w:eastAsia="宋体"/>
      <w:snapToGrid w:val="0"/>
      <w:color w:val="000000"/>
      <w:kern w:val="28"/>
      <w:sz w:val="28"/>
      <w:lang w:val="en-US" w:eastAsia="zh-CN" w:bidi="ar-SA"/>
    </w:rPr>
  </w:style>
  <w:style w:type="character" w:customStyle="1" w:styleId="319">
    <w:name w:val="font21"/>
    <w:basedOn w:val="72"/>
    <w:qFormat/>
    <w:uiPriority w:val="0"/>
    <w:rPr>
      <w:rFonts w:hint="eastAsia" w:ascii="宋体" w:hAnsi="宋体" w:eastAsia="宋体"/>
      <w:kern w:val="2"/>
      <w:sz w:val="28"/>
      <w:szCs w:val="28"/>
      <w:lang w:val="en-US" w:eastAsia="zh-CN" w:bidi="ar-SA"/>
    </w:rPr>
  </w:style>
  <w:style w:type="character" w:customStyle="1" w:styleId="320">
    <w:name w:val="Char Char26"/>
    <w:qFormat/>
    <w:uiPriority w:val="6"/>
    <w:rPr>
      <w:kern w:val="1"/>
      <w:sz w:val="21"/>
      <w:szCs w:val="24"/>
    </w:rPr>
  </w:style>
  <w:style w:type="character" w:customStyle="1" w:styleId="321">
    <w:name w:val="Item List Char"/>
    <w:link w:val="322"/>
    <w:qFormat/>
    <w:uiPriority w:val="0"/>
    <w:rPr>
      <w:rFonts w:ascii="Arial"/>
      <w:bCs/>
      <w:sz w:val="21"/>
      <w:szCs w:val="21"/>
      <w:lang w:val="en-US" w:eastAsia="zh-CN" w:bidi="ar-SA"/>
    </w:rPr>
  </w:style>
  <w:style w:type="paragraph" w:customStyle="1" w:styleId="322">
    <w:name w:val="Item List"/>
    <w:link w:val="32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qFormat/>
    <w:uiPriority w:val="0"/>
    <w:rPr>
      <w:rFonts w:ascii="Times New Roman" w:hAnsi="Times New Roman" w:eastAsia="宋体" w:cs="Times New Roman"/>
      <w:sz w:val="18"/>
      <w:szCs w:val="18"/>
    </w:rPr>
  </w:style>
  <w:style w:type="character" w:customStyle="1" w:styleId="324">
    <w:name w:val="纯文本 Char1"/>
    <w:link w:val="325"/>
    <w:qFormat/>
    <w:uiPriority w:val="0"/>
    <w:rPr>
      <w:rFonts w:ascii="宋体" w:hAnsi="Courier New"/>
    </w:rPr>
  </w:style>
  <w:style w:type="paragraph" w:customStyle="1" w:styleId="325">
    <w:name w:val="纯文本1"/>
    <w:basedOn w:val="1"/>
    <w:link w:val="324"/>
    <w:qFormat/>
    <w:uiPriority w:val="0"/>
    <w:pPr>
      <w:adjustRightInd/>
    </w:pPr>
    <w:rPr>
      <w:rFonts w:ascii="宋体" w:hAnsi="Courier New"/>
      <w:kern w:val="0"/>
      <w:sz w:val="20"/>
      <w:szCs w:val="20"/>
    </w:rPr>
  </w:style>
  <w:style w:type="character" w:customStyle="1" w:styleId="326">
    <w:name w:val="正文文本首行缩进 字符"/>
    <w:link w:val="62"/>
    <w:qFormat/>
    <w:uiPriority w:val="0"/>
    <w:rPr>
      <w:rFonts w:ascii="宋体"/>
      <w:kern w:val="2"/>
      <w:sz w:val="24"/>
      <w:lang w:val="zh-CN"/>
    </w:rPr>
  </w:style>
  <w:style w:type="character" w:customStyle="1" w:styleId="327">
    <w:name w:val="h3 Char"/>
    <w:qFormat/>
    <w:uiPriority w:val="0"/>
    <w:rPr>
      <w:rFonts w:eastAsia="宋体"/>
      <w:b/>
      <w:kern w:val="2"/>
      <w:sz w:val="32"/>
      <w:lang w:val="en-US" w:eastAsia="zh-CN" w:bidi="ar-SA"/>
    </w:rPr>
  </w:style>
  <w:style w:type="character" w:customStyle="1" w:styleId="328">
    <w:name w:val="dandyren_title1"/>
    <w:qFormat/>
    <w:uiPriority w:val="0"/>
    <w:rPr>
      <w:b/>
      <w:bCs/>
      <w:color w:val="FF6633"/>
      <w:sz w:val="18"/>
      <w:szCs w:val="18"/>
    </w:rPr>
  </w:style>
  <w:style w:type="character" w:customStyle="1" w:styleId="329">
    <w:name w:val="Char Char31"/>
    <w:qFormat/>
    <w:uiPriority w:val="6"/>
    <w:rPr>
      <w:rFonts w:ascii="Arial" w:hAnsi="Arial" w:eastAsia="黑体"/>
      <w:kern w:val="1"/>
      <w:sz w:val="24"/>
      <w:szCs w:val="24"/>
    </w:rPr>
  </w:style>
  <w:style w:type="character" w:customStyle="1" w:styleId="330">
    <w:name w:val="h Char1"/>
    <w:qFormat/>
    <w:uiPriority w:val="0"/>
    <w:rPr>
      <w:sz w:val="18"/>
      <w:szCs w:val="18"/>
    </w:rPr>
  </w:style>
  <w:style w:type="character" w:customStyle="1" w:styleId="331">
    <w:name w:val="solutionfonts"/>
    <w:qFormat/>
    <w:uiPriority w:val="0"/>
  </w:style>
  <w:style w:type="character" w:customStyle="1" w:styleId="332">
    <w:name w:val="标题 4 字符1"/>
    <w:link w:val="6"/>
    <w:qFormat/>
    <w:uiPriority w:val="9"/>
    <w:rPr>
      <w:rFonts w:ascii="Arial" w:hAnsi="Arial" w:eastAsia="黑体"/>
      <w:b/>
      <w:bCs/>
      <w:kern w:val="2"/>
      <w:sz w:val="28"/>
      <w:szCs w:val="28"/>
      <w:lang w:val="zh-CN"/>
    </w:rPr>
  </w:style>
  <w:style w:type="character" w:customStyle="1" w:styleId="333">
    <w:name w:val="首行缩进 Char"/>
    <w:qFormat/>
    <w:uiPriority w:val="0"/>
    <w:rPr>
      <w:rFonts w:ascii="宋体" w:eastAsia="宋体"/>
      <w:kern w:val="2"/>
      <w:sz w:val="24"/>
      <w:lang w:val="en-US" w:eastAsia="zh-CN" w:bidi="ar-SA"/>
    </w:rPr>
  </w:style>
  <w:style w:type="character" w:customStyle="1" w:styleId="334">
    <w:name w:val="Char Char52"/>
    <w:qFormat/>
    <w:uiPriority w:val="0"/>
    <w:rPr>
      <w:rFonts w:ascii="宋体" w:hAnsi="Courier New" w:eastAsia="宋体"/>
      <w:kern w:val="2"/>
      <w:sz w:val="21"/>
      <w:lang w:val="en-US" w:eastAsia="zh-CN"/>
    </w:rPr>
  </w:style>
  <w:style w:type="character" w:customStyle="1" w:styleId="335">
    <w:name w:val="正文文本 3 字符"/>
    <w:link w:val="22"/>
    <w:qFormat/>
    <w:uiPriority w:val="0"/>
    <w:rPr>
      <w:kern w:val="2"/>
      <w:sz w:val="21"/>
    </w:rPr>
  </w:style>
  <w:style w:type="character" w:customStyle="1" w:styleId="336">
    <w:name w:val="font31"/>
    <w:basedOn w:val="72"/>
    <w:qFormat/>
    <w:uiPriority w:val="0"/>
    <w:rPr>
      <w:rFonts w:hint="eastAsia" w:ascii="仿宋" w:hAnsi="仿宋" w:eastAsia="仿宋" w:cs="仿宋"/>
      <w:color w:val="000000"/>
      <w:sz w:val="20"/>
      <w:szCs w:val="20"/>
      <w:u w:val="none"/>
    </w:rPr>
  </w:style>
  <w:style w:type="character" w:customStyle="1" w:styleId="337">
    <w:name w:val="正文说明 Char"/>
    <w:link w:val="338"/>
    <w:qFormat/>
    <w:uiPriority w:val="0"/>
    <w:rPr>
      <w:sz w:val="24"/>
      <w:szCs w:val="24"/>
    </w:rPr>
  </w:style>
  <w:style w:type="paragraph" w:customStyle="1" w:styleId="338">
    <w:name w:val="正文说明"/>
    <w:basedOn w:val="1"/>
    <w:link w:val="337"/>
    <w:qFormat/>
    <w:uiPriority w:val="0"/>
    <w:pPr>
      <w:adjustRightInd/>
      <w:spacing w:line="360" w:lineRule="auto"/>
    </w:pPr>
    <w:rPr>
      <w:kern w:val="0"/>
      <w:sz w:val="24"/>
    </w:rPr>
  </w:style>
  <w:style w:type="character" w:customStyle="1" w:styleId="339">
    <w:name w:val="脚注文本 Char1"/>
    <w:qFormat/>
    <w:uiPriority w:val="0"/>
    <w:rPr>
      <w:rFonts w:ascii="Times New Roman" w:hAnsi="Times New Roman" w:eastAsia="宋体" w:cs="Times New Roman"/>
      <w:sz w:val="18"/>
      <w:szCs w:val="18"/>
    </w:rPr>
  </w:style>
  <w:style w:type="character" w:customStyle="1" w:styleId="340">
    <w:name w:val="Char Char1211"/>
    <w:qFormat/>
    <w:uiPriority w:val="0"/>
    <w:rPr>
      <w:rFonts w:ascii="仿宋_GB2312" w:eastAsia="仿宋_GB2312"/>
      <w:b/>
      <w:bCs/>
      <w:kern w:val="2"/>
      <w:sz w:val="24"/>
      <w:szCs w:val="24"/>
      <w:lang w:val="zh-CN" w:eastAsia="zh-CN" w:bidi="ar-SA"/>
    </w:rPr>
  </w:style>
  <w:style w:type="character" w:customStyle="1" w:styleId="341">
    <w:name w:val="标题 Char"/>
    <w:qFormat/>
    <w:uiPriority w:val="0"/>
    <w:rPr>
      <w:rFonts w:eastAsia="宋体"/>
      <w:b/>
      <w:sz w:val="24"/>
      <w:lang w:val="en-GB" w:eastAsia="zh-CN" w:bidi="ar-SA"/>
    </w:rPr>
  </w:style>
  <w:style w:type="character" w:customStyle="1" w:styleId="342">
    <w:name w:val="Char Char35"/>
    <w:qFormat/>
    <w:uiPriority w:val="6"/>
    <w:rPr>
      <w:rFonts w:ascii="Arial" w:hAnsi="Arial" w:eastAsia="黑体"/>
      <w:b/>
      <w:kern w:val="1"/>
      <w:sz w:val="28"/>
      <w:szCs w:val="28"/>
      <w:lang w:val="zh-CN"/>
    </w:rPr>
  </w:style>
  <w:style w:type="character" w:customStyle="1" w:styleId="343">
    <w:name w:val="纯文本 Char Char Char"/>
    <w:qFormat/>
    <w:uiPriority w:val="0"/>
    <w:rPr>
      <w:rFonts w:ascii="宋体" w:hAnsi="Courier New" w:eastAsia="宋体"/>
      <w:kern w:val="2"/>
      <w:sz w:val="21"/>
      <w:lang w:val="en-US" w:eastAsia="zh-CN" w:bidi="ar-SA"/>
    </w:rPr>
  </w:style>
  <w:style w:type="character" w:customStyle="1" w:styleId="344">
    <w:name w:val="Table Text Char"/>
    <w:link w:val="345"/>
    <w:qFormat/>
    <w:uiPriority w:val="0"/>
    <w:rPr>
      <w:sz w:val="24"/>
      <w:szCs w:val="24"/>
    </w:rPr>
  </w:style>
  <w:style w:type="paragraph" w:customStyle="1" w:styleId="345">
    <w:name w:val="Table Text"/>
    <w:basedOn w:val="1"/>
    <w:link w:val="344"/>
    <w:qFormat/>
    <w:uiPriority w:val="0"/>
    <w:pPr>
      <w:widowControl/>
      <w:spacing w:before="60" w:after="60"/>
      <w:jc w:val="left"/>
    </w:pPr>
    <w:rPr>
      <w:kern w:val="0"/>
      <w:sz w:val="24"/>
    </w:rPr>
  </w:style>
  <w:style w:type="character" w:customStyle="1" w:styleId="346">
    <w:name w:val="正文1 Char1"/>
    <w:qFormat/>
    <w:uiPriority w:val="0"/>
    <w:rPr>
      <w:rFonts w:ascii="仿宋_GB2312" w:hAnsi="Courier New" w:eastAsia="仿宋_GB2312"/>
      <w:kern w:val="28"/>
      <w:sz w:val="24"/>
      <w:szCs w:val="24"/>
      <w:lang w:val="en-US" w:eastAsia="zh-CN"/>
    </w:rPr>
  </w:style>
  <w:style w:type="character" w:customStyle="1" w:styleId="347">
    <w:name w:val="页脚 Char1"/>
    <w:qFormat/>
    <w:uiPriority w:val="0"/>
    <w:rPr>
      <w:rFonts w:eastAsia="宋体"/>
      <w:kern w:val="2"/>
      <w:sz w:val="18"/>
      <w:szCs w:val="18"/>
      <w:lang w:val="en-US" w:eastAsia="zh-CN" w:bidi="ar-SA"/>
    </w:rPr>
  </w:style>
  <w:style w:type="character" w:customStyle="1" w:styleId="348">
    <w:name w:val="Bold"/>
    <w:qFormat/>
    <w:uiPriority w:val="0"/>
    <w:rPr>
      <w:rFonts w:ascii="Arial" w:hAnsi="Arial" w:eastAsia="黑体" w:cs="Times New Roman"/>
      <w:b/>
      <w:kern w:val="2"/>
      <w:sz w:val="32"/>
      <w:szCs w:val="32"/>
      <w:lang w:val="en-US" w:eastAsia="zh-CN" w:bidi="ar-SA"/>
    </w:rPr>
  </w:style>
  <w:style w:type="character" w:customStyle="1" w:styleId="349">
    <w:name w:val="批注文字 字符1"/>
    <w:link w:val="20"/>
    <w:qFormat/>
    <w:uiPriority w:val="0"/>
    <w:rPr>
      <w:kern w:val="2"/>
      <w:sz w:val="21"/>
      <w:szCs w:val="24"/>
    </w:rPr>
  </w:style>
  <w:style w:type="character" w:customStyle="1" w:styleId="350">
    <w:name w:val="签名 字符"/>
    <w:link w:val="43"/>
    <w:qFormat/>
    <w:uiPriority w:val="0"/>
    <w:rPr>
      <w:rFonts w:eastAsia="仿宋_GB2312"/>
      <w:sz w:val="24"/>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标题 4 字符"/>
    <w:qFormat/>
    <w:uiPriority w:val="9"/>
    <w:rPr>
      <w:rFonts w:ascii="等线 Light" w:hAnsi="等线 Light" w:eastAsia="等线 Light" w:cs="Times New Roman"/>
      <w:b/>
      <w:bCs/>
      <w:snapToGrid w:val="0"/>
      <w:kern w:val="0"/>
      <w:sz w:val="28"/>
      <w:szCs w:val="28"/>
    </w:rPr>
  </w:style>
  <w:style w:type="character" w:customStyle="1" w:styleId="354">
    <w:name w:val="Char Char37"/>
    <w:qFormat/>
    <w:uiPriority w:val="6"/>
    <w:rPr>
      <w:b/>
      <w:kern w:val="1"/>
      <w:sz w:val="44"/>
      <w:szCs w:val="44"/>
    </w:rPr>
  </w:style>
  <w:style w:type="character" w:customStyle="1" w:styleId="355">
    <w:name w:val="列出段落 Char"/>
    <w:qFormat/>
    <w:uiPriority w:val="0"/>
    <w:rPr>
      <w:rFonts w:eastAsia="楷体_GB2312" w:cs="Lucida Sans"/>
      <w:kern w:val="2"/>
      <w:sz w:val="24"/>
      <w:szCs w:val="24"/>
      <w:lang w:val="en-US" w:eastAsia="zh-CN" w:bidi="ar-SA"/>
    </w:rPr>
  </w:style>
  <w:style w:type="character" w:customStyle="1" w:styleId="356">
    <w:name w:val="正文文本缩进 3 Char1"/>
    <w:semiHidden/>
    <w:qFormat/>
    <w:uiPriority w:val="99"/>
    <w:rPr>
      <w:rFonts w:ascii="Times New Roman" w:hAnsi="Times New Roman" w:eastAsia="宋体" w:cs="Times New Roman"/>
      <w:sz w:val="16"/>
      <w:szCs w:val="16"/>
    </w:rPr>
  </w:style>
  <w:style w:type="character" w:customStyle="1" w:styleId="357">
    <w:name w:val="公文正文 Char Char"/>
    <w:link w:val="358"/>
    <w:qFormat/>
    <w:uiPriority w:val="0"/>
    <w:rPr>
      <w:rFonts w:ascii="仿宋_GB2312" w:eastAsia="仿宋_GB2312"/>
      <w:kern w:val="2"/>
      <w:sz w:val="24"/>
      <w:szCs w:val="24"/>
    </w:rPr>
  </w:style>
  <w:style w:type="paragraph" w:customStyle="1" w:styleId="358">
    <w:name w:val="公文正文"/>
    <w:basedOn w:val="1"/>
    <w:link w:val="357"/>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qFormat/>
    <w:uiPriority w:val="0"/>
    <w:rPr>
      <w:rFonts w:eastAsia="宋体"/>
      <w:sz w:val="24"/>
      <w:szCs w:val="24"/>
      <w:lang w:val="en-US" w:eastAsia="zh-CN" w:bidi="ar-SA"/>
    </w:rPr>
  </w:style>
  <w:style w:type="character" w:customStyle="1" w:styleId="360">
    <w:name w:val="标题 1 Char Char"/>
    <w:qFormat/>
    <w:uiPriority w:val="0"/>
    <w:rPr>
      <w:rFonts w:hint="eastAsia" w:ascii="宋体" w:hAnsi="宋体" w:eastAsia="宋体"/>
      <w:b/>
      <w:spacing w:val="-2"/>
      <w:sz w:val="24"/>
      <w:lang w:val="en-US" w:eastAsia="zh-CN" w:bidi="ar-SA"/>
    </w:rPr>
  </w:style>
  <w:style w:type="character" w:customStyle="1" w:styleId="361">
    <w:name w:val="正文（缩进2汉字） Char"/>
    <w:link w:val="362"/>
    <w:qFormat/>
    <w:uiPriority w:val="0"/>
    <w:rPr>
      <w:rFonts w:ascii="宋体"/>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字符"/>
    <w:link w:val="10"/>
    <w:qFormat/>
    <w:uiPriority w:val="0"/>
    <w:rPr>
      <w:rFonts w:ascii="Arial" w:hAnsi="Arial" w:eastAsia="黑体"/>
      <w:kern w:val="2"/>
      <w:sz w:val="24"/>
      <w:szCs w:val="24"/>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正文文本 Char"/>
    <w:qFormat/>
    <w:uiPriority w:val="0"/>
    <w:rPr>
      <w:rFonts w:eastAsia="宋体"/>
      <w:kern w:val="2"/>
      <w:sz w:val="24"/>
      <w:szCs w:val="24"/>
      <w:lang w:val="en-US" w:eastAsia="zh-CN" w:bidi="ar-SA"/>
    </w:rPr>
  </w:style>
  <w:style w:type="character" w:customStyle="1" w:styleId="369">
    <w:name w:val="文档结构图 字符1"/>
    <w:qFormat/>
    <w:uiPriority w:val="0"/>
    <w:rPr>
      <w:rFonts w:ascii="宋体" w:hAnsi="Calibri" w:eastAsia="黑体" w:cs="Arial"/>
      <w:snapToGrid w:val="0"/>
      <w:kern w:val="2"/>
      <w:sz w:val="18"/>
      <w:szCs w:val="18"/>
    </w:rPr>
  </w:style>
  <w:style w:type="character" w:customStyle="1" w:styleId="370">
    <w:name w:val="content"/>
    <w:qFormat/>
    <w:uiPriority w:val="0"/>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qFormat/>
    <w:uiPriority w:val="0"/>
  </w:style>
  <w:style w:type="character" w:customStyle="1" w:styleId="377">
    <w:name w:val="Char Char16"/>
    <w:qFormat/>
    <w:uiPriority w:val="6"/>
    <w:rPr>
      <w:kern w:val="1"/>
      <w:sz w:val="18"/>
      <w:szCs w:val="18"/>
    </w:rPr>
  </w:style>
  <w:style w:type="character" w:customStyle="1" w:styleId="378">
    <w:name w:val="font51"/>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正文文本缩进 3 字符"/>
    <w:link w:val="54"/>
    <w:qFormat/>
    <w:uiPriority w:val="0"/>
    <w:rPr>
      <w:kern w:val="2"/>
      <w:sz w:val="24"/>
    </w:rPr>
  </w:style>
  <w:style w:type="character" w:customStyle="1" w:styleId="381">
    <w:name w:val="日期 Char1"/>
    <w:semiHidden/>
    <w:qFormat/>
    <w:uiPriority w:val="99"/>
    <w:rPr>
      <w:rFonts w:ascii="Times New Roman" w:hAnsi="Times New Roman" w:eastAsia="宋体" w:cs="Times New Roman"/>
      <w:szCs w:val="24"/>
    </w:rPr>
  </w:style>
  <w:style w:type="character" w:customStyle="1" w:styleId="382">
    <w:name w:val="页眉 字符"/>
    <w:qFormat/>
    <w:uiPriority w:val="99"/>
    <w:rPr>
      <w:kern w:val="2"/>
      <w:sz w:val="18"/>
      <w:szCs w:val="18"/>
    </w:rPr>
  </w:style>
  <w:style w:type="character" w:customStyle="1" w:styleId="383">
    <w:name w:val="Char Char33"/>
    <w:qFormat/>
    <w:uiPriority w:val="6"/>
    <w:rPr>
      <w:rFonts w:ascii="Arial" w:hAnsi="Arial" w:eastAsia="黑体"/>
      <w:b/>
      <w:kern w:val="1"/>
      <w:sz w:val="24"/>
      <w:szCs w:val="24"/>
    </w:rPr>
  </w:style>
  <w:style w:type="character" w:customStyle="1" w:styleId="384">
    <w:name w:val="b11_01b Char"/>
    <w:link w:val="385"/>
    <w:qFormat/>
    <w:uiPriority w:val="0"/>
    <w:rPr>
      <w:rFonts w:ascii="Verdana" w:hAnsi="Verdana"/>
      <w:b/>
      <w:bCs/>
      <w:color w:val="4A82CA"/>
      <w:sz w:val="17"/>
      <w:szCs w:val="17"/>
    </w:rPr>
  </w:style>
  <w:style w:type="paragraph" w:customStyle="1" w:styleId="385">
    <w:name w:val="b11_01b"/>
    <w:basedOn w:val="1"/>
    <w:next w:val="1"/>
    <w:link w:val="38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qFormat/>
    <w:uiPriority w:val="6"/>
    <w:rPr>
      <w:rFonts w:ascii="仿宋_GB2312" w:eastAsia="仿宋_GB2312"/>
      <w:b/>
      <w:bCs/>
      <w:kern w:val="2"/>
      <w:sz w:val="24"/>
      <w:szCs w:val="24"/>
      <w:lang w:val="zh-CN" w:eastAsia="zh-CN" w:bidi="ar-SA"/>
    </w:rPr>
  </w:style>
  <w:style w:type="character" w:customStyle="1" w:styleId="387">
    <w:name w:val="Footer-Even Char"/>
    <w:qFormat/>
    <w:uiPriority w:val="0"/>
    <w:rPr>
      <w:rFonts w:eastAsia="宋体"/>
      <w:kern w:val="2"/>
      <w:sz w:val="18"/>
      <w:lang w:val="en-US" w:eastAsia="zh-CN" w:bidi="ar-SA"/>
    </w:rPr>
  </w:style>
  <w:style w:type="character" w:customStyle="1" w:styleId="388">
    <w:name w:val="页脚 字符2"/>
    <w:link w:val="40"/>
    <w:qFormat/>
    <w:locked/>
    <w:uiPriority w:val="99"/>
    <w:rPr>
      <w:kern w:val="2"/>
      <w:sz w:val="18"/>
      <w:szCs w:val="18"/>
    </w:rPr>
  </w:style>
  <w:style w:type="character" w:customStyle="1" w:styleId="389">
    <w:name w:val="Char Char36"/>
    <w:qFormat/>
    <w:uiPriority w:val="6"/>
    <w:rPr>
      <w:rFonts w:ascii="仿宋_GB2312" w:hAnsi="仿宋_GB2312" w:eastAsia="仿宋_GB2312" w:cs="Arial"/>
      <w:b/>
      <w:kern w:val="1"/>
      <w:sz w:val="32"/>
      <w:szCs w:val="32"/>
      <w:lang w:val="zh-CN" w:eastAsia="zh-CN" w:bidi="ar-SA"/>
    </w:rPr>
  </w:style>
  <w:style w:type="character" w:customStyle="1" w:styleId="390">
    <w:name w:val="Char Char61"/>
    <w:qFormat/>
    <w:uiPriority w:val="6"/>
    <w:rPr>
      <w:rFonts w:eastAsia="宋体"/>
      <w:kern w:val="2"/>
      <w:sz w:val="21"/>
      <w:szCs w:val="24"/>
      <w:lang w:val="en-US" w:eastAsia="zh-CN" w:bidi="ar-SA"/>
    </w:rPr>
  </w:style>
  <w:style w:type="character" w:customStyle="1" w:styleId="391">
    <w:name w:val="正文文字缩进 2 Char Char"/>
    <w:qFormat/>
    <w:uiPriority w:val="0"/>
    <w:rPr>
      <w:rFonts w:ascii="宋体"/>
      <w:sz w:val="28"/>
    </w:rPr>
  </w:style>
  <w:style w:type="character" w:customStyle="1" w:styleId="392">
    <w:name w:val="f141"/>
    <w:qFormat/>
    <w:uiPriority w:val="0"/>
    <w:rPr>
      <w:rFonts w:ascii="Tahoma" w:hAnsi="Tahoma" w:eastAsia="宋体"/>
      <w:b/>
      <w:kern w:val="2"/>
      <w:sz w:val="21"/>
      <w:szCs w:val="21"/>
      <w:lang w:val="en-US" w:eastAsia="zh-CN" w:bidi="ar-SA"/>
    </w:rPr>
  </w:style>
  <w:style w:type="character" w:customStyle="1" w:styleId="393">
    <w:name w:val="段落 Char Char"/>
    <w:link w:val="394"/>
    <w:qFormat/>
    <w:uiPriority w:val="0"/>
    <w:rPr>
      <w:rFonts w:ascii="宋体" w:hAnsi="宋体"/>
      <w:sz w:val="24"/>
    </w:rPr>
  </w:style>
  <w:style w:type="paragraph" w:customStyle="1" w:styleId="394">
    <w:name w:val="段落"/>
    <w:basedOn w:val="1"/>
    <w:link w:val="393"/>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qFormat/>
    <w:uiPriority w:val="0"/>
    <w:rPr>
      <w:rFonts w:eastAsia="宋体"/>
      <w:b/>
      <w:bCs/>
      <w:kern w:val="2"/>
      <w:sz w:val="32"/>
      <w:szCs w:val="32"/>
      <w:lang w:val="en-US" w:eastAsia="zh-CN" w:bidi="ar-SA"/>
    </w:rPr>
  </w:style>
  <w:style w:type="character" w:customStyle="1" w:styleId="396">
    <w:name w:val="apple-converted-space"/>
    <w:qFormat/>
    <w:uiPriority w:val="0"/>
  </w:style>
  <w:style w:type="character" w:customStyle="1" w:styleId="397">
    <w:name w:val="页眉 字符2"/>
    <w:link w:val="42"/>
    <w:qFormat/>
    <w:uiPriority w:val="99"/>
    <w:rPr>
      <w:kern w:val="2"/>
      <w:sz w:val="18"/>
      <w:szCs w:val="18"/>
    </w:rPr>
  </w:style>
  <w:style w:type="character" w:customStyle="1" w:styleId="398">
    <w:name w:val="Char Char9"/>
    <w:qFormat/>
    <w:uiPriority w:val="0"/>
    <w:rPr>
      <w:rFonts w:eastAsia="宋体"/>
      <w:kern w:val="2"/>
      <w:sz w:val="18"/>
      <w:szCs w:val="18"/>
      <w:lang w:val="en-US" w:eastAsia="zh-CN" w:bidi="ar-SA"/>
    </w:rPr>
  </w:style>
  <w:style w:type="character" w:customStyle="1" w:styleId="399">
    <w:name w:val="Char Char41"/>
    <w:qFormat/>
    <w:uiPriority w:val="0"/>
    <w:rPr>
      <w:rFonts w:eastAsia="宋体"/>
      <w:b/>
      <w:sz w:val="24"/>
      <w:lang w:val="en-GB" w:eastAsia="zh-CN" w:bidi="ar-SA"/>
    </w:rPr>
  </w:style>
  <w:style w:type="character" w:customStyle="1" w:styleId="400">
    <w:name w:val="large1"/>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qFormat/>
    <w:uiPriority w:val="0"/>
    <w:pPr>
      <w:widowControl/>
      <w:snapToGrid w:val="0"/>
      <w:spacing w:after="156" w:afterLines="50"/>
      <w:ind w:firstLine="200" w:firstLineChars="200"/>
    </w:pPr>
    <w:rPr>
      <w:kern w:val="0"/>
      <w:sz w:val="24"/>
      <w:szCs w:val="20"/>
    </w:rPr>
  </w:style>
  <w:style w:type="character" w:customStyle="1" w:styleId="403">
    <w:name w:val="Char Char13"/>
    <w:qFormat/>
    <w:uiPriority w:val="6"/>
    <w:rPr>
      <w:rFonts w:ascii="宋体" w:hAnsi="宋体"/>
      <w:kern w:val="1"/>
      <w:sz w:val="21"/>
      <w:szCs w:val="24"/>
    </w:rPr>
  </w:style>
  <w:style w:type="character" w:customStyle="1" w:styleId="4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qFormat/>
    <w:uiPriority w:val="0"/>
    <w:rPr>
      <w:rFonts w:ascii="宋体" w:hAnsi="宋体"/>
      <w:kern w:val="2"/>
      <w:sz w:val="24"/>
      <w:szCs w:val="22"/>
    </w:rPr>
  </w:style>
  <w:style w:type="paragraph" w:customStyle="1" w:styleId="406">
    <w:name w:val="冯广丽"/>
    <w:basedOn w:val="1"/>
    <w:link w:val="405"/>
    <w:qFormat/>
    <w:uiPriority w:val="0"/>
    <w:pPr>
      <w:adjustRightInd/>
      <w:spacing w:line="360" w:lineRule="auto"/>
      <w:ind w:firstLine="480" w:firstLineChars="200"/>
    </w:pPr>
    <w:rPr>
      <w:rFonts w:ascii="宋体" w:hAnsi="宋体"/>
      <w:sz w:val="24"/>
      <w:szCs w:val="22"/>
    </w:rPr>
  </w:style>
  <w:style w:type="character" w:customStyle="1" w:styleId="407">
    <w:name w:val="批注文字 字符"/>
    <w:qFormat/>
    <w:uiPriority w:val="0"/>
    <w:rPr>
      <w:rFonts w:ascii="Arial" w:hAnsi="Arial" w:eastAsia="黑体" w:cs="Arial"/>
      <w:snapToGrid w:val="0"/>
      <w:kern w:val="0"/>
      <w:szCs w:val="21"/>
    </w:rPr>
  </w:style>
  <w:style w:type="character" w:customStyle="1" w:styleId="408">
    <w:name w:val="Char Char161"/>
    <w:qFormat/>
    <w:uiPriority w:val="0"/>
    <w:rPr>
      <w:rFonts w:eastAsia="宋体"/>
      <w:b/>
      <w:kern w:val="2"/>
      <w:sz w:val="32"/>
      <w:lang w:val="en-US" w:eastAsia="zh-CN"/>
    </w:rPr>
  </w:style>
  <w:style w:type="character" w:customStyle="1" w:styleId="409">
    <w:name w:val="javascript"/>
    <w:qFormat/>
    <w:uiPriority w:val="0"/>
  </w:style>
  <w:style w:type="character" w:customStyle="1" w:styleId="410">
    <w:name w:val="图名 Char"/>
    <w:qFormat/>
    <w:uiPriority w:val="0"/>
    <w:rPr>
      <w:rFonts w:ascii="Arial" w:hAnsi="Arial" w:eastAsia="黑体"/>
      <w:kern w:val="2"/>
      <w:sz w:val="24"/>
      <w:szCs w:val="24"/>
      <w:lang w:val="en-US" w:eastAsia="zh-CN" w:bidi="ar-SA"/>
    </w:rPr>
  </w:style>
  <w:style w:type="character" w:customStyle="1" w:styleId="411">
    <w:name w:val="Used by Word for text of Help footnotes Char Char"/>
    <w:qFormat/>
    <w:uiPriority w:val="0"/>
    <w:rPr>
      <w:rFonts w:ascii="Times New Roman" w:hAnsi="Times New Roman" w:eastAsia="宋体" w:cs="Times New Roman"/>
      <w:sz w:val="20"/>
      <w:szCs w:val="20"/>
    </w:rPr>
  </w:style>
  <w:style w:type="character" w:customStyle="1" w:styleId="412">
    <w:name w:val="编号，小四 Char"/>
    <w:link w:val="413"/>
    <w:qFormat/>
    <w:uiPriority w:val="0"/>
    <w:rPr>
      <w:rFonts w:ascii="Arial" w:hAnsi="Arial"/>
      <w:sz w:val="24"/>
    </w:rPr>
  </w:style>
  <w:style w:type="paragraph" w:customStyle="1" w:styleId="413">
    <w:name w:val="编号，小四"/>
    <w:basedOn w:val="1"/>
    <w:link w:val="412"/>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qFormat/>
    <w:uiPriority w:val="99"/>
    <w:rPr>
      <w:rFonts w:ascii="宋体" w:eastAsia="宋体" w:cs="宋体"/>
      <w:color w:val="000000"/>
      <w:sz w:val="14"/>
      <w:szCs w:val="14"/>
    </w:rPr>
  </w:style>
  <w:style w:type="character" w:customStyle="1" w:styleId="415">
    <w:name w:val="标题 2 Char Char"/>
    <w:qFormat/>
    <w:uiPriority w:val="0"/>
    <w:rPr>
      <w:rFonts w:ascii="楷体_GB2312" w:hAnsi="Arial" w:eastAsia="楷体_GB2312"/>
      <w:b/>
      <w:bCs/>
      <w:kern w:val="2"/>
      <w:sz w:val="24"/>
      <w:szCs w:val="32"/>
      <w:lang w:val="en-US" w:eastAsia="zh-CN" w:bidi="ar-SA"/>
    </w:rPr>
  </w:style>
  <w:style w:type="character" w:customStyle="1" w:styleId="416">
    <w:name w:val="未用 Char"/>
    <w:qFormat/>
    <w:uiPriority w:val="0"/>
    <w:rPr>
      <w:rFonts w:ascii="Arial" w:hAnsi="Arial" w:eastAsia="黑体"/>
      <w:kern w:val="2"/>
      <w:sz w:val="21"/>
      <w:szCs w:val="21"/>
      <w:lang w:val="en-US" w:eastAsia="zh-CN" w:bidi="ar-SA"/>
    </w:rPr>
  </w:style>
  <w:style w:type="character" w:customStyle="1" w:styleId="417">
    <w:name w:val="myp1111"/>
    <w:qFormat/>
    <w:uiPriority w:val="0"/>
    <w:rPr>
      <w:rFonts w:hint="default" w:ascii="ˎ̥" w:hAnsi="ˎ̥"/>
      <w:color w:val="000000"/>
      <w:sz w:val="20"/>
      <w:szCs w:val="20"/>
      <w:u w:val="none"/>
    </w:rPr>
  </w:style>
  <w:style w:type="character" w:customStyle="1" w:styleId="418">
    <w:name w:val="样式 标题 4h4H4Fab-4T5Ref Heading 1rh1Heading sqlsect 1.2.3.... Char"/>
    <w:link w:val="310"/>
    <w:qFormat/>
    <w:uiPriority w:val="0"/>
    <w:rPr>
      <w:rFonts w:ascii="微软雅黑" w:hAnsi="微软雅黑" w:eastAsia="微软雅黑"/>
      <w:b/>
      <w:bCs/>
      <w:kern w:val="2"/>
      <w:sz w:val="24"/>
      <w:szCs w:val="28"/>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style36"/>
    <w:basedOn w:val="72"/>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5"/>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5">
    <w:name w:val="gray6"/>
    <w:basedOn w:val="72"/>
    <w:qFormat/>
    <w:uiPriority w:val="0"/>
    <w:rPr>
      <w:rFonts w:ascii="Arial" w:hAnsi="Arial" w:eastAsia="黑体" w:cs="Arial"/>
      <w:snapToGrid w:val="0"/>
      <w:kern w:val="0"/>
      <w:szCs w:val="21"/>
    </w:rPr>
  </w:style>
  <w:style w:type="character" w:customStyle="1" w:styleId="436">
    <w:name w:val="hui"/>
    <w:basedOn w:val="72"/>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6"/>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312"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spacing w:before="0" w:after="0"/>
      <w:outlineLvl w:val="5"/>
    </w:pPr>
  </w:style>
  <w:style w:type="paragraph" w:customStyle="1" w:styleId="478">
    <w:name w:val="5级标题"/>
    <w:basedOn w:val="479"/>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26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935"/>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3"/>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4"/>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7"/>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38"/>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4"/>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6"/>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87"/>
    <w:next w:val="87"/>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87"/>
    <w:next w:val="87"/>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7"/>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2"/>
    <w:qFormat/>
    <w:uiPriority w:val="0"/>
    <w:pPr>
      <w:tabs>
        <w:tab w:val="left" w:pos="840"/>
      </w:tabs>
      <w:adjustRightInd/>
      <w:ind w:left="840" w:hanging="420"/>
    </w:pPr>
  </w:style>
  <w:style w:type="paragraph" w:customStyle="1" w:styleId="62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6"/>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7"/>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3"/>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7"/>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19"/>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3"/>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1"/>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2"/>
    <w:qFormat/>
    <w:uiPriority w:val="0"/>
    <w:rPr>
      <w:b w:val="0"/>
      <w:sz w:val="20"/>
    </w:rPr>
  </w:style>
  <w:style w:type="paragraph" w:customStyle="1" w:styleId="897">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数字标题5"/>
    <w:basedOn w:val="7"/>
    <w:next w:val="1"/>
    <w:qFormat/>
    <w:uiPriority w:val="0"/>
    <w:pPr>
      <w:tabs>
        <w:tab w:val="left" w:pos="1080"/>
      </w:tabs>
      <w:ind w:left="1080" w:hanging="1080"/>
    </w:pPr>
  </w:style>
  <w:style w:type="paragraph" w:customStyle="1" w:styleId="899">
    <w:name w:val="数字标题1"/>
    <w:basedOn w:val="2"/>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7"/>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5"/>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字符"/>
    <w:link w:val="38"/>
    <w:qFormat/>
    <w:uiPriority w:val="0"/>
    <w:rPr>
      <w:kern w:val="2"/>
      <w:sz w:val="21"/>
      <w:szCs w:val="24"/>
      <w:lang w:val="zh-CN"/>
    </w:rPr>
  </w:style>
  <w:style w:type="character" w:customStyle="1" w:styleId="935">
    <w:name w:val="无间隔 字符"/>
    <w:link w:val="487"/>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3"/>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2"/>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Unresolved Mention"/>
    <w:basedOn w:val="72"/>
    <w:semiHidden/>
    <w:unhideWhenUsed/>
    <w:qFormat/>
    <w:uiPriority w:val="99"/>
    <w:rPr>
      <w:color w:val="605E5C"/>
      <w:shd w:val="clear" w:color="auto" w:fill="E1DFDD"/>
    </w:rPr>
  </w:style>
  <w:style w:type="paragraph" w:customStyle="1" w:styleId="968">
    <w:name w:val="Other|1"/>
    <w:basedOn w:val="1"/>
    <w:qFormat/>
    <w:uiPriority w:val="0"/>
    <w:rPr>
      <w:rFonts w:ascii="宋体" w:hAnsi="宋体" w:cs="宋体"/>
      <w:sz w:val="22"/>
      <w:szCs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81</Pages>
  <Words>22457</Words>
  <Characters>24377</Characters>
  <Lines>279</Lines>
  <Paragraphs>78</Paragraphs>
  <TotalTime>0</TotalTime>
  <ScaleCrop>false</ScaleCrop>
  <LinksUpToDate>false</LinksUpToDate>
  <CharactersWithSpaces>24858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网芋鹅鹅</cp:lastModifiedBy>
  <cp:lastPrinted>2025-01-07T02:22:00Z</cp:lastPrinted>
  <dcterms:modified xsi:type="dcterms:W3CDTF">2025-07-11T12:06:05Z</dcterms:modified>
  <dc:title>杭州市市民卡扩大发卡工程</dc:title>
  <cp:revision>355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588A63F77F014EB0AF77669F21277375_13</vt:lpwstr>
  </property>
  <property fmtid="{D5CDD505-2E9C-101B-9397-08002B2CF9AE}" pid="5" name="KSOTemplateDocerSaveRecord">
    <vt:lpwstr>eyJoZGlkIjoiNzg3OGM3ZjM4MTAwMzdjYTMyODEyY2IzYjdmNTlmYzciLCJ1c2VySWQiOiI3MjQ4NTY0NTYifQ==</vt:lpwstr>
  </property>
</Properties>
</file>