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0"/>
        </w:tabs>
        <w:jc w:val="left"/>
        <w:rPr>
          <w:rFonts w:hint="eastAsia" w:ascii="宋体" w:hAnsi="宋体"/>
          <w:sz w:val="44"/>
          <w:szCs w:val="20"/>
          <w:highlight w:val="none"/>
        </w:rPr>
      </w:pPr>
      <w:bookmarkStart w:id="0" w:name="csmb"/>
      <w:bookmarkEnd w:id="0"/>
      <w:bookmarkStart w:id="1" w:name="jinjicd"/>
      <w:bookmarkEnd w:id="1"/>
      <w:bookmarkStart w:id="66" w:name="_GoBack"/>
      <w:bookmarkEnd w:id="66"/>
    </w:p>
    <w:p>
      <w:pPr>
        <w:spacing w:before="120" w:beforeLines="50"/>
        <w:jc w:val="center"/>
        <w:rPr>
          <w:rFonts w:hint="eastAsia" w:ascii="宋体" w:hAnsi="宋体" w:eastAsia="宋体" w:cs="Times New Roman"/>
          <w:sz w:val="72"/>
          <w:szCs w:val="72"/>
          <w:highlight w:val="none"/>
          <w:lang w:eastAsia="zh-CN"/>
        </w:rPr>
      </w:pPr>
      <w:r>
        <w:rPr>
          <w:rFonts w:hint="eastAsia" w:ascii="宋体" w:hAnsi="宋体" w:eastAsia="宋体" w:cs="Times New Roman"/>
          <w:sz w:val="72"/>
          <w:szCs w:val="72"/>
          <w:highlight w:val="none"/>
          <w:lang w:eastAsia="zh-CN"/>
        </w:rPr>
        <w:t>干窑镇采购“警立方”项目</w:t>
      </w:r>
    </w:p>
    <w:p>
      <w:pPr>
        <w:spacing w:line="360" w:lineRule="auto"/>
        <w:jc w:val="center"/>
        <w:rPr>
          <w:rFonts w:hint="eastAsia"/>
          <w:b/>
          <w:sz w:val="28"/>
          <w:szCs w:val="28"/>
          <w:highlight w:val="none"/>
        </w:rPr>
      </w:pPr>
    </w:p>
    <w:p>
      <w:pPr>
        <w:spacing w:before="120" w:beforeLines="50"/>
        <w:rPr>
          <w:rFonts w:hint="eastAsia" w:ascii="宋体" w:hAnsi="宋体"/>
          <w:sz w:val="44"/>
          <w:szCs w:val="44"/>
          <w:highlight w:val="none"/>
        </w:rPr>
      </w:pPr>
    </w:p>
    <w:p>
      <w:pPr>
        <w:pStyle w:val="12"/>
        <w:rPr>
          <w:rFonts w:hint="eastAsia"/>
        </w:rPr>
      </w:pPr>
    </w:p>
    <w:p>
      <w:pPr>
        <w:spacing w:before="120" w:beforeLines="50"/>
        <w:rPr>
          <w:rFonts w:hint="eastAsia" w:ascii="宋体" w:hAnsi="宋体"/>
          <w:sz w:val="44"/>
          <w:szCs w:val="44"/>
          <w:highlight w:val="none"/>
        </w:rPr>
      </w:pPr>
    </w:p>
    <w:p>
      <w:pPr>
        <w:spacing w:before="120" w:beforeLines="50"/>
        <w:jc w:val="center"/>
        <w:rPr>
          <w:rFonts w:ascii="宋体" w:hAnsi="宋体"/>
          <w:sz w:val="72"/>
          <w:szCs w:val="72"/>
          <w:highlight w:val="none"/>
        </w:rPr>
      </w:pPr>
      <w:r>
        <w:rPr>
          <w:rFonts w:hint="eastAsia" w:ascii="宋体" w:hAnsi="宋体"/>
          <w:sz w:val="72"/>
          <w:szCs w:val="72"/>
          <w:highlight w:val="none"/>
        </w:rPr>
        <w:t>竞争性磋商文件</w:t>
      </w:r>
    </w:p>
    <w:p>
      <w:pPr>
        <w:snapToGrid w:val="0"/>
        <w:spacing w:before="120" w:beforeLines="50" w:line="360" w:lineRule="auto"/>
        <w:rPr>
          <w:rFonts w:hint="eastAsia" w:ascii="宋体" w:hAnsi="宋体"/>
          <w:sz w:val="30"/>
          <w:szCs w:val="72"/>
          <w:highlight w:val="none"/>
        </w:rPr>
      </w:pPr>
    </w:p>
    <w:p>
      <w:pPr>
        <w:snapToGrid w:val="0"/>
        <w:spacing w:before="120" w:beforeLines="50" w:line="360" w:lineRule="auto"/>
        <w:rPr>
          <w:rFonts w:hint="eastAsia" w:ascii="宋体" w:hAnsi="宋体"/>
          <w:sz w:val="30"/>
          <w:szCs w:val="72"/>
          <w:highlight w:val="none"/>
        </w:rPr>
      </w:pPr>
    </w:p>
    <w:p>
      <w:pPr>
        <w:snapToGrid w:val="0"/>
        <w:spacing w:before="120" w:beforeLines="50" w:line="360" w:lineRule="auto"/>
        <w:rPr>
          <w:rFonts w:hint="eastAsia" w:ascii="宋体" w:hAnsi="宋体"/>
          <w:sz w:val="30"/>
          <w:szCs w:val="72"/>
          <w:highlight w:val="none"/>
        </w:rPr>
      </w:pPr>
    </w:p>
    <w:p>
      <w:pPr>
        <w:pStyle w:val="20"/>
        <w:snapToGrid w:val="0"/>
        <w:spacing w:before="0" w:beforeLines="0" w:after="0" w:afterLines="0" w:line="560" w:lineRule="exact"/>
        <w:rPr>
          <w:rFonts w:hint="eastAsia"/>
          <w:b/>
          <w:sz w:val="30"/>
          <w:szCs w:val="30"/>
          <w:highlight w:val="none"/>
        </w:rPr>
      </w:pPr>
    </w:p>
    <w:p>
      <w:pPr>
        <w:pStyle w:val="20"/>
        <w:snapToGrid w:val="0"/>
        <w:spacing w:before="0" w:beforeLines="0" w:after="0" w:afterLines="0" w:line="560" w:lineRule="exact"/>
        <w:rPr>
          <w:rFonts w:hint="eastAsia"/>
          <w:b/>
          <w:sz w:val="30"/>
          <w:szCs w:val="30"/>
          <w:highlight w:val="none"/>
        </w:rPr>
      </w:pPr>
    </w:p>
    <w:p>
      <w:pPr>
        <w:pStyle w:val="20"/>
        <w:snapToGrid w:val="0"/>
        <w:spacing w:before="0" w:beforeLines="0" w:after="0" w:afterLines="0" w:line="560" w:lineRule="exact"/>
        <w:rPr>
          <w:rFonts w:hint="eastAsia"/>
          <w:b/>
          <w:sz w:val="30"/>
          <w:szCs w:val="30"/>
          <w:highlight w:val="none"/>
        </w:rPr>
      </w:pPr>
    </w:p>
    <w:p>
      <w:pPr>
        <w:pStyle w:val="20"/>
        <w:snapToGrid w:val="0"/>
        <w:spacing w:before="0" w:beforeLines="0" w:after="0" w:afterLines="0" w:line="560" w:lineRule="exact"/>
        <w:rPr>
          <w:rFonts w:hint="eastAsia"/>
          <w:b/>
          <w:sz w:val="30"/>
          <w:szCs w:val="30"/>
          <w:highlight w:val="none"/>
        </w:rPr>
      </w:pPr>
    </w:p>
    <w:p>
      <w:pPr>
        <w:widowControl/>
        <w:shd w:val="clear" w:color="auto" w:fill="FFFFFF"/>
        <w:spacing w:line="560" w:lineRule="exact"/>
        <w:ind w:left="720" w:leftChars="300"/>
        <w:jc w:val="left"/>
        <w:rPr>
          <w:rFonts w:hint="eastAsia" w:eastAsia="宋体"/>
          <w:b/>
          <w:sz w:val="32"/>
          <w:szCs w:val="32"/>
          <w:highlight w:val="none"/>
          <w:lang w:eastAsia="zh-CN"/>
        </w:rPr>
      </w:pPr>
      <w:r>
        <w:rPr>
          <w:b/>
          <w:sz w:val="28"/>
          <w:szCs w:val="28"/>
          <w:highlight w:val="none"/>
        </w:rPr>
        <w:t>项目编号</w:t>
      </w:r>
      <w:r>
        <w:rPr>
          <w:b/>
          <w:sz w:val="32"/>
          <w:szCs w:val="32"/>
          <w:highlight w:val="none"/>
        </w:rPr>
        <w:t>：</w:t>
      </w:r>
      <w:r>
        <w:rPr>
          <w:rFonts w:hint="eastAsia" w:ascii="宋体" w:hAnsi="宋体" w:eastAsia="宋体" w:cs="宋体"/>
          <w:b/>
          <w:sz w:val="28"/>
          <w:szCs w:val="28"/>
          <w:highlight w:val="none"/>
          <w:lang w:eastAsia="zh-CN"/>
        </w:rPr>
        <w:t>ZJXD2023007(J)</w:t>
      </w:r>
    </w:p>
    <w:p>
      <w:pPr>
        <w:widowControl/>
        <w:shd w:val="clear" w:color="auto" w:fill="FFFFFF"/>
        <w:spacing w:line="560" w:lineRule="exact"/>
        <w:ind w:left="720" w:leftChars="300"/>
        <w:jc w:val="left"/>
        <w:rPr>
          <w:rFonts w:hint="eastAsia" w:eastAsia="宋体"/>
          <w:b/>
          <w:sz w:val="32"/>
          <w:szCs w:val="32"/>
          <w:highlight w:val="none"/>
          <w:lang w:eastAsia="zh-CN"/>
        </w:rPr>
      </w:pPr>
      <w:r>
        <w:rPr>
          <w:rFonts w:hint="eastAsia"/>
          <w:b/>
          <w:sz w:val="28"/>
          <w:szCs w:val="28"/>
          <w:highlight w:val="none"/>
        </w:rPr>
        <w:t>项目名称</w:t>
      </w:r>
      <w:r>
        <w:rPr>
          <w:rFonts w:hint="eastAsia"/>
          <w:b/>
          <w:sz w:val="32"/>
          <w:szCs w:val="32"/>
          <w:highlight w:val="none"/>
        </w:rPr>
        <w:t>：</w:t>
      </w:r>
      <w:r>
        <w:rPr>
          <w:rFonts w:hint="eastAsia"/>
          <w:b/>
          <w:sz w:val="28"/>
          <w:szCs w:val="32"/>
          <w:highlight w:val="none"/>
          <w:lang w:eastAsia="zh-CN"/>
        </w:rPr>
        <w:t>干窑镇采购“警立方”项目</w:t>
      </w:r>
    </w:p>
    <w:p>
      <w:pPr>
        <w:widowControl/>
        <w:shd w:val="clear" w:color="auto" w:fill="FFFFFF"/>
        <w:spacing w:line="560" w:lineRule="exact"/>
        <w:ind w:left="720" w:leftChars="300"/>
        <w:jc w:val="left"/>
        <w:rPr>
          <w:rFonts w:hint="eastAsia" w:eastAsia="宋体"/>
          <w:b/>
          <w:sz w:val="32"/>
          <w:szCs w:val="32"/>
          <w:highlight w:val="none"/>
          <w:lang w:eastAsia="zh-CN"/>
        </w:rPr>
      </w:pPr>
      <w:r>
        <w:rPr>
          <w:b/>
          <w:sz w:val="28"/>
          <w:szCs w:val="28"/>
          <w:highlight w:val="none"/>
        </w:rPr>
        <w:t>采购人</w:t>
      </w:r>
      <w:r>
        <w:rPr>
          <w:b/>
          <w:sz w:val="32"/>
          <w:szCs w:val="32"/>
          <w:highlight w:val="none"/>
        </w:rPr>
        <w:t>：</w:t>
      </w:r>
      <w:r>
        <w:rPr>
          <w:rFonts w:hint="eastAsia"/>
          <w:b/>
          <w:sz w:val="28"/>
          <w:szCs w:val="28"/>
          <w:highlight w:val="none"/>
          <w:lang w:eastAsia="zh-CN"/>
        </w:rPr>
        <w:t>嘉善县干窑镇人民政府</w:t>
      </w:r>
    </w:p>
    <w:p>
      <w:pPr>
        <w:widowControl/>
        <w:shd w:val="clear" w:color="auto" w:fill="FFFFFF"/>
        <w:spacing w:line="560" w:lineRule="exact"/>
        <w:ind w:left="720" w:leftChars="300"/>
        <w:jc w:val="left"/>
        <w:rPr>
          <w:rFonts w:hint="eastAsia" w:hAnsi="宋体" w:eastAsia="宋体"/>
          <w:b/>
          <w:sz w:val="30"/>
          <w:szCs w:val="48"/>
          <w:highlight w:val="none"/>
          <w:lang w:eastAsia="zh-CN"/>
        </w:rPr>
      </w:pPr>
      <w:r>
        <w:rPr>
          <w:rFonts w:hint="eastAsia"/>
          <w:b/>
          <w:sz w:val="28"/>
          <w:szCs w:val="28"/>
          <w:highlight w:val="none"/>
        </w:rPr>
        <w:t>采购代理机构</w:t>
      </w:r>
      <w:r>
        <w:rPr>
          <w:b/>
          <w:sz w:val="32"/>
          <w:szCs w:val="32"/>
          <w:highlight w:val="none"/>
        </w:rPr>
        <w:t>：</w:t>
      </w:r>
      <w:r>
        <w:rPr>
          <w:rFonts w:hint="eastAsia" w:hAnsi="宋体"/>
          <w:b/>
          <w:sz w:val="28"/>
          <w:szCs w:val="44"/>
          <w:highlight w:val="none"/>
          <w:lang w:eastAsia="zh-CN"/>
        </w:rPr>
        <w:t>浙江勋达工程咨询有限公司</w:t>
      </w:r>
    </w:p>
    <w:p>
      <w:pPr>
        <w:pStyle w:val="20"/>
        <w:snapToGrid w:val="0"/>
        <w:spacing w:before="0" w:beforeLines="0" w:after="0" w:afterLines="0" w:line="560" w:lineRule="exact"/>
        <w:jc w:val="center"/>
        <w:rPr>
          <w:rFonts w:hint="eastAsia" w:hAnsi="宋体"/>
          <w:b/>
          <w:bCs/>
          <w:w w:val="95"/>
          <w:sz w:val="30"/>
          <w:szCs w:val="30"/>
          <w:highlight w:val="none"/>
        </w:rPr>
      </w:pPr>
      <w:r>
        <w:rPr>
          <w:rFonts w:hint="eastAsia" w:hAnsi="宋体"/>
          <w:b/>
          <w:bCs/>
          <w:w w:val="95"/>
          <w:sz w:val="30"/>
          <w:szCs w:val="30"/>
          <w:highlight w:val="none"/>
          <w:lang w:eastAsia="zh-CN"/>
        </w:rPr>
        <w:t>2023</w:t>
      </w:r>
      <w:r>
        <w:rPr>
          <w:rFonts w:hAnsi="宋体"/>
          <w:b/>
          <w:bCs/>
          <w:w w:val="95"/>
          <w:sz w:val="30"/>
          <w:szCs w:val="30"/>
          <w:highlight w:val="none"/>
        </w:rPr>
        <w:t>年</w:t>
      </w:r>
      <w:r>
        <w:rPr>
          <w:rFonts w:hint="eastAsia" w:hAnsi="宋体"/>
          <w:b/>
          <w:bCs/>
          <w:w w:val="95"/>
          <w:sz w:val="30"/>
          <w:szCs w:val="30"/>
          <w:highlight w:val="none"/>
          <w:lang w:val="en-US" w:eastAsia="zh-CN"/>
        </w:rPr>
        <w:t>8</w:t>
      </w:r>
      <w:r>
        <w:rPr>
          <w:rFonts w:hAnsi="宋体"/>
          <w:b/>
          <w:bCs/>
          <w:w w:val="95"/>
          <w:sz w:val="30"/>
          <w:szCs w:val="30"/>
          <w:highlight w:val="none"/>
        </w:rPr>
        <w:t>月</w:t>
      </w:r>
    </w:p>
    <w:p>
      <w:pPr>
        <w:snapToGrid w:val="0"/>
        <w:spacing w:before="120" w:beforeLines="50" w:line="360" w:lineRule="auto"/>
        <w:ind w:left="439" w:leftChars="183" w:firstLine="3856" w:firstLineChars="1607"/>
        <w:jc w:val="right"/>
        <w:rPr>
          <w:rFonts w:hint="eastAsia"/>
          <w:highlight w:val="none"/>
        </w:rPr>
      </w:pPr>
    </w:p>
    <w:p>
      <w:pPr>
        <w:pStyle w:val="20"/>
        <w:spacing w:before="120" w:beforeLines="0" w:after="120" w:afterLines="0" w:line="600" w:lineRule="exact"/>
        <w:jc w:val="center"/>
        <w:rPr>
          <w:rFonts w:hint="eastAsia" w:ascii="创艺简标宋" w:hAnsi="宋体" w:eastAsia="创艺简标宋"/>
          <w:b/>
          <w:sz w:val="44"/>
          <w:szCs w:val="44"/>
          <w:highlight w:val="none"/>
        </w:rPr>
        <w:sectPr>
          <w:footerReference r:id="rId5" w:type="first"/>
          <w:footerReference r:id="rId3" w:type="default"/>
          <w:footerReference r:id="rId4" w:type="even"/>
          <w:pgSz w:w="11906" w:h="16838"/>
          <w:pgMar w:top="1701" w:right="1701" w:bottom="1701" w:left="1701" w:header="851" w:footer="851" w:gutter="0"/>
          <w:cols w:space="720" w:num="1"/>
          <w:docGrid w:linePitch="312" w:charSpace="0"/>
        </w:sectPr>
      </w:pPr>
    </w:p>
    <w:p>
      <w:pPr>
        <w:pStyle w:val="20"/>
        <w:spacing w:before="120" w:beforeLines="0" w:after="120" w:afterLines="0" w:line="600" w:lineRule="exact"/>
        <w:jc w:val="center"/>
        <w:rPr>
          <w:rFonts w:hint="eastAsia" w:ascii="创艺简标宋" w:hAnsi="宋体" w:eastAsia="创艺简标宋"/>
          <w:b/>
          <w:sz w:val="44"/>
          <w:szCs w:val="44"/>
          <w:highlight w:val="none"/>
        </w:rPr>
      </w:pPr>
    </w:p>
    <w:p>
      <w:pPr>
        <w:pStyle w:val="20"/>
        <w:spacing w:before="120" w:beforeLines="0" w:after="120" w:afterLines="0" w:line="600" w:lineRule="exact"/>
        <w:jc w:val="center"/>
        <w:rPr>
          <w:rFonts w:hint="eastAsia" w:ascii="创艺简标宋" w:hAnsi="宋体" w:eastAsia="创艺简标宋"/>
          <w:b/>
          <w:sz w:val="44"/>
          <w:szCs w:val="44"/>
          <w:highlight w:val="none"/>
        </w:rPr>
      </w:pPr>
      <w:r>
        <w:rPr>
          <w:rFonts w:hint="eastAsia" w:ascii="创艺简标宋" w:hAnsi="宋体" w:eastAsia="创艺简标宋"/>
          <w:b/>
          <w:sz w:val="44"/>
          <w:szCs w:val="44"/>
          <w:highlight w:val="none"/>
        </w:rPr>
        <w:t>目    录</w:t>
      </w:r>
    </w:p>
    <w:p>
      <w:pPr>
        <w:pStyle w:val="20"/>
        <w:spacing w:before="120" w:beforeLines="0" w:after="120" w:afterLines="0" w:line="600" w:lineRule="exact"/>
        <w:jc w:val="center"/>
        <w:rPr>
          <w:rFonts w:hint="eastAsia" w:ascii="创艺简标宋" w:hAnsi="宋体" w:eastAsia="创艺简标宋"/>
          <w:b/>
          <w:sz w:val="44"/>
          <w:szCs w:val="44"/>
          <w:highlight w:val="none"/>
        </w:rPr>
      </w:pPr>
    </w:p>
    <w:p>
      <w:pPr>
        <w:pStyle w:val="25"/>
        <w:tabs>
          <w:tab w:val="right" w:leader="dot" w:pos="8494"/>
        </w:tabs>
        <w:spacing w:line="480" w:lineRule="auto"/>
        <w:rPr>
          <w:rFonts w:ascii="Calibri" w:hAnsi="Calibri"/>
          <w:sz w:val="30"/>
          <w:szCs w:val="30"/>
          <w:highlight w:val="none"/>
          <w:lang/>
        </w:rPr>
      </w:pPr>
      <w:r>
        <w:rPr>
          <w:rFonts w:ascii="宋体" w:hAnsi="宋体"/>
          <w:sz w:val="30"/>
          <w:szCs w:val="30"/>
          <w:highlight w:val="none"/>
        </w:rPr>
        <w:fldChar w:fldCharType="begin"/>
      </w:r>
      <w:r>
        <w:rPr>
          <w:rFonts w:ascii="宋体" w:hAnsi="宋体"/>
          <w:sz w:val="30"/>
          <w:szCs w:val="30"/>
          <w:highlight w:val="none"/>
        </w:rPr>
        <w:instrText xml:space="preserve"> TOC \o "1-1" \h \z \u </w:instrText>
      </w:r>
      <w:r>
        <w:rPr>
          <w:rFonts w:ascii="宋体" w:hAnsi="宋体"/>
          <w:sz w:val="30"/>
          <w:szCs w:val="30"/>
          <w:highlight w:val="none"/>
        </w:rPr>
        <w:fldChar w:fldCharType="separate"/>
      </w:r>
      <w:r>
        <w:rPr>
          <w:sz w:val="30"/>
          <w:szCs w:val="30"/>
          <w:highlight w:val="none"/>
          <w:lang/>
        </w:rPr>
        <w:fldChar w:fldCharType="begin"/>
      </w:r>
      <w:r>
        <w:rPr>
          <w:rStyle w:val="41"/>
          <w:color w:val="auto"/>
          <w:sz w:val="30"/>
          <w:szCs w:val="30"/>
          <w:highlight w:val="none"/>
          <w:lang/>
        </w:rPr>
        <w:instrText xml:space="preserve"> </w:instrText>
      </w:r>
      <w:r>
        <w:rPr>
          <w:sz w:val="30"/>
          <w:szCs w:val="30"/>
          <w:highlight w:val="none"/>
          <w:lang/>
        </w:rPr>
        <w:instrText xml:space="preserve">HYPERLINK \l "_Toc91520561"</w:instrText>
      </w:r>
      <w:r>
        <w:rPr>
          <w:rStyle w:val="41"/>
          <w:color w:val="auto"/>
          <w:sz w:val="30"/>
          <w:szCs w:val="30"/>
          <w:highlight w:val="none"/>
          <w:lang/>
        </w:rPr>
        <w:instrText xml:space="preserve"> </w:instrText>
      </w:r>
      <w:r>
        <w:rPr>
          <w:sz w:val="30"/>
          <w:szCs w:val="30"/>
          <w:highlight w:val="none"/>
          <w:lang/>
        </w:rPr>
        <w:fldChar w:fldCharType="separate"/>
      </w:r>
      <w:r>
        <w:rPr>
          <w:rStyle w:val="41"/>
          <w:rFonts w:hint="eastAsia"/>
          <w:color w:val="auto"/>
          <w:sz w:val="30"/>
          <w:szCs w:val="30"/>
          <w:highlight w:val="none"/>
          <w:lang/>
        </w:rPr>
        <w:t>第一章</w:t>
      </w:r>
      <w:r>
        <w:rPr>
          <w:rStyle w:val="41"/>
          <w:color w:val="auto"/>
          <w:sz w:val="30"/>
          <w:szCs w:val="30"/>
          <w:highlight w:val="none"/>
          <w:lang/>
        </w:rPr>
        <w:t xml:space="preserve">  </w:t>
      </w:r>
      <w:r>
        <w:rPr>
          <w:rStyle w:val="41"/>
          <w:rFonts w:hint="eastAsia"/>
          <w:color w:val="auto"/>
          <w:sz w:val="30"/>
          <w:szCs w:val="30"/>
          <w:highlight w:val="none"/>
          <w:lang/>
        </w:rPr>
        <w:t>竞争性磋商公告</w:t>
      </w:r>
      <w:r>
        <w:rPr>
          <w:sz w:val="30"/>
          <w:szCs w:val="30"/>
          <w:highlight w:val="none"/>
          <w:lang/>
        </w:rPr>
        <w:tab/>
      </w:r>
      <w:r>
        <w:rPr>
          <w:rFonts w:hint="eastAsia"/>
          <w:sz w:val="30"/>
          <w:szCs w:val="30"/>
          <w:highlight w:val="none"/>
          <w:lang w:val="en-US" w:eastAsia="zh-CN"/>
        </w:rPr>
        <w:t>3</w:t>
      </w:r>
      <w:r>
        <w:rPr>
          <w:sz w:val="30"/>
          <w:szCs w:val="30"/>
          <w:highlight w:val="none"/>
          <w:lang/>
        </w:rPr>
        <w:fldChar w:fldCharType="end"/>
      </w:r>
    </w:p>
    <w:p>
      <w:pPr>
        <w:pStyle w:val="25"/>
        <w:tabs>
          <w:tab w:val="right" w:leader="dot" w:pos="8494"/>
        </w:tabs>
        <w:spacing w:line="480" w:lineRule="auto"/>
        <w:rPr>
          <w:rFonts w:ascii="Calibri" w:hAnsi="Calibri"/>
          <w:sz w:val="30"/>
          <w:szCs w:val="30"/>
          <w:highlight w:val="none"/>
          <w:lang/>
        </w:rPr>
      </w:pPr>
      <w:r>
        <w:rPr>
          <w:sz w:val="30"/>
          <w:szCs w:val="30"/>
          <w:highlight w:val="none"/>
          <w:lang/>
        </w:rPr>
        <w:fldChar w:fldCharType="begin"/>
      </w:r>
      <w:r>
        <w:rPr>
          <w:rStyle w:val="41"/>
          <w:color w:val="auto"/>
          <w:sz w:val="30"/>
          <w:szCs w:val="30"/>
          <w:highlight w:val="none"/>
          <w:lang/>
        </w:rPr>
        <w:instrText xml:space="preserve"> </w:instrText>
      </w:r>
      <w:r>
        <w:rPr>
          <w:sz w:val="30"/>
          <w:szCs w:val="30"/>
          <w:highlight w:val="none"/>
          <w:lang/>
        </w:rPr>
        <w:instrText xml:space="preserve">HYPERLINK \l "_Toc91520562"</w:instrText>
      </w:r>
      <w:r>
        <w:rPr>
          <w:rStyle w:val="41"/>
          <w:color w:val="auto"/>
          <w:sz w:val="30"/>
          <w:szCs w:val="30"/>
          <w:highlight w:val="none"/>
          <w:lang/>
        </w:rPr>
        <w:instrText xml:space="preserve"> </w:instrText>
      </w:r>
      <w:r>
        <w:rPr>
          <w:sz w:val="30"/>
          <w:szCs w:val="30"/>
          <w:highlight w:val="none"/>
          <w:lang/>
        </w:rPr>
        <w:fldChar w:fldCharType="separate"/>
      </w:r>
      <w:r>
        <w:rPr>
          <w:rStyle w:val="41"/>
          <w:rFonts w:hint="eastAsia"/>
          <w:color w:val="auto"/>
          <w:sz w:val="30"/>
          <w:szCs w:val="30"/>
          <w:highlight w:val="none"/>
          <w:lang/>
        </w:rPr>
        <w:t>第二章</w:t>
      </w:r>
      <w:r>
        <w:rPr>
          <w:rStyle w:val="41"/>
          <w:color w:val="auto"/>
          <w:sz w:val="30"/>
          <w:szCs w:val="30"/>
          <w:highlight w:val="none"/>
          <w:lang/>
        </w:rPr>
        <w:t xml:space="preserve">  </w:t>
      </w:r>
      <w:r>
        <w:rPr>
          <w:rStyle w:val="41"/>
          <w:rFonts w:hint="eastAsia"/>
          <w:color w:val="auto"/>
          <w:sz w:val="30"/>
          <w:szCs w:val="30"/>
          <w:highlight w:val="none"/>
          <w:lang/>
        </w:rPr>
        <w:t>磋商项目需求</w:t>
      </w:r>
      <w:r>
        <w:rPr>
          <w:sz w:val="30"/>
          <w:szCs w:val="30"/>
          <w:highlight w:val="none"/>
          <w:lang/>
        </w:rPr>
        <w:tab/>
      </w:r>
      <w:r>
        <w:rPr>
          <w:rFonts w:hint="eastAsia"/>
          <w:sz w:val="30"/>
          <w:szCs w:val="30"/>
          <w:highlight w:val="none"/>
          <w:lang w:val="en-US" w:eastAsia="zh-CN"/>
        </w:rPr>
        <w:t>8</w:t>
      </w:r>
      <w:r>
        <w:rPr>
          <w:sz w:val="30"/>
          <w:szCs w:val="30"/>
          <w:highlight w:val="none"/>
          <w:lang/>
        </w:rPr>
        <w:fldChar w:fldCharType="end"/>
      </w:r>
    </w:p>
    <w:p>
      <w:pPr>
        <w:pStyle w:val="25"/>
        <w:tabs>
          <w:tab w:val="right" w:leader="dot" w:pos="8494"/>
        </w:tabs>
        <w:spacing w:line="480" w:lineRule="auto"/>
        <w:rPr>
          <w:rFonts w:hint="eastAsia" w:ascii="Calibri" w:hAnsi="Calibri" w:eastAsia="宋体"/>
          <w:sz w:val="30"/>
          <w:szCs w:val="30"/>
          <w:highlight w:val="none"/>
          <w:lang w:val="en-US" w:eastAsia="zh-CN"/>
        </w:rPr>
      </w:pPr>
      <w:r>
        <w:rPr>
          <w:sz w:val="30"/>
          <w:szCs w:val="30"/>
          <w:highlight w:val="none"/>
          <w:lang/>
        </w:rPr>
        <w:fldChar w:fldCharType="begin"/>
      </w:r>
      <w:r>
        <w:rPr>
          <w:rStyle w:val="41"/>
          <w:color w:val="auto"/>
          <w:sz w:val="30"/>
          <w:szCs w:val="30"/>
          <w:highlight w:val="none"/>
          <w:lang/>
        </w:rPr>
        <w:instrText xml:space="preserve"> </w:instrText>
      </w:r>
      <w:r>
        <w:rPr>
          <w:sz w:val="30"/>
          <w:szCs w:val="30"/>
          <w:highlight w:val="none"/>
          <w:lang/>
        </w:rPr>
        <w:instrText xml:space="preserve">HYPERLINK \l "_Toc91520563"</w:instrText>
      </w:r>
      <w:r>
        <w:rPr>
          <w:rStyle w:val="41"/>
          <w:color w:val="auto"/>
          <w:sz w:val="30"/>
          <w:szCs w:val="30"/>
          <w:highlight w:val="none"/>
          <w:lang/>
        </w:rPr>
        <w:instrText xml:space="preserve"> </w:instrText>
      </w:r>
      <w:r>
        <w:rPr>
          <w:sz w:val="30"/>
          <w:szCs w:val="30"/>
          <w:highlight w:val="none"/>
          <w:lang/>
        </w:rPr>
        <w:fldChar w:fldCharType="separate"/>
      </w:r>
      <w:r>
        <w:rPr>
          <w:rStyle w:val="41"/>
          <w:rFonts w:hint="eastAsia" w:ascii="宋体" w:hAnsi="宋体"/>
          <w:color w:val="auto"/>
          <w:sz w:val="30"/>
          <w:szCs w:val="30"/>
          <w:highlight w:val="none"/>
          <w:lang/>
        </w:rPr>
        <w:t>第三章</w:t>
      </w:r>
      <w:r>
        <w:rPr>
          <w:rStyle w:val="41"/>
          <w:rFonts w:ascii="宋体" w:hAnsi="宋体"/>
          <w:color w:val="auto"/>
          <w:sz w:val="30"/>
          <w:szCs w:val="30"/>
          <w:highlight w:val="none"/>
          <w:lang/>
        </w:rPr>
        <w:t xml:space="preserve">  </w:t>
      </w:r>
      <w:r>
        <w:rPr>
          <w:rStyle w:val="41"/>
          <w:rFonts w:hint="eastAsia" w:ascii="宋体" w:hAnsi="宋体"/>
          <w:color w:val="auto"/>
          <w:sz w:val="30"/>
          <w:szCs w:val="30"/>
          <w:highlight w:val="none"/>
          <w:lang/>
        </w:rPr>
        <w:t>磋商须知</w:t>
      </w:r>
      <w:r>
        <w:rPr>
          <w:sz w:val="30"/>
          <w:szCs w:val="30"/>
          <w:highlight w:val="none"/>
          <w:lang/>
        </w:rPr>
        <w:tab/>
      </w:r>
      <w:r>
        <w:rPr>
          <w:rFonts w:hint="eastAsia"/>
          <w:sz w:val="30"/>
          <w:szCs w:val="30"/>
          <w:highlight w:val="none"/>
          <w:lang w:val="en-US" w:eastAsia="zh-CN"/>
        </w:rPr>
        <w:t>1</w:t>
      </w:r>
      <w:r>
        <w:rPr>
          <w:sz w:val="30"/>
          <w:szCs w:val="30"/>
          <w:highlight w:val="none"/>
          <w:lang/>
        </w:rPr>
        <w:fldChar w:fldCharType="end"/>
      </w:r>
      <w:r>
        <w:rPr>
          <w:rFonts w:hint="eastAsia"/>
          <w:sz w:val="30"/>
          <w:szCs w:val="30"/>
          <w:highlight w:val="none"/>
          <w:lang w:val="en-US" w:eastAsia="zh-CN"/>
        </w:rPr>
        <w:t>1</w:t>
      </w:r>
    </w:p>
    <w:p>
      <w:pPr>
        <w:pStyle w:val="25"/>
        <w:tabs>
          <w:tab w:val="right" w:leader="dot" w:pos="8494"/>
        </w:tabs>
        <w:spacing w:line="480" w:lineRule="auto"/>
        <w:rPr>
          <w:rFonts w:hint="eastAsia" w:ascii="Calibri" w:hAnsi="Calibri" w:eastAsia="宋体"/>
          <w:sz w:val="30"/>
          <w:szCs w:val="30"/>
          <w:highlight w:val="none"/>
          <w:lang w:val="en-US" w:eastAsia="zh-CN"/>
        </w:rPr>
      </w:pPr>
      <w:r>
        <w:rPr>
          <w:sz w:val="30"/>
          <w:szCs w:val="30"/>
          <w:highlight w:val="none"/>
          <w:lang/>
        </w:rPr>
        <w:fldChar w:fldCharType="begin"/>
      </w:r>
      <w:r>
        <w:rPr>
          <w:rStyle w:val="41"/>
          <w:color w:val="auto"/>
          <w:sz w:val="30"/>
          <w:szCs w:val="30"/>
          <w:highlight w:val="none"/>
          <w:lang/>
        </w:rPr>
        <w:instrText xml:space="preserve"> </w:instrText>
      </w:r>
      <w:r>
        <w:rPr>
          <w:sz w:val="30"/>
          <w:szCs w:val="30"/>
          <w:highlight w:val="none"/>
          <w:lang/>
        </w:rPr>
        <w:instrText xml:space="preserve">HYPERLINK \l "_Toc91520564"</w:instrText>
      </w:r>
      <w:r>
        <w:rPr>
          <w:rStyle w:val="41"/>
          <w:color w:val="auto"/>
          <w:sz w:val="30"/>
          <w:szCs w:val="30"/>
          <w:highlight w:val="none"/>
          <w:lang/>
        </w:rPr>
        <w:instrText xml:space="preserve"> </w:instrText>
      </w:r>
      <w:r>
        <w:rPr>
          <w:sz w:val="30"/>
          <w:szCs w:val="30"/>
          <w:highlight w:val="none"/>
          <w:lang/>
        </w:rPr>
        <w:fldChar w:fldCharType="separate"/>
      </w:r>
      <w:r>
        <w:rPr>
          <w:rStyle w:val="41"/>
          <w:rFonts w:hint="eastAsia" w:ascii="宋体" w:hAnsi="宋体"/>
          <w:color w:val="auto"/>
          <w:sz w:val="30"/>
          <w:szCs w:val="30"/>
          <w:highlight w:val="none"/>
          <w:lang/>
        </w:rPr>
        <w:t>第四章</w:t>
      </w:r>
      <w:r>
        <w:rPr>
          <w:rStyle w:val="41"/>
          <w:rFonts w:ascii="宋体" w:hAnsi="宋体"/>
          <w:color w:val="auto"/>
          <w:sz w:val="30"/>
          <w:szCs w:val="30"/>
          <w:highlight w:val="none"/>
          <w:lang/>
        </w:rPr>
        <w:t xml:space="preserve"> </w:t>
      </w:r>
      <w:r>
        <w:rPr>
          <w:rStyle w:val="41"/>
          <w:rFonts w:hint="eastAsia" w:ascii="宋体" w:hAnsi="宋体"/>
          <w:color w:val="auto"/>
          <w:sz w:val="30"/>
          <w:szCs w:val="30"/>
          <w:highlight w:val="none"/>
          <w:lang/>
        </w:rPr>
        <w:t xml:space="preserve"> 评审办法及标准</w:t>
      </w:r>
      <w:r>
        <w:rPr>
          <w:sz w:val="30"/>
          <w:szCs w:val="30"/>
          <w:highlight w:val="none"/>
          <w:lang/>
        </w:rPr>
        <w:tab/>
      </w:r>
      <w:r>
        <w:rPr>
          <w:rFonts w:hint="eastAsia"/>
          <w:sz w:val="30"/>
          <w:szCs w:val="30"/>
          <w:highlight w:val="none"/>
          <w:lang w:val="en-US" w:eastAsia="zh-CN"/>
        </w:rPr>
        <w:t>2</w:t>
      </w:r>
      <w:r>
        <w:rPr>
          <w:sz w:val="30"/>
          <w:szCs w:val="30"/>
          <w:highlight w:val="none"/>
          <w:lang/>
        </w:rPr>
        <w:fldChar w:fldCharType="end"/>
      </w:r>
      <w:r>
        <w:rPr>
          <w:rFonts w:hint="eastAsia"/>
          <w:sz w:val="30"/>
          <w:szCs w:val="30"/>
          <w:highlight w:val="none"/>
          <w:lang w:val="en-US" w:eastAsia="zh-CN"/>
        </w:rPr>
        <w:t>8</w:t>
      </w:r>
    </w:p>
    <w:p>
      <w:pPr>
        <w:pStyle w:val="25"/>
        <w:tabs>
          <w:tab w:val="right" w:leader="dot" w:pos="8494"/>
        </w:tabs>
        <w:spacing w:line="480" w:lineRule="auto"/>
        <w:rPr>
          <w:rFonts w:ascii="Calibri" w:hAnsi="Calibri"/>
          <w:sz w:val="30"/>
          <w:szCs w:val="30"/>
          <w:highlight w:val="none"/>
          <w:lang/>
        </w:rPr>
      </w:pPr>
      <w:r>
        <w:rPr>
          <w:sz w:val="30"/>
          <w:szCs w:val="30"/>
          <w:highlight w:val="none"/>
          <w:lang/>
        </w:rPr>
        <w:fldChar w:fldCharType="begin"/>
      </w:r>
      <w:r>
        <w:rPr>
          <w:rStyle w:val="41"/>
          <w:color w:val="auto"/>
          <w:sz w:val="30"/>
          <w:szCs w:val="30"/>
          <w:highlight w:val="none"/>
          <w:lang/>
        </w:rPr>
        <w:instrText xml:space="preserve"> </w:instrText>
      </w:r>
      <w:r>
        <w:rPr>
          <w:sz w:val="30"/>
          <w:szCs w:val="30"/>
          <w:highlight w:val="none"/>
          <w:lang/>
        </w:rPr>
        <w:instrText xml:space="preserve">HYPERLINK \l "_Toc91520565"</w:instrText>
      </w:r>
      <w:r>
        <w:rPr>
          <w:rStyle w:val="41"/>
          <w:color w:val="auto"/>
          <w:sz w:val="30"/>
          <w:szCs w:val="30"/>
          <w:highlight w:val="none"/>
          <w:lang/>
        </w:rPr>
        <w:instrText xml:space="preserve"> </w:instrText>
      </w:r>
      <w:r>
        <w:rPr>
          <w:sz w:val="30"/>
          <w:szCs w:val="30"/>
          <w:highlight w:val="none"/>
          <w:lang/>
        </w:rPr>
        <w:fldChar w:fldCharType="separate"/>
      </w:r>
      <w:r>
        <w:rPr>
          <w:rStyle w:val="41"/>
          <w:rFonts w:hint="eastAsia" w:ascii="宋体" w:hAnsi="宋体"/>
          <w:color w:val="auto"/>
          <w:sz w:val="30"/>
          <w:szCs w:val="30"/>
          <w:highlight w:val="none"/>
          <w:lang/>
        </w:rPr>
        <w:t>第五章</w:t>
      </w:r>
      <w:r>
        <w:rPr>
          <w:rStyle w:val="41"/>
          <w:rFonts w:ascii="宋体" w:hAnsi="宋体"/>
          <w:color w:val="auto"/>
          <w:sz w:val="30"/>
          <w:szCs w:val="30"/>
          <w:highlight w:val="none"/>
          <w:lang/>
        </w:rPr>
        <w:t xml:space="preserve">  </w:t>
      </w:r>
      <w:r>
        <w:rPr>
          <w:rStyle w:val="41"/>
          <w:rFonts w:hint="eastAsia" w:ascii="宋体" w:hAnsi="宋体"/>
          <w:color w:val="auto"/>
          <w:sz w:val="30"/>
          <w:szCs w:val="30"/>
          <w:highlight w:val="none"/>
          <w:lang/>
        </w:rPr>
        <w:t>采购合同（指引）</w:t>
      </w:r>
      <w:r>
        <w:rPr>
          <w:sz w:val="30"/>
          <w:szCs w:val="30"/>
          <w:highlight w:val="none"/>
          <w:lang/>
        </w:rPr>
        <w:tab/>
      </w:r>
      <w:r>
        <w:rPr>
          <w:sz w:val="30"/>
          <w:szCs w:val="30"/>
          <w:highlight w:val="none"/>
          <w:lang/>
        </w:rPr>
        <w:fldChar w:fldCharType="begin"/>
      </w:r>
      <w:r>
        <w:rPr>
          <w:sz w:val="30"/>
          <w:szCs w:val="30"/>
          <w:highlight w:val="none"/>
          <w:lang/>
        </w:rPr>
        <w:instrText xml:space="preserve"> PAGEREF _Toc91520565 \h </w:instrText>
      </w:r>
      <w:r>
        <w:rPr>
          <w:sz w:val="30"/>
          <w:szCs w:val="30"/>
          <w:highlight w:val="none"/>
          <w:lang/>
        </w:rPr>
        <w:fldChar w:fldCharType="separate"/>
      </w:r>
      <w:r>
        <w:rPr>
          <w:sz w:val="30"/>
          <w:szCs w:val="30"/>
          <w:highlight w:val="none"/>
          <w:lang/>
        </w:rPr>
        <w:t>35</w:t>
      </w:r>
      <w:r>
        <w:rPr>
          <w:sz w:val="30"/>
          <w:szCs w:val="30"/>
          <w:highlight w:val="none"/>
          <w:lang/>
        </w:rPr>
        <w:fldChar w:fldCharType="end"/>
      </w:r>
      <w:r>
        <w:rPr>
          <w:sz w:val="30"/>
          <w:szCs w:val="30"/>
          <w:highlight w:val="none"/>
          <w:lang/>
        </w:rPr>
        <w:fldChar w:fldCharType="end"/>
      </w:r>
    </w:p>
    <w:p>
      <w:pPr>
        <w:pStyle w:val="25"/>
        <w:tabs>
          <w:tab w:val="right" w:leader="dot" w:pos="8494"/>
        </w:tabs>
        <w:spacing w:line="480" w:lineRule="auto"/>
        <w:rPr>
          <w:rFonts w:ascii="Calibri" w:hAnsi="Calibri"/>
          <w:sz w:val="30"/>
          <w:szCs w:val="30"/>
          <w:highlight w:val="none"/>
          <w:lang/>
        </w:rPr>
      </w:pPr>
      <w:r>
        <w:rPr>
          <w:sz w:val="30"/>
          <w:szCs w:val="30"/>
          <w:highlight w:val="none"/>
          <w:lang/>
        </w:rPr>
        <w:fldChar w:fldCharType="begin"/>
      </w:r>
      <w:r>
        <w:rPr>
          <w:rStyle w:val="41"/>
          <w:color w:val="auto"/>
          <w:sz w:val="30"/>
          <w:szCs w:val="30"/>
          <w:highlight w:val="none"/>
          <w:lang/>
        </w:rPr>
        <w:instrText xml:space="preserve"> </w:instrText>
      </w:r>
      <w:r>
        <w:rPr>
          <w:sz w:val="30"/>
          <w:szCs w:val="30"/>
          <w:highlight w:val="none"/>
          <w:lang/>
        </w:rPr>
        <w:instrText xml:space="preserve">HYPERLINK \l "_Toc91520566"</w:instrText>
      </w:r>
      <w:r>
        <w:rPr>
          <w:rStyle w:val="41"/>
          <w:color w:val="auto"/>
          <w:sz w:val="30"/>
          <w:szCs w:val="30"/>
          <w:highlight w:val="none"/>
          <w:lang/>
        </w:rPr>
        <w:instrText xml:space="preserve"> </w:instrText>
      </w:r>
      <w:r>
        <w:rPr>
          <w:sz w:val="30"/>
          <w:szCs w:val="30"/>
          <w:highlight w:val="none"/>
          <w:lang/>
        </w:rPr>
        <w:fldChar w:fldCharType="separate"/>
      </w:r>
      <w:r>
        <w:rPr>
          <w:rStyle w:val="41"/>
          <w:rFonts w:hint="eastAsia"/>
          <w:color w:val="auto"/>
          <w:sz w:val="30"/>
          <w:szCs w:val="30"/>
          <w:highlight w:val="none"/>
          <w:lang/>
        </w:rPr>
        <w:t>第六章　响应文件格式</w:t>
      </w:r>
      <w:r>
        <w:rPr>
          <w:sz w:val="30"/>
          <w:szCs w:val="30"/>
          <w:highlight w:val="none"/>
          <w:lang/>
        </w:rPr>
        <w:tab/>
      </w:r>
      <w:r>
        <w:rPr>
          <w:sz w:val="30"/>
          <w:szCs w:val="30"/>
          <w:highlight w:val="none"/>
          <w:lang/>
        </w:rPr>
        <w:fldChar w:fldCharType="begin"/>
      </w:r>
      <w:r>
        <w:rPr>
          <w:sz w:val="30"/>
          <w:szCs w:val="30"/>
          <w:highlight w:val="none"/>
          <w:lang/>
        </w:rPr>
        <w:instrText xml:space="preserve"> PAGEREF _Toc91520566 \h </w:instrText>
      </w:r>
      <w:r>
        <w:rPr>
          <w:sz w:val="30"/>
          <w:szCs w:val="30"/>
          <w:highlight w:val="none"/>
          <w:lang/>
        </w:rPr>
        <w:fldChar w:fldCharType="separate"/>
      </w:r>
      <w:r>
        <w:rPr>
          <w:sz w:val="30"/>
          <w:szCs w:val="30"/>
          <w:highlight w:val="none"/>
          <w:lang/>
        </w:rPr>
        <w:t>38</w:t>
      </w:r>
      <w:r>
        <w:rPr>
          <w:sz w:val="30"/>
          <w:szCs w:val="30"/>
          <w:highlight w:val="none"/>
          <w:lang/>
        </w:rPr>
        <w:fldChar w:fldCharType="end"/>
      </w:r>
      <w:r>
        <w:rPr>
          <w:sz w:val="30"/>
          <w:szCs w:val="30"/>
          <w:highlight w:val="none"/>
          <w:lang/>
        </w:rPr>
        <w:fldChar w:fldCharType="end"/>
      </w:r>
    </w:p>
    <w:p>
      <w:pPr>
        <w:spacing w:line="480" w:lineRule="auto"/>
        <w:rPr>
          <w:highlight w:val="none"/>
        </w:rPr>
      </w:pPr>
      <w:r>
        <w:rPr>
          <w:rFonts w:ascii="宋体" w:hAnsi="宋体"/>
          <w:sz w:val="30"/>
          <w:szCs w:val="30"/>
          <w:highlight w:val="none"/>
        </w:rPr>
        <w:fldChar w:fldCharType="end"/>
      </w:r>
    </w:p>
    <w:p>
      <w:pPr>
        <w:rPr>
          <w:rFonts w:hint="eastAsia"/>
          <w:szCs w:val="32"/>
          <w:highlight w:val="none"/>
        </w:rPr>
      </w:pPr>
    </w:p>
    <w:p>
      <w:pPr>
        <w:pStyle w:val="2"/>
        <w:spacing w:before="0" w:after="0" w:line="360" w:lineRule="auto"/>
        <w:rPr>
          <w:highlight w:val="none"/>
        </w:rPr>
        <w:sectPr>
          <w:footerReference r:id="rId6" w:type="default"/>
          <w:pgSz w:w="11906" w:h="16838"/>
          <w:pgMar w:top="1701" w:right="1701" w:bottom="1701" w:left="1701" w:header="851" w:footer="851" w:gutter="0"/>
          <w:pgNumType w:fmt="decimal" w:start="2"/>
          <w:cols w:space="720" w:num="1"/>
          <w:docGrid w:linePitch="312" w:charSpace="0"/>
        </w:sectPr>
      </w:pPr>
    </w:p>
    <w:p>
      <w:pPr>
        <w:pStyle w:val="2"/>
        <w:spacing w:before="0" w:after="0" w:line="360" w:lineRule="auto"/>
        <w:rPr>
          <w:rFonts w:hint="eastAsia" w:ascii="创艺简标宋" w:hAnsi="宋体" w:eastAsia="创艺简标宋"/>
          <w:sz w:val="44"/>
          <w:highlight w:val="none"/>
        </w:rPr>
      </w:pPr>
      <w:bookmarkStart w:id="2" w:name="_Toc91520561"/>
      <w:r>
        <w:rPr>
          <w:rFonts w:hint="eastAsia"/>
          <w:highlight w:val="none"/>
        </w:rPr>
        <w:t>第一章  竞争性磋商公告</w:t>
      </w:r>
      <w:bookmarkEnd w:id="2"/>
    </w:p>
    <w:p>
      <w:pPr>
        <w:rPr>
          <w:highlight w:val="none"/>
        </w:rPr>
      </w:pPr>
      <w:r>
        <w:rPr>
          <w:highlight w:val="none"/>
        </w:rPr>
        <w:tab/>
      </w:r>
    </w:p>
    <w:p>
      <w:pPr>
        <w:pBdr>
          <w:top w:val="single" w:color="auto" w:sz="4" w:space="1"/>
          <w:left w:val="single" w:color="auto" w:sz="4" w:space="4"/>
          <w:bottom w:val="single" w:color="auto" w:sz="4" w:space="3"/>
          <w:right w:val="single" w:color="auto" w:sz="4" w:space="4"/>
        </w:pBdr>
        <w:adjustRightInd w:val="0"/>
        <w:snapToGrid w:val="0"/>
        <w:spacing w:line="360" w:lineRule="exact"/>
        <w:ind w:firstLine="480" w:firstLineChars="200"/>
        <w:rPr>
          <w:rFonts w:ascii="宋体" w:hAnsi="宋体"/>
          <w:highlight w:val="none"/>
        </w:rPr>
      </w:pPr>
      <w:r>
        <w:rPr>
          <w:rFonts w:hint="eastAsia" w:ascii="宋体" w:hAnsi="宋体"/>
          <w:highlight w:val="none"/>
        </w:rPr>
        <w:t>项目概况</w:t>
      </w:r>
    </w:p>
    <w:p>
      <w:pPr>
        <w:pBdr>
          <w:top w:val="single" w:color="auto" w:sz="4" w:space="1"/>
          <w:left w:val="single" w:color="auto" w:sz="4" w:space="4"/>
          <w:bottom w:val="single" w:color="auto" w:sz="4" w:space="3"/>
          <w:right w:val="single" w:color="auto" w:sz="4" w:space="4"/>
        </w:pBdr>
        <w:adjustRightInd w:val="0"/>
        <w:snapToGrid w:val="0"/>
        <w:spacing w:line="360" w:lineRule="exact"/>
        <w:ind w:firstLine="480" w:firstLineChars="200"/>
        <w:rPr>
          <w:rFonts w:hint="eastAsia" w:ascii="宋体" w:hAnsi="宋体"/>
          <w:highlight w:val="none"/>
        </w:rPr>
      </w:pPr>
      <w:r>
        <w:rPr>
          <w:rFonts w:ascii="仿宋" w:hAnsi="仿宋" w:cs="宋体"/>
          <w:kern w:val="0"/>
          <w:highlight w:val="none"/>
        </w:rPr>
        <w:t> </w:t>
      </w:r>
      <w:r>
        <w:rPr>
          <w:rFonts w:hint="eastAsia" w:ascii="宋体" w:hAnsi="宋体"/>
          <w:highlight w:val="none"/>
          <w:lang w:eastAsia="zh-CN"/>
        </w:rPr>
        <w:t>干窑镇采购“警立方”项目</w:t>
      </w:r>
      <w:r>
        <w:rPr>
          <w:rFonts w:hint="eastAsia" w:ascii="仿宋" w:hAnsi="仿宋" w:cs="宋体"/>
          <w:kern w:val="0"/>
          <w:highlight w:val="none"/>
        </w:rPr>
        <w:t>招标项目的潜在供应商应在政府采购云平台</w:t>
      </w:r>
      <w:r>
        <w:rPr>
          <w:rFonts w:ascii="仿宋" w:hAnsi="仿宋" w:cs="宋体"/>
          <w:kern w:val="0"/>
          <w:highlight w:val="none"/>
        </w:rPr>
        <w:t>https://login.zcygov.cn/login</w:t>
      </w:r>
      <w:r>
        <w:rPr>
          <w:rFonts w:hint="eastAsia" w:ascii="仿宋" w:hAnsi="仿宋" w:cs="宋体"/>
          <w:kern w:val="0"/>
          <w:highlight w:val="none"/>
        </w:rPr>
        <w:t>获取（下载）磋商文件，并于</w:t>
      </w:r>
      <w:r>
        <w:rPr>
          <w:rFonts w:hint="eastAsia" w:ascii="仿宋" w:hAnsi="仿宋" w:cs="宋体"/>
          <w:color w:val="auto"/>
          <w:kern w:val="0"/>
          <w:highlight w:val="none"/>
          <w:lang w:eastAsia="zh-CN"/>
        </w:rPr>
        <w:t>2023年</w:t>
      </w:r>
      <w:r>
        <w:rPr>
          <w:rFonts w:hint="eastAsia" w:ascii="仿宋" w:hAnsi="仿宋" w:cs="宋体"/>
          <w:color w:val="auto"/>
          <w:kern w:val="0"/>
          <w:highlight w:val="none"/>
          <w:lang w:val="en-US" w:eastAsia="zh-CN"/>
        </w:rPr>
        <w:t>9</w:t>
      </w:r>
      <w:r>
        <w:rPr>
          <w:rFonts w:hint="eastAsia" w:ascii="仿宋" w:hAnsi="仿宋" w:cs="宋体"/>
          <w:color w:val="auto"/>
          <w:kern w:val="0"/>
          <w:highlight w:val="none"/>
          <w:lang w:eastAsia="zh-CN"/>
        </w:rPr>
        <w:t>月</w:t>
      </w:r>
      <w:r>
        <w:rPr>
          <w:rFonts w:hint="eastAsia" w:ascii="仿宋" w:hAnsi="仿宋" w:cs="宋体"/>
          <w:color w:val="auto"/>
          <w:kern w:val="0"/>
          <w:highlight w:val="none"/>
          <w:lang w:val="en-US" w:eastAsia="zh-CN"/>
        </w:rPr>
        <w:t>13</w:t>
      </w:r>
      <w:r>
        <w:rPr>
          <w:rFonts w:hint="eastAsia" w:ascii="仿宋" w:hAnsi="仿宋" w:cs="宋体"/>
          <w:color w:val="auto"/>
          <w:kern w:val="0"/>
          <w:highlight w:val="none"/>
          <w:lang w:eastAsia="zh-CN"/>
        </w:rPr>
        <w:t>日</w:t>
      </w:r>
      <w:r>
        <w:rPr>
          <w:rFonts w:hint="eastAsia" w:ascii="仿宋" w:hAnsi="仿宋" w:cs="宋体"/>
          <w:color w:val="auto"/>
          <w:kern w:val="0"/>
          <w:highlight w:val="none"/>
          <w:lang w:val="en-US" w:eastAsia="zh-CN"/>
        </w:rPr>
        <w:t>9</w:t>
      </w:r>
      <w:r>
        <w:rPr>
          <w:rFonts w:ascii="仿宋" w:hAnsi="仿宋" w:cs="宋体"/>
          <w:color w:val="auto"/>
          <w:kern w:val="0"/>
          <w:highlight w:val="none"/>
        </w:rPr>
        <w:t>:30</w:t>
      </w:r>
      <w:r>
        <w:rPr>
          <w:rFonts w:hint="eastAsia" w:ascii="仿宋" w:hAnsi="仿宋" w:cs="宋体"/>
          <w:color w:val="auto"/>
          <w:kern w:val="0"/>
          <w:highlight w:val="none"/>
        </w:rPr>
        <w:t>（</w:t>
      </w:r>
      <w:r>
        <w:rPr>
          <w:rFonts w:hint="eastAsia" w:ascii="仿宋" w:hAnsi="仿宋" w:cs="宋体"/>
          <w:kern w:val="0"/>
          <w:highlight w:val="none"/>
        </w:rPr>
        <w:t>北京时间）前递交（上传）响应文件</w:t>
      </w:r>
      <w:r>
        <w:rPr>
          <w:rFonts w:hint="eastAsia" w:hAnsi="宋体"/>
          <w:kern w:val="0"/>
          <w:highlight w:val="none"/>
        </w:rPr>
        <w:t>。</w:t>
      </w:r>
    </w:p>
    <w:p>
      <w:pPr>
        <w:adjustRightInd w:val="0"/>
        <w:snapToGrid w:val="0"/>
        <w:spacing w:line="360" w:lineRule="auto"/>
        <w:ind w:left="-324" w:leftChars="-135" w:right="-487" w:rightChars="-203" w:firstLine="424" w:firstLineChars="177"/>
        <w:rPr>
          <w:rFonts w:ascii="宋体" w:hAnsi="宋体"/>
          <w:highlight w:val="none"/>
        </w:rPr>
      </w:pPr>
    </w:p>
    <w:p>
      <w:pPr>
        <w:pStyle w:val="3"/>
        <w:spacing w:before="0" w:after="0" w:line="360" w:lineRule="auto"/>
        <w:rPr>
          <w:rFonts w:ascii="宋体" w:hAnsi="宋体" w:eastAsia="宋体" w:cs="宋体"/>
          <w:sz w:val="24"/>
          <w:szCs w:val="24"/>
          <w:highlight w:val="none"/>
        </w:rPr>
      </w:pPr>
      <w:bookmarkStart w:id="3" w:name="_Toc28359002"/>
      <w:bookmarkStart w:id="4" w:name="_Toc35393621"/>
      <w:bookmarkStart w:id="5" w:name="_Toc28359079"/>
      <w:bookmarkStart w:id="6" w:name="_Toc35393790"/>
      <w:bookmarkStart w:id="7" w:name="_Hlk24379207"/>
      <w:r>
        <w:rPr>
          <w:rFonts w:hint="eastAsia" w:ascii="宋体" w:hAnsi="宋体" w:eastAsia="宋体" w:cs="宋体"/>
          <w:sz w:val="24"/>
          <w:szCs w:val="24"/>
          <w:highlight w:val="none"/>
        </w:rPr>
        <w:t>一、项目基本情况</w:t>
      </w:r>
      <w:bookmarkEnd w:id="3"/>
      <w:bookmarkEnd w:id="4"/>
      <w:bookmarkEnd w:id="5"/>
      <w:bookmarkEnd w:id="6"/>
    </w:p>
    <w:p>
      <w:pPr>
        <w:spacing w:line="360" w:lineRule="auto"/>
        <w:ind w:firstLine="480" w:firstLineChars="200"/>
        <w:rPr>
          <w:rFonts w:hint="eastAsia" w:ascii="宋体" w:hAnsi="宋体" w:eastAsia="宋体" w:cs="Arial"/>
          <w:b/>
          <w:bCs/>
          <w:highlight w:val="none"/>
          <w:lang w:eastAsia="zh-CN"/>
        </w:rPr>
      </w:pPr>
      <w:r>
        <w:rPr>
          <w:rFonts w:hint="eastAsia" w:ascii="宋体" w:hAnsi="宋体"/>
          <w:highlight w:val="none"/>
        </w:rPr>
        <w:t>采购编号：</w:t>
      </w:r>
      <w:r>
        <w:rPr>
          <w:rFonts w:hint="eastAsia" w:ascii="宋体" w:hAnsi="宋体" w:cs="Arial"/>
          <w:b w:val="0"/>
          <w:bCs w:val="0"/>
          <w:highlight w:val="none"/>
          <w:lang w:eastAsia="zh-CN"/>
        </w:rPr>
        <w:t>ZJXD2023007(J)</w:t>
      </w:r>
    </w:p>
    <w:p>
      <w:pPr>
        <w:spacing w:line="360" w:lineRule="auto"/>
        <w:ind w:firstLine="480" w:firstLineChars="200"/>
        <w:rPr>
          <w:rFonts w:hint="eastAsia" w:ascii="宋体" w:hAnsi="宋体" w:eastAsia="宋体"/>
          <w:color w:val="auto"/>
          <w:highlight w:val="none"/>
          <w:lang w:eastAsia="zh-CN"/>
        </w:rPr>
      </w:pPr>
      <w:r>
        <w:rPr>
          <w:rFonts w:hint="eastAsia" w:ascii="宋体" w:hAnsi="宋体"/>
          <w:highlight w:val="none"/>
        </w:rPr>
        <w:t>项目名称</w:t>
      </w:r>
      <w:r>
        <w:rPr>
          <w:rFonts w:hint="eastAsia" w:ascii="宋体" w:hAnsi="宋体"/>
          <w:color w:val="auto"/>
          <w:highlight w:val="none"/>
        </w:rPr>
        <w:t>：</w:t>
      </w:r>
      <w:r>
        <w:rPr>
          <w:rFonts w:hint="eastAsia" w:ascii="宋体" w:hAnsi="宋体"/>
          <w:color w:val="auto"/>
          <w:highlight w:val="none"/>
          <w:lang w:eastAsia="zh-CN"/>
        </w:rPr>
        <w:t>干窑镇采购“警立方”项目</w:t>
      </w:r>
    </w:p>
    <w:bookmarkEnd w:id="7"/>
    <w:p>
      <w:pPr>
        <w:spacing w:line="360" w:lineRule="auto"/>
        <w:ind w:firstLine="480" w:firstLineChars="200"/>
        <w:rPr>
          <w:rFonts w:ascii="宋体" w:hAnsi="宋体"/>
          <w:color w:val="auto"/>
          <w:highlight w:val="none"/>
        </w:rPr>
      </w:pPr>
      <w:r>
        <w:rPr>
          <w:rFonts w:hint="eastAsia" w:ascii="宋体" w:hAnsi="宋体"/>
          <w:color w:val="auto"/>
          <w:highlight w:val="none"/>
        </w:rPr>
        <w:t>预算金额：</w:t>
      </w:r>
      <w:r>
        <w:rPr>
          <w:rFonts w:hint="eastAsia" w:ascii="宋体" w:hAnsi="宋体"/>
          <w:color w:val="auto"/>
          <w:highlight w:val="none"/>
          <w:lang w:val="en-US" w:eastAsia="zh-CN"/>
        </w:rPr>
        <w:t>2000000</w:t>
      </w:r>
      <w:r>
        <w:rPr>
          <w:rFonts w:hint="eastAsia" w:ascii="宋体" w:hAnsi="宋体"/>
          <w:color w:val="auto"/>
          <w:highlight w:val="none"/>
        </w:rPr>
        <w:t>元</w:t>
      </w:r>
    </w:p>
    <w:p>
      <w:pPr>
        <w:spacing w:line="360" w:lineRule="auto"/>
        <w:ind w:firstLine="480" w:firstLineChars="200"/>
        <w:rPr>
          <w:rFonts w:ascii="宋体" w:hAnsi="宋体"/>
          <w:color w:val="auto"/>
          <w:highlight w:val="none"/>
        </w:rPr>
      </w:pPr>
      <w:r>
        <w:rPr>
          <w:rFonts w:hint="eastAsia" w:ascii="宋体" w:hAnsi="宋体"/>
          <w:color w:val="auto"/>
          <w:highlight w:val="none"/>
        </w:rPr>
        <w:t>最高限价：</w:t>
      </w:r>
      <w:r>
        <w:rPr>
          <w:rFonts w:hint="eastAsia" w:ascii="宋体" w:hAnsi="宋体"/>
          <w:color w:val="auto"/>
          <w:highlight w:val="none"/>
          <w:lang w:val="en-US" w:eastAsia="zh-CN"/>
        </w:rPr>
        <w:t>2000000</w:t>
      </w:r>
      <w:r>
        <w:rPr>
          <w:rFonts w:hint="eastAsia" w:ascii="宋体" w:hAnsi="宋体"/>
          <w:color w:val="auto"/>
          <w:highlight w:val="none"/>
        </w:rPr>
        <w:t>元</w:t>
      </w:r>
    </w:p>
    <w:p>
      <w:pPr>
        <w:spacing w:line="360" w:lineRule="auto"/>
        <w:ind w:firstLine="480" w:firstLineChars="200"/>
        <w:rPr>
          <w:rFonts w:hint="eastAsia" w:ascii="宋体" w:hAnsi="宋体"/>
          <w:color w:val="auto"/>
          <w:highlight w:val="none"/>
        </w:rPr>
      </w:pPr>
      <w:r>
        <w:rPr>
          <w:rFonts w:hint="eastAsia" w:ascii="宋体" w:hAnsi="宋体"/>
          <w:color w:val="auto"/>
          <w:highlight w:val="none"/>
        </w:rPr>
        <w:t xml:space="preserve">采购需求： </w:t>
      </w:r>
    </w:p>
    <w:p>
      <w:pPr>
        <w:adjustRightInd w:val="0"/>
        <w:snapToGrid w:val="0"/>
        <w:spacing w:line="360" w:lineRule="auto"/>
        <w:ind w:firstLine="480" w:firstLineChars="200"/>
        <w:rPr>
          <w:rFonts w:hint="eastAsia" w:ascii="宋体" w:hAnsi="宋体"/>
          <w:color w:val="auto"/>
          <w:highlight w:val="none"/>
        </w:rPr>
      </w:pPr>
      <w:r>
        <w:rPr>
          <w:rStyle w:val="72"/>
          <w:rFonts w:ascii="仿宋" w:hAnsi="仿宋"/>
          <w:color w:val="auto"/>
          <w:highlight w:val="none"/>
        </w:rPr>
        <w:t>标项</w:t>
      </w:r>
      <w:r>
        <w:rPr>
          <w:rStyle w:val="72"/>
          <w:rFonts w:hint="eastAsia" w:ascii="仿宋" w:hAnsi="仿宋"/>
          <w:color w:val="auto"/>
          <w:highlight w:val="none"/>
        </w:rPr>
        <w:t>一</w:t>
      </w:r>
    </w:p>
    <w:p>
      <w:pPr>
        <w:adjustRightInd w:val="0"/>
        <w:snapToGrid w:val="0"/>
        <w:spacing w:line="360" w:lineRule="auto"/>
        <w:ind w:firstLine="480" w:firstLineChars="200"/>
        <w:rPr>
          <w:rFonts w:hint="eastAsia" w:ascii="宋体" w:hAnsi="宋体"/>
          <w:color w:val="auto"/>
          <w:highlight w:val="none"/>
        </w:rPr>
      </w:pPr>
      <w:r>
        <w:rPr>
          <w:rFonts w:hint="eastAsia" w:ascii="宋体" w:hAnsi="宋体"/>
          <w:color w:val="auto"/>
          <w:highlight w:val="none"/>
        </w:rPr>
        <w:t xml:space="preserve">标项名称: </w:t>
      </w:r>
      <w:r>
        <w:rPr>
          <w:rFonts w:hint="eastAsia" w:ascii="宋体" w:hAnsi="宋体"/>
          <w:color w:val="auto"/>
          <w:highlight w:val="none"/>
          <w:lang w:eastAsia="zh-CN"/>
        </w:rPr>
        <w:t>干窑镇采购“警立方”项目</w:t>
      </w:r>
      <w:r>
        <w:rPr>
          <w:rFonts w:hint="eastAsia" w:ascii="宋体" w:hAnsi="宋体"/>
          <w:color w:val="auto"/>
          <w:highlight w:val="none"/>
        </w:rPr>
        <w:br w:type="textWrapping"/>
      </w:r>
      <w:r>
        <w:rPr>
          <w:rFonts w:hint="eastAsia" w:ascii="宋体" w:hAnsi="宋体"/>
          <w:color w:val="auto"/>
          <w:highlight w:val="none"/>
        </w:rPr>
        <w:t>   数量:1  </w:t>
      </w:r>
      <w:r>
        <w:rPr>
          <w:rFonts w:hint="eastAsia" w:ascii="宋体" w:hAnsi="宋体"/>
          <w:color w:val="auto"/>
          <w:highlight w:val="none"/>
        </w:rPr>
        <w:br w:type="textWrapping"/>
      </w:r>
      <w:r>
        <w:rPr>
          <w:rFonts w:hint="eastAsia" w:ascii="宋体" w:hAnsi="宋体"/>
          <w:color w:val="auto"/>
          <w:highlight w:val="none"/>
        </w:rPr>
        <w:t xml:space="preserve">   预算金额（元）: </w:t>
      </w:r>
      <w:r>
        <w:rPr>
          <w:rFonts w:hint="eastAsia" w:ascii="宋体" w:hAnsi="宋体"/>
          <w:color w:val="auto"/>
          <w:highlight w:val="none"/>
          <w:lang w:val="en-US" w:eastAsia="zh-CN"/>
        </w:rPr>
        <w:t>2000000</w:t>
      </w:r>
      <w:r>
        <w:rPr>
          <w:rFonts w:hint="eastAsia" w:ascii="宋体" w:hAnsi="宋体"/>
          <w:color w:val="auto"/>
          <w:highlight w:val="none"/>
        </w:rPr>
        <w:t>元</w:t>
      </w:r>
    </w:p>
    <w:p>
      <w:pPr>
        <w:adjustRightInd w:val="0"/>
        <w:snapToGrid w:val="0"/>
        <w:spacing w:line="360" w:lineRule="auto"/>
        <w:ind w:firstLine="480" w:firstLineChars="200"/>
        <w:rPr>
          <w:rFonts w:hint="eastAsia" w:ascii="宋体" w:hAnsi="宋体"/>
          <w:color w:val="auto"/>
          <w:highlight w:val="none"/>
        </w:rPr>
      </w:pPr>
      <w:r>
        <w:rPr>
          <w:rFonts w:hint="eastAsia" w:ascii="宋体" w:hAnsi="宋体"/>
          <w:color w:val="auto"/>
          <w:highlight w:val="none"/>
        </w:rPr>
        <w:t>简要规格描述或项目基本概况介绍、用途：警立方1.0</w:t>
      </w:r>
      <w:r>
        <w:rPr>
          <w:rFonts w:hint="eastAsia" w:ascii="宋体" w:hAnsi="宋体"/>
          <w:color w:val="auto"/>
          <w:highlight w:val="none"/>
          <w:lang w:eastAsia="zh-CN"/>
        </w:rPr>
        <w:t>、</w:t>
      </w:r>
      <w:r>
        <w:rPr>
          <w:rFonts w:hint="eastAsia" w:ascii="宋体" w:hAnsi="宋体" w:eastAsia="宋体" w:cs="宋体"/>
          <w:i w:val="0"/>
          <w:iCs w:val="0"/>
          <w:color w:val="000000"/>
          <w:kern w:val="0"/>
          <w:sz w:val="24"/>
          <w:szCs w:val="24"/>
          <w:u w:val="none"/>
          <w:lang w:val="en-US" w:eastAsia="zh-CN" w:bidi="ar"/>
        </w:rPr>
        <w:t>警立方2.0网格驿站、警立方3.0采购</w:t>
      </w:r>
      <w:r>
        <w:rPr>
          <w:rFonts w:hint="eastAsia" w:ascii="宋体" w:hAnsi="宋体"/>
          <w:color w:val="auto"/>
          <w:highlight w:val="none"/>
        </w:rPr>
        <w:t>，</w:t>
      </w:r>
      <w:r>
        <w:rPr>
          <w:rFonts w:hint="eastAsia" w:ascii="宋体" w:hAnsi="宋体"/>
          <w:color w:val="auto"/>
          <w:highlight w:val="none"/>
        </w:rPr>
        <w:t>具体详见采购文件第二章磋商项目需求</w:t>
      </w:r>
      <w:r>
        <w:rPr>
          <w:rFonts w:hint="eastAsia" w:ascii="宋体" w:hAnsi="宋体"/>
          <w:color w:val="auto"/>
          <w:highlight w:val="none"/>
        </w:rPr>
        <w:t>。</w:t>
      </w:r>
    </w:p>
    <w:p>
      <w:pPr>
        <w:adjustRightInd w:val="0"/>
        <w:snapToGrid w:val="0"/>
        <w:spacing w:line="360" w:lineRule="auto"/>
        <w:ind w:firstLine="480" w:firstLineChars="200"/>
        <w:rPr>
          <w:rFonts w:hint="eastAsia" w:ascii="宋体" w:hAnsi="宋体" w:eastAsia="宋体"/>
          <w:color w:val="auto"/>
          <w:highlight w:val="none"/>
          <w:lang w:eastAsia="zh-CN"/>
        </w:rPr>
      </w:pPr>
      <w:r>
        <w:rPr>
          <w:rFonts w:hint="eastAsia" w:ascii="宋体" w:hAnsi="宋体"/>
          <w:color w:val="auto"/>
          <w:highlight w:val="none"/>
        </w:rPr>
        <w:t>备注：</w:t>
      </w:r>
      <w:r>
        <w:rPr>
          <w:rFonts w:hint="eastAsia" w:ascii="宋体" w:hAnsi="宋体"/>
          <w:bCs/>
          <w:color w:val="auto"/>
          <w:highlight w:val="none"/>
        </w:rPr>
        <w:t>政府采购确认书：</w:t>
      </w:r>
      <w:r>
        <w:rPr>
          <w:rFonts w:hint="eastAsia" w:ascii="宋体" w:hAnsi="宋体"/>
          <w:bCs/>
          <w:color w:val="auto"/>
          <w:highlight w:val="none"/>
          <w:lang w:eastAsia="zh-CN"/>
        </w:rPr>
        <w:t>善财采确临[2023]3512号</w:t>
      </w:r>
    </w:p>
    <w:p>
      <w:pPr>
        <w:adjustRightInd w:val="0"/>
        <w:snapToGrid w:val="0"/>
        <w:spacing w:line="360" w:lineRule="auto"/>
        <w:ind w:firstLine="480" w:firstLineChars="200"/>
        <w:rPr>
          <w:rFonts w:hint="eastAsia" w:ascii="宋体" w:hAnsi="宋体"/>
          <w:color w:val="auto"/>
          <w:highlight w:val="none"/>
        </w:rPr>
      </w:pPr>
      <w:r>
        <w:rPr>
          <w:rFonts w:hint="eastAsia" w:ascii="宋体" w:hAnsi="宋体"/>
          <w:color w:val="auto"/>
          <w:highlight w:val="none"/>
        </w:rPr>
        <w:t>合同履行期限</w:t>
      </w:r>
      <w:r>
        <w:rPr>
          <w:rFonts w:hint="eastAsia" w:ascii="宋体" w:hAnsi="宋体" w:cs="宋体"/>
          <w:color w:val="auto"/>
          <w:kern w:val="0"/>
          <w:highlight w:val="none"/>
        </w:rPr>
        <w:t>：</w:t>
      </w:r>
      <w:r>
        <w:rPr>
          <w:rFonts w:hint="eastAsia"/>
          <w:color w:val="auto"/>
        </w:rPr>
        <w:t>自合同签订之日起</w:t>
      </w:r>
      <w:r>
        <w:rPr>
          <w:rFonts w:hint="eastAsia"/>
          <w:color w:val="auto"/>
          <w:lang w:val="en-US" w:eastAsia="zh-CN"/>
        </w:rPr>
        <w:t>15</w:t>
      </w:r>
      <w:r>
        <w:rPr>
          <w:rFonts w:hint="eastAsia"/>
          <w:color w:val="auto"/>
        </w:rPr>
        <w:t>日内供货到采购人指定地点, 中标人负责安装，并调试完毕完成验收</w:t>
      </w:r>
      <w:r>
        <w:rPr>
          <w:rFonts w:hint="eastAsia" w:ascii="宋体" w:hAnsi="宋体"/>
          <w:color w:val="auto"/>
          <w:highlight w:val="none"/>
        </w:rPr>
        <w:t>。</w:t>
      </w:r>
    </w:p>
    <w:p>
      <w:pPr>
        <w:adjustRightInd w:val="0"/>
        <w:snapToGrid w:val="0"/>
        <w:spacing w:line="360" w:lineRule="auto"/>
        <w:ind w:firstLine="480" w:firstLineChars="200"/>
        <w:rPr>
          <w:rFonts w:hint="eastAsia" w:ascii="宋体" w:hAnsi="宋体"/>
          <w:color w:val="auto"/>
          <w:highlight w:val="none"/>
        </w:rPr>
      </w:pPr>
      <w:r>
        <w:rPr>
          <w:rFonts w:hint="eastAsia" w:ascii="宋体" w:hAnsi="宋体"/>
          <w:color w:val="auto"/>
          <w:highlight w:val="none"/>
        </w:rPr>
        <w:t>本项目（</w:t>
      </w:r>
      <w:r>
        <w:rPr>
          <w:rFonts w:hint="eastAsia" w:ascii="宋体" w:hAnsi="宋体"/>
          <w:color w:val="auto"/>
          <w:highlight w:val="none"/>
          <w:lang w:val="en-US" w:eastAsia="zh-CN"/>
        </w:rPr>
        <w:t>不</w:t>
      </w:r>
      <w:r>
        <w:rPr>
          <w:rFonts w:hint="eastAsia" w:ascii="宋体" w:hAnsi="宋体"/>
          <w:color w:val="auto"/>
          <w:highlight w:val="none"/>
        </w:rPr>
        <w:t>）接受联合体投标。</w:t>
      </w:r>
    </w:p>
    <w:p>
      <w:pPr>
        <w:pStyle w:val="3"/>
        <w:spacing w:before="0" w:after="0" w:line="360" w:lineRule="auto"/>
        <w:rPr>
          <w:rFonts w:ascii="宋体" w:hAnsi="宋体" w:eastAsia="宋体" w:cs="宋体"/>
          <w:color w:val="auto"/>
          <w:sz w:val="24"/>
          <w:szCs w:val="24"/>
          <w:highlight w:val="none"/>
        </w:rPr>
      </w:pPr>
      <w:bookmarkStart w:id="8" w:name="_Toc28359003"/>
      <w:bookmarkStart w:id="9" w:name="_Toc28359080"/>
      <w:bookmarkStart w:id="10" w:name="_Toc35393791"/>
      <w:bookmarkStart w:id="11" w:name="_Toc35393622"/>
      <w:r>
        <w:rPr>
          <w:rFonts w:hint="eastAsia" w:ascii="宋体" w:hAnsi="宋体" w:eastAsia="宋体" w:cs="宋体"/>
          <w:color w:val="auto"/>
          <w:sz w:val="24"/>
          <w:szCs w:val="24"/>
          <w:highlight w:val="none"/>
        </w:rPr>
        <w:t>二、申请人的资格要求</w:t>
      </w:r>
      <w:bookmarkEnd w:id="8"/>
      <w:bookmarkEnd w:id="9"/>
      <w:bookmarkEnd w:id="10"/>
      <w:bookmarkEnd w:id="11"/>
    </w:p>
    <w:p>
      <w:pPr>
        <w:numPr>
          <w:ilvl w:val="0"/>
          <w:numId w:val="2"/>
        </w:numPr>
        <w:adjustRightInd w:val="0"/>
        <w:snapToGrid w:val="0"/>
        <w:spacing w:line="360" w:lineRule="auto"/>
        <w:rPr>
          <w:rFonts w:hint="eastAsia" w:ascii="宋体" w:hAnsi="宋体"/>
          <w:highlight w:val="none"/>
        </w:rPr>
      </w:pPr>
      <w:bookmarkStart w:id="12" w:name="_Toc28359081"/>
      <w:bookmarkStart w:id="13" w:name="_Toc35393792"/>
      <w:bookmarkStart w:id="14" w:name="_Toc28359004"/>
      <w:bookmarkStart w:id="15" w:name="_Toc35393623"/>
      <w:r>
        <w:rPr>
          <w:rFonts w:hint="eastAsia" w:ascii="宋体" w:hAnsi="宋体"/>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pPr>
        <w:numPr>
          <w:ilvl w:val="0"/>
          <w:numId w:val="2"/>
        </w:numPr>
        <w:adjustRightInd w:val="0"/>
        <w:snapToGrid w:val="0"/>
        <w:spacing w:line="360" w:lineRule="auto"/>
        <w:rPr>
          <w:rFonts w:hint="eastAsia" w:ascii="宋体" w:hAnsi="宋体" w:cs="宋体"/>
          <w:kern w:val="0"/>
          <w:highlight w:val="none"/>
        </w:rPr>
      </w:pPr>
      <w:r>
        <w:rPr>
          <w:rFonts w:hint="eastAsia" w:ascii="宋体" w:hAnsi="宋体"/>
          <w:highlight w:val="none"/>
        </w:rPr>
        <w:t>落实政府采购政策需满足的资格要</w:t>
      </w:r>
      <w:r>
        <w:rPr>
          <w:rFonts w:hint="eastAsia" w:ascii="宋体" w:hAnsi="宋体" w:cs="宋体"/>
          <w:kern w:val="0"/>
          <w:highlight w:val="none"/>
        </w:rPr>
        <w:t>求： </w:t>
      </w:r>
    </w:p>
    <w:p>
      <w:pPr>
        <w:spacing w:line="360" w:lineRule="auto"/>
        <w:ind w:firstLine="480" w:firstLineChars="200"/>
        <w:rPr>
          <w:rFonts w:ascii="宋体" w:hAnsi="宋体"/>
          <w:color w:val="auto"/>
          <w:highlight w:val="none"/>
        </w:rPr>
      </w:pPr>
      <w:r>
        <w:rPr>
          <w:rFonts w:ascii="宋体" w:hAnsi="MS Gothic" w:cs="Arial"/>
          <w:kern w:val="0"/>
          <w:highlight w:val="none"/>
        </w:rPr>
        <w:t>☐</w:t>
      </w:r>
      <w:r>
        <w:rPr>
          <w:rFonts w:hint="eastAsia" w:ascii="宋体" w:hAnsi="宋体"/>
          <w:highlight w:val="none"/>
        </w:rPr>
        <w:t>无；</w:t>
      </w:r>
    </w:p>
    <w:p>
      <w:pPr>
        <w:spacing w:line="360" w:lineRule="auto"/>
        <w:ind w:firstLine="480" w:firstLineChars="200"/>
        <w:rPr>
          <w:rFonts w:ascii="宋体" w:hAnsi="宋体"/>
          <w:color w:val="auto"/>
          <w:highlight w:val="none"/>
        </w:rPr>
      </w:pPr>
      <w:r>
        <w:rPr>
          <w:rFonts w:ascii="宋体" w:hAnsi="宋体" w:cs="Arial"/>
          <w:color w:val="auto"/>
          <w:kern w:val="0"/>
          <w:highlight w:val="none"/>
        </w:rPr>
        <w:sym w:font="Wingdings" w:char="00FE"/>
      </w:r>
      <w:r>
        <w:rPr>
          <w:rFonts w:hint="eastAsia" w:ascii="宋体" w:hAnsi="宋体" w:cs="Arial"/>
          <w:color w:val="auto"/>
          <w:kern w:val="0"/>
          <w:highlight w:val="none"/>
        </w:rPr>
        <w:t>专</w:t>
      </w:r>
      <w:r>
        <w:rPr>
          <w:rFonts w:hint="eastAsia" w:ascii="宋体" w:hAnsi="宋体"/>
          <w:color w:val="auto"/>
          <w:highlight w:val="none"/>
        </w:rPr>
        <w:t>门面向中小企业</w:t>
      </w:r>
    </w:p>
    <w:p>
      <w:pPr>
        <w:spacing w:line="360" w:lineRule="auto"/>
        <w:ind w:firstLine="897" w:firstLineChars="374"/>
        <w:rPr>
          <w:rFonts w:ascii="宋体" w:hAnsi="宋体"/>
          <w:color w:val="auto"/>
          <w:highlight w:val="none"/>
          <w:u w:val="single"/>
        </w:rPr>
      </w:pPr>
      <w:r>
        <w:rPr>
          <w:rFonts w:ascii="宋体" w:hAnsi="宋体" w:cs="Arial"/>
          <w:color w:val="auto"/>
          <w:kern w:val="0"/>
          <w:highlight w:val="none"/>
        </w:rPr>
        <w:sym w:font="Wingdings" w:char="00FE"/>
      </w:r>
      <w:r>
        <w:rPr>
          <w:rFonts w:hint="eastAsia" w:ascii="宋体" w:hAnsi="宋体"/>
          <w:color w:val="auto"/>
          <w:highlight w:val="none"/>
        </w:rPr>
        <w:t>货物全部由符合政策要求的中小企业制造，提供中小企业声明函；</w:t>
      </w:r>
    </w:p>
    <w:p>
      <w:pPr>
        <w:spacing w:line="360" w:lineRule="auto"/>
        <w:ind w:firstLine="897" w:firstLineChars="374"/>
        <w:rPr>
          <w:rFonts w:ascii="宋体" w:hAnsi="宋体"/>
          <w:color w:val="auto"/>
          <w:highlight w:val="none"/>
        </w:rPr>
      </w:pPr>
      <w:r>
        <w:rPr>
          <w:rFonts w:ascii="宋体" w:hAnsi="MS Gothic" w:cs="Arial"/>
          <w:color w:val="auto"/>
          <w:kern w:val="0"/>
          <w:highlight w:val="none"/>
        </w:rPr>
        <w:t>☐</w:t>
      </w:r>
      <w:r>
        <w:rPr>
          <w:rFonts w:hint="eastAsia" w:ascii="宋体" w:hAnsi="宋体"/>
          <w:color w:val="auto"/>
          <w:highlight w:val="none"/>
        </w:rPr>
        <w:t>货物全部由符合政策要求的小微企业制造，提供中小企业声明函；</w:t>
      </w:r>
    </w:p>
    <w:p>
      <w:pPr>
        <w:spacing w:line="360" w:lineRule="auto"/>
        <w:ind w:firstLine="897" w:firstLineChars="374"/>
        <w:rPr>
          <w:rFonts w:ascii="宋体" w:hAnsi="宋体"/>
          <w:highlight w:val="none"/>
        </w:rPr>
      </w:pPr>
      <w:r>
        <w:rPr>
          <w:rFonts w:ascii="宋体" w:hAnsi="MS Gothic" w:cs="Arial"/>
          <w:color w:val="auto"/>
          <w:kern w:val="0"/>
          <w:highlight w:val="none"/>
        </w:rPr>
        <w:t>☐</w:t>
      </w:r>
      <w:r>
        <w:rPr>
          <w:rFonts w:hint="eastAsia" w:ascii="宋体" w:hAnsi="宋体"/>
          <w:color w:val="auto"/>
          <w:highlight w:val="none"/>
        </w:rPr>
        <w:t>服务全部由符合政策要求的</w:t>
      </w:r>
      <w:r>
        <w:rPr>
          <w:rFonts w:hint="eastAsia" w:ascii="宋体" w:hAnsi="宋体"/>
          <w:highlight w:val="none"/>
        </w:rPr>
        <w:t>中小企业承接，提供中小企业声明函；</w:t>
      </w:r>
    </w:p>
    <w:p>
      <w:pPr>
        <w:spacing w:line="360" w:lineRule="auto"/>
        <w:ind w:firstLine="897" w:firstLineChars="374"/>
        <w:rPr>
          <w:rFonts w:ascii="宋体" w:hAnsi="宋体"/>
          <w:highlight w:val="none"/>
        </w:rPr>
      </w:pPr>
      <w:r>
        <w:rPr>
          <w:rFonts w:ascii="宋体" w:hAnsi="MS Gothic" w:cs="Arial"/>
          <w:kern w:val="0"/>
          <w:highlight w:val="none"/>
        </w:rPr>
        <w:t>☐</w:t>
      </w:r>
      <w:r>
        <w:rPr>
          <w:rFonts w:hint="eastAsia" w:ascii="宋体" w:hAnsi="宋体"/>
          <w:highlight w:val="none"/>
        </w:rPr>
        <w:t>服务全部由符合政策要求的小微企业承接，提供中小企业声明函；</w:t>
      </w:r>
    </w:p>
    <w:p>
      <w:pPr>
        <w:spacing w:line="360" w:lineRule="auto"/>
        <w:ind w:firstLine="480" w:firstLineChars="200"/>
        <w:rPr>
          <w:rFonts w:ascii="宋体" w:hAnsi="宋体"/>
          <w:highlight w:val="none"/>
        </w:rPr>
      </w:pPr>
      <w:r>
        <w:rPr>
          <w:rFonts w:ascii="宋体" w:hAnsi="MS Gothic" w:cs="Arial"/>
          <w:kern w:val="0"/>
          <w:highlight w:val="none"/>
        </w:rPr>
        <w:t>☐</w:t>
      </w:r>
      <w:r>
        <w:rPr>
          <w:rFonts w:hint="eastAsia" w:ascii="宋体" w:hAnsi="宋体"/>
          <w:highlight w:val="none"/>
        </w:rPr>
        <w:t>要求以联合体形式参加，提供联合协议和中小企业声明函，联合协议中中小企业合同金额应当达到</w:t>
      </w:r>
      <w:r>
        <w:rPr>
          <w:rFonts w:ascii="宋体" w:hAnsi="宋体"/>
          <w:highlight w:val="none"/>
        </w:rPr>
        <w:t>%，小</w:t>
      </w:r>
      <w:r>
        <w:rPr>
          <w:rFonts w:hint="eastAsia" w:ascii="宋体" w:hAnsi="宋体"/>
          <w:highlight w:val="none"/>
        </w:rPr>
        <w:t>微企业合同金额应当达到</w:t>
      </w:r>
      <w:r>
        <w:rPr>
          <w:rFonts w:ascii="宋体" w:hAnsi="宋体"/>
          <w:highlight w:val="none"/>
        </w:rPr>
        <w:t>%;</w:t>
      </w:r>
      <w:r>
        <w:rPr>
          <w:rFonts w:hint="eastAsia" w:ascii="宋体" w:hAnsi="宋体" w:cs="宋体"/>
          <w:spacing w:val="8"/>
          <w:kern w:val="0"/>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highlight w:val="none"/>
        </w:rPr>
        <w:t>；</w:t>
      </w:r>
    </w:p>
    <w:p>
      <w:pPr>
        <w:spacing w:line="360" w:lineRule="auto"/>
        <w:ind w:firstLine="480" w:firstLineChars="200"/>
        <w:rPr>
          <w:rFonts w:ascii="宋体" w:hAnsi="宋体"/>
          <w:highlight w:val="none"/>
        </w:rPr>
      </w:pPr>
      <w:r>
        <w:rPr>
          <w:rFonts w:ascii="宋体" w:hAnsi="MS Gothic" w:cs="Arial"/>
          <w:kern w:val="0"/>
          <w:highlight w:val="none"/>
        </w:rPr>
        <w:t>☐</w:t>
      </w:r>
      <w:r>
        <w:rPr>
          <w:rFonts w:hint="eastAsia" w:ascii="宋体" w:hAnsi="宋体"/>
          <w:highlight w:val="none"/>
        </w:rPr>
        <w:t>要求合同分包，提供分包意向协议和中小企业声明函，分包意向协议中中小企业合同金额应当达到达到</w:t>
      </w:r>
      <w:r>
        <w:rPr>
          <w:rFonts w:ascii="宋体" w:hAnsi="宋体"/>
          <w:highlight w:val="none"/>
        </w:rPr>
        <w:t xml:space="preserve">% </w:t>
      </w:r>
      <w:r>
        <w:rPr>
          <w:rFonts w:hint="eastAsia" w:ascii="宋体" w:hAnsi="宋体"/>
          <w:highlight w:val="none"/>
        </w:rPr>
        <w:t>，小微企业合同金额应当达到</w:t>
      </w:r>
      <w:r>
        <w:rPr>
          <w:rFonts w:ascii="宋体" w:hAnsi="宋体"/>
          <w:highlight w:val="none"/>
        </w:rPr>
        <w:t>% ;</w:t>
      </w:r>
      <w:r>
        <w:rPr>
          <w:rFonts w:hint="eastAsia" w:ascii="宋体" w:hAnsi="宋体" w:cs="宋体"/>
          <w:spacing w:val="8"/>
          <w:kern w:val="0"/>
          <w:highlight w:val="none"/>
        </w:rPr>
        <w:t>如果供应商本身提供所有标的均由中小企业制造、承建或承接，视同符合了资格条件，无需再向中小企业分包，无需提供分包意向协议</w:t>
      </w:r>
      <w:r>
        <w:rPr>
          <w:rFonts w:hint="eastAsia" w:ascii="宋体" w:hAnsi="宋体"/>
          <w:highlight w:val="none"/>
        </w:rPr>
        <w:t>。</w:t>
      </w:r>
    </w:p>
    <w:p>
      <w:pPr>
        <w:numPr>
          <w:ilvl w:val="0"/>
          <w:numId w:val="2"/>
        </w:numPr>
        <w:adjustRightInd w:val="0"/>
        <w:snapToGrid w:val="0"/>
        <w:spacing w:line="360" w:lineRule="auto"/>
        <w:ind w:left="0" w:firstLine="420"/>
        <w:rPr>
          <w:rFonts w:hint="eastAsia" w:ascii="宋体" w:hAnsi="宋体"/>
          <w:highlight w:val="none"/>
        </w:rPr>
      </w:pPr>
      <w:r>
        <w:rPr>
          <w:rFonts w:hint="eastAsia" w:ascii="宋体" w:hAnsi="宋体"/>
          <w:highlight w:val="none"/>
        </w:rPr>
        <w:t>本项目的特定资格要求：</w:t>
      </w:r>
      <w:r>
        <w:rPr>
          <w:rFonts w:hint="eastAsia" w:ascii="宋体" w:hAnsi="宋体"/>
          <w:highlight w:val="none"/>
          <w:lang w:eastAsia="zh-CN"/>
        </w:rPr>
        <w:t>无</w:t>
      </w:r>
      <w:r>
        <w:rPr>
          <w:rFonts w:hint="eastAsia" w:ascii="宋体" w:hAnsi="宋体"/>
          <w:highlight w:val="none"/>
          <w:u w:val="none"/>
        </w:rPr>
        <w:t>。</w:t>
      </w:r>
    </w:p>
    <w:p>
      <w:pPr>
        <w:numPr>
          <w:ilvl w:val="0"/>
          <w:numId w:val="2"/>
        </w:numPr>
        <w:adjustRightInd w:val="0"/>
        <w:snapToGrid w:val="0"/>
        <w:spacing w:line="360" w:lineRule="auto"/>
        <w:ind w:left="0" w:firstLine="420"/>
        <w:rPr>
          <w:rFonts w:hint="eastAsia" w:ascii="宋体" w:hAnsi="宋体"/>
          <w:highlight w:val="none"/>
        </w:rPr>
      </w:pPr>
      <w:r>
        <w:rPr>
          <w:rFonts w:hint="eastAsia" w:ascii="宋体" w:hAnsi="宋体"/>
          <w:highlight w:val="none"/>
        </w:rPr>
        <w:t>单位负责人为同一人或者存在直接控股、管理关系的不同供应商，不得参加同一合同项下的政府采购活动；</w:t>
      </w:r>
      <w:r>
        <w:rPr>
          <w:rFonts w:ascii="宋体" w:hAnsi="宋体"/>
          <w:highlight w:val="none"/>
        </w:rPr>
        <w:t>为采购项目提供整体设计、规范编制或者项目管理、监理、检测等服务后</w:t>
      </w:r>
      <w:r>
        <w:rPr>
          <w:rFonts w:hint="eastAsia" w:ascii="宋体" w:hAnsi="宋体"/>
          <w:highlight w:val="none"/>
        </w:rPr>
        <w:t>不得</w:t>
      </w:r>
      <w:r>
        <w:rPr>
          <w:rFonts w:ascii="宋体" w:hAnsi="宋体"/>
          <w:highlight w:val="none"/>
        </w:rPr>
        <w:t>再参加该采购项目的其他采购活动。</w:t>
      </w:r>
    </w:p>
    <w:p>
      <w:pPr>
        <w:pStyle w:val="3"/>
        <w:spacing w:before="0" w:after="0"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三、获取磋商文件</w:t>
      </w:r>
    </w:p>
    <w:p>
      <w:pPr>
        <w:widowControl/>
        <w:adjustRightInd w:val="0"/>
        <w:snapToGrid w:val="0"/>
        <w:spacing w:line="360" w:lineRule="auto"/>
        <w:jc w:val="left"/>
        <w:rPr>
          <w:rFonts w:hint="eastAsia" w:ascii="宋体" w:hAnsi="宋体" w:cs="宋体"/>
          <w:kern w:val="0"/>
          <w:highlight w:val="none"/>
        </w:rPr>
      </w:pPr>
      <w:r>
        <w:rPr>
          <w:rFonts w:hint="eastAsia" w:ascii="宋体" w:hAnsi="宋体" w:cs="宋体"/>
          <w:kern w:val="0"/>
          <w:highlight w:val="none"/>
        </w:rPr>
        <w:t>   时间：</w:t>
      </w:r>
      <w:r>
        <w:rPr>
          <w:rFonts w:hint="eastAsia" w:ascii="宋体" w:hAnsi="宋体" w:cs="宋体"/>
          <w:kern w:val="0"/>
          <w:highlight w:val="none"/>
          <w:lang w:eastAsia="zh-CN"/>
        </w:rPr>
        <w:t>2023年</w:t>
      </w:r>
      <w:r>
        <w:rPr>
          <w:rFonts w:hint="eastAsia" w:ascii="宋体" w:hAnsi="宋体" w:cs="宋体"/>
          <w:kern w:val="0"/>
          <w:highlight w:val="none"/>
          <w:lang w:val="en-US" w:eastAsia="zh-CN"/>
        </w:rPr>
        <w:t>8</w:t>
      </w:r>
      <w:r>
        <w:rPr>
          <w:rFonts w:hint="eastAsia" w:ascii="宋体" w:hAnsi="宋体" w:cs="宋体"/>
          <w:kern w:val="0"/>
          <w:highlight w:val="none"/>
          <w:lang w:eastAsia="zh-CN"/>
        </w:rPr>
        <w:t>月</w:t>
      </w:r>
      <w:r>
        <w:rPr>
          <w:rFonts w:hint="eastAsia" w:ascii="宋体" w:hAnsi="宋体" w:cs="宋体"/>
          <w:kern w:val="0"/>
          <w:highlight w:val="none"/>
          <w:lang w:val="en-US" w:eastAsia="zh-CN"/>
        </w:rPr>
        <w:t>29</w:t>
      </w:r>
      <w:r>
        <w:rPr>
          <w:rFonts w:hint="eastAsia" w:ascii="宋体" w:hAnsi="宋体" w:cs="宋体"/>
          <w:kern w:val="0"/>
          <w:highlight w:val="none"/>
          <w:lang w:eastAsia="zh-CN"/>
        </w:rPr>
        <w:t>日</w:t>
      </w:r>
      <w:r>
        <w:rPr>
          <w:rFonts w:hint="eastAsia" w:ascii="宋体" w:hAnsi="宋体" w:cs="宋体"/>
          <w:kern w:val="0"/>
          <w:highlight w:val="none"/>
        </w:rPr>
        <w:t>至</w:t>
      </w:r>
      <w:r>
        <w:rPr>
          <w:rFonts w:hint="eastAsia" w:ascii="宋体" w:hAnsi="宋体" w:cs="宋体"/>
          <w:kern w:val="0"/>
          <w:highlight w:val="none"/>
          <w:lang w:eastAsia="zh-CN"/>
        </w:rPr>
        <w:t>2023年</w:t>
      </w:r>
      <w:r>
        <w:rPr>
          <w:rFonts w:hint="eastAsia" w:ascii="宋体" w:hAnsi="宋体" w:cs="宋体"/>
          <w:kern w:val="0"/>
          <w:highlight w:val="none"/>
          <w:lang w:val="en-US" w:eastAsia="zh-CN"/>
        </w:rPr>
        <w:t>9</w:t>
      </w:r>
      <w:r>
        <w:rPr>
          <w:rFonts w:hint="eastAsia" w:ascii="宋体" w:hAnsi="宋体" w:cs="宋体"/>
          <w:kern w:val="0"/>
          <w:highlight w:val="none"/>
          <w:lang w:eastAsia="zh-CN"/>
        </w:rPr>
        <w:t>月</w:t>
      </w:r>
      <w:r>
        <w:rPr>
          <w:rFonts w:hint="eastAsia" w:ascii="宋体" w:hAnsi="宋体" w:cs="宋体"/>
          <w:kern w:val="0"/>
          <w:highlight w:val="none"/>
          <w:lang w:val="en-US" w:eastAsia="zh-CN"/>
        </w:rPr>
        <w:t>13</w:t>
      </w:r>
      <w:r>
        <w:rPr>
          <w:rFonts w:hint="eastAsia" w:ascii="宋体" w:hAnsi="宋体" w:cs="宋体"/>
          <w:kern w:val="0"/>
          <w:highlight w:val="none"/>
          <w:lang w:eastAsia="zh-CN"/>
        </w:rPr>
        <w:t>日</w:t>
      </w:r>
      <w:r>
        <w:rPr>
          <w:rFonts w:hint="eastAsia" w:ascii="宋体" w:hAnsi="宋体" w:cs="宋体"/>
          <w:kern w:val="0"/>
          <w:highlight w:val="none"/>
        </w:rPr>
        <w:t>，每天上午00:00至12:00，下午12:00至23:59（北京时间，线上获取法定节假日均可，线下获取文件法定节假日除外）</w:t>
      </w:r>
    </w:p>
    <w:p>
      <w:pPr>
        <w:widowControl/>
        <w:adjustRightInd w:val="0"/>
        <w:snapToGrid w:val="0"/>
        <w:spacing w:line="360" w:lineRule="auto"/>
        <w:jc w:val="left"/>
        <w:rPr>
          <w:rFonts w:hint="eastAsia" w:ascii="宋体" w:hAnsi="宋体" w:cs="宋体"/>
          <w:kern w:val="0"/>
          <w:highlight w:val="none"/>
        </w:rPr>
      </w:pPr>
      <w:r>
        <w:rPr>
          <w:rFonts w:hint="eastAsia" w:ascii="宋体" w:hAnsi="宋体" w:cs="宋体"/>
          <w:kern w:val="0"/>
          <w:highlight w:val="none"/>
        </w:rPr>
        <w:t>   地点（网址）：政府采购云平台https://login.zcygov.cn/login </w:t>
      </w:r>
    </w:p>
    <w:p>
      <w:pPr>
        <w:widowControl/>
        <w:adjustRightInd w:val="0"/>
        <w:snapToGrid w:val="0"/>
        <w:spacing w:line="360" w:lineRule="auto"/>
        <w:jc w:val="left"/>
        <w:rPr>
          <w:rFonts w:hint="eastAsia" w:ascii="宋体" w:hAnsi="宋体" w:cs="宋体"/>
          <w:kern w:val="0"/>
          <w:highlight w:val="none"/>
        </w:rPr>
      </w:pPr>
      <w:r>
        <w:rPr>
          <w:rFonts w:hint="eastAsia" w:ascii="宋体" w:hAnsi="宋体" w:cs="宋体"/>
          <w:kern w:val="0"/>
          <w:highlight w:val="none"/>
        </w:rPr>
        <w:t>   方式：供应商登录政采云平台https://www.zcygov.cn/在线申请获取采购文件（进入“项目采购”应用，在获取采购文件菜单中选择项目，申请获取采购文件） </w:t>
      </w:r>
    </w:p>
    <w:p>
      <w:pPr>
        <w:widowControl/>
        <w:adjustRightInd w:val="0"/>
        <w:snapToGrid w:val="0"/>
        <w:spacing w:line="360" w:lineRule="auto"/>
        <w:jc w:val="left"/>
        <w:rPr>
          <w:rFonts w:hint="eastAsia" w:ascii="宋体" w:hAnsi="宋体" w:cs="宋体"/>
          <w:kern w:val="0"/>
          <w:highlight w:val="none"/>
        </w:rPr>
      </w:pPr>
      <w:r>
        <w:rPr>
          <w:rFonts w:hint="eastAsia" w:ascii="宋体" w:hAnsi="宋体" w:cs="宋体"/>
          <w:kern w:val="0"/>
          <w:highlight w:val="none"/>
        </w:rPr>
        <w:t>    售价（元）：0 </w:t>
      </w:r>
    </w:p>
    <w:bookmarkEnd w:id="12"/>
    <w:bookmarkEnd w:id="13"/>
    <w:bookmarkEnd w:id="14"/>
    <w:bookmarkEnd w:id="15"/>
    <w:p>
      <w:pPr>
        <w:pStyle w:val="3"/>
        <w:spacing w:before="0" w:after="0" w:line="360" w:lineRule="auto"/>
        <w:rPr>
          <w:rFonts w:hint="eastAsia" w:ascii="宋体" w:hAnsi="宋体" w:eastAsia="宋体" w:cs="宋体"/>
          <w:sz w:val="24"/>
          <w:szCs w:val="24"/>
          <w:highlight w:val="none"/>
        </w:rPr>
      </w:pPr>
      <w:bookmarkStart w:id="16" w:name="_Toc35393625"/>
      <w:bookmarkStart w:id="17" w:name="_Toc28359084"/>
      <w:bookmarkStart w:id="18" w:name="_Toc35393794"/>
      <w:bookmarkStart w:id="19" w:name="_Toc28359007"/>
      <w:r>
        <w:rPr>
          <w:rFonts w:hint="eastAsia" w:ascii="宋体" w:hAnsi="宋体" w:eastAsia="宋体" w:cs="宋体"/>
          <w:sz w:val="24"/>
          <w:szCs w:val="24"/>
          <w:highlight w:val="none"/>
        </w:rPr>
        <w:t>四、提交响应文件截止时间、开标时间和地点</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提交</w:t>
      </w:r>
      <w:r>
        <w:rPr>
          <w:rFonts w:hint="eastAsia" w:ascii="宋体" w:hAnsi="宋体" w:cs="宋体"/>
          <w:b/>
          <w:bCs/>
          <w:kern w:val="0"/>
          <w:highlight w:val="none"/>
        </w:rPr>
        <w:t>响应文件</w:t>
      </w:r>
      <w:r>
        <w:rPr>
          <w:rFonts w:hint="eastAsia" w:ascii="宋体" w:hAnsi="宋体" w:cs="宋体"/>
          <w:kern w:val="0"/>
          <w:highlight w:val="none"/>
        </w:rPr>
        <w:t>截止时间：</w:t>
      </w:r>
      <w:r>
        <w:rPr>
          <w:rFonts w:hint="eastAsia" w:ascii="宋体" w:hAnsi="宋体" w:cs="宋体"/>
          <w:kern w:val="0"/>
          <w:highlight w:val="none"/>
          <w:lang w:eastAsia="zh-CN"/>
        </w:rPr>
        <w:t>2023年</w:t>
      </w:r>
      <w:r>
        <w:rPr>
          <w:rFonts w:hint="eastAsia" w:ascii="宋体" w:hAnsi="宋体" w:cs="宋体"/>
          <w:kern w:val="0"/>
          <w:highlight w:val="none"/>
          <w:lang w:val="en-US" w:eastAsia="zh-CN"/>
        </w:rPr>
        <w:t xml:space="preserve">9 </w:t>
      </w:r>
      <w:r>
        <w:rPr>
          <w:rFonts w:hint="eastAsia" w:ascii="宋体" w:hAnsi="宋体" w:cs="宋体"/>
          <w:kern w:val="0"/>
          <w:highlight w:val="none"/>
          <w:lang w:eastAsia="zh-CN"/>
        </w:rPr>
        <w:t>月</w:t>
      </w:r>
      <w:r>
        <w:rPr>
          <w:rFonts w:hint="eastAsia" w:ascii="宋体" w:hAnsi="宋体" w:cs="宋体"/>
          <w:kern w:val="0"/>
          <w:highlight w:val="none"/>
          <w:lang w:val="en-US" w:eastAsia="zh-CN"/>
        </w:rPr>
        <w:t xml:space="preserve">13 </w:t>
      </w:r>
      <w:r>
        <w:rPr>
          <w:rFonts w:hint="eastAsia" w:ascii="宋体" w:hAnsi="宋体" w:cs="宋体"/>
          <w:kern w:val="0"/>
          <w:highlight w:val="none"/>
          <w:lang w:eastAsia="zh-CN"/>
        </w:rPr>
        <w:t>日</w:t>
      </w:r>
      <w:r>
        <w:rPr>
          <w:rFonts w:hint="eastAsia" w:ascii="宋体" w:hAnsi="宋体" w:cs="宋体"/>
          <w:kern w:val="0"/>
          <w:highlight w:val="none"/>
          <w:lang w:val="en-US" w:eastAsia="zh-CN"/>
        </w:rPr>
        <w:t>9</w:t>
      </w:r>
      <w:r>
        <w:rPr>
          <w:rFonts w:hint="eastAsia" w:ascii="宋体" w:hAnsi="宋体" w:cs="宋体"/>
          <w:kern w:val="0"/>
          <w:highlight w:val="none"/>
        </w:rPr>
        <w:t>:30</w:t>
      </w:r>
      <w:r>
        <w:rPr>
          <w:rFonts w:hint="eastAsia" w:ascii="宋体" w:hAnsi="宋体" w:cs="宋体"/>
          <w:kern w:val="0"/>
          <w:highlight w:val="none"/>
          <w:lang w:val="en-US" w:eastAsia="zh-CN"/>
        </w:rPr>
        <w:t>时</w:t>
      </w:r>
      <w:r>
        <w:rPr>
          <w:rFonts w:hint="eastAsia" w:ascii="宋体" w:hAnsi="宋体" w:cs="宋体"/>
          <w:kern w:val="0"/>
          <w:highlight w:val="none"/>
        </w:rPr>
        <w:t>（北京时间）</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投标地点（网址）：</w:t>
      </w:r>
      <w:r>
        <w:rPr>
          <w:rFonts w:hint="eastAsia" w:ascii="宋体" w:hAnsi="宋体" w:cs="宋体"/>
          <w:highlight w:val="none"/>
        </w:rPr>
        <w:t>“政采云”上提供电子响应文件</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开标时间：</w:t>
      </w:r>
      <w:r>
        <w:rPr>
          <w:rFonts w:hint="eastAsia" w:ascii="宋体" w:hAnsi="宋体" w:cs="宋体"/>
          <w:kern w:val="0"/>
          <w:highlight w:val="none"/>
          <w:lang w:eastAsia="zh-CN"/>
        </w:rPr>
        <w:t>2023年</w:t>
      </w:r>
      <w:r>
        <w:rPr>
          <w:rFonts w:hint="eastAsia" w:ascii="宋体" w:hAnsi="宋体" w:cs="宋体"/>
          <w:kern w:val="0"/>
          <w:highlight w:val="none"/>
          <w:lang w:val="en-US" w:eastAsia="zh-CN"/>
        </w:rPr>
        <w:t xml:space="preserve">9 </w:t>
      </w:r>
      <w:r>
        <w:rPr>
          <w:rFonts w:hint="eastAsia" w:ascii="宋体" w:hAnsi="宋体" w:cs="宋体"/>
          <w:kern w:val="0"/>
          <w:highlight w:val="none"/>
          <w:lang w:eastAsia="zh-CN"/>
        </w:rPr>
        <w:t>月</w:t>
      </w:r>
      <w:r>
        <w:rPr>
          <w:rFonts w:hint="eastAsia" w:ascii="宋体" w:hAnsi="宋体" w:cs="宋体"/>
          <w:kern w:val="0"/>
          <w:highlight w:val="none"/>
          <w:lang w:val="en-US" w:eastAsia="zh-CN"/>
        </w:rPr>
        <w:t xml:space="preserve">13 </w:t>
      </w:r>
      <w:r>
        <w:rPr>
          <w:rFonts w:hint="eastAsia" w:ascii="宋体" w:hAnsi="宋体" w:cs="宋体"/>
          <w:kern w:val="0"/>
          <w:highlight w:val="none"/>
          <w:lang w:eastAsia="zh-CN"/>
        </w:rPr>
        <w:t>日</w:t>
      </w:r>
      <w:r>
        <w:rPr>
          <w:rFonts w:hint="eastAsia" w:ascii="宋体" w:hAnsi="宋体" w:cs="宋体"/>
          <w:kern w:val="0"/>
          <w:highlight w:val="none"/>
          <w:lang w:val="en-US" w:eastAsia="zh-CN"/>
        </w:rPr>
        <w:t>9</w:t>
      </w:r>
      <w:r>
        <w:rPr>
          <w:rFonts w:hint="eastAsia" w:ascii="宋体" w:hAnsi="宋体" w:cs="宋体"/>
          <w:kern w:val="0"/>
          <w:highlight w:val="none"/>
        </w:rPr>
        <w:t>:30</w:t>
      </w:r>
      <w:r>
        <w:rPr>
          <w:rFonts w:hint="eastAsia" w:ascii="宋体" w:hAnsi="宋体" w:cs="宋体"/>
          <w:kern w:val="0"/>
          <w:highlight w:val="none"/>
          <w:lang w:val="en-US" w:eastAsia="zh-CN"/>
        </w:rPr>
        <w:t>时</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开标地点（网址）：</w:t>
      </w:r>
      <w:r>
        <w:rPr>
          <w:rFonts w:hint="eastAsia" w:ascii="宋体" w:hAnsi="宋体" w:cs="宋体"/>
          <w:kern w:val="0"/>
          <w:highlight w:val="none"/>
          <w:lang w:eastAsia="zh-CN"/>
        </w:rPr>
        <w:t>嘉善县晋阳西路1212号西幢4楼浙江勋达工程咨询有限公司开标室</w:t>
      </w:r>
      <w:r>
        <w:rPr>
          <w:rFonts w:hint="eastAsia" w:ascii="宋体" w:hAnsi="宋体" w:cs="宋体"/>
          <w:kern w:val="0"/>
          <w:highlight w:val="none"/>
        </w:rPr>
        <w:t>  </w:t>
      </w:r>
    </w:p>
    <w:p>
      <w:pPr>
        <w:keepNext/>
        <w:keepLines/>
        <w:tabs>
          <w:tab w:val="left" w:pos="284"/>
          <w:tab w:val="left" w:pos="567"/>
        </w:tabs>
        <w:adjustRightInd w:val="0"/>
        <w:snapToGrid w:val="0"/>
        <w:spacing w:line="360" w:lineRule="auto"/>
        <w:outlineLvl w:val="1"/>
        <w:rPr>
          <w:rFonts w:hint="eastAsia" w:ascii="宋体" w:hAnsi="宋体" w:cs="宋体"/>
          <w:b/>
          <w:bCs/>
          <w:highlight w:val="none"/>
        </w:rPr>
      </w:pPr>
      <w:r>
        <w:rPr>
          <w:rFonts w:hint="eastAsia" w:ascii="宋体" w:hAnsi="宋体" w:cs="宋体"/>
          <w:b/>
          <w:bCs/>
          <w:highlight w:val="none"/>
        </w:rPr>
        <w:t>五、公告期限</w:t>
      </w:r>
    </w:p>
    <w:p>
      <w:pPr>
        <w:adjustRightInd w:val="0"/>
        <w:snapToGrid w:val="0"/>
        <w:spacing w:line="360" w:lineRule="auto"/>
        <w:ind w:firstLine="480" w:firstLineChars="200"/>
        <w:rPr>
          <w:rFonts w:hint="eastAsia" w:ascii="宋体" w:hAnsi="宋体" w:cs="宋体"/>
          <w:kern w:val="0"/>
          <w:highlight w:val="none"/>
        </w:rPr>
      </w:pPr>
      <w:r>
        <w:rPr>
          <w:rFonts w:hint="eastAsia" w:ascii="宋体" w:hAnsi="宋体" w:cs="宋体"/>
          <w:kern w:val="0"/>
          <w:highlight w:val="none"/>
        </w:rPr>
        <w:t>自本公告发布之日起5个工作日。</w:t>
      </w:r>
    </w:p>
    <w:p>
      <w:pPr>
        <w:keepNext/>
        <w:keepLines/>
        <w:tabs>
          <w:tab w:val="left" w:pos="284"/>
          <w:tab w:val="left" w:pos="567"/>
        </w:tabs>
        <w:adjustRightInd w:val="0"/>
        <w:snapToGrid w:val="0"/>
        <w:spacing w:line="360" w:lineRule="auto"/>
        <w:outlineLvl w:val="1"/>
        <w:rPr>
          <w:rFonts w:hint="eastAsia" w:ascii="宋体" w:hAnsi="宋体" w:cs="宋体"/>
          <w:b/>
          <w:bCs/>
          <w:highlight w:val="none"/>
        </w:rPr>
      </w:pPr>
      <w:r>
        <w:rPr>
          <w:rFonts w:hint="eastAsia" w:ascii="宋体" w:hAnsi="宋体" w:cs="宋体"/>
          <w:b/>
          <w:bCs/>
          <w:highlight w:val="none"/>
        </w:rPr>
        <w:t>六、其他补充事宜</w:t>
      </w:r>
    </w:p>
    <w:bookmarkEnd w:id="16"/>
    <w:bookmarkEnd w:id="17"/>
    <w:bookmarkEnd w:id="18"/>
    <w:bookmarkEnd w:id="19"/>
    <w:p>
      <w:pPr>
        <w:widowControl/>
        <w:adjustRightInd w:val="0"/>
        <w:snapToGrid w:val="0"/>
        <w:spacing w:line="360" w:lineRule="auto"/>
        <w:ind w:firstLine="480" w:firstLineChars="200"/>
        <w:jc w:val="left"/>
        <w:rPr>
          <w:rFonts w:hint="eastAsia" w:ascii="宋体" w:hAnsi="宋体" w:eastAsia="宋体" w:cs="宋体"/>
          <w:kern w:val="0"/>
          <w:highlight w:val="none"/>
        </w:rPr>
      </w:pPr>
      <w:r>
        <w:rPr>
          <w:rFonts w:hint="eastAsia" w:ascii="宋体" w:hAnsi="宋体" w:eastAsia="宋体" w:cs="宋体"/>
          <w:kern w:val="0"/>
          <w:highlight w:val="none"/>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widowControl/>
        <w:adjustRightInd w:val="0"/>
        <w:snapToGrid w:val="0"/>
        <w:spacing w:line="360" w:lineRule="auto"/>
        <w:ind w:firstLine="480" w:firstLineChars="200"/>
        <w:jc w:val="left"/>
        <w:rPr>
          <w:rFonts w:hint="eastAsia" w:ascii="宋体" w:hAnsi="宋体" w:eastAsia="宋体" w:cs="宋体"/>
          <w:kern w:val="0"/>
          <w:highlight w:val="none"/>
        </w:rPr>
      </w:pPr>
      <w:r>
        <w:rPr>
          <w:rFonts w:hint="eastAsia" w:ascii="宋体" w:hAnsi="宋体" w:eastAsia="宋体" w:cs="宋体"/>
          <w:kern w:val="0"/>
          <w:highlight w:val="none"/>
        </w:rPr>
        <w:t xml:space="preserve">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pPr>
        <w:widowControl/>
        <w:adjustRightInd w:val="0"/>
        <w:snapToGrid w:val="0"/>
        <w:spacing w:line="360" w:lineRule="auto"/>
        <w:ind w:firstLine="480" w:firstLineChars="200"/>
        <w:jc w:val="left"/>
        <w:rPr>
          <w:rFonts w:hint="eastAsia" w:ascii="宋体" w:hAnsi="宋体" w:eastAsia="宋体" w:cs="宋体"/>
          <w:kern w:val="0"/>
          <w:highlight w:val="none"/>
        </w:rPr>
      </w:pPr>
      <w:r>
        <w:rPr>
          <w:rFonts w:hint="eastAsia" w:ascii="宋体" w:hAnsi="宋体" w:eastAsia="宋体" w:cs="宋体"/>
          <w:kern w:val="0"/>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adjustRightInd w:val="0"/>
        <w:snapToGrid w:val="0"/>
        <w:spacing w:line="360" w:lineRule="auto"/>
        <w:ind w:firstLine="480" w:firstLineChars="200"/>
        <w:jc w:val="left"/>
        <w:rPr>
          <w:rFonts w:hint="eastAsia" w:ascii="宋体" w:hAnsi="宋体" w:cs="宋体"/>
          <w:b/>
          <w:bCs/>
          <w:highlight w:val="none"/>
        </w:rPr>
      </w:pPr>
      <w:r>
        <w:rPr>
          <w:rFonts w:hint="eastAsia" w:ascii="宋体" w:hAnsi="宋体" w:eastAsia="宋体" w:cs="宋体"/>
          <w:kern w:val="0"/>
          <w:highlight w:val="none"/>
        </w:rPr>
        <w:t>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地址：</w:t>
      </w:r>
      <w:r>
        <w:rPr>
          <w:rFonts w:hint="eastAsia" w:ascii="宋体" w:hAnsi="宋体" w:eastAsia="宋体" w:cs="宋体"/>
          <w:kern w:val="0"/>
          <w:highlight w:val="none"/>
          <w:lang w:eastAsia="zh-CN"/>
        </w:rPr>
        <w:t>嘉善县罗星街道晋阳西路1212号4楼浙江勋达工程咨询有限公司</w:t>
      </w:r>
      <w:r>
        <w:rPr>
          <w:rFonts w:hint="eastAsia" w:ascii="宋体" w:hAnsi="宋体" w:eastAsia="宋体" w:cs="宋体"/>
          <w:kern w:val="0"/>
          <w:highlight w:val="none"/>
        </w:rPr>
        <w:t>招标代理部；收件人：</w:t>
      </w:r>
      <w:r>
        <w:rPr>
          <w:rFonts w:hint="eastAsia" w:ascii="宋体" w:hAnsi="宋体" w:eastAsia="宋体" w:cs="宋体"/>
          <w:kern w:val="0"/>
          <w:highlight w:val="none"/>
          <w:lang w:val="en-US" w:eastAsia="zh-CN"/>
        </w:rPr>
        <w:t>侍丽亚</w:t>
      </w:r>
      <w:r>
        <w:rPr>
          <w:rFonts w:hint="eastAsia" w:ascii="宋体" w:hAnsi="宋体" w:eastAsia="宋体" w:cs="宋体"/>
          <w:kern w:val="0"/>
          <w:highlight w:val="none"/>
        </w:rPr>
        <w:t>；电话：</w:t>
      </w:r>
      <w:r>
        <w:rPr>
          <w:rFonts w:hint="eastAsia" w:ascii="宋体" w:hAnsi="宋体" w:eastAsia="宋体" w:cs="宋体"/>
          <w:kern w:val="0"/>
          <w:highlight w:val="none"/>
          <w:lang w:eastAsia="zh-CN"/>
        </w:rPr>
        <w:t>0573-84638899</w:t>
      </w:r>
      <w:r>
        <w:rPr>
          <w:rFonts w:hint="eastAsia" w:ascii="宋体" w:hAnsi="宋体" w:eastAsia="宋体" w:cs="宋体"/>
          <w:kern w:val="0"/>
          <w:highlight w:val="none"/>
        </w:rPr>
        <w:t>；快递寄出同时，项目被授权代表须以邮件方式将快递单号、项目名称、公司名称、被授权代表姓名及联系方式等内容（邮件格式为：项目编号+快递单号+公司名称+被授权代表姓名及联系方式）发送至采购代理机构联系人邮箱(</w:t>
      </w:r>
      <w:r>
        <w:rPr>
          <w:rFonts w:hint="eastAsia" w:ascii="宋体" w:hAnsi="宋体" w:eastAsia="宋体" w:cs="宋体"/>
          <w:kern w:val="0"/>
          <w:highlight w:val="none"/>
          <w:lang w:val="en-US" w:eastAsia="zh-CN"/>
        </w:rPr>
        <w:t>1530892138</w:t>
      </w:r>
      <w:r>
        <w:rPr>
          <w:rFonts w:hint="eastAsia" w:ascii="宋体" w:hAnsi="宋体" w:eastAsia="宋体" w:cs="宋体"/>
          <w:kern w:val="0"/>
          <w:highlight w:val="none"/>
        </w:rPr>
        <w:t>@qq.com)。如供应商选择快递费到付，采购代理机构将拒签。】备份投标文件的制作、存储、密封详见招标文件第三章磋商须知—“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keepNext/>
        <w:keepLines/>
        <w:tabs>
          <w:tab w:val="left" w:pos="284"/>
          <w:tab w:val="left" w:pos="567"/>
        </w:tabs>
        <w:adjustRightInd w:val="0"/>
        <w:snapToGrid w:val="0"/>
        <w:spacing w:line="360" w:lineRule="auto"/>
        <w:outlineLvl w:val="1"/>
        <w:rPr>
          <w:rFonts w:hint="eastAsia" w:ascii="宋体" w:hAnsi="宋体" w:cs="宋体"/>
          <w:b/>
          <w:bCs/>
          <w:highlight w:val="none"/>
        </w:rPr>
      </w:pPr>
      <w:r>
        <w:rPr>
          <w:rFonts w:hint="eastAsia" w:ascii="宋体" w:hAnsi="宋体" w:cs="宋体"/>
          <w:b/>
          <w:bCs/>
          <w:highlight w:val="none"/>
        </w:rPr>
        <w:t>七、对本次采购提出询问、质疑、投诉，请按以下方式联系</w:t>
      </w:r>
    </w:p>
    <w:p>
      <w:pPr>
        <w:widowControl/>
        <w:numPr>
          <w:ilvl w:val="1"/>
          <w:numId w:val="3"/>
        </w:numPr>
        <w:adjustRightInd w:val="0"/>
        <w:snapToGrid w:val="0"/>
        <w:spacing w:line="360" w:lineRule="auto"/>
        <w:ind w:left="0" w:firstLine="480" w:firstLineChars="200"/>
        <w:jc w:val="left"/>
        <w:rPr>
          <w:rFonts w:hint="eastAsia" w:ascii="宋体" w:hAnsi="宋体" w:cs="宋体"/>
          <w:kern w:val="0"/>
          <w:highlight w:val="none"/>
        </w:rPr>
      </w:pPr>
      <w:r>
        <w:rPr>
          <w:rFonts w:hint="eastAsia" w:ascii="宋体" w:hAnsi="宋体" w:cs="宋体"/>
          <w:kern w:val="0"/>
          <w:highlight w:val="none"/>
        </w:rPr>
        <w:t>采购人信息</w:t>
      </w:r>
    </w:p>
    <w:p>
      <w:pPr>
        <w:widowControl/>
        <w:shd w:val="clear" w:color="auto" w:fill="FFFFFF"/>
        <w:adjustRightInd w:val="0"/>
        <w:snapToGrid w:val="0"/>
        <w:spacing w:line="360" w:lineRule="auto"/>
        <w:ind w:firstLine="480" w:firstLineChars="200"/>
        <w:jc w:val="left"/>
        <w:rPr>
          <w:rFonts w:hint="eastAsia" w:ascii="宋体" w:hAnsi="宋体" w:eastAsia="宋体"/>
          <w:highlight w:val="none"/>
          <w:lang w:eastAsia="zh-CN"/>
        </w:rPr>
      </w:pPr>
      <w:r>
        <w:rPr>
          <w:rFonts w:hint="eastAsia" w:ascii="宋体" w:hAnsi="宋体"/>
          <w:highlight w:val="none"/>
        </w:rPr>
        <w:t>名    称：</w:t>
      </w:r>
      <w:r>
        <w:rPr>
          <w:rFonts w:hint="eastAsia" w:ascii="宋体" w:hAnsi="宋体"/>
          <w:highlight w:val="none"/>
          <w:lang w:eastAsia="zh-CN"/>
        </w:rPr>
        <w:t>嘉善县干窑镇人民政府</w:t>
      </w:r>
    </w:p>
    <w:p>
      <w:pPr>
        <w:widowControl/>
        <w:shd w:val="clear" w:color="auto" w:fill="FFFFFF"/>
        <w:adjustRightInd w:val="0"/>
        <w:snapToGrid w:val="0"/>
        <w:spacing w:line="360" w:lineRule="auto"/>
        <w:ind w:firstLine="480" w:firstLineChars="200"/>
        <w:jc w:val="left"/>
        <w:rPr>
          <w:rFonts w:hint="default" w:ascii="宋体" w:hAnsi="宋体" w:eastAsia="宋体"/>
          <w:highlight w:val="none"/>
          <w:lang w:val="en-US" w:eastAsia="zh-CN"/>
        </w:rPr>
      </w:pPr>
      <w:r>
        <w:rPr>
          <w:rFonts w:hint="eastAsia" w:ascii="宋体" w:hAnsi="宋体"/>
          <w:highlight w:val="none"/>
        </w:rPr>
        <w:t>地       址：</w:t>
      </w:r>
      <w:r>
        <w:rPr>
          <w:rFonts w:hint="eastAsia" w:ascii="宋体" w:hAnsi="宋体"/>
          <w:highlight w:val="none"/>
          <w:lang w:eastAsia="zh-CN"/>
        </w:rPr>
        <w:t>嘉善县境内</w:t>
      </w:r>
    </w:p>
    <w:p>
      <w:pPr>
        <w:widowControl/>
        <w:adjustRightInd w:val="0"/>
        <w:snapToGrid w:val="0"/>
        <w:spacing w:line="360" w:lineRule="auto"/>
        <w:ind w:firstLine="480" w:firstLineChars="200"/>
        <w:jc w:val="left"/>
        <w:rPr>
          <w:rFonts w:hint="eastAsia" w:ascii="宋体" w:hAnsi="宋体"/>
          <w:highlight w:val="none"/>
        </w:rPr>
      </w:pPr>
      <w:r>
        <w:rPr>
          <w:rFonts w:hint="eastAsia" w:ascii="宋体" w:hAnsi="宋体" w:cs="宋体"/>
          <w:kern w:val="0"/>
          <w:highlight w:val="none"/>
        </w:rPr>
        <w:t>传     真： / </w:t>
      </w:r>
    </w:p>
    <w:p>
      <w:pPr>
        <w:widowControl/>
        <w:shd w:val="clear" w:color="auto" w:fill="FFFFFF"/>
        <w:adjustRightInd w:val="0"/>
        <w:snapToGrid w:val="0"/>
        <w:spacing w:line="360" w:lineRule="auto"/>
        <w:ind w:firstLine="480" w:firstLineChars="200"/>
        <w:jc w:val="left"/>
        <w:rPr>
          <w:rFonts w:hint="default" w:ascii="宋体" w:hAnsi="宋体" w:eastAsia="宋体"/>
          <w:color w:val="auto"/>
          <w:highlight w:val="none"/>
          <w:lang w:val="en-US" w:eastAsia="zh-CN"/>
        </w:rPr>
      </w:pPr>
      <w:r>
        <w:rPr>
          <w:rFonts w:hint="eastAsia" w:ascii="宋体" w:hAnsi="宋体" w:cs="宋体"/>
          <w:color w:val="auto"/>
          <w:kern w:val="0"/>
          <w:highlight w:val="none"/>
        </w:rPr>
        <w:t>项目联系人（询问）：</w:t>
      </w:r>
      <w:r>
        <w:rPr>
          <w:rFonts w:hint="eastAsia" w:ascii="宋体" w:hAnsi="宋体" w:cs="宋体"/>
          <w:color w:val="auto"/>
          <w:kern w:val="0"/>
          <w:highlight w:val="none"/>
          <w:lang w:val="en-US" w:eastAsia="zh-CN"/>
        </w:rPr>
        <w:t>胡先生</w:t>
      </w:r>
    </w:p>
    <w:p>
      <w:pPr>
        <w:widowControl/>
        <w:shd w:val="clear" w:color="auto" w:fill="FFFFFF"/>
        <w:adjustRightInd w:val="0"/>
        <w:snapToGrid w:val="0"/>
        <w:spacing w:line="360" w:lineRule="auto"/>
        <w:ind w:firstLine="480" w:firstLineChars="200"/>
        <w:jc w:val="left"/>
        <w:rPr>
          <w:rFonts w:hint="eastAsia" w:ascii="宋体" w:hAnsi="宋体" w:eastAsia="宋体"/>
          <w:color w:val="auto"/>
          <w:highlight w:val="none"/>
          <w:lang w:val="en-US" w:eastAsia="zh-CN"/>
        </w:rPr>
      </w:pPr>
      <w:r>
        <w:rPr>
          <w:rFonts w:hint="eastAsia" w:ascii="宋体" w:hAnsi="宋体" w:cs="宋体"/>
          <w:color w:val="auto"/>
          <w:kern w:val="0"/>
          <w:highlight w:val="none"/>
        </w:rPr>
        <w:t>项目联系方式（询问）：13738263072</w:t>
      </w:r>
      <w:r>
        <w:rPr>
          <w:rFonts w:hint="eastAsia" w:ascii="宋体" w:hAnsi="宋体" w:cs="宋体"/>
          <w:color w:val="auto"/>
          <w:kern w:val="0"/>
          <w:highlight w:val="none"/>
          <w:lang w:val="en-US" w:eastAsia="zh-CN"/>
        </w:rPr>
        <w:t xml:space="preserve"> </w:t>
      </w:r>
    </w:p>
    <w:p>
      <w:pPr>
        <w:widowControl/>
        <w:shd w:val="clear" w:color="auto" w:fill="FFFFFF"/>
        <w:adjustRightInd w:val="0"/>
        <w:snapToGrid w:val="0"/>
        <w:spacing w:line="360" w:lineRule="auto"/>
        <w:ind w:firstLine="480" w:firstLineChars="200"/>
        <w:jc w:val="left"/>
        <w:rPr>
          <w:rFonts w:hint="eastAsia" w:ascii="宋体" w:hAnsi="宋体" w:eastAsia="宋体" w:cs="宋体"/>
          <w:color w:val="auto"/>
          <w:kern w:val="0"/>
          <w:highlight w:val="none"/>
          <w:lang w:eastAsia="zh-CN"/>
        </w:rPr>
      </w:pPr>
      <w:r>
        <w:rPr>
          <w:rFonts w:hint="eastAsia" w:ascii="宋体" w:hAnsi="宋体" w:cs="宋体"/>
          <w:color w:val="auto"/>
          <w:kern w:val="0"/>
          <w:highlight w:val="none"/>
        </w:rPr>
        <w:t>质疑联系人：</w:t>
      </w:r>
      <w:r>
        <w:rPr>
          <w:rFonts w:hint="eastAsia" w:ascii="宋体" w:hAnsi="宋体" w:cs="宋体"/>
          <w:color w:val="auto"/>
          <w:kern w:val="0"/>
          <w:highlight w:val="none"/>
          <w:lang w:val="en-US" w:eastAsia="zh-CN"/>
        </w:rPr>
        <w:t>朱</w:t>
      </w:r>
      <w:r>
        <w:rPr>
          <w:rFonts w:hint="eastAsia" w:ascii="宋体" w:hAnsi="宋体" w:cs="宋体"/>
          <w:color w:val="auto"/>
          <w:kern w:val="0"/>
          <w:highlight w:val="none"/>
          <w:lang w:val="en-US" w:eastAsia="zh-CN"/>
        </w:rPr>
        <w:t>先生</w:t>
      </w:r>
    </w:p>
    <w:p>
      <w:pPr>
        <w:widowControl/>
        <w:shd w:val="clear" w:color="auto" w:fill="FFFFFF"/>
        <w:adjustRightInd w:val="0"/>
        <w:snapToGrid w:val="0"/>
        <w:spacing w:line="360" w:lineRule="auto"/>
        <w:ind w:firstLine="480" w:firstLineChars="200"/>
        <w:jc w:val="left"/>
        <w:rPr>
          <w:rFonts w:hint="eastAsia" w:ascii="宋体" w:hAnsi="宋体" w:eastAsia="宋体" w:cs="宋体"/>
          <w:color w:val="auto"/>
          <w:kern w:val="0"/>
          <w:highlight w:val="none"/>
          <w:lang w:eastAsia="zh-CN"/>
        </w:rPr>
      </w:pPr>
      <w:r>
        <w:rPr>
          <w:rFonts w:hint="eastAsia" w:ascii="宋体" w:hAnsi="宋体" w:cs="宋体"/>
          <w:color w:val="auto"/>
          <w:kern w:val="0"/>
          <w:highlight w:val="none"/>
        </w:rPr>
        <w:t>质疑联系方式：0573-84615115</w:t>
      </w:r>
      <w:r>
        <w:rPr>
          <w:rFonts w:hint="eastAsia" w:ascii="宋体" w:hAnsi="宋体" w:cs="宋体"/>
          <w:color w:val="auto"/>
          <w:kern w:val="0"/>
          <w:highlight w:val="none"/>
          <w:lang w:val="en-US" w:eastAsia="zh-CN"/>
        </w:rPr>
        <w:t xml:space="preserve"> </w:t>
      </w:r>
    </w:p>
    <w:p>
      <w:pPr>
        <w:widowControl/>
        <w:numPr>
          <w:ilvl w:val="1"/>
          <w:numId w:val="3"/>
        </w:numPr>
        <w:adjustRightInd w:val="0"/>
        <w:snapToGrid w:val="0"/>
        <w:spacing w:line="360" w:lineRule="auto"/>
        <w:ind w:left="0" w:firstLine="480" w:firstLineChars="200"/>
        <w:jc w:val="left"/>
        <w:rPr>
          <w:rFonts w:hint="eastAsia" w:ascii="宋体" w:hAnsi="宋体" w:cs="宋体"/>
          <w:color w:val="auto"/>
          <w:kern w:val="0"/>
          <w:highlight w:val="none"/>
        </w:rPr>
      </w:pPr>
      <w:r>
        <w:rPr>
          <w:rFonts w:hint="eastAsia" w:ascii="宋体" w:hAnsi="宋体" w:cs="宋体"/>
          <w:color w:val="auto"/>
          <w:kern w:val="0"/>
          <w:highlight w:val="none"/>
        </w:rPr>
        <w:t>采购代理机构信息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名    称：</w:t>
      </w:r>
      <w:r>
        <w:rPr>
          <w:rFonts w:hint="eastAsia" w:ascii="宋体" w:hAnsi="宋体" w:cs="宋体"/>
          <w:kern w:val="0"/>
          <w:highlight w:val="none"/>
          <w:lang w:eastAsia="zh-CN"/>
        </w:rPr>
        <w:t>浙江勋达工程咨询有限公司</w:t>
      </w:r>
      <w:r>
        <w:rPr>
          <w:rFonts w:hint="eastAsia" w:ascii="宋体" w:hAnsi="宋体" w:cs="宋体"/>
          <w:kern w:val="0"/>
          <w:highlight w:val="none"/>
        </w:rPr>
        <w:t>             </w:t>
      </w:r>
    </w:p>
    <w:p>
      <w:pPr>
        <w:widowControl/>
        <w:tabs>
          <w:tab w:val="left" w:pos="9356"/>
        </w:tabs>
        <w:adjustRightInd w:val="0"/>
        <w:snapToGrid w:val="0"/>
        <w:spacing w:line="360" w:lineRule="auto"/>
        <w:ind w:left="324" w:leftChars="135" w:firstLine="52" w:firstLineChars="22"/>
        <w:jc w:val="left"/>
        <w:rPr>
          <w:rFonts w:hint="eastAsia" w:ascii="宋体" w:hAnsi="宋体" w:cs="宋体"/>
          <w:kern w:val="0"/>
          <w:highlight w:val="none"/>
        </w:rPr>
      </w:pPr>
      <w:r>
        <w:rPr>
          <w:rFonts w:hint="eastAsia" w:ascii="宋体" w:hAnsi="宋体" w:cs="宋体"/>
          <w:kern w:val="0"/>
          <w:highlight w:val="none"/>
        </w:rPr>
        <w:t xml:space="preserve"> 地    址：</w:t>
      </w:r>
      <w:r>
        <w:rPr>
          <w:rFonts w:hint="eastAsia" w:ascii="宋体" w:hAnsi="宋体" w:cs="宋体"/>
          <w:kern w:val="0"/>
          <w:highlight w:val="none"/>
          <w:lang w:eastAsia="zh-CN"/>
        </w:rPr>
        <w:t>嘉善县罗星街道晋阳西路1212号4楼</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传     真：0573-</w:t>
      </w:r>
      <w:r>
        <w:rPr>
          <w:rFonts w:hint="eastAsia" w:ascii="宋体" w:hAnsi="宋体" w:cs="宋体"/>
          <w:kern w:val="0"/>
          <w:highlight w:val="none"/>
          <w:lang w:val="en-US" w:eastAsia="zh-CN"/>
        </w:rPr>
        <w:t>84638899</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项目联系人（询问）：</w:t>
      </w:r>
      <w:r>
        <w:rPr>
          <w:rFonts w:hint="eastAsia" w:ascii="宋体" w:hAnsi="宋体" w:cs="宋体"/>
          <w:kern w:val="0"/>
          <w:highlight w:val="none"/>
          <w:lang w:val="en-US" w:eastAsia="zh-CN"/>
        </w:rPr>
        <w:t>侍丽亚</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项目联系方式（询问）：</w:t>
      </w:r>
      <w:r>
        <w:rPr>
          <w:rFonts w:hint="eastAsia" w:ascii="宋体" w:hAnsi="宋体" w:cs="宋体"/>
          <w:kern w:val="0"/>
          <w:highlight w:val="none"/>
          <w:lang w:eastAsia="zh-CN"/>
        </w:rPr>
        <w:t>0573-84638899</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质疑联系人：</w:t>
      </w:r>
      <w:r>
        <w:rPr>
          <w:rFonts w:hint="eastAsia" w:ascii="宋体" w:hAnsi="宋体" w:cs="宋体"/>
          <w:kern w:val="0"/>
          <w:highlight w:val="none"/>
          <w:lang w:val="en-US" w:eastAsia="zh-CN"/>
        </w:rPr>
        <w:t>徐海东</w:t>
      </w:r>
      <w:r>
        <w:rPr>
          <w:rFonts w:hint="eastAsia" w:ascii="宋体" w:hAnsi="宋体" w:cs="宋体"/>
          <w:kern w:val="0"/>
          <w:highlight w:val="none"/>
        </w:rPr>
        <w:t>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质疑联系方式：</w:t>
      </w:r>
      <w:r>
        <w:rPr>
          <w:rFonts w:hint="eastAsia" w:ascii="宋体" w:hAnsi="宋体" w:cs="宋体"/>
          <w:kern w:val="0"/>
          <w:highlight w:val="none"/>
          <w:lang w:eastAsia="zh-CN"/>
        </w:rPr>
        <w:t>0573-</w:t>
      </w:r>
      <w:r>
        <w:rPr>
          <w:rFonts w:hint="eastAsia" w:ascii="宋体" w:hAnsi="宋体" w:cs="宋体"/>
          <w:kern w:val="0"/>
          <w:highlight w:val="none"/>
          <w:lang w:val="en-US" w:eastAsia="zh-CN"/>
        </w:rPr>
        <w:t>84638899</w:t>
      </w:r>
      <w:r>
        <w:rPr>
          <w:rFonts w:hint="eastAsia" w:ascii="宋体" w:hAnsi="宋体" w:cs="宋体"/>
          <w:kern w:val="0"/>
          <w:highlight w:val="none"/>
        </w:rPr>
        <w:t>　　　　　　     </w:t>
      </w:r>
    </w:p>
    <w:p>
      <w:pPr>
        <w:widowControl/>
        <w:numPr>
          <w:ilvl w:val="1"/>
          <w:numId w:val="3"/>
        </w:numPr>
        <w:adjustRightInd w:val="0"/>
        <w:snapToGrid w:val="0"/>
        <w:spacing w:line="360" w:lineRule="auto"/>
        <w:ind w:left="0" w:firstLine="480" w:firstLineChars="200"/>
        <w:jc w:val="left"/>
        <w:rPr>
          <w:rFonts w:hint="eastAsia" w:ascii="宋体" w:hAnsi="宋体" w:cs="宋体"/>
          <w:kern w:val="0"/>
          <w:highlight w:val="none"/>
        </w:rPr>
      </w:pPr>
      <w:r>
        <w:rPr>
          <w:rFonts w:hint="eastAsia" w:ascii="宋体" w:hAnsi="宋体" w:cs="宋体"/>
          <w:kern w:val="0"/>
          <w:highlight w:val="none"/>
        </w:rPr>
        <w:t>同级政府采购监督管理部门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名    称：嘉善县财政局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地    址：嘉善县解放东路318号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传     真：0573-84122528             </w:t>
      </w:r>
    </w:p>
    <w:p>
      <w:pPr>
        <w:widowControl/>
        <w:adjustRightInd w:val="0"/>
        <w:snapToGrid w:val="0"/>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联系人 ：刘先生             </w:t>
      </w:r>
    </w:p>
    <w:p>
      <w:pPr>
        <w:widowControl/>
        <w:adjustRightInd w:val="0"/>
        <w:snapToGrid w:val="0"/>
        <w:spacing w:line="360" w:lineRule="auto"/>
        <w:ind w:firstLine="480" w:firstLineChars="200"/>
        <w:jc w:val="left"/>
        <w:rPr>
          <w:rFonts w:hint="eastAsia" w:ascii="宋体" w:hAnsi="宋体" w:cs="宋体"/>
          <w:kern w:val="0"/>
          <w:szCs w:val="21"/>
          <w:highlight w:val="none"/>
        </w:rPr>
      </w:pPr>
      <w:r>
        <w:rPr>
          <w:rFonts w:hint="eastAsia" w:ascii="宋体" w:hAnsi="宋体" w:cs="宋体"/>
          <w:kern w:val="0"/>
          <w:highlight w:val="none"/>
        </w:rPr>
        <w:t>监督投诉电话：0573-84122310       </w:t>
      </w:r>
    </w:p>
    <w:p>
      <w:pPr>
        <w:widowControl/>
        <w:adjustRightInd w:val="0"/>
        <w:snapToGrid w:val="0"/>
        <w:spacing w:line="360" w:lineRule="auto"/>
        <w:ind w:firstLine="480" w:firstLineChars="200"/>
        <w:jc w:val="left"/>
        <w:rPr>
          <w:rFonts w:hint="eastAsia" w:ascii="宋体" w:hAnsi="宋体" w:cs="宋体"/>
          <w:kern w:val="0"/>
          <w:szCs w:val="21"/>
          <w:highlight w:val="none"/>
        </w:rPr>
      </w:pPr>
      <w:r>
        <w:rPr>
          <w:rFonts w:hint="eastAsia" w:ascii="宋体" w:hAnsi="宋体" w:cs="宋体"/>
          <w:kern w:val="0"/>
          <w:szCs w:val="21"/>
          <w:highlight w:val="none"/>
        </w:rPr>
        <w:t>若对项目采购电子交易系统操作有疑问，可登录政采云（https://www.zcygov.cn/），点击右侧咨询小采，获取采小蜜智能服务管家帮助，或拨打政采云服务热线400-881-7190获取热线服务帮助。       </w:t>
      </w:r>
    </w:p>
    <w:p>
      <w:pPr>
        <w:widowControl/>
        <w:adjustRightInd w:val="0"/>
        <w:snapToGrid w:val="0"/>
        <w:spacing w:line="360" w:lineRule="auto"/>
        <w:ind w:firstLine="480" w:firstLineChars="200"/>
        <w:jc w:val="left"/>
        <w:rPr>
          <w:rFonts w:hint="eastAsia" w:ascii="宋体" w:hAnsi="宋体"/>
          <w:highlight w:val="none"/>
        </w:rPr>
      </w:pPr>
      <w:r>
        <w:rPr>
          <w:rFonts w:hint="eastAsia" w:ascii="宋体" w:hAnsi="宋体" w:cs="宋体"/>
          <w:kern w:val="0"/>
          <w:szCs w:val="21"/>
          <w:highlight w:val="none"/>
        </w:rPr>
        <w:t>CA问题联系电话（人工）：汇信CA 400-888-4636；天谷CA 400-087-8198。</w:t>
      </w:r>
    </w:p>
    <w:p>
      <w:pPr>
        <w:pStyle w:val="2"/>
        <w:spacing w:before="0" w:after="0" w:line="360" w:lineRule="auto"/>
        <w:jc w:val="both"/>
        <w:rPr>
          <w:rFonts w:hint="eastAsia" w:eastAsia="宋体"/>
          <w:highlight w:val="none"/>
          <w:lang w:eastAsia="zh-CN"/>
        </w:rPr>
      </w:pPr>
      <w:bookmarkStart w:id="20" w:name="_Toc91520562"/>
    </w:p>
    <w:p>
      <w:pPr>
        <w:rPr>
          <w:rFonts w:hint="eastAsia"/>
          <w:lang w:eastAsia="zh-CN"/>
        </w:rPr>
      </w:pPr>
    </w:p>
    <w:p>
      <w:pPr>
        <w:pStyle w:val="2"/>
        <w:pageBreakBefore w:val="0"/>
        <w:kinsoku/>
        <w:wordWrap/>
        <w:overflowPunct/>
        <w:topLinePunct w:val="0"/>
        <w:autoSpaceDE/>
        <w:autoSpaceDN/>
        <w:bidi w:val="0"/>
        <w:spacing w:before="0" w:after="0" w:line="360" w:lineRule="auto"/>
        <w:textAlignment w:val="auto"/>
        <w:rPr>
          <w:rFonts w:hint="eastAsia"/>
          <w:highlight w:val="none"/>
        </w:rPr>
      </w:pPr>
    </w:p>
    <w:p>
      <w:pPr>
        <w:rPr>
          <w:rFonts w:hint="eastAsia"/>
          <w:highlight w:val="none"/>
        </w:rPr>
      </w:pPr>
    </w:p>
    <w:p>
      <w:pPr>
        <w:pStyle w:val="2"/>
        <w:pageBreakBefore w:val="0"/>
        <w:kinsoku/>
        <w:wordWrap/>
        <w:overflowPunct/>
        <w:topLinePunct w:val="0"/>
        <w:autoSpaceDE/>
        <w:autoSpaceDN/>
        <w:bidi w:val="0"/>
        <w:spacing w:before="0" w:after="0" w:line="360" w:lineRule="auto"/>
        <w:jc w:val="center"/>
        <w:textAlignment w:val="auto"/>
        <w:rPr>
          <w:rFonts w:hint="eastAsia"/>
          <w:highlight w:val="none"/>
        </w:rPr>
      </w:pPr>
      <w:r>
        <w:rPr>
          <w:rFonts w:hint="eastAsia"/>
          <w:highlight w:val="none"/>
        </w:rPr>
        <w:t>第二章  磋商项目需求</w:t>
      </w:r>
      <w:bookmarkEnd w:id="20"/>
    </w:p>
    <w:p>
      <w:pPr>
        <w:pStyle w:val="12"/>
        <w:rPr>
          <w:color w:val="auto"/>
        </w:rPr>
      </w:pPr>
      <w:r>
        <w:rPr>
          <w:rFonts w:hint="eastAsia" w:cs="Times New Roman"/>
          <w:color w:val="auto"/>
          <w:sz w:val="24"/>
          <w:szCs w:val="24"/>
          <w:highlight w:val="none"/>
          <w:lang w:val="en-US" w:eastAsia="zh-CN"/>
        </w:rPr>
        <w:t xml:space="preserve"> </w:t>
      </w:r>
      <w:r>
        <w:rPr>
          <w:rFonts w:hint="eastAsia"/>
          <w:color w:val="auto"/>
        </w:rPr>
        <w:t>一、采购清单</w:t>
      </w:r>
    </w:p>
    <w:p>
      <w:pPr>
        <w:pStyle w:val="34"/>
        <w:ind w:left="0" w:leftChars="0" w:firstLine="0" w:firstLineChars="0"/>
        <w:rPr>
          <w:rFonts w:hint="eastAsia"/>
          <w:color w:val="auto"/>
          <w:highlight w:val="none"/>
        </w:rPr>
      </w:pPr>
    </w:p>
    <w:tbl>
      <w:tblPr>
        <w:tblStyle w:val="35"/>
        <w:tblpPr w:leftFromText="180" w:rightFromText="180" w:vertAnchor="page" w:horzAnchor="page" w:tblpX="1772" w:tblpY="3234"/>
        <w:tblOverlap w:val="never"/>
        <w:tblW w:w="91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995"/>
        <w:gridCol w:w="3112"/>
        <w:gridCol w:w="1253"/>
        <w:gridCol w:w="28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9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产品名称</w:t>
            </w:r>
          </w:p>
        </w:tc>
        <w:tc>
          <w:tcPr>
            <w:tcW w:w="311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规格(mm）</w:t>
            </w:r>
          </w:p>
        </w:tc>
        <w:tc>
          <w:tcPr>
            <w:tcW w:w="125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数量</w:t>
            </w:r>
          </w:p>
        </w:tc>
        <w:tc>
          <w:tcPr>
            <w:tcW w:w="28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0" w:hRule="atLeast"/>
        </w:trPr>
        <w:tc>
          <w:tcPr>
            <w:tcW w:w="19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警立方1.0</w:t>
            </w:r>
          </w:p>
        </w:tc>
        <w:tc>
          <w:tcPr>
            <w:tcW w:w="31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长1200*宽1200*高2800</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8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9" w:hRule="atLeast"/>
        </w:trPr>
        <w:tc>
          <w:tcPr>
            <w:tcW w:w="19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警立方2.0网格驿站</w:t>
            </w:r>
          </w:p>
        </w:tc>
        <w:tc>
          <w:tcPr>
            <w:tcW w:w="31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长2000*宽2000*高2800</w:t>
            </w:r>
          </w:p>
        </w:tc>
        <w:tc>
          <w:tcPr>
            <w:tcW w:w="1253"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14</w:t>
            </w:r>
          </w:p>
        </w:tc>
        <w:tc>
          <w:tcPr>
            <w:tcW w:w="28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2" w:hRule="atLeast"/>
        </w:trPr>
        <w:tc>
          <w:tcPr>
            <w:tcW w:w="19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警立方3.0</w:t>
            </w:r>
          </w:p>
        </w:tc>
        <w:tc>
          <w:tcPr>
            <w:tcW w:w="31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长1200*宽1200*高2800</w:t>
            </w:r>
          </w:p>
        </w:tc>
        <w:tc>
          <w:tcPr>
            <w:tcW w:w="1253" w:type="dxa"/>
            <w:tcBorders>
              <w:top w:val="nil"/>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805" w:type="dxa"/>
            <w:tcBorders>
              <w:top w:val="nil"/>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台</w:t>
            </w:r>
          </w:p>
        </w:tc>
      </w:tr>
    </w:tbl>
    <w:p>
      <w:pPr>
        <w:rPr>
          <w:rFonts w:hint="eastAsia"/>
          <w:color w:val="auto"/>
          <w:highlight w:val="none"/>
        </w:rPr>
      </w:pPr>
    </w:p>
    <w:p>
      <w:pPr>
        <w:pStyle w:val="34"/>
        <w:keepNext w:val="0"/>
        <w:keepLines w:val="0"/>
        <w:pageBreakBefore w:val="0"/>
        <w:widowControl w:val="0"/>
        <w:numPr>
          <w:ilvl w:val="0"/>
          <w:numId w:val="0"/>
        </w:numPr>
        <w:kinsoku/>
        <w:wordWrap/>
        <w:overflowPunct/>
        <w:topLinePunct w:val="0"/>
        <w:bidi w:val="0"/>
        <w:snapToGrid/>
        <w:spacing w:line="336" w:lineRule="auto"/>
        <w:ind w:leftChars="0"/>
        <w:textAlignment w:val="auto"/>
        <w:rPr>
          <w:rFonts w:hint="eastAsia" w:ascii="Times New Roman" w:hAnsi="Times New Roman" w:eastAsia="宋体" w:cs="Times New Roman"/>
          <w:color w:val="auto"/>
          <w:sz w:val="22"/>
          <w:szCs w:val="28"/>
          <w:highlight w:val="none"/>
          <w:lang w:eastAsia="zh-CN"/>
        </w:rPr>
      </w:pPr>
    </w:p>
    <w:p>
      <w:pPr>
        <w:pStyle w:val="34"/>
        <w:keepNext w:val="0"/>
        <w:keepLines w:val="0"/>
        <w:pageBreakBefore w:val="0"/>
        <w:widowControl w:val="0"/>
        <w:kinsoku/>
        <w:wordWrap/>
        <w:overflowPunct/>
        <w:topLinePunct w:val="0"/>
        <w:bidi w:val="0"/>
        <w:snapToGrid/>
        <w:spacing w:line="336" w:lineRule="auto"/>
        <w:ind w:left="0" w:leftChars="0" w:firstLine="0" w:firstLineChars="0"/>
        <w:textAlignment w:val="auto"/>
        <w:rPr>
          <w:rFonts w:hint="default" w:ascii="仿宋" w:hAnsi="仿宋" w:eastAsia="仿宋" w:cs="仿宋"/>
          <w:color w:val="auto"/>
          <w:sz w:val="24"/>
          <w:highlight w:val="none"/>
          <w:lang w:val="en-US"/>
        </w:rPr>
      </w:pPr>
      <w:r>
        <w:rPr>
          <w:rFonts w:hint="eastAsia" w:ascii="仿宋" w:hAnsi="仿宋" w:eastAsia="仿宋" w:cs="仿宋"/>
          <w:b/>
          <w:color w:val="auto"/>
          <w:sz w:val="28"/>
          <w:szCs w:val="28"/>
          <w:highlight w:val="none"/>
          <w:lang w:val="en-US" w:eastAsia="zh-CN"/>
        </w:rPr>
        <w:t>二</w:t>
      </w: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val="en-US" w:eastAsia="zh-CN"/>
        </w:rPr>
        <w:t>技术参数要求</w:t>
      </w:r>
    </w:p>
    <w:tbl>
      <w:tblPr>
        <w:tblStyle w:val="35"/>
        <w:tblW w:w="916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10"/>
        <w:gridCol w:w="1575"/>
        <w:gridCol w:w="61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9165" w:type="dxa"/>
            <w:gridSpan w:val="3"/>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警立方1.0技术参数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98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配置</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舱体</w:t>
            </w:r>
            <w:r>
              <w:rPr>
                <w:rFonts w:hint="eastAsia" w:ascii="宋体" w:hAnsi="宋体" w:eastAsia="宋体" w:cs="宋体"/>
                <w:b/>
                <w:bCs/>
                <w:i w:val="0"/>
                <w:iCs w:val="0"/>
                <w:color w:val="000000"/>
                <w:kern w:val="0"/>
                <w:sz w:val="21"/>
                <w:szCs w:val="21"/>
                <w:u w:val="none"/>
                <w:lang w:val="en-US" w:eastAsia="zh-CN" w:bidi="ar"/>
              </w:rPr>
              <w:br w:type="textWrapping"/>
            </w:r>
            <w:r>
              <w:rPr>
                <w:rFonts w:hint="eastAsia" w:ascii="宋体" w:hAnsi="宋体" w:eastAsia="宋体" w:cs="宋体"/>
                <w:b/>
                <w:bCs/>
                <w:i w:val="0"/>
                <w:iCs w:val="0"/>
                <w:color w:val="000000"/>
                <w:kern w:val="0"/>
                <w:sz w:val="21"/>
                <w:szCs w:val="21"/>
                <w:u w:val="none"/>
                <w:lang w:val="en-US" w:eastAsia="zh-CN" w:bidi="ar"/>
              </w:rPr>
              <w:t>长1200*宽1200*高2800mm</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底座</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组装式底座，底板采用厚度2mm镀锌板，底座下部采用厚度2mm镀锌管加固，底座更稳固，可承重≥2000kg；底座内部设置抽屉，便于储物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立柱</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立柱采用厚度1.5mm镀锌板，一次压制成型，立柱上开设内置槽，可存放遮阳伞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顶盖</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采用厚度1.5mm不锈钢，开设蜂窝状扬声孔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铝合金门窗</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铝合金型材厚度2mm，双层玻璃，内设百叶窗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福马轮</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福马轮*4个，可移动，承重≥2000kg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地板</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地面铺设防水地板（防火防水地板，材质氧化镁、玻璃纤维等，厚度6mm）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742950</wp:posOffset>
                  </wp:positionH>
                  <wp:positionV relativeFrom="paragraph">
                    <wp:posOffset>28575</wp:posOffset>
                  </wp:positionV>
                  <wp:extent cx="144145" cy="107950"/>
                  <wp:effectExtent l="0" t="0" r="8255" b="6350"/>
                  <wp:wrapNone/>
                  <wp:docPr id="1" name="等腰三角形_1"/>
                  <wp:cNvGraphicFramePr/>
                  <a:graphic xmlns:a="http://schemas.openxmlformats.org/drawingml/2006/main">
                    <a:graphicData uri="http://schemas.openxmlformats.org/drawingml/2006/picture">
                      <pic:pic xmlns:pic="http://schemas.openxmlformats.org/drawingml/2006/picture">
                        <pic:nvPicPr>
                          <pic:cNvPr id="1" name="等腰三角形_1"/>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特殊要求</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1.为扩大使用场景，提高利用率，舱体必须是可拆卸式结构，便于偏远地区、窄口路段通过组装和变更用于其它民生工程项目；2. 定制化颜色采用环保材质，静电喷涂工艺，达到户外使用标准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4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办公设施</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办公桌</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制玻璃开门储物柜操作台，用于存放便民设施，长1075*宽520*高800mm，柜体采用0.8mm冷轧板，静电喷涂；安装鸭嘴边台面板，厚度2.5cm；储物门*8扇，玻璃厚度4mm并配置阻尼铰链，桌面安装嵌入式排插（3五孔+2USB）*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办公折叠椅</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折叠凳*2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饮水机</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即热饮水机*1  推荐品牌：</w:t>
            </w:r>
            <w:r>
              <w:rPr>
                <w:rFonts w:hint="eastAsia" w:ascii="宋体" w:hAnsi="宋体" w:eastAsia="宋体" w:cs="宋体"/>
                <w:i w:val="0"/>
                <w:iCs w:val="0"/>
                <w:color w:val="000000"/>
                <w:kern w:val="0"/>
                <w:sz w:val="21"/>
                <w:szCs w:val="21"/>
                <w:u w:val="none"/>
                <w:lang w:val="en-US" w:eastAsia="zh-CN" w:bidi="ar"/>
              </w:rPr>
              <w:t>小米、九阳、美的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外观</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警徽</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铝合金烤漆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“公安”等文字</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1CM白色雪弗板雕刻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单透膜</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4面PVC单透膜，平面宣传，更换方便；单透膜内容设计由生产方负责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爆闪灯</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岗亭顶设有4组(蓝红）爆闪灯，配12V稳压电源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电路</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电线、漏电保护</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正泰、德力西、公牛，漏电保护开关（32A 双P漏保）*1，配防水电箱*1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插座及开关</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正泰、德力西、西门子 ，插座*3（5孔*2、3孔*1），开关*1（3开）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定时控制开关</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可设定爆闪灯的工作时间，1个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节能照明</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正泰、德力西、欧普；LED筒灯（直径12cm），9W*1个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标准配置</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空调</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1匹冷暖空调，外机置于顶部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门禁</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电子人脸+密码门禁，安装在立柱上，可实现考勤打卡，可远程开门，与监控联动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1016000</wp:posOffset>
                  </wp:positionH>
                  <wp:positionV relativeFrom="paragraph">
                    <wp:posOffset>139700</wp:posOffset>
                  </wp:positionV>
                  <wp:extent cx="0" cy="107950"/>
                  <wp:effectExtent l="0" t="0" r="0" b="0"/>
                  <wp:wrapNone/>
                  <wp:docPr id="2" name="等腰三角形_2"/>
                  <wp:cNvGraphicFramePr/>
                  <a:graphic xmlns:a="http://schemas.openxmlformats.org/drawingml/2006/main">
                    <a:graphicData uri="http://schemas.openxmlformats.org/drawingml/2006/picture">
                      <pic:pic xmlns:pic="http://schemas.openxmlformats.org/drawingml/2006/picture">
                        <pic:nvPicPr>
                          <pic:cNvPr id="2" name="等腰三角形_2"/>
                          <pic:cNvPicPr/>
                        </pic:nvPicPr>
                        <pic:blipFill>
                          <a:blip r:embed="rId12"/>
                          <a:stretch>
                            <a:fillRect/>
                          </a:stretch>
                        </pic:blipFill>
                        <pic:spPr>
                          <a:xfrm>
                            <a:off x="0" y="0"/>
                            <a:ext cx="0"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一键紧急求助</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一键报警装置*1，直接拨打***指挥室电话，号码可随时更改，可设置5组报警号码，实时对讲（微信小程序设置报警参数），外部设置防水罩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4G云音柱</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功率60W音柱*2，4G云系统设置，可在***实现远程喊话(含APP或软件），可远程操作播放内容，可设置定时播放语音宣传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762000</wp:posOffset>
                  </wp:positionH>
                  <wp:positionV relativeFrom="paragraph">
                    <wp:posOffset>95250</wp:posOffset>
                  </wp:positionV>
                  <wp:extent cx="144145" cy="107950"/>
                  <wp:effectExtent l="0" t="0" r="8255" b="6350"/>
                  <wp:wrapNone/>
                  <wp:docPr id="3" name="等腰三角形_4"/>
                  <wp:cNvGraphicFramePr/>
                  <a:graphic xmlns:a="http://schemas.openxmlformats.org/drawingml/2006/main">
                    <a:graphicData uri="http://schemas.openxmlformats.org/drawingml/2006/picture">
                      <pic:pic xmlns:pic="http://schemas.openxmlformats.org/drawingml/2006/picture">
                        <pic:nvPicPr>
                          <pic:cNvPr id="3" name="等腰三角形_4"/>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监控系统</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摄像头*2（室内*1，室外*2），</w:t>
            </w:r>
            <w:r>
              <w:rPr>
                <w:rStyle w:val="148"/>
                <w:sz w:val="21"/>
                <w:szCs w:val="21"/>
                <w:lang w:val="en-US" w:eastAsia="zh-CN" w:bidi="ar"/>
              </w:rPr>
              <w:t>生产方提供3年网络，接入***云平台，接到设备维修的通知后1小时响应</w:t>
            </w:r>
            <w:r>
              <w:rPr>
                <w:rFonts w:hint="eastAsia" w:ascii="宋体" w:hAnsi="宋体" w:eastAsia="宋体" w:cs="宋体"/>
                <w:i w:val="0"/>
                <w:iCs w:val="0"/>
                <w:color w:val="000000"/>
                <w:kern w:val="0"/>
                <w:sz w:val="21"/>
                <w:szCs w:val="21"/>
                <w:u w:val="none"/>
                <w:lang w:val="en-US" w:eastAsia="zh-CN" w:bidi="ar"/>
              </w:rPr>
              <w:t>；全新外观：支架壁装/吊装任意调节；阵列补光灯：全新阵列补光灯，更优秀的夜视效果；sensor：1/3"CMOS传感器；分辨率：2304*1296；视频编码：H.265；图像模式：高清和流畅；镜头：3.6mm定焦镜头；红外补光：内置红外灯/日夜切换；白光补光：内置白光灯/白光警示；警示灯：内置红蓝警示灯，可选择开启/关闭；网络传输：4G无线传输/4G TDD/FDD-LTE；物联网卡：内置工业级贴片卡，可通过APP充值查询；云台：内置云台，实现远程转动控制；语音对讲：内置MIC和扬声器，实现双向语音对讲功能；存储：本地TF卡；智能功能：人形检测/自动跟踪；电源：DC12V；应用场景：室外（防淋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便民设施</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急救药箱（国标应急套装，含44种急救药品）*1、充气泵（高压双管，带压力表）*1、维修工具（32件套）*1、千斤顶（3吨液压）*1、汽车搭电应急启动电源（智能数显+SOS照明+手机快速充电）*1、灭火器（新国标2KG干粉，配灭火器箱）*2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防暴器材</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置盾牌架：防暴盾牌（3.5PC透明盾牌，500*900mm）*1、头盔（高强度PC材质）*1、防暴棍*1、防割手套*1、防刺服*1、钢叉（可拆卸式，304不锈钢，收缩1.3m，伸展2.05m）*1、脚叉（304不锈钢，收缩1.3m，伸展2.05m）*1、手电*1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c>
          <w:tcPr>
            <w:tcW w:w="15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660400</wp:posOffset>
                  </wp:positionH>
                  <wp:positionV relativeFrom="paragraph">
                    <wp:posOffset>66675</wp:posOffset>
                  </wp:positionV>
                  <wp:extent cx="144145" cy="107950"/>
                  <wp:effectExtent l="0" t="0" r="8255" b="6350"/>
                  <wp:wrapNone/>
                  <wp:docPr id="4" name="等腰三角形_5"/>
                  <wp:cNvGraphicFramePr/>
                  <a:graphic xmlns:a="http://schemas.openxmlformats.org/drawingml/2006/main">
                    <a:graphicData uri="http://schemas.openxmlformats.org/drawingml/2006/picture">
                      <pic:pic xmlns:pic="http://schemas.openxmlformats.org/drawingml/2006/picture">
                        <pic:nvPicPr>
                          <pic:cNvPr id="4" name="等腰三角形_5"/>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其它</w:t>
            </w:r>
          </w:p>
        </w:tc>
        <w:tc>
          <w:tcPr>
            <w:tcW w:w="61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1.可拆卸式防水结构、欧美标准静电喷涂工艺，使用寿命长；2.售后维护1小时响应并到达现场；3.电由使用方提供，网络生产方提供</w:t>
            </w:r>
          </w:p>
        </w:tc>
      </w:tr>
    </w:tbl>
    <w:p>
      <w:pPr>
        <w:keepNext w:val="0"/>
        <w:keepLines w:val="0"/>
        <w:pageBreakBefore w:val="0"/>
        <w:kinsoku/>
        <w:wordWrap/>
        <w:overflowPunct/>
        <w:topLinePunct w:val="0"/>
        <w:autoSpaceDE w:val="0"/>
        <w:autoSpaceDN w:val="0"/>
        <w:bidi w:val="0"/>
        <w:adjustRightInd w:val="0"/>
        <w:snapToGrid w:val="0"/>
        <w:spacing w:line="336" w:lineRule="auto"/>
        <w:ind w:firstLine="354" w:firstLineChars="147"/>
        <w:textAlignment w:val="bottom"/>
        <w:rPr>
          <w:rFonts w:hint="eastAsia" w:ascii="仿宋" w:hAnsi="仿宋" w:eastAsia="仿宋" w:cs="仿宋"/>
          <w:b/>
          <w:color w:val="FF0000"/>
          <w:sz w:val="24"/>
          <w:szCs w:val="24"/>
          <w:highlight w:val="none"/>
        </w:rPr>
      </w:pPr>
    </w:p>
    <w:p>
      <w:pPr>
        <w:keepNext w:val="0"/>
        <w:keepLines w:val="0"/>
        <w:pageBreakBefore w:val="0"/>
        <w:kinsoku/>
        <w:wordWrap/>
        <w:overflowPunct/>
        <w:topLinePunct w:val="0"/>
        <w:autoSpaceDE w:val="0"/>
        <w:autoSpaceDN w:val="0"/>
        <w:bidi w:val="0"/>
        <w:adjustRightInd w:val="0"/>
        <w:snapToGrid w:val="0"/>
        <w:spacing w:line="336" w:lineRule="auto"/>
        <w:ind w:firstLine="354" w:firstLineChars="147"/>
        <w:textAlignment w:val="bottom"/>
        <w:rPr>
          <w:rFonts w:hint="eastAsia" w:ascii="仿宋" w:hAnsi="仿宋" w:eastAsia="仿宋" w:cs="仿宋"/>
          <w:b/>
          <w:color w:val="FF0000"/>
          <w:sz w:val="24"/>
          <w:szCs w:val="24"/>
          <w:highlight w:val="none"/>
        </w:rPr>
      </w:pPr>
    </w:p>
    <w:p>
      <w:pPr>
        <w:keepNext w:val="0"/>
        <w:keepLines w:val="0"/>
        <w:pageBreakBefore w:val="0"/>
        <w:kinsoku/>
        <w:wordWrap/>
        <w:overflowPunct/>
        <w:topLinePunct w:val="0"/>
        <w:autoSpaceDE w:val="0"/>
        <w:autoSpaceDN w:val="0"/>
        <w:bidi w:val="0"/>
        <w:adjustRightInd w:val="0"/>
        <w:snapToGrid w:val="0"/>
        <w:spacing w:line="336" w:lineRule="auto"/>
        <w:ind w:firstLine="354" w:firstLineChars="147"/>
        <w:textAlignment w:val="bottom"/>
        <w:rPr>
          <w:rFonts w:hint="eastAsia" w:ascii="仿宋" w:hAnsi="仿宋" w:eastAsia="仿宋" w:cs="仿宋"/>
          <w:b/>
          <w:color w:val="FF0000"/>
          <w:sz w:val="24"/>
          <w:szCs w:val="24"/>
          <w:highlight w:val="none"/>
        </w:rPr>
      </w:pPr>
    </w:p>
    <w:tbl>
      <w:tblPr>
        <w:tblStyle w:val="35"/>
        <w:tblW w:w="921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454"/>
        <w:gridCol w:w="1598"/>
        <w:gridCol w:w="61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9217" w:type="dxa"/>
            <w:gridSpan w:val="3"/>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警立方2.0 网格驿站 技术参数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05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配置</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舱体</w:t>
            </w:r>
            <w:r>
              <w:rPr>
                <w:rFonts w:hint="eastAsia" w:ascii="宋体" w:hAnsi="宋体" w:eastAsia="宋体" w:cs="宋体"/>
                <w:b/>
                <w:bCs/>
                <w:i w:val="0"/>
                <w:iCs w:val="0"/>
                <w:color w:val="000000"/>
                <w:kern w:val="0"/>
                <w:sz w:val="21"/>
                <w:szCs w:val="21"/>
                <w:u w:val="none"/>
                <w:lang w:val="en-US" w:eastAsia="zh-CN" w:bidi="ar"/>
              </w:rPr>
              <w:br w:type="textWrapping"/>
            </w:r>
            <w:r>
              <w:rPr>
                <w:rFonts w:hint="eastAsia" w:ascii="宋体" w:hAnsi="宋体" w:eastAsia="宋体" w:cs="宋体"/>
                <w:b/>
                <w:bCs/>
                <w:i w:val="0"/>
                <w:iCs w:val="0"/>
                <w:color w:val="000000"/>
                <w:kern w:val="0"/>
                <w:sz w:val="21"/>
                <w:szCs w:val="21"/>
                <w:u w:val="none"/>
                <w:lang w:val="en-US" w:eastAsia="zh-CN" w:bidi="ar"/>
              </w:rPr>
              <w:t>长2000*宽2000*高2800mm</w:t>
            </w: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底座</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组装式底座，底板采用厚度2mm镀锌板，底座下部采用厚度2mm镀锌管加固，底座更稳固，可承重≥2000kg。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立柱</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立柱采用厚度1.5mm镀锌板，一次压制成型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顶盖</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采用厚度1.5mm不锈钢，开设蜂窝状扬声孔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铝合金门窗</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铝合金型材厚度2mm；8mm钢化玻璃，正面配置提升窗，可对外处理事务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外部工作台板</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采用厚度1.5mm镀锌板，内部使用5根方管横梁加固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福马轮</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福马轮*4个，可移动，承重≥2000kg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地板</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地面铺设防水地板（防火防水地板，材质氧化镁、玻璃纤维等，厚度6mm）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762000</wp:posOffset>
                  </wp:positionH>
                  <wp:positionV relativeFrom="paragraph">
                    <wp:posOffset>53975</wp:posOffset>
                  </wp:positionV>
                  <wp:extent cx="144145" cy="107950"/>
                  <wp:effectExtent l="0" t="0" r="8255" b="6350"/>
                  <wp:wrapNone/>
                  <wp:docPr id="5" name="等腰三角形_1"/>
                  <wp:cNvGraphicFramePr/>
                  <a:graphic xmlns:a="http://schemas.openxmlformats.org/drawingml/2006/main">
                    <a:graphicData uri="http://schemas.openxmlformats.org/drawingml/2006/picture">
                      <pic:pic xmlns:pic="http://schemas.openxmlformats.org/drawingml/2006/picture">
                        <pic:nvPicPr>
                          <pic:cNvPr id="5" name="等腰三角形_1"/>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特殊要求</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1.为扩大使用场景，提高利用率，舱体必须是可拆卸式结构，便于偏远地区、窄口路段通过组装和变更用于其它民生工程项目；2. 定制化颜色采用环保材质，静电喷涂工艺，达到户外使用标准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5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办公设施</w:t>
            </w: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办公桌</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定制操作台（钢方管，厚度1.2mm；三聚氰胺板，厚度2.5cm）*1，长1806mm*宽600mm*高750mm，桌面安装嵌入式排插（3五孔+2USB）*1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办公折叠椅</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碳素钢管结构+黑色皮革*4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文件柜</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定制电子密码文件柜（冷轧板0.8mm，静电喷涂），高2000*宽700*厚360mm，上层有机玻璃移门密码机要柜，内分两层，每层10小格，便于独立档案区分；下层卷帘掩门柜，内分3层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饮水机</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小米、九阳、美的，即热饮水机*1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外观</w:t>
            </w: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警徽</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铝合金烤漆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“公安”等文字</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1CM白色雪弗板雕刻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单透膜</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3面PVC单透膜，平面宣传，更换方便；单透膜内容设计由生产方负责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隐私膜</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背面隐私膜，PET材质，防紫外线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爆闪灯</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岗亭顶设有4组(蓝红）爆闪灯，配12V稳压电源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LED屏</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LED屏*2（P10 单机色  点阵数32x5 =160   16x3 =48）（长1600*宽480mm）,文字滚动播放，手机APP更改播放内容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电路</w:t>
            </w: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电线、漏电保护</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正泰、德力西、公牛，漏电保护开关（32A 双P漏保）*1，配防水电箱*1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插座及开关</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正泰、德力西、西门子，插座*3（5孔*2、3孔*1），开关*1（3开）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定时控制开关</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可设定爆闪灯的工作时间，1个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节能照明</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正泰、德力西、欧普，LED筒灯（直径7.5cm），4W*4个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45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标准配置</w:t>
            </w: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空调</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1匹冷暖空调，外机置于顶部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门禁</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电子人脸+密码门禁，安装在立柱上，可实现考勤打卡，可远程开门，与监控联动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4384" behindDoc="0" locked="0" layoutInCell="1" allowOverlap="1">
                  <wp:simplePos x="0" y="0"/>
                  <wp:positionH relativeFrom="column">
                    <wp:posOffset>758825</wp:posOffset>
                  </wp:positionH>
                  <wp:positionV relativeFrom="paragraph">
                    <wp:posOffset>215900</wp:posOffset>
                  </wp:positionV>
                  <wp:extent cx="144145" cy="107950"/>
                  <wp:effectExtent l="0" t="0" r="8255" b="6350"/>
                  <wp:wrapNone/>
                  <wp:docPr id="6" name="等腰三角形_2"/>
                  <wp:cNvGraphicFramePr/>
                  <a:graphic xmlns:a="http://schemas.openxmlformats.org/drawingml/2006/main">
                    <a:graphicData uri="http://schemas.openxmlformats.org/drawingml/2006/picture">
                      <pic:pic xmlns:pic="http://schemas.openxmlformats.org/drawingml/2006/picture">
                        <pic:nvPicPr>
                          <pic:cNvPr id="6" name="等腰三角形_2"/>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一键紧急求助</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一键报警装置*1，直接拨打***指挥室电话，号码可随时更改，可设置5组报警号码，实时对讲（微信小程序设置报警参数），外部设置防水罩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4G云音柱</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功率40W音柱*2，可在***实现远程喊话(含APP或软件），可远程操作播放内容，可设置定时播放语音宣传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752475</wp:posOffset>
                  </wp:positionH>
                  <wp:positionV relativeFrom="paragraph">
                    <wp:posOffset>114300</wp:posOffset>
                  </wp:positionV>
                  <wp:extent cx="144145" cy="107950"/>
                  <wp:effectExtent l="0" t="0" r="8255" b="6350"/>
                  <wp:wrapNone/>
                  <wp:docPr id="7" name="等腰三角形_3"/>
                  <wp:cNvGraphicFramePr/>
                  <a:graphic xmlns:a="http://schemas.openxmlformats.org/drawingml/2006/main">
                    <a:graphicData uri="http://schemas.openxmlformats.org/drawingml/2006/picture">
                      <pic:pic xmlns:pic="http://schemas.openxmlformats.org/drawingml/2006/picture">
                        <pic:nvPicPr>
                          <pic:cNvPr id="7" name="等腰三角形_3"/>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监控系统</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摄像头*3（室内*1，室外*2），</w:t>
            </w:r>
            <w:r>
              <w:rPr>
                <w:rFonts w:hint="eastAsia" w:ascii="宋体" w:hAnsi="宋体" w:eastAsia="宋体" w:cs="宋体"/>
                <w:b/>
                <w:bCs/>
                <w:i w:val="0"/>
                <w:iCs w:val="0"/>
                <w:color w:val="000000"/>
                <w:kern w:val="0"/>
                <w:sz w:val="21"/>
                <w:szCs w:val="21"/>
                <w:u w:val="none"/>
                <w:lang w:val="en-US" w:eastAsia="zh-CN" w:bidi="ar"/>
              </w:rPr>
              <w:t>生产方提供3年网络，接入***云平台，接到设备维修的通知后1小时响应</w:t>
            </w:r>
            <w:r>
              <w:rPr>
                <w:rFonts w:hint="eastAsia" w:ascii="宋体" w:hAnsi="宋体" w:eastAsia="宋体" w:cs="宋体"/>
                <w:i w:val="0"/>
                <w:iCs w:val="0"/>
                <w:color w:val="000000"/>
                <w:kern w:val="0"/>
                <w:sz w:val="21"/>
                <w:szCs w:val="21"/>
                <w:u w:val="none"/>
                <w:lang w:val="en-US" w:eastAsia="zh-CN" w:bidi="ar"/>
              </w:rPr>
              <w:t>；全新外观：支架壁装/吊装任意调节；阵列补光灯：全新阵列补光灯，更优秀的夜视效果；sensor：1/3"CMOS传感器；分辨率：2304*1296；视频编码：H.265；图像模式：高清和流畅；镜头：3.6mm定焦镜头；红外补光：内置红外灯/日夜切换；白光补光：内置白光灯/白光警示；警示灯：内置红蓝警示灯，可选择开启/关闭；网络传输：4G无线传输/4G TDD/FDD-LTE；物联网卡：内置工业级贴片卡，可通过APP充值查询；云台：内置云台，实现远程转动控制；语音对讲：内置MIC和扬声器，实现双向语音对讲功能；存储：本地TF卡；智能功能：人形检测/自动跟踪；电源：DC12V；应用场景：室外（防淋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便民设施</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急救药箱（国标应急套装，含44种急救药品）*1、充气泵（高压双管，带压力表）*1、维修工具（32件套）*1、千斤顶（3吨液压）*1、汽车搭电应急启动电源（智能数显+SOS照明+手机快速充电）*1、灭火器（新国标2KG干粉，配灭火器箱）*2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5" w:hRule="atLeast"/>
        </w:trPr>
        <w:tc>
          <w:tcPr>
            <w:tcW w:w="145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防暴器材</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置盾牌架：防暴盾牌（3.5PC透明盾牌，500*900mm）*1、头盔（高强度PC材质）*1、防暴棍*1、防割手套*1、防刺服*1、钢叉（可拆卸式，304不锈钢，收缩1.3m，伸展2.05m）*1、脚叉（304不锈钢，收缩1.3m，伸展2.05m）*1、手电*1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45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c>
          <w:tcPr>
            <w:tcW w:w="15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701675</wp:posOffset>
                  </wp:positionH>
                  <wp:positionV relativeFrom="paragraph">
                    <wp:posOffset>73025</wp:posOffset>
                  </wp:positionV>
                  <wp:extent cx="144145" cy="107950"/>
                  <wp:effectExtent l="0" t="0" r="8255" b="6350"/>
                  <wp:wrapNone/>
                  <wp:docPr id="8" name="等腰三角形_4"/>
                  <wp:cNvGraphicFramePr/>
                  <a:graphic xmlns:a="http://schemas.openxmlformats.org/drawingml/2006/main">
                    <a:graphicData uri="http://schemas.openxmlformats.org/drawingml/2006/picture">
                      <pic:pic xmlns:pic="http://schemas.openxmlformats.org/drawingml/2006/picture">
                        <pic:nvPicPr>
                          <pic:cNvPr id="8" name="等腰三角形_4"/>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其他</w:t>
            </w:r>
          </w:p>
        </w:tc>
        <w:tc>
          <w:tcPr>
            <w:tcW w:w="61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1.可拆卸式防水结构、欧美标准静电喷涂工艺，使用寿命长；2.售后维护1小时响应并到达现场；3.电由使用方提供，网络生产方提供</w:t>
            </w:r>
          </w:p>
        </w:tc>
      </w:tr>
    </w:tbl>
    <w:p>
      <w:pPr>
        <w:keepNext w:val="0"/>
        <w:keepLines w:val="0"/>
        <w:pageBreakBefore w:val="0"/>
        <w:kinsoku/>
        <w:wordWrap/>
        <w:overflowPunct/>
        <w:topLinePunct w:val="0"/>
        <w:autoSpaceDE w:val="0"/>
        <w:autoSpaceDN w:val="0"/>
        <w:bidi w:val="0"/>
        <w:adjustRightInd w:val="0"/>
        <w:snapToGrid w:val="0"/>
        <w:spacing w:line="336" w:lineRule="auto"/>
        <w:ind w:firstLine="354" w:firstLineChars="147"/>
        <w:textAlignment w:val="bottom"/>
        <w:rPr>
          <w:rFonts w:hint="eastAsia" w:ascii="仿宋" w:hAnsi="仿宋" w:eastAsia="仿宋" w:cs="仿宋"/>
          <w:b/>
          <w:color w:val="FF0000"/>
          <w:sz w:val="24"/>
          <w:szCs w:val="24"/>
          <w:highlight w:val="none"/>
        </w:rPr>
      </w:pPr>
    </w:p>
    <w:tbl>
      <w:tblPr>
        <w:tblStyle w:val="35"/>
        <w:tblW w:w="92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573"/>
        <w:gridCol w:w="2124"/>
        <w:gridCol w:w="55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9232" w:type="dxa"/>
            <w:gridSpan w:val="3"/>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警立方3.0 技术参数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69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配置</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57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舱体</w:t>
            </w:r>
            <w:r>
              <w:rPr>
                <w:rFonts w:hint="eastAsia" w:ascii="宋体" w:hAnsi="宋体" w:eastAsia="宋体" w:cs="宋体"/>
                <w:b/>
                <w:bCs/>
                <w:i w:val="0"/>
                <w:iCs w:val="0"/>
                <w:color w:val="000000"/>
                <w:kern w:val="0"/>
                <w:sz w:val="21"/>
                <w:szCs w:val="21"/>
                <w:u w:val="none"/>
                <w:lang w:val="en-US" w:eastAsia="zh-CN" w:bidi="ar"/>
              </w:rPr>
              <w:br w:type="textWrapping"/>
            </w:r>
            <w:r>
              <w:rPr>
                <w:rFonts w:hint="eastAsia" w:ascii="宋体" w:hAnsi="宋体" w:eastAsia="宋体" w:cs="宋体"/>
                <w:b/>
                <w:bCs/>
                <w:i w:val="0"/>
                <w:iCs w:val="0"/>
                <w:color w:val="000000"/>
                <w:kern w:val="0"/>
                <w:sz w:val="21"/>
                <w:szCs w:val="21"/>
                <w:u w:val="none"/>
                <w:lang w:val="en-US" w:eastAsia="zh-CN" w:bidi="ar"/>
              </w:rPr>
              <w:t>长1200*宽1200*高2800mm</w:t>
            </w: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底座</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组装式底座，底板采用厚度2mm镀锌板，底座下部采用厚度2mm镀锌管加固，底座更稳固，可承重≥2000kg；底座内部设置抽屉，便于储物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立柱</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立柱采用厚度1.5mm镀锌板，一次压制成型，立柱上开设内置槽，可存放遮阳伞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顶盖</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采用厚度1.5mm不锈钢，开设蜂窝状扬声孔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铝合金门窗</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铝合金型材厚度2mm，双层玻璃，内设百叶窗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福马轮</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福马轮*4个，可移动，承重≥2000kg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地板</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地面铺设防水地板（防火防水地板，材质氧化镁、玻璃纤维等，厚度6mm）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7456" behindDoc="0" locked="0" layoutInCell="1" allowOverlap="1">
                  <wp:simplePos x="0" y="0"/>
                  <wp:positionH relativeFrom="column">
                    <wp:posOffset>762000</wp:posOffset>
                  </wp:positionH>
                  <wp:positionV relativeFrom="paragraph">
                    <wp:posOffset>28575</wp:posOffset>
                  </wp:positionV>
                  <wp:extent cx="144145" cy="107950"/>
                  <wp:effectExtent l="0" t="0" r="8255" b="6350"/>
                  <wp:wrapNone/>
                  <wp:docPr id="9" name="等腰三角形_1"/>
                  <wp:cNvGraphicFramePr/>
                  <a:graphic xmlns:a="http://schemas.openxmlformats.org/drawingml/2006/main">
                    <a:graphicData uri="http://schemas.openxmlformats.org/drawingml/2006/picture">
                      <pic:pic xmlns:pic="http://schemas.openxmlformats.org/drawingml/2006/picture">
                        <pic:nvPicPr>
                          <pic:cNvPr id="9" name="等腰三角形_1"/>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特殊要求</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1.为扩大使用场景，提高利用率，舱体必须是可拆卸式结构，便于偏远地区、窄口路段通过组装和变更用于其它民生工程项目；2. 定制化颜色采用环保材质，静电喷涂工艺，达到户外使用标准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0" w:hRule="atLeast"/>
        </w:trPr>
        <w:tc>
          <w:tcPr>
            <w:tcW w:w="157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办公设施</w:t>
            </w: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办公桌</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制玻璃开门储物柜操作台，用于存放便民设施和防暴设施，长1075*宽520*高800mm，柜体采用0.8mm冷轧板，静电喷涂；安装鸭嘴边台面板，厚度2.5cm；储物门*8扇，玻璃厚度4mm并配置阻尼铰链，桌面安装嵌入式排插（3五孔+2USB）*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办公折叠椅</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折叠凳*2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饮水机</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小米、九阳、美的，即热饮水机*1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外观</w:t>
            </w: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警徽</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铝合金烤漆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“公安”等文字</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1CM白色雪弗板雕刻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单透膜</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3面PVC单透膜，平面宣传，更换方便；单透膜内容设计由生产方负责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爆闪灯</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岗亭顶设有4组(蓝红）爆闪灯，配12V稳压电源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0" w:hRule="atLeast"/>
        </w:trPr>
        <w:tc>
          <w:tcPr>
            <w:tcW w:w="1573"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8480" behindDoc="0" locked="0" layoutInCell="1" allowOverlap="1">
                  <wp:simplePos x="0" y="0"/>
                  <wp:positionH relativeFrom="column">
                    <wp:posOffset>666750</wp:posOffset>
                  </wp:positionH>
                  <wp:positionV relativeFrom="paragraph">
                    <wp:posOffset>79375</wp:posOffset>
                  </wp:positionV>
                  <wp:extent cx="144145" cy="107950"/>
                  <wp:effectExtent l="0" t="0" r="8255" b="6350"/>
                  <wp:wrapNone/>
                  <wp:docPr id="10" name="等腰三角形_2"/>
                  <wp:cNvGraphicFramePr/>
                  <a:graphic xmlns:a="http://schemas.openxmlformats.org/drawingml/2006/main">
                    <a:graphicData uri="http://schemas.openxmlformats.org/drawingml/2006/picture">
                      <pic:pic xmlns:pic="http://schemas.openxmlformats.org/drawingml/2006/picture">
                        <pic:nvPicPr>
                          <pic:cNvPr id="10" name="等腰三角形_2"/>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贴膜屏</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贴膜屏*2，舱体内部铺贴贴膜屏，每块显示尺寸720*2000mm,模块点阵P6.5*6.5，总点数：59290点，电源400W*4，接收卡数量*4，外观：白色。可设置视频播放尺寸，警立方外部可观看视频，起到灯箱效果，达到24小时宣传效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电路</w:t>
            </w: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电线、漏电保护</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正泰、德力西、公牛，漏电保护开关（32A 双P漏保）*1，配防水电箱*1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插座及开关</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正泰、德力西、西门子，插座*3（5孔*2、3孔*1），开关*1（3开）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定时控制开关</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可设定爆闪灯的工作时间，1个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节能照明</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推荐品牌：</w:t>
            </w:r>
            <w:r>
              <w:rPr>
                <w:rFonts w:hint="eastAsia" w:ascii="宋体" w:hAnsi="宋体" w:eastAsia="宋体" w:cs="宋体"/>
                <w:i w:val="0"/>
                <w:iCs w:val="0"/>
                <w:color w:val="000000"/>
                <w:kern w:val="0"/>
                <w:sz w:val="21"/>
                <w:szCs w:val="21"/>
                <w:u w:val="none"/>
                <w:lang w:val="en-US" w:eastAsia="zh-CN" w:bidi="ar"/>
              </w:rPr>
              <w:t>正泰、德力西、欧普，LED筒灯（直径12cm），9W*1个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57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标准配置</w:t>
            </w: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空调</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1匹冷暖空调，外机置于顶部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门禁</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电子人脸+密码门禁，安装在立柱上，可实现考勤打卡，可远程开门，与监控联动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69504" behindDoc="0" locked="0" layoutInCell="1" allowOverlap="1">
                  <wp:simplePos x="0" y="0"/>
                  <wp:positionH relativeFrom="column">
                    <wp:posOffset>1009650</wp:posOffset>
                  </wp:positionH>
                  <wp:positionV relativeFrom="paragraph">
                    <wp:posOffset>73025</wp:posOffset>
                  </wp:positionV>
                  <wp:extent cx="144145" cy="107950"/>
                  <wp:effectExtent l="0" t="0" r="8255" b="6350"/>
                  <wp:wrapNone/>
                  <wp:docPr id="11" name="等腰三角形_3"/>
                  <wp:cNvGraphicFramePr/>
                  <a:graphic xmlns:a="http://schemas.openxmlformats.org/drawingml/2006/main">
                    <a:graphicData uri="http://schemas.openxmlformats.org/drawingml/2006/picture">
                      <pic:pic xmlns:pic="http://schemas.openxmlformats.org/drawingml/2006/picture">
                        <pic:nvPicPr>
                          <pic:cNvPr id="11" name="等腰三角形_3"/>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一键紧急求助</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一键报警装置*2，直接拨打***指挥室电话，号码可随时更改，可设置5组报警号码，实时对讲（微信小程序设置报警参数），外部设置防水罩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4G云音柱</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功率60W音柱*2，可在***实现远程喊话(含APP或软件），可远程操作播放内容，可设置定时播放语音宣传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70528" behindDoc="0" locked="0" layoutInCell="1" allowOverlap="1">
                  <wp:simplePos x="0" y="0"/>
                  <wp:positionH relativeFrom="column">
                    <wp:posOffset>933450</wp:posOffset>
                  </wp:positionH>
                  <wp:positionV relativeFrom="paragraph">
                    <wp:posOffset>92075</wp:posOffset>
                  </wp:positionV>
                  <wp:extent cx="144145" cy="107950"/>
                  <wp:effectExtent l="0" t="0" r="8255" b="6350"/>
                  <wp:wrapNone/>
                  <wp:docPr id="12" name="等腰三角形_4"/>
                  <wp:cNvGraphicFramePr/>
                  <a:graphic xmlns:a="http://schemas.openxmlformats.org/drawingml/2006/main">
                    <a:graphicData uri="http://schemas.openxmlformats.org/drawingml/2006/picture">
                      <pic:pic xmlns:pic="http://schemas.openxmlformats.org/drawingml/2006/picture">
                        <pic:nvPicPr>
                          <pic:cNvPr id="12" name="等腰三角形_4"/>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监控系统</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摄像头*2（室内*1，室外*1），</w:t>
            </w:r>
            <w:r>
              <w:rPr>
                <w:rFonts w:hint="eastAsia" w:ascii="宋体" w:hAnsi="宋体" w:eastAsia="宋体" w:cs="宋体"/>
                <w:b/>
                <w:bCs/>
                <w:i w:val="0"/>
                <w:iCs w:val="0"/>
                <w:color w:val="000000"/>
                <w:kern w:val="0"/>
                <w:sz w:val="21"/>
                <w:szCs w:val="21"/>
                <w:u w:val="none"/>
                <w:lang w:val="en-US" w:eastAsia="zh-CN" w:bidi="ar"/>
              </w:rPr>
              <w:t>生产方负责接入公安视频专线，并提供三年专线网络费用，接到设备维修的通知后1小时响应</w:t>
            </w:r>
            <w:r>
              <w:rPr>
                <w:rFonts w:hint="eastAsia" w:ascii="宋体" w:hAnsi="宋体" w:eastAsia="宋体" w:cs="宋体"/>
                <w:i w:val="0"/>
                <w:iCs w:val="0"/>
                <w:color w:val="000000"/>
                <w:kern w:val="0"/>
                <w:sz w:val="21"/>
                <w:szCs w:val="21"/>
                <w:u w:val="none"/>
                <w:lang w:val="en-US" w:eastAsia="zh-CN" w:bidi="ar"/>
              </w:rPr>
              <w:t>；全新外观：支架壁装/吊装任意调节；阵列补光灯：全新阵列补光灯，更优秀的夜视效果；sensor：1/3"CMOS传感器；分辨率：2304*1296；视频编码：H.265；图像模式：高清和流畅；镜头：3.6mm定焦镜头；红外补光：内置红外灯/日夜切换；白光补光：内置白光灯/白光警示；警示灯：内置红蓝警示灯，可选择开启/关闭；网络传输：4G无线传输/4G TDD/FDD-LTE；物联网卡：内置工业级贴片卡，可通过APP充值查询；云台：内置云台，实现远程转动控制；语音对讲：内置MIC和扬声器，实现双向语音对讲功能；存储：本地TF卡；智能功能：人形检测/自动跟踪；电源：DC12V；应用场景：室外（防淋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5"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71552" behindDoc="0" locked="0" layoutInCell="1" allowOverlap="1">
                  <wp:simplePos x="0" y="0"/>
                  <wp:positionH relativeFrom="column">
                    <wp:posOffset>758825</wp:posOffset>
                  </wp:positionH>
                  <wp:positionV relativeFrom="paragraph">
                    <wp:posOffset>285750</wp:posOffset>
                  </wp:positionV>
                  <wp:extent cx="144145" cy="107950"/>
                  <wp:effectExtent l="0" t="0" r="8255" b="6350"/>
                  <wp:wrapNone/>
                  <wp:docPr id="13" name="等腰三角形_5"/>
                  <wp:cNvGraphicFramePr/>
                  <a:graphic xmlns:a="http://schemas.openxmlformats.org/drawingml/2006/main">
                    <a:graphicData uri="http://schemas.openxmlformats.org/drawingml/2006/picture">
                      <pic:pic xmlns:pic="http://schemas.openxmlformats.org/drawingml/2006/picture">
                        <pic:nvPicPr>
                          <pic:cNvPr id="13" name="等腰三角形_5"/>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非机动车违法行为抓拍</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抓拍设备*1，乙方负责接入公安视频专线，并提供三年专线网络费用，接到设备维修的通知后1小时响应；应用场景：广泛适用于出入口、混行道路、人行通道、公园、景区、街道、车站、小区外围、周界等复杂场景;全景和细节镜头均采用背照式传感器，相比传统摄像机前照式传感器，增加的进光量对图像质量有明显的改善作用;支持智能资源模式切换：a)细节通道1和3支持全结构化（默认）、人脸抓拍、人脸比对、道路监控、Smart事件（深度学习）多种智能模式可按需切换；b)全景通道2和4支持Smart事件（深度学习）;全结构化模式：a)抓拍人脸：支持对运动人脸进行抓拍，支持性别、年龄、戴眼镜、戴口罩等8个人脸属性；b)抓拍人体：支持上衣颜色、下装颜色、性别、戴眼镜、背包、拎东西、戴帽子、戴口罩、长短袖、裤裙、发型等13个属性识别；c)抓拍非机动车：支持上衣颜色、性别、戴眼镜、背包、戴帽子、戴口罩、长短袖、发型、骑车类型、骑车人数等11个属性识别；d)抓拍机动车：支持车牌识别并抓拍，支持车型、车牌颜色、车身颜色、车牌类型、子品牌车身颜色等7个属性识别;人脸抓拍模式：a)支持对运动人脸进行抓拍，支持性别、年龄、戴眼镜、戴口罩等9个人脸属性；b)支持人脸去误报、快速抓拍人脸；c)支持快速抓拍和最佳抓拍两种模式；d)支持人脸去重;支持人脸比对模式：a)支持前端人脸比对；b)支持最多10个人脸库的管理，最多15万张人脸的导入；c)支持合计人脸库的存储空间最大3 GB，单张人脸不超过300 KB；d)支持不同人脸库不同时间布防；e)支持非授权名单比对成功报警输出；f)支持人脸瞳距20像素以上的人脸检测；g)支持人脸快速比对，最佳比对方式设置;道路监控模式：a)车辆检测：支持车牌识别并抓拍，车牌号码/车身颜色/车辆类型/车辆品牌；b)混行检测：检测正向或逆向行驶的车辆以及行人和非机动车，自动对车辆牌照进行识别，可以抓拍无车牌的车辆图片;Smart事件模式：支持深度学习（越界侦测，区域入侵侦测，进入区域侦测，离开区域侦测，徘徊侦测，人员聚集侦测，快速运动侦测，停车侦测，物品遗留侦测，物品拿取侦测）；内置微云台功能：支持远程电动调节，水平最大调节范围0°~180°，垂直最大调节范围-5°~25°;图像相关：最高分辨率可达800万像素（3840 × 2160），并在此分辨率下可输出25 fps实时图像;系统功能：开放型网络视频接口，ISAPI，GB28181-2016，ISUP5.0，视图库;接口功能：音频：2路音频输入，1路音频输出，报警：3路报警输入，2路报警输出，电源输出：1路DC 12 V，50 mA电源输出;支持幂影功能：针对夜晚不同目标的特性（反光率、速度、大小等），采用多帧拆分技术，同时实现夜晚场景下人脸+车牌优选抓拍效果;支持随影补光功能：为响应碳中和理念，采用全镜头深度学习检测目标进入，当目标有进入区域时补光灯进入高亮模式，当目标没有在区域时补光灯进入低亮模式 ，实现节能环保低碳目的;支持能耗分析功能：设备内置能耗检测模块，可实时检测设备的输入电压和功耗信息，可生成日报表、周报表，并以图表形式展现;设备支持GB35114 A安全加密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72576" behindDoc="0" locked="0" layoutInCell="1" allowOverlap="1">
                  <wp:simplePos x="0" y="0"/>
                  <wp:positionH relativeFrom="column">
                    <wp:posOffset>942975</wp:posOffset>
                  </wp:positionH>
                  <wp:positionV relativeFrom="paragraph">
                    <wp:posOffset>34925</wp:posOffset>
                  </wp:positionV>
                  <wp:extent cx="144145" cy="107950"/>
                  <wp:effectExtent l="0" t="0" r="8255" b="6350"/>
                  <wp:wrapNone/>
                  <wp:docPr id="14" name="等腰三角形_6"/>
                  <wp:cNvGraphicFramePr/>
                  <a:graphic xmlns:a="http://schemas.openxmlformats.org/drawingml/2006/main">
                    <a:graphicData uri="http://schemas.openxmlformats.org/drawingml/2006/picture">
                      <pic:pic xmlns:pic="http://schemas.openxmlformats.org/drawingml/2006/picture">
                        <pic:nvPicPr>
                          <pic:cNvPr id="14" name="等腰三角形_6"/>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安全屋功能</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智能防护舱系统*1，遇到突发事件，实现安全屋紧急避难功能，按动外部紧急开门按钮，进入安全屋，门自动反锁，外部无法打开，并拨通***电话进行实时对讲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便民设施</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急救药箱（国标应急套装，含44种急救药品）*1、充气泵（高压双管，带压力表）*1、维修工具（32件套）*1、千斤顶（3吨液压）*1、汽车搭电应急启动电源（智能数显+SOS照明+手机快速充电）*1、灭火器（新国标2KG干粉，配灭火器箱）*2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0" w:hRule="atLeast"/>
        </w:trPr>
        <w:tc>
          <w:tcPr>
            <w:tcW w:w="157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b/>
                <w:bCs/>
                <w:i w:val="0"/>
                <w:iCs w:val="0"/>
                <w:color w:val="000000"/>
                <w:sz w:val="21"/>
                <w:szCs w:val="21"/>
                <w:u w:val="none"/>
              </w:rPr>
            </w:pP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防暴器材</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置盾牌架：防暴盾牌（3.5PC透明盾牌，500*900mm）*1、头盔（高强度PC材质）*1、防暴棍*1、防割手套*1、防刺服*1、钢叉（可拆卸式，304不锈钢，收缩1.3m，伸展2.05m）*1、脚叉（304不锈钢，收缩1.3m，伸展2.05m）*1、手电*1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157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备注</w:t>
            </w:r>
          </w:p>
        </w:tc>
        <w:tc>
          <w:tcPr>
            <w:tcW w:w="21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bdr w:val="single" w:color="000000" w:sz="4" w:space="0"/>
                <w:lang w:val="en-US" w:eastAsia="zh-CN" w:bidi="ar"/>
              </w:rPr>
              <w:drawing>
                <wp:anchor distT="0" distB="0" distL="114300" distR="114300" simplePos="0" relativeHeight="251673600" behindDoc="0" locked="0" layoutInCell="1" allowOverlap="1">
                  <wp:simplePos x="0" y="0"/>
                  <wp:positionH relativeFrom="column">
                    <wp:posOffset>542925</wp:posOffset>
                  </wp:positionH>
                  <wp:positionV relativeFrom="paragraph">
                    <wp:posOffset>28575</wp:posOffset>
                  </wp:positionV>
                  <wp:extent cx="144145" cy="107950"/>
                  <wp:effectExtent l="0" t="0" r="8255" b="6350"/>
                  <wp:wrapNone/>
                  <wp:docPr id="15" name="等腰三角形_7"/>
                  <wp:cNvGraphicFramePr/>
                  <a:graphic xmlns:a="http://schemas.openxmlformats.org/drawingml/2006/main">
                    <a:graphicData uri="http://schemas.openxmlformats.org/drawingml/2006/picture">
                      <pic:pic xmlns:pic="http://schemas.openxmlformats.org/drawingml/2006/picture">
                        <pic:nvPicPr>
                          <pic:cNvPr id="15" name="等腰三角形_7"/>
                          <pic:cNvPicPr/>
                        </pic:nvPicPr>
                        <pic:blipFill>
                          <a:blip r:embed="rId11"/>
                          <a:stretch>
                            <a:fillRect/>
                          </a:stretch>
                        </pic:blipFill>
                        <pic:spPr>
                          <a:xfrm>
                            <a:off x="0" y="0"/>
                            <a:ext cx="144145" cy="107950"/>
                          </a:xfrm>
                          <a:prstGeom prst="rect">
                            <a:avLst/>
                          </a:prstGeom>
                          <a:noFill/>
                          <a:ln>
                            <a:noFill/>
                          </a:ln>
                        </pic:spPr>
                      </pic:pic>
                    </a:graphicData>
                  </a:graphic>
                </wp:anchor>
              </w:drawing>
            </w:r>
            <w:r>
              <w:rPr>
                <w:rFonts w:hint="eastAsia" w:ascii="宋体" w:hAnsi="宋体" w:eastAsia="宋体" w:cs="宋体"/>
                <w:b/>
                <w:bCs/>
                <w:i w:val="0"/>
                <w:iCs w:val="0"/>
                <w:color w:val="000000"/>
                <w:kern w:val="0"/>
                <w:sz w:val="21"/>
                <w:szCs w:val="21"/>
                <w:u w:val="none"/>
                <w:lang w:val="en-US" w:eastAsia="zh-CN" w:bidi="ar"/>
              </w:rPr>
              <w:t>其它</w:t>
            </w:r>
          </w:p>
        </w:tc>
        <w:tc>
          <w:tcPr>
            <w:tcW w:w="55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1.可拆卸式防水结构、欧美标准静电喷涂工艺，使用寿命长；2.售后维护1小时响应并到达现场；3.电由使用方提供，网络生产方提供</w:t>
            </w:r>
          </w:p>
        </w:tc>
      </w:tr>
    </w:tbl>
    <w:p>
      <w:pPr>
        <w:keepNext w:val="0"/>
        <w:keepLines w:val="0"/>
        <w:pageBreakBefore w:val="0"/>
        <w:kinsoku/>
        <w:wordWrap/>
        <w:overflowPunct/>
        <w:topLinePunct w:val="0"/>
        <w:autoSpaceDE w:val="0"/>
        <w:autoSpaceDN w:val="0"/>
        <w:bidi w:val="0"/>
        <w:adjustRightInd w:val="0"/>
        <w:snapToGrid w:val="0"/>
        <w:spacing w:line="336" w:lineRule="auto"/>
        <w:textAlignment w:val="bottom"/>
        <w:rPr>
          <w:rFonts w:hint="eastAsia" w:ascii="仿宋" w:hAnsi="仿宋" w:eastAsia="仿宋" w:cs="仿宋"/>
          <w:b/>
          <w:color w:val="FF0000"/>
          <w:sz w:val="24"/>
          <w:szCs w:val="24"/>
          <w:highlight w:val="none"/>
        </w:rPr>
      </w:pPr>
    </w:p>
    <w:p>
      <w:pPr>
        <w:keepNext w:val="0"/>
        <w:keepLines w:val="0"/>
        <w:pageBreakBefore w:val="0"/>
        <w:kinsoku/>
        <w:wordWrap/>
        <w:overflowPunct/>
        <w:topLinePunct w:val="0"/>
        <w:autoSpaceDE w:val="0"/>
        <w:autoSpaceDN w:val="0"/>
        <w:bidi w:val="0"/>
        <w:adjustRightInd w:val="0"/>
        <w:snapToGrid w:val="0"/>
        <w:spacing w:line="336" w:lineRule="auto"/>
        <w:ind w:firstLine="354" w:firstLineChars="147"/>
        <w:textAlignment w:val="bottom"/>
        <w:rPr>
          <w:rFonts w:hint="eastAsia" w:ascii="仿宋" w:hAnsi="仿宋" w:eastAsia="仿宋" w:cs="仿宋"/>
          <w:b/>
          <w:color w:val="FF0000"/>
          <w:sz w:val="24"/>
          <w:szCs w:val="24"/>
          <w:highlight w:val="none"/>
        </w:rPr>
      </w:pPr>
    </w:p>
    <w:p>
      <w:pPr>
        <w:keepNext w:val="0"/>
        <w:keepLines w:val="0"/>
        <w:pageBreakBefore w:val="0"/>
        <w:numPr>
          <w:ilvl w:val="0"/>
          <w:numId w:val="0"/>
        </w:numPr>
        <w:kinsoku/>
        <w:wordWrap/>
        <w:overflowPunct/>
        <w:topLinePunct w:val="0"/>
        <w:autoSpaceDE w:val="0"/>
        <w:autoSpaceDN w:val="0"/>
        <w:bidi w:val="0"/>
        <w:adjustRightInd w:val="0"/>
        <w:snapToGrid w:val="0"/>
        <w:spacing w:line="336" w:lineRule="auto"/>
        <w:textAlignment w:val="bottom"/>
        <w:rPr>
          <w:rFonts w:hint="eastAsia" w:ascii="宋体" w:hAnsi="宋体" w:eastAsia="宋体" w:cs="宋体"/>
          <w:b/>
          <w:color w:val="FF0000"/>
          <w:sz w:val="24"/>
          <w:szCs w:val="24"/>
          <w:highlight w:val="none"/>
        </w:rPr>
      </w:pPr>
      <w:r>
        <w:rPr>
          <w:rFonts w:hint="eastAsia" w:ascii="宋体" w:hAnsi="宋体" w:eastAsia="宋体" w:cs="宋体"/>
          <w:b/>
          <w:color w:val="auto"/>
          <w:spacing w:val="0"/>
          <w:kern w:val="2"/>
          <w:sz w:val="24"/>
          <w:szCs w:val="24"/>
          <w:highlight w:val="none"/>
          <w:lang w:val="en-US" w:eastAsia="zh-CN" w:bidi="ar-SA"/>
        </w:rPr>
        <w:t>三、商务要求</w:t>
      </w:r>
    </w:p>
    <w:p>
      <w:pPr>
        <w:keepNext w:val="0"/>
        <w:keepLines w:val="0"/>
        <w:pageBreakBefore w:val="0"/>
        <w:numPr>
          <w:ilvl w:val="0"/>
          <w:numId w:val="0"/>
        </w:numPr>
        <w:kinsoku/>
        <w:wordWrap/>
        <w:overflowPunct/>
        <w:topLinePunct w:val="0"/>
        <w:autoSpaceDE w:val="0"/>
        <w:autoSpaceDN w:val="0"/>
        <w:bidi w:val="0"/>
        <w:adjustRightInd w:val="0"/>
        <w:snapToGrid w:val="0"/>
        <w:spacing w:line="336" w:lineRule="auto"/>
        <w:ind w:firstLine="482" w:firstLineChars="200"/>
        <w:textAlignment w:val="bottom"/>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售后服务</w:t>
      </w:r>
    </w:p>
    <w:p>
      <w:pPr>
        <w:keepNext w:val="0"/>
        <w:keepLines w:val="0"/>
        <w:pageBreakBefore w:val="0"/>
        <w:widowControl/>
        <w:kinsoku/>
        <w:wordWrap/>
        <w:overflowPunct/>
        <w:topLinePunct w:val="0"/>
        <w:autoSpaceDE w:val="0"/>
        <w:autoSpaceDN w:val="0"/>
        <w:bidi w:val="0"/>
        <w:spacing w:line="336" w:lineRule="auto"/>
        <w:ind w:left="-206" w:leftChars="-86" w:right="-204" w:rightChars="-85" w:firstLine="600" w:firstLineChars="25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年的质</w:t>
      </w:r>
      <w:r>
        <w:rPr>
          <w:rFonts w:hint="eastAsia" w:ascii="宋体" w:hAnsi="宋体" w:eastAsia="宋体" w:cs="宋体"/>
          <w:color w:val="auto"/>
          <w:sz w:val="24"/>
          <w:szCs w:val="24"/>
          <w:highlight w:val="none"/>
        </w:rPr>
        <w:t>保期，确保设备正常运行。质保期从验收合格交付使用之日起算；质保期内因设备本身缺陷造成各种故障应由卖方免费技术服务和维修。</w:t>
      </w:r>
    </w:p>
    <w:p>
      <w:pPr>
        <w:keepNext w:val="0"/>
        <w:keepLines w:val="0"/>
        <w:pageBreakBefore w:val="0"/>
        <w:kinsoku/>
        <w:wordWrap/>
        <w:overflowPunct/>
        <w:topLinePunct w:val="0"/>
        <w:autoSpaceDE w:val="0"/>
        <w:autoSpaceDN w:val="0"/>
        <w:bidi w:val="0"/>
        <w:adjustRightInd w:val="0"/>
        <w:snapToGrid w:val="0"/>
        <w:spacing w:line="336" w:lineRule="auto"/>
        <w:ind w:left="-206" w:leftChars="-86" w:right="-204" w:rightChars="-85" w:firstLine="597" w:firstLineChars="249"/>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2、在质保期内，卖方应确保正常使用，在接到用户维修要求后在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小时内响应</w:t>
      </w:r>
      <w:r>
        <w:rPr>
          <w:rFonts w:hint="eastAsia" w:ascii="宋体" w:hAnsi="宋体" w:eastAsia="宋体" w:cs="宋体"/>
          <w:color w:val="auto"/>
          <w:sz w:val="24"/>
          <w:szCs w:val="24"/>
          <w:highlight w:val="none"/>
          <w:lang w:val="en-US" w:eastAsia="zh-CN"/>
        </w:rPr>
        <w:t>并到达现场</w:t>
      </w:r>
      <w:r>
        <w:rPr>
          <w:rFonts w:hint="eastAsia" w:ascii="宋体" w:hAnsi="宋体" w:eastAsia="宋体" w:cs="宋体"/>
          <w:color w:val="auto"/>
          <w:sz w:val="24"/>
          <w:szCs w:val="24"/>
          <w:highlight w:val="none"/>
        </w:rPr>
        <w:t>，维修过程中所需材料中标供应商在接到通知后应及时提供，最长不超过24小时必须送达买方。若24小时内无法修复的，应48小时内提供相应备用设备并负责安装调试。</w:t>
      </w:r>
    </w:p>
    <w:p>
      <w:pPr>
        <w:keepNext w:val="0"/>
        <w:keepLines w:val="0"/>
        <w:pageBreakBefore w:val="0"/>
        <w:kinsoku/>
        <w:wordWrap/>
        <w:overflowPunct/>
        <w:topLinePunct w:val="0"/>
        <w:bidi w:val="0"/>
        <w:spacing w:line="336" w:lineRule="auto"/>
        <w:ind w:firstLine="48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w:t>
      </w:r>
      <w:r>
        <w:rPr>
          <w:rFonts w:hint="eastAsia" w:ascii="宋体" w:hAnsi="宋体" w:eastAsia="宋体" w:cs="宋体"/>
          <w:bCs/>
          <w:color w:val="auto"/>
          <w:sz w:val="24"/>
          <w:szCs w:val="24"/>
          <w:highlight w:val="none"/>
        </w:rPr>
        <w:t>对提供的设备，供应商产品更新换代，不再批量生产该产品，也必须随时有备品零配件供应，并提供终身技术服务。</w:t>
      </w:r>
    </w:p>
    <w:p>
      <w:pPr>
        <w:keepNext w:val="0"/>
        <w:keepLines w:val="0"/>
        <w:pageBreakBefore w:val="0"/>
        <w:kinsoku/>
        <w:wordWrap/>
        <w:overflowPunct/>
        <w:topLinePunct w:val="0"/>
        <w:bidi w:val="0"/>
        <w:spacing w:line="336"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、如供应商未达到以上要求，视为违约，采购方有权要求无条件退货，一切费用将由供应商承担。</w:t>
      </w:r>
    </w:p>
    <w:p>
      <w:pPr>
        <w:keepNext w:val="0"/>
        <w:keepLines w:val="0"/>
        <w:pageBreakBefore w:val="0"/>
        <w:kinsoku/>
        <w:wordWrap/>
        <w:overflowPunct/>
        <w:topLinePunct w:val="0"/>
        <w:bidi w:val="0"/>
        <w:spacing w:line="336"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交货期限、地点及方式</w:t>
      </w:r>
    </w:p>
    <w:p>
      <w:pPr>
        <w:keepNext w:val="0"/>
        <w:keepLines w:val="0"/>
        <w:pageBreakBefore w:val="0"/>
        <w:kinsoku/>
        <w:wordWrap/>
        <w:overflowPunct/>
        <w:topLinePunct w:val="0"/>
        <w:bidi w:val="0"/>
        <w:spacing w:line="336"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交付期限：自合同签订之日起</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日内供货到采购人指定地点, 中标人负责安装，并调试完毕完成验收，如在规定的时间内由于卖方的原因不能送达货物并</w:t>
      </w:r>
      <w:r>
        <w:rPr>
          <w:rFonts w:hint="eastAsia" w:ascii="宋体" w:hAnsi="宋体" w:eastAsia="宋体" w:cs="宋体"/>
          <w:color w:val="auto"/>
          <w:sz w:val="24"/>
          <w:szCs w:val="24"/>
          <w:highlight w:val="none"/>
          <w:lang w:eastAsia="zh-CN"/>
        </w:rPr>
        <w:t>安装调试完成</w:t>
      </w:r>
      <w:r>
        <w:rPr>
          <w:rFonts w:hint="eastAsia" w:ascii="宋体" w:hAnsi="宋体" w:eastAsia="宋体" w:cs="宋体"/>
          <w:color w:val="auto"/>
          <w:sz w:val="24"/>
          <w:szCs w:val="24"/>
          <w:highlight w:val="none"/>
        </w:rPr>
        <w:t>通过验收的，中标方应承担由此给</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造成的损失。</w:t>
      </w:r>
    </w:p>
    <w:p>
      <w:pPr>
        <w:pStyle w:val="33"/>
        <w:keepNext w:val="0"/>
        <w:keepLines w:val="0"/>
        <w:pageBreakBefore w:val="0"/>
        <w:kinsoku/>
        <w:wordWrap/>
        <w:overflowPunct/>
        <w:topLinePunct w:val="0"/>
        <w:bidi w:val="0"/>
        <w:spacing w:line="336"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交付地点：</w:t>
      </w:r>
      <w:r>
        <w:rPr>
          <w:rFonts w:hint="eastAsia" w:ascii="宋体" w:hAnsi="宋体" w:eastAsia="宋体" w:cs="宋体"/>
          <w:color w:val="auto"/>
          <w:sz w:val="24"/>
          <w:szCs w:val="24"/>
          <w:highlight w:val="none"/>
          <w:lang w:val="en-US" w:eastAsia="zh-CN"/>
        </w:rPr>
        <w:t>采购人指定地点</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bidi w:val="0"/>
        <w:spacing w:line="336" w:lineRule="auto"/>
        <w:ind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交付方式：中标方提供中标货物的安装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培训和技术指导</w:t>
      </w:r>
      <w:r>
        <w:rPr>
          <w:rFonts w:hint="eastAsia" w:ascii="宋体" w:hAnsi="宋体" w:eastAsia="宋体" w:cs="宋体"/>
          <w:color w:val="auto"/>
          <w:sz w:val="24"/>
          <w:szCs w:val="24"/>
          <w:highlight w:val="none"/>
          <w:lang w:eastAsia="zh-CN"/>
        </w:rPr>
        <w:t>。</w:t>
      </w:r>
    </w:p>
    <w:p>
      <w:pPr>
        <w:keepNext w:val="0"/>
        <w:keepLines w:val="0"/>
        <w:pageBreakBefore w:val="0"/>
        <w:widowControl/>
        <w:kinsoku/>
        <w:wordWrap/>
        <w:overflowPunct/>
        <w:topLinePunct w:val="0"/>
        <w:autoSpaceDE w:val="0"/>
        <w:autoSpaceDN w:val="0"/>
        <w:bidi w:val="0"/>
        <w:spacing w:line="336" w:lineRule="auto"/>
        <w:ind w:firstLine="482" w:firstLineChars="200"/>
        <w:textAlignment w:val="bottom"/>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验收</w:t>
      </w:r>
      <w:r>
        <w:rPr>
          <w:rFonts w:hint="eastAsia" w:ascii="宋体" w:hAnsi="宋体" w:eastAsia="宋体" w:cs="宋体"/>
          <w:b/>
          <w:color w:val="auto"/>
          <w:sz w:val="24"/>
          <w:szCs w:val="24"/>
          <w:highlight w:val="none"/>
          <w:lang w:eastAsia="zh-CN"/>
        </w:rPr>
        <w:t>方式及标准</w:t>
      </w:r>
    </w:p>
    <w:p>
      <w:pPr>
        <w:keepNext w:val="0"/>
        <w:keepLines w:val="0"/>
        <w:pageBreakBefore w:val="0"/>
        <w:widowControl/>
        <w:kinsoku/>
        <w:wordWrap/>
        <w:overflowPunct/>
        <w:topLinePunct w:val="0"/>
        <w:autoSpaceDE w:val="0"/>
        <w:autoSpaceDN w:val="0"/>
        <w:bidi w:val="0"/>
        <w:spacing w:line="336" w:lineRule="auto"/>
        <w:ind w:firstLine="480" w:firstLineChars="20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1、验收中发现</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达不到验收标准或合同规定的技术指标，中标供应商必须更换合同货物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若两次验收不合格采购人有权解除合同，</w:t>
      </w:r>
      <w:r>
        <w:rPr>
          <w:rFonts w:hint="eastAsia" w:ascii="宋体" w:hAnsi="宋体" w:eastAsia="宋体" w:cs="宋体"/>
          <w:color w:val="auto"/>
          <w:sz w:val="24"/>
          <w:szCs w:val="24"/>
          <w:highlight w:val="none"/>
        </w:rPr>
        <w:t>给</w:t>
      </w: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造成的损失</w:t>
      </w:r>
      <w:r>
        <w:rPr>
          <w:rFonts w:hint="eastAsia" w:ascii="宋体" w:hAnsi="宋体" w:eastAsia="宋体" w:cs="宋体"/>
          <w:color w:val="auto"/>
          <w:sz w:val="24"/>
          <w:szCs w:val="24"/>
          <w:highlight w:val="none"/>
          <w:lang w:val="en-US" w:eastAsia="zh-CN"/>
        </w:rPr>
        <w:t>由</w:t>
      </w:r>
      <w:r>
        <w:rPr>
          <w:rFonts w:hint="eastAsia" w:ascii="宋体" w:hAnsi="宋体" w:eastAsia="宋体" w:cs="宋体"/>
          <w:color w:val="auto"/>
          <w:sz w:val="24"/>
          <w:szCs w:val="24"/>
          <w:highlight w:val="none"/>
        </w:rPr>
        <w:t>中标供应商</w:t>
      </w:r>
      <w:r>
        <w:rPr>
          <w:rFonts w:hint="eastAsia" w:ascii="宋体" w:hAnsi="宋体" w:eastAsia="宋体" w:cs="宋体"/>
          <w:color w:val="auto"/>
          <w:sz w:val="24"/>
          <w:szCs w:val="24"/>
          <w:highlight w:val="none"/>
          <w:lang w:val="en-US" w:eastAsia="zh-CN"/>
        </w:rPr>
        <w:t>承担</w:t>
      </w:r>
      <w:r>
        <w:rPr>
          <w:rFonts w:hint="eastAsia" w:ascii="宋体" w:hAnsi="宋体" w:eastAsia="宋体" w:cs="宋体"/>
          <w:color w:val="auto"/>
          <w:sz w:val="24"/>
          <w:szCs w:val="24"/>
          <w:highlight w:val="none"/>
        </w:rPr>
        <w:t>。</w:t>
      </w:r>
    </w:p>
    <w:p>
      <w:pPr>
        <w:keepNext w:val="0"/>
        <w:keepLines w:val="0"/>
        <w:pageBreakBefore w:val="0"/>
        <w:kinsoku/>
        <w:wordWrap/>
        <w:overflowPunct/>
        <w:topLinePunct w:val="0"/>
        <w:bidi w:val="0"/>
        <w:spacing w:line="336" w:lineRule="auto"/>
        <w:ind w:firstLine="480"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、验收费用由产品供应商承担。</w:t>
      </w:r>
    </w:p>
    <w:p>
      <w:pPr>
        <w:keepNext w:val="0"/>
        <w:keepLines w:val="0"/>
        <w:pageBreakBefore w:val="0"/>
        <w:kinsoku/>
        <w:wordWrap/>
        <w:overflowPunct/>
        <w:topLinePunct w:val="0"/>
        <w:bidi w:val="0"/>
        <w:spacing w:line="336" w:lineRule="auto"/>
        <w:ind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资金支付的方式、时间和条件</w:t>
      </w:r>
    </w:p>
    <w:p>
      <w:pPr>
        <w:keepNext w:val="0"/>
        <w:keepLines w:val="0"/>
        <w:pageBreakBefore w:val="0"/>
        <w:kinsoku/>
        <w:wordWrap/>
        <w:overflowPunct/>
        <w:topLinePunct w:val="0"/>
        <w:bidi w:val="0"/>
        <w:spacing w:line="336" w:lineRule="auto"/>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合同生效以及具备实施条件后</w:t>
      </w: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eastAsia="zh-CN"/>
        </w:rPr>
        <w:t>个工作日内支付合同金额的40%</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设备</w:t>
      </w:r>
      <w:r>
        <w:rPr>
          <w:rFonts w:hint="eastAsia" w:ascii="宋体" w:hAnsi="宋体" w:eastAsia="宋体" w:cs="宋体"/>
          <w:b w:val="0"/>
          <w:bCs w:val="0"/>
          <w:color w:val="auto"/>
          <w:sz w:val="24"/>
          <w:szCs w:val="24"/>
          <w:highlight w:val="none"/>
        </w:rPr>
        <w:t>全部安装调试完毕，项目验收合格后7个工作日内</w:t>
      </w:r>
      <w:r>
        <w:rPr>
          <w:rFonts w:hint="eastAsia" w:ascii="宋体" w:hAnsi="宋体" w:eastAsia="宋体" w:cs="宋体"/>
          <w:b w:val="0"/>
          <w:bCs w:val="0"/>
          <w:color w:val="auto"/>
          <w:sz w:val="24"/>
          <w:szCs w:val="24"/>
          <w:highlight w:val="none"/>
          <w:lang w:eastAsia="zh-CN"/>
        </w:rPr>
        <w:t>支付</w:t>
      </w:r>
      <w:r>
        <w:rPr>
          <w:rFonts w:hint="eastAsia" w:ascii="宋体" w:hAnsi="宋体" w:eastAsia="宋体" w:cs="宋体"/>
          <w:b w:val="0"/>
          <w:bCs w:val="0"/>
          <w:color w:val="auto"/>
          <w:sz w:val="24"/>
          <w:szCs w:val="24"/>
          <w:highlight w:val="none"/>
          <w:lang w:val="en-US" w:eastAsia="zh-CN"/>
        </w:rPr>
        <w:t>至</w:t>
      </w:r>
      <w:r>
        <w:rPr>
          <w:rFonts w:hint="eastAsia" w:ascii="宋体" w:hAnsi="宋体" w:eastAsia="宋体" w:cs="宋体"/>
          <w:b w:val="0"/>
          <w:bCs w:val="0"/>
          <w:color w:val="auto"/>
          <w:sz w:val="24"/>
          <w:szCs w:val="24"/>
          <w:highlight w:val="none"/>
          <w:lang w:eastAsia="zh-CN"/>
        </w:rPr>
        <w:t>合同金额的</w:t>
      </w:r>
      <w:r>
        <w:rPr>
          <w:rFonts w:hint="eastAsia" w:ascii="宋体" w:hAnsi="宋体" w:eastAsia="宋体" w:cs="宋体"/>
          <w:b w:val="0"/>
          <w:bCs w:val="0"/>
          <w:color w:val="auto"/>
          <w:sz w:val="24"/>
          <w:szCs w:val="24"/>
          <w:highlight w:val="none"/>
          <w:lang w:val="en-US" w:eastAsia="zh-CN"/>
        </w:rPr>
        <w:t>100</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p>
    <w:p>
      <w:pPr>
        <w:keepNext w:val="0"/>
        <w:keepLines w:val="0"/>
        <w:pageBreakBefore w:val="0"/>
        <w:widowControl/>
        <w:kinsoku/>
        <w:wordWrap/>
        <w:overflowPunct/>
        <w:topLinePunct w:val="0"/>
        <w:autoSpaceDE/>
        <w:autoSpaceDN/>
        <w:bidi w:val="0"/>
        <w:adjustRightInd w:val="0"/>
        <w:snapToGrid w:val="0"/>
        <w:spacing w:line="336" w:lineRule="auto"/>
        <w:ind w:firstLine="480" w:firstLineChars="200"/>
        <w:jc w:val="left"/>
        <w:textAlignment w:val="auto"/>
        <w:rPr>
          <w:rFonts w:hint="eastAsia" w:ascii="宋体" w:hAnsi="宋体" w:eastAsia="宋体" w:cs="宋体"/>
          <w:sz w:val="24"/>
          <w:szCs w:val="24"/>
          <w:highlight w:val="none"/>
          <w:lang w:eastAsia="zh-CN"/>
        </w:rPr>
      </w:pPr>
      <w:r>
        <w:rPr>
          <w:rFonts w:hint="eastAsia" w:ascii="宋体" w:hAnsi="宋体" w:eastAsia="宋体" w:cs="宋体"/>
          <w:b w:val="0"/>
          <w:bCs w:val="0"/>
          <w:color w:val="auto"/>
          <w:sz w:val="24"/>
          <w:szCs w:val="24"/>
          <w:highlight w:val="none"/>
        </w:rPr>
        <w:t>注：付款前中标单位应按规定向采购人开具正规发票</w:t>
      </w:r>
      <w:r>
        <w:rPr>
          <w:rFonts w:hint="eastAsia" w:ascii="宋体" w:hAnsi="宋体" w:eastAsia="宋体" w:cs="宋体"/>
          <w:b w:val="0"/>
          <w:bCs w:val="0"/>
          <w:color w:val="auto"/>
          <w:sz w:val="24"/>
          <w:szCs w:val="24"/>
          <w:highlight w:val="none"/>
          <w:lang w:eastAsia="zh-CN"/>
        </w:rPr>
        <w:t>。</w:t>
      </w:r>
    </w:p>
    <w:p>
      <w:pPr>
        <w:adjustRightInd w:val="0"/>
        <w:snapToGrid w:val="0"/>
        <w:spacing w:line="360" w:lineRule="auto"/>
        <w:jc w:val="both"/>
        <w:outlineLvl w:val="0"/>
        <w:rPr>
          <w:rFonts w:hint="eastAsia" w:ascii="宋体" w:hAnsi="宋体"/>
          <w:b/>
          <w:sz w:val="32"/>
          <w:szCs w:val="32"/>
          <w:highlight w:val="none"/>
        </w:rPr>
      </w:pPr>
      <w:bookmarkStart w:id="21" w:name="_Toc91520563"/>
    </w:p>
    <w:p>
      <w:pPr>
        <w:adjustRightInd w:val="0"/>
        <w:snapToGrid w:val="0"/>
        <w:spacing w:line="360" w:lineRule="auto"/>
        <w:ind w:firstLine="200"/>
        <w:jc w:val="center"/>
        <w:outlineLvl w:val="0"/>
        <w:rPr>
          <w:rFonts w:hint="eastAsia" w:ascii="宋体" w:hAnsi="宋体"/>
          <w:b/>
          <w:sz w:val="32"/>
          <w:szCs w:val="32"/>
          <w:highlight w:val="none"/>
        </w:rPr>
      </w:pPr>
    </w:p>
    <w:p>
      <w:pPr>
        <w:adjustRightInd w:val="0"/>
        <w:snapToGrid w:val="0"/>
        <w:spacing w:line="360" w:lineRule="auto"/>
        <w:ind w:firstLine="200"/>
        <w:jc w:val="center"/>
        <w:outlineLvl w:val="0"/>
        <w:rPr>
          <w:rFonts w:hint="eastAsia" w:ascii="宋体" w:hAnsi="宋体"/>
          <w:b/>
          <w:sz w:val="32"/>
          <w:szCs w:val="32"/>
          <w:highlight w:val="none"/>
        </w:rPr>
      </w:pPr>
    </w:p>
    <w:p>
      <w:pPr>
        <w:adjustRightInd w:val="0"/>
        <w:snapToGrid w:val="0"/>
        <w:spacing w:line="360" w:lineRule="auto"/>
        <w:jc w:val="both"/>
        <w:outlineLvl w:val="0"/>
        <w:rPr>
          <w:rFonts w:hint="eastAsia" w:ascii="宋体" w:hAnsi="宋体"/>
          <w:b/>
          <w:sz w:val="32"/>
          <w:szCs w:val="32"/>
          <w:highlight w:val="none"/>
        </w:rPr>
      </w:pPr>
    </w:p>
    <w:p>
      <w:pPr>
        <w:adjustRightInd w:val="0"/>
        <w:snapToGrid w:val="0"/>
        <w:spacing w:line="360" w:lineRule="auto"/>
        <w:ind w:firstLine="200"/>
        <w:jc w:val="center"/>
        <w:outlineLvl w:val="0"/>
        <w:rPr>
          <w:rFonts w:hint="eastAsia" w:ascii="宋体" w:hAnsi="宋体"/>
          <w:b/>
          <w:sz w:val="32"/>
          <w:szCs w:val="32"/>
          <w:highlight w:val="none"/>
        </w:rPr>
      </w:pPr>
    </w:p>
    <w:p>
      <w:pPr>
        <w:adjustRightInd w:val="0"/>
        <w:snapToGrid w:val="0"/>
        <w:spacing w:line="360" w:lineRule="auto"/>
        <w:ind w:firstLine="200"/>
        <w:jc w:val="center"/>
        <w:outlineLvl w:val="0"/>
        <w:rPr>
          <w:rFonts w:hint="eastAsia" w:ascii="宋体" w:hAnsi="宋体"/>
          <w:b/>
          <w:sz w:val="32"/>
          <w:szCs w:val="32"/>
          <w:highlight w:val="none"/>
        </w:rPr>
      </w:pPr>
    </w:p>
    <w:p>
      <w:pPr>
        <w:adjustRightInd w:val="0"/>
        <w:snapToGrid w:val="0"/>
        <w:spacing w:line="360" w:lineRule="auto"/>
        <w:ind w:firstLine="200"/>
        <w:jc w:val="center"/>
        <w:outlineLvl w:val="0"/>
        <w:rPr>
          <w:rFonts w:hint="eastAsia" w:ascii="宋体" w:hAnsi="宋体"/>
          <w:b/>
          <w:sz w:val="32"/>
          <w:szCs w:val="32"/>
          <w:highlight w:val="none"/>
        </w:rPr>
      </w:pPr>
      <w:r>
        <w:rPr>
          <w:rFonts w:hint="eastAsia" w:ascii="宋体" w:hAnsi="宋体"/>
          <w:b/>
          <w:sz w:val="32"/>
          <w:szCs w:val="32"/>
          <w:highlight w:val="none"/>
        </w:rPr>
        <w:t xml:space="preserve">第三章  </w:t>
      </w:r>
      <w:bookmarkEnd w:id="21"/>
      <w:r>
        <w:rPr>
          <w:rFonts w:hint="eastAsia" w:ascii="宋体" w:hAnsi="宋体"/>
          <w:b/>
          <w:sz w:val="32"/>
          <w:szCs w:val="32"/>
          <w:highlight w:val="none"/>
        </w:rPr>
        <w:t>磋商须知</w:t>
      </w:r>
    </w:p>
    <w:p>
      <w:pPr>
        <w:snapToGrid w:val="0"/>
        <w:spacing w:line="360" w:lineRule="auto"/>
        <w:ind w:left="238"/>
        <w:jc w:val="center"/>
        <w:outlineLvl w:val="1"/>
        <w:rPr>
          <w:rFonts w:ascii="宋体" w:hAnsi="宋体"/>
          <w:b/>
          <w:highlight w:val="none"/>
        </w:rPr>
      </w:pPr>
      <w:r>
        <w:rPr>
          <w:rFonts w:hint="eastAsia" w:ascii="宋体" w:hAnsi="宋体"/>
          <w:b/>
          <w:highlight w:val="none"/>
        </w:rPr>
        <w:t>前附表</w:t>
      </w:r>
    </w:p>
    <w:tbl>
      <w:tblPr>
        <w:tblStyle w:val="35"/>
        <w:tblW w:w="92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09" w:hRule="atLeast"/>
          <w:tblHeader/>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s="宋体"/>
                <w:highlight w:val="none"/>
              </w:rPr>
            </w:pPr>
            <w:r>
              <w:rPr>
                <w:rFonts w:hint="eastAsia" w:ascii="宋体" w:hAnsi="宋体" w:cs="宋体"/>
                <w:highlight w:val="none"/>
              </w:rPr>
              <w:t>序号</w:t>
            </w: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3000" w:firstLineChars="1250"/>
              <w:rPr>
                <w:rFonts w:hint="eastAsia" w:ascii="宋体" w:hAnsi="宋体" w:cs="宋体"/>
                <w:highlight w:val="none"/>
              </w:rPr>
            </w:pPr>
            <w:r>
              <w:rPr>
                <w:rFonts w:hint="eastAsia" w:ascii="宋体" w:hAnsi="宋体" w:cs="宋体"/>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90"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pStyle w:val="20"/>
              <w:snapToGrid w:val="0"/>
              <w:spacing w:before="120" w:beforeLines="0" w:after="120" w:afterLines="0" w:line="360" w:lineRule="auto"/>
              <w:rPr>
                <w:rFonts w:hint="eastAsia" w:hAnsi="宋体" w:eastAsia="宋体" w:cs="宋体"/>
                <w:highlight w:val="none"/>
                <w:lang w:eastAsia="zh-CN"/>
              </w:rPr>
            </w:pPr>
            <w:r>
              <w:rPr>
                <w:rFonts w:hint="eastAsia" w:hAnsi="宋体" w:cs="宋体"/>
                <w:highlight w:val="none"/>
              </w:rPr>
              <w:t>项目名称：</w:t>
            </w:r>
            <w:r>
              <w:rPr>
                <w:rFonts w:hint="eastAsia" w:hAnsi="宋体" w:cs="宋体"/>
                <w:highlight w:val="none"/>
                <w:lang w:eastAsia="zh-CN"/>
              </w:rPr>
              <w:t>干窑镇采购“警立方”项目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347"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宋体"/>
                <w:highlight w:val="none"/>
              </w:rPr>
            </w:pPr>
            <w:r>
              <w:rPr>
                <w:rFonts w:hint="eastAsia" w:ascii="宋体" w:hAnsi="宋体" w:cs="宋体"/>
                <w:highlight w:val="none"/>
              </w:rPr>
              <w:t xml:space="preserve">采购内容：详见第二章磋商项目需求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840"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auto"/>
              <w:jc w:val="left"/>
              <w:rPr>
                <w:rFonts w:ascii="宋体" w:hAnsi="宋体"/>
                <w:highlight w:val="none"/>
              </w:rPr>
            </w:pPr>
            <w:r>
              <w:rPr>
                <w:rFonts w:hint="eastAsia" w:ascii="宋体" w:hAnsi="宋体"/>
                <w:highlight w:val="none"/>
              </w:rPr>
              <w:t>磋商报价及费用：</w:t>
            </w:r>
          </w:p>
          <w:p>
            <w:pPr>
              <w:numPr>
                <w:ilvl w:val="0"/>
                <w:numId w:val="5"/>
              </w:numPr>
              <w:adjustRightInd w:val="0"/>
              <w:snapToGrid w:val="0"/>
              <w:spacing w:line="360" w:lineRule="auto"/>
              <w:ind w:left="0" w:firstLine="0"/>
              <w:jc w:val="left"/>
              <w:rPr>
                <w:rFonts w:ascii="宋体" w:hAnsi="宋体"/>
                <w:highlight w:val="none"/>
              </w:rPr>
            </w:pPr>
            <w:r>
              <w:rPr>
                <w:rFonts w:hint="eastAsia" w:ascii="宋体" w:hAnsi="宋体"/>
                <w:highlight w:val="none"/>
              </w:rPr>
              <w:t>本项目磋商应以人民币报价；</w:t>
            </w:r>
          </w:p>
          <w:p>
            <w:pPr>
              <w:numPr>
                <w:ilvl w:val="0"/>
                <w:numId w:val="5"/>
              </w:numPr>
              <w:adjustRightInd w:val="0"/>
              <w:snapToGrid w:val="0"/>
              <w:spacing w:line="360" w:lineRule="auto"/>
              <w:ind w:left="0" w:firstLine="0"/>
              <w:jc w:val="left"/>
              <w:rPr>
                <w:rFonts w:ascii="宋体" w:hAnsi="宋体"/>
                <w:highlight w:val="none"/>
              </w:rPr>
            </w:pPr>
            <w:r>
              <w:rPr>
                <w:rFonts w:hint="eastAsia" w:ascii="宋体" w:hAnsi="宋体"/>
                <w:highlight w:val="none"/>
              </w:rPr>
              <w:t>不论磋商结果如何，供应商均应自行承担所有与磋商有关的全部费用；</w:t>
            </w:r>
          </w:p>
          <w:p>
            <w:pPr>
              <w:numPr>
                <w:ilvl w:val="0"/>
                <w:numId w:val="5"/>
              </w:numPr>
              <w:adjustRightInd w:val="0"/>
              <w:snapToGrid w:val="0"/>
              <w:spacing w:line="360" w:lineRule="auto"/>
              <w:ind w:left="0" w:firstLine="0"/>
              <w:jc w:val="left"/>
              <w:rPr>
                <w:rFonts w:ascii="宋体" w:hAnsi="宋体"/>
                <w:color w:val="auto"/>
                <w:highlight w:val="none"/>
              </w:rPr>
            </w:pPr>
            <w:r>
              <w:rPr>
                <w:rFonts w:hint="eastAsia" w:ascii="宋体" w:hAnsi="宋体"/>
                <w:highlight w:val="none"/>
              </w:rPr>
              <w:t>磋商报价是履行合同的最终价格，供应商只能有一个报价，磋商报价应包括生产、供货、运输、装卸</w:t>
            </w:r>
            <w:r>
              <w:rPr>
                <w:rFonts w:hint="eastAsia" w:ascii="宋体" w:hAnsi="宋体"/>
                <w:color w:val="auto"/>
                <w:highlight w:val="none"/>
              </w:rPr>
              <w:t>、安装调试、税金、保险、备品备件、配件、附件、培训、验收、辅助工作及售后服务等完成本项目的所有费用。</w:t>
            </w:r>
          </w:p>
          <w:p>
            <w:pPr>
              <w:numPr>
                <w:ilvl w:val="0"/>
                <w:numId w:val="5"/>
              </w:numPr>
              <w:adjustRightInd w:val="0"/>
              <w:snapToGrid w:val="0"/>
              <w:spacing w:line="360" w:lineRule="auto"/>
              <w:ind w:left="0" w:firstLine="0"/>
              <w:jc w:val="left"/>
              <w:rPr>
                <w:rFonts w:ascii="宋体" w:hAnsi="宋体"/>
                <w:highlight w:val="none"/>
              </w:rPr>
            </w:pPr>
            <w:r>
              <w:rPr>
                <w:rFonts w:hint="eastAsia" w:ascii="宋体" w:hAnsi="宋体"/>
                <w:color w:val="auto"/>
                <w:highlight w:val="none"/>
              </w:rPr>
              <w:t>磋商报价采用</w:t>
            </w:r>
            <w:r>
              <w:rPr>
                <w:rFonts w:hint="eastAsia" w:ascii="宋体" w:hAnsi="宋体"/>
                <w:b/>
                <w:bCs/>
                <w:color w:val="auto"/>
                <w:highlight w:val="none"/>
                <w:u w:val="single"/>
              </w:rPr>
              <w:t>固定</w:t>
            </w:r>
            <w:r>
              <w:rPr>
                <w:rFonts w:hint="eastAsia" w:ascii="宋体" w:hAnsi="宋体"/>
                <w:b/>
                <w:bCs/>
                <w:color w:val="auto"/>
                <w:highlight w:val="none"/>
                <w:u w:val="single"/>
                <w:lang w:eastAsia="zh-CN"/>
              </w:rPr>
              <w:t>单</w:t>
            </w:r>
            <w:r>
              <w:rPr>
                <w:rFonts w:hint="eastAsia" w:ascii="宋体" w:hAnsi="宋体"/>
                <w:b/>
                <w:bCs/>
                <w:color w:val="auto"/>
                <w:highlight w:val="none"/>
                <w:u w:val="single"/>
              </w:rPr>
              <w:t>价</w:t>
            </w:r>
            <w:r>
              <w:rPr>
                <w:rFonts w:hint="eastAsia" w:ascii="宋体" w:hAnsi="宋体"/>
                <w:color w:val="auto"/>
                <w:highlight w:val="none"/>
              </w:rPr>
              <w:t>方式进行编制</w:t>
            </w:r>
            <w:r>
              <w:rPr>
                <w:rFonts w:hint="eastAsia" w:ascii="宋体" w:hAnsi="宋体"/>
                <w:color w:val="auto"/>
                <w:highlight w:val="none"/>
                <w:lang w:val="en-US" w:eastAsia="zh-CN"/>
              </w:rPr>
              <w:t>。最终结算总价=中标单价*实际采购设备数量，</w:t>
            </w:r>
            <w:r>
              <w:rPr>
                <w:rFonts w:hint="eastAsia" w:ascii="宋体" w:hAnsi="宋体"/>
                <w:color w:val="auto"/>
                <w:highlight w:val="none"/>
              </w:rPr>
              <w:t>即供应商所填写的</w:t>
            </w:r>
            <w:r>
              <w:rPr>
                <w:rFonts w:hint="eastAsia" w:ascii="宋体" w:hAnsi="宋体"/>
                <w:color w:val="auto"/>
                <w:highlight w:val="none"/>
                <w:lang w:eastAsia="zh-CN"/>
              </w:rPr>
              <w:t>单</w:t>
            </w:r>
            <w:r>
              <w:rPr>
                <w:rFonts w:hint="eastAsia" w:ascii="宋体" w:hAnsi="宋体"/>
                <w:color w:val="auto"/>
                <w:highlight w:val="none"/>
              </w:rPr>
              <w:t>价在合同实施期间不因市</w:t>
            </w:r>
            <w:r>
              <w:rPr>
                <w:rFonts w:hint="eastAsia" w:ascii="宋体" w:hAnsi="宋体"/>
                <w:highlight w:val="none"/>
              </w:rPr>
              <w:t>场因素而变动供应商发生差错遗漏的费用均不再调整。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67"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auto"/>
              <w:jc w:val="left"/>
              <w:rPr>
                <w:rFonts w:hint="eastAsia" w:ascii="宋体" w:hAnsi="宋体"/>
                <w:highlight w:val="none"/>
              </w:rPr>
            </w:pPr>
            <w:r>
              <w:rPr>
                <w:rFonts w:hint="eastAsia" w:ascii="宋体" w:hAnsi="宋体"/>
                <w:highlight w:val="none"/>
              </w:rPr>
              <w:t>磋商保证金：</w:t>
            </w:r>
            <w:r>
              <w:rPr>
                <w:rFonts w:hint="eastAsia" w:ascii="宋体" w:hAnsi="宋体" w:cs="宋体"/>
                <w:b/>
                <w:kern w:val="0"/>
                <w:highlight w:val="none"/>
              </w:rPr>
              <w:t>无（不需要缴纳）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19"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宋体"/>
                <w:highlight w:val="none"/>
              </w:rPr>
            </w:pPr>
            <w:r>
              <w:rPr>
                <w:rFonts w:hint="eastAsia" w:ascii="宋体" w:hAnsi="宋体" w:cs="宋体"/>
                <w:highlight w:val="none"/>
              </w:rPr>
              <w:t>现场踏勘：</w:t>
            </w:r>
            <w:r>
              <w:rPr>
                <w:rFonts w:hint="eastAsia" w:ascii="宋体" w:hAnsi="宋体" w:cs="宋体"/>
                <w:color w:val="auto"/>
                <w:sz w:val="24"/>
                <w:highlight w:val="none"/>
                <w:lang w:val="en-US" w:eastAsia="zh-CN"/>
              </w:rPr>
              <w:t>投标人根据自身情况自行踏勘（费用自理）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706"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highlight w:val="none"/>
              </w:rPr>
            </w:pPr>
            <w:r>
              <w:rPr>
                <w:rFonts w:hint="eastAsia" w:ascii="宋体" w:hAnsi="宋体" w:cs="宋体"/>
                <w:highlight w:val="none"/>
              </w:rPr>
              <w:t>响应文件份数：本项目实行网上投标，供应商应准备以下响应文件：</w:t>
            </w:r>
          </w:p>
          <w:p>
            <w:pPr>
              <w:snapToGrid w:val="0"/>
              <w:jc w:val="left"/>
              <w:rPr>
                <w:rFonts w:hint="eastAsia" w:ascii="宋体" w:hAnsi="宋体" w:eastAsia="宋体" w:cs="宋体"/>
                <w:highlight w:val="none"/>
              </w:rPr>
            </w:pPr>
            <w:r>
              <w:rPr>
                <w:rFonts w:hint="eastAsia" w:ascii="宋体" w:hAnsi="宋体" w:eastAsia="宋体" w:cs="宋体"/>
                <w:highlight w:val="none"/>
                <w:lang w:val="en-US" w:eastAsia="zh-CN"/>
              </w:rPr>
              <w:t>1、</w:t>
            </w:r>
            <w:r>
              <w:rPr>
                <w:rFonts w:hint="eastAsia" w:ascii="宋体" w:hAnsi="宋体" w:eastAsia="宋体" w:cs="宋体"/>
                <w:highlight w:val="none"/>
              </w:rPr>
              <w:t>供应商于“政采云”上提供电子响应文件。</w:t>
            </w:r>
          </w:p>
          <w:p>
            <w:pPr>
              <w:snapToGrid w:val="0"/>
              <w:jc w:val="left"/>
              <w:rPr>
                <w:rFonts w:hint="eastAsia" w:ascii="宋体" w:hAnsi="宋体" w:eastAsia="宋体" w:cs="宋体"/>
                <w:highlight w:val="none"/>
              </w:rPr>
            </w:pPr>
            <w:r>
              <w:rPr>
                <w:rFonts w:hint="eastAsia" w:ascii="宋体" w:hAnsi="宋体" w:eastAsia="宋体" w:cs="宋体"/>
                <w:highlight w:val="none"/>
                <w:lang w:val="en-US" w:eastAsia="zh-CN"/>
              </w:rPr>
              <w:t>2、</w:t>
            </w:r>
            <w:r>
              <w:rPr>
                <w:rFonts w:hint="eastAsia" w:ascii="宋体" w:hAnsi="宋体" w:eastAsia="宋体" w:cs="宋体"/>
                <w:highlight w:val="none"/>
              </w:rPr>
              <w:t>备份投标文件</w:t>
            </w:r>
          </w:p>
          <w:p>
            <w:pPr>
              <w:snapToGrid w:val="0"/>
              <w:jc w:val="left"/>
              <w:rPr>
                <w:rFonts w:hint="eastAsia" w:ascii="宋体" w:hAnsi="宋体" w:eastAsia="宋体" w:cs="宋体"/>
                <w:highlight w:val="none"/>
              </w:rPr>
            </w:pPr>
            <w:r>
              <w:rPr>
                <w:rFonts w:hint="eastAsia" w:ascii="宋体" w:hAnsi="宋体" w:eastAsia="宋体" w:cs="宋体"/>
                <w:highlight w:val="none"/>
              </w:rPr>
              <w:t>（1）投标人在电子交易平台传输递交投标文件后，还可以在投标截止时间前直接提交或者以邮政快递方式递交备份投标文件1份，但采购人、采购机构不强制或变相强制投标人提交备份投标文件。</w:t>
            </w:r>
          </w:p>
          <w:p>
            <w:pPr>
              <w:snapToGrid w:val="0"/>
              <w:jc w:val="left"/>
              <w:rPr>
                <w:rFonts w:hint="eastAsia" w:ascii="宋体" w:hAnsi="宋体" w:eastAsia="宋体" w:cs="宋体"/>
                <w:highlight w:val="none"/>
              </w:rPr>
            </w:pPr>
            <w:r>
              <w:rPr>
                <w:rFonts w:hint="eastAsia" w:ascii="宋体" w:hAnsi="宋体" w:eastAsia="宋体" w:cs="宋体"/>
                <w:highlight w:val="none"/>
              </w:rPr>
              <w:t>（2）备份投标文件须在“政采云投标客户端”制作生成，并储存在（U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snapToGrid w:val="0"/>
              <w:jc w:val="left"/>
              <w:rPr>
                <w:rFonts w:hint="eastAsia" w:ascii="宋体" w:hAnsi="宋体" w:eastAsia="宋体" w:cs="宋体"/>
                <w:highlight w:val="none"/>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3</w:t>
            </w:r>
            <w:r>
              <w:rPr>
                <w:rFonts w:hint="eastAsia" w:ascii="宋体" w:hAnsi="宋体" w:eastAsia="宋体" w:cs="宋体"/>
                <w:highlight w:val="none"/>
                <w:lang w:eastAsia="zh-CN"/>
              </w:rPr>
              <w:t>）</w:t>
            </w:r>
            <w:r>
              <w:rPr>
                <w:rFonts w:hint="eastAsia" w:ascii="宋体" w:hAnsi="宋体" w:eastAsia="宋体" w:cs="宋体"/>
                <w:highlight w:val="none"/>
              </w:rPr>
              <w:t>直接提交备份投标文件的，投标人应于投标截止时间前在招标公告中载明的开标地点将备份投标文件提交给采购机构，采购机构将拒绝接受逾期送达的备份投标文件。</w:t>
            </w:r>
          </w:p>
          <w:p>
            <w:pPr>
              <w:snapToGrid w:val="0"/>
              <w:jc w:val="left"/>
              <w:rPr>
                <w:rFonts w:hint="eastAsia" w:ascii="宋体" w:hAnsi="宋体" w:eastAsia="宋体" w:cs="宋体"/>
                <w:highlight w:val="none"/>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4</w:t>
            </w:r>
            <w:r>
              <w:rPr>
                <w:rFonts w:hint="eastAsia" w:ascii="宋体" w:hAnsi="宋体" w:eastAsia="宋体" w:cs="宋体"/>
                <w:highlight w:val="none"/>
                <w:lang w:eastAsia="zh-CN"/>
              </w:rPr>
              <w:t>）</w:t>
            </w:r>
            <w:r>
              <w:rPr>
                <w:rFonts w:hint="eastAsia" w:ascii="宋体" w:hAnsi="宋体" w:eastAsia="宋体" w:cs="宋体"/>
                <w:highlight w:val="none"/>
              </w:rPr>
              <w:t>以邮政快递方式递交备份投标文件的，投标人应先将备份投标文件按要求密封和标记，再进行邮政快递包装后邮寄。</w:t>
            </w:r>
          </w:p>
          <w:p>
            <w:pPr>
              <w:snapToGrid w:val="0"/>
              <w:jc w:val="left"/>
              <w:rPr>
                <w:rFonts w:hint="eastAsia"/>
                <w:highlight w:val="none"/>
              </w:rPr>
            </w:pPr>
            <w:r>
              <w:rPr>
                <w:rFonts w:hint="eastAsia" w:ascii="宋体" w:hAnsi="宋体" w:eastAsia="宋体" w:cs="宋体"/>
                <w:highlight w:val="none"/>
              </w:rPr>
              <w:t>（5）投标人仅提交备份投标文件，没有在电子交易平台传输递交投标文件的，投标无效。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753"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jc w:val="left"/>
              <w:rPr>
                <w:rFonts w:hint="eastAsia" w:ascii="宋体" w:hAnsi="宋体" w:cs="宋体"/>
                <w:highlight w:val="none"/>
              </w:rPr>
            </w:pPr>
            <w:r>
              <w:rPr>
                <w:rFonts w:hint="eastAsia" w:ascii="宋体" w:hAnsi="宋体" w:cs="宋体"/>
                <w:b/>
                <w:bCs/>
                <w:highlight w:val="none"/>
              </w:rPr>
              <w:t>上传电子投标响应时间</w:t>
            </w:r>
            <w:r>
              <w:rPr>
                <w:rFonts w:hint="eastAsia" w:ascii="宋体" w:hAnsi="宋体" w:cs="宋体"/>
                <w:highlight w:val="none"/>
              </w:rPr>
              <w:t>：</w:t>
            </w:r>
            <w:r>
              <w:rPr>
                <w:rFonts w:hint="eastAsia" w:ascii="宋体" w:hAnsi="宋体" w:cs="宋体"/>
                <w:highlight w:val="none"/>
                <w:lang w:eastAsia="zh-CN"/>
              </w:rPr>
              <w:t>2023年</w:t>
            </w:r>
            <w:r>
              <w:rPr>
                <w:rFonts w:hint="eastAsia" w:ascii="宋体" w:hAnsi="宋体" w:cs="宋体"/>
                <w:highlight w:val="none"/>
                <w:lang w:val="en-US" w:eastAsia="zh-CN"/>
              </w:rPr>
              <w:t>9</w:t>
            </w:r>
            <w:r>
              <w:rPr>
                <w:rFonts w:hint="eastAsia" w:ascii="宋体" w:hAnsi="宋体" w:cs="宋体"/>
                <w:highlight w:val="none"/>
                <w:lang w:eastAsia="zh-CN"/>
              </w:rPr>
              <w:t>月</w:t>
            </w:r>
            <w:r>
              <w:rPr>
                <w:rFonts w:hint="eastAsia" w:ascii="宋体" w:hAnsi="宋体" w:cs="宋体"/>
                <w:highlight w:val="none"/>
                <w:lang w:val="en-US" w:eastAsia="zh-CN"/>
              </w:rPr>
              <w:t>13</w:t>
            </w:r>
            <w:r>
              <w:rPr>
                <w:rFonts w:hint="eastAsia" w:ascii="宋体" w:hAnsi="宋体" w:cs="宋体"/>
                <w:highlight w:val="none"/>
                <w:lang w:eastAsia="zh-CN"/>
              </w:rPr>
              <w:t>日</w:t>
            </w:r>
            <w:r>
              <w:rPr>
                <w:rFonts w:hint="eastAsia" w:ascii="宋体" w:hAnsi="宋体" w:cs="宋体"/>
                <w:highlight w:val="none"/>
                <w:lang w:val="en-US" w:eastAsia="zh-CN"/>
              </w:rPr>
              <w:t>9</w:t>
            </w:r>
            <w:r>
              <w:rPr>
                <w:rFonts w:hint="eastAsia" w:ascii="宋体" w:hAnsi="宋体" w:cs="宋体"/>
                <w:highlight w:val="none"/>
              </w:rPr>
              <w:t>:30</w:t>
            </w:r>
            <w:r>
              <w:rPr>
                <w:rFonts w:hint="eastAsia" w:ascii="宋体" w:hAnsi="宋体" w:cs="宋体"/>
                <w:highlight w:val="none"/>
                <w:lang w:val="en-US" w:eastAsia="zh-CN"/>
              </w:rPr>
              <w:t>时</w:t>
            </w:r>
            <w:r>
              <w:rPr>
                <w:rFonts w:hint="eastAsia" w:ascii="宋体" w:hAnsi="宋体" w:cs="宋体"/>
                <w:highlight w:val="none"/>
              </w:rPr>
              <w:t>在“政采云”上自行加密上传电子响应文件，逾期上传或未按要求上传的响应文件将予以拒收。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803"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highlight w:val="none"/>
              </w:rPr>
            </w:pPr>
            <w:r>
              <w:rPr>
                <w:rFonts w:hint="eastAsia" w:ascii="宋体" w:hAnsi="宋体" w:cs="宋体"/>
                <w:highlight w:val="none"/>
              </w:rPr>
              <w:t>磋商地点：</w:t>
            </w:r>
            <w:r>
              <w:rPr>
                <w:rFonts w:hint="eastAsia" w:ascii="宋体" w:hAnsi="宋体" w:cs="宋体"/>
                <w:highlight w:val="none"/>
                <w:lang w:eastAsia="zh-CN"/>
              </w:rPr>
              <w:t>嘉善县晋阳西路1212号西幢4楼浙江勋达工程咨询有限公司开标室</w:t>
            </w:r>
            <w:r>
              <w:rPr>
                <w:rFonts w:hint="eastAsia" w:ascii="宋体" w:hAnsi="宋体" w:cs="宋体"/>
                <w:highlight w:val="none"/>
              </w:rPr>
              <w:t>。</w:t>
            </w:r>
          </w:p>
          <w:p>
            <w:pPr>
              <w:snapToGrid w:val="0"/>
              <w:jc w:val="left"/>
              <w:rPr>
                <w:rFonts w:hint="eastAsia" w:ascii="宋体" w:hAnsi="宋体" w:cs="宋体"/>
                <w:b/>
                <w:bCs/>
                <w:highlight w:val="none"/>
              </w:rPr>
            </w:pPr>
            <w:r>
              <w:rPr>
                <w:rFonts w:hint="eastAsia" w:ascii="宋体" w:hAnsi="宋体"/>
                <w:b/>
                <w:highlight w:val="none"/>
              </w:rPr>
              <w:t>供应商无需到开标现场，只需准时在线参加。开标时间后半小时内</w:t>
            </w:r>
            <w:r>
              <w:rPr>
                <w:rFonts w:ascii="宋体" w:hAnsi="宋体"/>
                <w:b/>
                <w:highlight w:val="none"/>
              </w:rPr>
              <w:t>供应商</w:t>
            </w:r>
            <w:r>
              <w:rPr>
                <w:rFonts w:hint="eastAsia" w:ascii="宋体" w:hAnsi="宋体"/>
                <w:b/>
                <w:highlight w:val="none"/>
              </w:rPr>
              <w:t>应</w:t>
            </w:r>
            <w:r>
              <w:rPr>
                <w:rFonts w:ascii="宋体" w:hAnsi="宋体"/>
                <w:b/>
                <w:highlight w:val="none"/>
              </w:rPr>
              <w:t>登录“</w:t>
            </w:r>
            <w:r>
              <w:rPr>
                <w:rFonts w:hint="eastAsia" w:ascii="宋体" w:hAnsi="宋体"/>
                <w:b/>
                <w:highlight w:val="none"/>
              </w:rPr>
              <w:t>政采云</w:t>
            </w:r>
            <w:r>
              <w:rPr>
                <w:rFonts w:ascii="宋体" w:hAnsi="宋体"/>
                <w:b/>
                <w:highlight w:val="none"/>
              </w:rPr>
              <w:t>”</w:t>
            </w:r>
            <w:r>
              <w:rPr>
                <w:rFonts w:hint="eastAsia" w:ascii="宋体" w:hAnsi="宋体"/>
                <w:b/>
                <w:highlight w:val="none"/>
              </w:rPr>
              <w:t>平台</w:t>
            </w:r>
            <w:r>
              <w:rPr>
                <w:rFonts w:ascii="宋体" w:hAnsi="宋体"/>
                <w:b/>
                <w:highlight w:val="none"/>
              </w:rPr>
              <w:t>，用“</w:t>
            </w:r>
            <w:r>
              <w:rPr>
                <w:rFonts w:hint="eastAsia" w:ascii="宋体" w:hAnsi="宋体"/>
                <w:b/>
                <w:highlight w:val="none"/>
              </w:rPr>
              <w:t>项目采购-开标评标</w:t>
            </w:r>
            <w:r>
              <w:rPr>
                <w:rFonts w:ascii="宋体" w:hAnsi="宋体"/>
                <w:b/>
                <w:highlight w:val="none"/>
              </w:rPr>
              <w:t>”功能</w:t>
            </w:r>
            <w:r>
              <w:rPr>
                <w:rFonts w:hint="eastAsia" w:ascii="宋体" w:hAnsi="宋体"/>
                <w:b/>
                <w:highlight w:val="none"/>
              </w:rPr>
              <w:t>进行解密响应文件</w:t>
            </w:r>
            <w:r>
              <w:rPr>
                <w:rFonts w:ascii="宋体" w:hAnsi="宋体"/>
                <w:b/>
                <w:highlight w:val="none"/>
              </w:rPr>
              <w:t>。</w:t>
            </w:r>
            <w:r>
              <w:rPr>
                <w:rFonts w:hint="eastAsia" w:ascii="宋体" w:hAnsi="宋体"/>
                <w:b/>
                <w:highlight w:val="none"/>
              </w:rPr>
              <w:t>若供应商在</w:t>
            </w:r>
            <w:r>
              <w:rPr>
                <w:rFonts w:hint="eastAsia" w:hAnsi="宋体"/>
                <w:b/>
                <w:highlight w:val="none"/>
              </w:rPr>
              <w:t>开标时间后半小时内</w:t>
            </w:r>
            <w:r>
              <w:rPr>
                <w:rFonts w:hint="eastAsia" w:ascii="宋体" w:hAnsi="宋体"/>
                <w:b/>
                <w:highlight w:val="none"/>
              </w:rPr>
              <w:t>无法解密或解密失败，将导致投标无效或失败。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17"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宋体"/>
                <w:highlight w:val="none"/>
              </w:rPr>
            </w:pPr>
            <w:r>
              <w:rPr>
                <w:rFonts w:hint="eastAsia" w:ascii="宋体" w:hAnsi="宋体" w:cs="宋体"/>
                <w:highlight w:val="none"/>
              </w:rPr>
              <w:t>现场演示：无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26"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s="宋体"/>
                <w:highlight w:val="none"/>
              </w:rPr>
            </w:pPr>
            <w:r>
              <w:rPr>
                <w:rFonts w:hint="eastAsia" w:ascii="宋体" w:hAnsi="宋体" w:cs="宋体"/>
                <w:highlight w:val="none"/>
              </w:rPr>
              <w:t>评审办法及标准：详见第四章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962"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宋体"/>
                <w:highlight w:val="none"/>
              </w:rPr>
            </w:pPr>
            <w:r>
              <w:rPr>
                <w:rFonts w:hint="eastAsia" w:ascii="宋体" w:hAnsi="宋体" w:cs="宋体"/>
                <w:highlight w:val="none"/>
              </w:rPr>
              <w:t>评审结果公告：评审结束后2个工作日内，评审结果公告于浙江省政府采购网(http://zfcg.czt.zj.gov.cn/)。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795"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jc w:val="left"/>
              <w:rPr>
                <w:rFonts w:hint="eastAsia" w:ascii="宋体" w:hAnsi="宋体" w:cs="宋体"/>
                <w:color w:val="auto"/>
                <w:highlight w:val="none"/>
              </w:rPr>
            </w:pPr>
            <w:r>
              <w:rPr>
                <w:rFonts w:hint="eastAsia" w:ascii="宋体" w:hAnsi="宋体" w:cs="宋体"/>
                <w:color w:val="auto"/>
                <w:highlight w:val="none"/>
              </w:rPr>
              <w:t>成交公告及成交通知书：成交公告发布于上述媒体，成交公告期限为1个工作日。在公告成交结果的同时，采购代理机构向中标人发出成交通知书。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447"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default" w:ascii="宋体" w:hAnsi="宋体" w:eastAsia="宋体" w:cs="宋体"/>
                <w:color w:val="auto"/>
                <w:highlight w:val="none"/>
                <w:lang w:val="en-US" w:eastAsia="zh-CN"/>
              </w:rPr>
            </w:pPr>
            <w:r>
              <w:rPr>
                <w:rFonts w:hint="eastAsia" w:ascii="宋体" w:hAnsi="宋体" w:cs="宋体"/>
                <w:color w:val="auto"/>
                <w:highlight w:val="none"/>
              </w:rPr>
              <w:t>履约保证金:</w:t>
            </w:r>
            <w:r>
              <w:rPr>
                <w:rFonts w:hint="eastAsia" w:ascii="宋体" w:hAnsi="宋体" w:cs="宋体"/>
                <w:color w:val="FF0000"/>
                <w:highlight w:val="none"/>
                <w:lang w:val="en-US" w:eastAsia="zh-CN"/>
              </w:rPr>
              <w:t>本项目不设置履约保证金。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7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宋体"/>
                <w:color w:val="auto"/>
                <w:highlight w:val="none"/>
              </w:rPr>
            </w:pPr>
            <w:r>
              <w:rPr>
                <w:rFonts w:hint="eastAsia" w:ascii="宋体" w:hAnsi="宋体" w:cs="宋体"/>
                <w:color w:val="auto"/>
                <w:highlight w:val="none"/>
              </w:rPr>
              <w:t>签订合同时间：成交通知书发出后30日内。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67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宋体"/>
                <w:highlight w:val="none"/>
              </w:rPr>
            </w:pPr>
            <w:r>
              <w:rPr>
                <w:rFonts w:hint="eastAsia" w:ascii="宋体" w:hAnsi="宋体" w:cs="宋体"/>
                <w:highlight w:val="none"/>
              </w:rPr>
              <w:t>合同公告：本项目政府采购合同将于签订之日起2个工作日内发布于上述媒体，但政府采购合同中涉及国家秘密、商业秘密的内容除外。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42"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s="宋体"/>
                <w:b/>
                <w:bCs/>
                <w:color w:val="auto"/>
                <w:highlight w:val="none"/>
              </w:rPr>
            </w:pPr>
            <w:r>
              <w:rPr>
                <w:rFonts w:hint="eastAsia" w:ascii="宋体" w:hAnsi="宋体"/>
                <w:color w:val="auto"/>
                <w:highlight w:val="none"/>
              </w:rPr>
              <w:t>本项目</w:t>
            </w:r>
            <w:r>
              <w:rPr>
                <w:rFonts w:hint="eastAsia" w:ascii="宋体" w:hAnsi="宋体"/>
                <w:color w:val="auto"/>
                <w:highlight w:val="none"/>
                <w:lang w:eastAsia="zh-CN"/>
              </w:rPr>
              <w:t>设有</w:t>
            </w:r>
            <w:r>
              <w:rPr>
                <w:rFonts w:hint="eastAsia" w:ascii="宋体" w:hAnsi="宋体"/>
                <w:color w:val="auto"/>
                <w:highlight w:val="none"/>
              </w:rPr>
              <w:t>最高限价：</w:t>
            </w:r>
            <w:r>
              <w:rPr>
                <w:rFonts w:hint="eastAsia" w:ascii="宋体" w:hAnsi="宋体"/>
                <w:color w:val="auto"/>
                <w:highlight w:val="none"/>
                <w:lang w:val="en-US" w:eastAsia="zh-CN"/>
              </w:rPr>
              <w:t>2000000</w:t>
            </w:r>
            <w:r>
              <w:rPr>
                <w:rFonts w:hint="eastAsia" w:ascii="宋体" w:hAnsi="宋体"/>
                <w:color w:val="auto"/>
                <w:highlight w:val="none"/>
              </w:rPr>
              <w:t>元，超过最高限价的响应文件无效。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44"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olor w:val="auto"/>
                <w:highlight w:val="none"/>
              </w:rPr>
            </w:pPr>
            <w:r>
              <w:rPr>
                <w:rFonts w:hint="eastAsia" w:ascii="宋体" w:hAnsi="宋体"/>
                <w:color w:val="auto"/>
                <w:highlight w:val="none"/>
              </w:rPr>
              <w:t>付款方式：</w:t>
            </w:r>
            <w:r>
              <w:rPr>
                <w:rFonts w:hint="eastAsia" w:ascii="宋体" w:hAnsi="宋体" w:eastAsia="宋体" w:cs="宋体"/>
                <w:b w:val="0"/>
                <w:bCs w:val="0"/>
                <w:color w:val="auto"/>
                <w:sz w:val="24"/>
                <w:szCs w:val="24"/>
                <w:highlight w:val="none"/>
                <w:lang w:eastAsia="zh-CN"/>
              </w:rPr>
              <w:t>合同生效以及具备实施条件后</w:t>
            </w: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eastAsia="zh-CN"/>
              </w:rPr>
              <w:t>个工作日内支付合同金额的40%</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设备</w:t>
            </w:r>
            <w:r>
              <w:rPr>
                <w:rFonts w:hint="eastAsia" w:ascii="宋体" w:hAnsi="宋体" w:eastAsia="宋体" w:cs="宋体"/>
                <w:b w:val="0"/>
                <w:bCs w:val="0"/>
                <w:color w:val="auto"/>
                <w:sz w:val="24"/>
                <w:szCs w:val="24"/>
                <w:highlight w:val="none"/>
              </w:rPr>
              <w:t>全部安装调试完毕，项目验收合格后7个工作日内</w:t>
            </w:r>
            <w:r>
              <w:rPr>
                <w:rFonts w:hint="eastAsia" w:ascii="宋体" w:hAnsi="宋体" w:eastAsia="宋体" w:cs="宋体"/>
                <w:b w:val="0"/>
                <w:bCs w:val="0"/>
                <w:color w:val="auto"/>
                <w:sz w:val="24"/>
                <w:szCs w:val="24"/>
                <w:highlight w:val="none"/>
                <w:lang w:eastAsia="zh-CN"/>
              </w:rPr>
              <w:t>支付</w:t>
            </w:r>
            <w:r>
              <w:rPr>
                <w:rFonts w:hint="eastAsia" w:ascii="宋体" w:hAnsi="宋体" w:eastAsia="宋体" w:cs="宋体"/>
                <w:b w:val="0"/>
                <w:bCs w:val="0"/>
                <w:color w:val="auto"/>
                <w:sz w:val="24"/>
                <w:szCs w:val="24"/>
                <w:highlight w:val="none"/>
                <w:lang w:val="en-US" w:eastAsia="zh-CN"/>
              </w:rPr>
              <w:t>至</w:t>
            </w:r>
            <w:r>
              <w:rPr>
                <w:rFonts w:hint="eastAsia" w:ascii="宋体" w:hAnsi="宋体" w:eastAsia="宋体" w:cs="宋体"/>
                <w:b w:val="0"/>
                <w:bCs w:val="0"/>
                <w:color w:val="auto"/>
                <w:sz w:val="24"/>
                <w:szCs w:val="24"/>
                <w:highlight w:val="none"/>
                <w:lang w:eastAsia="zh-CN"/>
              </w:rPr>
              <w:t>合同金额的</w:t>
            </w:r>
            <w:r>
              <w:rPr>
                <w:rFonts w:hint="eastAsia" w:ascii="宋体" w:hAnsi="宋体" w:eastAsia="宋体" w:cs="宋体"/>
                <w:b w:val="0"/>
                <w:bCs w:val="0"/>
                <w:color w:val="auto"/>
                <w:sz w:val="24"/>
                <w:szCs w:val="24"/>
                <w:highlight w:val="none"/>
                <w:lang w:val="en-US" w:eastAsia="zh-CN"/>
              </w:rPr>
              <w:t>100</w:t>
            </w:r>
            <w:r>
              <w:rPr>
                <w:rFonts w:hint="eastAsia" w:ascii="宋体" w:hAnsi="宋体" w:eastAsia="宋体" w:cs="宋体"/>
                <w:b w:val="0"/>
                <w:bCs w:val="0"/>
                <w:color w:val="auto"/>
                <w:sz w:val="24"/>
                <w:szCs w:val="24"/>
                <w:highlight w:val="none"/>
                <w:lang w:eastAsia="zh-CN"/>
              </w:rPr>
              <w:t>%</w:t>
            </w:r>
            <w:r>
              <w:rPr>
                <w:rFonts w:hint="eastAsia" w:ascii="宋体" w:hAnsi="宋体"/>
                <w:color w:val="auto"/>
                <w:highlight w:val="none"/>
              </w:rPr>
              <w:t>。</w:t>
            </w:r>
          </w:p>
          <w:p>
            <w:pPr>
              <w:snapToGrid w:val="0"/>
              <w:spacing w:line="360" w:lineRule="auto"/>
              <w:jc w:val="left"/>
              <w:rPr>
                <w:rFonts w:hint="eastAsia" w:ascii="宋体" w:hAnsi="宋体" w:eastAsia="宋体" w:cs="宋体"/>
                <w:color w:val="auto"/>
                <w:highlight w:val="none"/>
                <w:lang w:eastAsia="zh-CN"/>
              </w:rPr>
            </w:pPr>
            <w:r>
              <w:rPr>
                <w:rFonts w:hint="eastAsia" w:ascii="宋体" w:hAnsi="宋体" w:cs="宋体"/>
                <w:color w:val="FF0000"/>
                <w:highlight w:val="none"/>
              </w:rPr>
              <w:t>注：付款前中标单位应按规定向采购人开具正规发票</w:t>
            </w:r>
            <w:r>
              <w:rPr>
                <w:rFonts w:hint="eastAsia" w:ascii="宋体" w:hAnsi="宋体" w:cs="宋体"/>
                <w:color w:val="FF0000"/>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42"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s="宋体"/>
                <w:highlight w:val="none"/>
              </w:rPr>
            </w:pPr>
            <w:r>
              <w:rPr>
                <w:rFonts w:hint="eastAsia" w:ascii="宋体" w:hAnsi="宋体" w:cs="宋体"/>
                <w:highlight w:val="none"/>
              </w:rPr>
              <w:t>响应文件有效期：</w:t>
            </w:r>
            <w:r>
              <w:rPr>
                <w:rFonts w:hint="eastAsia" w:ascii="宋体" w:hAnsi="宋体" w:cs="宋体"/>
                <w:highlight w:val="none"/>
                <w:u w:val="single"/>
              </w:rPr>
              <w:t>90</w:t>
            </w:r>
            <w:r>
              <w:rPr>
                <w:rFonts w:hint="eastAsia" w:ascii="宋体" w:hAnsi="宋体" w:cs="宋体"/>
                <w:highlight w:val="none"/>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10"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textAlignment w:val="bottom"/>
              <w:rPr>
                <w:rFonts w:hint="eastAsia" w:ascii="宋体" w:hAnsi="宋体" w:cs="宋体"/>
                <w:highlight w:val="none"/>
              </w:rPr>
            </w:pPr>
            <w:r>
              <w:rPr>
                <w:rFonts w:hint="eastAsia" w:ascii="宋体" w:hAnsi="宋体" w:cs="宋体"/>
                <w:highlight w:val="none"/>
              </w:rPr>
              <w:t>报名、注册及磋商文件的获取：</w:t>
            </w:r>
            <w:r>
              <w:rPr>
                <w:rFonts w:hint="eastAsia" w:ascii="宋体" w:hAnsi="宋体" w:cs="宋体"/>
                <w:bCs/>
                <w:highlight w:val="none"/>
              </w:rPr>
              <w:t>详见第一章竞争性磋商公告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42" w:hRule="atLeast"/>
          <w:jc w:val="center"/>
        </w:trPr>
        <w:tc>
          <w:tcPr>
            <w:tcW w:w="869"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snapToGrid w:val="0"/>
              <w:spacing w:line="360" w:lineRule="auto"/>
              <w:ind w:left="120" w:leftChars="50" w:firstLine="0"/>
              <w:jc w:val="center"/>
              <w:rPr>
                <w:rFonts w:hint="eastAsia" w:ascii="宋体" w:hAnsi="宋体" w:cs="宋体"/>
                <w:highlight w:val="none"/>
              </w:rPr>
            </w:pPr>
          </w:p>
        </w:tc>
        <w:tc>
          <w:tcPr>
            <w:tcW w:w="83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s="宋体"/>
                <w:highlight w:val="none"/>
              </w:rPr>
            </w:pPr>
            <w:r>
              <w:rPr>
                <w:rFonts w:hint="eastAsia" w:ascii="宋体" w:hAnsi="宋体" w:cs="宋体"/>
                <w:highlight w:val="none"/>
              </w:rPr>
              <w:t>解释：本磋商文件的解释权属于采购人和</w:t>
            </w:r>
            <w:r>
              <w:rPr>
                <w:rFonts w:hint="eastAsia" w:ascii="宋体" w:hAnsi="宋体" w:cs="宋体"/>
                <w:highlight w:val="none"/>
                <w:lang w:eastAsia="zh-CN"/>
              </w:rPr>
              <w:t>浙江勋达工程咨询有限公司</w:t>
            </w:r>
            <w:r>
              <w:rPr>
                <w:rFonts w:hint="eastAsia" w:ascii="宋体" w:hAnsi="宋体" w:cs="宋体"/>
                <w:highlight w:val="none"/>
              </w:rPr>
              <w:t>。</w:t>
            </w:r>
          </w:p>
        </w:tc>
      </w:tr>
    </w:tbl>
    <w:p>
      <w:pPr>
        <w:pStyle w:val="20"/>
        <w:snapToGrid w:val="0"/>
        <w:spacing w:before="120" w:beforeLines="0" w:after="120" w:afterLines="0" w:line="360" w:lineRule="auto"/>
        <w:jc w:val="center"/>
        <w:outlineLvl w:val="1"/>
        <w:rPr>
          <w:rFonts w:hint="eastAsia" w:hAnsi="宋体"/>
          <w:b/>
          <w:sz w:val="32"/>
          <w:szCs w:val="32"/>
          <w:highlight w:val="none"/>
        </w:rPr>
      </w:pPr>
      <w:r>
        <w:rPr>
          <w:rFonts w:hAnsi="宋体"/>
          <w:b/>
          <w:sz w:val="32"/>
          <w:szCs w:val="32"/>
          <w:highlight w:val="none"/>
        </w:rPr>
        <w:br w:type="page"/>
      </w:r>
      <w:r>
        <w:rPr>
          <w:rFonts w:hint="eastAsia" w:hAnsi="宋体"/>
          <w:b/>
          <w:sz w:val="32"/>
          <w:szCs w:val="32"/>
          <w:highlight w:val="none"/>
        </w:rPr>
        <w:t>一、总  则</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（一）</w:t>
      </w:r>
      <w:r>
        <w:rPr>
          <w:rFonts w:ascii="宋体" w:hAnsi="宋体"/>
          <w:b/>
          <w:highlight w:val="none"/>
        </w:rPr>
        <w:t xml:space="preserve"> 适用范围</w:t>
      </w:r>
    </w:p>
    <w:p>
      <w:pPr>
        <w:snapToGrid w:val="0"/>
        <w:spacing w:line="360" w:lineRule="auto"/>
        <w:ind w:firstLine="480" w:firstLineChars="200"/>
        <w:jc w:val="left"/>
        <w:rPr>
          <w:rFonts w:ascii="宋体" w:hAnsi="宋体"/>
          <w:highlight w:val="none"/>
        </w:rPr>
      </w:pPr>
      <w:r>
        <w:rPr>
          <w:rFonts w:hint="eastAsia" w:ascii="宋体" w:hAnsi="宋体"/>
          <w:highlight w:val="none"/>
        </w:rPr>
        <w:t>本磋商文件适用于该项目的</w:t>
      </w:r>
      <w:r>
        <w:rPr>
          <w:rFonts w:hint="eastAsia" w:ascii="宋体" w:hAnsi="宋体" w:cs="宋体"/>
          <w:highlight w:val="none"/>
        </w:rPr>
        <w:t>磋商、评审、磋商结果的确定、验收、合同履约、付款等（法律、法规另有规定的，从其规定）</w:t>
      </w:r>
      <w:r>
        <w:rPr>
          <w:rFonts w:hint="eastAsia" w:ascii="宋体" w:hAnsi="宋体"/>
          <w:highlight w:val="none"/>
        </w:rPr>
        <w:t>。</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（二）定义</w:t>
      </w:r>
    </w:p>
    <w:p>
      <w:pPr>
        <w:snapToGrid w:val="0"/>
        <w:spacing w:line="360" w:lineRule="auto"/>
        <w:ind w:firstLine="480" w:firstLineChars="200"/>
        <w:jc w:val="left"/>
        <w:rPr>
          <w:rFonts w:ascii="宋体" w:hAnsi="宋体"/>
          <w:highlight w:val="none"/>
        </w:rPr>
      </w:pPr>
      <w:r>
        <w:rPr>
          <w:rFonts w:hint="eastAsia" w:ascii="宋体" w:hAnsi="宋体"/>
          <w:highlight w:val="none"/>
        </w:rPr>
        <w:t>1.“</w:t>
      </w:r>
      <w:r>
        <w:rPr>
          <w:rFonts w:ascii="宋体" w:hAnsi="宋体"/>
          <w:highlight w:val="none"/>
        </w:rPr>
        <w:t>供应商”系指向采购方提交响应文件的单位。</w:t>
      </w:r>
    </w:p>
    <w:p>
      <w:pPr>
        <w:snapToGrid w:val="0"/>
        <w:spacing w:line="360" w:lineRule="auto"/>
        <w:ind w:firstLine="480" w:firstLineChars="200"/>
        <w:jc w:val="left"/>
        <w:rPr>
          <w:rFonts w:ascii="宋体" w:hAnsi="宋体"/>
          <w:highlight w:val="none"/>
        </w:rPr>
      </w:pPr>
      <w:r>
        <w:rPr>
          <w:rFonts w:hint="eastAsia" w:ascii="宋体" w:hAnsi="宋体"/>
          <w:highlight w:val="none"/>
        </w:rPr>
        <w:t>2.</w:t>
      </w:r>
      <w:r>
        <w:rPr>
          <w:rFonts w:ascii="宋体" w:hAnsi="宋体"/>
          <w:highlight w:val="none"/>
        </w:rPr>
        <w:t>“产品”系指供方按磋商文件规定，须向采购人提供的一切设备、保险、税金、备品备件、工具、手册及其它有关技术资料和材料。</w:t>
      </w:r>
    </w:p>
    <w:p>
      <w:pPr>
        <w:snapToGrid w:val="0"/>
        <w:spacing w:line="360" w:lineRule="auto"/>
        <w:ind w:firstLine="480" w:firstLineChars="200"/>
        <w:jc w:val="left"/>
        <w:rPr>
          <w:rFonts w:ascii="宋体" w:hAnsi="宋体"/>
          <w:highlight w:val="none"/>
        </w:rPr>
      </w:pPr>
      <w:r>
        <w:rPr>
          <w:rFonts w:hint="eastAsia" w:ascii="宋体" w:hAnsi="宋体"/>
          <w:highlight w:val="none"/>
        </w:rPr>
        <w:t>3.</w:t>
      </w:r>
      <w:r>
        <w:rPr>
          <w:rFonts w:ascii="宋体" w:hAnsi="宋体"/>
          <w:highlight w:val="none"/>
        </w:rPr>
        <w:t>“服务”系指磋商文件规定供应商须承担的安装、调试、技术协助、校准、培训、技术指导以及其他类似的义务。</w:t>
      </w:r>
    </w:p>
    <w:p>
      <w:pPr>
        <w:snapToGrid w:val="0"/>
        <w:spacing w:line="360" w:lineRule="auto"/>
        <w:ind w:firstLine="480" w:firstLineChars="200"/>
        <w:jc w:val="left"/>
        <w:rPr>
          <w:rFonts w:ascii="宋体" w:hAnsi="宋体"/>
          <w:color w:val="auto"/>
          <w:highlight w:val="none"/>
        </w:rPr>
      </w:pPr>
      <w:r>
        <w:rPr>
          <w:rFonts w:hint="eastAsia" w:ascii="宋体" w:hAnsi="宋体"/>
          <w:color w:val="auto"/>
          <w:highlight w:val="none"/>
        </w:rPr>
        <w:t>4.</w:t>
      </w:r>
      <w:r>
        <w:rPr>
          <w:rFonts w:ascii="宋体" w:hAnsi="宋体"/>
          <w:color w:val="auto"/>
          <w:highlight w:val="none"/>
        </w:rPr>
        <w:t>“项目”系指供应商按磋商文件规定向采购人提供的产品和服务。</w:t>
      </w:r>
    </w:p>
    <w:p>
      <w:pPr>
        <w:snapToGrid w:val="0"/>
        <w:spacing w:line="360" w:lineRule="auto"/>
        <w:ind w:firstLine="480" w:firstLineChars="200"/>
        <w:jc w:val="left"/>
        <w:rPr>
          <w:rFonts w:ascii="宋体" w:hAnsi="宋体"/>
          <w:color w:val="auto"/>
          <w:highlight w:val="none"/>
        </w:rPr>
      </w:pPr>
      <w:r>
        <w:rPr>
          <w:rFonts w:hint="eastAsia" w:ascii="宋体" w:hAnsi="宋体"/>
          <w:color w:val="auto"/>
          <w:highlight w:val="none"/>
        </w:rPr>
        <w:t>5.</w:t>
      </w:r>
      <w:r>
        <w:rPr>
          <w:rFonts w:ascii="宋体" w:hAnsi="宋体"/>
          <w:color w:val="auto"/>
          <w:highlight w:val="none"/>
        </w:rPr>
        <w:t>“书面形式”包括信函、传真、电报等。</w:t>
      </w:r>
    </w:p>
    <w:p>
      <w:pPr>
        <w:snapToGrid w:val="0"/>
        <w:spacing w:line="360" w:lineRule="auto"/>
        <w:ind w:firstLine="480" w:firstLineChars="200"/>
        <w:jc w:val="left"/>
        <w:rPr>
          <w:rFonts w:hint="eastAsia" w:ascii="宋体" w:hAnsi="宋体"/>
          <w:color w:val="auto"/>
          <w:highlight w:val="none"/>
        </w:rPr>
      </w:pPr>
      <w:r>
        <w:rPr>
          <w:rFonts w:hint="eastAsia" w:ascii="宋体" w:hAnsi="宋体"/>
          <w:color w:val="auto"/>
          <w:highlight w:val="none"/>
        </w:rPr>
        <w:t>6.</w:t>
      </w:r>
      <w:r>
        <w:rPr>
          <w:rFonts w:ascii="宋体" w:hAnsi="宋体"/>
          <w:color w:val="auto"/>
          <w:highlight w:val="none"/>
        </w:rPr>
        <w:t>“▲”系指实质性要求条款</w:t>
      </w:r>
      <w:r>
        <w:rPr>
          <w:rFonts w:hint="eastAsia" w:ascii="宋体" w:hAnsi="宋体"/>
          <w:color w:val="auto"/>
          <w:highlight w:val="none"/>
        </w:rPr>
        <w:t>，不满足实行性要求条款的响应文件无效。</w:t>
      </w:r>
    </w:p>
    <w:p>
      <w:pPr>
        <w:snapToGrid w:val="0"/>
        <w:spacing w:line="360" w:lineRule="auto"/>
        <w:ind w:firstLine="480" w:firstLineChars="200"/>
        <w:jc w:val="left"/>
        <w:rPr>
          <w:rFonts w:ascii="宋体" w:hAnsi="宋体"/>
          <w:color w:val="auto"/>
          <w:highlight w:val="none"/>
        </w:rPr>
      </w:pPr>
      <w:r>
        <w:rPr>
          <w:rFonts w:hint="eastAsia" w:ascii="宋体" w:hAnsi="宋体"/>
          <w:color w:val="auto"/>
          <w:highlight w:val="none"/>
          <w:lang w:val="en-US" w:eastAsia="zh-CN"/>
        </w:rPr>
        <w:t>7.</w:t>
      </w:r>
      <w:r>
        <w:rPr>
          <w:rFonts w:hint="eastAsia" w:ascii="宋体" w:hAnsi="宋体"/>
          <w:color w:val="auto"/>
          <w:highlight w:val="none"/>
        </w:rPr>
        <w:t>“★”系指核心产品。</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（三）采购方式</w:t>
      </w:r>
    </w:p>
    <w:p>
      <w:pPr>
        <w:snapToGrid w:val="0"/>
        <w:spacing w:line="360" w:lineRule="auto"/>
        <w:ind w:firstLine="480" w:firstLineChars="200"/>
        <w:jc w:val="left"/>
        <w:rPr>
          <w:rFonts w:ascii="宋体" w:hAnsi="宋体"/>
          <w:highlight w:val="none"/>
        </w:rPr>
      </w:pPr>
      <w:r>
        <w:rPr>
          <w:rFonts w:ascii="宋体" w:hAnsi="宋体"/>
          <w:highlight w:val="none"/>
        </w:rPr>
        <w:t>本次采购采用竞争性磋商方式进行。</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（四）磋商委托</w:t>
      </w:r>
    </w:p>
    <w:p>
      <w:pPr>
        <w:pStyle w:val="16"/>
        <w:adjustRightInd w:val="0"/>
        <w:snapToGrid w:val="0"/>
        <w:spacing w:line="360" w:lineRule="auto"/>
        <w:ind w:firstLine="464" w:firstLineChars="200"/>
        <w:jc w:val="left"/>
        <w:rPr>
          <w:rFonts w:hAnsi="宋体"/>
          <w:sz w:val="24"/>
          <w:highlight w:val="none"/>
        </w:rPr>
      </w:pPr>
      <w:r>
        <w:rPr>
          <w:rFonts w:hint="eastAsia" w:hAnsi="宋体"/>
          <w:sz w:val="24"/>
          <w:highlight w:val="none"/>
        </w:rPr>
        <w:t>供应商无需到开标现场，但须准时在线参加，直至评审结束</w:t>
      </w:r>
      <w:r>
        <w:rPr>
          <w:rFonts w:hAnsi="宋体"/>
          <w:sz w:val="24"/>
          <w:highlight w:val="none"/>
        </w:rPr>
        <w:t>。</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（五）磋商费用</w:t>
      </w:r>
    </w:p>
    <w:p>
      <w:pPr>
        <w:snapToGrid w:val="0"/>
        <w:spacing w:line="360" w:lineRule="auto"/>
        <w:ind w:firstLine="480" w:firstLineChars="200"/>
        <w:jc w:val="left"/>
        <w:rPr>
          <w:rFonts w:ascii="宋体" w:hAnsi="宋体"/>
          <w:highlight w:val="none"/>
        </w:rPr>
      </w:pPr>
      <w:r>
        <w:rPr>
          <w:rFonts w:hint="eastAsia" w:ascii="宋体" w:hAnsi="宋体"/>
          <w:highlight w:val="none"/>
        </w:rPr>
        <w:t>不论磋商结果如何，供应商均应自行承担所有与磋商有关的全部费用（磋商文件有相反规定除外）。</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（六）联合体磋商</w:t>
      </w:r>
    </w:p>
    <w:p>
      <w:pPr>
        <w:snapToGrid w:val="0"/>
        <w:spacing w:line="360" w:lineRule="auto"/>
        <w:ind w:firstLine="480" w:firstLineChars="200"/>
        <w:jc w:val="left"/>
        <w:rPr>
          <w:rFonts w:hint="eastAsia" w:ascii="宋体" w:hAnsi="宋体" w:cs="Arial"/>
          <w:b w:val="0"/>
          <w:bCs w:val="0"/>
          <w:highlight w:val="none"/>
        </w:rPr>
      </w:pPr>
      <w:r>
        <w:rPr>
          <w:rFonts w:hint="eastAsia" w:ascii="宋体" w:hAnsi="宋体" w:cs="Arial"/>
          <w:b w:val="0"/>
          <w:bCs w:val="0"/>
          <w:highlight w:val="none"/>
        </w:rPr>
        <w:t>本项目不接受联合体磋商。</w:t>
      </w:r>
    </w:p>
    <w:p>
      <w:pPr>
        <w:snapToGrid w:val="0"/>
        <w:spacing w:line="360" w:lineRule="auto"/>
        <w:ind w:firstLine="482" w:firstLineChars="200"/>
        <w:jc w:val="left"/>
        <w:outlineLvl w:val="1"/>
        <w:rPr>
          <w:rFonts w:ascii="宋体" w:hAnsi="宋体"/>
          <w:b/>
          <w:highlight w:val="none"/>
        </w:rPr>
      </w:pPr>
      <w:r>
        <w:rPr>
          <w:rFonts w:hint="eastAsia" w:ascii="宋体" w:hAnsi="宋体"/>
          <w:b/>
          <w:highlight w:val="none"/>
        </w:rPr>
        <w:t>（七）转包与分包</w:t>
      </w:r>
    </w:p>
    <w:p>
      <w:pPr>
        <w:numPr>
          <w:ilvl w:val="0"/>
          <w:numId w:val="6"/>
        </w:numPr>
        <w:tabs>
          <w:tab w:val="left" w:pos="709"/>
        </w:tabs>
        <w:spacing w:line="360" w:lineRule="auto"/>
        <w:ind w:left="0" w:firstLine="567"/>
        <w:rPr>
          <w:rFonts w:hint="eastAsia" w:ascii="宋体" w:hAnsi="宋体"/>
          <w:highlight w:val="none"/>
        </w:rPr>
      </w:pPr>
      <w:r>
        <w:rPr>
          <w:rFonts w:ascii="宋体" w:hAnsi="宋体"/>
          <w:highlight w:val="none"/>
        </w:rPr>
        <w:t>本项目不允许转包。</w:t>
      </w:r>
    </w:p>
    <w:p>
      <w:pPr>
        <w:numPr>
          <w:ilvl w:val="0"/>
          <w:numId w:val="6"/>
        </w:numPr>
        <w:tabs>
          <w:tab w:val="left" w:pos="709"/>
        </w:tabs>
        <w:spacing w:line="360" w:lineRule="auto"/>
        <w:ind w:left="0" w:firstLine="567"/>
        <w:rPr>
          <w:rFonts w:hint="eastAsia" w:ascii="宋体" w:hAnsi="宋体"/>
          <w:highlight w:val="none"/>
        </w:rPr>
      </w:pPr>
      <w:r>
        <w:rPr>
          <w:rFonts w:hint="eastAsia" w:ascii="宋体" w:hAnsi="宋体"/>
          <w:highlight w:val="none"/>
        </w:rPr>
        <w:t>本项目不允许</w:t>
      </w:r>
      <w:r>
        <w:rPr>
          <w:rFonts w:hint="eastAsia" w:ascii="宋体" w:hAnsi="宋体"/>
          <w:highlight w:val="none"/>
          <w:lang w:eastAsia="zh-CN"/>
        </w:rPr>
        <w:t>分</w:t>
      </w:r>
      <w:r>
        <w:rPr>
          <w:rFonts w:hint="eastAsia" w:ascii="宋体" w:hAnsi="宋体"/>
          <w:highlight w:val="none"/>
        </w:rPr>
        <w:t>包</w:t>
      </w:r>
      <w:r>
        <w:rPr>
          <w:rFonts w:ascii="宋体" w:hAnsi="宋体"/>
          <w:highlight w:val="none"/>
        </w:rPr>
        <w:t>。</w:t>
      </w:r>
    </w:p>
    <w:p>
      <w:pPr>
        <w:snapToGrid w:val="0"/>
        <w:spacing w:line="360" w:lineRule="auto"/>
        <w:ind w:firstLine="482" w:firstLineChars="200"/>
        <w:jc w:val="left"/>
        <w:outlineLvl w:val="1"/>
        <w:rPr>
          <w:rFonts w:hint="eastAsia" w:ascii="宋体" w:hAnsi="宋体"/>
          <w:b/>
          <w:highlight w:val="none"/>
        </w:rPr>
      </w:pPr>
      <w:r>
        <w:rPr>
          <w:rFonts w:hint="eastAsia" w:ascii="宋体" w:hAnsi="宋体"/>
          <w:b/>
          <w:highlight w:val="none"/>
        </w:rPr>
        <w:t>（八）采购项目需要落实的政府采购政策</w:t>
      </w:r>
    </w:p>
    <w:p>
      <w:pPr>
        <w:numPr>
          <w:ilvl w:val="0"/>
          <w:numId w:val="7"/>
        </w:numPr>
        <w:tabs>
          <w:tab w:val="left" w:pos="709"/>
        </w:tabs>
        <w:spacing w:line="360" w:lineRule="auto"/>
        <w:ind w:left="0" w:firstLine="567"/>
        <w:rPr>
          <w:rFonts w:ascii="宋体" w:hAnsi="宋体"/>
          <w:highlight w:val="none"/>
        </w:rPr>
      </w:pPr>
      <w:r>
        <w:rPr>
          <w:rFonts w:hint="eastAsia" w:ascii="宋体" w:hAnsi="宋体"/>
          <w:highlight w:val="none"/>
        </w:rPr>
        <w:t>本项目不允许采购进口产品。</w:t>
      </w:r>
    </w:p>
    <w:p>
      <w:pPr>
        <w:numPr>
          <w:ilvl w:val="0"/>
          <w:numId w:val="7"/>
        </w:numPr>
        <w:tabs>
          <w:tab w:val="left" w:pos="709"/>
        </w:tabs>
        <w:spacing w:line="360" w:lineRule="auto"/>
        <w:ind w:left="0" w:firstLine="567"/>
        <w:rPr>
          <w:rFonts w:ascii="宋体" w:hAnsi="宋体"/>
          <w:highlight w:val="none"/>
        </w:rPr>
      </w:pPr>
      <w:r>
        <w:rPr>
          <w:rFonts w:ascii="宋体" w:hAnsi="宋体"/>
          <w:highlight w:val="none"/>
        </w:rPr>
        <w:t>支持中小企业发展</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ascii="宋体" w:hAnsi="宋体"/>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highlight w:val="none"/>
        </w:rPr>
      </w:pPr>
      <w:r>
        <w:rPr>
          <w:rFonts w:ascii="宋体" w:hAnsi="宋体"/>
          <w:highlight w:val="none"/>
        </w:rPr>
        <w:t>符合中小企业划分标准的个体工商户，在政府采购活动中视同中小企业。</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hint="eastAsia" w:ascii="宋体" w:hAnsi="宋体"/>
          <w:highlight w:val="none"/>
        </w:rPr>
        <w:t>在政府采购活动中，供应商提供的货物、工程或者服务符合下列情形的，享受中小企业扶持政策：</w:t>
      </w:r>
    </w:p>
    <w:p>
      <w:pPr>
        <w:widowControl/>
        <w:numPr>
          <w:ilvl w:val="0"/>
          <w:numId w:val="9"/>
        </w:numPr>
        <w:spacing w:line="360" w:lineRule="auto"/>
        <w:ind w:left="0" w:firstLine="420"/>
        <w:jc w:val="left"/>
        <w:rPr>
          <w:rFonts w:ascii="宋体" w:hAnsi="宋体" w:cs="宋体"/>
          <w:kern w:val="0"/>
          <w:highlight w:val="none"/>
        </w:rPr>
      </w:pPr>
      <w:r>
        <w:rPr>
          <w:rFonts w:ascii="宋体" w:hAnsi="宋体" w:cs="宋体"/>
          <w:kern w:val="0"/>
          <w:highlight w:val="none"/>
        </w:rPr>
        <w:t>在货物采购项目中，货物由中小企业制造，即货物由中小企业生产且使用该中小企业商号或者注册商标；</w:t>
      </w:r>
    </w:p>
    <w:p>
      <w:pPr>
        <w:widowControl/>
        <w:numPr>
          <w:ilvl w:val="0"/>
          <w:numId w:val="9"/>
        </w:numPr>
        <w:spacing w:line="360" w:lineRule="auto"/>
        <w:ind w:left="0" w:firstLine="420"/>
        <w:jc w:val="left"/>
        <w:rPr>
          <w:rFonts w:ascii="宋体" w:hAnsi="宋体" w:cs="宋体"/>
          <w:kern w:val="0"/>
          <w:highlight w:val="none"/>
        </w:rPr>
      </w:pPr>
      <w:r>
        <w:rPr>
          <w:rFonts w:ascii="宋体" w:hAnsi="宋体" w:cs="宋体"/>
          <w:kern w:val="0"/>
          <w:highlight w:val="none"/>
        </w:rPr>
        <w:t>在工程采购项目中，工程由中小企业承建，即工程施工单位为中小企业；</w:t>
      </w:r>
    </w:p>
    <w:p>
      <w:pPr>
        <w:widowControl/>
        <w:numPr>
          <w:ilvl w:val="0"/>
          <w:numId w:val="9"/>
        </w:numPr>
        <w:spacing w:line="360" w:lineRule="auto"/>
        <w:ind w:left="0" w:firstLine="420"/>
        <w:jc w:val="left"/>
        <w:rPr>
          <w:rFonts w:ascii="宋体" w:hAnsi="宋体" w:cs="宋体"/>
          <w:kern w:val="0"/>
          <w:highlight w:val="none"/>
        </w:rPr>
      </w:pPr>
      <w:r>
        <w:rPr>
          <w:rFonts w:ascii="宋体" w:hAnsi="宋体" w:cs="宋体"/>
          <w:kern w:val="0"/>
          <w:highlight w:val="none"/>
        </w:rPr>
        <w:t>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highlight w:val="none"/>
        </w:rPr>
      </w:pPr>
      <w:r>
        <w:rPr>
          <w:rFonts w:hint="eastAsia" w:ascii="宋体" w:hAnsi="宋体" w:cs="宋体"/>
          <w:kern w:val="0"/>
          <w:highlight w:val="none"/>
        </w:rPr>
        <w:t>在货物采购项目中，供应商提供的货物既有中小企业制造货物，也有大型企业制造货物的，不享受中小企业扶持政策。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highlight w:val="none"/>
        </w:rPr>
      </w:pPr>
      <w:r>
        <w:rPr>
          <w:rFonts w:hint="eastAsia" w:ascii="宋体" w:hAnsi="宋体" w:cs="宋体"/>
          <w:kern w:val="0"/>
          <w:highlight w:val="none"/>
        </w:rPr>
        <w:t>以联合体形式参加政府采购活动，联合体各方均为中小企业的，联合体视同中小企业。其中，联合体各方均为小微企业的，联合体视同小微企业。</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hint="eastAsia" w:ascii="宋体" w:hAnsi="宋体"/>
          <w:highlight w:val="none"/>
        </w:rPr>
        <w:t>对于未预留份额专门面向中小企业的政府采购货物或服务项目，以及预留份额政府采购货物或服务项目中的非预留部分标项，对小型和微型企业的投标报价给予</w:t>
      </w:r>
      <w:r>
        <w:rPr>
          <w:rFonts w:hint="eastAsia" w:ascii="宋体" w:hAnsi="宋体"/>
          <w:highlight w:val="none"/>
          <w:lang w:val="en-US" w:eastAsia="zh-CN"/>
        </w:rPr>
        <w:t>10</w:t>
      </w:r>
      <w:r>
        <w:rPr>
          <w:rFonts w:ascii="宋体" w:hAnsi="宋体"/>
          <w:highlight w:val="none"/>
        </w:rPr>
        <w:t>%的扣除，用扣除后的价格参与评审。接受大中型企业与小微企业组成联合体或者允许大中型企业向一家或者多家小微企业分包的</w:t>
      </w:r>
      <w:r>
        <w:rPr>
          <w:rFonts w:hint="eastAsia" w:ascii="宋体" w:hAnsi="宋体"/>
          <w:highlight w:val="none"/>
        </w:rPr>
        <w:t>政府</w:t>
      </w:r>
      <w:r>
        <w:rPr>
          <w:rFonts w:ascii="宋体" w:hAnsi="宋体"/>
          <w:highlight w:val="none"/>
        </w:rPr>
        <w:t>采购</w:t>
      </w:r>
      <w:r>
        <w:rPr>
          <w:rFonts w:hint="eastAsia" w:ascii="宋体" w:hAnsi="宋体"/>
          <w:highlight w:val="none"/>
        </w:rPr>
        <w:t>货物或服务</w:t>
      </w:r>
      <w:r>
        <w:rPr>
          <w:rFonts w:ascii="宋体" w:hAnsi="宋体"/>
          <w:highlight w:val="none"/>
        </w:rPr>
        <w:t>项目，对于联合协议或者分包意向协议约定小微企业的合同份额占到合同总金额30%以上的，对联合体或者大中型企业的报价给予</w:t>
      </w:r>
      <w:r>
        <w:rPr>
          <w:rFonts w:hint="eastAsia" w:ascii="宋体" w:hAnsi="宋体"/>
          <w:highlight w:val="none"/>
          <w:lang w:val="en-US" w:eastAsia="zh-CN"/>
        </w:rPr>
        <w:t>3</w:t>
      </w:r>
      <w:r>
        <w:rPr>
          <w:rFonts w:ascii="宋体" w:hAnsi="宋体"/>
          <w:highlight w:val="none"/>
        </w:rPr>
        <w:t>%的扣除，用扣除后的价格参加评审。组成联合体或者接受分包的小微企业与联合体内其他企业、分包企业之间存在直接控股、管理关系的，不享受价格扣除优惠政策。</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ascii="宋体" w:hAnsi="宋体"/>
          <w:highlight w:val="none"/>
        </w:rPr>
        <w:t>符合《关于促进残疾人就业政府采购政策的通知》（财库〔2017〕141号）规定的条件并提供《残疾人福利性单位声明函》的残疾人福利性单位视同小型、微型企业；</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ascii="宋体" w:hAnsi="宋体"/>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hint="eastAsia" w:ascii="宋体" w:hAnsi="宋体"/>
          <w:highlight w:val="none"/>
        </w:rPr>
        <w:t>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numPr>
          <w:ilvl w:val="0"/>
          <w:numId w:val="8"/>
        </w:numPr>
        <w:tabs>
          <w:tab w:val="left" w:pos="709"/>
          <w:tab w:val="left" w:pos="851"/>
          <w:tab w:val="left" w:pos="993"/>
        </w:tabs>
        <w:spacing w:line="360" w:lineRule="auto"/>
        <w:ind w:left="0" w:firstLine="141" w:firstLineChars="59"/>
        <w:rPr>
          <w:rFonts w:ascii="宋体" w:hAnsi="宋体"/>
          <w:highlight w:val="none"/>
        </w:rPr>
      </w:pPr>
      <w:r>
        <w:rPr>
          <w:rFonts w:ascii="宋体" w:hAnsi="宋体"/>
          <w:highlight w:val="none"/>
        </w:rPr>
        <w:t>中小企业享受扶持政策获得政府采购合同的，小微企业不得将合同分包给大中型企业，中型企业不得将合同分包给大型企业</w:t>
      </w:r>
      <w:r>
        <w:rPr>
          <w:rFonts w:hint="eastAsia" w:ascii="宋体" w:hAnsi="宋体"/>
          <w:highlight w:val="none"/>
        </w:rPr>
        <w:t>。</w:t>
      </w:r>
    </w:p>
    <w:p>
      <w:pPr>
        <w:snapToGrid w:val="0"/>
        <w:spacing w:line="360" w:lineRule="auto"/>
        <w:ind w:firstLine="482" w:firstLineChars="200"/>
        <w:jc w:val="left"/>
        <w:outlineLvl w:val="1"/>
        <w:rPr>
          <w:rFonts w:hint="eastAsia" w:ascii="宋体" w:hAnsi="宋体"/>
          <w:b/>
          <w:highlight w:val="none"/>
        </w:rPr>
      </w:pPr>
      <w:r>
        <w:rPr>
          <w:rFonts w:hint="eastAsia" w:ascii="宋体" w:hAnsi="宋体"/>
          <w:b/>
          <w:highlight w:val="none"/>
        </w:rPr>
        <w:t>（九）</w:t>
      </w:r>
      <w:r>
        <w:rPr>
          <w:rFonts w:ascii="宋体" w:hAnsi="宋体"/>
          <w:highlight w:val="none"/>
        </w:rPr>
        <w:t>▲</w:t>
      </w:r>
      <w:r>
        <w:rPr>
          <w:rFonts w:hint="eastAsia" w:ascii="宋体" w:hAnsi="宋体"/>
          <w:b/>
          <w:highlight w:val="none"/>
        </w:rPr>
        <w:t>特别说明</w:t>
      </w:r>
    </w:p>
    <w:p>
      <w:pPr>
        <w:pStyle w:val="20"/>
        <w:snapToGrid w:val="0"/>
        <w:spacing w:before="0" w:beforeLines="0" w:after="0" w:afterLines="0" w:line="360" w:lineRule="auto"/>
        <w:ind w:firstLine="480" w:firstLineChars="200"/>
        <w:rPr>
          <w:rFonts w:hint="eastAsia" w:hAnsi="宋体"/>
          <w:highlight w:val="none"/>
        </w:rPr>
      </w:pPr>
      <w:r>
        <w:rPr>
          <w:rFonts w:hint="eastAsia" w:hAnsi="宋体"/>
          <w:highlight w:val="none"/>
        </w:rPr>
        <w:t>1.</w:t>
      </w:r>
      <w:r>
        <w:rPr>
          <w:rFonts w:hAnsi="宋体"/>
          <w:highlight w:val="none"/>
        </w:rPr>
        <w:t>供应商磋商所使用的资格、信誉、荣誉、业绩与企业认证必须为本法人所拥有。供应商磋商所使用的采购项目实施人员必须为本法人员工。</w:t>
      </w:r>
    </w:p>
    <w:p>
      <w:pPr>
        <w:snapToGrid w:val="0"/>
        <w:spacing w:line="360" w:lineRule="auto"/>
        <w:ind w:firstLine="480" w:firstLineChars="200"/>
        <w:rPr>
          <w:rFonts w:hint="eastAsia" w:ascii="宋体" w:hAnsi="宋体" w:cs="宋体"/>
          <w:highlight w:val="none"/>
        </w:rPr>
      </w:pPr>
      <w:r>
        <w:rPr>
          <w:rFonts w:hint="eastAsia" w:ascii="宋体" w:hAnsi="宋体" w:cs="宋体"/>
          <w:highlight w:val="none"/>
        </w:rPr>
        <w:t>2.供应商磋商不得含有任何虚假材料,否则作无效处理；成交后发现的, 成交供应商须依照《中华人民共和国消费者权益保护法》第55条之规定双倍赔偿采购人。民事上之赔偿不免除作假供应商之行政与刑事责任。</w:t>
      </w:r>
    </w:p>
    <w:p>
      <w:pPr>
        <w:pStyle w:val="20"/>
        <w:snapToGrid w:val="0"/>
        <w:spacing w:before="0" w:beforeLines="0" w:after="0" w:afterLines="0" w:line="360" w:lineRule="auto"/>
        <w:ind w:firstLine="480" w:firstLineChars="200"/>
        <w:rPr>
          <w:rFonts w:hAnsi="宋体"/>
          <w:highlight w:val="none"/>
        </w:rPr>
      </w:pPr>
      <w:r>
        <w:rPr>
          <w:rFonts w:hint="eastAsia" w:hAnsi="宋体"/>
          <w:highlight w:val="none"/>
        </w:rPr>
        <w:t>3.</w:t>
      </w:r>
      <w:r>
        <w:rPr>
          <w:rFonts w:hAnsi="宋体"/>
          <w:highlight w:val="none"/>
        </w:rPr>
        <w:t>供应商应仔细阅读磋商文件的所有内容，按照磋商文件的要求提交响应文件，并对所提供的全部资料的真实性承担法律责任。</w:t>
      </w:r>
    </w:p>
    <w:p>
      <w:pPr>
        <w:pStyle w:val="20"/>
        <w:snapToGrid w:val="0"/>
        <w:spacing w:before="0" w:beforeLines="0" w:after="0" w:afterLines="0" w:line="360" w:lineRule="auto"/>
        <w:ind w:firstLine="482" w:firstLineChars="200"/>
        <w:outlineLvl w:val="1"/>
        <w:rPr>
          <w:rFonts w:hAnsi="宋体"/>
          <w:b/>
          <w:bCs/>
          <w:highlight w:val="none"/>
        </w:rPr>
      </w:pPr>
      <w:r>
        <w:rPr>
          <w:rFonts w:hAnsi="宋体"/>
          <w:b/>
          <w:bCs/>
          <w:highlight w:val="none"/>
        </w:rPr>
        <w:t>（</w:t>
      </w:r>
      <w:r>
        <w:rPr>
          <w:rFonts w:hint="eastAsia" w:hAnsi="宋体"/>
          <w:b/>
          <w:bCs/>
          <w:highlight w:val="none"/>
        </w:rPr>
        <w:t>十</w:t>
      </w:r>
      <w:r>
        <w:rPr>
          <w:rFonts w:hAnsi="宋体"/>
          <w:b/>
          <w:bCs/>
          <w:highlight w:val="none"/>
        </w:rPr>
        <w:t>）质疑和投诉</w:t>
      </w:r>
    </w:p>
    <w:p>
      <w:pPr>
        <w:pStyle w:val="20"/>
        <w:snapToGrid w:val="0"/>
        <w:spacing w:before="120" w:after="120" w:line="360" w:lineRule="auto"/>
        <w:ind w:firstLine="480" w:firstLineChars="200"/>
        <w:rPr>
          <w:rFonts w:hAnsi="宋体"/>
          <w:bCs/>
          <w:highlight w:val="none"/>
        </w:rPr>
      </w:pPr>
      <w:bookmarkStart w:id="22" w:name="_Toc406402987"/>
      <w:bookmarkStart w:id="23" w:name="_Toc406402943"/>
      <w:r>
        <w:rPr>
          <w:rFonts w:hint="eastAsia" w:hAnsi="宋体"/>
          <w:bCs/>
          <w:highlight w:val="none"/>
        </w:rPr>
        <w:t>1. 投标人认为招标文件、招标过程或中标结果使自己的合法权益受到损害的，应当在知道或者应知其权益受到损害之日起七个工作日内，以书面形式向采购人、招标代理机构提出质疑。</w:t>
      </w:r>
      <w:r>
        <w:rPr>
          <w:rFonts w:hint="eastAsia" w:hAnsi="宋体"/>
          <w:highlight w:val="none"/>
        </w:rPr>
        <w:t>投标人对招标采购人的质疑答复不满意或者招标采购人未在规定时间内作出答复的，可以在答复期满后十五个工作日内向同级采购监管部门投诉。</w:t>
      </w:r>
    </w:p>
    <w:p>
      <w:pPr>
        <w:pStyle w:val="20"/>
        <w:snapToGrid w:val="0"/>
        <w:spacing w:before="120" w:after="120" w:line="360" w:lineRule="auto"/>
        <w:ind w:firstLine="480" w:firstLineChars="200"/>
        <w:rPr>
          <w:rFonts w:hint="eastAsia" w:hAnsi="宋体"/>
          <w:b/>
          <w:bCs/>
          <w:highlight w:val="none"/>
        </w:rPr>
      </w:pPr>
      <w:r>
        <w:rPr>
          <w:rFonts w:hint="eastAsia" w:hAnsi="宋体"/>
          <w:bCs/>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r>
        <w:rPr>
          <w:rFonts w:hint="eastAsia" w:hAnsi="宋体" w:cs="宋体"/>
          <w:b/>
          <w:highlight w:val="none"/>
        </w:rPr>
        <w:t>供应商应在法定质疑期内一次性提出针对同一采购程序环节的质疑。</w:t>
      </w:r>
    </w:p>
    <w:p>
      <w:pPr>
        <w:pStyle w:val="20"/>
        <w:snapToGrid w:val="0"/>
        <w:spacing w:before="120" w:beforeLines="0" w:after="120" w:afterLines="0" w:line="360" w:lineRule="auto"/>
        <w:jc w:val="center"/>
        <w:outlineLvl w:val="1"/>
        <w:rPr>
          <w:rFonts w:hAnsi="宋体"/>
          <w:b/>
          <w:sz w:val="32"/>
          <w:szCs w:val="32"/>
          <w:highlight w:val="none"/>
        </w:rPr>
      </w:pPr>
      <w:r>
        <w:rPr>
          <w:rFonts w:hAnsi="宋体"/>
          <w:b/>
          <w:sz w:val="32"/>
          <w:szCs w:val="32"/>
          <w:highlight w:val="none"/>
        </w:rPr>
        <w:t>二</w:t>
      </w:r>
      <w:r>
        <w:rPr>
          <w:rFonts w:hint="eastAsia" w:hAnsi="宋体"/>
          <w:b/>
          <w:sz w:val="32"/>
          <w:szCs w:val="32"/>
          <w:highlight w:val="none"/>
        </w:rPr>
        <w:t>、</w:t>
      </w:r>
      <w:r>
        <w:rPr>
          <w:rFonts w:hAnsi="宋体"/>
          <w:b/>
          <w:sz w:val="32"/>
          <w:szCs w:val="32"/>
          <w:highlight w:val="none"/>
        </w:rPr>
        <w:t>磋商文件</w:t>
      </w:r>
      <w:bookmarkEnd w:id="22"/>
      <w:bookmarkEnd w:id="23"/>
    </w:p>
    <w:p>
      <w:pPr>
        <w:pStyle w:val="20"/>
        <w:snapToGrid w:val="0"/>
        <w:spacing w:before="0" w:beforeLines="0" w:after="0" w:afterLines="0" w:line="360" w:lineRule="auto"/>
        <w:ind w:firstLine="482" w:firstLineChars="200"/>
        <w:outlineLvl w:val="1"/>
        <w:rPr>
          <w:rFonts w:hint="eastAsia" w:hAnsi="宋体"/>
          <w:b/>
          <w:bCs/>
          <w:highlight w:val="none"/>
        </w:rPr>
      </w:pPr>
      <w:r>
        <w:rPr>
          <w:rFonts w:hint="eastAsia" w:hAnsi="宋体"/>
          <w:b/>
          <w:bCs/>
          <w:highlight w:val="none"/>
        </w:rPr>
        <w:t>（一）磋商文件的构成</w:t>
      </w:r>
    </w:p>
    <w:p>
      <w:pPr>
        <w:pStyle w:val="20"/>
        <w:snapToGrid w:val="0"/>
        <w:spacing w:before="0" w:beforeLines="0" w:after="0" w:afterLines="0" w:line="360" w:lineRule="auto"/>
        <w:ind w:firstLine="482" w:firstLineChars="200"/>
        <w:rPr>
          <w:rFonts w:hAnsi="宋体"/>
          <w:b/>
          <w:bCs/>
          <w:highlight w:val="none"/>
        </w:rPr>
      </w:pPr>
      <w:r>
        <w:rPr>
          <w:rFonts w:hint="eastAsia" w:hAnsi="宋体"/>
          <w:b/>
          <w:bCs/>
          <w:highlight w:val="none"/>
        </w:rPr>
        <w:t>本磋商文件由以下部分组成：</w:t>
      </w:r>
    </w:p>
    <w:p>
      <w:pPr>
        <w:numPr>
          <w:ilvl w:val="3"/>
          <w:numId w:val="10"/>
        </w:numPr>
        <w:snapToGrid w:val="0"/>
        <w:spacing w:line="360" w:lineRule="auto"/>
        <w:ind w:left="0" w:firstLine="480" w:firstLineChars="200"/>
        <w:jc w:val="left"/>
        <w:rPr>
          <w:rFonts w:ascii="宋体" w:hAnsi="宋体"/>
          <w:highlight w:val="none"/>
        </w:rPr>
      </w:pPr>
      <w:r>
        <w:rPr>
          <w:rFonts w:ascii="宋体" w:hAnsi="宋体"/>
          <w:highlight w:val="none"/>
        </w:rPr>
        <w:t>竞争性磋商公告</w:t>
      </w:r>
    </w:p>
    <w:p>
      <w:pPr>
        <w:numPr>
          <w:ilvl w:val="3"/>
          <w:numId w:val="10"/>
        </w:numPr>
        <w:snapToGrid w:val="0"/>
        <w:spacing w:line="360" w:lineRule="auto"/>
        <w:ind w:left="0" w:firstLine="480" w:firstLineChars="200"/>
        <w:jc w:val="left"/>
        <w:rPr>
          <w:rFonts w:ascii="宋体" w:hAnsi="宋体"/>
          <w:highlight w:val="none"/>
        </w:rPr>
      </w:pPr>
      <w:r>
        <w:rPr>
          <w:rFonts w:ascii="宋体" w:hAnsi="宋体"/>
          <w:highlight w:val="none"/>
        </w:rPr>
        <w:t>磋商项目需求</w:t>
      </w:r>
    </w:p>
    <w:p>
      <w:pPr>
        <w:numPr>
          <w:ilvl w:val="3"/>
          <w:numId w:val="10"/>
        </w:numPr>
        <w:snapToGrid w:val="0"/>
        <w:spacing w:line="360" w:lineRule="auto"/>
        <w:ind w:left="0" w:firstLine="480" w:firstLineChars="200"/>
        <w:jc w:val="left"/>
        <w:rPr>
          <w:rFonts w:ascii="宋体" w:hAnsi="宋体"/>
          <w:highlight w:val="none"/>
        </w:rPr>
      </w:pPr>
      <w:r>
        <w:rPr>
          <w:rFonts w:hint="eastAsia" w:ascii="宋体" w:hAnsi="宋体"/>
          <w:highlight w:val="none"/>
        </w:rPr>
        <w:t>磋商须知</w:t>
      </w:r>
    </w:p>
    <w:p>
      <w:pPr>
        <w:numPr>
          <w:ilvl w:val="3"/>
          <w:numId w:val="10"/>
        </w:numPr>
        <w:snapToGrid w:val="0"/>
        <w:spacing w:line="360" w:lineRule="auto"/>
        <w:ind w:left="0" w:firstLine="480" w:firstLineChars="200"/>
        <w:jc w:val="left"/>
        <w:rPr>
          <w:rFonts w:ascii="宋体" w:hAnsi="宋体"/>
          <w:highlight w:val="none"/>
        </w:rPr>
      </w:pPr>
      <w:r>
        <w:rPr>
          <w:rFonts w:ascii="宋体" w:hAnsi="宋体"/>
          <w:highlight w:val="none"/>
        </w:rPr>
        <w:t>评审办法及标准</w:t>
      </w:r>
    </w:p>
    <w:p>
      <w:pPr>
        <w:numPr>
          <w:ilvl w:val="3"/>
          <w:numId w:val="10"/>
        </w:numPr>
        <w:snapToGrid w:val="0"/>
        <w:spacing w:line="360" w:lineRule="auto"/>
        <w:ind w:left="0" w:firstLine="480" w:firstLineChars="200"/>
        <w:jc w:val="left"/>
        <w:rPr>
          <w:rFonts w:ascii="宋体" w:hAnsi="宋体"/>
          <w:highlight w:val="none"/>
        </w:rPr>
      </w:pPr>
      <w:r>
        <w:rPr>
          <w:rFonts w:hint="eastAsia" w:ascii="宋体" w:hAnsi="宋体"/>
          <w:highlight w:val="none"/>
        </w:rPr>
        <w:t>采购合同（指引）</w:t>
      </w:r>
    </w:p>
    <w:p>
      <w:pPr>
        <w:numPr>
          <w:ilvl w:val="3"/>
          <w:numId w:val="10"/>
        </w:numPr>
        <w:snapToGrid w:val="0"/>
        <w:spacing w:line="360" w:lineRule="auto"/>
        <w:ind w:left="0" w:firstLine="480" w:firstLineChars="200"/>
        <w:jc w:val="left"/>
        <w:rPr>
          <w:rFonts w:hint="eastAsia" w:ascii="宋体" w:hAnsi="宋体"/>
          <w:highlight w:val="none"/>
        </w:rPr>
      </w:pPr>
      <w:r>
        <w:rPr>
          <w:rFonts w:ascii="宋体" w:hAnsi="宋体"/>
          <w:highlight w:val="none"/>
        </w:rPr>
        <w:t>响应文件格式</w:t>
      </w:r>
    </w:p>
    <w:p>
      <w:pPr>
        <w:numPr>
          <w:ilvl w:val="3"/>
          <w:numId w:val="10"/>
        </w:numPr>
        <w:snapToGrid w:val="0"/>
        <w:spacing w:line="360" w:lineRule="auto"/>
        <w:ind w:left="0" w:firstLine="480" w:firstLineChars="200"/>
        <w:jc w:val="left"/>
        <w:rPr>
          <w:rFonts w:hint="eastAsia" w:ascii="宋体" w:hAnsi="宋体"/>
          <w:highlight w:val="none"/>
        </w:rPr>
      </w:pPr>
      <w:r>
        <w:rPr>
          <w:rFonts w:hint="eastAsia" w:ascii="宋体" w:hAnsi="宋体"/>
          <w:highlight w:val="none"/>
        </w:rPr>
        <w:t>附件</w:t>
      </w:r>
    </w:p>
    <w:p>
      <w:pPr>
        <w:pStyle w:val="68"/>
        <w:numPr>
          <w:ilvl w:val="3"/>
          <w:numId w:val="10"/>
        </w:numPr>
        <w:adjustRightInd w:val="0"/>
        <w:snapToGrid w:val="0"/>
        <w:ind w:left="0" w:firstLine="480"/>
        <w:jc w:val="left"/>
        <w:rPr>
          <w:rFonts w:hint="eastAsia" w:ascii="宋体" w:hAnsi="宋体"/>
          <w:highlight w:val="none"/>
        </w:rPr>
      </w:pPr>
      <w:r>
        <w:rPr>
          <w:rFonts w:hint="eastAsia" w:ascii="宋体" w:hAnsi="宋体"/>
          <w:highlight w:val="none"/>
        </w:rPr>
        <w:t>本项目</w:t>
      </w:r>
      <w:r>
        <w:rPr>
          <w:rFonts w:ascii="宋体" w:hAnsi="宋体"/>
          <w:highlight w:val="none"/>
        </w:rPr>
        <w:t>磋商文件</w:t>
      </w:r>
      <w:r>
        <w:rPr>
          <w:rFonts w:hint="eastAsia" w:ascii="宋体" w:hAnsi="宋体"/>
          <w:highlight w:val="none"/>
        </w:rPr>
        <w:t>的</w:t>
      </w:r>
      <w:r>
        <w:rPr>
          <w:rFonts w:ascii="宋体" w:hAnsi="宋体"/>
          <w:highlight w:val="none"/>
        </w:rPr>
        <w:t>澄清、答复、修改、补充的内容</w:t>
      </w:r>
    </w:p>
    <w:p>
      <w:pPr>
        <w:pStyle w:val="20"/>
        <w:snapToGrid w:val="0"/>
        <w:spacing w:before="0" w:beforeLines="0" w:after="0" w:afterLines="0" w:line="360" w:lineRule="auto"/>
        <w:ind w:firstLine="482" w:firstLineChars="200"/>
        <w:outlineLvl w:val="1"/>
        <w:rPr>
          <w:rFonts w:hAnsi="宋体"/>
          <w:b/>
          <w:bCs/>
          <w:highlight w:val="none"/>
        </w:rPr>
      </w:pPr>
      <w:r>
        <w:rPr>
          <w:rFonts w:hint="eastAsia" w:hAnsi="宋体"/>
          <w:b/>
          <w:bCs/>
          <w:highlight w:val="none"/>
        </w:rPr>
        <w:t>（二）供应商的风险</w:t>
      </w:r>
    </w:p>
    <w:p>
      <w:pPr>
        <w:pStyle w:val="28"/>
        <w:spacing w:line="360" w:lineRule="auto"/>
        <w:rPr>
          <w:rFonts w:ascii="宋体" w:eastAsia="宋体"/>
          <w:color w:val="auto"/>
          <w:highlight w:val="none"/>
        </w:rPr>
      </w:pPr>
      <w:r>
        <w:rPr>
          <w:rFonts w:hint="eastAsia" w:ascii="宋体" w:eastAsia="宋体"/>
          <w:color w:val="auto"/>
          <w:highlight w:val="none"/>
        </w:rPr>
        <w:t>供应商没有按照磋商文件要求提供全部资料，或者供应商没有对磋商文件在各方面作出实质性响应是供应商的风险，并可能导致其磋商为无效响应。</w:t>
      </w:r>
    </w:p>
    <w:p>
      <w:pPr>
        <w:pStyle w:val="20"/>
        <w:snapToGrid w:val="0"/>
        <w:spacing w:before="0" w:beforeLines="0" w:after="0" w:afterLines="0" w:line="360" w:lineRule="auto"/>
        <w:ind w:firstLine="482" w:firstLineChars="200"/>
        <w:outlineLvl w:val="1"/>
        <w:rPr>
          <w:rFonts w:hAnsi="宋体"/>
          <w:b/>
          <w:bCs/>
          <w:highlight w:val="none"/>
        </w:rPr>
      </w:pPr>
      <w:r>
        <w:rPr>
          <w:rFonts w:hint="eastAsia" w:hAnsi="宋体"/>
          <w:b/>
          <w:bCs/>
          <w:highlight w:val="none"/>
        </w:rPr>
        <w:t>（三）磋商文件的澄清与修改</w:t>
      </w:r>
      <w:r>
        <w:rPr>
          <w:rFonts w:hAnsi="宋体"/>
          <w:b/>
          <w:bCs/>
          <w:highlight w:val="none"/>
        </w:rPr>
        <w:t xml:space="preserve"> </w:t>
      </w:r>
    </w:p>
    <w:p>
      <w:pPr>
        <w:pStyle w:val="20"/>
        <w:snapToGrid w:val="0"/>
        <w:spacing w:before="0" w:beforeLines="0" w:after="0" w:afterLines="0" w:line="360" w:lineRule="auto"/>
        <w:ind w:firstLine="480" w:firstLineChars="200"/>
        <w:rPr>
          <w:rFonts w:hAnsi="宋体"/>
          <w:highlight w:val="none"/>
        </w:rPr>
      </w:pPr>
      <w:r>
        <w:rPr>
          <w:rFonts w:hAnsi="宋体"/>
          <w:highlight w:val="none"/>
        </w:rPr>
        <w:t>1</w:t>
      </w:r>
      <w:r>
        <w:rPr>
          <w:rFonts w:hint="eastAsia" w:hAnsi="宋体"/>
          <w:highlight w:val="none"/>
        </w:rPr>
        <w:t>.</w:t>
      </w:r>
      <w:r>
        <w:rPr>
          <w:rFonts w:hAnsi="宋体"/>
          <w:bCs/>
          <w:highlight w:val="none"/>
        </w:rPr>
        <w:t>供应商应认真阅读本磋商文件，发现其中有误或有不合理要求的，</w:t>
      </w:r>
      <w:r>
        <w:rPr>
          <w:rFonts w:hint="eastAsia" w:hAnsi="宋体"/>
          <w:bCs/>
          <w:highlight w:val="none"/>
        </w:rPr>
        <w:t>可</w:t>
      </w:r>
      <w:r>
        <w:rPr>
          <w:rFonts w:hAnsi="宋体"/>
          <w:bCs/>
          <w:highlight w:val="none"/>
        </w:rPr>
        <w:t>要求采购代理机构澄清</w:t>
      </w:r>
      <w:r>
        <w:rPr>
          <w:rFonts w:hAnsi="宋体"/>
          <w:highlight w:val="none"/>
        </w:rPr>
        <w:t>。</w:t>
      </w:r>
      <w:r>
        <w:rPr>
          <w:rFonts w:hint="eastAsia" w:hAnsi="宋体"/>
          <w:highlight w:val="none"/>
        </w:rPr>
        <w:t>采购代理机构</w:t>
      </w:r>
      <w:r>
        <w:rPr>
          <w:rFonts w:hAnsi="宋体"/>
          <w:highlight w:val="none"/>
        </w:rPr>
        <w:t>对已发出的磋商文件进行必要</w:t>
      </w:r>
      <w:r>
        <w:rPr>
          <w:rFonts w:hint="eastAsia" w:ascii="宋体" w:hAnsi="宋体" w:cs="宋体"/>
          <w:color w:val="auto"/>
          <w:szCs w:val="24"/>
          <w:highlight w:val="none"/>
        </w:rPr>
        <w:t>澄清、答复、修改或补充</w:t>
      </w:r>
      <w:r>
        <w:rPr>
          <w:rFonts w:hAnsi="宋体"/>
          <w:highlight w:val="none"/>
        </w:rPr>
        <w:t>的，应当在磋商文件要求提交响应文件截止五日前，</w:t>
      </w:r>
      <w:r>
        <w:rPr>
          <w:rFonts w:hint="eastAsia" w:hAnsi="宋体"/>
          <w:highlight w:val="none"/>
        </w:rPr>
        <w:t>在浙江政府采购网(https://zfcg.czt.zj.gov.cn/)上发布更正公告，请投标人在投标截止前及时关注。</w:t>
      </w:r>
      <w:r>
        <w:rPr>
          <w:rFonts w:hint="eastAsia" w:hAnsi="宋体"/>
          <w:highlight w:val="none"/>
          <w:lang w:eastAsia="zh-CN"/>
        </w:rPr>
        <w:t>磋商文件</w:t>
      </w:r>
      <w:r>
        <w:rPr>
          <w:rFonts w:hint="eastAsia" w:hAnsi="宋体"/>
          <w:highlight w:val="none"/>
        </w:rPr>
        <w:t>的要澄清、答复、修改或补充，一经在上述媒体发布，即视所有投标人都已经收到相关文件</w:t>
      </w:r>
      <w:r>
        <w:rPr>
          <w:rFonts w:hAnsi="宋体"/>
          <w:highlight w:val="none"/>
        </w:rPr>
        <w:t>。</w:t>
      </w:r>
    </w:p>
    <w:p>
      <w:pPr>
        <w:pStyle w:val="20"/>
        <w:snapToGrid w:val="0"/>
        <w:spacing w:before="0" w:beforeLines="0" w:after="0" w:afterLines="0" w:line="360" w:lineRule="auto"/>
        <w:ind w:firstLine="480" w:firstLineChars="200"/>
        <w:rPr>
          <w:rFonts w:hint="eastAsia" w:hAnsi="宋体"/>
          <w:highlight w:val="none"/>
        </w:rPr>
      </w:pPr>
      <w:r>
        <w:rPr>
          <w:rFonts w:hAnsi="宋体"/>
          <w:highlight w:val="none"/>
        </w:rPr>
        <w:t>2</w:t>
      </w:r>
      <w:r>
        <w:rPr>
          <w:rFonts w:hint="eastAsia" w:hAnsi="宋体"/>
          <w:highlight w:val="none"/>
        </w:rPr>
        <w:t>.</w:t>
      </w:r>
      <w:r>
        <w:rPr>
          <w:rFonts w:hint="eastAsia" w:ascii="宋体" w:hAnsi="宋体" w:cs="宋体"/>
          <w:color w:val="auto"/>
          <w:szCs w:val="24"/>
          <w:highlight w:val="none"/>
        </w:rPr>
        <w:t>采购代理机构以公告形式答复投标人要求澄清的问题，但不包含问题来源；除上述媒体发布的答复以外的其他澄清方式及澄清内容均无效</w:t>
      </w:r>
      <w:r>
        <w:rPr>
          <w:rFonts w:hAnsi="宋体"/>
          <w:highlight w:val="none"/>
        </w:rPr>
        <w:t>。</w:t>
      </w:r>
    </w:p>
    <w:p>
      <w:pPr>
        <w:pStyle w:val="20"/>
        <w:snapToGrid w:val="0"/>
        <w:spacing w:before="0" w:beforeLines="0" w:after="0" w:afterLines="0" w:line="360" w:lineRule="auto"/>
        <w:ind w:firstLine="480" w:firstLineChars="200"/>
        <w:rPr>
          <w:rFonts w:hint="eastAsia" w:hAnsi="宋体"/>
          <w:highlight w:val="none"/>
        </w:rPr>
      </w:pPr>
      <w:r>
        <w:rPr>
          <w:rFonts w:hint="eastAsia" w:hAnsi="宋体"/>
          <w:highlight w:val="none"/>
        </w:rPr>
        <w:t>3.</w:t>
      </w:r>
      <w:r>
        <w:rPr>
          <w:rFonts w:hint="eastAsia" w:hAnsi="宋体"/>
          <w:highlight w:val="none"/>
          <w:lang w:eastAsia="zh-CN"/>
        </w:rPr>
        <w:t>磋商文件</w:t>
      </w:r>
      <w:r>
        <w:rPr>
          <w:rFonts w:hint="eastAsia" w:hAnsi="宋体"/>
          <w:highlight w:val="none"/>
        </w:rPr>
        <w:t>澄清、答复、修改、补充的内容为</w:t>
      </w:r>
      <w:r>
        <w:rPr>
          <w:rFonts w:hint="eastAsia" w:hAnsi="宋体"/>
          <w:highlight w:val="none"/>
          <w:lang w:eastAsia="zh-CN"/>
        </w:rPr>
        <w:t>磋商文件</w:t>
      </w:r>
      <w:r>
        <w:rPr>
          <w:rFonts w:hint="eastAsia" w:hAnsi="宋体"/>
          <w:highlight w:val="none"/>
        </w:rPr>
        <w:t>的组成部分。当</w:t>
      </w:r>
      <w:r>
        <w:rPr>
          <w:rFonts w:hAnsi="宋体"/>
          <w:bCs/>
          <w:highlight w:val="none"/>
        </w:rPr>
        <w:t>磋商文件</w:t>
      </w:r>
      <w:r>
        <w:rPr>
          <w:rFonts w:hint="eastAsia" w:hAnsi="宋体"/>
          <w:highlight w:val="none"/>
        </w:rPr>
        <w:t>与</w:t>
      </w:r>
      <w:r>
        <w:rPr>
          <w:rFonts w:hAnsi="宋体"/>
          <w:bCs/>
          <w:highlight w:val="none"/>
        </w:rPr>
        <w:t>磋商文件</w:t>
      </w:r>
      <w:r>
        <w:rPr>
          <w:rFonts w:hint="eastAsia" w:hAnsi="宋体"/>
          <w:highlight w:val="none"/>
        </w:rPr>
        <w:t>的答复、澄清、修改、补充通知就同一内容的表述不一致时，以最后发出的文件为准。</w:t>
      </w:r>
    </w:p>
    <w:p>
      <w:pPr>
        <w:pStyle w:val="20"/>
        <w:snapToGrid w:val="0"/>
        <w:spacing w:before="0" w:beforeLines="0" w:after="0" w:afterLines="0" w:line="360" w:lineRule="auto"/>
        <w:ind w:firstLine="480" w:firstLineChars="200"/>
        <w:rPr>
          <w:rFonts w:hint="eastAsia" w:hAnsi="宋体"/>
          <w:highlight w:val="none"/>
        </w:rPr>
      </w:pPr>
      <w:r>
        <w:rPr>
          <w:rFonts w:hint="eastAsia" w:hAnsi="宋体"/>
          <w:highlight w:val="none"/>
        </w:rPr>
        <w:t>4.</w:t>
      </w:r>
      <w:r>
        <w:rPr>
          <w:rFonts w:hAnsi="宋体"/>
          <w:bCs/>
          <w:highlight w:val="none"/>
        </w:rPr>
        <w:t>磋商文件</w:t>
      </w:r>
      <w:r>
        <w:rPr>
          <w:rFonts w:hint="eastAsia" w:hAnsi="宋体"/>
          <w:highlight w:val="none"/>
        </w:rPr>
        <w:t>的澄清、答复、修改或补充都应该通过本代理机构以法定形式发布，采购人非通过本机构，不得擅自澄清、答复、修改或补充</w:t>
      </w:r>
      <w:r>
        <w:rPr>
          <w:rFonts w:hAnsi="宋体"/>
          <w:bCs/>
          <w:highlight w:val="none"/>
        </w:rPr>
        <w:t>磋商文件</w:t>
      </w:r>
      <w:r>
        <w:rPr>
          <w:rFonts w:hAnsi="宋体"/>
          <w:highlight w:val="none"/>
        </w:rPr>
        <w:t>。</w:t>
      </w:r>
    </w:p>
    <w:p>
      <w:pPr>
        <w:pStyle w:val="20"/>
        <w:snapToGrid w:val="0"/>
        <w:spacing w:before="120" w:beforeLines="0" w:after="120" w:afterLines="0" w:line="360" w:lineRule="auto"/>
        <w:jc w:val="center"/>
        <w:outlineLvl w:val="1"/>
        <w:rPr>
          <w:rFonts w:hint="eastAsia" w:hAnsi="宋体"/>
          <w:b/>
          <w:sz w:val="32"/>
          <w:szCs w:val="32"/>
          <w:highlight w:val="none"/>
        </w:rPr>
      </w:pPr>
      <w:r>
        <w:rPr>
          <w:rFonts w:hAnsi="宋体"/>
          <w:b/>
          <w:sz w:val="32"/>
          <w:szCs w:val="32"/>
          <w:highlight w:val="none"/>
        </w:rPr>
        <w:t>三、响应文件的编制</w:t>
      </w:r>
    </w:p>
    <w:p>
      <w:pPr>
        <w:pStyle w:val="20"/>
        <w:snapToGrid w:val="0"/>
        <w:spacing w:before="0" w:beforeLines="0" w:after="0" w:afterLines="0" w:line="360" w:lineRule="auto"/>
        <w:ind w:firstLine="482" w:firstLineChars="200"/>
        <w:rPr>
          <w:rFonts w:hint="eastAsia" w:hAnsi="宋体"/>
          <w:b/>
          <w:highlight w:val="none"/>
        </w:rPr>
      </w:pPr>
      <w:r>
        <w:rPr>
          <w:rFonts w:hint="eastAsia" w:hAnsi="宋体"/>
          <w:b/>
          <w:highlight w:val="none"/>
        </w:rPr>
        <w:t>本项目所涉响应文件格式请详见第六章，未给出的格式请自拟</w:t>
      </w:r>
      <w:r>
        <w:rPr>
          <w:rFonts w:hint="eastAsia" w:hAnsi="宋体"/>
          <w:b/>
          <w:highlight w:val="none"/>
          <w:lang w:val="en-US" w:eastAsia="zh-CN"/>
        </w:rPr>
        <w:t>,</w:t>
      </w:r>
      <w:r>
        <w:rPr>
          <w:rFonts w:hint="eastAsia" w:hAnsi="宋体"/>
          <w:b/>
          <w:highlight w:val="none"/>
        </w:rPr>
        <w:t>资信商务及技术文件中不得出现报价，否则响应文件将被视为无效。</w:t>
      </w:r>
    </w:p>
    <w:p>
      <w:pPr>
        <w:pStyle w:val="20"/>
        <w:snapToGrid w:val="0"/>
        <w:spacing w:before="0" w:beforeLines="0" w:after="0" w:afterLines="0" w:line="360" w:lineRule="auto"/>
        <w:ind w:firstLine="482" w:firstLineChars="200"/>
        <w:outlineLvl w:val="1"/>
        <w:rPr>
          <w:rFonts w:hint="eastAsia" w:hAnsi="宋体"/>
          <w:b/>
          <w:bCs/>
          <w:highlight w:val="none"/>
        </w:rPr>
      </w:pPr>
      <w:bookmarkStart w:id="24" w:name="_Toc406402944"/>
      <w:bookmarkStart w:id="25" w:name="_Toc406402988"/>
      <w:r>
        <w:rPr>
          <w:rFonts w:hint="eastAsia" w:hAnsi="宋体"/>
          <w:b/>
          <w:bCs/>
          <w:highlight w:val="none"/>
        </w:rPr>
        <w:t>（一）响应文件的组成</w:t>
      </w:r>
      <w:bookmarkEnd w:id="24"/>
      <w:bookmarkEnd w:id="25"/>
    </w:p>
    <w:p>
      <w:pPr>
        <w:adjustRightInd w:val="0"/>
        <w:snapToGrid w:val="0"/>
        <w:spacing w:line="360" w:lineRule="auto"/>
        <w:ind w:firstLine="480" w:firstLineChars="200"/>
        <w:jc w:val="left"/>
        <w:rPr>
          <w:rFonts w:ascii="宋体" w:hAnsi="宋体"/>
          <w:highlight w:val="none"/>
        </w:rPr>
      </w:pPr>
      <w:bookmarkStart w:id="26" w:name="_Toc406402989"/>
      <w:bookmarkStart w:id="27" w:name="_Toc406402945"/>
      <w:r>
        <w:rPr>
          <w:rFonts w:hint="eastAsia" w:ascii="宋体" w:hAnsi="宋体"/>
          <w:highlight w:val="none"/>
        </w:rPr>
        <w:t>响应文件由资格文件、资信商务及技术文件、报价文件三部分组成。</w:t>
      </w:r>
    </w:p>
    <w:p>
      <w:pPr>
        <w:numPr>
          <w:ilvl w:val="0"/>
          <w:numId w:val="11"/>
        </w:numPr>
        <w:adjustRightInd w:val="0"/>
        <w:snapToGrid w:val="0"/>
        <w:spacing w:line="360" w:lineRule="auto"/>
        <w:ind w:left="0" w:firstLine="708" w:firstLineChars="294"/>
        <w:jc w:val="left"/>
        <w:rPr>
          <w:rFonts w:hint="eastAsia" w:ascii="宋体" w:hAnsi="宋体"/>
          <w:b/>
          <w:highlight w:val="none"/>
        </w:rPr>
      </w:pPr>
      <w:r>
        <w:rPr>
          <w:rFonts w:hint="eastAsia" w:ascii="宋体" w:hAnsi="宋体"/>
          <w:b/>
          <w:highlight w:val="none"/>
        </w:rPr>
        <w:t>资格文件</w:t>
      </w:r>
    </w:p>
    <w:p>
      <w:pPr>
        <w:numPr>
          <w:ilvl w:val="0"/>
          <w:numId w:val="12"/>
        </w:numPr>
        <w:tabs>
          <w:tab w:val="left" w:pos="1418"/>
        </w:tabs>
        <w:adjustRightInd w:val="0"/>
        <w:snapToGrid w:val="0"/>
        <w:spacing w:line="360" w:lineRule="auto"/>
        <w:ind w:left="0" w:firstLine="705" w:firstLineChars="294"/>
        <w:jc w:val="left"/>
        <w:rPr>
          <w:rFonts w:hint="eastAsia" w:ascii="宋体" w:hAnsi="宋体"/>
          <w:highlight w:val="none"/>
        </w:rPr>
      </w:pPr>
      <w:r>
        <w:rPr>
          <w:rFonts w:hint="eastAsia" w:ascii="宋体" w:hAnsi="宋体"/>
          <w:highlight w:val="none"/>
          <w:lang w:val="en-US" w:eastAsia="zh-CN"/>
        </w:rPr>
        <w:t>提供</w:t>
      </w:r>
      <w:r>
        <w:rPr>
          <w:rFonts w:ascii="宋体" w:hAnsi="宋体"/>
          <w:highlight w:val="none"/>
        </w:rPr>
        <w:t>符合参加政府采购活动应当具备的一般条件的承诺函</w:t>
      </w:r>
      <w:r>
        <w:rPr>
          <w:rFonts w:hint="eastAsia" w:cs="宋体"/>
          <w:highlight w:val="none"/>
        </w:rPr>
        <w:t>（格式见第六章）</w:t>
      </w:r>
    </w:p>
    <w:p>
      <w:pPr>
        <w:numPr>
          <w:ilvl w:val="0"/>
          <w:numId w:val="12"/>
        </w:numPr>
        <w:tabs>
          <w:tab w:val="left" w:pos="1418"/>
        </w:tabs>
        <w:adjustRightInd w:val="0"/>
        <w:snapToGrid w:val="0"/>
        <w:spacing w:line="360" w:lineRule="auto"/>
        <w:ind w:left="0" w:firstLine="705" w:firstLineChars="294"/>
        <w:jc w:val="left"/>
        <w:rPr>
          <w:rFonts w:hint="eastAsia" w:ascii="宋体" w:hAnsi="宋体"/>
          <w:highlight w:val="none"/>
        </w:rPr>
      </w:pPr>
      <w:r>
        <w:rPr>
          <w:rFonts w:hint="eastAsia" w:ascii="宋体" w:hAnsi="宋体"/>
          <w:highlight w:val="none"/>
          <w:lang w:val="en-US" w:eastAsia="zh-CN"/>
        </w:rPr>
        <w:t>提供</w:t>
      </w:r>
      <w:r>
        <w:rPr>
          <w:rFonts w:hint="eastAsia" w:ascii="宋体" w:hAnsi="宋体"/>
          <w:highlight w:val="none"/>
        </w:rPr>
        <w:t>有效的企业营业执照（或事业法人登记证或其他登记证明材料）；供应商如果有名称变更的，应提供由行政主管部门出具的变更证明文件。</w:t>
      </w:r>
    </w:p>
    <w:p>
      <w:pPr>
        <w:numPr>
          <w:ilvl w:val="0"/>
          <w:numId w:val="12"/>
        </w:numPr>
        <w:tabs>
          <w:tab w:val="left" w:pos="1418"/>
        </w:tabs>
        <w:adjustRightInd w:val="0"/>
        <w:snapToGrid w:val="0"/>
        <w:spacing w:line="360" w:lineRule="auto"/>
        <w:ind w:left="0" w:firstLine="705" w:firstLineChars="294"/>
        <w:jc w:val="left"/>
        <w:rPr>
          <w:rFonts w:hint="eastAsia" w:ascii="宋体" w:hAnsi="宋体"/>
          <w:highlight w:val="none"/>
        </w:rPr>
      </w:pPr>
      <w:r>
        <w:rPr>
          <w:rFonts w:ascii="宋体" w:hAnsi="宋体"/>
          <w:highlight w:val="none"/>
        </w:rPr>
        <w:t>落实政府采购政策需满足的资格要求：</w:t>
      </w:r>
      <w:r>
        <w:rPr>
          <w:rFonts w:hint="eastAsia" w:ascii="宋体" w:hAnsi="宋体"/>
          <w:highlight w:val="none"/>
        </w:rPr>
        <w:t>供应商为中小企业（提供中小企业声明函或监狱和戒毒企业企业证明材料或残疾人福利性单位声明函）</w:t>
      </w:r>
      <w:r>
        <w:rPr>
          <w:rFonts w:hint="eastAsia" w:cs="宋体"/>
          <w:highlight w:val="none"/>
        </w:rPr>
        <w:t>（格式见第六章）</w:t>
      </w:r>
    </w:p>
    <w:p>
      <w:pPr>
        <w:numPr>
          <w:ilvl w:val="0"/>
          <w:numId w:val="12"/>
        </w:numPr>
        <w:tabs>
          <w:tab w:val="left" w:pos="1418"/>
        </w:tabs>
        <w:adjustRightInd w:val="0"/>
        <w:snapToGrid w:val="0"/>
        <w:spacing w:line="360" w:lineRule="auto"/>
        <w:ind w:left="0" w:firstLine="705" w:firstLineChars="294"/>
        <w:jc w:val="left"/>
        <w:rPr>
          <w:rFonts w:hint="eastAsia" w:ascii="宋体" w:hAnsi="宋体"/>
          <w:highlight w:val="none"/>
        </w:rPr>
      </w:pPr>
      <w:r>
        <w:rPr>
          <w:rFonts w:hint="eastAsia" w:ascii="宋体" w:hAnsi="宋体"/>
          <w:highlight w:val="none"/>
        </w:rPr>
        <w:t>本项目的特定资格要求证明文件：</w:t>
      </w:r>
      <w:r>
        <w:rPr>
          <w:rFonts w:hint="eastAsia" w:ascii="宋体" w:hAnsi="宋体"/>
          <w:highlight w:val="none"/>
          <w:lang w:eastAsia="zh-CN"/>
        </w:rPr>
        <w:t>无</w:t>
      </w:r>
    </w:p>
    <w:p>
      <w:pPr>
        <w:adjustRightInd w:val="0"/>
        <w:snapToGrid w:val="0"/>
        <w:spacing w:line="360" w:lineRule="auto"/>
        <w:ind w:firstLine="705" w:firstLineChars="294"/>
        <w:jc w:val="left"/>
        <w:rPr>
          <w:rFonts w:hint="eastAsia" w:ascii="宋体" w:hAnsi="宋体"/>
          <w:b/>
          <w:highlight w:val="none"/>
        </w:rPr>
      </w:pPr>
      <w:r>
        <w:rPr>
          <w:rFonts w:ascii="宋体" w:hAnsi="宋体"/>
          <w:highlight w:val="none"/>
        </w:rPr>
        <w:t>▲</w:t>
      </w:r>
      <w:r>
        <w:rPr>
          <w:rFonts w:hint="eastAsia" w:ascii="宋体" w:hAnsi="宋体"/>
          <w:b/>
          <w:highlight w:val="none"/>
        </w:rPr>
        <w:t>注：</w:t>
      </w:r>
      <w:r>
        <w:rPr>
          <w:rFonts w:hint="eastAsia" w:ascii="宋体" w:hAnsi="宋体"/>
          <w:b/>
          <w:bCs/>
          <w:highlight w:val="none"/>
        </w:rPr>
        <w:t>上述资格条件审查材料有一项不提供或未</w:t>
      </w:r>
      <w:r>
        <w:rPr>
          <w:rFonts w:hint="eastAsia" w:ascii="宋体" w:hAnsi="宋体"/>
          <w:b/>
          <w:highlight w:val="none"/>
        </w:rPr>
        <w:t>加盖供应商公章的</w:t>
      </w:r>
      <w:r>
        <w:rPr>
          <w:rFonts w:hint="eastAsia" w:ascii="宋体" w:hAnsi="宋体"/>
          <w:b/>
          <w:bCs/>
          <w:highlight w:val="none"/>
        </w:rPr>
        <w:t>，视为资格审查不通过。</w:t>
      </w:r>
    </w:p>
    <w:p>
      <w:pPr>
        <w:numPr>
          <w:ilvl w:val="0"/>
          <w:numId w:val="11"/>
        </w:numPr>
        <w:adjustRightInd w:val="0"/>
        <w:snapToGrid w:val="0"/>
        <w:spacing w:line="360" w:lineRule="auto"/>
        <w:ind w:left="0" w:firstLine="482" w:firstLineChars="200"/>
        <w:jc w:val="left"/>
        <w:rPr>
          <w:rFonts w:ascii="宋体" w:hAnsi="宋体"/>
          <w:b/>
          <w:highlight w:val="none"/>
        </w:rPr>
      </w:pPr>
      <w:r>
        <w:rPr>
          <w:rFonts w:hint="eastAsia" w:ascii="宋体" w:hAnsi="宋体"/>
          <w:b/>
          <w:highlight w:val="none"/>
        </w:rPr>
        <w:t>资信商务及技术文件</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资信商务及技术自评表</w:t>
      </w:r>
      <w:r>
        <w:rPr>
          <w:rFonts w:hint="eastAsia" w:cs="宋体"/>
          <w:highlight w:val="none"/>
        </w:rPr>
        <w:t>（格式见第六章）</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磋商函</w:t>
      </w:r>
      <w:r>
        <w:rPr>
          <w:rFonts w:hint="eastAsia" w:cs="宋体"/>
          <w:highlight w:val="none"/>
        </w:rPr>
        <w:t>（格式见第六章）</w:t>
      </w:r>
    </w:p>
    <w:p>
      <w:pPr>
        <w:numPr>
          <w:ilvl w:val="0"/>
          <w:numId w:val="13"/>
        </w:numPr>
        <w:adjustRightInd w:val="0"/>
        <w:snapToGrid w:val="0"/>
        <w:spacing w:line="360" w:lineRule="auto"/>
        <w:ind w:left="0" w:firstLine="426"/>
        <w:jc w:val="left"/>
        <w:rPr>
          <w:rFonts w:ascii="宋体" w:hAnsi="宋体"/>
          <w:highlight w:val="none"/>
        </w:rPr>
      </w:pPr>
      <w:r>
        <w:rPr>
          <w:rFonts w:ascii="宋体" w:hAnsi="宋体"/>
          <w:highlight w:val="none"/>
        </w:rPr>
        <w:t>法定代表人授权委托书</w:t>
      </w:r>
      <w:r>
        <w:rPr>
          <w:rFonts w:hint="eastAsia" w:ascii="宋体" w:hAnsi="宋体"/>
          <w:highlight w:val="none"/>
        </w:rPr>
        <w:t>（如法定代表人参加磋商的提供法定代表人身份证明书）</w:t>
      </w:r>
      <w:r>
        <w:rPr>
          <w:rFonts w:hint="eastAsia" w:cs="宋体"/>
          <w:highlight w:val="none"/>
        </w:rPr>
        <w:t>（格式见第六章）</w:t>
      </w:r>
    </w:p>
    <w:p>
      <w:pPr>
        <w:numPr>
          <w:ilvl w:val="0"/>
          <w:numId w:val="13"/>
        </w:numPr>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诚信承诺书</w:t>
      </w:r>
      <w:r>
        <w:rPr>
          <w:rFonts w:hint="eastAsia" w:cs="宋体"/>
          <w:highlight w:val="none"/>
        </w:rPr>
        <w:t>（格式见第六章）</w:t>
      </w:r>
    </w:p>
    <w:p>
      <w:pPr>
        <w:numPr>
          <w:ilvl w:val="0"/>
          <w:numId w:val="13"/>
        </w:numPr>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拟派项目组人员表</w:t>
      </w:r>
      <w:r>
        <w:rPr>
          <w:rFonts w:hint="eastAsia" w:cs="宋体"/>
          <w:highlight w:val="none"/>
        </w:rPr>
        <w:t>（格式见第六章）</w:t>
      </w:r>
    </w:p>
    <w:p>
      <w:pPr>
        <w:numPr>
          <w:ilvl w:val="0"/>
          <w:numId w:val="13"/>
        </w:numPr>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商务响应（偏离）表</w:t>
      </w:r>
      <w:r>
        <w:rPr>
          <w:rFonts w:hint="eastAsia" w:cs="宋体"/>
          <w:highlight w:val="none"/>
        </w:rPr>
        <w:t>（格式见第六章）</w:t>
      </w:r>
    </w:p>
    <w:p>
      <w:pPr>
        <w:numPr>
          <w:ilvl w:val="0"/>
          <w:numId w:val="13"/>
        </w:numPr>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诚信分</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节能、环保</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lang w:eastAsia="zh-CN"/>
        </w:rPr>
        <w:t>业绩要求（</w:t>
      </w:r>
      <w:r>
        <w:rPr>
          <w:rFonts w:hint="eastAsia" w:cs="宋体"/>
          <w:highlight w:val="none"/>
        </w:rPr>
        <w:t>格式见第六章同类业绩一览表</w:t>
      </w:r>
      <w:r>
        <w:rPr>
          <w:rFonts w:hint="eastAsia" w:ascii="宋体" w:hAnsi="宋体"/>
          <w:highlight w:val="none"/>
          <w:lang w:eastAsia="zh-CN"/>
        </w:rPr>
        <w:t>）</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合理化建议</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优惠条件</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相关认证情况</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技术指标偏离情况</w:t>
      </w:r>
      <w:r>
        <w:rPr>
          <w:rFonts w:hint="eastAsia" w:ascii="宋体" w:hAnsi="宋体"/>
          <w:highlight w:val="none"/>
          <w:lang w:eastAsia="zh-CN"/>
        </w:rPr>
        <w:t>（</w:t>
      </w:r>
      <w:r>
        <w:rPr>
          <w:rFonts w:hint="eastAsia" w:cs="宋体"/>
          <w:highlight w:val="none"/>
        </w:rPr>
        <w:t>格式见第六章</w:t>
      </w:r>
      <w:r>
        <w:rPr>
          <w:rFonts w:hint="eastAsia" w:ascii="宋体" w:hAnsi="宋体"/>
          <w:highlight w:val="none"/>
          <w:lang w:eastAsia="zh-CN"/>
        </w:rPr>
        <w:t>技术响应（偏离）表）</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highlight w:val="none"/>
        </w:rPr>
        <w:t>项目整体实施方案</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eastAsia="宋体" w:cs="宋体"/>
          <w:b w:val="0"/>
          <w:bCs w:val="0"/>
          <w:color w:val="auto"/>
          <w:sz w:val="24"/>
          <w:szCs w:val="24"/>
          <w:highlight w:val="none"/>
          <w:lang w:val="en-US" w:eastAsia="zh-CN"/>
        </w:rPr>
        <w:t>售后服务方案</w:t>
      </w:r>
    </w:p>
    <w:p>
      <w:pPr>
        <w:numPr>
          <w:ilvl w:val="0"/>
          <w:numId w:val="13"/>
        </w:numPr>
        <w:adjustRightInd w:val="0"/>
        <w:snapToGrid w:val="0"/>
        <w:spacing w:line="360" w:lineRule="auto"/>
        <w:ind w:left="0" w:firstLine="480" w:firstLineChars="200"/>
        <w:jc w:val="left"/>
        <w:rPr>
          <w:rFonts w:ascii="宋体" w:hAnsi="宋体"/>
          <w:highlight w:val="none"/>
        </w:rPr>
      </w:pPr>
      <w:r>
        <w:rPr>
          <w:rFonts w:hint="eastAsia" w:ascii="宋体" w:hAnsi="宋体" w:eastAsia="宋体" w:cs="宋体"/>
          <w:b w:val="0"/>
          <w:bCs w:val="0"/>
          <w:color w:val="auto"/>
          <w:sz w:val="24"/>
          <w:szCs w:val="24"/>
          <w:highlight w:val="none"/>
          <w:lang w:val="en-US" w:eastAsia="zh-CN"/>
        </w:rPr>
        <w:t>项目应急预案</w:t>
      </w:r>
    </w:p>
    <w:p>
      <w:pPr>
        <w:numPr>
          <w:ilvl w:val="0"/>
          <w:numId w:val="11"/>
        </w:numPr>
        <w:adjustRightInd w:val="0"/>
        <w:snapToGrid w:val="0"/>
        <w:spacing w:line="360" w:lineRule="auto"/>
        <w:ind w:left="0" w:firstLine="482" w:firstLineChars="200"/>
        <w:jc w:val="left"/>
        <w:rPr>
          <w:rFonts w:ascii="宋体" w:hAnsi="宋体"/>
          <w:b/>
          <w:highlight w:val="none"/>
        </w:rPr>
      </w:pPr>
      <w:r>
        <w:rPr>
          <w:rFonts w:hint="eastAsia" w:ascii="宋体" w:hAnsi="宋体"/>
          <w:b/>
          <w:highlight w:val="none"/>
        </w:rPr>
        <w:t>报价文件</w:t>
      </w:r>
    </w:p>
    <w:p>
      <w:pPr>
        <w:numPr>
          <w:ilvl w:val="0"/>
          <w:numId w:val="14"/>
        </w:numPr>
        <w:tabs>
          <w:tab w:val="left" w:pos="851"/>
          <w:tab w:val="left" w:pos="1134"/>
        </w:tabs>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开标一览表</w:t>
      </w:r>
    </w:p>
    <w:p>
      <w:pPr>
        <w:numPr>
          <w:ilvl w:val="0"/>
          <w:numId w:val="14"/>
        </w:numPr>
        <w:tabs>
          <w:tab w:val="left" w:pos="851"/>
          <w:tab w:val="left" w:pos="1134"/>
        </w:tabs>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投标报价明细表</w:t>
      </w:r>
    </w:p>
    <w:p>
      <w:pPr>
        <w:numPr>
          <w:ilvl w:val="0"/>
          <w:numId w:val="14"/>
        </w:numPr>
        <w:tabs>
          <w:tab w:val="left" w:pos="851"/>
          <w:tab w:val="left" w:pos="1134"/>
        </w:tabs>
        <w:adjustRightInd w:val="0"/>
        <w:snapToGrid w:val="0"/>
        <w:spacing w:line="360" w:lineRule="auto"/>
        <w:ind w:left="0" w:firstLine="480" w:firstLineChars="200"/>
        <w:jc w:val="left"/>
        <w:rPr>
          <w:rFonts w:hint="eastAsia" w:ascii="宋体" w:hAnsi="宋体"/>
          <w:highlight w:val="none"/>
        </w:rPr>
      </w:pPr>
      <w:r>
        <w:rPr>
          <w:rFonts w:hint="eastAsia" w:ascii="宋体" w:hAnsi="宋体"/>
          <w:highlight w:val="none"/>
        </w:rPr>
        <w:t>供应商针对报价需要说明的其他文件和说明。</w:t>
      </w:r>
    </w:p>
    <w:p>
      <w:pPr>
        <w:spacing w:line="360" w:lineRule="auto"/>
        <w:jc w:val="left"/>
        <w:rPr>
          <w:rFonts w:hint="eastAsia" w:ascii="宋体" w:hAnsi="宋体"/>
          <w:highlight w:val="none"/>
        </w:rPr>
      </w:pPr>
      <w:r>
        <w:rPr>
          <w:rFonts w:hint="eastAsia" w:ascii="宋体" w:hAnsi="宋体"/>
          <w:highlight w:val="none"/>
        </w:rPr>
        <w:t>注：响应文件制作：</w:t>
      </w:r>
    </w:p>
    <w:p>
      <w:pPr>
        <w:spacing w:line="360" w:lineRule="auto"/>
        <w:ind w:firstLine="480" w:firstLineChars="200"/>
        <w:jc w:val="left"/>
        <w:rPr>
          <w:rFonts w:hint="eastAsia" w:ascii="宋体" w:hAnsi="宋体"/>
          <w:highlight w:val="none"/>
        </w:rPr>
      </w:pPr>
      <w:r>
        <w:rPr>
          <w:rFonts w:hint="eastAsia" w:ascii="宋体" w:hAnsi="宋体"/>
          <w:highlight w:val="none"/>
        </w:rPr>
        <w:t>（1）应按照本项目采购文件和政府采购云平台的要求编制、加密并递交响应文件。供应商在使用系统进行响应的过程中遇到涉及平台使用的任何问题，可致电政府采购云平台技术支持热线咨询，联系方式：4008817190。</w:t>
      </w:r>
    </w:p>
    <w:p>
      <w:pPr>
        <w:spacing w:line="360" w:lineRule="auto"/>
        <w:ind w:firstLine="480" w:firstLineChars="200"/>
        <w:jc w:val="left"/>
        <w:rPr>
          <w:rFonts w:hint="eastAsia" w:ascii="宋体" w:hAnsi="宋体"/>
          <w:highlight w:val="none"/>
        </w:rPr>
      </w:pPr>
      <w:r>
        <w:rPr>
          <w:rFonts w:hint="eastAsia" w:ascii="宋体" w:hAnsi="宋体"/>
          <w:highlight w:val="none"/>
        </w:rPr>
        <w:t>（2）供应商通过政府采购云平台电子投标工具制作响应文件。电子投标工具请供应商自行前往浙江政府采购网下载并安装（zfcg.czt.zj.gov.cn/bidClientTemplate/2019-05-27/12946.html）。供应商响应文件制作及电子交易操作指南详见：</w:t>
      </w:r>
      <w:r>
        <w:rPr>
          <w:rFonts w:ascii="宋体" w:hAnsi="宋体"/>
          <w:highlight w:val="none"/>
        </w:rPr>
        <w:fldChar w:fldCharType="begin"/>
      </w:r>
      <w:r>
        <w:rPr>
          <w:rFonts w:ascii="宋体" w:hAnsi="宋体"/>
          <w:highlight w:val="none"/>
        </w:rPr>
        <w:instrText xml:space="preserve"> HYPERLINK "https://service.zcygov.cn/#/knowledges/CW1EtGwBFdiHxlNd6I3m/6IMVAG0BFdiHxlNdQ8Na" </w:instrText>
      </w:r>
      <w:r>
        <w:rPr>
          <w:rFonts w:ascii="宋体" w:hAnsi="宋体"/>
          <w:highlight w:val="none"/>
        </w:rPr>
        <w:fldChar w:fldCharType="separate"/>
      </w:r>
      <w:r>
        <w:rPr>
          <w:rStyle w:val="41"/>
          <w:rFonts w:ascii="宋体" w:hAnsi="宋体"/>
          <w:color w:val="auto"/>
          <w:highlight w:val="none"/>
        </w:rPr>
        <w:t>https://service.zcygov.cn/#/knowledges/CW1EtGwBFdiHxlNd6I3m/6IMVAG0BFdiHxlNdQ8Na</w:t>
      </w:r>
      <w:r>
        <w:rPr>
          <w:rFonts w:ascii="宋体" w:hAnsi="宋体"/>
          <w:highlight w:val="none"/>
        </w:rPr>
        <w:fldChar w:fldCharType="end"/>
      </w:r>
      <w:r>
        <w:rPr>
          <w:rFonts w:hint="eastAsia" w:ascii="宋体" w:hAnsi="宋体"/>
          <w:highlight w:val="none"/>
        </w:rPr>
        <w:t>。</w:t>
      </w:r>
    </w:p>
    <w:p>
      <w:pPr>
        <w:spacing w:line="360" w:lineRule="auto"/>
        <w:ind w:firstLine="480" w:firstLineChars="200"/>
        <w:jc w:val="left"/>
        <w:rPr>
          <w:rFonts w:hint="eastAsia" w:ascii="宋体" w:hAnsi="宋体"/>
          <w:highlight w:val="none"/>
        </w:rPr>
      </w:pPr>
      <w:r>
        <w:rPr>
          <w:rFonts w:hint="eastAsia" w:ascii="宋体" w:hAnsi="宋体"/>
          <w:highlight w:val="none"/>
        </w:rPr>
        <w:t>（3）</w:t>
      </w:r>
      <w:r>
        <w:rPr>
          <w:rFonts w:ascii="宋体" w:hAnsi="宋体"/>
          <w:kern w:val="0"/>
          <w:highlight w:val="none"/>
        </w:rPr>
        <w:t>与加密标书同时生成的</w:t>
      </w:r>
      <w:r>
        <w:rPr>
          <w:rFonts w:hint="eastAsia" w:ascii="宋体" w:hAnsi="宋体"/>
          <w:highlight w:val="none"/>
        </w:rPr>
        <w:t>电子备份响应文件1份，即按“项目采购-电子招投标操作指南”制作的电子备份文件，以用于异常情况处理。</w:t>
      </w:r>
    </w:p>
    <w:bookmarkEnd w:id="26"/>
    <w:bookmarkEnd w:id="27"/>
    <w:p>
      <w:pPr>
        <w:pStyle w:val="20"/>
        <w:snapToGrid w:val="0"/>
        <w:spacing w:before="0" w:beforeLines="0" w:after="0" w:afterLines="0" w:line="360" w:lineRule="auto"/>
        <w:ind w:firstLine="482" w:firstLineChars="200"/>
        <w:outlineLvl w:val="1"/>
        <w:rPr>
          <w:rFonts w:hAnsi="宋体"/>
          <w:b/>
          <w:bCs/>
          <w:highlight w:val="none"/>
        </w:rPr>
      </w:pPr>
      <w:bookmarkStart w:id="28" w:name="_Toc402963084"/>
      <w:bookmarkStart w:id="29" w:name="_Toc385854100"/>
      <w:bookmarkStart w:id="30" w:name="_Toc406402990"/>
      <w:bookmarkStart w:id="31" w:name="_Toc406402946"/>
      <w:bookmarkStart w:id="32" w:name="_Toc402963117"/>
      <w:bookmarkStart w:id="33" w:name="_Toc385854146"/>
      <w:r>
        <w:rPr>
          <w:rFonts w:hint="eastAsia" w:hAnsi="宋体"/>
          <w:b/>
          <w:bCs/>
          <w:highlight w:val="none"/>
        </w:rPr>
        <w:t>（二）响应文件的语言及计量</w:t>
      </w:r>
      <w:bookmarkEnd w:id="28"/>
      <w:bookmarkEnd w:id="29"/>
      <w:bookmarkEnd w:id="30"/>
      <w:bookmarkEnd w:id="31"/>
      <w:bookmarkEnd w:id="32"/>
      <w:bookmarkEnd w:id="33"/>
    </w:p>
    <w:p>
      <w:pPr>
        <w:snapToGrid w:val="0"/>
        <w:spacing w:line="360" w:lineRule="auto"/>
        <w:ind w:firstLine="480" w:firstLineChars="200"/>
        <w:jc w:val="left"/>
        <w:rPr>
          <w:rFonts w:ascii="宋体" w:hAnsi="宋体"/>
          <w:highlight w:val="none"/>
        </w:rPr>
      </w:pPr>
      <w:r>
        <w:rPr>
          <w:rFonts w:ascii="宋体" w:hAnsi="宋体"/>
          <w:highlight w:val="none"/>
        </w:rPr>
        <w:t>1</w:t>
      </w:r>
      <w:r>
        <w:rPr>
          <w:rFonts w:hint="eastAsia" w:ascii="宋体" w:hAnsi="宋体"/>
          <w:highlight w:val="none"/>
        </w:rPr>
        <w:t>．</w:t>
      </w:r>
      <w:r>
        <w:rPr>
          <w:rFonts w:ascii="宋体" w:hAnsi="宋体"/>
          <w:highlight w:val="none"/>
        </w:rPr>
        <w:t>响应文件以及磋商方与采购方就有关磋商事宜的所有来往函电，均应以中文汉语书写。除签名、盖章、专用名称等特殊情形外，以中文汉语以外的文字表述的响应文件视同未提供。</w:t>
      </w:r>
    </w:p>
    <w:p>
      <w:pPr>
        <w:snapToGrid w:val="0"/>
        <w:spacing w:line="360" w:lineRule="auto"/>
        <w:ind w:firstLine="480" w:firstLineChars="200"/>
        <w:jc w:val="left"/>
        <w:rPr>
          <w:rFonts w:ascii="宋体" w:hAnsi="宋体"/>
          <w:highlight w:val="none"/>
        </w:rPr>
      </w:pPr>
      <w:r>
        <w:rPr>
          <w:rFonts w:ascii="宋体" w:hAnsi="宋体"/>
          <w:highlight w:val="none"/>
        </w:rPr>
        <w:t>2</w:t>
      </w:r>
      <w:r>
        <w:rPr>
          <w:rFonts w:hint="eastAsia" w:ascii="宋体" w:hAnsi="宋体"/>
          <w:highlight w:val="none"/>
        </w:rPr>
        <w:t>．</w:t>
      </w:r>
      <w:r>
        <w:rPr>
          <w:rFonts w:ascii="宋体" w:hAnsi="宋体"/>
          <w:highlight w:val="none"/>
        </w:rPr>
        <w:t>磋商计量单位，磋商文件已有明确规定的，使用磋商文件规定的计量单位；磋商文件没有规定的，应采用中华人民共和国法定计量单位（货币单位：人民币元），否则视同未响应。</w:t>
      </w:r>
    </w:p>
    <w:p>
      <w:pPr>
        <w:pStyle w:val="20"/>
        <w:snapToGrid w:val="0"/>
        <w:spacing w:before="0" w:beforeLines="0" w:after="0" w:afterLines="0" w:line="360" w:lineRule="auto"/>
        <w:ind w:firstLine="482" w:firstLineChars="200"/>
        <w:outlineLvl w:val="1"/>
        <w:rPr>
          <w:rFonts w:hAnsi="宋体"/>
          <w:b/>
          <w:bCs/>
          <w:highlight w:val="none"/>
        </w:rPr>
      </w:pPr>
      <w:bookmarkStart w:id="34" w:name="_Toc385854101"/>
      <w:bookmarkStart w:id="35" w:name="_Toc385854147"/>
      <w:bookmarkStart w:id="36" w:name="_Toc406402991"/>
      <w:bookmarkStart w:id="37" w:name="_Toc406402947"/>
      <w:bookmarkStart w:id="38" w:name="_Toc402963118"/>
      <w:bookmarkStart w:id="39" w:name="_Toc402963085"/>
      <w:r>
        <w:rPr>
          <w:rFonts w:hint="eastAsia" w:hAnsi="宋体"/>
          <w:b/>
          <w:bCs/>
          <w:highlight w:val="none"/>
        </w:rPr>
        <w:t>（三）磋商报价</w:t>
      </w:r>
      <w:bookmarkEnd w:id="34"/>
      <w:bookmarkEnd w:id="35"/>
      <w:bookmarkEnd w:id="36"/>
      <w:bookmarkEnd w:id="37"/>
      <w:bookmarkEnd w:id="38"/>
      <w:bookmarkEnd w:id="39"/>
    </w:p>
    <w:p>
      <w:pPr>
        <w:pStyle w:val="20"/>
        <w:numPr>
          <w:ilvl w:val="3"/>
          <w:numId w:val="15"/>
        </w:numPr>
        <w:adjustRightInd w:val="0"/>
        <w:snapToGrid w:val="0"/>
        <w:spacing w:before="0" w:beforeLines="0" w:after="0" w:afterLines="0" w:line="360" w:lineRule="auto"/>
        <w:ind w:left="0" w:firstLine="480" w:firstLineChars="200"/>
        <w:jc w:val="left"/>
        <w:rPr>
          <w:rFonts w:hAnsi="宋体"/>
          <w:highlight w:val="none"/>
        </w:rPr>
      </w:pPr>
      <w:r>
        <w:rPr>
          <w:rFonts w:hAnsi="宋体"/>
          <w:highlight w:val="none"/>
        </w:rPr>
        <w:t>磋商报价应按磋商文件中相关附表格式填写。</w:t>
      </w:r>
    </w:p>
    <w:p>
      <w:pPr>
        <w:pStyle w:val="20"/>
        <w:numPr>
          <w:ilvl w:val="3"/>
          <w:numId w:val="15"/>
        </w:numPr>
        <w:adjustRightInd w:val="0"/>
        <w:snapToGrid w:val="0"/>
        <w:spacing w:before="0" w:beforeLines="0" w:after="0" w:afterLines="0" w:line="360" w:lineRule="auto"/>
        <w:ind w:left="0" w:firstLine="480" w:firstLineChars="200"/>
        <w:jc w:val="left"/>
        <w:rPr>
          <w:rFonts w:hAnsi="宋体"/>
          <w:highlight w:val="none"/>
        </w:rPr>
      </w:pPr>
      <w:r>
        <w:rPr>
          <w:rFonts w:hint="eastAsia" w:hAnsi="宋体"/>
          <w:highlight w:val="none"/>
        </w:rPr>
        <w:t>磋商报价及费用详见第三章磋商须知前附表。</w:t>
      </w:r>
    </w:p>
    <w:p>
      <w:pPr>
        <w:pStyle w:val="20"/>
        <w:snapToGrid w:val="0"/>
        <w:spacing w:before="0" w:beforeLines="0" w:after="0" w:afterLines="0" w:line="360" w:lineRule="auto"/>
        <w:ind w:firstLine="482" w:firstLineChars="200"/>
        <w:outlineLvl w:val="1"/>
        <w:rPr>
          <w:rFonts w:hAnsi="宋体"/>
          <w:b/>
          <w:bCs/>
          <w:highlight w:val="none"/>
        </w:rPr>
      </w:pPr>
      <w:r>
        <w:rPr>
          <w:rFonts w:hint="eastAsia" w:hAnsi="宋体"/>
          <w:b/>
          <w:bCs/>
          <w:highlight w:val="none"/>
        </w:rPr>
        <w:t>（四）响应文件的有效期</w:t>
      </w:r>
    </w:p>
    <w:p>
      <w:pPr>
        <w:pStyle w:val="4"/>
        <w:widowControl w:val="0"/>
        <w:tabs>
          <w:tab w:val="left" w:pos="4500"/>
          <w:tab w:val="clear" w:pos="454"/>
        </w:tabs>
        <w:snapToGrid w:val="0"/>
        <w:spacing w:after="0" w:afterLines="0" w:line="360" w:lineRule="auto"/>
        <w:ind w:left="0" w:firstLine="480" w:firstLineChars="200"/>
        <w:rPr>
          <w:rFonts w:ascii="宋体" w:hAnsi="宋体"/>
          <w:szCs w:val="24"/>
          <w:highlight w:val="none"/>
        </w:rPr>
      </w:pPr>
      <w:r>
        <w:rPr>
          <w:rFonts w:ascii="宋体" w:hAnsi="宋体"/>
          <w:szCs w:val="24"/>
          <w:highlight w:val="none"/>
        </w:rPr>
        <w:t>1</w:t>
      </w:r>
      <w:r>
        <w:rPr>
          <w:rFonts w:hint="eastAsia" w:ascii="宋体" w:hAnsi="宋体"/>
          <w:szCs w:val="24"/>
          <w:highlight w:val="none"/>
        </w:rPr>
        <w:t>.</w:t>
      </w:r>
      <w:r>
        <w:rPr>
          <w:rFonts w:ascii="宋体" w:hAnsi="宋体"/>
          <w:szCs w:val="24"/>
          <w:highlight w:val="none"/>
        </w:rPr>
        <w:t>自响应截止日起</w:t>
      </w:r>
      <w:r>
        <w:rPr>
          <w:rFonts w:hint="eastAsia" w:ascii="宋体" w:hAnsi="宋体"/>
          <w:szCs w:val="24"/>
          <w:highlight w:val="none"/>
          <w:u w:val="single"/>
        </w:rPr>
        <w:t>90</w:t>
      </w:r>
      <w:r>
        <w:rPr>
          <w:rFonts w:ascii="宋体" w:hAnsi="宋体"/>
          <w:szCs w:val="24"/>
          <w:highlight w:val="none"/>
        </w:rPr>
        <w:t>天响应文件应保持有效。有效期</w:t>
      </w:r>
      <w:r>
        <w:rPr>
          <w:rFonts w:hint="eastAsia" w:ascii="宋体" w:hAnsi="宋体"/>
          <w:szCs w:val="24"/>
          <w:highlight w:val="none"/>
        </w:rPr>
        <w:t>不足</w:t>
      </w:r>
      <w:r>
        <w:rPr>
          <w:rFonts w:ascii="宋体" w:hAnsi="宋体"/>
          <w:szCs w:val="24"/>
          <w:highlight w:val="none"/>
        </w:rPr>
        <w:t>的响应文件将被拒绝。</w:t>
      </w:r>
    </w:p>
    <w:p>
      <w:pPr>
        <w:adjustRightInd w:val="0"/>
        <w:snapToGrid w:val="0"/>
        <w:spacing w:line="360" w:lineRule="auto"/>
        <w:ind w:firstLine="480" w:firstLineChars="200"/>
        <w:jc w:val="left"/>
        <w:rPr>
          <w:rFonts w:ascii="宋体" w:hAnsi="宋体"/>
          <w:highlight w:val="none"/>
        </w:rPr>
      </w:pPr>
      <w:bookmarkStart w:id="40" w:name="_Toc402963120"/>
      <w:bookmarkStart w:id="41" w:name="_Toc406402949"/>
      <w:bookmarkStart w:id="42" w:name="_Toc385854149"/>
      <w:bookmarkStart w:id="43" w:name="_Toc402963087"/>
      <w:bookmarkStart w:id="44" w:name="_Toc385854103"/>
      <w:bookmarkStart w:id="45" w:name="_Toc406402993"/>
      <w:r>
        <w:rPr>
          <w:rFonts w:ascii="宋体" w:hAnsi="宋体"/>
          <w:highlight w:val="none"/>
        </w:rPr>
        <w:t>2</w:t>
      </w:r>
      <w:r>
        <w:rPr>
          <w:rFonts w:hint="eastAsia" w:ascii="宋体" w:hAnsi="宋体"/>
          <w:highlight w:val="none"/>
        </w:rPr>
        <w:t>.</w:t>
      </w:r>
      <w:r>
        <w:rPr>
          <w:rFonts w:ascii="宋体" w:hAnsi="宋体"/>
          <w:highlight w:val="none"/>
        </w:rPr>
        <w:t>在特殊情况下，采购人可与供应商协商延长谈判书的有效期，这种要求和答复均以书面形式进行。</w:t>
      </w:r>
    </w:p>
    <w:p>
      <w:pPr>
        <w:snapToGrid w:val="0"/>
        <w:spacing w:line="360" w:lineRule="auto"/>
        <w:ind w:firstLine="480" w:firstLineChars="200"/>
        <w:jc w:val="left"/>
        <w:rPr>
          <w:rFonts w:ascii="宋体" w:hAnsi="宋体"/>
          <w:b/>
          <w:highlight w:val="none"/>
        </w:rPr>
      </w:pPr>
      <w:r>
        <w:rPr>
          <w:rFonts w:hint="eastAsia" w:ascii="宋体" w:hAnsi="宋体"/>
          <w:highlight w:val="none"/>
        </w:rPr>
        <w:t>3.</w:t>
      </w:r>
      <w:r>
        <w:rPr>
          <w:rFonts w:ascii="宋体" w:hAnsi="宋体"/>
          <w:highlight w:val="none"/>
        </w:rPr>
        <w:t>成交供应商的响应文件自开标之日起至合同履行完毕止均应保持有效。</w:t>
      </w:r>
      <w:bookmarkEnd w:id="40"/>
      <w:bookmarkEnd w:id="41"/>
      <w:bookmarkEnd w:id="42"/>
      <w:bookmarkEnd w:id="43"/>
      <w:bookmarkEnd w:id="44"/>
      <w:bookmarkEnd w:id="45"/>
    </w:p>
    <w:p>
      <w:pPr>
        <w:pStyle w:val="20"/>
        <w:snapToGrid w:val="0"/>
        <w:spacing w:before="0" w:beforeLines="0" w:after="0" w:afterLines="0" w:line="360" w:lineRule="auto"/>
        <w:ind w:firstLine="482" w:firstLineChars="200"/>
        <w:outlineLvl w:val="1"/>
        <w:rPr>
          <w:rFonts w:hAnsi="宋体"/>
          <w:b/>
          <w:bCs/>
          <w:highlight w:val="none"/>
        </w:rPr>
      </w:pPr>
      <w:bookmarkStart w:id="46" w:name="_Toc402963088"/>
      <w:bookmarkStart w:id="47" w:name="_Toc402963121"/>
      <w:bookmarkStart w:id="48" w:name="_Toc406402994"/>
      <w:bookmarkStart w:id="49" w:name="_Toc385854150"/>
      <w:bookmarkStart w:id="50" w:name="_Toc406402950"/>
      <w:bookmarkStart w:id="51" w:name="_Toc385854104"/>
      <w:bookmarkStart w:id="52" w:name="_Toc406402951"/>
      <w:bookmarkStart w:id="53" w:name="_Toc402963089"/>
      <w:bookmarkStart w:id="54" w:name="_Toc406402995"/>
      <w:bookmarkStart w:id="55" w:name="_Toc385854151"/>
      <w:bookmarkStart w:id="56" w:name="_Toc385854105"/>
      <w:bookmarkStart w:id="57" w:name="_Toc402963122"/>
      <w:r>
        <w:rPr>
          <w:rFonts w:hint="eastAsia" w:hAnsi="宋体"/>
          <w:b/>
          <w:bCs/>
          <w:highlight w:val="none"/>
        </w:rPr>
        <w:t>（五）磋商保证金</w:t>
      </w:r>
      <w:bookmarkEnd w:id="46"/>
      <w:bookmarkEnd w:id="47"/>
      <w:bookmarkEnd w:id="48"/>
      <w:bookmarkEnd w:id="49"/>
      <w:bookmarkEnd w:id="50"/>
      <w:bookmarkEnd w:id="51"/>
    </w:p>
    <w:p>
      <w:pPr>
        <w:adjustRightInd w:val="0"/>
        <w:snapToGrid w:val="0"/>
        <w:spacing w:line="360" w:lineRule="auto"/>
        <w:ind w:firstLine="482" w:firstLineChars="200"/>
        <w:jc w:val="left"/>
        <w:rPr>
          <w:rFonts w:hint="eastAsia" w:ascii="宋体" w:hAnsi="宋体" w:cs="宋体"/>
          <w:b/>
          <w:kern w:val="0"/>
          <w:highlight w:val="none"/>
        </w:rPr>
      </w:pPr>
      <w:r>
        <w:rPr>
          <w:rFonts w:hint="eastAsia" w:ascii="宋体" w:hAnsi="宋体" w:cs="宋体"/>
          <w:b/>
          <w:kern w:val="0"/>
          <w:highlight w:val="none"/>
        </w:rPr>
        <w:t>无（不需要缴纳）</w:t>
      </w:r>
    </w:p>
    <w:p>
      <w:pPr>
        <w:pStyle w:val="20"/>
        <w:snapToGrid w:val="0"/>
        <w:spacing w:before="0" w:beforeLines="0" w:after="0" w:afterLines="0" w:line="360" w:lineRule="auto"/>
        <w:ind w:firstLine="482" w:firstLineChars="200"/>
        <w:outlineLvl w:val="1"/>
        <w:rPr>
          <w:rFonts w:hint="eastAsia" w:hAnsi="宋体"/>
          <w:b/>
          <w:bCs/>
          <w:highlight w:val="none"/>
        </w:rPr>
      </w:pPr>
      <w:r>
        <w:rPr>
          <w:rFonts w:hint="eastAsia" w:hAnsi="宋体"/>
          <w:b/>
          <w:bCs/>
          <w:highlight w:val="none"/>
        </w:rPr>
        <w:t>（六）响应文件的签署盖章</w:t>
      </w:r>
    </w:p>
    <w:p>
      <w:pPr>
        <w:adjustRightInd w:val="0"/>
        <w:snapToGrid w:val="0"/>
        <w:spacing w:line="360" w:lineRule="auto"/>
        <w:ind w:firstLine="480" w:firstLineChars="200"/>
        <w:jc w:val="left"/>
        <w:rPr>
          <w:rFonts w:hint="eastAsia" w:ascii="宋体" w:hAnsi="宋体"/>
          <w:highlight w:val="none"/>
        </w:rPr>
      </w:pPr>
      <w:r>
        <w:rPr>
          <w:rFonts w:hint="eastAsia" w:ascii="宋体" w:hAnsi="宋体"/>
          <w:highlight w:val="none"/>
        </w:rPr>
        <w:t>1.采购文件第六章“响应文件格式”中标明加盖公章或签字的，加盖公章部分采用CA签章，签字部分由法定代表人或授权代表签字后扫描上传。授权代表签字的，响应文件中应提供法定代表人签署的</w:t>
      </w:r>
      <w:r>
        <w:rPr>
          <w:rFonts w:ascii="宋体" w:hAnsi="宋体"/>
          <w:highlight w:val="none"/>
        </w:rPr>
        <w:t>法定代表人授权委托书</w:t>
      </w:r>
      <w:r>
        <w:rPr>
          <w:rFonts w:hint="eastAsia" w:ascii="宋体" w:hAnsi="宋体"/>
          <w:highlight w:val="none"/>
        </w:rPr>
        <w:t>。</w:t>
      </w:r>
    </w:p>
    <w:p>
      <w:pPr>
        <w:spacing w:line="360" w:lineRule="auto"/>
        <w:ind w:firstLine="480" w:firstLineChars="200"/>
        <w:jc w:val="left"/>
        <w:rPr>
          <w:rFonts w:ascii="宋体" w:hAnsi="宋体"/>
          <w:highlight w:val="none"/>
        </w:rPr>
      </w:pPr>
      <w:r>
        <w:rPr>
          <w:rFonts w:hint="eastAsia" w:ascii="宋体" w:hAnsi="宋体"/>
          <w:highlight w:val="none"/>
        </w:rPr>
        <w:t>2.中标后提供的纸质响应文件须与上传的电子响应文件一致，并加盖供应商公章</w:t>
      </w:r>
      <w:r>
        <w:rPr>
          <w:rFonts w:hint="eastAsia" w:ascii="宋体" w:hAnsi="宋体"/>
          <w:highlight w:val="none"/>
          <w:lang w:eastAsia="zh-CN"/>
        </w:rPr>
        <w:t>（如采购人需要中标单位提供纸质响应文件，按上述要求提供）</w:t>
      </w:r>
      <w:r>
        <w:rPr>
          <w:rFonts w:hint="eastAsia" w:ascii="宋体" w:hAnsi="宋体"/>
          <w:highlight w:val="none"/>
        </w:rPr>
        <w:t>。</w:t>
      </w:r>
    </w:p>
    <w:p>
      <w:pPr>
        <w:pStyle w:val="20"/>
        <w:snapToGrid w:val="0"/>
        <w:spacing w:before="0" w:beforeLines="0" w:after="0" w:afterLines="0" w:line="360" w:lineRule="auto"/>
        <w:ind w:firstLine="482" w:firstLineChars="200"/>
        <w:outlineLvl w:val="1"/>
        <w:rPr>
          <w:rFonts w:hint="eastAsia" w:hAnsi="宋体"/>
          <w:b/>
          <w:bCs/>
          <w:highlight w:val="none"/>
        </w:rPr>
      </w:pPr>
      <w:r>
        <w:rPr>
          <w:rFonts w:hint="eastAsia" w:hAnsi="宋体"/>
          <w:b/>
          <w:bCs/>
          <w:highlight w:val="none"/>
        </w:rPr>
        <w:t>（七）响应文件的</w:t>
      </w:r>
      <w:bookmarkEnd w:id="52"/>
      <w:bookmarkEnd w:id="53"/>
      <w:bookmarkEnd w:id="54"/>
      <w:bookmarkEnd w:id="55"/>
      <w:bookmarkEnd w:id="56"/>
      <w:bookmarkEnd w:id="57"/>
      <w:r>
        <w:rPr>
          <w:rFonts w:hint="eastAsia" w:hAnsi="宋体"/>
          <w:b/>
          <w:bCs/>
          <w:highlight w:val="none"/>
        </w:rPr>
        <w:t>递交</w:t>
      </w:r>
    </w:p>
    <w:p>
      <w:pPr>
        <w:numPr>
          <w:ilvl w:val="0"/>
          <w:numId w:val="16"/>
        </w:numPr>
        <w:snapToGrid w:val="0"/>
        <w:spacing w:line="360" w:lineRule="auto"/>
        <w:jc w:val="left"/>
        <w:rPr>
          <w:rFonts w:ascii="宋体" w:hAnsi="宋体"/>
          <w:b/>
          <w:kern w:val="0"/>
          <w:highlight w:val="none"/>
        </w:rPr>
      </w:pPr>
      <w:r>
        <w:rPr>
          <w:rFonts w:hint="eastAsia" w:ascii="宋体" w:hAnsi="宋体"/>
          <w:b/>
          <w:kern w:val="0"/>
          <w:highlight w:val="none"/>
        </w:rPr>
        <w:t>电子加密标书</w:t>
      </w:r>
    </w:p>
    <w:p>
      <w:pPr>
        <w:snapToGrid w:val="0"/>
        <w:spacing w:line="360" w:lineRule="auto"/>
        <w:ind w:firstLine="480" w:firstLineChars="200"/>
        <w:jc w:val="left"/>
        <w:rPr>
          <w:rFonts w:hint="eastAsia" w:ascii="宋体" w:hAnsi="宋体"/>
          <w:kern w:val="0"/>
          <w:highlight w:val="none"/>
        </w:rPr>
      </w:pPr>
      <w:r>
        <w:rPr>
          <w:rFonts w:hint="eastAsia" w:ascii="宋体" w:hAnsi="宋体"/>
          <w:kern w:val="0"/>
          <w:highlight w:val="none"/>
        </w:rPr>
        <w:t>电子响应文件按政采云平台供应商电子招投标操作指南（网址：</w:t>
      </w:r>
      <w:r>
        <w:rPr>
          <w:rFonts w:hint="eastAsia" w:ascii="宋体" w:hAnsi="宋体"/>
          <w:kern w:val="0"/>
          <w:highlight w:val="none"/>
        </w:rPr>
        <w:fldChar w:fldCharType="begin"/>
      </w:r>
      <w:r>
        <w:rPr>
          <w:rFonts w:hint="eastAsia" w:ascii="宋体" w:hAnsi="宋体"/>
          <w:kern w:val="0"/>
          <w:highlight w:val="none"/>
        </w:rPr>
        <w:instrText xml:space="preserve"> HYPERLINK "https://help.zcygov.cn/web/site_2/2018/12-28/2573.html）及本招标文件规定的格式和顺序编制电子投标文件并进行关联定位。" </w:instrText>
      </w:r>
      <w:r>
        <w:rPr>
          <w:rFonts w:hint="eastAsia" w:ascii="宋体" w:hAnsi="宋体"/>
          <w:kern w:val="0"/>
          <w:highlight w:val="none"/>
        </w:rPr>
        <w:fldChar w:fldCharType="separate"/>
      </w:r>
      <w:r>
        <w:rPr>
          <w:rStyle w:val="41"/>
          <w:rFonts w:hint="eastAsia" w:ascii="宋体" w:hAnsi="宋体"/>
          <w:color w:val="auto"/>
          <w:kern w:val="0"/>
          <w:highlight w:val="none"/>
        </w:rPr>
        <w:t>https://help.zcygov.cn/web/site_2/2018/12-28/2573.html）及本磋商文件规定的格式和顺序编制电子响应文件并进行关联定位。</w:t>
      </w:r>
      <w:r>
        <w:rPr>
          <w:rFonts w:hint="eastAsia" w:ascii="宋体" w:hAnsi="宋体"/>
          <w:kern w:val="0"/>
          <w:highlight w:val="none"/>
        </w:rPr>
        <w:fldChar w:fldCharType="end"/>
      </w:r>
    </w:p>
    <w:p>
      <w:pPr>
        <w:numPr>
          <w:ilvl w:val="0"/>
          <w:numId w:val="17"/>
        </w:numPr>
        <w:tabs>
          <w:tab w:val="left" w:pos="1134"/>
        </w:tabs>
        <w:adjustRightInd w:val="0"/>
        <w:snapToGrid w:val="0"/>
        <w:spacing w:line="360" w:lineRule="auto"/>
        <w:ind w:left="0" w:firstLine="426"/>
        <w:rPr>
          <w:rFonts w:hint="eastAsia" w:ascii="新宋体" w:hAnsi="新宋体" w:eastAsia="新宋体" w:cs="Courier New"/>
          <w:highlight w:val="none"/>
        </w:rPr>
      </w:pPr>
      <w:r>
        <w:rPr>
          <w:rFonts w:hint="eastAsia" w:ascii="新宋体" w:hAnsi="新宋体" w:eastAsia="新宋体" w:cs="Courier New"/>
          <w:bCs/>
          <w:highlight w:val="none"/>
        </w:rPr>
        <w:t>供应商</w:t>
      </w:r>
      <w:r>
        <w:rPr>
          <w:rFonts w:hint="eastAsia" w:ascii="新宋体" w:hAnsi="新宋体" w:eastAsia="新宋体" w:cs="Courier New"/>
          <w:highlight w:val="none"/>
        </w:rPr>
        <w:t>应于</w:t>
      </w:r>
      <w:r>
        <w:rPr>
          <w:rFonts w:hint="eastAsia" w:ascii="新宋体" w:hAnsi="新宋体" w:eastAsia="新宋体" w:cs="Courier New"/>
          <w:highlight w:val="none"/>
          <w:lang w:eastAsia="zh-CN"/>
        </w:rPr>
        <w:t>2023年</w:t>
      </w:r>
      <w:r>
        <w:rPr>
          <w:rFonts w:hint="eastAsia" w:ascii="新宋体" w:hAnsi="新宋体" w:eastAsia="新宋体" w:cs="Courier New"/>
          <w:highlight w:val="none"/>
          <w:lang w:val="en-US" w:eastAsia="zh-CN"/>
        </w:rPr>
        <w:t>9</w:t>
      </w:r>
      <w:r>
        <w:rPr>
          <w:rFonts w:hint="eastAsia" w:ascii="新宋体" w:hAnsi="新宋体" w:eastAsia="新宋体" w:cs="Courier New"/>
          <w:highlight w:val="none"/>
          <w:lang w:eastAsia="zh-CN"/>
        </w:rPr>
        <w:t>月</w:t>
      </w:r>
      <w:r>
        <w:rPr>
          <w:rFonts w:hint="eastAsia" w:ascii="新宋体" w:hAnsi="新宋体" w:eastAsia="新宋体" w:cs="Courier New"/>
          <w:highlight w:val="none"/>
          <w:lang w:val="en-US" w:eastAsia="zh-CN"/>
        </w:rPr>
        <w:t xml:space="preserve">13 </w:t>
      </w:r>
      <w:r>
        <w:rPr>
          <w:rFonts w:hint="eastAsia" w:ascii="新宋体" w:hAnsi="新宋体" w:eastAsia="新宋体" w:cs="Courier New"/>
          <w:highlight w:val="none"/>
          <w:lang w:eastAsia="zh-CN"/>
        </w:rPr>
        <w:t>日</w:t>
      </w:r>
      <w:r>
        <w:rPr>
          <w:rFonts w:hint="eastAsia" w:ascii="新宋体" w:hAnsi="新宋体" w:eastAsia="新宋体" w:cs="Courier New"/>
          <w:highlight w:val="none"/>
          <w:lang w:val="en-US" w:eastAsia="zh-CN"/>
        </w:rPr>
        <w:t>9</w:t>
      </w:r>
      <w:r>
        <w:rPr>
          <w:rFonts w:ascii="新宋体" w:hAnsi="新宋体" w:eastAsia="新宋体" w:cs="Courier New"/>
          <w:highlight w:val="none"/>
        </w:rPr>
        <w:t>:30</w:t>
      </w:r>
      <w:r>
        <w:rPr>
          <w:rFonts w:hint="eastAsia" w:ascii="新宋体" w:hAnsi="新宋体" w:eastAsia="新宋体" w:cs="Courier New"/>
          <w:highlight w:val="none"/>
        </w:rPr>
        <w:t>前在“政采云”上自行加密上传电子响应文件，</w:t>
      </w:r>
      <w:r>
        <w:rPr>
          <w:rFonts w:ascii="新宋体" w:hAnsi="新宋体" w:eastAsia="新宋体" w:cs="Courier New"/>
          <w:highlight w:val="none"/>
        </w:rPr>
        <w:t>逾期</w:t>
      </w:r>
      <w:r>
        <w:rPr>
          <w:rFonts w:hint="eastAsia" w:ascii="新宋体" w:hAnsi="新宋体" w:eastAsia="新宋体" w:cs="Courier New"/>
          <w:highlight w:val="none"/>
        </w:rPr>
        <w:t>上传</w:t>
      </w:r>
      <w:r>
        <w:rPr>
          <w:rFonts w:ascii="新宋体" w:hAnsi="新宋体" w:eastAsia="新宋体" w:cs="Courier New"/>
          <w:highlight w:val="none"/>
        </w:rPr>
        <w:t>或未按要求</w:t>
      </w:r>
      <w:r>
        <w:rPr>
          <w:rFonts w:hint="eastAsia" w:ascii="新宋体" w:hAnsi="新宋体" w:eastAsia="新宋体" w:cs="Courier New"/>
          <w:highlight w:val="none"/>
        </w:rPr>
        <w:t>上传</w:t>
      </w:r>
      <w:r>
        <w:rPr>
          <w:rFonts w:ascii="新宋体" w:hAnsi="新宋体" w:eastAsia="新宋体" w:cs="Courier New"/>
          <w:highlight w:val="none"/>
        </w:rPr>
        <w:t>的</w:t>
      </w:r>
      <w:r>
        <w:rPr>
          <w:rFonts w:hint="eastAsia" w:ascii="新宋体" w:hAnsi="新宋体" w:eastAsia="新宋体" w:cs="Courier New"/>
          <w:highlight w:val="none"/>
        </w:rPr>
        <w:t>响应</w:t>
      </w:r>
      <w:r>
        <w:rPr>
          <w:rFonts w:ascii="新宋体" w:hAnsi="新宋体" w:eastAsia="新宋体" w:cs="Courier New"/>
          <w:highlight w:val="none"/>
        </w:rPr>
        <w:t>文件将予以拒收。</w:t>
      </w:r>
    </w:p>
    <w:p>
      <w:pPr>
        <w:numPr>
          <w:ilvl w:val="0"/>
          <w:numId w:val="17"/>
        </w:numPr>
        <w:tabs>
          <w:tab w:val="left" w:pos="1134"/>
        </w:tabs>
        <w:adjustRightInd w:val="0"/>
        <w:snapToGrid w:val="0"/>
        <w:spacing w:line="360" w:lineRule="auto"/>
        <w:ind w:left="0" w:firstLine="426"/>
        <w:rPr>
          <w:rFonts w:hint="eastAsia" w:ascii="新宋体" w:hAnsi="新宋体" w:eastAsia="新宋体" w:cs="Courier New"/>
          <w:highlight w:val="none"/>
        </w:rPr>
      </w:pPr>
      <w:r>
        <w:rPr>
          <w:rFonts w:hint="eastAsia" w:ascii="新宋体" w:hAnsi="新宋体" w:eastAsia="新宋体" w:cs="Courier New"/>
          <w:highlight w:val="none"/>
        </w:rPr>
        <w:t>代理机构在规定的响应截止时间以后“政采云平台”将不接收响应文件。</w:t>
      </w:r>
    </w:p>
    <w:p>
      <w:pPr>
        <w:snapToGrid w:val="0"/>
        <w:spacing w:line="360" w:lineRule="auto"/>
        <w:ind w:firstLine="482" w:firstLineChars="200"/>
        <w:jc w:val="left"/>
        <w:rPr>
          <w:rFonts w:hint="eastAsia" w:ascii="宋体" w:hAnsi="宋体"/>
          <w:b/>
          <w:kern w:val="0"/>
          <w:highlight w:val="none"/>
        </w:rPr>
      </w:pPr>
      <w:r>
        <w:rPr>
          <w:rFonts w:hint="eastAsia" w:ascii="宋体" w:hAnsi="宋体"/>
          <w:b/>
          <w:kern w:val="0"/>
          <w:highlight w:val="none"/>
        </w:rPr>
        <w:t>备注：</w:t>
      </w:r>
    </w:p>
    <w:p>
      <w:pPr>
        <w:snapToGrid w:val="0"/>
        <w:spacing w:line="360" w:lineRule="auto"/>
        <w:ind w:firstLine="480" w:firstLineChars="200"/>
        <w:jc w:val="left"/>
        <w:rPr>
          <w:rFonts w:hint="eastAsia" w:ascii="宋体" w:hAnsi="宋体"/>
          <w:b w:val="0"/>
          <w:bCs/>
          <w:kern w:val="0"/>
          <w:highlight w:val="none"/>
        </w:rPr>
      </w:pPr>
      <w:r>
        <w:rPr>
          <w:rFonts w:hint="eastAsia" w:ascii="宋体" w:hAnsi="宋体"/>
          <w:b w:val="0"/>
          <w:bCs/>
          <w:kern w:val="0"/>
          <w:highlight w:val="none"/>
        </w:rPr>
        <w:t>备份投标文件</w:t>
      </w:r>
    </w:p>
    <w:p>
      <w:pPr>
        <w:snapToGrid w:val="0"/>
        <w:spacing w:line="360" w:lineRule="auto"/>
        <w:ind w:firstLine="480" w:firstLineChars="200"/>
        <w:jc w:val="left"/>
        <w:rPr>
          <w:rFonts w:hint="eastAsia" w:ascii="宋体" w:hAnsi="宋体"/>
          <w:b w:val="0"/>
          <w:bCs/>
          <w:kern w:val="0"/>
          <w:highlight w:val="none"/>
        </w:rPr>
      </w:pPr>
      <w:r>
        <w:rPr>
          <w:rFonts w:hint="eastAsia" w:ascii="宋体" w:hAnsi="宋体"/>
          <w:b w:val="0"/>
          <w:bCs/>
          <w:kern w:val="0"/>
          <w:highlight w:val="none"/>
        </w:rPr>
        <w:t>（1）投标人在电子交易平台传输递交投标文件后，还可以在投标截止时间前直接提交或者以邮政快递方式递交备份投标文件1份，但采购人、采购机构不强制或变相强制投标人提交备份投标文件。</w:t>
      </w:r>
    </w:p>
    <w:p>
      <w:pPr>
        <w:snapToGrid w:val="0"/>
        <w:spacing w:line="360" w:lineRule="auto"/>
        <w:ind w:firstLine="480" w:firstLineChars="200"/>
        <w:jc w:val="left"/>
        <w:rPr>
          <w:rFonts w:hint="eastAsia" w:ascii="宋体" w:hAnsi="宋体"/>
          <w:b w:val="0"/>
          <w:bCs/>
          <w:kern w:val="0"/>
          <w:highlight w:val="none"/>
        </w:rPr>
      </w:pPr>
      <w:r>
        <w:rPr>
          <w:rFonts w:hint="eastAsia" w:ascii="宋体" w:hAnsi="宋体"/>
          <w:b w:val="0"/>
          <w:bCs/>
          <w:kern w:val="0"/>
          <w:highlight w:val="none"/>
        </w:rPr>
        <w:t>（2）备份投标文件须在“政采云投标客户端”制作生成，并储存在（U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snapToGrid w:val="0"/>
        <w:spacing w:line="360" w:lineRule="auto"/>
        <w:ind w:firstLine="480" w:firstLineChars="200"/>
        <w:jc w:val="left"/>
        <w:rPr>
          <w:rFonts w:hint="eastAsia" w:ascii="宋体" w:hAnsi="宋体"/>
          <w:b w:val="0"/>
          <w:bCs/>
          <w:kern w:val="0"/>
          <w:highlight w:val="none"/>
        </w:rPr>
      </w:pPr>
      <w:r>
        <w:rPr>
          <w:rFonts w:hint="eastAsia" w:ascii="宋体" w:hAnsi="宋体"/>
          <w:b w:val="0"/>
          <w:bCs/>
          <w:kern w:val="0"/>
          <w:highlight w:val="none"/>
        </w:rPr>
        <w:t>（3）直接提交备份投标文件的，投标人应于投标截止时间前在招标公告中载明的开标地点将备份投标文件提交给采购机构，采购机构将拒绝接受逾期送达的备份投标文件。</w:t>
      </w:r>
    </w:p>
    <w:p>
      <w:pPr>
        <w:snapToGrid w:val="0"/>
        <w:spacing w:line="360" w:lineRule="auto"/>
        <w:ind w:firstLine="480" w:firstLineChars="200"/>
        <w:jc w:val="left"/>
        <w:rPr>
          <w:rFonts w:hint="eastAsia" w:ascii="宋体" w:hAnsi="宋体"/>
          <w:b w:val="0"/>
          <w:bCs/>
          <w:kern w:val="0"/>
          <w:highlight w:val="none"/>
        </w:rPr>
      </w:pPr>
      <w:r>
        <w:rPr>
          <w:rFonts w:hint="eastAsia" w:ascii="宋体" w:hAnsi="宋体"/>
          <w:b w:val="0"/>
          <w:bCs/>
          <w:kern w:val="0"/>
          <w:highlight w:val="none"/>
        </w:rPr>
        <w:t>（4）以邮政快递方式递交备份投标文件的，投标人应先将备份投标文件按要求密封和标记，再进行邮政快递包装后邮寄。</w:t>
      </w:r>
    </w:p>
    <w:p>
      <w:pPr>
        <w:snapToGrid w:val="0"/>
        <w:spacing w:line="360" w:lineRule="auto"/>
        <w:ind w:firstLine="480" w:firstLineChars="200"/>
        <w:jc w:val="left"/>
        <w:rPr>
          <w:rFonts w:hint="eastAsia" w:ascii="宋体" w:hAnsi="宋体"/>
          <w:b w:val="0"/>
          <w:bCs/>
          <w:kern w:val="0"/>
          <w:highlight w:val="none"/>
        </w:rPr>
      </w:pPr>
      <w:r>
        <w:rPr>
          <w:rFonts w:hint="eastAsia" w:ascii="宋体" w:hAnsi="宋体"/>
          <w:b w:val="0"/>
          <w:bCs/>
          <w:kern w:val="0"/>
          <w:highlight w:val="none"/>
        </w:rPr>
        <w:t>（5）投标人仅提交备份投标文件，没有在电子交易平台传输递交投标文件的，投标无效。</w:t>
      </w:r>
    </w:p>
    <w:p>
      <w:pPr>
        <w:numPr>
          <w:ilvl w:val="0"/>
          <w:numId w:val="16"/>
        </w:numPr>
        <w:snapToGrid w:val="0"/>
        <w:spacing w:line="360" w:lineRule="auto"/>
        <w:ind w:left="0" w:firstLine="420"/>
        <w:jc w:val="left"/>
        <w:rPr>
          <w:rFonts w:hint="eastAsia" w:ascii="新宋体" w:hAnsi="新宋体" w:eastAsia="新宋体" w:cs="Courier New"/>
          <w:highlight w:val="none"/>
        </w:rPr>
      </w:pPr>
      <w:r>
        <w:rPr>
          <w:rFonts w:hint="eastAsia" w:ascii="新宋体" w:hAnsi="新宋体" w:eastAsia="新宋体" w:cs="Courier New"/>
          <w:highlight w:val="none"/>
        </w:rPr>
        <w:t>供应商在提交响应文件以后，在规定的响应截止时间之前，可以撤回已提交的响应文件修改内容。</w:t>
      </w:r>
    </w:p>
    <w:p>
      <w:pPr>
        <w:numPr>
          <w:ilvl w:val="0"/>
          <w:numId w:val="16"/>
        </w:numPr>
        <w:snapToGrid w:val="0"/>
        <w:spacing w:line="360" w:lineRule="auto"/>
        <w:ind w:left="0" w:firstLine="420"/>
        <w:jc w:val="left"/>
        <w:rPr>
          <w:rFonts w:hint="eastAsia" w:ascii="宋体" w:hAnsi="宋体"/>
          <w:bCs/>
          <w:highlight w:val="none"/>
        </w:rPr>
      </w:pPr>
      <w:r>
        <w:rPr>
          <w:rFonts w:hint="eastAsia" w:ascii="宋体" w:hAnsi="宋体"/>
          <w:bCs/>
          <w:highlight w:val="none"/>
        </w:rPr>
        <w:t>在响应截止时间之后，供应商不得对其磋商做任何修改。</w:t>
      </w:r>
    </w:p>
    <w:p>
      <w:pPr>
        <w:numPr>
          <w:ilvl w:val="0"/>
          <w:numId w:val="16"/>
        </w:numPr>
        <w:snapToGrid w:val="0"/>
        <w:spacing w:line="360" w:lineRule="auto"/>
        <w:ind w:left="0" w:firstLine="420"/>
        <w:jc w:val="left"/>
        <w:rPr>
          <w:rFonts w:hint="eastAsia" w:ascii="新宋体" w:hAnsi="新宋体" w:eastAsia="新宋体" w:cs="Courier New"/>
          <w:highlight w:val="none"/>
        </w:rPr>
      </w:pPr>
      <w:r>
        <w:rPr>
          <w:rFonts w:hint="eastAsia" w:ascii="宋体" w:hAnsi="宋体"/>
          <w:bCs/>
          <w:highlight w:val="none"/>
        </w:rPr>
        <w:t>从响应截止时间至供应商在磋商书格式中确定的磋商有效期期满这段时间内，供应商不得撤回其</w:t>
      </w:r>
      <w:r>
        <w:rPr>
          <w:rFonts w:hint="eastAsia" w:ascii="新宋体" w:hAnsi="新宋体" w:eastAsia="新宋体" w:cs="Courier New"/>
          <w:highlight w:val="none"/>
        </w:rPr>
        <w:t>磋商。</w:t>
      </w:r>
    </w:p>
    <w:p>
      <w:pPr>
        <w:pStyle w:val="20"/>
        <w:snapToGrid w:val="0"/>
        <w:spacing w:before="0" w:beforeLines="0" w:after="0" w:afterLines="0" w:line="360" w:lineRule="auto"/>
        <w:ind w:firstLine="482" w:firstLineChars="200"/>
        <w:outlineLvl w:val="1"/>
        <w:rPr>
          <w:rFonts w:hint="eastAsia" w:hAnsi="宋体"/>
          <w:b/>
          <w:bCs/>
          <w:highlight w:val="none"/>
        </w:rPr>
      </w:pPr>
      <w:r>
        <w:rPr>
          <w:rFonts w:hint="eastAsia" w:hAnsi="宋体"/>
          <w:b/>
          <w:bCs/>
          <w:highlight w:val="none"/>
        </w:rPr>
        <w:t>（八）响应文件无效的情形</w:t>
      </w:r>
    </w:p>
    <w:p>
      <w:pPr>
        <w:snapToGrid w:val="0"/>
        <w:spacing w:line="360" w:lineRule="auto"/>
        <w:ind w:firstLine="480" w:firstLineChars="200"/>
        <w:rPr>
          <w:rFonts w:hint="eastAsia" w:ascii="宋体" w:hAnsi="宋体"/>
          <w:b/>
          <w:bCs/>
          <w:highlight w:val="none"/>
        </w:rPr>
      </w:pPr>
      <w:r>
        <w:rPr>
          <w:rFonts w:hint="eastAsia" w:ascii="宋体" w:hAnsi="宋体"/>
          <w:bCs/>
          <w:highlight w:val="none"/>
        </w:rPr>
        <w:t>实质上没有响应磋商文件要求的响应将被视为无效。供应商不得通过修正或撤消不合要求的偏离或保留从而使其响应文件成为实质上的响应，但经磋商认定属于供应商疏忽、笔误所造成的差错，应当允许其在磋商结束之前进行修改或者补正（可以是复印件、传真件等，原件必须加盖单位公章）。修改或者补正响应文件必须以书面形式进行，并应在磋商结果公告之前查核原件。限期内不补正或经补正后仍不符合磋商文件要求的，应认定其响应文件无效。供应商修改、补正响应文件后，不影响磋商小组对其响应文件所作的评价和评分结果。</w:t>
      </w:r>
    </w:p>
    <w:p>
      <w:pPr>
        <w:numPr>
          <w:ilvl w:val="3"/>
          <w:numId w:val="18"/>
        </w:numPr>
        <w:snapToGrid w:val="0"/>
        <w:spacing w:line="360" w:lineRule="auto"/>
        <w:ind w:left="0" w:firstLine="420"/>
        <w:rPr>
          <w:rFonts w:ascii="宋体" w:hAnsi="宋体"/>
          <w:b/>
          <w:highlight w:val="none"/>
        </w:rPr>
      </w:pPr>
      <w:r>
        <w:rPr>
          <w:rFonts w:ascii="宋体" w:hAnsi="宋体"/>
          <w:b/>
          <w:highlight w:val="none"/>
        </w:rPr>
        <w:t>电子</w:t>
      </w:r>
      <w:r>
        <w:rPr>
          <w:rFonts w:hint="eastAsia" w:ascii="宋体" w:hAnsi="宋体"/>
          <w:b/>
          <w:highlight w:val="none"/>
        </w:rPr>
        <w:t>响应</w:t>
      </w:r>
      <w:r>
        <w:rPr>
          <w:rFonts w:ascii="宋体" w:hAnsi="宋体"/>
          <w:b/>
          <w:highlight w:val="none"/>
        </w:rPr>
        <w:t>文件解密失败，且未在规定时间内提交</w:t>
      </w:r>
      <w:r>
        <w:rPr>
          <w:rFonts w:hint="eastAsia" w:ascii="宋体" w:hAnsi="宋体"/>
          <w:b/>
          <w:highlight w:val="none"/>
        </w:rPr>
        <w:t>有效</w:t>
      </w:r>
      <w:r>
        <w:rPr>
          <w:rFonts w:ascii="宋体" w:hAnsi="宋体"/>
          <w:b/>
          <w:highlight w:val="none"/>
        </w:rPr>
        <w:t>备份</w:t>
      </w:r>
      <w:r>
        <w:rPr>
          <w:rFonts w:hint="eastAsia" w:ascii="宋体" w:hAnsi="宋体"/>
          <w:b/>
          <w:highlight w:val="none"/>
        </w:rPr>
        <w:t>响应</w:t>
      </w:r>
      <w:r>
        <w:rPr>
          <w:rFonts w:ascii="宋体" w:hAnsi="宋体"/>
          <w:b/>
          <w:highlight w:val="none"/>
        </w:rPr>
        <w:t>文件的</w:t>
      </w:r>
      <w:r>
        <w:rPr>
          <w:rFonts w:hint="eastAsia" w:ascii="宋体" w:hAnsi="宋体"/>
          <w:b/>
          <w:highlight w:val="none"/>
        </w:rPr>
        <w:t>；</w:t>
      </w:r>
    </w:p>
    <w:p>
      <w:pPr>
        <w:snapToGrid w:val="0"/>
        <w:spacing w:line="360" w:lineRule="auto"/>
        <w:ind w:firstLine="482" w:firstLineChars="200"/>
        <w:rPr>
          <w:rFonts w:hint="eastAsia" w:ascii="宋体" w:hAnsi="宋体"/>
          <w:b/>
          <w:bCs/>
          <w:highlight w:val="none"/>
        </w:rPr>
      </w:pPr>
      <w:r>
        <w:rPr>
          <w:rFonts w:hint="eastAsia" w:ascii="宋体" w:hAnsi="宋体"/>
          <w:b/>
          <w:bCs/>
          <w:highlight w:val="none"/>
        </w:rPr>
        <w:t>2.没有通过资格审查的，</w:t>
      </w:r>
      <w:r>
        <w:rPr>
          <w:rFonts w:ascii="宋体" w:hAnsi="宋体"/>
          <w:b/>
          <w:bCs/>
          <w:highlight w:val="none"/>
        </w:rPr>
        <w:t>响应文件将被视为无效</w:t>
      </w:r>
      <w:r>
        <w:rPr>
          <w:rFonts w:hint="eastAsia" w:ascii="宋体" w:hAnsi="宋体"/>
          <w:b/>
          <w:bCs/>
          <w:highlight w:val="none"/>
        </w:rPr>
        <w:t>；</w:t>
      </w:r>
    </w:p>
    <w:p>
      <w:pPr>
        <w:snapToGrid w:val="0"/>
        <w:spacing w:line="360" w:lineRule="auto"/>
        <w:ind w:firstLine="480" w:firstLineChars="200"/>
        <w:rPr>
          <w:rFonts w:hint="eastAsia" w:ascii="宋体" w:hAnsi="宋体"/>
          <w:bCs/>
          <w:highlight w:val="none"/>
        </w:rPr>
      </w:pPr>
      <w:r>
        <w:rPr>
          <w:rFonts w:hint="eastAsia" w:ascii="宋体" w:hAnsi="宋体"/>
          <w:bCs/>
          <w:highlight w:val="none"/>
        </w:rPr>
        <w:t>由采购人对供应商的资格进行审查，审查要求如下：</w:t>
      </w:r>
    </w:p>
    <w:tbl>
      <w:tblPr>
        <w:tblStyle w:val="3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3"/>
        <w:gridCol w:w="7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54" w:hRule="atLeast"/>
          <w:tblHeader/>
          <w:jc w:val="center"/>
        </w:trPr>
        <w:tc>
          <w:tcPr>
            <w:tcW w:w="885" w:type="pct"/>
            <w:noWrap w:val="0"/>
            <w:vAlign w:val="center"/>
          </w:tcPr>
          <w:p>
            <w:pPr>
              <w:snapToGrid w:val="0"/>
              <w:spacing w:line="360" w:lineRule="auto"/>
              <w:ind w:firstLine="482" w:firstLineChars="200"/>
              <w:rPr>
                <w:rFonts w:ascii="宋体" w:hAnsi="宋体"/>
                <w:b/>
                <w:highlight w:val="none"/>
              </w:rPr>
            </w:pPr>
            <w:r>
              <w:rPr>
                <w:rFonts w:hint="eastAsia" w:ascii="宋体" w:hAnsi="宋体"/>
                <w:b/>
                <w:highlight w:val="none"/>
              </w:rPr>
              <w:t>序号</w:t>
            </w:r>
          </w:p>
        </w:tc>
        <w:tc>
          <w:tcPr>
            <w:tcW w:w="4115" w:type="pct"/>
            <w:noWrap w:val="0"/>
            <w:vAlign w:val="center"/>
          </w:tcPr>
          <w:p>
            <w:pPr>
              <w:snapToGrid w:val="0"/>
              <w:spacing w:line="360" w:lineRule="auto"/>
              <w:ind w:firstLine="482" w:firstLineChars="200"/>
              <w:jc w:val="center"/>
              <w:rPr>
                <w:rFonts w:ascii="宋体" w:hAnsi="宋体"/>
                <w:b/>
                <w:highlight w:val="none"/>
              </w:rPr>
            </w:pPr>
            <w:r>
              <w:rPr>
                <w:rFonts w:hint="eastAsia" w:ascii="宋体" w:hAnsi="宋体"/>
                <w:b/>
                <w:highlight w:val="none"/>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05" w:hRule="atLeast"/>
          <w:jc w:val="center"/>
        </w:trPr>
        <w:tc>
          <w:tcPr>
            <w:tcW w:w="885" w:type="pct"/>
            <w:noWrap w:val="0"/>
            <w:vAlign w:val="center"/>
          </w:tcPr>
          <w:p>
            <w:pPr>
              <w:snapToGrid w:val="0"/>
              <w:spacing w:line="360" w:lineRule="auto"/>
              <w:ind w:firstLine="480" w:firstLineChars="200"/>
              <w:rPr>
                <w:rFonts w:ascii="宋体" w:hAnsi="宋体"/>
                <w:highlight w:val="none"/>
              </w:rPr>
            </w:pPr>
            <w:r>
              <w:rPr>
                <w:rFonts w:ascii="宋体" w:hAnsi="宋体"/>
                <w:highlight w:val="none"/>
              </w:rPr>
              <w:t>1</w:t>
            </w:r>
          </w:p>
        </w:tc>
        <w:tc>
          <w:tcPr>
            <w:tcW w:w="4115" w:type="pct"/>
            <w:noWrap w:val="0"/>
            <w:vAlign w:val="center"/>
          </w:tcPr>
          <w:p>
            <w:pPr>
              <w:snapToGrid w:val="0"/>
              <w:spacing w:line="360" w:lineRule="auto"/>
              <w:rPr>
                <w:rFonts w:ascii="宋体" w:hAnsi="宋体"/>
                <w:highlight w:val="none"/>
              </w:rPr>
            </w:pPr>
            <w:r>
              <w:rPr>
                <w:rFonts w:hint="eastAsia" w:ascii="宋体" w:hAnsi="宋体"/>
                <w:highlight w:val="none"/>
                <w:lang w:val="en-US" w:eastAsia="zh-CN"/>
              </w:rPr>
              <w:t>提供</w:t>
            </w:r>
            <w:r>
              <w:rPr>
                <w:rFonts w:ascii="宋体" w:hAnsi="宋体"/>
                <w:highlight w:val="none"/>
              </w:rPr>
              <w:t>符合参加政府采购活动应当具备的一般条件的承诺函</w:t>
            </w:r>
            <w:r>
              <w:rPr>
                <w:rFonts w:hint="eastAsia" w:cs="宋体"/>
                <w:highlight w:val="none"/>
              </w:rPr>
              <w:t>（格式见第六章）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05" w:hRule="atLeast"/>
          <w:jc w:val="center"/>
        </w:trPr>
        <w:tc>
          <w:tcPr>
            <w:tcW w:w="885" w:type="pct"/>
            <w:noWrap w:val="0"/>
            <w:vAlign w:val="center"/>
          </w:tcPr>
          <w:p>
            <w:pPr>
              <w:snapToGrid w:val="0"/>
              <w:spacing w:line="360" w:lineRule="auto"/>
              <w:ind w:firstLine="480" w:firstLineChars="200"/>
              <w:rPr>
                <w:rFonts w:ascii="宋体" w:hAnsi="宋体"/>
                <w:highlight w:val="none"/>
              </w:rPr>
            </w:pPr>
            <w:r>
              <w:rPr>
                <w:rFonts w:hint="eastAsia" w:ascii="宋体" w:hAnsi="宋体"/>
                <w:highlight w:val="none"/>
              </w:rPr>
              <w:t>2</w:t>
            </w:r>
          </w:p>
        </w:tc>
        <w:tc>
          <w:tcPr>
            <w:tcW w:w="4115" w:type="pct"/>
            <w:noWrap w:val="0"/>
            <w:vAlign w:val="center"/>
          </w:tcPr>
          <w:p>
            <w:pPr>
              <w:snapToGrid w:val="0"/>
              <w:spacing w:line="360" w:lineRule="auto"/>
              <w:rPr>
                <w:rFonts w:ascii="宋体" w:hAnsi="宋体"/>
                <w:highlight w:val="none"/>
              </w:rPr>
            </w:pPr>
            <w:r>
              <w:rPr>
                <w:rFonts w:hint="eastAsia" w:ascii="宋体" w:hAnsi="宋体"/>
                <w:highlight w:val="none"/>
                <w:lang w:val="en-US" w:eastAsia="zh-CN"/>
              </w:rPr>
              <w:t>提供</w:t>
            </w:r>
            <w:r>
              <w:rPr>
                <w:rFonts w:hint="eastAsia" w:ascii="宋体" w:hAnsi="宋体"/>
                <w:highlight w:val="none"/>
              </w:rPr>
              <w:t>有效的企业营业执照（或事业法人登记证或其他登记证明材料）；供应商如果有名称变更的，应提供由行政主管部门出具的变更证明文件。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05" w:hRule="atLeast"/>
          <w:jc w:val="center"/>
        </w:trPr>
        <w:tc>
          <w:tcPr>
            <w:tcW w:w="885" w:type="pct"/>
            <w:noWrap w:val="0"/>
            <w:vAlign w:val="center"/>
          </w:tcPr>
          <w:p>
            <w:pPr>
              <w:snapToGrid w:val="0"/>
              <w:spacing w:line="360" w:lineRule="auto"/>
              <w:ind w:firstLine="480" w:firstLineChars="200"/>
              <w:rPr>
                <w:rFonts w:ascii="宋体" w:hAnsi="宋体"/>
                <w:highlight w:val="none"/>
              </w:rPr>
            </w:pPr>
            <w:r>
              <w:rPr>
                <w:rFonts w:hint="eastAsia" w:ascii="宋体" w:hAnsi="宋体"/>
                <w:highlight w:val="none"/>
              </w:rPr>
              <w:t>3</w:t>
            </w:r>
          </w:p>
        </w:tc>
        <w:tc>
          <w:tcPr>
            <w:tcW w:w="4115" w:type="pct"/>
            <w:noWrap w:val="0"/>
            <w:vAlign w:val="center"/>
          </w:tcPr>
          <w:p>
            <w:pPr>
              <w:snapToGrid w:val="0"/>
              <w:spacing w:line="360" w:lineRule="auto"/>
              <w:rPr>
                <w:rFonts w:hint="eastAsia" w:ascii="宋体" w:hAnsi="宋体" w:eastAsia="宋体"/>
                <w:highlight w:val="none"/>
                <w:lang w:eastAsia="zh-CN"/>
              </w:rPr>
            </w:pPr>
            <w:r>
              <w:rPr>
                <w:rFonts w:ascii="宋体" w:hAnsi="宋体"/>
                <w:highlight w:val="none"/>
              </w:rPr>
              <w:t>落实政府采购政策需满足的资格要求</w:t>
            </w:r>
            <w:r>
              <w:rPr>
                <w:rFonts w:hint="eastAsia" w:ascii="宋体" w:hAnsi="宋体"/>
                <w:highlight w:val="none"/>
              </w:rPr>
              <w:t>: 供应商为中小企业</w:t>
            </w:r>
            <w:r>
              <w:rPr>
                <w:rFonts w:hint="eastAsia" w:ascii="宋体" w:hAnsi="宋体"/>
                <w:highlight w:val="none"/>
                <w:lang w:eastAsia="zh-CN"/>
              </w:rPr>
              <w:t>（</w:t>
            </w:r>
            <w:r>
              <w:rPr>
                <w:rFonts w:hint="eastAsia" w:ascii="宋体" w:hAnsi="宋体"/>
                <w:highlight w:val="none"/>
                <w:lang w:val="en-US" w:eastAsia="zh-CN"/>
              </w:rPr>
              <w:t>提供</w:t>
            </w:r>
            <w:r>
              <w:rPr>
                <w:rFonts w:hint="eastAsia" w:cs="宋体"/>
                <w:color w:val="auto"/>
                <w:highlight w:val="none"/>
                <w:shd w:val="clear" w:color="auto" w:fill="auto"/>
                <w:lang w:val="en-US" w:eastAsia="zh-CN"/>
              </w:rPr>
              <w:t>中小企业声明函或监狱和戒毒企业企业证明材料或残疾人福利性单位声明函</w:t>
            </w:r>
            <w:r>
              <w:rPr>
                <w:rFonts w:hint="eastAsia" w:ascii="宋体" w:hAnsi="宋体"/>
                <w:highlight w:val="none"/>
                <w:lang w:eastAsia="zh-CN"/>
              </w:rPr>
              <w:t>）</w:t>
            </w:r>
            <w:r>
              <w:rPr>
                <w:rFonts w:hint="eastAsia" w:cs="宋体"/>
                <w:highlight w:val="none"/>
              </w:rPr>
              <w:t>（格式见第六章）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05" w:hRule="atLeast"/>
          <w:jc w:val="center"/>
        </w:trPr>
        <w:tc>
          <w:tcPr>
            <w:tcW w:w="885" w:type="pct"/>
            <w:noWrap w:val="0"/>
            <w:vAlign w:val="center"/>
          </w:tcPr>
          <w:p>
            <w:pPr>
              <w:snapToGrid w:val="0"/>
              <w:spacing w:line="360" w:lineRule="auto"/>
              <w:ind w:firstLine="480" w:firstLineChars="200"/>
              <w:rPr>
                <w:rFonts w:hint="eastAsia" w:ascii="宋体" w:hAnsi="宋体"/>
                <w:highlight w:val="none"/>
              </w:rPr>
            </w:pPr>
            <w:r>
              <w:rPr>
                <w:rFonts w:hint="eastAsia" w:ascii="宋体" w:hAnsi="宋体"/>
                <w:highlight w:val="none"/>
              </w:rPr>
              <w:t>4</w:t>
            </w:r>
          </w:p>
        </w:tc>
        <w:tc>
          <w:tcPr>
            <w:tcW w:w="4115" w:type="pct"/>
            <w:noWrap w:val="0"/>
            <w:vAlign w:val="center"/>
          </w:tcPr>
          <w:p>
            <w:pPr>
              <w:snapToGrid w:val="0"/>
              <w:spacing w:line="360" w:lineRule="auto"/>
              <w:rPr>
                <w:rFonts w:hint="eastAsia" w:ascii="宋体" w:hAnsi="宋体" w:eastAsia="宋体"/>
                <w:highlight w:val="none"/>
                <w:lang w:eastAsia="zh-CN"/>
              </w:rPr>
            </w:pPr>
            <w:r>
              <w:rPr>
                <w:rFonts w:hint="eastAsia" w:ascii="宋体" w:hAnsi="宋体"/>
                <w:highlight w:val="none"/>
              </w:rPr>
              <w:t>本项目的特定资格要求证明文件：</w:t>
            </w:r>
            <w:r>
              <w:rPr>
                <w:rFonts w:hint="eastAsia" w:ascii="宋体" w:hAnsi="宋体"/>
                <w:highlight w:val="none"/>
                <w:lang w:eastAsia="zh-CN"/>
              </w:rPr>
              <w:t>无</w:t>
            </w:r>
          </w:p>
        </w:tc>
      </w:tr>
    </w:tbl>
    <w:p>
      <w:pPr>
        <w:spacing w:line="360" w:lineRule="auto"/>
        <w:rPr>
          <w:rFonts w:hint="eastAsia" w:ascii="宋体" w:hAnsi="宋体"/>
          <w:b/>
          <w:szCs w:val="21"/>
          <w:highlight w:val="none"/>
        </w:rPr>
      </w:pPr>
      <w:r>
        <w:rPr>
          <w:rFonts w:hint="eastAsia" w:ascii="宋体" w:hAnsi="宋体"/>
          <w:b/>
          <w:szCs w:val="21"/>
          <w:highlight w:val="none"/>
        </w:rPr>
        <w:t xml:space="preserve">注： </w:t>
      </w:r>
      <w:r>
        <w:rPr>
          <w:rFonts w:hint="eastAsia" w:ascii="宋体" w:hAnsi="宋体"/>
          <w:bCs/>
          <w:highlight w:val="none"/>
        </w:rPr>
        <w:t>（1</w:t>
      </w:r>
      <w:r>
        <w:rPr>
          <w:rFonts w:ascii="宋体" w:hAnsi="宋体"/>
          <w:bCs/>
          <w:highlight w:val="none"/>
        </w:rPr>
        <w:t>）</w:t>
      </w:r>
      <w:r>
        <w:rPr>
          <w:rFonts w:hint="eastAsia" w:ascii="宋体" w:hAnsi="宋体"/>
          <w:b/>
          <w:szCs w:val="21"/>
          <w:highlight w:val="none"/>
        </w:rPr>
        <w:t>上述资格证明文件均须加盖供应商公章，并按采购文件要求放入响应文件中，否则资格性审查不合格。</w:t>
      </w:r>
    </w:p>
    <w:p>
      <w:pPr>
        <w:spacing w:line="360" w:lineRule="auto"/>
        <w:ind w:firstLine="588" w:firstLineChars="245"/>
        <w:rPr>
          <w:rFonts w:ascii="宋体" w:hAnsi="宋体"/>
          <w:b/>
          <w:szCs w:val="21"/>
          <w:highlight w:val="none"/>
        </w:rPr>
      </w:pPr>
      <w:r>
        <w:rPr>
          <w:rFonts w:hint="eastAsia" w:ascii="宋体" w:hAnsi="宋体"/>
          <w:bCs/>
          <w:highlight w:val="none"/>
        </w:rPr>
        <w:t>（2</w:t>
      </w:r>
      <w:r>
        <w:rPr>
          <w:rFonts w:ascii="宋体" w:hAnsi="宋体"/>
          <w:bCs/>
          <w:highlight w:val="none"/>
        </w:rPr>
        <w:t>）</w:t>
      </w:r>
      <w:r>
        <w:rPr>
          <w:rFonts w:hint="eastAsia" w:ascii="宋体" w:hAnsi="宋体"/>
          <w:b/>
          <w:szCs w:val="21"/>
          <w:highlight w:val="none"/>
        </w:rPr>
        <w:t>上述审查项目中，任意一项不符合的，资格性审查不合格。</w:t>
      </w:r>
    </w:p>
    <w:p>
      <w:pPr>
        <w:spacing w:line="360" w:lineRule="auto"/>
        <w:ind w:firstLine="588" w:firstLineChars="245"/>
        <w:rPr>
          <w:rFonts w:ascii="宋体" w:hAnsi="宋体"/>
          <w:b/>
          <w:szCs w:val="21"/>
          <w:highlight w:val="none"/>
        </w:rPr>
      </w:pPr>
      <w:r>
        <w:rPr>
          <w:rFonts w:hint="eastAsia" w:ascii="宋体" w:hAnsi="宋体"/>
          <w:bCs/>
          <w:highlight w:val="none"/>
        </w:rPr>
        <w:t>（3</w:t>
      </w:r>
      <w:r>
        <w:rPr>
          <w:rFonts w:ascii="宋体" w:hAnsi="宋体"/>
          <w:bCs/>
          <w:highlight w:val="none"/>
        </w:rPr>
        <w:t>）</w:t>
      </w:r>
      <w:r>
        <w:rPr>
          <w:rFonts w:hint="eastAsia" w:ascii="宋体" w:hAnsi="宋体"/>
          <w:b/>
          <w:szCs w:val="21"/>
          <w:highlight w:val="none"/>
        </w:rPr>
        <w:t>若在磋商当天因不可抗力事件导致无法查询且一时无法恢复查询的，可在中标公示期间对中标候选人进行事后查询。中标候选人被列入失信被执行人、重大税收违法案件当事人名单、政府采购严重违法失信行为记录名单的，采购人将依法取消其成交资格。</w:t>
      </w:r>
    </w:p>
    <w:p>
      <w:pPr>
        <w:snapToGrid w:val="0"/>
        <w:spacing w:line="360" w:lineRule="auto"/>
        <w:ind w:firstLine="482" w:firstLineChars="200"/>
        <w:rPr>
          <w:rFonts w:ascii="宋体" w:hAnsi="宋体"/>
          <w:b/>
          <w:bCs/>
          <w:highlight w:val="none"/>
        </w:rPr>
      </w:pPr>
      <w:r>
        <w:rPr>
          <w:rFonts w:hint="eastAsia" w:ascii="宋体" w:hAnsi="宋体"/>
          <w:b/>
          <w:bCs/>
          <w:highlight w:val="none"/>
        </w:rPr>
        <w:t>3.</w:t>
      </w:r>
      <w:r>
        <w:rPr>
          <w:rFonts w:ascii="宋体" w:hAnsi="宋体"/>
          <w:b/>
          <w:bCs/>
          <w:highlight w:val="none"/>
        </w:rPr>
        <w:t>在符合性审查和商务评审时，如发现下列情形之一的，响应文件将被视为无效：</w:t>
      </w:r>
    </w:p>
    <w:p>
      <w:pPr>
        <w:snapToGrid w:val="0"/>
        <w:spacing w:line="360" w:lineRule="auto"/>
        <w:ind w:firstLine="480" w:firstLineChars="200"/>
        <w:rPr>
          <w:rFonts w:hint="eastAsia" w:ascii="宋体" w:hAnsi="宋体"/>
          <w:highlight w:val="none"/>
        </w:rPr>
      </w:pPr>
      <w:r>
        <w:rPr>
          <w:rFonts w:hint="eastAsia" w:ascii="宋体" w:hAnsi="宋体"/>
          <w:bCs/>
          <w:highlight w:val="none"/>
        </w:rPr>
        <w:t>（1</w:t>
      </w:r>
      <w:r>
        <w:rPr>
          <w:rFonts w:ascii="宋体" w:hAnsi="宋体"/>
          <w:bCs/>
          <w:highlight w:val="none"/>
        </w:rPr>
        <w:t>）</w:t>
      </w:r>
      <w:r>
        <w:rPr>
          <w:rFonts w:ascii="宋体" w:hAnsi="宋体"/>
          <w:highlight w:val="none"/>
        </w:rPr>
        <w:t>响应文件未按规定要求提供</w:t>
      </w:r>
      <w:r>
        <w:rPr>
          <w:rFonts w:hint="eastAsia" w:ascii="仿宋_GB2312"/>
          <w:highlight w:val="none"/>
        </w:rPr>
        <w:t>盖章、签字等</w:t>
      </w:r>
      <w:r>
        <w:rPr>
          <w:rFonts w:ascii="宋体" w:hAnsi="宋体"/>
          <w:highlight w:val="none"/>
        </w:rPr>
        <w:t>的</w:t>
      </w:r>
      <w:r>
        <w:rPr>
          <w:rFonts w:hint="eastAsia" w:ascii="宋体" w:hAnsi="宋体"/>
          <w:highlight w:val="none"/>
        </w:rPr>
        <w:t>；</w:t>
      </w:r>
    </w:p>
    <w:p>
      <w:pPr>
        <w:snapToGrid w:val="0"/>
        <w:spacing w:line="360" w:lineRule="auto"/>
        <w:ind w:firstLine="480" w:firstLineChars="200"/>
        <w:rPr>
          <w:rFonts w:ascii="宋体" w:hAnsi="宋体"/>
          <w:highlight w:val="none"/>
        </w:rPr>
      </w:pPr>
      <w:r>
        <w:rPr>
          <w:rFonts w:hint="eastAsia" w:ascii="宋体" w:hAnsi="宋体"/>
          <w:highlight w:val="none"/>
        </w:rPr>
        <w:t>（2）</w:t>
      </w:r>
      <w:r>
        <w:rPr>
          <w:rFonts w:ascii="宋体" w:hAnsi="宋体"/>
          <w:highlight w:val="none"/>
        </w:rPr>
        <w:t>资格证明文件不全的，或者不符合磋商文件标明的资格要求的</w:t>
      </w:r>
      <w:r>
        <w:rPr>
          <w:rFonts w:hint="eastAsia" w:ascii="宋体" w:hAnsi="宋体"/>
          <w:highlight w:val="none"/>
        </w:rPr>
        <w:t>；</w:t>
      </w:r>
    </w:p>
    <w:p>
      <w:pPr>
        <w:snapToGrid w:val="0"/>
        <w:spacing w:line="360" w:lineRule="auto"/>
        <w:ind w:firstLine="480" w:firstLineChars="200"/>
        <w:rPr>
          <w:rFonts w:ascii="宋体" w:hAnsi="宋体"/>
          <w:bCs/>
          <w:kern w:val="0"/>
          <w:highlight w:val="none"/>
        </w:rPr>
      </w:pPr>
      <w:r>
        <w:rPr>
          <w:rFonts w:hint="eastAsia" w:ascii="宋体" w:hAnsi="宋体"/>
          <w:highlight w:val="none"/>
        </w:rPr>
        <w:t>（3</w:t>
      </w:r>
      <w:r>
        <w:rPr>
          <w:rFonts w:ascii="宋体" w:hAnsi="宋体"/>
          <w:highlight w:val="none"/>
        </w:rPr>
        <w:t>）响应文件未</w:t>
      </w:r>
      <w:r>
        <w:rPr>
          <w:rFonts w:hint="eastAsia" w:ascii="宋体" w:hAnsi="宋体"/>
          <w:bCs/>
          <w:kern w:val="0"/>
          <w:highlight w:val="none"/>
        </w:rPr>
        <w:t>提供法定代表人授权委托书、磋商声明书或者填写项目不齐全的；</w:t>
      </w:r>
    </w:p>
    <w:p>
      <w:pPr>
        <w:pStyle w:val="16"/>
        <w:snapToGrid w:val="0"/>
        <w:spacing w:line="360" w:lineRule="auto"/>
        <w:ind w:firstLine="464" w:firstLineChars="200"/>
        <w:rPr>
          <w:rFonts w:hAnsi="宋体"/>
          <w:snapToGrid w:val="0"/>
          <w:sz w:val="24"/>
          <w:szCs w:val="24"/>
          <w:highlight w:val="none"/>
        </w:rPr>
      </w:pPr>
      <w:r>
        <w:rPr>
          <w:rFonts w:hAnsi="宋体"/>
          <w:sz w:val="24"/>
          <w:szCs w:val="24"/>
          <w:highlight w:val="none"/>
        </w:rPr>
        <w:t>（</w:t>
      </w:r>
      <w:r>
        <w:rPr>
          <w:rFonts w:hint="eastAsia" w:hAnsi="宋体"/>
          <w:sz w:val="24"/>
          <w:szCs w:val="24"/>
          <w:highlight w:val="none"/>
          <w:lang w:eastAsia="zh-CN"/>
        </w:rPr>
        <w:t>4</w:t>
      </w:r>
      <w:r>
        <w:rPr>
          <w:rFonts w:hAnsi="宋体"/>
          <w:sz w:val="24"/>
          <w:szCs w:val="24"/>
          <w:highlight w:val="none"/>
        </w:rPr>
        <w:t>）响应文件格式不规范、项目不齐全或者内容虚假的；</w:t>
      </w:r>
    </w:p>
    <w:p>
      <w:pPr>
        <w:pStyle w:val="16"/>
        <w:snapToGrid w:val="0"/>
        <w:spacing w:line="360" w:lineRule="auto"/>
        <w:ind w:firstLine="464" w:firstLineChars="200"/>
        <w:rPr>
          <w:rFonts w:hAnsi="宋体"/>
          <w:snapToGrid w:val="0"/>
          <w:sz w:val="24"/>
          <w:szCs w:val="24"/>
          <w:highlight w:val="none"/>
        </w:rPr>
      </w:pPr>
      <w:r>
        <w:rPr>
          <w:rFonts w:hAnsi="宋体"/>
          <w:sz w:val="24"/>
          <w:szCs w:val="24"/>
          <w:highlight w:val="none"/>
        </w:rPr>
        <w:t>（</w:t>
      </w:r>
      <w:r>
        <w:rPr>
          <w:rFonts w:hint="eastAsia" w:hAnsi="宋体"/>
          <w:snapToGrid w:val="0"/>
          <w:sz w:val="24"/>
          <w:szCs w:val="24"/>
          <w:highlight w:val="none"/>
          <w:lang w:eastAsia="zh-CN"/>
        </w:rPr>
        <w:t>5</w:t>
      </w:r>
      <w:r>
        <w:rPr>
          <w:rFonts w:hAnsi="宋体"/>
          <w:snapToGrid w:val="0"/>
          <w:sz w:val="24"/>
          <w:szCs w:val="24"/>
          <w:highlight w:val="none"/>
        </w:rPr>
        <w:t>）</w:t>
      </w:r>
      <w:r>
        <w:rPr>
          <w:rFonts w:hAnsi="宋体"/>
          <w:sz w:val="24"/>
          <w:szCs w:val="24"/>
          <w:highlight w:val="none"/>
        </w:rPr>
        <w:t>响应文件的实质性内容未使用中文表述、意思表述不明确、前后矛盾或者使用计量单位不符合磋商文件要求的（经磋商小组认定</w:t>
      </w:r>
      <w:r>
        <w:rPr>
          <w:rFonts w:hint="eastAsia" w:hAnsi="宋体"/>
          <w:sz w:val="24"/>
          <w:szCs w:val="24"/>
          <w:highlight w:val="none"/>
        </w:rPr>
        <w:t>并</w:t>
      </w:r>
      <w:r>
        <w:rPr>
          <w:rFonts w:hAnsi="宋体"/>
          <w:sz w:val="24"/>
          <w:szCs w:val="24"/>
          <w:highlight w:val="none"/>
        </w:rPr>
        <w:t>允许其当场更正的笔误除外）</w:t>
      </w:r>
      <w:r>
        <w:rPr>
          <w:rFonts w:hint="eastAsia" w:hAnsi="宋体"/>
          <w:sz w:val="24"/>
          <w:szCs w:val="24"/>
          <w:highlight w:val="none"/>
        </w:rPr>
        <w:t>；</w:t>
      </w:r>
    </w:p>
    <w:p>
      <w:pPr>
        <w:pStyle w:val="16"/>
        <w:snapToGrid w:val="0"/>
        <w:spacing w:line="360" w:lineRule="auto"/>
        <w:ind w:firstLine="464" w:firstLineChars="200"/>
        <w:rPr>
          <w:rFonts w:hAnsi="宋体"/>
          <w:snapToGrid w:val="0"/>
          <w:sz w:val="24"/>
          <w:szCs w:val="24"/>
          <w:highlight w:val="none"/>
        </w:rPr>
      </w:pPr>
      <w:r>
        <w:rPr>
          <w:rFonts w:hAnsi="宋体"/>
          <w:sz w:val="24"/>
          <w:szCs w:val="24"/>
          <w:highlight w:val="none"/>
        </w:rPr>
        <w:t>（</w:t>
      </w:r>
      <w:r>
        <w:rPr>
          <w:rFonts w:hint="eastAsia" w:hAnsi="宋体"/>
          <w:sz w:val="24"/>
          <w:szCs w:val="24"/>
          <w:highlight w:val="none"/>
          <w:lang w:eastAsia="zh-CN"/>
        </w:rPr>
        <w:t>6</w:t>
      </w:r>
      <w:r>
        <w:rPr>
          <w:rFonts w:hAnsi="宋体"/>
          <w:sz w:val="24"/>
          <w:szCs w:val="24"/>
          <w:highlight w:val="none"/>
        </w:rPr>
        <w:t>）</w:t>
      </w:r>
      <w:r>
        <w:rPr>
          <w:rFonts w:hAnsi="宋体"/>
          <w:snapToGrid w:val="0"/>
          <w:sz w:val="24"/>
          <w:szCs w:val="24"/>
          <w:highlight w:val="none"/>
        </w:rPr>
        <w:t>磋商有效期、</w:t>
      </w:r>
      <w:r>
        <w:rPr>
          <w:rFonts w:hint="eastAsia" w:hAnsi="宋体"/>
          <w:snapToGrid w:val="0"/>
          <w:sz w:val="24"/>
          <w:szCs w:val="24"/>
          <w:highlight w:val="none"/>
        </w:rPr>
        <w:t>交货期限</w:t>
      </w:r>
      <w:r>
        <w:rPr>
          <w:rFonts w:hAnsi="宋体"/>
          <w:snapToGrid w:val="0"/>
          <w:sz w:val="24"/>
          <w:szCs w:val="24"/>
          <w:highlight w:val="none"/>
        </w:rPr>
        <w:t>等商务条款不能满足磋商文件要求的；</w:t>
      </w:r>
    </w:p>
    <w:p>
      <w:pPr>
        <w:pStyle w:val="16"/>
        <w:snapToGrid w:val="0"/>
        <w:spacing w:line="360" w:lineRule="auto"/>
        <w:ind w:firstLine="464" w:firstLineChars="200"/>
        <w:rPr>
          <w:rFonts w:hint="eastAsia" w:hAnsi="宋体"/>
          <w:sz w:val="24"/>
          <w:szCs w:val="24"/>
          <w:highlight w:val="none"/>
        </w:rPr>
      </w:pPr>
      <w:r>
        <w:rPr>
          <w:rFonts w:hint="eastAsia" w:hAnsi="宋体"/>
          <w:sz w:val="24"/>
          <w:szCs w:val="24"/>
          <w:highlight w:val="none"/>
        </w:rPr>
        <w:t>（</w:t>
      </w:r>
      <w:r>
        <w:rPr>
          <w:rFonts w:hint="eastAsia" w:hAnsi="宋体"/>
          <w:sz w:val="24"/>
          <w:szCs w:val="24"/>
          <w:highlight w:val="none"/>
          <w:lang w:eastAsia="zh-CN"/>
        </w:rPr>
        <w:t>7</w:t>
      </w:r>
      <w:r>
        <w:rPr>
          <w:rFonts w:hint="eastAsia" w:hAnsi="宋体"/>
          <w:sz w:val="24"/>
          <w:szCs w:val="24"/>
          <w:highlight w:val="none"/>
        </w:rPr>
        <w:t>）未实质性</w:t>
      </w:r>
      <w:r>
        <w:rPr>
          <w:rFonts w:hAnsi="宋体"/>
          <w:sz w:val="24"/>
          <w:szCs w:val="24"/>
          <w:highlight w:val="none"/>
        </w:rPr>
        <w:t>响应磋商文件要求或者响应文件有采购方不能接受的附加条件的</w:t>
      </w:r>
      <w:r>
        <w:rPr>
          <w:rFonts w:hint="eastAsia" w:hAnsi="宋体"/>
          <w:sz w:val="24"/>
          <w:szCs w:val="24"/>
          <w:highlight w:val="none"/>
        </w:rPr>
        <w:t>；</w:t>
      </w:r>
    </w:p>
    <w:p>
      <w:pPr>
        <w:pStyle w:val="16"/>
        <w:snapToGrid w:val="0"/>
        <w:spacing w:line="360" w:lineRule="auto"/>
        <w:ind w:firstLine="464" w:firstLineChars="200"/>
        <w:rPr>
          <w:rFonts w:hAnsi="宋体"/>
          <w:sz w:val="24"/>
          <w:szCs w:val="24"/>
          <w:highlight w:val="none"/>
        </w:rPr>
      </w:pPr>
      <w:r>
        <w:rPr>
          <w:rFonts w:hint="eastAsia" w:hAnsi="宋体"/>
          <w:sz w:val="24"/>
          <w:szCs w:val="24"/>
          <w:highlight w:val="none"/>
        </w:rPr>
        <w:t>（</w:t>
      </w:r>
      <w:r>
        <w:rPr>
          <w:rFonts w:hint="eastAsia" w:hAnsi="宋体"/>
          <w:sz w:val="24"/>
          <w:szCs w:val="24"/>
          <w:highlight w:val="none"/>
          <w:lang w:eastAsia="zh-CN"/>
        </w:rPr>
        <w:t>8</w:t>
      </w:r>
      <w:r>
        <w:rPr>
          <w:rFonts w:hint="eastAsia" w:hAnsi="宋体"/>
          <w:sz w:val="24"/>
          <w:szCs w:val="24"/>
          <w:highlight w:val="none"/>
        </w:rPr>
        <w:t>）在资信商务及技术文件中出现报价的；</w:t>
      </w:r>
    </w:p>
    <w:p>
      <w:pPr>
        <w:pStyle w:val="16"/>
        <w:snapToGrid w:val="0"/>
        <w:spacing w:line="360" w:lineRule="auto"/>
        <w:ind w:firstLine="464" w:firstLineChars="200"/>
        <w:rPr>
          <w:rFonts w:hAnsi="宋体"/>
          <w:sz w:val="24"/>
          <w:szCs w:val="24"/>
          <w:highlight w:val="none"/>
        </w:rPr>
      </w:pPr>
      <w:r>
        <w:rPr>
          <w:rFonts w:hint="eastAsia" w:hAnsi="宋体"/>
          <w:sz w:val="24"/>
          <w:szCs w:val="24"/>
          <w:highlight w:val="none"/>
        </w:rPr>
        <w:t>（</w:t>
      </w:r>
      <w:r>
        <w:rPr>
          <w:rFonts w:hint="eastAsia" w:hAnsi="宋体"/>
          <w:sz w:val="24"/>
          <w:szCs w:val="24"/>
          <w:highlight w:val="none"/>
          <w:lang w:eastAsia="zh-CN"/>
        </w:rPr>
        <w:t>9</w:t>
      </w:r>
      <w:r>
        <w:rPr>
          <w:rFonts w:hint="eastAsia" w:hAnsi="宋体"/>
          <w:sz w:val="24"/>
          <w:szCs w:val="24"/>
          <w:highlight w:val="none"/>
        </w:rPr>
        <w:t>）不符合本磋商文件中的实质性要求条款。</w:t>
      </w:r>
    </w:p>
    <w:p>
      <w:pPr>
        <w:pStyle w:val="16"/>
        <w:snapToGrid w:val="0"/>
        <w:spacing w:line="360" w:lineRule="auto"/>
        <w:ind w:firstLine="466" w:firstLineChars="200"/>
        <w:rPr>
          <w:rFonts w:hAnsi="宋体"/>
          <w:b/>
          <w:bCs/>
          <w:sz w:val="24"/>
          <w:szCs w:val="24"/>
          <w:highlight w:val="none"/>
        </w:rPr>
      </w:pPr>
      <w:r>
        <w:rPr>
          <w:rFonts w:hint="eastAsia" w:hAnsi="宋体"/>
          <w:b/>
          <w:bCs/>
          <w:sz w:val="24"/>
          <w:szCs w:val="24"/>
          <w:highlight w:val="none"/>
        </w:rPr>
        <w:t>4.</w:t>
      </w:r>
      <w:r>
        <w:rPr>
          <w:rFonts w:hAnsi="宋体"/>
          <w:b/>
          <w:bCs/>
          <w:sz w:val="24"/>
          <w:szCs w:val="24"/>
          <w:highlight w:val="none"/>
        </w:rPr>
        <w:t>在技术评审时，如发现下列情形之一的，响应文件将被视为无效：</w:t>
      </w:r>
    </w:p>
    <w:p>
      <w:pPr>
        <w:pStyle w:val="16"/>
        <w:snapToGrid w:val="0"/>
        <w:spacing w:line="360" w:lineRule="auto"/>
        <w:ind w:firstLine="464" w:firstLineChars="200"/>
        <w:rPr>
          <w:rFonts w:hAnsi="宋体"/>
          <w:sz w:val="24"/>
          <w:szCs w:val="24"/>
          <w:highlight w:val="none"/>
        </w:rPr>
      </w:pPr>
      <w:r>
        <w:rPr>
          <w:rFonts w:hAnsi="宋体"/>
          <w:sz w:val="24"/>
          <w:szCs w:val="24"/>
          <w:highlight w:val="none"/>
        </w:rPr>
        <w:t>（1）未提供或未如实提供磋商货物的技术参数，或者响应文件标明的响应或偏离与事实不符或虚假磋商的；</w:t>
      </w:r>
    </w:p>
    <w:p>
      <w:pPr>
        <w:pStyle w:val="16"/>
        <w:snapToGrid w:val="0"/>
        <w:spacing w:line="360" w:lineRule="auto"/>
        <w:ind w:firstLine="464" w:firstLineChars="200"/>
        <w:rPr>
          <w:rFonts w:hint="eastAsia" w:hAnsi="宋体"/>
          <w:sz w:val="24"/>
          <w:szCs w:val="24"/>
          <w:highlight w:val="none"/>
        </w:rPr>
      </w:pPr>
      <w:r>
        <w:rPr>
          <w:rFonts w:hAnsi="宋体"/>
          <w:sz w:val="24"/>
          <w:szCs w:val="24"/>
          <w:highlight w:val="none"/>
        </w:rPr>
        <w:t>（2）</w:t>
      </w:r>
      <w:r>
        <w:rPr>
          <w:rFonts w:hAnsi="宋体"/>
          <w:snapToGrid w:val="0"/>
          <w:sz w:val="24"/>
          <w:szCs w:val="24"/>
          <w:highlight w:val="none"/>
        </w:rPr>
        <w:t>明显不符合磋商文件</w:t>
      </w:r>
      <w:r>
        <w:rPr>
          <w:rFonts w:hint="eastAsia" w:hAnsi="宋体"/>
          <w:snapToGrid w:val="0"/>
          <w:sz w:val="24"/>
          <w:szCs w:val="24"/>
          <w:highlight w:val="none"/>
        </w:rPr>
        <w:t>要求</w:t>
      </w:r>
      <w:r>
        <w:rPr>
          <w:rFonts w:hAnsi="宋体"/>
          <w:snapToGrid w:val="0"/>
          <w:sz w:val="24"/>
          <w:szCs w:val="24"/>
          <w:highlight w:val="none"/>
        </w:rPr>
        <w:t>的规格型号、质量标准，或者</w:t>
      </w:r>
      <w:r>
        <w:rPr>
          <w:rFonts w:hint="eastAsia" w:hAnsi="宋体"/>
          <w:snapToGrid w:val="0"/>
          <w:sz w:val="24"/>
          <w:szCs w:val="24"/>
          <w:highlight w:val="none"/>
        </w:rPr>
        <w:t>与</w:t>
      </w:r>
      <w:r>
        <w:rPr>
          <w:rFonts w:hAnsi="宋体"/>
          <w:sz w:val="24"/>
          <w:szCs w:val="24"/>
          <w:highlight w:val="none"/>
        </w:rPr>
        <w:t>磋商文件中标“▲”的技术指标、主要功能项目发生实质性偏离的；</w:t>
      </w:r>
    </w:p>
    <w:p>
      <w:pPr>
        <w:pStyle w:val="16"/>
        <w:snapToGrid w:val="0"/>
        <w:spacing w:line="360" w:lineRule="auto"/>
        <w:ind w:firstLine="464" w:firstLineChars="200"/>
        <w:rPr>
          <w:rFonts w:hint="eastAsia" w:hAnsi="宋体"/>
          <w:sz w:val="24"/>
          <w:szCs w:val="24"/>
          <w:highlight w:val="none"/>
        </w:rPr>
      </w:pPr>
      <w:r>
        <w:rPr>
          <w:rFonts w:hAnsi="宋体"/>
          <w:snapToGrid w:val="0"/>
          <w:sz w:val="24"/>
          <w:szCs w:val="24"/>
          <w:highlight w:val="none"/>
        </w:rPr>
        <w:t>（</w:t>
      </w:r>
      <w:r>
        <w:rPr>
          <w:rFonts w:hint="eastAsia" w:hAnsi="宋体"/>
          <w:snapToGrid w:val="0"/>
          <w:sz w:val="24"/>
          <w:szCs w:val="24"/>
          <w:highlight w:val="none"/>
        </w:rPr>
        <w:t>3</w:t>
      </w:r>
      <w:r>
        <w:rPr>
          <w:rFonts w:hAnsi="宋体"/>
          <w:snapToGrid w:val="0"/>
          <w:sz w:val="24"/>
          <w:szCs w:val="24"/>
          <w:highlight w:val="none"/>
        </w:rPr>
        <w:t>）</w:t>
      </w:r>
      <w:r>
        <w:rPr>
          <w:rFonts w:hAnsi="宋体"/>
          <w:sz w:val="24"/>
          <w:szCs w:val="24"/>
          <w:highlight w:val="none"/>
        </w:rPr>
        <w:t>磋商技术方案不明确，存在一个或一个以上备选（替代）磋商方案的</w:t>
      </w:r>
      <w:r>
        <w:rPr>
          <w:rFonts w:hint="eastAsia" w:hAnsi="宋体"/>
          <w:sz w:val="24"/>
          <w:szCs w:val="24"/>
          <w:highlight w:val="none"/>
        </w:rPr>
        <w:t>。</w:t>
      </w:r>
    </w:p>
    <w:p>
      <w:pPr>
        <w:pStyle w:val="16"/>
        <w:snapToGrid w:val="0"/>
        <w:spacing w:line="360" w:lineRule="auto"/>
        <w:ind w:firstLine="466" w:firstLineChars="200"/>
        <w:rPr>
          <w:rFonts w:hAnsi="宋体"/>
          <w:b/>
          <w:bCs/>
          <w:sz w:val="24"/>
          <w:szCs w:val="24"/>
          <w:highlight w:val="none"/>
        </w:rPr>
      </w:pPr>
      <w:r>
        <w:rPr>
          <w:rFonts w:hint="eastAsia" w:hAnsi="宋体"/>
          <w:b/>
          <w:bCs/>
          <w:sz w:val="24"/>
          <w:szCs w:val="24"/>
          <w:highlight w:val="none"/>
        </w:rPr>
        <w:t>5.</w:t>
      </w:r>
      <w:r>
        <w:rPr>
          <w:rFonts w:hAnsi="宋体"/>
          <w:b/>
          <w:bCs/>
          <w:sz w:val="24"/>
          <w:szCs w:val="24"/>
          <w:highlight w:val="none"/>
        </w:rPr>
        <w:t>在报价评审时，如发现下列情形之一的，响应文件将被视为无效：</w:t>
      </w:r>
    </w:p>
    <w:p>
      <w:pPr>
        <w:pStyle w:val="16"/>
        <w:snapToGrid w:val="0"/>
        <w:spacing w:line="360" w:lineRule="auto"/>
        <w:ind w:firstLine="464" w:firstLineChars="200"/>
        <w:rPr>
          <w:rFonts w:hAnsi="宋体"/>
          <w:sz w:val="24"/>
          <w:szCs w:val="24"/>
          <w:highlight w:val="none"/>
        </w:rPr>
      </w:pPr>
      <w:r>
        <w:rPr>
          <w:rFonts w:hAnsi="宋体"/>
          <w:sz w:val="24"/>
          <w:szCs w:val="24"/>
          <w:highlight w:val="none"/>
        </w:rPr>
        <w:t>（1）未采用人民币报价或者未按照磋商文件标明的币种报价的；</w:t>
      </w:r>
    </w:p>
    <w:p>
      <w:pPr>
        <w:pStyle w:val="16"/>
        <w:snapToGrid w:val="0"/>
        <w:spacing w:line="360" w:lineRule="auto"/>
        <w:ind w:firstLine="464" w:firstLineChars="200"/>
        <w:rPr>
          <w:rFonts w:hAnsi="宋体"/>
          <w:sz w:val="24"/>
          <w:szCs w:val="24"/>
          <w:highlight w:val="none"/>
        </w:rPr>
      </w:pPr>
      <w:r>
        <w:rPr>
          <w:rFonts w:hAnsi="宋体"/>
          <w:sz w:val="24"/>
          <w:szCs w:val="24"/>
          <w:highlight w:val="none"/>
        </w:rPr>
        <w:t>（2）报价超出最高限价</w:t>
      </w:r>
      <w:r>
        <w:rPr>
          <w:rFonts w:hint="eastAsia" w:hAnsi="宋体"/>
          <w:sz w:val="24"/>
          <w:szCs w:val="24"/>
          <w:highlight w:val="none"/>
        </w:rPr>
        <w:t>；</w:t>
      </w:r>
    </w:p>
    <w:p>
      <w:pPr>
        <w:pStyle w:val="16"/>
        <w:snapToGrid w:val="0"/>
        <w:spacing w:line="360" w:lineRule="auto"/>
        <w:ind w:firstLine="464" w:firstLineChars="200"/>
        <w:rPr>
          <w:rFonts w:hint="eastAsia" w:hAnsi="宋体"/>
          <w:sz w:val="24"/>
          <w:szCs w:val="24"/>
          <w:highlight w:val="none"/>
        </w:rPr>
      </w:pPr>
      <w:r>
        <w:rPr>
          <w:rFonts w:hint="eastAsia" w:hAnsi="宋体"/>
          <w:sz w:val="24"/>
          <w:szCs w:val="24"/>
          <w:highlight w:val="none"/>
        </w:rPr>
        <w:t>（3）未</w:t>
      </w:r>
      <w:r>
        <w:rPr>
          <w:rFonts w:hAnsi="宋体"/>
          <w:sz w:val="24"/>
          <w:szCs w:val="24"/>
          <w:highlight w:val="none"/>
        </w:rPr>
        <w:t>在规定时间内提交最后报价</w:t>
      </w:r>
      <w:r>
        <w:rPr>
          <w:rFonts w:hint="eastAsia" w:hAnsi="宋体"/>
          <w:sz w:val="24"/>
          <w:szCs w:val="24"/>
          <w:highlight w:val="none"/>
        </w:rPr>
        <w:t>；</w:t>
      </w:r>
    </w:p>
    <w:p>
      <w:pPr>
        <w:pStyle w:val="16"/>
        <w:snapToGrid w:val="0"/>
        <w:spacing w:line="360" w:lineRule="auto"/>
        <w:ind w:firstLine="464" w:firstLineChars="200"/>
        <w:rPr>
          <w:rFonts w:hAnsi="宋体"/>
          <w:sz w:val="24"/>
          <w:szCs w:val="24"/>
          <w:highlight w:val="none"/>
        </w:rPr>
      </w:pPr>
      <w:r>
        <w:rPr>
          <w:rFonts w:hint="eastAsia" w:hAnsi="宋体"/>
          <w:sz w:val="24"/>
          <w:szCs w:val="24"/>
          <w:highlight w:val="none"/>
        </w:rPr>
        <w:t xml:space="preserve">（4）磋商报价具有选择性，或者开标价格与响应文件承诺的优惠（折扣）价格不一致的。                                                                                 </w:t>
      </w:r>
    </w:p>
    <w:p>
      <w:pPr>
        <w:pStyle w:val="16"/>
        <w:snapToGrid w:val="0"/>
        <w:spacing w:line="360" w:lineRule="auto"/>
        <w:ind w:firstLine="466" w:firstLineChars="200"/>
        <w:rPr>
          <w:rFonts w:hint="eastAsia" w:hAnsi="宋体"/>
          <w:b/>
          <w:sz w:val="24"/>
          <w:szCs w:val="24"/>
          <w:highlight w:val="none"/>
        </w:rPr>
      </w:pPr>
      <w:r>
        <w:rPr>
          <w:rFonts w:hint="eastAsia" w:hAnsi="宋体"/>
          <w:b/>
          <w:sz w:val="24"/>
          <w:szCs w:val="24"/>
          <w:highlight w:val="none"/>
        </w:rPr>
        <w:t>6.</w:t>
      </w:r>
      <w:r>
        <w:rPr>
          <w:rFonts w:hAnsi="宋体"/>
          <w:b/>
          <w:sz w:val="24"/>
          <w:szCs w:val="24"/>
          <w:highlight w:val="none"/>
        </w:rPr>
        <w:t>被拒绝的响应文件为无效。</w:t>
      </w:r>
    </w:p>
    <w:p>
      <w:pPr>
        <w:pStyle w:val="20"/>
        <w:snapToGrid w:val="0"/>
        <w:spacing w:before="120" w:beforeLines="0" w:after="120" w:afterLines="0" w:line="360" w:lineRule="auto"/>
        <w:jc w:val="center"/>
        <w:outlineLvl w:val="1"/>
        <w:rPr>
          <w:rFonts w:hAnsi="宋体"/>
          <w:b/>
          <w:sz w:val="32"/>
          <w:szCs w:val="32"/>
          <w:highlight w:val="none"/>
        </w:rPr>
      </w:pPr>
      <w:r>
        <w:rPr>
          <w:rFonts w:hint="eastAsia" w:hAnsi="宋体"/>
          <w:b/>
          <w:sz w:val="32"/>
          <w:szCs w:val="32"/>
          <w:highlight w:val="none"/>
        </w:rPr>
        <w:t>四、磋商前的准备</w:t>
      </w:r>
    </w:p>
    <w:p>
      <w:pPr>
        <w:pStyle w:val="16"/>
        <w:snapToGrid w:val="0"/>
        <w:spacing w:line="360" w:lineRule="auto"/>
        <w:ind w:firstLine="454" w:firstLineChars="196"/>
        <w:rPr>
          <w:rFonts w:hint="eastAsia" w:hAnsi="宋体"/>
          <w:sz w:val="24"/>
          <w:szCs w:val="24"/>
          <w:highlight w:val="none"/>
        </w:rPr>
      </w:pPr>
      <w:r>
        <w:rPr>
          <w:rFonts w:hint="eastAsia" w:hAnsi="宋体"/>
          <w:sz w:val="24"/>
          <w:szCs w:val="24"/>
          <w:highlight w:val="none"/>
        </w:rPr>
        <w:t>1、本项目实行电子磋商，供应商无需前往磋商现场，只需在规定时间内在“政采云”平台上上传电子响应文件和准时在线上参加磋商。</w:t>
      </w:r>
    </w:p>
    <w:p>
      <w:pPr>
        <w:pStyle w:val="16"/>
        <w:snapToGrid w:val="0"/>
        <w:spacing w:line="360" w:lineRule="auto"/>
        <w:ind w:firstLine="454" w:firstLineChars="196"/>
        <w:rPr>
          <w:rFonts w:hAnsi="宋体"/>
          <w:sz w:val="24"/>
          <w:szCs w:val="24"/>
          <w:highlight w:val="none"/>
        </w:rPr>
      </w:pPr>
      <w:r>
        <w:rPr>
          <w:rFonts w:hAnsi="宋体"/>
          <w:sz w:val="24"/>
          <w:szCs w:val="24"/>
          <w:highlight w:val="none"/>
        </w:rPr>
        <w:t>2</w:t>
      </w:r>
      <w:r>
        <w:rPr>
          <w:rFonts w:hint="eastAsia" w:hAnsi="宋体"/>
          <w:sz w:val="24"/>
          <w:szCs w:val="24"/>
          <w:highlight w:val="none"/>
        </w:rPr>
        <w:t>、准备工作程序：</w:t>
      </w:r>
    </w:p>
    <w:p>
      <w:pPr>
        <w:numPr>
          <w:ilvl w:val="3"/>
          <w:numId w:val="19"/>
        </w:numPr>
        <w:tabs>
          <w:tab w:val="left" w:pos="993"/>
        </w:tabs>
        <w:spacing w:line="360" w:lineRule="auto"/>
        <w:ind w:left="567" w:hanging="283"/>
        <w:rPr>
          <w:rFonts w:hint="eastAsia" w:ascii="宋体" w:hAnsi="宋体" w:cs="宋体"/>
          <w:highlight w:val="none"/>
        </w:rPr>
      </w:pPr>
      <w:r>
        <w:rPr>
          <w:rFonts w:hint="eastAsia" w:ascii="宋体" w:hAnsi="宋体" w:cs="宋体"/>
          <w:highlight w:val="none"/>
        </w:rPr>
        <w:t>开标的准备工作由采购组织机构负责落实；</w:t>
      </w:r>
    </w:p>
    <w:p>
      <w:pPr>
        <w:numPr>
          <w:ilvl w:val="3"/>
          <w:numId w:val="19"/>
        </w:numPr>
        <w:tabs>
          <w:tab w:val="left" w:pos="993"/>
        </w:tabs>
        <w:spacing w:line="360" w:lineRule="auto"/>
        <w:ind w:left="567" w:hanging="283"/>
        <w:rPr>
          <w:rFonts w:hint="eastAsia" w:ascii="宋体" w:hAnsi="宋体" w:cs="宋体"/>
          <w:highlight w:val="none"/>
        </w:rPr>
      </w:pPr>
      <w:r>
        <w:rPr>
          <w:rFonts w:hint="eastAsia" w:ascii="宋体" w:hAnsi="宋体" w:cs="宋体"/>
          <w:highlight w:val="none"/>
        </w:rPr>
        <w:t>采购组织机构将按照磋商文件规定的时间组织磋商、开启响应文件，</w:t>
      </w:r>
      <w:r>
        <w:rPr>
          <w:rFonts w:hint="eastAsia" w:hAnsi="宋体"/>
          <w:highlight w:val="none"/>
        </w:rPr>
        <w:t>响应</w:t>
      </w:r>
      <w:r>
        <w:rPr>
          <w:rFonts w:hAnsi="宋体"/>
          <w:highlight w:val="none"/>
        </w:rPr>
        <w:t>截止时间后</w:t>
      </w:r>
      <w:r>
        <w:rPr>
          <w:rFonts w:hint="eastAsia" w:hAnsi="宋体"/>
          <w:highlight w:val="none"/>
        </w:rPr>
        <w:t>的半小时内</w:t>
      </w:r>
      <w:r>
        <w:rPr>
          <w:rFonts w:hAnsi="宋体"/>
          <w:highlight w:val="none"/>
        </w:rPr>
        <w:t>，</w:t>
      </w:r>
      <w:r>
        <w:rPr>
          <w:rFonts w:hint="eastAsia" w:hAnsi="宋体"/>
          <w:highlight w:val="none"/>
        </w:rPr>
        <w:t>由各供应商自行</w:t>
      </w:r>
      <w:r>
        <w:rPr>
          <w:rFonts w:hAnsi="宋体"/>
          <w:highlight w:val="none"/>
        </w:rPr>
        <w:t>对</w:t>
      </w:r>
      <w:r>
        <w:rPr>
          <w:rFonts w:hint="eastAsia" w:hAnsi="宋体"/>
          <w:highlight w:val="none"/>
        </w:rPr>
        <w:t>电子响应</w:t>
      </w:r>
      <w:r>
        <w:rPr>
          <w:rFonts w:hAnsi="宋体"/>
          <w:highlight w:val="none"/>
        </w:rPr>
        <w:t>文件进行解密</w:t>
      </w:r>
      <w:r>
        <w:rPr>
          <w:rFonts w:hint="eastAsia" w:hAnsi="宋体"/>
          <w:highlight w:val="none"/>
        </w:rPr>
        <w:t>（请各供应商务必在规定时间内完成电子响应文件的解密工作，在电子评审期间，供应商（授权代表）需确保在各自所在的区域具备上网的技术条件并保持网络及联系方式畅通）</w:t>
      </w:r>
      <w:r>
        <w:rPr>
          <w:rFonts w:hint="eastAsia" w:ascii="宋体" w:hAnsi="宋体" w:cs="宋体"/>
          <w:highlight w:val="none"/>
        </w:rPr>
        <w:t>。</w:t>
      </w:r>
    </w:p>
    <w:p>
      <w:pPr>
        <w:pStyle w:val="20"/>
        <w:snapToGrid w:val="0"/>
        <w:spacing w:before="120" w:beforeLines="0" w:after="120" w:afterLines="0" w:line="360" w:lineRule="auto"/>
        <w:jc w:val="center"/>
        <w:outlineLvl w:val="1"/>
        <w:rPr>
          <w:rFonts w:hAnsi="宋体"/>
          <w:b/>
          <w:sz w:val="32"/>
          <w:szCs w:val="32"/>
          <w:highlight w:val="none"/>
        </w:rPr>
      </w:pPr>
      <w:r>
        <w:rPr>
          <w:rFonts w:hint="eastAsia" w:hAnsi="宋体"/>
          <w:b/>
          <w:sz w:val="32"/>
          <w:szCs w:val="32"/>
          <w:highlight w:val="none"/>
        </w:rPr>
        <w:t>五、磋商程序</w:t>
      </w:r>
    </w:p>
    <w:p>
      <w:pPr>
        <w:snapToGrid w:val="0"/>
        <w:spacing w:line="360" w:lineRule="auto"/>
        <w:rPr>
          <w:rFonts w:hint="eastAsia" w:ascii="宋体" w:hAnsi="宋体" w:cs="宋体"/>
          <w:b/>
          <w:kern w:val="0"/>
          <w:highlight w:val="none"/>
        </w:rPr>
      </w:pPr>
      <w:bookmarkStart w:id="58" w:name="_Toc332724041"/>
      <w:bookmarkStart w:id="59" w:name="_Toc522609461"/>
      <w:r>
        <w:rPr>
          <w:rFonts w:hint="eastAsia" w:ascii="宋体" w:hAnsi="宋体" w:cs="宋体"/>
          <w:b/>
          <w:kern w:val="0"/>
          <w:highlight w:val="none"/>
        </w:rPr>
        <w:t>（一）组建磋商小组</w:t>
      </w:r>
    </w:p>
    <w:p>
      <w:pPr>
        <w:snapToGrid w:val="0"/>
        <w:spacing w:line="360" w:lineRule="auto"/>
        <w:ind w:firstLine="480" w:firstLineChars="200"/>
        <w:rPr>
          <w:rFonts w:hint="eastAsia" w:ascii="宋体" w:hAnsi="宋体" w:cs="宋体"/>
          <w:kern w:val="0"/>
          <w:highlight w:val="none"/>
        </w:rPr>
      </w:pPr>
      <w:r>
        <w:rPr>
          <w:rFonts w:hint="eastAsia" w:ascii="宋体" w:hAnsi="宋体" w:cs="宋体"/>
          <w:kern w:val="0"/>
          <w:highlight w:val="none"/>
        </w:rPr>
        <w:t>本项目磋商小组由评审专家2人、采购人代表1人，共3人组成。</w:t>
      </w:r>
    </w:p>
    <w:p>
      <w:pPr>
        <w:widowControl/>
        <w:shd w:val="clear" w:color="auto" w:fill="FFFFFF"/>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磋商小组负责具体评审事务，并独立履行下列职责：</w:t>
      </w:r>
    </w:p>
    <w:p>
      <w:pPr>
        <w:widowControl/>
        <w:shd w:val="clear" w:color="auto" w:fill="FFFFFF"/>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1、审查、评价响应文件是否符合磋商文件的商务、技术等实质性要求；</w:t>
      </w:r>
    </w:p>
    <w:p>
      <w:pPr>
        <w:widowControl/>
        <w:shd w:val="clear" w:color="auto" w:fill="FFFFFF"/>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2、评审过程中要求供应商对响应文件有关事项作出澄清或者说明；</w:t>
      </w:r>
    </w:p>
    <w:p>
      <w:pPr>
        <w:widowControl/>
        <w:shd w:val="clear" w:color="auto" w:fill="FFFFFF"/>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3、对响应文件进行比较和评价；</w:t>
      </w:r>
    </w:p>
    <w:p>
      <w:pPr>
        <w:widowControl/>
        <w:shd w:val="clear" w:color="auto" w:fill="FFFFFF"/>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4、确定成交候选人名单，以及根据采购人委托直接确定成交供应商；</w:t>
      </w:r>
    </w:p>
    <w:p>
      <w:pPr>
        <w:widowControl/>
        <w:shd w:val="clear" w:color="auto" w:fill="FFFFFF"/>
        <w:spacing w:line="360" w:lineRule="auto"/>
        <w:ind w:firstLine="480" w:firstLineChars="200"/>
        <w:jc w:val="left"/>
        <w:rPr>
          <w:rFonts w:hint="eastAsia" w:ascii="宋体" w:hAnsi="宋体" w:cs="宋体"/>
          <w:kern w:val="0"/>
          <w:highlight w:val="none"/>
        </w:rPr>
      </w:pPr>
      <w:r>
        <w:rPr>
          <w:rFonts w:hint="eastAsia" w:ascii="宋体" w:hAnsi="宋体" w:cs="宋体"/>
          <w:kern w:val="0"/>
          <w:highlight w:val="none"/>
        </w:rPr>
        <w:t>5、向采购人、采购代理机构或者有关部门报告评审中发现的违法行为。</w:t>
      </w:r>
    </w:p>
    <w:p>
      <w:pPr>
        <w:widowControl/>
        <w:shd w:val="clear" w:color="auto" w:fill="FFFFFF"/>
        <w:spacing w:line="360" w:lineRule="auto"/>
        <w:ind w:firstLine="482" w:firstLineChars="200"/>
        <w:jc w:val="left"/>
        <w:rPr>
          <w:rFonts w:hint="eastAsia" w:ascii="宋体" w:hAnsi="宋体" w:cs="宋体"/>
          <w:b/>
          <w:kern w:val="0"/>
          <w:highlight w:val="none"/>
          <w:u w:val="single"/>
        </w:rPr>
      </w:pPr>
      <w:r>
        <w:rPr>
          <w:rFonts w:hint="eastAsia" w:ascii="宋体" w:hAnsi="宋体" w:cs="宋体"/>
          <w:b/>
          <w:kern w:val="0"/>
          <w:highlight w:val="none"/>
          <w:u w:val="single"/>
        </w:rPr>
        <w:t>除采购人代表、评审现场组织人员外，采购人的其他工作人员以及与评审工作无关的人员不得进入评审现场。</w:t>
      </w:r>
    </w:p>
    <w:p>
      <w:pPr>
        <w:snapToGrid w:val="0"/>
        <w:spacing w:line="360" w:lineRule="auto"/>
        <w:rPr>
          <w:rFonts w:hint="eastAsia" w:ascii="宋体" w:hAnsi="宋体" w:cs="宋体"/>
          <w:b/>
          <w:kern w:val="0"/>
          <w:highlight w:val="none"/>
        </w:rPr>
      </w:pPr>
      <w:r>
        <w:rPr>
          <w:rFonts w:hint="eastAsia" w:ascii="宋体" w:hAnsi="宋体" w:cs="宋体"/>
          <w:b/>
          <w:kern w:val="0"/>
          <w:highlight w:val="none"/>
        </w:rPr>
        <w:t>（二）磋商的方式</w:t>
      </w:r>
    </w:p>
    <w:p>
      <w:pPr>
        <w:snapToGrid w:val="0"/>
        <w:spacing w:line="360" w:lineRule="auto"/>
        <w:rPr>
          <w:rFonts w:hint="eastAsia" w:ascii="宋体" w:hAnsi="宋体" w:cs="宋体"/>
          <w:kern w:val="0"/>
          <w:highlight w:val="none"/>
        </w:rPr>
      </w:pPr>
      <w:r>
        <w:rPr>
          <w:rFonts w:hint="eastAsia" w:ascii="宋体" w:hAnsi="宋体" w:cs="宋体"/>
          <w:kern w:val="0"/>
          <w:highlight w:val="none"/>
        </w:rPr>
        <w:t>本项目采用不公开方式磋商，磋商的依据为磋商文件和响应文件。</w:t>
      </w:r>
    </w:p>
    <w:p>
      <w:pPr>
        <w:numPr>
          <w:ilvl w:val="3"/>
          <w:numId w:val="20"/>
        </w:numPr>
        <w:spacing w:line="360" w:lineRule="auto"/>
        <w:ind w:hanging="1254"/>
        <w:rPr>
          <w:rFonts w:hint="eastAsia" w:ascii="宋体" w:hAnsi="宋体" w:cs="宋体"/>
          <w:b/>
          <w:highlight w:val="none"/>
        </w:rPr>
      </w:pPr>
      <w:r>
        <w:rPr>
          <w:rFonts w:hint="eastAsia" w:ascii="宋体" w:hAnsi="宋体" w:cs="宋体"/>
          <w:b/>
          <w:highlight w:val="none"/>
        </w:rPr>
        <w:t>磋商步骤</w:t>
      </w:r>
    </w:p>
    <w:p>
      <w:pPr>
        <w:numPr>
          <w:ilvl w:val="0"/>
          <w:numId w:val="21"/>
        </w:numPr>
        <w:spacing w:line="360" w:lineRule="auto"/>
        <w:rPr>
          <w:rFonts w:hint="eastAsia" w:ascii="宋体" w:hAnsi="宋体" w:cs="宋体"/>
          <w:b/>
          <w:highlight w:val="none"/>
        </w:rPr>
      </w:pPr>
      <w:r>
        <w:rPr>
          <w:rFonts w:hint="eastAsia" w:ascii="宋体" w:hAnsi="宋体" w:cs="宋体"/>
          <w:highlight w:val="none"/>
        </w:rPr>
        <w:t>磋商小组讨论、通过磋商工作流程和磋商要点；</w:t>
      </w:r>
    </w:p>
    <w:p>
      <w:pPr>
        <w:numPr>
          <w:ilvl w:val="0"/>
          <w:numId w:val="21"/>
        </w:numPr>
        <w:spacing w:line="360" w:lineRule="auto"/>
        <w:rPr>
          <w:rFonts w:hint="eastAsia" w:ascii="宋体" w:hAnsi="宋体" w:cs="宋体"/>
          <w:highlight w:val="none"/>
        </w:rPr>
      </w:pPr>
      <w:r>
        <w:rPr>
          <w:rFonts w:hint="eastAsia" w:ascii="宋体" w:hAnsi="宋体" w:cs="宋体"/>
          <w:highlight w:val="none"/>
        </w:rPr>
        <w:t>经办人宣布磋商的有关事项；</w:t>
      </w:r>
    </w:p>
    <w:p>
      <w:pPr>
        <w:numPr>
          <w:ilvl w:val="0"/>
          <w:numId w:val="21"/>
        </w:numPr>
        <w:spacing w:line="360" w:lineRule="auto"/>
        <w:rPr>
          <w:rFonts w:hint="eastAsia" w:ascii="宋体" w:hAnsi="宋体" w:cs="宋体"/>
          <w:highlight w:val="none"/>
        </w:rPr>
      </w:pPr>
      <w:r>
        <w:rPr>
          <w:rFonts w:hint="eastAsia" w:ascii="宋体" w:hAnsi="宋体" w:cs="宋体"/>
          <w:highlight w:val="none"/>
        </w:rPr>
        <w:t>磋商小组对所提交的响应资信及商务、技术文件进行审查，审查结束后，由经办人公布无效响应方名单、响应无效的原因、情况；</w:t>
      </w:r>
    </w:p>
    <w:p>
      <w:pPr>
        <w:numPr>
          <w:ilvl w:val="0"/>
          <w:numId w:val="21"/>
        </w:numPr>
        <w:spacing w:line="360" w:lineRule="auto"/>
        <w:rPr>
          <w:rFonts w:hint="eastAsia" w:ascii="宋体" w:hAnsi="宋体" w:cs="宋体"/>
          <w:kern w:val="0"/>
          <w:highlight w:val="none"/>
        </w:rPr>
      </w:pPr>
      <w:r>
        <w:rPr>
          <w:rFonts w:hint="eastAsia" w:ascii="宋体" w:hAnsi="宋体" w:cs="宋体"/>
          <w:kern w:val="0"/>
          <w:highlight w:val="none"/>
        </w:rPr>
        <w:t>开启有效供应商的</w:t>
      </w:r>
      <w:r>
        <w:rPr>
          <w:rFonts w:hint="eastAsia" w:ascii="宋体" w:hAnsi="宋体" w:cs="宋体"/>
          <w:b/>
          <w:bCs/>
          <w:color w:val="FF0000"/>
          <w:kern w:val="0"/>
          <w:highlight w:val="none"/>
        </w:rPr>
        <w:t>初次《报价文件》</w:t>
      </w:r>
      <w:r>
        <w:rPr>
          <w:rFonts w:hint="eastAsia" w:ascii="宋体" w:hAnsi="宋体" w:cs="宋体"/>
          <w:kern w:val="0"/>
          <w:highlight w:val="none"/>
        </w:rPr>
        <w:t>，由评标委员会对报价的合理性、准确性等进行审查核实；</w:t>
      </w:r>
    </w:p>
    <w:p>
      <w:pPr>
        <w:numPr>
          <w:ilvl w:val="0"/>
          <w:numId w:val="21"/>
        </w:numPr>
        <w:spacing w:line="360" w:lineRule="auto"/>
        <w:rPr>
          <w:rFonts w:hint="eastAsia" w:ascii="宋体" w:hAnsi="宋体" w:cs="宋体"/>
          <w:highlight w:val="none"/>
        </w:rPr>
      </w:pPr>
      <w:r>
        <w:rPr>
          <w:rFonts w:hint="eastAsia" w:ascii="宋体" w:hAnsi="宋体" w:cs="宋体"/>
          <w:highlight w:val="none"/>
        </w:rPr>
        <w:t>磋商小组按标项与各供应商就项目需求、人员安排、服务事项、价格构成、付款方式等要素分别进行磋商。逐家磋商一次为一个轮次，磋商轮次可为二轮；</w:t>
      </w:r>
    </w:p>
    <w:p>
      <w:pPr>
        <w:numPr>
          <w:ilvl w:val="0"/>
          <w:numId w:val="21"/>
        </w:numPr>
        <w:spacing w:line="360" w:lineRule="auto"/>
        <w:rPr>
          <w:rFonts w:hint="eastAsia" w:ascii="宋体" w:hAnsi="宋体" w:cs="宋体"/>
          <w:highlight w:val="none"/>
        </w:rPr>
      </w:pPr>
      <w:r>
        <w:rPr>
          <w:rFonts w:hint="eastAsia" w:ascii="宋体" w:hAnsi="宋体" w:cs="宋体"/>
          <w:highlight w:val="none"/>
        </w:rPr>
        <w:t>在磋商过程中，采购人和磋商对象可就合同内容进行磋商，技术服务需求如双方都认为有必要的情况可作相应微调，但评分标准不作调整；</w:t>
      </w:r>
    </w:p>
    <w:p>
      <w:pPr>
        <w:numPr>
          <w:ilvl w:val="0"/>
          <w:numId w:val="21"/>
        </w:numPr>
        <w:spacing w:line="360" w:lineRule="auto"/>
        <w:rPr>
          <w:rFonts w:hint="eastAsia" w:ascii="宋体" w:hAnsi="宋体" w:cs="宋体"/>
          <w:highlight w:val="none"/>
        </w:rPr>
      </w:pPr>
      <w:r>
        <w:rPr>
          <w:rFonts w:hint="eastAsia" w:ascii="宋体" w:hAnsi="宋体" w:cs="宋体"/>
          <w:highlight w:val="none"/>
        </w:rPr>
        <w:t>如磋商过程中有调整的内容，在</w:t>
      </w:r>
      <w:r>
        <w:rPr>
          <w:rFonts w:hint="eastAsia" w:ascii="宋体" w:hAnsi="宋体" w:cs="宋体"/>
          <w:b/>
          <w:bCs/>
          <w:color w:val="FF0000"/>
          <w:highlight w:val="none"/>
        </w:rPr>
        <w:t>最后一轮报价</w:t>
      </w:r>
      <w:r>
        <w:rPr>
          <w:rFonts w:hint="eastAsia" w:ascii="宋体" w:hAnsi="宋体" w:cs="宋体"/>
          <w:highlight w:val="none"/>
        </w:rPr>
        <w:t>前，采购代理机构和采购人将根据磋商内容将调整的部分发给符合参与最后一轮报价的供应商，以便其在最后一轮报价中调整报价；</w:t>
      </w:r>
    </w:p>
    <w:p>
      <w:pPr>
        <w:numPr>
          <w:ilvl w:val="0"/>
          <w:numId w:val="21"/>
        </w:numPr>
        <w:spacing w:line="360" w:lineRule="auto"/>
        <w:rPr>
          <w:rFonts w:hint="eastAsia" w:ascii="宋体" w:hAnsi="宋体" w:cs="宋体"/>
          <w:highlight w:val="none"/>
        </w:rPr>
      </w:pPr>
      <w:r>
        <w:rPr>
          <w:rFonts w:hint="eastAsia" w:ascii="宋体" w:hAnsi="宋体" w:cs="宋体"/>
          <w:highlight w:val="none"/>
        </w:rPr>
        <w:t>标项评审结束后，各供应商在规定时间内进行最后报价并签章确认。在规定时间内没有提交最后报价的供应商，视为退出磋商；</w:t>
      </w:r>
    </w:p>
    <w:p>
      <w:pPr>
        <w:numPr>
          <w:ilvl w:val="0"/>
          <w:numId w:val="21"/>
        </w:numPr>
        <w:spacing w:line="360" w:lineRule="auto"/>
        <w:rPr>
          <w:rFonts w:hint="eastAsia" w:ascii="宋体" w:hAnsi="宋体" w:cs="宋体"/>
          <w:highlight w:val="none"/>
        </w:rPr>
      </w:pPr>
      <w:r>
        <w:rPr>
          <w:rFonts w:hint="eastAsia" w:ascii="宋体" w:hAnsi="宋体" w:cs="宋体"/>
          <w:highlight w:val="none"/>
        </w:rPr>
        <w:t>在各供应商进行最后报价的同时，磋商小组根据本磋商文件的评审方法对各供应商的资信及商务、技术服务情况进行评审打分。经办人按照磋商小组独立评定结果进行算术平均值计算；</w:t>
      </w:r>
    </w:p>
    <w:p>
      <w:pPr>
        <w:numPr>
          <w:ilvl w:val="0"/>
          <w:numId w:val="21"/>
        </w:numPr>
        <w:spacing w:line="360" w:lineRule="auto"/>
        <w:rPr>
          <w:rFonts w:hint="eastAsia" w:ascii="宋体" w:hAnsi="宋体" w:cs="宋体"/>
          <w:highlight w:val="none"/>
        </w:rPr>
      </w:pPr>
      <w:r>
        <w:rPr>
          <w:rFonts w:hint="eastAsia" w:ascii="宋体" w:hAnsi="宋体" w:cs="宋体"/>
          <w:highlight w:val="none"/>
        </w:rPr>
        <w:t>经办人查验最后报价的情况，按规定进入价格评审的最后报价；</w:t>
      </w:r>
    </w:p>
    <w:p>
      <w:pPr>
        <w:numPr>
          <w:ilvl w:val="0"/>
          <w:numId w:val="21"/>
        </w:numPr>
        <w:spacing w:line="360" w:lineRule="auto"/>
        <w:rPr>
          <w:rFonts w:hint="eastAsia" w:ascii="宋体" w:hAnsi="宋体" w:cs="宋体"/>
          <w:highlight w:val="none"/>
        </w:rPr>
      </w:pPr>
      <w:r>
        <w:rPr>
          <w:rFonts w:hint="eastAsia" w:ascii="宋体" w:hAnsi="宋体" w:cs="宋体"/>
          <w:highlight w:val="none"/>
        </w:rPr>
        <w:t>磋商小组对最后报价的合理性进行审核，决定是否结束磋商。若报价合理，磋商小组则根据第四章评审办法及标准计算出总得分并按照排序由高到低的原则推荐候选供应商；</w:t>
      </w:r>
    </w:p>
    <w:p>
      <w:pPr>
        <w:numPr>
          <w:ilvl w:val="0"/>
          <w:numId w:val="21"/>
        </w:numPr>
        <w:spacing w:line="360" w:lineRule="auto"/>
        <w:rPr>
          <w:rFonts w:hint="eastAsia" w:ascii="宋体" w:hAnsi="宋体" w:cs="宋体"/>
          <w:highlight w:val="none"/>
        </w:rPr>
      </w:pPr>
      <w:r>
        <w:rPr>
          <w:rFonts w:hint="eastAsia" w:ascii="宋体" w:hAnsi="宋体" w:cs="宋体"/>
          <w:highlight w:val="none"/>
        </w:rPr>
        <w:t>评审结束后，经办人公布有效供应商的总得分结果和推荐排名；</w:t>
      </w:r>
    </w:p>
    <w:p>
      <w:pPr>
        <w:numPr>
          <w:ilvl w:val="0"/>
          <w:numId w:val="21"/>
        </w:numPr>
        <w:spacing w:line="360" w:lineRule="auto"/>
        <w:rPr>
          <w:rFonts w:hint="eastAsia" w:ascii="宋体" w:hAnsi="宋体" w:cs="宋体"/>
          <w:highlight w:val="none"/>
        </w:rPr>
      </w:pPr>
      <w:r>
        <w:rPr>
          <w:rFonts w:hint="eastAsia" w:ascii="宋体" w:hAnsi="宋体" w:cs="宋体"/>
          <w:highlight w:val="none"/>
        </w:rPr>
        <w:t>评审原则：磋商小组必须公平、公正、客观，不带任何倾向性和启发性；不得向外界透露任何与磋商有关的内容；任何单位和个人不得干扰、影响磋商的正常进行；磋商小组及有关工作人员不得私下与响应方接触。</w:t>
      </w:r>
    </w:p>
    <w:p>
      <w:pPr>
        <w:spacing w:line="360" w:lineRule="auto"/>
        <w:rPr>
          <w:rFonts w:hint="eastAsia" w:ascii="宋体" w:hAnsi="宋体" w:cs="宋体"/>
          <w:highlight w:val="none"/>
        </w:rPr>
      </w:pPr>
      <w:r>
        <w:rPr>
          <w:rFonts w:hint="eastAsia" w:ascii="宋体" w:hAnsi="宋体" w:cs="宋体"/>
          <w:highlight w:val="none"/>
        </w:rPr>
        <w:t>注：以上评审过程中供应商重新提交的响应文件（含商务、技术、报价）</w:t>
      </w:r>
    </w:p>
    <w:p>
      <w:pPr>
        <w:spacing w:line="360" w:lineRule="auto"/>
        <w:rPr>
          <w:rFonts w:hint="eastAsia" w:ascii="宋体" w:hAnsi="宋体" w:cs="宋体"/>
          <w:highlight w:val="none"/>
        </w:rPr>
      </w:pPr>
      <w:r>
        <w:rPr>
          <w:rFonts w:hint="eastAsia" w:ascii="宋体" w:hAnsi="宋体" w:cs="宋体"/>
          <w:highlight w:val="none"/>
        </w:rPr>
        <w:t>2.</w:t>
      </w:r>
      <w:r>
        <w:rPr>
          <w:rFonts w:hint="eastAsia" w:ascii="宋体" w:hAnsi="宋体" w:cs="宋体"/>
          <w:b/>
          <w:highlight w:val="none"/>
        </w:rPr>
        <w:t>响应文件的澄清</w:t>
      </w:r>
    </w:p>
    <w:p>
      <w:pPr>
        <w:numPr>
          <w:ilvl w:val="0"/>
          <w:numId w:val="22"/>
        </w:numPr>
        <w:spacing w:line="360" w:lineRule="auto"/>
        <w:rPr>
          <w:rFonts w:hint="eastAsia" w:ascii="宋体" w:hAnsi="宋体" w:cs="宋体"/>
          <w:highlight w:val="none"/>
        </w:rPr>
      </w:pPr>
      <w:r>
        <w:rPr>
          <w:rFonts w:hint="eastAsia" w:ascii="宋体" w:hAnsi="宋体" w:cs="宋体"/>
          <w:highlight w:val="none"/>
        </w:rPr>
        <w:t>在磋商期间，磋商小组</w:t>
      </w:r>
      <w:r>
        <w:rPr>
          <w:rFonts w:hint="eastAsia" w:ascii="宋体" w:hAnsi="宋体"/>
          <w:highlight w:val="none"/>
        </w:rPr>
        <w:t>可以在“政采云”平台在线询标或其他有效形式要求</w:t>
      </w:r>
      <w:r>
        <w:rPr>
          <w:rFonts w:hint="eastAsia" w:ascii="宋体" w:hAnsi="宋体" w:cs="宋体"/>
          <w:highlight w:val="none"/>
        </w:rPr>
        <w:t>供应商对其响应文件含义不明确、同类问题表述不一致或者有明显文字和计算错误的内容进行澄清。</w:t>
      </w:r>
    </w:p>
    <w:p>
      <w:pPr>
        <w:numPr>
          <w:ilvl w:val="0"/>
          <w:numId w:val="22"/>
        </w:numPr>
        <w:spacing w:line="360" w:lineRule="auto"/>
        <w:rPr>
          <w:rFonts w:hint="eastAsia" w:ascii="宋体" w:hAnsi="宋体" w:cs="宋体"/>
          <w:highlight w:val="none"/>
        </w:rPr>
      </w:pPr>
      <w:r>
        <w:rPr>
          <w:rFonts w:hint="eastAsia" w:ascii="宋体" w:hAnsi="宋体" w:cs="宋体"/>
          <w:highlight w:val="none"/>
        </w:rPr>
        <w:t>磋商小组认为有必要，可要求供应商对某些问题作出必要的澄清、说明和纠正。供应商的澄清、说明或者补正应当采用在线形式。</w:t>
      </w:r>
    </w:p>
    <w:p>
      <w:pPr>
        <w:numPr>
          <w:ilvl w:val="0"/>
          <w:numId w:val="22"/>
        </w:numPr>
        <w:spacing w:line="360" w:lineRule="auto"/>
        <w:rPr>
          <w:rFonts w:hint="eastAsia" w:ascii="宋体" w:hAnsi="宋体" w:cs="宋体"/>
          <w:highlight w:val="none"/>
        </w:rPr>
      </w:pPr>
      <w:r>
        <w:rPr>
          <w:rFonts w:hint="eastAsia" w:ascii="宋体" w:hAnsi="宋体" w:cs="宋体"/>
          <w:highlight w:val="none"/>
        </w:rPr>
        <w:t>供应商不按磋商小组规定的时间作澄清，将视为放弃该权利。</w:t>
      </w:r>
    </w:p>
    <w:p>
      <w:pPr>
        <w:numPr>
          <w:ilvl w:val="0"/>
          <w:numId w:val="22"/>
        </w:numPr>
        <w:spacing w:line="360" w:lineRule="auto"/>
        <w:rPr>
          <w:rFonts w:hint="eastAsia" w:ascii="宋体" w:hAnsi="宋体" w:cs="宋体"/>
          <w:highlight w:val="none"/>
        </w:rPr>
      </w:pPr>
      <w:r>
        <w:rPr>
          <w:rFonts w:hint="eastAsia" w:ascii="宋体" w:hAnsi="宋体" w:cs="宋体"/>
          <w:highlight w:val="none"/>
        </w:rPr>
        <w:t>并非每个供应商都将被询标。</w:t>
      </w:r>
    </w:p>
    <w:p>
      <w:pPr>
        <w:spacing w:line="360" w:lineRule="auto"/>
        <w:rPr>
          <w:rFonts w:hint="eastAsia" w:ascii="宋体" w:hAnsi="宋体" w:cs="宋体"/>
          <w:highlight w:val="none"/>
        </w:rPr>
      </w:pPr>
      <w:r>
        <w:rPr>
          <w:rFonts w:hint="eastAsia" w:ascii="宋体" w:hAnsi="宋体" w:cs="宋体"/>
          <w:highlight w:val="none"/>
        </w:rPr>
        <w:t>3.</w:t>
      </w:r>
      <w:r>
        <w:rPr>
          <w:rFonts w:hint="eastAsia" w:ascii="宋体" w:hAnsi="宋体" w:cs="宋体"/>
          <w:b/>
          <w:highlight w:val="none"/>
        </w:rPr>
        <w:t>确定成交供应商</w:t>
      </w:r>
    </w:p>
    <w:p>
      <w:pPr>
        <w:numPr>
          <w:ilvl w:val="0"/>
          <w:numId w:val="23"/>
        </w:numPr>
        <w:spacing w:line="360" w:lineRule="auto"/>
        <w:rPr>
          <w:rFonts w:hint="eastAsia" w:ascii="宋体" w:hAnsi="宋体" w:cs="宋体"/>
          <w:highlight w:val="none"/>
        </w:rPr>
      </w:pPr>
      <w:r>
        <w:rPr>
          <w:rFonts w:hint="eastAsia" w:ascii="宋体" w:hAnsi="宋体" w:cs="宋体"/>
          <w:highlight w:val="none"/>
        </w:rPr>
        <w:t>磋商小组将对通过资格性审查和符合性审查的响应文件进行评价和比较。</w:t>
      </w:r>
    </w:p>
    <w:p>
      <w:pPr>
        <w:numPr>
          <w:ilvl w:val="0"/>
          <w:numId w:val="23"/>
        </w:numPr>
        <w:spacing w:line="360" w:lineRule="auto"/>
        <w:rPr>
          <w:rFonts w:hint="eastAsia" w:ascii="宋体" w:hAnsi="宋体" w:cs="宋体"/>
          <w:highlight w:val="none"/>
        </w:rPr>
      </w:pPr>
      <w:r>
        <w:rPr>
          <w:rFonts w:hint="eastAsia" w:ascii="宋体" w:hAnsi="宋体" w:cs="宋体"/>
          <w:highlight w:val="none"/>
        </w:rPr>
        <w:t>磋商小组按磋商文件公布的评审标准对响应文件进行评审，并将最终得分排名提交给采购人，采购人书面授权磋商小组直接确定成交供应商的，磋商小组确认成交供应商。最低报价等任何单项因素的最优不作为成交的保证。</w:t>
      </w:r>
    </w:p>
    <w:p>
      <w:pPr>
        <w:spacing w:line="360" w:lineRule="auto"/>
        <w:rPr>
          <w:rFonts w:hint="eastAsia" w:ascii="宋体" w:hAnsi="宋体" w:cs="宋体"/>
          <w:highlight w:val="none"/>
        </w:rPr>
      </w:pPr>
      <w:r>
        <w:rPr>
          <w:rFonts w:hint="eastAsia" w:ascii="宋体" w:hAnsi="宋体" w:cs="宋体"/>
          <w:highlight w:val="none"/>
        </w:rPr>
        <w:t>4.</w:t>
      </w:r>
      <w:r>
        <w:rPr>
          <w:rFonts w:hint="eastAsia" w:ascii="宋体" w:hAnsi="宋体" w:cs="宋体"/>
          <w:b/>
          <w:highlight w:val="none"/>
        </w:rPr>
        <w:t>磋商过程保密</w:t>
      </w:r>
    </w:p>
    <w:p>
      <w:pPr>
        <w:numPr>
          <w:ilvl w:val="0"/>
          <w:numId w:val="24"/>
        </w:numPr>
        <w:spacing w:line="360" w:lineRule="auto"/>
        <w:rPr>
          <w:rFonts w:hint="eastAsia" w:ascii="宋体" w:hAnsi="宋体" w:cs="宋体"/>
          <w:highlight w:val="none"/>
        </w:rPr>
      </w:pPr>
      <w:r>
        <w:rPr>
          <w:rFonts w:hint="eastAsia" w:ascii="宋体" w:hAnsi="宋体" w:cs="宋体"/>
          <w:highlight w:val="none"/>
        </w:rPr>
        <w:t>在宣布磋商结果之前，凡属于审查、澄清、评价、比较响应文件等有关信息，相关当事人均不得泄露给任何供应商或与磋商工作无关的人员。</w:t>
      </w:r>
    </w:p>
    <w:p>
      <w:pPr>
        <w:numPr>
          <w:ilvl w:val="0"/>
          <w:numId w:val="24"/>
        </w:numPr>
        <w:spacing w:line="360" w:lineRule="auto"/>
        <w:rPr>
          <w:rFonts w:hint="eastAsia" w:ascii="宋体" w:hAnsi="宋体" w:cs="宋体"/>
          <w:highlight w:val="none"/>
        </w:rPr>
      </w:pPr>
      <w:r>
        <w:rPr>
          <w:rFonts w:hint="eastAsia" w:ascii="宋体" w:hAnsi="宋体" w:cs="宋体"/>
          <w:highlight w:val="none"/>
        </w:rPr>
        <w:t>供应商不得探听上述信息，不得以任何行为影响磋商过程，否则其响应文件将被作为无效响应文件。</w:t>
      </w:r>
    </w:p>
    <w:p>
      <w:pPr>
        <w:numPr>
          <w:ilvl w:val="0"/>
          <w:numId w:val="24"/>
        </w:numPr>
        <w:spacing w:line="360" w:lineRule="auto"/>
        <w:rPr>
          <w:rFonts w:hint="eastAsia" w:ascii="宋体" w:hAnsi="宋体" w:cs="宋体"/>
          <w:highlight w:val="none"/>
        </w:rPr>
      </w:pPr>
      <w:r>
        <w:rPr>
          <w:rFonts w:hint="eastAsia" w:ascii="宋体" w:hAnsi="宋体" w:cs="宋体"/>
          <w:highlight w:val="none"/>
        </w:rPr>
        <w:t>在磋商期间，采购代理机构将有专门人员与供应商进行联络。</w:t>
      </w:r>
    </w:p>
    <w:p>
      <w:pPr>
        <w:numPr>
          <w:ilvl w:val="0"/>
          <w:numId w:val="24"/>
        </w:numPr>
        <w:spacing w:line="360" w:lineRule="auto"/>
        <w:rPr>
          <w:rFonts w:hint="eastAsia" w:ascii="宋体" w:hAnsi="宋体" w:cs="宋体"/>
          <w:highlight w:val="none"/>
        </w:rPr>
      </w:pPr>
      <w:r>
        <w:rPr>
          <w:rFonts w:hint="eastAsia" w:ascii="宋体" w:hAnsi="宋体" w:cs="宋体"/>
          <w:highlight w:val="none"/>
        </w:rPr>
        <w:t>采购代理机构和磋商小组不向未成交的供应商解释未成交原因，也不对磋商过程中的细节问题进行公布。</w:t>
      </w:r>
    </w:p>
    <w:bookmarkEnd w:id="58"/>
    <w:bookmarkEnd w:id="59"/>
    <w:p>
      <w:pPr>
        <w:spacing w:line="360" w:lineRule="auto"/>
        <w:rPr>
          <w:rFonts w:ascii="宋体" w:hAnsi="宋体" w:cs="宋体"/>
          <w:b/>
          <w:highlight w:val="none"/>
        </w:rPr>
      </w:pPr>
      <w:r>
        <w:rPr>
          <w:rFonts w:hint="eastAsia" w:ascii="宋体" w:hAnsi="宋体" w:cs="宋体"/>
          <w:b/>
          <w:highlight w:val="none"/>
          <w:lang w:val="en-US" w:eastAsia="zh-CN"/>
        </w:rPr>
        <w:t>5</w:t>
      </w:r>
      <w:r>
        <w:rPr>
          <w:rFonts w:hint="eastAsia" w:ascii="宋体" w:hAnsi="宋体" w:cs="宋体"/>
          <w:b/>
          <w:highlight w:val="none"/>
        </w:rPr>
        <w:t>.</w:t>
      </w:r>
      <w:r>
        <w:rPr>
          <w:rFonts w:ascii="宋体" w:hAnsi="宋体" w:cs="宋体"/>
          <w:b/>
          <w:highlight w:val="none"/>
        </w:rPr>
        <w:t>错误修正</w:t>
      </w:r>
    </w:p>
    <w:p>
      <w:pPr>
        <w:pStyle w:val="20"/>
        <w:snapToGrid w:val="0"/>
        <w:spacing w:before="0" w:beforeLines="0" w:after="0" w:afterLines="0" w:line="360" w:lineRule="auto"/>
        <w:ind w:left="787" w:leftChars="228" w:hanging="240" w:hangingChars="100"/>
        <w:rPr>
          <w:rFonts w:hAnsi="宋体"/>
          <w:highlight w:val="none"/>
        </w:rPr>
      </w:pPr>
      <w:r>
        <w:rPr>
          <w:rFonts w:hAnsi="宋体"/>
          <w:highlight w:val="none"/>
        </w:rPr>
        <w:t>响应文件如果出现计算或表达上的错误，修正错误的原则如下：</w:t>
      </w:r>
    </w:p>
    <w:p>
      <w:pPr>
        <w:numPr>
          <w:ilvl w:val="0"/>
          <w:numId w:val="25"/>
        </w:numPr>
        <w:snapToGrid w:val="0"/>
        <w:spacing w:line="360" w:lineRule="auto"/>
        <w:ind w:left="709" w:hanging="900"/>
        <w:rPr>
          <w:rFonts w:ascii="宋体" w:hAnsi="宋体" w:cs="宋体"/>
          <w:highlight w:val="none"/>
        </w:rPr>
      </w:pPr>
      <w:r>
        <w:rPr>
          <w:rFonts w:hint="eastAsia" w:ascii="宋体" w:hAnsi="宋体" w:cs="宋体"/>
          <w:highlight w:val="none"/>
        </w:rPr>
        <w:t>开标一览表总价与磋商报价明细表汇总数不一致的，以开标一览表为准；</w:t>
      </w:r>
    </w:p>
    <w:p>
      <w:pPr>
        <w:numPr>
          <w:ilvl w:val="0"/>
          <w:numId w:val="25"/>
        </w:numPr>
        <w:snapToGrid w:val="0"/>
        <w:spacing w:line="360" w:lineRule="auto"/>
        <w:ind w:left="709" w:hanging="900"/>
        <w:rPr>
          <w:rFonts w:ascii="宋体" w:hAnsi="宋体" w:cs="宋体"/>
          <w:highlight w:val="none"/>
        </w:rPr>
      </w:pPr>
      <w:r>
        <w:rPr>
          <w:rFonts w:ascii="宋体" w:hAnsi="宋体" w:cs="宋体"/>
          <w:highlight w:val="none"/>
        </w:rPr>
        <w:t>响应文件的大写金额和小写金额不一致的，以大写金额为准；</w:t>
      </w:r>
    </w:p>
    <w:p>
      <w:pPr>
        <w:numPr>
          <w:ilvl w:val="0"/>
          <w:numId w:val="25"/>
        </w:numPr>
        <w:snapToGrid w:val="0"/>
        <w:spacing w:line="360" w:lineRule="auto"/>
        <w:ind w:left="709" w:hanging="900"/>
        <w:rPr>
          <w:rFonts w:ascii="宋体" w:hAnsi="宋体" w:cs="宋体"/>
          <w:highlight w:val="none"/>
        </w:rPr>
      </w:pPr>
      <w:r>
        <w:rPr>
          <w:rFonts w:ascii="宋体" w:hAnsi="宋体" w:cs="宋体"/>
          <w:highlight w:val="none"/>
        </w:rPr>
        <w:t>总价金额与按单价汇总金额不一致的，以单价金额计算结果为准；</w:t>
      </w:r>
    </w:p>
    <w:p>
      <w:pPr>
        <w:numPr>
          <w:ilvl w:val="0"/>
          <w:numId w:val="25"/>
        </w:numPr>
        <w:snapToGrid w:val="0"/>
        <w:spacing w:line="360" w:lineRule="auto"/>
        <w:ind w:left="709" w:hanging="900"/>
        <w:rPr>
          <w:rFonts w:hint="eastAsia" w:ascii="宋体" w:hAnsi="宋体" w:cs="宋体"/>
          <w:b w:val="0"/>
          <w:bCs w:val="0"/>
          <w:highlight w:val="none"/>
        </w:rPr>
      </w:pPr>
      <w:r>
        <w:rPr>
          <w:rFonts w:ascii="宋体" w:hAnsi="宋体" w:cs="宋体"/>
          <w:b w:val="0"/>
          <w:bCs w:val="0"/>
          <w:highlight w:val="none"/>
        </w:rPr>
        <w:t>对不同文字文本响应文件的解释发生异议的，以中文文本为准。</w:t>
      </w:r>
    </w:p>
    <w:p>
      <w:pPr>
        <w:numPr>
          <w:ilvl w:val="0"/>
          <w:numId w:val="25"/>
        </w:numPr>
        <w:snapToGrid w:val="0"/>
        <w:spacing w:line="360" w:lineRule="auto"/>
        <w:ind w:left="709" w:hanging="900"/>
        <w:rPr>
          <w:rFonts w:ascii="宋体" w:hAnsi="宋体" w:cs="宋体"/>
          <w:b w:val="0"/>
          <w:bCs w:val="0"/>
          <w:highlight w:val="none"/>
        </w:rPr>
      </w:pPr>
      <w:r>
        <w:rPr>
          <w:rFonts w:hint="eastAsia" w:ascii="宋体" w:hAnsi="宋体" w:cs="宋体"/>
          <w:b w:val="0"/>
          <w:bCs w:val="0"/>
          <w:highlight w:val="none"/>
        </w:rPr>
        <w:t>客户端填写的报价与以pdf格式上传文件中的报价不一致的，应以pdf格式上传文件中的报价为准。</w:t>
      </w:r>
    </w:p>
    <w:p>
      <w:pPr>
        <w:numPr>
          <w:ilvl w:val="0"/>
          <w:numId w:val="25"/>
        </w:numPr>
        <w:tabs>
          <w:tab w:val="left" w:pos="567"/>
        </w:tabs>
        <w:snapToGrid w:val="0"/>
        <w:spacing w:line="360" w:lineRule="auto"/>
        <w:ind w:left="-283" w:leftChars="-118" w:firstLine="139" w:firstLineChars="58"/>
        <w:rPr>
          <w:rFonts w:ascii="宋体" w:hAnsi="宋体" w:cs="宋体"/>
          <w:highlight w:val="none"/>
        </w:rPr>
      </w:pPr>
      <w:r>
        <w:rPr>
          <w:rFonts w:hint="eastAsia" w:ascii="宋体" w:hAnsi="宋体" w:cs="宋体"/>
          <w:highlight w:val="none"/>
        </w:rPr>
        <w:t>按上述修正错误的原则及方法调整或修正响应文件的磋商报价，供应商同意后，调整后的磋商报价对供应商起约束作用。如果供应商不接受修正后的报价，则其响应将作为无效响应处理。</w:t>
      </w:r>
    </w:p>
    <w:p>
      <w:pPr>
        <w:spacing w:line="360" w:lineRule="auto"/>
        <w:rPr>
          <w:rFonts w:ascii="宋体" w:hAnsi="宋体" w:cs="宋体"/>
          <w:b/>
          <w:highlight w:val="none"/>
        </w:rPr>
      </w:pPr>
      <w:r>
        <w:rPr>
          <w:rFonts w:ascii="宋体" w:hAnsi="宋体" w:cs="宋体"/>
          <w:b/>
          <w:highlight w:val="none"/>
        </w:rPr>
        <w:t>（</w:t>
      </w:r>
      <w:r>
        <w:rPr>
          <w:rFonts w:hint="eastAsia" w:ascii="宋体" w:hAnsi="宋体" w:cs="宋体"/>
          <w:b/>
          <w:highlight w:val="none"/>
        </w:rPr>
        <w:t>三</w:t>
      </w:r>
      <w:r>
        <w:rPr>
          <w:rFonts w:ascii="宋体" w:hAnsi="宋体" w:cs="宋体"/>
          <w:b/>
          <w:highlight w:val="none"/>
        </w:rPr>
        <w:t>）评审原则和评审办法</w:t>
      </w:r>
    </w:p>
    <w:p>
      <w:pPr>
        <w:pStyle w:val="20"/>
        <w:snapToGrid w:val="0"/>
        <w:spacing w:before="0" w:beforeLines="0" w:after="0" w:afterLines="0" w:line="360" w:lineRule="auto"/>
        <w:ind w:firstLine="480" w:firstLineChars="200"/>
        <w:rPr>
          <w:rFonts w:hAnsi="宋体"/>
          <w:highlight w:val="none"/>
        </w:rPr>
      </w:pPr>
      <w:r>
        <w:rPr>
          <w:rFonts w:hAnsi="宋体"/>
          <w:highlight w:val="none"/>
        </w:rPr>
        <w:t>1</w:t>
      </w:r>
      <w:r>
        <w:rPr>
          <w:rFonts w:hint="eastAsia" w:hAnsi="宋体"/>
          <w:highlight w:val="none"/>
        </w:rPr>
        <w:t>.</w:t>
      </w:r>
      <w:r>
        <w:rPr>
          <w:rFonts w:hAnsi="宋体"/>
          <w:highlight w:val="none"/>
        </w:rPr>
        <w:t>评审原则。磋商小组必须公平、公正、客观，不带任何倾向性和启发性；不得向外界透露任何与磋商有关的内容；任何单位和个人不得干扰、影响磋商的正常进行；磋商小组及有关工作人员不得私下与供应商接触。</w:t>
      </w:r>
    </w:p>
    <w:p>
      <w:pPr>
        <w:pStyle w:val="20"/>
        <w:snapToGrid w:val="0"/>
        <w:spacing w:before="0" w:beforeLines="0" w:after="0" w:afterLines="0" w:line="360" w:lineRule="auto"/>
        <w:ind w:firstLine="480" w:firstLineChars="200"/>
        <w:rPr>
          <w:rFonts w:hAnsi="宋体"/>
          <w:highlight w:val="none"/>
        </w:rPr>
      </w:pPr>
      <w:r>
        <w:rPr>
          <w:rFonts w:hAnsi="宋体"/>
          <w:highlight w:val="none"/>
        </w:rPr>
        <w:t>2</w:t>
      </w:r>
      <w:r>
        <w:rPr>
          <w:rFonts w:hint="eastAsia" w:hAnsi="宋体"/>
          <w:highlight w:val="none"/>
        </w:rPr>
        <w:t>.</w:t>
      </w:r>
      <w:r>
        <w:rPr>
          <w:rFonts w:hAnsi="宋体"/>
          <w:highlight w:val="none"/>
        </w:rPr>
        <w:t>评审办法。本项目评审办法是</w:t>
      </w:r>
      <w:r>
        <w:rPr>
          <w:rFonts w:hint="eastAsia" w:hAnsi="宋体"/>
          <w:highlight w:val="none"/>
        </w:rPr>
        <w:t xml:space="preserve"> 综合评分法</w:t>
      </w:r>
      <w:r>
        <w:rPr>
          <w:rFonts w:hAnsi="宋体"/>
          <w:highlight w:val="none"/>
        </w:rPr>
        <w:t xml:space="preserve"> ，具体磋商内容及评分标准等详见《第四章：评审办法及标准》。</w:t>
      </w:r>
    </w:p>
    <w:p>
      <w:pPr>
        <w:spacing w:line="360" w:lineRule="auto"/>
        <w:rPr>
          <w:rFonts w:ascii="宋体" w:hAnsi="宋体" w:cs="宋体"/>
          <w:b/>
          <w:highlight w:val="none"/>
        </w:rPr>
      </w:pPr>
      <w:r>
        <w:rPr>
          <w:rFonts w:ascii="宋体" w:hAnsi="宋体" w:cs="宋体"/>
          <w:b/>
          <w:highlight w:val="none"/>
        </w:rPr>
        <w:t>（</w:t>
      </w:r>
      <w:r>
        <w:rPr>
          <w:rFonts w:hint="eastAsia" w:ascii="宋体" w:hAnsi="宋体" w:cs="宋体"/>
          <w:b/>
          <w:highlight w:val="none"/>
        </w:rPr>
        <w:t>四</w:t>
      </w:r>
      <w:r>
        <w:rPr>
          <w:rFonts w:ascii="宋体" w:hAnsi="宋体" w:cs="宋体"/>
          <w:b/>
          <w:highlight w:val="none"/>
        </w:rPr>
        <w:t>）磋商过程的监控</w:t>
      </w:r>
    </w:p>
    <w:p>
      <w:pPr>
        <w:pStyle w:val="20"/>
        <w:snapToGrid w:val="0"/>
        <w:spacing w:before="0" w:beforeLines="0" w:after="0" w:afterLines="0" w:line="360" w:lineRule="auto"/>
        <w:ind w:firstLine="480" w:firstLineChars="200"/>
        <w:rPr>
          <w:rFonts w:hint="eastAsia" w:hAnsi="宋体"/>
          <w:highlight w:val="none"/>
        </w:rPr>
      </w:pPr>
      <w:r>
        <w:rPr>
          <w:rFonts w:hAnsi="宋体"/>
          <w:highlight w:val="none"/>
        </w:rPr>
        <w:t>本项目磋商过程实行全程录音、录像监控</w:t>
      </w:r>
      <w:r>
        <w:rPr>
          <w:rFonts w:hint="eastAsia" w:hAnsi="宋体"/>
          <w:highlight w:val="none"/>
        </w:rPr>
        <w:t>，由采购单位人员进行</w:t>
      </w:r>
      <w:r>
        <w:rPr>
          <w:rFonts w:hAnsi="宋体"/>
          <w:highlight w:val="none"/>
        </w:rPr>
        <w:t>现场监督</w:t>
      </w:r>
      <w:r>
        <w:rPr>
          <w:rFonts w:hint="eastAsia" w:hAnsi="宋体"/>
          <w:highlight w:val="none"/>
        </w:rPr>
        <w:t>。</w:t>
      </w:r>
      <w:r>
        <w:rPr>
          <w:rFonts w:hAnsi="宋体"/>
          <w:highlight w:val="none"/>
        </w:rPr>
        <w:t>供应商在磋商过程中所进行的</w:t>
      </w:r>
      <w:r>
        <w:rPr>
          <w:rFonts w:hint="eastAsia" w:hAnsi="宋体"/>
          <w:highlight w:val="none"/>
        </w:rPr>
        <w:t>试</w:t>
      </w:r>
      <w:r>
        <w:rPr>
          <w:rFonts w:hAnsi="宋体"/>
          <w:highlight w:val="none"/>
        </w:rPr>
        <w:t>图影响磋商结果的不公正活动，可能导致其磋商被拒绝。</w:t>
      </w:r>
    </w:p>
    <w:p>
      <w:pPr>
        <w:pStyle w:val="20"/>
        <w:snapToGrid w:val="0"/>
        <w:spacing w:before="0" w:beforeLines="0" w:after="0" w:afterLines="0" w:line="360" w:lineRule="auto"/>
        <w:ind w:firstLine="480" w:firstLineChars="200"/>
        <w:rPr>
          <w:rFonts w:hint="eastAsia" w:hAnsi="宋体"/>
          <w:highlight w:val="none"/>
        </w:rPr>
      </w:pPr>
    </w:p>
    <w:p>
      <w:pPr>
        <w:pStyle w:val="20"/>
        <w:snapToGrid w:val="0"/>
        <w:spacing w:before="120" w:beforeLines="0" w:after="120" w:afterLines="0" w:line="360" w:lineRule="auto"/>
        <w:jc w:val="center"/>
        <w:outlineLvl w:val="1"/>
        <w:rPr>
          <w:rFonts w:hAnsi="宋体"/>
          <w:b/>
          <w:sz w:val="32"/>
          <w:szCs w:val="32"/>
          <w:highlight w:val="none"/>
        </w:rPr>
      </w:pPr>
      <w:r>
        <w:rPr>
          <w:rFonts w:hint="eastAsia" w:hAnsi="宋体"/>
          <w:b/>
          <w:sz w:val="32"/>
          <w:szCs w:val="32"/>
          <w:highlight w:val="none"/>
        </w:rPr>
        <w:t>六、磋商结果的确定</w:t>
      </w:r>
    </w:p>
    <w:p>
      <w:pPr>
        <w:pStyle w:val="20"/>
        <w:snapToGrid w:val="0"/>
        <w:spacing w:before="0" w:beforeLines="0" w:after="0" w:afterLines="0" w:line="360" w:lineRule="auto"/>
        <w:ind w:firstLine="472" w:firstLineChars="196"/>
        <w:rPr>
          <w:rFonts w:hAnsi="宋体"/>
          <w:b/>
          <w:bCs/>
          <w:highlight w:val="none"/>
        </w:rPr>
      </w:pPr>
      <w:r>
        <w:rPr>
          <w:rFonts w:hint="eastAsia" w:hAnsi="宋体"/>
          <w:b/>
          <w:bCs/>
          <w:highlight w:val="none"/>
        </w:rPr>
        <w:t>（一）确定成交供应商。本项目由采购人确定成交供应商。</w:t>
      </w:r>
    </w:p>
    <w:p>
      <w:pPr>
        <w:snapToGrid w:val="0"/>
        <w:spacing w:line="360" w:lineRule="auto"/>
        <w:ind w:firstLine="480" w:firstLineChars="200"/>
        <w:rPr>
          <w:rFonts w:ascii="宋体" w:hAnsi="宋体"/>
          <w:highlight w:val="none"/>
        </w:rPr>
      </w:pPr>
      <w:r>
        <w:rPr>
          <w:rFonts w:ascii="宋体" w:hAnsi="宋体"/>
          <w:highlight w:val="none"/>
        </w:rPr>
        <w:t>1</w:t>
      </w:r>
      <w:r>
        <w:rPr>
          <w:rFonts w:hint="eastAsia" w:ascii="宋体" w:hAnsi="宋体"/>
          <w:highlight w:val="none"/>
        </w:rPr>
        <w:t>.</w:t>
      </w:r>
      <w:r>
        <w:rPr>
          <w:rFonts w:hint="eastAsia" w:ascii="宋体" w:hAnsi="宋体"/>
          <w:highlight w:val="none"/>
          <w:lang w:eastAsia="zh-CN"/>
        </w:rPr>
        <w:t>浙江勋达工程咨询有限公司</w:t>
      </w:r>
      <w:r>
        <w:rPr>
          <w:rFonts w:ascii="宋体" w:hAnsi="宋体"/>
          <w:highlight w:val="none"/>
        </w:rPr>
        <w:t>在磋商结束后2个工作日内将评审报告交采购人确认，同时在发布采购公告的网站上对评</w:t>
      </w:r>
      <w:r>
        <w:rPr>
          <w:rFonts w:hint="eastAsia" w:ascii="宋体" w:hAnsi="宋体"/>
          <w:highlight w:val="none"/>
        </w:rPr>
        <w:t>审</w:t>
      </w:r>
      <w:r>
        <w:rPr>
          <w:rFonts w:ascii="宋体" w:hAnsi="宋体"/>
          <w:highlight w:val="none"/>
        </w:rPr>
        <w:t>结果进行</w:t>
      </w:r>
      <w:r>
        <w:rPr>
          <w:rFonts w:hint="eastAsia" w:ascii="宋体" w:hAnsi="宋体"/>
          <w:highlight w:val="none"/>
        </w:rPr>
        <w:t>公告</w:t>
      </w:r>
      <w:r>
        <w:rPr>
          <w:rFonts w:ascii="宋体" w:hAnsi="宋体"/>
          <w:highlight w:val="none"/>
        </w:rPr>
        <w:t>。</w:t>
      </w:r>
    </w:p>
    <w:p>
      <w:pPr>
        <w:snapToGrid w:val="0"/>
        <w:spacing w:line="360" w:lineRule="auto"/>
        <w:ind w:firstLine="480" w:firstLineChars="200"/>
        <w:rPr>
          <w:rFonts w:ascii="宋体" w:hAnsi="宋体"/>
          <w:highlight w:val="none"/>
        </w:rPr>
      </w:pPr>
      <w:r>
        <w:rPr>
          <w:rFonts w:ascii="宋体" w:hAnsi="宋体"/>
          <w:highlight w:val="none"/>
        </w:rPr>
        <w:t>2</w:t>
      </w:r>
      <w:r>
        <w:rPr>
          <w:rFonts w:hint="eastAsia" w:ascii="宋体" w:hAnsi="宋体"/>
          <w:highlight w:val="none"/>
        </w:rPr>
        <w:t>.</w:t>
      </w:r>
      <w:r>
        <w:rPr>
          <w:rFonts w:ascii="宋体" w:hAnsi="宋体"/>
          <w:highlight w:val="none"/>
        </w:rPr>
        <w:t>供应商对磋商结果无异议的，采购人应在收到评审报告后5个工作日内对磋商结果进行确认。如有供应商对磋商结果提出质疑的，采购人可在质疑处理完毕后确定成交供应商。</w:t>
      </w:r>
    </w:p>
    <w:p>
      <w:pPr>
        <w:snapToGrid w:val="0"/>
        <w:spacing w:line="360" w:lineRule="auto"/>
        <w:ind w:firstLine="480" w:firstLineChars="200"/>
        <w:rPr>
          <w:rFonts w:hint="eastAsia" w:ascii="宋体" w:hAnsi="宋体"/>
          <w:highlight w:val="none"/>
        </w:rPr>
      </w:pPr>
      <w:r>
        <w:rPr>
          <w:rFonts w:hint="eastAsia" w:ascii="宋体" w:hAnsi="宋体"/>
          <w:highlight w:val="none"/>
        </w:rPr>
        <w:t>3. 在</w:t>
      </w:r>
      <w:r>
        <w:rPr>
          <w:rFonts w:ascii="宋体" w:hAnsi="宋体"/>
          <w:b/>
          <w:highlight w:val="none"/>
        </w:rPr>
        <w:t>确定成交供应商</w:t>
      </w:r>
      <w:r>
        <w:rPr>
          <w:rFonts w:hint="eastAsia" w:ascii="宋体" w:hAnsi="宋体"/>
          <w:highlight w:val="none"/>
        </w:rPr>
        <w:t>后，采购代理机构向成交供应商发出成交通知书。</w:t>
      </w:r>
    </w:p>
    <w:p>
      <w:pPr>
        <w:spacing w:line="360" w:lineRule="auto"/>
        <w:rPr>
          <w:rFonts w:hint="eastAsia"/>
          <w:highlight w:val="none"/>
        </w:rPr>
      </w:pPr>
    </w:p>
    <w:p>
      <w:pPr>
        <w:pStyle w:val="20"/>
        <w:snapToGrid w:val="0"/>
        <w:spacing w:before="120" w:beforeLines="0" w:after="120" w:afterLines="0" w:line="360" w:lineRule="auto"/>
        <w:jc w:val="center"/>
        <w:outlineLvl w:val="1"/>
        <w:rPr>
          <w:rFonts w:hAnsi="宋体"/>
          <w:b/>
          <w:sz w:val="32"/>
          <w:szCs w:val="32"/>
          <w:highlight w:val="none"/>
        </w:rPr>
      </w:pPr>
      <w:r>
        <w:rPr>
          <w:rFonts w:hint="eastAsia" w:hAnsi="宋体"/>
          <w:b/>
          <w:sz w:val="32"/>
          <w:szCs w:val="32"/>
          <w:highlight w:val="none"/>
        </w:rPr>
        <w:t>七、合同授予</w:t>
      </w:r>
    </w:p>
    <w:p>
      <w:pPr>
        <w:snapToGrid w:val="0"/>
        <w:spacing w:line="360" w:lineRule="auto"/>
        <w:ind w:firstLine="472" w:firstLineChars="196"/>
        <w:rPr>
          <w:rFonts w:ascii="宋体" w:hAnsi="宋体"/>
          <w:b/>
          <w:bCs/>
          <w:highlight w:val="none"/>
        </w:rPr>
      </w:pPr>
      <w:r>
        <w:rPr>
          <w:rFonts w:hint="eastAsia" w:ascii="宋体" w:hAnsi="宋体"/>
          <w:b/>
          <w:bCs/>
          <w:highlight w:val="none"/>
        </w:rPr>
        <w:t>（一）签订合同</w:t>
      </w:r>
    </w:p>
    <w:p>
      <w:pPr>
        <w:snapToGrid w:val="0"/>
        <w:spacing w:line="360" w:lineRule="auto"/>
        <w:ind w:firstLine="480" w:firstLineChars="200"/>
        <w:rPr>
          <w:rFonts w:ascii="宋体" w:hAnsi="宋体"/>
          <w:highlight w:val="none"/>
        </w:rPr>
      </w:pPr>
      <w:r>
        <w:rPr>
          <w:rFonts w:ascii="宋体" w:hAnsi="宋体"/>
          <w:highlight w:val="none"/>
        </w:rPr>
        <w:t>1</w:t>
      </w:r>
      <w:r>
        <w:rPr>
          <w:rFonts w:hint="eastAsia" w:ascii="宋体" w:hAnsi="宋体"/>
          <w:highlight w:val="none"/>
        </w:rPr>
        <w:t>.采购人与</w:t>
      </w:r>
      <w:r>
        <w:rPr>
          <w:rFonts w:ascii="宋体" w:hAnsi="宋体"/>
          <w:highlight w:val="none"/>
        </w:rPr>
        <w:t>成交供应商应</w:t>
      </w:r>
      <w:r>
        <w:rPr>
          <w:rFonts w:hint="eastAsia" w:ascii="宋体" w:hAnsi="宋体"/>
          <w:highlight w:val="none"/>
        </w:rPr>
        <w:t>当在《</w:t>
      </w:r>
      <w:r>
        <w:rPr>
          <w:rFonts w:ascii="宋体" w:hAnsi="宋体"/>
          <w:highlight w:val="none"/>
        </w:rPr>
        <w:t>成交通知书</w:t>
      </w:r>
      <w:r>
        <w:rPr>
          <w:rFonts w:hint="eastAsia" w:ascii="宋体" w:hAnsi="宋体"/>
          <w:highlight w:val="none"/>
        </w:rPr>
        <w:t>》发出之日起30日内签订采购合同。同时，采购代理机构对合同内容进行审查，如发现与磋商结果和磋商承诺内容不一致的，将予以纠正。</w:t>
      </w:r>
    </w:p>
    <w:p>
      <w:pPr>
        <w:snapToGrid w:val="0"/>
        <w:spacing w:line="360" w:lineRule="auto"/>
        <w:ind w:firstLine="480" w:firstLineChars="200"/>
        <w:rPr>
          <w:rFonts w:ascii="宋体" w:hAnsi="宋体"/>
          <w:highlight w:val="none"/>
        </w:rPr>
      </w:pPr>
      <w:r>
        <w:rPr>
          <w:rFonts w:ascii="宋体" w:hAnsi="宋体"/>
          <w:highlight w:val="none"/>
        </w:rPr>
        <w:t>2</w:t>
      </w:r>
      <w:r>
        <w:rPr>
          <w:rFonts w:hint="eastAsia" w:ascii="宋体" w:hAnsi="宋体"/>
          <w:highlight w:val="none"/>
        </w:rPr>
        <w:t>.</w:t>
      </w:r>
      <w:r>
        <w:rPr>
          <w:rFonts w:ascii="宋体" w:hAnsi="宋体"/>
          <w:highlight w:val="none"/>
        </w:rPr>
        <w:t>成交供应商拖延、拒签合同的,将被取消成交资格。</w:t>
      </w:r>
    </w:p>
    <w:p>
      <w:pPr>
        <w:pStyle w:val="20"/>
        <w:snapToGrid w:val="0"/>
        <w:spacing w:before="0" w:beforeLines="0" w:after="0" w:afterLines="0" w:line="360" w:lineRule="auto"/>
        <w:ind w:firstLine="472" w:firstLineChars="196"/>
        <w:rPr>
          <w:rFonts w:hAnsi="宋体"/>
          <w:b/>
          <w:highlight w:val="none"/>
        </w:rPr>
      </w:pPr>
      <w:r>
        <w:rPr>
          <w:rFonts w:hAnsi="宋体"/>
          <w:b/>
          <w:highlight w:val="none"/>
        </w:rPr>
        <w:t>（二）履约保证金</w:t>
      </w:r>
    </w:p>
    <w:p>
      <w:pPr>
        <w:wordWrap w:val="0"/>
        <w:overflowPunct w:val="0"/>
        <w:autoSpaceDE w:val="0"/>
        <w:autoSpaceDN w:val="0"/>
        <w:snapToGrid w:val="0"/>
        <w:spacing w:line="348" w:lineRule="auto"/>
        <w:ind w:firstLine="480" w:firstLineChars="200"/>
        <w:rPr>
          <w:rFonts w:ascii="宋体" w:hAnsi="宋体" w:cs="宋体"/>
          <w:sz w:val="24"/>
          <w:highlight w:val="none"/>
        </w:rPr>
      </w:pPr>
      <w:r>
        <w:rPr>
          <w:rFonts w:hint="eastAsia" w:ascii="宋体" w:hAnsi="宋体" w:cs="宋体"/>
          <w:sz w:val="24"/>
          <w:highlight w:val="none"/>
        </w:rPr>
        <w:t>1.中标人应按照与采购人约定的履约保证金金额，向采购人交纳履约保证金，中标人可以银行、保险公司出具保函形式提交履约保证金；否则，由此产生的一切不利后果由中标人自行承担。</w:t>
      </w:r>
    </w:p>
    <w:p>
      <w:pPr>
        <w:snapToGrid w:val="0"/>
        <w:spacing w:line="360" w:lineRule="auto"/>
        <w:ind w:firstLine="480" w:firstLineChars="200"/>
        <w:rPr>
          <w:rFonts w:hint="eastAsia" w:ascii="宋体" w:hAnsi="宋体" w:eastAsia="宋体"/>
          <w:highlight w:val="none"/>
          <w:lang w:eastAsia="zh-CN"/>
        </w:rPr>
      </w:pPr>
      <w:r>
        <w:rPr>
          <w:rFonts w:hint="eastAsia" w:hAnsi="宋体" w:cs="宋体"/>
          <w:sz w:val="24"/>
          <w:szCs w:val="24"/>
          <w:highlight w:val="none"/>
        </w:rPr>
        <w:t>2.签订合同后，如中标人不按双方合同约定履约，则没收其全部履约保证金，履约保证金不足以赔偿损失的，按实际损失赔偿</w:t>
      </w:r>
      <w:r>
        <w:rPr>
          <w:rFonts w:hint="eastAsia" w:hAnsi="宋体" w:cs="宋体"/>
          <w:sz w:val="24"/>
          <w:szCs w:val="24"/>
          <w:highlight w:val="none"/>
          <w:lang w:eastAsia="zh-CN"/>
        </w:rPr>
        <w:t>。</w:t>
      </w:r>
    </w:p>
    <w:p>
      <w:pPr>
        <w:snapToGrid w:val="0"/>
        <w:spacing w:line="360" w:lineRule="auto"/>
        <w:ind w:firstLine="480" w:firstLineChars="200"/>
        <w:rPr>
          <w:rFonts w:hint="eastAsia" w:ascii="宋体" w:hAnsi="宋体"/>
          <w:highlight w:val="none"/>
        </w:rPr>
      </w:pPr>
    </w:p>
    <w:p>
      <w:pPr>
        <w:pStyle w:val="2"/>
        <w:spacing w:before="0" w:after="0" w:line="360" w:lineRule="auto"/>
        <w:rPr>
          <w:rFonts w:hint="eastAsia"/>
          <w:highlight w:val="none"/>
        </w:rPr>
      </w:pPr>
      <w:r>
        <w:rPr>
          <w:rFonts w:ascii="宋体" w:hAnsi="宋体"/>
          <w:highlight w:val="none"/>
        </w:rPr>
        <w:br w:type="page"/>
      </w:r>
      <w:bookmarkStart w:id="60" w:name="_Toc91520564"/>
      <w:r>
        <w:rPr>
          <w:rFonts w:hint="eastAsia"/>
          <w:highlight w:val="none"/>
        </w:rPr>
        <w:t>第四章 评审办法及标准</w:t>
      </w:r>
      <w:bookmarkEnd w:id="60"/>
    </w:p>
    <w:p>
      <w:pPr>
        <w:spacing w:line="360" w:lineRule="auto"/>
        <w:ind w:firstLine="420"/>
        <w:rPr>
          <w:rFonts w:hint="eastAsia" w:ascii="宋体" w:hAnsi="宋体"/>
          <w:highlight w:val="none"/>
        </w:rPr>
      </w:pPr>
      <w:r>
        <w:rPr>
          <w:rFonts w:hint="eastAsia" w:ascii="宋体" w:hAnsi="宋体"/>
          <w:highlight w:val="none"/>
        </w:rPr>
        <w:t>为公正、公平、科学地选择成交供应商，根据</w:t>
      </w:r>
      <w:r>
        <w:rPr>
          <w:rFonts w:ascii="宋体" w:hAnsi="宋体"/>
          <w:kern w:val="0"/>
          <w:highlight w:val="none"/>
        </w:rPr>
        <w:t>《中华人民共和国政府采购法》、</w:t>
      </w:r>
      <w:r>
        <w:rPr>
          <w:rFonts w:hint="eastAsia" w:ascii="宋体" w:hAnsi="宋体"/>
          <w:kern w:val="0"/>
          <w:highlight w:val="none"/>
        </w:rPr>
        <w:t>《</w:t>
      </w:r>
      <w:r>
        <w:rPr>
          <w:rFonts w:ascii="宋体" w:hAnsi="宋体"/>
          <w:kern w:val="0"/>
          <w:highlight w:val="none"/>
        </w:rPr>
        <w:t>中华人民共和国政府采购法实施条例</w:t>
      </w:r>
      <w:r>
        <w:rPr>
          <w:rFonts w:hint="eastAsia" w:ascii="宋体" w:hAnsi="宋体"/>
          <w:kern w:val="0"/>
          <w:highlight w:val="none"/>
        </w:rPr>
        <w:t>》和《</w:t>
      </w:r>
      <w:r>
        <w:rPr>
          <w:rFonts w:ascii="宋体" w:hAnsi="宋体"/>
          <w:kern w:val="0"/>
          <w:highlight w:val="none"/>
        </w:rPr>
        <w:t>政府采购竞争性磋商采购方式管理暂行办法</w:t>
      </w:r>
      <w:r>
        <w:rPr>
          <w:rFonts w:hint="eastAsia" w:ascii="宋体" w:hAnsi="宋体"/>
          <w:highlight w:val="none"/>
        </w:rPr>
        <w:t>》等有关法律法规的规定，并结合本项目的实际，制定本办法。</w:t>
      </w:r>
    </w:p>
    <w:p>
      <w:pPr>
        <w:pStyle w:val="20"/>
        <w:snapToGrid w:val="0"/>
        <w:spacing w:before="0" w:beforeLines="0" w:after="0" w:afterLines="0" w:line="360" w:lineRule="auto"/>
        <w:rPr>
          <w:rFonts w:hint="eastAsia" w:hAnsi="宋体"/>
          <w:highlight w:val="none"/>
        </w:rPr>
      </w:pPr>
      <w:r>
        <w:rPr>
          <w:rFonts w:hint="eastAsia" w:hAnsi="宋体"/>
          <w:highlight w:val="none"/>
        </w:rPr>
        <w:t xml:space="preserve">    本办法适用于</w:t>
      </w:r>
      <w:r>
        <w:rPr>
          <w:rFonts w:hint="eastAsia" w:hAnsi="宋体"/>
          <w:highlight w:val="none"/>
          <w:lang w:eastAsia="zh-CN"/>
        </w:rPr>
        <w:t>干窑镇采购“警立方”项目</w:t>
      </w:r>
      <w:r>
        <w:rPr>
          <w:rFonts w:hint="eastAsia" w:hAnsi="宋体"/>
          <w:highlight w:val="none"/>
        </w:rPr>
        <w:t>政府采购项目的磋商。</w:t>
      </w:r>
    </w:p>
    <w:p>
      <w:pPr>
        <w:spacing w:line="360" w:lineRule="auto"/>
        <w:rPr>
          <w:rFonts w:hint="eastAsia" w:ascii="宋体" w:hAnsi="宋体"/>
          <w:b/>
          <w:highlight w:val="none"/>
        </w:rPr>
      </w:pPr>
      <w:r>
        <w:rPr>
          <w:rFonts w:hint="eastAsia" w:ascii="宋体" w:hAnsi="宋体"/>
          <w:b/>
          <w:highlight w:val="none"/>
        </w:rPr>
        <w:t>一 、总则</w:t>
      </w:r>
    </w:p>
    <w:p>
      <w:pPr>
        <w:numPr>
          <w:ilvl w:val="0"/>
          <w:numId w:val="26"/>
        </w:numPr>
        <w:adjustRightInd w:val="0"/>
        <w:snapToGrid w:val="0"/>
        <w:spacing w:line="360" w:lineRule="auto"/>
        <w:ind w:left="0" w:firstLine="480" w:firstLineChars="200"/>
        <w:rPr>
          <w:rFonts w:ascii="宋体" w:hAnsi="宋体"/>
          <w:highlight w:val="none"/>
        </w:rPr>
      </w:pPr>
      <w:r>
        <w:rPr>
          <w:rFonts w:hint="eastAsia" w:ascii="宋体" w:hAnsi="宋体"/>
          <w:highlight w:val="none"/>
        </w:rPr>
        <w:t>本次磋商采用综合评分法，合格供应商的综合得分为各项目汇总得分，成交候选资格按综合得分由高到低顺序进行排列，综合得分相同的，按磋商报价由低到高顺序排列；综合得分及磋商报价均相同的，按</w:t>
      </w:r>
      <w:r>
        <w:rPr>
          <w:rFonts w:hint="eastAsia" w:ascii="宋体" w:hAnsi="宋体"/>
          <w:highlight w:val="none"/>
          <w:lang w:eastAsia="zh-CN"/>
        </w:rPr>
        <w:t>技术</w:t>
      </w:r>
      <w:r>
        <w:rPr>
          <w:rFonts w:hint="eastAsia" w:ascii="宋体" w:hAnsi="宋体"/>
          <w:highlight w:val="none"/>
        </w:rPr>
        <w:t>得分由高到低顺序排列，仍不能分出前后的，</w:t>
      </w:r>
      <w:r>
        <w:rPr>
          <w:rFonts w:hint="eastAsia" w:ascii="宋体" w:hAnsi="宋体"/>
          <w:sz w:val="24"/>
          <w:highlight w:val="none"/>
        </w:rPr>
        <w:t>以电子投标文件解密先后顺序确定</w:t>
      </w:r>
      <w:r>
        <w:rPr>
          <w:rFonts w:hint="eastAsia" w:ascii="宋体" w:hAnsi="宋体"/>
          <w:highlight w:val="none"/>
        </w:rPr>
        <w:t>。排名第一的供应商为成交候选人，排名第二的供应商为候补成交候选人，其他供应商成交候选资格依此类推。</w:t>
      </w:r>
      <w:r>
        <w:rPr>
          <w:rFonts w:hint="eastAsia" w:ascii="宋体" w:hAnsi="宋体"/>
          <w:b/>
          <w:highlight w:val="none"/>
        </w:rPr>
        <w:t>成交供应商拒绝与采购人签订合同的，采购人可以按照评审报告推荐的候补成交候选人名单顺序，确定下一候选人为成交供应商，也可以重新开展政府采购活动</w:t>
      </w:r>
      <w:r>
        <w:rPr>
          <w:rFonts w:hint="eastAsia" w:ascii="宋体" w:hAnsi="宋体"/>
          <w:highlight w:val="none"/>
        </w:rPr>
        <w:t>。评分过程中采用四舍五入法，并保留小数2位。</w:t>
      </w:r>
    </w:p>
    <w:p>
      <w:pPr>
        <w:adjustRightInd w:val="0"/>
        <w:snapToGrid w:val="0"/>
        <w:spacing w:line="360" w:lineRule="auto"/>
        <w:ind w:firstLine="480" w:firstLineChars="200"/>
        <w:rPr>
          <w:rFonts w:ascii="宋体" w:hAnsi="宋体"/>
          <w:highlight w:val="none"/>
        </w:rPr>
      </w:pPr>
      <w:r>
        <w:rPr>
          <w:rFonts w:hint="eastAsia" w:ascii="宋体" w:hAnsi="宋体"/>
          <w:highlight w:val="none"/>
        </w:rPr>
        <w:t>供应商磋商综合得分=</w:t>
      </w:r>
      <w:r>
        <w:rPr>
          <w:rFonts w:hint="eastAsia" w:ascii="宋体" w:hAnsi="宋体"/>
          <w:bCs/>
          <w:highlight w:val="none"/>
          <w:lang w:eastAsia="zh-CN"/>
        </w:rPr>
        <w:t>资信商务及技术</w:t>
      </w:r>
      <w:r>
        <w:rPr>
          <w:rFonts w:hint="eastAsia" w:ascii="宋体" w:hAnsi="宋体"/>
          <w:bCs/>
          <w:highlight w:val="none"/>
        </w:rPr>
        <w:t>分</w:t>
      </w:r>
      <w:r>
        <w:rPr>
          <w:rFonts w:hint="eastAsia" w:ascii="宋体" w:hAnsi="宋体"/>
          <w:highlight w:val="none"/>
        </w:rPr>
        <w:t>+价格分</w:t>
      </w:r>
    </w:p>
    <w:p>
      <w:pPr>
        <w:adjustRightInd w:val="0"/>
        <w:snapToGrid w:val="0"/>
        <w:spacing w:line="360" w:lineRule="auto"/>
        <w:rPr>
          <w:rFonts w:ascii="宋体" w:hAnsi="宋体"/>
          <w:b/>
          <w:highlight w:val="none"/>
        </w:rPr>
      </w:pPr>
      <w:r>
        <w:rPr>
          <w:rFonts w:hint="eastAsia" w:ascii="宋体" w:hAnsi="宋体"/>
          <w:b/>
          <w:highlight w:val="none"/>
        </w:rPr>
        <w:t>二</w:t>
      </w:r>
      <w:r>
        <w:rPr>
          <w:rFonts w:ascii="宋体" w:hAnsi="宋体"/>
          <w:b/>
          <w:highlight w:val="none"/>
        </w:rPr>
        <w:t xml:space="preserve"> </w:t>
      </w:r>
      <w:r>
        <w:rPr>
          <w:rFonts w:hint="eastAsia" w:ascii="宋体" w:hAnsi="宋体"/>
          <w:b/>
          <w:highlight w:val="none"/>
        </w:rPr>
        <w:t>、评分标准</w:t>
      </w:r>
    </w:p>
    <w:p>
      <w:pPr>
        <w:adjustRightInd w:val="0"/>
        <w:snapToGrid w:val="0"/>
        <w:spacing w:line="360" w:lineRule="auto"/>
        <w:rPr>
          <w:rFonts w:hint="eastAsia" w:ascii="宋体" w:hAnsi="宋体" w:cs="宋体"/>
          <w:highlight w:val="none"/>
        </w:rPr>
      </w:pPr>
      <w:r>
        <w:rPr>
          <w:rFonts w:hint="eastAsia" w:ascii="宋体" w:hAnsi="宋体" w:cs="宋体"/>
          <w:highlight w:val="none"/>
        </w:rPr>
        <w:t>对</w:t>
      </w:r>
      <w:r>
        <w:rPr>
          <w:rFonts w:ascii="宋体" w:hAnsi="宋体" w:cs="宋体"/>
          <w:highlight w:val="none"/>
        </w:rPr>
        <w:t>响应文件满足磋商文件全部实质性要求</w:t>
      </w:r>
      <w:r>
        <w:rPr>
          <w:rFonts w:hint="eastAsia" w:ascii="宋体" w:hAnsi="宋体" w:cs="宋体"/>
          <w:highlight w:val="none"/>
        </w:rPr>
        <w:t>的响应文件进行评分。</w:t>
      </w:r>
    </w:p>
    <w:p>
      <w:pPr>
        <w:numPr>
          <w:ilvl w:val="0"/>
          <w:numId w:val="27"/>
        </w:numPr>
        <w:adjustRightInd w:val="0"/>
        <w:snapToGrid w:val="0"/>
        <w:spacing w:line="360" w:lineRule="auto"/>
        <w:rPr>
          <w:rFonts w:hint="eastAsia"/>
        </w:rPr>
      </w:pPr>
      <w:r>
        <w:rPr>
          <w:rFonts w:hint="eastAsia" w:ascii="宋体" w:hAnsi="宋体"/>
          <w:b/>
          <w:bCs/>
          <w:highlight w:val="none"/>
          <w:lang w:eastAsia="zh-CN"/>
        </w:rPr>
        <w:t>资信商务及技术</w:t>
      </w:r>
      <w:r>
        <w:rPr>
          <w:rFonts w:hint="eastAsia" w:ascii="宋体" w:hAnsi="宋体"/>
          <w:b/>
          <w:bCs/>
          <w:highlight w:val="none"/>
        </w:rPr>
        <w:t>分</w:t>
      </w:r>
      <w:r>
        <w:rPr>
          <w:rFonts w:ascii="宋体" w:hAnsi="宋体"/>
          <w:b/>
          <w:bCs/>
          <w:highlight w:val="none"/>
        </w:rPr>
        <w:t>（</w:t>
      </w:r>
      <w:r>
        <w:rPr>
          <w:rFonts w:hint="eastAsia" w:ascii="宋体" w:hAnsi="宋体"/>
          <w:b/>
          <w:bCs/>
          <w:highlight w:val="none"/>
          <w:lang w:val="en-US" w:eastAsia="zh-CN"/>
        </w:rPr>
        <w:t>7</w:t>
      </w:r>
      <w:r>
        <w:rPr>
          <w:rFonts w:hint="eastAsia" w:ascii="宋体" w:hAnsi="宋体"/>
          <w:b/>
          <w:bCs/>
          <w:highlight w:val="none"/>
          <w:lang w:val="en-US" w:eastAsia="zh-CN"/>
        </w:rPr>
        <w:t>0</w:t>
      </w:r>
      <w:r>
        <w:rPr>
          <w:rFonts w:hint="eastAsia" w:ascii="宋体" w:hAnsi="宋体"/>
          <w:b/>
          <w:bCs/>
          <w:highlight w:val="none"/>
        </w:rPr>
        <w:t>分）</w:t>
      </w:r>
    </w:p>
    <w:tbl>
      <w:tblPr>
        <w:tblStyle w:val="35"/>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134"/>
        <w:gridCol w:w="6357"/>
        <w:gridCol w:w="7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blHeader/>
        </w:trPr>
        <w:tc>
          <w:tcPr>
            <w:tcW w:w="1809" w:type="dxa"/>
            <w:gridSpan w:val="2"/>
            <w:noWrap w:val="0"/>
            <w:vAlign w:val="center"/>
          </w:tcPr>
          <w:p>
            <w:pPr>
              <w:pStyle w:val="20"/>
              <w:adjustRightInd w:val="0"/>
              <w:snapToGrid w:val="0"/>
              <w:spacing w:before="0" w:beforeLines="0" w:after="0" w:afterLines="0" w:line="240" w:lineRule="auto"/>
              <w:jc w:val="center"/>
              <w:rPr>
                <w:rFonts w:hAnsi="宋体" w:cs="宋体"/>
                <w:b/>
                <w:sz w:val="21"/>
                <w:szCs w:val="21"/>
                <w:highlight w:val="none"/>
              </w:rPr>
            </w:pPr>
            <w:r>
              <w:rPr>
                <w:rFonts w:hint="eastAsia" w:hAnsi="宋体" w:cs="宋体"/>
                <w:b/>
                <w:sz w:val="21"/>
                <w:szCs w:val="21"/>
                <w:highlight w:val="none"/>
              </w:rPr>
              <w:t>评分因素</w:t>
            </w:r>
          </w:p>
        </w:tc>
        <w:tc>
          <w:tcPr>
            <w:tcW w:w="6357" w:type="dxa"/>
            <w:noWrap w:val="0"/>
            <w:vAlign w:val="center"/>
          </w:tcPr>
          <w:p>
            <w:pPr>
              <w:pStyle w:val="20"/>
              <w:adjustRightInd w:val="0"/>
              <w:snapToGrid w:val="0"/>
              <w:spacing w:before="0" w:beforeLines="0" w:after="0" w:afterLines="0" w:line="240" w:lineRule="auto"/>
              <w:jc w:val="center"/>
              <w:rPr>
                <w:rFonts w:hAnsi="宋体" w:cs="宋体"/>
                <w:b/>
                <w:sz w:val="21"/>
                <w:szCs w:val="21"/>
                <w:highlight w:val="none"/>
              </w:rPr>
            </w:pPr>
            <w:r>
              <w:rPr>
                <w:rFonts w:hint="eastAsia" w:hAnsi="宋体" w:cs="宋体"/>
                <w:b/>
                <w:sz w:val="21"/>
                <w:szCs w:val="21"/>
                <w:highlight w:val="none"/>
              </w:rPr>
              <w:t>评分细则</w:t>
            </w:r>
          </w:p>
        </w:tc>
        <w:tc>
          <w:tcPr>
            <w:tcW w:w="731" w:type="dxa"/>
            <w:noWrap w:val="0"/>
            <w:vAlign w:val="center"/>
          </w:tcPr>
          <w:p>
            <w:pPr>
              <w:pStyle w:val="20"/>
              <w:adjustRightInd w:val="0"/>
              <w:snapToGrid w:val="0"/>
              <w:spacing w:before="0" w:beforeLines="0" w:after="0" w:afterLines="0" w:line="240" w:lineRule="auto"/>
              <w:jc w:val="center"/>
              <w:rPr>
                <w:rFonts w:hAnsi="宋体" w:cs="宋体"/>
                <w:b/>
                <w:sz w:val="21"/>
                <w:szCs w:val="21"/>
                <w:highlight w:val="none"/>
              </w:rPr>
            </w:pPr>
            <w:r>
              <w:rPr>
                <w:rFonts w:hint="eastAsia" w:hAnsi="宋体" w:cs="宋体"/>
                <w:b/>
                <w:sz w:val="21"/>
                <w:szCs w:val="21"/>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trPr>
        <w:tc>
          <w:tcPr>
            <w:tcW w:w="675" w:type="dxa"/>
            <w:vMerge w:val="restart"/>
            <w:noWrap w:val="0"/>
            <w:vAlign w:val="center"/>
          </w:tcPr>
          <w:p>
            <w:pPr>
              <w:jc w:val="center"/>
              <w:rPr>
                <w:rFonts w:hint="eastAsia" w:ascii="宋体" w:hAnsi="宋体" w:cs="宋体"/>
                <w:bCs/>
                <w:kern w:val="44"/>
                <w:sz w:val="24"/>
                <w:szCs w:val="24"/>
                <w:highlight w:val="none"/>
              </w:rPr>
            </w:pPr>
            <w:r>
              <w:rPr>
                <w:rFonts w:hint="eastAsia" w:ascii="宋体" w:hAnsi="宋体" w:cs="宋体"/>
                <w:bCs/>
                <w:kern w:val="44"/>
                <w:sz w:val="24"/>
                <w:szCs w:val="24"/>
                <w:highlight w:val="none"/>
              </w:rPr>
              <w:t>商</w:t>
            </w:r>
            <w:r>
              <w:rPr>
                <w:rFonts w:hint="eastAsia" w:ascii="宋体" w:hAnsi="宋体" w:cs="宋体"/>
                <w:bCs/>
                <w:kern w:val="44"/>
                <w:sz w:val="24"/>
                <w:szCs w:val="24"/>
                <w:highlight w:val="none"/>
                <w:lang w:val="en-US" w:eastAsia="zh-CN"/>
              </w:rPr>
              <w:t>务</w:t>
            </w:r>
            <w:r>
              <w:rPr>
                <w:rFonts w:hint="eastAsia" w:ascii="宋体" w:hAnsi="宋体" w:cs="宋体"/>
                <w:bCs/>
                <w:kern w:val="44"/>
                <w:sz w:val="24"/>
                <w:szCs w:val="24"/>
                <w:highlight w:val="none"/>
              </w:rPr>
              <w:t>资信分</w:t>
            </w:r>
          </w:p>
          <w:p>
            <w:pPr>
              <w:jc w:val="center"/>
              <w:rPr>
                <w:rFonts w:hint="eastAsia" w:ascii="宋体" w:hAnsi="宋体" w:cs="宋体"/>
                <w:bCs/>
                <w:kern w:val="44"/>
                <w:sz w:val="24"/>
                <w:szCs w:val="24"/>
                <w:highlight w:val="none"/>
                <w:lang w:val="en-US" w:eastAsia="zh-CN"/>
              </w:rPr>
            </w:pPr>
            <w:r>
              <w:rPr>
                <w:rFonts w:hint="eastAsia" w:ascii="宋体" w:hAnsi="宋体" w:cs="宋体"/>
                <w:bCs/>
                <w:kern w:val="44"/>
                <w:sz w:val="24"/>
                <w:szCs w:val="24"/>
                <w:highlight w:val="none"/>
                <w:lang w:val="en-US" w:eastAsia="zh-CN"/>
              </w:rPr>
              <w:t>9</w:t>
            </w:r>
          </w:p>
          <w:p>
            <w:pPr>
              <w:jc w:val="center"/>
              <w:rPr>
                <w:rFonts w:hint="eastAsia" w:ascii="宋体" w:hAnsi="宋体" w:cs="宋体"/>
                <w:bCs/>
                <w:kern w:val="44"/>
                <w:sz w:val="24"/>
                <w:szCs w:val="24"/>
                <w:highlight w:val="none"/>
              </w:rPr>
            </w:pPr>
            <w:r>
              <w:rPr>
                <w:rFonts w:hint="eastAsia" w:ascii="宋体" w:hAnsi="宋体" w:cs="宋体"/>
                <w:bCs/>
                <w:kern w:val="44"/>
                <w:sz w:val="24"/>
                <w:szCs w:val="24"/>
                <w:highlight w:val="none"/>
              </w:rPr>
              <w:t>分</w:t>
            </w:r>
          </w:p>
          <w:p>
            <w:pPr>
              <w:jc w:val="center"/>
              <w:rPr>
                <w:rFonts w:hint="eastAsia" w:ascii="宋体" w:hAnsi="宋体" w:cs="宋体"/>
                <w:bCs/>
                <w:kern w:val="44"/>
                <w:sz w:val="24"/>
                <w:szCs w:val="24"/>
                <w:highlight w:val="none"/>
              </w:rPr>
            </w:pPr>
          </w:p>
        </w:tc>
        <w:tc>
          <w:tcPr>
            <w:tcW w:w="1134" w:type="dxa"/>
            <w:noWrap w:val="0"/>
            <w:vAlign w:val="center"/>
          </w:tcPr>
          <w:p>
            <w:pPr>
              <w:snapToGrid w:val="0"/>
              <w:jc w:val="center"/>
              <w:rPr>
                <w:rFonts w:hint="eastAsia" w:ascii="宋体" w:hAnsi="宋体" w:eastAsia="宋体" w:cs="宋体"/>
                <w:bCs/>
                <w:kern w:val="44"/>
                <w:sz w:val="24"/>
                <w:szCs w:val="24"/>
                <w:highlight w:val="none"/>
                <w:lang w:val="en-US" w:eastAsia="zh-CN" w:bidi="ar-SA"/>
              </w:rPr>
            </w:pPr>
            <w:r>
              <w:rPr>
                <w:rFonts w:hint="eastAsia" w:ascii="宋体" w:hAnsi="宋体" w:cs="宋体"/>
                <w:color w:val="auto"/>
                <w:sz w:val="22"/>
                <w:szCs w:val="22"/>
                <w:highlight w:val="none"/>
              </w:rPr>
              <w:t>诚信分</w:t>
            </w:r>
          </w:p>
        </w:tc>
        <w:tc>
          <w:tcPr>
            <w:tcW w:w="6357" w:type="dxa"/>
            <w:noWrap w:val="0"/>
            <w:vAlign w:val="center"/>
          </w:tcPr>
          <w:p>
            <w:pPr>
              <w:spacing w:line="280" w:lineRule="exact"/>
              <w:rPr>
                <w:rFonts w:hint="eastAsia" w:ascii="宋体" w:hAnsi="宋体" w:cs="宋体"/>
                <w:kern w:val="2"/>
                <w:sz w:val="24"/>
                <w:szCs w:val="24"/>
                <w:highlight w:val="none"/>
                <w:lang w:val="en-US" w:eastAsia="zh-CN" w:bidi="ar-SA"/>
              </w:rPr>
            </w:pPr>
            <w:r>
              <w:rPr>
                <w:rFonts w:hint="eastAsia" w:ascii="宋体" w:hAnsi="宋体" w:cs="宋体"/>
                <w:color w:val="auto"/>
                <w:kern w:val="0"/>
                <w:sz w:val="22"/>
                <w:szCs w:val="22"/>
                <w:highlight w:val="none"/>
              </w:rPr>
              <w:t>凡在投标截止时间前三年受到行政处罚、行政处理（含通报）或记入不良行为的，此项得分为0，若无处罚、行政处理（含通报）或记入不良行为的得</w:t>
            </w:r>
            <w:r>
              <w:rPr>
                <w:rFonts w:hint="eastAsia" w:ascii="宋体" w:hAnsi="宋体" w:cs="宋体"/>
                <w:color w:val="auto"/>
                <w:kern w:val="0"/>
                <w:sz w:val="22"/>
                <w:szCs w:val="22"/>
                <w:highlight w:val="none"/>
                <w:lang w:val="en-US" w:eastAsia="zh-CN"/>
              </w:rPr>
              <w:t>3</w:t>
            </w:r>
            <w:r>
              <w:rPr>
                <w:rFonts w:hint="eastAsia" w:ascii="宋体" w:hAnsi="宋体" w:cs="宋体"/>
                <w:color w:val="auto"/>
                <w:kern w:val="0"/>
                <w:sz w:val="22"/>
                <w:szCs w:val="22"/>
                <w:highlight w:val="none"/>
              </w:rPr>
              <w:t>分（供应商自行提供，如有不良记录又虚假隐瞒的，一经发现将取消投标资格）</w:t>
            </w:r>
          </w:p>
        </w:tc>
        <w:tc>
          <w:tcPr>
            <w:tcW w:w="731" w:type="dxa"/>
            <w:noWrap w:val="0"/>
            <w:vAlign w:val="center"/>
          </w:tcPr>
          <w:p>
            <w:pPr>
              <w:spacing w:line="320" w:lineRule="exact"/>
              <w:jc w:val="center"/>
              <w:rPr>
                <w:rFonts w:hint="eastAsia" w:ascii="宋体" w:hAnsi="宋体" w:eastAsia="宋体" w:cs="宋体"/>
                <w:kern w:val="2"/>
                <w:sz w:val="24"/>
                <w:szCs w:val="24"/>
                <w:highlight w:val="none"/>
                <w:lang w:val="en-US" w:eastAsia="zh-CN" w:bidi="ar-SA"/>
              </w:rPr>
            </w:pPr>
            <w:r>
              <w:rPr>
                <w:rFonts w:hint="eastAsia" w:ascii="宋体" w:hAnsi="宋体" w:cs="宋体"/>
                <w:color w:val="auto"/>
                <w:kern w:val="0"/>
                <w:sz w:val="22"/>
                <w:szCs w:val="22"/>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675" w:type="dxa"/>
            <w:vMerge w:val="continue"/>
            <w:noWrap w:val="0"/>
            <w:vAlign w:val="center"/>
          </w:tcPr>
          <w:p>
            <w:pPr>
              <w:jc w:val="center"/>
              <w:rPr>
                <w:rFonts w:hint="eastAsia" w:ascii="宋体" w:hAnsi="宋体" w:cs="宋体"/>
                <w:bCs/>
                <w:kern w:val="44"/>
                <w:sz w:val="24"/>
                <w:szCs w:val="24"/>
                <w:highlight w:val="none"/>
                <w:lang w:val="en-US" w:eastAsia="zh-CN"/>
              </w:rPr>
            </w:pPr>
          </w:p>
        </w:tc>
        <w:tc>
          <w:tcPr>
            <w:tcW w:w="1134" w:type="dxa"/>
            <w:noWrap w:val="0"/>
            <w:vAlign w:val="center"/>
          </w:tcPr>
          <w:p>
            <w:pPr>
              <w:snapToGrid w:val="0"/>
              <w:spacing w:line="276" w:lineRule="auto"/>
              <w:jc w:val="center"/>
              <w:textAlignment w:val="baseline"/>
              <w:rPr>
                <w:rFonts w:hint="eastAsia" w:ascii="宋体" w:hAnsi="宋体" w:eastAsia="宋体" w:cs="宋体"/>
                <w:bCs/>
                <w:kern w:val="44"/>
                <w:sz w:val="24"/>
                <w:szCs w:val="24"/>
                <w:highlight w:val="none"/>
                <w:lang w:val="en-US" w:eastAsia="zh-CN" w:bidi="ar-SA"/>
              </w:rPr>
            </w:pPr>
            <w:r>
              <w:rPr>
                <w:rStyle w:val="141"/>
                <w:rFonts w:hint="eastAsia" w:ascii="宋体" w:hAnsi="宋体"/>
                <w:color w:val="auto"/>
                <w:kern w:val="0"/>
                <w:sz w:val="22"/>
                <w:szCs w:val="22"/>
                <w:highlight w:val="none"/>
              </w:rPr>
              <w:t>优惠条件</w:t>
            </w:r>
          </w:p>
        </w:tc>
        <w:tc>
          <w:tcPr>
            <w:tcW w:w="6357" w:type="dxa"/>
            <w:noWrap w:val="0"/>
            <w:vAlign w:val="center"/>
          </w:tcPr>
          <w:p>
            <w:pPr>
              <w:snapToGrid w:val="0"/>
              <w:spacing w:line="276" w:lineRule="auto"/>
              <w:textAlignment w:val="baseline"/>
              <w:rPr>
                <w:rFonts w:hint="eastAsia" w:ascii="宋体" w:hAnsi="宋体" w:cs="宋体"/>
                <w:kern w:val="2"/>
                <w:sz w:val="24"/>
                <w:szCs w:val="24"/>
                <w:highlight w:val="none"/>
                <w:lang w:val="en-US" w:eastAsia="zh-CN" w:bidi="ar-SA"/>
              </w:rPr>
            </w:pPr>
            <w:r>
              <w:rPr>
                <w:rFonts w:hint="eastAsia" w:ascii="宋体" w:hAnsi="宋体" w:cs="宋体"/>
                <w:bCs/>
                <w:color w:val="auto"/>
                <w:kern w:val="0"/>
                <w:sz w:val="22"/>
                <w:szCs w:val="22"/>
                <w:highlight w:val="none"/>
                <w:lang w:bidi="ar"/>
              </w:rPr>
              <w:t>投标人承诺质保期在满足招标文件质保期基础上,每延长质保期1年的得</w:t>
            </w:r>
            <w:r>
              <w:rPr>
                <w:rFonts w:hint="eastAsia" w:ascii="宋体" w:hAnsi="宋体" w:cs="宋体"/>
                <w:bCs/>
                <w:color w:val="auto"/>
                <w:kern w:val="0"/>
                <w:sz w:val="22"/>
                <w:szCs w:val="22"/>
                <w:highlight w:val="none"/>
                <w:lang w:val="en-US" w:eastAsia="zh-CN" w:bidi="ar"/>
              </w:rPr>
              <w:t>2</w:t>
            </w:r>
            <w:r>
              <w:rPr>
                <w:rFonts w:hint="eastAsia" w:ascii="宋体" w:hAnsi="宋体" w:cs="宋体"/>
                <w:bCs/>
                <w:color w:val="auto"/>
                <w:kern w:val="0"/>
                <w:sz w:val="22"/>
                <w:szCs w:val="22"/>
                <w:highlight w:val="none"/>
                <w:lang w:bidi="ar"/>
              </w:rPr>
              <w:t>分，最高得</w:t>
            </w:r>
            <w:r>
              <w:rPr>
                <w:rFonts w:hint="eastAsia" w:ascii="宋体" w:hAnsi="宋体" w:cs="宋体"/>
                <w:bCs/>
                <w:color w:val="auto"/>
                <w:kern w:val="0"/>
                <w:sz w:val="22"/>
                <w:szCs w:val="22"/>
                <w:highlight w:val="none"/>
                <w:lang w:val="en-US" w:eastAsia="zh-CN" w:bidi="ar"/>
              </w:rPr>
              <w:t>4</w:t>
            </w:r>
            <w:r>
              <w:rPr>
                <w:rFonts w:hint="eastAsia" w:ascii="宋体" w:hAnsi="宋体" w:cs="宋体"/>
                <w:bCs/>
                <w:color w:val="auto"/>
                <w:kern w:val="0"/>
                <w:sz w:val="22"/>
                <w:szCs w:val="22"/>
                <w:highlight w:val="none"/>
                <w:lang w:bidi="ar"/>
              </w:rPr>
              <w:t>分。（投标人须在投标文件中做出相应承诺，无承诺不得分），延长时间不足一年的不加分</w:t>
            </w:r>
          </w:p>
        </w:tc>
        <w:tc>
          <w:tcPr>
            <w:tcW w:w="731" w:type="dxa"/>
            <w:noWrap w:val="0"/>
            <w:vAlign w:val="center"/>
          </w:tcPr>
          <w:p>
            <w:pPr>
              <w:spacing w:line="320" w:lineRule="exact"/>
              <w:jc w:val="center"/>
              <w:rPr>
                <w:rFonts w:hint="eastAsia" w:ascii="宋体" w:hAnsi="宋体" w:eastAsia="宋体" w:cs="宋体"/>
                <w:kern w:val="2"/>
                <w:sz w:val="24"/>
                <w:szCs w:val="24"/>
                <w:highlight w:val="none"/>
                <w:lang w:val="en-US" w:eastAsia="zh-CN" w:bidi="ar-SA"/>
              </w:rPr>
            </w:pPr>
            <w:r>
              <w:rPr>
                <w:rFonts w:hint="eastAsia" w:ascii="宋体" w:hAnsi="宋体" w:cs="宋体"/>
                <w:color w:val="auto"/>
                <w:sz w:val="22"/>
                <w:szCs w:val="22"/>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675" w:type="dxa"/>
            <w:vMerge w:val="continue"/>
            <w:noWrap w:val="0"/>
            <w:vAlign w:val="center"/>
          </w:tcPr>
          <w:p>
            <w:pPr>
              <w:jc w:val="center"/>
              <w:rPr>
                <w:rFonts w:ascii="宋体" w:hAnsi="宋体"/>
                <w:sz w:val="24"/>
                <w:szCs w:val="24"/>
                <w:highlight w:val="none"/>
              </w:rPr>
            </w:pPr>
          </w:p>
        </w:tc>
        <w:tc>
          <w:tcPr>
            <w:tcW w:w="1134" w:type="dxa"/>
            <w:noWrap w:val="0"/>
            <w:vAlign w:val="center"/>
          </w:tcPr>
          <w:p>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优惠条件情况</w:t>
            </w:r>
          </w:p>
        </w:tc>
        <w:tc>
          <w:tcPr>
            <w:tcW w:w="6357" w:type="dxa"/>
            <w:noWrap w:val="0"/>
            <w:vAlign w:val="center"/>
          </w:tcPr>
          <w:p>
            <w:pPr>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对业主有实质性的优惠条件，提供证明材料或详细说明</w:t>
            </w:r>
            <w:r>
              <w:rPr>
                <w:rStyle w:val="141"/>
                <w:rFonts w:hint="eastAsia" w:ascii="宋体" w:hAnsi="宋体"/>
                <w:color w:val="auto"/>
                <w:kern w:val="0"/>
                <w:sz w:val="22"/>
                <w:szCs w:val="22"/>
                <w:highlight w:val="none"/>
              </w:rPr>
              <w:t>，每项</w:t>
            </w:r>
            <w:r>
              <w:rPr>
                <w:rStyle w:val="141"/>
                <w:rFonts w:hint="eastAsia" w:ascii="宋体" w:hAnsi="宋体"/>
                <w:color w:val="auto"/>
                <w:kern w:val="0"/>
                <w:sz w:val="22"/>
                <w:szCs w:val="22"/>
                <w:highlight w:val="none"/>
                <w:lang w:val="en-US"/>
              </w:rPr>
              <w:t>2</w:t>
            </w:r>
            <w:r>
              <w:rPr>
                <w:rStyle w:val="141"/>
                <w:rFonts w:hint="eastAsia" w:ascii="宋体" w:hAnsi="宋体"/>
                <w:color w:val="auto"/>
                <w:kern w:val="0"/>
                <w:sz w:val="22"/>
                <w:szCs w:val="22"/>
                <w:highlight w:val="none"/>
              </w:rPr>
              <w:t>分，最多</w:t>
            </w:r>
            <w:r>
              <w:rPr>
                <w:rStyle w:val="141"/>
                <w:rFonts w:hint="eastAsia" w:ascii="宋体" w:hAnsi="宋体"/>
                <w:color w:val="auto"/>
                <w:kern w:val="0"/>
                <w:sz w:val="22"/>
                <w:szCs w:val="22"/>
                <w:highlight w:val="none"/>
                <w:lang w:val="en-US"/>
              </w:rPr>
              <w:t>6</w:t>
            </w:r>
            <w:r>
              <w:rPr>
                <w:rStyle w:val="141"/>
                <w:rFonts w:hint="eastAsia" w:ascii="宋体" w:hAnsi="宋体"/>
                <w:color w:val="auto"/>
                <w:kern w:val="0"/>
                <w:sz w:val="22"/>
                <w:szCs w:val="22"/>
                <w:highlight w:val="none"/>
              </w:rPr>
              <w:t>分（应与本项目相关）</w:t>
            </w:r>
            <w:r>
              <w:rPr>
                <w:rFonts w:hint="eastAsia" w:ascii="宋体" w:hAnsi="宋体" w:eastAsia="宋体" w:cs="宋体"/>
                <w:color w:val="auto"/>
                <w:kern w:val="0"/>
                <w:sz w:val="24"/>
                <w:szCs w:val="24"/>
                <w:highlight w:val="none"/>
                <w:lang w:val="en-US" w:eastAsia="zh-CN"/>
              </w:rPr>
              <w:t>。</w:t>
            </w:r>
          </w:p>
        </w:tc>
        <w:tc>
          <w:tcPr>
            <w:tcW w:w="731" w:type="dxa"/>
            <w:noWrap w:val="0"/>
            <w:vAlign w:val="center"/>
          </w:tcPr>
          <w:p>
            <w:pPr>
              <w:spacing w:line="320" w:lineRule="exact"/>
              <w:jc w:val="center"/>
              <w:rPr>
                <w:rFonts w:hint="default" w:ascii="宋体" w:hAnsi="宋体" w:cs="宋体"/>
                <w:color w:val="auto"/>
                <w:sz w:val="24"/>
                <w:szCs w:val="24"/>
                <w:highlight w:val="none"/>
                <w:lang w:val="en-US" w:eastAsia="zh-CN"/>
              </w:rPr>
            </w:pPr>
            <w:r>
              <w:rPr>
                <w:rFonts w:hint="eastAsia" w:ascii="宋体" w:hAnsi="宋体" w:cs="宋体"/>
                <w:color w:val="auto"/>
                <w:sz w:val="22"/>
                <w:szCs w:val="22"/>
                <w:highlight w:val="none"/>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trPr>
        <w:tc>
          <w:tcPr>
            <w:tcW w:w="675" w:type="dxa"/>
            <w:vMerge w:val="restart"/>
            <w:noWrap w:val="0"/>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技术分</w:t>
            </w:r>
            <w:r>
              <w:rPr>
                <w:rFonts w:hint="eastAsia" w:ascii="宋体" w:hAnsi="宋体" w:eastAsia="宋体" w:cs="宋体"/>
                <w:color w:val="FF0000"/>
                <w:sz w:val="24"/>
                <w:szCs w:val="24"/>
                <w:highlight w:val="none"/>
                <w:lang w:val="en-US" w:eastAsia="zh-CN"/>
              </w:rPr>
              <w:t>61</w:t>
            </w:r>
            <w:r>
              <w:rPr>
                <w:rFonts w:hint="eastAsia" w:ascii="宋体" w:hAnsi="宋体" w:eastAsia="宋体" w:cs="宋体"/>
                <w:sz w:val="24"/>
                <w:szCs w:val="24"/>
                <w:highlight w:val="none"/>
              </w:rPr>
              <w:t>分</w:t>
            </w:r>
          </w:p>
        </w:tc>
        <w:tc>
          <w:tcPr>
            <w:tcW w:w="1134"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技术指标偏离情况</w:t>
            </w: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投标产品技术指标完全满足磋商项目需求采购清单内技术参数的得6分；投标产品技术指标不满足磋商项目需求采购清单内技术参数的（负偏离）每条扣0.2分，扣完为止。</w:t>
            </w:r>
          </w:p>
        </w:tc>
        <w:tc>
          <w:tcPr>
            <w:tcW w:w="731" w:type="dxa"/>
            <w:noWrap w:val="0"/>
            <w:vAlign w:val="center"/>
          </w:tcPr>
          <w:p>
            <w:pPr>
              <w:snapToGrid w:val="0"/>
              <w:spacing w:line="276" w:lineRule="auto"/>
              <w:jc w:val="center"/>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restart"/>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项目整体实施方案</w:t>
            </w:r>
          </w:p>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w:t>
            </w:r>
            <w:r>
              <w:rPr>
                <w:rFonts w:hint="eastAsia" w:ascii="宋体" w:hAnsi="宋体" w:eastAsia="宋体" w:cs="宋体"/>
                <w:bCs/>
                <w:color w:val="auto"/>
                <w:kern w:val="0"/>
                <w:sz w:val="22"/>
                <w:szCs w:val="22"/>
                <w:highlight w:val="none"/>
                <w:lang w:val="en-US" w:eastAsia="zh-CN" w:bidi="ar"/>
              </w:rPr>
              <w:t>投标人提供针对本项目产品加工生产方案的完整性、符合性进行综合评定打分（</w:t>
            </w:r>
            <w:r>
              <w:rPr>
                <w:rFonts w:hint="eastAsia" w:ascii="宋体" w:hAnsi="宋体" w:eastAsia="宋体" w:cs="宋体"/>
                <w:bCs/>
                <w:color w:val="auto"/>
                <w:kern w:val="0"/>
                <w:sz w:val="22"/>
                <w:szCs w:val="22"/>
                <w:highlight w:val="none"/>
                <w:lang w:val="en-US" w:eastAsia="zh-CN" w:bidi="ar"/>
              </w:rPr>
              <w:t>3-5</w:t>
            </w:r>
            <w:r>
              <w:rPr>
                <w:rFonts w:hint="eastAsia" w:ascii="宋体" w:hAnsi="宋体" w:eastAsia="宋体" w:cs="宋体"/>
                <w:bCs/>
                <w:color w:val="auto"/>
                <w:kern w:val="0"/>
                <w:sz w:val="22"/>
                <w:szCs w:val="22"/>
                <w:highlight w:val="none"/>
                <w:lang w:val="en-US" w:eastAsia="zh-CN" w:bidi="ar"/>
              </w:rPr>
              <w:t>分）</w:t>
            </w:r>
          </w:p>
        </w:tc>
        <w:tc>
          <w:tcPr>
            <w:tcW w:w="731" w:type="dxa"/>
            <w:noWrap w:val="0"/>
            <w:vAlign w:val="center"/>
          </w:tcPr>
          <w:p>
            <w:pPr>
              <w:snapToGrid w:val="0"/>
              <w:spacing w:line="276" w:lineRule="auto"/>
              <w:jc w:val="center"/>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 xml:space="preserve">5分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评委根据投标人提供针对本项目施工（安装）方案的完整性、符合性进行综合评定打分（3-5分）</w:t>
            </w:r>
          </w:p>
        </w:tc>
        <w:tc>
          <w:tcPr>
            <w:tcW w:w="731" w:type="dxa"/>
            <w:noWrap w:val="0"/>
            <w:vAlign w:val="center"/>
          </w:tcPr>
          <w:p>
            <w:pPr>
              <w:snapToGrid w:val="0"/>
              <w:spacing w:line="276" w:lineRule="auto"/>
              <w:jc w:val="center"/>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评委根据投标人提供针对本项目验收方案的完整性、符合性进行综合评定打分（3-5分）</w:t>
            </w:r>
          </w:p>
        </w:tc>
        <w:tc>
          <w:tcPr>
            <w:tcW w:w="731" w:type="dxa"/>
            <w:noWrap w:val="0"/>
            <w:vAlign w:val="center"/>
          </w:tcPr>
          <w:p>
            <w:pPr>
              <w:snapToGrid w:val="0"/>
              <w:spacing w:line="276" w:lineRule="auto"/>
              <w:jc w:val="center"/>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评委根据投标人提供针对本项目质量保障措施方案的完整性、符合性进行综合评定打分（2-4分）</w:t>
            </w:r>
          </w:p>
        </w:tc>
        <w:tc>
          <w:tcPr>
            <w:tcW w:w="731" w:type="dxa"/>
            <w:noWrap w:val="0"/>
            <w:vAlign w:val="center"/>
          </w:tcPr>
          <w:p>
            <w:pPr>
              <w:snapToGrid w:val="0"/>
              <w:spacing w:line="276" w:lineRule="auto"/>
              <w:jc w:val="center"/>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评委根据投标人提供针对本项目安全保障措施方案的完整性、符合性进行综合评定打分（2-4分）</w:t>
            </w:r>
          </w:p>
        </w:tc>
        <w:tc>
          <w:tcPr>
            <w:tcW w:w="731" w:type="dxa"/>
            <w:noWrap w:val="0"/>
            <w:vAlign w:val="center"/>
          </w:tcPr>
          <w:p>
            <w:pPr>
              <w:snapToGrid w:val="0"/>
              <w:spacing w:line="276" w:lineRule="auto"/>
              <w:jc w:val="center"/>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评委根据投标人提供针对本项目</w:t>
            </w:r>
            <w:r>
              <w:rPr>
                <w:rFonts w:hint="eastAsia" w:ascii="宋体" w:hAnsi="宋体" w:eastAsia="宋体" w:cs="宋体"/>
                <w:bCs/>
                <w:color w:val="auto"/>
                <w:spacing w:val="-6"/>
                <w:sz w:val="21"/>
                <w:szCs w:val="21"/>
                <w:highlight w:val="none"/>
                <w:lang w:val="en-US" w:eastAsia="zh-CN"/>
              </w:rPr>
              <w:t>进度计划方案的</w:t>
            </w:r>
            <w:r>
              <w:rPr>
                <w:rFonts w:hint="eastAsia" w:ascii="宋体" w:hAnsi="宋体" w:eastAsia="宋体" w:cs="宋体"/>
                <w:bCs/>
                <w:color w:val="auto"/>
                <w:kern w:val="0"/>
                <w:sz w:val="22"/>
                <w:szCs w:val="22"/>
                <w:highlight w:val="none"/>
                <w:lang w:val="en-US" w:eastAsia="zh-CN" w:bidi="ar"/>
              </w:rPr>
              <w:t>完整性、符合性进行综合评定打分（2-4分）</w:t>
            </w:r>
          </w:p>
        </w:tc>
        <w:tc>
          <w:tcPr>
            <w:tcW w:w="731" w:type="dxa"/>
            <w:noWrap w:val="0"/>
            <w:vAlign w:val="center"/>
          </w:tcPr>
          <w:p>
            <w:pPr>
              <w:snapToGrid w:val="0"/>
              <w:spacing w:line="276" w:lineRule="auto"/>
              <w:jc w:val="center"/>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进度管理：承诺合同签订后15天内完成所有货物的供货、安装和调试的。提供承诺得1分。</w:t>
            </w:r>
          </w:p>
        </w:tc>
        <w:tc>
          <w:tcPr>
            <w:tcW w:w="731" w:type="dxa"/>
            <w:noWrap w:val="0"/>
            <w:vAlign w:val="center"/>
          </w:tcPr>
          <w:p>
            <w:pPr>
              <w:snapToGrid w:val="0"/>
              <w:spacing w:line="276" w:lineRule="auto"/>
              <w:jc w:val="center"/>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vMerge w:val="continue"/>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评委根据投标人针对本项目</w:t>
            </w:r>
            <w:r>
              <w:rPr>
                <w:rFonts w:hint="eastAsia" w:ascii="宋体" w:hAnsi="宋体" w:eastAsia="宋体" w:cs="宋体"/>
                <w:color w:val="auto"/>
                <w:sz w:val="21"/>
                <w:szCs w:val="21"/>
                <w:highlight w:val="none"/>
                <w:lang w:val="en-US" w:eastAsia="zh-CN"/>
              </w:rPr>
              <w:t>所选用</w:t>
            </w:r>
            <w:r>
              <w:rPr>
                <w:rFonts w:hint="eastAsia" w:ascii="宋体" w:hAnsi="宋体" w:eastAsia="宋体" w:cs="宋体"/>
                <w:color w:val="auto"/>
                <w:sz w:val="21"/>
                <w:szCs w:val="21"/>
              </w:rPr>
              <w:t>材料、配件、材质等情况</w:t>
            </w:r>
            <w:r>
              <w:rPr>
                <w:rFonts w:hint="eastAsia" w:ascii="宋体" w:hAnsi="宋体" w:eastAsia="宋体" w:cs="宋体"/>
                <w:bCs/>
                <w:color w:val="auto"/>
                <w:kern w:val="0"/>
                <w:sz w:val="22"/>
                <w:szCs w:val="22"/>
                <w:highlight w:val="none"/>
                <w:lang w:val="en-US" w:eastAsia="zh-CN" w:bidi="ar"/>
              </w:rPr>
              <w:t>进行综合评定打分（3-5）</w:t>
            </w:r>
          </w:p>
        </w:tc>
        <w:tc>
          <w:tcPr>
            <w:tcW w:w="731" w:type="dxa"/>
            <w:noWrap w:val="0"/>
            <w:vAlign w:val="center"/>
          </w:tcPr>
          <w:p>
            <w:pPr>
              <w:snapToGrid w:val="0"/>
              <w:spacing w:line="276" w:lineRule="auto"/>
              <w:jc w:val="center"/>
              <w:textAlignment w:val="baseline"/>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trPr>
        <w:tc>
          <w:tcPr>
            <w:tcW w:w="675" w:type="dxa"/>
            <w:vMerge w:val="continue"/>
            <w:noWrap w:val="0"/>
            <w:vAlign w:val="center"/>
          </w:tcPr>
          <w:p>
            <w:pPr>
              <w:jc w:val="center"/>
              <w:rPr>
                <w:rFonts w:hint="eastAsia" w:ascii="宋体" w:hAnsi="宋体" w:eastAsia="宋体" w:cs="宋体"/>
                <w:sz w:val="24"/>
                <w:szCs w:val="24"/>
                <w:highlight w:val="none"/>
              </w:rPr>
            </w:pPr>
          </w:p>
        </w:tc>
        <w:tc>
          <w:tcPr>
            <w:tcW w:w="1134"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zh-CN" w:eastAsia="zh-CN" w:bidi="ar"/>
              </w:rPr>
            </w:pPr>
            <w:r>
              <w:rPr>
                <w:rFonts w:hint="eastAsia" w:ascii="宋体" w:hAnsi="宋体" w:eastAsia="宋体" w:cs="宋体"/>
                <w:bCs/>
                <w:color w:val="auto"/>
                <w:kern w:val="0"/>
                <w:sz w:val="22"/>
                <w:szCs w:val="22"/>
                <w:highlight w:val="none"/>
                <w:lang w:val="en-US" w:eastAsia="zh-CN" w:bidi="ar"/>
              </w:rPr>
              <w:t>售后服务方案</w:t>
            </w:r>
          </w:p>
        </w:tc>
        <w:tc>
          <w:tcPr>
            <w:tcW w:w="6357" w:type="dxa"/>
            <w:noWrap w:val="0"/>
            <w:vAlign w:val="center"/>
          </w:tcPr>
          <w:p>
            <w:pPr>
              <w:snapToGrid w:val="0"/>
              <w:spacing w:line="276" w:lineRule="auto"/>
              <w:textAlignment w:val="baseline"/>
              <w:rPr>
                <w:rFonts w:hint="eastAsia" w:ascii="宋体" w:hAnsi="宋体" w:eastAsia="宋体" w:cs="宋体"/>
                <w:bCs/>
                <w:color w:val="auto"/>
                <w:kern w:val="0"/>
                <w:sz w:val="22"/>
                <w:szCs w:val="22"/>
                <w:highlight w:val="none"/>
                <w:lang w:val="en-GB" w:eastAsia="zh-CN" w:bidi="ar"/>
              </w:rPr>
            </w:pPr>
            <w:r>
              <w:rPr>
                <w:rFonts w:hint="eastAsia" w:ascii="宋体" w:hAnsi="宋体" w:eastAsia="宋体" w:cs="宋体"/>
                <w:bCs/>
                <w:color w:val="auto"/>
                <w:kern w:val="0"/>
                <w:sz w:val="22"/>
                <w:szCs w:val="22"/>
                <w:highlight w:val="none"/>
                <w:lang w:val="en-US" w:eastAsia="zh-CN" w:bidi="ar"/>
              </w:rPr>
              <w:t>评委根据</w:t>
            </w:r>
            <w:r>
              <w:rPr>
                <w:rFonts w:hint="eastAsia" w:ascii="宋体" w:hAnsi="宋体" w:eastAsia="宋体" w:cs="宋体"/>
                <w:bCs/>
                <w:color w:val="auto"/>
                <w:kern w:val="0"/>
                <w:sz w:val="22"/>
                <w:szCs w:val="22"/>
                <w:highlight w:val="none"/>
                <w:lang w:val="en-US" w:eastAsia="zh-CN" w:bidi="ar"/>
              </w:rPr>
              <w:t>投标人提供针对本项目的售后服务方案（如服务承诺范围、售后响应时间、到达现场时间、修复速度等）进行综合评定打分</w:t>
            </w:r>
            <w:r>
              <w:rPr>
                <w:rFonts w:hint="eastAsia" w:ascii="宋体" w:hAnsi="宋体" w:eastAsia="宋体" w:cs="宋体"/>
                <w:bCs/>
                <w:color w:val="auto"/>
                <w:kern w:val="0"/>
                <w:sz w:val="22"/>
                <w:szCs w:val="22"/>
                <w:highlight w:val="none"/>
                <w:lang w:val="en-US" w:eastAsia="zh-CN" w:bidi="ar"/>
              </w:rPr>
              <w:t>（1-3分）</w:t>
            </w:r>
          </w:p>
        </w:tc>
        <w:tc>
          <w:tcPr>
            <w:tcW w:w="731" w:type="dxa"/>
            <w:noWrap w:val="0"/>
            <w:vAlign w:val="center"/>
          </w:tcPr>
          <w:p>
            <w:pPr>
              <w:snapToGrid w:val="0"/>
              <w:spacing w:line="276" w:lineRule="auto"/>
              <w:jc w:val="center"/>
              <w:textAlignment w:val="baseline"/>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trPr>
        <w:tc>
          <w:tcPr>
            <w:tcW w:w="675" w:type="dxa"/>
            <w:noWrap w:val="0"/>
            <w:vAlign w:val="center"/>
          </w:tcPr>
          <w:p>
            <w:pPr>
              <w:jc w:val="center"/>
              <w:rPr>
                <w:rFonts w:hint="eastAsia" w:ascii="宋体" w:hAnsi="宋体" w:eastAsia="宋体" w:cs="宋体"/>
                <w:sz w:val="24"/>
                <w:szCs w:val="24"/>
                <w:highlight w:val="none"/>
              </w:rPr>
            </w:pPr>
          </w:p>
        </w:tc>
        <w:tc>
          <w:tcPr>
            <w:tcW w:w="1134" w:type="dxa"/>
            <w:noWrap w:val="0"/>
            <w:vAlign w:val="center"/>
          </w:tcPr>
          <w:p>
            <w:pPr>
              <w:spacing w:line="360" w:lineRule="auto"/>
              <w:jc w:val="center"/>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color w:val="auto"/>
                <w:spacing w:val="-6"/>
                <w:sz w:val="21"/>
                <w:szCs w:val="21"/>
                <w:highlight w:val="none"/>
                <w:lang w:val="en-US" w:eastAsia="zh-CN" w:bidi="ar-SA"/>
              </w:rPr>
              <w:t>样品</w:t>
            </w:r>
          </w:p>
        </w:tc>
        <w:tc>
          <w:tcPr>
            <w:tcW w:w="6357" w:type="dxa"/>
            <w:noWrap w:val="0"/>
            <w:vAlign w:val="center"/>
          </w:tcPr>
          <w:p>
            <w:pPr>
              <w:spacing w:line="240" w:lineRule="auto"/>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根据投标人提供的</w:t>
            </w:r>
            <w:r>
              <w:rPr>
                <w:rFonts w:hint="eastAsia" w:ascii="宋体" w:hAnsi="宋体" w:cs="宋体"/>
                <w:color w:val="auto"/>
                <w:sz w:val="21"/>
                <w:szCs w:val="21"/>
                <w:lang w:val="en-US" w:eastAsia="zh-CN"/>
              </w:rPr>
              <w:t>1.0设备</w:t>
            </w:r>
            <w:r>
              <w:rPr>
                <w:rFonts w:hint="eastAsia" w:ascii="宋体" w:hAnsi="宋体" w:eastAsia="宋体" w:cs="宋体"/>
                <w:color w:val="auto"/>
                <w:sz w:val="21"/>
                <w:szCs w:val="21"/>
                <w:lang w:val="en-US" w:eastAsia="zh-CN"/>
              </w:rPr>
              <w:t>样品的齐全性、式样、材质、质量、美观性等方面进行综合评审：</w:t>
            </w:r>
          </w:p>
          <w:p>
            <w:pPr>
              <w:pStyle w:val="68"/>
              <w:ind w:left="0" w:leftChars="0" w:firstLine="0" w:firstLineChars="0"/>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①样品外观、做工情况；（</w:t>
            </w: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CN"/>
              </w:rPr>
              <w:t>分）</w:t>
            </w:r>
          </w:p>
          <w:p>
            <w:pPr>
              <w:pStyle w:val="68"/>
              <w:ind w:left="0" w:leftChars="0" w:firstLine="0" w:firstLineChars="0"/>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②样品材质情况；（</w:t>
            </w: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CN"/>
              </w:rPr>
              <w:t>分）</w:t>
            </w:r>
          </w:p>
          <w:p>
            <w:pPr>
              <w:pStyle w:val="68"/>
              <w:ind w:left="0" w:leftChars="0" w:firstLine="0" w:firstLineChars="0"/>
              <w:jc w:val="left"/>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③样品性能质量情况；（</w:t>
            </w: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w:t>
            </w:r>
            <w:r>
              <w:rPr>
                <w:rFonts w:hint="eastAsia" w:ascii="宋体" w:hAnsi="宋体" w:cs="宋体"/>
                <w:color w:val="auto"/>
                <w:sz w:val="21"/>
                <w:szCs w:val="21"/>
                <w:lang w:val="en-US" w:eastAsia="zh-CN"/>
              </w:rPr>
              <w:t>5</w:t>
            </w:r>
            <w:r>
              <w:rPr>
                <w:rFonts w:hint="eastAsia" w:ascii="宋体" w:hAnsi="宋体" w:eastAsia="宋体" w:cs="宋体"/>
                <w:color w:val="auto"/>
                <w:sz w:val="21"/>
                <w:szCs w:val="21"/>
                <w:lang w:val="en-US" w:eastAsia="zh-CN"/>
              </w:rPr>
              <w:t>分）</w:t>
            </w:r>
          </w:p>
          <w:p>
            <w:pPr>
              <w:pStyle w:val="68"/>
              <w:ind w:left="0" w:leftChars="0" w:firstLine="0" w:firstLineChars="0"/>
              <w:jc w:val="left"/>
              <w:rPr>
                <w:rFonts w:hint="eastAsia" w:ascii="宋体" w:hAnsi="宋体" w:eastAsia="宋体" w:cs="宋体"/>
                <w:bCs/>
                <w:color w:val="auto"/>
                <w:kern w:val="0"/>
                <w:sz w:val="22"/>
                <w:szCs w:val="22"/>
                <w:highlight w:val="none"/>
                <w:lang w:val="en-US" w:eastAsia="zh-CN" w:bidi="ar"/>
              </w:rPr>
            </w:pPr>
            <w:r>
              <w:rPr>
                <w:rFonts w:hint="eastAsia" w:ascii="宋体" w:hAnsi="宋体" w:eastAsia="宋体" w:cs="宋体"/>
                <w:color w:val="auto"/>
                <w:sz w:val="21"/>
                <w:szCs w:val="21"/>
                <w:lang w:val="en-US" w:eastAsia="zh-CN"/>
              </w:rPr>
              <w:t>注：投标人在投标截止时间前将样品送达至浙江勋达工程咨询有限公司，不提供样品此项不得分。</w:t>
            </w:r>
          </w:p>
        </w:tc>
        <w:tc>
          <w:tcPr>
            <w:tcW w:w="731" w:type="dxa"/>
            <w:noWrap w:val="0"/>
            <w:vAlign w:val="center"/>
          </w:tcPr>
          <w:p>
            <w:pPr>
              <w:widowControl/>
              <w:jc w:val="center"/>
              <w:rPr>
                <w:rFonts w:hint="default" w:ascii="宋体" w:hAnsi="宋体" w:eastAsia="宋体" w:cs="宋体"/>
                <w:bCs/>
                <w:color w:val="auto"/>
                <w:kern w:val="0"/>
                <w:sz w:val="22"/>
                <w:szCs w:val="22"/>
                <w:highlight w:val="none"/>
                <w:lang w:val="en-US" w:eastAsia="zh-CN" w:bidi="ar"/>
              </w:rPr>
            </w:pPr>
            <w:r>
              <w:rPr>
                <w:rFonts w:hint="eastAsia" w:ascii="宋体" w:hAnsi="宋体" w:eastAsia="宋体" w:cs="宋体"/>
                <w:bCs/>
                <w:color w:val="auto"/>
                <w:kern w:val="0"/>
                <w:sz w:val="22"/>
                <w:szCs w:val="22"/>
                <w:highlight w:val="none"/>
                <w:lang w:val="en-US" w:eastAsia="zh-CN" w:bidi="ar"/>
              </w:rPr>
              <w:t>15分</w:t>
            </w:r>
          </w:p>
        </w:tc>
      </w:tr>
    </w:tbl>
    <w:p>
      <w:pPr>
        <w:adjustRightInd w:val="0"/>
        <w:snapToGrid w:val="0"/>
        <w:spacing w:line="360" w:lineRule="auto"/>
        <w:rPr>
          <w:highlight w:val="none"/>
        </w:rPr>
      </w:pPr>
      <w:r>
        <w:rPr>
          <w:rFonts w:hint="eastAsia"/>
          <w:highlight w:val="none"/>
        </w:rPr>
        <w:t>注：1.资信商务分由磋商小组统一打分。若商务和技术标中未附上述资料或资料模糊不清无法辨认的，按相应评分内容不得分处理。</w:t>
      </w:r>
    </w:p>
    <w:p>
      <w:pPr>
        <w:adjustRightInd w:val="0"/>
        <w:snapToGrid w:val="0"/>
        <w:spacing w:line="360" w:lineRule="auto"/>
        <w:ind w:firstLine="480" w:firstLineChars="200"/>
        <w:rPr>
          <w:highlight w:val="none"/>
        </w:rPr>
      </w:pPr>
      <w:r>
        <w:rPr>
          <w:rFonts w:hint="eastAsia"/>
          <w:highlight w:val="none"/>
        </w:rPr>
        <w:t>2.技术分由磋商小组成员按分值标准各自独立打分（缺项得零分），并记名。</w:t>
      </w:r>
      <w:r>
        <w:rPr>
          <w:rFonts w:hint="eastAsia" w:ascii="宋体" w:hAnsi="宋体"/>
          <w:highlight w:val="none"/>
        </w:rPr>
        <w:t>缺项或内容与采购要求不符的，经磋商小组按少数服从多数原则认定，该项得零分。</w:t>
      </w:r>
      <w:r>
        <w:rPr>
          <w:rFonts w:hint="eastAsia"/>
          <w:highlight w:val="none"/>
        </w:rPr>
        <w:t>分值汇总时，单项分值为各评委分值的算术平均值，小数点后按四舍五入保留两位。</w:t>
      </w:r>
    </w:p>
    <w:p>
      <w:pPr>
        <w:numPr>
          <w:ilvl w:val="0"/>
          <w:numId w:val="27"/>
        </w:numPr>
        <w:adjustRightInd w:val="0"/>
        <w:snapToGrid w:val="0"/>
        <w:spacing w:line="360" w:lineRule="auto"/>
        <w:rPr>
          <w:rFonts w:ascii="宋体" w:hAnsi="宋体"/>
          <w:b/>
          <w:bCs/>
          <w:highlight w:val="none"/>
        </w:rPr>
      </w:pPr>
      <w:r>
        <w:rPr>
          <w:rFonts w:ascii="宋体" w:hAnsi="宋体"/>
          <w:b/>
          <w:bCs/>
          <w:highlight w:val="none"/>
        </w:rPr>
        <w:t>价格分（</w:t>
      </w:r>
      <w:r>
        <w:rPr>
          <w:rFonts w:hint="eastAsia" w:ascii="宋体" w:hAnsi="宋体"/>
          <w:b/>
          <w:bCs/>
          <w:highlight w:val="none"/>
          <w:lang w:val="en-US" w:eastAsia="zh-CN"/>
        </w:rPr>
        <w:t>3</w:t>
      </w:r>
      <w:r>
        <w:rPr>
          <w:rFonts w:hint="eastAsia" w:ascii="宋体" w:hAnsi="宋体"/>
          <w:b/>
          <w:bCs/>
          <w:highlight w:val="none"/>
          <w:lang w:val="en-US" w:eastAsia="zh-CN"/>
        </w:rPr>
        <w:t>0</w:t>
      </w:r>
      <w:r>
        <w:rPr>
          <w:rFonts w:hint="eastAsia" w:ascii="宋体" w:hAnsi="宋体"/>
          <w:b/>
          <w:bCs/>
          <w:highlight w:val="none"/>
        </w:rPr>
        <w:t>分）</w:t>
      </w:r>
    </w:p>
    <w:p>
      <w:pPr>
        <w:pStyle w:val="68"/>
        <w:numPr>
          <w:ilvl w:val="0"/>
          <w:numId w:val="28"/>
        </w:numPr>
        <w:snapToGrid w:val="0"/>
        <w:ind w:left="0" w:firstLine="420" w:firstLineChars="0"/>
        <w:jc w:val="left"/>
        <w:rPr>
          <w:rFonts w:hAnsi="宋体"/>
          <w:bCs/>
          <w:szCs w:val="24"/>
          <w:highlight w:val="none"/>
        </w:rPr>
      </w:pPr>
      <w:r>
        <w:rPr>
          <w:rFonts w:hint="eastAsia" w:hAnsi="宋体"/>
          <w:bCs/>
          <w:szCs w:val="24"/>
          <w:highlight w:val="none"/>
        </w:rPr>
        <w:t>价格分采用低价优先法计算，即满足磋商文件要求且磋商价格最低的磋商报价为磋商基准价，其他供应商的价格分按照下列公式计算：</w:t>
      </w:r>
    </w:p>
    <w:p>
      <w:pPr>
        <w:adjustRightInd w:val="0"/>
        <w:snapToGrid w:val="0"/>
        <w:spacing w:line="360" w:lineRule="auto"/>
        <w:ind w:firstLine="480" w:firstLineChars="200"/>
        <w:rPr>
          <w:rFonts w:hint="eastAsia" w:ascii="宋体" w:hAnsi="宋体"/>
          <w:highlight w:val="none"/>
        </w:rPr>
      </w:pPr>
      <w:r>
        <w:rPr>
          <w:rFonts w:hint="eastAsia" w:ascii="宋体" w:hAnsi="宋体"/>
          <w:highlight w:val="none"/>
        </w:rPr>
        <w:t>价格分=（磋商基准价/</w:t>
      </w:r>
      <w:r>
        <w:rPr>
          <w:rFonts w:ascii="宋体" w:hAnsi="宋体"/>
          <w:highlight w:val="none"/>
        </w:rPr>
        <w:t>最后</w:t>
      </w:r>
      <w:r>
        <w:rPr>
          <w:rFonts w:hint="eastAsia" w:ascii="宋体" w:hAnsi="宋体"/>
          <w:highlight w:val="none"/>
        </w:rPr>
        <w:t>磋商报价）×</w:t>
      </w:r>
      <w:r>
        <w:rPr>
          <w:rFonts w:hint="eastAsia" w:ascii="宋体" w:hAnsi="宋体"/>
          <w:highlight w:val="none"/>
          <w:lang w:val="en-US" w:eastAsia="zh-CN"/>
        </w:rPr>
        <w:t>30</w:t>
      </w:r>
      <w:r>
        <w:rPr>
          <w:rFonts w:hint="eastAsia" w:ascii="宋体" w:hAnsi="宋体"/>
          <w:highlight w:val="none"/>
        </w:rPr>
        <w:t>%×100</w:t>
      </w:r>
    </w:p>
    <w:p>
      <w:pPr>
        <w:adjustRightInd w:val="0"/>
        <w:snapToGrid w:val="0"/>
        <w:spacing w:line="360" w:lineRule="auto"/>
        <w:ind w:firstLine="480" w:firstLineChars="200"/>
        <w:rPr>
          <w:rFonts w:hint="eastAsia" w:ascii="宋体" w:hAnsi="宋体"/>
          <w:highlight w:val="none"/>
        </w:rPr>
      </w:pPr>
      <w:r>
        <w:rPr>
          <w:rFonts w:hint="eastAsia" w:ascii="宋体" w:hAnsi="宋体"/>
          <w:highlight w:val="none"/>
        </w:rPr>
        <w:t>注：价格分以各磋商供应商的最后报价为准。</w:t>
      </w:r>
    </w:p>
    <w:p>
      <w:pPr>
        <w:adjustRightInd w:val="0"/>
        <w:snapToGrid w:val="0"/>
        <w:spacing w:line="440" w:lineRule="exact"/>
        <w:ind w:firstLine="464" w:firstLineChars="200"/>
        <w:rPr>
          <w:rFonts w:ascii="宋体" w:hAnsi="宋体" w:cs="宋体"/>
          <w:bCs/>
          <w:spacing w:val="-4"/>
          <w:highlight w:val="none"/>
        </w:rPr>
      </w:pPr>
      <w:r>
        <w:rPr>
          <w:rFonts w:hint="eastAsia" w:ascii="宋体" w:hAnsi="宋体" w:cs="宋体"/>
          <w:bCs/>
          <w:spacing w:val="-4"/>
          <w:highlight w:val="none"/>
        </w:rPr>
        <w:t>2. 供应商的磋商报价</w:t>
      </w:r>
      <w:r>
        <w:rPr>
          <w:rFonts w:hint="eastAsia" w:ascii="宋体" w:hAnsi="宋体" w:cs="宋体"/>
          <w:b/>
          <w:bCs/>
          <w:spacing w:val="-4"/>
          <w:highlight w:val="none"/>
        </w:rPr>
        <w:t>高于</w:t>
      </w:r>
      <w:r>
        <w:rPr>
          <w:rFonts w:hint="eastAsia" w:ascii="宋体" w:hAnsi="宋体" w:cs="宋体"/>
          <w:bCs/>
          <w:spacing w:val="-4"/>
          <w:highlight w:val="none"/>
        </w:rPr>
        <w:t>采购人设定的最</w:t>
      </w:r>
      <w:r>
        <w:rPr>
          <w:rFonts w:hint="eastAsia" w:ascii="宋体" w:hAnsi="宋体" w:cs="宋体"/>
          <w:b/>
          <w:bCs/>
          <w:spacing w:val="-4"/>
          <w:highlight w:val="none"/>
        </w:rPr>
        <w:t>高</w:t>
      </w:r>
      <w:r>
        <w:rPr>
          <w:rFonts w:hint="eastAsia" w:ascii="宋体" w:hAnsi="宋体" w:cs="宋体"/>
          <w:bCs/>
          <w:spacing w:val="-4"/>
          <w:highlight w:val="none"/>
        </w:rPr>
        <w:t>限</w:t>
      </w:r>
      <w:r>
        <w:rPr>
          <w:rFonts w:hint="eastAsia" w:ascii="宋体" w:hAnsi="宋体" w:cs="宋体"/>
          <w:bCs/>
          <w:color w:val="auto"/>
          <w:spacing w:val="-4"/>
          <w:highlight w:val="none"/>
        </w:rPr>
        <w:t>价</w:t>
      </w:r>
      <w:r>
        <w:rPr>
          <w:rFonts w:hint="eastAsia" w:ascii="宋体" w:hAnsi="宋体" w:cs="宋体"/>
          <w:b/>
          <w:color w:val="auto"/>
          <w:spacing w:val="-4"/>
          <w:szCs w:val="20"/>
          <w:highlight w:val="none"/>
        </w:rPr>
        <w:t>人民币</w:t>
      </w:r>
      <w:r>
        <w:rPr>
          <w:rFonts w:hint="eastAsia" w:ascii="宋体" w:hAnsi="宋体"/>
          <w:b/>
          <w:color w:val="auto"/>
          <w:highlight w:val="none"/>
          <w:lang w:val="en-US" w:eastAsia="zh-CN"/>
        </w:rPr>
        <w:t>2000000</w:t>
      </w:r>
      <w:r>
        <w:rPr>
          <w:rFonts w:hint="eastAsia" w:ascii="宋体" w:hAnsi="宋体"/>
          <w:b/>
          <w:color w:val="auto"/>
          <w:highlight w:val="none"/>
        </w:rPr>
        <w:t>元的</w:t>
      </w:r>
      <w:r>
        <w:rPr>
          <w:rFonts w:hint="eastAsia" w:ascii="宋体" w:hAnsi="宋体" w:cs="宋体"/>
          <w:bCs/>
          <w:color w:val="auto"/>
          <w:spacing w:val="-4"/>
          <w:highlight w:val="none"/>
        </w:rPr>
        <w:t>，将作为无效标。磋商小组认为供应商的报价明显</w:t>
      </w:r>
      <w:r>
        <w:rPr>
          <w:rFonts w:hint="eastAsia" w:ascii="宋体" w:hAnsi="宋体" w:cs="宋体"/>
          <w:b/>
          <w:bCs/>
          <w:color w:val="auto"/>
          <w:spacing w:val="-4"/>
          <w:highlight w:val="none"/>
        </w:rPr>
        <w:t>低</w:t>
      </w:r>
      <w:r>
        <w:rPr>
          <w:rFonts w:hint="eastAsia" w:ascii="宋体" w:hAnsi="宋体" w:cs="宋体"/>
          <w:bCs/>
          <w:color w:val="auto"/>
          <w:spacing w:val="-4"/>
          <w:highlight w:val="none"/>
        </w:rPr>
        <w:t>于其他通过符合性审查供应商的报价</w:t>
      </w:r>
      <w:r>
        <w:rPr>
          <w:rFonts w:hint="eastAsia" w:ascii="宋体" w:hAnsi="宋体" w:cs="宋体"/>
          <w:bCs/>
          <w:spacing w:val="-4"/>
          <w:highlight w:val="none"/>
        </w:rPr>
        <w:t>，有可能影响产品质量或者不能诚信履约的，应当要求其在磋商现场合理的时间内提供书面说明，必要时提交相关证明材料；供应商不能证明其报价合理性的，磋商小组应当将其作为无效磋商处理。</w:t>
      </w:r>
    </w:p>
    <w:p>
      <w:pPr>
        <w:adjustRightInd w:val="0"/>
        <w:snapToGrid w:val="0"/>
        <w:spacing w:line="360" w:lineRule="auto"/>
        <w:ind w:firstLine="480" w:firstLineChars="200"/>
        <w:rPr>
          <w:rFonts w:hint="eastAsia" w:ascii="宋体" w:hAnsi="宋体"/>
          <w:highlight w:val="none"/>
        </w:rPr>
      </w:pPr>
    </w:p>
    <w:p>
      <w:pPr>
        <w:adjustRightInd w:val="0"/>
        <w:snapToGrid w:val="0"/>
        <w:spacing w:line="360" w:lineRule="auto"/>
        <w:ind w:firstLine="480" w:firstLineChars="200"/>
        <w:rPr>
          <w:rFonts w:hint="eastAsia" w:ascii="宋体" w:hAnsi="宋体"/>
          <w:highlight w:val="none"/>
        </w:rPr>
      </w:pPr>
    </w:p>
    <w:p>
      <w:pPr>
        <w:adjustRightInd w:val="0"/>
        <w:snapToGrid w:val="0"/>
        <w:spacing w:line="360" w:lineRule="auto"/>
        <w:ind w:firstLine="480" w:firstLineChars="200"/>
        <w:rPr>
          <w:rFonts w:hint="eastAsia" w:ascii="宋体" w:hAnsi="宋体"/>
          <w:highlight w:val="none"/>
        </w:rPr>
      </w:pPr>
    </w:p>
    <w:p>
      <w:pPr>
        <w:adjustRightInd w:val="0"/>
        <w:snapToGrid w:val="0"/>
        <w:spacing w:line="360" w:lineRule="auto"/>
        <w:ind w:firstLine="480" w:firstLineChars="200"/>
        <w:rPr>
          <w:rFonts w:hint="eastAsia" w:ascii="宋体" w:hAnsi="宋体"/>
          <w:highlight w:val="none"/>
        </w:rPr>
      </w:pPr>
    </w:p>
    <w:p>
      <w:pPr>
        <w:adjustRightInd w:val="0"/>
        <w:snapToGrid w:val="0"/>
        <w:spacing w:line="360" w:lineRule="auto"/>
        <w:ind w:firstLine="480" w:firstLineChars="200"/>
        <w:rPr>
          <w:rFonts w:hint="eastAsia" w:ascii="宋体" w:hAnsi="宋体"/>
          <w:highlight w:val="none"/>
        </w:rPr>
      </w:pPr>
    </w:p>
    <w:p>
      <w:pPr>
        <w:adjustRightInd w:val="0"/>
        <w:snapToGrid w:val="0"/>
        <w:spacing w:line="360" w:lineRule="auto"/>
        <w:ind w:firstLine="480" w:firstLineChars="200"/>
        <w:rPr>
          <w:rFonts w:hint="eastAsia" w:ascii="宋体" w:hAnsi="宋体"/>
          <w:highlight w:val="none"/>
        </w:rPr>
      </w:pPr>
    </w:p>
    <w:p>
      <w:pPr>
        <w:adjustRightInd w:val="0"/>
        <w:snapToGrid w:val="0"/>
        <w:spacing w:line="360" w:lineRule="auto"/>
        <w:ind w:firstLine="480" w:firstLineChars="200"/>
        <w:rPr>
          <w:rFonts w:hint="eastAsia" w:ascii="宋体" w:hAnsi="宋体"/>
          <w:highlight w:val="none"/>
        </w:rPr>
      </w:pPr>
    </w:p>
    <w:p>
      <w:pPr>
        <w:pStyle w:val="68"/>
        <w:snapToGrid w:val="0"/>
        <w:ind w:left="0" w:leftChars="0" w:firstLine="0" w:firstLineChars="0"/>
        <w:jc w:val="both"/>
        <w:outlineLvl w:val="0"/>
        <w:rPr>
          <w:rFonts w:hint="eastAsia" w:ascii="宋体" w:hAnsi="宋体"/>
          <w:b/>
          <w:sz w:val="32"/>
          <w:szCs w:val="32"/>
          <w:highlight w:val="none"/>
        </w:rPr>
      </w:pPr>
      <w:bookmarkStart w:id="61" w:name="_Toc91520565"/>
    </w:p>
    <w:p>
      <w:pPr>
        <w:pStyle w:val="68"/>
        <w:snapToGrid w:val="0"/>
        <w:ind w:left="420" w:firstLine="0" w:firstLineChars="0"/>
        <w:jc w:val="center"/>
        <w:outlineLvl w:val="0"/>
        <w:rPr>
          <w:rFonts w:hint="eastAsia" w:ascii="宋体" w:hAnsi="宋体"/>
          <w:b/>
          <w:sz w:val="32"/>
          <w:szCs w:val="32"/>
          <w:highlight w:val="none"/>
        </w:rPr>
      </w:pPr>
    </w:p>
    <w:p>
      <w:pPr>
        <w:pStyle w:val="68"/>
        <w:snapToGrid w:val="0"/>
        <w:ind w:left="420" w:firstLine="0" w:firstLineChars="0"/>
        <w:jc w:val="center"/>
        <w:outlineLvl w:val="0"/>
        <w:rPr>
          <w:rFonts w:hint="eastAsia" w:ascii="宋体" w:hAnsi="宋体"/>
          <w:b/>
          <w:sz w:val="32"/>
          <w:szCs w:val="32"/>
          <w:highlight w:val="none"/>
        </w:rPr>
      </w:pPr>
    </w:p>
    <w:p>
      <w:pPr>
        <w:pStyle w:val="68"/>
        <w:snapToGrid w:val="0"/>
        <w:ind w:left="420" w:firstLine="0" w:firstLineChars="0"/>
        <w:jc w:val="center"/>
        <w:outlineLvl w:val="0"/>
        <w:rPr>
          <w:rFonts w:hint="eastAsia" w:ascii="宋体" w:hAnsi="宋体"/>
          <w:b/>
          <w:sz w:val="32"/>
          <w:szCs w:val="32"/>
          <w:highlight w:val="none"/>
        </w:rPr>
      </w:pPr>
    </w:p>
    <w:p>
      <w:pPr>
        <w:pStyle w:val="68"/>
        <w:snapToGrid w:val="0"/>
        <w:ind w:left="420" w:firstLine="0" w:firstLineChars="0"/>
        <w:jc w:val="center"/>
        <w:outlineLvl w:val="0"/>
        <w:rPr>
          <w:rFonts w:hint="eastAsia" w:ascii="宋体" w:hAnsi="宋体"/>
          <w:b/>
          <w:sz w:val="32"/>
          <w:szCs w:val="32"/>
          <w:highlight w:val="none"/>
        </w:rPr>
      </w:pPr>
    </w:p>
    <w:p>
      <w:pPr>
        <w:pStyle w:val="68"/>
        <w:snapToGrid w:val="0"/>
        <w:ind w:left="0" w:leftChars="0" w:firstLine="0" w:firstLineChars="0"/>
        <w:jc w:val="both"/>
        <w:outlineLvl w:val="0"/>
        <w:rPr>
          <w:rFonts w:hint="eastAsia" w:ascii="宋体" w:hAnsi="宋体"/>
          <w:b/>
          <w:sz w:val="32"/>
          <w:szCs w:val="32"/>
          <w:highlight w:val="none"/>
        </w:rPr>
      </w:pPr>
    </w:p>
    <w:p>
      <w:pPr>
        <w:pStyle w:val="68"/>
        <w:snapToGrid w:val="0"/>
        <w:ind w:left="0" w:leftChars="0" w:firstLine="0" w:firstLineChars="0"/>
        <w:jc w:val="both"/>
        <w:outlineLvl w:val="0"/>
        <w:rPr>
          <w:rFonts w:hint="eastAsia" w:ascii="宋体" w:hAnsi="宋体"/>
          <w:b/>
          <w:sz w:val="32"/>
          <w:szCs w:val="32"/>
          <w:highlight w:val="none"/>
        </w:rPr>
      </w:pPr>
    </w:p>
    <w:p>
      <w:pPr>
        <w:pStyle w:val="68"/>
        <w:snapToGrid w:val="0"/>
        <w:ind w:left="0" w:leftChars="0" w:firstLine="0" w:firstLineChars="0"/>
        <w:jc w:val="both"/>
        <w:outlineLvl w:val="0"/>
        <w:rPr>
          <w:rFonts w:hint="eastAsia" w:ascii="宋体" w:hAnsi="宋体"/>
          <w:b/>
          <w:sz w:val="32"/>
          <w:szCs w:val="32"/>
          <w:highlight w:val="none"/>
        </w:rPr>
      </w:pPr>
    </w:p>
    <w:p>
      <w:pPr>
        <w:pStyle w:val="68"/>
        <w:snapToGrid w:val="0"/>
        <w:ind w:left="420" w:firstLine="0" w:firstLineChars="0"/>
        <w:jc w:val="center"/>
        <w:outlineLvl w:val="0"/>
        <w:rPr>
          <w:rFonts w:hint="eastAsia" w:ascii="宋体" w:hAnsi="宋体"/>
          <w:b/>
          <w:sz w:val="32"/>
          <w:szCs w:val="32"/>
          <w:highlight w:val="none"/>
        </w:rPr>
      </w:pPr>
    </w:p>
    <w:p>
      <w:pPr>
        <w:pStyle w:val="68"/>
        <w:snapToGrid w:val="0"/>
        <w:ind w:left="420" w:firstLine="0" w:firstLineChars="0"/>
        <w:jc w:val="center"/>
        <w:outlineLvl w:val="0"/>
        <w:rPr>
          <w:rFonts w:hint="eastAsia" w:ascii="宋体" w:hAnsi="宋体"/>
          <w:b/>
          <w:sz w:val="32"/>
          <w:szCs w:val="32"/>
          <w:highlight w:val="none"/>
        </w:rPr>
      </w:pPr>
    </w:p>
    <w:p>
      <w:pPr>
        <w:pStyle w:val="68"/>
        <w:snapToGrid w:val="0"/>
        <w:ind w:left="420" w:firstLine="0" w:firstLineChars="0"/>
        <w:jc w:val="center"/>
        <w:outlineLvl w:val="0"/>
        <w:rPr>
          <w:rFonts w:ascii="宋体" w:hAnsi="宋体" w:cs="Arial"/>
          <w:b/>
          <w:szCs w:val="21"/>
          <w:highlight w:val="none"/>
        </w:rPr>
      </w:pPr>
      <w:r>
        <w:rPr>
          <w:rFonts w:hint="eastAsia" w:ascii="宋体" w:hAnsi="宋体"/>
          <w:b/>
          <w:sz w:val="32"/>
          <w:szCs w:val="32"/>
          <w:highlight w:val="none"/>
        </w:rPr>
        <w:t>第五章  采购合同（指引）</w:t>
      </w:r>
      <w:bookmarkEnd w:id="61"/>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s="Arial"/>
          <w:kern w:val="0"/>
          <w:sz w:val="28"/>
          <w:szCs w:val="28"/>
          <w:highlight w:val="none"/>
        </w:rPr>
      </w:pPr>
      <w:r>
        <w:rPr>
          <w:rFonts w:hint="eastAsia" w:ascii="宋体" w:hAnsi="宋体" w:cs="Arial"/>
          <w:kern w:val="0"/>
          <w:sz w:val="28"/>
          <w:szCs w:val="28"/>
          <w:highlight w:val="none"/>
        </w:rPr>
        <w:t>一、通用必备条款部分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highlight w:val="none"/>
        </w:rPr>
      </w:pPr>
      <w:r>
        <w:rPr>
          <w:rFonts w:hint="eastAsia" w:ascii="宋体" w:hAnsi="宋体" w:cs="Arial"/>
          <w:kern w:val="0"/>
          <w:highlight w:val="none"/>
        </w:rPr>
        <w:t>合同编号：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highlight w:val="none"/>
          <w:u w:val="single"/>
        </w:rPr>
      </w:pPr>
      <w:r>
        <w:rPr>
          <w:rFonts w:hint="eastAsia" w:ascii="宋体" w:hAnsi="宋体" w:cs="Arial"/>
          <w:kern w:val="0"/>
          <w:highlight w:val="none"/>
        </w:rPr>
        <w:t>预算金额：</w:t>
      </w:r>
      <w:r>
        <w:rPr>
          <w:rFonts w:hint="eastAsia" w:ascii="宋体" w:hAnsi="宋体" w:cs="Arial"/>
          <w:kern w:val="0"/>
          <w:highlight w:val="none"/>
          <w:u w:val="single"/>
        </w:rPr>
        <w:t xml:space="preserve">  </w:t>
      </w:r>
      <w:r>
        <w:rPr>
          <w:rFonts w:hint="eastAsia" w:ascii="宋体" w:hAnsi="宋体" w:cs="Arial"/>
          <w:kern w:val="0"/>
          <w:highlight w:val="none"/>
          <w:u w:val="single"/>
          <w:lang w:val="en-US" w:eastAsia="zh-CN"/>
        </w:rPr>
        <w:t>2000000</w:t>
      </w:r>
      <w:r>
        <w:rPr>
          <w:rFonts w:hint="eastAsia" w:ascii="宋体" w:hAnsi="宋体" w:cs="Arial"/>
          <w:kern w:val="0"/>
          <w:highlight w:val="none"/>
          <w:u w:val="single"/>
        </w:rPr>
        <w:t xml:space="preserve">元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hint="eastAsia" w:ascii="宋体" w:hAnsi="宋体" w:eastAsia="宋体" w:cs="Arial"/>
          <w:kern w:val="0"/>
          <w:highlight w:val="none"/>
          <w:lang w:eastAsia="zh-CN"/>
        </w:rPr>
      </w:pPr>
      <w:r>
        <w:rPr>
          <w:rFonts w:hint="eastAsia" w:ascii="宋体" w:hAnsi="宋体" w:cs="Arial"/>
          <w:kern w:val="0"/>
          <w:highlight w:val="none"/>
        </w:rPr>
        <w:t>采购人（以下称甲方）：</w:t>
      </w:r>
      <w:r>
        <w:rPr>
          <w:rFonts w:hint="eastAsia" w:ascii="宋体" w:hAnsi="宋体" w:cs="Arial"/>
          <w:kern w:val="0"/>
          <w:highlight w:val="none"/>
          <w:u w:val="single"/>
          <w:lang w:eastAsia="zh-CN"/>
        </w:rPr>
        <w:t>嘉善县干窑镇人民政府</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highlight w:val="none"/>
        </w:rPr>
      </w:pPr>
      <w:r>
        <w:rPr>
          <w:rFonts w:hint="eastAsia" w:ascii="宋体" w:hAnsi="宋体" w:cs="Arial"/>
          <w:kern w:val="0"/>
          <w:highlight w:val="none"/>
        </w:rPr>
        <w:t>供应商（以下称乙方）：</w:t>
      </w:r>
      <w:r>
        <w:rPr>
          <w:rFonts w:hint="eastAsia" w:ascii="宋体" w:hAnsi="宋体" w:cs="Arial"/>
          <w:kern w:val="0"/>
          <w:highlight w:val="none"/>
          <w:u w:val="single"/>
        </w:rPr>
        <w:t xml:space="preserve">                          </w:t>
      </w:r>
      <w:r>
        <w:rPr>
          <w:rFonts w:hint="eastAsia" w:ascii="宋体" w:hAnsi="宋体" w:cs="Arial"/>
          <w:kern w:val="0"/>
          <w:highlight w:val="none"/>
        </w:rPr>
        <w:t xml:space="preserve">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hint="eastAsia" w:ascii="宋体" w:hAnsi="宋体" w:eastAsia="宋体" w:cs="Arial"/>
          <w:kern w:val="0"/>
          <w:highlight w:val="none"/>
          <w:lang w:eastAsia="zh-CN"/>
        </w:rPr>
      </w:pPr>
      <w:r>
        <w:rPr>
          <w:rFonts w:hint="eastAsia" w:ascii="宋体" w:hAnsi="宋体" w:cs="Arial"/>
          <w:kern w:val="0"/>
          <w:highlight w:val="none"/>
        </w:rPr>
        <w:t>采购代理机构：</w:t>
      </w:r>
      <w:r>
        <w:rPr>
          <w:rFonts w:hint="eastAsia" w:ascii="宋体" w:hAnsi="宋体" w:cs="Arial"/>
          <w:kern w:val="0"/>
          <w:highlight w:val="none"/>
          <w:lang w:eastAsia="zh-CN"/>
        </w:rPr>
        <w:t>浙江勋达工程咨询有限公司</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highlight w:val="none"/>
        </w:rPr>
      </w:pPr>
      <w:r>
        <w:rPr>
          <w:rFonts w:hint="eastAsia" w:ascii="宋体" w:hAnsi="宋体" w:cs="Arial"/>
          <w:kern w:val="0"/>
          <w:highlight w:val="none"/>
        </w:rPr>
        <w:t>采购方式：</w:t>
      </w:r>
      <w:r>
        <w:rPr>
          <w:rFonts w:hint="eastAsia" w:ascii="宋体" w:hAnsi="宋体" w:cs="Arial"/>
          <w:kern w:val="0"/>
          <w:highlight w:val="none"/>
          <w:u w:val="single"/>
        </w:rPr>
        <w:t>竞争性磋商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hint="eastAsia" w:ascii="宋体" w:hAnsi="宋体" w:eastAsia="宋体" w:cs="Arial"/>
          <w:kern w:val="0"/>
          <w:highlight w:val="none"/>
          <w:lang w:eastAsia="zh-CN"/>
        </w:rPr>
      </w:pPr>
      <w:r>
        <w:rPr>
          <w:rFonts w:hint="eastAsia" w:ascii="宋体" w:hAnsi="宋体" w:cs="Arial"/>
          <w:kern w:val="0"/>
          <w:highlight w:val="none"/>
        </w:rPr>
        <w:t>采购文件编号：</w:t>
      </w:r>
      <w:r>
        <w:rPr>
          <w:rFonts w:hint="eastAsia" w:ascii="宋体" w:hAnsi="宋体" w:cs="Arial"/>
          <w:kern w:val="0"/>
          <w:highlight w:val="none"/>
          <w:u w:val="single"/>
          <w:lang w:eastAsia="zh-CN"/>
        </w:rPr>
        <w:t>ZJXD2023007(J)</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kern w:val="0"/>
          <w:highlight w:val="none"/>
        </w:rPr>
      </w:pP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根据《中华人民共和国政府采购法》、《中华人民共和国民法典》等法律法规的规定，甲乙双方按照</w:t>
      </w:r>
      <w:r>
        <w:rPr>
          <w:rFonts w:hint="eastAsia" w:ascii="宋体" w:hAnsi="宋体" w:cs="Arial"/>
          <w:kern w:val="0"/>
          <w:highlight w:val="none"/>
          <w:u w:val="single"/>
        </w:rPr>
        <w:t xml:space="preserve"> </w:t>
      </w:r>
      <w:r>
        <w:rPr>
          <w:rFonts w:hint="eastAsia" w:ascii="宋体" w:hAnsi="宋体"/>
          <w:highlight w:val="none"/>
          <w:u w:val="single"/>
          <w:lang w:eastAsia="zh-CN"/>
        </w:rPr>
        <w:t>干窑镇采购“警立方”项目</w:t>
      </w:r>
      <w:r>
        <w:rPr>
          <w:rFonts w:hint="eastAsia" w:ascii="宋体" w:hAnsi="宋体"/>
          <w:highlight w:val="none"/>
          <w:u w:val="single"/>
        </w:rPr>
        <w:t xml:space="preserve">（以下简称“项目”）  </w:t>
      </w:r>
      <w:r>
        <w:rPr>
          <w:rFonts w:hint="eastAsia" w:ascii="宋体" w:hAnsi="宋体" w:cs="Arial"/>
          <w:kern w:val="0"/>
          <w:highlight w:val="none"/>
        </w:rPr>
        <w:t>项目成交结果签订本合同。</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Arial"/>
          <w:b/>
          <w:kern w:val="0"/>
          <w:highlight w:val="none"/>
        </w:rPr>
      </w:pPr>
      <w:r>
        <w:rPr>
          <w:rFonts w:hint="eastAsia" w:ascii="宋体" w:hAnsi="宋体" w:cs="Arial"/>
          <w:b/>
          <w:kern w:val="0"/>
          <w:highlight w:val="none"/>
        </w:rPr>
        <w:t>第一条 合同组成</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本次政府采购活动的相关文件为本合同的组成部分，这些文件包括但不限于：</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（1）本合同文本；</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（2）采购文件与响应文件（或采购响应文件）；</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（3）中标或成交通知书；</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Arial"/>
          <w:b/>
          <w:kern w:val="0"/>
          <w:highlight w:val="none"/>
        </w:rPr>
      </w:pPr>
      <w:r>
        <w:rPr>
          <w:rFonts w:hint="eastAsia" w:ascii="宋体" w:hAnsi="宋体" w:cs="Arial"/>
          <w:b/>
          <w:kern w:val="0"/>
          <w:highlight w:val="none"/>
        </w:rPr>
        <w:t>第二条 合同标的与相关属性</w:t>
      </w:r>
    </w:p>
    <w:p>
      <w:pPr>
        <w:keepNext w:val="0"/>
        <w:keepLines w:val="0"/>
        <w:pageBreakBefore w:val="0"/>
        <w:widowControl w:val="0"/>
        <w:numPr>
          <w:ilvl w:val="0"/>
          <w:numId w:val="29"/>
        </w:numPr>
        <w:kinsoku/>
        <w:wordWrap/>
        <w:overflowPunct/>
        <w:topLinePunct w:val="0"/>
        <w:autoSpaceDE/>
        <w:autoSpaceDN/>
        <w:bidi w:val="0"/>
        <w:adjustRightInd w:val="0"/>
        <w:snapToGrid w:val="0"/>
        <w:spacing w:line="360" w:lineRule="auto"/>
        <w:ind w:firstLine="6"/>
        <w:jc w:val="left"/>
        <w:textAlignment w:val="auto"/>
        <w:rPr>
          <w:rFonts w:hint="eastAsia" w:ascii="宋体" w:hAnsi="宋体"/>
          <w:highlight w:val="none"/>
          <w:u w:val="single"/>
        </w:rPr>
      </w:pPr>
      <w:r>
        <w:rPr>
          <w:rFonts w:hint="eastAsia" w:ascii="宋体" w:hAnsi="宋体" w:cs="Arial"/>
          <w:kern w:val="0"/>
          <w:highlight w:val="none"/>
        </w:rPr>
        <w:t>本次采购的内容：</w:t>
      </w:r>
      <w:r>
        <w:rPr>
          <w:rFonts w:hint="eastAsia" w:ascii="宋体" w:hAnsi="宋体" w:cs="Arial"/>
          <w:kern w:val="0"/>
          <w:highlight w:val="none"/>
          <w:u w:val="single"/>
          <w:lang w:val="en-US" w:eastAsia="zh-CN"/>
        </w:rPr>
        <w:t xml:space="preserve">                                   </w:t>
      </w:r>
    </w:p>
    <w:p>
      <w:pPr>
        <w:keepNext w:val="0"/>
        <w:keepLines w:val="0"/>
        <w:pageBreakBefore w:val="0"/>
        <w:widowControl w:val="0"/>
        <w:numPr>
          <w:ilvl w:val="0"/>
          <w:numId w:val="29"/>
        </w:numPr>
        <w:kinsoku/>
        <w:wordWrap/>
        <w:overflowPunct/>
        <w:topLinePunct w:val="0"/>
        <w:autoSpaceDE/>
        <w:autoSpaceDN/>
        <w:bidi w:val="0"/>
        <w:adjustRightInd w:val="0"/>
        <w:snapToGrid w:val="0"/>
        <w:spacing w:line="360" w:lineRule="auto"/>
        <w:ind w:firstLine="6"/>
        <w:jc w:val="left"/>
        <w:textAlignment w:val="auto"/>
        <w:rPr>
          <w:rFonts w:hint="eastAsia" w:ascii="宋体" w:hAnsi="宋体" w:cs="Arial"/>
          <w:kern w:val="0"/>
          <w:highlight w:val="none"/>
        </w:rPr>
      </w:pPr>
      <w:r>
        <w:rPr>
          <w:rFonts w:hint="eastAsia" w:ascii="宋体" w:hAnsi="宋体" w:cs="Arial"/>
          <w:kern w:val="0"/>
          <w:highlight w:val="none"/>
        </w:rPr>
        <w:t>服务时间：自合同签订之日起</w:t>
      </w:r>
      <w:r>
        <w:rPr>
          <w:rFonts w:hint="eastAsia" w:ascii="宋体" w:hAnsi="宋体" w:cs="Arial"/>
          <w:color w:val="FF0000"/>
          <w:kern w:val="0"/>
          <w:highlight w:val="none"/>
          <w:lang w:val="en-US" w:eastAsia="zh-CN"/>
        </w:rPr>
        <w:t>15</w:t>
      </w:r>
      <w:r>
        <w:rPr>
          <w:rFonts w:hint="eastAsia" w:ascii="宋体" w:hAnsi="宋体" w:cs="Arial"/>
          <w:kern w:val="0"/>
          <w:highlight w:val="none"/>
        </w:rPr>
        <w:t>日内供货到采购人指定地点, 中标人负责安装，并调试完毕完成验收</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Arial"/>
          <w:b/>
          <w:kern w:val="0"/>
          <w:highlight w:val="none"/>
        </w:rPr>
      </w:pPr>
      <w:r>
        <w:rPr>
          <w:rFonts w:hint="eastAsia" w:ascii="宋体" w:hAnsi="宋体" w:cs="Arial"/>
          <w:b/>
          <w:kern w:val="0"/>
          <w:highlight w:val="none"/>
        </w:rPr>
        <w:t>第三条 合同价款</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1、本合同项下总价款为人民币（大写）</w:t>
      </w:r>
      <w:r>
        <w:rPr>
          <w:rFonts w:hint="eastAsia" w:ascii="宋体" w:hAnsi="宋体" w:cs="Arial"/>
          <w:kern w:val="0"/>
          <w:highlight w:val="none"/>
          <w:u w:val="single"/>
        </w:rPr>
        <w:t xml:space="preserve">                    </w:t>
      </w:r>
      <w:r>
        <w:rPr>
          <w:rFonts w:hint="eastAsia" w:ascii="宋体" w:hAnsi="宋体" w:cs="Arial"/>
          <w:kern w:val="0"/>
          <w:highlight w:val="none"/>
        </w:rPr>
        <w:t>，分项价款见“投标报价明细表”（如有）”。</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Arial"/>
          <w:kern w:val="0"/>
          <w:highlight w:val="none"/>
        </w:rPr>
      </w:pPr>
      <w:r>
        <w:rPr>
          <w:rFonts w:hint="eastAsia" w:ascii="宋体" w:hAnsi="宋体" w:cs="Arial"/>
          <w:kern w:val="0"/>
          <w:highlight w:val="none"/>
        </w:rPr>
        <w:t>2、本合同总价款含所有税费(</w:t>
      </w:r>
      <w:r>
        <w:rPr>
          <w:rFonts w:hint="eastAsia" w:ascii="宋体" w:hAnsi="宋体"/>
          <w:highlight w:val="none"/>
        </w:rPr>
        <w:t>应包括生产、供货、运输、装卸、安装调试、税金、保险、备品备件、配件、附件、培训、验收、辅助工作及售后服务等完成本项目的所有费用</w:t>
      </w:r>
      <w:r>
        <w:rPr>
          <w:rFonts w:hint="eastAsia" w:ascii="宋体" w:hAnsi="宋体" w:cs="Arial"/>
          <w:kern w:val="0"/>
          <w:highlight w:val="none"/>
        </w:rPr>
        <w:t>)</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3、本项目资金来源性质为以下第</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4</w:t>
      </w:r>
      <w:r>
        <w:rPr>
          <w:rFonts w:hint="eastAsia" w:ascii="宋体" w:hAnsi="宋体" w:cs="宋体"/>
          <w:kern w:val="0"/>
          <w:sz w:val="24"/>
          <w:highlight w:val="none"/>
          <w:u w:val="single"/>
        </w:rPr>
        <w:t>）</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rPr>
        <w:t>项：</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（1）一般预算；（2）政府基金；（3）专户核拨的预算外资金；（4）其他财政资金；（5）其他资金。</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4、本合同付款方式为以下第</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rPr>
        <w:t>项：</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（1）本合同项下的采购资金系甲方自行支付，付款程序为</w:t>
      </w:r>
      <w:r>
        <w:rPr>
          <w:rFonts w:hint="eastAsia" w:ascii="宋体" w:hAnsi="宋体" w:cs="Arial"/>
          <w:kern w:val="0"/>
          <w:sz w:val="24"/>
          <w:highlight w:val="none"/>
          <w:u w:val="single"/>
          <w:lang w:val="en-US" w:eastAsia="zh-CN"/>
        </w:rPr>
        <w:t xml:space="preserve">             </w:t>
      </w:r>
      <w:r>
        <w:rPr>
          <w:rFonts w:hint="eastAsia" w:ascii="宋体" w:hAnsi="宋体" w:cs="宋体"/>
          <w:kern w:val="0"/>
          <w:sz w:val="24"/>
          <w:highlight w:val="none"/>
        </w:rPr>
        <w:t>；</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（2）本合同项下的采购资金须财政直接支付，付款程序为</w:t>
      </w:r>
      <w:r>
        <w:rPr>
          <w:rFonts w:hint="eastAsia" w:ascii="宋体" w:hAnsi="宋体" w:cs="宋体"/>
          <w:kern w:val="0"/>
          <w:sz w:val="24"/>
          <w:highlight w:val="none"/>
          <w:u w:val="single"/>
        </w:rPr>
        <w:t>甲方根据年初预算申请生成用款计划，再在支付管理系统中发起直接支付申请，财政核算（支付)中心凭确认书、合同、验收单、发票进行审核支付</w:t>
      </w:r>
      <w:r>
        <w:rPr>
          <w:rFonts w:hint="eastAsia" w:ascii="宋体" w:hAnsi="宋体" w:cs="宋体"/>
          <w:kern w:val="0"/>
          <w:sz w:val="24"/>
          <w:highlight w:val="none"/>
        </w:rPr>
        <w:t>；</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（3）其他方式。</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5、本合同项下的采购资金付款进度按采购文件与投标文件（或采购响应文件）规定，未规定时按以下第</w:t>
      </w:r>
      <w:r>
        <w:rPr>
          <w:rFonts w:hint="eastAsia" w:ascii="宋体" w:hAnsi="宋体" w:cs="宋体"/>
          <w:kern w:val="0"/>
          <w:sz w:val="24"/>
          <w:highlight w:val="none"/>
          <w:u w:val="single"/>
        </w:rPr>
        <w:t xml:space="preserve">     （2）      </w:t>
      </w:r>
      <w:r>
        <w:rPr>
          <w:rFonts w:hint="eastAsia" w:ascii="宋体" w:hAnsi="宋体" w:cs="宋体"/>
          <w:kern w:val="0"/>
          <w:sz w:val="24"/>
          <w:highlight w:val="none"/>
        </w:rPr>
        <w:t xml:space="preserve"> 项支付：</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（1）一次性付款：乙方合同履行达到</w:t>
      </w:r>
      <w:r>
        <w:rPr>
          <w:rFonts w:hint="eastAsia" w:ascii="宋体" w:hAnsi="宋体" w:cs="宋体"/>
          <w:kern w:val="0"/>
          <w:sz w:val="24"/>
          <w:highlight w:val="none"/>
          <w:u w:val="single"/>
        </w:rPr>
        <w:t xml:space="preserve">         </w:t>
      </w:r>
      <w:r>
        <w:rPr>
          <w:rFonts w:hint="eastAsia" w:ascii="宋体" w:hAnsi="宋体" w:cs="宋体"/>
          <w:kern w:val="0"/>
          <w:sz w:val="24"/>
          <w:highlight w:val="none"/>
        </w:rPr>
        <w:t>（条件）时，一次性付款；</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spacing w:line="360" w:lineRule="auto"/>
        <w:ind w:firstLine="480" w:firstLineChars="200"/>
        <w:jc w:val="left"/>
        <w:textAlignment w:val="auto"/>
        <w:rPr>
          <w:rFonts w:ascii="宋体" w:hAnsi="宋体" w:cs="宋体"/>
          <w:kern w:val="0"/>
          <w:sz w:val="24"/>
          <w:highlight w:val="none"/>
        </w:rPr>
      </w:pPr>
      <w:r>
        <w:rPr>
          <w:rFonts w:hint="eastAsia" w:ascii="宋体" w:hAnsi="宋体" w:cs="宋体"/>
          <w:kern w:val="0"/>
          <w:sz w:val="24"/>
          <w:highlight w:val="none"/>
        </w:rPr>
        <w:t>（2）分期付款：</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cs="宋体"/>
          <w:color w:val="FF0000"/>
          <w:kern w:val="0"/>
          <w:sz w:val="24"/>
          <w:highlight w:val="none"/>
        </w:rPr>
      </w:pPr>
      <w:r>
        <w:rPr>
          <w:rFonts w:hint="eastAsia" w:ascii="宋体" w:hAnsi="宋体" w:cs="宋体"/>
          <w:color w:val="FF0000"/>
          <w:kern w:val="0"/>
          <w:sz w:val="24"/>
          <w:highlight w:val="none"/>
        </w:rPr>
        <w:t>合同生效以及具备实施条件后7个工作日内支付合同金额的40%；设备全部安装调试完毕，项目验收合格后7个工作日内支付至合同金额的100%。</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cs="宋体"/>
          <w:color w:val="FF0000"/>
          <w:kern w:val="0"/>
          <w:sz w:val="24"/>
          <w:highlight w:val="none"/>
        </w:rPr>
      </w:pPr>
      <w:r>
        <w:rPr>
          <w:rFonts w:hint="eastAsia" w:ascii="宋体" w:hAnsi="宋体" w:cs="宋体"/>
          <w:color w:val="FF0000"/>
          <w:kern w:val="0"/>
          <w:sz w:val="24"/>
          <w:highlight w:val="none"/>
        </w:rPr>
        <w:t>注：付款前中标单位应按规定向采购人开具正规发票。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ascii="宋体" w:hAnsi="宋体" w:cs="Arial"/>
          <w:b/>
          <w:kern w:val="0"/>
          <w:highlight w:val="none"/>
        </w:rPr>
      </w:pPr>
      <w:r>
        <w:rPr>
          <w:rFonts w:hint="eastAsia" w:ascii="宋体" w:hAnsi="宋体" w:cs="Arial"/>
          <w:b/>
          <w:kern w:val="0"/>
          <w:highlight w:val="none"/>
        </w:rPr>
        <w:t>第四条 履约保证金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b/>
          <w:kern w:val="0"/>
          <w:highlight w:val="none"/>
        </w:rPr>
      </w:pPr>
      <w:r>
        <w:rPr>
          <w:rFonts w:hint="eastAsia" w:ascii="宋体" w:hAnsi="宋体" w:cs="Arial"/>
          <w:kern w:val="0"/>
          <w:highlight w:val="none"/>
        </w:rPr>
        <w:t>按以下第</w:t>
      </w:r>
      <w:r>
        <w:rPr>
          <w:rFonts w:hint="eastAsia" w:ascii="宋体" w:hAnsi="宋体" w:cs="Arial"/>
          <w:kern w:val="0"/>
          <w:highlight w:val="none"/>
          <w:u w:val="single"/>
        </w:rPr>
        <w:t xml:space="preserve">   </w:t>
      </w:r>
      <w:r>
        <w:rPr>
          <w:rFonts w:hint="eastAsia" w:ascii="宋体" w:hAnsi="宋体" w:cs="Arial"/>
          <w:kern w:val="0"/>
          <w:highlight w:val="none"/>
          <w:u w:val="single"/>
          <w:lang w:val="en-US" w:eastAsia="zh-CN"/>
        </w:rPr>
        <w:t>2</w:t>
      </w:r>
      <w:r>
        <w:rPr>
          <w:rFonts w:hint="eastAsia" w:ascii="宋体" w:hAnsi="宋体" w:cs="Arial"/>
          <w:kern w:val="0"/>
          <w:highlight w:val="none"/>
          <w:u w:val="single"/>
        </w:rPr>
        <w:t xml:space="preserve">   </w:t>
      </w:r>
      <w:r>
        <w:rPr>
          <w:rFonts w:hint="eastAsia" w:ascii="宋体" w:hAnsi="宋体" w:cs="Arial"/>
          <w:kern w:val="0"/>
          <w:highlight w:val="none"/>
        </w:rPr>
        <w:t>项处理：</w:t>
      </w:r>
    </w:p>
    <w:p>
      <w:pPr>
        <w:snapToGrid w:val="0"/>
        <w:spacing w:line="360" w:lineRule="auto"/>
        <w:ind w:firstLine="480" w:firstLineChars="200"/>
        <w:rPr>
          <w:rFonts w:hint="eastAsia" w:ascii="宋体" w:hAnsi="宋体"/>
          <w:highlight w:val="none"/>
        </w:rPr>
      </w:pPr>
      <w:r>
        <w:rPr>
          <w:rFonts w:hint="eastAsia" w:ascii="宋体" w:hAnsi="宋体" w:cs="Arial"/>
          <w:kern w:val="0"/>
          <w:highlight w:val="none"/>
        </w:rPr>
        <w:t>1、本项目设置履约保证金，</w:t>
      </w:r>
      <w:r>
        <w:rPr>
          <w:rFonts w:hint="eastAsia" w:ascii="宋体" w:hAnsi="宋体" w:cs="宋体"/>
          <w:highlight w:val="none"/>
        </w:rPr>
        <w:t>签订合同前中标人应向采购人交纳合同金额的1%作为履约保证金，履约保证金在合同履行完毕后一个月内无息退还</w:t>
      </w:r>
      <w:r>
        <w:rPr>
          <w:rFonts w:hint="eastAsia" w:ascii="宋体" w:hAnsi="宋体"/>
          <w:highlight w:val="none"/>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b/>
          <w:kern w:val="0"/>
          <w:highlight w:val="none"/>
        </w:rPr>
      </w:pPr>
      <w:r>
        <w:rPr>
          <w:rFonts w:hint="eastAsia" w:ascii="宋体" w:hAnsi="宋体" w:cs="Arial"/>
          <w:kern w:val="0"/>
          <w:highlight w:val="none"/>
        </w:rPr>
        <w:t>2、本项目不设置履约保证金。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ascii="宋体" w:hAnsi="宋体" w:cs="Arial"/>
          <w:b/>
          <w:kern w:val="0"/>
          <w:highlight w:val="none"/>
        </w:rPr>
      </w:pPr>
      <w:r>
        <w:rPr>
          <w:rFonts w:hint="eastAsia" w:ascii="宋体" w:hAnsi="宋体" w:cs="Arial"/>
          <w:b/>
          <w:kern w:val="0"/>
          <w:highlight w:val="none"/>
        </w:rPr>
        <w:t>第五条 合同的变更和终止</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kern w:val="0"/>
          <w:highlight w:val="none"/>
        </w:rPr>
      </w:pPr>
      <w:r>
        <w:rPr>
          <w:rFonts w:hint="eastAsia" w:ascii="宋体" w:hAnsi="宋体" w:cs="Arial"/>
          <w:kern w:val="0"/>
          <w:highlight w:val="none"/>
        </w:rPr>
        <w:t>除《政府采购法》第49条、第50条第二款规定的情形外，本合同一经签订，甲乙双方不得擅自终止合同或对合同实质性条款进行变更。确有特殊情况的除外。</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ascii="宋体" w:hAnsi="宋体" w:cs="Arial"/>
          <w:b/>
          <w:kern w:val="0"/>
          <w:highlight w:val="none"/>
        </w:rPr>
      </w:pPr>
      <w:r>
        <w:rPr>
          <w:rFonts w:hint="eastAsia" w:ascii="宋体" w:hAnsi="宋体" w:cs="Arial"/>
          <w:b/>
          <w:kern w:val="0"/>
          <w:highlight w:val="none"/>
        </w:rPr>
        <w:t>第六条 合同的转让与分包</w:t>
      </w:r>
    </w:p>
    <w:p>
      <w:pPr>
        <w:snapToGrid w:val="0"/>
        <w:spacing w:line="360" w:lineRule="auto"/>
        <w:ind w:firstLine="480" w:firstLineChars="200"/>
        <w:rPr>
          <w:rFonts w:hint="eastAsia" w:ascii="宋体" w:hAnsi="宋体" w:cs="宋体"/>
          <w:kern w:val="0"/>
          <w:highlight w:val="none"/>
        </w:rPr>
      </w:pPr>
      <w:r>
        <w:rPr>
          <w:rFonts w:ascii="宋体" w:hAnsi="宋体" w:cs="宋体"/>
          <w:kern w:val="0"/>
          <w:highlight w:val="none"/>
        </w:rPr>
        <w:t>本项目不允许转包与分包。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ascii="宋体" w:hAnsi="宋体" w:cs="Arial"/>
          <w:b/>
          <w:kern w:val="0"/>
          <w:highlight w:val="none"/>
        </w:rPr>
      </w:pPr>
      <w:r>
        <w:rPr>
          <w:rFonts w:hint="eastAsia" w:ascii="宋体" w:hAnsi="宋体" w:cs="Arial"/>
          <w:b/>
          <w:kern w:val="0"/>
          <w:highlight w:val="none"/>
        </w:rPr>
        <w:t>第七条 争议的解决</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kern w:val="0"/>
          <w:highlight w:val="none"/>
        </w:rPr>
      </w:pPr>
      <w:r>
        <w:rPr>
          <w:rFonts w:hint="eastAsia" w:ascii="宋体" w:hAnsi="宋体" w:cs="Arial"/>
          <w:kern w:val="0"/>
          <w:highlight w:val="none"/>
        </w:rPr>
        <w:t>因履行本合同引起的或与本合同有关的争议，甲、乙双方应首先通过友好协商解决，如果协商不能解决争议，则采取以下第</w:t>
      </w:r>
      <w:r>
        <w:rPr>
          <w:rFonts w:hint="eastAsia" w:ascii="宋体" w:hAnsi="宋体" w:cs="Arial"/>
          <w:kern w:val="0"/>
          <w:highlight w:val="none"/>
          <w:u w:val="single"/>
        </w:rPr>
        <w:t xml:space="preserve">    </w:t>
      </w:r>
      <w:r>
        <w:rPr>
          <w:rFonts w:hint="eastAsia" w:ascii="宋体" w:hAnsi="宋体" w:cs="Arial"/>
          <w:kern w:val="0"/>
          <w:highlight w:val="none"/>
          <w:u w:val="single"/>
          <w:lang w:val="en-US" w:eastAsia="zh-CN"/>
        </w:rPr>
        <w:t xml:space="preserve"> </w:t>
      </w:r>
      <w:r>
        <w:rPr>
          <w:rFonts w:hint="eastAsia" w:ascii="宋体" w:hAnsi="宋体" w:cs="Arial"/>
          <w:kern w:val="0"/>
          <w:highlight w:val="none"/>
          <w:u w:val="single"/>
        </w:rPr>
        <w:t xml:space="preserve">     </w:t>
      </w:r>
      <w:r>
        <w:rPr>
          <w:rFonts w:hint="eastAsia" w:ascii="宋体" w:hAnsi="宋体" w:cs="Arial"/>
          <w:kern w:val="0"/>
          <w:highlight w:val="none"/>
        </w:rPr>
        <w:t>种方式解决争议：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kern w:val="0"/>
          <w:highlight w:val="none"/>
        </w:rPr>
      </w:pPr>
      <w:r>
        <w:rPr>
          <w:rFonts w:hint="eastAsia" w:ascii="宋体" w:hAnsi="宋体" w:cs="Arial"/>
          <w:kern w:val="0"/>
          <w:highlight w:val="none"/>
        </w:rPr>
        <w:t>（1）向甲方所在地有管辖权的人民法院提起诉讼；</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kern w:val="0"/>
          <w:highlight w:val="none"/>
        </w:rPr>
      </w:pPr>
      <w:r>
        <w:rPr>
          <w:rFonts w:hint="eastAsia" w:ascii="宋体" w:hAnsi="宋体" w:cs="Arial"/>
          <w:kern w:val="0"/>
          <w:highlight w:val="none"/>
        </w:rPr>
        <w:t>（2）向</w:t>
      </w:r>
      <w:r>
        <w:rPr>
          <w:rFonts w:hint="eastAsia" w:ascii="宋体" w:hAnsi="宋体" w:cs="宋体"/>
          <w:color w:val="auto"/>
          <w:kern w:val="0"/>
          <w:sz w:val="24"/>
          <w:highlight w:val="none"/>
          <w:u w:val="single"/>
        </w:rPr>
        <w:t>项目所在地</w:t>
      </w:r>
      <w:r>
        <w:rPr>
          <w:rFonts w:hint="eastAsia" w:ascii="宋体" w:hAnsi="宋体" w:cs="Arial"/>
          <w:kern w:val="0"/>
          <w:highlight w:val="none"/>
        </w:rPr>
        <w:t>仲裁委员申请仲裁。</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2" w:firstLineChars="200"/>
        <w:jc w:val="left"/>
        <w:rPr>
          <w:rFonts w:ascii="宋体" w:hAnsi="宋体" w:cs="Arial"/>
          <w:b/>
          <w:kern w:val="0"/>
          <w:highlight w:val="none"/>
        </w:rPr>
      </w:pPr>
      <w:r>
        <w:rPr>
          <w:rFonts w:hint="eastAsia" w:ascii="宋体" w:hAnsi="宋体" w:cs="Arial"/>
          <w:b/>
          <w:kern w:val="0"/>
          <w:highlight w:val="none"/>
        </w:rPr>
        <w:t>第八条 合同备案及其他</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rPr>
          <w:rFonts w:ascii="宋体" w:hAnsi="宋体" w:cs="Arial"/>
          <w:kern w:val="0"/>
          <w:highlight w:val="none"/>
        </w:rPr>
      </w:pPr>
      <w:r>
        <w:rPr>
          <w:rFonts w:hint="eastAsia" w:ascii="宋体" w:hAnsi="宋体" w:cs="Arial"/>
          <w:kern w:val="0"/>
          <w:sz w:val="24"/>
          <w:highlight w:val="none"/>
        </w:rPr>
        <w:t>本合同一式五份，甲乙双方各2份，招标代理机构各持一份</w:t>
      </w:r>
      <w:r>
        <w:rPr>
          <w:rFonts w:hint="eastAsia" w:ascii="宋体" w:hAnsi="宋体" w:cs="Arial"/>
          <w:kern w:val="0"/>
          <w:highlight w:val="none"/>
        </w:rPr>
        <w:t>。</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80" w:firstLineChars="200"/>
        <w:jc w:val="left"/>
        <w:rPr>
          <w:rFonts w:ascii="宋体" w:hAnsi="宋体" w:cs="Arial"/>
          <w:kern w:val="0"/>
          <w:highlight w:val="none"/>
        </w:rPr>
      </w:pPr>
      <w:r>
        <w:rPr>
          <w:rFonts w:hint="eastAsia" w:ascii="宋体" w:hAnsi="宋体" w:cs="Arial"/>
          <w:kern w:val="0"/>
          <w:highlight w:val="none"/>
        </w:rPr>
        <w:t xml:space="preserve">                </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hint="eastAsia" w:ascii="宋体" w:hAnsi="宋体" w:cs="Arial"/>
          <w:kern w:val="0"/>
          <w:highlight w:val="none"/>
        </w:rPr>
      </w:pPr>
      <w:r>
        <w:rPr>
          <w:rFonts w:hint="eastAsia" w:ascii="宋体" w:hAnsi="宋体" w:cs="Arial"/>
          <w:kern w:val="0"/>
          <w:highlight w:val="none"/>
        </w:rPr>
        <w:t>二、特殊专用条款部分</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jc w:val="center"/>
        <w:rPr>
          <w:rFonts w:ascii="宋体" w:hAnsi="宋体" w:cs="Arial"/>
          <w:kern w:val="0"/>
          <w:highlight w:val="none"/>
        </w:rPr>
      </w:pPr>
    </w:p>
    <w:tbl>
      <w:tblPr>
        <w:tblStyle w:val="35"/>
        <w:tblW w:w="9596" w:type="dxa"/>
        <w:tblInd w:w="0" w:type="dxa"/>
        <w:tblLayout w:type="fixed"/>
        <w:tblCellMar>
          <w:top w:w="0" w:type="dxa"/>
          <w:left w:w="108" w:type="dxa"/>
          <w:bottom w:w="0" w:type="dxa"/>
          <w:right w:w="108" w:type="dxa"/>
        </w:tblCellMar>
      </w:tblPr>
      <w:tblGrid>
        <w:gridCol w:w="4798"/>
        <w:gridCol w:w="4798"/>
      </w:tblGrid>
      <w:tr>
        <w:tblPrEx>
          <w:tblCellMar>
            <w:top w:w="0" w:type="dxa"/>
            <w:left w:w="108" w:type="dxa"/>
            <w:bottom w:w="0" w:type="dxa"/>
            <w:right w:w="108" w:type="dxa"/>
          </w:tblCellMar>
        </w:tblPrEx>
        <w:trPr>
          <w:wBefore w:w="0" w:type="dxa"/>
          <w:wAfter w:w="0" w:type="dxa"/>
          <w:trHeight w:val="152" w:hRule="atLeast"/>
        </w:trPr>
        <w:tc>
          <w:tcPr>
            <w:tcW w:w="4798" w:type="dxa"/>
            <w:noWrap w:val="0"/>
            <w:vAlign w:val="top"/>
          </w:tcPr>
          <w:p>
            <w:pPr>
              <w:adjustRightInd w:val="0"/>
              <w:snapToGrid w:val="0"/>
              <w:spacing w:line="480" w:lineRule="auto"/>
              <w:ind w:firstLine="482"/>
              <w:rPr>
                <w:rFonts w:ascii="宋体" w:hAnsi="宋体"/>
                <w:highlight w:val="none"/>
              </w:rPr>
            </w:pPr>
          </w:p>
          <w:p>
            <w:pPr>
              <w:adjustRightInd w:val="0"/>
              <w:snapToGrid w:val="0"/>
              <w:spacing w:line="480" w:lineRule="auto"/>
              <w:ind w:firstLine="482"/>
              <w:rPr>
                <w:rFonts w:ascii="宋体" w:hAnsi="宋体"/>
                <w:highlight w:val="none"/>
              </w:rPr>
            </w:pPr>
            <w:r>
              <w:rPr>
                <w:rFonts w:hint="eastAsia" w:ascii="宋体" w:hAnsi="宋体"/>
                <w:highlight w:val="none"/>
              </w:rPr>
              <w:t>采购人（需方公章）</w:t>
            </w:r>
          </w:p>
        </w:tc>
        <w:tc>
          <w:tcPr>
            <w:tcW w:w="4798" w:type="dxa"/>
            <w:noWrap w:val="0"/>
            <w:vAlign w:val="top"/>
          </w:tcPr>
          <w:p>
            <w:pPr>
              <w:adjustRightInd w:val="0"/>
              <w:snapToGrid w:val="0"/>
              <w:spacing w:line="480" w:lineRule="auto"/>
              <w:ind w:firstLine="482"/>
              <w:rPr>
                <w:rFonts w:ascii="宋体" w:hAnsi="宋体"/>
                <w:highlight w:val="none"/>
              </w:rPr>
            </w:pPr>
          </w:p>
          <w:p>
            <w:pPr>
              <w:adjustRightInd w:val="0"/>
              <w:snapToGrid w:val="0"/>
              <w:spacing w:line="480" w:lineRule="auto"/>
              <w:ind w:firstLine="482"/>
              <w:rPr>
                <w:rFonts w:ascii="宋体" w:hAnsi="宋体"/>
                <w:highlight w:val="none"/>
              </w:rPr>
            </w:pPr>
            <w:r>
              <w:rPr>
                <w:rFonts w:ascii="宋体" w:hAnsi="宋体"/>
                <w:highlight w:val="none"/>
              </w:rPr>
              <w:t>供</w:t>
            </w:r>
            <w:r>
              <w:rPr>
                <w:rFonts w:hint="eastAsia" w:ascii="宋体" w:hAnsi="宋体"/>
                <w:highlight w:val="none"/>
              </w:rPr>
              <w:t>应</w:t>
            </w:r>
            <w:r>
              <w:rPr>
                <w:rFonts w:ascii="宋体" w:hAnsi="宋体"/>
                <w:highlight w:val="none"/>
              </w:rPr>
              <w:t>商（</w:t>
            </w:r>
            <w:r>
              <w:rPr>
                <w:rFonts w:hint="eastAsia" w:ascii="宋体" w:hAnsi="宋体"/>
                <w:highlight w:val="none"/>
              </w:rPr>
              <w:t>供方公</w:t>
            </w:r>
            <w:r>
              <w:rPr>
                <w:rFonts w:ascii="宋体" w:hAnsi="宋体"/>
                <w:highlight w:val="none"/>
              </w:rPr>
              <w:t>章）：</w:t>
            </w:r>
          </w:p>
        </w:tc>
      </w:tr>
      <w:tr>
        <w:tblPrEx>
          <w:tblCellMar>
            <w:top w:w="0" w:type="dxa"/>
            <w:left w:w="108" w:type="dxa"/>
            <w:bottom w:w="0" w:type="dxa"/>
            <w:right w:w="108" w:type="dxa"/>
          </w:tblCellMar>
        </w:tblPrEx>
        <w:trPr>
          <w:wBefore w:w="0" w:type="dxa"/>
          <w:wAfter w:w="0" w:type="dxa"/>
          <w:trHeight w:val="152" w:hRule="atLeast"/>
        </w:trPr>
        <w:tc>
          <w:tcPr>
            <w:tcW w:w="4798" w:type="dxa"/>
            <w:noWrap w:val="0"/>
            <w:vAlign w:val="top"/>
          </w:tcPr>
          <w:p>
            <w:pPr>
              <w:adjustRightInd w:val="0"/>
              <w:snapToGrid w:val="0"/>
              <w:spacing w:line="480" w:lineRule="auto"/>
              <w:ind w:firstLine="482"/>
              <w:rPr>
                <w:rFonts w:ascii="宋体" w:hAnsi="宋体"/>
                <w:highlight w:val="none"/>
              </w:rPr>
            </w:pPr>
            <w:r>
              <w:rPr>
                <w:rFonts w:hint="eastAsia" w:ascii="宋体" w:hAnsi="宋体"/>
                <w:highlight w:val="none"/>
              </w:rPr>
              <w:t>法定代表人或授权代表人（签字）：</w:t>
            </w:r>
          </w:p>
        </w:tc>
        <w:tc>
          <w:tcPr>
            <w:tcW w:w="4798" w:type="dxa"/>
            <w:noWrap w:val="0"/>
            <w:vAlign w:val="top"/>
          </w:tcPr>
          <w:p>
            <w:pPr>
              <w:adjustRightInd w:val="0"/>
              <w:snapToGrid w:val="0"/>
              <w:spacing w:line="480" w:lineRule="auto"/>
              <w:ind w:firstLine="482"/>
              <w:rPr>
                <w:rFonts w:ascii="宋体" w:hAnsi="宋体"/>
                <w:highlight w:val="none"/>
              </w:rPr>
            </w:pPr>
            <w:r>
              <w:rPr>
                <w:rFonts w:hint="eastAsia" w:ascii="宋体" w:hAnsi="宋体"/>
                <w:highlight w:val="none"/>
              </w:rPr>
              <w:t>法定代表人或授权代表人（签字）：</w:t>
            </w:r>
          </w:p>
        </w:tc>
      </w:tr>
      <w:tr>
        <w:tblPrEx>
          <w:tblCellMar>
            <w:top w:w="0" w:type="dxa"/>
            <w:left w:w="108" w:type="dxa"/>
            <w:bottom w:w="0" w:type="dxa"/>
            <w:right w:w="108" w:type="dxa"/>
          </w:tblCellMar>
        </w:tblPrEx>
        <w:trPr>
          <w:wBefore w:w="0" w:type="dxa"/>
          <w:wAfter w:w="0" w:type="dxa"/>
          <w:trHeight w:val="152" w:hRule="atLeast"/>
        </w:trPr>
        <w:tc>
          <w:tcPr>
            <w:tcW w:w="4798" w:type="dxa"/>
            <w:noWrap w:val="0"/>
            <w:vAlign w:val="top"/>
          </w:tcPr>
          <w:p>
            <w:pPr>
              <w:adjustRightInd w:val="0"/>
              <w:snapToGrid w:val="0"/>
              <w:spacing w:line="480" w:lineRule="auto"/>
              <w:ind w:firstLine="482"/>
              <w:rPr>
                <w:rFonts w:ascii="宋体" w:hAnsi="宋体"/>
                <w:highlight w:val="none"/>
              </w:rPr>
            </w:pPr>
            <w:r>
              <w:rPr>
                <w:rFonts w:hint="eastAsia" w:ascii="宋体" w:hAnsi="宋体"/>
                <w:highlight w:val="none"/>
              </w:rPr>
              <w:t>电话：</w:t>
            </w:r>
          </w:p>
        </w:tc>
        <w:tc>
          <w:tcPr>
            <w:tcW w:w="4798" w:type="dxa"/>
            <w:noWrap w:val="0"/>
            <w:vAlign w:val="top"/>
          </w:tcPr>
          <w:p>
            <w:pPr>
              <w:adjustRightInd w:val="0"/>
              <w:snapToGrid w:val="0"/>
              <w:spacing w:line="480" w:lineRule="auto"/>
              <w:ind w:firstLine="482"/>
              <w:rPr>
                <w:rFonts w:ascii="宋体" w:hAnsi="宋体"/>
                <w:highlight w:val="none"/>
              </w:rPr>
            </w:pPr>
            <w:r>
              <w:rPr>
                <w:rFonts w:hint="eastAsia" w:ascii="宋体" w:hAnsi="宋体"/>
                <w:highlight w:val="none"/>
              </w:rPr>
              <w:t>开户银行：</w:t>
            </w:r>
          </w:p>
        </w:tc>
      </w:tr>
      <w:tr>
        <w:tblPrEx>
          <w:tblCellMar>
            <w:top w:w="0" w:type="dxa"/>
            <w:left w:w="108" w:type="dxa"/>
            <w:bottom w:w="0" w:type="dxa"/>
            <w:right w:w="108" w:type="dxa"/>
          </w:tblCellMar>
        </w:tblPrEx>
        <w:trPr>
          <w:wBefore w:w="0" w:type="dxa"/>
          <w:wAfter w:w="0" w:type="dxa"/>
          <w:trHeight w:val="152" w:hRule="atLeast"/>
        </w:trPr>
        <w:tc>
          <w:tcPr>
            <w:tcW w:w="4798" w:type="dxa"/>
            <w:noWrap w:val="0"/>
            <w:vAlign w:val="top"/>
          </w:tcPr>
          <w:p>
            <w:pPr>
              <w:adjustRightInd w:val="0"/>
              <w:snapToGrid w:val="0"/>
              <w:spacing w:line="480" w:lineRule="auto"/>
              <w:ind w:firstLine="480"/>
              <w:rPr>
                <w:rFonts w:ascii="宋体" w:hAnsi="宋体"/>
                <w:highlight w:val="none"/>
              </w:rPr>
            </w:pPr>
          </w:p>
        </w:tc>
        <w:tc>
          <w:tcPr>
            <w:tcW w:w="4798" w:type="dxa"/>
            <w:noWrap w:val="0"/>
            <w:vAlign w:val="top"/>
          </w:tcPr>
          <w:p>
            <w:pPr>
              <w:adjustRightInd w:val="0"/>
              <w:snapToGrid w:val="0"/>
              <w:spacing w:line="480" w:lineRule="auto"/>
              <w:ind w:firstLine="482"/>
              <w:rPr>
                <w:rFonts w:ascii="宋体" w:hAnsi="宋体"/>
                <w:highlight w:val="none"/>
              </w:rPr>
            </w:pPr>
            <w:r>
              <w:rPr>
                <w:rFonts w:hint="eastAsia" w:ascii="宋体" w:hAnsi="宋体"/>
                <w:highlight w:val="none"/>
              </w:rPr>
              <w:t>帐号：</w:t>
            </w:r>
          </w:p>
        </w:tc>
      </w:tr>
      <w:tr>
        <w:tblPrEx>
          <w:tblCellMar>
            <w:top w:w="0" w:type="dxa"/>
            <w:left w:w="108" w:type="dxa"/>
            <w:bottom w:w="0" w:type="dxa"/>
            <w:right w:w="108" w:type="dxa"/>
          </w:tblCellMar>
        </w:tblPrEx>
        <w:trPr>
          <w:wBefore w:w="0" w:type="dxa"/>
          <w:wAfter w:w="0" w:type="dxa"/>
          <w:trHeight w:val="157" w:hRule="atLeast"/>
        </w:trPr>
        <w:tc>
          <w:tcPr>
            <w:tcW w:w="4798" w:type="dxa"/>
            <w:noWrap w:val="0"/>
            <w:vAlign w:val="top"/>
          </w:tcPr>
          <w:p>
            <w:pPr>
              <w:adjustRightInd w:val="0"/>
              <w:snapToGrid w:val="0"/>
              <w:spacing w:line="480" w:lineRule="auto"/>
              <w:ind w:firstLine="480"/>
              <w:rPr>
                <w:rFonts w:ascii="宋体" w:hAnsi="宋体"/>
                <w:highlight w:val="none"/>
              </w:rPr>
            </w:pPr>
          </w:p>
        </w:tc>
        <w:tc>
          <w:tcPr>
            <w:tcW w:w="4798" w:type="dxa"/>
            <w:noWrap w:val="0"/>
            <w:vAlign w:val="top"/>
          </w:tcPr>
          <w:p>
            <w:pPr>
              <w:adjustRightInd w:val="0"/>
              <w:snapToGrid w:val="0"/>
              <w:spacing w:line="480" w:lineRule="auto"/>
              <w:ind w:firstLine="482"/>
              <w:rPr>
                <w:rFonts w:ascii="宋体" w:hAnsi="宋体"/>
                <w:highlight w:val="none"/>
              </w:rPr>
            </w:pPr>
            <w:r>
              <w:rPr>
                <w:rFonts w:hint="eastAsia" w:ascii="宋体" w:hAnsi="宋体"/>
                <w:highlight w:val="none"/>
              </w:rPr>
              <w:t>电话：</w:t>
            </w:r>
          </w:p>
        </w:tc>
      </w:tr>
    </w:tbl>
    <w:p>
      <w:pPr>
        <w:spacing w:line="360" w:lineRule="auto"/>
        <w:ind w:left="420"/>
        <w:jc w:val="right"/>
        <w:rPr>
          <w:highlight w:val="none"/>
        </w:rPr>
      </w:pPr>
      <w:r>
        <w:rPr>
          <w:rFonts w:hint="eastAsia"/>
          <w:highlight w:val="none"/>
        </w:rPr>
        <w:t>合同签订日期：</w:t>
      </w:r>
      <w:r>
        <w:rPr>
          <w:highlight w:val="none"/>
        </w:rPr>
        <w:t xml:space="preserve">  年    月   日</w:t>
      </w:r>
    </w:p>
    <w:p>
      <w:pPr>
        <w:spacing w:line="360" w:lineRule="auto"/>
        <w:ind w:firstLine="5760" w:firstLineChars="2400"/>
        <w:rPr>
          <w:rFonts w:ascii="宋体" w:hAnsi="宋体"/>
          <w:color w:val="auto"/>
          <w:sz w:val="24"/>
          <w:highlight w:val="none"/>
        </w:rPr>
      </w:pPr>
      <w:r>
        <w:rPr>
          <w:rFonts w:hint="eastAsia"/>
          <w:highlight w:val="none"/>
        </w:rPr>
        <w:t>签约地点：</w:t>
      </w:r>
      <w:r>
        <w:rPr>
          <w:rFonts w:hint="eastAsia" w:ascii="仿宋_GB2312" w:hAnsi="宋体" w:eastAsia="仿宋_GB2312"/>
          <w:highlight w:val="none"/>
        </w:rPr>
        <w:t xml:space="preserve">  </w:t>
      </w:r>
    </w:p>
    <w:p>
      <w:pPr>
        <w:spacing w:line="460" w:lineRule="exact"/>
        <w:rPr>
          <w:rFonts w:ascii="宋体" w:hAnsi="宋体"/>
          <w:color w:val="auto"/>
          <w:sz w:val="24"/>
          <w:highlight w:val="none"/>
        </w:rPr>
      </w:pPr>
    </w:p>
    <w:p>
      <w:pPr>
        <w:spacing w:line="360" w:lineRule="auto"/>
        <w:ind w:firstLine="480" w:firstLineChars="200"/>
        <w:rPr>
          <w:rFonts w:ascii="宋体" w:hAnsi="宋体" w:cs="Arial"/>
          <w:kern w:val="0"/>
          <w:highlight w:val="none"/>
        </w:rPr>
      </w:pPr>
      <w:r>
        <w:rPr>
          <w:rFonts w:hint="eastAsia" w:ascii="仿宋_GB2312" w:hAnsi="宋体" w:eastAsia="仿宋_GB2312"/>
          <w:highlight w:val="none"/>
        </w:rPr>
        <w:t xml:space="preserve">    </w:t>
      </w:r>
    </w:p>
    <w:p>
      <w:pPr>
        <w:pStyle w:val="20"/>
        <w:adjustRightInd w:val="0"/>
        <w:spacing w:before="120" w:after="120" w:line="420" w:lineRule="exact"/>
        <w:rPr>
          <w:rFonts w:hint="eastAsia" w:hAnsi="宋体"/>
          <w:bCs/>
          <w:highlight w:val="none"/>
        </w:rPr>
        <w:sectPr>
          <w:headerReference r:id="rId7" w:type="default"/>
          <w:footerReference r:id="rId8" w:type="default"/>
          <w:pgSz w:w="11906" w:h="16838"/>
          <w:pgMar w:top="1701" w:right="1701" w:bottom="1701" w:left="1701" w:header="851" w:footer="851" w:gutter="0"/>
          <w:pgNumType w:fmt="decimal"/>
          <w:cols w:space="720" w:num="1"/>
          <w:docGrid w:linePitch="312" w:charSpace="0"/>
        </w:sectPr>
      </w:pPr>
    </w:p>
    <w:p>
      <w:pPr>
        <w:pStyle w:val="2"/>
        <w:rPr>
          <w:rFonts w:hint="eastAsia"/>
          <w:highlight w:val="none"/>
        </w:rPr>
      </w:pPr>
      <w:bookmarkStart w:id="62" w:name="_Toc91520566"/>
      <w:r>
        <w:rPr>
          <w:rFonts w:hint="eastAsia"/>
          <w:highlight w:val="none"/>
        </w:rPr>
        <w:t>第六章　响应文件格式</w:t>
      </w:r>
      <w:bookmarkEnd w:id="62"/>
    </w:p>
    <w:p>
      <w:pPr>
        <w:numPr>
          <w:ilvl w:val="1"/>
          <w:numId w:val="30"/>
        </w:numPr>
        <w:tabs>
          <w:tab w:val="left" w:pos="851"/>
        </w:tabs>
        <w:snapToGrid w:val="0"/>
        <w:spacing w:before="120" w:beforeLines="50" w:after="50" w:line="360" w:lineRule="auto"/>
        <w:ind w:left="0" w:firstLine="0"/>
        <w:jc w:val="left"/>
        <w:outlineLvl w:val="1"/>
        <w:rPr>
          <w:rFonts w:hint="eastAsia" w:ascii="宋体" w:hAnsi="宋体"/>
          <w:b/>
          <w:bCs/>
          <w:sz w:val="28"/>
          <w:szCs w:val="28"/>
          <w:highlight w:val="none"/>
        </w:rPr>
      </w:pPr>
      <w:r>
        <w:rPr>
          <w:rFonts w:hint="eastAsia" w:ascii="宋体" w:hAnsi="宋体"/>
          <w:b/>
          <w:bCs/>
          <w:sz w:val="28"/>
          <w:szCs w:val="28"/>
          <w:highlight w:val="none"/>
        </w:rPr>
        <w:t>响应文件目录</w:t>
      </w:r>
    </w:p>
    <w:p>
      <w:pPr>
        <w:snapToGrid w:val="0"/>
        <w:spacing w:line="360" w:lineRule="auto"/>
        <w:ind w:firstLine="480" w:firstLineChars="200"/>
        <w:jc w:val="left"/>
        <w:rPr>
          <w:rFonts w:ascii="宋体" w:hAnsi="宋体"/>
          <w:highlight w:val="none"/>
        </w:rPr>
      </w:pPr>
      <w:r>
        <w:rPr>
          <w:rFonts w:hint="eastAsia" w:ascii="宋体" w:hAnsi="宋体"/>
          <w:highlight w:val="none"/>
        </w:rPr>
        <w:t>资格文件、资信商务及技术文件、报价文件目录</w:t>
      </w:r>
      <w:r>
        <w:rPr>
          <w:rFonts w:hint="eastAsia" w:ascii="宋体" w:hAnsi="宋体"/>
          <w:bCs/>
          <w:highlight w:val="none"/>
        </w:rPr>
        <w:t>（请按照“第三章 磋商须知，</w:t>
      </w:r>
      <w:r>
        <w:rPr>
          <w:rFonts w:ascii="宋体" w:hAnsi="宋体"/>
          <w:bCs/>
          <w:highlight w:val="none"/>
        </w:rPr>
        <w:t>三、响应文件的编制</w:t>
      </w:r>
      <w:r>
        <w:rPr>
          <w:rFonts w:hint="eastAsia" w:ascii="宋体" w:hAnsi="宋体"/>
          <w:bCs/>
          <w:highlight w:val="none"/>
        </w:rPr>
        <w:t>”的顺序，结合评标办法自行编制目录）</w:t>
      </w:r>
    </w:p>
    <w:p>
      <w:pPr>
        <w:snapToGrid w:val="0"/>
        <w:spacing w:line="360" w:lineRule="auto"/>
        <w:rPr>
          <w:rFonts w:ascii="宋体" w:hAnsi="宋体"/>
          <w:b/>
          <w:bCs/>
          <w:highlight w:val="none"/>
        </w:rPr>
      </w:pPr>
      <w:r>
        <w:rPr>
          <w:rFonts w:hint="eastAsia" w:ascii="宋体" w:hAnsi="宋体"/>
          <w:b/>
          <w:bCs/>
          <w:highlight w:val="none"/>
        </w:rPr>
        <w:t>例如：</w:t>
      </w:r>
    </w:p>
    <w:p>
      <w:pPr>
        <w:snapToGrid w:val="0"/>
        <w:spacing w:line="360" w:lineRule="auto"/>
        <w:rPr>
          <w:rFonts w:ascii="宋体" w:hAnsi="宋体"/>
          <w:b/>
          <w:bCs/>
          <w:highlight w:val="none"/>
        </w:rPr>
      </w:pPr>
      <w:r>
        <w:rPr>
          <w:rFonts w:hint="eastAsia" w:ascii="宋体" w:hAnsi="宋体"/>
          <w:b/>
          <w:bCs/>
          <w:highlight w:val="none"/>
        </w:rPr>
        <w:t>资格文件：</w:t>
      </w:r>
    </w:p>
    <w:p>
      <w:pPr>
        <w:snapToGrid w:val="0"/>
        <w:spacing w:line="360" w:lineRule="auto"/>
        <w:rPr>
          <w:rFonts w:hint="eastAsia" w:ascii="宋体" w:hAnsi="宋体" w:cs="仿宋_GB2312"/>
          <w:highlight w:val="none"/>
        </w:rPr>
      </w:pPr>
      <w:r>
        <w:rPr>
          <w:rFonts w:hint="eastAsia" w:ascii="宋体" w:hAnsi="宋体" w:cs="仿宋_GB2312"/>
          <w:highlight w:val="none"/>
        </w:rPr>
        <w:t>（</w:t>
      </w:r>
      <w:r>
        <w:rPr>
          <w:rFonts w:ascii="宋体" w:hAnsi="宋体" w:cs="仿宋_GB2312"/>
          <w:highlight w:val="none"/>
        </w:rPr>
        <w:t>1）符合参加政府采购活动应当具备的一般条件的承诺函……</w:t>
      </w:r>
      <w:r>
        <w:rPr>
          <w:rFonts w:hint="eastAsia" w:ascii="宋体" w:hAnsi="宋体" w:cs="仿宋_GB2312"/>
          <w:highlight w:val="none"/>
        </w:rPr>
        <w:t>………（页码）</w:t>
      </w:r>
    </w:p>
    <w:p>
      <w:pPr>
        <w:snapToGrid w:val="0"/>
        <w:spacing w:line="360" w:lineRule="auto"/>
        <w:rPr>
          <w:rFonts w:hint="eastAsia" w:ascii="宋体" w:hAnsi="宋体" w:cs="仿宋_GB2312"/>
          <w:highlight w:val="none"/>
        </w:rPr>
      </w:pPr>
      <w:r>
        <w:rPr>
          <w:rFonts w:hint="eastAsia" w:ascii="宋体" w:hAnsi="宋体" w:cs="仿宋_GB2312"/>
          <w:highlight w:val="none"/>
        </w:rPr>
        <w:t>（2</w:t>
      </w:r>
      <w:r>
        <w:rPr>
          <w:rFonts w:ascii="宋体" w:hAnsi="宋体" w:cs="仿宋_GB2312"/>
          <w:highlight w:val="none"/>
        </w:rPr>
        <w:t>）</w:t>
      </w:r>
      <w:r>
        <w:rPr>
          <w:rFonts w:hint="eastAsia" w:ascii="宋体" w:hAnsi="宋体"/>
          <w:highlight w:val="none"/>
        </w:rPr>
        <w:t>有效的企业营业执照（或事业法人登记证或其他登记证明材料）复印件；供应商如果有名称变更的，应提供由行政主管部门出具的变更证明文件复印件）</w:t>
      </w:r>
      <w:r>
        <w:rPr>
          <w:rFonts w:ascii="宋体" w:hAnsi="宋体" w:cs="仿宋_GB2312"/>
          <w:highlight w:val="none"/>
        </w:rPr>
        <w:t>……</w:t>
      </w:r>
      <w:r>
        <w:rPr>
          <w:rFonts w:hint="eastAsia" w:ascii="宋体" w:hAnsi="宋体" w:cs="仿宋_GB2312"/>
          <w:highlight w:val="none"/>
        </w:rPr>
        <w:t>……………</w:t>
      </w:r>
      <w:r>
        <w:rPr>
          <w:rFonts w:ascii="宋体" w:hAnsi="宋体" w:cs="仿宋_GB2312"/>
          <w:highlight w:val="none"/>
        </w:rPr>
        <w:t>……</w:t>
      </w:r>
      <w:r>
        <w:rPr>
          <w:rFonts w:hint="eastAsia" w:ascii="宋体" w:hAnsi="宋体" w:cs="仿宋_GB2312"/>
          <w:highlight w:val="none"/>
        </w:rPr>
        <w:t>……………</w:t>
      </w:r>
      <w:r>
        <w:rPr>
          <w:rFonts w:ascii="宋体" w:hAnsi="宋体" w:cs="仿宋_GB2312"/>
          <w:highlight w:val="none"/>
        </w:rPr>
        <w:t>……</w:t>
      </w:r>
      <w:r>
        <w:rPr>
          <w:rFonts w:hint="eastAsia" w:ascii="宋体" w:hAnsi="宋体" w:cs="仿宋_GB2312"/>
          <w:highlight w:val="none"/>
        </w:rPr>
        <w:t>……………</w:t>
      </w:r>
      <w:r>
        <w:rPr>
          <w:rFonts w:ascii="宋体" w:hAnsi="宋体" w:cs="仿宋_GB2312"/>
          <w:highlight w:val="none"/>
        </w:rPr>
        <w:t>……</w:t>
      </w:r>
      <w:r>
        <w:rPr>
          <w:rFonts w:hint="eastAsia" w:ascii="宋体" w:hAnsi="宋体" w:cs="仿宋_GB2312"/>
          <w:highlight w:val="none"/>
        </w:rPr>
        <w:t>…………… （页码）</w:t>
      </w:r>
    </w:p>
    <w:p>
      <w:pPr>
        <w:snapToGrid w:val="0"/>
        <w:spacing w:line="360" w:lineRule="auto"/>
        <w:rPr>
          <w:rFonts w:ascii="宋体" w:hAnsi="宋体" w:cs="仿宋_GB2312"/>
          <w:highlight w:val="none"/>
        </w:rPr>
      </w:pPr>
      <w:r>
        <w:rPr>
          <w:rFonts w:hint="eastAsia" w:ascii="宋体" w:hAnsi="宋体" w:cs="仿宋_GB2312"/>
          <w:highlight w:val="none"/>
        </w:rPr>
        <w:t>（3</w:t>
      </w:r>
      <w:r>
        <w:rPr>
          <w:rFonts w:ascii="宋体" w:hAnsi="宋体" w:cs="仿宋_GB2312"/>
          <w:highlight w:val="none"/>
        </w:rPr>
        <w:t>）落实政府采购政策需满足的资格要求……</w:t>
      </w:r>
      <w:r>
        <w:rPr>
          <w:rFonts w:hint="eastAsia" w:ascii="宋体" w:hAnsi="宋体" w:cs="仿宋_GB2312"/>
          <w:highlight w:val="none"/>
        </w:rPr>
        <w:t>…………………………（页码）</w:t>
      </w:r>
    </w:p>
    <w:p>
      <w:pPr>
        <w:snapToGrid w:val="0"/>
        <w:spacing w:line="360" w:lineRule="auto"/>
        <w:rPr>
          <w:rFonts w:ascii="宋体" w:hAnsi="宋体" w:cs="仿宋_GB2312"/>
          <w:highlight w:val="none"/>
        </w:rPr>
      </w:pPr>
      <w:r>
        <w:rPr>
          <w:rFonts w:hint="eastAsia" w:ascii="宋体" w:hAnsi="宋体" w:cs="仿宋_GB2312"/>
          <w:highlight w:val="none"/>
        </w:rPr>
        <w:t>（4</w:t>
      </w:r>
      <w:r>
        <w:rPr>
          <w:rFonts w:ascii="宋体" w:hAnsi="宋体" w:cs="仿宋_GB2312"/>
          <w:highlight w:val="none"/>
        </w:rPr>
        <w:t>）本项目的特定资格要求……</w:t>
      </w:r>
      <w:r>
        <w:rPr>
          <w:rFonts w:hint="eastAsia" w:ascii="宋体" w:hAnsi="宋体" w:cs="仿宋_GB2312"/>
          <w:highlight w:val="none"/>
        </w:rPr>
        <w:t>…………………………………………（页码）</w:t>
      </w:r>
    </w:p>
    <w:p>
      <w:pPr>
        <w:snapToGrid w:val="0"/>
        <w:spacing w:before="120" w:beforeLines="50" w:after="50"/>
        <w:jc w:val="left"/>
        <w:rPr>
          <w:rFonts w:hint="eastAsia" w:ascii="宋体" w:hAnsi="宋体"/>
          <w:b/>
          <w:bCs/>
          <w:szCs w:val="20"/>
          <w:highlight w:val="none"/>
        </w:rPr>
      </w:pPr>
      <w:r>
        <w:rPr>
          <w:rFonts w:hint="eastAsia" w:ascii="宋体" w:hAnsi="宋体"/>
          <w:b/>
          <w:bCs/>
          <w:szCs w:val="20"/>
          <w:highlight w:val="none"/>
        </w:rPr>
        <w:t>....</w:t>
      </w:r>
    </w:p>
    <w:p>
      <w:pPr>
        <w:snapToGrid w:val="0"/>
        <w:spacing w:before="120" w:beforeLines="50" w:after="50"/>
        <w:ind w:left="420"/>
        <w:rPr>
          <w:rFonts w:hint="eastAsia"/>
          <w:highlight w:val="none"/>
        </w:rPr>
      </w:pPr>
      <w:r>
        <w:rPr>
          <w:rFonts w:ascii="宋体" w:hAnsi="宋体"/>
          <w:b/>
          <w:highlight w:val="none"/>
        </w:rPr>
        <w:br w:type="page"/>
      </w:r>
    </w:p>
    <w:p>
      <w:pPr>
        <w:numPr>
          <w:ilvl w:val="1"/>
          <w:numId w:val="30"/>
        </w:numPr>
        <w:tabs>
          <w:tab w:val="left" w:pos="851"/>
        </w:tabs>
        <w:snapToGrid w:val="0"/>
        <w:spacing w:before="120" w:beforeLines="50" w:after="50" w:line="360" w:lineRule="auto"/>
        <w:ind w:left="0" w:firstLine="0"/>
        <w:jc w:val="left"/>
        <w:outlineLvl w:val="1"/>
        <w:rPr>
          <w:rFonts w:ascii="宋体" w:hAnsi="宋体"/>
          <w:b/>
          <w:bCs/>
          <w:sz w:val="28"/>
          <w:szCs w:val="28"/>
          <w:highlight w:val="none"/>
        </w:rPr>
      </w:pPr>
      <w:r>
        <w:rPr>
          <w:rFonts w:hint="eastAsia" w:ascii="宋体" w:hAnsi="宋体"/>
          <w:b/>
          <w:bCs/>
          <w:sz w:val="28"/>
          <w:szCs w:val="28"/>
          <w:highlight w:val="none"/>
        </w:rPr>
        <w:t>响应文件附件（附表）格式</w:t>
      </w:r>
    </w:p>
    <w:p>
      <w:pPr>
        <w:rPr>
          <w:rFonts w:hint="eastAsia"/>
          <w:highlight w:val="none"/>
        </w:rPr>
      </w:pPr>
    </w:p>
    <w:p>
      <w:pPr>
        <w:pStyle w:val="68"/>
        <w:numPr>
          <w:ilvl w:val="0"/>
          <w:numId w:val="31"/>
        </w:numPr>
        <w:snapToGrid w:val="0"/>
        <w:ind w:firstLineChars="0"/>
        <w:jc w:val="center"/>
        <w:outlineLvl w:val="2"/>
        <w:rPr>
          <w:rFonts w:hint="eastAsia" w:ascii="宋体" w:hAnsi="宋体"/>
          <w:b/>
          <w:highlight w:val="none"/>
        </w:rPr>
      </w:pPr>
      <w:r>
        <w:rPr>
          <w:rFonts w:hint="eastAsia" w:ascii="宋体" w:hAnsi="宋体"/>
          <w:b/>
          <w:highlight w:val="none"/>
        </w:rPr>
        <w:t>资格文件格式</w:t>
      </w:r>
    </w:p>
    <w:p>
      <w:pPr>
        <w:spacing w:line="400" w:lineRule="exact"/>
        <w:jc w:val="center"/>
        <w:rPr>
          <w:rFonts w:hint="eastAsia" w:ascii="宋体" w:hAnsi="宋体"/>
          <w:b/>
          <w:highlight w:val="none"/>
        </w:rPr>
      </w:pPr>
    </w:p>
    <w:p>
      <w:pPr>
        <w:numPr>
          <w:ilvl w:val="0"/>
          <w:numId w:val="32"/>
        </w:numPr>
        <w:snapToGrid w:val="0"/>
        <w:spacing w:before="120" w:beforeLines="50" w:after="50"/>
        <w:rPr>
          <w:rFonts w:hint="eastAsia" w:ascii="宋体" w:hAnsi="宋体"/>
          <w:b/>
          <w:highlight w:val="none"/>
        </w:rPr>
      </w:pPr>
      <w:r>
        <w:rPr>
          <w:rFonts w:hint="eastAsia" w:ascii="宋体" w:hAnsi="宋体"/>
          <w:b/>
          <w:highlight w:val="none"/>
        </w:rPr>
        <w:t>资格文件封面格式：</w:t>
      </w:r>
      <w:r>
        <w:rPr>
          <w:rFonts w:ascii="宋体" w:hAnsi="宋体"/>
          <w:b/>
          <w:highlight w:val="none"/>
        </w:rPr>
        <w:t xml:space="preserve"> </w:t>
      </w:r>
    </w:p>
    <w:p>
      <w:pPr>
        <w:rPr>
          <w:highlight w:val="none"/>
        </w:rPr>
      </w:pPr>
    </w:p>
    <w:p>
      <w:pPr>
        <w:snapToGrid w:val="0"/>
        <w:spacing w:line="360" w:lineRule="auto"/>
        <w:rPr>
          <w:rFonts w:hint="eastAsia" w:ascii="宋体" w:hAnsi="宋体"/>
          <w:b/>
          <w:bCs/>
          <w:highlight w:val="none"/>
        </w:rPr>
      </w:pPr>
      <w:r>
        <w:rPr>
          <w:rFonts w:ascii="宋体" w:hAnsi="宋体"/>
          <w:highlight w:val="none"/>
        </w:rPr>
        <w:t xml:space="preserve">                                                    </w:t>
      </w:r>
    </w:p>
    <w:p>
      <w:pPr>
        <w:snapToGrid w:val="0"/>
        <w:spacing w:line="360" w:lineRule="auto"/>
        <w:jc w:val="center"/>
        <w:rPr>
          <w:rFonts w:ascii="宋体" w:hAnsi="宋体"/>
          <w:b/>
          <w:bCs/>
          <w:sz w:val="32"/>
          <w:szCs w:val="32"/>
          <w:highlight w:val="none"/>
        </w:rPr>
      </w:pPr>
      <w:r>
        <w:rPr>
          <w:rFonts w:hint="eastAsia" w:ascii="宋体" w:hAnsi="宋体"/>
          <w:b/>
          <w:bCs/>
          <w:sz w:val="32"/>
          <w:szCs w:val="32"/>
          <w:highlight w:val="none"/>
        </w:rPr>
        <w:t>资格</w:t>
      </w:r>
      <w:r>
        <w:rPr>
          <w:rFonts w:hint="eastAsia" w:ascii="宋体" w:hAnsi="宋体"/>
          <w:b/>
          <w:sz w:val="32"/>
          <w:szCs w:val="32"/>
          <w:highlight w:val="none"/>
        </w:rPr>
        <w:t>文件</w:t>
      </w:r>
    </w:p>
    <w:p>
      <w:pPr>
        <w:snapToGrid w:val="0"/>
        <w:spacing w:line="360" w:lineRule="auto"/>
        <w:rPr>
          <w:rFonts w:ascii="宋体" w:hAnsi="宋体"/>
          <w:bCs/>
          <w:szCs w:val="20"/>
          <w:highlight w:val="none"/>
        </w:rPr>
      </w:pPr>
    </w:p>
    <w:p>
      <w:pPr>
        <w:snapToGrid w:val="0"/>
        <w:spacing w:line="360" w:lineRule="auto"/>
        <w:ind w:firstLine="1068" w:firstLineChars="445"/>
        <w:rPr>
          <w:rFonts w:hint="eastAsia" w:ascii="宋体" w:hAnsi="宋体"/>
          <w:bCs/>
          <w:highlight w:val="none"/>
        </w:rPr>
      </w:pPr>
      <w:r>
        <w:rPr>
          <w:rFonts w:hint="eastAsia" w:ascii="宋体" w:hAnsi="宋体"/>
          <w:bCs/>
          <w:highlight w:val="none"/>
        </w:rPr>
        <w:t>项目名称：</w:t>
      </w:r>
    </w:p>
    <w:p>
      <w:pPr>
        <w:snapToGrid w:val="0"/>
        <w:spacing w:line="360" w:lineRule="auto"/>
        <w:ind w:firstLine="1068" w:firstLineChars="445"/>
        <w:rPr>
          <w:rFonts w:hint="eastAsia" w:ascii="宋体" w:hAnsi="宋体"/>
          <w:bCs/>
          <w:highlight w:val="none"/>
        </w:rPr>
      </w:pPr>
      <w:r>
        <w:rPr>
          <w:rFonts w:hint="eastAsia" w:ascii="宋体" w:hAnsi="宋体"/>
          <w:bCs/>
          <w:highlight w:val="none"/>
        </w:rPr>
        <w:t>标项名称：</w:t>
      </w:r>
    </w:p>
    <w:p>
      <w:pPr>
        <w:snapToGrid w:val="0"/>
        <w:spacing w:line="360" w:lineRule="auto"/>
        <w:ind w:firstLine="1068" w:firstLineChars="445"/>
        <w:rPr>
          <w:rFonts w:hint="eastAsia" w:ascii="宋体" w:hAnsi="宋体"/>
          <w:bCs/>
          <w:highlight w:val="none"/>
        </w:rPr>
      </w:pPr>
      <w:r>
        <w:rPr>
          <w:rFonts w:hint="eastAsia" w:ascii="宋体" w:hAnsi="宋体"/>
          <w:bCs/>
          <w:highlight w:val="none"/>
        </w:rPr>
        <w:t>项目编号：</w:t>
      </w:r>
      <w:r>
        <w:rPr>
          <w:rFonts w:ascii="宋体" w:hAnsi="宋体"/>
          <w:bCs/>
          <w:highlight w:val="none"/>
        </w:rPr>
        <w:t xml:space="preserve"> </w:t>
      </w:r>
    </w:p>
    <w:p>
      <w:pPr>
        <w:pStyle w:val="5"/>
        <w:snapToGrid w:val="0"/>
        <w:spacing w:line="360" w:lineRule="auto"/>
        <w:ind w:firstLine="1068" w:firstLineChars="445"/>
        <w:rPr>
          <w:rFonts w:ascii="宋体" w:hAnsi="宋体"/>
          <w:bCs/>
          <w:sz w:val="24"/>
          <w:highlight w:val="none"/>
        </w:rPr>
      </w:pPr>
      <w:r>
        <w:rPr>
          <w:rFonts w:hint="eastAsia" w:ascii="宋体" w:hAnsi="宋体"/>
          <w:bCs/>
          <w:sz w:val="24"/>
          <w:highlight w:val="none"/>
        </w:rPr>
        <w:t>供应商名称：</w:t>
      </w:r>
    </w:p>
    <w:p>
      <w:pPr>
        <w:pStyle w:val="5"/>
        <w:snapToGrid w:val="0"/>
        <w:spacing w:line="360" w:lineRule="auto"/>
        <w:ind w:firstLine="1068" w:firstLineChars="445"/>
        <w:rPr>
          <w:rFonts w:ascii="宋体" w:hAnsi="宋体"/>
          <w:bCs/>
          <w:sz w:val="24"/>
          <w:highlight w:val="none"/>
        </w:rPr>
      </w:pPr>
      <w:r>
        <w:rPr>
          <w:rFonts w:hint="eastAsia" w:ascii="宋体" w:hAnsi="宋体"/>
          <w:bCs/>
          <w:sz w:val="24"/>
          <w:highlight w:val="none"/>
        </w:rPr>
        <w:t>供应商地址：</w:t>
      </w:r>
    </w:p>
    <w:p>
      <w:pPr>
        <w:snapToGrid w:val="0"/>
        <w:spacing w:line="360" w:lineRule="auto"/>
        <w:ind w:firstLine="4080" w:firstLineChars="1700"/>
        <w:rPr>
          <w:rFonts w:ascii="宋体" w:hAnsi="宋体"/>
          <w:szCs w:val="20"/>
          <w:highlight w:val="none"/>
        </w:rPr>
      </w:pPr>
    </w:p>
    <w:p>
      <w:pPr>
        <w:snapToGrid w:val="0"/>
        <w:spacing w:line="360" w:lineRule="auto"/>
        <w:ind w:firstLine="645"/>
        <w:jc w:val="center"/>
        <w:rPr>
          <w:rFonts w:hint="eastAsia" w:ascii="宋体" w:hAnsi="宋体"/>
          <w:highlight w:val="none"/>
        </w:rPr>
      </w:pPr>
      <w:r>
        <w:rPr>
          <w:rFonts w:ascii="宋体" w:hAnsi="宋体"/>
          <w:highlight w:val="none"/>
        </w:rPr>
        <w:t xml:space="preserve">                       </w:t>
      </w:r>
      <w:r>
        <w:rPr>
          <w:rFonts w:hint="eastAsia" w:ascii="宋体" w:hAnsi="宋体"/>
          <w:highlight w:val="non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rPr>
        <w:t xml:space="preserve">  </w:t>
      </w:r>
      <w:r>
        <w:rPr>
          <w:rFonts w:hint="eastAsia" w:ascii="宋体" w:hAnsi="宋体"/>
          <w:highlight w:val="none"/>
        </w:rPr>
        <w:t>月</w:t>
      </w:r>
      <w:r>
        <w:rPr>
          <w:rFonts w:ascii="宋体" w:hAnsi="宋体"/>
          <w:highlight w:val="none"/>
        </w:rPr>
        <w:t xml:space="preserve">  </w:t>
      </w:r>
      <w:r>
        <w:rPr>
          <w:rFonts w:hint="eastAsia" w:ascii="宋体" w:hAnsi="宋体"/>
          <w:highlight w:val="none"/>
        </w:rPr>
        <w:t>日</w:t>
      </w:r>
    </w:p>
    <w:p>
      <w:pPr>
        <w:spacing w:line="400" w:lineRule="exact"/>
        <w:jc w:val="center"/>
        <w:rPr>
          <w:rFonts w:hint="eastAsia" w:ascii="宋体" w:hAnsi="宋体"/>
          <w:b/>
          <w:highlight w:val="none"/>
        </w:rPr>
      </w:pPr>
    </w:p>
    <w:p>
      <w:pPr>
        <w:spacing w:line="400" w:lineRule="exact"/>
        <w:jc w:val="center"/>
        <w:rPr>
          <w:rFonts w:hint="eastAsia" w:ascii="宋体" w:hAnsi="宋体"/>
          <w:b/>
          <w:highlight w:val="none"/>
        </w:rPr>
      </w:pPr>
    </w:p>
    <w:p>
      <w:pPr>
        <w:numPr>
          <w:ilvl w:val="0"/>
          <w:numId w:val="32"/>
        </w:numPr>
        <w:snapToGrid w:val="0"/>
        <w:spacing w:before="120" w:beforeLines="50" w:after="50"/>
        <w:rPr>
          <w:rFonts w:hint="eastAsia" w:ascii="宋体" w:hAnsi="宋体"/>
          <w:b/>
          <w:highlight w:val="none"/>
        </w:rPr>
      </w:pPr>
      <w:r>
        <w:rPr>
          <w:rFonts w:ascii="宋体" w:hAnsi="宋体"/>
          <w:b/>
          <w:highlight w:val="none"/>
        </w:rPr>
        <w:br w:type="page"/>
      </w:r>
      <w:r>
        <w:rPr>
          <w:rFonts w:ascii="宋体" w:hAnsi="宋体"/>
          <w:b/>
          <w:highlight w:val="none"/>
        </w:rPr>
        <w:t>符合参加政府采购活动应当具备的一般条件的承诺函</w:t>
      </w:r>
      <w:r>
        <w:rPr>
          <w:rFonts w:hint="eastAsia" w:ascii="宋体" w:hAnsi="宋体"/>
          <w:b/>
          <w:highlight w:val="none"/>
        </w:rPr>
        <w:t>格式</w:t>
      </w:r>
    </w:p>
    <w:p>
      <w:pPr>
        <w:spacing w:line="400" w:lineRule="exact"/>
        <w:jc w:val="center"/>
        <w:rPr>
          <w:rFonts w:hint="eastAsia" w:ascii="宋体" w:hAnsi="宋体"/>
          <w:highlight w:val="none"/>
        </w:rPr>
      </w:pPr>
    </w:p>
    <w:p>
      <w:pPr>
        <w:spacing w:line="400" w:lineRule="exact"/>
        <w:jc w:val="center"/>
        <w:rPr>
          <w:rFonts w:hint="eastAsia" w:ascii="仿宋_GB2312" w:hAnsi="仿宋" w:eastAsia="仿宋_GB2312" w:cs="仿宋_GB2312"/>
          <w:b/>
          <w:kern w:val="0"/>
          <w:sz w:val="32"/>
          <w:szCs w:val="32"/>
          <w:highlight w:val="none"/>
        </w:rPr>
      </w:pPr>
      <w:r>
        <w:rPr>
          <w:rFonts w:ascii="仿宋_GB2312" w:hAnsi="仿宋" w:eastAsia="仿宋_GB2312" w:cs="仿宋_GB2312"/>
          <w:b/>
          <w:kern w:val="0"/>
          <w:sz w:val="32"/>
          <w:szCs w:val="32"/>
          <w:highlight w:val="none"/>
        </w:rPr>
        <w:t>符合参加政府采购活动应当具备的一般条件的承诺函</w:t>
      </w:r>
    </w:p>
    <w:p>
      <w:pPr>
        <w:spacing w:line="400" w:lineRule="exact"/>
        <w:jc w:val="center"/>
        <w:rPr>
          <w:rFonts w:hint="eastAsia" w:ascii="宋体" w:hAnsi="宋体"/>
          <w:highlight w:val="none"/>
        </w:rPr>
      </w:pPr>
    </w:p>
    <w:p>
      <w:pPr>
        <w:snapToGrid w:val="0"/>
        <w:spacing w:line="360" w:lineRule="auto"/>
        <w:rPr>
          <w:rFonts w:ascii="宋体" w:hAnsi="宋体" w:cs="仿宋_GB2312"/>
          <w:highlight w:val="none"/>
        </w:rPr>
      </w:pPr>
      <w:r>
        <w:rPr>
          <w:rFonts w:hint="eastAsia" w:ascii="宋体" w:hAnsi="宋体" w:cs="仿宋_GB2312"/>
          <w:highlight w:val="none"/>
        </w:rPr>
        <w:t>（采购人）、（采购代理机构）：</w:t>
      </w:r>
    </w:p>
    <w:p>
      <w:pPr>
        <w:snapToGrid w:val="0"/>
        <w:spacing w:line="360" w:lineRule="auto"/>
        <w:ind w:firstLine="480" w:firstLineChars="200"/>
        <w:rPr>
          <w:rFonts w:ascii="宋体" w:hAnsi="宋体" w:cs="仿宋_GB2312"/>
          <w:highlight w:val="none"/>
        </w:rPr>
      </w:pPr>
      <w:r>
        <w:rPr>
          <w:rFonts w:hint="eastAsia" w:ascii="宋体" w:hAnsi="宋体" w:cs="仿宋_GB2312"/>
          <w:highlight w:val="none"/>
        </w:rPr>
        <w:t>我方参与（项目名称）【招标编号：</w:t>
      </w:r>
      <w:r>
        <w:rPr>
          <w:rFonts w:hint="eastAsia" w:ascii="宋体" w:hAnsi="宋体"/>
          <w:highlight w:val="none"/>
        </w:rPr>
        <w:t>（采购编号）</w:t>
      </w:r>
      <w:r>
        <w:rPr>
          <w:rFonts w:hint="eastAsia" w:ascii="宋体" w:hAnsi="宋体" w:cs="仿宋_GB2312"/>
          <w:highlight w:val="none"/>
        </w:rPr>
        <w:t>】政府采购活动，郑重承诺：</w:t>
      </w:r>
    </w:p>
    <w:p>
      <w:pPr>
        <w:snapToGrid w:val="0"/>
        <w:spacing w:line="360" w:lineRule="auto"/>
        <w:ind w:firstLine="360" w:firstLineChars="150"/>
        <w:rPr>
          <w:rFonts w:ascii="宋体" w:hAnsi="宋体" w:cs="仿宋_GB2312"/>
          <w:highlight w:val="none"/>
        </w:rPr>
      </w:pPr>
      <w:r>
        <w:rPr>
          <w:rFonts w:hint="eastAsia" w:ascii="宋体" w:hAnsi="宋体" w:cs="仿宋_GB2312"/>
          <w:highlight w:val="none"/>
        </w:rPr>
        <w:t>（一）具备《中华人民共和国政府采购法》第二十二条第一款规定的条件：</w:t>
      </w:r>
    </w:p>
    <w:p>
      <w:pPr>
        <w:snapToGrid w:val="0"/>
        <w:spacing w:line="360" w:lineRule="auto"/>
        <w:ind w:firstLine="480" w:firstLineChars="200"/>
        <w:rPr>
          <w:rFonts w:ascii="宋体" w:hAnsi="宋体" w:cs="仿宋_GB2312"/>
          <w:highlight w:val="none"/>
        </w:rPr>
      </w:pPr>
      <w:r>
        <w:rPr>
          <w:rFonts w:hint="eastAsia" w:ascii="宋体" w:hAnsi="宋体" w:cs="仿宋_GB2312"/>
          <w:highlight w:val="none"/>
        </w:rPr>
        <w:t>1、</w:t>
      </w:r>
      <w:r>
        <w:rPr>
          <w:rFonts w:ascii="宋体" w:hAnsi="宋体" w:cs="仿宋_GB2312"/>
          <w:highlight w:val="none"/>
        </w:rPr>
        <w:t>具有独立承担民事责任的能力；</w:t>
      </w:r>
    </w:p>
    <w:p>
      <w:pPr>
        <w:snapToGrid w:val="0"/>
        <w:spacing w:line="360" w:lineRule="auto"/>
        <w:ind w:firstLine="480" w:firstLineChars="200"/>
        <w:rPr>
          <w:rFonts w:ascii="宋体" w:hAnsi="宋体"/>
          <w:highlight w:val="none"/>
        </w:rPr>
      </w:pPr>
      <w:r>
        <w:rPr>
          <w:rFonts w:hint="eastAsia" w:ascii="宋体" w:hAnsi="宋体"/>
          <w:highlight w:val="none"/>
        </w:rPr>
        <w:t>2、</w:t>
      </w:r>
      <w:r>
        <w:rPr>
          <w:rFonts w:ascii="宋体" w:hAnsi="宋体"/>
          <w:highlight w:val="none"/>
        </w:rPr>
        <w:t xml:space="preserve">具有良好的商业信誉和健全的财务会计制度； </w:t>
      </w:r>
    </w:p>
    <w:p>
      <w:pPr>
        <w:snapToGrid w:val="0"/>
        <w:spacing w:line="360" w:lineRule="auto"/>
        <w:ind w:firstLine="480" w:firstLineChars="200"/>
        <w:rPr>
          <w:rFonts w:ascii="宋体" w:hAnsi="宋体"/>
          <w:highlight w:val="none"/>
        </w:rPr>
      </w:pPr>
      <w:r>
        <w:rPr>
          <w:rFonts w:hint="eastAsia" w:ascii="宋体" w:hAnsi="宋体"/>
          <w:highlight w:val="none"/>
        </w:rPr>
        <w:t>3、</w:t>
      </w:r>
      <w:r>
        <w:rPr>
          <w:rFonts w:ascii="宋体" w:hAnsi="宋体"/>
          <w:highlight w:val="none"/>
        </w:rPr>
        <w:t>具有履行合同所必需的设备和专业技术能力；</w:t>
      </w:r>
    </w:p>
    <w:p>
      <w:pPr>
        <w:snapToGrid w:val="0"/>
        <w:spacing w:line="360" w:lineRule="auto"/>
        <w:ind w:firstLine="480" w:firstLineChars="200"/>
        <w:rPr>
          <w:rFonts w:ascii="宋体" w:hAnsi="宋体"/>
          <w:highlight w:val="none"/>
        </w:rPr>
      </w:pPr>
      <w:r>
        <w:rPr>
          <w:rFonts w:hint="eastAsia" w:ascii="宋体" w:hAnsi="宋体"/>
          <w:highlight w:val="none"/>
        </w:rPr>
        <w:t>4、</w:t>
      </w:r>
      <w:r>
        <w:rPr>
          <w:rFonts w:ascii="宋体" w:hAnsi="宋体"/>
          <w:highlight w:val="none"/>
        </w:rPr>
        <w:t>有依法缴纳税收和社会保障资金的良好记录；</w:t>
      </w:r>
    </w:p>
    <w:p>
      <w:pPr>
        <w:snapToGrid w:val="0"/>
        <w:spacing w:line="360" w:lineRule="auto"/>
        <w:ind w:firstLine="480" w:firstLineChars="200"/>
        <w:rPr>
          <w:rFonts w:ascii="宋体" w:hAnsi="宋体"/>
          <w:highlight w:val="none"/>
        </w:rPr>
      </w:pPr>
      <w:r>
        <w:rPr>
          <w:rFonts w:hint="eastAsia" w:ascii="宋体" w:hAnsi="宋体"/>
          <w:highlight w:val="none"/>
        </w:rPr>
        <w:t>5、</w:t>
      </w:r>
      <w:r>
        <w:rPr>
          <w:rFonts w:ascii="宋体" w:hAnsi="宋体"/>
          <w:highlight w:val="none"/>
        </w:rPr>
        <w:t>参加政府采购活动前三年内，在经营活动中没有重大违法记录；</w:t>
      </w:r>
    </w:p>
    <w:p>
      <w:pPr>
        <w:snapToGrid w:val="0"/>
        <w:spacing w:line="360" w:lineRule="auto"/>
        <w:ind w:firstLine="480" w:firstLineChars="200"/>
        <w:rPr>
          <w:rFonts w:ascii="宋体" w:hAnsi="宋体"/>
          <w:highlight w:val="none"/>
        </w:rPr>
      </w:pPr>
      <w:r>
        <w:rPr>
          <w:rFonts w:hint="eastAsia" w:ascii="宋体" w:hAnsi="宋体"/>
          <w:highlight w:val="none"/>
        </w:rPr>
        <w:t>6、</w:t>
      </w:r>
      <w:r>
        <w:rPr>
          <w:rFonts w:ascii="宋体" w:hAnsi="宋体"/>
          <w:highlight w:val="none"/>
        </w:rPr>
        <w:t>具有法律、行政法规规定的其他条件。</w:t>
      </w:r>
    </w:p>
    <w:p>
      <w:pPr>
        <w:snapToGrid w:val="0"/>
        <w:spacing w:line="360" w:lineRule="auto"/>
        <w:ind w:firstLine="480" w:firstLineChars="200"/>
        <w:rPr>
          <w:rFonts w:ascii="宋体" w:hAnsi="宋体"/>
          <w:highlight w:val="none"/>
        </w:rPr>
      </w:pPr>
      <w:r>
        <w:rPr>
          <w:rFonts w:hint="eastAsia" w:ascii="宋体" w:hAnsi="宋体"/>
          <w:highlight w:val="none"/>
        </w:rPr>
        <w:t>（二）未被信用中国（</w:t>
      </w:r>
      <w:r>
        <w:rPr>
          <w:rFonts w:ascii="宋体" w:hAnsi="宋体"/>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highlight w:val="none"/>
        </w:rPr>
      </w:pPr>
      <w:r>
        <w:rPr>
          <w:rFonts w:hint="eastAsia" w:ascii="宋体" w:hAnsi="宋体"/>
          <w:highlight w:val="none"/>
        </w:rPr>
        <w:t>（三）不存在以下情况：</w:t>
      </w:r>
    </w:p>
    <w:p>
      <w:pPr>
        <w:snapToGrid w:val="0"/>
        <w:spacing w:line="360" w:lineRule="auto"/>
        <w:ind w:firstLine="480" w:firstLineChars="200"/>
        <w:rPr>
          <w:rFonts w:ascii="宋体" w:hAnsi="宋体" w:cs="仿宋_GB2312"/>
          <w:highlight w:val="none"/>
        </w:rPr>
      </w:pPr>
      <w:r>
        <w:rPr>
          <w:rFonts w:hint="eastAsia" w:ascii="宋体" w:hAnsi="宋体" w:cs="仿宋_GB2312"/>
          <w:highlight w:val="none"/>
        </w:rPr>
        <w:t>1、</w:t>
      </w:r>
      <w:r>
        <w:rPr>
          <w:rFonts w:ascii="宋体" w:hAnsi="宋体" w:cs="仿宋_GB2312"/>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宋体" w:hAnsi="宋体" w:cs="仿宋_GB2312"/>
          <w:highlight w:val="none"/>
        </w:rPr>
      </w:pPr>
      <w:r>
        <w:rPr>
          <w:rFonts w:hint="eastAsia" w:ascii="宋体" w:hAnsi="宋体" w:cs="仿宋_GB2312"/>
          <w:highlight w:val="none"/>
        </w:rPr>
        <w:t>2、</w:t>
      </w:r>
      <w:r>
        <w:rPr>
          <w:rFonts w:ascii="宋体" w:hAnsi="宋体" w:cs="仿宋_GB2312"/>
          <w:highlight w:val="none"/>
        </w:rPr>
        <w:t>为采购项目提供整体设计、规范编制或者项目管理、监理、检测等服务后再参加该采购项目的其他采购活动的。</w:t>
      </w:r>
    </w:p>
    <w:p>
      <w:pPr>
        <w:snapToGrid w:val="0"/>
        <w:spacing w:before="120" w:beforeLines="50" w:after="50" w:line="400" w:lineRule="exact"/>
        <w:ind w:firstLine="4440" w:firstLineChars="1850"/>
        <w:rPr>
          <w:rFonts w:ascii="宋体" w:hAnsi="宋体"/>
          <w:highlight w:val="none"/>
        </w:rPr>
      </w:pPr>
      <w:r>
        <w:rPr>
          <w:rFonts w:hint="eastAsia" w:ascii="宋体" w:hAnsi="宋体"/>
          <w:bCs/>
          <w:highlight w:val="none"/>
        </w:rPr>
        <w:t>供应商（盖章）</w:t>
      </w:r>
      <w:r>
        <w:rPr>
          <w:rFonts w:hint="eastAsia" w:ascii="宋体" w:hAnsi="宋体"/>
          <w:highlight w:val="none"/>
        </w:rPr>
        <w:t>：</w:t>
      </w:r>
      <w:r>
        <w:rPr>
          <w:rFonts w:ascii="宋体" w:hAnsi="宋体"/>
          <w:highlight w:val="none"/>
          <w:u w:val="single"/>
        </w:rPr>
        <w:t xml:space="preserve">               </w:t>
      </w:r>
      <w:r>
        <w:rPr>
          <w:rFonts w:ascii="宋体" w:hAnsi="宋体"/>
          <w:highlight w:val="none"/>
        </w:rPr>
        <w:t xml:space="preserve">                      </w:t>
      </w:r>
    </w:p>
    <w:p>
      <w:pPr>
        <w:snapToGrid w:val="0"/>
        <w:spacing w:line="360" w:lineRule="auto"/>
        <w:ind w:firstLine="5040" w:firstLineChars="2100"/>
        <w:rPr>
          <w:rFonts w:hint="eastAsia" w:ascii="宋体" w:hAnsi="宋体" w:cs="仿宋_GB2312"/>
          <w:kern w:val="0"/>
          <w:highlight w:val="none"/>
          <w:lang w:val="zh-CN"/>
        </w:rPr>
      </w:pPr>
    </w:p>
    <w:p>
      <w:pPr>
        <w:snapToGrid w:val="0"/>
        <w:spacing w:line="360" w:lineRule="auto"/>
        <w:ind w:firstLine="5640" w:firstLineChars="2350"/>
        <w:rPr>
          <w:rFonts w:ascii="宋体" w:hAnsi="宋体" w:cs="仿宋_GB2312"/>
          <w:kern w:val="0"/>
          <w:highlight w:val="none"/>
        </w:rPr>
      </w:pPr>
      <w:r>
        <w:rPr>
          <w:rFonts w:hint="eastAsia" w:ascii="宋体" w:hAnsi="宋体" w:cs="仿宋_GB2312"/>
          <w:kern w:val="0"/>
          <w:highlight w:val="none"/>
          <w:lang w:val="zh-CN"/>
        </w:rPr>
        <w:t>日期</w:t>
      </w:r>
      <w:r>
        <w:rPr>
          <w:rFonts w:hint="eastAsia" w:ascii="宋体" w:hAnsi="宋体" w:cs="仿宋_GB2312"/>
          <w:kern w:val="0"/>
          <w:highlight w:val="none"/>
        </w:rPr>
        <w:t>：</w:t>
      </w:r>
      <w:r>
        <w:rPr>
          <w:rFonts w:ascii="宋体" w:hAnsi="宋体" w:cs="仿宋_GB2312"/>
          <w:kern w:val="0"/>
          <w:highlight w:val="none"/>
        </w:rPr>
        <w:t xml:space="preserve">  年  </w:t>
      </w:r>
      <w:r>
        <w:rPr>
          <w:rFonts w:hint="eastAsia" w:ascii="宋体" w:hAnsi="宋体" w:cs="仿宋_GB2312"/>
          <w:kern w:val="0"/>
          <w:highlight w:val="none"/>
          <w:lang w:val="zh-CN"/>
        </w:rPr>
        <w:t>月  日</w:t>
      </w:r>
    </w:p>
    <w:p>
      <w:pPr>
        <w:pStyle w:val="30"/>
        <w:spacing w:before="0" w:beforeAutospacing="0" w:after="0" w:afterAutospacing="0" w:line="400" w:lineRule="exact"/>
        <w:ind w:right="31" w:firstLine="660"/>
        <w:jc w:val="both"/>
        <w:rPr>
          <w:bCs/>
          <w:highlight w:val="none"/>
        </w:rPr>
      </w:pPr>
    </w:p>
    <w:p>
      <w:pPr>
        <w:pStyle w:val="30"/>
        <w:spacing w:before="0" w:beforeAutospacing="0" w:after="0" w:afterAutospacing="0" w:line="400" w:lineRule="exact"/>
        <w:ind w:right="31" w:firstLine="660"/>
        <w:jc w:val="both"/>
        <w:rPr>
          <w:bCs/>
          <w:highlight w:val="none"/>
        </w:rPr>
      </w:pPr>
    </w:p>
    <w:p>
      <w:pPr>
        <w:spacing w:line="440" w:lineRule="exact"/>
        <w:jc w:val="center"/>
        <w:rPr>
          <w:rStyle w:val="73"/>
          <w:rFonts w:ascii="宋体" w:hAnsi="宋体"/>
          <w:highlight w:val="none"/>
        </w:rPr>
      </w:pPr>
    </w:p>
    <w:p>
      <w:pPr>
        <w:numPr>
          <w:ilvl w:val="0"/>
          <w:numId w:val="32"/>
        </w:numPr>
        <w:snapToGrid w:val="0"/>
        <w:spacing w:before="120" w:beforeLines="50" w:after="50"/>
        <w:rPr>
          <w:rFonts w:hint="eastAsia" w:ascii="宋体" w:hAnsi="宋体"/>
          <w:b/>
          <w:highlight w:val="none"/>
        </w:rPr>
      </w:pPr>
      <w:r>
        <w:rPr>
          <w:rFonts w:ascii="宋体" w:hAnsi="宋体"/>
          <w:b/>
          <w:highlight w:val="none"/>
        </w:rPr>
        <w:br w:type="page"/>
      </w:r>
      <w:r>
        <w:rPr>
          <w:rFonts w:hint="eastAsia" w:ascii="宋体" w:hAnsi="宋体"/>
          <w:b/>
          <w:highlight w:val="none"/>
        </w:rPr>
        <w:t>有效的企业营业执照（或事业法人登记证或其他登记证明材料）复印件；供应商如果有名称变更的，应提供由行政主管部门出具的变更证明文件复印件）</w:t>
      </w:r>
    </w:p>
    <w:p>
      <w:pPr>
        <w:pStyle w:val="68"/>
        <w:snapToGrid w:val="0"/>
        <w:ind w:left="420" w:firstLine="0" w:firstLineChars="0"/>
        <w:rPr>
          <w:rFonts w:ascii="宋体" w:hAnsi="宋体"/>
          <w:szCs w:val="20"/>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pStyle w:val="68"/>
        <w:snapToGrid w:val="0"/>
        <w:ind w:left="420" w:firstLine="0" w:firstLineChars="0"/>
        <w:rPr>
          <w:rFonts w:hint="eastAsia" w:ascii="宋体" w:hAnsi="宋体"/>
          <w:b/>
          <w:highlight w:val="none"/>
        </w:rPr>
      </w:pPr>
    </w:p>
    <w:p>
      <w:pPr>
        <w:widowControl/>
        <w:jc w:val="left"/>
        <w:rPr>
          <w:rFonts w:ascii="宋体" w:hAnsi="宋体"/>
          <w:szCs w:val="20"/>
          <w:highlight w:val="none"/>
        </w:rPr>
      </w:pPr>
    </w:p>
    <w:p>
      <w:pPr>
        <w:keepNext w:val="0"/>
        <w:keepLines w:val="0"/>
        <w:pageBreakBefore w:val="0"/>
        <w:widowControl w:val="0"/>
        <w:numPr>
          <w:ilvl w:val="0"/>
          <w:numId w:val="32"/>
        </w:numPr>
        <w:kinsoku/>
        <w:wordWrap/>
        <w:overflowPunct/>
        <w:topLinePunct w:val="0"/>
        <w:autoSpaceDE/>
        <w:autoSpaceDN/>
        <w:bidi w:val="0"/>
        <w:adjustRightInd/>
        <w:snapToGrid w:val="0"/>
        <w:spacing w:before="120" w:beforeLines="50" w:after="50" w:line="360" w:lineRule="auto"/>
        <w:textAlignment w:val="auto"/>
        <w:rPr>
          <w:rFonts w:hint="eastAsia" w:ascii="宋体" w:hAnsi="宋体"/>
          <w:b/>
          <w:sz w:val="32"/>
          <w:szCs w:val="32"/>
          <w:highlight w:val="none"/>
        </w:rPr>
      </w:pPr>
      <w:r>
        <w:rPr>
          <w:rFonts w:ascii="宋体" w:hAnsi="宋体"/>
          <w:b/>
          <w:highlight w:val="none"/>
        </w:rPr>
        <w:t>落实政府采购政策需满足的资格要求</w:t>
      </w:r>
      <w:r>
        <w:rPr>
          <w:rFonts w:hint="eastAsia" w:ascii="宋体" w:hAnsi="宋体"/>
          <w:b/>
          <w:highlight w:val="none"/>
        </w:rPr>
        <w:t>格式</w:t>
      </w:r>
    </w:p>
    <w:p>
      <w:pPr>
        <w:keepNext w:val="0"/>
        <w:keepLines w:val="0"/>
        <w:pageBreakBefore w:val="0"/>
        <w:widowControl w:val="0"/>
        <w:kinsoku/>
        <w:wordWrap/>
        <w:overflowPunct/>
        <w:topLinePunct w:val="0"/>
        <w:autoSpaceDE/>
        <w:autoSpaceDN/>
        <w:bidi w:val="0"/>
        <w:adjustRightInd/>
        <w:snapToGrid w:val="0"/>
        <w:spacing w:before="120" w:beforeLines="50" w:after="50" w:line="360" w:lineRule="auto"/>
        <w:jc w:val="center"/>
        <w:textAlignment w:val="auto"/>
        <w:rPr>
          <w:rFonts w:hint="eastAsia" w:ascii="宋体" w:hAnsi="宋体" w:cs="宋体"/>
          <w:b/>
          <w:bCs/>
          <w:sz w:val="32"/>
          <w:szCs w:val="32"/>
          <w:highlight w:val="none"/>
        </w:rPr>
      </w:pPr>
      <w:r>
        <w:rPr>
          <w:rFonts w:ascii="宋体" w:hAnsi="宋体"/>
          <w:b/>
          <w:sz w:val="32"/>
          <w:szCs w:val="32"/>
          <w:highlight w:val="none"/>
        </w:rPr>
        <w:t>落实政府采购政策需满足的资格要求</w:t>
      </w:r>
    </w:p>
    <w:p>
      <w:pPr>
        <w:snapToGrid w:val="0"/>
        <w:jc w:val="center"/>
        <w:rPr>
          <w:rFonts w:ascii="宋体" w:hAnsi="宋体"/>
          <w:b/>
          <w:color w:val="auto"/>
          <w:sz w:val="32"/>
          <w:szCs w:val="32"/>
          <w:highlight w:val="none"/>
        </w:rPr>
      </w:pPr>
      <w:r>
        <w:rPr>
          <w:rFonts w:hint="eastAsia" w:ascii="宋体" w:hAnsi="宋体"/>
          <w:b/>
          <w:color w:val="auto"/>
          <w:sz w:val="32"/>
          <w:szCs w:val="32"/>
          <w:highlight w:val="none"/>
        </w:rPr>
        <w:t>中小企业声明函（货物）</w:t>
      </w:r>
    </w:p>
    <w:p>
      <w:pPr>
        <w:pStyle w:val="143"/>
        <w:snapToGrid w:val="0"/>
        <w:spacing w:line="480" w:lineRule="exact"/>
        <w:ind w:firstLine="494"/>
        <w:rPr>
          <w:rFonts w:ascii="宋体" w:eastAsia="宋体"/>
          <w:b w:val="0"/>
          <w:bCs/>
          <w:color w:val="auto"/>
          <w:sz w:val="24"/>
          <w:szCs w:val="24"/>
          <w:highlight w:val="none"/>
        </w:rPr>
      </w:pPr>
      <w:r>
        <w:rPr>
          <w:rFonts w:hint="eastAsia" w:ascii="宋体" w:eastAsia="宋体"/>
          <w:bCs/>
          <w:color w:val="auto"/>
          <w:sz w:val="24"/>
          <w:szCs w:val="24"/>
          <w:highlight w:val="none"/>
        </w:rPr>
        <w:t>本公司（联合体）郑重声明，根据《政府采购促进中小企业发展管理办法》（财库﹝2020﹞46 号）的规</w:t>
      </w:r>
      <w:r>
        <w:rPr>
          <w:rFonts w:hint="eastAsia" w:ascii="宋体" w:eastAsia="宋体"/>
          <w:b w:val="0"/>
          <w:bCs/>
          <w:color w:val="auto"/>
          <w:sz w:val="24"/>
          <w:szCs w:val="24"/>
          <w:highlight w:val="none"/>
        </w:rPr>
        <w:t>定，本公司（联合体）参加</w:t>
      </w:r>
      <w:r>
        <w:rPr>
          <w:rFonts w:hint="eastAsia" w:ascii="宋体" w:eastAsia="宋体"/>
          <w:b w:val="0"/>
          <w:bCs/>
          <w:color w:val="auto"/>
          <w:sz w:val="24"/>
          <w:szCs w:val="24"/>
          <w:highlight w:val="none"/>
          <w:u w:val="single"/>
        </w:rPr>
        <w:t xml:space="preserve">  （单位名称）  </w:t>
      </w:r>
      <w:r>
        <w:rPr>
          <w:rFonts w:hint="eastAsia" w:ascii="宋体" w:eastAsia="宋体"/>
          <w:b w:val="0"/>
          <w:bCs/>
          <w:color w:val="auto"/>
          <w:sz w:val="24"/>
          <w:szCs w:val="24"/>
          <w:highlight w:val="none"/>
        </w:rPr>
        <w:t>的</w:t>
      </w:r>
      <w:r>
        <w:rPr>
          <w:rFonts w:hint="eastAsia" w:ascii="宋体" w:eastAsia="宋体"/>
          <w:b w:val="0"/>
          <w:bCs/>
          <w:color w:val="auto"/>
          <w:sz w:val="24"/>
          <w:szCs w:val="24"/>
          <w:highlight w:val="none"/>
          <w:u w:val="single"/>
        </w:rPr>
        <w:t xml:space="preserve">  （项目名称） </w:t>
      </w:r>
      <w:r>
        <w:rPr>
          <w:rFonts w:hint="eastAsia" w:ascii="宋体" w:eastAsia="宋体"/>
          <w:b w:val="0"/>
          <w:bCs/>
          <w:color w:val="auto"/>
          <w:sz w:val="24"/>
          <w:szCs w:val="24"/>
          <w:highlight w:val="none"/>
        </w:rPr>
        <w:t>采购活动，提供的货物全部由符合政策要求的中小企业制造。相关企业（含联合体中的中小企业、签订分包意向协议的中小企业）的具体情况如下：</w:t>
      </w:r>
    </w:p>
    <w:p>
      <w:pPr>
        <w:pStyle w:val="143"/>
        <w:snapToGrid w:val="0"/>
        <w:spacing w:line="480" w:lineRule="exact"/>
        <w:ind w:firstLine="494"/>
        <w:rPr>
          <w:rFonts w:ascii="宋体" w:eastAsia="宋体"/>
          <w:b w:val="0"/>
          <w:bCs/>
          <w:color w:val="auto"/>
          <w:sz w:val="24"/>
          <w:szCs w:val="24"/>
          <w:highlight w:val="none"/>
        </w:rPr>
      </w:pPr>
      <w:r>
        <w:rPr>
          <w:rFonts w:hint="eastAsia" w:ascii="宋体" w:eastAsia="宋体"/>
          <w:b w:val="0"/>
          <w:bCs/>
          <w:color w:val="auto"/>
          <w:sz w:val="24"/>
          <w:szCs w:val="24"/>
          <w:highlight w:val="none"/>
        </w:rPr>
        <w:t xml:space="preserve">1. </w:t>
      </w:r>
      <w:r>
        <w:rPr>
          <w:rFonts w:hint="eastAsia" w:ascii="宋体" w:eastAsia="宋体"/>
          <w:b w:val="0"/>
          <w:bCs/>
          <w:color w:val="auto"/>
          <w:sz w:val="24"/>
          <w:szCs w:val="24"/>
          <w:highlight w:val="none"/>
          <w:u w:val="single"/>
        </w:rPr>
        <w:t>（标的名称）</w:t>
      </w:r>
      <w:r>
        <w:rPr>
          <w:rFonts w:hint="eastAsia" w:ascii="宋体" w:eastAsia="宋体"/>
          <w:b w:val="0"/>
          <w:bCs/>
          <w:color w:val="auto"/>
          <w:sz w:val="24"/>
          <w:szCs w:val="24"/>
          <w:highlight w:val="none"/>
        </w:rPr>
        <w:t xml:space="preserve"> ，属于</w:t>
      </w:r>
      <w:r>
        <w:rPr>
          <w:rFonts w:hint="eastAsia" w:ascii="宋体" w:eastAsia="宋体"/>
          <w:b w:val="0"/>
          <w:bCs/>
          <w:color w:val="auto"/>
          <w:sz w:val="24"/>
          <w:szCs w:val="24"/>
          <w:highlight w:val="none"/>
          <w:u w:val="single"/>
        </w:rPr>
        <w:t xml:space="preserve"> （采购文件中明确的所属行业）</w:t>
      </w:r>
      <w:r>
        <w:rPr>
          <w:rFonts w:hint="eastAsia" w:ascii="宋体" w:eastAsia="宋体"/>
          <w:b w:val="0"/>
          <w:bCs/>
          <w:color w:val="auto"/>
          <w:sz w:val="24"/>
          <w:szCs w:val="24"/>
          <w:highlight w:val="none"/>
        </w:rPr>
        <w:t xml:space="preserve">行业 ；制造商为 </w:t>
      </w:r>
      <w:r>
        <w:rPr>
          <w:rFonts w:hint="eastAsia" w:ascii="宋体" w:eastAsia="宋体"/>
          <w:b w:val="0"/>
          <w:bCs/>
          <w:color w:val="auto"/>
          <w:sz w:val="24"/>
          <w:szCs w:val="24"/>
          <w:highlight w:val="none"/>
          <w:u w:val="single"/>
        </w:rPr>
        <w:t>（企业名称）</w:t>
      </w:r>
      <w:r>
        <w:rPr>
          <w:rFonts w:hint="eastAsia" w:ascii="宋体" w:eastAsia="宋体"/>
          <w:b w:val="0"/>
          <w:bCs/>
          <w:color w:val="auto"/>
          <w:sz w:val="24"/>
          <w:szCs w:val="24"/>
          <w:highlight w:val="none"/>
        </w:rPr>
        <w:t xml:space="preserve"> ，从业人员</w:t>
      </w:r>
      <w:r>
        <w:rPr>
          <w:rFonts w:hint="eastAsia" w:ascii="宋体" w:eastAsia="宋体"/>
          <w:b w:val="0"/>
          <w:bCs/>
          <w:color w:val="auto"/>
          <w:sz w:val="24"/>
          <w:szCs w:val="24"/>
          <w:highlight w:val="none"/>
          <w:u w:val="single"/>
        </w:rPr>
        <w:t xml:space="preserve">     </w:t>
      </w:r>
      <w:r>
        <w:rPr>
          <w:rFonts w:hint="eastAsia" w:ascii="宋体" w:eastAsia="宋体"/>
          <w:b w:val="0"/>
          <w:bCs/>
          <w:color w:val="auto"/>
          <w:sz w:val="24"/>
          <w:szCs w:val="24"/>
          <w:highlight w:val="none"/>
        </w:rPr>
        <w:t xml:space="preserve"> 人，营业收入为</w:t>
      </w:r>
      <w:r>
        <w:rPr>
          <w:rFonts w:hint="eastAsia" w:ascii="宋体" w:eastAsia="宋体"/>
          <w:b w:val="0"/>
          <w:bCs/>
          <w:color w:val="auto"/>
          <w:sz w:val="24"/>
          <w:szCs w:val="24"/>
          <w:highlight w:val="none"/>
          <w:u w:val="single"/>
        </w:rPr>
        <w:t xml:space="preserve">          </w:t>
      </w:r>
      <w:r>
        <w:rPr>
          <w:rFonts w:hint="eastAsia" w:ascii="宋体" w:eastAsia="宋体"/>
          <w:b w:val="0"/>
          <w:bCs/>
          <w:color w:val="auto"/>
          <w:sz w:val="24"/>
          <w:szCs w:val="24"/>
          <w:highlight w:val="none"/>
        </w:rPr>
        <w:t>万元，资产总额为</w:t>
      </w:r>
      <w:r>
        <w:rPr>
          <w:rFonts w:hint="eastAsia" w:ascii="宋体" w:eastAsia="宋体"/>
          <w:b w:val="0"/>
          <w:bCs/>
          <w:color w:val="auto"/>
          <w:sz w:val="24"/>
          <w:szCs w:val="24"/>
          <w:highlight w:val="none"/>
          <w:u w:val="single"/>
        </w:rPr>
        <w:t xml:space="preserve">          </w:t>
      </w:r>
      <w:r>
        <w:rPr>
          <w:rFonts w:hint="eastAsia" w:ascii="宋体" w:eastAsia="宋体"/>
          <w:b w:val="0"/>
          <w:bCs/>
          <w:color w:val="auto"/>
          <w:sz w:val="24"/>
          <w:szCs w:val="24"/>
          <w:highlight w:val="none"/>
        </w:rPr>
        <w:t xml:space="preserve">万元，属于 </w:t>
      </w:r>
      <w:r>
        <w:rPr>
          <w:rFonts w:hint="eastAsia" w:ascii="宋体" w:eastAsia="宋体"/>
          <w:b w:val="0"/>
          <w:bCs/>
          <w:color w:val="auto"/>
          <w:sz w:val="24"/>
          <w:szCs w:val="24"/>
          <w:highlight w:val="none"/>
          <w:u w:val="single"/>
        </w:rPr>
        <w:t>（中型企业、小型企业、微型企业）</w:t>
      </w:r>
      <w:r>
        <w:rPr>
          <w:rFonts w:hint="eastAsia" w:ascii="宋体" w:eastAsia="宋体"/>
          <w:b w:val="0"/>
          <w:bCs/>
          <w:color w:val="auto"/>
          <w:sz w:val="24"/>
          <w:szCs w:val="24"/>
          <w:highlight w:val="none"/>
        </w:rPr>
        <w:t xml:space="preserve"> ；</w:t>
      </w:r>
    </w:p>
    <w:p>
      <w:pPr>
        <w:pStyle w:val="143"/>
        <w:snapToGrid w:val="0"/>
        <w:spacing w:line="480" w:lineRule="exact"/>
        <w:ind w:firstLine="494"/>
        <w:rPr>
          <w:rFonts w:ascii="宋体" w:eastAsia="宋体"/>
          <w:b w:val="0"/>
          <w:bCs/>
          <w:color w:val="auto"/>
          <w:sz w:val="24"/>
          <w:szCs w:val="24"/>
          <w:highlight w:val="none"/>
          <w:u w:val="single"/>
        </w:rPr>
      </w:pPr>
      <w:r>
        <w:rPr>
          <w:rFonts w:hint="eastAsia" w:ascii="宋体" w:eastAsia="宋体"/>
          <w:b w:val="0"/>
          <w:bCs/>
          <w:color w:val="auto"/>
          <w:sz w:val="24"/>
          <w:szCs w:val="24"/>
          <w:highlight w:val="none"/>
        </w:rPr>
        <w:t xml:space="preserve">2. </w:t>
      </w:r>
      <w:r>
        <w:rPr>
          <w:rFonts w:hint="eastAsia" w:ascii="宋体" w:eastAsia="宋体"/>
          <w:b w:val="0"/>
          <w:bCs/>
          <w:color w:val="auto"/>
          <w:sz w:val="24"/>
          <w:szCs w:val="24"/>
          <w:highlight w:val="none"/>
          <w:u w:val="single"/>
        </w:rPr>
        <w:t xml:space="preserve">（标的名称） </w:t>
      </w:r>
      <w:r>
        <w:rPr>
          <w:rFonts w:hint="eastAsia" w:ascii="宋体" w:eastAsia="宋体"/>
          <w:b w:val="0"/>
          <w:bCs/>
          <w:color w:val="auto"/>
          <w:sz w:val="24"/>
          <w:szCs w:val="24"/>
          <w:highlight w:val="none"/>
        </w:rPr>
        <w:t>，属于</w:t>
      </w:r>
      <w:r>
        <w:rPr>
          <w:rFonts w:hint="eastAsia" w:ascii="宋体" w:eastAsia="宋体"/>
          <w:b w:val="0"/>
          <w:bCs/>
          <w:color w:val="auto"/>
          <w:sz w:val="24"/>
          <w:szCs w:val="24"/>
          <w:highlight w:val="none"/>
          <w:u w:val="single"/>
        </w:rPr>
        <w:t xml:space="preserve"> （采购文件中明确的所属行业）</w:t>
      </w:r>
      <w:r>
        <w:rPr>
          <w:rFonts w:hint="eastAsia" w:ascii="宋体" w:eastAsia="宋体"/>
          <w:b w:val="0"/>
          <w:bCs/>
          <w:color w:val="auto"/>
          <w:sz w:val="24"/>
          <w:szCs w:val="24"/>
          <w:highlight w:val="none"/>
        </w:rPr>
        <w:t xml:space="preserve">行业 ；制造商为 </w:t>
      </w:r>
      <w:r>
        <w:rPr>
          <w:rFonts w:hint="eastAsia" w:ascii="宋体" w:eastAsia="宋体"/>
          <w:b w:val="0"/>
          <w:bCs/>
          <w:color w:val="auto"/>
          <w:sz w:val="24"/>
          <w:szCs w:val="24"/>
          <w:highlight w:val="none"/>
          <w:u w:val="single"/>
        </w:rPr>
        <w:t xml:space="preserve">（企业名称） </w:t>
      </w:r>
      <w:r>
        <w:rPr>
          <w:rFonts w:hint="eastAsia" w:ascii="宋体" w:eastAsia="宋体"/>
          <w:b w:val="0"/>
          <w:bCs/>
          <w:color w:val="auto"/>
          <w:sz w:val="24"/>
          <w:szCs w:val="24"/>
          <w:highlight w:val="none"/>
        </w:rPr>
        <w:t>，从业人员</w:t>
      </w:r>
      <w:r>
        <w:rPr>
          <w:rFonts w:hint="eastAsia" w:ascii="宋体" w:eastAsia="宋体"/>
          <w:b w:val="0"/>
          <w:bCs/>
          <w:color w:val="auto"/>
          <w:sz w:val="24"/>
          <w:szCs w:val="24"/>
          <w:highlight w:val="none"/>
          <w:u w:val="single"/>
        </w:rPr>
        <w:t xml:space="preserve">        </w:t>
      </w:r>
      <w:r>
        <w:rPr>
          <w:rFonts w:hint="eastAsia" w:ascii="宋体" w:eastAsia="宋体"/>
          <w:b w:val="0"/>
          <w:bCs/>
          <w:color w:val="auto"/>
          <w:sz w:val="24"/>
          <w:szCs w:val="24"/>
          <w:highlight w:val="none"/>
        </w:rPr>
        <w:t>人，营业收入为</w:t>
      </w:r>
      <w:r>
        <w:rPr>
          <w:rFonts w:hint="eastAsia" w:ascii="宋体" w:eastAsia="宋体"/>
          <w:b w:val="0"/>
          <w:bCs/>
          <w:color w:val="auto"/>
          <w:sz w:val="24"/>
          <w:szCs w:val="24"/>
          <w:highlight w:val="none"/>
          <w:u w:val="single"/>
        </w:rPr>
        <w:t xml:space="preserve">          </w:t>
      </w:r>
      <w:r>
        <w:rPr>
          <w:rFonts w:hint="eastAsia" w:ascii="宋体" w:eastAsia="宋体"/>
          <w:b w:val="0"/>
          <w:bCs/>
          <w:color w:val="auto"/>
          <w:sz w:val="24"/>
          <w:szCs w:val="24"/>
          <w:highlight w:val="none"/>
        </w:rPr>
        <w:t>万元，资产总额为</w:t>
      </w:r>
      <w:r>
        <w:rPr>
          <w:rFonts w:hint="eastAsia" w:ascii="宋体" w:eastAsia="宋体"/>
          <w:b w:val="0"/>
          <w:bCs/>
          <w:color w:val="auto"/>
          <w:sz w:val="24"/>
          <w:szCs w:val="24"/>
          <w:highlight w:val="none"/>
          <w:u w:val="single"/>
        </w:rPr>
        <w:t xml:space="preserve">          </w:t>
      </w:r>
      <w:r>
        <w:rPr>
          <w:rFonts w:hint="eastAsia" w:ascii="宋体" w:eastAsia="宋体"/>
          <w:b w:val="0"/>
          <w:bCs/>
          <w:color w:val="auto"/>
          <w:sz w:val="24"/>
          <w:szCs w:val="24"/>
          <w:highlight w:val="none"/>
        </w:rPr>
        <w:t>万元，属于</w:t>
      </w:r>
      <w:r>
        <w:rPr>
          <w:rFonts w:hint="eastAsia" w:ascii="宋体" w:eastAsia="宋体"/>
          <w:b w:val="0"/>
          <w:bCs/>
          <w:color w:val="auto"/>
          <w:sz w:val="24"/>
          <w:szCs w:val="24"/>
          <w:highlight w:val="none"/>
          <w:u w:val="single"/>
        </w:rPr>
        <w:t xml:space="preserve"> （中型企业、小型企业、微型企业）</w:t>
      </w:r>
      <w:r>
        <w:rPr>
          <w:rFonts w:hint="eastAsia" w:ascii="宋体" w:eastAsia="宋体"/>
          <w:b w:val="0"/>
          <w:bCs/>
          <w:color w:val="auto"/>
          <w:sz w:val="24"/>
          <w:szCs w:val="24"/>
          <w:highlight w:val="none"/>
        </w:rPr>
        <w:t xml:space="preserve"> ；</w:t>
      </w:r>
    </w:p>
    <w:p>
      <w:pPr>
        <w:pStyle w:val="143"/>
        <w:snapToGrid w:val="0"/>
        <w:spacing w:line="480" w:lineRule="exact"/>
        <w:ind w:firstLine="494"/>
        <w:rPr>
          <w:rFonts w:ascii="宋体" w:eastAsia="宋体"/>
          <w:b w:val="0"/>
          <w:bCs/>
          <w:color w:val="auto"/>
          <w:sz w:val="24"/>
          <w:szCs w:val="24"/>
          <w:highlight w:val="none"/>
        </w:rPr>
      </w:pPr>
      <w:r>
        <w:rPr>
          <w:rFonts w:hint="eastAsia" w:ascii="宋体" w:eastAsia="宋体"/>
          <w:b w:val="0"/>
          <w:bCs/>
          <w:color w:val="auto"/>
          <w:sz w:val="24"/>
          <w:szCs w:val="24"/>
          <w:highlight w:val="none"/>
        </w:rPr>
        <w:t>……</w:t>
      </w:r>
    </w:p>
    <w:p>
      <w:pPr>
        <w:pStyle w:val="143"/>
        <w:snapToGrid w:val="0"/>
        <w:spacing w:line="480" w:lineRule="exact"/>
        <w:ind w:firstLine="494"/>
        <w:rPr>
          <w:rFonts w:ascii="宋体" w:eastAsia="宋体"/>
          <w:bCs/>
          <w:color w:val="auto"/>
          <w:sz w:val="24"/>
          <w:szCs w:val="24"/>
          <w:highlight w:val="none"/>
        </w:rPr>
      </w:pPr>
      <w:r>
        <w:rPr>
          <w:rFonts w:hint="eastAsia" w:ascii="宋体" w:eastAsia="宋体"/>
          <w:bCs/>
          <w:color w:val="auto"/>
          <w:sz w:val="24"/>
          <w:szCs w:val="24"/>
          <w:highlight w:val="none"/>
        </w:rPr>
        <w:t>以上企业，不属于大企业的分支机构，不存在控股股东为大企业的情形，也不存在与大企业的负责人为同一人的情形。</w:t>
      </w:r>
    </w:p>
    <w:p>
      <w:pPr>
        <w:pStyle w:val="143"/>
        <w:snapToGrid w:val="0"/>
        <w:spacing w:line="480" w:lineRule="exact"/>
        <w:ind w:firstLine="494"/>
        <w:rPr>
          <w:rFonts w:ascii="宋体" w:eastAsia="宋体"/>
          <w:bCs/>
          <w:color w:val="auto"/>
          <w:sz w:val="24"/>
          <w:szCs w:val="24"/>
          <w:highlight w:val="none"/>
        </w:rPr>
      </w:pPr>
      <w:r>
        <w:rPr>
          <w:rFonts w:hint="eastAsia" w:ascii="宋体" w:eastAsia="宋体"/>
          <w:bCs/>
          <w:color w:val="auto"/>
          <w:sz w:val="24"/>
          <w:szCs w:val="24"/>
          <w:highlight w:val="none"/>
        </w:rPr>
        <w:t>本企业对上述声明内容的真实性负责。如有虚假，将依法承担相应责任。</w:t>
      </w:r>
    </w:p>
    <w:p>
      <w:pPr>
        <w:pStyle w:val="143"/>
        <w:snapToGrid w:val="0"/>
        <w:ind w:firstLine="494"/>
        <w:rPr>
          <w:rFonts w:ascii="宋体" w:eastAsia="宋体"/>
          <w:bCs/>
          <w:color w:val="auto"/>
          <w:sz w:val="24"/>
          <w:szCs w:val="24"/>
          <w:highlight w:val="none"/>
        </w:rPr>
      </w:pPr>
    </w:p>
    <w:p>
      <w:pPr>
        <w:pStyle w:val="143"/>
        <w:snapToGrid w:val="0"/>
        <w:ind w:firstLine="4809" w:firstLineChars="2004"/>
        <w:rPr>
          <w:rFonts w:ascii="宋体" w:eastAsia="宋体"/>
          <w:bCs/>
          <w:color w:val="auto"/>
          <w:sz w:val="24"/>
          <w:szCs w:val="24"/>
          <w:highlight w:val="none"/>
        </w:rPr>
      </w:pPr>
      <w:r>
        <w:rPr>
          <w:rFonts w:hint="eastAsia" w:ascii="宋体" w:eastAsia="宋体"/>
          <w:bCs/>
          <w:color w:val="auto"/>
          <w:sz w:val="24"/>
          <w:szCs w:val="24"/>
          <w:highlight w:val="none"/>
        </w:rPr>
        <w:t>投标人名称（盖章）：</w:t>
      </w:r>
    </w:p>
    <w:p>
      <w:pPr>
        <w:pStyle w:val="143"/>
        <w:snapToGrid w:val="0"/>
        <w:ind w:firstLine="4809" w:firstLineChars="2004"/>
        <w:rPr>
          <w:rFonts w:ascii="宋体" w:eastAsia="宋体"/>
          <w:bCs/>
          <w:color w:val="auto"/>
          <w:sz w:val="24"/>
          <w:szCs w:val="24"/>
          <w:highlight w:val="none"/>
        </w:rPr>
      </w:pPr>
      <w:r>
        <w:rPr>
          <w:rFonts w:hint="eastAsia" w:ascii="宋体" w:eastAsia="宋体"/>
          <w:bCs/>
          <w:color w:val="auto"/>
          <w:sz w:val="24"/>
          <w:szCs w:val="24"/>
          <w:highlight w:val="none"/>
        </w:rPr>
        <w:t>日 期：</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年</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月</w:t>
      </w:r>
      <w:r>
        <w:rPr>
          <w:rFonts w:hint="eastAsia" w:ascii="宋体" w:eastAsia="宋体"/>
          <w:color w:val="auto"/>
          <w:sz w:val="24"/>
          <w:szCs w:val="24"/>
          <w:highlight w:val="none"/>
          <w:u w:val="single"/>
        </w:rPr>
        <w:t xml:space="preserve">   </w:t>
      </w:r>
      <w:r>
        <w:rPr>
          <w:rFonts w:hint="eastAsia" w:ascii="宋体" w:eastAsia="宋体"/>
          <w:color w:val="auto"/>
          <w:sz w:val="24"/>
          <w:szCs w:val="24"/>
          <w:highlight w:val="none"/>
        </w:rPr>
        <w:t>日</w:t>
      </w:r>
    </w:p>
    <w:p>
      <w:pPr>
        <w:pStyle w:val="143"/>
        <w:snapToGrid w:val="0"/>
        <w:spacing w:line="240" w:lineRule="auto"/>
        <w:ind w:firstLine="0" w:firstLineChars="0"/>
        <w:rPr>
          <w:rFonts w:ascii="宋体" w:eastAsia="宋体"/>
          <w:bCs/>
          <w:color w:val="auto"/>
          <w:sz w:val="24"/>
          <w:szCs w:val="24"/>
          <w:highlight w:val="none"/>
        </w:rPr>
      </w:pPr>
    </w:p>
    <w:p>
      <w:pPr>
        <w:pStyle w:val="143"/>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注：</w:t>
      </w:r>
    </w:p>
    <w:p>
      <w:pPr>
        <w:pStyle w:val="143"/>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1.从业人员、营业收入、资产总额填报上一年度数据，无上一年度数据的新成立企业可不填报；</w:t>
      </w:r>
    </w:p>
    <w:p>
      <w:pPr>
        <w:pStyle w:val="143"/>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2.本项目中小企业政策所属行业为</w:t>
      </w:r>
      <w:r>
        <w:rPr>
          <w:rFonts w:hint="eastAsia" w:ascii="宋体" w:eastAsia="宋体"/>
          <w:b/>
          <w:color w:val="FF0000"/>
          <w:sz w:val="24"/>
          <w:szCs w:val="24"/>
          <w:highlight w:val="none"/>
        </w:rPr>
        <w:t>工业（制造业）</w:t>
      </w:r>
      <w:r>
        <w:rPr>
          <w:rFonts w:hint="eastAsia" w:ascii="宋体" w:eastAsia="宋体"/>
          <w:bCs/>
          <w:color w:val="auto"/>
          <w:sz w:val="24"/>
          <w:szCs w:val="24"/>
          <w:highlight w:val="none"/>
        </w:rPr>
        <w:t>；</w:t>
      </w:r>
    </w:p>
    <w:p>
      <w:pPr>
        <w:pStyle w:val="143"/>
        <w:snapToGrid w:val="0"/>
        <w:spacing w:line="240" w:lineRule="auto"/>
        <w:ind w:firstLine="0" w:firstLineChars="0"/>
        <w:rPr>
          <w:rFonts w:ascii="宋体" w:eastAsia="宋体"/>
          <w:bCs/>
          <w:color w:val="auto"/>
          <w:sz w:val="24"/>
          <w:szCs w:val="24"/>
          <w:highlight w:val="none"/>
        </w:rPr>
      </w:pPr>
      <w:r>
        <w:rPr>
          <w:rFonts w:hint="eastAsia" w:ascii="宋体" w:eastAsia="宋体"/>
          <w:bCs/>
          <w:color w:val="auto"/>
          <w:sz w:val="24"/>
          <w:szCs w:val="24"/>
          <w:highlight w:val="none"/>
        </w:rPr>
        <w:t>3.符合《关于促进残疾人就业政府采购政策的通知》（财库〔2017〕141号）规定的条件并提供《残疾人福利性单位声明函》的残疾人福利性单位视同小型、微型企业；</w:t>
      </w:r>
    </w:p>
    <w:p>
      <w:pPr>
        <w:pStyle w:val="143"/>
        <w:snapToGrid w:val="0"/>
        <w:spacing w:line="240" w:lineRule="auto"/>
        <w:ind w:firstLine="0" w:firstLineChars="0"/>
        <w:rPr>
          <w:rFonts w:hint="eastAsia" w:ascii="宋体" w:eastAsia="宋体"/>
          <w:bCs/>
          <w:color w:val="auto"/>
          <w:sz w:val="24"/>
          <w:szCs w:val="24"/>
          <w:highlight w:val="none"/>
        </w:rPr>
      </w:pPr>
      <w:r>
        <w:rPr>
          <w:rFonts w:hint="eastAsia" w:ascii="宋体" w:eastAsia="宋体"/>
          <w:bCs/>
          <w:color w:val="auto"/>
          <w:sz w:val="24"/>
          <w:szCs w:val="24"/>
          <w:highlight w:val="none"/>
        </w:rPr>
        <w:t>4.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143"/>
        <w:snapToGrid w:val="0"/>
        <w:spacing w:line="240" w:lineRule="auto"/>
        <w:ind w:firstLine="0" w:firstLineChars="0"/>
        <w:rPr>
          <w:rFonts w:hint="default" w:ascii="宋体" w:eastAsia="宋体"/>
          <w:b/>
          <w:bCs w:val="0"/>
          <w:color w:val="auto"/>
          <w:sz w:val="24"/>
          <w:szCs w:val="24"/>
          <w:highlight w:val="none"/>
          <w:lang w:val="en-US" w:eastAsia="zh-CN"/>
        </w:rPr>
      </w:pPr>
      <w:r>
        <w:rPr>
          <w:rFonts w:hint="eastAsia" w:ascii="宋体" w:eastAsia="宋体"/>
          <w:b/>
          <w:bCs w:val="0"/>
          <w:color w:val="auto"/>
          <w:sz w:val="24"/>
          <w:szCs w:val="24"/>
          <w:highlight w:val="none"/>
          <w:lang w:val="en-US" w:eastAsia="zh-CN"/>
        </w:rPr>
        <w:t>5.填写要求：“标的名称”依据采购文件第二章磋商项目需求中</w:t>
      </w:r>
      <w:r>
        <w:rPr>
          <w:rFonts w:hint="eastAsia" w:ascii="宋体" w:eastAsia="宋体"/>
          <w:b/>
          <w:bCs w:val="0"/>
          <w:color w:val="FF0000"/>
          <w:sz w:val="24"/>
          <w:szCs w:val="24"/>
          <w:highlight w:val="none"/>
          <w:lang w:val="en-US" w:eastAsia="zh-CN"/>
        </w:rPr>
        <w:t>采购清单</w:t>
      </w:r>
      <w:r>
        <w:rPr>
          <w:rFonts w:hint="eastAsia" w:ascii="宋体" w:eastAsia="宋体"/>
          <w:b/>
          <w:bCs w:val="0"/>
          <w:color w:val="auto"/>
          <w:sz w:val="24"/>
          <w:szCs w:val="24"/>
          <w:highlight w:val="none"/>
          <w:lang w:val="en-US" w:eastAsia="zh-CN"/>
        </w:rPr>
        <w:t>逐一填写，不得缺漏；</w:t>
      </w:r>
    </w:p>
    <w:p>
      <w:pPr>
        <w:snapToGrid w:val="0"/>
        <w:jc w:val="both"/>
        <w:rPr>
          <w:rFonts w:hint="eastAsia" w:ascii="宋体" w:hAnsi="宋体"/>
          <w:b w:val="0"/>
          <w:bCs w:val="0"/>
          <w:color w:val="auto"/>
          <w:sz w:val="24"/>
          <w:highlight w:val="none"/>
          <w:lang w:val="en-US" w:eastAsia="zh-CN"/>
        </w:rPr>
      </w:pPr>
      <w:r>
        <w:rPr>
          <w:rFonts w:hint="eastAsia" w:ascii="宋体" w:hAnsi="宋体"/>
          <w:b w:val="0"/>
          <w:bCs w:val="0"/>
          <w:color w:val="auto"/>
          <w:sz w:val="24"/>
          <w:highlight w:val="none"/>
          <w:lang w:val="en-US" w:eastAsia="zh-CN"/>
        </w:rPr>
        <w:t>6.中型企业、小型企业、微型企业等3种企业类型，结合以上数据，依据《中小企业划型标准规定》（工信部联企业〔2011〕300号）确定</w:t>
      </w:r>
    </w:p>
    <w:p>
      <w:pPr>
        <w:pStyle w:val="143"/>
        <w:snapToGrid w:val="0"/>
        <w:spacing w:line="240" w:lineRule="auto"/>
        <w:ind w:firstLine="0" w:firstLineChars="0"/>
        <w:rPr>
          <w:rFonts w:hint="eastAsia" w:ascii="宋体" w:hAnsi="宋体" w:eastAsia="宋体" w:cs="Times New Roman"/>
          <w:b w:val="0"/>
          <w:bCs w:val="0"/>
          <w:color w:val="auto"/>
          <w:kern w:val="2"/>
          <w:sz w:val="24"/>
          <w:szCs w:val="24"/>
          <w:highlight w:val="none"/>
          <w:lang w:val="en-US" w:eastAsia="zh-CN" w:bidi="ar-SA"/>
        </w:rPr>
      </w:pPr>
      <w:r>
        <w:rPr>
          <w:rFonts w:hint="eastAsia" w:ascii="宋体" w:hAnsi="宋体" w:eastAsia="宋体" w:cs="Times New Roman"/>
          <w:b w:val="0"/>
          <w:bCs w:val="0"/>
          <w:color w:val="auto"/>
          <w:kern w:val="2"/>
          <w:sz w:val="24"/>
          <w:szCs w:val="24"/>
          <w:highlight w:val="none"/>
          <w:lang w:val="en-US" w:eastAsia="zh-CN" w:bidi="ar-SA"/>
        </w:rPr>
        <w:t>7.投标人提供的《中小企业声明函》与</w:t>
      </w:r>
      <w:r>
        <w:rPr>
          <w:rFonts w:hint="eastAsia" w:ascii="宋体" w:hAnsi="宋体" w:eastAsia="宋体" w:cs="Times New Roman"/>
          <w:b/>
          <w:bCs/>
          <w:color w:val="auto"/>
          <w:kern w:val="2"/>
          <w:sz w:val="24"/>
          <w:szCs w:val="24"/>
          <w:highlight w:val="none"/>
          <w:lang w:val="en-US" w:eastAsia="zh-CN" w:bidi="ar-SA"/>
        </w:rPr>
        <w:t>实际情况不符</w:t>
      </w:r>
      <w:r>
        <w:rPr>
          <w:rFonts w:hint="eastAsia" w:ascii="宋体" w:hAnsi="宋体" w:eastAsia="宋体" w:cs="Times New Roman"/>
          <w:b w:val="0"/>
          <w:bCs w:val="0"/>
          <w:color w:val="auto"/>
          <w:kern w:val="2"/>
          <w:sz w:val="24"/>
          <w:szCs w:val="24"/>
          <w:highlight w:val="none"/>
          <w:lang w:val="en-US" w:eastAsia="zh-CN" w:bidi="ar-SA"/>
        </w:rPr>
        <w:t>的或者</w:t>
      </w:r>
      <w:r>
        <w:rPr>
          <w:rFonts w:hint="eastAsia" w:ascii="宋体" w:hAnsi="宋体" w:eastAsia="宋体" w:cs="Times New Roman"/>
          <w:b/>
          <w:bCs/>
          <w:color w:val="auto"/>
          <w:kern w:val="2"/>
          <w:sz w:val="24"/>
          <w:szCs w:val="24"/>
          <w:highlight w:val="none"/>
          <w:lang w:val="en-US" w:eastAsia="zh-CN" w:bidi="ar-SA"/>
        </w:rPr>
        <w:t>未按以上要求填写</w:t>
      </w:r>
      <w:r>
        <w:rPr>
          <w:rFonts w:hint="eastAsia" w:ascii="宋体" w:hAnsi="宋体" w:eastAsia="宋体" w:cs="Times New Roman"/>
          <w:b w:val="0"/>
          <w:bCs w:val="0"/>
          <w:color w:val="auto"/>
          <w:kern w:val="2"/>
          <w:sz w:val="24"/>
          <w:szCs w:val="24"/>
          <w:highlight w:val="none"/>
          <w:lang w:val="en-US" w:eastAsia="zh-CN" w:bidi="ar-SA"/>
        </w:rPr>
        <w:t>的，声明函无效。声明内容不实的，属于提供虚假材料谋取中标、成交的，依法承担法律责任</w:t>
      </w:r>
    </w:p>
    <w:p>
      <w:pPr>
        <w:pStyle w:val="143"/>
        <w:snapToGrid w:val="0"/>
        <w:spacing w:line="240" w:lineRule="auto"/>
        <w:ind w:firstLine="0" w:firstLineChars="0"/>
        <w:rPr>
          <w:rFonts w:hint="eastAsia" w:ascii="宋体" w:eastAsia="宋体"/>
          <w:bCs/>
          <w:sz w:val="22"/>
          <w:szCs w:val="22"/>
          <w:highlight w:val="none"/>
        </w:rPr>
      </w:pPr>
    </w:p>
    <w:p>
      <w:pPr>
        <w:pStyle w:val="143"/>
        <w:snapToGrid w:val="0"/>
        <w:spacing w:line="240" w:lineRule="auto"/>
        <w:ind w:firstLine="0" w:firstLineChars="0"/>
        <w:rPr>
          <w:rFonts w:hint="eastAsia" w:ascii="宋体" w:eastAsia="宋体"/>
          <w:bCs/>
          <w:sz w:val="22"/>
          <w:szCs w:val="22"/>
          <w:highlight w:val="none"/>
        </w:rPr>
      </w:pPr>
    </w:p>
    <w:p>
      <w:pPr>
        <w:snapToGrid w:val="0"/>
        <w:jc w:val="both"/>
        <w:rPr>
          <w:rFonts w:hint="eastAsia" w:ascii="宋体" w:hAnsi="宋体"/>
          <w:b/>
          <w:bCs/>
          <w:sz w:val="24"/>
          <w:highlight w:val="none"/>
        </w:rPr>
      </w:pPr>
    </w:p>
    <w:p>
      <w:pPr>
        <w:snapToGrid w:val="0"/>
        <w:jc w:val="center"/>
        <w:rPr>
          <w:rFonts w:hint="eastAsia" w:ascii="宋体" w:hAnsi="宋体"/>
          <w:b/>
          <w:bCs/>
          <w:sz w:val="24"/>
          <w:highlight w:val="none"/>
        </w:rPr>
      </w:pPr>
    </w:p>
    <w:p>
      <w:pPr>
        <w:snapToGrid w:val="0"/>
        <w:jc w:val="center"/>
        <w:rPr>
          <w:rFonts w:ascii="宋体" w:hAnsi="宋体"/>
          <w:b/>
          <w:bCs/>
          <w:sz w:val="24"/>
          <w:highlight w:val="none"/>
        </w:rPr>
      </w:pPr>
      <w:r>
        <w:rPr>
          <w:rFonts w:hint="eastAsia" w:ascii="宋体" w:hAnsi="宋体"/>
          <w:b/>
          <w:bCs/>
          <w:sz w:val="24"/>
          <w:highlight w:val="none"/>
        </w:rPr>
        <w:t>监狱和戒毒企业证明材料</w:t>
      </w:r>
    </w:p>
    <w:p>
      <w:pPr>
        <w:pStyle w:val="127"/>
        <w:snapToGrid w:val="0"/>
        <w:jc w:val="center"/>
        <w:rPr>
          <w:rFonts w:ascii="宋体" w:hAnsi="宋体"/>
          <w:b/>
          <w:sz w:val="24"/>
          <w:highlight w:val="none"/>
          <w:lang w:val="en-GB"/>
        </w:rPr>
      </w:pPr>
    </w:p>
    <w:p>
      <w:pPr>
        <w:snapToGrid w:val="0"/>
        <w:spacing w:line="480" w:lineRule="exact"/>
        <w:ind w:firstLine="480" w:firstLineChars="200"/>
        <w:rPr>
          <w:rFonts w:ascii="宋体" w:hAnsi="宋体"/>
          <w:sz w:val="24"/>
          <w:highlight w:val="none"/>
        </w:rPr>
      </w:pPr>
      <w:r>
        <w:rPr>
          <w:rFonts w:hint="eastAsia" w:ascii="宋体" w:hAnsi="宋体"/>
          <w:sz w:val="24"/>
          <w:highlight w:val="none"/>
        </w:rPr>
        <w:t>监狱和戒毒企业参加投标时应提供由省级以上监狱管理局、戒毒管理局（含新疆生产建设兵团）出具的属于监狱企业的证明文件。</w:t>
      </w:r>
    </w:p>
    <w:p>
      <w:pPr>
        <w:snapToGrid w:val="0"/>
        <w:spacing w:line="480" w:lineRule="exact"/>
        <w:ind w:firstLine="480" w:firstLineChars="200"/>
        <w:rPr>
          <w:rFonts w:ascii="宋体" w:hAnsi="宋体"/>
          <w:sz w:val="24"/>
          <w:highlight w:val="none"/>
        </w:rPr>
      </w:pPr>
    </w:p>
    <w:p>
      <w:pPr>
        <w:snapToGrid w:val="0"/>
        <w:ind w:firstLine="480" w:firstLineChars="200"/>
        <w:rPr>
          <w:rFonts w:ascii="宋体" w:hAnsi="宋体"/>
          <w:sz w:val="24"/>
          <w:highlight w:val="none"/>
        </w:rPr>
      </w:pPr>
    </w:p>
    <w:p>
      <w:pPr>
        <w:snapToGrid w:val="0"/>
        <w:rPr>
          <w:rFonts w:ascii="宋体" w:hAnsi="宋体"/>
          <w:sz w:val="24"/>
          <w:highlight w:val="none"/>
        </w:rPr>
      </w:pPr>
    </w:p>
    <w:p>
      <w:pPr>
        <w:snapToGrid w:val="0"/>
        <w:rPr>
          <w:rFonts w:ascii="宋体" w:hAnsi="宋体"/>
          <w:sz w:val="24"/>
          <w:highlight w:val="none"/>
        </w:rPr>
      </w:pPr>
    </w:p>
    <w:p>
      <w:pPr>
        <w:snapToGrid w:val="0"/>
        <w:jc w:val="center"/>
        <w:rPr>
          <w:rFonts w:ascii="宋体" w:hAnsi="宋体"/>
          <w:b/>
          <w:spacing w:val="6"/>
          <w:sz w:val="24"/>
          <w:highlight w:val="none"/>
        </w:rPr>
      </w:pPr>
    </w:p>
    <w:p>
      <w:pPr>
        <w:snapToGrid w:val="0"/>
        <w:jc w:val="center"/>
        <w:rPr>
          <w:rFonts w:ascii="宋体" w:hAnsi="宋体"/>
          <w:b/>
          <w:bCs/>
          <w:sz w:val="24"/>
          <w:highlight w:val="none"/>
        </w:rPr>
      </w:pPr>
      <w:r>
        <w:rPr>
          <w:rFonts w:hint="eastAsia" w:ascii="宋体" w:hAnsi="宋体"/>
          <w:b/>
          <w:bCs/>
          <w:sz w:val="24"/>
          <w:highlight w:val="none"/>
        </w:rPr>
        <w:t>残疾人福利性单位声明函</w:t>
      </w:r>
    </w:p>
    <w:p>
      <w:pPr>
        <w:snapToGrid w:val="0"/>
        <w:rPr>
          <w:rFonts w:ascii="宋体" w:hAnsi="宋体"/>
          <w:b/>
          <w:spacing w:val="6"/>
          <w:sz w:val="24"/>
          <w:highlight w:val="none"/>
        </w:rPr>
      </w:pPr>
    </w:p>
    <w:p>
      <w:pPr>
        <w:snapToGrid w:val="0"/>
        <w:spacing w:line="480" w:lineRule="exact"/>
        <w:ind w:firstLine="480" w:firstLineChars="200"/>
        <w:rPr>
          <w:rFonts w:ascii="宋体" w:hAnsi="宋体"/>
          <w:sz w:val="24"/>
          <w:highlight w:val="none"/>
        </w:rPr>
      </w:pPr>
      <w:r>
        <w:rPr>
          <w:rFonts w:hint="eastAsia" w:ascii="宋体" w:hAnsi="宋体"/>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480" w:lineRule="exact"/>
        <w:ind w:firstLine="480" w:firstLineChars="200"/>
        <w:rPr>
          <w:rFonts w:ascii="宋体" w:hAnsi="宋体"/>
          <w:sz w:val="24"/>
          <w:highlight w:val="none"/>
        </w:rPr>
      </w:pPr>
      <w:r>
        <w:rPr>
          <w:rFonts w:hint="eastAsia" w:ascii="宋体" w:hAnsi="宋体"/>
          <w:sz w:val="24"/>
          <w:highlight w:val="none"/>
        </w:rPr>
        <w:t>本单位对上述声明的真实性负责。如有虚假，将依法承担相应责任。</w:t>
      </w:r>
    </w:p>
    <w:p>
      <w:pPr>
        <w:snapToGrid w:val="0"/>
        <w:spacing w:line="480" w:lineRule="exact"/>
        <w:rPr>
          <w:rFonts w:ascii="宋体" w:hAnsi="宋体"/>
          <w:sz w:val="24"/>
          <w:highlight w:val="none"/>
        </w:rPr>
      </w:pPr>
    </w:p>
    <w:p>
      <w:pPr>
        <w:snapToGrid w:val="0"/>
        <w:rPr>
          <w:rFonts w:ascii="宋体" w:hAnsi="宋体"/>
          <w:sz w:val="24"/>
          <w:highlight w:val="none"/>
        </w:rPr>
      </w:pPr>
    </w:p>
    <w:p>
      <w:pPr>
        <w:snapToGrid w:val="0"/>
        <w:ind w:firstLine="5520" w:firstLineChars="2300"/>
        <w:rPr>
          <w:rFonts w:ascii="宋体" w:hAnsi="宋体"/>
          <w:sz w:val="24"/>
          <w:highlight w:val="none"/>
        </w:rPr>
      </w:pPr>
      <w:r>
        <w:rPr>
          <w:rFonts w:hint="eastAsia" w:ascii="宋体" w:hAnsi="宋体"/>
          <w:sz w:val="24"/>
          <w:highlight w:val="none"/>
        </w:rPr>
        <w:t>投标人（盖章）：</w:t>
      </w:r>
    </w:p>
    <w:p>
      <w:pPr>
        <w:snapToGrid w:val="0"/>
        <w:rPr>
          <w:rFonts w:ascii="宋体" w:hAnsi="宋体"/>
          <w:sz w:val="24"/>
          <w:highlight w:val="none"/>
        </w:rPr>
      </w:pPr>
      <w:r>
        <w:rPr>
          <w:rFonts w:hint="eastAsia" w:ascii="宋体" w:hAnsi="宋体"/>
          <w:sz w:val="24"/>
          <w:highlight w:val="none"/>
        </w:rPr>
        <w:t xml:space="preserve">   </w:t>
      </w:r>
    </w:p>
    <w:p>
      <w:pPr>
        <w:snapToGrid w:val="0"/>
        <w:rPr>
          <w:rFonts w:ascii="宋体" w:hAnsi="宋体"/>
          <w:sz w:val="24"/>
          <w:highlight w:val="none"/>
        </w:rPr>
      </w:pPr>
    </w:p>
    <w:p>
      <w:pPr>
        <w:pStyle w:val="143"/>
        <w:snapToGrid w:val="0"/>
        <w:spacing w:line="240" w:lineRule="auto"/>
        <w:ind w:firstLine="0" w:firstLineChars="0"/>
        <w:jc w:val="right"/>
        <w:rPr>
          <w:rFonts w:hint="eastAsia" w:ascii="宋体" w:eastAsia="宋体"/>
          <w:bCs/>
          <w:sz w:val="22"/>
          <w:szCs w:val="22"/>
          <w:highlight w:val="none"/>
        </w:rPr>
      </w:pPr>
      <w:r>
        <w:rPr>
          <w:rFonts w:hint="eastAsia" w:ascii="宋体" w:hAnsi="宋体"/>
          <w:sz w:val="24"/>
          <w:highlight w:val="none"/>
        </w:rPr>
        <w:t>日期：</w:t>
      </w:r>
      <w:r>
        <w:rPr>
          <w:rFonts w:hint="eastAsia" w:ascii="宋体" w:hAnsi="宋体"/>
          <w:sz w:val="24"/>
          <w:highlight w:val="none"/>
          <w:u w:val="single"/>
        </w:rPr>
        <w:t xml:space="preserve">     </w:t>
      </w: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月</w:t>
      </w:r>
      <w:r>
        <w:rPr>
          <w:rFonts w:hint="eastAsia" w:ascii="宋体" w:hAnsi="宋体"/>
          <w:sz w:val="24"/>
          <w:highlight w:val="none"/>
          <w:u w:val="single"/>
        </w:rPr>
        <w:t xml:space="preserve">   </w:t>
      </w:r>
      <w:r>
        <w:rPr>
          <w:rFonts w:hint="eastAsia" w:ascii="宋体" w:hAnsi="宋体"/>
          <w:sz w:val="24"/>
          <w:highlight w:val="none"/>
        </w:rPr>
        <w:t>日</w:t>
      </w:r>
    </w:p>
    <w:p>
      <w:pPr>
        <w:pStyle w:val="143"/>
        <w:snapToGrid w:val="0"/>
        <w:spacing w:line="240" w:lineRule="auto"/>
        <w:ind w:firstLine="0" w:firstLineChars="0"/>
        <w:rPr>
          <w:rFonts w:hint="eastAsia" w:ascii="宋体" w:eastAsia="宋体"/>
          <w:bCs/>
          <w:sz w:val="22"/>
          <w:szCs w:val="22"/>
          <w:highlight w:val="none"/>
        </w:rPr>
      </w:pPr>
    </w:p>
    <w:p>
      <w:pPr>
        <w:pStyle w:val="143"/>
        <w:snapToGrid w:val="0"/>
        <w:spacing w:line="240" w:lineRule="auto"/>
        <w:ind w:firstLine="0" w:firstLineChars="0"/>
        <w:rPr>
          <w:rFonts w:hint="eastAsia" w:ascii="宋体" w:eastAsia="宋体"/>
          <w:bCs/>
          <w:sz w:val="22"/>
          <w:szCs w:val="22"/>
          <w:highlight w:val="none"/>
        </w:rPr>
      </w:pPr>
    </w:p>
    <w:p>
      <w:pPr>
        <w:pStyle w:val="143"/>
        <w:snapToGrid w:val="0"/>
        <w:spacing w:line="240" w:lineRule="auto"/>
        <w:ind w:firstLine="0" w:firstLineChars="0"/>
        <w:rPr>
          <w:rFonts w:hint="eastAsia" w:ascii="宋体" w:eastAsia="宋体"/>
          <w:bCs/>
          <w:sz w:val="22"/>
          <w:szCs w:val="22"/>
          <w:highlight w:val="none"/>
        </w:rPr>
      </w:pPr>
    </w:p>
    <w:p>
      <w:pPr>
        <w:numPr>
          <w:ilvl w:val="0"/>
          <w:numId w:val="32"/>
        </w:numPr>
        <w:snapToGrid w:val="0"/>
        <w:spacing w:before="120" w:beforeLines="50" w:after="50"/>
        <w:rPr>
          <w:rFonts w:ascii="宋体" w:hAnsi="宋体"/>
          <w:b/>
          <w:highlight w:val="none"/>
        </w:rPr>
      </w:pPr>
      <w:r>
        <w:rPr>
          <w:rFonts w:hint="eastAsia" w:ascii="宋体" w:hAnsi="宋体"/>
          <w:b/>
          <w:highlight w:val="none"/>
        </w:rPr>
        <w:t>本项目的特定资格要求格式</w:t>
      </w:r>
    </w:p>
    <w:p>
      <w:pPr>
        <w:snapToGrid w:val="0"/>
        <w:spacing w:before="120" w:beforeLines="50" w:after="50" w:line="400" w:lineRule="exact"/>
        <w:jc w:val="center"/>
        <w:rPr>
          <w:rFonts w:hint="eastAsia" w:ascii="宋体" w:hAnsi="宋体"/>
          <w:b/>
          <w:sz w:val="32"/>
          <w:szCs w:val="32"/>
          <w:highlight w:val="none"/>
        </w:rPr>
      </w:pPr>
    </w:p>
    <w:p>
      <w:pPr>
        <w:spacing w:line="360" w:lineRule="auto"/>
        <w:jc w:val="center"/>
        <w:rPr>
          <w:rFonts w:hint="eastAsia" w:ascii="宋体" w:hAnsi="宋体"/>
          <w:b/>
          <w:sz w:val="32"/>
          <w:szCs w:val="32"/>
          <w:highlight w:val="none"/>
        </w:rPr>
      </w:pPr>
      <w:r>
        <w:rPr>
          <w:rFonts w:hint="eastAsia" w:ascii="宋体" w:hAnsi="宋体"/>
          <w:b/>
          <w:sz w:val="32"/>
          <w:szCs w:val="32"/>
          <w:highlight w:val="none"/>
        </w:rPr>
        <w:t>本项目的特定资格要求</w:t>
      </w:r>
    </w:p>
    <w:p>
      <w:pPr>
        <w:spacing w:line="360" w:lineRule="auto"/>
        <w:jc w:val="center"/>
        <w:rPr>
          <w:rFonts w:ascii="宋体" w:hAnsi="宋体"/>
          <w:highlight w:val="none"/>
        </w:rPr>
      </w:pPr>
      <w:r>
        <w:rPr>
          <w:rFonts w:hint="eastAsia" w:ascii="宋体" w:hAnsi="宋体" w:cs="仿宋_GB2312"/>
          <w:highlight w:val="none"/>
        </w:rPr>
        <w:t>（</w:t>
      </w:r>
      <w:r>
        <w:rPr>
          <w:rFonts w:hint="eastAsia" w:ascii="宋体" w:hAnsi="宋体" w:cs="仿宋_GB2312"/>
          <w:highlight w:val="none"/>
          <w:lang w:eastAsia="zh-CN"/>
        </w:rPr>
        <w:t>无</w:t>
      </w:r>
      <w:r>
        <w:rPr>
          <w:rFonts w:hint="eastAsia" w:ascii="宋体" w:hAnsi="宋体" w:cs="仿宋_GB2312"/>
          <w:highlight w:val="none"/>
        </w:rPr>
        <w:t>）</w:t>
      </w:r>
    </w:p>
    <w:p>
      <w:pPr>
        <w:snapToGrid w:val="0"/>
        <w:spacing w:before="120" w:beforeLines="50" w:after="50"/>
        <w:rPr>
          <w:rFonts w:hint="eastAsia" w:ascii="宋体" w:hAnsi="宋体"/>
          <w:b/>
          <w:highlight w:val="none"/>
        </w:rPr>
      </w:pPr>
    </w:p>
    <w:p>
      <w:pPr>
        <w:pStyle w:val="68"/>
        <w:snapToGrid w:val="0"/>
        <w:ind w:left="420" w:firstLine="0" w:firstLineChars="0"/>
        <w:rPr>
          <w:rFonts w:hint="eastAsia" w:ascii="宋体" w:hAnsi="宋体"/>
          <w:b/>
          <w:highlight w:val="none"/>
        </w:rPr>
      </w:pPr>
    </w:p>
    <w:p>
      <w:pPr>
        <w:widowControl/>
        <w:jc w:val="left"/>
        <w:rPr>
          <w:rFonts w:ascii="宋体" w:hAnsi="宋体"/>
          <w:szCs w:val="20"/>
          <w:highlight w:val="none"/>
        </w:rPr>
      </w:pPr>
    </w:p>
    <w:p>
      <w:pPr>
        <w:rPr>
          <w:rFonts w:hint="eastAsia"/>
          <w:highlight w:val="none"/>
        </w:rPr>
      </w:pPr>
      <w:r>
        <w:rPr>
          <w:highlight w:val="none"/>
        </w:rPr>
        <w:br w:type="page"/>
      </w:r>
    </w:p>
    <w:p>
      <w:pPr>
        <w:pStyle w:val="68"/>
        <w:numPr>
          <w:ilvl w:val="0"/>
          <w:numId w:val="31"/>
        </w:numPr>
        <w:snapToGrid w:val="0"/>
        <w:ind w:firstLineChars="0"/>
        <w:jc w:val="center"/>
        <w:outlineLvl w:val="2"/>
        <w:rPr>
          <w:rFonts w:hint="eastAsia" w:ascii="宋体" w:hAnsi="宋体"/>
          <w:b/>
          <w:sz w:val="28"/>
          <w:szCs w:val="28"/>
          <w:highlight w:val="none"/>
        </w:rPr>
      </w:pPr>
      <w:r>
        <w:rPr>
          <w:rFonts w:hint="eastAsia"/>
          <w:b/>
          <w:sz w:val="28"/>
          <w:szCs w:val="28"/>
          <w:highlight w:val="none"/>
        </w:rPr>
        <w:t>资信商务及技术</w:t>
      </w:r>
      <w:r>
        <w:rPr>
          <w:rFonts w:hint="eastAsia" w:ascii="宋体" w:hAnsi="宋体"/>
          <w:b/>
          <w:sz w:val="28"/>
          <w:szCs w:val="28"/>
          <w:highlight w:val="none"/>
        </w:rPr>
        <w:t>文件格式</w:t>
      </w:r>
    </w:p>
    <w:p>
      <w:pPr>
        <w:pStyle w:val="68"/>
        <w:snapToGrid w:val="0"/>
        <w:ind w:left="420" w:firstLine="0" w:firstLineChars="0"/>
        <w:rPr>
          <w:rFonts w:hint="eastAsia" w:ascii="宋体" w:hAnsi="宋体"/>
          <w:highlight w:val="none"/>
        </w:rPr>
      </w:pPr>
    </w:p>
    <w:p>
      <w:pPr>
        <w:pStyle w:val="68"/>
        <w:numPr>
          <w:ilvl w:val="0"/>
          <w:numId w:val="33"/>
        </w:numPr>
        <w:snapToGrid w:val="0"/>
        <w:ind w:firstLineChars="0"/>
        <w:rPr>
          <w:rFonts w:hint="eastAsia" w:ascii="宋体" w:hAnsi="宋体"/>
          <w:b/>
          <w:highlight w:val="none"/>
        </w:rPr>
      </w:pPr>
      <w:r>
        <w:rPr>
          <w:rFonts w:hint="eastAsia" w:ascii="宋体" w:hAnsi="宋体"/>
          <w:b/>
          <w:highlight w:val="none"/>
        </w:rPr>
        <w:t>资信商务及技术文件封面格式：</w:t>
      </w:r>
      <w:r>
        <w:rPr>
          <w:rFonts w:ascii="宋体" w:hAnsi="宋体"/>
          <w:b/>
          <w:highlight w:val="none"/>
        </w:rPr>
        <w:t xml:space="preserve"> </w:t>
      </w:r>
    </w:p>
    <w:p>
      <w:pPr>
        <w:rPr>
          <w:highlight w:val="none"/>
        </w:rPr>
      </w:pPr>
    </w:p>
    <w:p>
      <w:pPr>
        <w:snapToGrid w:val="0"/>
        <w:spacing w:line="360" w:lineRule="auto"/>
        <w:rPr>
          <w:rFonts w:hint="eastAsia" w:ascii="宋体" w:hAnsi="宋体"/>
          <w:b/>
          <w:bCs/>
          <w:highlight w:val="none"/>
        </w:rPr>
      </w:pPr>
      <w:r>
        <w:rPr>
          <w:rFonts w:ascii="宋体" w:hAnsi="宋体"/>
          <w:highlight w:val="none"/>
        </w:rPr>
        <w:t xml:space="preserve">                                                    </w:t>
      </w:r>
    </w:p>
    <w:p>
      <w:pPr>
        <w:snapToGrid w:val="0"/>
        <w:spacing w:line="360" w:lineRule="auto"/>
        <w:jc w:val="center"/>
        <w:rPr>
          <w:rFonts w:ascii="宋体" w:hAnsi="宋体"/>
          <w:b/>
          <w:bCs/>
          <w:sz w:val="32"/>
          <w:szCs w:val="32"/>
          <w:highlight w:val="none"/>
        </w:rPr>
      </w:pPr>
      <w:r>
        <w:rPr>
          <w:rFonts w:hint="eastAsia" w:ascii="宋体" w:hAnsi="宋体"/>
          <w:b/>
          <w:bCs/>
          <w:sz w:val="32"/>
          <w:szCs w:val="32"/>
          <w:highlight w:val="none"/>
        </w:rPr>
        <w:t>资信商务及</w:t>
      </w:r>
      <w:r>
        <w:rPr>
          <w:rFonts w:hint="eastAsia" w:ascii="宋体" w:hAnsi="宋体"/>
          <w:b/>
          <w:sz w:val="32"/>
          <w:szCs w:val="32"/>
          <w:highlight w:val="none"/>
        </w:rPr>
        <w:t>技术文件</w:t>
      </w:r>
    </w:p>
    <w:p>
      <w:pPr>
        <w:snapToGrid w:val="0"/>
        <w:spacing w:line="360" w:lineRule="auto"/>
        <w:rPr>
          <w:rFonts w:ascii="宋体" w:hAnsi="宋体"/>
          <w:bCs/>
          <w:szCs w:val="20"/>
          <w:highlight w:val="none"/>
        </w:rPr>
      </w:pPr>
    </w:p>
    <w:p>
      <w:pPr>
        <w:snapToGrid w:val="0"/>
        <w:spacing w:line="360" w:lineRule="auto"/>
        <w:ind w:firstLine="1068" w:firstLineChars="445"/>
        <w:rPr>
          <w:rFonts w:hint="eastAsia" w:ascii="宋体" w:hAnsi="宋体"/>
          <w:bCs/>
          <w:highlight w:val="none"/>
        </w:rPr>
      </w:pPr>
      <w:r>
        <w:rPr>
          <w:rFonts w:hint="eastAsia" w:ascii="宋体" w:hAnsi="宋体"/>
          <w:bCs/>
          <w:highlight w:val="none"/>
        </w:rPr>
        <w:t>项目名称：</w:t>
      </w:r>
    </w:p>
    <w:p>
      <w:pPr>
        <w:snapToGrid w:val="0"/>
        <w:spacing w:line="360" w:lineRule="auto"/>
        <w:ind w:firstLine="1068" w:firstLineChars="445"/>
        <w:rPr>
          <w:rFonts w:hint="eastAsia" w:ascii="宋体" w:hAnsi="宋体"/>
          <w:bCs/>
          <w:highlight w:val="none"/>
        </w:rPr>
      </w:pPr>
      <w:r>
        <w:rPr>
          <w:rFonts w:hint="eastAsia" w:ascii="宋体" w:hAnsi="宋体"/>
          <w:bCs/>
          <w:highlight w:val="none"/>
        </w:rPr>
        <w:t>标项名称：</w:t>
      </w:r>
    </w:p>
    <w:p>
      <w:pPr>
        <w:snapToGrid w:val="0"/>
        <w:spacing w:line="360" w:lineRule="auto"/>
        <w:ind w:firstLine="1068" w:firstLineChars="445"/>
        <w:rPr>
          <w:rFonts w:hint="eastAsia" w:ascii="宋体" w:hAnsi="宋体"/>
          <w:bCs/>
          <w:highlight w:val="none"/>
        </w:rPr>
      </w:pPr>
      <w:r>
        <w:rPr>
          <w:rFonts w:hint="eastAsia" w:ascii="宋体" w:hAnsi="宋体"/>
          <w:bCs/>
          <w:highlight w:val="none"/>
        </w:rPr>
        <w:t>项目编号：</w:t>
      </w:r>
      <w:r>
        <w:rPr>
          <w:rFonts w:ascii="宋体" w:hAnsi="宋体"/>
          <w:bCs/>
          <w:highlight w:val="none"/>
        </w:rPr>
        <w:t xml:space="preserve"> </w:t>
      </w:r>
    </w:p>
    <w:p>
      <w:pPr>
        <w:pStyle w:val="5"/>
        <w:snapToGrid w:val="0"/>
        <w:spacing w:line="360" w:lineRule="auto"/>
        <w:ind w:firstLine="1068" w:firstLineChars="445"/>
        <w:rPr>
          <w:rFonts w:ascii="宋体" w:hAnsi="宋体"/>
          <w:bCs/>
          <w:sz w:val="24"/>
          <w:highlight w:val="none"/>
        </w:rPr>
      </w:pPr>
      <w:r>
        <w:rPr>
          <w:rFonts w:hint="eastAsia" w:ascii="宋体" w:hAnsi="宋体"/>
          <w:bCs/>
          <w:sz w:val="24"/>
          <w:highlight w:val="none"/>
        </w:rPr>
        <w:t>供应商名称：</w:t>
      </w:r>
    </w:p>
    <w:p>
      <w:pPr>
        <w:pStyle w:val="5"/>
        <w:snapToGrid w:val="0"/>
        <w:spacing w:line="360" w:lineRule="auto"/>
        <w:ind w:firstLine="1068" w:firstLineChars="445"/>
        <w:rPr>
          <w:rFonts w:ascii="宋体" w:hAnsi="宋体"/>
          <w:bCs/>
          <w:sz w:val="24"/>
          <w:highlight w:val="none"/>
        </w:rPr>
      </w:pPr>
      <w:r>
        <w:rPr>
          <w:rFonts w:hint="eastAsia" w:ascii="宋体" w:hAnsi="宋体"/>
          <w:bCs/>
          <w:sz w:val="24"/>
          <w:highlight w:val="none"/>
        </w:rPr>
        <w:t>供应商地址：</w:t>
      </w:r>
    </w:p>
    <w:p>
      <w:pPr>
        <w:snapToGrid w:val="0"/>
        <w:spacing w:line="360" w:lineRule="auto"/>
        <w:ind w:firstLine="4080" w:firstLineChars="1700"/>
        <w:rPr>
          <w:rFonts w:ascii="宋体" w:hAnsi="宋体"/>
          <w:szCs w:val="20"/>
          <w:highlight w:val="none"/>
        </w:rPr>
      </w:pPr>
    </w:p>
    <w:p>
      <w:pPr>
        <w:snapToGrid w:val="0"/>
        <w:spacing w:line="360" w:lineRule="auto"/>
        <w:ind w:firstLine="645"/>
        <w:jc w:val="center"/>
        <w:rPr>
          <w:rFonts w:hint="eastAsia" w:ascii="宋体" w:hAnsi="宋体"/>
          <w:highlight w:val="none"/>
        </w:rPr>
      </w:pPr>
      <w:r>
        <w:rPr>
          <w:rFonts w:ascii="宋体" w:hAnsi="宋体"/>
          <w:highlight w:val="none"/>
        </w:rPr>
        <w:t xml:space="preserve">                       </w:t>
      </w:r>
      <w:r>
        <w:rPr>
          <w:rFonts w:hint="eastAsia" w:ascii="宋体" w:hAnsi="宋体"/>
          <w:highlight w:val="non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rPr>
        <w:t xml:space="preserve">  </w:t>
      </w:r>
      <w:r>
        <w:rPr>
          <w:rFonts w:hint="eastAsia" w:ascii="宋体" w:hAnsi="宋体"/>
          <w:highlight w:val="none"/>
        </w:rPr>
        <w:t>月</w:t>
      </w:r>
      <w:r>
        <w:rPr>
          <w:rFonts w:ascii="宋体" w:hAnsi="宋体"/>
          <w:highlight w:val="none"/>
        </w:rPr>
        <w:t xml:space="preserve">  </w:t>
      </w:r>
      <w:r>
        <w:rPr>
          <w:rFonts w:hint="eastAsia" w:ascii="宋体" w:hAnsi="宋体"/>
          <w:highlight w:val="none"/>
        </w:rPr>
        <w:t>日</w:t>
      </w:r>
    </w:p>
    <w:p>
      <w:pPr>
        <w:pStyle w:val="68"/>
        <w:numPr>
          <w:ilvl w:val="0"/>
          <w:numId w:val="33"/>
        </w:numPr>
        <w:snapToGrid w:val="0"/>
        <w:ind w:firstLineChars="0"/>
        <w:rPr>
          <w:rFonts w:ascii="宋体" w:hAnsi="宋体"/>
          <w:highlight w:val="none"/>
        </w:rPr>
      </w:pPr>
      <w:r>
        <w:rPr>
          <w:rFonts w:ascii="宋体" w:hAnsi="宋体"/>
          <w:b/>
          <w:bCs/>
          <w:highlight w:val="none"/>
        </w:rPr>
        <w:br w:type="page"/>
      </w:r>
      <w:r>
        <w:rPr>
          <w:rFonts w:hint="eastAsia" w:ascii="宋体" w:hAnsi="宋体"/>
          <w:b/>
          <w:bCs/>
          <w:highlight w:val="none"/>
        </w:rPr>
        <w:t>资信商务及技术自评表</w:t>
      </w:r>
    </w:p>
    <w:p>
      <w:pPr>
        <w:autoSpaceDE w:val="0"/>
        <w:autoSpaceDN w:val="0"/>
        <w:adjustRightInd w:val="0"/>
        <w:spacing w:line="360" w:lineRule="auto"/>
        <w:jc w:val="center"/>
        <w:rPr>
          <w:rFonts w:ascii="黑体" w:hAnsi="宋体" w:eastAsia="黑体" w:cs="宋体"/>
          <w:b/>
          <w:bCs/>
          <w:kern w:val="0"/>
          <w:sz w:val="32"/>
          <w:szCs w:val="32"/>
          <w:highlight w:val="none"/>
        </w:rPr>
      </w:pPr>
      <w:r>
        <w:rPr>
          <w:rFonts w:hint="eastAsia"/>
          <w:b/>
          <w:highlight w:val="none"/>
        </w:rPr>
        <w:t>资信商务及技术自评表</w:t>
      </w:r>
    </w:p>
    <w:p>
      <w:pPr>
        <w:spacing w:line="360" w:lineRule="auto"/>
        <w:rPr>
          <w:rFonts w:ascii="宋体" w:hAnsi="宋体" w:cs="宋体"/>
          <w:kern w:val="0"/>
          <w:highlight w:val="none"/>
        </w:rPr>
      </w:pPr>
      <w:r>
        <w:rPr>
          <w:rFonts w:hint="eastAsia" w:ascii="宋体" w:hAnsi="宋体" w:cs="宋体"/>
          <w:kern w:val="0"/>
          <w:highlight w:val="none"/>
        </w:rPr>
        <w:t xml:space="preserve">项目名称：                          </w:t>
      </w:r>
    </w:p>
    <w:p>
      <w:pPr>
        <w:spacing w:line="360" w:lineRule="auto"/>
        <w:rPr>
          <w:rFonts w:ascii="宋体" w:hAnsi="宋体" w:cs="宋体"/>
          <w:kern w:val="0"/>
          <w:sz w:val="20"/>
          <w:szCs w:val="20"/>
          <w:highlight w:val="none"/>
        </w:rPr>
      </w:pPr>
      <w:r>
        <w:rPr>
          <w:rFonts w:hint="eastAsia" w:ascii="宋体" w:hAnsi="宋体" w:cs="宋体"/>
          <w:kern w:val="0"/>
          <w:highlight w:val="none"/>
        </w:rPr>
        <w:t>供应商名称：</w:t>
      </w:r>
    </w:p>
    <w:p>
      <w:pPr>
        <w:spacing w:line="360" w:lineRule="auto"/>
        <w:jc w:val="center"/>
        <w:rPr>
          <w:rFonts w:ascii="宋体" w:hAnsi="宋体" w:cs="宋体"/>
          <w:b/>
          <w:bCs/>
          <w:sz w:val="24"/>
          <w:highlight w:val="none"/>
        </w:rPr>
      </w:pPr>
      <w:r>
        <w:rPr>
          <w:rFonts w:hint="eastAsia" w:ascii="宋体" w:hAnsi="宋体" w:cs="宋体"/>
          <w:b/>
          <w:sz w:val="24"/>
          <w:highlight w:val="none"/>
        </w:rPr>
        <w:t>自评表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0"/>
        <w:gridCol w:w="3300"/>
        <w:gridCol w:w="2145"/>
        <w:gridCol w:w="21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vMerge w:val="restart"/>
            <w:noWrap w:val="0"/>
            <w:vAlign w:val="center"/>
          </w:tcPr>
          <w:p>
            <w:pPr>
              <w:spacing w:line="360" w:lineRule="auto"/>
              <w:jc w:val="center"/>
              <w:rPr>
                <w:rFonts w:ascii="宋体" w:hAnsi="宋体" w:cs="宋体"/>
                <w:b/>
                <w:bCs/>
                <w:sz w:val="24"/>
                <w:highlight w:val="none"/>
              </w:rPr>
            </w:pPr>
            <w:r>
              <w:rPr>
                <w:rFonts w:hint="eastAsia" w:ascii="宋体" w:hAnsi="宋体" w:cs="宋体"/>
                <w:b/>
                <w:bCs/>
                <w:sz w:val="24"/>
                <w:highlight w:val="none"/>
              </w:rPr>
              <w:t>评标内容及分值</w:t>
            </w:r>
          </w:p>
        </w:tc>
        <w:tc>
          <w:tcPr>
            <w:tcW w:w="4254" w:type="dxa"/>
            <w:gridSpan w:val="2"/>
            <w:noWrap w:val="0"/>
            <w:vAlign w:val="center"/>
          </w:tcPr>
          <w:p>
            <w:pPr>
              <w:spacing w:line="360" w:lineRule="auto"/>
              <w:jc w:val="center"/>
              <w:rPr>
                <w:rFonts w:ascii="宋体" w:hAnsi="宋体" w:cs="宋体"/>
                <w:b/>
                <w:bCs/>
                <w:sz w:val="24"/>
                <w:highlight w:val="none"/>
              </w:rPr>
            </w:pPr>
            <w:r>
              <w:rPr>
                <w:rFonts w:hint="eastAsia" w:ascii="宋体" w:hAnsi="宋体" w:cs="宋体"/>
                <w:b/>
                <w:bCs/>
                <w:sz w:val="24"/>
                <w:highlight w:val="none"/>
              </w:rPr>
              <w:t>供应商自评栏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3" w:hRule="atLeast"/>
          <w:jc w:val="center"/>
        </w:trPr>
        <w:tc>
          <w:tcPr>
            <w:tcW w:w="4510" w:type="dxa"/>
            <w:gridSpan w:val="2"/>
            <w:vMerge w:val="continue"/>
            <w:noWrap w:val="0"/>
            <w:vAlign w:val="center"/>
          </w:tcPr>
          <w:p>
            <w:pPr>
              <w:spacing w:line="360" w:lineRule="auto"/>
              <w:jc w:val="center"/>
              <w:rPr>
                <w:rFonts w:ascii="宋体" w:hAnsi="宋体" w:cs="宋体"/>
                <w:b/>
                <w:bCs/>
                <w:sz w:val="24"/>
                <w:highlight w:val="none"/>
              </w:rPr>
            </w:pPr>
          </w:p>
        </w:tc>
        <w:tc>
          <w:tcPr>
            <w:tcW w:w="2145" w:type="dxa"/>
            <w:noWrap w:val="0"/>
            <w:vAlign w:val="center"/>
          </w:tcPr>
          <w:p>
            <w:pPr>
              <w:spacing w:line="360" w:lineRule="auto"/>
              <w:jc w:val="center"/>
              <w:rPr>
                <w:rFonts w:ascii="宋体" w:hAnsi="宋体" w:cs="宋体"/>
                <w:b/>
                <w:bCs/>
                <w:sz w:val="24"/>
                <w:highlight w:val="none"/>
              </w:rPr>
            </w:pPr>
            <w:r>
              <w:rPr>
                <w:rFonts w:hint="eastAsia" w:ascii="宋体" w:hAnsi="宋体" w:cs="宋体"/>
                <w:b/>
                <w:bCs/>
                <w:sz w:val="24"/>
                <w:highlight w:val="none"/>
              </w:rPr>
              <w:t>自评分</w:t>
            </w:r>
          </w:p>
        </w:tc>
        <w:tc>
          <w:tcPr>
            <w:tcW w:w="2109" w:type="dxa"/>
            <w:noWrap w:val="0"/>
            <w:vAlign w:val="center"/>
          </w:tcPr>
          <w:p>
            <w:pPr>
              <w:spacing w:line="360" w:lineRule="auto"/>
              <w:jc w:val="center"/>
              <w:rPr>
                <w:rFonts w:ascii="宋体" w:hAnsi="宋体" w:cs="宋体"/>
                <w:b/>
                <w:bCs/>
                <w:sz w:val="24"/>
                <w:highlight w:val="none"/>
              </w:rPr>
            </w:pPr>
            <w:r>
              <w:rPr>
                <w:rFonts w:hint="eastAsia" w:ascii="宋体" w:hAnsi="宋体" w:cs="宋体"/>
                <w:b/>
                <w:bCs/>
                <w:sz w:val="24"/>
                <w:highlight w:val="none"/>
              </w:rPr>
              <w:t>自评依据及标书页码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 w:hRule="atLeast"/>
          <w:jc w:val="center"/>
        </w:trPr>
        <w:tc>
          <w:tcPr>
            <w:tcW w:w="1210" w:type="dxa"/>
            <w:vMerge w:val="restart"/>
            <w:noWrap w:val="0"/>
            <w:vAlign w:val="center"/>
          </w:tcPr>
          <w:p>
            <w:pPr>
              <w:spacing w:line="360" w:lineRule="auto"/>
              <w:jc w:val="center"/>
              <w:rPr>
                <w:rFonts w:ascii="宋体" w:hAnsi="宋体" w:cs="宋体"/>
                <w:b/>
                <w:bCs/>
                <w:sz w:val="24"/>
                <w:highlight w:val="none"/>
              </w:rPr>
            </w:pPr>
            <w:r>
              <w:rPr>
                <w:rFonts w:hint="eastAsia" w:ascii="宋体" w:hAnsi="宋体" w:cs="宋体"/>
                <w:b/>
                <w:bCs/>
                <w:sz w:val="28"/>
                <w:szCs w:val="28"/>
                <w:highlight w:val="none"/>
              </w:rPr>
              <w:t>资信商务分（X分）</w:t>
            </w:r>
          </w:p>
        </w:tc>
        <w:tc>
          <w:tcPr>
            <w:tcW w:w="3300" w:type="dxa"/>
            <w:tcBorders>
              <w:bottom w:val="single" w:color="auto" w:sz="4" w:space="0"/>
            </w:tcBorders>
            <w:noWrap w:val="0"/>
            <w:vAlign w:val="center"/>
          </w:tcPr>
          <w:p>
            <w:pPr>
              <w:widowControl/>
              <w:spacing w:line="360" w:lineRule="auto"/>
              <w:jc w:val="center"/>
              <w:rPr>
                <w:rFonts w:ascii="宋体" w:hAnsi="宋体" w:cs="宋体"/>
                <w:kern w:val="0"/>
                <w:szCs w:val="21"/>
                <w:highlight w:val="none"/>
              </w:rPr>
            </w:pPr>
          </w:p>
        </w:tc>
        <w:tc>
          <w:tcPr>
            <w:tcW w:w="2145" w:type="dxa"/>
            <w:tcBorders>
              <w:bottom w:val="single" w:color="auto" w:sz="4" w:space="0"/>
            </w:tcBorders>
            <w:noWrap w:val="0"/>
            <w:vAlign w:val="center"/>
          </w:tcPr>
          <w:p>
            <w:pPr>
              <w:spacing w:line="360" w:lineRule="auto"/>
              <w:jc w:val="left"/>
              <w:rPr>
                <w:rFonts w:ascii="宋体" w:hAnsi="宋体" w:cs="宋体"/>
                <w:szCs w:val="21"/>
                <w:highlight w:val="none"/>
              </w:rPr>
            </w:pPr>
          </w:p>
        </w:tc>
        <w:tc>
          <w:tcPr>
            <w:tcW w:w="2109" w:type="dxa"/>
            <w:tcBorders>
              <w:bottom w:val="single" w:color="auto" w:sz="4" w:space="0"/>
            </w:tcBorders>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noWrap w:val="0"/>
            <w:vAlign w:val="center"/>
          </w:tcPr>
          <w:p>
            <w:pPr>
              <w:spacing w:line="360" w:lineRule="auto"/>
              <w:jc w:val="center"/>
              <w:rPr>
                <w:rFonts w:ascii="宋体" w:hAnsi="宋体" w:cs="宋体"/>
                <w:b/>
                <w:bCs/>
                <w:sz w:val="24"/>
                <w:highlight w:val="none"/>
              </w:rPr>
            </w:pPr>
          </w:p>
        </w:tc>
        <w:tc>
          <w:tcPr>
            <w:tcW w:w="3300" w:type="dxa"/>
            <w:tcBorders>
              <w:top w:val="single" w:color="auto" w:sz="4" w:space="0"/>
            </w:tcBorders>
            <w:noWrap w:val="0"/>
            <w:vAlign w:val="center"/>
          </w:tcPr>
          <w:p>
            <w:pPr>
              <w:widowControl/>
              <w:spacing w:line="360" w:lineRule="auto"/>
              <w:jc w:val="center"/>
              <w:rPr>
                <w:rFonts w:ascii="宋体" w:hAnsi="宋体" w:cs="宋体"/>
                <w:kern w:val="0"/>
                <w:szCs w:val="21"/>
                <w:highlight w:val="none"/>
              </w:rPr>
            </w:pPr>
          </w:p>
        </w:tc>
        <w:tc>
          <w:tcPr>
            <w:tcW w:w="2145" w:type="dxa"/>
            <w:tcBorders>
              <w:top w:val="single" w:color="auto" w:sz="4" w:space="0"/>
              <w:bottom w:val="single" w:color="auto" w:sz="4" w:space="0"/>
            </w:tcBorders>
            <w:noWrap w:val="0"/>
            <w:vAlign w:val="center"/>
          </w:tcPr>
          <w:p>
            <w:pPr>
              <w:spacing w:line="360" w:lineRule="auto"/>
              <w:jc w:val="left"/>
              <w:rPr>
                <w:rFonts w:ascii="宋体" w:hAnsi="宋体" w:cs="宋体"/>
                <w:szCs w:val="21"/>
                <w:highlight w:val="none"/>
              </w:rPr>
            </w:pPr>
          </w:p>
        </w:tc>
        <w:tc>
          <w:tcPr>
            <w:tcW w:w="2109" w:type="dxa"/>
            <w:tcBorders>
              <w:top w:val="single" w:color="auto" w:sz="4" w:space="0"/>
              <w:bottom w:val="single" w:color="auto" w:sz="4" w:space="0"/>
            </w:tcBorders>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noWrap w:val="0"/>
            <w:vAlign w:val="center"/>
          </w:tcPr>
          <w:p>
            <w:pPr>
              <w:spacing w:line="360" w:lineRule="auto"/>
              <w:jc w:val="center"/>
              <w:rPr>
                <w:rFonts w:ascii="宋体" w:hAnsi="宋体" w:cs="宋体"/>
                <w:b/>
                <w:bCs/>
                <w:sz w:val="24"/>
                <w:highlight w:val="none"/>
              </w:rPr>
            </w:pPr>
          </w:p>
        </w:tc>
        <w:tc>
          <w:tcPr>
            <w:tcW w:w="3300" w:type="dxa"/>
            <w:tcBorders>
              <w:top w:val="single" w:color="auto" w:sz="4" w:space="0"/>
            </w:tcBorders>
            <w:noWrap w:val="0"/>
            <w:vAlign w:val="center"/>
          </w:tcPr>
          <w:p>
            <w:pPr>
              <w:widowControl/>
              <w:spacing w:line="360" w:lineRule="auto"/>
              <w:jc w:val="center"/>
              <w:rPr>
                <w:rFonts w:ascii="宋体" w:hAnsi="宋体" w:cs="宋体"/>
                <w:kern w:val="0"/>
                <w:szCs w:val="21"/>
                <w:highlight w:val="none"/>
              </w:rPr>
            </w:pPr>
          </w:p>
        </w:tc>
        <w:tc>
          <w:tcPr>
            <w:tcW w:w="2145" w:type="dxa"/>
            <w:tcBorders>
              <w:top w:val="single" w:color="auto" w:sz="4" w:space="0"/>
              <w:bottom w:val="single" w:color="auto" w:sz="4" w:space="0"/>
            </w:tcBorders>
            <w:noWrap w:val="0"/>
            <w:vAlign w:val="center"/>
          </w:tcPr>
          <w:p>
            <w:pPr>
              <w:spacing w:line="360" w:lineRule="auto"/>
              <w:jc w:val="left"/>
              <w:rPr>
                <w:rFonts w:ascii="宋体" w:hAnsi="宋体" w:cs="宋体"/>
                <w:szCs w:val="21"/>
                <w:highlight w:val="none"/>
              </w:rPr>
            </w:pPr>
          </w:p>
        </w:tc>
        <w:tc>
          <w:tcPr>
            <w:tcW w:w="2109" w:type="dxa"/>
            <w:tcBorders>
              <w:top w:val="single" w:color="auto" w:sz="4" w:space="0"/>
              <w:bottom w:val="single" w:color="auto" w:sz="4" w:space="0"/>
            </w:tcBorders>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noWrap w:val="0"/>
            <w:vAlign w:val="center"/>
          </w:tcPr>
          <w:p>
            <w:pPr>
              <w:spacing w:line="360" w:lineRule="auto"/>
              <w:jc w:val="center"/>
              <w:rPr>
                <w:rFonts w:ascii="宋体" w:hAnsi="宋体" w:cs="宋体"/>
                <w:b/>
                <w:bCs/>
                <w:sz w:val="24"/>
                <w:highlight w:val="none"/>
              </w:rPr>
            </w:pPr>
          </w:p>
        </w:tc>
        <w:tc>
          <w:tcPr>
            <w:tcW w:w="3300" w:type="dxa"/>
            <w:tcBorders>
              <w:top w:val="single" w:color="auto" w:sz="4" w:space="0"/>
            </w:tcBorders>
            <w:noWrap w:val="0"/>
            <w:vAlign w:val="center"/>
          </w:tcPr>
          <w:p>
            <w:pPr>
              <w:widowControl/>
              <w:spacing w:line="360" w:lineRule="auto"/>
              <w:jc w:val="center"/>
              <w:rPr>
                <w:rFonts w:ascii="宋体" w:hAnsi="宋体" w:cs="宋体"/>
                <w:kern w:val="0"/>
                <w:szCs w:val="21"/>
                <w:highlight w:val="none"/>
              </w:rPr>
            </w:pPr>
          </w:p>
        </w:tc>
        <w:tc>
          <w:tcPr>
            <w:tcW w:w="2145" w:type="dxa"/>
            <w:tcBorders>
              <w:top w:val="single" w:color="auto" w:sz="4" w:space="0"/>
              <w:bottom w:val="single" w:color="auto" w:sz="4" w:space="0"/>
            </w:tcBorders>
            <w:noWrap w:val="0"/>
            <w:vAlign w:val="center"/>
          </w:tcPr>
          <w:p>
            <w:pPr>
              <w:spacing w:line="360" w:lineRule="auto"/>
              <w:jc w:val="left"/>
              <w:rPr>
                <w:rFonts w:ascii="宋体" w:hAnsi="宋体" w:cs="宋体"/>
                <w:szCs w:val="21"/>
                <w:highlight w:val="none"/>
              </w:rPr>
            </w:pPr>
          </w:p>
        </w:tc>
        <w:tc>
          <w:tcPr>
            <w:tcW w:w="2109" w:type="dxa"/>
            <w:tcBorders>
              <w:top w:val="single" w:color="auto" w:sz="4" w:space="0"/>
              <w:bottom w:val="single" w:color="auto" w:sz="4" w:space="0"/>
            </w:tcBorders>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noWrap w:val="0"/>
            <w:vAlign w:val="center"/>
          </w:tcPr>
          <w:p>
            <w:pPr>
              <w:spacing w:line="360" w:lineRule="auto"/>
              <w:jc w:val="center"/>
              <w:rPr>
                <w:rFonts w:ascii="宋体" w:hAnsi="宋体" w:cs="宋体"/>
                <w:b/>
                <w:bCs/>
                <w:sz w:val="24"/>
                <w:highlight w:val="none"/>
              </w:rPr>
            </w:pPr>
          </w:p>
        </w:tc>
        <w:tc>
          <w:tcPr>
            <w:tcW w:w="3300" w:type="dxa"/>
            <w:tcBorders>
              <w:top w:val="single" w:color="auto" w:sz="4" w:space="0"/>
            </w:tcBorders>
            <w:noWrap w:val="0"/>
            <w:vAlign w:val="center"/>
          </w:tcPr>
          <w:p>
            <w:pPr>
              <w:widowControl/>
              <w:spacing w:line="360" w:lineRule="auto"/>
              <w:jc w:val="center"/>
              <w:rPr>
                <w:rFonts w:ascii="宋体" w:hAnsi="宋体" w:cs="宋体"/>
                <w:kern w:val="0"/>
                <w:szCs w:val="21"/>
                <w:highlight w:val="none"/>
              </w:rPr>
            </w:pPr>
          </w:p>
        </w:tc>
        <w:tc>
          <w:tcPr>
            <w:tcW w:w="2145" w:type="dxa"/>
            <w:tcBorders>
              <w:top w:val="single" w:color="auto" w:sz="4" w:space="0"/>
              <w:bottom w:val="single" w:color="auto" w:sz="4" w:space="0"/>
            </w:tcBorders>
            <w:noWrap w:val="0"/>
            <w:vAlign w:val="center"/>
          </w:tcPr>
          <w:p>
            <w:pPr>
              <w:spacing w:line="360" w:lineRule="auto"/>
              <w:jc w:val="left"/>
              <w:rPr>
                <w:rFonts w:ascii="宋体" w:hAnsi="宋体" w:cs="宋体"/>
                <w:szCs w:val="21"/>
                <w:highlight w:val="none"/>
              </w:rPr>
            </w:pPr>
          </w:p>
        </w:tc>
        <w:tc>
          <w:tcPr>
            <w:tcW w:w="2109" w:type="dxa"/>
            <w:tcBorders>
              <w:top w:val="single" w:color="auto" w:sz="4" w:space="0"/>
              <w:bottom w:val="single" w:color="auto" w:sz="4" w:space="0"/>
            </w:tcBorders>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4" w:hRule="atLeast"/>
          <w:jc w:val="center"/>
        </w:trPr>
        <w:tc>
          <w:tcPr>
            <w:tcW w:w="1210" w:type="dxa"/>
            <w:vMerge w:val="continue"/>
            <w:noWrap w:val="0"/>
            <w:vAlign w:val="center"/>
          </w:tcPr>
          <w:p>
            <w:pPr>
              <w:spacing w:line="360" w:lineRule="exact"/>
              <w:jc w:val="center"/>
              <w:rPr>
                <w:rFonts w:ascii="宋体" w:hAnsi="宋体" w:cs="宋体"/>
                <w:b/>
                <w:bCs/>
                <w:sz w:val="28"/>
                <w:szCs w:val="28"/>
                <w:highlight w:val="none"/>
              </w:rPr>
            </w:pPr>
          </w:p>
        </w:tc>
        <w:tc>
          <w:tcPr>
            <w:tcW w:w="3300" w:type="dxa"/>
            <w:tcBorders>
              <w:top w:val="single" w:color="auto" w:sz="4" w:space="0"/>
            </w:tcBorders>
            <w:noWrap w:val="0"/>
            <w:vAlign w:val="center"/>
          </w:tcPr>
          <w:p>
            <w:pPr>
              <w:widowControl/>
              <w:spacing w:line="360" w:lineRule="auto"/>
              <w:jc w:val="center"/>
              <w:rPr>
                <w:rFonts w:ascii="宋体" w:hAnsi="宋体" w:cs="宋体"/>
                <w:kern w:val="0"/>
                <w:szCs w:val="21"/>
                <w:highlight w:val="none"/>
              </w:rPr>
            </w:pPr>
          </w:p>
        </w:tc>
        <w:tc>
          <w:tcPr>
            <w:tcW w:w="2145" w:type="dxa"/>
            <w:tcBorders>
              <w:top w:val="single" w:color="auto" w:sz="4" w:space="0"/>
              <w:bottom w:val="single" w:color="auto" w:sz="4" w:space="0"/>
            </w:tcBorders>
            <w:noWrap w:val="0"/>
            <w:vAlign w:val="center"/>
          </w:tcPr>
          <w:p>
            <w:pPr>
              <w:spacing w:line="360" w:lineRule="auto"/>
              <w:jc w:val="left"/>
              <w:rPr>
                <w:rFonts w:ascii="宋体" w:hAnsi="宋体" w:cs="宋体"/>
                <w:szCs w:val="21"/>
                <w:highlight w:val="none"/>
              </w:rPr>
            </w:pPr>
          </w:p>
        </w:tc>
        <w:tc>
          <w:tcPr>
            <w:tcW w:w="2109" w:type="dxa"/>
            <w:tcBorders>
              <w:top w:val="single" w:color="auto" w:sz="4" w:space="0"/>
              <w:bottom w:val="single" w:color="auto" w:sz="4" w:space="0"/>
            </w:tcBorders>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9" w:hRule="atLeast"/>
          <w:jc w:val="center"/>
        </w:trPr>
        <w:tc>
          <w:tcPr>
            <w:tcW w:w="1210" w:type="dxa"/>
            <w:vMerge w:val="restart"/>
            <w:noWrap w:val="0"/>
            <w:vAlign w:val="center"/>
          </w:tcPr>
          <w:p>
            <w:pPr>
              <w:spacing w:line="360" w:lineRule="auto"/>
              <w:jc w:val="center"/>
              <w:rPr>
                <w:rFonts w:ascii="宋体" w:hAnsi="宋体" w:cs="宋体"/>
                <w:b/>
                <w:bCs/>
                <w:sz w:val="28"/>
                <w:szCs w:val="28"/>
                <w:highlight w:val="none"/>
              </w:rPr>
            </w:pPr>
            <w:r>
              <w:rPr>
                <w:rFonts w:hint="eastAsia" w:ascii="宋体" w:hAnsi="宋体" w:cs="宋体"/>
                <w:b/>
                <w:bCs/>
                <w:sz w:val="28"/>
                <w:szCs w:val="28"/>
                <w:highlight w:val="none"/>
              </w:rPr>
              <w:t>技术分（X分）</w:t>
            </w:r>
          </w:p>
        </w:tc>
        <w:tc>
          <w:tcPr>
            <w:tcW w:w="3300" w:type="dxa"/>
            <w:noWrap w:val="0"/>
            <w:vAlign w:val="center"/>
          </w:tcPr>
          <w:p>
            <w:pPr>
              <w:widowControl/>
              <w:spacing w:line="360" w:lineRule="auto"/>
              <w:jc w:val="center"/>
              <w:rPr>
                <w:rFonts w:ascii="宋体" w:hAnsi="宋体" w:cs="宋体"/>
                <w:kern w:val="0"/>
                <w:szCs w:val="21"/>
                <w:highlight w:val="none"/>
              </w:rPr>
            </w:pPr>
          </w:p>
        </w:tc>
        <w:tc>
          <w:tcPr>
            <w:tcW w:w="2145" w:type="dxa"/>
            <w:noWrap w:val="0"/>
            <w:vAlign w:val="center"/>
          </w:tcPr>
          <w:p>
            <w:pPr>
              <w:spacing w:line="360" w:lineRule="auto"/>
              <w:jc w:val="left"/>
              <w:rPr>
                <w:rFonts w:ascii="宋体" w:hAnsi="宋体" w:cs="宋体"/>
                <w:szCs w:val="21"/>
                <w:highlight w:val="none"/>
              </w:rPr>
            </w:pPr>
          </w:p>
        </w:tc>
        <w:tc>
          <w:tcPr>
            <w:tcW w:w="2109" w:type="dxa"/>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noWrap w:val="0"/>
            <w:vAlign w:val="center"/>
          </w:tcPr>
          <w:p>
            <w:pPr>
              <w:spacing w:line="360" w:lineRule="auto"/>
              <w:rPr>
                <w:rFonts w:ascii="宋体" w:hAnsi="宋体" w:cs="宋体"/>
                <w:szCs w:val="21"/>
                <w:highlight w:val="none"/>
              </w:rPr>
            </w:pPr>
          </w:p>
        </w:tc>
        <w:tc>
          <w:tcPr>
            <w:tcW w:w="3300" w:type="dxa"/>
            <w:noWrap w:val="0"/>
            <w:vAlign w:val="center"/>
          </w:tcPr>
          <w:p>
            <w:pPr>
              <w:widowControl/>
              <w:spacing w:line="360" w:lineRule="auto"/>
              <w:jc w:val="center"/>
              <w:rPr>
                <w:rFonts w:ascii="宋体" w:hAnsi="宋体" w:cs="宋体"/>
                <w:kern w:val="0"/>
                <w:szCs w:val="21"/>
                <w:highlight w:val="none"/>
              </w:rPr>
            </w:pPr>
          </w:p>
        </w:tc>
        <w:tc>
          <w:tcPr>
            <w:tcW w:w="2145" w:type="dxa"/>
            <w:noWrap w:val="0"/>
            <w:vAlign w:val="center"/>
          </w:tcPr>
          <w:p>
            <w:pPr>
              <w:spacing w:line="360" w:lineRule="auto"/>
              <w:jc w:val="left"/>
              <w:rPr>
                <w:rFonts w:ascii="宋体" w:hAnsi="宋体" w:cs="宋体"/>
                <w:szCs w:val="21"/>
                <w:highlight w:val="none"/>
              </w:rPr>
            </w:pPr>
          </w:p>
        </w:tc>
        <w:tc>
          <w:tcPr>
            <w:tcW w:w="2109" w:type="dxa"/>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noWrap w:val="0"/>
            <w:vAlign w:val="center"/>
          </w:tcPr>
          <w:p>
            <w:pPr>
              <w:spacing w:line="360" w:lineRule="auto"/>
              <w:rPr>
                <w:rFonts w:ascii="宋体" w:hAnsi="宋体" w:cs="宋体"/>
                <w:szCs w:val="21"/>
                <w:highlight w:val="none"/>
              </w:rPr>
            </w:pPr>
          </w:p>
        </w:tc>
        <w:tc>
          <w:tcPr>
            <w:tcW w:w="3300" w:type="dxa"/>
            <w:noWrap w:val="0"/>
            <w:vAlign w:val="center"/>
          </w:tcPr>
          <w:p>
            <w:pPr>
              <w:widowControl/>
              <w:spacing w:line="360" w:lineRule="auto"/>
              <w:jc w:val="center"/>
              <w:rPr>
                <w:rFonts w:ascii="宋体" w:hAnsi="宋体" w:cs="宋体"/>
                <w:kern w:val="0"/>
                <w:szCs w:val="21"/>
                <w:highlight w:val="none"/>
              </w:rPr>
            </w:pPr>
          </w:p>
        </w:tc>
        <w:tc>
          <w:tcPr>
            <w:tcW w:w="2145" w:type="dxa"/>
            <w:noWrap w:val="0"/>
            <w:vAlign w:val="center"/>
          </w:tcPr>
          <w:p>
            <w:pPr>
              <w:spacing w:line="360" w:lineRule="auto"/>
              <w:jc w:val="left"/>
              <w:rPr>
                <w:rFonts w:ascii="宋体" w:hAnsi="宋体" w:cs="宋体"/>
                <w:szCs w:val="21"/>
                <w:highlight w:val="none"/>
              </w:rPr>
            </w:pPr>
          </w:p>
        </w:tc>
        <w:tc>
          <w:tcPr>
            <w:tcW w:w="2109" w:type="dxa"/>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noWrap w:val="0"/>
            <w:vAlign w:val="center"/>
          </w:tcPr>
          <w:p>
            <w:pPr>
              <w:spacing w:line="360" w:lineRule="auto"/>
              <w:rPr>
                <w:rFonts w:ascii="宋体" w:hAnsi="宋体" w:cs="宋体"/>
                <w:szCs w:val="21"/>
                <w:highlight w:val="none"/>
              </w:rPr>
            </w:pPr>
          </w:p>
        </w:tc>
        <w:tc>
          <w:tcPr>
            <w:tcW w:w="3300" w:type="dxa"/>
            <w:noWrap w:val="0"/>
            <w:vAlign w:val="center"/>
          </w:tcPr>
          <w:p>
            <w:pPr>
              <w:widowControl/>
              <w:spacing w:line="360" w:lineRule="auto"/>
              <w:jc w:val="center"/>
              <w:rPr>
                <w:rFonts w:ascii="宋体" w:hAnsi="宋体" w:cs="宋体"/>
                <w:kern w:val="0"/>
                <w:szCs w:val="21"/>
                <w:highlight w:val="none"/>
              </w:rPr>
            </w:pPr>
          </w:p>
        </w:tc>
        <w:tc>
          <w:tcPr>
            <w:tcW w:w="2145" w:type="dxa"/>
            <w:noWrap w:val="0"/>
            <w:vAlign w:val="center"/>
          </w:tcPr>
          <w:p>
            <w:pPr>
              <w:spacing w:line="360" w:lineRule="auto"/>
              <w:jc w:val="left"/>
              <w:rPr>
                <w:rFonts w:ascii="宋体" w:hAnsi="宋体" w:cs="宋体"/>
                <w:szCs w:val="21"/>
                <w:highlight w:val="none"/>
              </w:rPr>
            </w:pPr>
          </w:p>
        </w:tc>
        <w:tc>
          <w:tcPr>
            <w:tcW w:w="2109" w:type="dxa"/>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noWrap w:val="0"/>
            <w:vAlign w:val="center"/>
          </w:tcPr>
          <w:p>
            <w:pPr>
              <w:spacing w:line="360" w:lineRule="auto"/>
              <w:rPr>
                <w:rFonts w:ascii="宋体" w:hAnsi="宋体" w:cs="宋体"/>
                <w:szCs w:val="21"/>
                <w:highlight w:val="none"/>
              </w:rPr>
            </w:pPr>
          </w:p>
        </w:tc>
        <w:tc>
          <w:tcPr>
            <w:tcW w:w="3300" w:type="dxa"/>
            <w:noWrap w:val="0"/>
            <w:vAlign w:val="center"/>
          </w:tcPr>
          <w:p>
            <w:pPr>
              <w:widowControl/>
              <w:spacing w:line="360" w:lineRule="auto"/>
              <w:jc w:val="center"/>
              <w:rPr>
                <w:rFonts w:ascii="宋体" w:hAnsi="宋体" w:cs="宋体"/>
                <w:kern w:val="0"/>
                <w:szCs w:val="21"/>
                <w:highlight w:val="none"/>
              </w:rPr>
            </w:pPr>
          </w:p>
        </w:tc>
        <w:tc>
          <w:tcPr>
            <w:tcW w:w="2145" w:type="dxa"/>
            <w:noWrap w:val="0"/>
            <w:vAlign w:val="center"/>
          </w:tcPr>
          <w:p>
            <w:pPr>
              <w:spacing w:line="360" w:lineRule="auto"/>
              <w:jc w:val="left"/>
              <w:rPr>
                <w:rFonts w:ascii="宋体" w:hAnsi="宋体" w:cs="宋体"/>
                <w:szCs w:val="21"/>
                <w:highlight w:val="none"/>
              </w:rPr>
            </w:pPr>
          </w:p>
        </w:tc>
        <w:tc>
          <w:tcPr>
            <w:tcW w:w="2109" w:type="dxa"/>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10" w:type="dxa"/>
            <w:vMerge w:val="continue"/>
            <w:noWrap w:val="0"/>
            <w:vAlign w:val="center"/>
          </w:tcPr>
          <w:p>
            <w:pPr>
              <w:spacing w:line="360" w:lineRule="auto"/>
              <w:rPr>
                <w:rFonts w:ascii="宋体" w:hAnsi="宋体" w:cs="宋体"/>
                <w:szCs w:val="21"/>
                <w:highlight w:val="none"/>
              </w:rPr>
            </w:pPr>
          </w:p>
        </w:tc>
        <w:tc>
          <w:tcPr>
            <w:tcW w:w="3300" w:type="dxa"/>
            <w:noWrap w:val="0"/>
            <w:vAlign w:val="center"/>
          </w:tcPr>
          <w:p>
            <w:pPr>
              <w:widowControl/>
              <w:spacing w:line="360" w:lineRule="auto"/>
              <w:jc w:val="center"/>
              <w:rPr>
                <w:rFonts w:ascii="宋体" w:hAnsi="宋体" w:cs="宋体"/>
                <w:kern w:val="0"/>
                <w:szCs w:val="21"/>
                <w:highlight w:val="none"/>
              </w:rPr>
            </w:pPr>
          </w:p>
        </w:tc>
        <w:tc>
          <w:tcPr>
            <w:tcW w:w="2145" w:type="dxa"/>
            <w:noWrap w:val="0"/>
            <w:vAlign w:val="center"/>
          </w:tcPr>
          <w:p>
            <w:pPr>
              <w:spacing w:line="360" w:lineRule="auto"/>
              <w:jc w:val="left"/>
              <w:rPr>
                <w:rFonts w:ascii="宋体" w:hAnsi="宋体" w:cs="宋体"/>
                <w:szCs w:val="21"/>
                <w:highlight w:val="none"/>
              </w:rPr>
            </w:pPr>
          </w:p>
        </w:tc>
        <w:tc>
          <w:tcPr>
            <w:tcW w:w="2109" w:type="dxa"/>
            <w:noWrap w:val="0"/>
            <w:vAlign w:val="center"/>
          </w:tcPr>
          <w:p>
            <w:pPr>
              <w:spacing w:line="360" w:lineRule="auto"/>
              <w:jc w:val="center"/>
              <w:rPr>
                <w:rFonts w:ascii="宋体" w:hAnsi="宋体" w:cs="宋体"/>
                <w:b/>
                <w:bCs/>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510" w:type="dxa"/>
            <w:gridSpan w:val="2"/>
            <w:noWrap w:val="0"/>
            <w:vAlign w:val="center"/>
          </w:tcPr>
          <w:p>
            <w:pPr>
              <w:spacing w:line="380" w:lineRule="exact"/>
              <w:jc w:val="center"/>
              <w:rPr>
                <w:rFonts w:ascii="宋体" w:hAnsi="宋体" w:cs="宋体"/>
                <w:sz w:val="24"/>
                <w:highlight w:val="none"/>
              </w:rPr>
            </w:pPr>
            <w:r>
              <w:rPr>
                <w:rFonts w:hint="eastAsia" w:ascii="宋体" w:hAnsi="宋体" w:cs="宋体"/>
                <w:bCs/>
                <w:sz w:val="24"/>
                <w:highlight w:val="none"/>
              </w:rPr>
              <w:t>合计（满分X分）</w:t>
            </w:r>
          </w:p>
        </w:tc>
        <w:tc>
          <w:tcPr>
            <w:tcW w:w="4254" w:type="dxa"/>
            <w:gridSpan w:val="2"/>
            <w:noWrap w:val="0"/>
            <w:vAlign w:val="center"/>
          </w:tcPr>
          <w:p>
            <w:pPr>
              <w:spacing w:line="360" w:lineRule="auto"/>
              <w:jc w:val="center"/>
              <w:rPr>
                <w:rFonts w:ascii="宋体" w:hAnsi="宋体" w:cs="宋体"/>
                <w:b/>
                <w:bCs/>
                <w:sz w:val="24"/>
                <w:highlight w:val="none"/>
              </w:rPr>
            </w:pPr>
          </w:p>
        </w:tc>
      </w:tr>
    </w:tbl>
    <w:p>
      <w:pPr>
        <w:snapToGrid w:val="0"/>
        <w:spacing w:before="120" w:beforeLines="50" w:after="50" w:line="400" w:lineRule="exact"/>
        <w:ind w:firstLine="240" w:firstLineChars="100"/>
        <w:rPr>
          <w:rFonts w:hint="eastAsia" w:ascii="宋体" w:hAnsi="宋体"/>
          <w:bCs/>
          <w:highlight w:val="none"/>
        </w:rPr>
      </w:pPr>
    </w:p>
    <w:p>
      <w:pPr>
        <w:snapToGrid w:val="0"/>
        <w:spacing w:before="120" w:beforeLines="50" w:after="50" w:line="400" w:lineRule="exact"/>
        <w:ind w:firstLine="240" w:firstLineChars="100"/>
        <w:rPr>
          <w:rFonts w:ascii="宋体" w:hAnsi="宋体"/>
          <w:highlight w:val="none"/>
        </w:rPr>
      </w:pPr>
      <w:r>
        <w:rPr>
          <w:rFonts w:hint="eastAsia" w:ascii="宋体" w:hAnsi="宋体"/>
          <w:bCs/>
          <w:highlight w:val="none"/>
        </w:rPr>
        <w:t>供应商（盖章）</w:t>
      </w:r>
      <w:r>
        <w:rPr>
          <w:rFonts w:hint="eastAsia" w:ascii="宋体" w:hAnsi="宋体"/>
          <w:highlight w:val="none"/>
        </w:rPr>
        <w:t>：</w:t>
      </w:r>
      <w:r>
        <w:rPr>
          <w:rFonts w:ascii="宋体" w:hAnsi="宋体"/>
          <w:highlight w:val="none"/>
          <w:u w:val="single"/>
        </w:rPr>
        <w:t xml:space="preserve">               </w:t>
      </w:r>
      <w:r>
        <w:rPr>
          <w:rFonts w:ascii="宋体" w:hAnsi="宋体"/>
          <w:highlight w:val="none"/>
        </w:rPr>
        <w:t xml:space="preserve">                      </w:t>
      </w:r>
    </w:p>
    <w:p>
      <w:pPr>
        <w:snapToGrid w:val="0"/>
        <w:spacing w:before="120" w:beforeLines="50" w:after="50" w:line="400" w:lineRule="exact"/>
        <w:ind w:firstLine="240" w:firstLineChars="100"/>
        <w:rPr>
          <w:rFonts w:ascii="宋体" w:hAnsi="宋体"/>
          <w:highlight w:val="none"/>
        </w:rPr>
      </w:pPr>
    </w:p>
    <w:p>
      <w:pPr>
        <w:pStyle w:val="94"/>
        <w:spacing w:line="360" w:lineRule="auto"/>
        <w:jc w:val="right"/>
        <w:rPr>
          <w:rFonts w:hAnsi="宋体" w:eastAsia="宋体"/>
          <w:sz w:val="24"/>
          <w:szCs w:val="24"/>
          <w:highlight w:val="none"/>
        </w:rPr>
      </w:pPr>
      <w:r>
        <w:rPr>
          <w:rFonts w:hint="eastAsia" w:hAnsi="宋体" w:eastAsia="宋体"/>
          <w:sz w:val="24"/>
          <w:szCs w:val="24"/>
          <w:highlight w:val="none"/>
        </w:rPr>
        <w:t>年</w:t>
      </w:r>
      <w:r>
        <w:rPr>
          <w:rFonts w:hAnsi="宋体" w:eastAsia="宋体"/>
          <w:sz w:val="24"/>
          <w:szCs w:val="24"/>
          <w:highlight w:val="none"/>
        </w:rPr>
        <w:t xml:space="preserve">    </w:t>
      </w:r>
      <w:r>
        <w:rPr>
          <w:rFonts w:hint="eastAsia" w:hAnsi="宋体" w:eastAsia="宋体"/>
          <w:sz w:val="24"/>
          <w:szCs w:val="24"/>
          <w:highlight w:val="none"/>
        </w:rPr>
        <w:t>月</w:t>
      </w:r>
      <w:r>
        <w:rPr>
          <w:rFonts w:hAnsi="宋体" w:eastAsia="宋体"/>
          <w:sz w:val="24"/>
          <w:szCs w:val="24"/>
          <w:highlight w:val="none"/>
        </w:rPr>
        <w:t xml:space="preserve">    </w:t>
      </w:r>
      <w:r>
        <w:rPr>
          <w:rFonts w:hint="eastAsia" w:hAnsi="宋体" w:eastAsia="宋体"/>
          <w:sz w:val="24"/>
          <w:szCs w:val="24"/>
          <w:highlight w:val="none"/>
        </w:rPr>
        <w:t>日</w:t>
      </w:r>
    </w:p>
    <w:p>
      <w:pPr>
        <w:rPr>
          <w:rFonts w:hint="eastAsia" w:ascii="宋体" w:hAnsi="宋体"/>
          <w:b/>
          <w:bCs/>
          <w:szCs w:val="22"/>
          <w:highlight w:val="none"/>
        </w:rPr>
      </w:pPr>
    </w:p>
    <w:p>
      <w:pPr>
        <w:rPr>
          <w:rFonts w:hint="eastAsia" w:ascii="宋体" w:hAnsi="宋体"/>
          <w:b/>
          <w:bCs/>
          <w:szCs w:val="22"/>
          <w:highlight w:val="none"/>
        </w:rPr>
      </w:pPr>
    </w:p>
    <w:p>
      <w:pPr>
        <w:rPr>
          <w:rFonts w:hint="eastAsia" w:ascii="宋体" w:hAnsi="宋体"/>
          <w:b/>
          <w:bCs/>
          <w:szCs w:val="22"/>
          <w:highlight w:val="none"/>
        </w:rPr>
      </w:pPr>
    </w:p>
    <w:p>
      <w:pPr>
        <w:rPr>
          <w:rFonts w:hint="eastAsia" w:ascii="宋体" w:hAnsi="宋体"/>
          <w:b/>
          <w:bCs/>
          <w:szCs w:val="22"/>
          <w:highlight w:val="none"/>
        </w:rPr>
      </w:pPr>
    </w:p>
    <w:p>
      <w:pPr>
        <w:rPr>
          <w:rFonts w:ascii="宋体" w:hAnsi="宋体"/>
          <w:b/>
          <w:bCs/>
          <w:szCs w:val="22"/>
          <w:highlight w:val="none"/>
        </w:rPr>
      </w:pPr>
    </w:p>
    <w:p>
      <w:pPr>
        <w:pStyle w:val="79"/>
        <w:numPr>
          <w:ilvl w:val="0"/>
          <w:numId w:val="33"/>
        </w:numPr>
        <w:snapToGrid w:val="0"/>
        <w:ind w:firstLineChars="0"/>
        <w:rPr>
          <w:rFonts w:hAnsi="宋体"/>
          <w:b/>
          <w:highlight w:val="none"/>
        </w:rPr>
      </w:pPr>
      <w:bookmarkStart w:id="63" w:name="_Toc219619166"/>
      <w:r>
        <w:rPr>
          <w:rFonts w:hint="eastAsia" w:hAnsi="宋体"/>
          <w:b/>
          <w:highlight w:val="none"/>
        </w:rPr>
        <w:t>磋商函格式</w:t>
      </w:r>
    </w:p>
    <w:p>
      <w:pPr>
        <w:snapToGrid w:val="0"/>
        <w:spacing w:before="120" w:beforeLines="50" w:after="50"/>
        <w:jc w:val="center"/>
        <w:rPr>
          <w:rFonts w:ascii="宋体" w:hAnsi="宋体"/>
          <w:b/>
          <w:sz w:val="32"/>
          <w:szCs w:val="32"/>
          <w:highlight w:val="none"/>
        </w:rPr>
      </w:pPr>
      <w:r>
        <w:rPr>
          <w:rFonts w:hint="eastAsia" w:ascii="宋体" w:hAnsi="宋体"/>
          <w:b/>
          <w:sz w:val="32"/>
          <w:szCs w:val="32"/>
          <w:highlight w:val="none"/>
        </w:rPr>
        <w:t>磋 商</w:t>
      </w:r>
      <w:r>
        <w:rPr>
          <w:rFonts w:ascii="宋体" w:hAnsi="宋体"/>
          <w:b/>
          <w:sz w:val="32"/>
          <w:szCs w:val="32"/>
          <w:highlight w:val="none"/>
        </w:rPr>
        <w:t xml:space="preserve"> </w:t>
      </w:r>
      <w:r>
        <w:rPr>
          <w:rFonts w:hint="eastAsia" w:ascii="宋体" w:hAnsi="宋体"/>
          <w:b/>
          <w:sz w:val="32"/>
          <w:szCs w:val="32"/>
          <w:highlight w:val="none"/>
        </w:rPr>
        <w:t>函</w:t>
      </w:r>
    </w:p>
    <w:p>
      <w:pPr>
        <w:snapToGrid w:val="0"/>
        <w:spacing w:line="360" w:lineRule="auto"/>
        <w:rPr>
          <w:rFonts w:hint="eastAsia" w:ascii="宋体" w:hAnsi="宋体" w:eastAsia="宋体"/>
          <w:szCs w:val="20"/>
          <w:highlight w:val="none"/>
          <w:lang w:eastAsia="zh-CN"/>
        </w:rPr>
      </w:pPr>
      <w:r>
        <w:rPr>
          <w:rFonts w:hint="eastAsia" w:ascii="宋体" w:hAnsi="宋体"/>
          <w:highlight w:val="none"/>
        </w:rPr>
        <w:t>致：</w:t>
      </w:r>
      <w:r>
        <w:rPr>
          <w:rFonts w:hint="eastAsia" w:ascii="宋体" w:hAnsi="宋体"/>
          <w:highlight w:val="none"/>
          <w:u w:val="single"/>
          <w:lang w:eastAsia="zh-CN"/>
        </w:rPr>
        <w:t>嘉善县干窑镇人民政府</w:t>
      </w:r>
    </w:p>
    <w:p>
      <w:pPr>
        <w:snapToGrid w:val="0"/>
        <w:spacing w:before="120" w:beforeLines="50" w:after="50" w:line="360" w:lineRule="auto"/>
        <w:ind w:firstLine="480" w:firstLineChars="200"/>
        <w:rPr>
          <w:rFonts w:ascii="宋体" w:hAnsi="宋体"/>
          <w:szCs w:val="20"/>
          <w:highlight w:val="none"/>
        </w:rPr>
      </w:pPr>
      <w:r>
        <w:rPr>
          <w:rFonts w:hint="eastAsia" w:ascii="宋体"/>
          <w:highlight w:val="none"/>
        </w:rPr>
        <w:t>我方已全面阅读和研究了</w:t>
      </w:r>
      <w:r>
        <w:rPr>
          <w:rFonts w:hint="eastAsia" w:ascii="宋体"/>
          <w:highlight w:val="none"/>
          <w:u w:val="single"/>
        </w:rPr>
        <w:t xml:space="preserve"> </w:t>
      </w:r>
      <w:r>
        <w:rPr>
          <w:rFonts w:hint="eastAsia" w:ascii="宋体" w:hAnsi="宋体"/>
          <w:highlight w:val="none"/>
          <w:u w:val="single"/>
        </w:rPr>
        <w:t xml:space="preserve">     （项目名称）     </w:t>
      </w:r>
      <w:r>
        <w:rPr>
          <w:rFonts w:hint="eastAsia" w:ascii="宋体" w:hAnsi="宋体"/>
          <w:highlight w:val="none"/>
        </w:rPr>
        <w:t>的竞争性磋商公告（项目编号：</w:t>
      </w:r>
      <w:r>
        <w:rPr>
          <w:rFonts w:hint="eastAsia" w:ascii="宋体" w:hAnsi="宋体"/>
          <w:highlight w:val="none"/>
          <w:u w:val="single"/>
        </w:rPr>
        <w:t xml:space="preserve">         </w:t>
      </w:r>
      <w:r>
        <w:rPr>
          <w:rFonts w:ascii="宋体" w:hAnsi="宋体"/>
          <w:highlight w:val="none"/>
          <w:u w:val="single"/>
        </w:rPr>
        <w:t xml:space="preserve">   </w:t>
      </w:r>
      <w:r>
        <w:rPr>
          <w:rFonts w:hint="eastAsia" w:ascii="宋体" w:hAnsi="宋体"/>
          <w:highlight w:val="none"/>
        </w:rPr>
        <w:t>），正式授权</w:t>
      </w:r>
      <w:r>
        <w:rPr>
          <w:rFonts w:hint="eastAsia" w:ascii="宋体" w:hAnsi="宋体"/>
          <w:highlight w:val="none"/>
          <w:u w:val="single"/>
        </w:rPr>
        <w:t xml:space="preserve">   </w:t>
      </w:r>
      <w:r>
        <w:rPr>
          <w:rFonts w:ascii="宋体" w:hAnsi="宋体"/>
          <w:highlight w:val="none"/>
          <w:u w:val="single"/>
        </w:rPr>
        <w:t xml:space="preserve"> </w:t>
      </w:r>
      <w:r>
        <w:rPr>
          <w:rFonts w:hint="eastAsia" w:ascii="宋体" w:hAnsi="宋体"/>
          <w:highlight w:val="none"/>
          <w:u w:val="single"/>
        </w:rPr>
        <w:t>（供应商代表姓名）</w:t>
      </w:r>
      <w:r>
        <w:rPr>
          <w:rFonts w:ascii="宋体" w:hAnsi="宋体"/>
          <w:highlight w:val="none"/>
          <w:u w:val="single"/>
        </w:rPr>
        <w:t xml:space="preserve">  </w:t>
      </w:r>
      <w:r>
        <w:rPr>
          <w:rFonts w:hint="eastAsia" w:ascii="宋体" w:hAnsi="宋体"/>
          <w:highlight w:val="none"/>
        </w:rPr>
        <w:t>代表</w:t>
      </w:r>
      <w:r>
        <w:rPr>
          <w:rFonts w:hint="eastAsia" w:ascii="宋体" w:hAnsi="宋体"/>
          <w:highlight w:val="none"/>
          <w:u w:val="single"/>
        </w:rPr>
        <w:t xml:space="preserve">         </w:t>
      </w:r>
      <w:r>
        <w:rPr>
          <w:rFonts w:ascii="宋体" w:hAnsi="宋体"/>
          <w:highlight w:val="none"/>
          <w:u w:val="single"/>
        </w:rPr>
        <w:t xml:space="preserve">  </w:t>
      </w:r>
      <w:r>
        <w:rPr>
          <w:rFonts w:hint="eastAsia" w:ascii="宋体" w:hAnsi="宋体"/>
          <w:highlight w:val="none"/>
          <w:u w:val="single"/>
        </w:rPr>
        <w:t xml:space="preserve">（供应商名称）   </w:t>
      </w:r>
      <w:r>
        <w:rPr>
          <w:rFonts w:hint="eastAsia" w:ascii="宋体" w:hAnsi="宋体"/>
          <w:highlight w:val="none"/>
        </w:rPr>
        <w:t>提交响应文件。据此函，我方郑重承诺如下：</w:t>
      </w:r>
    </w:p>
    <w:p>
      <w:pPr>
        <w:pStyle w:val="88"/>
        <w:numPr>
          <w:ilvl w:val="1"/>
          <w:numId w:val="34"/>
        </w:numPr>
        <w:ind w:left="0" w:firstLine="420" w:firstLineChars="0"/>
        <w:rPr>
          <w:rFonts w:ascii="宋体" w:hAnsi="宋体"/>
          <w:highlight w:val="none"/>
        </w:rPr>
      </w:pPr>
      <w:r>
        <w:rPr>
          <w:rFonts w:hint="eastAsia" w:ascii="宋体" w:hAnsi="宋体"/>
          <w:highlight w:val="none"/>
        </w:rPr>
        <w:t>我方的响应文件在响应截止日后90天内保持有效，如中标，有效期将延至本项目执行期满日为止。</w:t>
      </w:r>
    </w:p>
    <w:p>
      <w:pPr>
        <w:pStyle w:val="88"/>
        <w:numPr>
          <w:ilvl w:val="1"/>
          <w:numId w:val="34"/>
        </w:numPr>
        <w:ind w:left="0" w:firstLine="420" w:firstLineChars="0"/>
        <w:rPr>
          <w:rFonts w:ascii="宋体" w:hAnsi="宋体"/>
          <w:highlight w:val="none"/>
        </w:rPr>
      </w:pPr>
      <w:r>
        <w:rPr>
          <w:rFonts w:ascii="宋体" w:hAnsi="宋体"/>
          <w:highlight w:val="none"/>
        </w:rPr>
        <w:t>我方在参与</w:t>
      </w:r>
      <w:r>
        <w:rPr>
          <w:rFonts w:hint="eastAsia" w:ascii="宋体" w:hAnsi="宋体"/>
          <w:highlight w:val="none"/>
        </w:rPr>
        <w:t>磋商</w:t>
      </w:r>
      <w:r>
        <w:rPr>
          <w:rFonts w:ascii="宋体" w:hAnsi="宋体"/>
          <w:highlight w:val="none"/>
        </w:rPr>
        <w:t>前已仔细研究了</w:t>
      </w:r>
      <w:r>
        <w:rPr>
          <w:rFonts w:hint="eastAsia" w:ascii="宋体" w:hAnsi="宋体"/>
          <w:highlight w:val="none"/>
        </w:rPr>
        <w:t>磋商</w:t>
      </w:r>
      <w:r>
        <w:rPr>
          <w:rFonts w:ascii="宋体" w:hAnsi="宋体"/>
          <w:highlight w:val="none"/>
        </w:rPr>
        <w:t>文件和所有相关资料，我方完全明白并认为此</w:t>
      </w:r>
      <w:r>
        <w:rPr>
          <w:rFonts w:hint="eastAsia" w:ascii="宋体" w:hAnsi="宋体"/>
          <w:highlight w:val="none"/>
        </w:rPr>
        <w:t>磋商</w:t>
      </w:r>
      <w:r>
        <w:rPr>
          <w:rFonts w:ascii="宋体" w:hAnsi="宋体"/>
          <w:highlight w:val="none"/>
        </w:rPr>
        <w:t>文件没有倾向性，也没有存在排斥潜在</w:t>
      </w:r>
      <w:r>
        <w:rPr>
          <w:rFonts w:hint="eastAsia" w:ascii="宋体" w:hAnsi="宋体"/>
          <w:highlight w:val="none"/>
        </w:rPr>
        <w:t>供应商</w:t>
      </w:r>
      <w:r>
        <w:rPr>
          <w:rFonts w:ascii="宋体" w:hAnsi="宋体"/>
          <w:highlight w:val="none"/>
        </w:rPr>
        <w:t>的内容，我方同意</w:t>
      </w:r>
      <w:r>
        <w:rPr>
          <w:rFonts w:hint="eastAsia" w:ascii="宋体" w:hAnsi="宋体"/>
          <w:highlight w:val="none"/>
        </w:rPr>
        <w:t>磋商文件</w:t>
      </w:r>
      <w:r>
        <w:rPr>
          <w:rFonts w:ascii="宋体" w:hAnsi="宋体"/>
          <w:highlight w:val="none"/>
        </w:rPr>
        <w:t>的相关条款，放弃对</w:t>
      </w:r>
      <w:r>
        <w:rPr>
          <w:rFonts w:hint="eastAsia" w:ascii="宋体" w:hAnsi="宋体"/>
          <w:highlight w:val="none"/>
        </w:rPr>
        <w:t>磋商文件</w:t>
      </w:r>
      <w:r>
        <w:rPr>
          <w:rFonts w:ascii="宋体" w:hAnsi="宋体"/>
          <w:highlight w:val="none"/>
        </w:rPr>
        <w:t>提出误解和质疑的一切权</w:t>
      </w:r>
      <w:r>
        <w:rPr>
          <w:rFonts w:hint="eastAsia" w:ascii="宋体" w:hAnsi="宋体"/>
          <w:highlight w:val="none"/>
        </w:rPr>
        <w:t>利</w:t>
      </w:r>
      <w:r>
        <w:rPr>
          <w:rFonts w:ascii="宋体" w:hAnsi="宋体"/>
          <w:highlight w:val="none"/>
        </w:rPr>
        <w:t>。</w:t>
      </w:r>
    </w:p>
    <w:p>
      <w:pPr>
        <w:pStyle w:val="88"/>
        <w:numPr>
          <w:ilvl w:val="1"/>
          <w:numId w:val="34"/>
        </w:numPr>
        <w:ind w:left="0" w:firstLine="420" w:firstLineChars="0"/>
        <w:rPr>
          <w:rFonts w:ascii="宋体" w:hAnsi="宋体"/>
          <w:highlight w:val="none"/>
        </w:rPr>
      </w:pPr>
      <w:r>
        <w:rPr>
          <w:rFonts w:hint="eastAsia" w:ascii="宋体" w:hAnsi="宋体"/>
          <w:highlight w:val="none"/>
        </w:rPr>
        <w:t>我方声明响应文件及所提供的一切资料均真实无误及有效。由于我方提供资料不实而造成的责任和后果由我方承担。我方同意按照贵方可能提出的要求，提供与磋商有关的任何其它数据或信息。</w:t>
      </w:r>
    </w:p>
    <w:p>
      <w:pPr>
        <w:pStyle w:val="88"/>
        <w:numPr>
          <w:ilvl w:val="1"/>
          <w:numId w:val="34"/>
        </w:numPr>
        <w:ind w:left="0" w:firstLine="420" w:firstLineChars="0"/>
        <w:rPr>
          <w:rFonts w:ascii="宋体" w:hAnsi="宋体"/>
          <w:highlight w:val="none"/>
        </w:rPr>
      </w:pPr>
      <w:r>
        <w:rPr>
          <w:rFonts w:hint="eastAsia" w:ascii="宋体" w:hAnsi="宋体"/>
          <w:highlight w:val="none"/>
        </w:rPr>
        <w:t>我方如果中标，保证履行响应文件中承诺的全部责任和义务，采购合同中的全部条款。</w:t>
      </w:r>
    </w:p>
    <w:p>
      <w:pPr>
        <w:pStyle w:val="88"/>
        <w:numPr>
          <w:ilvl w:val="1"/>
          <w:numId w:val="34"/>
        </w:numPr>
        <w:ind w:left="0" w:firstLine="420" w:firstLineChars="0"/>
        <w:rPr>
          <w:rFonts w:ascii="宋体" w:hAnsi="宋体"/>
          <w:highlight w:val="none"/>
        </w:rPr>
      </w:pPr>
      <w:r>
        <w:rPr>
          <w:rFonts w:hint="eastAsia" w:ascii="宋体" w:hAnsi="宋体"/>
          <w:highlight w:val="none"/>
        </w:rPr>
        <w:t>我方理解贵方不一定接受最低报价的响应。</w:t>
      </w:r>
    </w:p>
    <w:p>
      <w:pPr>
        <w:pStyle w:val="88"/>
        <w:numPr>
          <w:ilvl w:val="1"/>
          <w:numId w:val="34"/>
        </w:numPr>
        <w:ind w:left="0" w:firstLine="420" w:firstLineChars="0"/>
        <w:rPr>
          <w:rFonts w:hint="eastAsia" w:ascii="宋体" w:hAnsi="宋体"/>
          <w:highlight w:val="none"/>
        </w:rPr>
      </w:pPr>
      <w:r>
        <w:rPr>
          <w:rFonts w:hint="eastAsia" w:ascii="宋体" w:hAnsi="宋体"/>
          <w:highlight w:val="none"/>
        </w:rPr>
        <w:t>我方保证，采购人在中华人民共和国境内使用我方报价货物、资料、技术、服务或其任何一部分时，享有不受限制的无偿使用权，如有第三方向采购人提出侵犯其专利权、商标权或其它知识产权的主张，该责任由我方承担。我方的报价已包含所有应向所有权人支付的专利权、商标权或其它知识产权的一切相关费用。</w:t>
      </w:r>
    </w:p>
    <w:p>
      <w:pPr>
        <w:pStyle w:val="88"/>
        <w:numPr>
          <w:ilvl w:val="1"/>
          <w:numId w:val="34"/>
        </w:numPr>
        <w:ind w:left="420" w:firstLine="0" w:firstLineChars="0"/>
        <w:rPr>
          <w:rFonts w:ascii="宋体" w:hAnsi="宋体"/>
          <w:highlight w:val="none"/>
        </w:rPr>
      </w:pPr>
      <w:r>
        <w:rPr>
          <w:rFonts w:hint="eastAsia" w:ascii="宋体" w:hAnsi="宋体"/>
          <w:highlight w:val="none"/>
        </w:rPr>
        <w:t>与本投标有关的一切正式往来信函请寄：</w:t>
      </w:r>
    </w:p>
    <w:p>
      <w:pPr>
        <w:rPr>
          <w:rFonts w:hint="eastAsia"/>
          <w:highlight w:val="none"/>
        </w:rPr>
      </w:pPr>
    </w:p>
    <w:p>
      <w:pPr>
        <w:snapToGrid w:val="0"/>
        <w:spacing w:line="360" w:lineRule="auto"/>
        <w:rPr>
          <w:rFonts w:ascii="宋体" w:hAnsi="宋体"/>
          <w:szCs w:val="20"/>
          <w:highlight w:val="none"/>
        </w:rPr>
      </w:pPr>
      <w:r>
        <w:rPr>
          <w:rFonts w:hint="eastAsia" w:ascii="宋体" w:hAnsi="宋体"/>
          <w:highlight w:val="none"/>
        </w:rPr>
        <w:t>地址：</w:t>
      </w:r>
      <w:r>
        <w:rPr>
          <w:rFonts w:hint="eastAsia" w:ascii="宋体" w:hAnsi="宋体"/>
          <w:highlight w:val="none"/>
          <w:u w:val="single"/>
        </w:rPr>
        <w:t xml:space="preserve"> </w:t>
      </w:r>
      <w:r>
        <w:rPr>
          <w:rFonts w:ascii="宋体" w:hAnsi="宋体"/>
          <w:highlight w:val="none"/>
          <w:u w:val="single"/>
        </w:rPr>
        <w:t xml:space="preserve"> </w:t>
      </w:r>
      <w:r>
        <w:rPr>
          <w:rFonts w:hint="eastAsia" w:ascii="宋体" w:hAnsi="宋体"/>
          <w:highlight w:val="none"/>
          <w:u w:val="single"/>
        </w:rPr>
        <w:t xml:space="preserve">                  </w:t>
      </w:r>
      <w:r>
        <w:rPr>
          <w:rFonts w:hint="eastAsia" w:ascii="宋体" w:hAnsi="宋体"/>
          <w:highlight w:val="none"/>
        </w:rPr>
        <w:t>邮编：</w:t>
      </w:r>
      <w:r>
        <w:rPr>
          <w:rFonts w:ascii="宋体" w:hAnsi="宋体"/>
          <w:highlight w:val="none"/>
        </w:rPr>
        <w:t xml:space="preserve">__________   </w:t>
      </w:r>
      <w:r>
        <w:rPr>
          <w:rFonts w:hint="eastAsia" w:ascii="宋体" w:hAnsi="宋体"/>
          <w:highlight w:val="none"/>
        </w:rPr>
        <w:t>电话：</w:t>
      </w:r>
      <w:r>
        <w:rPr>
          <w:rFonts w:ascii="宋体" w:hAnsi="宋体"/>
          <w:highlight w:val="none"/>
        </w:rPr>
        <w:t>______________</w:t>
      </w:r>
    </w:p>
    <w:p>
      <w:pPr>
        <w:snapToGrid w:val="0"/>
        <w:spacing w:line="360" w:lineRule="auto"/>
        <w:rPr>
          <w:rFonts w:ascii="宋体" w:hAnsi="宋体"/>
          <w:szCs w:val="20"/>
          <w:highlight w:val="none"/>
        </w:rPr>
      </w:pPr>
      <w:r>
        <w:rPr>
          <w:rFonts w:hint="eastAsia" w:ascii="宋体" w:hAnsi="宋体"/>
          <w:highlight w:val="none"/>
        </w:rPr>
        <w:t>传真：</w:t>
      </w:r>
      <w:r>
        <w:rPr>
          <w:rFonts w:ascii="宋体" w:hAnsi="宋体"/>
          <w:highlight w:val="none"/>
        </w:rPr>
        <w:t>______________</w:t>
      </w:r>
      <w:r>
        <w:rPr>
          <w:rFonts w:hint="eastAsia" w:ascii="宋体" w:hAnsi="宋体"/>
          <w:highlight w:val="none"/>
        </w:rPr>
        <w:t>供应商代表姓名：</w:t>
      </w:r>
      <w:r>
        <w:rPr>
          <w:rFonts w:ascii="宋体" w:hAnsi="宋体"/>
          <w:highlight w:val="none"/>
        </w:rPr>
        <w:t xml:space="preserve">__________  </w:t>
      </w:r>
      <w:r>
        <w:rPr>
          <w:rFonts w:hint="eastAsia" w:ascii="宋体" w:hAnsi="宋体"/>
          <w:highlight w:val="none"/>
        </w:rPr>
        <w:t>职务：</w:t>
      </w:r>
      <w:r>
        <w:rPr>
          <w:rFonts w:hint="eastAsia" w:ascii="宋体" w:hAnsi="宋体"/>
          <w:highlight w:val="none"/>
          <w:u w:val="single"/>
        </w:rPr>
        <w:t xml:space="preserve">   </w:t>
      </w:r>
      <w:r>
        <w:rPr>
          <w:rFonts w:ascii="宋体" w:hAnsi="宋体"/>
          <w:highlight w:val="none"/>
          <w:u w:val="single"/>
        </w:rPr>
        <w:t xml:space="preserve"> </w:t>
      </w:r>
      <w:r>
        <w:rPr>
          <w:rFonts w:hint="eastAsia" w:ascii="宋体" w:hAnsi="宋体"/>
          <w:highlight w:val="none"/>
          <w:u w:val="single"/>
        </w:rPr>
        <w:t xml:space="preserve">            </w:t>
      </w:r>
    </w:p>
    <w:p>
      <w:pPr>
        <w:snapToGrid w:val="0"/>
        <w:spacing w:line="360" w:lineRule="auto"/>
        <w:rPr>
          <w:rFonts w:ascii="宋体" w:hAnsi="宋体"/>
          <w:szCs w:val="20"/>
          <w:highlight w:val="none"/>
        </w:rPr>
      </w:pPr>
      <w:r>
        <w:rPr>
          <w:rFonts w:hint="eastAsia" w:ascii="宋体" w:hAnsi="宋体"/>
          <w:highlight w:val="none"/>
        </w:rPr>
        <w:t>供应商（盖章）</w:t>
      </w:r>
      <w:r>
        <w:rPr>
          <w:rFonts w:ascii="宋体" w:hAnsi="宋体"/>
          <w:highlight w:val="none"/>
        </w:rPr>
        <w:t>:___________________</w:t>
      </w:r>
    </w:p>
    <w:p>
      <w:pPr>
        <w:snapToGrid w:val="0"/>
        <w:spacing w:line="360" w:lineRule="auto"/>
        <w:rPr>
          <w:rFonts w:ascii="宋体" w:hAnsi="宋体"/>
          <w:szCs w:val="20"/>
          <w:highlight w:val="none"/>
        </w:rPr>
      </w:pPr>
      <w:r>
        <w:rPr>
          <w:rFonts w:hint="eastAsia" w:ascii="宋体" w:hAnsi="宋体"/>
          <w:highlight w:val="none"/>
        </w:rPr>
        <w:t>开户银行：</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银行帐号：</w:t>
      </w:r>
      <w:r>
        <w:rPr>
          <w:rFonts w:ascii="宋体" w:hAnsi="宋体"/>
          <w:highlight w:val="none"/>
          <w:u w:val="single"/>
        </w:rPr>
        <w:t xml:space="preserve">                    </w:t>
      </w:r>
      <w:r>
        <w:rPr>
          <w:rFonts w:ascii="宋体" w:hAnsi="宋体"/>
          <w:highlight w:val="none"/>
        </w:rPr>
        <w:t xml:space="preserve"> </w:t>
      </w:r>
    </w:p>
    <w:p>
      <w:pPr>
        <w:snapToGrid w:val="0"/>
        <w:spacing w:line="360" w:lineRule="auto"/>
        <w:rPr>
          <w:rFonts w:ascii="宋体" w:hAnsi="宋体"/>
          <w:highlight w:val="none"/>
        </w:rPr>
      </w:pPr>
      <w:r>
        <w:rPr>
          <w:rFonts w:hint="eastAsia" w:ascii="宋体" w:hAnsi="宋体"/>
          <w:highlight w:val="none"/>
        </w:rPr>
        <w:t>法定代表人签字（或盖章）：</w:t>
      </w:r>
      <w:r>
        <w:rPr>
          <w:rFonts w:ascii="宋体" w:hAnsi="宋体"/>
          <w:highlight w:val="none"/>
        </w:rPr>
        <w:t xml:space="preserve">___________          </w:t>
      </w:r>
      <w:r>
        <w:rPr>
          <w:rFonts w:hint="eastAsia" w:ascii="宋体" w:hAnsi="宋体"/>
          <w:highlight w:val="none"/>
        </w:rPr>
        <w:t>日期</w:t>
      </w:r>
      <w:r>
        <w:rPr>
          <w:rFonts w:ascii="宋体" w:hAnsi="宋体"/>
          <w:highlight w:val="none"/>
        </w:rPr>
        <w:t>:_____</w:t>
      </w:r>
      <w:r>
        <w:rPr>
          <w:rFonts w:hint="eastAsia" w:ascii="宋体" w:hAnsi="宋体"/>
          <w:highlight w:val="none"/>
        </w:rPr>
        <w:t>年</w:t>
      </w:r>
      <w:r>
        <w:rPr>
          <w:rFonts w:ascii="宋体" w:hAnsi="宋体"/>
          <w:highlight w:val="none"/>
        </w:rPr>
        <w:t>___</w:t>
      </w:r>
      <w:r>
        <w:rPr>
          <w:rFonts w:hint="eastAsia" w:ascii="宋体" w:hAnsi="宋体"/>
          <w:highlight w:val="none"/>
        </w:rPr>
        <w:t>月</w:t>
      </w:r>
      <w:r>
        <w:rPr>
          <w:rFonts w:ascii="宋体" w:hAnsi="宋体"/>
          <w:highlight w:val="none"/>
        </w:rPr>
        <w:t>___</w:t>
      </w:r>
      <w:r>
        <w:rPr>
          <w:rFonts w:hint="eastAsia" w:ascii="宋体" w:hAnsi="宋体"/>
          <w:highlight w:val="none"/>
        </w:rPr>
        <w:t>日</w:t>
      </w:r>
    </w:p>
    <w:p>
      <w:pPr>
        <w:snapToGrid w:val="0"/>
        <w:spacing w:before="50" w:after="50"/>
        <w:rPr>
          <w:highlight w:val="none"/>
        </w:rPr>
      </w:pPr>
    </w:p>
    <w:p>
      <w:pPr>
        <w:pStyle w:val="68"/>
        <w:numPr>
          <w:ilvl w:val="0"/>
          <w:numId w:val="33"/>
        </w:numPr>
        <w:snapToGrid w:val="0"/>
        <w:ind w:firstLineChars="0"/>
        <w:rPr>
          <w:rFonts w:ascii="宋体" w:hAnsi="宋体"/>
          <w:b/>
          <w:highlight w:val="none"/>
        </w:rPr>
      </w:pPr>
      <w:r>
        <w:rPr>
          <w:rFonts w:hint="eastAsia" w:ascii="宋体" w:hAnsi="宋体"/>
          <w:b/>
          <w:highlight w:val="none"/>
        </w:rPr>
        <w:t>法定代表人授权委托书</w:t>
      </w:r>
      <w:r>
        <w:rPr>
          <w:rFonts w:hint="eastAsia" w:ascii="宋体" w:hAnsi="宋体"/>
          <w:b/>
          <w:bCs/>
          <w:highlight w:val="none"/>
        </w:rPr>
        <w:t>格式</w:t>
      </w:r>
    </w:p>
    <w:p>
      <w:pPr>
        <w:snapToGrid w:val="0"/>
        <w:spacing w:before="120" w:beforeLines="50" w:after="50" w:line="360" w:lineRule="auto"/>
        <w:jc w:val="center"/>
        <w:rPr>
          <w:rFonts w:ascii="宋体" w:hAnsi="宋体"/>
          <w:b/>
          <w:sz w:val="32"/>
          <w:szCs w:val="32"/>
          <w:highlight w:val="none"/>
        </w:rPr>
      </w:pPr>
      <w:r>
        <w:rPr>
          <w:rFonts w:hint="eastAsia" w:ascii="宋体" w:hAnsi="宋体"/>
          <w:b/>
          <w:sz w:val="32"/>
          <w:szCs w:val="32"/>
          <w:highlight w:val="none"/>
        </w:rPr>
        <w:t>法定代表人授权委托书</w:t>
      </w:r>
    </w:p>
    <w:p>
      <w:pPr>
        <w:snapToGrid w:val="0"/>
        <w:spacing w:before="120" w:beforeLines="50" w:after="50" w:line="360" w:lineRule="auto"/>
        <w:rPr>
          <w:rFonts w:hint="eastAsia" w:ascii="宋体" w:hAnsi="宋体" w:eastAsia="宋体"/>
          <w:b/>
          <w:bCs/>
          <w:szCs w:val="20"/>
          <w:highlight w:val="none"/>
          <w:lang w:eastAsia="zh-CN"/>
        </w:rPr>
      </w:pPr>
      <w:r>
        <w:rPr>
          <w:rFonts w:hint="eastAsia" w:ascii="宋体" w:hAnsi="宋体"/>
          <w:bCs/>
          <w:highlight w:val="none"/>
        </w:rPr>
        <w:t>致:</w:t>
      </w:r>
      <w:r>
        <w:rPr>
          <w:rFonts w:hint="eastAsia" w:ascii="宋体" w:hAnsi="宋体"/>
          <w:bCs/>
          <w:highlight w:val="none"/>
          <w:lang w:eastAsia="zh-CN"/>
        </w:rPr>
        <w:t>嘉善县干窑镇人民政府</w:t>
      </w:r>
    </w:p>
    <w:p>
      <w:pPr>
        <w:snapToGrid w:val="0"/>
        <w:spacing w:before="120" w:beforeLines="50" w:after="50" w:line="360" w:lineRule="auto"/>
        <w:ind w:firstLine="720" w:firstLineChars="300"/>
        <w:rPr>
          <w:rFonts w:ascii="宋体" w:hAnsi="宋体"/>
          <w:szCs w:val="20"/>
          <w:highlight w:val="none"/>
        </w:rPr>
      </w:pPr>
      <w:r>
        <w:rPr>
          <w:rFonts w:hint="eastAsia" w:ascii="宋体" w:hAnsi="宋体"/>
          <w:highlight w:val="none"/>
        </w:rPr>
        <w:t>我</w:t>
      </w:r>
      <w:r>
        <w:rPr>
          <w:rFonts w:ascii="宋体" w:hAnsi="宋体"/>
          <w:highlight w:val="none"/>
        </w:rPr>
        <w:t>_</w:t>
      </w:r>
      <w:r>
        <w:rPr>
          <w:rFonts w:hint="eastAsia" w:ascii="宋体" w:hAnsi="宋体"/>
          <w:highlight w:val="none"/>
          <w:u w:val="single"/>
        </w:rPr>
        <w:t xml:space="preserve">           </w:t>
      </w:r>
      <w:r>
        <w:rPr>
          <w:rFonts w:hint="eastAsia" w:ascii="宋体" w:hAnsi="宋体"/>
          <w:highlight w:val="none"/>
        </w:rPr>
        <w:t>（姓名）系</w:t>
      </w:r>
      <w:r>
        <w:rPr>
          <w:rFonts w:ascii="宋体" w:hAnsi="宋体"/>
          <w:highlight w:val="none"/>
        </w:rPr>
        <w:t>_</w:t>
      </w:r>
      <w:r>
        <w:rPr>
          <w:rFonts w:hint="eastAsia" w:ascii="宋体" w:hAnsi="宋体"/>
          <w:highlight w:val="none"/>
          <w:u w:val="single"/>
        </w:rPr>
        <w:t xml:space="preserve">            </w:t>
      </w:r>
      <w:r>
        <w:rPr>
          <w:rFonts w:hint="eastAsia" w:ascii="宋体" w:hAnsi="宋体"/>
          <w:highlight w:val="none"/>
        </w:rPr>
        <w:t xml:space="preserve"> （供应商名称）的法定代表人，现授权委托</w:t>
      </w:r>
      <w:r>
        <w:rPr>
          <w:rFonts w:ascii="宋体" w:hAnsi="宋体"/>
          <w:highlight w:val="none"/>
          <w:u w:val="single"/>
        </w:rPr>
        <w:t xml:space="preserve">             </w:t>
      </w:r>
      <w:r>
        <w:rPr>
          <w:rFonts w:hint="eastAsia" w:ascii="宋体" w:hAnsi="宋体"/>
          <w:highlight w:val="none"/>
        </w:rPr>
        <w:t>（姓名）以我方的名义参加</w:t>
      </w:r>
      <w:r>
        <w:rPr>
          <w:rFonts w:hint="eastAsia" w:ascii="宋体" w:hAnsi="宋体"/>
          <w:highlight w:val="none"/>
          <w:u w:val="single"/>
        </w:rPr>
        <w:t xml:space="preserve">           政府采购项目</w:t>
      </w:r>
      <w:r>
        <w:rPr>
          <w:rFonts w:hint="eastAsia" w:ascii="宋体" w:hAnsi="宋体"/>
          <w:highlight w:val="none"/>
        </w:rPr>
        <w:t>的磋商活动，并代表我方全权办理针对上述项目的磋商、签约等具体事务和签署相关文件。</w:t>
      </w:r>
    </w:p>
    <w:p>
      <w:pPr>
        <w:snapToGrid w:val="0"/>
        <w:spacing w:before="120" w:beforeLines="50" w:after="50" w:line="360" w:lineRule="auto"/>
        <w:rPr>
          <w:rFonts w:ascii="宋体" w:hAnsi="宋体"/>
          <w:szCs w:val="20"/>
          <w:highlight w:val="none"/>
        </w:rPr>
      </w:pPr>
      <w:r>
        <w:rPr>
          <w:rFonts w:ascii="宋体" w:hAnsi="宋体"/>
          <w:highlight w:val="none"/>
        </w:rPr>
        <w:t xml:space="preserve">    </w:t>
      </w:r>
      <w:r>
        <w:rPr>
          <w:rFonts w:hint="eastAsia" w:ascii="宋体" w:hAnsi="宋体"/>
          <w:highlight w:val="none"/>
        </w:rPr>
        <w:t>我方对被授权人的签字事项负全部责任。</w:t>
      </w:r>
    </w:p>
    <w:p>
      <w:pPr>
        <w:snapToGrid w:val="0"/>
        <w:spacing w:before="120" w:beforeLines="50" w:after="50" w:line="360" w:lineRule="auto"/>
        <w:ind w:firstLine="480"/>
        <w:rPr>
          <w:rFonts w:ascii="宋体" w:hAnsi="宋体"/>
          <w:szCs w:val="20"/>
          <w:highlight w:val="none"/>
        </w:rPr>
      </w:pPr>
      <w:r>
        <w:rPr>
          <w:rFonts w:hint="eastAsia" w:ascii="宋体" w:hAnsi="宋体"/>
          <w:highlight w:val="none"/>
          <w:u w:val="single"/>
        </w:rPr>
        <w:t>在撤销授权的书面通知以前，本授权书一直有效。</w:t>
      </w:r>
      <w:r>
        <w:rPr>
          <w:rFonts w:hint="eastAsia" w:ascii="宋体" w:hAnsi="宋体"/>
          <w:highlight w:val="none"/>
        </w:rPr>
        <w:t>被授权人在授权书有效期内签署的所有文件不因授权的撤销而失效。</w:t>
      </w:r>
    </w:p>
    <w:p>
      <w:pPr>
        <w:snapToGrid w:val="0"/>
        <w:spacing w:before="120" w:beforeLines="50" w:after="50" w:line="360" w:lineRule="auto"/>
        <w:ind w:firstLine="480"/>
        <w:rPr>
          <w:rFonts w:ascii="宋体" w:hAnsi="宋体"/>
          <w:szCs w:val="20"/>
          <w:highlight w:val="none"/>
        </w:rPr>
      </w:pPr>
      <w:r>
        <w:rPr>
          <w:rFonts w:hint="eastAsia" w:ascii="宋体" w:hAnsi="宋体"/>
          <w:highlight w:val="none"/>
        </w:rPr>
        <w:t>被授权人无转委托权，特此委托。</w:t>
      </w:r>
    </w:p>
    <w:p>
      <w:pPr>
        <w:snapToGrid w:val="0"/>
        <w:spacing w:before="120" w:beforeLines="50" w:after="50" w:line="360" w:lineRule="auto"/>
        <w:rPr>
          <w:rFonts w:ascii="宋体" w:hAnsi="宋体"/>
          <w:szCs w:val="20"/>
          <w:highlight w:val="none"/>
        </w:rPr>
      </w:pPr>
    </w:p>
    <w:p>
      <w:pPr>
        <w:snapToGrid w:val="0"/>
        <w:spacing w:before="120" w:beforeLines="50" w:after="50" w:line="360" w:lineRule="auto"/>
        <w:rPr>
          <w:rFonts w:ascii="宋体" w:hAnsi="宋体"/>
          <w:szCs w:val="20"/>
          <w:highlight w:val="none"/>
          <w:u w:val="single"/>
        </w:rPr>
      </w:pPr>
      <w:r>
        <w:rPr>
          <w:rFonts w:hint="eastAsia" w:ascii="宋体" w:hAnsi="宋体"/>
          <w:highlight w:val="none"/>
        </w:rPr>
        <w:t>法定代表人签字（或盖章）：</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被授权人签字（或盖章）：</w:t>
      </w:r>
      <w:r>
        <w:rPr>
          <w:rFonts w:ascii="宋体" w:hAnsi="宋体"/>
          <w:highlight w:val="none"/>
          <w:u w:val="single"/>
        </w:rPr>
        <w:t xml:space="preserve">          </w:t>
      </w:r>
    </w:p>
    <w:p>
      <w:pPr>
        <w:snapToGrid w:val="0"/>
        <w:spacing w:before="120" w:beforeLines="50" w:after="50" w:line="360" w:lineRule="auto"/>
        <w:ind w:firstLine="960" w:firstLineChars="400"/>
        <w:rPr>
          <w:rFonts w:ascii="宋体" w:hAnsi="宋体"/>
          <w:highlight w:val="none"/>
          <w:u w:val="singl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pPr>
        <w:snapToGrid w:val="0"/>
        <w:spacing w:before="120" w:beforeLines="50" w:after="50" w:line="360" w:lineRule="auto"/>
        <w:rPr>
          <w:rFonts w:ascii="宋体" w:hAnsi="宋体"/>
          <w:szCs w:val="20"/>
          <w:highlight w:val="none"/>
        </w:rPr>
      </w:pPr>
    </w:p>
    <w:p>
      <w:pPr>
        <w:snapToGrid w:val="0"/>
        <w:spacing w:before="120" w:beforeLines="50" w:after="50" w:line="360" w:lineRule="auto"/>
        <w:rPr>
          <w:rFonts w:ascii="宋体" w:hAnsi="宋体"/>
          <w:highlight w:val="none"/>
        </w:rPr>
      </w:pPr>
      <w:r>
        <w:rPr>
          <w:rFonts w:hint="eastAsia" w:ascii="宋体" w:hAnsi="宋体"/>
          <w:highlight w:val="none"/>
        </w:rPr>
        <w:t>法定代表人身份证（正反面）       被授权人身份证（正反面）</w:t>
      </w:r>
    </w:p>
    <w:p>
      <w:pPr>
        <w:snapToGrid w:val="0"/>
        <w:spacing w:before="120" w:beforeLines="50" w:after="50" w:line="360" w:lineRule="auto"/>
        <w:rPr>
          <w:rFonts w:ascii="宋体" w:hAnsi="宋体"/>
          <w:highlight w:val="none"/>
        </w:rPr>
      </w:pPr>
    </w:p>
    <w:p>
      <w:pPr>
        <w:snapToGrid w:val="0"/>
        <w:spacing w:before="120" w:beforeLines="50" w:after="50" w:line="360" w:lineRule="auto"/>
        <w:rPr>
          <w:rFonts w:ascii="宋体" w:hAnsi="宋体"/>
          <w:highlight w:val="none"/>
        </w:rPr>
      </w:pPr>
    </w:p>
    <w:p>
      <w:pPr>
        <w:snapToGrid w:val="0"/>
        <w:spacing w:before="120" w:beforeLines="50" w:after="50" w:line="360" w:lineRule="auto"/>
        <w:rPr>
          <w:rFonts w:ascii="宋体" w:hAnsi="宋体"/>
          <w:highlight w:val="none"/>
        </w:rPr>
      </w:pPr>
      <w:r>
        <w:rPr>
          <w:rFonts w:hint="eastAsia" w:ascii="宋体" w:hAnsi="宋体"/>
          <w:bCs/>
          <w:highlight w:val="none"/>
        </w:rPr>
        <w:t>供应商（盖章）</w:t>
      </w:r>
      <w:r>
        <w:rPr>
          <w:rFonts w:hint="eastAsia" w:ascii="宋体" w:hAnsi="宋体"/>
          <w:highlight w:val="none"/>
        </w:rPr>
        <w:t>：</w:t>
      </w:r>
    </w:p>
    <w:p>
      <w:pPr>
        <w:snapToGrid w:val="0"/>
        <w:spacing w:before="120" w:beforeLines="50" w:after="50" w:line="360" w:lineRule="auto"/>
        <w:rPr>
          <w:rFonts w:ascii="宋体" w:hAnsi="宋体"/>
          <w:szCs w:val="20"/>
          <w:highlight w:val="none"/>
        </w:rPr>
      </w:pPr>
    </w:p>
    <w:p>
      <w:pPr>
        <w:snapToGrid w:val="0"/>
        <w:spacing w:before="120" w:beforeLines="50" w:after="50"/>
        <w:jc w:val="right"/>
        <w:rPr>
          <w:rFonts w:ascii="宋体" w:hAnsi="宋体"/>
          <w:highlight w:val="none"/>
        </w:rPr>
      </w:pPr>
      <w:r>
        <w:rPr>
          <w:rFonts w:ascii="宋体" w:hAnsi="宋体"/>
          <w:highlight w:val="none"/>
        </w:rPr>
        <w:t xml:space="preserve">                                        </w:t>
      </w:r>
      <w:r>
        <w:rPr>
          <w:rFonts w:hint="eastAsia" w:ascii="宋体" w:hAnsi="宋体"/>
          <w:highlight w:val="none"/>
        </w:rPr>
        <w:t>年</w:t>
      </w:r>
      <w:r>
        <w:rPr>
          <w:rFonts w:ascii="宋体" w:hAnsi="宋体"/>
          <w:highlight w:val="none"/>
        </w:rPr>
        <w:t xml:space="preserve">    </w:t>
      </w:r>
      <w:r>
        <w:rPr>
          <w:rFonts w:hint="eastAsia" w:ascii="宋体" w:hAnsi="宋体"/>
          <w:highlight w:val="none"/>
        </w:rPr>
        <w:t>月</w:t>
      </w:r>
      <w:r>
        <w:rPr>
          <w:rFonts w:ascii="宋体" w:hAnsi="宋体"/>
          <w:highlight w:val="none"/>
        </w:rPr>
        <w:t xml:space="preserve">    </w:t>
      </w:r>
      <w:r>
        <w:rPr>
          <w:rFonts w:hint="eastAsia" w:ascii="宋体" w:hAnsi="宋体"/>
          <w:highlight w:val="none"/>
        </w:rPr>
        <w:t>日</w:t>
      </w:r>
    </w:p>
    <w:p>
      <w:pPr>
        <w:pStyle w:val="94"/>
        <w:spacing w:line="360" w:lineRule="auto"/>
        <w:rPr>
          <w:rFonts w:hAnsi="宋体"/>
          <w:sz w:val="24"/>
          <w:highlight w:val="none"/>
        </w:rPr>
      </w:pPr>
    </w:p>
    <w:p>
      <w:pPr>
        <w:snapToGrid w:val="0"/>
        <w:spacing w:before="120" w:beforeLines="50" w:after="50" w:line="360" w:lineRule="auto"/>
        <w:rPr>
          <w:rFonts w:ascii="宋体" w:hAnsi="宋体"/>
          <w:highlight w:val="none"/>
        </w:rPr>
      </w:pPr>
      <w:r>
        <w:rPr>
          <w:rFonts w:hint="eastAsia" w:hAnsi="宋体"/>
          <w:b/>
          <w:sz w:val="28"/>
          <w:szCs w:val="28"/>
          <w:highlight w:val="none"/>
        </w:rPr>
        <w:t>注：此表请放一页，如要放2页及以上请在每页上都加盖公章。</w:t>
      </w:r>
    </w:p>
    <w:p>
      <w:pPr>
        <w:snapToGrid w:val="0"/>
        <w:spacing w:before="120" w:beforeLines="50" w:after="50"/>
        <w:jc w:val="left"/>
        <w:rPr>
          <w:rFonts w:ascii="宋体" w:hAnsi="宋体"/>
          <w:highlight w:val="none"/>
        </w:rPr>
      </w:pPr>
    </w:p>
    <w:p>
      <w:pPr>
        <w:pStyle w:val="88"/>
        <w:numPr>
          <w:ilvl w:val="0"/>
          <w:numId w:val="33"/>
        </w:numPr>
        <w:snapToGrid w:val="0"/>
        <w:ind w:firstLineChars="0"/>
        <w:rPr>
          <w:rFonts w:ascii="宋体" w:hAnsi="宋体"/>
          <w:b/>
          <w:highlight w:val="none"/>
        </w:rPr>
      </w:pPr>
      <w:r>
        <w:rPr>
          <w:rFonts w:hint="eastAsia" w:ascii="宋体" w:hAnsi="宋体"/>
          <w:b/>
          <w:highlight w:val="none"/>
        </w:rPr>
        <w:t>法定代表人身份证明书</w:t>
      </w:r>
      <w:r>
        <w:rPr>
          <w:rFonts w:hint="eastAsia" w:ascii="宋体" w:hAnsi="宋体"/>
          <w:b/>
          <w:bCs/>
          <w:highlight w:val="none"/>
        </w:rPr>
        <w:t>格式</w:t>
      </w:r>
    </w:p>
    <w:p>
      <w:pPr>
        <w:spacing w:line="380" w:lineRule="exact"/>
        <w:jc w:val="left"/>
        <w:rPr>
          <w:rFonts w:ascii="宋体" w:hAnsi="宋体"/>
          <w:b/>
          <w:sz w:val="36"/>
          <w:szCs w:val="36"/>
          <w:highlight w:val="none"/>
        </w:rPr>
      </w:pPr>
    </w:p>
    <w:p>
      <w:pPr>
        <w:spacing w:line="380" w:lineRule="exact"/>
        <w:jc w:val="center"/>
        <w:rPr>
          <w:rFonts w:ascii="宋体" w:hAnsi="宋体"/>
          <w:b/>
          <w:sz w:val="36"/>
          <w:szCs w:val="36"/>
          <w:highlight w:val="none"/>
        </w:rPr>
      </w:pPr>
      <w:r>
        <w:rPr>
          <w:rFonts w:ascii="宋体" w:hAnsi="宋体"/>
          <w:b/>
          <w:sz w:val="36"/>
          <w:szCs w:val="36"/>
          <w:highlight w:val="none"/>
        </w:rPr>
        <w:t>法定代表人</w:t>
      </w:r>
      <w:r>
        <w:rPr>
          <w:rFonts w:hint="eastAsia" w:ascii="宋体" w:hAnsi="宋体"/>
          <w:b/>
          <w:sz w:val="36"/>
          <w:szCs w:val="36"/>
          <w:highlight w:val="none"/>
        </w:rPr>
        <w:t>身份</w:t>
      </w:r>
      <w:r>
        <w:rPr>
          <w:rFonts w:ascii="宋体" w:hAnsi="宋体"/>
          <w:b/>
          <w:sz w:val="36"/>
          <w:szCs w:val="36"/>
          <w:highlight w:val="none"/>
        </w:rPr>
        <w:t>证明书</w:t>
      </w:r>
    </w:p>
    <w:p>
      <w:pPr>
        <w:spacing w:line="500" w:lineRule="exact"/>
        <w:jc w:val="center"/>
        <w:rPr>
          <w:rFonts w:ascii="Calibri" w:hAnsi="Calibri" w:cs="Arial"/>
          <w:bCs/>
          <w:sz w:val="28"/>
          <w:highlight w:val="none"/>
        </w:rPr>
      </w:pPr>
    </w:p>
    <w:p>
      <w:pPr>
        <w:spacing w:line="480" w:lineRule="auto"/>
        <w:ind w:firstLine="480" w:firstLineChars="200"/>
        <w:rPr>
          <w:rFonts w:ascii="Calibri" w:hAnsi="Calibri" w:cs="Arial"/>
          <w:highlight w:val="none"/>
        </w:rPr>
      </w:pPr>
      <w:r>
        <w:rPr>
          <w:rFonts w:ascii="Calibri" w:hAnsi="Calibri" w:cs="Arial"/>
          <w:highlight w:val="none"/>
        </w:rPr>
        <w:t>供应商名称：</w:t>
      </w:r>
      <w:r>
        <w:rPr>
          <w:rFonts w:ascii="Calibri" w:hAnsi="Calibri" w:cs="Arial"/>
          <w:highlight w:val="none"/>
          <w:u w:val="single"/>
        </w:rPr>
        <w:t xml:space="preserve">                                </w:t>
      </w:r>
      <w:r>
        <w:rPr>
          <w:rFonts w:ascii="Calibri" w:hAnsi="Calibri" w:cs="Arial"/>
          <w:highlight w:val="none"/>
        </w:rPr>
        <w:t xml:space="preserve"> </w:t>
      </w:r>
    </w:p>
    <w:p>
      <w:pPr>
        <w:spacing w:line="480" w:lineRule="auto"/>
        <w:ind w:firstLine="480" w:firstLineChars="200"/>
        <w:rPr>
          <w:rFonts w:ascii="Calibri" w:hAnsi="Calibri" w:cs="Arial"/>
          <w:highlight w:val="none"/>
        </w:rPr>
      </w:pPr>
      <w:r>
        <w:rPr>
          <w:rFonts w:ascii="Calibri" w:hAnsi="Calibri" w:cs="Arial"/>
          <w:highlight w:val="none"/>
        </w:rPr>
        <w:t>单位性质：</w:t>
      </w:r>
      <w:r>
        <w:rPr>
          <w:rFonts w:ascii="Calibri" w:hAnsi="Calibri" w:cs="Arial"/>
          <w:highlight w:val="none"/>
          <w:u w:val="single"/>
        </w:rPr>
        <w:t xml:space="preserve">                                  </w:t>
      </w:r>
      <w:r>
        <w:rPr>
          <w:rFonts w:ascii="Calibri" w:hAnsi="Calibri" w:cs="Arial"/>
          <w:highlight w:val="none"/>
        </w:rPr>
        <w:t xml:space="preserve"> </w:t>
      </w:r>
    </w:p>
    <w:p>
      <w:pPr>
        <w:spacing w:line="480" w:lineRule="auto"/>
        <w:ind w:firstLine="480" w:firstLineChars="200"/>
        <w:rPr>
          <w:rFonts w:ascii="Calibri" w:hAnsi="Calibri" w:cs="Arial"/>
          <w:highlight w:val="none"/>
        </w:rPr>
      </w:pPr>
      <w:r>
        <w:rPr>
          <w:rFonts w:ascii="Calibri" w:hAnsi="Calibri" w:cs="Arial"/>
          <w:highlight w:val="none"/>
        </w:rPr>
        <w:t>地址：</w:t>
      </w:r>
      <w:r>
        <w:rPr>
          <w:rFonts w:ascii="Calibri" w:hAnsi="Calibri" w:cs="Arial"/>
          <w:highlight w:val="none"/>
          <w:u w:val="single"/>
        </w:rPr>
        <w:t xml:space="preserve">                                     </w:t>
      </w:r>
      <w:r>
        <w:rPr>
          <w:rFonts w:ascii="Calibri" w:hAnsi="Calibri" w:cs="Arial"/>
          <w:highlight w:val="none"/>
        </w:rPr>
        <w:t xml:space="preserve"> </w:t>
      </w:r>
    </w:p>
    <w:p>
      <w:pPr>
        <w:spacing w:line="480" w:lineRule="auto"/>
        <w:ind w:firstLine="480" w:firstLineChars="200"/>
        <w:rPr>
          <w:rFonts w:ascii="Calibri" w:hAnsi="Calibri" w:cs="Arial"/>
          <w:highlight w:val="none"/>
        </w:rPr>
      </w:pPr>
      <w:r>
        <w:rPr>
          <w:rFonts w:ascii="Calibri" w:hAnsi="Calibri" w:cs="Arial"/>
          <w:highlight w:val="none"/>
        </w:rPr>
        <w:t>成立时间：</w:t>
      </w:r>
      <w:r>
        <w:rPr>
          <w:rFonts w:ascii="Calibri" w:hAnsi="Calibri" w:cs="Arial"/>
          <w:highlight w:val="none"/>
          <w:u w:val="single"/>
        </w:rPr>
        <w:t xml:space="preserve">        </w:t>
      </w:r>
      <w:r>
        <w:rPr>
          <w:rFonts w:ascii="Calibri" w:hAnsi="Calibri" w:cs="Arial"/>
          <w:highlight w:val="none"/>
        </w:rPr>
        <w:t>年</w:t>
      </w:r>
      <w:r>
        <w:rPr>
          <w:rFonts w:ascii="Calibri" w:hAnsi="Calibri" w:cs="Arial"/>
          <w:highlight w:val="none"/>
          <w:u w:val="single"/>
        </w:rPr>
        <w:t xml:space="preserve">  </w:t>
      </w:r>
      <w:r>
        <w:rPr>
          <w:rFonts w:hint="eastAsia" w:ascii="Calibri" w:hAnsi="Calibri" w:cs="Arial"/>
          <w:highlight w:val="none"/>
          <w:u w:val="single"/>
          <w:lang w:val="en-US" w:eastAsia="zh-CN"/>
        </w:rPr>
        <w:t xml:space="preserve">  </w:t>
      </w:r>
      <w:r>
        <w:rPr>
          <w:rFonts w:ascii="Calibri" w:hAnsi="Calibri" w:cs="Arial"/>
          <w:highlight w:val="none"/>
          <w:u w:val="single"/>
        </w:rPr>
        <w:t xml:space="preserve">  </w:t>
      </w:r>
      <w:r>
        <w:rPr>
          <w:rFonts w:ascii="Calibri" w:hAnsi="Calibri" w:cs="Arial"/>
          <w:highlight w:val="none"/>
        </w:rPr>
        <w:t>月</w:t>
      </w:r>
      <w:r>
        <w:rPr>
          <w:rFonts w:ascii="Calibri" w:hAnsi="Calibri" w:cs="Arial"/>
          <w:highlight w:val="none"/>
          <w:u w:val="single"/>
        </w:rPr>
        <w:t xml:space="preserve">  </w:t>
      </w:r>
      <w:r>
        <w:rPr>
          <w:rFonts w:hint="eastAsia" w:ascii="Calibri" w:hAnsi="Calibri" w:cs="Arial"/>
          <w:highlight w:val="none"/>
          <w:u w:val="single"/>
          <w:lang w:val="en-US" w:eastAsia="zh-CN"/>
        </w:rPr>
        <w:t xml:space="preserve">  </w:t>
      </w:r>
      <w:r>
        <w:rPr>
          <w:rFonts w:ascii="Calibri" w:hAnsi="Calibri" w:cs="Arial"/>
          <w:highlight w:val="none"/>
          <w:u w:val="single"/>
        </w:rPr>
        <w:t xml:space="preserve">  </w:t>
      </w:r>
      <w:r>
        <w:rPr>
          <w:rFonts w:ascii="Calibri" w:hAnsi="Calibri" w:cs="Arial"/>
          <w:highlight w:val="none"/>
        </w:rPr>
        <w:t>日</w:t>
      </w:r>
    </w:p>
    <w:p>
      <w:pPr>
        <w:spacing w:line="480" w:lineRule="auto"/>
        <w:ind w:firstLine="480" w:firstLineChars="200"/>
        <w:rPr>
          <w:rFonts w:ascii="Calibri" w:hAnsi="Calibri" w:cs="Arial"/>
          <w:highlight w:val="none"/>
        </w:rPr>
      </w:pPr>
      <w:r>
        <w:rPr>
          <w:rFonts w:ascii="Calibri" w:hAnsi="Calibri" w:cs="Arial"/>
          <w:highlight w:val="none"/>
        </w:rPr>
        <w:t>经营期限：</w:t>
      </w:r>
      <w:r>
        <w:rPr>
          <w:rFonts w:ascii="Calibri" w:hAnsi="Calibri" w:cs="Arial"/>
          <w:highlight w:val="none"/>
          <w:u w:val="single"/>
        </w:rPr>
        <w:t xml:space="preserve">                                </w:t>
      </w:r>
      <w:r>
        <w:rPr>
          <w:rFonts w:ascii="Calibri" w:hAnsi="Calibri" w:cs="Arial"/>
          <w:highlight w:val="none"/>
        </w:rPr>
        <w:t xml:space="preserve"> </w:t>
      </w:r>
    </w:p>
    <w:p>
      <w:pPr>
        <w:spacing w:line="480" w:lineRule="auto"/>
        <w:ind w:firstLine="480" w:firstLineChars="200"/>
        <w:rPr>
          <w:rFonts w:ascii="Calibri" w:hAnsi="Calibri" w:cs="Arial"/>
          <w:highlight w:val="none"/>
        </w:rPr>
      </w:pPr>
      <w:r>
        <w:rPr>
          <w:rFonts w:ascii="Calibri" w:hAnsi="Calibri" w:cs="Arial"/>
          <w:highlight w:val="none"/>
        </w:rPr>
        <w:t>姓名：</w:t>
      </w:r>
      <w:r>
        <w:rPr>
          <w:rFonts w:ascii="Calibri" w:hAnsi="Calibri" w:cs="Arial"/>
          <w:highlight w:val="none"/>
          <w:u w:val="single"/>
        </w:rPr>
        <w:t xml:space="preserve">   </w:t>
      </w:r>
      <w:r>
        <w:rPr>
          <w:rFonts w:hint="eastAsia" w:ascii="Calibri" w:hAnsi="Calibri" w:cs="Arial"/>
          <w:highlight w:val="none"/>
          <w:u w:val="single"/>
        </w:rPr>
        <w:t xml:space="preserve">  （</w:t>
      </w:r>
      <w:r>
        <w:rPr>
          <w:rFonts w:hint="eastAsia" w:ascii="Calibri" w:hAnsi="Calibri" w:cs="Arial"/>
          <w:highlight w:val="none"/>
        </w:rPr>
        <w:t>身份证号：</w:t>
      </w:r>
      <w:r>
        <w:rPr>
          <w:rFonts w:hint="eastAsia" w:ascii="Calibri" w:hAnsi="Calibri" w:cs="Arial"/>
          <w:highlight w:val="none"/>
          <w:u w:val="single"/>
        </w:rPr>
        <w:t xml:space="preserve">           </w:t>
      </w:r>
      <w:r>
        <w:rPr>
          <w:rFonts w:ascii="Calibri" w:hAnsi="Calibri" w:cs="Arial"/>
          <w:highlight w:val="none"/>
        </w:rPr>
        <w:t>年龄：</w:t>
      </w:r>
      <w:r>
        <w:rPr>
          <w:rFonts w:ascii="Calibri" w:hAnsi="Calibri" w:cs="Arial"/>
          <w:highlight w:val="none"/>
          <w:u w:val="single"/>
        </w:rPr>
        <w:t xml:space="preserve"> </w:t>
      </w:r>
      <w:r>
        <w:rPr>
          <w:rFonts w:hint="eastAsia" w:ascii="Calibri" w:hAnsi="Calibri" w:cs="Arial"/>
          <w:highlight w:val="none"/>
          <w:u w:val="single"/>
          <w:lang w:val="en-US" w:eastAsia="zh-CN"/>
        </w:rPr>
        <w:t xml:space="preserve"> </w:t>
      </w:r>
      <w:r>
        <w:rPr>
          <w:rFonts w:ascii="Calibri" w:hAnsi="Calibri" w:cs="Arial"/>
          <w:highlight w:val="none"/>
          <w:u w:val="single"/>
        </w:rPr>
        <w:t xml:space="preserve">   </w:t>
      </w:r>
      <w:r>
        <w:rPr>
          <w:rFonts w:hint="eastAsia" w:ascii="Calibri" w:hAnsi="Calibri" w:cs="Arial"/>
          <w:highlight w:val="none"/>
        </w:rPr>
        <w:t>）</w:t>
      </w:r>
      <w:r>
        <w:rPr>
          <w:rFonts w:ascii="Calibri" w:hAnsi="Calibri" w:cs="Arial"/>
          <w:highlight w:val="none"/>
        </w:rPr>
        <w:t>系</w:t>
      </w:r>
      <w:r>
        <w:rPr>
          <w:rFonts w:ascii="Calibri" w:hAnsi="Calibri" w:cs="Arial"/>
          <w:highlight w:val="none"/>
          <w:u w:val="single"/>
        </w:rPr>
        <w:t xml:space="preserve">            </w:t>
      </w:r>
      <w:r>
        <w:rPr>
          <w:rFonts w:ascii="Calibri" w:hAnsi="Calibri" w:cs="Arial"/>
          <w:highlight w:val="none"/>
        </w:rPr>
        <w:t>（供应商名称）的法定代表人。</w:t>
      </w:r>
    </w:p>
    <w:p>
      <w:pPr>
        <w:spacing w:line="480" w:lineRule="auto"/>
        <w:ind w:firstLine="960" w:firstLineChars="400"/>
        <w:rPr>
          <w:rFonts w:ascii="Calibri" w:hAnsi="Calibri" w:cs="Arial"/>
          <w:highlight w:val="none"/>
        </w:rPr>
      </w:pPr>
      <w:r>
        <w:rPr>
          <w:rFonts w:ascii="Calibri" w:hAnsi="Calibri" w:cs="Arial"/>
          <w:highlight w:val="none"/>
        </w:rPr>
        <w:t>特此证明。</w:t>
      </w:r>
    </w:p>
    <w:p>
      <w:pPr>
        <w:spacing w:line="480" w:lineRule="auto"/>
        <w:ind w:firstLine="480" w:firstLineChars="200"/>
        <w:rPr>
          <w:rFonts w:ascii="Calibri" w:hAnsi="Calibri" w:cs="Arial"/>
          <w:highlight w:val="none"/>
        </w:rPr>
      </w:pPr>
    </w:p>
    <w:p>
      <w:pPr>
        <w:spacing w:line="480" w:lineRule="auto"/>
        <w:ind w:firstLine="480" w:firstLineChars="200"/>
        <w:rPr>
          <w:rFonts w:ascii="Calibri" w:hAnsi="Calibri" w:cs="Arial"/>
          <w:highlight w:val="none"/>
        </w:rPr>
      </w:pPr>
    </w:p>
    <w:p>
      <w:pPr>
        <w:pStyle w:val="20"/>
        <w:spacing w:before="120" w:after="120" w:line="400" w:lineRule="atLeast"/>
        <w:ind w:left="480" w:leftChars="200" w:firstLine="480"/>
        <w:rPr>
          <w:rFonts w:ascii="Calibri" w:hAnsi="Calibri" w:cs="Arial"/>
          <w:highlight w:val="none"/>
        </w:rPr>
      </w:pPr>
      <w:r>
        <w:rPr>
          <w:rFonts w:hint="eastAsia" w:hAnsi="宋体"/>
          <w:bCs/>
          <w:highlight w:val="none"/>
        </w:rPr>
        <w:t>供应商（盖章）</w:t>
      </w:r>
      <w:r>
        <w:rPr>
          <w:rFonts w:ascii="Calibri" w:hAnsi="Calibri" w:cs="Arial"/>
          <w:highlight w:val="none"/>
        </w:rPr>
        <w:t>：</w:t>
      </w:r>
      <w:r>
        <w:rPr>
          <w:rFonts w:ascii="Calibri" w:hAnsi="Calibri" w:cs="Arial"/>
          <w:highlight w:val="none"/>
        </w:rPr>
        <w:cr/>
      </w:r>
    </w:p>
    <w:p>
      <w:pPr>
        <w:pStyle w:val="20"/>
        <w:spacing w:before="120" w:after="120" w:line="400" w:lineRule="atLeast"/>
        <w:ind w:firstLine="840" w:firstLineChars="350"/>
        <w:rPr>
          <w:rFonts w:ascii="Calibri" w:hAnsi="Calibri" w:cs="Arial"/>
          <w:highlight w:val="none"/>
        </w:rPr>
      </w:pPr>
      <w:r>
        <w:rPr>
          <w:rFonts w:ascii="Calibri" w:hAnsi="Calibri" w:cs="Arial"/>
          <w:highlight w:val="none"/>
        </w:rPr>
        <w:t>日    期：</w:t>
      </w:r>
    </w:p>
    <w:p>
      <w:pPr>
        <w:spacing w:line="380" w:lineRule="exact"/>
        <w:rPr>
          <w:rFonts w:ascii="宋体" w:hAnsi="宋体"/>
          <w:sz w:val="32"/>
          <w:szCs w:val="32"/>
          <w:highlight w:val="none"/>
        </w:rPr>
      </w:pPr>
    </w:p>
    <w:p>
      <w:pPr>
        <w:spacing w:line="380" w:lineRule="exact"/>
        <w:rPr>
          <w:rFonts w:ascii="宋体" w:hAnsi="宋体"/>
          <w:highlight w:val="none"/>
        </w:rPr>
      </w:pPr>
    </w:p>
    <w:p>
      <w:pPr>
        <w:spacing w:line="380" w:lineRule="exact"/>
        <w:rPr>
          <w:rFonts w:ascii="宋体" w:hAnsi="宋体"/>
          <w:highlight w:val="none"/>
        </w:rPr>
      </w:pPr>
    </w:p>
    <w:p>
      <w:pPr>
        <w:pStyle w:val="96"/>
        <w:ind w:firstLine="360"/>
        <w:rPr>
          <w:b w:val="0"/>
          <w:highlight w:val="none"/>
        </w:rPr>
      </w:pPr>
      <w:r>
        <w:rPr>
          <w:rFonts w:hint="eastAsia"/>
          <w:b w:val="0"/>
          <w:highlight w:val="none"/>
        </w:rPr>
        <w:t>附：法定代表人身份证双面复印件</w:t>
      </w:r>
    </w:p>
    <w:p>
      <w:pPr>
        <w:pStyle w:val="96"/>
        <w:ind w:firstLine="360"/>
        <w:rPr>
          <w:b w:val="0"/>
          <w:highlight w:val="none"/>
        </w:rPr>
      </w:pPr>
    </w:p>
    <w:p>
      <w:pPr>
        <w:snapToGrid w:val="0"/>
        <w:spacing w:before="120" w:beforeLines="50" w:after="50" w:line="360" w:lineRule="auto"/>
        <w:rPr>
          <w:rFonts w:ascii="宋体" w:hAnsi="宋体"/>
          <w:highlight w:val="none"/>
        </w:rPr>
      </w:pPr>
      <w:r>
        <w:rPr>
          <w:rFonts w:hint="eastAsia" w:hAnsi="宋体"/>
          <w:b/>
          <w:sz w:val="28"/>
          <w:szCs w:val="28"/>
          <w:highlight w:val="none"/>
        </w:rPr>
        <w:t>注：此表请放一页，如要放2页及以上请在每页上都加盖公章。</w:t>
      </w:r>
    </w:p>
    <w:p>
      <w:pPr>
        <w:pStyle w:val="68"/>
        <w:numPr>
          <w:ilvl w:val="0"/>
          <w:numId w:val="33"/>
        </w:numPr>
        <w:snapToGrid w:val="0"/>
        <w:ind w:firstLineChars="0"/>
        <w:rPr>
          <w:rFonts w:ascii="宋体" w:hAnsi="宋体"/>
          <w:b/>
          <w:highlight w:val="none"/>
        </w:rPr>
      </w:pPr>
      <w:r>
        <w:rPr>
          <w:rFonts w:ascii="宋体" w:hAnsi="宋体"/>
          <w:b/>
          <w:highlight w:val="none"/>
        </w:rPr>
        <w:br w:type="page"/>
      </w:r>
      <w:r>
        <w:rPr>
          <w:rFonts w:hint="eastAsia" w:ascii="宋体" w:hAnsi="宋体"/>
          <w:b/>
          <w:highlight w:val="none"/>
        </w:rPr>
        <w:t>诚信承诺书格式</w:t>
      </w:r>
    </w:p>
    <w:p>
      <w:pPr>
        <w:spacing w:line="360" w:lineRule="auto"/>
        <w:jc w:val="center"/>
        <w:rPr>
          <w:rFonts w:ascii="宋体" w:hAnsi="宋体"/>
          <w:b/>
          <w:highlight w:val="none"/>
        </w:rPr>
      </w:pPr>
      <w:r>
        <w:rPr>
          <w:rFonts w:hint="eastAsia" w:ascii="宋体" w:hAnsi="宋体"/>
          <w:b/>
          <w:highlight w:val="none"/>
        </w:rPr>
        <w:t>诚信承诺书</w:t>
      </w:r>
    </w:p>
    <w:p>
      <w:pPr>
        <w:spacing w:line="360" w:lineRule="auto"/>
        <w:rPr>
          <w:rFonts w:ascii="宋体" w:hAnsi="宋体"/>
          <w:highlight w:val="none"/>
        </w:rPr>
      </w:pPr>
      <w:r>
        <w:rPr>
          <w:rFonts w:hint="eastAsia" w:ascii="宋体" w:hAnsi="宋体"/>
          <w:highlight w:val="none"/>
          <w:u w:val="single"/>
        </w:rPr>
        <w:t xml:space="preserve">（采购人或采购组织机构） </w:t>
      </w:r>
      <w:r>
        <w:rPr>
          <w:rFonts w:hint="eastAsia" w:ascii="宋体" w:hAnsi="宋体"/>
          <w:highlight w:val="none"/>
        </w:rPr>
        <w:t>：</w:t>
      </w:r>
    </w:p>
    <w:p>
      <w:pPr>
        <w:spacing w:line="360" w:lineRule="auto"/>
        <w:ind w:firstLine="480" w:firstLineChars="200"/>
        <w:rPr>
          <w:rFonts w:ascii="宋体" w:hAnsi="宋体"/>
          <w:highlight w:val="none"/>
        </w:rPr>
      </w:pPr>
      <w:r>
        <w:rPr>
          <w:rFonts w:hint="eastAsia" w:ascii="宋体" w:hAnsi="宋体"/>
          <w:highlight w:val="none"/>
        </w:rPr>
        <w:t>我方在参加贵单位的＿＿＿＿＿＿＿＿＿＿政府采购项目的招磋商活动中，郑重承诺如下：</w:t>
      </w:r>
    </w:p>
    <w:p>
      <w:pPr>
        <w:numPr>
          <w:ilvl w:val="0"/>
          <w:numId w:val="35"/>
        </w:numPr>
        <w:spacing w:line="360" w:lineRule="auto"/>
        <w:rPr>
          <w:rFonts w:ascii="宋体" w:hAnsi="宋体"/>
          <w:highlight w:val="none"/>
        </w:rPr>
      </w:pPr>
      <w:r>
        <w:rPr>
          <w:rFonts w:hint="eastAsia" w:ascii="宋体" w:hAnsi="宋体"/>
          <w:highlight w:val="none"/>
        </w:rPr>
        <w:t>我方申报的所有资料都是真实、准确、完整的；</w:t>
      </w:r>
    </w:p>
    <w:p>
      <w:pPr>
        <w:numPr>
          <w:ilvl w:val="0"/>
          <w:numId w:val="35"/>
        </w:numPr>
        <w:spacing w:line="360" w:lineRule="auto"/>
        <w:rPr>
          <w:rFonts w:ascii="宋体" w:hAnsi="宋体"/>
          <w:highlight w:val="none"/>
        </w:rPr>
      </w:pPr>
      <w:r>
        <w:rPr>
          <w:rFonts w:hint="eastAsia" w:ascii="宋体" w:hAnsi="宋体"/>
          <w:highlight w:val="none"/>
        </w:rPr>
        <w:t>我方无资质挂靠情形，保证不参与串标、围标及抬标；</w:t>
      </w:r>
    </w:p>
    <w:p>
      <w:pPr>
        <w:numPr>
          <w:ilvl w:val="0"/>
          <w:numId w:val="35"/>
        </w:numPr>
        <w:spacing w:line="360" w:lineRule="auto"/>
        <w:rPr>
          <w:rFonts w:ascii="宋体" w:hAnsi="宋体"/>
          <w:highlight w:val="none"/>
        </w:rPr>
      </w:pPr>
      <w:r>
        <w:rPr>
          <w:rFonts w:hint="eastAsia" w:ascii="宋体" w:hAnsi="宋体"/>
          <w:highlight w:val="none"/>
        </w:rPr>
        <w:t>我方未处于被各级行政主管部门做出停止市场行为处罚的期限内；</w:t>
      </w:r>
    </w:p>
    <w:p>
      <w:pPr>
        <w:numPr>
          <w:ilvl w:val="0"/>
          <w:numId w:val="35"/>
        </w:numPr>
        <w:spacing w:line="360" w:lineRule="auto"/>
        <w:rPr>
          <w:rFonts w:ascii="宋体" w:hAnsi="宋体"/>
          <w:highlight w:val="none"/>
        </w:rPr>
      </w:pPr>
      <w:r>
        <w:rPr>
          <w:rFonts w:hint="eastAsia" w:ascii="宋体" w:hAnsi="宋体"/>
          <w:highlight w:val="none"/>
        </w:rPr>
        <w:t>我方参加本项目政府采购活动前3年内在经营活动中没有重大违法记录；</w:t>
      </w:r>
    </w:p>
    <w:p>
      <w:pPr>
        <w:numPr>
          <w:ilvl w:val="0"/>
          <w:numId w:val="35"/>
        </w:numPr>
        <w:spacing w:line="360" w:lineRule="auto"/>
        <w:rPr>
          <w:rFonts w:ascii="宋体" w:hAnsi="宋体"/>
          <w:highlight w:val="none"/>
        </w:rPr>
      </w:pPr>
      <w:r>
        <w:rPr>
          <w:rFonts w:hint="eastAsia" w:ascii="宋体" w:hAnsi="宋体"/>
          <w:highlight w:val="none"/>
        </w:rPr>
        <w:t>我方法人代表、主要负责人所在的公司在近三年内没有违法违规行为；</w:t>
      </w:r>
    </w:p>
    <w:p>
      <w:pPr>
        <w:numPr>
          <w:ilvl w:val="0"/>
          <w:numId w:val="35"/>
        </w:numPr>
        <w:spacing w:line="360" w:lineRule="auto"/>
        <w:rPr>
          <w:rFonts w:ascii="宋体" w:hAnsi="宋体"/>
          <w:highlight w:val="none"/>
        </w:rPr>
      </w:pPr>
      <w:r>
        <w:rPr>
          <w:rFonts w:hint="eastAsia" w:ascii="宋体" w:hAnsi="宋体"/>
          <w:highlight w:val="none"/>
        </w:rPr>
        <w:t>若我方成交，将严格按照规定及时与采购人签订合同；</w:t>
      </w:r>
    </w:p>
    <w:p>
      <w:pPr>
        <w:numPr>
          <w:ilvl w:val="0"/>
          <w:numId w:val="35"/>
        </w:numPr>
        <w:spacing w:line="360" w:lineRule="auto"/>
        <w:rPr>
          <w:rFonts w:ascii="宋体" w:hAnsi="宋体"/>
          <w:highlight w:val="none"/>
        </w:rPr>
      </w:pPr>
      <w:r>
        <w:rPr>
          <w:rFonts w:hint="eastAsia" w:ascii="宋体" w:hAnsi="宋体"/>
          <w:highlight w:val="none"/>
        </w:rPr>
        <w:t>若我方成交，将严格按照磋商文件要求及响应文件承诺的报价、质量、服务期、磋商方案、项目负责人等内容组织实施；</w:t>
      </w:r>
    </w:p>
    <w:p>
      <w:pPr>
        <w:spacing w:line="360" w:lineRule="auto"/>
        <w:ind w:firstLine="480" w:firstLineChars="200"/>
        <w:rPr>
          <w:rFonts w:ascii="宋体" w:hAnsi="宋体"/>
          <w:highlight w:val="none"/>
        </w:rPr>
      </w:pPr>
      <w:r>
        <w:rPr>
          <w:rFonts w:hint="eastAsia" w:ascii="宋体" w:hAnsi="宋体"/>
          <w:highlight w:val="none"/>
        </w:rPr>
        <w:t>我方若违反上述承诺，隐瞒、提供虚假资料或不按磋商文件要求组织实施或参与串标、抬标及围标等行为，被贵方发现或被他人举报查实，无条件接受采购人、行政监管部门作出的取消磋商资格、成交资格、解除合同、拒绝后续政府采购磋商、不良行为记录等的处罚。对造成的损失，任何法律和经济责任完全由我方负责。</w:t>
      </w:r>
    </w:p>
    <w:p>
      <w:pPr>
        <w:spacing w:line="360" w:lineRule="auto"/>
        <w:ind w:firstLine="480" w:firstLineChars="200"/>
        <w:rPr>
          <w:rFonts w:ascii="宋体" w:hAnsi="宋体"/>
          <w:highlight w:val="none"/>
        </w:rPr>
      </w:pPr>
      <w:r>
        <w:rPr>
          <w:rFonts w:hint="eastAsia" w:ascii="宋体" w:hAnsi="宋体"/>
          <w:highlight w:val="none"/>
        </w:rPr>
        <w:t>特此承诺。</w:t>
      </w:r>
    </w:p>
    <w:p>
      <w:pPr>
        <w:spacing w:line="360" w:lineRule="auto"/>
        <w:ind w:firstLine="480" w:firstLineChars="200"/>
        <w:rPr>
          <w:rFonts w:ascii="宋体" w:hAnsi="宋体"/>
          <w:highlight w:val="none"/>
        </w:rPr>
      </w:pPr>
      <w:r>
        <w:rPr>
          <w:rFonts w:hint="eastAsia" w:ascii="宋体" w:hAnsi="宋体"/>
          <w:bCs/>
          <w:highlight w:val="none"/>
        </w:rPr>
        <w:t>供应商（盖章）</w:t>
      </w:r>
      <w:r>
        <w:rPr>
          <w:rFonts w:hint="eastAsia" w:ascii="宋体" w:hAnsi="宋体"/>
          <w:highlight w:val="none"/>
        </w:rPr>
        <w:t>：＿＿＿＿＿＿＿＿＿＿＿＿＿＿＿</w:t>
      </w:r>
    </w:p>
    <w:p>
      <w:pPr>
        <w:spacing w:line="360" w:lineRule="auto"/>
        <w:ind w:firstLine="480" w:firstLineChars="200"/>
        <w:rPr>
          <w:rFonts w:ascii="宋体" w:hAnsi="宋体"/>
          <w:highlight w:val="none"/>
        </w:rPr>
      </w:pPr>
      <w:r>
        <w:rPr>
          <w:rFonts w:hint="eastAsia" w:ascii="宋体" w:hAnsi="宋体"/>
          <w:highlight w:val="none"/>
        </w:rPr>
        <w:t xml:space="preserve">供应商代表（签名）：＿＿＿＿＿＿＿＿＿＿＿＿＿＿＿      </w:t>
      </w:r>
    </w:p>
    <w:p>
      <w:pPr>
        <w:spacing w:line="360" w:lineRule="auto"/>
        <w:ind w:firstLine="480" w:firstLineChars="200"/>
        <w:rPr>
          <w:rFonts w:ascii="宋体" w:hAnsi="宋体"/>
          <w:highlight w:val="none"/>
        </w:rPr>
      </w:pPr>
    </w:p>
    <w:p>
      <w:pPr>
        <w:spacing w:line="360" w:lineRule="auto"/>
        <w:ind w:firstLine="3120" w:firstLineChars="1300"/>
        <w:rPr>
          <w:rFonts w:ascii="宋体" w:hAnsi="宋体"/>
          <w:highlight w:val="none"/>
        </w:rPr>
      </w:pPr>
      <w:r>
        <w:rPr>
          <w:rFonts w:hint="eastAsia" w:ascii="宋体" w:hAnsi="宋体"/>
          <w:highlight w:val="none"/>
        </w:rPr>
        <w:t>日    期：</w:t>
      </w:r>
      <w:r>
        <w:rPr>
          <w:rFonts w:hint="eastAsia" w:ascii="宋体" w:hAnsi="宋体"/>
          <w:highlight w:val="none"/>
          <w:u w:val="single"/>
        </w:rPr>
        <w:t xml:space="preserve">     </w:t>
      </w:r>
      <w:r>
        <w:rPr>
          <w:rFonts w:hint="eastAsia" w:ascii="宋体" w:hAnsi="宋体"/>
          <w:highlight w:val="none"/>
        </w:rPr>
        <w:t>年＿＿月＿＿日</w:t>
      </w:r>
    </w:p>
    <w:p>
      <w:pPr>
        <w:pStyle w:val="94"/>
        <w:spacing w:line="360" w:lineRule="auto"/>
        <w:rPr>
          <w:rFonts w:hAnsi="宋体"/>
          <w:sz w:val="24"/>
          <w:highlight w:val="none"/>
        </w:rPr>
      </w:pPr>
    </w:p>
    <w:p>
      <w:pPr>
        <w:pStyle w:val="94"/>
        <w:spacing w:line="360" w:lineRule="auto"/>
        <w:rPr>
          <w:rFonts w:hAnsi="宋体"/>
          <w:sz w:val="24"/>
          <w:highlight w:val="none"/>
        </w:rPr>
      </w:pPr>
    </w:p>
    <w:p>
      <w:pPr>
        <w:pStyle w:val="68"/>
        <w:snapToGrid w:val="0"/>
        <w:ind w:left="420" w:firstLine="0" w:firstLineChars="0"/>
        <w:rPr>
          <w:rFonts w:hAnsi="宋体"/>
          <w:b/>
          <w:highlight w:val="none"/>
        </w:rPr>
      </w:pPr>
    </w:p>
    <w:p>
      <w:pPr>
        <w:wordWrap w:val="0"/>
        <w:spacing w:before="120" w:beforeLines="50" w:line="360" w:lineRule="auto"/>
        <w:ind w:firstLine="562"/>
        <w:jc w:val="center"/>
        <w:rPr>
          <w:rFonts w:hint="eastAsia" w:ascii="宋体" w:hAnsi="宋体" w:cs="宋体"/>
          <w:b/>
          <w:sz w:val="28"/>
          <w:szCs w:val="30"/>
          <w:highlight w:val="none"/>
        </w:rPr>
      </w:pPr>
    </w:p>
    <w:p>
      <w:pPr>
        <w:pStyle w:val="68"/>
        <w:numPr>
          <w:ilvl w:val="0"/>
          <w:numId w:val="0"/>
        </w:numPr>
        <w:snapToGrid w:val="0"/>
        <w:ind w:leftChars="0"/>
        <w:rPr>
          <w:rFonts w:hAnsi="宋体"/>
          <w:b/>
          <w:highlight w:val="none"/>
        </w:rPr>
      </w:pPr>
      <w:r>
        <w:rPr>
          <w:rFonts w:hAnsi="宋体"/>
          <w:b/>
          <w:highlight w:val="none"/>
        </w:rPr>
        <w:br w:type="page"/>
      </w:r>
      <w:r>
        <w:rPr>
          <w:rFonts w:hint="eastAsia" w:hAnsi="宋体"/>
          <w:b/>
          <w:highlight w:val="none"/>
          <w:lang w:val="en-US" w:eastAsia="zh-CN"/>
        </w:rPr>
        <w:t>7.</w:t>
      </w:r>
      <w:r>
        <w:rPr>
          <w:rFonts w:hint="eastAsia" w:hAnsi="宋体"/>
          <w:b/>
          <w:highlight w:val="none"/>
        </w:rPr>
        <w:t>同类业绩一览表格式</w:t>
      </w:r>
    </w:p>
    <w:p>
      <w:pPr>
        <w:pStyle w:val="108"/>
        <w:spacing w:line="360" w:lineRule="auto"/>
        <w:jc w:val="center"/>
        <w:rPr>
          <w:rFonts w:hAnsi="宋体" w:eastAsia="宋体"/>
          <w:b/>
          <w:sz w:val="24"/>
          <w:szCs w:val="24"/>
          <w:highlight w:val="none"/>
        </w:rPr>
      </w:pPr>
      <w:r>
        <w:rPr>
          <w:rFonts w:hint="eastAsia" w:hAnsi="宋体" w:eastAsia="宋体"/>
          <w:b/>
          <w:sz w:val="24"/>
          <w:szCs w:val="24"/>
          <w:highlight w:val="none"/>
        </w:rPr>
        <w:t>同类业绩一览表</w:t>
      </w:r>
    </w:p>
    <w:tbl>
      <w:tblPr>
        <w:tblStyle w:val="35"/>
        <w:tblW w:w="100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2943"/>
        <w:gridCol w:w="2565"/>
        <w:gridCol w:w="1311"/>
        <w:gridCol w:w="1298"/>
        <w:gridCol w:w="12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43" w:hRule="atLeast"/>
          <w:jc w:val="center"/>
        </w:trPr>
        <w:tc>
          <w:tcPr>
            <w:tcW w:w="631" w:type="dxa"/>
            <w:noWrap w:val="0"/>
            <w:vAlign w:val="center"/>
          </w:tcPr>
          <w:p>
            <w:pPr>
              <w:jc w:val="center"/>
              <w:rPr>
                <w:rFonts w:ascii="宋体" w:hAnsi="宋体"/>
                <w:b/>
                <w:szCs w:val="21"/>
                <w:highlight w:val="none"/>
              </w:rPr>
            </w:pPr>
            <w:r>
              <w:rPr>
                <w:rFonts w:hint="eastAsia" w:ascii="宋体" w:hAnsi="宋体"/>
                <w:b/>
                <w:szCs w:val="21"/>
                <w:highlight w:val="none"/>
              </w:rPr>
              <w:t>序号</w:t>
            </w:r>
          </w:p>
        </w:tc>
        <w:tc>
          <w:tcPr>
            <w:tcW w:w="2943" w:type="dxa"/>
            <w:noWrap w:val="0"/>
            <w:vAlign w:val="center"/>
          </w:tcPr>
          <w:p>
            <w:pPr>
              <w:jc w:val="center"/>
              <w:rPr>
                <w:rFonts w:ascii="宋体" w:hAnsi="宋体"/>
                <w:b/>
                <w:szCs w:val="21"/>
                <w:highlight w:val="none"/>
              </w:rPr>
            </w:pPr>
            <w:r>
              <w:rPr>
                <w:rFonts w:hint="eastAsia" w:ascii="宋体" w:hAnsi="宋体"/>
                <w:b/>
                <w:szCs w:val="21"/>
                <w:highlight w:val="none"/>
              </w:rPr>
              <w:t>采购人名称</w:t>
            </w:r>
          </w:p>
        </w:tc>
        <w:tc>
          <w:tcPr>
            <w:tcW w:w="2565" w:type="dxa"/>
            <w:noWrap w:val="0"/>
            <w:vAlign w:val="center"/>
          </w:tcPr>
          <w:p>
            <w:pPr>
              <w:tabs>
                <w:tab w:val="left" w:pos="6252"/>
              </w:tabs>
              <w:jc w:val="center"/>
              <w:rPr>
                <w:rFonts w:ascii="宋体" w:hAnsi="宋体"/>
                <w:b/>
                <w:szCs w:val="21"/>
                <w:highlight w:val="none"/>
              </w:rPr>
            </w:pPr>
            <w:r>
              <w:rPr>
                <w:rFonts w:hint="eastAsia" w:ascii="宋体" w:hAnsi="宋体"/>
                <w:b/>
                <w:szCs w:val="21"/>
                <w:highlight w:val="none"/>
              </w:rPr>
              <w:t>项目名称</w:t>
            </w:r>
          </w:p>
        </w:tc>
        <w:tc>
          <w:tcPr>
            <w:tcW w:w="1311" w:type="dxa"/>
            <w:noWrap w:val="0"/>
            <w:vAlign w:val="center"/>
          </w:tcPr>
          <w:p>
            <w:pPr>
              <w:tabs>
                <w:tab w:val="left" w:pos="6252"/>
              </w:tabs>
              <w:jc w:val="center"/>
              <w:rPr>
                <w:rFonts w:ascii="宋体" w:hAnsi="宋体"/>
                <w:b/>
                <w:szCs w:val="21"/>
                <w:highlight w:val="none"/>
              </w:rPr>
            </w:pPr>
            <w:r>
              <w:rPr>
                <w:rFonts w:hint="eastAsia" w:ascii="宋体" w:hAnsi="宋体"/>
                <w:b/>
                <w:szCs w:val="21"/>
                <w:highlight w:val="none"/>
              </w:rPr>
              <w:t>合同金额</w:t>
            </w:r>
          </w:p>
          <w:p>
            <w:pPr>
              <w:tabs>
                <w:tab w:val="left" w:pos="6252"/>
              </w:tabs>
              <w:jc w:val="center"/>
              <w:rPr>
                <w:rFonts w:ascii="宋体" w:hAnsi="宋体"/>
                <w:b/>
                <w:szCs w:val="21"/>
                <w:highlight w:val="none"/>
              </w:rPr>
            </w:pPr>
            <w:r>
              <w:rPr>
                <w:rFonts w:hint="eastAsia" w:ascii="宋体" w:hAnsi="宋体"/>
                <w:b/>
                <w:szCs w:val="21"/>
                <w:highlight w:val="none"/>
              </w:rPr>
              <w:t>（万元）</w:t>
            </w:r>
          </w:p>
        </w:tc>
        <w:tc>
          <w:tcPr>
            <w:tcW w:w="1298" w:type="dxa"/>
            <w:noWrap w:val="0"/>
            <w:vAlign w:val="center"/>
          </w:tcPr>
          <w:p>
            <w:pPr>
              <w:tabs>
                <w:tab w:val="left" w:pos="6252"/>
              </w:tabs>
              <w:jc w:val="center"/>
              <w:rPr>
                <w:rFonts w:ascii="宋体" w:hAnsi="宋体"/>
                <w:b/>
                <w:szCs w:val="21"/>
                <w:highlight w:val="none"/>
              </w:rPr>
            </w:pPr>
            <w:r>
              <w:rPr>
                <w:rFonts w:hint="eastAsia"/>
                <w:b/>
                <w:highlight w:val="none"/>
              </w:rPr>
              <w:t>合同签订时间</w:t>
            </w:r>
          </w:p>
        </w:tc>
        <w:tc>
          <w:tcPr>
            <w:tcW w:w="1298" w:type="dxa"/>
            <w:noWrap w:val="0"/>
            <w:vAlign w:val="center"/>
          </w:tcPr>
          <w:p>
            <w:pPr>
              <w:tabs>
                <w:tab w:val="left" w:pos="6252"/>
              </w:tabs>
              <w:jc w:val="center"/>
              <w:rPr>
                <w:rFonts w:hint="eastAsia"/>
                <w:b/>
                <w:highlight w:val="none"/>
              </w:rPr>
            </w:pPr>
            <w:r>
              <w:rPr>
                <w:rFonts w:hint="eastAsia"/>
                <w:b/>
                <w:highlight w:val="none"/>
              </w:rPr>
              <w:t>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26" w:hRule="atLeast"/>
          <w:jc w:val="center"/>
        </w:trPr>
        <w:tc>
          <w:tcPr>
            <w:tcW w:w="631" w:type="dxa"/>
            <w:noWrap w:val="0"/>
            <w:vAlign w:val="center"/>
          </w:tcPr>
          <w:p>
            <w:pPr>
              <w:jc w:val="center"/>
              <w:rPr>
                <w:rFonts w:ascii="宋体" w:hAnsi="宋体"/>
                <w:szCs w:val="21"/>
                <w:highlight w:val="none"/>
              </w:rPr>
            </w:pPr>
            <w:r>
              <w:rPr>
                <w:rFonts w:hint="eastAsia" w:ascii="宋体" w:hAnsi="宋体"/>
                <w:szCs w:val="21"/>
                <w:highlight w:val="none"/>
              </w:rPr>
              <w:t>1</w:t>
            </w: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43" w:hRule="atLeast"/>
          <w:jc w:val="center"/>
        </w:trPr>
        <w:tc>
          <w:tcPr>
            <w:tcW w:w="631" w:type="dxa"/>
            <w:noWrap w:val="0"/>
            <w:vAlign w:val="center"/>
          </w:tcPr>
          <w:p>
            <w:pPr>
              <w:jc w:val="center"/>
              <w:rPr>
                <w:rFonts w:ascii="宋体" w:hAnsi="宋体"/>
                <w:szCs w:val="21"/>
                <w:highlight w:val="none"/>
              </w:rPr>
            </w:pPr>
            <w:r>
              <w:rPr>
                <w:rFonts w:hint="eastAsia" w:ascii="宋体" w:hAnsi="宋体"/>
                <w:szCs w:val="21"/>
                <w:highlight w:val="none"/>
              </w:rPr>
              <w:t>2</w:t>
            </w: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60" w:hRule="atLeast"/>
          <w:jc w:val="center"/>
        </w:trPr>
        <w:tc>
          <w:tcPr>
            <w:tcW w:w="631" w:type="dxa"/>
            <w:noWrap w:val="0"/>
            <w:vAlign w:val="center"/>
          </w:tcPr>
          <w:p>
            <w:pPr>
              <w:jc w:val="center"/>
              <w:rPr>
                <w:rFonts w:ascii="宋体" w:hAnsi="宋体"/>
                <w:szCs w:val="21"/>
                <w:highlight w:val="none"/>
              </w:rPr>
            </w:pPr>
            <w:r>
              <w:rPr>
                <w:rFonts w:hint="eastAsia" w:ascii="宋体" w:hAnsi="宋体"/>
                <w:szCs w:val="21"/>
                <w:highlight w:val="none"/>
              </w:rPr>
              <w:t>3</w:t>
            </w: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60" w:hRule="atLeast"/>
          <w:jc w:val="center"/>
        </w:trPr>
        <w:tc>
          <w:tcPr>
            <w:tcW w:w="631" w:type="dxa"/>
            <w:noWrap w:val="0"/>
            <w:vAlign w:val="center"/>
          </w:tcPr>
          <w:p>
            <w:pPr>
              <w:jc w:val="center"/>
              <w:rPr>
                <w:rFonts w:ascii="宋体" w:hAnsi="宋体"/>
                <w:szCs w:val="21"/>
                <w:highlight w:val="none"/>
              </w:rPr>
            </w:pPr>
            <w:r>
              <w:rPr>
                <w:rFonts w:hint="eastAsia" w:ascii="宋体" w:hAnsi="宋体"/>
                <w:szCs w:val="21"/>
                <w:highlight w:val="none"/>
              </w:rPr>
              <w:t>4</w:t>
            </w: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60" w:hRule="atLeast"/>
          <w:jc w:val="center"/>
        </w:trPr>
        <w:tc>
          <w:tcPr>
            <w:tcW w:w="631" w:type="dxa"/>
            <w:noWrap w:val="0"/>
            <w:vAlign w:val="center"/>
          </w:tcPr>
          <w:p>
            <w:pPr>
              <w:jc w:val="center"/>
              <w:rPr>
                <w:rFonts w:ascii="宋体" w:hAnsi="宋体"/>
                <w:szCs w:val="21"/>
                <w:highlight w:val="none"/>
              </w:rPr>
            </w:pPr>
            <w:r>
              <w:rPr>
                <w:rFonts w:hint="eastAsia" w:ascii="宋体" w:hAnsi="宋体"/>
                <w:szCs w:val="21"/>
                <w:highlight w:val="none"/>
              </w:rPr>
              <w:t>5</w:t>
            </w: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60" w:hRule="atLeast"/>
          <w:jc w:val="center"/>
        </w:trPr>
        <w:tc>
          <w:tcPr>
            <w:tcW w:w="631" w:type="dxa"/>
            <w:noWrap w:val="0"/>
            <w:vAlign w:val="center"/>
          </w:tcPr>
          <w:p>
            <w:pPr>
              <w:jc w:val="center"/>
              <w:rPr>
                <w:rFonts w:ascii="宋体" w:hAnsi="宋体"/>
                <w:szCs w:val="21"/>
                <w:highlight w:val="none"/>
              </w:rPr>
            </w:pP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53" w:hRule="atLeast"/>
          <w:jc w:val="center"/>
        </w:trPr>
        <w:tc>
          <w:tcPr>
            <w:tcW w:w="631" w:type="dxa"/>
            <w:noWrap w:val="0"/>
            <w:vAlign w:val="center"/>
          </w:tcPr>
          <w:p>
            <w:pPr>
              <w:jc w:val="center"/>
              <w:rPr>
                <w:rFonts w:ascii="宋体" w:hAnsi="宋体"/>
                <w:szCs w:val="21"/>
                <w:highlight w:val="none"/>
              </w:rPr>
            </w:pPr>
            <w:r>
              <w:rPr>
                <w:rFonts w:hint="eastAsia" w:ascii="宋体" w:hAnsi="宋体"/>
                <w:szCs w:val="21"/>
                <w:highlight w:val="none"/>
              </w:rPr>
              <w:t>…</w:t>
            </w:r>
          </w:p>
        </w:tc>
        <w:tc>
          <w:tcPr>
            <w:tcW w:w="2943" w:type="dxa"/>
            <w:noWrap w:val="0"/>
            <w:vAlign w:val="center"/>
          </w:tcPr>
          <w:p>
            <w:pPr>
              <w:jc w:val="center"/>
              <w:rPr>
                <w:rFonts w:ascii="宋体" w:hAnsi="宋体"/>
                <w:szCs w:val="21"/>
                <w:highlight w:val="none"/>
              </w:rPr>
            </w:pPr>
          </w:p>
        </w:tc>
        <w:tc>
          <w:tcPr>
            <w:tcW w:w="2565" w:type="dxa"/>
            <w:noWrap w:val="0"/>
            <w:vAlign w:val="top"/>
          </w:tcPr>
          <w:p>
            <w:pPr>
              <w:jc w:val="center"/>
              <w:rPr>
                <w:rFonts w:ascii="宋体" w:hAnsi="宋体"/>
                <w:szCs w:val="21"/>
                <w:highlight w:val="none"/>
              </w:rPr>
            </w:pPr>
          </w:p>
        </w:tc>
        <w:tc>
          <w:tcPr>
            <w:tcW w:w="1311" w:type="dxa"/>
            <w:noWrap w:val="0"/>
            <w:vAlign w:val="center"/>
          </w:tcPr>
          <w:p>
            <w:pPr>
              <w:jc w:val="center"/>
              <w:rPr>
                <w:rFonts w:ascii="宋体" w:hAnsi="宋体"/>
                <w:szCs w:val="21"/>
                <w:highlight w:val="none"/>
              </w:rPr>
            </w:pPr>
          </w:p>
        </w:tc>
        <w:tc>
          <w:tcPr>
            <w:tcW w:w="1298" w:type="dxa"/>
            <w:noWrap w:val="0"/>
            <w:vAlign w:val="center"/>
          </w:tcPr>
          <w:p>
            <w:pPr>
              <w:jc w:val="center"/>
              <w:rPr>
                <w:rFonts w:ascii="宋体" w:hAnsi="宋体"/>
                <w:szCs w:val="21"/>
                <w:highlight w:val="none"/>
              </w:rPr>
            </w:pPr>
          </w:p>
        </w:tc>
        <w:tc>
          <w:tcPr>
            <w:tcW w:w="1298" w:type="dxa"/>
            <w:noWrap w:val="0"/>
            <w:vAlign w:val="top"/>
          </w:tcPr>
          <w:p>
            <w:pPr>
              <w:jc w:val="center"/>
              <w:rPr>
                <w:rFonts w:ascii="宋体" w:hAnsi="宋体"/>
                <w:szCs w:val="21"/>
                <w:highlight w:val="none"/>
              </w:rPr>
            </w:pPr>
          </w:p>
        </w:tc>
      </w:tr>
    </w:tbl>
    <w:p>
      <w:pPr>
        <w:pStyle w:val="91"/>
        <w:ind w:firstLine="316"/>
        <w:rPr>
          <w:rFonts w:cs="宋体"/>
          <w:kern w:val="0"/>
          <w:sz w:val="22"/>
          <w:szCs w:val="22"/>
          <w:highlight w:val="none"/>
        </w:rPr>
      </w:pPr>
      <w:r>
        <w:rPr>
          <w:rFonts w:hint="eastAsia"/>
          <w:sz w:val="21"/>
          <w:szCs w:val="21"/>
          <w:highlight w:val="none"/>
        </w:rPr>
        <w:t>注：</w:t>
      </w:r>
      <w:r>
        <w:rPr>
          <w:rFonts w:hint="eastAsia" w:cs="宋体"/>
          <w:kern w:val="0"/>
          <w:sz w:val="21"/>
          <w:szCs w:val="21"/>
          <w:highlight w:val="none"/>
        </w:rPr>
        <w:t>供应商同类业绩得分以本表为准，后附相关证明材料，所需的证明材料要求详见评标办法</w:t>
      </w:r>
      <w:r>
        <w:rPr>
          <w:rFonts w:hint="eastAsia" w:cs="宋体"/>
          <w:kern w:val="0"/>
          <w:sz w:val="22"/>
          <w:szCs w:val="22"/>
          <w:highlight w:val="none"/>
        </w:rPr>
        <w:t>。</w:t>
      </w:r>
    </w:p>
    <w:p>
      <w:pPr>
        <w:snapToGrid w:val="0"/>
        <w:spacing w:before="120" w:beforeLines="50" w:line="400" w:lineRule="exact"/>
        <w:ind w:firstLine="200"/>
        <w:rPr>
          <w:rFonts w:ascii="宋体" w:hAnsi="宋体"/>
          <w:b/>
          <w:szCs w:val="21"/>
          <w:highlight w:val="none"/>
        </w:rPr>
      </w:pPr>
    </w:p>
    <w:p>
      <w:pPr>
        <w:snapToGrid w:val="0"/>
        <w:spacing w:before="120" w:beforeLines="50" w:after="50" w:line="400" w:lineRule="exact"/>
        <w:ind w:firstLine="240" w:firstLineChars="100"/>
        <w:rPr>
          <w:rFonts w:ascii="宋体" w:hAnsi="宋体"/>
          <w:highlight w:val="none"/>
        </w:rPr>
      </w:pPr>
      <w:r>
        <w:rPr>
          <w:rFonts w:hint="eastAsia" w:ascii="宋体" w:hAnsi="宋体"/>
          <w:bCs/>
          <w:highlight w:val="none"/>
        </w:rPr>
        <w:t>供应商（盖章）</w:t>
      </w:r>
      <w:r>
        <w:rPr>
          <w:rFonts w:hint="eastAsia" w:ascii="宋体" w:hAnsi="宋体"/>
          <w:highlight w:val="none"/>
        </w:rPr>
        <w:t>：</w:t>
      </w:r>
      <w:r>
        <w:rPr>
          <w:rFonts w:ascii="宋体" w:hAnsi="宋体"/>
          <w:highlight w:val="none"/>
          <w:u w:val="single"/>
        </w:rPr>
        <w:t xml:space="preserve">               </w:t>
      </w:r>
      <w:r>
        <w:rPr>
          <w:rFonts w:ascii="宋体" w:hAnsi="宋体"/>
          <w:highlight w:val="none"/>
        </w:rPr>
        <w:t xml:space="preserve">                      </w:t>
      </w:r>
    </w:p>
    <w:p>
      <w:pPr>
        <w:snapToGrid w:val="0"/>
        <w:spacing w:before="120" w:beforeLines="50" w:after="50" w:line="400" w:lineRule="exact"/>
        <w:ind w:firstLine="240" w:firstLineChars="100"/>
        <w:rPr>
          <w:rFonts w:ascii="宋体" w:hAnsi="宋体"/>
          <w:highlight w:val="none"/>
        </w:rPr>
      </w:pPr>
    </w:p>
    <w:p>
      <w:pPr>
        <w:pStyle w:val="94"/>
        <w:spacing w:line="360" w:lineRule="auto"/>
        <w:jc w:val="right"/>
        <w:rPr>
          <w:rFonts w:hAnsi="宋体" w:eastAsia="宋体"/>
          <w:sz w:val="24"/>
          <w:szCs w:val="24"/>
          <w:highlight w:val="none"/>
        </w:rPr>
      </w:pPr>
      <w:r>
        <w:rPr>
          <w:rFonts w:hint="eastAsia" w:hAnsi="宋体" w:eastAsia="宋体"/>
          <w:sz w:val="24"/>
          <w:szCs w:val="24"/>
          <w:highlight w:val="none"/>
        </w:rPr>
        <w:t>年</w:t>
      </w:r>
      <w:r>
        <w:rPr>
          <w:rFonts w:hAnsi="宋体" w:eastAsia="宋体"/>
          <w:sz w:val="24"/>
          <w:szCs w:val="24"/>
          <w:highlight w:val="none"/>
        </w:rPr>
        <w:t xml:space="preserve">    </w:t>
      </w:r>
      <w:r>
        <w:rPr>
          <w:rFonts w:hint="eastAsia" w:hAnsi="宋体" w:eastAsia="宋体"/>
          <w:sz w:val="24"/>
          <w:szCs w:val="24"/>
          <w:highlight w:val="none"/>
        </w:rPr>
        <w:t>月</w:t>
      </w:r>
      <w:r>
        <w:rPr>
          <w:rFonts w:hAnsi="宋体" w:eastAsia="宋体"/>
          <w:sz w:val="24"/>
          <w:szCs w:val="24"/>
          <w:highlight w:val="none"/>
        </w:rPr>
        <w:t xml:space="preserve">    </w:t>
      </w:r>
      <w:r>
        <w:rPr>
          <w:rFonts w:hint="eastAsia" w:hAnsi="宋体" w:eastAsia="宋体"/>
          <w:sz w:val="24"/>
          <w:szCs w:val="24"/>
          <w:highlight w:val="none"/>
        </w:rPr>
        <w:t>日</w:t>
      </w:r>
    </w:p>
    <w:p>
      <w:pPr>
        <w:pStyle w:val="94"/>
        <w:spacing w:line="360" w:lineRule="auto"/>
        <w:ind w:right="480"/>
        <w:rPr>
          <w:rFonts w:hAnsi="宋体"/>
          <w:b/>
          <w:highlight w:val="none"/>
        </w:rPr>
      </w:pPr>
      <w:r>
        <w:rPr>
          <w:b/>
          <w:highlight w:val="none"/>
        </w:rPr>
        <w:br w:type="page"/>
      </w:r>
    </w:p>
    <w:p>
      <w:pPr>
        <w:pStyle w:val="68"/>
        <w:numPr>
          <w:ilvl w:val="0"/>
          <w:numId w:val="0"/>
        </w:numPr>
        <w:snapToGrid w:val="0"/>
        <w:ind w:leftChars="0"/>
        <w:rPr>
          <w:rFonts w:hAnsi="宋体"/>
          <w:b/>
          <w:highlight w:val="none"/>
        </w:rPr>
      </w:pPr>
      <w:r>
        <w:rPr>
          <w:rFonts w:hint="eastAsia" w:hAnsi="宋体"/>
          <w:b/>
          <w:highlight w:val="none"/>
          <w:lang w:val="en-US" w:eastAsia="zh-CN"/>
        </w:rPr>
        <w:t>8.拟派项目组人员表</w:t>
      </w:r>
      <w:r>
        <w:rPr>
          <w:rFonts w:hint="eastAsia" w:hAnsi="宋体"/>
          <w:b/>
          <w:highlight w:val="none"/>
        </w:rPr>
        <w:t>格式</w:t>
      </w:r>
    </w:p>
    <w:p>
      <w:pPr>
        <w:pStyle w:val="20"/>
        <w:adjustRightInd w:val="0"/>
        <w:spacing w:before="120" w:after="120" w:line="360" w:lineRule="auto"/>
        <w:jc w:val="center"/>
        <w:textAlignment w:val="baseline"/>
        <w:rPr>
          <w:rFonts w:hAnsi="宋体"/>
          <w:sz w:val="28"/>
          <w:szCs w:val="28"/>
          <w:highlight w:val="none"/>
        </w:rPr>
      </w:pPr>
      <w:r>
        <w:rPr>
          <w:rFonts w:hint="eastAsia" w:hAnsi="宋体"/>
          <w:b/>
          <w:bCs/>
          <w:sz w:val="28"/>
          <w:szCs w:val="28"/>
          <w:highlight w:val="none"/>
        </w:rPr>
        <w:t>拟派项目组人员</w:t>
      </w:r>
      <w:r>
        <w:rPr>
          <w:rFonts w:hint="eastAsia" w:hAnsi="宋体"/>
          <w:b/>
          <w:bCs/>
          <w:sz w:val="28"/>
          <w:szCs w:val="28"/>
          <w:highlight w:val="none"/>
          <w:lang w:eastAsia="zh-CN"/>
        </w:rPr>
        <w:t>表</w:t>
      </w:r>
    </w:p>
    <w:tbl>
      <w:tblPr>
        <w:tblStyle w:val="35"/>
        <w:tblW w:w="864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7"/>
        <w:gridCol w:w="1016"/>
        <w:gridCol w:w="1625"/>
        <w:gridCol w:w="1800"/>
        <w:gridCol w:w="1787"/>
        <w:gridCol w:w="166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序号</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姓名</w:t>
            </w:r>
          </w:p>
        </w:tc>
        <w:tc>
          <w:tcPr>
            <w:tcW w:w="1625"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年龄</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学历及专业</w:t>
            </w:r>
          </w:p>
        </w:tc>
        <w:tc>
          <w:tcPr>
            <w:tcW w:w="178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证书</w:t>
            </w:r>
          </w:p>
        </w:tc>
        <w:tc>
          <w:tcPr>
            <w:tcW w:w="166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项目组所任职务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1</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78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top"/>
          </w:tcPr>
          <w:p>
            <w:pPr>
              <w:pStyle w:val="23"/>
              <w:jc w:val="center"/>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2</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78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top"/>
          </w:tcPr>
          <w:p>
            <w:pPr>
              <w:pStyle w:val="23"/>
              <w:jc w:val="center"/>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3</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78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top"/>
          </w:tcPr>
          <w:p>
            <w:pPr>
              <w:pStyle w:val="23"/>
              <w:jc w:val="center"/>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4</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78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top"/>
          </w:tcPr>
          <w:p>
            <w:pPr>
              <w:pStyle w:val="23"/>
              <w:jc w:val="center"/>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r>
              <w:rPr>
                <w:rFonts w:hint="eastAsia" w:ascii="宋体" w:hAnsi="宋体"/>
                <w:sz w:val="21"/>
                <w:szCs w:val="21"/>
                <w:highlight w:val="none"/>
              </w:rPr>
              <w:t>5</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787" w:type="dxa"/>
            <w:tcBorders>
              <w:top w:val="single" w:color="auto" w:sz="4" w:space="0"/>
              <w:left w:val="single" w:color="auto" w:sz="4" w:space="0"/>
              <w:bottom w:val="single" w:color="auto" w:sz="4" w:space="0"/>
              <w:right w:val="single" w:color="auto" w:sz="4" w:space="0"/>
            </w:tcBorders>
            <w:noWrap w:val="0"/>
            <w:vAlign w:val="center"/>
          </w:tcPr>
          <w:p>
            <w:pPr>
              <w:pStyle w:val="23"/>
              <w:jc w:val="center"/>
              <w:rPr>
                <w:rFonts w:ascii="宋体" w:hAnsi="宋体"/>
                <w:sz w:val="21"/>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top"/>
          </w:tcPr>
          <w:p>
            <w:pPr>
              <w:pStyle w:val="23"/>
              <w:jc w:val="center"/>
              <w:rPr>
                <w:rFonts w:ascii="宋体" w:hAnsi="宋体"/>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47"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highlight w:val="none"/>
              </w:rPr>
            </w:pPr>
            <w:r>
              <w:rPr>
                <w:rFonts w:hint="eastAsia" w:ascii="宋体" w:hAnsi="宋体"/>
                <w:szCs w:val="21"/>
                <w:highlight w:val="none"/>
              </w:rPr>
              <w:t>…</w:t>
            </w:r>
          </w:p>
        </w:tc>
        <w:tc>
          <w:tcPr>
            <w:tcW w:w="1016"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highlight w:val="none"/>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highlight w:val="none"/>
              </w:rPr>
            </w:pPr>
          </w:p>
        </w:tc>
        <w:tc>
          <w:tcPr>
            <w:tcW w:w="1787"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highlight w:val="none"/>
              </w:rPr>
            </w:pPr>
          </w:p>
        </w:tc>
        <w:tc>
          <w:tcPr>
            <w:tcW w:w="166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highlight w:val="none"/>
              </w:rPr>
            </w:pPr>
          </w:p>
        </w:tc>
      </w:tr>
    </w:tbl>
    <w:p>
      <w:pPr>
        <w:snapToGrid w:val="0"/>
        <w:spacing w:before="50" w:after="50" w:line="360" w:lineRule="auto"/>
        <w:rPr>
          <w:rFonts w:hint="eastAsia" w:ascii="宋体" w:hAnsi="宋体" w:eastAsia="宋体" w:cs="宋体"/>
          <w:b/>
          <w:kern w:val="0"/>
          <w:sz w:val="21"/>
          <w:szCs w:val="21"/>
          <w:highlight w:val="none"/>
          <w:lang w:val="en-US" w:eastAsia="zh-CN" w:bidi="ar"/>
        </w:rPr>
      </w:pPr>
      <w:r>
        <w:rPr>
          <w:rFonts w:hint="eastAsia" w:ascii="宋体" w:hAnsi="宋体" w:eastAsia="宋体" w:cs="宋体"/>
          <w:b/>
          <w:kern w:val="0"/>
          <w:sz w:val="21"/>
          <w:szCs w:val="21"/>
          <w:highlight w:val="none"/>
          <w:lang w:val="en-US" w:eastAsia="zh-CN" w:bidi="ar"/>
        </w:rPr>
        <w:t>1、表格不够填写可添加</w:t>
      </w:r>
    </w:p>
    <w:p>
      <w:pPr>
        <w:pStyle w:val="93"/>
        <w:spacing w:line="360" w:lineRule="auto"/>
        <w:ind w:right="480"/>
        <w:rPr>
          <w:rFonts w:hAnsi="宋体" w:eastAsia="宋体"/>
          <w:sz w:val="24"/>
          <w:szCs w:val="24"/>
          <w:highlight w:val="none"/>
        </w:rPr>
      </w:pPr>
    </w:p>
    <w:p>
      <w:pPr>
        <w:snapToGrid w:val="0"/>
        <w:spacing w:before="120" w:beforeLines="50" w:after="50" w:line="400" w:lineRule="exact"/>
        <w:ind w:firstLine="240" w:firstLineChars="100"/>
        <w:rPr>
          <w:rFonts w:ascii="宋体" w:hAnsi="宋体"/>
          <w:highlight w:val="none"/>
        </w:rPr>
      </w:pPr>
      <w:r>
        <w:rPr>
          <w:rFonts w:hint="eastAsia" w:ascii="宋体" w:hAnsi="宋体"/>
          <w:bCs/>
          <w:highlight w:val="none"/>
        </w:rPr>
        <w:t>供应商（盖章）</w:t>
      </w:r>
      <w:r>
        <w:rPr>
          <w:rFonts w:hint="eastAsia" w:ascii="宋体" w:hAnsi="宋体"/>
          <w:highlight w:val="none"/>
        </w:rPr>
        <w:t>：</w:t>
      </w:r>
      <w:r>
        <w:rPr>
          <w:rFonts w:ascii="宋体" w:hAnsi="宋体"/>
          <w:highlight w:val="none"/>
          <w:u w:val="single"/>
        </w:rPr>
        <w:t xml:space="preserve">               </w:t>
      </w:r>
      <w:r>
        <w:rPr>
          <w:rFonts w:ascii="宋体" w:hAnsi="宋体"/>
          <w:highlight w:val="none"/>
        </w:rPr>
        <w:t xml:space="preserve">                      </w:t>
      </w:r>
    </w:p>
    <w:p>
      <w:pPr>
        <w:snapToGrid w:val="0"/>
        <w:spacing w:before="120" w:beforeLines="50" w:after="50" w:line="400" w:lineRule="exact"/>
        <w:ind w:firstLine="240" w:firstLineChars="100"/>
        <w:rPr>
          <w:rFonts w:ascii="宋体" w:hAnsi="宋体"/>
          <w:highlight w:val="none"/>
        </w:rPr>
      </w:pPr>
    </w:p>
    <w:p>
      <w:pPr>
        <w:pStyle w:val="94"/>
        <w:spacing w:line="360" w:lineRule="auto"/>
        <w:jc w:val="right"/>
        <w:rPr>
          <w:rFonts w:hint="eastAsia" w:hAnsi="宋体" w:eastAsia="宋体"/>
          <w:sz w:val="24"/>
          <w:szCs w:val="24"/>
          <w:highlight w:val="none"/>
        </w:rPr>
      </w:pPr>
      <w:r>
        <w:rPr>
          <w:rFonts w:hint="eastAsia" w:hAnsi="宋体" w:eastAsia="宋体"/>
          <w:sz w:val="24"/>
          <w:szCs w:val="24"/>
          <w:highlight w:val="none"/>
        </w:rPr>
        <w:t>年</w:t>
      </w:r>
      <w:r>
        <w:rPr>
          <w:rFonts w:hAnsi="宋体" w:eastAsia="宋体"/>
          <w:sz w:val="24"/>
          <w:szCs w:val="24"/>
          <w:highlight w:val="none"/>
        </w:rPr>
        <w:t xml:space="preserve">    </w:t>
      </w:r>
      <w:r>
        <w:rPr>
          <w:rFonts w:hint="eastAsia" w:hAnsi="宋体" w:eastAsia="宋体"/>
          <w:sz w:val="24"/>
          <w:szCs w:val="24"/>
          <w:highlight w:val="none"/>
        </w:rPr>
        <w:t>月</w:t>
      </w:r>
      <w:r>
        <w:rPr>
          <w:rFonts w:hAnsi="宋体" w:eastAsia="宋体"/>
          <w:sz w:val="24"/>
          <w:szCs w:val="24"/>
          <w:highlight w:val="none"/>
        </w:rPr>
        <w:t xml:space="preserve">    </w:t>
      </w:r>
      <w:r>
        <w:rPr>
          <w:rFonts w:hint="eastAsia" w:hAnsi="宋体" w:eastAsia="宋体"/>
          <w:sz w:val="24"/>
          <w:szCs w:val="24"/>
          <w:highlight w:val="none"/>
        </w:rPr>
        <w:t>日</w:t>
      </w:r>
    </w:p>
    <w:p>
      <w:pPr>
        <w:pStyle w:val="94"/>
        <w:spacing w:line="360" w:lineRule="auto"/>
        <w:jc w:val="right"/>
        <w:rPr>
          <w:rFonts w:hint="eastAsia" w:hAnsi="宋体" w:eastAsia="宋体"/>
          <w:sz w:val="24"/>
          <w:szCs w:val="24"/>
          <w:highlight w:val="none"/>
        </w:rPr>
      </w:pPr>
    </w:p>
    <w:p>
      <w:pPr>
        <w:pStyle w:val="94"/>
        <w:spacing w:line="360" w:lineRule="auto"/>
        <w:jc w:val="right"/>
        <w:rPr>
          <w:rFonts w:hint="eastAsia" w:hAnsi="宋体" w:eastAsia="宋体"/>
          <w:sz w:val="24"/>
          <w:szCs w:val="24"/>
          <w:highlight w:val="none"/>
        </w:rPr>
      </w:pPr>
    </w:p>
    <w:p>
      <w:pPr>
        <w:pStyle w:val="94"/>
        <w:spacing w:line="360" w:lineRule="auto"/>
        <w:jc w:val="right"/>
        <w:rPr>
          <w:rFonts w:hint="eastAsia" w:hAnsi="宋体" w:eastAsia="宋体"/>
          <w:sz w:val="24"/>
          <w:szCs w:val="24"/>
          <w:highlight w:val="none"/>
        </w:rPr>
      </w:pPr>
    </w:p>
    <w:p>
      <w:pPr>
        <w:spacing w:line="480" w:lineRule="exact"/>
        <w:jc w:val="center"/>
        <w:rPr>
          <w:rFonts w:hint="eastAsia"/>
          <w:b/>
          <w:color w:val="auto"/>
          <w:sz w:val="28"/>
          <w:highlight w:val="none"/>
        </w:rPr>
      </w:pPr>
    </w:p>
    <w:p>
      <w:pPr>
        <w:spacing w:line="480" w:lineRule="exact"/>
        <w:jc w:val="center"/>
        <w:rPr>
          <w:rFonts w:hint="eastAsia"/>
          <w:b/>
          <w:color w:val="auto"/>
          <w:sz w:val="28"/>
          <w:highlight w:val="none"/>
        </w:rPr>
      </w:pPr>
    </w:p>
    <w:p>
      <w:pPr>
        <w:spacing w:line="480" w:lineRule="exact"/>
        <w:jc w:val="center"/>
        <w:rPr>
          <w:rFonts w:hint="eastAsia"/>
          <w:b/>
          <w:color w:val="auto"/>
          <w:sz w:val="28"/>
          <w:highlight w:val="none"/>
        </w:rPr>
      </w:pPr>
    </w:p>
    <w:p>
      <w:pPr>
        <w:spacing w:line="480" w:lineRule="exact"/>
        <w:jc w:val="center"/>
        <w:rPr>
          <w:rFonts w:hint="eastAsia"/>
          <w:b/>
          <w:color w:val="auto"/>
          <w:sz w:val="28"/>
          <w:highlight w:val="none"/>
        </w:rPr>
      </w:pPr>
    </w:p>
    <w:p>
      <w:pPr>
        <w:spacing w:line="480" w:lineRule="exact"/>
        <w:jc w:val="center"/>
        <w:rPr>
          <w:rFonts w:hint="eastAsia"/>
          <w:b/>
          <w:color w:val="auto"/>
          <w:sz w:val="28"/>
          <w:highlight w:val="none"/>
        </w:rPr>
      </w:pPr>
    </w:p>
    <w:p>
      <w:pPr>
        <w:spacing w:line="480" w:lineRule="exact"/>
        <w:jc w:val="center"/>
        <w:rPr>
          <w:rFonts w:hint="eastAsia"/>
          <w:b/>
          <w:color w:val="auto"/>
          <w:sz w:val="28"/>
          <w:highlight w:val="none"/>
        </w:rPr>
      </w:pPr>
    </w:p>
    <w:p>
      <w:pPr>
        <w:spacing w:line="480" w:lineRule="exact"/>
        <w:jc w:val="center"/>
        <w:rPr>
          <w:rFonts w:hint="eastAsia"/>
          <w:b/>
          <w:color w:val="auto"/>
          <w:sz w:val="28"/>
          <w:highlight w:val="none"/>
        </w:rPr>
      </w:pPr>
    </w:p>
    <w:p>
      <w:pPr>
        <w:spacing w:line="480" w:lineRule="exact"/>
        <w:jc w:val="center"/>
        <w:rPr>
          <w:rFonts w:ascii="宋体" w:hAnsi="宋体"/>
          <w:b/>
          <w:color w:val="auto"/>
          <w:sz w:val="28"/>
          <w:szCs w:val="28"/>
          <w:highlight w:val="none"/>
        </w:rPr>
      </w:pPr>
      <w:r>
        <w:rPr>
          <w:rFonts w:hint="eastAsia"/>
          <w:b/>
          <w:color w:val="auto"/>
          <w:sz w:val="28"/>
          <w:highlight w:val="none"/>
        </w:rPr>
        <w:t>技术响应（偏离）表</w:t>
      </w:r>
    </w:p>
    <w:tbl>
      <w:tblPr>
        <w:tblStyle w:val="35"/>
        <w:tblpPr w:leftFromText="180" w:rightFromText="180" w:vertAnchor="text" w:horzAnchor="page" w:tblpX="705" w:tblpY="208"/>
        <w:tblOverlap w:val="never"/>
        <w:tblW w:w="1097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3"/>
        <w:gridCol w:w="1150"/>
        <w:gridCol w:w="1757"/>
        <w:gridCol w:w="600"/>
        <w:gridCol w:w="1140"/>
        <w:gridCol w:w="1995"/>
        <w:gridCol w:w="2040"/>
        <w:gridCol w:w="1050"/>
        <w:gridCol w:w="7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7" w:hRule="atLeast"/>
        </w:trPr>
        <w:tc>
          <w:tcPr>
            <w:tcW w:w="463" w:type="dxa"/>
            <w:vMerge w:val="restart"/>
            <w:tcBorders>
              <w:top w:val="single" w:color="auto" w:sz="4" w:space="0"/>
              <w:left w:val="single" w:color="auto" w:sz="4" w:space="0"/>
              <w:bottom w:val="single" w:color="auto" w:sz="4" w:space="0"/>
              <w:right w:val="single" w:color="auto" w:sz="4" w:space="0"/>
            </w:tcBorders>
            <w:shd w:val="clear" w:color="auto" w:fill="EEECE1"/>
            <w:noWrap w:val="0"/>
            <w:vAlign w:val="center"/>
          </w:tcPr>
          <w:p>
            <w:pPr>
              <w:pStyle w:val="20"/>
              <w:wordWrap w:val="0"/>
              <w:spacing w:before="120" w:after="120" w:line="440" w:lineRule="exact"/>
              <w:jc w:val="center"/>
              <w:rPr>
                <w:rFonts w:hAnsi="宋体" w:cs="宋体"/>
                <w:b/>
                <w:bCs/>
                <w:color w:val="auto"/>
                <w:highlight w:val="none"/>
              </w:rPr>
            </w:pPr>
            <w:r>
              <w:rPr>
                <w:rFonts w:hint="eastAsia" w:hAnsi="宋体" w:cs="宋体"/>
                <w:b/>
                <w:bCs/>
                <w:color w:val="auto"/>
                <w:highlight w:val="none"/>
              </w:rPr>
              <w:t>序号</w:t>
            </w:r>
          </w:p>
        </w:tc>
        <w:tc>
          <w:tcPr>
            <w:tcW w:w="3507" w:type="dxa"/>
            <w:gridSpan w:val="3"/>
            <w:tcBorders>
              <w:top w:val="single" w:color="auto" w:sz="4" w:space="0"/>
              <w:left w:val="single" w:color="auto" w:sz="4" w:space="0"/>
              <w:bottom w:val="single" w:color="auto" w:sz="4" w:space="0"/>
              <w:right w:val="single" w:color="auto" w:sz="4" w:space="0"/>
            </w:tcBorders>
            <w:shd w:val="clear" w:color="auto" w:fill="EEECE1"/>
            <w:noWrap w:val="0"/>
            <w:vAlign w:val="center"/>
          </w:tcPr>
          <w:p>
            <w:pPr>
              <w:pStyle w:val="20"/>
              <w:wordWrap w:val="0"/>
              <w:spacing w:before="120" w:after="120" w:line="440" w:lineRule="exact"/>
              <w:ind w:firstLine="836" w:firstLineChars="347"/>
              <w:rPr>
                <w:rFonts w:hAnsi="宋体" w:cs="宋体"/>
                <w:b/>
                <w:bCs/>
                <w:color w:val="auto"/>
                <w:highlight w:val="none"/>
              </w:rPr>
            </w:pPr>
            <w:r>
              <w:rPr>
                <w:rFonts w:hint="eastAsia" w:hAnsi="宋体" w:cs="宋体"/>
                <w:b/>
                <w:bCs/>
                <w:color w:val="auto"/>
                <w:highlight w:val="none"/>
              </w:rPr>
              <w:t>招标文件需求</w:t>
            </w:r>
          </w:p>
        </w:tc>
        <w:tc>
          <w:tcPr>
            <w:tcW w:w="6225" w:type="dxa"/>
            <w:gridSpan w:val="4"/>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ind w:firstLine="480"/>
              <w:jc w:val="center"/>
              <w:rPr>
                <w:rFonts w:ascii="宋体" w:hAnsi="宋体" w:cs="宋体"/>
                <w:b/>
                <w:bCs/>
                <w:color w:val="auto"/>
                <w:sz w:val="24"/>
                <w:highlight w:val="none"/>
              </w:rPr>
            </w:pPr>
            <w:r>
              <w:rPr>
                <w:rFonts w:hint="eastAsia" w:ascii="宋体" w:hAnsi="宋体" w:cs="宋体"/>
                <w:b/>
                <w:bCs/>
                <w:color w:val="auto"/>
                <w:sz w:val="24"/>
                <w:highlight w:val="none"/>
              </w:rPr>
              <w:t>响应文件规格及技术参数</w:t>
            </w:r>
          </w:p>
        </w:tc>
        <w:tc>
          <w:tcPr>
            <w:tcW w:w="780" w:type="dxa"/>
            <w:vMerge w:val="restart"/>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3" w:hRule="atLeast"/>
        </w:trPr>
        <w:tc>
          <w:tcPr>
            <w:tcW w:w="463"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ordWrap w:val="0"/>
              <w:spacing w:line="440" w:lineRule="exact"/>
              <w:ind w:firstLine="480"/>
              <w:jc w:val="center"/>
              <w:rPr>
                <w:rFonts w:ascii="宋体" w:hAnsi="宋体" w:cs="宋体"/>
                <w:color w:val="auto"/>
                <w:sz w:val="24"/>
                <w:highlight w:val="none"/>
              </w:rPr>
            </w:pPr>
          </w:p>
        </w:tc>
        <w:tc>
          <w:tcPr>
            <w:tcW w:w="1150"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jc w:val="center"/>
              <w:rPr>
                <w:rFonts w:ascii="宋体" w:hAnsi="宋体" w:cs="宋体"/>
                <w:b/>
                <w:bCs/>
                <w:color w:val="auto"/>
                <w:sz w:val="24"/>
                <w:highlight w:val="none"/>
              </w:rPr>
            </w:pPr>
            <w:r>
              <w:rPr>
                <w:rFonts w:hint="eastAsia" w:ascii="宋体" w:hAnsi="宋体" w:cs="宋体"/>
                <w:b/>
                <w:bCs/>
                <w:color w:val="auto"/>
                <w:kern w:val="0"/>
                <w:sz w:val="24"/>
                <w:highlight w:val="none"/>
              </w:rPr>
              <w:t>产品名称</w:t>
            </w:r>
          </w:p>
        </w:tc>
        <w:tc>
          <w:tcPr>
            <w:tcW w:w="1757"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jc w:val="center"/>
              <w:rPr>
                <w:rFonts w:ascii="宋体" w:hAnsi="宋体" w:cs="宋体"/>
                <w:b/>
                <w:bCs/>
                <w:color w:val="auto"/>
                <w:sz w:val="24"/>
                <w:highlight w:val="none"/>
              </w:rPr>
            </w:pPr>
            <w:r>
              <w:rPr>
                <w:rFonts w:hint="eastAsia" w:ascii="宋体" w:hAnsi="宋体" w:cs="宋体"/>
                <w:b/>
                <w:bCs/>
                <w:color w:val="auto"/>
                <w:sz w:val="24"/>
                <w:highlight w:val="none"/>
              </w:rPr>
              <w:t>主要技术参数</w:t>
            </w:r>
          </w:p>
        </w:tc>
        <w:tc>
          <w:tcPr>
            <w:tcW w:w="600"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pStyle w:val="20"/>
              <w:wordWrap w:val="0"/>
              <w:spacing w:before="120" w:after="120" w:line="440" w:lineRule="exact"/>
              <w:rPr>
                <w:rFonts w:hAnsi="宋体" w:cs="宋体"/>
                <w:b/>
                <w:bCs/>
                <w:color w:val="auto"/>
                <w:highlight w:val="none"/>
              </w:rPr>
            </w:pPr>
            <w:r>
              <w:rPr>
                <w:rFonts w:hint="eastAsia" w:hAnsi="宋体" w:cs="宋体"/>
                <w:b/>
                <w:bCs/>
                <w:color w:val="auto"/>
                <w:highlight w:val="none"/>
              </w:rPr>
              <w:t>数量</w:t>
            </w:r>
          </w:p>
        </w:tc>
        <w:tc>
          <w:tcPr>
            <w:tcW w:w="1140"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jc w:val="center"/>
              <w:rPr>
                <w:rFonts w:ascii="宋体" w:hAnsi="宋体" w:cs="宋体"/>
                <w:b/>
                <w:bCs/>
                <w:color w:val="auto"/>
                <w:sz w:val="24"/>
                <w:highlight w:val="none"/>
              </w:rPr>
            </w:pPr>
            <w:r>
              <w:rPr>
                <w:rFonts w:hint="eastAsia" w:ascii="宋体" w:hAnsi="宋体" w:cs="宋体"/>
                <w:b/>
                <w:bCs/>
                <w:color w:val="auto"/>
                <w:kern w:val="0"/>
                <w:sz w:val="24"/>
                <w:highlight w:val="none"/>
              </w:rPr>
              <w:t>产品名称</w:t>
            </w:r>
          </w:p>
        </w:tc>
        <w:tc>
          <w:tcPr>
            <w:tcW w:w="1995"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jc w:val="center"/>
              <w:rPr>
                <w:rFonts w:ascii="宋体" w:hAnsi="宋体" w:cs="宋体"/>
                <w:b/>
                <w:bCs/>
                <w:color w:val="auto"/>
                <w:sz w:val="24"/>
                <w:highlight w:val="none"/>
              </w:rPr>
            </w:pPr>
            <w:r>
              <w:rPr>
                <w:rFonts w:hint="eastAsia" w:ascii="宋体" w:hAnsi="宋体" w:cs="宋体"/>
                <w:b/>
                <w:bCs/>
                <w:color w:val="auto"/>
                <w:sz w:val="24"/>
                <w:highlight w:val="none"/>
              </w:rPr>
              <w:t>品牌</w:t>
            </w:r>
            <w:r>
              <w:rPr>
                <w:rFonts w:hint="eastAsia" w:ascii="宋体" w:hAnsi="宋体" w:cs="宋体"/>
                <w:b/>
                <w:bCs/>
                <w:color w:val="auto"/>
                <w:sz w:val="24"/>
                <w:highlight w:val="none"/>
                <w:lang w:eastAsia="zh-CN"/>
              </w:rPr>
              <w:t>（如有）</w:t>
            </w:r>
            <w:r>
              <w:rPr>
                <w:rFonts w:hint="eastAsia" w:ascii="宋体" w:hAnsi="宋体" w:cs="宋体"/>
                <w:b/>
                <w:bCs/>
                <w:color w:val="auto"/>
                <w:sz w:val="24"/>
                <w:highlight w:val="none"/>
              </w:rPr>
              <w:t>及型号</w:t>
            </w:r>
          </w:p>
        </w:tc>
        <w:tc>
          <w:tcPr>
            <w:tcW w:w="2040"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jc w:val="center"/>
              <w:rPr>
                <w:rFonts w:ascii="宋体" w:hAnsi="宋体" w:cs="宋体"/>
                <w:b/>
                <w:bCs/>
                <w:color w:val="auto"/>
                <w:sz w:val="24"/>
                <w:highlight w:val="none"/>
              </w:rPr>
            </w:pPr>
            <w:r>
              <w:rPr>
                <w:rFonts w:hint="eastAsia" w:ascii="宋体" w:hAnsi="宋体" w:cs="宋体"/>
                <w:b/>
                <w:bCs/>
                <w:color w:val="auto"/>
                <w:sz w:val="24"/>
                <w:highlight w:val="none"/>
              </w:rPr>
              <w:t>主要技术参数</w:t>
            </w:r>
          </w:p>
        </w:tc>
        <w:tc>
          <w:tcPr>
            <w:tcW w:w="1050" w:type="dxa"/>
            <w:tcBorders>
              <w:top w:val="single" w:color="auto" w:sz="4" w:space="0"/>
              <w:left w:val="single" w:color="auto" w:sz="4" w:space="0"/>
              <w:bottom w:val="single" w:color="auto" w:sz="4" w:space="0"/>
              <w:right w:val="single" w:color="auto" w:sz="4" w:space="0"/>
            </w:tcBorders>
            <w:shd w:val="clear" w:color="auto" w:fill="EEECE1"/>
            <w:noWrap w:val="0"/>
            <w:vAlign w:val="center"/>
          </w:tcPr>
          <w:p>
            <w:pPr>
              <w:wordWrap w:val="0"/>
              <w:spacing w:line="440" w:lineRule="exact"/>
              <w:jc w:val="center"/>
              <w:rPr>
                <w:rFonts w:ascii="宋体" w:hAnsi="宋体" w:cs="宋体"/>
                <w:b/>
                <w:bCs/>
                <w:color w:val="auto"/>
                <w:sz w:val="24"/>
                <w:highlight w:val="none"/>
              </w:rPr>
            </w:pPr>
            <w:r>
              <w:rPr>
                <w:rFonts w:hint="eastAsia" w:ascii="宋体" w:hAnsi="宋体" w:cs="宋体"/>
                <w:b/>
                <w:bCs/>
                <w:color w:val="auto"/>
                <w:sz w:val="24"/>
                <w:highlight w:val="none"/>
              </w:rPr>
              <w:t>数量</w:t>
            </w:r>
          </w:p>
        </w:tc>
        <w:tc>
          <w:tcPr>
            <w:tcW w:w="780" w:type="dxa"/>
            <w:vMerge w:val="continue"/>
            <w:tcBorders>
              <w:top w:val="single" w:color="auto" w:sz="4" w:space="0"/>
              <w:left w:val="single" w:color="auto" w:sz="4" w:space="0"/>
              <w:bottom w:val="single" w:color="auto" w:sz="4" w:space="0"/>
              <w:right w:val="single" w:color="auto" w:sz="4" w:space="0"/>
            </w:tcBorders>
            <w:noWrap w:val="0"/>
            <w:vAlign w:val="center"/>
          </w:tcPr>
          <w:p>
            <w:pPr>
              <w:wordWrap w:val="0"/>
              <w:spacing w:line="440" w:lineRule="exact"/>
              <w:ind w:firstLine="480"/>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75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60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995"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75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60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995"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75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60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995"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p>
        </w:tc>
        <w:tc>
          <w:tcPr>
            <w:tcW w:w="1757" w:type="dxa"/>
            <w:tcBorders>
              <w:top w:val="single" w:color="auto" w:sz="4" w:space="0"/>
              <w:left w:val="single" w:color="auto" w:sz="4" w:space="0"/>
              <w:bottom w:val="single" w:color="auto" w:sz="4" w:space="0"/>
              <w:right w:val="single" w:color="auto" w:sz="4" w:space="0"/>
            </w:tcBorders>
            <w:noWrap w:val="0"/>
            <w:vAlign w:val="center"/>
          </w:tcPr>
          <w:p>
            <w:pPr>
              <w:pStyle w:val="33"/>
              <w:ind w:firstLine="210"/>
              <w:rPr>
                <w:rFonts w:hAnsi="宋体" w:cs="宋体"/>
                <w:color w:val="auto"/>
                <w:highlight w:val="none"/>
              </w:rPr>
            </w:pPr>
          </w:p>
        </w:tc>
        <w:tc>
          <w:tcPr>
            <w:tcW w:w="60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995"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63"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w:t>
            </w:r>
          </w:p>
        </w:tc>
        <w:tc>
          <w:tcPr>
            <w:tcW w:w="115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ascii="宋体" w:hAnsi="宋体" w:cs="宋体"/>
                <w:color w:val="auto"/>
                <w:sz w:val="24"/>
                <w:highlight w:val="none"/>
              </w:rPr>
            </w:pPr>
            <w:r>
              <w:rPr>
                <w:rFonts w:hint="eastAsia" w:ascii="宋体" w:hAnsi="宋体" w:cs="宋体"/>
                <w:color w:val="auto"/>
                <w:sz w:val="24"/>
                <w:highlight w:val="none"/>
              </w:rPr>
              <w:t>.....</w:t>
            </w:r>
          </w:p>
        </w:tc>
        <w:tc>
          <w:tcPr>
            <w:tcW w:w="1757" w:type="dxa"/>
            <w:tcBorders>
              <w:top w:val="single" w:color="auto" w:sz="4" w:space="0"/>
              <w:left w:val="single" w:color="auto" w:sz="4" w:space="0"/>
              <w:bottom w:val="single" w:color="auto" w:sz="4" w:space="0"/>
              <w:right w:val="single" w:color="auto" w:sz="4" w:space="0"/>
            </w:tcBorders>
            <w:noWrap w:val="0"/>
            <w:vAlign w:val="center"/>
          </w:tcPr>
          <w:p>
            <w:pPr>
              <w:pStyle w:val="33"/>
              <w:ind w:firstLine="210"/>
              <w:rPr>
                <w:rFonts w:hAnsi="宋体" w:cs="宋体"/>
                <w:color w:val="auto"/>
                <w:highlight w:val="none"/>
              </w:rPr>
            </w:pPr>
          </w:p>
        </w:tc>
        <w:tc>
          <w:tcPr>
            <w:tcW w:w="60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left"/>
              <w:rPr>
                <w:rFonts w:ascii="宋体" w:hAnsi="宋体" w:cs="宋体"/>
                <w:color w:val="auto"/>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995"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204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105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c>
          <w:tcPr>
            <w:tcW w:w="780" w:type="dxa"/>
            <w:tcBorders>
              <w:top w:val="single" w:color="auto" w:sz="4" w:space="0"/>
              <w:left w:val="single" w:color="auto" w:sz="4" w:space="0"/>
              <w:bottom w:val="single" w:color="auto" w:sz="4" w:space="0"/>
              <w:right w:val="single" w:color="auto" w:sz="4" w:space="0"/>
            </w:tcBorders>
            <w:noWrap w:val="0"/>
            <w:vAlign w:val="center"/>
          </w:tcPr>
          <w:p>
            <w:pPr>
              <w:pStyle w:val="20"/>
              <w:wordWrap w:val="0"/>
              <w:spacing w:before="120" w:after="120" w:line="440" w:lineRule="exact"/>
              <w:ind w:firstLine="520"/>
              <w:jc w:val="center"/>
              <w:rPr>
                <w:rFonts w:hAnsi="宋体" w:cs="宋体"/>
                <w:color w:val="auto"/>
                <w:highlight w:val="none"/>
              </w:rPr>
            </w:pPr>
          </w:p>
        </w:tc>
      </w:tr>
    </w:tbl>
    <w:p>
      <w:pPr>
        <w:spacing w:line="360" w:lineRule="auto"/>
        <w:rPr>
          <w:rFonts w:ascii="宋体" w:hAnsi="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olor w:val="auto"/>
          <w:szCs w:val="21"/>
          <w:highlight w:val="none"/>
          <w:lang w:val="en-US" w:eastAsia="zh-CN"/>
        </w:rPr>
      </w:pPr>
      <w:r>
        <w:rPr>
          <w:rFonts w:hint="eastAsia" w:ascii="宋体" w:hAnsi="宋体"/>
          <w:color w:val="auto"/>
          <w:szCs w:val="21"/>
          <w:highlight w:val="none"/>
        </w:rPr>
        <w:t>注：1、投标人应根据投标产品的技术指标、对照招标文件要求一一对应如实填写技术响应表，在“偏离情况”栏注明“正偏离”、“负偏离”或“无偏离”。未在上表中说明的，将被认为完全响应采购文件的规定</w:t>
      </w:r>
      <w:r>
        <w:rPr>
          <w:rFonts w:hint="eastAsia" w:ascii="宋体" w:hAnsi="宋体"/>
          <w:color w:val="auto"/>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zh-CN"/>
        </w:rPr>
        <w:t>如果供应商在技术偏离表中注明无偏离，评标结束后、签订招标合同前又认为其实际产品与投标技术需求不一致的，视为供应商在投标有效期内对其投标文件进行了实质性修改，其投标将被追认为无效。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auto"/>
          <w:szCs w:val="21"/>
          <w:highlight w:val="none"/>
        </w:rPr>
      </w:pPr>
      <w:r>
        <w:rPr>
          <w:rFonts w:hint="eastAsia" w:ascii="宋体" w:hAnsi="宋体"/>
          <w:color w:val="auto"/>
          <w:szCs w:val="21"/>
          <w:highlight w:val="none"/>
        </w:rPr>
        <w:t>3、标“▲”系实质性要求条款，不满足实质性要求条款的投标文件无效。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、上表中行数不够可自行添加。</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auto"/>
          <w:highlight w:val="none"/>
        </w:rPr>
      </w:pPr>
    </w:p>
    <w:p>
      <w:pPr>
        <w:rPr>
          <w:rFonts w:ascii="宋体" w:hAnsi="宋体"/>
          <w:color w:val="auto"/>
          <w:highlight w:val="none"/>
          <w:lang w:val="zh-CN"/>
        </w:rPr>
      </w:pPr>
    </w:p>
    <w:p>
      <w:pPr>
        <w:rPr>
          <w:rFonts w:ascii="宋体" w:hAnsi="宋体"/>
          <w:color w:val="auto"/>
          <w:highlight w:val="none"/>
          <w:lang w:val="zh-CN"/>
        </w:rPr>
      </w:pPr>
    </w:p>
    <w:p>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pPr>
        <w:pStyle w:val="93"/>
        <w:spacing w:line="360" w:lineRule="auto"/>
        <w:ind w:right="480"/>
        <w:rPr>
          <w:rFonts w:hAnsi="宋体" w:eastAsia="宋体"/>
          <w:color w:val="auto"/>
          <w:sz w:val="24"/>
          <w:szCs w:val="24"/>
          <w:highlight w:val="none"/>
        </w:rPr>
      </w:pPr>
      <w:r>
        <w:rPr>
          <w:rFonts w:hint="eastAsia" w:hAnsi="宋体" w:eastAsia="宋体"/>
          <w:color w:val="auto"/>
          <w:sz w:val="24"/>
          <w:szCs w:val="24"/>
          <w:highlight w:val="none"/>
        </w:rPr>
        <w:t>投标人名称（加盖公章）</w:t>
      </w:r>
      <w:r>
        <w:rPr>
          <w:rFonts w:hint="eastAsia" w:hAnsi="宋体" w:eastAsia="宋体"/>
          <w:color w:val="auto"/>
          <w:sz w:val="24"/>
          <w:szCs w:val="24"/>
          <w:highlight w:val="none"/>
          <w:u w:val="single"/>
        </w:rPr>
        <w:t>：</w:t>
      </w:r>
      <w:r>
        <w:rPr>
          <w:rFonts w:hAnsi="宋体" w:eastAsia="宋体"/>
          <w:color w:val="auto"/>
          <w:sz w:val="24"/>
          <w:szCs w:val="24"/>
          <w:highlight w:val="none"/>
          <w:u w:val="single"/>
        </w:rPr>
        <w:t xml:space="preserve">                  </w:t>
      </w:r>
      <w:r>
        <w:rPr>
          <w:rFonts w:hAnsi="宋体" w:eastAsia="宋体"/>
          <w:color w:val="auto"/>
          <w:sz w:val="24"/>
          <w:szCs w:val="24"/>
          <w:highlight w:val="none"/>
        </w:rPr>
        <w:t xml:space="preserve">        </w:t>
      </w:r>
      <w:r>
        <w:rPr>
          <w:rFonts w:hint="eastAsia" w:hAnsi="宋体" w:eastAsia="宋体"/>
          <w:color w:val="auto"/>
          <w:sz w:val="24"/>
          <w:szCs w:val="24"/>
          <w:highlight w:val="none"/>
        </w:rPr>
        <w:t xml:space="preserve">    </w:t>
      </w:r>
    </w:p>
    <w:p>
      <w:pPr>
        <w:spacing w:line="360" w:lineRule="auto"/>
        <w:rPr>
          <w:b/>
          <w:color w:val="auto"/>
          <w:sz w:val="24"/>
          <w:highlight w:val="none"/>
        </w:rPr>
      </w:pPr>
      <w:r>
        <w:rPr>
          <w:rFonts w:hint="eastAsia" w:hAnsi="宋体" w:eastAsia="宋体" w:cs="宋体"/>
          <w:color w:val="auto"/>
          <w:sz w:val="24"/>
          <w:szCs w:val="24"/>
          <w:highlight w:val="none"/>
        </w:rPr>
        <w:t>日期：_____年____月____日</w:t>
      </w:r>
    </w:p>
    <w:p>
      <w:pPr>
        <w:pStyle w:val="93"/>
        <w:spacing w:line="360" w:lineRule="auto"/>
        <w:rPr>
          <w:rFonts w:hAnsi="宋体" w:eastAsia="宋体"/>
          <w:b/>
          <w:color w:val="auto"/>
          <w:sz w:val="24"/>
          <w:szCs w:val="24"/>
          <w:highlight w:val="none"/>
        </w:rPr>
      </w:pPr>
    </w:p>
    <w:p>
      <w:pPr>
        <w:pStyle w:val="84"/>
        <w:spacing w:line="276" w:lineRule="auto"/>
        <w:jc w:val="both"/>
        <w:rPr>
          <w:rFonts w:hint="eastAsia" w:hAnsi="宋体" w:eastAsia="宋体" w:cs="宋体"/>
          <w:b/>
          <w:color w:val="auto"/>
          <w:sz w:val="28"/>
          <w:szCs w:val="28"/>
          <w:highlight w:val="none"/>
        </w:rPr>
      </w:pPr>
    </w:p>
    <w:p>
      <w:pPr>
        <w:pStyle w:val="84"/>
        <w:spacing w:line="276" w:lineRule="auto"/>
        <w:jc w:val="center"/>
        <w:rPr>
          <w:rFonts w:hAnsi="宋体" w:eastAsia="宋体" w:cs="宋体"/>
          <w:b/>
          <w:color w:val="auto"/>
          <w:sz w:val="28"/>
          <w:szCs w:val="28"/>
          <w:highlight w:val="none"/>
        </w:rPr>
      </w:pPr>
      <w:r>
        <w:rPr>
          <w:rFonts w:hint="eastAsia" w:hAnsi="宋体" w:eastAsia="宋体" w:cs="宋体"/>
          <w:b/>
          <w:color w:val="auto"/>
          <w:sz w:val="28"/>
          <w:szCs w:val="28"/>
          <w:highlight w:val="none"/>
        </w:rPr>
        <w:t>商务响应（偏离）表</w:t>
      </w:r>
    </w:p>
    <w:tbl>
      <w:tblPr>
        <w:tblStyle w:val="35"/>
        <w:tblpPr w:leftFromText="180" w:rightFromText="180" w:vertAnchor="text" w:horzAnchor="page" w:tblpX="1587" w:tblpY="325"/>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10"/>
        <w:gridCol w:w="3086"/>
        <w:gridCol w:w="3086"/>
        <w:gridCol w:w="210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6" w:hRule="atLeast"/>
        </w:trPr>
        <w:tc>
          <w:tcPr>
            <w:tcW w:w="910" w:type="dxa"/>
            <w:tcBorders>
              <w:tl2br w:val="nil"/>
              <w:tr2bl w:val="nil"/>
            </w:tcBorders>
            <w:noWrap w:val="0"/>
            <w:vAlign w:val="top"/>
          </w:tcPr>
          <w:p>
            <w:pPr>
              <w:spacing w:before="240" w:after="240"/>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086" w:type="dxa"/>
            <w:tcBorders>
              <w:tl2br w:val="nil"/>
              <w:tr2bl w:val="nil"/>
            </w:tcBorders>
            <w:noWrap w:val="0"/>
            <w:vAlign w:val="top"/>
          </w:tcPr>
          <w:p>
            <w:pPr>
              <w:spacing w:before="240" w:after="240"/>
              <w:jc w:val="center"/>
              <w:rPr>
                <w:rFonts w:ascii="宋体" w:hAnsi="宋体" w:cs="宋体"/>
                <w:b/>
                <w:bCs/>
                <w:color w:val="auto"/>
                <w:sz w:val="24"/>
                <w:highlight w:val="none"/>
              </w:rPr>
            </w:pPr>
            <w:r>
              <w:rPr>
                <w:rFonts w:hint="eastAsia" w:ascii="宋体" w:hAnsi="宋体" w:cs="宋体"/>
                <w:b/>
                <w:bCs/>
                <w:color w:val="auto"/>
                <w:sz w:val="24"/>
                <w:highlight w:val="none"/>
              </w:rPr>
              <w:t>采购文件的规定</w:t>
            </w:r>
          </w:p>
        </w:tc>
        <w:tc>
          <w:tcPr>
            <w:tcW w:w="3086" w:type="dxa"/>
            <w:tcBorders>
              <w:tl2br w:val="nil"/>
              <w:tr2bl w:val="nil"/>
            </w:tcBorders>
            <w:noWrap w:val="0"/>
            <w:vAlign w:val="top"/>
          </w:tcPr>
          <w:p>
            <w:pPr>
              <w:spacing w:before="240" w:after="240"/>
              <w:jc w:val="center"/>
              <w:rPr>
                <w:rFonts w:ascii="宋体" w:hAnsi="宋体" w:cs="宋体"/>
                <w:b/>
                <w:bCs/>
                <w:color w:val="auto"/>
                <w:sz w:val="24"/>
                <w:highlight w:val="none"/>
              </w:rPr>
            </w:pPr>
            <w:r>
              <w:rPr>
                <w:rFonts w:hint="eastAsia" w:ascii="宋体" w:hAnsi="宋体" w:cs="宋体"/>
                <w:b/>
                <w:bCs/>
                <w:color w:val="auto"/>
                <w:sz w:val="24"/>
                <w:highlight w:val="none"/>
              </w:rPr>
              <w:t>投标文件的响应</w:t>
            </w:r>
          </w:p>
        </w:tc>
        <w:tc>
          <w:tcPr>
            <w:tcW w:w="2107" w:type="dxa"/>
            <w:tcBorders>
              <w:tl2br w:val="nil"/>
              <w:tr2bl w:val="nil"/>
            </w:tcBorders>
            <w:noWrap w:val="0"/>
            <w:vAlign w:val="top"/>
          </w:tcPr>
          <w:p>
            <w:pPr>
              <w:spacing w:before="240" w:after="240"/>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0" w:hRule="atLeast"/>
        </w:trPr>
        <w:tc>
          <w:tcPr>
            <w:tcW w:w="910" w:type="dxa"/>
            <w:tcBorders>
              <w:tl2br w:val="nil"/>
              <w:tr2bl w:val="nil"/>
            </w:tcBorders>
            <w:noWrap w:val="0"/>
            <w:vAlign w:val="top"/>
          </w:tcPr>
          <w:p>
            <w:pPr>
              <w:spacing w:before="120" w:beforeLines="50" w:after="120" w:afterLines="50" w:line="276"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3086" w:type="dxa"/>
            <w:tcBorders>
              <w:tl2br w:val="nil"/>
              <w:tr2bl w:val="nil"/>
            </w:tcBorders>
            <w:noWrap w:val="0"/>
            <w:vAlign w:val="center"/>
          </w:tcPr>
          <w:p>
            <w:pPr>
              <w:spacing w:before="120" w:beforeLines="50" w:after="120" w:afterLines="50" w:line="300" w:lineRule="auto"/>
              <w:jc w:val="center"/>
              <w:rPr>
                <w:rFonts w:ascii="宋体" w:hAnsi="宋体" w:cs="宋体"/>
                <w:color w:val="auto"/>
                <w:sz w:val="24"/>
                <w:highlight w:val="none"/>
              </w:rPr>
            </w:pPr>
          </w:p>
        </w:tc>
        <w:tc>
          <w:tcPr>
            <w:tcW w:w="3086"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c>
          <w:tcPr>
            <w:tcW w:w="2107"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0" w:hRule="atLeast"/>
        </w:trPr>
        <w:tc>
          <w:tcPr>
            <w:tcW w:w="910" w:type="dxa"/>
            <w:tcBorders>
              <w:tl2br w:val="nil"/>
              <w:tr2bl w:val="nil"/>
            </w:tcBorders>
            <w:noWrap w:val="0"/>
            <w:vAlign w:val="top"/>
          </w:tcPr>
          <w:p>
            <w:pPr>
              <w:spacing w:before="120" w:beforeLines="50" w:after="120" w:afterLines="50" w:line="276"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3086" w:type="dxa"/>
            <w:tcBorders>
              <w:tl2br w:val="nil"/>
              <w:tr2bl w:val="nil"/>
            </w:tcBorders>
            <w:noWrap w:val="0"/>
            <w:vAlign w:val="center"/>
          </w:tcPr>
          <w:p>
            <w:pPr>
              <w:spacing w:before="120" w:beforeLines="50" w:after="120" w:afterLines="50" w:line="300" w:lineRule="auto"/>
              <w:jc w:val="center"/>
              <w:rPr>
                <w:rFonts w:ascii="宋体" w:hAnsi="宋体" w:cs="宋体"/>
                <w:color w:val="auto"/>
                <w:sz w:val="24"/>
                <w:highlight w:val="none"/>
              </w:rPr>
            </w:pPr>
          </w:p>
        </w:tc>
        <w:tc>
          <w:tcPr>
            <w:tcW w:w="3086"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c>
          <w:tcPr>
            <w:tcW w:w="2107"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910"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c>
          <w:tcPr>
            <w:tcW w:w="3086"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c>
          <w:tcPr>
            <w:tcW w:w="3086"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c>
          <w:tcPr>
            <w:tcW w:w="2107" w:type="dxa"/>
            <w:tcBorders>
              <w:tl2br w:val="nil"/>
              <w:tr2bl w:val="nil"/>
            </w:tcBorders>
            <w:noWrap w:val="0"/>
            <w:vAlign w:val="top"/>
          </w:tcPr>
          <w:p>
            <w:pPr>
              <w:spacing w:before="120" w:beforeLines="50" w:after="120" w:afterLines="50" w:line="276" w:lineRule="auto"/>
              <w:ind w:firstLine="480"/>
              <w:rPr>
                <w:rFonts w:ascii="宋体" w:hAnsi="宋体" w:cs="宋体"/>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910" w:type="dxa"/>
            <w:tcBorders>
              <w:tl2br w:val="nil"/>
              <w:tr2bl w:val="nil"/>
            </w:tcBorders>
            <w:noWrap w:val="0"/>
            <w:vAlign w:val="center"/>
          </w:tcPr>
          <w:p>
            <w:pPr>
              <w:spacing w:before="120" w:beforeLines="50" w:after="120" w:afterLines="50" w:line="276"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3086" w:type="dxa"/>
            <w:tcBorders>
              <w:tl2br w:val="nil"/>
              <w:tr2bl w:val="nil"/>
            </w:tcBorders>
            <w:noWrap w:val="0"/>
            <w:vAlign w:val="center"/>
          </w:tcPr>
          <w:p>
            <w:pPr>
              <w:spacing w:before="120" w:beforeLines="50" w:after="120" w:afterLines="50"/>
              <w:jc w:val="center"/>
              <w:rPr>
                <w:rFonts w:ascii="宋体" w:hAnsi="宋体" w:cs="宋体"/>
                <w:color w:val="auto"/>
                <w:highlight w:val="none"/>
              </w:rPr>
            </w:pPr>
            <w:r>
              <w:rPr>
                <w:rFonts w:hint="eastAsia" w:ascii="宋体" w:hAnsi="宋体" w:cs="宋体"/>
                <w:color w:val="auto"/>
                <w:sz w:val="24"/>
                <w:highlight w:val="none"/>
              </w:rPr>
              <w:t>…</w:t>
            </w:r>
          </w:p>
        </w:tc>
        <w:tc>
          <w:tcPr>
            <w:tcW w:w="3086" w:type="dxa"/>
            <w:tcBorders>
              <w:tl2br w:val="nil"/>
              <w:tr2bl w:val="nil"/>
            </w:tcBorders>
            <w:noWrap w:val="0"/>
            <w:vAlign w:val="center"/>
          </w:tcPr>
          <w:p>
            <w:pPr>
              <w:spacing w:before="120" w:beforeLines="50" w:after="120" w:afterLines="50"/>
              <w:jc w:val="center"/>
              <w:rPr>
                <w:rFonts w:ascii="宋体" w:hAnsi="宋体" w:cs="宋体"/>
                <w:color w:val="auto"/>
                <w:highlight w:val="none"/>
              </w:rPr>
            </w:pPr>
            <w:r>
              <w:rPr>
                <w:rFonts w:hint="eastAsia" w:ascii="宋体" w:hAnsi="宋体" w:cs="宋体"/>
                <w:color w:val="auto"/>
                <w:sz w:val="24"/>
                <w:highlight w:val="none"/>
              </w:rPr>
              <w:t>…</w:t>
            </w:r>
          </w:p>
        </w:tc>
        <w:tc>
          <w:tcPr>
            <w:tcW w:w="2107" w:type="dxa"/>
            <w:tcBorders>
              <w:tl2br w:val="nil"/>
              <w:tr2bl w:val="nil"/>
            </w:tcBorders>
            <w:noWrap w:val="0"/>
            <w:vAlign w:val="center"/>
          </w:tcPr>
          <w:p>
            <w:pPr>
              <w:spacing w:before="120" w:beforeLines="50" w:after="120" w:afterLines="50"/>
              <w:jc w:val="center"/>
              <w:rPr>
                <w:rFonts w:ascii="宋体" w:hAnsi="宋体" w:cs="宋体"/>
                <w:color w:val="auto"/>
                <w:highlight w:val="none"/>
              </w:rPr>
            </w:pPr>
            <w:r>
              <w:rPr>
                <w:rFonts w:hint="eastAsia" w:ascii="宋体" w:hAnsi="宋体" w:cs="宋体"/>
                <w:color w:val="auto"/>
                <w:sz w:val="24"/>
                <w:highlight w:val="none"/>
              </w:rPr>
              <w:t>…</w:t>
            </w:r>
          </w:p>
        </w:tc>
      </w:tr>
    </w:tbl>
    <w:p>
      <w:pPr>
        <w:spacing w:line="360" w:lineRule="auto"/>
        <w:ind w:firstLine="482"/>
        <w:rPr>
          <w:rFonts w:ascii="宋体" w:hAnsi="宋体" w:cs="宋体"/>
          <w:b/>
          <w:color w:val="auto"/>
          <w:sz w:val="24"/>
          <w:highlight w:val="none"/>
        </w:rPr>
      </w:pPr>
      <w:r>
        <w:rPr>
          <w:rFonts w:hint="eastAsia" w:ascii="宋体" w:hAnsi="宋体" w:cs="宋体"/>
          <w:b/>
          <w:color w:val="auto"/>
          <w:sz w:val="24"/>
          <w:highlight w:val="none"/>
        </w:rPr>
        <w:t>注：1、供应商的响应文件（除技术规格部分）与采购文件之规定存在偏离的，应在此表中如实说明。未在上表中说明的，将被认为完全响应采购文件的规定。</w:t>
      </w:r>
    </w:p>
    <w:p>
      <w:pPr>
        <w:numPr>
          <w:ilvl w:val="0"/>
          <w:numId w:val="36"/>
        </w:numPr>
        <w:snapToGrid w:val="0"/>
        <w:spacing w:before="120" w:beforeLines="50" w:after="50" w:line="360" w:lineRule="auto"/>
        <w:rPr>
          <w:rFonts w:ascii="宋体" w:hAnsi="宋体" w:cs="宋体"/>
          <w:b/>
          <w:color w:val="auto"/>
          <w:sz w:val="24"/>
          <w:highlight w:val="none"/>
        </w:rPr>
      </w:pPr>
      <w:r>
        <w:rPr>
          <w:rFonts w:hint="eastAsia" w:ascii="宋体" w:hAnsi="宋体" w:cs="宋体"/>
          <w:b/>
          <w:color w:val="auto"/>
          <w:sz w:val="24"/>
          <w:highlight w:val="none"/>
        </w:rPr>
        <w:t>上表中行数不够可自行添加</w:t>
      </w:r>
    </w:p>
    <w:p>
      <w:pPr>
        <w:snapToGrid w:val="0"/>
        <w:spacing w:before="50" w:after="50" w:line="360" w:lineRule="auto"/>
        <w:rPr>
          <w:rFonts w:ascii="宋体" w:hAnsi="宋体"/>
          <w:color w:val="auto"/>
          <w:sz w:val="24"/>
          <w:highlight w:val="none"/>
        </w:rPr>
      </w:pPr>
    </w:p>
    <w:p>
      <w:pPr>
        <w:snapToGrid w:val="0"/>
        <w:spacing w:before="50" w:after="50" w:line="360" w:lineRule="auto"/>
        <w:rPr>
          <w:rFonts w:ascii="宋体" w:hAnsi="宋体"/>
          <w:color w:val="auto"/>
          <w:sz w:val="24"/>
          <w:highlight w:val="none"/>
        </w:rPr>
      </w:pPr>
    </w:p>
    <w:p>
      <w:pPr>
        <w:snapToGrid w:val="0"/>
        <w:spacing w:before="50" w:after="50" w:line="360" w:lineRule="auto"/>
        <w:rPr>
          <w:rFonts w:ascii="宋体" w:hAnsi="宋体"/>
          <w:color w:val="auto"/>
          <w:sz w:val="24"/>
          <w:highlight w:val="none"/>
        </w:rPr>
      </w:pPr>
    </w:p>
    <w:p>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pPr>
        <w:pStyle w:val="84"/>
        <w:spacing w:line="360" w:lineRule="auto"/>
        <w:ind w:right="480"/>
        <w:rPr>
          <w:rFonts w:hAnsi="宋体" w:eastAsia="宋体"/>
          <w:color w:val="auto"/>
          <w:sz w:val="24"/>
          <w:szCs w:val="24"/>
          <w:highlight w:val="none"/>
        </w:rPr>
      </w:pPr>
      <w:r>
        <w:rPr>
          <w:rFonts w:hint="eastAsia" w:hAnsi="宋体" w:eastAsia="宋体"/>
          <w:color w:val="auto"/>
          <w:sz w:val="24"/>
          <w:szCs w:val="24"/>
          <w:highlight w:val="none"/>
        </w:rPr>
        <w:t>投标人名称(公章)</w:t>
      </w:r>
      <w:r>
        <w:rPr>
          <w:rFonts w:hint="eastAsia" w:hAnsi="宋体" w:eastAsia="宋体"/>
          <w:color w:val="auto"/>
          <w:sz w:val="24"/>
          <w:szCs w:val="24"/>
          <w:highlight w:val="none"/>
          <w:u w:val="single"/>
        </w:rPr>
        <w:t>：</w:t>
      </w:r>
      <w:r>
        <w:rPr>
          <w:rFonts w:hAnsi="宋体" w:eastAsia="宋体"/>
          <w:color w:val="auto"/>
          <w:sz w:val="24"/>
          <w:szCs w:val="24"/>
          <w:highlight w:val="none"/>
          <w:u w:val="single"/>
        </w:rPr>
        <w:t xml:space="preserve">                  </w:t>
      </w:r>
      <w:r>
        <w:rPr>
          <w:rFonts w:hAnsi="宋体" w:eastAsia="宋体"/>
          <w:color w:val="auto"/>
          <w:sz w:val="24"/>
          <w:szCs w:val="24"/>
          <w:highlight w:val="none"/>
        </w:rPr>
        <w:t xml:space="preserve">        </w:t>
      </w:r>
      <w:r>
        <w:rPr>
          <w:rFonts w:hint="eastAsia" w:hAnsi="宋体" w:eastAsia="宋体"/>
          <w:color w:val="auto"/>
          <w:sz w:val="24"/>
          <w:szCs w:val="24"/>
          <w:highlight w:val="none"/>
        </w:rPr>
        <w:t xml:space="preserve">    </w:t>
      </w:r>
    </w:p>
    <w:p>
      <w:pPr>
        <w:pStyle w:val="94"/>
        <w:spacing w:line="360" w:lineRule="auto"/>
        <w:jc w:val="left"/>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日期：_____年____月____日</w:t>
      </w:r>
    </w:p>
    <w:p>
      <w:pPr>
        <w:pStyle w:val="94"/>
        <w:spacing w:line="360" w:lineRule="auto"/>
        <w:jc w:val="right"/>
        <w:rPr>
          <w:rFonts w:hint="eastAsia" w:hAnsi="宋体" w:eastAsia="宋体"/>
          <w:sz w:val="24"/>
          <w:szCs w:val="24"/>
          <w:highlight w:val="none"/>
        </w:rPr>
      </w:pPr>
    </w:p>
    <w:p>
      <w:pPr>
        <w:pStyle w:val="68"/>
        <w:numPr>
          <w:ilvl w:val="0"/>
          <w:numId w:val="0"/>
        </w:numPr>
        <w:snapToGrid w:val="0"/>
        <w:ind w:leftChars="0"/>
        <w:rPr>
          <w:rFonts w:hint="eastAsia" w:hAnsi="宋体"/>
          <w:b/>
          <w:highlight w:val="none"/>
          <w:lang w:val="en-US" w:eastAsia="zh-CN"/>
        </w:rPr>
      </w:pPr>
    </w:p>
    <w:p>
      <w:pPr>
        <w:pStyle w:val="68"/>
        <w:numPr>
          <w:ilvl w:val="0"/>
          <w:numId w:val="0"/>
        </w:numPr>
        <w:snapToGrid w:val="0"/>
        <w:ind w:leftChars="0"/>
        <w:rPr>
          <w:rFonts w:hint="eastAsia" w:hAnsi="宋体"/>
          <w:b/>
          <w:highlight w:val="none"/>
          <w:lang w:val="en-US" w:eastAsia="zh-CN"/>
        </w:rPr>
      </w:pPr>
    </w:p>
    <w:p>
      <w:pPr>
        <w:pStyle w:val="68"/>
        <w:numPr>
          <w:ilvl w:val="0"/>
          <w:numId w:val="0"/>
        </w:numPr>
        <w:snapToGrid w:val="0"/>
        <w:ind w:leftChars="0"/>
        <w:rPr>
          <w:rFonts w:hint="eastAsia" w:hAnsi="宋体"/>
          <w:b/>
          <w:highlight w:val="none"/>
          <w:lang w:val="en-US" w:eastAsia="zh-CN"/>
        </w:rPr>
      </w:pPr>
    </w:p>
    <w:p>
      <w:pPr>
        <w:pStyle w:val="94"/>
        <w:spacing w:line="360" w:lineRule="auto"/>
        <w:jc w:val="both"/>
        <w:rPr>
          <w:rFonts w:hint="eastAsia" w:hAnsi="宋体" w:eastAsia="宋体"/>
          <w:sz w:val="24"/>
          <w:szCs w:val="24"/>
          <w:highlight w:val="none"/>
        </w:rPr>
      </w:pPr>
    </w:p>
    <w:p>
      <w:pPr>
        <w:pStyle w:val="94"/>
        <w:spacing w:line="360" w:lineRule="auto"/>
        <w:jc w:val="both"/>
        <w:rPr>
          <w:rFonts w:hAnsi="宋体" w:eastAsia="宋体"/>
          <w:sz w:val="24"/>
          <w:szCs w:val="24"/>
          <w:highlight w:val="none"/>
        </w:rPr>
      </w:pPr>
    </w:p>
    <w:p>
      <w:pPr>
        <w:pStyle w:val="94"/>
        <w:spacing w:line="360" w:lineRule="auto"/>
        <w:jc w:val="both"/>
        <w:rPr>
          <w:rFonts w:hAnsi="宋体" w:eastAsia="宋体"/>
          <w:sz w:val="24"/>
          <w:szCs w:val="24"/>
          <w:highlight w:val="none"/>
        </w:rPr>
      </w:pPr>
    </w:p>
    <w:p>
      <w:pPr>
        <w:pStyle w:val="94"/>
        <w:spacing w:line="360" w:lineRule="auto"/>
        <w:jc w:val="both"/>
        <w:rPr>
          <w:rFonts w:hAnsi="宋体" w:eastAsia="宋体"/>
          <w:sz w:val="24"/>
          <w:szCs w:val="24"/>
          <w:highlight w:val="none"/>
        </w:rPr>
      </w:pPr>
    </w:p>
    <w:p>
      <w:pPr>
        <w:pStyle w:val="94"/>
        <w:spacing w:line="360" w:lineRule="auto"/>
        <w:jc w:val="both"/>
        <w:rPr>
          <w:rFonts w:hAnsi="宋体" w:eastAsia="宋体"/>
          <w:sz w:val="24"/>
          <w:szCs w:val="24"/>
          <w:highlight w:val="none"/>
        </w:rPr>
      </w:pPr>
    </w:p>
    <w:p>
      <w:pPr>
        <w:pStyle w:val="68"/>
        <w:numPr>
          <w:ilvl w:val="0"/>
          <w:numId w:val="31"/>
        </w:numPr>
        <w:snapToGrid w:val="0"/>
        <w:ind w:firstLineChars="0"/>
        <w:jc w:val="center"/>
        <w:outlineLvl w:val="2"/>
        <w:rPr>
          <w:rFonts w:hint="eastAsia" w:ascii="宋体" w:hAnsi="宋体"/>
          <w:b/>
          <w:sz w:val="28"/>
          <w:szCs w:val="28"/>
          <w:highlight w:val="none"/>
        </w:rPr>
      </w:pPr>
      <w:r>
        <w:rPr>
          <w:rFonts w:hint="eastAsia"/>
          <w:b/>
          <w:sz w:val="28"/>
          <w:szCs w:val="28"/>
          <w:highlight w:val="none"/>
          <w:lang w:eastAsia="zh-CN"/>
        </w:rPr>
        <w:t>报价</w:t>
      </w:r>
      <w:r>
        <w:rPr>
          <w:rFonts w:hint="eastAsia"/>
          <w:b/>
          <w:sz w:val="28"/>
          <w:szCs w:val="28"/>
          <w:highlight w:val="none"/>
        </w:rPr>
        <w:t>文件格式</w:t>
      </w:r>
    </w:p>
    <w:p>
      <w:pPr>
        <w:snapToGrid w:val="0"/>
        <w:spacing w:before="120" w:beforeLines="50" w:after="50"/>
        <w:ind w:left="840"/>
        <w:rPr>
          <w:rFonts w:hint="eastAsia"/>
          <w:highlight w:val="none"/>
        </w:rPr>
      </w:pPr>
    </w:p>
    <w:p>
      <w:pPr>
        <w:spacing w:line="360" w:lineRule="auto"/>
        <w:rPr>
          <w:rFonts w:hint="eastAsia"/>
          <w:highlight w:val="none"/>
        </w:rPr>
      </w:pPr>
    </w:p>
    <w:p>
      <w:pPr>
        <w:snapToGrid w:val="0"/>
        <w:spacing w:line="360" w:lineRule="auto"/>
        <w:ind w:firstLine="645"/>
        <w:jc w:val="center"/>
        <w:rPr>
          <w:rFonts w:hint="eastAsia" w:ascii="宋体" w:hAnsi="宋体"/>
          <w:highlight w:val="none"/>
        </w:rPr>
      </w:pPr>
    </w:p>
    <w:p>
      <w:pPr>
        <w:pStyle w:val="68"/>
        <w:numPr>
          <w:ilvl w:val="0"/>
          <w:numId w:val="37"/>
        </w:numPr>
        <w:snapToGrid w:val="0"/>
        <w:ind w:firstLineChars="0"/>
        <w:rPr>
          <w:rFonts w:ascii="宋体" w:hAnsi="宋体"/>
          <w:szCs w:val="20"/>
          <w:highlight w:val="none"/>
        </w:rPr>
      </w:pPr>
      <w:r>
        <w:rPr>
          <w:rFonts w:hint="eastAsia" w:ascii="宋体" w:hAnsi="宋体"/>
          <w:b/>
          <w:highlight w:val="none"/>
        </w:rPr>
        <w:t>报价文件封面格式：</w:t>
      </w:r>
      <w:r>
        <w:rPr>
          <w:rFonts w:ascii="宋体" w:hAnsi="宋体"/>
          <w:b/>
          <w:highlight w:val="none"/>
        </w:rPr>
        <w:t xml:space="preserve"> </w:t>
      </w:r>
    </w:p>
    <w:p>
      <w:pPr>
        <w:snapToGrid w:val="0"/>
        <w:spacing w:line="360" w:lineRule="auto"/>
        <w:rPr>
          <w:rFonts w:hint="eastAsia" w:ascii="宋体" w:hAnsi="宋体"/>
          <w:b/>
          <w:bCs/>
          <w:highlight w:val="none"/>
        </w:rPr>
      </w:pPr>
      <w:r>
        <w:rPr>
          <w:rFonts w:ascii="宋体" w:hAnsi="宋体"/>
          <w:highlight w:val="none"/>
        </w:rPr>
        <w:t xml:space="preserve">                                                   </w:t>
      </w:r>
    </w:p>
    <w:p>
      <w:pPr>
        <w:snapToGrid w:val="0"/>
        <w:spacing w:line="360" w:lineRule="auto"/>
        <w:jc w:val="center"/>
        <w:rPr>
          <w:rFonts w:ascii="宋体" w:hAnsi="宋体"/>
          <w:b/>
          <w:bCs/>
          <w:sz w:val="32"/>
          <w:szCs w:val="32"/>
          <w:highlight w:val="none"/>
        </w:rPr>
      </w:pPr>
      <w:r>
        <w:rPr>
          <w:rFonts w:hint="eastAsia" w:ascii="宋体" w:hAnsi="宋体"/>
          <w:b/>
          <w:bCs/>
          <w:sz w:val="32"/>
          <w:szCs w:val="32"/>
          <w:highlight w:val="none"/>
        </w:rPr>
        <w:t>报  价</w:t>
      </w:r>
      <w:r>
        <w:rPr>
          <w:rFonts w:ascii="宋体" w:hAnsi="宋体"/>
          <w:b/>
          <w:bCs/>
          <w:sz w:val="32"/>
          <w:szCs w:val="32"/>
          <w:highlight w:val="none"/>
        </w:rPr>
        <w:t xml:space="preserve"> </w:t>
      </w:r>
      <w:r>
        <w:rPr>
          <w:rFonts w:hint="eastAsia" w:ascii="宋体" w:hAnsi="宋体"/>
          <w:b/>
          <w:bCs/>
          <w:sz w:val="32"/>
          <w:szCs w:val="32"/>
          <w:highlight w:val="none"/>
        </w:rPr>
        <w:t>文</w:t>
      </w:r>
      <w:r>
        <w:rPr>
          <w:rFonts w:ascii="宋体" w:hAnsi="宋体"/>
          <w:b/>
          <w:bCs/>
          <w:sz w:val="32"/>
          <w:szCs w:val="32"/>
          <w:highlight w:val="none"/>
        </w:rPr>
        <w:t xml:space="preserve"> </w:t>
      </w:r>
      <w:r>
        <w:rPr>
          <w:rFonts w:hint="eastAsia" w:ascii="宋体" w:hAnsi="宋体"/>
          <w:b/>
          <w:bCs/>
          <w:sz w:val="32"/>
          <w:szCs w:val="32"/>
          <w:highlight w:val="none"/>
        </w:rPr>
        <w:t>件</w:t>
      </w:r>
    </w:p>
    <w:p>
      <w:pPr>
        <w:snapToGrid w:val="0"/>
        <w:spacing w:line="360" w:lineRule="auto"/>
        <w:ind w:firstLine="1068" w:firstLineChars="445"/>
        <w:rPr>
          <w:rFonts w:hint="eastAsia" w:ascii="宋体" w:hAnsi="宋体"/>
          <w:bCs/>
          <w:highlight w:val="none"/>
        </w:rPr>
      </w:pPr>
      <w:r>
        <w:rPr>
          <w:rFonts w:hint="eastAsia" w:ascii="宋体" w:hAnsi="宋体"/>
          <w:bCs/>
          <w:highlight w:val="none"/>
        </w:rPr>
        <w:t>项目名称：</w:t>
      </w:r>
    </w:p>
    <w:p>
      <w:pPr>
        <w:snapToGrid w:val="0"/>
        <w:spacing w:line="360" w:lineRule="auto"/>
        <w:ind w:firstLine="1068" w:firstLineChars="445"/>
        <w:rPr>
          <w:rFonts w:ascii="宋体" w:hAnsi="宋体"/>
          <w:bCs/>
          <w:szCs w:val="20"/>
          <w:highlight w:val="none"/>
        </w:rPr>
      </w:pPr>
      <w:r>
        <w:rPr>
          <w:rFonts w:hint="eastAsia" w:ascii="宋体" w:hAnsi="宋体"/>
          <w:bCs/>
          <w:szCs w:val="20"/>
          <w:highlight w:val="none"/>
        </w:rPr>
        <w:t>标项名称：</w:t>
      </w:r>
    </w:p>
    <w:p>
      <w:pPr>
        <w:snapToGrid w:val="0"/>
        <w:spacing w:line="360" w:lineRule="auto"/>
        <w:ind w:firstLine="1068" w:firstLineChars="445"/>
        <w:rPr>
          <w:rFonts w:hint="eastAsia" w:ascii="宋体" w:hAnsi="宋体"/>
          <w:bCs/>
          <w:highlight w:val="none"/>
        </w:rPr>
      </w:pPr>
      <w:r>
        <w:rPr>
          <w:rFonts w:hint="eastAsia" w:ascii="宋体" w:hAnsi="宋体"/>
          <w:bCs/>
          <w:highlight w:val="none"/>
        </w:rPr>
        <w:t>项目编号：</w:t>
      </w:r>
      <w:r>
        <w:rPr>
          <w:rFonts w:ascii="宋体" w:hAnsi="宋体"/>
          <w:bCs/>
          <w:highlight w:val="none"/>
        </w:rPr>
        <w:t xml:space="preserve"> </w:t>
      </w:r>
    </w:p>
    <w:p>
      <w:pPr>
        <w:pStyle w:val="5"/>
        <w:snapToGrid w:val="0"/>
        <w:spacing w:line="360" w:lineRule="auto"/>
        <w:ind w:firstLine="1068" w:firstLineChars="445"/>
        <w:rPr>
          <w:rFonts w:ascii="宋体" w:hAnsi="宋体"/>
          <w:bCs/>
          <w:sz w:val="24"/>
          <w:highlight w:val="none"/>
        </w:rPr>
      </w:pPr>
      <w:r>
        <w:rPr>
          <w:rFonts w:hint="eastAsia" w:ascii="宋体" w:hAnsi="宋体"/>
          <w:bCs/>
          <w:sz w:val="24"/>
          <w:highlight w:val="none"/>
        </w:rPr>
        <w:t>供应商名称：</w:t>
      </w:r>
    </w:p>
    <w:p>
      <w:pPr>
        <w:pStyle w:val="5"/>
        <w:snapToGrid w:val="0"/>
        <w:spacing w:line="360" w:lineRule="auto"/>
        <w:ind w:firstLine="1068" w:firstLineChars="445"/>
        <w:rPr>
          <w:rFonts w:ascii="宋体" w:hAnsi="宋体"/>
          <w:bCs/>
          <w:sz w:val="24"/>
          <w:highlight w:val="none"/>
        </w:rPr>
      </w:pPr>
      <w:r>
        <w:rPr>
          <w:rFonts w:hint="eastAsia" w:ascii="宋体" w:hAnsi="宋体"/>
          <w:bCs/>
          <w:sz w:val="24"/>
          <w:highlight w:val="none"/>
        </w:rPr>
        <w:t>供应商地址：</w:t>
      </w:r>
    </w:p>
    <w:p>
      <w:pPr>
        <w:snapToGrid w:val="0"/>
        <w:spacing w:line="360" w:lineRule="auto"/>
        <w:ind w:firstLine="645"/>
        <w:jc w:val="center"/>
        <w:rPr>
          <w:rFonts w:ascii="宋体" w:hAnsi="宋体"/>
          <w:highlight w:val="none"/>
        </w:rPr>
      </w:pPr>
      <w:r>
        <w:rPr>
          <w:rFonts w:ascii="宋体" w:hAnsi="宋体"/>
          <w:highlight w:val="none"/>
        </w:rPr>
        <w:t xml:space="preserve">                        </w:t>
      </w:r>
      <w:r>
        <w:rPr>
          <w:rFonts w:hint="eastAsia" w:ascii="宋体" w:hAnsi="宋体"/>
          <w:highlight w:val="none"/>
        </w:rPr>
        <w:t xml:space="preserve">                       年</w:t>
      </w:r>
      <w:r>
        <w:rPr>
          <w:rFonts w:ascii="宋体" w:hAnsi="宋体"/>
          <w:highlight w:val="none"/>
        </w:rPr>
        <w:t xml:space="preserve">  </w:t>
      </w:r>
      <w:r>
        <w:rPr>
          <w:rFonts w:hint="eastAsia" w:ascii="宋体" w:hAnsi="宋体"/>
          <w:highlight w:val="none"/>
        </w:rPr>
        <w:t>月</w:t>
      </w:r>
      <w:r>
        <w:rPr>
          <w:rFonts w:ascii="宋体" w:hAnsi="宋体"/>
          <w:highlight w:val="none"/>
        </w:rPr>
        <w:t xml:space="preserve">  </w:t>
      </w:r>
      <w:r>
        <w:rPr>
          <w:rFonts w:hint="eastAsia" w:ascii="宋体" w:hAnsi="宋体"/>
          <w:highlight w:val="none"/>
        </w:rPr>
        <w:t>日</w:t>
      </w:r>
    </w:p>
    <w:p>
      <w:pPr>
        <w:pStyle w:val="68"/>
        <w:numPr>
          <w:ilvl w:val="0"/>
          <w:numId w:val="38"/>
        </w:numPr>
        <w:snapToGrid w:val="0"/>
        <w:ind w:firstLineChars="0"/>
        <w:rPr>
          <w:rFonts w:hAnsi="宋体"/>
          <w:b/>
          <w:highlight w:val="none"/>
        </w:rPr>
      </w:pPr>
      <w:r>
        <w:rPr>
          <w:b/>
          <w:highlight w:val="none"/>
        </w:rPr>
        <w:br w:type="page"/>
      </w:r>
      <w:bookmarkEnd w:id="63"/>
      <w:r>
        <w:rPr>
          <w:rFonts w:hint="eastAsia" w:hAnsi="宋体"/>
          <w:b/>
          <w:highlight w:val="none"/>
        </w:rPr>
        <w:t>开标一览表格式</w:t>
      </w:r>
    </w:p>
    <w:p>
      <w:pPr>
        <w:snapToGrid w:val="0"/>
        <w:spacing w:before="50" w:after="50"/>
        <w:jc w:val="center"/>
        <w:rPr>
          <w:rFonts w:hint="eastAsia" w:ascii="宋体" w:hAnsi="宋体"/>
          <w:b/>
          <w:highlight w:val="none"/>
        </w:rPr>
      </w:pPr>
      <w:r>
        <w:rPr>
          <w:rFonts w:hint="eastAsia" w:ascii="宋体" w:hAnsi="宋体"/>
          <w:b/>
          <w:highlight w:val="none"/>
        </w:rPr>
        <w:t>开标一览表</w:t>
      </w:r>
    </w:p>
    <w:p>
      <w:pPr>
        <w:snapToGrid w:val="0"/>
        <w:spacing w:before="50" w:after="50"/>
        <w:jc w:val="center"/>
        <w:rPr>
          <w:rFonts w:hint="eastAsia" w:ascii="宋体" w:hAnsi="宋体"/>
          <w:b/>
          <w:highlight w:val="none"/>
        </w:rPr>
      </w:pPr>
    </w:p>
    <w:p>
      <w:pPr>
        <w:spacing w:line="380" w:lineRule="exact"/>
        <w:jc w:val="left"/>
        <w:rPr>
          <w:rFonts w:hint="default" w:ascii="宋体" w:hAnsi="宋体" w:eastAsia="宋体"/>
          <w:highlight w:val="none"/>
          <w:lang w:val="en-US" w:eastAsia="zh-CN"/>
        </w:rPr>
      </w:pPr>
      <w:r>
        <w:rPr>
          <w:rFonts w:hint="eastAsia" w:ascii="宋体" w:hAnsi="宋体"/>
          <w:highlight w:val="none"/>
        </w:rPr>
        <w:t>采购编号：</w:t>
      </w:r>
      <w:r>
        <w:rPr>
          <w:rFonts w:hint="eastAsia" w:ascii="宋体" w:hAnsi="宋体"/>
          <w:highlight w:val="none"/>
          <w:lang w:eastAsia="zh-CN"/>
        </w:rPr>
        <w:t>ZJXD2023007(J)</w:t>
      </w:r>
      <w:r>
        <w:rPr>
          <w:rFonts w:hint="eastAsia" w:ascii="宋体" w:hAnsi="宋体"/>
          <w:highlight w:val="none"/>
          <w:lang w:val="en-US" w:eastAsia="zh-CN"/>
        </w:rPr>
        <w:t xml:space="preserve">                         </w:t>
      </w:r>
      <w:r>
        <w:rPr>
          <w:rFonts w:hint="eastAsia" w:hAnsi="宋体" w:eastAsia="宋体"/>
          <w:sz w:val="24"/>
          <w:szCs w:val="24"/>
          <w:highlight w:val="none"/>
        </w:rPr>
        <w:t>金额</w:t>
      </w:r>
      <w:r>
        <w:rPr>
          <w:rFonts w:hint="eastAsia" w:ascii="宋体" w:hAnsi="宋体" w:cs="宋体"/>
          <w:sz w:val="24"/>
          <w:highlight w:val="none"/>
        </w:rPr>
        <w:t>单位：</w:t>
      </w:r>
      <w:r>
        <w:rPr>
          <w:rFonts w:hint="eastAsia" w:ascii="宋体" w:hAnsi="宋体"/>
          <w:sz w:val="24"/>
          <w:highlight w:val="none"/>
        </w:rPr>
        <w:t>人民币</w:t>
      </w:r>
      <w:r>
        <w:rPr>
          <w:rFonts w:hint="eastAsia" w:ascii="宋体" w:hAnsi="宋体" w:cs="宋体"/>
          <w:sz w:val="24"/>
          <w:highlight w:val="none"/>
        </w:rPr>
        <w:t>元</w:t>
      </w:r>
    </w:p>
    <w:p>
      <w:pPr>
        <w:snapToGrid w:val="0"/>
        <w:spacing w:line="360" w:lineRule="auto"/>
        <w:jc w:val="left"/>
        <w:rPr>
          <w:rFonts w:hint="eastAsia" w:ascii="宋体" w:hAnsi="宋体"/>
          <w:szCs w:val="21"/>
          <w:highlight w:val="none"/>
        </w:rPr>
      </w:pPr>
    </w:p>
    <w:tbl>
      <w:tblPr>
        <w:tblStyle w:val="3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88"/>
        <w:gridCol w:w="6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trPr>
        <w:tc>
          <w:tcPr>
            <w:tcW w:w="2088"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00" w:beforeAutospacing="1" w:after="100" w:afterAutospacing="1" w:line="276" w:lineRule="auto"/>
              <w:jc w:val="center"/>
              <w:rPr>
                <w:rFonts w:eastAsia="仿宋_GB2312"/>
                <w:b/>
                <w:szCs w:val="21"/>
                <w:highlight w:val="none"/>
              </w:rPr>
            </w:pPr>
            <w:r>
              <w:rPr>
                <w:rFonts w:hint="eastAsia"/>
                <w:b/>
                <w:szCs w:val="21"/>
                <w:highlight w:val="none"/>
              </w:rPr>
              <w:t>项目名称</w:t>
            </w:r>
          </w:p>
        </w:tc>
        <w:tc>
          <w:tcPr>
            <w:tcW w:w="644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00" w:beforeAutospacing="1" w:after="100" w:afterAutospacing="1" w:line="276" w:lineRule="auto"/>
              <w:jc w:val="center"/>
              <w:rPr>
                <w:rFonts w:hint="eastAsia" w:eastAsia="仿宋_GB2312"/>
                <w:b/>
                <w:szCs w:val="21"/>
                <w:highlight w:val="none"/>
                <w:lang w:eastAsia="zh-CN"/>
              </w:rPr>
            </w:pPr>
            <w:r>
              <w:rPr>
                <w:rFonts w:hint="eastAsia" w:eastAsia="仿宋_GB2312"/>
                <w:b/>
                <w:szCs w:val="21"/>
                <w:highlight w:val="none"/>
                <w:lang w:eastAsia="zh-CN"/>
              </w:rPr>
              <w:t>干窑镇采购“警立方”项目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7" w:hRule="atLeast"/>
        </w:trPr>
        <w:tc>
          <w:tcPr>
            <w:tcW w:w="2088" w:type="dxa"/>
            <w:vMerge w:val="restart"/>
            <w:tcBorders>
              <w:top w:val="single" w:color="auto" w:sz="4" w:space="0"/>
              <w:left w:val="single" w:color="auto" w:sz="4" w:space="0"/>
              <w:right w:val="single" w:color="auto" w:sz="4" w:space="0"/>
            </w:tcBorders>
            <w:noWrap w:val="0"/>
            <w:vAlign w:val="center"/>
          </w:tcPr>
          <w:p>
            <w:pPr>
              <w:snapToGrid w:val="0"/>
              <w:spacing w:before="100" w:beforeAutospacing="1" w:after="100" w:afterAutospacing="1" w:line="276" w:lineRule="auto"/>
              <w:jc w:val="center"/>
              <w:rPr>
                <w:b/>
                <w:szCs w:val="21"/>
                <w:highlight w:val="none"/>
              </w:rPr>
            </w:pPr>
            <w:r>
              <w:rPr>
                <w:rFonts w:hint="eastAsia"/>
                <w:b/>
                <w:szCs w:val="21"/>
                <w:highlight w:val="none"/>
              </w:rPr>
              <w:t xml:space="preserve">磋商报价 </w:t>
            </w:r>
          </w:p>
        </w:tc>
        <w:tc>
          <w:tcPr>
            <w:tcW w:w="644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00" w:beforeAutospacing="1" w:after="100" w:afterAutospacing="1" w:line="276" w:lineRule="auto"/>
              <w:rPr>
                <w:rFonts w:eastAsia="仿宋_GB2312"/>
                <w:szCs w:val="21"/>
                <w:highlight w:val="none"/>
              </w:rPr>
            </w:pPr>
            <w:r>
              <w:rPr>
                <w:rFonts w:hint="eastAsia" w:eastAsia="仿宋_GB2312"/>
                <w:szCs w:val="21"/>
                <w:highlight w:val="none"/>
              </w:rPr>
              <w:t>大写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5" w:hRule="atLeast"/>
        </w:trPr>
        <w:tc>
          <w:tcPr>
            <w:tcW w:w="2088" w:type="dxa"/>
            <w:vMerge w:val="continue"/>
            <w:tcBorders>
              <w:left w:val="single" w:color="auto" w:sz="4" w:space="0"/>
              <w:bottom w:val="single" w:color="auto" w:sz="4" w:space="0"/>
              <w:right w:val="single" w:color="auto" w:sz="4" w:space="0"/>
            </w:tcBorders>
            <w:noWrap w:val="0"/>
            <w:vAlign w:val="center"/>
          </w:tcPr>
          <w:p>
            <w:pPr>
              <w:snapToGrid w:val="0"/>
              <w:spacing w:before="100" w:beforeAutospacing="1" w:after="100" w:afterAutospacing="1" w:line="276" w:lineRule="auto"/>
              <w:jc w:val="center"/>
              <w:rPr>
                <w:b/>
                <w:szCs w:val="21"/>
                <w:highlight w:val="none"/>
              </w:rPr>
            </w:pPr>
          </w:p>
        </w:tc>
        <w:tc>
          <w:tcPr>
            <w:tcW w:w="644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00" w:beforeAutospacing="1" w:after="100" w:afterAutospacing="1" w:line="276" w:lineRule="auto"/>
              <w:rPr>
                <w:rFonts w:eastAsia="仿宋_GB2312"/>
                <w:szCs w:val="21"/>
                <w:highlight w:val="none"/>
              </w:rPr>
            </w:pPr>
            <w:r>
              <w:rPr>
                <w:rFonts w:hint="eastAsia" w:eastAsia="仿宋_GB2312"/>
                <w:szCs w:val="21"/>
                <w:highlight w:val="none"/>
              </w:rPr>
              <w:t>小写</w:t>
            </w:r>
          </w:p>
        </w:tc>
      </w:tr>
    </w:tbl>
    <w:p>
      <w:pPr>
        <w:pStyle w:val="60"/>
        <w:rPr>
          <w:rFonts w:hint="eastAsia"/>
          <w:highlight w:val="none"/>
        </w:rPr>
      </w:pPr>
    </w:p>
    <w:p>
      <w:pPr>
        <w:snapToGrid w:val="0"/>
        <w:spacing w:line="360" w:lineRule="auto"/>
        <w:jc w:val="left"/>
        <w:rPr>
          <w:rFonts w:hint="eastAsia" w:ascii="宋体" w:hAnsi="宋体" w:eastAsia="宋体"/>
          <w:szCs w:val="21"/>
          <w:highlight w:val="none"/>
          <w:lang w:eastAsia="zh-CN"/>
        </w:rPr>
      </w:pPr>
      <w:r>
        <w:rPr>
          <w:rFonts w:hint="eastAsia" w:ascii="宋体" w:hAnsi="宋体"/>
          <w:szCs w:val="21"/>
          <w:highlight w:val="none"/>
        </w:rPr>
        <w:t>注</w:t>
      </w:r>
      <w:r>
        <w:rPr>
          <w:rFonts w:ascii="宋体" w:hAnsi="宋体"/>
          <w:szCs w:val="21"/>
          <w:highlight w:val="none"/>
        </w:rPr>
        <w:t>:</w:t>
      </w:r>
      <w:r>
        <w:rPr>
          <w:rFonts w:hint="eastAsia" w:ascii="宋体" w:hAnsi="宋体"/>
          <w:szCs w:val="21"/>
          <w:highlight w:val="none"/>
        </w:rPr>
        <w:t xml:space="preserve"> </w:t>
      </w:r>
      <w:r>
        <w:rPr>
          <w:rFonts w:hint="eastAsia" w:ascii="宋体" w:hAnsi="宋体"/>
          <w:szCs w:val="21"/>
          <w:highlight w:val="none"/>
          <w:lang w:val="en-US" w:eastAsia="zh-CN"/>
        </w:rPr>
        <w:t>1、</w:t>
      </w:r>
      <w:r>
        <w:rPr>
          <w:rFonts w:hint="eastAsia" w:ascii="宋体" w:hAnsi="宋体"/>
          <w:szCs w:val="21"/>
          <w:highlight w:val="none"/>
        </w:rPr>
        <w:t>报价一经涂改，应在涂改处加盖单位公章或者由法定代表人或被授权人签字或盖章，否则其磋商作无效标处理</w:t>
      </w:r>
      <w:r>
        <w:rPr>
          <w:rFonts w:hint="eastAsia" w:ascii="宋体" w:hAnsi="宋体"/>
          <w:szCs w:val="21"/>
          <w:highlight w:val="none"/>
          <w:lang w:eastAsia="zh-CN"/>
        </w:rPr>
        <w:t>。</w:t>
      </w:r>
    </w:p>
    <w:p>
      <w:pPr>
        <w:snapToGrid w:val="0"/>
        <w:spacing w:line="360" w:lineRule="auto"/>
        <w:jc w:val="left"/>
        <w:rPr>
          <w:rFonts w:ascii="宋体" w:hAnsi="宋体"/>
          <w:szCs w:val="21"/>
          <w:highlight w:val="none"/>
        </w:rPr>
      </w:pPr>
      <w:r>
        <w:rPr>
          <w:rFonts w:hint="eastAsia" w:ascii="宋体" w:hAnsi="宋体"/>
          <w:szCs w:val="21"/>
          <w:highlight w:val="none"/>
        </w:rPr>
        <w:t>2、本页后附投标报价明细表。</w:t>
      </w:r>
    </w:p>
    <w:p>
      <w:pPr>
        <w:snapToGrid w:val="0"/>
        <w:spacing w:line="480" w:lineRule="exact"/>
        <w:ind w:left="-25" w:leftChars="-72" w:right="-934" w:rightChars="-389" w:hanging="148" w:hangingChars="62"/>
        <w:rPr>
          <w:rFonts w:hint="eastAsia" w:ascii="宋体" w:hAnsi="宋体"/>
          <w:szCs w:val="21"/>
          <w:highlight w:val="none"/>
        </w:rPr>
      </w:pPr>
    </w:p>
    <w:p>
      <w:pPr>
        <w:snapToGrid w:val="0"/>
        <w:spacing w:before="120" w:beforeLines="50" w:line="400" w:lineRule="exact"/>
        <w:ind w:firstLine="200"/>
        <w:rPr>
          <w:rFonts w:ascii="宋体" w:hAnsi="宋体"/>
          <w:szCs w:val="20"/>
          <w:highlight w:val="none"/>
          <w:u w:val="single"/>
        </w:rPr>
      </w:pPr>
      <w:r>
        <w:rPr>
          <w:rFonts w:hint="eastAsia" w:ascii="宋体" w:hAnsi="宋体"/>
          <w:highlight w:val="none"/>
        </w:rPr>
        <w:t>法定代表人或被授权人签字（或盖章）：</w:t>
      </w:r>
      <w:r>
        <w:rPr>
          <w:rFonts w:ascii="宋体" w:hAnsi="宋体"/>
          <w:highlight w:val="none"/>
          <w:u w:val="single"/>
        </w:rPr>
        <w:t xml:space="preserve">             </w:t>
      </w:r>
    </w:p>
    <w:p>
      <w:pPr>
        <w:snapToGrid w:val="0"/>
        <w:spacing w:before="120" w:beforeLines="50" w:after="50" w:line="400" w:lineRule="exact"/>
        <w:ind w:firstLine="240" w:firstLineChars="100"/>
        <w:rPr>
          <w:rFonts w:ascii="宋体" w:hAnsi="宋体"/>
          <w:highlight w:val="none"/>
        </w:rPr>
      </w:pPr>
      <w:r>
        <w:rPr>
          <w:rFonts w:hint="eastAsia" w:ascii="宋体" w:hAnsi="宋体"/>
          <w:bCs/>
          <w:highlight w:val="none"/>
        </w:rPr>
        <w:t>供应商（盖章）</w:t>
      </w:r>
      <w:r>
        <w:rPr>
          <w:rFonts w:hint="eastAsia" w:ascii="宋体" w:hAnsi="宋体"/>
          <w:highlight w:val="none"/>
        </w:rPr>
        <w:t>：</w:t>
      </w:r>
      <w:r>
        <w:rPr>
          <w:rFonts w:ascii="宋体" w:hAnsi="宋体"/>
          <w:highlight w:val="none"/>
          <w:u w:val="single"/>
        </w:rPr>
        <w:t xml:space="preserve">               </w:t>
      </w:r>
      <w:r>
        <w:rPr>
          <w:rFonts w:ascii="宋体" w:hAnsi="宋体"/>
          <w:highlight w:val="none"/>
        </w:rPr>
        <w:t xml:space="preserve">                      </w:t>
      </w:r>
    </w:p>
    <w:p>
      <w:pPr>
        <w:snapToGrid w:val="0"/>
        <w:spacing w:before="120" w:beforeLines="50" w:after="50" w:line="400" w:lineRule="exact"/>
        <w:ind w:firstLine="240" w:firstLineChars="100"/>
        <w:rPr>
          <w:rFonts w:ascii="宋体" w:hAnsi="宋体"/>
          <w:highlight w:val="none"/>
        </w:rPr>
      </w:pPr>
    </w:p>
    <w:p>
      <w:pPr>
        <w:pStyle w:val="94"/>
        <w:spacing w:line="360" w:lineRule="auto"/>
        <w:jc w:val="right"/>
        <w:rPr>
          <w:rFonts w:hAnsi="宋体" w:eastAsia="宋体"/>
          <w:sz w:val="24"/>
          <w:szCs w:val="24"/>
          <w:highlight w:val="none"/>
        </w:rPr>
      </w:pPr>
      <w:r>
        <w:rPr>
          <w:rFonts w:hint="eastAsia" w:hAnsi="宋体" w:eastAsia="宋体"/>
          <w:sz w:val="24"/>
          <w:szCs w:val="24"/>
          <w:highlight w:val="none"/>
        </w:rPr>
        <w:t>年</w:t>
      </w:r>
      <w:r>
        <w:rPr>
          <w:rFonts w:hAnsi="宋体" w:eastAsia="宋体"/>
          <w:sz w:val="24"/>
          <w:szCs w:val="24"/>
          <w:highlight w:val="none"/>
        </w:rPr>
        <w:t xml:space="preserve">    </w:t>
      </w:r>
      <w:r>
        <w:rPr>
          <w:rFonts w:hint="eastAsia" w:hAnsi="宋体" w:eastAsia="宋体"/>
          <w:sz w:val="24"/>
          <w:szCs w:val="24"/>
          <w:highlight w:val="none"/>
        </w:rPr>
        <w:t>月</w:t>
      </w:r>
      <w:r>
        <w:rPr>
          <w:rFonts w:hAnsi="宋体" w:eastAsia="宋体"/>
          <w:sz w:val="24"/>
          <w:szCs w:val="24"/>
          <w:highlight w:val="none"/>
        </w:rPr>
        <w:t xml:space="preserve">    </w:t>
      </w:r>
      <w:r>
        <w:rPr>
          <w:rFonts w:hint="eastAsia" w:hAnsi="宋体" w:eastAsia="宋体"/>
          <w:sz w:val="24"/>
          <w:szCs w:val="24"/>
          <w:highlight w:val="none"/>
        </w:rPr>
        <w:t>日</w:t>
      </w:r>
    </w:p>
    <w:p>
      <w:pPr>
        <w:pStyle w:val="68"/>
        <w:numPr>
          <w:ilvl w:val="0"/>
          <w:numId w:val="38"/>
        </w:numPr>
        <w:snapToGrid w:val="0"/>
        <w:ind w:firstLineChars="0"/>
        <w:rPr>
          <w:rFonts w:hint="eastAsia" w:hAnsi="宋体"/>
          <w:b/>
          <w:highlight w:val="none"/>
        </w:rPr>
      </w:pPr>
      <w:r>
        <w:rPr>
          <w:highlight w:val="none"/>
        </w:rPr>
        <w:br w:type="page"/>
      </w:r>
      <w:r>
        <w:rPr>
          <w:rFonts w:hint="eastAsia" w:hAnsi="宋体"/>
          <w:b/>
          <w:highlight w:val="none"/>
        </w:rPr>
        <w:t>投标报价明细表格式</w:t>
      </w:r>
    </w:p>
    <w:p>
      <w:pPr>
        <w:pStyle w:val="84"/>
        <w:spacing w:after="120"/>
        <w:ind w:firstLine="360"/>
        <w:jc w:val="center"/>
        <w:rPr>
          <w:rFonts w:hint="eastAsia" w:hAnsi="宋体" w:eastAsia="宋体"/>
          <w:sz w:val="24"/>
          <w:szCs w:val="24"/>
          <w:highlight w:val="none"/>
        </w:rPr>
      </w:pPr>
      <w:r>
        <w:rPr>
          <w:rFonts w:hint="eastAsia" w:hAnsi="宋体" w:eastAsia="宋体"/>
          <w:b/>
          <w:sz w:val="28"/>
          <w:szCs w:val="28"/>
          <w:highlight w:val="none"/>
        </w:rPr>
        <w:t>投标报价明细表</w:t>
      </w:r>
    </w:p>
    <w:p>
      <w:pPr>
        <w:snapToGrid w:val="0"/>
        <w:spacing w:before="120" w:after="120"/>
        <w:rPr>
          <w:color w:val="auto"/>
          <w:sz w:val="24"/>
          <w:szCs w:val="24"/>
          <w:highlight w:val="none"/>
          <w:lang w:val="en-US"/>
        </w:rPr>
      </w:pPr>
      <w:r>
        <w:rPr>
          <w:rFonts w:hint="eastAsia" w:ascii="宋体" w:hAnsi="宋体"/>
          <w:color w:val="auto"/>
          <w:sz w:val="24"/>
          <w:highlight w:val="none"/>
        </w:rPr>
        <w:t>项目名称：</w:t>
      </w:r>
      <w:r>
        <w:rPr>
          <w:rFonts w:hint="eastAsia" w:ascii="宋体" w:hAnsi="宋体"/>
          <w:color w:val="auto"/>
          <w:sz w:val="24"/>
          <w:highlight w:val="none"/>
          <w:u w:val="single"/>
        </w:rPr>
        <w:t xml:space="preserve">                 </w:t>
      </w:r>
      <w:r>
        <w:rPr>
          <w:rFonts w:hint="eastAsia" w:ascii="宋体" w:hAnsi="宋体"/>
          <w:bCs/>
          <w:color w:val="auto"/>
          <w:sz w:val="24"/>
          <w:highlight w:val="none"/>
        </w:rPr>
        <w:t xml:space="preserve">                            单位：人民币元</w:t>
      </w:r>
    </w:p>
    <w:tbl>
      <w:tblPr>
        <w:tblStyle w:val="35"/>
        <w:tblW w:w="8984" w:type="dxa"/>
        <w:tblInd w:w="-13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75"/>
        <w:gridCol w:w="1562"/>
        <w:gridCol w:w="1100"/>
        <w:gridCol w:w="1087"/>
        <w:gridCol w:w="1230"/>
        <w:gridCol w:w="1577"/>
        <w:gridCol w:w="17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2" w:hRule="atLeast"/>
        </w:trPr>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序号</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货物名称</w:t>
            </w:r>
          </w:p>
        </w:tc>
        <w:tc>
          <w:tcPr>
            <w:tcW w:w="11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品牌(如有)</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规格</w:t>
            </w:r>
          </w:p>
        </w:tc>
        <w:tc>
          <w:tcPr>
            <w:tcW w:w="12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数量（单位）</w:t>
            </w:r>
          </w:p>
        </w:tc>
        <w:tc>
          <w:tcPr>
            <w:tcW w:w="157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单价（元）</w:t>
            </w:r>
          </w:p>
        </w:tc>
        <w:tc>
          <w:tcPr>
            <w:tcW w:w="1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合价（元）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10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08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highlight w:val="none"/>
                <w:u w:val="none"/>
              </w:rPr>
            </w:pPr>
          </w:p>
        </w:tc>
        <w:tc>
          <w:tcPr>
            <w:tcW w:w="157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75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10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08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highlight w:val="none"/>
                <w:u w:val="none"/>
              </w:rPr>
            </w:pPr>
          </w:p>
        </w:tc>
        <w:tc>
          <w:tcPr>
            <w:tcW w:w="157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75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10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08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highlight w:val="none"/>
                <w:u w:val="none"/>
              </w:rPr>
            </w:pPr>
          </w:p>
        </w:tc>
        <w:tc>
          <w:tcPr>
            <w:tcW w:w="157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75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10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08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highlight w:val="none"/>
                <w:u w:val="none"/>
              </w:rPr>
            </w:pPr>
          </w:p>
        </w:tc>
        <w:tc>
          <w:tcPr>
            <w:tcW w:w="157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75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p>
        </w:tc>
        <w:tc>
          <w:tcPr>
            <w:tcW w:w="110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08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2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2"/>
                <w:szCs w:val="22"/>
                <w:highlight w:val="none"/>
                <w:u w:val="none"/>
              </w:rPr>
            </w:pPr>
          </w:p>
        </w:tc>
        <w:tc>
          <w:tcPr>
            <w:tcW w:w="1577"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c>
          <w:tcPr>
            <w:tcW w:w="1753"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2"/>
                <w:szCs w:val="22"/>
                <w:highlight w:val="none"/>
                <w:u w:val="none"/>
              </w:rPr>
            </w:pPr>
          </w:p>
        </w:tc>
      </w:tr>
    </w:tbl>
    <w:p>
      <w:pPr>
        <w:rPr>
          <w:rFonts w:hint="eastAsia" w:ascii="宋体" w:hAnsi="宋体" w:cs="宋体"/>
          <w:color w:val="auto"/>
          <w:kern w:val="0"/>
          <w:sz w:val="24"/>
          <w:highlight w:val="none"/>
        </w:rPr>
      </w:pPr>
    </w:p>
    <w:p>
      <w:pPr>
        <w:rPr>
          <w:rFonts w:hint="eastAsia" w:ascii="宋体" w:hAnsi="宋体" w:cs="宋体"/>
          <w:color w:val="auto"/>
          <w:kern w:val="0"/>
          <w:sz w:val="24"/>
          <w:highlight w:val="none"/>
        </w:rPr>
      </w:pPr>
    </w:p>
    <w:p>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注：</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上表中行数不够可自行添加</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表格</w:t>
      </w:r>
      <w:r>
        <w:rPr>
          <w:rFonts w:hint="eastAsia" w:ascii="宋体" w:hAnsi="宋体" w:cs="宋体"/>
          <w:color w:val="auto"/>
          <w:kern w:val="0"/>
          <w:sz w:val="24"/>
          <w:highlight w:val="none"/>
          <w:lang w:eastAsia="zh-CN"/>
        </w:rPr>
        <w:t>为多页的，每页均需加盖投标人公章。</w:t>
      </w:r>
    </w:p>
    <w:p>
      <w:pPr>
        <w:pStyle w:val="138"/>
        <w:keepNext w:val="0"/>
        <w:keepLines w:val="0"/>
        <w:pageBreakBefore w:val="0"/>
        <w:widowControl w:val="0"/>
        <w:kinsoku/>
        <w:wordWrap/>
        <w:overflowPunct/>
        <w:topLinePunct w:val="0"/>
        <w:autoSpaceDE/>
        <w:autoSpaceDN/>
        <w:bidi w:val="0"/>
        <w:adjustRightInd w:val="0"/>
        <w:spacing w:line="360" w:lineRule="auto"/>
        <w:ind w:left="0" w:leftChars="0" w:firstLine="0" w:firstLineChars="0"/>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w:t>
      </w:r>
      <w:r>
        <w:rPr>
          <w:rFonts w:hint="eastAsia" w:ascii="宋体" w:hAnsi="宋体" w:eastAsia="宋体" w:cs="宋体"/>
          <w:b/>
          <w:bCs/>
          <w:color w:val="auto"/>
          <w:kern w:val="0"/>
          <w:sz w:val="24"/>
          <w:szCs w:val="24"/>
          <w:highlight w:val="none"/>
          <w:lang w:val="en-US" w:eastAsia="zh-CN" w:bidi="ar-SA"/>
        </w:rPr>
        <w:t>根据采购文件第二章</w:t>
      </w:r>
      <w:r>
        <w:rPr>
          <w:rFonts w:hint="eastAsia" w:eastAsia="宋体" w:cs="宋体"/>
          <w:b/>
          <w:bCs/>
          <w:color w:val="auto"/>
          <w:kern w:val="0"/>
          <w:sz w:val="24"/>
          <w:szCs w:val="24"/>
          <w:highlight w:val="none"/>
          <w:lang w:val="en-US" w:eastAsia="zh-CN" w:bidi="ar-SA"/>
        </w:rPr>
        <w:t>磋商项目需求</w:t>
      </w:r>
      <w:r>
        <w:rPr>
          <w:rFonts w:hint="eastAsia" w:ascii="宋体" w:hAnsi="宋体" w:eastAsia="宋体" w:cs="宋体"/>
          <w:b/>
          <w:bCs/>
          <w:color w:val="auto"/>
          <w:kern w:val="0"/>
          <w:sz w:val="24"/>
          <w:szCs w:val="24"/>
          <w:highlight w:val="none"/>
          <w:lang w:val="en-US" w:eastAsia="zh-CN" w:bidi="ar-SA"/>
        </w:rPr>
        <w:t>中采购清单进行编制，漏报的视同已包含在投标总价内。有重大缺项的将作无效标处理</w:t>
      </w:r>
      <w:r>
        <w:rPr>
          <w:rFonts w:hint="eastAsia" w:ascii="宋体" w:hAnsi="宋体" w:eastAsia="宋体" w:cs="宋体"/>
          <w:color w:val="auto"/>
          <w:kern w:val="0"/>
          <w:sz w:val="24"/>
          <w:szCs w:val="24"/>
          <w:highlight w:val="none"/>
          <w:lang w:val="en-US" w:eastAsia="zh-CN" w:bidi="ar-SA"/>
        </w:rPr>
        <w:t>。</w:t>
      </w:r>
    </w:p>
    <w:p>
      <w:pPr>
        <w:keepNext w:val="0"/>
        <w:keepLines w:val="0"/>
        <w:pageBreakBefore w:val="0"/>
        <w:widowControl w:val="0"/>
        <w:kinsoku/>
        <w:wordWrap/>
        <w:overflowPunct/>
        <w:topLinePunct w:val="0"/>
        <w:autoSpaceDE/>
        <w:autoSpaceDN/>
        <w:bidi w:val="0"/>
        <w:adjustRightInd w:val="0"/>
        <w:snapToGrid w:val="0"/>
        <w:spacing w:before="50" w:after="50" w:line="360" w:lineRule="auto"/>
        <w:textAlignment w:val="auto"/>
        <w:rPr>
          <w:rFonts w:hint="eastAsia" w:ascii="宋体" w:hAnsi="宋体"/>
          <w:color w:val="auto"/>
          <w:sz w:val="24"/>
          <w:highlight w:val="none"/>
        </w:rPr>
      </w:pPr>
      <w:r>
        <w:rPr>
          <w:rFonts w:hint="eastAsia" w:ascii="宋体" w:hAnsi="宋体"/>
          <w:color w:val="auto"/>
          <w:sz w:val="24"/>
          <w:highlight w:val="none"/>
        </w:rPr>
        <w:t>3</w:t>
      </w:r>
      <w:r>
        <w:rPr>
          <w:rFonts w:hint="eastAsia" w:ascii="宋体" w:hAnsi="宋体"/>
          <w:color w:val="auto"/>
          <w:sz w:val="24"/>
          <w:highlight w:val="none"/>
          <w:lang w:val="en-US" w:eastAsia="zh-CN"/>
        </w:rPr>
        <w:t>.</w:t>
      </w:r>
      <w:r>
        <w:rPr>
          <w:rFonts w:hint="eastAsia" w:ascii="宋体" w:hAnsi="宋体"/>
          <w:color w:val="auto"/>
          <w:sz w:val="24"/>
          <w:highlight w:val="none"/>
        </w:rPr>
        <w:t>以上报价应与“开标一览表”中的“磋商报价”数相一致</w:t>
      </w:r>
    </w:p>
    <w:p>
      <w:pPr>
        <w:snapToGrid w:val="0"/>
        <w:spacing w:before="50" w:after="50" w:line="360" w:lineRule="auto"/>
        <w:rPr>
          <w:rFonts w:hint="eastAsia" w:ascii="宋体" w:hAnsi="宋体"/>
          <w:color w:val="auto"/>
          <w:sz w:val="24"/>
          <w:highlight w:val="none"/>
        </w:rPr>
      </w:pPr>
    </w:p>
    <w:p>
      <w:pPr>
        <w:snapToGrid w:val="0"/>
        <w:spacing w:before="50" w:after="50" w:line="360" w:lineRule="auto"/>
        <w:rPr>
          <w:rFonts w:ascii="宋体" w:hAnsi="宋体"/>
          <w:color w:val="auto"/>
          <w:spacing w:val="20"/>
          <w:sz w:val="24"/>
          <w:szCs w:val="20"/>
          <w:highlight w:val="none"/>
          <w:u w:val="single"/>
        </w:rPr>
      </w:pPr>
      <w:r>
        <w:rPr>
          <w:rFonts w:hint="eastAsia" w:ascii="宋体" w:hAnsi="宋体"/>
          <w:color w:val="auto"/>
          <w:sz w:val="24"/>
          <w:highlight w:val="none"/>
        </w:rPr>
        <w:t>法定代表人或被授权人（签字或盖章）</w:t>
      </w:r>
      <w:r>
        <w:rPr>
          <w:rFonts w:hint="eastAsia" w:ascii="宋体" w:hAnsi="宋体"/>
          <w:color w:val="auto"/>
          <w:spacing w:val="20"/>
          <w:sz w:val="24"/>
          <w:highlight w:val="none"/>
        </w:rPr>
        <w:t>：</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pPr>
        <w:pStyle w:val="93"/>
        <w:spacing w:line="360" w:lineRule="auto"/>
        <w:ind w:right="480"/>
        <w:rPr>
          <w:rFonts w:hAnsi="宋体" w:eastAsia="宋体"/>
          <w:color w:val="auto"/>
          <w:sz w:val="24"/>
          <w:szCs w:val="24"/>
          <w:highlight w:val="none"/>
        </w:rPr>
      </w:pPr>
      <w:r>
        <w:rPr>
          <w:rFonts w:hint="eastAsia" w:hAnsi="宋体" w:eastAsia="宋体"/>
          <w:color w:val="auto"/>
          <w:sz w:val="24"/>
          <w:szCs w:val="24"/>
          <w:highlight w:val="none"/>
        </w:rPr>
        <w:t>投标人名称（加盖公章）</w:t>
      </w:r>
      <w:r>
        <w:rPr>
          <w:rFonts w:hint="eastAsia" w:hAnsi="宋体" w:eastAsia="宋体"/>
          <w:color w:val="auto"/>
          <w:sz w:val="24"/>
          <w:szCs w:val="24"/>
          <w:highlight w:val="none"/>
          <w:u w:val="single"/>
        </w:rPr>
        <w:t>：</w:t>
      </w:r>
      <w:r>
        <w:rPr>
          <w:rFonts w:hAnsi="宋体" w:eastAsia="宋体"/>
          <w:color w:val="auto"/>
          <w:sz w:val="24"/>
          <w:szCs w:val="24"/>
          <w:highlight w:val="none"/>
          <w:u w:val="single"/>
        </w:rPr>
        <w:t xml:space="preserve">                  </w:t>
      </w:r>
      <w:r>
        <w:rPr>
          <w:rFonts w:hAnsi="宋体" w:eastAsia="宋体"/>
          <w:color w:val="auto"/>
          <w:sz w:val="24"/>
          <w:szCs w:val="24"/>
          <w:highlight w:val="none"/>
        </w:rPr>
        <w:t xml:space="preserve">        </w:t>
      </w:r>
      <w:r>
        <w:rPr>
          <w:rFonts w:hint="eastAsia" w:hAnsi="宋体" w:eastAsia="宋体"/>
          <w:color w:val="auto"/>
          <w:sz w:val="24"/>
          <w:szCs w:val="24"/>
          <w:highlight w:val="none"/>
        </w:rPr>
        <w:t xml:space="preserve">    </w:t>
      </w:r>
    </w:p>
    <w:p>
      <w:pPr>
        <w:rPr>
          <w:rFonts w:hAnsi="宋体" w:cs="宋体"/>
          <w:color w:val="auto"/>
          <w:sz w:val="24"/>
          <w:highlight w:val="none"/>
        </w:rPr>
      </w:pPr>
      <w:r>
        <w:rPr>
          <w:rFonts w:hint="eastAsia" w:hAnsi="宋体" w:cs="宋体"/>
          <w:color w:val="auto"/>
          <w:sz w:val="24"/>
          <w:highlight w:val="none"/>
        </w:rPr>
        <w:t>日期：_____年____月____日</w:t>
      </w:r>
    </w:p>
    <w:p>
      <w:pPr>
        <w:rPr>
          <w:rFonts w:hint="eastAsia"/>
          <w:highlight w:val="none"/>
        </w:rPr>
      </w:pPr>
    </w:p>
    <w:p>
      <w:pPr>
        <w:pStyle w:val="2"/>
        <w:adjustRightInd w:val="0"/>
        <w:snapToGrid w:val="0"/>
        <w:spacing w:before="0" w:after="0" w:line="360" w:lineRule="auto"/>
        <w:rPr>
          <w:rFonts w:hint="eastAsia" w:ascii="黑体" w:eastAsia="黑体"/>
          <w:highlight w:val="none"/>
        </w:rPr>
      </w:pPr>
    </w:p>
    <w:p>
      <w:pPr>
        <w:pStyle w:val="2"/>
        <w:adjustRightInd w:val="0"/>
        <w:snapToGrid w:val="0"/>
        <w:spacing w:before="0" w:after="0" w:line="360" w:lineRule="auto"/>
        <w:jc w:val="center"/>
        <w:rPr>
          <w:rFonts w:hint="eastAsia" w:ascii="黑体" w:eastAsia="黑体"/>
          <w:highlight w:val="none"/>
        </w:rPr>
      </w:pPr>
    </w:p>
    <w:p>
      <w:pPr>
        <w:pStyle w:val="2"/>
        <w:adjustRightInd w:val="0"/>
        <w:snapToGrid w:val="0"/>
        <w:spacing w:before="0" w:after="0" w:line="360" w:lineRule="auto"/>
        <w:jc w:val="center"/>
        <w:rPr>
          <w:rFonts w:ascii="黑体" w:hAnsi="宋体" w:eastAsia="黑体"/>
          <w:b w:val="0"/>
          <w:bCs w:val="0"/>
          <w:sz w:val="36"/>
          <w:highlight w:val="none"/>
        </w:rPr>
      </w:pPr>
      <w:r>
        <w:rPr>
          <w:rFonts w:hint="eastAsia" w:ascii="黑体" w:eastAsia="黑体"/>
          <w:highlight w:val="none"/>
        </w:rPr>
        <w:t>第七章　附件</w:t>
      </w:r>
    </w:p>
    <w:p>
      <w:pPr>
        <w:pStyle w:val="68"/>
        <w:numPr>
          <w:ilvl w:val="0"/>
          <w:numId w:val="39"/>
        </w:numPr>
        <w:ind w:firstLineChars="0"/>
        <w:jc w:val="left"/>
        <w:outlineLvl w:val="1"/>
        <w:rPr>
          <w:highlight w:val="none"/>
        </w:rPr>
      </w:pPr>
      <w:r>
        <w:rPr>
          <w:rFonts w:hint="eastAsia" w:ascii="宋体" w:hAnsi="宋体"/>
          <w:b/>
          <w:highlight w:val="none"/>
        </w:rPr>
        <w:t>招标代理服务收费标准</w:t>
      </w:r>
    </w:p>
    <w:p>
      <w:pPr>
        <w:snapToGrid w:val="0"/>
        <w:spacing w:line="360" w:lineRule="auto"/>
        <w:ind w:firstLine="480" w:firstLineChars="200"/>
        <w:jc w:val="left"/>
        <w:rPr>
          <w:rFonts w:ascii="宋体" w:hAnsi="宋体"/>
          <w:color w:val="0000FF"/>
          <w:sz w:val="24"/>
          <w:highlight w:val="none"/>
        </w:rPr>
      </w:pPr>
      <w:r>
        <w:rPr>
          <w:rFonts w:hint="eastAsia" w:ascii="宋体" w:hAnsi="宋体"/>
          <w:color w:val="0000FF"/>
          <w:sz w:val="24"/>
          <w:highlight w:val="none"/>
        </w:rPr>
        <w:t>1、根据“国家发展和改革委员会办公厅《关于招标代理服务收费有关问题的通知》（发改办价格【2003】857号）”规定，招标代理机构向中标人收取招标代理服务费。</w:t>
      </w:r>
    </w:p>
    <w:p>
      <w:pPr>
        <w:snapToGrid w:val="0"/>
        <w:spacing w:line="360" w:lineRule="auto"/>
        <w:ind w:firstLine="480" w:firstLineChars="200"/>
        <w:jc w:val="left"/>
        <w:rPr>
          <w:rFonts w:ascii="宋体" w:hAnsi="宋体"/>
          <w:color w:val="0000FF"/>
          <w:sz w:val="24"/>
          <w:highlight w:val="none"/>
        </w:rPr>
      </w:pPr>
      <w:r>
        <w:rPr>
          <w:rFonts w:hint="eastAsia" w:ascii="宋体" w:hAnsi="宋体"/>
          <w:color w:val="0000FF"/>
          <w:sz w:val="24"/>
          <w:highlight w:val="none"/>
        </w:rPr>
        <w:t>2、中标人应在收取《中标通知书》时向采购代理机构交纳招标代理服务费，服务费的收费标准按国家计委(计价格[2011]534号)文规定计算:</w:t>
      </w:r>
    </w:p>
    <w:tbl>
      <w:tblPr>
        <w:tblStyle w:val="35"/>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53"/>
        <w:gridCol w:w="215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3" w:hRule="atLeast"/>
          <w:jc w:val="center"/>
        </w:trPr>
        <w:tc>
          <w:tcPr>
            <w:tcW w:w="2153" w:type="dxa"/>
            <w:tcBorders>
              <w:top w:val="double" w:color="auto" w:sz="4" w:space="0"/>
              <w:left w:val="double" w:color="auto" w:sz="4" w:space="0"/>
              <w:bottom w:val="single" w:color="auto" w:sz="6" w:space="0"/>
              <w:right w:val="single" w:color="auto" w:sz="6" w:space="0"/>
            </w:tcBorders>
            <w:shd w:val="clear" w:color="auto" w:fill="D9D9D9"/>
            <w:noWrap w:val="0"/>
            <w:vAlign w:val="center"/>
          </w:tcPr>
          <w:p>
            <w:pPr>
              <w:spacing w:line="360" w:lineRule="auto"/>
              <w:jc w:val="center"/>
              <w:rPr>
                <w:rFonts w:ascii="宋体" w:hAnsi="宋体"/>
                <w:b/>
                <w:color w:val="0000FF"/>
                <w:sz w:val="24"/>
                <w:highlight w:val="none"/>
              </w:rPr>
            </w:pPr>
            <w:r>
              <w:rPr>
                <w:rFonts w:hint="eastAsia" w:ascii="宋体" w:hAnsi="宋体"/>
                <w:b/>
                <w:color w:val="0000FF"/>
                <w:sz w:val="24"/>
                <w:highlight w:val="none"/>
              </w:rPr>
              <w:t>中标金额（万元）</w:t>
            </w:r>
          </w:p>
        </w:tc>
        <w:tc>
          <w:tcPr>
            <w:tcW w:w="2153" w:type="dxa"/>
            <w:tcBorders>
              <w:top w:val="double" w:color="auto" w:sz="4" w:space="0"/>
              <w:left w:val="single" w:color="auto" w:sz="6" w:space="0"/>
              <w:bottom w:val="single" w:color="auto" w:sz="6" w:space="0"/>
              <w:right w:val="double" w:color="auto" w:sz="4" w:space="0"/>
            </w:tcBorders>
            <w:shd w:val="clear" w:color="auto" w:fill="D9D9D9"/>
            <w:noWrap w:val="0"/>
            <w:vAlign w:val="center"/>
          </w:tcPr>
          <w:p>
            <w:pPr>
              <w:spacing w:line="360" w:lineRule="auto"/>
              <w:jc w:val="center"/>
              <w:rPr>
                <w:rFonts w:ascii="宋体" w:hAnsi="宋体"/>
                <w:b/>
                <w:color w:val="0000FF"/>
                <w:sz w:val="24"/>
                <w:highlight w:val="none"/>
              </w:rPr>
            </w:pPr>
            <w:r>
              <w:rPr>
                <w:rFonts w:hint="eastAsia" w:ascii="宋体" w:hAnsi="宋体"/>
                <w:b/>
                <w:color w:val="0000FF"/>
                <w:sz w:val="24"/>
                <w:highlight w:val="none"/>
                <w:lang w:eastAsia="zh-CN"/>
              </w:rPr>
              <w:t>货物</w:t>
            </w:r>
            <w:r>
              <w:rPr>
                <w:rFonts w:hint="eastAsia" w:ascii="宋体" w:hAnsi="宋体"/>
                <w:b/>
                <w:color w:val="0000FF"/>
                <w:sz w:val="24"/>
                <w:highlight w:val="none"/>
              </w:rPr>
              <w:t>招标收费费率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noWrap w:val="0"/>
            <w:vAlign w:val="center"/>
          </w:tcPr>
          <w:p>
            <w:pPr>
              <w:spacing w:line="360" w:lineRule="auto"/>
              <w:jc w:val="center"/>
              <w:rPr>
                <w:rFonts w:ascii="宋体" w:hAnsi="宋体"/>
                <w:b/>
                <w:color w:val="0000FF"/>
                <w:sz w:val="24"/>
                <w:highlight w:val="none"/>
              </w:rPr>
            </w:pPr>
            <w:r>
              <w:rPr>
                <w:rFonts w:hint="eastAsia" w:ascii="宋体" w:hAnsi="宋体"/>
                <w:b/>
                <w:color w:val="0000FF"/>
                <w:sz w:val="24"/>
                <w:highlight w:val="none"/>
              </w:rPr>
              <w:t>100以下</w:t>
            </w:r>
          </w:p>
        </w:tc>
        <w:tc>
          <w:tcPr>
            <w:tcW w:w="2153" w:type="dxa"/>
            <w:tcBorders>
              <w:top w:val="single" w:color="auto" w:sz="6" w:space="0"/>
              <w:left w:val="single" w:color="auto" w:sz="6" w:space="0"/>
              <w:bottom w:val="single" w:color="auto" w:sz="6" w:space="0"/>
              <w:right w:val="double" w:color="auto" w:sz="4" w:space="0"/>
            </w:tcBorders>
            <w:noWrap w:val="0"/>
            <w:vAlign w:val="center"/>
          </w:tcPr>
          <w:p>
            <w:pPr>
              <w:spacing w:line="360" w:lineRule="auto"/>
              <w:jc w:val="center"/>
              <w:rPr>
                <w:rFonts w:ascii="宋体" w:hAnsi="宋体"/>
                <w:b/>
                <w:color w:val="0000FF"/>
                <w:sz w:val="24"/>
                <w:highlight w:val="none"/>
              </w:rPr>
            </w:pPr>
            <w:r>
              <w:rPr>
                <w:rFonts w:hint="eastAsia" w:ascii="宋体" w:hAnsi="宋体"/>
                <w:b/>
                <w:color w:val="0000FF"/>
                <w:sz w:val="24"/>
                <w:highlight w:val="none"/>
              </w:rPr>
              <w:t>1.50%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2153" w:type="dxa"/>
            <w:tcBorders>
              <w:top w:val="single" w:color="auto" w:sz="6" w:space="0"/>
              <w:left w:val="double" w:color="auto" w:sz="4" w:space="0"/>
              <w:bottom w:val="single" w:color="auto" w:sz="6" w:space="0"/>
              <w:right w:val="single" w:color="auto" w:sz="6" w:space="0"/>
            </w:tcBorders>
            <w:noWrap w:val="0"/>
            <w:vAlign w:val="top"/>
          </w:tcPr>
          <w:p>
            <w:pPr>
              <w:snapToGrid w:val="0"/>
              <w:spacing w:before="100" w:beforeAutospacing="1" w:after="100" w:afterAutospacing="1" w:line="276" w:lineRule="auto"/>
              <w:jc w:val="center"/>
              <w:rPr>
                <w:rFonts w:hint="eastAsia" w:ascii="宋体" w:hAnsi="宋体"/>
                <w:b/>
                <w:color w:val="0000FF"/>
                <w:sz w:val="24"/>
                <w:highlight w:val="none"/>
              </w:rPr>
            </w:pPr>
            <w:r>
              <w:rPr>
                <w:rFonts w:hint="eastAsia" w:ascii="宋体" w:hAnsi="宋体" w:cs="宋体"/>
                <w:color w:val="auto"/>
                <w:sz w:val="24"/>
              </w:rPr>
              <w:t>100-500</w:t>
            </w:r>
          </w:p>
        </w:tc>
        <w:tc>
          <w:tcPr>
            <w:tcW w:w="2153" w:type="dxa"/>
            <w:tcBorders>
              <w:top w:val="single" w:color="auto" w:sz="6" w:space="0"/>
              <w:left w:val="single" w:color="auto" w:sz="6" w:space="0"/>
              <w:bottom w:val="single" w:color="auto" w:sz="6" w:space="0"/>
              <w:right w:val="double" w:color="auto" w:sz="4" w:space="0"/>
            </w:tcBorders>
            <w:noWrap w:val="0"/>
            <w:vAlign w:val="top"/>
          </w:tcPr>
          <w:p>
            <w:pPr>
              <w:snapToGrid w:val="0"/>
              <w:spacing w:before="100" w:beforeAutospacing="1" w:after="100" w:afterAutospacing="1" w:line="276" w:lineRule="auto"/>
              <w:jc w:val="center"/>
              <w:rPr>
                <w:rFonts w:hint="eastAsia" w:ascii="宋体" w:hAnsi="宋体"/>
                <w:b/>
                <w:color w:val="0000FF"/>
                <w:sz w:val="24"/>
                <w:highlight w:val="none"/>
              </w:rPr>
            </w:pPr>
            <w:r>
              <w:rPr>
                <w:rFonts w:hint="eastAsia" w:ascii="宋体" w:hAnsi="宋体" w:cs="宋体"/>
                <w:color w:val="auto"/>
                <w:sz w:val="24"/>
                <w:lang w:val="en-US" w:eastAsia="zh-CN"/>
              </w:rPr>
              <w:t>1.1</w:t>
            </w:r>
            <w:r>
              <w:rPr>
                <w:rFonts w:hint="eastAsia" w:ascii="宋体" w:hAnsi="宋体" w:cs="宋体"/>
                <w:color w:val="auto"/>
                <w:sz w:val="24"/>
              </w:rPr>
              <w:t>%</w:t>
            </w:r>
          </w:p>
        </w:tc>
      </w:tr>
    </w:tbl>
    <w:p>
      <w:pPr>
        <w:snapToGrid w:val="0"/>
        <w:spacing w:line="360" w:lineRule="auto"/>
        <w:ind w:firstLine="420"/>
        <w:jc w:val="left"/>
        <w:rPr>
          <w:rFonts w:ascii="宋体" w:hAnsi="宋体"/>
          <w:color w:val="0000FF"/>
          <w:sz w:val="24"/>
          <w:highlight w:val="none"/>
        </w:rPr>
      </w:pPr>
      <w:r>
        <w:rPr>
          <w:rFonts w:hint="eastAsia" w:ascii="宋体" w:hAnsi="宋体"/>
          <w:color w:val="0000FF"/>
          <w:sz w:val="24"/>
          <w:highlight w:val="none"/>
        </w:rPr>
        <w:t>例如：某项目货物类招标代理业务中标金额为</w:t>
      </w:r>
      <w:r>
        <w:rPr>
          <w:rFonts w:hint="eastAsia" w:ascii="宋体" w:hAnsi="宋体"/>
          <w:color w:val="0000FF"/>
          <w:sz w:val="24"/>
          <w:highlight w:val="none"/>
          <w:lang w:val="en-US" w:eastAsia="zh-CN"/>
        </w:rPr>
        <w:t>150</w:t>
      </w:r>
      <w:r>
        <w:rPr>
          <w:rFonts w:hint="eastAsia" w:ascii="宋体" w:hAnsi="宋体"/>
          <w:color w:val="0000FF"/>
          <w:sz w:val="24"/>
          <w:highlight w:val="none"/>
        </w:rPr>
        <w:t>万元，计算中标服务费收费额如下：</w:t>
      </w:r>
    </w:p>
    <w:p>
      <w:pPr>
        <w:snapToGrid w:val="0"/>
        <w:spacing w:line="360" w:lineRule="auto"/>
        <w:ind w:firstLine="960" w:firstLineChars="400"/>
        <w:jc w:val="left"/>
        <w:textAlignment w:val="baseline"/>
        <w:rPr>
          <w:rStyle w:val="142"/>
          <w:rFonts w:ascii="宋体" w:hAnsi="宋体"/>
          <w:color w:val="0000FF"/>
          <w:sz w:val="24"/>
          <w:highlight w:val="none"/>
        </w:rPr>
      </w:pPr>
      <w:r>
        <w:rPr>
          <w:rStyle w:val="142"/>
          <w:rFonts w:hint="eastAsia" w:ascii="宋体" w:hAnsi="宋体"/>
          <w:color w:val="0000FF"/>
          <w:sz w:val="24"/>
          <w:highlight w:val="none"/>
          <w:lang w:val="en-US"/>
        </w:rPr>
        <w:t>100</w:t>
      </w:r>
      <w:r>
        <w:rPr>
          <w:rStyle w:val="142"/>
          <w:rFonts w:hint="eastAsia" w:ascii="宋体" w:hAnsi="宋体"/>
          <w:color w:val="0000FF"/>
          <w:sz w:val="24"/>
          <w:highlight w:val="none"/>
        </w:rPr>
        <w:t>万元×1.5%</w:t>
      </w:r>
      <w:r>
        <w:rPr>
          <w:rStyle w:val="142"/>
          <w:rFonts w:hint="eastAsia" w:ascii="宋体" w:hAnsi="宋体"/>
          <w:color w:val="0000FF"/>
          <w:sz w:val="24"/>
          <w:highlight w:val="none"/>
          <w:lang w:val="en-US"/>
        </w:rPr>
        <w:t>+50</w:t>
      </w:r>
      <w:r>
        <w:rPr>
          <w:rStyle w:val="142"/>
          <w:rFonts w:hint="eastAsia" w:ascii="宋体" w:hAnsi="宋体"/>
          <w:color w:val="0000FF"/>
          <w:sz w:val="24"/>
          <w:highlight w:val="none"/>
        </w:rPr>
        <w:t>万元</w:t>
      </w:r>
      <w:r>
        <w:rPr>
          <w:rStyle w:val="142"/>
          <w:rFonts w:hint="eastAsia" w:ascii="宋体" w:hAnsi="宋体"/>
          <w:color w:val="0000FF"/>
          <w:sz w:val="24"/>
          <w:highlight w:val="none"/>
          <w:lang w:val="en-US"/>
        </w:rPr>
        <w:t>*1.1%</w:t>
      </w:r>
      <w:r>
        <w:rPr>
          <w:rStyle w:val="142"/>
          <w:rFonts w:hint="eastAsia" w:ascii="宋体" w:hAnsi="宋体"/>
          <w:color w:val="0000FF"/>
          <w:sz w:val="24"/>
          <w:highlight w:val="none"/>
        </w:rPr>
        <w:t xml:space="preserve">= </w:t>
      </w:r>
      <w:r>
        <w:rPr>
          <w:rStyle w:val="142"/>
          <w:rFonts w:hint="eastAsia" w:ascii="宋体" w:hAnsi="宋体"/>
          <w:color w:val="0000FF"/>
          <w:sz w:val="24"/>
          <w:highlight w:val="none"/>
          <w:lang w:val="en-US"/>
        </w:rPr>
        <w:t>20500</w:t>
      </w:r>
      <w:r>
        <w:rPr>
          <w:rStyle w:val="142"/>
          <w:rFonts w:hint="eastAsia" w:ascii="宋体" w:hAnsi="宋体"/>
          <w:color w:val="0000FF"/>
          <w:sz w:val="24"/>
          <w:highlight w:val="none"/>
        </w:rPr>
        <w:t>元</w:t>
      </w:r>
    </w:p>
    <w:p>
      <w:pPr>
        <w:snapToGrid w:val="0"/>
        <w:spacing w:line="360" w:lineRule="auto"/>
        <w:ind w:firstLine="600" w:firstLineChars="250"/>
        <w:jc w:val="left"/>
        <w:rPr>
          <w:rFonts w:ascii="宋体" w:hAnsi="宋体"/>
          <w:bCs/>
          <w:color w:val="0000FF"/>
          <w:sz w:val="24"/>
          <w:highlight w:val="none"/>
          <w:lang w:val="zh-CN"/>
        </w:rPr>
      </w:pPr>
      <w:r>
        <w:rPr>
          <w:rFonts w:hint="eastAsia" w:ascii="宋体" w:hAnsi="宋体"/>
          <w:color w:val="0000FF"/>
          <w:sz w:val="24"/>
          <w:highlight w:val="none"/>
        </w:rPr>
        <w:t>3、本项目以货物招标收费标准的</w:t>
      </w:r>
      <w:r>
        <w:rPr>
          <w:rFonts w:hint="eastAsia" w:ascii="宋体" w:hAnsi="宋体"/>
          <w:color w:val="0000FF"/>
          <w:sz w:val="24"/>
          <w:highlight w:val="none"/>
          <w:lang w:val="en-US" w:eastAsia="zh-CN"/>
        </w:rPr>
        <w:t>75</w:t>
      </w:r>
      <w:r>
        <w:rPr>
          <w:rFonts w:hint="eastAsia" w:ascii="宋体" w:hAnsi="宋体"/>
          <w:color w:val="0000FF"/>
          <w:sz w:val="24"/>
          <w:highlight w:val="none"/>
        </w:rPr>
        <w:t>%收取中标服务费</w:t>
      </w:r>
      <w:r>
        <w:rPr>
          <w:rFonts w:hint="eastAsia" w:ascii="宋体" w:hAnsi="宋体"/>
          <w:bCs/>
          <w:color w:val="0000FF"/>
          <w:sz w:val="24"/>
          <w:highlight w:val="none"/>
          <w:lang w:val="zh-CN"/>
        </w:rPr>
        <w:t>。</w:t>
      </w:r>
    </w:p>
    <w:p>
      <w:pPr>
        <w:tabs>
          <w:tab w:val="left" w:pos="1862"/>
        </w:tabs>
        <w:snapToGrid w:val="0"/>
        <w:spacing w:line="360" w:lineRule="auto"/>
        <w:ind w:firstLine="1080" w:firstLineChars="450"/>
        <w:jc w:val="left"/>
        <w:rPr>
          <w:rFonts w:ascii="宋体" w:hAnsi="宋体"/>
          <w:color w:val="0000FF"/>
          <w:sz w:val="24"/>
          <w:highlight w:val="none"/>
        </w:rPr>
      </w:pPr>
      <w:r>
        <w:rPr>
          <w:rFonts w:hint="eastAsia" w:ascii="宋体" w:hAnsi="宋体"/>
          <w:color w:val="0000FF"/>
          <w:sz w:val="24"/>
          <w:highlight w:val="none"/>
        </w:rPr>
        <w:t>计收费 =</w:t>
      </w:r>
      <w:r>
        <w:rPr>
          <w:rFonts w:hint="eastAsia" w:ascii="宋体" w:hAnsi="宋体"/>
          <w:color w:val="0000FF"/>
          <w:sz w:val="24"/>
          <w:highlight w:val="none"/>
          <w:lang w:val="en-US" w:eastAsia="zh-CN"/>
        </w:rPr>
        <w:t xml:space="preserve"> </w:t>
      </w:r>
      <w:r>
        <w:rPr>
          <w:rStyle w:val="142"/>
          <w:rFonts w:hint="eastAsia" w:ascii="宋体" w:hAnsi="宋体"/>
          <w:color w:val="0000FF"/>
          <w:sz w:val="24"/>
          <w:highlight w:val="none"/>
          <w:lang w:val="en-US"/>
        </w:rPr>
        <w:t>20500</w:t>
      </w:r>
      <w:r>
        <w:rPr>
          <w:rFonts w:hint="eastAsia" w:ascii="宋体" w:hAnsi="宋体"/>
          <w:color w:val="0000FF"/>
          <w:sz w:val="24"/>
          <w:highlight w:val="none"/>
        </w:rPr>
        <w:t>元×</w:t>
      </w:r>
      <w:r>
        <w:rPr>
          <w:rFonts w:hint="eastAsia" w:ascii="宋体" w:hAnsi="宋体"/>
          <w:color w:val="0000FF"/>
          <w:sz w:val="24"/>
          <w:highlight w:val="none"/>
          <w:lang w:val="en-US" w:eastAsia="zh-CN"/>
        </w:rPr>
        <w:t>75</w:t>
      </w:r>
      <w:r>
        <w:rPr>
          <w:rFonts w:hint="eastAsia" w:ascii="宋体" w:hAnsi="宋体"/>
          <w:color w:val="0000FF"/>
          <w:sz w:val="24"/>
          <w:highlight w:val="none"/>
        </w:rPr>
        <w:t xml:space="preserve">%= </w:t>
      </w:r>
      <w:r>
        <w:rPr>
          <w:rFonts w:hint="eastAsia" w:ascii="宋体" w:hAnsi="宋体"/>
          <w:color w:val="0000FF"/>
          <w:sz w:val="24"/>
          <w:highlight w:val="none"/>
          <w:lang w:val="en-US" w:eastAsia="zh-CN"/>
        </w:rPr>
        <w:t>15375</w:t>
      </w:r>
      <w:r>
        <w:rPr>
          <w:rFonts w:hint="eastAsia" w:ascii="宋体" w:hAnsi="宋体"/>
          <w:color w:val="0000FF"/>
          <w:sz w:val="24"/>
          <w:highlight w:val="none"/>
        </w:rPr>
        <w:t>元</w:t>
      </w:r>
    </w:p>
    <w:p>
      <w:pPr>
        <w:snapToGrid w:val="0"/>
        <w:spacing w:line="360" w:lineRule="auto"/>
        <w:ind w:firstLine="600" w:firstLineChars="250"/>
        <w:jc w:val="left"/>
        <w:rPr>
          <w:rFonts w:ascii="宋体" w:hAnsi="宋体"/>
          <w:color w:val="0000FF"/>
          <w:sz w:val="24"/>
          <w:highlight w:val="none"/>
        </w:rPr>
      </w:pPr>
      <w:r>
        <w:rPr>
          <w:rFonts w:hint="eastAsia" w:ascii="宋体" w:hAnsi="宋体"/>
          <w:color w:val="0000FF"/>
          <w:sz w:val="24"/>
          <w:highlight w:val="none"/>
        </w:rPr>
        <w:t>4、服务费的货币为人民币。</w:t>
      </w:r>
    </w:p>
    <w:p>
      <w:pPr>
        <w:snapToGrid w:val="0"/>
        <w:spacing w:line="348" w:lineRule="auto"/>
        <w:ind w:firstLine="600" w:firstLineChars="250"/>
        <w:jc w:val="left"/>
        <w:rPr>
          <w:rFonts w:ascii="宋体" w:hAnsi="宋体"/>
          <w:color w:val="0000FF"/>
          <w:sz w:val="24"/>
          <w:highlight w:val="none"/>
        </w:rPr>
      </w:pPr>
      <w:r>
        <w:rPr>
          <w:rFonts w:hint="eastAsia" w:ascii="宋体" w:hAnsi="宋体"/>
          <w:color w:val="0000FF"/>
          <w:sz w:val="24"/>
          <w:highlight w:val="none"/>
        </w:rPr>
        <w:t>5、服务费支付方式：一次性以银行划账、电汇、汇票或支票的形式支付。</w:t>
      </w:r>
    </w:p>
    <w:p>
      <w:pPr>
        <w:snapToGrid w:val="0"/>
        <w:spacing w:line="348" w:lineRule="auto"/>
        <w:ind w:firstLine="600" w:firstLineChars="250"/>
        <w:jc w:val="left"/>
        <w:rPr>
          <w:rFonts w:hint="eastAsia" w:ascii="宋体" w:hAnsi="宋体" w:eastAsia="宋体" w:cs="Times New Roman"/>
          <w:color w:val="0000FF"/>
          <w:sz w:val="24"/>
          <w:highlight w:val="none"/>
        </w:rPr>
      </w:pPr>
      <w:r>
        <w:rPr>
          <w:rFonts w:hint="eastAsia" w:ascii="宋体" w:hAnsi="宋体"/>
          <w:color w:val="0000FF"/>
          <w:sz w:val="24"/>
          <w:highlight w:val="none"/>
        </w:rPr>
        <w:t>6、</w:t>
      </w:r>
      <w:r>
        <w:rPr>
          <w:rFonts w:hint="eastAsia" w:ascii="宋体" w:hAnsi="宋体" w:eastAsia="宋体" w:cs="Times New Roman"/>
          <w:color w:val="0000FF"/>
          <w:sz w:val="24"/>
          <w:highlight w:val="none"/>
        </w:rPr>
        <w:t>服务费以银行划账方式按下列要求提交：</w:t>
      </w:r>
    </w:p>
    <w:p>
      <w:pPr>
        <w:snapToGrid w:val="0"/>
        <w:spacing w:line="300" w:lineRule="auto"/>
        <w:ind w:firstLine="480" w:firstLineChars="200"/>
        <w:contextualSpacing/>
        <w:rPr>
          <w:rFonts w:ascii="宋体" w:hAnsi="宋体"/>
          <w:sz w:val="24"/>
        </w:rPr>
      </w:pPr>
      <w:r>
        <w:rPr>
          <w:rFonts w:ascii="宋体" w:hAnsi="宋体"/>
          <w:sz w:val="24"/>
        </w:rPr>
        <w:t>收款人名称：</w:t>
      </w:r>
      <w:r>
        <w:rPr>
          <w:rFonts w:hint="eastAsia" w:ascii="宋体" w:hAnsi="宋体"/>
          <w:sz w:val="24"/>
        </w:rPr>
        <w:t>浙江勋达工程咨询有限公司嘉善分公司</w:t>
      </w:r>
      <w:r>
        <w:rPr>
          <w:rFonts w:ascii="宋体" w:hAnsi="宋体"/>
          <w:sz w:val="24"/>
        </w:rPr>
        <w:t>；</w:t>
      </w:r>
    </w:p>
    <w:p>
      <w:pPr>
        <w:snapToGrid w:val="0"/>
        <w:spacing w:line="300" w:lineRule="auto"/>
        <w:ind w:firstLine="480" w:firstLineChars="200"/>
        <w:contextualSpacing/>
        <w:rPr>
          <w:rFonts w:ascii="宋体" w:hAnsi="宋体"/>
          <w:sz w:val="24"/>
        </w:rPr>
      </w:pPr>
      <w:r>
        <w:rPr>
          <w:rFonts w:ascii="宋体" w:hAnsi="宋体"/>
          <w:sz w:val="24"/>
        </w:rPr>
        <w:t>开户银行：</w:t>
      </w:r>
      <w:r>
        <w:rPr>
          <w:rFonts w:hint="eastAsia" w:ascii="宋体" w:hAnsi="宋体"/>
          <w:sz w:val="24"/>
        </w:rPr>
        <w:t>中国工商银行股份有限公司嘉善卖鱼桥支行</w:t>
      </w:r>
      <w:r>
        <w:rPr>
          <w:rFonts w:ascii="宋体" w:hAnsi="宋体"/>
          <w:sz w:val="24"/>
        </w:rPr>
        <w:t>；</w:t>
      </w:r>
    </w:p>
    <w:p>
      <w:pPr>
        <w:pStyle w:val="68"/>
        <w:jc w:val="left"/>
        <w:rPr>
          <w:rFonts w:ascii="宋体" w:hAnsi="宋体"/>
          <w:sz w:val="24"/>
        </w:rPr>
      </w:pPr>
      <w:r>
        <w:rPr>
          <w:rFonts w:ascii="宋体" w:hAnsi="宋体"/>
          <w:sz w:val="24"/>
        </w:rPr>
        <w:t>银行账号：</w:t>
      </w:r>
      <w:r>
        <w:rPr>
          <w:rFonts w:hint="eastAsia" w:ascii="宋体" w:hAnsi="宋体"/>
          <w:sz w:val="24"/>
        </w:rPr>
        <w:t xml:space="preserve">1204070509300011245 </w:t>
      </w:r>
      <w:r>
        <w:rPr>
          <w:rFonts w:ascii="宋体" w:hAnsi="宋体"/>
          <w:sz w:val="24"/>
        </w:rPr>
        <w:t>。</w:t>
      </w:r>
    </w:p>
    <w:p>
      <w:pPr>
        <w:pStyle w:val="68"/>
        <w:jc w:val="left"/>
        <w:rPr>
          <w:rFonts w:hint="eastAsia" w:ascii="宋体" w:hAnsi="宋体" w:eastAsia="宋体" w:cs="Times New Roman"/>
          <w:color w:val="0000FF"/>
          <w:kern w:val="2"/>
          <w:sz w:val="24"/>
          <w:szCs w:val="24"/>
          <w:highlight w:val="none"/>
          <w:lang w:val="en-US" w:eastAsia="zh-CN" w:bidi="ar-SA"/>
        </w:rPr>
      </w:pPr>
      <w:r>
        <w:rPr>
          <w:rFonts w:hint="eastAsia" w:ascii="宋体" w:hAnsi="宋体" w:eastAsia="宋体" w:cs="Times New Roman"/>
          <w:color w:val="0000FF"/>
          <w:kern w:val="2"/>
          <w:sz w:val="24"/>
          <w:szCs w:val="24"/>
          <w:highlight w:val="none"/>
          <w:lang w:val="en-US" w:eastAsia="zh-CN" w:bidi="ar-SA"/>
        </w:rPr>
        <w:t>7、服务费支付时间：服务费必须在中标人领取《中标通知书》时一次性付清，如果中标人未能按时交纳服务费，采购代理机构/采购人保留取消其中标资格并追究其法律责任的权利。</w:t>
      </w:r>
    </w:p>
    <w:p>
      <w:pPr>
        <w:pStyle w:val="68"/>
        <w:jc w:val="left"/>
        <w:rPr>
          <w:rFonts w:hint="eastAsia" w:ascii="宋体" w:hAnsi="宋体" w:eastAsia="宋体" w:cs="Times New Roman"/>
          <w:color w:val="0000FF"/>
          <w:kern w:val="2"/>
          <w:sz w:val="24"/>
          <w:szCs w:val="24"/>
          <w:highlight w:val="none"/>
          <w:lang w:val="en-US" w:eastAsia="zh-CN" w:bidi="ar-SA"/>
        </w:rPr>
      </w:pPr>
      <w:r>
        <w:rPr>
          <w:rFonts w:hint="eastAsia" w:ascii="宋体" w:hAnsi="宋体" w:eastAsia="宋体" w:cs="Times New Roman"/>
          <w:color w:val="0000FF"/>
          <w:kern w:val="2"/>
          <w:sz w:val="24"/>
          <w:szCs w:val="24"/>
          <w:highlight w:val="none"/>
          <w:lang w:val="en-US" w:eastAsia="zh-CN" w:bidi="ar-SA"/>
        </w:rPr>
        <w:t>8、服务费不在投标报价中单列，由各投标人自行考虑在投标报价中</w:t>
      </w:r>
    </w:p>
    <w:p>
      <w:pPr>
        <w:pStyle w:val="68"/>
        <w:ind w:left="987" w:firstLine="0" w:firstLineChars="0"/>
        <w:jc w:val="left"/>
        <w:rPr>
          <w:rFonts w:hint="eastAsia" w:ascii="宋体" w:hAnsi="宋体"/>
          <w:b/>
          <w:highlight w:val="none"/>
        </w:rPr>
      </w:pPr>
    </w:p>
    <w:p>
      <w:pPr>
        <w:pStyle w:val="68"/>
        <w:jc w:val="left"/>
        <w:rPr>
          <w:rFonts w:hint="eastAsia" w:ascii="宋体" w:hAnsi="宋体"/>
          <w:b/>
          <w:highlight w:val="none"/>
        </w:rPr>
      </w:pPr>
    </w:p>
    <w:p>
      <w:pPr>
        <w:pStyle w:val="68"/>
        <w:numPr>
          <w:ilvl w:val="0"/>
          <w:numId w:val="39"/>
        </w:numPr>
        <w:ind w:firstLineChars="0"/>
        <w:jc w:val="left"/>
        <w:outlineLvl w:val="1"/>
        <w:rPr>
          <w:rFonts w:hint="eastAsia" w:ascii="宋体" w:hAnsi="宋体"/>
          <w:b/>
          <w:highlight w:val="none"/>
        </w:rPr>
      </w:pPr>
      <w:r>
        <w:rPr>
          <w:rFonts w:hint="eastAsia" w:ascii="宋体" w:hAnsi="宋体"/>
          <w:b/>
          <w:highlight w:val="none"/>
        </w:rPr>
        <w:t>质疑函范本</w:t>
      </w:r>
    </w:p>
    <w:p>
      <w:pPr>
        <w:widowControl/>
        <w:jc w:val="left"/>
        <w:rPr>
          <w:rFonts w:ascii="宋体" w:hAnsi="宋体"/>
          <w:b/>
          <w:highlight w:val="none"/>
        </w:rPr>
      </w:pPr>
    </w:p>
    <w:p>
      <w:pPr>
        <w:widowControl/>
        <w:jc w:val="center"/>
        <w:rPr>
          <w:rFonts w:ascii="宋体" w:hAnsi="宋体" w:cs="仿宋"/>
          <w:b/>
          <w:bCs/>
          <w:sz w:val="44"/>
          <w:szCs w:val="44"/>
          <w:highlight w:val="none"/>
        </w:rPr>
      </w:pPr>
      <w:r>
        <w:rPr>
          <w:rFonts w:hint="eastAsia" w:ascii="宋体" w:hAnsi="宋体" w:cs="仿宋"/>
          <w:b/>
          <w:bCs/>
          <w:sz w:val="44"/>
          <w:szCs w:val="44"/>
          <w:highlight w:val="none"/>
        </w:rPr>
        <w:t>质疑函范本</w:t>
      </w:r>
    </w:p>
    <w:p>
      <w:pPr>
        <w:adjustRightInd w:val="0"/>
        <w:snapToGrid w:val="0"/>
        <w:spacing w:before="240" w:beforeLines="100" w:line="360" w:lineRule="auto"/>
        <w:rPr>
          <w:rFonts w:ascii="宋体" w:hAnsi="宋体" w:cs="仿宋"/>
          <w:bCs/>
          <w:highlight w:val="none"/>
        </w:rPr>
      </w:pPr>
      <w:r>
        <w:rPr>
          <w:rFonts w:hint="eastAsia" w:ascii="宋体" w:hAnsi="宋体" w:cs="仿宋"/>
          <w:bCs/>
          <w:highlight w:val="none"/>
        </w:rPr>
        <w:t>一、质疑供应商基本信息</w:t>
      </w:r>
    </w:p>
    <w:p>
      <w:pPr>
        <w:adjustRightInd w:val="0"/>
        <w:snapToGrid w:val="0"/>
        <w:spacing w:line="360" w:lineRule="auto"/>
        <w:rPr>
          <w:rFonts w:ascii="宋体" w:hAnsi="宋体" w:cs="仿宋"/>
          <w:highlight w:val="none"/>
          <w:u w:val="dotted"/>
        </w:rPr>
      </w:pPr>
      <w:r>
        <w:rPr>
          <w:rFonts w:hint="eastAsia" w:ascii="宋体" w:hAnsi="宋体" w:cs="仿宋"/>
          <w:highlight w:val="none"/>
        </w:rPr>
        <w:t>质疑供应商：</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rPr>
        <w:t>地址：</w:t>
      </w:r>
      <w:r>
        <w:rPr>
          <w:rFonts w:hint="eastAsia" w:ascii="宋体" w:hAnsi="宋体" w:cs="仿宋"/>
          <w:highlight w:val="none"/>
          <w:u w:val="dotted"/>
        </w:rPr>
        <w:t xml:space="preserve">                          </w:t>
      </w:r>
      <w:r>
        <w:rPr>
          <w:rFonts w:hint="eastAsia" w:ascii="宋体" w:hAnsi="宋体" w:cs="仿宋"/>
          <w:highlight w:val="none"/>
        </w:rPr>
        <w:t>邮编：</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rPr>
        <w:t>联系人：</w:t>
      </w:r>
      <w:r>
        <w:rPr>
          <w:rFonts w:hint="eastAsia" w:ascii="宋体" w:hAnsi="宋体" w:cs="仿宋"/>
          <w:highlight w:val="none"/>
          <w:u w:val="dotted"/>
        </w:rPr>
        <w:t xml:space="preserve">                      </w:t>
      </w:r>
      <w:r>
        <w:rPr>
          <w:rFonts w:hint="eastAsia" w:ascii="宋体" w:hAnsi="宋体" w:cs="仿宋"/>
          <w:highlight w:val="none"/>
        </w:rPr>
        <w:t>联系电话：</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u w:val="dotted"/>
        </w:rPr>
      </w:pPr>
      <w:r>
        <w:rPr>
          <w:rFonts w:hint="eastAsia" w:ascii="宋体" w:hAnsi="宋体" w:cs="仿宋"/>
          <w:highlight w:val="none"/>
        </w:rPr>
        <w:t>授权代表：</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rPr>
        <w:t>联系电话：</w:t>
      </w:r>
      <w:r>
        <w:rPr>
          <w:rFonts w:hint="eastAsia" w:ascii="宋体" w:hAnsi="宋体" w:cs="仿宋"/>
          <w:highlight w:val="none"/>
          <w:u w:val="dotted"/>
        </w:rPr>
        <w:t xml:space="preserve">                                           </w:t>
      </w:r>
      <w:r>
        <w:rPr>
          <w:rFonts w:ascii="宋体" w:hAnsi="宋体" w:cs="仿宋"/>
          <w:highlight w:val="none"/>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rPr>
        <w:t>地址：</w:t>
      </w:r>
      <w:r>
        <w:rPr>
          <w:rFonts w:ascii="宋体" w:hAnsi="宋体" w:cs="仿宋"/>
          <w:highlight w:val="none"/>
        </w:rPr>
        <w:t xml:space="preserve"> </w:t>
      </w:r>
      <w:r>
        <w:rPr>
          <w:rFonts w:hint="eastAsia" w:ascii="宋体" w:hAnsi="宋体" w:cs="仿宋"/>
          <w:highlight w:val="none"/>
          <w:u w:val="dotted"/>
        </w:rPr>
        <w:t xml:space="preserve">                        </w:t>
      </w:r>
      <w:r>
        <w:rPr>
          <w:rFonts w:hint="eastAsia" w:ascii="宋体" w:hAnsi="宋体" w:cs="仿宋"/>
          <w:highlight w:val="none"/>
        </w:rPr>
        <w:t>邮编：</w:t>
      </w:r>
      <w:r>
        <w:rPr>
          <w:rFonts w:hint="eastAsia" w:ascii="宋体" w:hAnsi="宋体" w:cs="仿宋"/>
          <w:highlight w:val="none"/>
          <w:u w:val="dotted"/>
        </w:rPr>
        <w:t xml:space="preserve">                                                </w:t>
      </w:r>
    </w:p>
    <w:p>
      <w:pPr>
        <w:adjustRightInd w:val="0"/>
        <w:snapToGrid w:val="0"/>
        <w:spacing w:line="360" w:lineRule="auto"/>
        <w:rPr>
          <w:rFonts w:ascii="宋体" w:hAnsi="宋体" w:cs="仿宋"/>
          <w:bCs/>
          <w:highlight w:val="none"/>
        </w:rPr>
      </w:pPr>
      <w:r>
        <w:rPr>
          <w:rFonts w:hint="eastAsia" w:ascii="宋体" w:hAnsi="宋体" w:cs="仿宋"/>
          <w:bCs/>
          <w:highlight w:val="none"/>
        </w:rPr>
        <w:t>二、质疑项目基本情况</w:t>
      </w:r>
    </w:p>
    <w:p>
      <w:pPr>
        <w:adjustRightInd w:val="0"/>
        <w:snapToGrid w:val="0"/>
        <w:spacing w:line="360" w:lineRule="auto"/>
        <w:rPr>
          <w:rFonts w:ascii="宋体" w:hAnsi="宋体" w:cs="仿宋"/>
          <w:highlight w:val="none"/>
        </w:rPr>
      </w:pPr>
      <w:r>
        <w:rPr>
          <w:rFonts w:hint="eastAsia" w:ascii="宋体" w:hAnsi="宋体" w:cs="仿宋"/>
          <w:highlight w:val="none"/>
        </w:rPr>
        <w:t>质疑项目的名称：</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rPr>
        <w:t>质疑项目的编号：</w:t>
      </w:r>
      <w:r>
        <w:rPr>
          <w:rFonts w:hint="eastAsia" w:ascii="宋体" w:hAnsi="宋体" w:cs="仿宋"/>
          <w:highlight w:val="none"/>
          <w:u w:val="dotted"/>
        </w:rPr>
        <w:t xml:space="preserve">               </w:t>
      </w:r>
      <w:r>
        <w:rPr>
          <w:rFonts w:hint="eastAsia" w:ascii="宋体" w:hAnsi="宋体" w:cs="仿宋"/>
          <w:highlight w:val="none"/>
        </w:rPr>
        <w:t>包号：</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u w:val="dotted"/>
        </w:rPr>
      </w:pPr>
      <w:r>
        <w:rPr>
          <w:rFonts w:hint="eastAsia" w:ascii="宋体" w:hAnsi="宋体" w:cs="仿宋"/>
          <w:highlight w:val="none"/>
        </w:rPr>
        <w:t>采购人名称：</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rPr>
        <w:t>采购文件获取日期：</w:t>
      </w:r>
      <w:r>
        <w:rPr>
          <w:rFonts w:hint="eastAsia" w:ascii="宋体" w:hAnsi="宋体" w:cs="仿宋"/>
          <w:highlight w:val="none"/>
          <w:u w:val="dotted"/>
        </w:rPr>
        <w:t xml:space="preserve">                                           </w:t>
      </w:r>
    </w:p>
    <w:p>
      <w:pPr>
        <w:adjustRightInd w:val="0"/>
        <w:snapToGrid w:val="0"/>
        <w:spacing w:line="360" w:lineRule="auto"/>
        <w:rPr>
          <w:rFonts w:ascii="宋体" w:hAnsi="宋体" w:cs="仿宋"/>
          <w:bCs/>
          <w:highlight w:val="none"/>
        </w:rPr>
      </w:pPr>
      <w:r>
        <w:rPr>
          <w:rFonts w:hint="eastAsia" w:ascii="宋体" w:hAnsi="宋体" w:cs="仿宋"/>
          <w:bCs/>
          <w:highlight w:val="none"/>
        </w:rPr>
        <w:t>三、质疑事项具体内容</w:t>
      </w:r>
    </w:p>
    <w:p>
      <w:pPr>
        <w:adjustRightInd w:val="0"/>
        <w:snapToGrid w:val="0"/>
        <w:spacing w:line="360" w:lineRule="auto"/>
        <w:rPr>
          <w:rFonts w:ascii="宋体" w:hAnsi="宋体" w:cs="仿宋"/>
          <w:highlight w:val="none"/>
          <w:u w:val="dotted"/>
        </w:rPr>
      </w:pPr>
      <w:r>
        <w:rPr>
          <w:rFonts w:hint="eastAsia" w:ascii="宋体" w:hAnsi="宋体" w:cs="仿宋"/>
          <w:highlight w:val="none"/>
        </w:rPr>
        <w:t>质疑事项1：</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u w:val="dotted"/>
        </w:rPr>
      </w:pPr>
      <w:r>
        <w:rPr>
          <w:rFonts w:hint="eastAsia" w:ascii="宋体" w:hAnsi="宋体" w:cs="仿宋"/>
          <w:highlight w:val="none"/>
        </w:rPr>
        <w:t>事实依据：</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rPr>
      </w:pP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u w:val="dotted"/>
        </w:rPr>
      </w:pPr>
      <w:r>
        <w:rPr>
          <w:rFonts w:hint="eastAsia" w:ascii="宋体" w:hAnsi="宋体" w:cs="仿宋"/>
          <w:highlight w:val="none"/>
        </w:rPr>
        <w:t>法律依据：</w:t>
      </w: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u w:val="dotted"/>
        </w:rPr>
      </w:pPr>
      <w:r>
        <w:rPr>
          <w:rFonts w:hint="eastAsia" w:ascii="宋体" w:hAnsi="宋体" w:cs="仿宋"/>
          <w:highlight w:val="none"/>
          <w:u w:val="dotted"/>
        </w:rPr>
        <w:t xml:space="preserve">                                                     </w:t>
      </w:r>
    </w:p>
    <w:p>
      <w:pPr>
        <w:adjustRightInd w:val="0"/>
        <w:snapToGrid w:val="0"/>
        <w:spacing w:line="360" w:lineRule="auto"/>
        <w:rPr>
          <w:rFonts w:ascii="宋体" w:hAnsi="宋体" w:cs="仿宋"/>
          <w:highlight w:val="none"/>
          <w:u w:val="dotted"/>
        </w:rPr>
      </w:pPr>
      <w:r>
        <w:rPr>
          <w:rFonts w:hint="eastAsia" w:ascii="宋体" w:hAnsi="宋体" w:cs="仿宋"/>
          <w:highlight w:val="none"/>
        </w:rPr>
        <w:t>质疑事项2</w:t>
      </w:r>
    </w:p>
    <w:p>
      <w:pPr>
        <w:adjustRightInd w:val="0"/>
        <w:snapToGrid w:val="0"/>
        <w:spacing w:line="360" w:lineRule="auto"/>
        <w:rPr>
          <w:rFonts w:ascii="宋体" w:hAnsi="宋体" w:cs="仿宋"/>
          <w:highlight w:val="none"/>
        </w:rPr>
      </w:pPr>
      <w:r>
        <w:rPr>
          <w:rFonts w:hint="eastAsia" w:ascii="宋体" w:hAnsi="宋体" w:cs="仿宋"/>
          <w:highlight w:val="none"/>
        </w:rPr>
        <w:t>……</w:t>
      </w:r>
    </w:p>
    <w:p>
      <w:pPr>
        <w:adjustRightInd w:val="0"/>
        <w:snapToGrid w:val="0"/>
        <w:spacing w:line="360" w:lineRule="auto"/>
        <w:rPr>
          <w:rFonts w:ascii="宋体" w:hAnsi="宋体" w:cs="仿宋"/>
          <w:bCs/>
          <w:highlight w:val="none"/>
        </w:rPr>
      </w:pPr>
      <w:r>
        <w:rPr>
          <w:rFonts w:hint="eastAsia" w:ascii="宋体" w:hAnsi="宋体" w:cs="仿宋"/>
          <w:bCs/>
          <w:highlight w:val="none"/>
        </w:rPr>
        <w:t>四、与质疑事项相关的质疑请求</w:t>
      </w:r>
    </w:p>
    <w:p>
      <w:pPr>
        <w:adjustRightInd w:val="0"/>
        <w:snapToGrid w:val="0"/>
        <w:spacing w:line="360" w:lineRule="auto"/>
        <w:rPr>
          <w:rFonts w:ascii="宋体" w:hAnsi="宋体" w:cs="仿宋"/>
          <w:highlight w:val="none"/>
          <w:u w:val="dotted"/>
        </w:rPr>
      </w:pPr>
      <w:r>
        <w:rPr>
          <w:rFonts w:hint="eastAsia" w:ascii="宋体" w:hAnsi="宋体" w:cs="仿宋"/>
          <w:highlight w:val="none"/>
        </w:rPr>
        <w:t>请求：</w:t>
      </w:r>
      <w:r>
        <w:rPr>
          <w:rFonts w:hint="eastAsia" w:ascii="宋体" w:hAnsi="宋体" w:cs="仿宋"/>
          <w:highlight w:val="none"/>
          <w:u w:val="dotted"/>
        </w:rPr>
        <w:t xml:space="preserve">                                               </w:t>
      </w:r>
    </w:p>
    <w:p>
      <w:pPr>
        <w:rPr>
          <w:rFonts w:ascii="宋体" w:hAnsi="宋体"/>
          <w:highlight w:val="none"/>
        </w:rPr>
      </w:pPr>
      <w:r>
        <w:rPr>
          <w:rFonts w:hint="eastAsia" w:ascii="宋体" w:hAnsi="宋体"/>
          <w:highlight w:val="none"/>
        </w:rPr>
        <w:t xml:space="preserve">签字(签章)：                   公章：                      </w:t>
      </w:r>
    </w:p>
    <w:p>
      <w:pPr>
        <w:rPr>
          <w:rFonts w:ascii="宋体" w:hAnsi="宋体"/>
          <w:highlight w:val="none"/>
        </w:rPr>
      </w:pPr>
      <w:r>
        <w:rPr>
          <w:rFonts w:hint="eastAsia" w:ascii="宋体" w:hAnsi="宋体"/>
          <w:highlight w:val="none"/>
        </w:rPr>
        <w:t xml:space="preserve">日期：    </w:t>
      </w:r>
    </w:p>
    <w:p>
      <w:pPr>
        <w:adjustRightInd w:val="0"/>
        <w:snapToGrid w:val="0"/>
        <w:spacing w:line="360" w:lineRule="auto"/>
        <w:rPr>
          <w:rFonts w:ascii="宋体" w:hAnsi="宋体" w:cs="仿宋"/>
          <w:highlight w:val="none"/>
        </w:rPr>
      </w:pPr>
    </w:p>
    <w:p>
      <w:pPr>
        <w:rPr>
          <w:rFonts w:ascii="宋体" w:hAnsi="宋体"/>
          <w:b/>
          <w:highlight w:val="none"/>
        </w:rPr>
      </w:pPr>
    </w:p>
    <w:p>
      <w:pPr>
        <w:rPr>
          <w:rFonts w:ascii="宋体" w:hAnsi="宋体"/>
          <w:b/>
          <w:highlight w:val="none"/>
        </w:rPr>
      </w:pPr>
    </w:p>
    <w:p>
      <w:pPr>
        <w:rPr>
          <w:rFonts w:ascii="宋体" w:hAnsi="宋体"/>
          <w:b/>
          <w:highlight w:val="none"/>
        </w:rPr>
      </w:pPr>
    </w:p>
    <w:p>
      <w:pPr>
        <w:rPr>
          <w:rFonts w:ascii="宋体" w:hAnsi="宋体"/>
          <w:b/>
          <w:highlight w:val="none"/>
        </w:rPr>
      </w:pPr>
      <w:r>
        <w:rPr>
          <w:rFonts w:hint="eastAsia" w:ascii="宋体" w:hAnsi="宋体"/>
          <w:b/>
          <w:highlight w:val="none"/>
        </w:rPr>
        <w:t>质疑函制作说明：</w:t>
      </w:r>
    </w:p>
    <w:p>
      <w:pPr>
        <w:widowControl/>
        <w:ind w:firstLine="480" w:firstLineChars="200"/>
        <w:jc w:val="left"/>
        <w:rPr>
          <w:rFonts w:ascii="宋体" w:hAnsi="宋体"/>
          <w:highlight w:val="none"/>
        </w:rPr>
      </w:pPr>
      <w:r>
        <w:rPr>
          <w:rFonts w:hint="eastAsia" w:ascii="宋体" w:hAnsi="宋体"/>
          <w:highlight w:val="none"/>
        </w:rPr>
        <w:t>1.供应商提出质疑时，应提交质疑函和必要的证明材料。</w:t>
      </w:r>
    </w:p>
    <w:p>
      <w:pPr>
        <w:widowControl/>
        <w:ind w:firstLine="480" w:firstLineChars="200"/>
        <w:jc w:val="left"/>
        <w:rPr>
          <w:rFonts w:ascii="宋体" w:hAnsi="宋体"/>
          <w:highlight w:val="none"/>
        </w:rPr>
      </w:pPr>
      <w:r>
        <w:rPr>
          <w:rFonts w:hint="eastAsia" w:ascii="宋体" w:hAnsi="宋体"/>
          <w:highlight w:val="none"/>
        </w:rPr>
        <w:t>2.质疑供应商若委托代理人进行质疑的，质疑函应按要求列明“授权代表”的有关内容，并在附件中提交由质疑</w:t>
      </w:r>
      <w:r>
        <w:rPr>
          <w:rFonts w:hint="eastAsia" w:ascii="宋体" w:hAnsi="宋体" w:cs="宋体"/>
          <w:kern w:val="0"/>
          <w:highlight w:val="none"/>
        </w:rPr>
        <w:t>供应商签署的授权委托书。授权委托书应载明代理人的姓名或者名称、代理事项、具体权限、期限和相关事项。</w:t>
      </w:r>
    </w:p>
    <w:p>
      <w:pPr>
        <w:widowControl/>
        <w:ind w:firstLine="480" w:firstLineChars="200"/>
        <w:jc w:val="left"/>
        <w:rPr>
          <w:rFonts w:ascii="宋体" w:hAnsi="宋体"/>
          <w:highlight w:val="none"/>
        </w:rPr>
      </w:pPr>
      <w:r>
        <w:rPr>
          <w:rFonts w:hint="eastAsia" w:ascii="宋体" w:hAnsi="宋体"/>
          <w:highlight w:val="none"/>
        </w:rPr>
        <w:t>3.质疑供应商若对项目的某一分包进行质疑，质疑函中应列明具体分包号。</w:t>
      </w:r>
    </w:p>
    <w:p>
      <w:pPr>
        <w:widowControl/>
        <w:ind w:firstLine="480" w:firstLineChars="200"/>
        <w:jc w:val="left"/>
        <w:rPr>
          <w:rFonts w:ascii="宋体" w:hAnsi="宋体"/>
          <w:highlight w:val="none"/>
        </w:rPr>
      </w:pPr>
      <w:r>
        <w:rPr>
          <w:rFonts w:hint="eastAsia" w:ascii="宋体" w:hAnsi="宋体"/>
          <w:highlight w:val="none"/>
        </w:rPr>
        <w:t>4.质疑函的质疑事项应具体、明确，并有必要的事实依据和法律依据。</w:t>
      </w:r>
    </w:p>
    <w:p>
      <w:pPr>
        <w:widowControl/>
        <w:ind w:firstLine="480" w:firstLineChars="200"/>
        <w:jc w:val="left"/>
        <w:rPr>
          <w:rFonts w:ascii="宋体" w:hAnsi="宋体"/>
          <w:highlight w:val="none"/>
        </w:rPr>
      </w:pPr>
      <w:r>
        <w:rPr>
          <w:rFonts w:hint="eastAsia" w:ascii="宋体" w:hAnsi="宋体"/>
          <w:highlight w:val="none"/>
        </w:rPr>
        <w:t>5.质疑函的质疑请求应与质疑事项相关。</w:t>
      </w:r>
    </w:p>
    <w:p>
      <w:pPr>
        <w:widowControl/>
        <w:ind w:firstLine="480" w:firstLineChars="200"/>
        <w:jc w:val="left"/>
        <w:rPr>
          <w:rFonts w:ascii="宋体" w:hAnsi="宋体"/>
          <w:highlight w:val="none"/>
        </w:rPr>
      </w:pPr>
      <w:r>
        <w:rPr>
          <w:rFonts w:hint="eastAsia" w:ascii="宋体" w:hAnsi="宋体"/>
          <w:highlight w:val="none"/>
        </w:rPr>
        <w:t>6.质疑供应商为自然人的，质疑函应由本人签字；质疑供应商为法人或者其他组织的，质疑函应由法定代表人、主要负责人，或者其授权代表签字或者盖章，并加盖公章。</w:t>
      </w:r>
    </w:p>
    <w:p>
      <w:pPr>
        <w:widowControl/>
        <w:ind w:firstLine="600" w:firstLineChars="200"/>
        <w:jc w:val="left"/>
        <w:rPr>
          <w:rFonts w:ascii="宋体" w:hAnsi="宋体"/>
          <w:sz w:val="30"/>
          <w:szCs w:val="30"/>
          <w:highlight w:val="none"/>
        </w:rPr>
      </w:pPr>
    </w:p>
    <w:p>
      <w:pPr>
        <w:pStyle w:val="68"/>
        <w:ind w:left="900" w:firstLine="0" w:firstLineChars="0"/>
        <w:jc w:val="left"/>
        <w:rPr>
          <w:rFonts w:hint="eastAsia" w:ascii="宋体" w:hAnsi="宋体"/>
          <w:szCs w:val="24"/>
          <w:highlight w:val="none"/>
        </w:rPr>
      </w:pPr>
      <w:r>
        <w:rPr>
          <w:rFonts w:ascii="宋体" w:hAnsi="宋体"/>
          <w:b/>
          <w:sz w:val="44"/>
          <w:szCs w:val="44"/>
          <w:highlight w:val="none"/>
        </w:rPr>
        <w:br w:type="page"/>
      </w:r>
    </w:p>
    <w:p>
      <w:pPr>
        <w:pStyle w:val="68"/>
        <w:numPr>
          <w:ilvl w:val="0"/>
          <w:numId w:val="39"/>
        </w:numPr>
        <w:ind w:firstLineChars="0"/>
        <w:jc w:val="left"/>
        <w:outlineLvl w:val="1"/>
        <w:rPr>
          <w:rFonts w:hint="eastAsia" w:ascii="宋体" w:hAnsi="宋体"/>
          <w:b/>
          <w:highlight w:val="none"/>
        </w:rPr>
      </w:pPr>
      <w:r>
        <w:rPr>
          <w:rFonts w:hint="eastAsia" w:ascii="宋体" w:hAnsi="宋体"/>
          <w:b/>
          <w:highlight w:val="none"/>
        </w:rPr>
        <w:t>投诉书范本</w:t>
      </w:r>
    </w:p>
    <w:p>
      <w:pPr>
        <w:widowControl/>
        <w:jc w:val="left"/>
        <w:rPr>
          <w:rFonts w:ascii="宋体" w:hAnsi="宋体"/>
          <w:b/>
          <w:sz w:val="44"/>
          <w:szCs w:val="44"/>
          <w:highlight w:val="none"/>
        </w:rPr>
      </w:pPr>
    </w:p>
    <w:p>
      <w:pPr>
        <w:jc w:val="center"/>
        <w:rPr>
          <w:rFonts w:ascii="宋体" w:hAnsi="宋体"/>
          <w:b/>
          <w:sz w:val="44"/>
          <w:szCs w:val="44"/>
          <w:highlight w:val="none"/>
        </w:rPr>
      </w:pPr>
      <w:r>
        <w:rPr>
          <w:rFonts w:hint="eastAsia" w:ascii="宋体" w:hAnsi="宋体"/>
          <w:b/>
          <w:sz w:val="44"/>
          <w:szCs w:val="44"/>
          <w:highlight w:val="none"/>
        </w:rPr>
        <w:t>投诉书范本</w:t>
      </w:r>
    </w:p>
    <w:p>
      <w:pPr>
        <w:rPr>
          <w:rFonts w:ascii="宋体" w:hAnsi="宋体"/>
          <w:highlight w:val="none"/>
        </w:rPr>
      </w:pPr>
      <w:r>
        <w:rPr>
          <w:rFonts w:hint="eastAsia" w:ascii="宋体" w:hAnsi="宋体"/>
          <w:highlight w:val="none"/>
        </w:rPr>
        <w:t>一、投诉相关主体基本情况</w:t>
      </w:r>
    </w:p>
    <w:p>
      <w:pPr>
        <w:rPr>
          <w:rFonts w:ascii="宋体" w:hAnsi="宋体"/>
          <w:highlight w:val="none"/>
          <w:u w:val="dotted"/>
        </w:rPr>
      </w:pPr>
      <w:r>
        <w:rPr>
          <w:rFonts w:hint="eastAsia" w:ascii="宋体" w:hAnsi="宋体"/>
          <w:highlight w:val="none"/>
        </w:rPr>
        <w:t>投诉人：</w:t>
      </w:r>
      <w:r>
        <w:rPr>
          <w:rFonts w:hint="eastAsia" w:ascii="宋体" w:hAnsi="宋体"/>
          <w:highlight w:val="none"/>
          <w:u w:val="dotted"/>
        </w:rPr>
        <w:t xml:space="preserve">                                               </w:t>
      </w:r>
    </w:p>
    <w:p>
      <w:pPr>
        <w:rPr>
          <w:rFonts w:ascii="宋体" w:hAnsi="宋体"/>
          <w:highlight w:val="none"/>
          <w:u w:val="single"/>
        </w:rPr>
      </w:pPr>
      <w:r>
        <w:rPr>
          <w:rFonts w:hint="eastAsia" w:ascii="宋体" w:hAnsi="宋体"/>
          <w:highlight w:val="none"/>
        </w:rPr>
        <w:t>地     址：</w:t>
      </w:r>
      <w:r>
        <w:rPr>
          <w:rFonts w:hint="eastAsia" w:ascii="宋体" w:hAnsi="宋体"/>
          <w:highlight w:val="none"/>
          <w:u w:val="dotted"/>
        </w:rPr>
        <w:t xml:space="preserve">                             </w:t>
      </w:r>
      <w:r>
        <w:rPr>
          <w:rFonts w:hint="eastAsia" w:ascii="宋体" w:hAnsi="宋体"/>
          <w:highlight w:val="none"/>
        </w:rPr>
        <w:t>邮编：</w:t>
      </w:r>
      <w:r>
        <w:rPr>
          <w:rFonts w:hint="eastAsia" w:ascii="宋体" w:hAnsi="宋体"/>
          <w:highlight w:val="none"/>
          <w:u w:val="dotted"/>
        </w:rPr>
        <w:t xml:space="preserve">         </w:t>
      </w:r>
      <w:r>
        <w:rPr>
          <w:rFonts w:hint="eastAsia" w:ascii="宋体" w:hAnsi="宋体"/>
          <w:highlight w:val="none"/>
          <w:u w:val="single"/>
        </w:rPr>
        <w:t xml:space="preserve">   </w:t>
      </w:r>
    </w:p>
    <w:p>
      <w:pPr>
        <w:tabs>
          <w:tab w:val="left" w:pos="6510"/>
        </w:tabs>
        <w:jc w:val="left"/>
        <w:rPr>
          <w:rFonts w:ascii="宋体" w:hAnsi="宋体"/>
          <w:highlight w:val="none"/>
        </w:rPr>
      </w:pPr>
      <w:r>
        <w:rPr>
          <w:rFonts w:hint="eastAsia" w:ascii="宋体" w:hAnsi="宋体"/>
          <w:highlight w:val="none"/>
        </w:rPr>
        <w:t>法定代表人/主要负责人：</w:t>
      </w:r>
      <w:r>
        <w:rPr>
          <w:rFonts w:hint="eastAsia" w:ascii="宋体" w:hAnsi="宋体"/>
          <w:highlight w:val="none"/>
          <w:u w:val="dotted"/>
        </w:rPr>
        <w:t xml:space="preserve">                                   </w:t>
      </w:r>
      <w:r>
        <w:rPr>
          <w:rFonts w:hint="eastAsia" w:ascii="宋体" w:hAnsi="宋体"/>
          <w:highlight w:val="none"/>
        </w:rPr>
        <w:t xml:space="preserve">  </w:t>
      </w:r>
    </w:p>
    <w:p>
      <w:pPr>
        <w:tabs>
          <w:tab w:val="left" w:pos="6510"/>
        </w:tabs>
        <w:rPr>
          <w:rFonts w:ascii="宋体" w:hAnsi="宋体"/>
          <w:highlight w:val="none"/>
          <w:u w:val="dotted"/>
        </w:rPr>
      </w:pPr>
      <w:r>
        <w:rPr>
          <w:rFonts w:hint="eastAsia" w:ascii="宋体" w:hAnsi="宋体"/>
          <w:highlight w:val="none"/>
        </w:rPr>
        <w:t>联系电话：</w:t>
      </w:r>
      <w:r>
        <w:rPr>
          <w:rFonts w:hint="eastAsia" w:ascii="宋体" w:hAnsi="宋体"/>
          <w:highlight w:val="none"/>
          <w:u w:val="dotted"/>
        </w:rPr>
        <w:t xml:space="preserve">                                             </w:t>
      </w:r>
    </w:p>
    <w:p>
      <w:pPr>
        <w:rPr>
          <w:rFonts w:ascii="宋体" w:hAnsi="宋体"/>
          <w:highlight w:val="none"/>
          <w:u w:val="dotted"/>
        </w:rPr>
      </w:pPr>
      <w:r>
        <w:rPr>
          <w:rFonts w:hint="eastAsia" w:ascii="宋体" w:hAnsi="宋体"/>
          <w:highlight w:val="none"/>
        </w:rPr>
        <w:t>授权代表：</w:t>
      </w:r>
      <w:r>
        <w:rPr>
          <w:rFonts w:hint="eastAsia" w:ascii="宋体" w:hAnsi="宋体"/>
          <w:highlight w:val="none"/>
          <w:u w:val="dotted"/>
        </w:rPr>
        <w:t xml:space="preserve">             </w:t>
      </w:r>
      <w:r>
        <w:rPr>
          <w:rFonts w:hint="eastAsia" w:ascii="宋体" w:hAnsi="宋体"/>
          <w:highlight w:val="none"/>
        </w:rPr>
        <w:t>联系电话</w:t>
      </w:r>
      <w:r>
        <w:rPr>
          <w:rFonts w:hint="eastAsia" w:ascii="宋体" w:hAnsi="宋体"/>
          <w:highlight w:val="none"/>
          <w:u w:val="dotted"/>
        </w:rPr>
        <w:t xml:space="preserve">：                  </w:t>
      </w:r>
    </w:p>
    <w:p>
      <w:pPr>
        <w:rPr>
          <w:rFonts w:ascii="宋体" w:hAnsi="宋体"/>
          <w:highlight w:val="none"/>
          <w:u w:val="dotted"/>
        </w:rPr>
      </w:pPr>
      <w:r>
        <w:rPr>
          <w:rFonts w:hint="eastAsia" w:ascii="宋体" w:hAnsi="宋体"/>
          <w:highlight w:val="none"/>
        </w:rPr>
        <w:t>地     址：</w:t>
      </w:r>
      <w:r>
        <w:rPr>
          <w:rFonts w:hint="eastAsia" w:ascii="宋体" w:hAnsi="宋体"/>
          <w:highlight w:val="none"/>
          <w:u w:val="dotted"/>
        </w:rPr>
        <w:t xml:space="preserve">                             </w:t>
      </w:r>
      <w:r>
        <w:rPr>
          <w:rFonts w:hint="eastAsia" w:ascii="宋体" w:hAnsi="宋体"/>
          <w:highlight w:val="none"/>
        </w:rPr>
        <w:t>邮编：</w:t>
      </w:r>
      <w:r>
        <w:rPr>
          <w:rFonts w:hint="eastAsia" w:ascii="宋体" w:hAnsi="宋体"/>
          <w:highlight w:val="none"/>
          <w:u w:val="dotted"/>
        </w:rPr>
        <w:t xml:space="preserve">         </w:t>
      </w:r>
      <w:r>
        <w:rPr>
          <w:rFonts w:hint="eastAsia" w:ascii="宋体" w:hAnsi="宋体"/>
          <w:highlight w:val="none"/>
          <w:u w:val="single"/>
        </w:rPr>
        <w:t xml:space="preserve"> </w:t>
      </w:r>
      <w:r>
        <w:rPr>
          <w:rFonts w:hint="eastAsia" w:ascii="宋体" w:hAnsi="宋体"/>
          <w:highlight w:val="none"/>
          <w:u w:val="dotted"/>
        </w:rPr>
        <w:t xml:space="preserve">                   </w:t>
      </w:r>
    </w:p>
    <w:p>
      <w:pPr>
        <w:rPr>
          <w:rFonts w:ascii="宋体" w:hAnsi="宋体"/>
          <w:highlight w:val="none"/>
          <w:u w:val="single"/>
        </w:rPr>
      </w:pPr>
      <w:r>
        <w:rPr>
          <w:rFonts w:hint="eastAsia" w:ascii="宋体" w:hAnsi="宋体"/>
          <w:highlight w:val="none"/>
        </w:rPr>
        <w:t>被投诉人1：</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u w:val="single"/>
        </w:rPr>
      </w:pPr>
      <w:r>
        <w:rPr>
          <w:rFonts w:hint="eastAsia" w:ascii="宋体" w:hAnsi="宋体"/>
          <w:highlight w:val="none"/>
        </w:rPr>
        <w:t>地     址：</w:t>
      </w:r>
      <w:r>
        <w:rPr>
          <w:rFonts w:hint="eastAsia" w:ascii="宋体" w:hAnsi="宋体"/>
          <w:highlight w:val="none"/>
          <w:u w:val="dotted"/>
        </w:rPr>
        <w:t xml:space="preserve">                             </w:t>
      </w:r>
      <w:r>
        <w:rPr>
          <w:rFonts w:hint="eastAsia" w:ascii="宋体" w:hAnsi="宋体"/>
          <w:highlight w:val="none"/>
        </w:rPr>
        <w:t>邮编：</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u w:val="single"/>
        </w:rPr>
      </w:pPr>
      <w:r>
        <w:rPr>
          <w:rFonts w:hint="eastAsia" w:ascii="宋体" w:hAnsi="宋体"/>
          <w:highlight w:val="none"/>
        </w:rPr>
        <w:t>联系人：</w:t>
      </w:r>
      <w:r>
        <w:rPr>
          <w:rFonts w:hint="eastAsia" w:ascii="宋体" w:hAnsi="宋体"/>
          <w:highlight w:val="none"/>
          <w:u w:val="dotted"/>
        </w:rPr>
        <w:t xml:space="preserve">               </w:t>
      </w:r>
      <w:r>
        <w:rPr>
          <w:rFonts w:hint="eastAsia" w:ascii="宋体" w:hAnsi="宋体"/>
          <w:highlight w:val="none"/>
        </w:rPr>
        <w:t>联系电话：</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rPr>
      </w:pPr>
      <w:r>
        <w:rPr>
          <w:rFonts w:hint="eastAsia" w:ascii="宋体" w:hAnsi="宋体"/>
          <w:highlight w:val="none"/>
        </w:rPr>
        <w:t>被投诉人2</w:t>
      </w:r>
    </w:p>
    <w:p>
      <w:pPr>
        <w:rPr>
          <w:rFonts w:ascii="宋体" w:hAnsi="宋体"/>
          <w:highlight w:val="none"/>
          <w:u w:val="dotted"/>
        </w:rPr>
      </w:pPr>
      <w:r>
        <w:rPr>
          <w:rFonts w:hint="eastAsia" w:ascii="宋体" w:hAnsi="宋体"/>
          <w:highlight w:val="none"/>
        </w:rPr>
        <w:t>……</w:t>
      </w:r>
    </w:p>
    <w:p>
      <w:pPr>
        <w:rPr>
          <w:rFonts w:ascii="宋体" w:hAnsi="宋体"/>
          <w:highlight w:val="none"/>
          <w:u w:val="single"/>
        </w:rPr>
      </w:pPr>
      <w:r>
        <w:rPr>
          <w:rFonts w:hint="eastAsia" w:ascii="宋体" w:hAnsi="宋体"/>
          <w:highlight w:val="none"/>
        </w:rPr>
        <w:t>相关供应商：</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u w:val="single"/>
        </w:rPr>
      </w:pPr>
      <w:r>
        <w:rPr>
          <w:rFonts w:hint="eastAsia" w:ascii="宋体" w:hAnsi="宋体"/>
          <w:highlight w:val="none"/>
        </w:rPr>
        <w:t>地     址：</w:t>
      </w:r>
      <w:r>
        <w:rPr>
          <w:rFonts w:hint="eastAsia" w:ascii="宋体" w:hAnsi="宋体"/>
          <w:highlight w:val="none"/>
          <w:u w:val="dotted"/>
        </w:rPr>
        <w:t xml:space="preserve">                             </w:t>
      </w:r>
      <w:r>
        <w:rPr>
          <w:rFonts w:hint="eastAsia" w:ascii="宋体" w:hAnsi="宋体"/>
          <w:highlight w:val="none"/>
        </w:rPr>
        <w:t>邮编：</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u w:val="single"/>
        </w:rPr>
      </w:pPr>
      <w:r>
        <w:rPr>
          <w:rFonts w:hint="eastAsia" w:ascii="宋体" w:hAnsi="宋体"/>
          <w:highlight w:val="none"/>
        </w:rPr>
        <w:t>联系人：</w:t>
      </w:r>
      <w:r>
        <w:rPr>
          <w:rFonts w:hint="eastAsia" w:ascii="宋体" w:hAnsi="宋体"/>
          <w:highlight w:val="none"/>
          <w:u w:val="dotted"/>
        </w:rPr>
        <w:t xml:space="preserve">               </w:t>
      </w:r>
      <w:r>
        <w:rPr>
          <w:rFonts w:hint="eastAsia" w:ascii="宋体" w:hAnsi="宋体"/>
          <w:highlight w:val="none"/>
        </w:rPr>
        <w:t>联系电话：</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rPr>
      </w:pPr>
      <w:r>
        <w:rPr>
          <w:rFonts w:hint="eastAsia" w:ascii="宋体" w:hAnsi="宋体"/>
          <w:highlight w:val="none"/>
        </w:rPr>
        <w:t>二、投诉项目基本情况</w:t>
      </w:r>
    </w:p>
    <w:p>
      <w:pPr>
        <w:rPr>
          <w:rFonts w:ascii="宋体" w:hAnsi="宋体"/>
          <w:highlight w:val="none"/>
          <w:u w:val="dotted"/>
        </w:rPr>
      </w:pPr>
      <w:r>
        <w:rPr>
          <w:rFonts w:hint="eastAsia" w:ascii="宋体" w:hAnsi="宋体"/>
          <w:highlight w:val="none"/>
        </w:rPr>
        <w:t>采购项目名称：</w:t>
      </w:r>
      <w:r>
        <w:rPr>
          <w:rFonts w:hint="eastAsia" w:ascii="宋体" w:hAnsi="宋体"/>
          <w:highlight w:val="none"/>
          <w:u w:val="dotted"/>
        </w:rPr>
        <w:t xml:space="preserve">                                        </w:t>
      </w:r>
    </w:p>
    <w:p>
      <w:pPr>
        <w:rPr>
          <w:rFonts w:ascii="宋体" w:hAnsi="宋体"/>
          <w:highlight w:val="none"/>
          <w:u w:val="single"/>
        </w:rPr>
      </w:pPr>
      <w:r>
        <w:rPr>
          <w:rFonts w:hint="eastAsia" w:ascii="宋体" w:hAnsi="宋体"/>
          <w:highlight w:val="none"/>
        </w:rPr>
        <w:t>采购项目编号：</w:t>
      </w:r>
      <w:r>
        <w:rPr>
          <w:rFonts w:hint="eastAsia" w:ascii="宋体" w:hAnsi="宋体"/>
          <w:highlight w:val="none"/>
          <w:u w:val="dotted"/>
        </w:rPr>
        <w:t xml:space="preserve">                 </w:t>
      </w:r>
      <w:r>
        <w:rPr>
          <w:rFonts w:hint="eastAsia" w:ascii="宋体" w:hAnsi="宋体"/>
          <w:highlight w:val="none"/>
        </w:rPr>
        <w:t>包号：</w:t>
      </w:r>
      <w:r>
        <w:rPr>
          <w:rFonts w:hint="eastAsia" w:ascii="宋体" w:hAnsi="宋体"/>
          <w:highlight w:val="none"/>
          <w:u w:val="dotted"/>
        </w:rPr>
        <w:t xml:space="preserve">              </w:t>
      </w:r>
    </w:p>
    <w:p>
      <w:pPr>
        <w:rPr>
          <w:rFonts w:ascii="宋体" w:hAnsi="宋体"/>
          <w:highlight w:val="none"/>
        </w:rPr>
      </w:pPr>
      <w:r>
        <w:rPr>
          <w:rFonts w:hint="eastAsia" w:ascii="宋体" w:hAnsi="宋体"/>
          <w:highlight w:val="none"/>
        </w:rPr>
        <w:t>采购人名称：</w:t>
      </w:r>
      <w:r>
        <w:rPr>
          <w:rFonts w:hint="eastAsia" w:ascii="宋体" w:hAnsi="宋体"/>
          <w:highlight w:val="none"/>
          <w:u w:val="dotted"/>
        </w:rPr>
        <w:t xml:space="preserve">                                           </w:t>
      </w:r>
      <w:r>
        <w:rPr>
          <w:rFonts w:hint="eastAsia" w:ascii="宋体" w:hAnsi="宋体"/>
          <w:highlight w:val="none"/>
          <w:u w:val="single"/>
        </w:rPr>
        <w:t xml:space="preserve">  </w:t>
      </w:r>
    </w:p>
    <w:p>
      <w:pPr>
        <w:rPr>
          <w:rFonts w:ascii="宋体" w:hAnsi="宋体"/>
          <w:highlight w:val="none"/>
          <w:u w:val="single"/>
        </w:rPr>
      </w:pPr>
      <w:r>
        <w:rPr>
          <w:rFonts w:hint="eastAsia" w:ascii="宋体" w:hAnsi="宋体"/>
          <w:highlight w:val="none"/>
        </w:rPr>
        <w:t>代理机构名称：</w:t>
      </w:r>
      <w:r>
        <w:rPr>
          <w:rFonts w:hint="eastAsia" w:ascii="宋体" w:hAnsi="宋体"/>
          <w:highlight w:val="none"/>
          <w:u w:val="dotted"/>
        </w:rPr>
        <w:t xml:space="preserve">                                         </w:t>
      </w:r>
    </w:p>
    <w:p>
      <w:pPr>
        <w:rPr>
          <w:rFonts w:ascii="宋体" w:hAnsi="宋体"/>
          <w:highlight w:val="none"/>
          <w:u w:val="dotted"/>
        </w:rPr>
      </w:pPr>
      <w:r>
        <w:rPr>
          <w:rFonts w:hint="eastAsia" w:ascii="宋体" w:hAnsi="宋体"/>
          <w:highlight w:val="none"/>
        </w:rPr>
        <w:t>采购文件公告:</w:t>
      </w:r>
      <w:r>
        <w:rPr>
          <w:rFonts w:hint="eastAsia" w:ascii="宋体" w:hAnsi="宋体"/>
          <w:highlight w:val="none"/>
          <w:u w:val="dotted"/>
        </w:rPr>
        <w:t xml:space="preserve">是/否 </w:t>
      </w:r>
      <w:r>
        <w:rPr>
          <w:rFonts w:hint="eastAsia" w:ascii="宋体" w:hAnsi="宋体"/>
          <w:highlight w:val="none"/>
        </w:rPr>
        <w:t>公告期限：</w:t>
      </w:r>
      <w:r>
        <w:rPr>
          <w:rFonts w:hint="eastAsia" w:ascii="宋体" w:hAnsi="宋体"/>
          <w:highlight w:val="none"/>
          <w:u w:val="dotted"/>
        </w:rPr>
        <w:t xml:space="preserve">                                 </w:t>
      </w:r>
    </w:p>
    <w:p>
      <w:pPr>
        <w:rPr>
          <w:rFonts w:ascii="宋体" w:hAnsi="宋体"/>
          <w:highlight w:val="none"/>
          <w:u w:val="single"/>
        </w:rPr>
      </w:pPr>
      <w:r>
        <w:rPr>
          <w:rFonts w:hint="eastAsia" w:ascii="宋体" w:hAnsi="宋体"/>
          <w:highlight w:val="none"/>
        </w:rPr>
        <w:t>采购结果公告:</w:t>
      </w:r>
      <w:r>
        <w:rPr>
          <w:rFonts w:hint="eastAsia" w:ascii="宋体" w:hAnsi="宋体"/>
          <w:highlight w:val="none"/>
          <w:u w:val="dotted"/>
        </w:rPr>
        <w:t xml:space="preserve">是/否 </w:t>
      </w:r>
      <w:r>
        <w:rPr>
          <w:rFonts w:hint="eastAsia" w:ascii="宋体" w:hAnsi="宋体"/>
          <w:highlight w:val="none"/>
        </w:rPr>
        <w:t>公告期限：</w:t>
      </w:r>
      <w:r>
        <w:rPr>
          <w:rFonts w:hint="eastAsia" w:ascii="宋体" w:hAnsi="宋体"/>
          <w:highlight w:val="none"/>
          <w:u w:val="dotted"/>
        </w:rPr>
        <w:t xml:space="preserve">                        </w:t>
      </w:r>
    </w:p>
    <w:p>
      <w:pPr>
        <w:rPr>
          <w:rFonts w:ascii="宋体" w:hAnsi="宋体"/>
          <w:highlight w:val="none"/>
        </w:rPr>
      </w:pPr>
      <w:r>
        <w:rPr>
          <w:rFonts w:hint="eastAsia" w:ascii="宋体" w:hAnsi="宋体"/>
          <w:highlight w:val="none"/>
        </w:rPr>
        <w:t>三、质疑基本情况</w:t>
      </w:r>
    </w:p>
    <w:p>
      <w:pPr>
        <w:ind w:firstLine="480" w:firstLineChars="200"/>
        <w:rPr>
          <w:rFonts w:ascii="宋体" w:hAnsi="宋体"/>
          <w:highlight w:val="none"/>
          <w:u w:val="dotted"/>
        </w:rPr>
      </w:pPr>
      <w:r>
        <w:rPr>
          <w:rFonts w:hint="eastAsia" w:ascii="宋体" w:hAnsi="宋体"/>
          <w:highlight w:val="none"/>
        </w:rPr>
        <w:t>投诉人于</w:t>
      </w:r>
      <w:r>
        <w:rPr>
          <w:rFonts w:hint="eastAsia" w:ascii="宋体" w:hAnsi="宋体"/>
          <w:highlight w:val="none"/>
          <w:u w:val="dotted"/>
        </w:rPr>
        <w:t xml:space="preserve">   </w:t>
      </w:r>
      <w:r>
        <w:rPr>
          <w:rFonts w:hint="eastAsia" w:ascii="宋体" w:hAnsi="宋体"/>
          <w:highlight w:val="none"/>
        </w:rPr>
        <w:t>年</w:t>
      </w:r>
      <w:r>
        <w:rPr>
          <w:rFonts w:hint="eastAsia" w:ascii="宋体" w:hAnsi="宋体"/>
          <w:highlight w:val="none"/>
          <w:u w:val="dotted"/>
        </w:rPr>
        <w:t xml:space="preserve">   </w:t>
      </w:r>
      <w:r>
        <w:rPr>
          <w:rFonts w:hint="eastAsia" w:ascii="宋体" w:hAnsi="宋体"/>
          <w:highlight w:val="none"/>
        </w:rPr>
        <w:t>月</w:t>
      </w:r>
      <w:r>
        <w:rPr>
          <w:rFonts w:hint="eastAsia" w:ascii="宋体" w:hAnsi="宋体"/>
          <w:highlight w:val="none"/>
          <w:u w:val="dotted"/>
        </w:rPr>
        <w:t xml:space="preserve">  </w:t>
      </w:r>
      <w:r>
        <w:rPr>
          <w:rFonts w:hint="eastAsia" w:ascii="宋体" w:hAnsi="宋体"/>
          <w:highlight w:val="none"/>
        </w:rPr>
        <w:t>日,向</w:t>
      </w:r>
      <w:r>
        <w:rPr>
          <w:rFonts w:hint="eastAsia" w:ascii="宋体" w:hAnsi="宋体"/>
          <w:highlight w:val="none"/>
          <w:u w:val="dotted"/>
        </w:rPr>
        <w:t xml:space="preserve">                   </w:t>
      </w:r>
      <w:r>
        <w:rPr>
          <w:rFonts w:hint="eastAsia" w:ascii="宋体" w:hAnsi="宋体"/>
          <w:highlight w:val="none"/>
        </w:rPr>
        <w:t>提出质疑，质疑事项为：</w:t>
      </w:r>
      <w:r>
        <w:rPr>
          <w:rFonts w:hint="eastAsia" w:ascii="宋体" w:hAnsi="宋体"/>
          <w:highlight w:val="none"/>
          <w:u w:val="dotted"/>
        </w:rPr>
        <w:t xml:space="preserve">                                </w:t>
      </w:r>
    </w:p>
    <w:p>
      <w:pPr>
        <w:rPr>
          <w:rFonts w:ascii="宋体" w:hAnsi="宋体"/>
          <w:highlight w:val="none"/>
          <w:u w:val="dotted"/>
        </w:rPr>
      </w:pPr>
      <w:r>
        <w:rPr>
          <w:rFonts w:hint="eastAsia" w:ascii="宋体" w:hAnsi="宋体"/>
          <w:highlight w:val="none"/>
          <w:u w:val="dotted"/>
        </w:rPr>
        <w:t xml:space="preserve">                                                     </w:t>
      </w:r>
      <w:r>
        <w:rPr>
          <w:rFonts w:hint="eastAsia" w:ascii="宋体" w:hAnsi="宋体"/>
          <w:highlight w:val="none"/>
        </w:rPr>
        <w:t xml:space="preserve">  </w:t>
      </w:r>
    </w:p>
    <w:p>
      <w:pPr>
        <w:ind w:firstLine="360" w:firstLineChars="150"/>
        <w:rPr>
          <w:rFonts w:ascii="宋体" w:hAnsi="宋体"/>
          <w:highlight w:val="none"/>
        </w:rPr>
      </w:pPr>
      <w:r>
        <w:rPr>
          <w:rFonts w:hint="eastAsia" w:ascii="宋体" w:hAnsi="宋体"/>
          <w:highlight w:val="none"/>
          <w:u w:val="dotted"/>
        </w:rPr>
        <w:t>采购人/代理机构</w:t>
      </w:r>
      <w:r>
        <w:rPr>
          <w:rFonts w:hint="eastAsia" w:ascii="宋体" w:hAnsi="宋体"/>
          <w:highlight w:val="none"/>
        </w:rPr>
        <w:t>于</w:t>
      </w:r>
      <w:r>
        <w:rPr>
          <w:rFonts w:hint="eastAsia" w:ascii="宋体" w:hAnsi="宋体"/>
          <w:highlight w:val="none"/>
          <w:u w:val="dotted"/>
        </w:rPr>
        <w:t xml:space="preserve">   </w:t>
      </w:r>
      <w:r>
        <w:rPr>
          <w:rFonts w:hint="eastAsia" w:ascii="宋体" w:hAnsi="宋体"/>
          <w:highlight w:val="none"/>
        </w:rPr>
        <w:t>年</w:t>
      </w:r>
      <w:r>
        <w:rPr>
          <w:rFonts w:hint="eastAsia" w:ascii="宋体" w:hAnsi="宋体"/>
          <w:highlight w:val="none"/>
          <w:u w:val="dotted"/>
        </w:rPr>
        <w:t xml:space="preserve">   </w:t>
      </w:r>
      <w:r>
        <w:rPr>
          <w:rFonts w:hint="eastAsia" w:ascii="宋体" w:hAnsi="宋体"/>
          <w:highlight w:val="none"/>
        </w:rPr>
        <w:t>月</w:t>
      </w:r>
      <w:r>
        <w:rPr>
          <w:rFonts w:hint="eastAsia" w:ascii="宋体" w:hAnsi="宋体"/>
          <w:highlight w:val="none"/>
          <w:u w:val="dotted"/>
        </w:rPr>
        <w:t xml:space="preserve">   </w:t>
      </w:r>
      <w:r>
        <w:rPr>
          <w:rFonts w:hint="eastAsia" w:ascii="宋体" w:hAnsi="宋体"/>
          <w:highlight w:val="none"/>
        </w:rPr>
        <w:t>日,就质疑事项作出了答复/没有在法定期限内作出答复。</w:t>
      </w:r>
    </w:p>
    <w:p>
      <w:pPr>
        <w:rPr>
          <w:rFonts w:ascii="宋体" w:hAnsi="宋体"/>
          <w:highlight w:val="none"/>
        </w:rPr>
      </w:pPr>
      <w:r>
        <w:rPr>
          <w:rFonts w:hint="eastAsia" w:ascii="宋体" w:hAnsi="宋体"/>
          <w:highlight w:val="none"/>
        </w:rPr>
        <w:t>四、投诉事项具体内容</w:t>
      </w:r>
    </w:p>
    <w:p>
      <w:pPr>
        <w:rPr>
          <w:rFonts w:ascii="宋体" w:hAnsi="宋体"/>
          <w:highlight w:val="none"/>
          <w:u w:val="single"/>
        </w:rPr>
      </w:pPr>
      <w:r>
        <w:rPr>
          <w:rFonts w:hint="eastAsia" w:ascii="宋体" w:hAnsi="宋体"/>
          <w:highlight w:val="none"/>
        </w:rPr>
        <w:t>投诉事项 1：</w:t>
      </w:r>
      <w:r>
        <w:rPr>
          <w:rFonts w:hint="eastAsia" w:ascii="宋体" w:hAnsi="宋体"/>
          <w:highlight w:val="none"/>
          <w:u w:val="dotted"/>
        </w:rPr>
        <w:t xml:space="preserve">                                       </w:t>
      </w:r>
    </w:p>
    <w:p>
      <w:pPr>
        <w:rPr>
          <w:rFonts w:ascii="宋体" w:hAnsi="宋体"/>
          <w:highlight w:val="none"/>
        </w:rPr>
      </w:pPr>
      <w:r>
        <w:rPr>
          <w:rFonts w:hint="eastAsia" w:ascii="宋体" w:hAnsi="宋体"/>
          <w:highlight w:val="none"/>
        </w:rPr>
        <w:t>事实依据：</w:t>
      </w:r>
      <w:r>
        <w:rPr>
          <w:rFonts w:hint="eastAsia" w:ascii="宋体" w:hAnsi="宋体"/>
          <w:highlight w:val="none"/>
          <w:u w:val="dotted"/>
        </w:rPr>
        <w:t xml:space="preserve">                                         </w:t>
      </w:r>
    </w:p>
    <w:p>
      <w:pPr>
        <w:rPr>
          <w:rFonts w:ascii="宋体" w:hAnsi="宋体"/>
          <w:highlight w:val="none"/>
          <w:u w:val="dotted"/>
        </w:rPr>
      </w:pPr>
      <w:r>
        <w:rPr>
          <w:rFonts w:hint="eastAsia" w:ascii="宋体" w:hAnsi="宋体"/>
          <w:highlight w:val="none"/>
          <w:u w:val="dotted"/>
        </w:rPr>
        <w:t xml:space="preserve">                                                      </w:t>
      </w:r>
    </w:p>
    <w:p>
      <w:pPr>
        <w:rPr>
          <w:rFonts w:ascii="宋体" w:hAnsi="宋体"/>
          <w:highlight w:val="none"/>
          <w:u w:val="single"/>
        </w:rPr>
      </w:pPr>
      <w:r>
        <w:rPr>
          <w:rFonts w:hint="eastAsia" w:ascii="宋体" w:hAnsi="宋体"/>
          <w:highlight w:val="none"/>
        </w:rPr>
        <w:t>法律依据：</w:t>
      </w:r>
      <w:r>
        <w:rPr>
          <w:rFonts w:hint="eastAsia" w:ascii="宋体" w:hAnsi="宋体"/>
          <w:highlight w:val="none"/>
          <w:u w:val="dotted"/>
        </w:rPr>
        <w:t xml:space="preserve">                                          </w:t>
      </w:r>
    </w:p>
    <w:p>
      <w:pPr>
        <w:rPr>
          <w:rFonts w:ascii="宋体" w:hAnsi="宋体"/>
          <w:highlight w:val="none"/>
          <w:u w:val="dotted"/>
        </w:rPr>
      </w:pPr>
      <w:r>
        <w:rPr>
          <w:rFonts w:hint="eastAsia" w:ascii="宋体" w:hAnsi="宋体"/>
          <w:highlight w:val="none"/>
          <w:u w:val="dotted"/>
        </w:rPr>
        <w:t xml:space="preserve">                                                      </w:t>
      </w:r>
    </w:p>
    <w:p>
      <w:pPr>
        <w:rPr>
          <w:rFonts w:ascii="宋体" w:hAnsi="宋体"/>
          <w:highlight w:val="none"/>
        </w:rPr>
      </w:pPr>
      <w:r>
        <w:rPr>
          <w:rFonts w:hint="eastAsia" w:ascii="宋体" w:hAnsi="宋体"/>
          <w:highlight w:val="none"/>
        </w:rPr>
        <w:t>投诉事项2</w:t>
      </w:r>
    </w:p>
    <w:p>
      <w:pPr>
        <w:rPr>
          <w:rFonts w:ascii="宋体" w:hAnsi="宋体"/>
          <w:highlight w:val="none"/>
          <w:u w:val="dotted"/>
        </w:rPr>
      </w:pPr>
      <w:r>
        <w:rPr>
          <w:rFonts w:hint="eastAsia" w:ascii="宋体" w:hAnsi="宋体"/>
          <w:highlight w:val="none"/>
        </w:rPr>
        <w:t>……</w:t>
      </w:r>
    </w:p>
    <w:p>
      <w:pPr>
        <w:rPr>
          <w:rFonts w:ascii="宋体" w:hAnsi="宋体"/>
          <w:highlight w:val="none"/>
        </w:rPr>
      </w:pPr>
      <w:r>
        <w:rPr>
          <w:rFonts w:hint="eastAsia" w:ascii="宋体" w:hAnsi="宋体"/>
          <w:highlight w:val="none"/>
        </w:rPr>
        <w:t>五、与投诉事项相关的投诉请求</w:t>
      </w:r>
    </w:p>
    <w:p>
      <w:pPr>
        <w:rPr>
          <w:rFonts w:ascii="宋体" w:hAnsi="宋体"/>
          <w:highlight w:val="none"/>
        </w:rPr>
      </w:pPr>
      <w:r>
        <w:rPr>
          <w:rFonts w:hint="eastAsia" w:ascii="宋体" w:hAnsi="宋体"/>
          <w:highlight w:val="none"/>
        </w:rPr>
        <w:t>请求：</w:t>
      </w:r>
      <w:r>
        <w:rPr>
          <w:rFonts w:hint="eastAsia" w:ascii="宋体" w:hAnsi="宋体"/>
          <w:highlight w:val="none"/>
          <w:u w:val="dotted"/>
        </w:rPr>
        <w:t xml:space="preserve">                                              </w:t>
      </w:r>
      <w:r>
        <w:rPr>
          <w:rFonts w:hint="eastAsia" w:ascii="宋体" w:hAnsi="宋体"/>
          <w:highlight w:val="none"/>
        </w:rPr>
        <w:t xml:space="preserve"> </w:t>
      </w:r>
    </w:p>
    <w:p>
      <w:pPr>
        <w:rPr>
          <w:rFonts w:ascii="宋体" w:hAnsi="宋体"/>
          <w:highlight w:val="none"/>
          <w:u w:val="single"/>
        </w:rPr>
      </w:pPr>
      <w:r>
        <w:rPr>
          <w:rFonts w:hint="eastAsia" w:ascii="宋体" w:hAnsi="宋体"/>
          <w:highlight w:val="none"/>
        </w:rPr>
        <w:t xml:space="preserve">                                                                                                    </w:t>
      </w:r>
    </w:p>
    <w:p>
      <w:pPr>
        <w:rPr>
          <w:rFonts w:ascii="宋体" w:hAnsi="宋体"/>
          <w:highlight w:val="none"/>
        </w:rPr>
      </w:pPr>
      <w:r>
        <w:rPr>
          <w:rFonts w:hint="eastAsia" w:ascii="宋体" w:hAnsi="宋体"/>
          <w:highlight w:val="none"/>
        </w:rPr>
        <w:t xml:space="preserve">签字(签章)：                   公章：                      </w:t>
      </w:r>
    </w:p>
    <w:p>
      <w:pPr>
        <w:rPr>
          <w:rFonts w:ascii="宋体" w:hAnsi="宋体"/>
          <w:highlight w:val="none"/>
        </w:rPr>
      </w:pPr>
      <w:r>
        <w:rPr>
          <w:rFonts w:hint="eastAsia" w:ascii="宋体" w:hAnsi="宋体"/>
          <w:highlight w:val="none"/>
        </w:rPr>
        <w:t xml:space="preserve">日期：    </w:t>
      </w:r>
    </w:p>
    <w:p>
      <w:pPr>
        <w:rPr>
          <w:rFonts w:ascii="宋体" w:hAnsi="宋体"/>
          <w:b/>
          <w:highlight w:val="none"/>
        </w:rPr>
      </w:pPr>
    </w:p>
    <w:p>
      <w:pPr>
        <w:rPr>
          <w:rFonts w:ascii="宋体" w:hAnsi="宋体"/>
          <w:b/>
          <w:highlight w:val="none"/>
        </w:rPr>
      </w:pPr>
    </w:p>
    <w:p>
      <w:pPr>
        <w:rPr>
          <w:rFonts w:ascii="宋体" w:hAnsi="宋体"/>
          <w:b/>
          <w:highlight w:val="none"/>
        </w:rPr>
      </w:pPr>
    </w:p>
    <w:p>
      <w:pPr>
        <w:rPr>
          <w:rFonts w:ascii="宋体" w:hAnsi="宋体"/>
          <w:b/>
          <w:highlight w:val="none"/>
        </w:rPr>
      </w:pPr>
    </w:p>
    <w:p>
      <w:pPr>
        <w:rPr>
          <w:rFonts w:ascii="宋体" w:hAnsi="宋体"/>
          <w:b/>
          <w:highlight w:val="none"/>
        </w:rPr>
      </w:pPr>
      <w:r>
        <w:rPr>
          <w:rFonts w:hint="eastAsia" w:ascii="宋体" w:hAnsi="宋体"/>
          <w:b/>
          <w:highlight w:val="none"/>
        </w:rPr>
        <w:t>投诉书制作说明：</w:t>
      </w:r>
    </w:p>
    <w:p>
      <w:pPr>
        <w:widowControl/>
        <w:ind w:firstLine="480" w:firstLineChars="200"/>
        <w:rPr>
          <w:rFonts w:ascii="宋体" w:hAnsi="宋体" w:cs="宋体"/>
          <w:kern w:val="0"/>
          <w:highlight w:val="none"/>
        </w:rPr>
      </w:pPr>
      <w:r>
        <w:rPr>
          <w:rFonts w:hint="eastAsia" w:ascii="宋体" w:hAnsi="宋体"/>
          <w:highlight w:val="none"/>
        </w:rPr>
        <w:t>1.投诉人提起投诉时，应当提交投诉书和必要的证明材料，并按照被投诉人和与投诉事项有关的供应商数量提供投诉书副本。</w:t>
      </w:r>
    </w:p>
    <w:p>
      <w:pPr>
        <w:widowControl/>
        <w:ind w:firstLine="480" w:firstLineChars="200"/>
        <w:jc w:val="left"/>
        <w:rPr>
          <w:rFonts w:ascii="宋体" w:hAnsi="宋体" w:cs="宋体"/>
          <w:kern w:val="0"/>
          <w:highlight w:val="none"/>
        </w:rPr>
      </w:pPr>
      <w:r>
        <w:rPr>
          <w:rFonts w:hint="eastAsia" w:ascii="宋体" w:hAnsi="宋体"/>
          <w:highlight w:val="none"/>
        </w:rPr>
        <w:t>2.投诉人若委托代理人进行投诉的，投诉书应按照要求列明“授权代表”的有关内容，并在附件中提交由</w:t>
      </w:r>
      <w:r>
        <w:rPr>
          <w:rFonts w:hint="eastAsia" w:ascii="宋体" w:hAnsi="宋体" w:cs="宋体"/>
          <w:kern w:val="0"/>
          <w:highlight w:val="none"/>
        </w:rPr>
        <w:t>投诉人签署的授权委托书。授权委托书应当载明代理人的姓名或者名称、代理事项、具体权限、期限和相关事项。</w:t>
      </w:r>
    </w:p>
    <w:p>
      <w:pPr>
        <w:widowControl/>
        <w:ind w:firstLine="480" w:firstLineChars="200"/>
        <w:jc w:val="left"/>
        <w:rPr>
          <w:rFonts w:ascii="宋体" w:hAnsi="宋体"/>
          <w:highlight w:val="none"/>
        </w:rPr>
      </w:pPr>
      <w:r>
        <w:rPr>
          <w:rFonts w:hint="eastAsia" w:ascii="宋体" w:hAnsi="宋体"/>
          <w:highlight w:val="none"/>
        </w:rPr>
        <w:t>3.投诉人若对项目的某一分包进行投诉，投诉书应列明具体分包号。</w:t>
      </w:r>
    </w:p>
    <w:p>
      <w:pPr>
        <w:widowControl/>
        <w:ind w:firstLine="480" w:firstLineChars="200"/>
        <w:jc w:val="left"/>
        <w:rPr>
          <w:rFonts w:ascii="宋体" w:hAnsi="宋体"/>
          <w:highlight w:val="none"/>
        </w:rPr>
      </w:pPr>
      <w:r>
        <w:rPr>
          <w:rFonts w:hint="eastAsia" w:ascii="宋体" w:hAnsi="宋体"/>
          <w:highlight w:val="none"/>
        </w:rPr>
        <w:t>4.投诉书应简要列明质疑事项，质疑函、质疑答复等作为附件材料提供。</w:t>
      </w:r>
    </w:p>
    <w:p>
      <w:pPr>
        <w:widowControl/>
        <w:ind w:firstLine="480" w:firstLineChars="200"/>
        <w:jc w:val="left"/>
        <w:rPr>
          <w:rFonts w:ascii="宋体" w:hAnsi="宋体"/>
          <w:highlight w:val="none"/>
        </w:rPr>
      </w:pPr>
      <w:r>
        <w:rPr>
          <w:rFonts w:hint="eastAsia" w:ascii="宋体" w:hAnsi="宋体"/>
          <w:highlight w:val="none"/>
        </w:rPr>
        <w:t>5.投诉书的投诉事项应具体、明确，并有必要的事实依据和法律依据。</w:t>
      </w:r>
    </w:p>
    <w:p>
      <w:pPr>
        <w:widowControl/>
        <w:ind w:firstLine="480" w:firstLineChars="200"/>
        <w:jc w:val="left"/>
        <w:rPr>
          <w:rFonts w:ascii="宋体" w:hAnsi="宋体"/>
          <w:highlight w:val="none"/>
        </w:rPr>
      </w:pPr>
      <w:r>
        <w:rPr>
          <w:rFonts w:hint="eastAsia" w:ascii="宋体" w:hAnsi="宋体"/>
          <w:highlight w:val="none"/>
        </w:rPr>
        <w:t>6.投诉书的投诉请求应与投诉事项相关。</w:t>
      </w:r>
    </w:p>
    <w:p>
      <w:pPr>
        <w:widowControl/>
        <w:ind w:firstLine="480" w:firstLineChars="200"/>
        <w:jc w:val="left"/>
        <w:rPr>
          <w:rFonts w:hint="eastAsia" w:ascii="宋体" w:hAnsi="宋体"/>
          <w:highlight w:val="none"/>
        </w:rPr>
      </w:pPr>
      <w:r>
        <w:rPr>
          <w:rFonts w:hint="eastAsia" w:ascii="宋体" w:hAnsi="宋体"/>
          <w:highlight w:val="none"/>
        </w:rPr>
        <w:t>7.投诉人为自然人的，投诉书应当由本人签字；投诉人为法人或者其他组织的，投诉书应当由法定代表人、主要负责人，或者其授权代表签字或者盖章，并加盖公章。</w:t>
      </w: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hint="eastAsia" w:ascii="宋体" w:hAnsi="宋体"/>
          <w:highlight w:val="none"/>
        </w:rPr>
      </w:pPr>
    </w:p>
    <w:p>
      <w:pPr>
        <w:widowControl/>
        <w:ind w:firstLine="480" w:firstLineChars="200"/>
        <w:jc w:val="left"/>
        <w:rPr>
          <w:rFonts w:ascii="宋体" w:hAnsi="宋体"/>
          <w:highlight w:val="none"/>
        </w:rPr>
      </w:pPr>
    </w:p>
    <w:p>
      <w:pPr>
        <w:pStyle w:val="68"/>
        <w:numPr>
          <w:ilvl w:val="0"/>
          <w:numId w:val="39"/>
        </w:numPr>
        <w:ind w:firstLineChars="0"/>
        <w:jc w:val="left"/>
        <w:outlineLvl w:val="1"/>
        <w:rPr>
          <w:rFonts w:ascii="宋体" w:hAnsi="宋体"/>
          <w:b/>
          <w:highlight w:val="none"/>
        </w:rPr>
      </w:pPr>
      <w:bookmarkStart w:id="64" w:name="_Toc73024511"/>
      <w:r>
        <w:rPr>
          <w:rFonts w:hint="eastAsia" w:ascii="宋体" w:hAnsi="宋体"/>
          <w:b/>
          <w:highlight w:val="none"/>
        </w:rPr>
        <w:t>履约保函格式</w:t>
      </w:r>
      <w:bookmarkEnd w:id="64"/>
    </w:p>
    <w:p>
      <w:pPr>
        <w:widowControl/>
        <w:jc w:val="center"/>
        <w:rPr>
          <w:rFonts w:hint="eastAsia" w:ascii="宋体"/>
          <w:b/>
          <w:sz w:val="30"/>
          <w:szCs w:val="30"/>
          <w:highlight w:val="none"/>
        </w:rPr>
      </w:pPr>
    </w:p>
    <w:p>
      <w:pPr>
        <w:widowControl/>
        <w:jc w:val="center"/>
        <w:rPr>
          <w:rFonts w:ascii="宋体"/>
          <w:b/>
          <w:sz w:val="30"/>
          <w:szCs w:val="30"/>
          <w:highlight w:val="none"/>
        </w:rPr>
      </w:pPr>
      <w:r>
        <w:rPr>
          <w:rFonts w:hint="eastAsia" w:ascii="宋体"/>
          <w:b/>
          <w:sz w:val="30"/>
          <w:szCs w:val="30"/>
          <w:highlight w:val="none"/>
        </w:rPr>
        <w:t>中国人民财产保险股份有限公司</w:t>
      </w:r>
    </w:p>
    <w:p>
      <w:pPr>
        <w:snapToGrid w:val="0"/>
        <w:spacing w:line="440" w:lineRule="exact"/>
        <w:jc w:val="center"/>
        <w:rPr>
          <w:rFonts w:ascii="宋体"/>
          <w:b/>
          <w:sz w:val="30"/>
          <w:szCs w:val="30"/>
          <w:highlight w:val="none"/>
        </w:rPr>
      </w:pPr>
      <w:r>
        <w:rPr>
          <w:rFonts w:hint="eastAsia" w:ascii="宋体"/>
          <w:b/>
          <w:sz w:val="30"/>
          <w:szCs w:val="30"/>
          <w:highlight w:val="none"/>
        </w:rPr>
        <w:t>供货履约保证保险保单保函</w:t>
      </w:r>
    </w:p>
    <w:p>
      <w:pPr>
        <w:snapToGrid w:val="0"/>
        <w:spacing w:line="400" w:lineRule="exact"/>
        <w:jc w:val="center"/>
        <w:rPr>
          <w:rFonts w:ascii="宋体"/>
          <w:b/>
          <w:bCs/>
          <w:sz w:val="25"/>
          <w:szCs w:val="25"/>
          <w:highlight w:val="none"/>
        </w:rPr>
      </w:pPr>
    </w:p>
    <w:p>
      <w:pPr>
        <w:spacing w:line="360" w:lineRule="auto"/>
        <w:rPr>
          <w:rFonts w:ascii="宋体"/>
          <w:highlight w:val="none"/>
        </w:rPr>
      </w:pPr>
      <w:r>
        <w:rPr>
          <w:rFonts w:hint="eastAsia" w:ascii="宋体"/>
          <w:highlight w:val="none"/>
        </w:rPr>
        <w:t>致：</w:t>
      </w:r>
      <w:r>
        <w:rPr>
          <w:rFonts w:hint="eastAsia" w:ascii="宋体"/>
          <w:highlight w:val="none"/>
          <w:u w:val="single"/>
        </w:rPr>
        <w:t xml:space="preserve">        </w:t>
      </w:r>
      <w:r>
        <w:rPr>
          <w:rFonts w:ascii="宋体"/>
          <w:highlight w:val="none"/>
          <w:u w:val="single"/>
        </w:rPr>
        <w:t xml:space="preserve">      </w:t>
      </w:r>
      <w:r>
        <w:rPr>
          <w:rFonts w:hint="eastAsia" w:ascii="宋体"/>
          <w:highlight w:val="none"/>
          <w:u w:val="single"/>
        </w:rPr>
        <w:t xml:space="preserve">  </w:t>
      </w:r>
      <w:r>
        <w:rPr>
          <w:rFonts w:ascii="宋体"/>
          <w:highlight w:val="none"/>
          <w:u w:val="single"/>
        </w:rPr>
        <w:t xml:space="preserve"> </w:t>
      </w:r>
      <w:r>
        <w:rPr>
          <w:rFonts w:hint="eastAsia" w:ascii="宋体"/>
          <w:highlight w:val="none"/>
        </w:rPr>
        <w:t>（采购方</w:t>
      </w:r>
      <w:r>
        <w:rPr>
          <w:rFonts w:ascii="宋体"/>
          <w:highlight w:val="none"/>
        </w:rPr>
        <w:t>名称</w:t>
      </w:r>
      <w:r>
        <w:rPr>
          <w:rFonts w:hint="eastAsia" w:ascii="宋体"/>
          <w:highlight w:val="none"/>
        </w:rPr>
        <w:t>，以下</w:t>
      </w:r>
      <w:r>
        <w:rPr>
          <w:rFonts w:ascii="宋体"/>
          <w:highlight w:val="none"/>
        </w:rPr>
        <w:t>简称“采购</w:t>
      </w:r>
      <w:r>
        <w:rPr>
          <w:rFonts w:hint="eastAsia" w:ascii="宋体"/>
          <w:highlight w:val="none"/>
        </w:rPr>
        <w:t>方</w:t>
      </w:r>
      <w:r>
        <w:rPr>
          <w:rFonts w:ascii="宋体"/>
          <w:highlight w:val="none"/>
        </w:rPr>
        <w:t>”</w:t>
      </w:r>
      <w:r>
        <w:rPr>
          <w:rFonts w:hint="eastAsia" w:ascii="宋体"/>
          <w:highlight w:val="none"/>
        </w:rPr>
        <w:t>）:</w:t>
      </w:r>
    </w:p>
    <w:p>
      <w:pPr>
        <w:spacing w:line="500" w:lineRule="exact"/>
        <w:ind w:firstLine="480" w:firstLineChars="200"/>
        <w:rPr>
          <w:rFonts w:ascii="宋体"/>
          <w:sz w:val="18"/>
          <w:szCs w:val="18"/>
          <w:highlight w:val="none"/>
        </w:rPr>
      </w:pPr>
      <w:r>
        <w:rPr>
          <w:rFonts w:ascii="Calibri" w:hAnsi="Calibri"/>
          <w:highlight w:val="none"/>
        </w:rPr>
        <mc:AlternateContent>
          <mc:Choice Requires="wps">
            <w:drawing>
              <wp:anchor distT="0" distB="0" distL="114300" distR="114300" simplePos="0" relativeHeight="251674624" behindDoc="0" locked="0" layoutInCell="1" allowOverlap="1">
                <wp:simplePos x="0" y="0"/>
                <wp:positionH relativeFrom="column">
                  <wp:posOffset>5828030</wp:posOffset>
                </wp:positionH>
                <wp:positionV relativeFrom="paragraph">
                  <wp:posOffset>1091565</wp:posOffset>
                </wp:positionV>
                <wp:extent cx="266700" cy="2343150"/>
                <wp:effectExtent l="5080" t="4445" r="13970" b="14605"/>
                <wp:wrapNone/>
                <wp:docPr id="16" name="文本框 4"/>
                <wp:cNvGraphicFramePr/>
                <a:graphic xmlns:a="http://schemas.openxmlformats.org/drawingml/2006/main">
                  <a:graphicData uri="http://schemas.microsoft.com/office/word/2010/wordprocessingShape">
                    <wps:wsp>
                      <wps:cNvSpPr txBox="1"/>
                      <wps:spPr>
                        <a:xfrm>
                          <a:off x="0" y="0"/>
                          <a:ext cx="266700" cy="2343150"/>
                        </a:xfrm>
                        <a:prstGeom prst="rect">
                          <a:avLst/>
                        </a:prstGeom>
                        <a:solidFill>
                          <a:srgbClr val="FFFFFF"/>
                        </a:solidFill>
                        <a:ln w="9525" cap="flat" cmpd="sng">
                          <a:solidFill>
                            <a:srgbClr val="FFFFFF"/>
                          </a:solidFill>
                          <a:prstDash val="solid"/>
                          <a:miter/>
                          <a:headEnd type="none" w="med" len="med"/>
                          <a:tailEnd type="none" w="med" len="med"/>
                        </a:ln>
                      </wps:spPr>
                      <wps:txbx>
                        <w:txbxContent>
                          <w:p>
                            <w:r>
                              <w:rPr>
                                <w:rFonts w:hint="eastAsia"/>
                              </w:rPr>
                              <w:t>第二联</w:t>
                            </w:r>
                          </w:p>
                          <w:p/>
                          <w:p>
                            <w:r>
                              <w:rPr>
                                <w:rFonts w:hint="eastAsia"/>
                              </w:rPr>
                              <w:t>被保险</w:t>
                            </w:r>
                            <w:r>
                              <w:t>人留存</w:t>
                            </w:r>
                          </w:p>
                        </w:txbxContent>
                      </wps:txbx>
                      <wps:bodyPr wrap="square" upright="1"/>
                    </wps:wsp>
                  </a:graphicData>
                </a:graphic>
              </wp:anchor>
            </w:drawing>
          </mc:Choice>
          <mc:Fallback>
            <w:pict>
              <v:shape id="文本框 4" o:spid="_x0000_s1026" o:spt="202" type="#_x0000_t202" style="position:absolute;left:0pt;margin-left:458.9pt;margin-top:85.95pt;height:184.5pt;width:21pt;z-index:251674624;mso-width-relative:page;mso-height-relative:page;" fillcolor="#FFFFFF" filled="t" stroked="t" coordsize="21600,2160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nRGLsWQIAAI8EAAAOAAAAZHJzL2Uyb0RvYy54bWysVEtu2zAQ3RfoHQjuG9mOnY8QOUiTpiiQ foC0B6AoSiJKcliStpQeIL1BV91033PlHB2Stuuku6JaEBzO8HHmvRmdnY9akbVwXoKp6PRgQokw HBppuop++nj94oQSH5hpmAIjKnonPD1fPn92NthSzKAH1QhHEMT4crAV7UOwZVF43gvN/AFYYdDZ gtMsoOm6onFsQHStitlkclQM4BrrgAvv8fQqO+ky4bet4OF923oRiKoo5hbS6tJax7VYnrGyc8z2 km/SYP+QhWbS4KM7qCsWGFk5+ReUltyBhzYccNAFtK3kItWA1UwnT6q57ZkVqRYkx9sdTf7/wfJ3 6w+OyKaic0oM0yjRw/dvDz9+Pfy8J/NIz2B9iVG3FuPC+BJGlDmV6u0N8M+eGLjsmenEhXMw9II1 mN403iz2rmYcH0Hq4S00+A5bBUhAY+t05A7ZIIiOMt3tpBFjIBwPZ0dHxxP0cHTNDueH00XSrmDl 9rZ1PrwWoEncVNSh9AmdrW98iNmwchsSH/OgZHMtlUqG6+pL5ciaYZtcpy8V8CRMGTJU9HQxW2QC HkHEjhU7kLrLJKmVxmoz8HQSv9xyeI6Nmc+3laSmjxAp2UcJahlwTJTUFT3ZQ4lsvzJNauLApMp7 rFSZDf2R8cx9GOsxCX24VbWG5g71cJCnAqcYNz24r5QMOBEV9V9WzAlK1BuDmp5O5/M4QsmYL45n aLh9T73vYYYjVEUDJXl7GfLYrayTXY8vZYIMXGAftDJJFBsmZ7VJH7s+kbGZ0DhW+3aK+vMfWf4G AAD//wMAUEsDBBQABgAIAAAAIQCOQa594AAAAAsBAAAPAAAAZHJzL2Rvd25yZXYueG1sTI/NTsMw EITvSLyDtUjcqBPUP4c4FQLRG0INqOXoxEsSEa+j2G0DT89yguPsjGa+zTeT68UJx9B50pDOEhBI tbcdNRreXp9u1iBCNGRN7wk1fGGATXF5kZvM+jPt8FTGRnAJhcxoaGMcMilD3aIzYeYHJPY+/OhM ZDk20o7mzOWul7dJspTOdMQLrRnwocX6szw6DaFOlvuXebk/VHKL38rax/fts9bXV9P9HYiIU/wL wy8+o0PBTJU/kg2i16DSFaNHNlapAsEJtVB8qTQs5okCWeTy/w/FDwAAAP//AwBQSwECLQAUAAYA CAAAACEAtoM4kv4AAADhAQAAEwAAAAAAAAAAAAAAAAAAAAAAW0NvbnRlbnRfVHlwZXNdLnhtbFBL AQItABQABgAIAAAAIQA4/SH/1gAAAJQBAAALAAAAAAAAAAAAAAAAAC8BAABfcmVscy8ucmVsc1BL AQItABQABgAIAAAAIQDnRGLsWQIAAI8EAAAOAAAAAAAAAAAAAAAAAC4CAABkcnMvZTJvRG9jLnht bFBLAQItABQABgAIAAAAIQCOQa594AAAAAsBAAAPAAAAAAAAAAAAAAAAALMEAABkcnMvZG93bnJl di54bWxQSwUGAAAAAAQABADzAAAAwAUAAAAA ">
                <v:fill on="t" focussize="0,0"/>
                <v:stroke color="#FFFFFF" joinstyle="miter"/>
                <v:imagedata o:title=""/>
                <o:lock v:ext="edit" aspectratio="f"/>
                <v:textbox>
                  <w:txbxContent>
                    <w:p>
                      <w:r>
                        <w:rPr>
                          <w:rFonts w:hint="eastAsia"/>
                        </w:rPr>
                        <w:t>第二联</w:t>
                      </w:r>
                    </w:p>
                    <w:p/>
                    <w:p>
                      <w:r>
                        <w:rPr>
                          <w:rFonts w:hint="eastAsia"/>
                        </w:rPr>
                        <w:t>被保险</w:t>
                      </w:r>
                      <w:r>
                        <w:t>人留存</w:t>
                      </w:r>
                    </w:p>
                  </w:txbxContent>
                </v:textbox>
              </v:shape>
            </w:pict>
          </mc:Fallback>
        </mc:AlternateContent>
      </w:r>
      <w:r>
        <w:rPr>
          <w:rFonts w:hint="eastAsia" w:ascii="宋体"/>
          <w:highlight w:val="none"/>
        </w:rPr>
        <w:t>鉴于</w:t>
      </w:r>
      <w:r>
        <w:rPr>
          <w:rFonts w:hint="eastAsia" w:ascii="宋体"/>
          <w:highlight w:val="none"/>
          <w:u w:val="single"/>
        </w:rPr>
        <w:t xml:space="preserve">       </w:t>
      </w:r>
      <w:r>
        <w:rPr>
          <w:rFonts w:ascii="宋体"/>
          <w:highlight w:val="none"/>
          <w:u w:val="single"/>
        </w:rPr>
        <w:t xml:space="preserve">   </w:t>
      </w:r>
      <w:r>
        <w:rPr>
          <w:rFonts w:hint="eastAsia" w:ascii="宋体"/>
          <w:highlight w:val="none"/>
          <w:u w:val="single"/>
        </w:rPr>
        <w:t xml:space="preserve"> </w:t>
      </w:r>
      <w:r>
        <w:rPr>
          <w:rFonts w:hint="eastAsia" w:ascii="宋体"/>
          <w:highlight w:val="none"/>
        </w:rPr>
        <w:t>（供货方</w:t>
      </w:r>
      <w:r>
        <w:rPr>
          <w:rFonts w:ascii="宋体"/>
          <w:highlight w:val="none"/>
        </w:rPr>
        <w:t>名称，</w:t>
      </w:r>
      <w:r>
        <w:rPr>
          <w:rFonts w:hint="eastAsia" w:ascii="宋体"/>
          <w:highlight w:val="none"/>
        </w:rPr>
        <w:t>以下简称“供货方”）与</w:t>
      </w:r>
      <w:r>
        <w:rPr>
          <w:rFonts w:ascii="宋体"/>
          <w:highlight w:val="none"/>
        </w:rPr>
        <w:t>贵司</w:t>
      </w:r>
      <w:r>
        <w:rPr>
          <w:rFonts w:hint="eastAsia" w:ascii="宋体"/>
          <w:highlight w:val="none"/>
        </w:rPr>
        <w:t>于</w:t>
      </w:r>
      <w:r>
        <w:rPr>
          <w:rFonts w:ascii="宋体"/>
          <w:highlight w:val="none"/>
          <w:u w:val="single"/>
        </w:rPr>
        <w:t>XXXX</w:t>
      </w:r>
      <w:r>
        <w:rPr>
          <w:rFonts w:hint="eastAsia"/>
          <w:highlight w:val="none"/>
        </w:rPr>
        <w:t>年</w:t>
      </w:r>
      <w:r>
        <w:rPr>
          <w:rFonts w:hint="eastAsia" w:ascii="宋体"/>
          <w:highlight w:val="none"/>
          <w:u w:val="single"/>
        </w:rPr>
        <w:t xml:space="preserve">    </w:t>
      </w:r>
      <w:r>
        <w:rPr>
          <w:rFonts w:ascii="宋体"/>
          <w:highlight w:val="none"/>
          <w:u w:val="single"/>
        </w:rPr>
        <w:t>XX</w:t>
      </w:r>
      <w:r>
        <w:rPr>
          <w:rFonts w:hint="eastAsia"/>
          <w:highlight w:val="none"/>
        </w:rPr>
        <w:t>月</w:t>
      </w:r>
      <w:r>
        <w:rPr>
          <w:rFonts w:ascii="宋体"/>
          <w:highlight w:val="none"/>
          <w:u w:val="single"/>
        </w:rPr>
        <w:t>XX</w:t>
      </w:r>
      <w:r>
        <w:rPr>
          <w:rFonts w:hint="eastAsia"/>
          <w:highlight w:val="none"/>
        </w:rPr>
        <w:t>日签订</w:t>
      </w:r>
      <w:r>
        <w:rPr>
          <w:rFonts w:hint="eastAsia" w:ascii="宋体"/>
          <w:highlight w:val="none"/>
          <w:u w:val="single"/>
        </w:rPr>
        <w:t xml:space="preserve">    </w:t>
      </w:r>
      <w:r>
        <w:rPr>
          <w:rFonts w:ascii="宋体"/>
          <w:highlight w:val="none"/>
          <w:u w:val="single"/>
        </w:rPr>
        <w:t xml:space="preserve">   </w:t>
      </w:r>
      <w:r>
        <w:rPr>
          <w:rFonts w:hint="eastAsia" w:ascii="宋体"/>
          <w:highlight w:val="none"/>
          <w:u w:val="single"/>
        </w:rPr>
        <w:t xml:space="preserve"> </w:t>
      </w:r>
      <w:r>
        <w:rPr>
          <w:rFonts w:ascii="宋体"/>
          <w:highlight w:val="none"/>
          <w:u w:val="single"/>
        </w:rPr>
        <w:t xml:space="preserve">   </w:t>
      </w:r>
      <w:r>
        <w:rPr>
          <w:rFonts w:hint="eastAsia" w:ascii="宋体"/>
          <w:highlight w:val="none"/>
          <w:u w:val="single"/>
        </w:rPr>
        <w:t xml:space="preserve"> </w:t>
      </w:r>
      <w:r>
        <w:rPr>
          <w:rFonts w:hint="eastAsia" w:ascii="宋体"/>
          <w:highlight w:val="none"/>
        </w:rPr>
        <w:t>项目</w:t>
      </w:r>
      <w:r>
        <w:rPr>
          <w:rFonts w:ascii="宋体"/>
          <w:highlight w:val="none"/>
        </w:rPr>
        <w:t>采购协议</w:t>
      </w:r>
      <w:r>
        <w:rPr>
          <w:szCs w:val="28"/>
          <w:highlight w:val="none"/>
        </w:rPr>
        <w:t>，</w:t>
      </w:r>
      <w:r>
        <w:rPr>
          <w:rFonts w:hint="eastAsia"/>
          <w:highlight w:val="none"/>
        </w:rPr>
        <w:t>并</w:t>
      </w:r>
      <w:r>
        <w:rPr>
          <w:rFonts w:hint="eastAsia" w:ascii="宋体"/>
          <w:highlight w:val="none"/>
        </w:rPr>
        <w:t>在我公司投保</w:t>
      </w:r>
      <w:r>
        <w:rPr>
          <w:rFonts w:ascii="宋体"/>
          <w:highlight w:val="none"/>
        </w:rPr>
        <w:t>《</w:t>
      </w:r>
      <w:r>
        <w:rPr>
          <w:rFonts w:hint="eastAsia" w:ascii="宋体"/>
          <w:highlight w:val="none"/>
        </w:rPr>
        <w:t>供货履约</w:t>
      </w:r>
      <w:r>
        <w:rPr>
          <w:rFonts w:ascii="宋体"/>
          <w:highlight w:val="none"/>
        </w:rPr>
        <w:t>保证保险》</w:t>
      </w:r>
      <w:r>
        <w:rPr>
          <w:rFonts w:hint="eastAsia" w:ascii="宋体"/>
          <w:highlight w:val="none"/>
        </w:rPr>
        <w:t>（保险单号：</w:t>
      </w:r>
      <w:r>
        <w:rPr>
          <w:rFonts w:hint="eastAsia" w:ascii="宋体"/>
          <w:highlight w:val="none"/>
          <w:u w:val="single"/>
        </w:rPr>
        <w:t xml:space="preserve">        </w:t>
      </w:r>
      <w:r>
        <w:rPr>
          <w:rFonts w:ascii="宋体"/>
          <w:highlight w:val="none"/>
          <w:u w:val="single"/>
        </w:rPr>
        <w:t xml:space="preserve">      </w:t>
      </w:r>
      <w:r>
        <w:rPr>
          <w:rFonts w:hint="eastAsia" w:ascii="宋体"/>
          <w:highlight w:val="none"/>
          <w:u w:val="single"/>
        </w:rPr>
        <w:t xml:space="preserve"> </w:t>
      </w:r>
      <w:r>
        <w:rPr>
          <w:rFonts w:ascii="宋体"/>
          <w:highlight w:val="none"/>
        </w:rPr>
        <w:t>）</w:t>
      </w:r>
      <w:r>
        <w:rPr>
          <w:rFonts w:hint="eastAsia" w:ascii="宋体"/>
          <w:highlight w:val="none"/>
        </w:rPr>
        <w:t>，我公司接受供货方的请求，向你方提供如下保证：</w:t>
      </w:r>
    </w:p>
    <w:p>
      <w:pPr>
        <w:spacing w:line="500" w:lineRule="exact"/>
        <w:ind w:firstLine="480" w:firstLineChars="200"/>
        <w:rPr>
          <w:rFonts w:ascii="宋体"/>
          <w:sz w:val="18"/>
          <w:szCs w:val="18"/>
          <w:highlight w:val="none"/>
        </w:rPr>
      </w:pPr>
      <w:r>
        <w:rPr>
          <w:rFonts w:hint="eastAsia"/>
          <w:highlight w:val="none"/>
        </w:rPr>
        <w:t>一</w:t>
      </w:r>
      <w:r>
        <w:rPr>
          <w:highlight w:val="none"/>
        </w:rPr>
        <w:t>、</w:t>
      </w:r>
      <w:r>
        <w:rPr>
          <w:rFonts w:hint="eastAsia"/>
          <w:highlight w:val="none"/>
        </w:rPr>
        <w:t>本保单保函项下我公司承担的保险责任最高限额为（下称“保险金额”）人民币</w:t>
      </w:r>
      <w:r>
        <w:rPr>
          <w:highlight w:val="none"/>
          <w:u w:val="single"/>
        </w:rPr>
        <w:t>                         </w:t>
      </w:r>
      <w:r>
        <w:rPr>
          <w:rFonts w:hint="eastAsia"/>
          <w:highlight w:val="none"/>
          <w:u w:val="single"/>
        </w:rPr>
        <w:t xml:space="preserve">   </w:t>
      </w:r>
      <w:r>
        <w:rPr>
          <w:rFonts w:hint="eastAsia"/>
          <w:highlight w:val="none"/>
        </w:rPr>
        <w:t>万元整</w:t>
      </w:r>
      <w:r>
        <w:rPr>
          <w:highlight w:val="none"/>
        </w:rPr>
        <w:t>（</w:t>
      </w:r>
      <w:r>
        <w:rPr>
          <w:rFonts w:hint="eastAsia"/>
          <w:highlight w:val="none"/>
        </w:rPr>
        <w:t>小写</w:t>
      </w:r>
      <w:r>
        <w:rPr>
          <w:highlight w:val="none"/>
        </w:rPr>
        <w:t>：</w:t>
      </w:r>
      <w:r>
        <w:rPr>
          <w:rFonts w:hint="eastAsia" w:ascii="微软雅黑" w:hAnsi="微软雅黑" w:eastAsia="微软雅黑" w:cs="Arial Unicode MS"/>
          <w:highlight w:val="none"/>
        </w:rPr>
        <w:t>￥</w:t>
      </w:r>
      <w:r>
        <w:rPr>
          <w:rFonts w:hint="eastAsia" w:ascii="宋体" w:cs="Arial Unicode MS"/>
          <w:highlight w:val="none"/>
          <w:u w:val="single"/>
        </w:rPr>
        <w:t xml:space="preserve">                 </w:t>
      </w:r>
      <w:r>
        <w:rPr>
          <w:rFonts w:hint="eastAsia" w:ascii="宋体" w:cs="Arial Unicode MS"/>
          <w:highlight w:val="none"/>
        </w:rPr>
        <w:t>元</w:t>
      </w:r>
      <w:r>
        <w:rPr>
          <w:highlight w:val="none"/>
        </w:rPr>
        <w:t>）</w:t>
      </w:r>
    </w:p>
    <w:p>
      <w:pPr>
        <w:spacing w:line="360" w:lineRule="auto"/>
        <w:ind w:firstLine="480" w:firstLineChars="200"/>
        <w:rPr>
          <w:highlight w:val="none"/>
        </w:rPr>
      </w:pPr>
      <w:r>
        <w:rPr>
          <w:rFonts w:hint="eastAsia"/>
          <w:highlight w:val="none"/>
        </w:rPr>
        <w:t>二</w:t>
      </w:r>
      <w:r>
        <w:rPr>
          <w:highlight w:val="none"/>
        </w:rPr>
        <w:t>、</w:t>
      </w:r>
      <w:r>
        <w:rPr>
          <w:rFonts w:hint="eastAsia"/>
          <w:highlight w:val="none"/>
        </w:rPr>
        <w:t>本保函的有效期自</w:t>
      </w:r>
      <w:r>
        <w:rPr>
          <w:highlight w:val="none"/>
        </w:rPr>
        <w:t> </w:t>
      </w:r>
      <w:r>
        <w:rPr>
          <w:rFonts w:hint="eastAsia" w:ascii="宋体"/>
          <w:highlight w:val="none"/>
          <w:u w:val="single"/>
        </w:rPr>
        <w:t xml:space="preserve">    </w:t>
      </w:r>
      <w:r>
        <w:rPr>
          <w:rFonts w:hint="eastAsia"/>
          <w:highlight w:val="none"/>
        </w:rPr>
        <w:t>年</w:t>
      </w:r>
      <w:r>
        <w:rPr>
          <w:rFonts w:hint="eastAsia" w:ascii="宋体"/>
          <w:highlight w:val="none"/>
          <w:u w:val="single"/>
        </w:rPr>
        <w:t xml:space="preserve">    </w:t>
      </w:r>
      <w:r>
        <w:rPr>
          <w:rFonts w:hint="eastAsia"/>
          <w:highlight w:val="none"/>
        </w:rPr>
        <w:t>月</w:t>
      </w:r>
      <w:r>
        <w:rPr>
          <w:rFonts w:hint="eastAsia" w:ascii="宋体"/>
          <w:highlight w:val="none"/>
          <w:u w:val="single"/>
        </w:rPr>
        <w:t xml:space="preserve">    </w:t>
      </w:r>
      <w:r>
        <w:rPr>
          <w:rFonts w:hint="eastAsia"/>
          <w:highlight w:val="none"/>
        </w:rPr>
        <w:t>日至</w:t>
      </w:r>
      <w:r>
        <w:rPr>
          <w:rFonts w:hint="eastAsia" w:ascii="宋体"/>
          <w:highlight w:val="none"/>
          <w:u w:val="single"/>
        </w:rPr>
        <w:t xml:space="preserve">    </w:t>
      </w:r>
      <w:r>
        <w:rPr>
          <w:rFonts w:hint="eastAsia"/>
          <w:highlight w:val="none"/>
        </w:rPr>
        <w:t>年</w:t>
      </w:r>
      <w:r>
        <w:rPr>
          <w:rFonts w:hint="eastAsia" w:ascii="宋体"/>
          <w:highlight w:val="none"/>
          <w:u w:val="single"/>
        </w:rPr>
        <w:t xml:space="preserve">    </w:t>
      </w:r>
      <w:r>
        <w:rPr>
          <w:rFonts w:hint="eastAsia"/>
          <w:highlight w:val="none"/>
        </w:rPr>
        <w:t>月</w:t>
      </w:r>
      <w:r>
        <w:rPr>
          <w:rFonts w:hint="eastAsia" w:ascii="宋体"/>
          <w:highlight w:val="none"/>
          <w:u w:val="single"/>
        </w:rPr>
        <w:t xml:space="preserve">    </w:t>
      </w:r>
      <w:r>
        <w:rPr>
          <w:rFonts w:hint="eastAsia"/>
          <w:highlight w:val="none"/>
        </w:rPr>
        <w:t>日</w:t>
      </w:r>
    </w:p>
    <w:p>
      <w:pPr>
        <w:spacing w:line="360" w:lineRule="auto"/>
        <w:ind w:firstLine="480" w:firstLineChars="200"/>
        <w:rPr>
          <w:rFonts w:ascii="宋体"/>
          <w:highlight w:val="none"/>
        </w:rPr>
      </w:pPr>
      <w:r>
        <w:rPr>
          <w:rFonts w:hint="eastAsia" w:ascii="宋体"/>
          <w:highlight w:val="none"/>
        </w:rPr>
        <w:t>三</w:t>
      </w:r>
      <w:r>
        <w:rPr>
          <w:rFonts w:ascii="宋体"/>
          <w:highlight w:val="none"/>
        </w:rPr>
        <w:t>、</w:t>
      </w:r>
      <w:r>
        <w:rPr>
          <w:rFonts w:hint="eastAsia" w:ascii="宋体"/>
          <w:highlight w:val="none"/>
        </w:rPr>
        <w:t>在保险</w:t>
      </w:r>
      <w:r>
        <w:rPr>
          <w:rFonts w:ascii="宋体"/>
          <w:highlight w:val="none"/>
        </w:rPr>
        <w:t>期间内，</w:t>
      </w:r>
      <w:r>
        <w:rPr>
          <w:rFonts w:hint="eastAsia" w:ascii="宋体"/>
          <w:highlight w:val="none"/>
        </w:rPr>
        <w:t>供货方（投保人）因</w:t>
      </w:r>
      <w:r>
        <w:rPr>
          <w:rFonts w:ascii="宋体"/>
          <w:highlight w:val="none"/>
        </w:rPr>
        <w:t>自身原因</w:t>
      </w:r>
      <w:r>
        <w:rPr>
          <w:rFonts w:hint="eastAsia" w:ascii="宋体"/>
          <w:highlight w:val="none"/>
        </w:rPr>
        <w:t>未</w:t>
      </w:r>
      <w:r>
        <w:rPr>
          <w:rFonts w:ascii="宋体"/>
          <w:highlight w:val="none"/>
        </w:rPr>
        <w:t>按照</w:t>
      </w:r>
      <w:r>
        <w:rPr>
          <w:rFonts w:hint="eastAsia" w:ascii="宋体"/>
          <w:highlight w:val="none"/>
        </w:rPr>
        <w:t>与采购方</w:t>
      </w:r>
      <w:r>
        <w:rPr>
          <w:rFonts w:ascii="宋体"/>
          <w:highlight w:val="none"/>
        </w:rPr>
        <w:t>（</w:t>
      </w:r>
      <w:r>
        <w:rPr>
          <w:rFonts w:hint="eastAsia" w:ascii="宋体"/>
          <w:highlight w:val="none"/>
        </w:rPr>
        <w:t>被保险人</w:t>
      </w:r>
      <w:r>
        <w:rPr>
          <w:rFonts w:ascii="宋体"/>
          <w:highlight w:val="none"/>
        </w:rPr>
        <w:t>）</w:t>
      </w:r>
      <w:r>
        <w:rPr>
          <w:rFonts w:hint="eastAsia" w:ascii="宋体"/>
          <w:highlight w:val="none"/>
        </w:rPr>
        <w:t>签订</w:t>
      </w:r>
      <w:r>
        <w:rPr>
          <w:rFonts w:ascii="宋体"/>
          <w:highlight w:val="none"/>
        </w:rPr>
        <w:t>的</w:t>
      </w:r>
      <w:r>
        <w:rPr>
          <w:rFonts w:hint="eastAsia" w:ascii="宋体"/>
          <w:highlight w:val="none"/>
        </w:rPr>
        <w:t>采购协议</w:t>
      </w:r>
      <w:r>
        <w:rPr>
          <w:rFonts w:ascii="宋体"/>
          <w:highlight w:val="none"/>
        </w:rPr>
        <w:t>（</w:t>
      </w:r>
      <w:r>
        <w:rPr>
          <w:rFonts w:hint="eastAsia" w:ascii="宋体"/>
          <w:highlight w:val="none"/>
        </w:rPr>
        <w:t>合同编号</w:t>
      </w:r>
      <w:r>
        <w:rPr>
          <w:highlight w:val="none"/>
          <w:u w:val="single"/>
        </w:rPr>
        <w:t>                         </w:t>
      </w:r>
      <w:r>
        <w:rPr>
          <w:rFonts w:hint="eastAsia"/>
          <w:highlight w:val="none"/>
          <w:u w:val="single"/>
        </w:rPr>
        <w:t xml:space="preserve">  </w:t>
      </w:r>
      <w:r>
        <w:rPr>
          <w:rFonts w:ascii="宋体"/>
          <w:highlight w:val="none"/>
        </w:rPr>
        <w:t>）</w:t>
      </w:r>
      <w:r>
        <w:rPr>
          <w:rFonts w:hint="eastAsia" w:ascii="宋体"/>
          <w:highlight w:val="none"/>
        </w:rPr>
        <w:t>履行以下</w:t>
      </w:r>
      <w:r>
        <w:rPr>
          <w:rFonts w:ascii="宋体"/>
          <w:highlight w:val="none"/>
        </w:rPr>
        <w:t>义务，给被保险人造成直接经济损失的，</w:t>
      </w:r>
      <w:r>
        <w:rPr>
          <w:rFonts w:hint="eastAsia" w:ascii="宋体"/>
          <w:highlight w:val="none"/>
        </w:rPr>
        <w:t>被保险人</w:t>
      </w:r>
      <w:r>
        <w:rPr>
          <w:rFonts w:ascii="宋体"/>
          <w:highlight w:val="none"/>
        </w:rPr>
        <w:t>可向保险人提出索赔，保险人按照</w:t>
      </w:r>
      <w:r>
        <w:rPr>
          <w:rFonts w:hint="eastAsia" w:ascii="宋体"/>
          <w:highlight w:val="none"/>
        </w:rPr>
        <w:t>保险合同</w:t>
      </w:r>
      <w:r>
        <w:rPr>
          <w:rFonts w:ascii="宋体"/>
          <w:highlight w:val="none"/>
        </w:rPr>
        <w:t>的约定</w:t>
      </w:r>
      <w:r>
        <w:rPr>
          <w:rFonts w:hint="eastAsia" w:ascii="宋体"/>
          <w:highlight w:val="none"/>
        </w:rPr>
        <w:t>承担</w:t>
      </w:r>
      <w:r>
        <w:rPr>
          <w:rFonts w:ascii="宋体"/>
          <w:highlight w:val="none"/>
        </w:rPr>
        <w:t>损失赔偿责任。</w:t>
      </w:r>
    </w:p>
    <w:p>
      <w:pPr>
        <w:spacing w:line="360" w:lineRule="auto"/>
        <w:ind w:firstLine="480" w:firstLineChars="200"/>
        <w:rPr>
          <w:rFonts w:ascii="宋体"/>
          <w:highlight w:val="none"/>
        </w:rPr>
      </w:pPr>
      <w:r>
        <w:rPr>
          <w:rFonts w:hint="eastAsia" w:ascii="宋体"/>
          <w:highlight w:val="none"/>
        </w:rPr>
        <w:t>（一）未</w:t>
      </w:r>
      <w:r>
        <w:rPr>
          <w:rFonts w:ascii="宋体"/>
          <w:highlight w:val="none"/>
        </w:rPr>
        <w:t>按照</w:t>
      </w:r>
      <w:r>
        <w:rPr>
          <w:rFonts w:hint="eastAsia" w:ascii="宋体"/>
          <w:highlight w:val="none"/>
        </w:rPr>
        <w:t>采购协议约定</w:t>
      </w:r>
      <w:r>
        <w:rPr>
          <w:rFonts w:ascii="宋体"/>
          <w:highlight w:val="none"/>
        </w:rPr>
        <w:t>的时间</w:t>
      </w:r>
      <w:r>
        <w:rPr>
          <w:rFonts w:hint="eastAsia" w:ascii="宋体"/>
          <w:highlight w:val="none"/>
        </w:rPr>
        <w:t>交付</w:t>
      </w:r>
      <w:r>
        <w:rPr>
          <w:rFonts w:ascii="宋体"/>
          <w:highlight w:val="none"/>
        </w:rPr>
        <w:t>货物</w:t>
      </w:r>
      <w:r>
        <w:rPr>
          <w:rFonts w:hint="eastAsia" w:ascii="宋体"/>
          <w:highlight w:val="none"/>
        </w:rPr>
        <w:t>；</w:t>
      </w:r>
    </w:p>
    <w:p>
      <w:pPr>
        <w:spacing w:line="360" w:lineRule="auto"/>
        <w:ind w:firstLine="480" w:firstLineChars="200"/>
        <w:rPr>
          <w:rFonts w:ascii="宋体"/>
          <w:highlight w:val="none"/>
        </w:rPr>
      </w:pPr>
      <w:r>
        <w:rPr>
          <w:rFonts w:hint="eastAsia" w:ascii="宋体"/>
          <w:highlight w:val="none"/>
        </w:rPr>
        <w:t>（二）交</w:t>
      </w:r>
      <w:r>
        <w:rPr>
          <w:rFonts w:ascii="宋体"/>
          <w:highlight w:val="none"/>
        </w:rPr>
        <w:t>付</w:t>
      </w:r>
      <w:r>
        <w:rPr>
          <w:rFonts w:hint="eastAsia" w:ascii="宋体"/>
          <w:highlight w:val="none"/>
        </w:rPr>
        <w:t>货物的规格、型号</w:t>
      </w:r>
      <w:r>
        <w:rPr>
          <w:rFonts w:ascii="宋体"/>
          <w:highlight w:val="none"/>
        </w:rPr>
        <w:t>、</w:t>
      </w:r>
      <w:r>
        <w:rPr>
          <w:rFonts w:hint="eastAsia" w:ascii="宋体"/>
          <w:highlight w:val="none"/>
        </w:rPr>
        <w:t>数量、质量等不符合</w:t>
      </w:r>
      <w:r>
        <w:rPr>
          <w:rFonts w:ascii="宋体"/>
          <w:highlight w:val="none"/>
        </w:rPr>
        <w:t>采购协议</w:t>
      </w:r>
      <w:r>
        <w:rPr>
          <w:rFonts w:hint="eastAsia" w:ascii="宋体"/>
          <w:highlight w:val="none"/>
        </w:rPr>
        <w:t>约定标准；</w:t>
      </w:r>
    </w:p>
    <w:p>
      <w:pPr>
        <w:spacing w:line="360" w:lineRule="auto"/>
        <w:ind w:firstLine="480" w:firstLineChars="200"/>
        <w:rPr>
          <w:rFonts w:ascii="宋体"/>
          <w:highlight w:val="none"/>
        </w:rPr>
      </w:pPr>
      <w:r>
        <w:rPr>
          <w:rFonts w:hint="eastAsia" w:ascii="宋体"/>
          <w:highlight w:val="none"/>
        </w:rPr>
        <w:t>（三）</w:t>
      </w:r>
      <w:r>
        <w:rPr>
          <w:rFonts w:ascii="宋体"/>
          <w:highlight w:val="none"/>
        </w:rPr>
        <w:t>未</w:t>
      </w:r>
      <w:r>
        <w:rPr>
          <w:rFonts w:hint="eastAsia" w:ascii="宋体"/>
          <w:highlight w:val="none"/>
        </w:rPr>
        <w:t>按照采购</w:t>
      </w:r>
      <w:r>
        <w:rPr>
          <w:rFonts w:ascii="宋体"/>
          <w:highlight w:val="none"/>
        </w:rPr>
        <w:t>协议约定</w:t>
      </w:r>
      <w:r>
        <w:rPr>
          <w:rFonts w:hint="eastAsia" w:ascii="宋体"/>
          <w:highlight w:val="none"/>
        </w:rPr>
        <w:t>提供</w:t>
      </w:r>
      <w:r>
        <w:rPr>
          <w:rFonts w:ascii="宋体"/>
          <w:highlight w:val="none"/>
        </w:rPr>
        <w:t>质量保证</w:t>
      </w:r>
      <w:r>
        <w:rPr>
          <w:rFonts w:hint="eastAsia" w:ascii="宋体"/>
          <w:highlight w:val="none"/>
        </w:rPr>
        <w:t>期“三</w:t>
      </w:r>
      <w:r>
        <w:rPr>
          <w:rFonts w:ascii="宋体"/>
          <w:highlight w:val="none"/>
        </w:rPr>
        <w:t>包</w:t>
      </w:r>
      <w:r>
        <w:rPr>
          <w:rFonts w:hint="eastAsia" w:ascii="宋体"/>
          <w:highlight w:val="none"/>
        </w:rPr>
        <w:t>”服务</w:t>
      </w:r>
      <w:r>
        <w:rPr>
          <w:rFonts w:ascii="宋体"/>
          <w:highlight w:val="none"/>
        </w:rPr>
        <w:t>。</w:t>
      </w:r>
    </w:p>
    <w:p>
      <w:pPr>
        <w:spacing w:line="360" w:lineRule="auto"/>
        <w:ind w:firstLine="480" w:firstLineChars="200"/>
        <w:rPr>
          <w:highlight w:val="none"/>
        </w:rPr>
      </w:pPr>
      <w:r>
        <w:rPr>
          <w:rFonts w:hint="eastAsia" w:ascii="宋体"/>
          <w:highlight w:val="none"/>
        </w:rPr>
        <w:t>四</w:t>
      </w:r>
      <w:r>
        <w:rPr>
          <w:rFonts w:ascii="宋体"/>
          <w:highlight w:val="none"/>
        </w:rPr>
        <w:t>、</w:t>
      </w:r>
      <w:r>
        <w:rPr>
          <w:rFonts w:hint="eastAsia" w:ascii="宋体"/>
          <w:highlight w:val="none"/>
        </w:rPr>
        <w:t>当供货方未</w:t>
      </w:r>
      <w:r>
        <w:rPr>
          <w:rFonts w:ascii="宋体"/>
          <w:highlight w:val="none"/>
        </w:rPr>
        <w:t>按照采购协议履行义务</w:t>
      </w:r>
      <w:r>
        <w:rPr>
          <w:rFonts w:hint="eastAsia" w:ascii="宋体"/>
          <w:highlight w:val="none"/>
        </w:rPr>
        <w:t>给采购方</w:t>
      </w:r>
      <w:r>
        <w:rPr>
          <w:rFonts w:ascii="宋体"/>
          <w:highlight w:val="none"/>
        </w:rPr>
        <w:t>造成损失时，保险</w:t>
      </w:r>
      <w:r>
        <w:rPr>
          <w:rFonts w:hint="eastAsia" w:ascii="宋体"/>
          <w:highlight w:val="none"/>
        </w:rPr>
        <w:t>公司根据</w:t>
      </w:r>
      <w:r>
        <w:rPr>
          <w:rFonts w:ascii="宋体"/>
          <w:highlight w:val="none"/>
        </w:rPr>
        <w:t>保险</w:t>
      </w:r>
      <w:r>
        <w:rPr>
          <w:rFonts w:hint="eastAsia" w:ascii="宋体"/>
          <w:highlight w:val="none"/>
        </w:rPr>
        <w:t>协议</w:t>
      </w:r>
      <w:r>
        <w:rPr>
          <w:rFonts w:ascii="宋体"/>
          <w:highlight w:val="none"/>
        </w:rPr>
        <w:t>在</w:t>
      </w:r>
      <w:r>
        <w:rPr>
          <w:rFonts w:hint="eastAsia" w:ascii="宋体"/>
          <w:highlight w:val="none"/>
        </w:rPr>
        <w:t>确定</w:t>
      </w:r>
      <w:r>
        <w:rPr>
          <w:rFonts w:ascii="宋体"/>
          <w:highlight w:val="none"/>
        </w:rPr>
        <w:t>损失10个工作日</w:t>
      </w:r>
      <w:r>
        <w:rPr>
          <w:rFonts w:hint="eastAsia" w:ascii="宋体"/>
          <w:highlight w:val="none"/>
        </w:rPr>
        <w:t>内</w:t>
      </w:r>
      <w:r>
        <w:rPr>
          <w:rFonts w:ascii="宋体"/>
          <w:highlight w:val="none"/>
        </w:rPr>
        <w:t>完成赔付</w:t>
      </w:r>
      <w:r>
        <w:rPr>
          <w:rFonts w:hint="eastAsia" w:ascii="宋体"/>
          <w:highlight w:val="none"/>
        </w:rPr>
        <w:t>。</w:t>
      </w:r>
    </w:p>
    <w:p>
      <w:pPr>
        <w:spacing w:line="500" w:lineRule="exact"/>
        <w:ind w:firstLine="480" w:firstLineChars="200"/>
        <w:rPr>
          <w:highlight w:val="none"/>
        </w:rPr>
      </w:pPr>
    </w:p>
    <w:p>
      <w:pPr>
        <w:spacing w:line="360" w:lineRule="auto"/>
        <w:rPr>
          <w:rFonts w:ascii="宋体"/>
          <w:highlight w:val="none"/>
        </w:rPr>
      </w:pPr>
      <w:r>
        <w:rPr>
          <w:rFonts w:hint="eastAsia" w:ascii="宋体"/>
          <w:highlight w:val="none"/>
        </w:rPr>
        <w:t>附</w:t>
      </w:r>
      <w:r>
        <w:rPr>
          <w:rFonts w:ascii="宋体"/>
          <w:highlight w:val="none"/>
        </w:rPr>
        <w:t>：</w:t>
      </w:r>
      <w:r>
        <w:rPr>
          <w:rFonts w:hint="eastAsia" w:ascii="宋体"/>
          <w:highlight w:val="none"/>
        </w:rPr>
        <w:t>《中国</w:t>
      </w:r>
      <w:r>
        <w:rPr>
          <w:rFonts w:ascii="宋体"/>
          <w:highlight w:val="none"/>
        </w:rPr>
        <w:t>人民财产保险股份有限公司</w:t>
      </w:r>
      <w:r>
        <w:rPr>
          <w:rFonts w:hint="eastAsia" w:ascii="宋体"/>
          <w:highlight w:val="none"/>
        </w:rPr>
        <w:t>供货履约</w:t>
      </w:r>
      <w:r>
        <w:rPr>
          <w:rFonts w:ascii="宋体"/>
          <w:highlight w:val="none"/>
        </w:rPr>
        <w:t>保证保险</w:t>
      </w:r>
      <w:r>
        <w:rPr>
          <w:rFonts w:hint="eastAsia" w:ascii="宋体"/>
          <w:highlight w:val="none"/>
        </w:rPr>
        <w:t>条款》及</w:t>
      </w:r>
      <w:r>
        <w:rPr>
          <w:rFonts w:ascii="宋体"/>
          <w:highlight w:val="none"/>
        </w:rPr>
        <w:t>保单</w:t>
      </w:r>
    </w:p>
    <w:p>
      <w:pPr>
        <w:spacing w:line="360" w:lineRule="auto"/>
        <w:ind w:firstLine="240" w:firstLineChars="100"/>
        <w:jc w:val="right"/>
        <w:rPr>
          <w:rFonts w:ascii="宋体"/>
          <w:highlight w:val="none"/>
        </w:rPr>
      </w:pPr>
    </w:p>
    <w:p>
      <w:pPr>
        <w:spacing w:line="360" w:lineRule="auto"/>
        <w:ind w:firstLine="240" w:firstLineChars="100"/>
        <w:rPr>
          <w:rFonts w:ascii="宋体"/>
          <w:highlight w:val="none"/>
          <w:u w:val="single"/>
        </w:rPr>
      </w:pPr>
      <w:r>
        <w:rPr>
          <w:rFonts w:hint="eastAsia" w:ascii="宋体"/>
          <w:highlight w:val="none"/>
        </w:rPr>
        <w:t>保险人：</w:t>
      </w:r>
      <w:r>
        <w:rPr>
          <w:rFonts w:hint="eastAsia" w:ascii="宋体"/>
          <w:highlight w:val="none"/>
          <w:u w:val="single"/>
        </w:rPr>
        <w:t xml:space="preserve">                 </w:t>
      </w:r>
      <w:r>
        <w:rPr>
          <w:rFonts w:hint="eastAsia" w:ascii="宋体"/>
          <w:highlight w:val="none"/>
        </w:rPr>
        <w:t xml:space="preserve">（盖章）  </w:t>
      </w:r>
      <w:r>
        <w:rPr>
          <w:rFonts w:ascii="宋体"/>
          <w:highlight w:val="none"/>
        </w:rPr>
        <w:t xml:space="preserve">        </w:t>
      </w:r>
      <w:r>
        <w:rPr>
          <w:rFonts w:hint="eastAsia" w:ascii="宋体"/>
          <w:highlight w:val="none"/>
        </w:rPr>
        <w:t>签单</w:t>
      </w:r>
      <w:r>
        <w:rPr>
          <w:rFonts w:ascii="宋体"/>
          <w:highlight w:val="none"/>
        </w:rPr>
        <w:t>日期：</w:t>
      </w:r>
      <w:r>
        <w:rPr>
          <w:rFonts w:hint="eastAsia" w:ascii="宋体"/>
          <w:highlight w:val="none"/>
          <w:u w:val="single"/>
        </w:rPr>
        <w:t xml:space="preserve">  </w:t>
      </w:r>
      <w:r>
        <w:rPr>
          <w:rFonts w:ascii="宋体"/>
          <w:highlight w:val="none"/>
          <w:u w:val="single"/>
        </w:rPr>
        <w:t xml:space="preserve">          </w:t>
      </w:r>
      <w:r>
        <w:rPr>
          <w:rFonts w:hint="eastAsia" w:ascii="宋体"/>
          <w:highlight w:val="none"/>
          <w:u w:val="single"/>
        </w:rPr>
        <w:t xml:space="preserve">  </w:t>
      </w:r>
    </w:p>
    <w:p>
      <w:pPr>
        <w:spacing w:line="360" w:lineRule="auto"/>
        <w:ind w:firstLine="240" w:firstLineChars="100"/>
        <w:rPr>
          <w:rFonts w:ascii="宋体"/>
          <w:highlight w:val="none"/>
          <w:u w:val="single"/>
        </w:rPr>
      </w:pPr>
      <w:r>
        <w:rPr>
          <w:rFonts w:hint="eastAsia" w:ascii="宋体"/>
          <w:highlight w:val="none"/>
        </w:rPr>
        <w:t>公司地址</w:t>
      </w:r>
      <w:r>
        <w:rPr>
          <w:rFonts w:ascii="宋体"/>
          <w:highlight w:val="none"/>
        </w:rPr>
        <w:t>：</w:t>
      </w:r>
      <w:r>
        <w:rPr>
          <w:rFonts w:hint="eastAsia" w:ascii="宋体"/>
          <w:highlight w:val="none"/>
          <w:u w:val="single"/>
        </w:rPr>
        <w:t xml:space="preserve"> </w:t>
      </w:r>
      <w:r>
        <w:rPr>
          <w:rFonts w:ascii="宋体"/>
          <w:highlight w:val="none"/>
          <w:u w:val="single"/>
        </w:rPr>
        <w:t xml:space="preserve">              </w:t>
      </w:r>
      <w:r>
        <w:rPr>
          <w:rFonts w:hint="eastAsia" w:ascii="宋体"/>
          <w:highlight w:val="none"/>
        </w:rPr>
        <w:t xml:space="preserve"> </w:t>
      </w:r>
      <w:r>
        <w:rPr>
          <w:rFonts w:ascii="宋体"/>
          <w:highlight w:val="none"/>
        </w:rPr>
        <w:t xml:space="preserve">                 </w:t>
      </w:r>
      <w:r>
        <w:rPr>
          <w:rFonts w:hint="eastAsia" w:ascii="宋体"/>
          <w:highlight w:val="none"/>
        </w:rPr>
        <w:t>邮编：</w:t>
      </w:r>
      <w:r>
        <w:rPr>
          <w:rFonts w:ascii="宋体"/>
          <w:highlight w:val="none"/>
          <w:u w:val="single"/>
        </w:rPr>
        <w:t xml:space="preserve">              </w:t>
      </w:r>
    </w:p>
    <w:p>
      <w:pPr>
        <w:spacing w:line="360" w:lineRule="auto"/>
        <w:ind w:firstLine="240" w:firstLineChars="100"/>
        <w:rPr>
          <w:rFonts w:ascii="宋体"/>
          <w:highlight w:val="none"/>
        </w:rPr>
      </w:pPr>
      <w:r>
        <w:rPr>
          <w:rFonts w:hint="eastAsia" w:ascii="宋体"/>
          <w:highlight w:val="none"/>
        </w:rPr>
        <w:t>联系电话：</w:t>
      </w:r>
      <w:r>
        <w:rPr>
          <w:rFonts w:hint="eastAsia" w:ascii="宋体"/>
          <w:highlight w:val="none"/>
          <w:u w:val="single"/>
        </w:rPr>
        <w:t xml:space="preserve">               </w:t>
      </w:r>
    </w:p>
    <w:p>
      <w:pPr>
        <w:widowControl/>
        <w:jc w:val="left"/>
        <w:rPr>
          <w:rFonts w:ascii="宋体"/>
          <w:b/>
          <w:sz w:val="28"/>
          <w:szCs w:val="28"/>
          <w:highlight w:val="none"/>
        </w:rPr>
      </w:pPr>
      <w:r>
        <w:rPr>
          <w:rFonts w:ascii="仿宋_GB2312" w:eastAsia="仿宋_GB2312"/>
          <w:b/>
          <w:sz w:val="30"/>
          <w:szCs w:val="30"/>
          <w:highlight w:val="none"/>
        </w:rPr>
        <w:br w:type="page"/>
      </w:r>
      <w:r>
        <w:rPr>
          <w:rFonts w:hint="eastAsia" w:ascii="宋体"/>
          <w:b/>
          <w:sz w:val="28"/>
          <w:szCs w:val="28"/>
          <w:highlight w:val="none"/>
        </w:rPr>
        <w:t>中国人民财产保险股份有限公司供货履约保证保险 保险单</w:t>
      </w:r>
    </w:p>
    <w:p>
      <w:pPr>
        <w:snapToGrid w:val="0"/>
        <w:spacing w:before="120"/>
        <w:jc w:val="right"/>
        <w:rPr>
          <w:b/>
          <w:highlight w:val="none"/>
        </w:rPr>
      </w:pPr>
      <w:r>
        <w:rPr>
          <w:highlight w:val="none"/>
        </w:rPr>
        <mc:AlternateContent>
          <mc:Choice Requires="wps">
            <w:drawing>
              <wp:anchor distT="0" distB="0" distL="114300" distR="114300" simplePos="0" relativeHeight="251675648" behindDoc="0" locked="0" layoutInCell="1" allowOverlap="1">
                <wp:simplePos x="0" y="0"/>
                <wp:positionH relativeFrom="column">
                  <wp:posOffset>-400050</wp:posOffset>
                </wp:positionH>
                <wp:positionV relativeFrom="paragraph">
                  <wp:posOffset>-240665</wp:posOffset>
                </wp:positionV>
                <wp:extent cx="6400800" cy="0"/>
                <wp:effectExtent l="0" t="9525" r="0" b="9525"/>
                <wp:wrapNone/>
                <wp:docPr id="17"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9050">
                          <a:solidFill>
                            <a:srgbClr val="FF0000"/>
                          </a:solidFill>
                          <a:round/>
                        </a:ln>
                        <a:effectLst/>
                      </wps:spPr>
                      <wps:bodyPr/>
                    </wps:wsp>
                  </a:graphicData>
                </a:graphic>
              </wp:anchor>
            </w:drawing>
          </mc:Choice>
          <mc:Fallback>
            <w:pict>
              <v:line id="直接连接符 1" o:spid="_x0000_s1026" o:spt="20" style="position:absolute;left:0pt;margin-left:-31.5pt;margin-top:-18.95pt;height:0pt;width:504pt;z-index:251675648;mso-width-relative:page;mso-height-relative:page;" filled="f" stroked="t" coordsize="21600,21600" o:gfxdata="UEsDBAoAAAAAAIdO4kAAAAAAAAAAAAAAAAAEAAAAZHJzL1BLAwQUAAAACACHTuJAZOEOkdkAAAAL AQAADwAAAGRycy9kb3ducmV2LnhtbE2PQU/DMAyF70j8h8hI3La0DDpWmu5QCY0D0rTCAW5ZY9qK xKmabC3/HiMhwc1+fnr+XrGdnRVnHEPvSUG6TEAgNd701Cp4fXlc3IMIUZPR1hMq+MIA2/LyotC5 8RMd8FzHVnAIhVwr6GIccilD06HTYekHJL59+NHpyOvYSjPqicOdlTdJkkmne+IPnR6w6rD5rE9O wdt+tx+eqyrzT++7aW6ztD6srVLXV2nyACLiHP/M8IPP6FAy09GfyARhFSyyFXeJPKzWGxDs2Nze sXL8VWRZyP8dym9QSwMEFAAAAAgAh07iQAYMAC/rAQAAugMAAA4AAABkcnMvZTJvRG9jLnhtbK1T S44TMRDdI3EHy3vSnREMQyudWSQKmwEizXAAx+3utrBdlstJJ5fgAkjsYMWSPbdhOAZl5zMfNrOg F5Zd9epV1avqyeXWGrZRATW4mo9HJWfKSWi062r+8Wbx4oIzjMI1woBTNd8p5JfT588mg6/UGfRg GhUYkTisBl/zPkZfFQXKXlmBI/DKkbOFYEWkZ+iKJoiB2K0pzsryvBggND6AVIhkne+d/MAYnkII baulmoNcW+XinjUoIyK1hL32yKe52rZVMn5oW1SRmZpTpzGflITuq3QW04mouiB8r+WhBPGUEh71 ZIV2lPRENRdRsHXQ/1BZLQMgtHEkwRb7RrIi1MW4fKTNdS+8yr2Q1OhPouP/o5XvN8vAdEOb8Joz JyxN/PbLz9+fv/359ZXO2x/f2TipNHisCDxzy5D6lFt37a9AfkLmYNYL16lc7c3OE0OOKB6EpAd6 yrUa3kFDGLGOkCXbtsEmShKDbfNkdqfJqG1kkoznL8vyoqShyaOvENUx0AeMbxVYli41N9ol0UQl NlcYqXSCHiHJ7GChjcmDN44NVO2b8lWZIxCMbpI34TB0q5kJbCNodxaLkr4kBLE9gAVYu2ZvNy7F qbx2h9THtvcCrqDZLUMCJzuNNNMd1i/tzP13Rt39ctO/UEsDBAoAAAAAAIdO4kAAAAAAAAAAAAAA AAAGAAAAX3JlbHMvUEsDBBQAAAAIAIdO4kCKFGY80QAAAJQBAAALAAAAX3JlbHMvLnJlbHOlkMFq wzAMhu+DvYPRfXGawxijTi+j0GvpHsDYimMaW0Yy2fr28w6DZfS2o36h7xP//vCZFrUiS6RsYNf1 oDA78jEHA++X49MLKKk2e7tQRgM3FDiMjw/7My62tiOZYxHVKFkMzLWWV63FzZisdFQwt81EnGxt IwddrLvagHro+2fNvxkwbpjq5A3wyQ+gLrfSzH/YKTomoal2jpKmaYruHlUHtmWO7sg24Ru5RrMc sBrwLBoHalnXfgR9X7/7p97TRz7jutV+h4zrj1dvuhy/AFBLAwQUAAAACACHTuJAfublIPcAAADh AQAAEwAAAFtDb250ZW50X1R5cGVzXS54bWyVkUFOwzAQRfdI3MHyFiVOu0AIJemCtEtAqBxgZE8S i2RseUxob4+TthtEkVjaM/+/J7vcHMZBTBjYOqrkKi+kQNLOWOoq+b7fZQ9ScAQyMDjCSh6R5aa+ vSn3R48sUpq4kn2M/lEp1j2OwLnzSGnSujBCTMfQKQ/6AzpU66K4V9pRRIpZnDtkXTbYwucQxfaQ rk8mAQeW4um0OLMqCd4PVkNMpmoi84OSnQl5Si473FvPd0lDql8J8+Q64Jx7SU8TrEHxCiE+w5g0 lAmsjPuigFP+d8lsOXLm2tZqzJvATYq94XSxutaOa9c4/d/y7ZK6dKvlg+pvUEsBAhQAFAAAAAgA h07iQH7m5SD3AAAA4QEAABMAAAAAAAAAAQAgAAAAXQQAAFtDb250ZW50X1R5cGVzXS54bWxQSwEC FAAKAAAAAACHTuJAAAAAAAAAAAAAAAAABgAAAAAAAAAAABAAAAA/AwAAX3JlbHMvUEsBAhQAFAAA AAgAh07iQIoUZjzRAAAAlAEAAAsAAAAAAAAAAQAgAAAAYwMAAF9yZWxzLy5yZWxzUEsBAhQACgAA AAAAh07iQAAAAAAAAAAAAAAAAAQAAAAAAAAAAAAQAAAAAAAAAGRycy9QSwECFAAUAAAACACHTuJA ZOEOkdkAAAALAQAADwAAAAAAAAABACAAAAAiAAAAZHJzL2Rvd25yZXYueG1sUEsBAhQAFAAAAAgA h07iQAYMAC/rAQAAugMAAA4AAAAAAAAAAQAgAAAAKAEAAGRycy9lMm9Eb2MueG1sUEsFBgAAAAAG AAYAWQEAAIUFAAAAAA== ">
                <v:fill on="f" focussize="0,0"/>
                <v:stroke weight="1.5pt" color="#FF0000" joinstyle="round"/>
                <v:imagedata o:title=""/>
                <o:lock v:ext="edit" aspectratio="f"/>
              </v:line>
            </w:pict>
          </mc:Fallback>
        </mc:AlternateContent>
      </w:r>
      <w:r>
        <w:rPr>
          <w:rFonts w:hint="eastAsia" w:ascii="宋体"/>
          <w:sz w:val="18"/>
          <w:szCs w:val="18"/>
          <w:highlight w:val="none"/>
        </w:rPr>
        <w:t>保单号：******************</w:t>
      </w:r>
    </w:p>
    <w:p>
      <w:pPr>
        <w:adjustRightInd w:val="0"/>
        <w:snapToGrid w:val="0"/>
        <w:spacing w:before="240" w:beforeLines="100"/>
        <w:ind w:left="-161" w:leftChars="-67" w:right="-578" w:rightChars="-241" w:firstLine="480" w:firstLineChars="200"/>
        <w:jc w:val="left"/>
        <w:rPr>
          <w:rFonts w:ascii="宋体"/>
          <w:szCs w:val="21"/>
          <w:highlight w:val="none"/>
        </w:rPr>
      </w:pPr>
      <w:r>
        <w:rPr>
          <w:rFonts w:hint="eastAsia" w:ascii="宋体"/>
          <w:szCs w:val="21"/>
          <w:highlight w:val="none"/>
        </w:rPr>
        <w:t>鉴于投保人已经仔细阅读了中国人民财产保险股份有限公司供货履约保证保险条款，并已知悉了条款中免除保险人责任的内容（包括但不限于责任免除、投保人被保险人义务、赔偿处理等），愿意以上述条款的约定为基础向保险人投保供货履约保证保险，并按本保险合同约定交付保险费，保险人同意按照本保险合同的约定承担保险责任，特立本保险单为凭。</w:t>
      </w:r>
    </w:p>
    <w:tbl>
      <w:tblPr>
        <w:tblStyle w:val="35"/>
        <w:tblW w:w="96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4"/>
        <w:gridCol w:w="1719"/>
        <w:gridCol w:w="2115"/>
        <w:gridCol w:w="593"/>
        <w:gridCol w:w="1389"/>
        <w:gridCol w:w="23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jc w:val="center"/>
        </w:trPr>
        <w:tc>
          <w:tcPr>
            <w:tcW w:w="1464" w:type="dxa"/>
            <w:vMerge w:val="restart"/>
            <w:noWrap w:val="0"/>
            <w:vAlign w:val="center"/>
          </w:tcPr>
          <w:p>
            <w:pPr>
              <w:jc w:val="center"/>
              <w:rPr>
                <w:rFonts w:ascii="宋体"/>
                <w:b/>
                <w:highlight w:val="none"/>
              </w:rPr>
            </w:pPr>
            <w:r>
              <w:rPr>
                <w:rFonts w:hint="eastAsia" w:ascii="宋体"/>
                <w:highlight w:val="none"/>
              </w:rPr>
              <w:t>投保人</w:t>
            </w:r>
          </w:p>
        </w:tc>
        <w:tc>
          <w:tcPr>
            <w:tcW w:w="1719" w:type="dxa"/>
            <w:noWrap w:val="0"/>
            <w:vAlign w:val="center"/>
          </w:tcPr>
          <w:p>
            <w:pPr>
              <w:jc w:val="center"/>
              <w:rPr>
                <w:rFonts w:ascii="宋体"/>
                <w:highlight w:val="none"/>
              </w:rPr>
            </w:pPr>
            <w:r>
              <w:rPr>
                <w:rFonts w:hint="eastAsia" w:ascii="宋体"/>
                <w:highlight w:val="none"/>
              </w:rPr>
              <w:t>名称</w:t>
            </w:r>
          </w:p>
        </w:tc>
        <w:tc>
          <w:tcPr>
            <w:tcW w:w="2115" w:type="dxa"/>
            <w:noWrap w:val="0"/>
            <w:vAlign w:val="center"/>
          </w:tcPr>
          <w:p>
            <w:pPr>
              <w:jc w:val="center"/>
              <w:rPr>
                <w:rFonts w:ascii="宋体"/>
                <w:highlight w:val="none"/>
              </w:rPr>
            </w:pPr>
          </w:p>
        </w:tc>
        <w:tc>
          <w:tcPr>
            <w:tcW w:w="1982" w:type="dxa"/>
            <w:gridSpan w:val="2"/>
            <w:noWrap w:val="0"/>
            <w:vAlign w:val="center"/>
          </w:tcPr>
          <w:p>
            <w:pPr>
              <w:jc w:val="center"/>
              <w:rPr>
                <w:rFonts w:ascii="宋体"/>
                <w:highlight w:val="none"/>
              </w:rPr>
            </w:pPr>
            <w:r>
              <w:rPr>
                <w:rFonts w:hint="eastAsia" w:ascii="宋体"/>
                <w:highlight w:val="none"/>
              </w:rPr>
              <w:t>统一社会信用代码</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联系人</w:t>
            </w:r>
          </w:p>
        </w:tc>
        <w:tc>
          <w:tcPr>
            <w:tcW w:w="2115" w:type="dxa"/>
            <w:noWrap w:val="0"/>
            <w:vAlign w:val="center"/>
          </w:tcPr>
          <w:p>
            <w:pPr>
              <w:jc w:val="center"/>
              <w:rPr>
                <w:rFonts w:ascii="宋体"/>
                <w:highlight w:val="none"/>
              </w:rPr>
            </w:pPr>
          </w:p>
        </w:tc>
        <w:tc>
          <w:tcPr>
            <w:tcW w:w="1982" w:type="dxa"/>
            <w:gridSpan w:val="2"/>
            <w:noWrap w:val="0"/>
            <w:vAlign w:val="center"/>
          </w:tcPr>
          <w:p>
            <w:pPr>
              <w:jc w:val="center"/>
              <w:rPr>
                <w:rFonts w:ascii="宋体"/>
                <w:highlight w:val="none"/>
              </w:rPr>
            </w:pPr>
            <w:r>
              <w:rPr>
                <w:rFonts w:hint="eastAsia" w:ascii="宋体"/>
                <w:highlight w:val="none"/>
              </w:rPr>
              <w:t>联系方式</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地址</w:t>
            </w:r>
          </w:p>
        </w:tc>
        <w:tc>
          <w:tcPr>
            <w:tcW w:w="2115" w:type="dxa"/>
            <w:noWrap w:val="0"/>
            <w:vAlign w:val="center"/>
          </w:tcPr>
          <w:p>
            <w:pPr>
              <w:jc w:val="center"/>
              <w:rPr>
                <w:rFonts w:ascii="宋体"/>
                <w:highlight w:val="none"/>
              </w:rPr>
            </w:pPr>
          </w:p>
        </w:tc>
        <w:tc>
          <w:tcPr>
            <w:tcW w:w="1982" w:type="dxa"/>
            <w:gridSpan w:val="2"/>
            <w:noWrap w:val="0"/>
            <w:vAlign w:val="center"/>
          </w:tcPr>
          <w:p>
            <w:pPr>
              <w:jc w:val="center"/>
              <w:rPr>
                <w:rFonts w:ascii="宋体"/>
                <w:highlight w:val="none"/>
              </w:rPr>
            </w:pPr>
            <w:r>
              <w:rPr>
                <w:rFonts w:hint="eastAsia" w:ascii="宋体"/>
                <w:highlight w:val="none"/>
              </w:rPr>
              <w:t>邮编</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1464" w:type="dxa"/>
            <w:vMerge w:val="restart"/>
            <w:noWrap w:val="0"/>
            <w:vAlign w:val="center"/>
          </w:tcPr>
          <w:p>
            <w:pPr>
              <w:jc w:val="center"/>
              <w:rPr>
                <w:rFonts w:ascii="宋体"/>
                <w:highlight w:val="none"/>
              </w:rPr>
            </w:pPr>
            <w:r>
              <w:rPr>
                <w:rFonts w:hint="eastAsia" w:ascii="宋体"/>
                <w:highlight w:val="none"/>
              </w:rPr>
              <w:t>被保险人</w:t>
            </w:r>
          </w:p>
        </w:tc>
        <w:tc>
          <w:tcPr>
            <w:tcW w:w="1719" w:type="dxa"/>
            <w:noWrap w:val="0"/>
            <w:vAlign w:val="center"/>
          </w:tcPr>
          <w:p>
            <w:pPr>
              <w:jc w:val="center"/>
              <w:rPr>
                <w:rFonts w:ascii="宋体"/>
                <w:highlight w:val="none"/>
              </w:rPr>
            </w:pPr>
            <w:r>
              <w:rPr>
                <w:rFonts w:hint="eastAsia" w:ascii="宋体"/>
                <w:highlight w:val="none"/>
              </w:rPr>
              <w:t>名称</w:t>
            </w:r>
          </w:p>
        </w:tc>
        <w:tc>
          <w:tcPr>
            <w:tcW w:w="2115" w:type="dxa"/>
            <w:noWrap w:val="0"/>
            <w:vAlign w:val="center"/>
          </w:tcPr>
          <w:p>
            <w:pPr>
              <w:jc w:val="center"/>
              <w:rPr>
                <w:rFonts w:ascii="宋体"/>
                <w:highlight w:val="none"/>
              </w:rPr>
            </w:pPr>
          </w:p>
        </w:tc>
        <w:tc>
          <w:tcPr>
            <w:tcW w:w="1982" w:type="dxa"/>
            <w:gridSpan w:val="2"/>
            <w:noWrap w:val="0"/>
            <w:vAlign w:val="center"/>
          </w:tcPr>
          <w:p>
            <w:pPr>
              <w:jc w:val="center"/>
              <w:rPr>
                <w:rFonts w:ascii="宋体"/>
                <w:highlight w:val="none"/>
              </w:rPr>
            </w:pPr>
            <w:r>
              <w:rPr>
                <w:rFonts w:hint="eastAsia" w:ascii="宋体"/>
                <w:highlight w:val="none"/>
              </w:rPr>
              <w:t>统一社会信用代码</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联系人</w:t>
            </w:r>
          </w:p>
        </w:tc>
        <w:tc>
          <w:tcPr>
            <w:tcW w:w="2115" w:type="dxa"/>
            <w:noWrap w:val="0"/>
            <w:vAlign w:val="center"/>
          </w:tcPr>
          <w:p>
            <w:pPr>
              <w:jc w:val="center"/>
              <w:rPr>
                <w:rFonts w:ascii="宋体"/>
                <w:highlight w:val="none"/>
              </w:rPr>
            </w:pPr>
          </w:p>
        </w:tc>
        <w:tc>
          <w:tcPr>
            <w:tcW w:w="1982" w:type="dxa"/>
            <w:gridSpan w:val="2"/>
            <w:noWrap w:val="0"/>
            <w:vAlign w:val="center"/>
          </w:tcPr>
          <w:p>
            <w:pPr>
              <w:jc w:val="center"/>
              <w:rPr>
                <w:rFonts w:ascii="宋体"/>
                <w:highlight w:val="none"/>
              </w:rPr>
            </w:pPr>
            <w:r>
              <w:rPr>
                <w:rFonts w:hint="eastAsia" w:ascii="宋体"/>
                <w:highlight w:val="none"/>
              </w:rPr>
              <w:t>联系方式</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地址</w:t>
            </w:r>
          </w:p>
        </w:tc>
        <w:tc>
          <w:tcPr>
            <w:tcW w:w="2115" w:type="dxa"/>
            <w:noWrap w:val="0"/>
            <w:vAlign w:val="center"/>
          </w:tcPr>
          <w:p>
            <w:pPr>
              <w:jc w:val="center"/>
              <w:rPr>
                <w:rFonts w:ascii="宋体"/>
                <w:highlight w:val="none"/>
              </w:rPr>
            </w:pPr>
          </w:p>
        </w:tc>
        <w:tc>
          <w:tcPr>
            <w:tcW w:w="1982" w:type="dxa"/>
            <w:gridSpan w:val="2"/>
            <w:noWrap w:val="0"/>
            <w:vAlign w:val="center"/>
          </w:tcPr>
          <w:p>
            <w:pPr>
              <w:jc w:val="center"/>
              <w:rPr>
                <w:rFonts w:ascii="宋体"/>
                <w:highlight w:val="none"/>
              </w:rPr>
            </w:pPr>
            <w:r>
              <w:rPr>
                <w:rFonts w:hint="eastAsia" w:ascii="宋体"/>
                <w:highlight w:val="none"/>
              </w:rPr>
              <w:t>邮编</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64" w:type="dxa"/>
            <w:vMerge w:val="restart"/>
            <w:noWrap w:val="0"/>
            <w:vAlign w:val="center"/>
          </w:tcPr>
          <w:p>
            <w:pPr>
              <w:jc w:val="center"/>
              <w:rPr>
                <w:rFonts w:ascii="宋体"/>
                <w:highlight w:val="none"/>
              </w:rPr>
            </w:pPr>
            <w:r>
              <w:rPr>
                <w:rFonts w:hint="eastAsia" w:ascii="宋体"/>
                <w:highlight w:val="none"/>
              </w:rPr>
              <w:t>采购公告情况</w:t>
            </w:r>
          </w:p>
        </w:tc>
        <w:tc>
          <w:tcPr>
            <w:tcW w:w="1719" w:type="dxa"/>
            <w:noWrap w:val="0"/>
            <w:vAlign w:val="center"/>
          </w:tcPr>
          <w:p>
            <w:pPr>
              <w:jc w:val="center"/>
              <w:rPr>
                <w:rFonts w:ascii="宋体"/>
                <w:highlight w:val="none"/>
              </w:rPr>
            </w:pPr>
            <w:r>
              <w:rPr>
                <w:rFonts w:hint="eastAsia" w:ascii="宋体"/>
                <w:highlight w:val="none"/>
              </w:rPr>
              <w:t>采购协议</w:t>
            </w:r>
            <w:r>
              <w:rPr>
                <w:rFonts w:ascii="宋体"/>
                <w:highlight w:val="none"/>
              </w:rPr>
              <w:t>编号</w:t>
            </w:r>
          </w:p>
        </w:tc>
        <w:tc>
          <w:tcPr>
            <w:tcW w:w="6472" w:type="dxa"/>
            <w:gridSpan w:val="4"/>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协议</w:t>
            </w:r>
            <w:r>
              <w:rPr>
                <w:rFonts w:ascii="宋体"/>
                <w:highlight w:val="none"/>
              </w:rPr>
              <w:t>签订日期</w:t>
            </w:r>
          </w:p>
        </w:tc>
        <w:tc>
          <w:tcPr>
            <w:tcW w:w="2115" w:type="dxa"/>
            <w:noWrap w:val="0"/>
            <w:vAlign w:val="center"/>
          </w:tcPr>
          <w:p>
            <w:pPr>
              <w:jc w:val="left"/>
              <w:rPr>
                <w:rFonts w:ascii="宋体"/>
                <w:highlight w:val="none"/>
              </w:rPr>
            </w:pPr>
          </w:p>
        </w:tc>
        <w:tc>
          <w:tcPr>
            <w:tcW w:w="1982" w:type="dxa"/>
            <w:gridSpan w:val="2"/>
            <w:noWrap w:val="0"/>
            <w:vAlign w:val="center"/>
          </w:tcPr>
          <w:p>
            <w:pPr>
              <w:jc w:val="left"/>
              <w:rPr>
                <w:rFonts w:ascii="宋体"/>
                <w:highlight w:val="none"/>
              </w:rPr>
            </w:pPr>
            <w:r>
              <w:rPr>
                <w:rFonts w:hint="eastAsia" w:ascii="宋体"/>
                <w:highlight w:val="none"/>
              </w:rPr>
              <w:t>约定</w:t>
            </w:r>
            <w:r>
              <w:rPr>
                <w:rFonts w:ascii="宋体"/>
                <w:highlight w:val="none"/>
              </w:rPr>
              <w:t>交货时间</w:t>
            </w:r>
          </w:p>
        </w:tc>
        <w:tc>
          <w:tcPr>
            <w:tcW w:w="2376" w:type="dxa"/>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质量保证</w:t>
            </w:r>
            <w:r>
              <w:rPr>
                <w:rFonts w:ascii="宋体"/>
                <w:highlight w:val="none"/>
              </w:rPr>
              <w:t>期</w:t>
            </w:r>
          </w:p>
        </w:tc>
        <w:tc>
          <w:tcPr>
            <w:tcW w:w="6472" w:type="dxa"/>
            <w:gridSpan w:val="4"/>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464" w:type="dxa"/>
            <w:vMerge w:val="continue"/>
            <w:noWrap w:val="0"/>
            <w:vAlign w:val="center"/>
          </w:tcPr>
          <w:p>
            <w:pPr>
              <w:jc w:val="center"/>
              <w:rPr>
                <w:rFonts w:ascii="宋体"/>
                <w:highlight w:val="none"/>
              </w:rPr>
            </w:pPr>
          </w:p>
        </w:tc>
        <w:tc>
          <w:tcPr>
            <w:tcW w:w="1719" w:type="dxa"/>
            <w:noWrap w:val="0"/>
            <w:vAlign w:val="center"/>
          </w:tcPr>
          <w:p>
            <w:pPr>
              <w:jc w:val="center"/>
              <w:rPr>
                <w:rFonts w:ascii="宋体"/>
                <w:highlight w:val="none"/>
              </w:rPr>
            </w:pPr>
            <w:r>
              <w:rPr>
                <w:rFonts w:hint="eastAsia" w:ascii="宋体"/>
                <w:highlight w:val="none"/>
              </w:rPr>
              <w:t>货物标准</w:t>
            </w:r>
            <w:r>
              <w:rPr>
                <w:rFonts w:ascii="宋体"/>
                <w:highlight w:val="none"/>
              </w:rPr>
              <w:t>（</w:t>
            </w:r>
            <w:r>
              <w:rPr>
                <w:rFonts w:hint="eastAsia" w:ascii="宋体"/>
                <w:highlight w:val="none"/>
              </w:rPr>
              <w:t>如规格</w:t>
            </w:r>
            <w:r>
              <w:rPr>
                <w:rFonts w:ascii="宋体"/>
                <w:highlight w:val="none"/>
              </w:rPr>
              <w:t>、型号</w:t>
            </w:r>
            <w:r>
              <w:rPr>
                <w:rFonts w:hint="eastAsia" w:ascii="宋体"/>
                <w:highlight w:val="none"/>
              </w:rPr>
              <w:t>、数量</w:t>
            </w:r>
            <w:r>
              <w:rPr>
                <w:rFonts w:ascii="宋体"/>
                <w:highlight w:val="none"/>
              </w:rPr>
              <w:t>、质量）</w:t>
            </w:r>
          </w:p>
        </w:tc>
        <w:tc>
          <w:tcPr>
            <w:tcW w:w="6472" w:type="dxa"/>
            <w:gridSpan w:val="4"/>
            <w:noWrap w:val="0"/>
            <w:vAlign w:val="center"/>
          </w:tcPr>
          <w:p>
            <w:pPr>
              <w:jc w:val="left"/>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64" w:type="dxa"/>
            <w:noWrap w:val="0"/>
            <w:vAlign w:val="center"/>
          </w:tcPr>
          <w:p>
            <w:pPr>
              <w:jc w:val="center"/>
              <w:rPr>
                <w:rFonts w:ascii="宋体"/>
                <w:highlight w:val="none"/>
              </w:rPr>
            </w:pPr>
            <w:r>
              <w:rPr>
                <w:rFonts w:hint="eastAsia" w:ascii="宋体"/>
                <w:highlight w:val="none"/>
              </w:rPr>
              <w:t>保险金额</w:t>
            </w:r>
          </w:p>
        </w:tc>
        <w:tc>
          <w:tcPr>
            <w:tcW w:w="8191" w:type="dxa"/>
            <w:gridSpan w:val="5"/>
            <w:noWrap w:val="0"/>
            <w:vAlign w:val="center"/>
          </w:tcPr>
          <w:p>
            <w:pPr>
              <w:jc w:val="left"/>
              <w:rPr>
                <w:rFonts w:ascii="宋体"/>
                <w:highlight w:val="none"/>
              </w:rPr>
            </w:pPr>
            <w:r>
              <w:rPr>
                <w:rFonts w:hint="eastAsia" w:ascii="宋体"/>
                <w:highlight w:val="none"/>
              </w:rPr>
              <w:t xml:space="preserve">人民币（大写）                                           </w:t>
            </w:r>
            <w:r>
              <w:rPr>
                <w:rFonts w:hint="eastAsia" w:ascii="宋体"/>
                <w:b/>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64" w:type="dxa"/>
            <w:noWrap w:val="0"/>
            <w:vAlign w:val="center"/>
          </w:tcPr>
          <w:p>
            <w:pPr>
              <w:jc w:val="center"/>
              <w:rPr>
                <w:rFonts w:ascii="宋体"/>
                <w:highlight w:val="none"/>
              </w:rPr>
            </w:pPr>
            <w:r>
              <w:rPr>
                <w:rFonts w:hint="eastAsia" w:ascii="宋体"/>
                <w:highlight w:val="none"/>
              </w:rPr>
              <w:t>保险费</w:t>
            </w:r>
          </w:p>
        </w:tc>
        <w:tc>
          <w:tcPr>
            <w:tcW w:w="8191" w:type="dxa"/>
            <w:gridSpan w:val="5"/>
            <w:noWrap w:val="0"/>
            <w:vAlign w:val="center"/>
          </w:tcPr>
          <w:p>
            <w:pPr>
              <w:jc w:val="left"/>
              <w:rPr>
                <w:rFonts w:ascii="宋体"/>
                <w:highlight w:val="none"/>
              </w:rPr>
            </w:pPr>
            <w:r>
              <w:rPr>
                <w:rFonts w:hint="eastAsia" w:ascii="宋体"/>
                <w:highlight w:val="none"/>
              </w:rPr>
              <w:t xml:space="preserve">人民币（大写）                                         </w:t>
            </w:r>
            <w:r>
              <w:rPr>
                <w:rFonts w:hint="eastAsia" w:ascii="宋体"/>
                <w:b/>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64" w:type="dxa"/>
            <w:noWrap w:val="0"/>
            <w:vAlign w:val="center"/>
          </w:tcPr>
          <w:p>
            <w:pPr>
              <w:jc w:val="center"/>
              <w:rPr>
                <w:rFonts w:ascii="宋体"/>
                <w:highlight w:val="none"/>
              </w:rPr>
            </w:pPr>
            <w:r>
              <w:rPr>
                <w:rFonts w:hint="eastAsia" w:ascii="宋体"/>
                <w:highlight w:val="none"/>
              </w:rPr>
              <w:t>免赔额/率</w:t>
            </w:r>
          </w:p>
        </w:tc>
        <w:tc>
          <w:tcPr>
            <w:tcW w:w="8191" w:type="dxa"/>
            <w:gridSpan w:val="5"/>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64" w:type="dxa"/>
            <w:noWrap w:val="0"/>
            <w:vAlign w:val="center"/>
          </w:tcPr>
          <w:p>
            <w:pPr>
              <w:jc w:val="center"/>
              <w:rPr>
                <w:rFonts w:ascii="宋体"/>
                <w:highlight w:val="none"/>
              </w:rPr>
            </w:pPr>
            <w:r>
              <w:rPr>
                <w:rFonts w:hint="eastAsia" w:ascii="宋体"/>
                <w:highlight w:val="none"/>
              </w:rPr>
              <w:t>反担保</w:t>
            </w:r>
          </w:p>
        </w:tc>
        <w:tc>
          <w:tcPr>
            <w:tcW w:w="8191" w:type="dxa"/>
            <w:gridSpan w:val="5"/>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64" w:type="dxa"/>
            <w:noWrap w:val="0"/>
            <w:vAlign w:val="center"/>
          </w:tcPr>
          <w:p>
            <w:pPr>
              <w:jc w:val="center"/>
              <w:rPr>
                <w:rFonts w:ascii="宋体"/>
                <w:highlight w:val="none"/>
              </w:rPr>
            </w:pPr>
            <w:r>
              <w:rPr>
                <w:rFonts w:hint="eastAsia" w:ascii="宋体"/>
                <w:highlight w:val="none"/>
              </w:rPr>
              <w:t>赔款等待期</w:t>
            </w:r>
          </w:p>
        </w:tc>
        <w:tc>
          <w:tcPr>
            <w:tcW w:w="8191" w:type="dxa"/>
            <w:gridSpan w:val="5"/>
            <w:noWrap w:val="0"/>
            <w:vAlign w:val="center"/>
          </w:tcPr>
          <w:p>
            <w:pPr>
              <w:jc w:val="center"/>
              <w:rPr>
                <w:rFonts w:asci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64" w:type="dxa"/>
            <w:noWrap w:val="0"/>
            <w:vAlign w:val="center"/>
          </w:tcPr>
          <w:p>
            <w:pPr>
              <w:jc w:val="center"/>
              <w:rPr>
                <w:rFonts w:ascii="宋体"/>
                <w:highlight w:val="none"/>
              </w:rPr>
            </w:pPr>
            <w:r>
              <w:rPr>
                <w:rFonts w:hint="eastAsia" w:ascii="宋体"/>
                <w:highlight w:val="none"/>
              </w:rPr>
              <w:t>保险期间</w:t>
            </w:r>
          </w:p>
        </w:tc>
        <w:tc>
          <w:tcPr>
            <w:tcW w:w="8191" w:type="dxa"/>
            <w:gridSpan w:val="5"/>
            <w:noWrap w:val="0"/>
            <w:vAlign w:val="center"/>
          </w:tcPr>
          <w:p>
            <w:pPr>
              <w:ind w:firstLine="600" w:firstLineChars="250"/>
              <w:rPr>
                <w:rFonts w:ascii="宋体"/>
                <w:highlight w:val="none"/>
              </w:rPr>
            </w:pPr>
            <w:r>
              <w:rPr>
                <w:rFonts w:hint="eastAsia" w:ascii="宋体"/>
                <w:highlight w:val="none"/>
              </w:rPr>
              <w:t>月，自</w:t>
            </w:r>
            <w:r>
              <w:rPr>
                <w:rFonts w:ascii="宋体"/>
                <w:highlight w:val="none"/>
              </w:rPr>
              <w:t xml:space="preserve">     </w:t>
            </w:r>
            <w:r>
              <w:rPr>
                <w:rFonts w:hint="eastAsia" w:ascii="宋体"/>
                <w:highlight w:val="none"/>
              </w:rPr>
              <w:t>年</w:t>
            </w:r>
            <w:r>
              <w:rPr>
                <w:rFonts w:ascii="宋体"/>
                <w:highlight w:val="none"/>
              </w:rPr>
              <w:t xml:space="preserve">   </w:t>
            </w:r>
            <w:r>
              <w:rPr>
                <w:rFonts w:hint="eastAsia" w:ascii="宋体"/>
                <w:highlight w:val="none"/>
              </w:rPr>
              <w:t>月</w:t>
            </w:r>
            <w:r>
              <w:rPr>
                <w:rFonts w:ascii="宋体"/>
                <w:highlight w:val="none"/>
              </w:rPr>
              <w:t xml:space="preserve">   </w:t>
            </w:r>
            <w:r>
              <w:rPr>
                <w:rFonts w:hint="eastAsia" w:ascii="宋体"/>
                <w:highlight w:val="none"/>
              </w:rPr>
              <w:t>日零时起至</w:t>
            </w:r>
            <w:r>
              <w:rPr>
                <w:rFonts w:ascii="宋体"/>
                <w:highlight w:val="none"/>
              </w:rPr>
              <w:t xml:space="preserve">     </w:t>
            </w:r>
            <w:r>
              <w:rPr>
                <w:rFonts w:hint="eastAsia" w:ascii="宋体"/>
                <w:highlight w:val="none"/>
              </w:rPr>
              <w:t>年</w:t>
            </w:r>
            <w:r>
              <w:rPr>
                <w:rFonts w:ascii="宋体"/>
                <w:highlight w:val="none"/>
              </w:rPr>
              <w:t xml:space="preserve">   </w:t>
            </w:r>
            <w:r>
              <w:rPr>
                <w:rFonts w:hint="eastAsia" w:ascii="宋体"/>
                <w:highlight w:val="none"/>
              </w:rPr>
              <w:t>月</w:t>
            </w:r>
            <w:r>
              <w:rPr>
                <w:rFonts w:ascii="宋体"/>
                <w:highlight w:val="none"/>
              </w:rPr>
              <w:t xml:space="preserve">   </w:t>
            </w:r>
            <w:r>
              <w:rPr>
                <w:rFonts w:hint="eastAsia" w:ascii="宋体"/>
                <w:highlight w:val="none"/>
              </w:rPr>
              <w:t>日二十四时止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464" w:type="dxa"/>
            <w:noWrap w:val="0"/>
            <w:vAlign w:val="center"/>
          </w:tcPr>
          <w:p>
            <w:pPr>
              <w:jc w:val="center"/>
              <w:rPr>
                <w:rFonts w:ascii="宋体"/>
                <w:highlight w:val="none"/>
              </w:rPr>
            </w:pPr>
            <w:r>
              <w:rPr>
                <w:rFonts w:hint="eastAsia" w:ascii="宋体"/>
                <w:highlight w:val="none"/>
              </w:rPr>
              <w:t>交费形式</w:t>
            </w:r>
          </w:p>
        </w:tc>
        <w:tc>
          <w:tcPr>
            <w:tcW w:w="4427" w:type="dxa"/>
            <w:gridSpan w:val="3"/>
            <w:noWrap w:val="0"/>
            <w:vAlign w:val="center"/>
          </w:tcPr>
          <w:p>
            <w:pPr>
              <w:jc w:val="left"/>
              <w:rPr>
                <w:rFonts w:ascii="宋体"/>
                <w:highlight w:val="none"/>
              </w:rPr>
            </w:pPr>
            <w:r>
              <w:rPr>
                <w:rFonts w:hint="eastAsia" w:ascii="宋体"/>
                <w:highlight w:val="none"/>
              </w:rPr>
              <w:t>□现金     □转账     □其他</w:t>
            </w:r>
          </w:p>
        </w:tc>
        <w:tc>
          <w:tcPr>
            <w:tcW w:w="3764" w:type="dxa"/>
            <w:gridSpan w:val="2"/>
            <w:noWrap w:val="0"/>
            <w:vAlign w:val="center"/>
          </w:tcPr>
          <w:p>
            <w:pPr>
              <w:jc w:val="left"/>
              <w:rPr>
                <w:rFonts w:ascii="宋体"/>
                <w:highlight w:val="none"/>
              </w:rPr>
            </w:pPr>
            <w:r>
              <w:rPr>
                <w:rFonts w:hint="eastAsia" w:ascii="宋体"/>
                <w:highlight w:val="none"/>
              </w:rPr>
              <w:t>交费日期：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464" w:type="dxa"/>
            <w:noWrap w:val="0"/>
            <w:vAlign w:val="center"/>
          </w:tcPr>
          <w:p>
            <w:pPr>
              <w:jc w:val="center"/>
              <w:rPr>
                <w:rFonts w:ascii="宋体"/>
                <w:highlight w:val="none"/>
              </w:rPr>
            </w:pPr>
            <w:r>
              <w:rPr>
                <w:rFonts w:hint="eastAsia" w:ascii="宋体"/>
                <w:highlight w:val="none"/>
              </w:rPr>
              <w:t>争议处理</w:t>
            </w:r>
          </w:p>
        </w:tc>
        <w:tc>
          <w:tcPr>
            <w:tcW w:w="8191" w:type="dxa"/>
            <w:gridSpan w:val="5"/>
            <w:noWrap w:val="0"/>
            <w:vAlign w:val="center"/>
          </w:tcPr>
          <w:p>
            <w:pPr>
              <w:rPr>
                <w:rFonts w:ascii="宋体"/>
                <w:highlight w:val="none"/>
              </w:rPr>
            </w:pPr>
            <w:r>
              <w:rPr>
                <w:rFonts w:hint="eastAsia" w:ascii="宋体"/>
                <w:highlight w:val="none"/>
              </w:rPr>
              <w:t>□诉讼     □提交                     仲裁委员会仲裁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464" w:type="dxa"/>
            <w:noWrap w:val="0"/>
            <w:vAlign w:val="center"/>
          </w:tcPr>
          <w:p>
            <w:pPr>
              <w:jc w:val="center"/>
              <w:rPr>
                <w:rFonts w:ascii="宋体"/>
                <w:szCs w:val="21"/>
                <w:highlight w:val="none"/>
              </w:rPr>
            </w:pPr>
            <w:r>
              <w:rPr>
                <w:rFonts w:hint="eastAsia" w:ascii="宋体"/>
                <w:szCs w:val="21"/>
                <w:highlight w:val="none"/>
              </w:rPr>
              <w:t>特别约定</w:t>
            </w:r>
          </w:p>
        </w:tc>
        <w:tc>
          <w:tcPr>
            <w:tcW w:w="8191" w:type="dxa"/>
            <w:gridSpan w:val="5"/>
            <w:noWrap w:val="0"/>
            <w:vAlign w:val="center"/>
          </w:tcPr>
          <w:p>
            <w:pPr>
              <w:numPr>
                <w:ilvl w:val="0"/>
                <w:numId w:val="40"/>
              </w:numPr>
              <w:rPr>
                <w:rFonts w:ascii="宋体"/>
                <w:highlight w:val="none"/>
              </w:rPr>
            </w:pPr>
            <w:r>
              <w:rPr>
                <w:rFonts w:hint="eastAsia" w:ascii="宋体"/>
                <w:highlight w:val="none"/>
              </w:rPr>
              <w:t>本保单</w:t>
            </w:r>
            <w:r>
              <w:rPr>
                <w:rFonts w:ascii="宋体"/>
                <w:highlight w:val="none"/>
              </w:rPr>
              <w:t>绝对免赔为零，</w:t>
            </w:r>
            <w:r>
              <w:rPr>
                <w:rFonts w:hint="eastAsia" w:ascii="宋体"/>
                <w:highlight w:val="none"/>
              </w:rPr>
              <w:t>发生保险事故</w:t>
            </w:r>
            <w:r>
              <w:rPr>
                <w:rFonts w:ascii="宋体"/>
                <w:highlight w:val="none"/>
              </w:rPr>
              <w:t>后，</w:t>
            </w:r>
            <w:r>
              <w:rPr>
                <w:rFonts w:hint="eastAsia" w:ascii="宋体"/>
                <w:highlight w:val="none"/>
              </w:rPr>
              <w:t>保险公司根据</w:t>
            </w:r>
            <w:r>
              <w:rPr>
                <w:rFonts w:ascii="宋体"/>
                <w:highlight w:val="none"/>
              </w:rPr>
              <w:t>损失金额</w:t>
            </w:r>
            <w:r>
              <w:rPr>
                <w:rFonts w:hint="eastAsia" w:ascii="宋体"/>
                <w:highlight w:val="none"/>
              </w:rPr>
              <w:t>在保险金额</w:t>
            </w:r>
            <w:r>
              <w:rPr>
                <w:rFonts w:ascii="宋体"/>
                <w:highlight w:val="none"/>
              </w:rPr>
              <w:t>内全</w:t>
            </w:r>
            <w:r>
              <w:rPr>
                <w:rFonts w:hint="eastAsia" w:ascii="宋体"/>
                <w:highlight w:val="none"/>
              </w:rPr>
              <w:t>部</w:t>
            </w:r>
            <w:r>
              <w:rPr>
                <w:rFonts w:ascii="宋体"/>
                <w:highlight w:val="none"/>
              </w:rPr>
              <w:t>赔付</w:t>
            </w:r>
            <w:r>
              <w:rPr>
                <w:rFonts w:hint="eastAsia" w:ascii="宋体"/>
                <w:highlight w:val="none"/>
              </w:rPr>
              <w:t>；</w:t>
            </w:r>
          </w:p>
          <w:p>
            <w:pPr>
              <w:numPr>
                <w:ilvl w:val="0"/>
                <w:numId w:val="40"/>
              </w:numPr>
              <w:rPr>
                <w:rFonts w:ascii="宋体"/>
                <w:highlight w:val="none"/>
              </w:rPr>
            </w:pPr>
            <w:r>
              <w:rPr>
                <w:rFonts w:ascii="宋体"/>
                <w:highlight w:val="none"/>
              </w:rPr>
              <w:t>发生保险责任范围内的损失，保险</w:t>
            </w:r>
            <w:r>
              <w:rPr>
                <w:rFonts w:hint="eastAsia" w:ascii="宋体"/>
                <w:highlight w:val="none"/>
              </w:rPr>
              <w:t>公司</w:t>
            </w:r>
            <w:r>
              <w:rPr>
                <w:rFonts w:ascii="宋体"/>
                <w:highlight w:val="none"/>
              </w:rPr>
              <w:t>在</w:t>
            </w:r>
            <w:r>
              <w:rPr>
                <w:rFonts w:hint="eastAsia" w:ascii="宋体"/>
                <w:highlight w:val="none"/>
              </w:rPr>
              <w:t>确定</w:t>
            </w:r>
            <w:r>
              <w:rPr>
                <w:rFonts w:ascii="宋体"/>
                <w:highlight w:val="none"/>
              </w:rPr>
              <w:t>损失10个工作日</w:t>
            </w:r>
            <w:r>
              <w:rPr>
                <w:rFonts w:hint="eastAsia" w:ascii="宋体"/>
                <w:highlight w:val="none"/>
              </w:rPr>
              <w:t>内</w:t>
            </w:r>
            <w:r>
              <w:rPr>
                <w:rFonts w:ascii="宋体"/>
                <w:highlight w:val="none"/>
              </w:rPr>
              <w:t>完成赔付；</w:t>
            </w:r>
          </w:p>
          <w:p>
            <w:pPr>
              <w:numPr>
                <w:ilvl w:val="0"/>
                <w:numId w:val="40"/>
              </w:numPr>
              <w:rPr>
                <w:rFonts w:ascii="宋体"/>
                <w:highlight w:val="none"/>
              </w:rPr>
            </w:pPr>
            <w:r>
              <w:rPr>
                <w:rFonts w:hint="eastAsia" w:ascii="宋体"/>
                <w:highlight w:val="none"/>
              </w:rPr>
              <w:t>当投保人和</w:t>
            </w:r>
            <w:r>
              <w:rPr>
                <w:rFonts w:ascii="宋体"/>
                <w:highlight w:val="none"/>
              </w:rPr>
              <w:t>被保险人</w:t>
            </w:r>
            <w:r>
              <w:rPr>
                <w:rFonts w:hint="eastAsia" w:ascii="宋体"/>
                <w:highlight w:val="none"/>
              </w:rPr>
              <w:t>对</w:t>
            </w:r>
            <w:r>
              <w:rPr>
                <w:rFonts w:ascii="宋体"/>
                <w:highlight w:val="none"/>
              </w:rPr>
              <w:t>保险</w:t>
            </w:r>
            <w:r>
              <w:rPr>
                <w:rFonts w:hint="eastAsia" w:ascii="宋体"/>
                <w:highlight w:val="none"/>
              </w:rPr>
              <w:t>事故</w:t>
            </w:r>
            <w:r>
              <w:rPr>
                <w:rFonts w:ascii="宋体"/>
                <w:highlight w:val="none"/>
              </w:rPr>
              <w:t>有争议</w:t>
            </w:r>
            <w:r>
              <w:rPr>
                <w:rFonts w:hint="eastAsia" w:ascii="宋体"/>
                <w:highlight w:val="none"/>
              </w:rPr>
              <w:t>时</w:t>
            </w:r>
            <w:r>
              <w:rPr>
                <w:rFonts w:ascii="宋体"/>
                <w:highlight w:val="none"/>
              </w:rPr>
              <w:t>，</w:t>
            </w:r>
            <w:r>
              <w:rPr>
                <w:rFonts w:hint="eastAsia" w:ascii="宋体"/>
                <w:highlight w:val="none"/>
              </w:rPr>
              <w:t>可</w:t>
            </w:r>
            <w:r>
              <w:rPr>
                <w:rFonts w:ascii="宋体"/>
                <w:highlight w:val="none"/>
              </w:rPr>
              <w:t>提交</w:t>
            </w:r>
            <w:r>
              <w:rPr>
                <w:rFonts w:hint="eastAsia" w:ascii="宋体"/>
                <w:highlight w:val="none"/>
              </w:rPr>
              <w:t>保险调解委员会进行调解</w:t>
            </w:r>
            <w:r>
              <w:rPr>
                <w:rFonts w:ascii="宋体"/>
                <w:highlight w:val="none"/>
              </w:rPr>
              <w:t>，</w:t>
            </w:r>
            <w:r>
              <w:rPr>
                <w:rFonts w:hint="eastAsia" w:ascii="宋体"/>
                <w:highlight w:val="none"/>
              </w:rPr>
              <w:t>保险</w:t>
            </w:r>
            <w:r>
              <w:rPr>
                <w:rFonts w:ascii="宋体"/>
                <w:highlight w:val="none"/>
              </w:rPr>
              <w:t>公司依据</w:t>
            </w:r>
            <w:r>
              <w:rPr>
                <w:rFonts w:hint="eastAsia" w:ascii="宋体"/>
                <w:highlight w:val="none"/>
              </w:rPr>
              <w:t>调解</w:t>
            </w:r>
            <w:r>
              <w:rPr>
                <w:rFonts w:ascii="宋体"/>
                <w:highlight w:val="none"/>
              </w:rPr>
              <w:t>结果</w:t>
            </w:r>
            <w:r>
              <w:rPr>
                <w:rFonts w:hint="eastAsia" w:ascii="宋体"/>
                <w:highlight w:val="none"/>
              </w:rPr>
              <w:t>进行赔付；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3" w:hRule="atLeast"/>
          <w:jc w:val="center"/>
        </w:trPr>
        <w:tc>
          <w:tcPr>
            <w:tcW w:w="9655" w:type="dxa"/>
            <w:gridSpan w:val="6"/>
            <w:noWrap w:val="0"/>
            <w:vAlign w:val="center"/>
          </w:tcPr>
          <w:p>
            <w:pPr>
              <w:widowControl/>
              <w:ind w:firstLine="480" w:firstLineChars="200"/>
              <w:rPr>
                <w:rFonts w:ascii="宋体"/>
                <w:szCs w:val="21"/>
                <w:highlight w:val="none"/>
              </w:rPr>
            </w:pPr>
            <w:r>
              <w:rPr>
                <w:rFonts w:hint="eastAsia" w:ascii="宋体"/>
                <w:szCs w:val="21"/>
                <w:highlight w:val="none"/>
              </w:rPr>
              <w:t xml:space="preserve">鉴于投保人已向本保险人投保供货履约保证保险，并按本保险单约定交付保险费，保险人同意按照本保险单所适用条款及上述特别约定承担保险责任，特立本保险单为凭。  </w:t>
            </w:r>
          </w:p>
          <w:p>
            <w:pPr>
              <w:widowControl/>
              <w:ind w:firstLine="300"/>
              <w:rPr>
                <w:rFonts w:ascii="宋体"/>
                <w:szCs w:val="21"/>
                <w:highlight w:val="none"/>
              </w:rPr>
            </w:pPr>
          </w:p>
          <w:p>
            <w:pPr>
              <w:widowControl/>
              <w:ind w:right="420"/>
              <w:jc w:val="right"/>
              <w:rPr>
                <w:rFonts w:ascii="宋体"/>
                <w:szCs w:val="21"/>
                <w:highlight w:val="none"/>
              </w:rPr>
            </w:pPr>
            <w:r>
              <w:rPr>
                <w:rFonts w:hint="eastAsia" w:ascii="宋体"/>
                <w:szCs w:val="21"/>
                <w:highlight w:val="none"/>
              </w:rPr>
              <w:t>保险人（签章）： </w:t>
            </w:r>
          </w:p>
          <w:p>
            <w:pPr>
              <w:widowControl/>
              <w:ind w:right="420"/>
              <w:jc w:val="right"/>
              <w:rPr>
                <w:rFonts w:ascii="宋体"/>
                <w:szCs w:val="21"/>
                <w:highlight w:val="none"/>
              </w:rPr>
            </w:pPr>
            <w:r>
              <w:rPr>
                <w:rFonts w:hint="eastAsia" w:ascii="宋体"/>
                <w:szCs w:val="21"/>
                <w:highlight w:val="none"/>
              </w:rPr>
              <w:t>年    月    日</w:t>
            </w:r>
          </w:p>
          <w:p>
            <w:pPr>
              <w:widowControl/>
              <w:spacing w:line="240" w:lineRule="atLeast"/>
              <w:rPr>
                <w:rFonts w:ascii="宋体"/>
                <w:szCs w:val="21"/>
                <w:highlight w:val="none"/>
              </w:rPr>
            </w:pPr>
            <w:r>
              <w:rPr>
                <w:rFonts w:hint="eastAsia" w:ascii="宋体"/>
                <w:szCs w:val="21"/>
                <w:highlight w:val="none"/>
              </w:rPr>
              <w:t>保险人地址：</w:t>
            </w:r>
          </w:p>
          <w:p>
            <w:pPr>
              <w:ind w:right="24" w:rightChars="10"/>
              <w:rPr>
                <w:rFonts w:ascii="宋体"/>
                <w:highlight w:val="none"/>
              </w:rPr>
            </w:pPr>
            <w:r>
              <w:rPr>
                <w:rFonts w:hint="eastAsia" w:ascii="宋体"/>
                <w:szCs w:val="21"/>
                <w:highlight w:val="none"/>
              </w:rPr>
              <w:t>邮政编码 全国统一服务电话：95518        传真：                  网址：</w:t>
            </w:r>
            <w:r>
              <w:rPr>
                <w:highlight w:val="none"/>
              </w:rPr>
              <w:fldChar w:fldCharType="begin"/>
            </w:r>
            <w:r>
              <w:rPr>
                <w:highlight w:val="none"/>
              </w:rPr>
              <w:instrText xml:space="preserve">HYPERLINK "http://www.e-picc.com.cn/"</w:instrText>
            </w:r>
            <w:r>
              <w:rPr>
                <w:highlight w:val="none"/>
              </w:rPr>
              <w:fldChar w:fldCharType="separate"/>
            </w:r>
            <w:r>
              <w:rPr>
                <w:rFonts w:hint="eastAsia" w:ascii="宋体"/>
                <w:szCs w:val="21"/>
                <w:highlight w:val="none"/>
              </w:rPr>
              <w:t>www.e-picc.com.cn</w:t>
            </w:r>
            <w:r>
              <w:rPr>
                <w:highlight w:val="none"/>
              </w:rPr>
              <w:fldChar w:fldCharType="end"/>
            </w:r>
          </w:p>
        </w:tc>
      </w:tr>
    </w:tbl>
    <w:p>
      <w:pPr>
        <w:rPr>
          <w:rFonts w:ascii="宋体"/>
          <w:szCs w:val="21"/>
          <w:highlight w:val="none"/>
        </w:rPr>
      </w:pPr>
      <w:r>
        <w:rPr>
          <w:rFonts w:hint="eastAsia" w:ascii="宋体"/>
          <w:szCs w:val="21"/>
          <w:highlight w:val="none"/>
        </w:rPr>
        <w:t>复核：                                制单：                                   经办：</w:t>
      </w:r>
    </w:p>
    <w:p>
      <w:pPr>
        <w:snapToGrid w:val="0"/>
        <w:spacing w:line="600" w:lineRule="exact"/>
        <w:jc w:val="center"/>
        <w:rPr>
          <w:rFonts w:hint="eastAsia"/>
          <w:b/>
          <w:sz w:val="44"/>
          <w:szCs w:val="44"/>
          <w:highlight w:val="none"/>
        </w:rPr>
      </w:pPr>
    </w:p>
    <w:p>
      <w:pPr>
        <w:snapToGrid w:val="0"/>
        <w:spacing w:line="600" w:lineRule="exact"/>
        <w:jc w:val="center"/>
        <w:rPr>
          <w:rFonts w:ascii="宋体"/>
          <w:b/>
          <w:sz w:val="44"/>
          <w:highlight w:val="none"/>
        </w:rPr>
      </w:pPr>
      <w:r>
        <w:rPr>
          <w:rFonts w:hint="eastAsia"/>
          <w:b/>
          <w:sz w:val="44"/>
          <w:szCs w:val="44"/>
          <w:highlight w:val="none"/>
        </w:rPr>
        <w:t>中国人民财产保险股份有限公司</w:t>
      </w:r>
    </w:p>
    <w:p>
      <w:pPr>
        <w:snapToGrid w:val="0"/>
        <w:spacing w:line="600" w:lineRule="exact"/>
        <w:jc w:val="center"/>
        <w:rPr>
          <w:b/>
          <w:sz w:val="44"/>
          <w:szCs w:val="44"/>
          <w:highlight w:val="none"/>
        </w:rPr>
      </w:pPr>
      <w:r>
        <w:rPr>
          <w:rFonts w:hint="eastAsia"/>
          <w:b/>
          <w:sz w:val="44"/>
          <w:szCs w:val="44"/>
          <w:highlight w:val="none"/>
        </w:rPr>
        <w:t>供货</w:t>
      </w:r>
      <w:r>
        <w:rPr>
          <w:b/>
          <w:sz w:val="44"/>
          <w:szCs w:val="44"/>
          <w:highlight w:val="none"/>
        </w:rPr>
        <w:t>履约</w:t>
      </w:r>
      <w:r>
        <w:rPr>
          <w:rFonts w:hint="eastAsia"/>
          <w:b/>
          <w:sz w:val="44"/>
          <w:szCs w:val="44"/>
          <w:highlight w:val="none"/>
        </w:rPr>
        <w:t>保证保险条款</w:t>
      </w:r>
    </w:p>
    <w:p>
      <w:pPr>
        <w:snapToGrid w:val="0"/>
        <w:spacing w:line="600" w:lineRule="exact"/>
        <w:ind w:firstLine="643" w:firstLineChars="200"/>
        <w:jc w:val="center"/>
        <w:rPr>
          <w:rFonts w:ascii="宋体"/>
          <w:b/>
          <w:sz w:val="32"/>
          <w:szCs w:val="32"/>
          <w:highlight w:val="none"/>
        </w:rPr>
      </w:pPr>
    </w:p>
    <w:p>
      <w:pPr>
        <w:snapToGrid w:val="0"/>
        <w:spacing w:line="360" w:lineRule="auto"/>
        <w:jc w:val="center"/>
        <w:rPr>
          <w:rFonts w:ascii="仿宋_GB2312" w:eastAsia="仿宋_GB2312"/>
          <w:b/>
          <w:highlight w:val="none"/>
        </w:rPr>
      </w:pPr>
      <w:r>
        <w:rPr>
          <w:rFonts w:hint="eastAsia" w:ascii="仿宋_GB2312" w:eastAsia="仿宋_GB2312"/>
          <w:b/>
          <w:highlight w:val="none"/>
        </w:rPr>
        <w:t xml:space="preserve">总则 </w:t>
      </w:r>
    </w:p>
    <w:p>
      <w:pPr>
        <w:numPr>
          <w:ilvl w:val="0"/>
          <w:numId w:val="41"/>
        </w:numPr>
        <w:adjustRightInd w:val="0"/>
        <w:snapToGrid w:val="0"/>
        <w:spacing w:line="360" w:lineRule="auto"/>
        <w:ind w:left="0" w:firstLine="480" w:firstLineChars="200"/>
        <w:rPr>
          <w:rFonts w:ascii="仿宋_GB2312" w:eastAsia="仿宋_GB2312" w:cs="仿宋_GB2312"/>
          <w:highlight w:val="none"/>
          <w:lang w:val="zh-CN"/>
        </w:rPr>
      </w:pPr>
      <w:r>
        <w:rPr>
          <w:rFonts w:hint="eastAsia" w:ascii="仿宋_GB2312" w:eastAsia="仿宋_GB2312" w:cs="仿宋_GB2312"/>
          <w:highlight w:val="none"/>
          <w:lang w:val="zh-CN"/>
        </w:rPr>
        <w:t xml:space="preserve"> 本保险合同由保险条款、投保单、保险单以及批单组成。凡涉及本保险合同的约定，均应采取书面形式。</w:t>
      </w:r>
    </w:p>
    <w:p>
      <w:pPr>
        <w:numPr>
          <w:ilvl w:val="0"/>
          <w:numId w:val="41"/>
        </w:numPr>
        <w:adjustRightInd w:val="0"/>
        <w:snapToGrid w:val="0"/>
        <w:spacing w:line="360" w:lineRule="auto"/>
        <w:ind w:left="0" w:firstLine="480" w:firstLineChars="200"/>
        <w:rPr>
          <w:rFonts w:ascii="仿宋_GB2312" w:eastAsia="仿宋_GB2312"/>
          <w:highlight w:val="none"/>
        </w:rPr>
      </w:pPr>
      <w:r>
        <w:rPr>
          <w:rFonts w:hint="eastAsia" w:ascii="仿宋_GB2312" w:eastAsia="仿宋_GB2312"/>
          <w:highlight w:val="none"/>
        </w:rPr>
        <w:t xml:space="preserve"> 本保险适用于《中华人民</w:t>
      </w:r>
      <w:r>
        <w:rPr>
          <w:rFonts w:ascii="仿宋_GB2312" w:eastAsia="仿宋_GB2312"/>
          <w:highlight w:val="none"/>
        </w:rPr>
        <w:t>共和国民法典</w:t>
      </w:r>
      <w:r>
        <w:rPr>
          <w:rFonts w:hint="eastAsia" w:ascii="仿宋_GB2312" w:eastAsia="仿宋_GB2312"/>
          <w:highlight w:val="none"/>
        </w:rPr>
        <w:t>》所</w:t>
      </w:r>
      <w:r>
        <w:rPr>
          <w:rFonts w:ascii="仿宋_GB2312" w:eastAsia="仿宋_GB2312"/>
          <w:highlight w:val="none"/>
        </w:rPr>
        <w:t>规定的</w:t>
      </w:r>
      <w:r>
        <w:rPr>
          <w:rFonts w:hint="eastAsia" w:ascii="仿宋_GB2312" w:eastAsia="仿宋_GB2312"/>
          <w:highlight w:val="none"/>
        </w:rPr>
        <w:t>买卖合同（也</w:t>
      </w:r>
      <w:r>
        <w:rPr>
          <w:rFonts w:ascii="仿宋_GB2312" w:eastAsia="仿宋_GB2312"/>
          <w:highlight w:val="none"/>
        </w:rPr>
        <w:t>称采购</w:t>
      </w:r>
      <w:r>
        <w:rPr>
          <w:rFonts w:hint="eastAsia" w:ascii="仿宋_GB2312" w:eastAsia="仿宋_GB2312"/>
          <w:highlight w:val="none"/>
        </w:rPr>
        <w:t>协议），即指</w:t>
      </w:r>
      <w:r>
        <w:rPr>
          <w:rFonts w:ascii="仿宋_GB2312" w:eastAsia="仿宋_GB2312"/>
          <w:highlight w:val="none"/>
        </w:rPr>
        <w:t>出卖人</w:t>
      </w:r>
      <w:r>
        <w:rPr>
          <w:rFonts w:hint="eastAsia" w:ascii="仿宋_GB2312" w:eastAsia="仿宋_GB2312"/>
          <w:highlight w:val="none"/>
        </w:rPr>
        <w:t>（</w:t>
      </w:r>
      <w:r>
        <w:rPr>
          <w:rFonts w:ascii="仿宋_GB2312" w:eastAsia="仿宋_GB2312"/>
          <w:highlight w:val="none"/>
        </w:rPr>
        <w:t>即</w:t>
      </w:r>
      <w:r>
        <w:rPr>
          <w:rFonts w:hint="eastAsia" w:ascii="仿宋_GB2312" w:eastAsia="仿宋_GB2312"/>
          <w:highlight w:val="none"/>
        </w:rPr>
        <w:t>供货</w:t>
      </w:r>
      <w:r>
        <w:rPr>
          <w:rFonts w:ascii="仿宋_GB2312" w:eastAsia="仿宋_GB2312"/>
          <w:highlight w:val="none"/>
        </w:rPr>
        <w:t>方）转移标的物的所有权于买受人</w:t>
      </w:r>
      <w:r>
        <w:rPr>
          <w:rFonts w:hint="eastAsia" w:ascii="仿宋_GB2312" w:eastAsia="仿宋_GB2312"/>
          <w:highlight w:val="none"/>
        </w:rPr>
        <w:t>（</w:t>
      </w:r>
      <w:r>
        <w:rPr>
          <w:rFonts w:ascii="仿宋_GB2312" w:eastAsia="仿宋_GB2312"/>
          <w:highlight w:val="none"/>
        </w:rPr>
        <w:t>即</w:t>
      </w:r>
      <w:r>
        <w:rPr>
          <w:rFonts w:hint="eastAsia" w:ascii="仿宋_GB2312" w:eastAsia="仿宋_GB2312"/>
          <w:highlight w:val="none"/>
        </w:rPr>
        <w:t>采购</w:t>
      </w:r>
      <w:r>
        <w:rPr>
          <w:rFonts w:ascii="仿宋_GB2312" w:eastAsia="仿宋_GB2312"/>
          <w:highlight w:val="none"/>
        </w:rPr>
        <w:t>方），买受人支付价款的合同。</w:t>
      </w:r>
      <w:r>
        <w:rPr>
          <w:rFonts w:hint="eastAsia" w:ascii="仿宋_GB2312" w:eastAsia="仿宋_GB2312"/>
          <w:highlight w:val="none"/>
        </w:rPr>
        <w:t>该买卖</w:t>
      </w:r>
      <w:r>
        <w:rPr>
          <w:rFonts w:ascii="仿宋_GB2312" w:eastAsia="仿宋_GB2312"/>
          <w:highlight w:val="none"/>
        </w:rPr>
        <w:t>合同须</w:t>
      </w:r>
      <w:r>
        <w:rPr>
          <w:rFonts w:hint="eastAsia" w:ascii="仿宋_GB2312" w:eastAsia="仿宋_GB2312"/>
          <w:highlight w:val="none"/>
        </w:rPr>
        <w:t>真实</w:t>
      </w:r>
      <w:r>
        <w:rPr>
          <w:rFonts w:ascii="仿宋_GB2312" w:eastAsia="仿宋_GB2312"/>
          <w:highlight w:val="none"/>
        </w:rPr>
        <w:t>、合法、有效。</w:t>
      </w:r>
    </w:p>
    <w:p>
      <w:pPr>
        <w:numPr>
          <w:ilvl w:val="0"/>
          <w:numId w:val="41"/>
        </w:numPr>
        <w:adjustRightInd w:val="0"/>
        <w:snapToGrid w:val="0"/>
        <w:spacing w:line="360" w:lineRule="auto"/>
        <w:ind w:left="0" w:firstLine="480" w:firstLineChars="200"/>
        <w:rPr>
          <w:rFonts w:ascii="仿宋_GB2312" w:eastAsia="仿宋_GB2312"/>
          <w:highlight w:val="none"/>
        </w:rPr>
      </w:pPr>
      <w:r>
        <w:rPr>
          <w:rFonts w:hint="eastAsia" w:ascii="仿宋_GB2312" w:eastAsia="仿宋_GB2312"/>
          <w:highlight w:val="none"/>
        </w:rPr>
        <w:t xml:space="preserve"> 买卖合同关系中的出卖人（</w:t>
      </w:r>
      <w:r>
        <w:rPr>
          <w:rFonts w:ascii="仿宋_GB2312" w:eastAsia="仿宋_GB2312"/>
          <w:highlight w:val="none"/>
        </w:rPr>
        <w:t>即</w:t>
      </w:r>
      <w:r>
        <w:rPr>
          <w:rFonts w:hint="eastAsia" w:ascii="仿宋_GB2312" w:eastAsia="仿宋_GB2312"/>
          <w:highlight w:val="none"/>
        </w:rPr>
        <w:t>供货</w:t>
      </w:r>
      <w:r>
        <w:rPr>
          <w:rFonts w:ascii="仿宋_GB2312" w:eastAsia="仿宋_GB2312"/>
          <w:highlight w:val="none"/>
        </w:rPr>
        <w:t>方）</w:t>
      </w:r>
      <w:r>
        <w:rPr>
          <w:rFonts w:hint="eastAsia" w:ascii="仿宋_GB2312" w:eastAsia="仿宋_GB2312"/>
          <w:highlight w:val="none"/>
        </w:rPr>
        <w:t>可作为本保险合同的投保人，买卖合同关系中的买</w:t>
      </w:r>
      <w:r>
        <w:rPr>
          <w:rFonts w:ascii="仿宋_GB2312" w:eastAsia="仿宋_GB2312"/>
          <w:highlight w:val="none"/>
        </w:rPr>
        <w:t>受</w:t>
      </w:r>
      <w:r>
        <w:rPr>
          <w:rFonts w:hint="eastAsia" w:ascii="仿宋_GB2312" w:eastAsia="仿宋_GB2312"/>
          <w:highlight w:val="none"/>
        </w:rPr>
        <w:t>人（</w:t>
      </w:r>
      <w:r>
        <w:rPr>
          <w:rFonts w:ascii="仿宋_GB2312" w:eastAsia="仿宋_GB2312"/>
          <w:highlight w:val="none"/>
        </w:rPr>
        <w:t>即采购方）</w:t>
      </w:r>
      <w:r>
        <w:rPr>
          <w:rFonts w:hint="eastAsia" w:ascii="仿宋_GB2312" w:eastAsia="仿宋_GB2312"/>
          <w:highlight w:val="none"/>
        </w:rPr>
        <w:t>可作为本保险合同的被保险人。</w:t>
      </w:r>
    </w:p>
    <w:p>
      <w:pPr>
        <w:adjustRightInd w:val="0"/>
        <w:snapToGrid w:val="0"/>
        <w:spacing w:line="360" w:lineRule="auto"/>
        <w:rPr>
          <w:rFonts w:ascii="仿宋_GB2312" w:eastAsia="仿宋_GB2312"/>
          <w:highlight w:val="none"/>
        </w:rPr>
      </w:pPr>
    </w:p>
    <w:p>
      <w:pPr>
        <w:snapToGrid w:val="0"/>
        <w:spacing w:line="360" w:lineRule="auto"/>
        <w:jc w:val="center"/>
        <w:rPr>
          <w:rFonts w:ascii="仿宋_GB2312" w:eastAsia="仿宋_GB2312" w:cs="仿宋_GB2312"/>
          <w:highlight w:val="none"/>
          <w:lang w:val="zh-CN"/>
        </w:rPr>
      </w:pPr>
      <w:r>
        <w:rPr>
          <w:rFonts w:hint="eastAsia" w:ascii="仿宋_GB2312" w:eastAsia="仿宋_GB2312"/>
          <w:b/>
          <w:highlight w:val="none"/>
        </w:rPr>
        <w:t>保险责任</w:t>
      </w:r>
    </w:p>
    <w:p>
      <w:pPr>
        <w:adjustRightInd w:val="0"/>
        <w:snapToGrid w:val="0"/>
        <w:spacing w:after="120" w:afterLines="50" w:line="360" w:lineRule="auto"/>
        <w:ind w:firstLine="482" w:firstLineChars="200"/>
        <w:rPr>
          <w:rFonts w:ascii="仿宋_GB2312" w:eastAsia="仿宋_GB2312"/>
          <w:highlight w:val="none"/>
        </w:rPr>
      </w:pPr>
      <w:r>
        <w:rPr>
          <w:rFonts w:hint="eastAsia" w:ascii="仿宋_GB2312" w:eastAsia="仿宋_GB2312" w:cs="仿宋_GB2312"/>
          <w:b/>
          <w:highlight w:val="none"/>
          <w:lang w:val="zh-CN"/>
        </w:rPr>
        <w:t>第四</w:t>
      </w:r>
      <w:r>
        <w:rPr>
          <w:rFonts w:ascii="仿宋_GB2312" w:eastAsia="仿宋_GB2312" w:cs="仿宋_GB2312"/>
          <w:b/>
          <w:highlight w:val="none"/>
          <w:lang w:val="zh-CN"/>
        </w:rPr>
        <w:t>条</w:t>
      </w:r>
      <w:r>
        <w:rPr>
          <w:rFonts w:hint="eastAsia" w:ascii="仿宋_GB2312" w:eastAsia="仿宋_GB2312" w:cs="仿宋_GB2312"/>
          <w:highlight w:val="none"/>
          <w:lang w:val="zh-CN"/>
        </w:rPr>
        <w:t xml:space="preserve"> 投保人与被保险人</w:t>
      </w:r>
      <w:r>
        <w:rPr>
          <w:rFonts w:ascii="仿宋_GB2312" w:eastAsia="仿宋_GB2312" w:cs="仿宋_GB2312"/>
          <w:highlight w:val="none"/>
          <w:lang w:val="zh-CN"/>
        </w:rPr>
        <w:t>在</w:t>
      </w:r>
      <w:r>
        <w:rPr>
          <w:rFonts w:hint="eastAsia" w:ascii="仿宋_GB2312" w:eastAsia="仿宋_GB2312"/>
          <w:highlight w:val="none"/>
        </w:rPr>
        <w:t>保险期间内签订</w:t>
      </w:r>
      <w:r>
        <w:rPr>
          <w:rFonts w:ascii="仿宋_GB2312" w:eastAsia="仿宋_GB2312"/>
          <w:highlight w:val="none"/>
        </w:rPr>
        <w:t>的采购协议项下</w:t>
      </w:r>
      <w:r>
        <w:rPr>
          <w:rFonts w:hint="eastAsia" w:ascii="仿宋_GB2312" w:eastAsia="仿宋_GB2312"/>
          <w:highlight w:val="none"/>
        </w:rPr>
        <w:t>，因投保人</w:t>
      </w:r>
      <w:r>
        <w:rPr>
          <w:rFonts w:ascii="仿宋_GB2312" w:eastAsia="仿宋_GB2312"/>
          <w:highlight w:val="none"/>
        </w:rPr>
        <w:t>自身原因</w:t>
      </w:r>
      <w:r>
        <w:rPr>
          <w:rFonts w:hint="eastAsia" w:ascii="仿宋_GB2312" w:eastAsia="仿宋_GB2312"/>
          <w:highlight w:val="none"/>
        </w:rPr>
        <w:t>，未按照与被保险人签订的采购协议履行相关义务，发生下列任</w:t>
      </w:r>
      <w:r>
        <w:rPr>
          <w:rFonts w:ascii="仿宋_GB2312" w:eastAsia="仿宋_GB2312"/>
          <w:highlight w:val="none"/>
        </w:rPr>
        <w:t>一</w:t>
      </w:r>
      <w:r>
        <w:rPr>
          <w:rFonts w:hint="eastAsia" w:ascii="仿宋_GB2312" w:eastAsia="仿宋_GB2312"/>
          <w:highlight w:val="none"/>
        </w:rPr>
        <w:t>情形</w:t>
      </w:r>
      <w:r>
        <w:rPr>
          <w:rFonts w:ascii="仿宋_GB2312" w:eastAsia="仿宋_GB2312"/>
          <w:highlight w:val="none"/>
        </w:rPr>
        <w:t>，</w:t>
      </w:r>
      <w:r>
        <w:rPr>
          <w:rFonts w:hint="eastAsia" w:ascii="仿宋_GB2312" w:eastAsia="仿宋_GB2312"/>
          <w:highlight w:val="none"/>
        </w:rPr>
        <w:t>给被保险人造成直接经济损失的</w:t>
      </w:r>
      <w:r>
        <w:rPr>
          <w:rFonts w:ascii="仿宋_GB2312" w:eastAsia="仿宋_GB2312"/>
          <w:highlight w:val="none"/>
        </w:rPr>
        <w:t>，视为保险</w:t>
      </w:r>
      <w:r>
        <w:rPr>
          <w:rFonts w:hint="eastAsia" w:ascii="仿宋_GB2312" w:eastAsia="仿宋_GB2312"/>
          <w:highlight w:val="none"/>
        </w:rPr>
        <w:t>事故</w:t>
      </w:r>
      <w:r>
        <w:rPr>
          <w:rFonts w:ascii="仿宋_GB2312" w:eastAsia="仿宋_GB2312"/>
          <w:highlight w:val="none"/>
        </w:rPr>
        <w:t>发生。</w:t>
      </w:r>
      <w:r>
        <w:rPr>
          <w:rFonts w:hint="eastAsia" w:ascii="仿宋_GB2312" w:eastAsia="仿宋_GB2312"/>
          <w:highlight w:val="none"/>
        </w:rPr>
        <w:t>保险人按照本保险合同的约定，</w:t>
      </w:r>
      <w:r>
        <w:rPr>
          <w:rFonts w:ascii="仿宋_GB2312" w:eastAsia="仿宋_GB2312"/>
          <w:highlight w:val="none"/>
        </w:rPr>
        <w:t>向被保险人</w:t>
      </w:r>
      <w:r>
        <w:rPr>
          <w:rFonts w:hint="eastAsia" w:ascii="仿宋_GB2312" w:eastAsia="仿宋_GB2312"/>
          <w:highlight w:val="none"/>
        </w:rPr>
        <w:t>承担赔偿责任，</w:t>
      </w:r>
      <w:r>
        <w:rPr>
          <w:rFonts w:ascii="仿宋_GB2312" w:eastAsia="仿宋_GB2312"/>
          <w:highlight w:val="none"/>
        </w:rPr>
        <w:t>赔偿金额以保险金额为限</w:t>
      </w:r>
      <w:r>
        <w:rPr>
          <w:rFonts w:hint="eastAsia" w:ascii="仿宋_GB2312" w:eastAsia="仿宋_GB2312"/>
          <w:highlight w:val="none"/>
        </w:rPr>
        <w:t>。</w:t>
      </w:r>
    </w:p>
    <w:p>
      <w:pPr>
        <w:adjustRightInd w:val="0"/>
        <w:snapToGrid w:val="0"/>
        <w:spacing w:after="120" w:afterLines="50" w:line="360" w:lineRule="auto"/>
        <w:ind w:firstLine="480" w:firstLineChars="200"/>
        <w:rPr>
          <w:rFonts w:ascii="仿宋_GB2312" w:eastAsia="仿宋_GB2312"/>
          <w:bCs/>
          <w:highlight w:val="none"/>
        </w:rPr>
      </w:pPr>
      <w:r>
        <w:rPr>
          <w:rFonts w:hint="eastAsia" w:ascii="仿宋_GB2312" w:eastAsia="仿宋_GB2312"/>
          <w:bCs/>
          <w:highlight w:val="none"/>
        </w:rPr>
        <w:t>（一）未</w:t>
      </w:r>
      <w:r>
        <w:rPr>
          <w:rFonts w:ascii="仿宋_GB2312" w:eastAsia="仿宋_GB2312"/>
          <w:bCs/>
          <w:highlight w:val="none"/>
        </w:rPr>
        <w:t>按照</w:t>
      </w:r>
      <w:r>
        <w:rPr>
          <w:rFonts w:hint="eastAsia" w:ascii="仿宋_GB2312" w:eastAsia="仿宋_GB2312"/>
          <w:bCs/>
          <w:highlight w:val="none"/>
        </w:rPr>
        <w:t>采购协议约定</w:t>
      </w:r>
      <w:r>
        <w:rPr>
          <w:rFonts w:ascii="仿宋_GB2312" w:eastAsia="仿宋_GB2312"/>
          <w:bCs/>
          <w:highlight w:val="none"/>
        </w:rPr>
        <w:t>的时间</w:t>
      </w:r>
      <w:r>
        <w:rPr>
          <w:rFonts w:hint="eastAsia" w:ascii="仿宋_GB2312" w:eastAsia="仿宋_GB2312"/>
          <w:bCs/>
          <w:highlight w:val="none"/>
        </w:rPr>
        <w:t>交付</w:t>
      </w:r>
      <w:r>
        <w:rPr>
          <w:rFonts w:ascii="仿宋_GB2312" w:eastAsia="仿宋_GB2312"/>
          <w:bCs/>
          <w:highlight w:val="none"/>
        </w:rPr>
        <w:t>货物</w:t>
      </w:r>
      <w:r>
        <w:rPr>
          <w:rFonts w:hint="eastAsia" w:ascii="仿宋_GB2312" w:eastAsia="仿宋_GB2312"/>
          <w:bCs/>
          <w:highlight w:val="none"/>
        </w:rPr>
        <w:t>；</w:t>
      </w:r>
    </w:p>
    <w:p>
      <w:pPr>
        <w:adjustRightInd w:val="0"/>
        <w:snapToGrid w:val="0"/>
        <w:spacing w:after="120" w:afterLines="50" w:line="360" w:lineRule="auto"/>
        <w:ind w:firstLine="480" w:firstLineChars="200"/>
        <w:rPr>
          <w:rFonts w:ascii="仿宋_GB2312" w:eastAsia="仿宋_GB2312"/>
          <w:bCs/>
          <w:highlight w:val="none"/>
        </w:rPr>
      </w:pPr>
      <w:r>
        <w:rPr>
          <w:rFonts w:hint="eastAsia" w:ascii="仿宋_GB2312" w:eastAsia="仿宋_GB2312"/>
          <w:bCs/>
          <w:highlight w:val="none"/>
        </w:rPr>
        <w:t>（二）交</w:t>
      </w:r>
      <w:r>
        <w:rPr>
          <w:rFonts w:ascii="仿宋_GB2312" w:eastAsia="仿宋_GB2312"/>
          <w:bCs/>
          <w:highlight w:val="none"/>
        </w:rPr>
        <w:t>付</w:t>
      </w:r>
      <w:r>
        <w:rPr>
          <w:rFonts w:hint="eastAsia" w:ascii="仿宋_GB2312" w:eastAsia="仿宋_GB2312"/>
          <w:bCs/>
          <w:highlight w:val="none"/>
        </w:rPr>
        <w:t>货物的规格、型号</w:t>
      </w:r>
      <w:r>
        <w:rPr>
          <w:rFonts w:ascii="仿宋_GB2312" w:eastAsia="仿宋_GB2312"/>
          <w:bCs/>
          <w:highlight w:val="none"/>
        </w:rPr>
        <w:t>、</w:t>
      </w:r>
      <w:r>
        <w:rPr>
          <w:rFonts w:hint="eastAsia" w:ascii="仿宋_GB2312" w:eastAsia="仿宋_GB2312"/>
          <w:bCs/>
          <w:highlight w:val="none"/>
        </w:rPr>
        <w:t>数量、质量等不符合</w:t>
      </w:r>
      <w:r>
        <w:rPr>
          <w:rFonts w:ascii="仿宋_GB2312" w:eastAsia="仿宋_GB2312"/>
          <w:bCs/>
          <w:highlight w:val="none"/>
        </w:rPr>
        <w:t>采购协议</w:t>
      </w:r>
      <w:r>
        <w:rPr>
          <w:rFonts w:hint="eastAsia" w:ascii="仿宋_GB2312" w:eastAsia="仿宋_GB2312"/>
          <w:bCs/>
          <w:highlight w:val="none"/>
        </w:rPr>
        <w:t>约定标准；</w:t>
      </w:r>
    </w:p>
    <w:p>
      <w:pPr>
        <w:autoSpaceDE w:val="0"/>
        <w:autoSpaceDN w:val="0"/>
        <w:spacing w:after="120" w:afterLines="50" w:line="360" w:lineRule="auto"/>
        <w:ind w:firstLine="470" w:firstLineChars="196"/>
        <w:rPr>
          <w:rFonts w:ascii="仿宋_GB2312" w:eastAsia="仿宋_GB2312" w:cs="仿宋_GB2312"/>
          <w:highlight w:val="none"/>
        </w:rPr>
      </w:pPr>
      <w:r>
        <w:rPr>
          <w:rFonts w:hint="eastAsia" w:ascii="仿宋_GB2312" w:eastAsia="仿宋_GB2312"/>
          <w:bCs/>
          <w:highlight w:val="none"/>
        </w:rPr>
        <w:t>（三）</w:t>
      </w:r>
      <w:r>
        <w:rPr>
          <w:rFonts w:ascii="仿宋_GB2312" w:eastAsia="仿宋_GB2312"/>
          <w:bCs/>
          <w:highlight w:val="none"/>
        </w:rPr>
        <w:t>未</w:t>
      </w:r>
      <w:r>
        <w:rPr>
          <w:rFonts w:hint="eastAsia" w:ascii="仿宋_GB2312" w:eastAsia="仿宋_GB2312"/>
          <w:bCs/>
          <w:highlight w:val="none"/>
        </w:rPr>
        <w:t>按照采购</w:t>
      </w:r>
      <w:r>
        <w:rPr>
          <w:rFonts w:ascii="仿宋_GB2312" w:eastAsia="仿宋_GB2312"/>
          <w:bCs/>
          <w:highlight w:val="none"/>
        </w:rPr>
        <w:t>协议约定</w:t>
      </w:r>
      <w:r>
        <w:rPr>
          <w:rFonts w:hint="eastAsia" w:ascii="仿宋_GB2312" w:eastAsia="仿宋_GB2312"/>
          <w:bCs/>
          <w:highlight w:val="none"/>
        </w:rPr>
        <w:t>提供</w:t>
      </w:r>
      <w:r>
        <w:rPr>
          <w:rFonts w:ascii="仿宋_GB2312" w:eastAsia="仿宋_GB2312"/>
          <w:bCs/>
          <w:highlight w:val="none"/>
        </w:rPr>
        <w:t>质量保证</w:t>
      </w:r>
      <w:r>
        <w:rPr>
          <w:rFonts w:hint="eastAsia" w:ascii="仿宋_GB2312" w:eastAsia="仿宋_GB2312"/>
          <w:bCs/>
          <w:highlight w:val="none"/>
        </w:rPr>
        <w:t>期“三</w:t>
      </w:r>
      <w:r>
        <w:rPr>
          <w:rFonts w:ascii="仿宋_GB2312" w:eastAsia="仿宋_GB2312"/>
          <w:bCs/>
          <w:highlight w:val="none"/>
        </w:rPr>
        <w:t>包</w:t>
      </w:r>
      <w:r>
        <w:rPr>
          <w:rFonts w:hint="eastAsia" w:ascii="仿宋_GB2312" w:eastAsia="仿宋_GB2312"/>
          <w:bCs/>
          <w:highlight w:val="none"/>
        </w:rPr>
        <w:t>”服务</w:t>
      </w:r>
      <w:r>
        <w:rPr>
          <w:rFonts w:ascii="仿宋_GB2312" w:eastAsia="仿宋_GB2312"/>
          <w:bCs/>
          <w:highlight w:val="none"/>
        </w:rPr>
        <w:t>。</w:t>
      </w:r>
    </w:p>
    <w:p>
      <w:pPr>
        <w:snapToGrid w:val="0"/>
        <w:spacing w:line="360" w:lineRule="auto"/>
        <w:jc w:val="center"/>
        <w:rPr>
          <w:rFonts w:ascii="仿宋_GB2312" w:eastAsia="仿宋_GB2312"/>
          <w:b/>
          <w:highlight w:val="none"/>
        </w:rPr>
      </w:pPr>
      <w:r>
        <w:rPr>
          <w:rFonts w:hint="eastAsia" w:ascii="仿宋_GB2312" w:eastAsia="仿宋_GB2312"/>
          <w:b/>
          <w:highlight w:val="none"/>
        </w:rPr>
        <w:t>责任免除</w:t>
      </w:r>
    </w:p>
    <w:p>
      <w:pPr>
        <w:adjustRightInd w:val="0"/>
        <w:snapToGrid w:val="0"/>
        <w:spacing w:line="360" w:lineRule="auto"/>
        <w:ind w:left="643"/>
        <w:rPr>
          <w:rFonts w:ascii="仿宋_GB2312" w:eastAsia="仿宋_GB2312"/>
          <w:b/>
          <w:highlight w:val="none"/>
        </w:rPr>
      </w:pPr>
      <w:r>
        <w:rPr>
          <w:rFonts w:hint="eastAsia" w:ascii="仿宋_GB2312" w:eastAsia="仿宋_GB2312"/>
          <w:b/>
          <w:highlight w:val="none"/>
        </w:rPr>
        <w:t>第</w:t>
      </w:r>
      <w:r>
        <w:rPr>
          <w:rFonts w:ascii="仿宋_GB2312" w:eastAsia="仿宋_GB2312"/>
          <w:b/>
          <w:highlight w:val="none"/>
        </w:rPr>
        <w:t>五条</w:t>
      </w:r>
      <w:r>
        <w:rPr>
          <w:rFonts w:hint="eastAsia" w:ascii="仿宋_GB2312" w:eastAsia="仿宋_GB2312"/>
          <w:b/>
          <w:highlight w:val="none"/>
        </w:rPr>
        <w:t xml:space="preserve">  存在下列情形之一的，保险人不负责赔偿：</w:t>
      </w:r>
    </w:p>
    <w:p>
      <w:pPr>
        <w:adjustRightInd w:val="0"/>
        <w:snapToGrid w:val="0"/>
        <w:spacing w:line="360" w:lineRule="auto"/>
        <w:ind w:firstLine="361" w:firstLineChars="150"/>
        <w:rPr>
          <w:rFonts w:ascii="仿宋_GB2312" w:eastAsia="仿宋_GB2312"/>
          <w:b/>
          <w:highlight w:val="none"/>
        </w:rPr>
      </w:pPr>
      <w:r>
        <w:rPr>
          <w:rFonts w:hint="eastAsia" w:ascii="仿宋_GB2312" w:eastAsia="仿宋_GB2312"/>
          <w:b/>
          <w:highlight w:val="none"/>
        </w:rPr>
        <w:t>（一）投保人与被保险人订立的采购</w:t>
      </w:r>
      <w:r>
        <w:rPr>
          <w:rFonts w:ascii="仿宋_GB2312" w:eastAsia="仿宋_GB2312"/>
          <w:b/>
          <w:highlight w:val="none"/>
        </w:rPr>
        <w:t>协议</w:t>
      </w:r>
      <w:r>
        <w:rPr>
          <w:rFonts w:hint="eastAsia" w:ascii="仿宋_GB2312" w:eastAsia="仿宋_GB2312"/>
          <w:b/>
          <w:highlight w:val="none"/>
        </w:rPr>
        <w:t>被依法认定无效或被撤销；</w:t>
      </w:r>
    </w:p>
    <w:p>
      <w:pPr>
        <w:adjustRightInd w:val="0"/>
        <w:snapToGrid w:val="0"/>
        <w:spacing w:line="360" w:lineRule="auto"/>
        <w:ind w:firstLine="361" w:firstLineChars="150"/>
        <w:rPr>
          <w:rFonts w:ascii="仿宋_GB2312" w:eastAsia="仿宋_GB2312"/>
          <w:b/>
          <w:highlight w:val="none"/>
        </w:rPr>
      </w:pPr>
      <w:r>
        <w:rPr>
          <w:rFonts w:hint="eastAsia" w:ascii="仿宋_GB2312" w:eastAsia="仿宋_GB2312"/>
          <w:b/>
          <w:highlight w:val="none"/>
        </w:rPr>
        <w:t>（二）投保人与被保险订立的采购</w:t>
      </w:r>
      <w:r>
        <w:rPr>
          <w:rFonts w:ascii="仿宋_GB2312" w:eastAsia="仿宋_GB2312"/>
          <w:b/>
          <w:highlight w:val="none"/>
        </w:rPr>
        <w:t>协议</w:t>
      </w:r>
      <w:r>
        <w:rPr>
          <w:rFonts w:hint="eastAsia" w:ascii="仿宋_GB2312" w:eastAsia="仿宋_GB2312"/>
          <w:b/>
          <w:highlight w:val="none"/>
        </w:rPr>
        <w:t>按法定或者约定解除；</w:t>
      </w:r>
    </w:p>
    <w:p>
      <w:pPr>
        <w:adjustRightInd w:val="0"/>
        <w:snapToGrid w:val="0"/>
        <w:spacing w:line="360" w:lineRule="auto"/>
        <w:ind w:firstLine="361" w:firstLineChars="150"/>
        <w:rPr>
          <w:rFonts w:ascii="仿宋_GB2312" w:eastAsia="仿宋_GB2312"/>
          <w:b/>
          <w:highlight w:val="none"/>
        </w:rPr>
      </w:pPr>
      <w:r>
        <w:rPr>
          <w:rFonts w:hint="eastAsia" w:ascii="仿宋_GB2312" w:eastAsia="仿宋_GB2312"/>
          <w:b/>
          <w:highlight w:val="none"/>
        </w:rPr>
        <w:t>（三）投保人、被保险人采用欺诈、串通等恶意手段订立采购</w:t>
      </w:r>
      <w:r>
        <w:rPr>
          <w:rFonts w:ascii="仿宋_GB2312" w:eastAsia="仿宋_GB2312"/>
          <w:b/>
          <w:highlight w:val="none"/>
        </w:rPr>
        <w:t>协议</w:t>
      </w:r>
      <w:r>
        <w:rPr>
          <w:rFonts w:hint="eastAsia" w:ascii="仿宋_GB2312" w:eastAsia="仿宋_GB2312"/>
          <w:b/>
          <w:highlight w:val="none"/>
        </w:rPr>
        <w:t>；</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（四）投保人与被保险人对采购</w:t>
      </w:r>
      <w:r>
        <w:rPr>
          <w:rFonts w:ascii="仿宋_GB2312" w:eastAsia="仿宋_GB2312"/>
          <w:b/>
          <w:highlight w:val="none"/>
        </w:rPr>
        <w:t>协议</w:t>
      </w:r>
      <w:r>
        <w:rPr>
          <w:rFonts w:hint="eastAsia" w:ascii="仿宋_GB2312" w:eastAsia="仿宋_GB2312"/>
          <w:b/>
          <w:highlight w:val="none"/>
        </w:rPr>
        <w:t>实质性内容进行修改，包括但不限于变更合同主体，交货</w:t>
      </w:r>
      <w:r>
        <w:rPr>
          <w:rFonts w:ascii="仿宋_GB2312" w:eastAsia="仿宋_GB2312"/>
          <w:b/>
          <w:highlight w:val="none"/>
        </w:rPr>
        <w:t>时间</w:t>
      </w:r>
      <w:r>
        <w:rPr>
          <w:rFonts w:hint="eastAsia" w:ascii="仿宋_GB2312" w:eastAsia="仿宋_GB2312"/>
          <w:b/>
          <w:highlight w:val="none"/>
        </w:rPr>
        <w:t>，货物</w:t>
      </w:r>
      <w:r>
        <w:rPr>
          <w:rFonts w:ascii="仿宋_GB2312" w:eastAsia="仿宋_GB2312"/>
          <w:b/>
          <w:highlight w:val="none"/>
        </w:rPr>
        <w:t>规格</w:t>
      </w:r>
      <w:r>
        <w:rPr>
          <w:rFonts w:hint="eastAsia" w:ascii="仿宋_GB2312" w:eastAsia="仿宋_GB2312"/>
          <w:b/>
          <w:highlight w:val="none"/>
        </w:rPr>
        <w:t>、</w:t>
      </w:r>
      <w:r>
        <w:rPr>
          <w:rFonts w:ascii="仿宋_GB2312" w:eastAsia="仿宋_GB2312"/>
          <w:b/>
          <w:highlight w:val="none"/>
        </w:rPr>
        <w:t>数</w:t>
      </w:r>
      <w:r>
        <w:rPr>
          <w:rFonts w:hint="eastAsia" w:ascii="仿宋_GB2312" w:eastAsia="仿宋_GB2312"/>
          <w:b/>
          <w:highlight w:val="none"/>
        </w:rPr>
        <w:t>量</w:t>
      </w:r>
      <w:r>
        <w:rPr>
          <w:rFonts w:ascii="仿宋_GB2312" w:eastAsia="仿宋_GB2312"/>
          <w:b/>
          <w:highlight w:val="none"/>
        </w:rPr>
        <w:t>、</w:t>
      </w:r>
      <w:r>
        <w:rPr>
          <w:rFonts w:hint="eastAsia" w:ascii="仿宋_GB2312" w:eastAsia="仿宋_GB2312"/>
          <w:b/>
          <w:highlight w:val="none"/>
        </w:rPr>
        <w:t>质</w:t>
      </w:r>
      <w:r>
        <w:rPr>
          <w:rFonts w:ascii="仿宋_GB2312" w:eastAsia="仿宋_GB2312"/>
          <w:b/>
          <w:highlight w:val="none"/>
        </w:rPr>
        <w:t>量</w:t>
      </w:r>
      <w:r>
        <w:rPr>
          <w:rFonts w:hint="eastAsia" w:ascii="仿宋_GB2312" w:eastAsia="仿宋_GB2312"/>
          <w:b/>
          <w:highlight w:val="none"/>
        </w:rPr>
        <w:t>，合同权利义务等，而事先未征得保险人书面同意的；</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（五）被保险人未履行采购</w:t>
      </w:r>
      <w:r>
        <w:rPr>
          <w:rFonts w:ascii="仿宋_GB2312" w:eastAsia="仿宋_GB2312"/>
          <w:b/>
          <w:highlight w:val="none"/>
        </w:rPr>
        <w:t>协议</w:t>
      </w:r>
      <w:r>
        <w:rPr>
          <w:rFonts w:hint="eastAsia" w:ascii="仿宋_GB2312" w:eastAsia="仿宋_GB2312"/>
          <w:b/>
          <w:highlight w:val="none"/>
        </w:rPr>
        <w:t>中约定的义务。</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第六条 下列原因造成的损失、费用和责任，保险人不负责赔偿：</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（一）战争、敌对行为、恐怖行为、军事行动、武装冲突、罢工、暴动、民众骚乱；</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（二）核爆炸、核子辐射和放射性污染；</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（三）洪水、地震、海啸及其他人力不可抗拒的自然灾害；</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（四）行政行为或司法行为；</w:t>
      </w:r>
    </w:p>
    <w:p>
      <w:pPr>
        <w:adjustRightInd w:val="0"/>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（五）被保险人及其代表的故意或犯罪行为。</w:t>
      </w:r>
    </w:p>
    <w:p>
      <w:pPr>
        <w:adjustRightInd w:val="0"/>
        <w:snapToGrid w:val="0"/>
        <w:spacing w:line="360" w:lineRule="auto"/>
        <w:ind w:left="420" w:firstLine="241" w:firstLineChars="100"/>
        <w:rPr>
          <w:rFonts w:ascii="仿宋_GB2312" w:eastAsia="仿宋_GB2312"/>
          <w:b/>
          <w:highlight w:val="none"/>
        </w:rPr>
      </w:pPr>
      <w:r>
        <w:rPr>
          <w:rFonts w:hint="eastAsia" w:ascii="仿宋_GB2312" w:eastAsia="仿宋_GB2312"/>
          <w:b/>
          <w:highlight w:val="none"/>
        </w:rPr>
        <w:t>第</w:t>
      </w:r>
      <w:r>
        <w:rPr>
          <w:rFonts w:ascii="仿宋_GB2312" w:eastAsia="仿宋_GB2312"/>
          <w:b/>
          <w:highlight w:val="none"/>
        </w:rPr>
        <w:t>七条</w:t>
      </w:r>
      <w:r>
        <w:rPr>
          <w:rFonts w:hint="eastAsia" w:ascii="仿宋_GB2312" w:eastAsia="仿宋_GB2312"/>
          <w:b/>
          <w:highlight w:val="none"/>
        </w:rPr>
        <w:t xml:space="preserve"> 对下列损失、费用和责任，保险人不负责赔偿：</w:t>
      </w:r>
    </w:p>
    <w:p>
      <w:pPr>
        <w:spacing w:line="360" w:lineRule="auto"/>
        <w:ind w:firstLine="482" w:firstLineChars="200"/>
        <w:rPr>
          <w:rFonts w:ascii="仿宋_GB2312" w:hAnsi="仿宋" w:eastAsia="仿宋_GB2312"/>
          <w:b/>
          <w:highlight w:val="none"/>
        </w:rPr>
      </w:pPr>
      <w:r>
        <w:rPr>
          <w:rFonts w:hint="eastAsia" w:ascii="仿宋_GB2312" w:hAnsi="仿宋" w:eastAsia="仿宋_GB2312"/>
          <w:b/>
          <w:highlight w:val="none"/>
        </w:rPr>
        <w:t>（一）投保人与被保险人签订的采购</w:t>
      </w:r>
      <w:r>
        <w:rPr>
          <w:rFonts w:ascii="仿宋_GB2312" w:hAnsi="仿宋" w:eastAsia="仿宋_GB2312"/>
          <w:b/>
          <w:highlight w:val="none"/>
        </w:rPr>
        <w:t>协议</w:t>
      </w:r>
      <w:r>
        <w:rPr>
          <w:rFonts w:hint="eastAsia" w:ascii="仿宋_GB2312" w:hAnsi="仿宋" w:eastAsia="仿宋_GB2312"/>
          <w:b/>
          <w:highlight w:val="none"/>
        </w:rPr>
        <w:t>约定以外的任何损失和费用；</w:t>
      </w:r>
    </w:p>
    <w:p>
      <w:pPr>
        <w:spacing w:line="360" w:lineRule="auto"/>
        <w:ind w:firstLine="482" w:firstLineChars="200"/>
        <w:rPr>
          <w:rFonts w:ascii="仿宋_GB2312" w:hAnsi="仿宋" w:eastAsia="仿宋_GB2312"/>
          <w:b/>
          <w:highlight w:val="none"/>
        </w:rPr>
      </w:pPr>
      <w:r>
        <w:rPr>
          <w:rFonts w:hint="eastAsia" w:ascii="仿宋_GB2312" w:hAnsi="仿宋" w:eastAsia="仿宋_GB2312"/>
          <w:b/>
          <w:highlight w:val="none"/>
        </w:rPr>
        <w:t>（二）被保险人的任何间接损失以及被保险人以外的第三方的任何损失；</w:t>
      </w:r>
    </w:p>
    <w:p>
      <w:pPr>
        <w:spacing w:line="360" w:lineRule="auto"/>
        <w:ind w:firstLine="482" w:firstLineChars="200"/>
        <w:rPr>
          <w:rFonts w:ascii="仿宋_GB2312" w:hAnsi="仿宋" w:eastAsia="仿宋_GB2312"/>
          <w:b/>
          <w:highlight w:val="none"/>
        </w:rPr>
      </w:pPr>
      <w:r>
        <w:rPr>
          <w:rFonts w:hint="eastAsia" w:ascii="仿宋_GB2312" w:hAnsi="仿宋" w:eastAsia="仿宋_GB2312"/>
          <w:b/>
          <w:highlight w:val="none"/>
        </w:rPr>
        <w:t>（三）本保险合同中载明的免赔额或按本保险合同中载明的免赔率计算的金额，两者以高者为准。</w:t>
      </w:r>
    </w:p>
    <w:p>
      <w:pPr>
        <w:spacing w:line="360" w:lineRule="auto"/>
        <w:jc w:val="center"/>
        <w:rPr>
          <w:rFonts w:ascii="仿宋_GB2312" w:hAnsi="仿宋" w:eastAsia="仿宋_GB2312"/>
          <w:b/>
          <w:highlight w:val="none"/>
        </w:rPr>
      </w:pPr>
      <w:r>
        <w:rPr>
          <w:rFonts w:hint="eastAsia" w:ascii="仿宋_GB2312" w:hAnsi="仿宋" w:eastAsia="仿宋_GB2312"/>
          <w:b/>
          <w:highlight w:val="none"/>
        </w:rPr>
        <w:t>保险金额和免赔额（率）</w:t>
      </w:r>
    </w:p>
    <w:p>
      <w:pPr>
        <w:autoSpaceDE w:val="0"/>
        <w:autoSpaceDN w:val="0"/>
        <w:adjustRightInd w:val="0"/>
        <w:snapToGrid w:val="0"/>
        <w:spacing w:line="360" w:lineRule="auto"/>
        <w:ind w:firstLine="479" w:firstLineChars="199"/>
        <w:jc w:val="left"/>
        <w:rPr>
          <w:rFonts w:ascii="仿宋_GB2312" w:eastAsia="仿宋_GB2312"/>
          <w:highlight w:val="none"/>
        </w:rPr>
      </w:pPr>
      <w:r>
        <w:rPr>
          <w:rFonts w:hint="eastAsia" w:ascii="仿宋_GB2312" w:hAnsi="仿宋" w:eastAsia="仿宋_GB2312"/>
          <w:b/>
          <w:highlight w:val="none"/>
        </w:rPr>
        <w:t xml:space="preserve">第八条 </w:t>
      </w:r>
      <w:r>
        <w:rPr>
          <w:rFonts w:hint="eastAsia" w:ascii="仿宋_GB2312" w:eastAsia="仿宋_GB2312"/>
          <w:highlight w:val="none"/>
        </w:rPr>
        <w:t>本保险合同的保险金额为保险人承担赔偿责任的最高金额，根据采购协议</w:t>
      </w:r>
      <w:r>
        <w:rPr>
          <w:rFonts w:ascii="仿宋_GB2312" w:eastAsia="仿宋_GB2312"/>
          <w:highlight w:val="none"/>
        </w:rPr>
        <w:t>中</w:t>
      </w:r>
      <w:r>
        <w:rPr>
          <w:rFonts w:hint="eastAsia" w:ascii="仿宋_GB2312" w:eastAsia="仿宋_GB2312"/>
          <w:highlight w:val="none"/>
        </w:rPr>
        <w:t>投保人应交纳</w:t>
      </w:r>
      <w:r>
        <w:rPr>
          <w:rFonts w:ascii="仿宋_GB2312" w:eastAsia="仿宋_GB2312"/>
          <w:highlight w:val="none"/>
        </w:rPr>
        <w:t>的</w:t>
      </w:r>
      <w:r>
        <w:rPr>
          <w:rFonts w:hint="eastAsia" w:ascii="仿宋_GB2312" w:eastAsia="仿宋_GB2312"/>
          <w:highlight w:val="none"/>
        </w:rPr>
        <w:t>履约保证</w:t>
      </w:r>
      <w:r>
        <w:rPr>
          <w:rFonts w:ascii="仿宋_GB2312" w:eastAsia="仿宋_GB2312"/>
          <w:highlight w:val="none"/>
        </w:rPr>
        <w:t>金</w:t>
      </w:r>
      <w:r>
        <w:rPr>
          <w:rFonts w:hint="eastAsia" w:ascii="仿宋_GB2312" w:eastAsia="仿宋_GB2312"/>
          <w:highlight w:val="none"/>
        </w:rPr>
        <w:t>金额确定</w:t>
      </w:r>
      <w:r>
        <w:rPr>
          <w:rFonts w:ascii="仿宋_GB2312" w:eastAsia="仿宋_GB2312"/>
          <w:highlight w:val="none"/>
        </w:rPr>
        <w:t>，</w:t>
      </w:r>
      <w:r>
        <w:rPr>
          <w:rFonts w:hint="eastAsia" w:ascii="仿宋_GB2312" w:eastAsia="仿宋_GB2312"/>
          <w:highlight w:val="none"/>
        </w:rPr>
        <w:t>并在保险单中载明。</w:t>
      </w:r>
    </w:p>
    <w:p>
      <w:pPr>
        <w:spacing w:line="360" w:lineRule="auto"/>
        <w:ind w:firstLine="482" w:firstLineChars="200"/>
        <w:rPr>
          <w:rFonts w:ascii="仿宋_GB2312" w:hAnsi="仿宋" w:eastAsia="仿宋_GB2312"/>
          <w:b/>
          <w:highlight w:val="none"/>
        </w:rPr>
      </w:pPr>
      <w:r>
        <w:rPr>
          <w:rFonts w:hint="eastAsia" w:ascii="仿宋_GB2312" w:hAnsi="仿宋" w:eastAsia="仿宋_GB2312"/>
          <w:b/>
          <w:highlight w:val="none"/>
        </w:rPr>
        <w:t xml:space="preserve">第九条 </w:t>
      </w:r>
      <w:r>
        <w:rPr>
          <w:rFonts w:hint="eastAsia" w:ascii="仿宋_GB2312" w:eastAsia="仿宋_GB2312" w:cs="仿宋_GB2312"/>
          <w:b/>
          <w:highlight w:val="none"/>
          <w:lang w:val="zh-CN"/>
        </w:rPr>
        <w:t>本保险合同实行绝对免赔，绝对</w:t>
      </w:r>
      <w:r>
        <w:rPr>
          <w:rFonts w:hint="eastAsia" w:ascii="仿宋_GB2312" w:hAnsi="仿宋" w:eastAsia="仿宋_GB2312"/>
          <w:b/>
          <w:highlight w:val="none"/>
        </w:rPr>
        <w:t>免赔额（率）由投保人与保险人协商确定并在保险单中载明。</w:t>
      </w:r>
    </w:p>
    <w:p>
      <w:pPr>
        <w:snapToGrid w:val="0"/>
        <w:spacing w:line="360" w:lineRule="auto"/>
        <w:jc w:val="center"/>
        <w:rPr>
          <w:rFonts w:ascii="仿宋_GB2312" w:eastAsia="仿宋_GB2312"/>
          <w:b/>
          <w:highlight w:val="none"/>
        </w:rPr>
      </w:pPr>
      <w:r>
        <w:rPr>
          <w:rFonts w:hint="eastAsia" w:ascii="仿宋_GB2312" w:eastAsia="仿宋_GB2312"/>
          <w:b/>
          <w:highlight w:val="none"/>
        </w:rPr>
        <w:t>保险期间</w:t>
      </w:r>
    </w:p>
    <w:p>
      <w:pPr>
        <w:adjustRightInd w:val="0"/>
        <w:snapToGrid w:val="0"/>
        <w:spacing w:line="360" w:lineRule="auto"/>
        <w:ind w:firstLine="482" w:firstLineChars="200"/>
        <w:rPr>
          <w:rFonts w:ascii="仿宋_GB2312" w:eastAsia="仿宋_GB2312"/>
          <w:highlight w:val="none"/>
        </w:rPr>
      </w:pPr>
      <w:r>
        <w:rPr>
          <w:rFonts w:hint="eastAsia" w:ascii="仿宋_GB2312" w:eastAsia="仿宋_GB2312"/>
          <w:b/>
          <w:highlight w:val="none"/>
        </w:rPr>
        <w:t>第</w:t>
      </w:r>
      <w:r>
        <w:rPr>
          <w:rFonts w:ascii="仿宋_GB2312" w:eastAsia="仿宋_GB2312"/>
          <w:b/>
          <w:highlight w:val="none"/>
        </w:rPr>
        <w:t>十条</w:t>
      </w:r>
      <w:r>
        <w:rPr>
          <w:rFonts w:hint="eastAsia" w:ascii="仿宋_GB2312" w:eastAsia="仿宋_GB2312"/>
          <w:highlight w:val="none"/>
        </w:rPr>
        <w:t xml:space="preserve"> 本保险合同的保险期间由投保人与</w:t>
      </w:r>
      <w:r>
        <w:rPr>
          <w:rFonts w:ascii="仿宋_GB2312" w:eastAsia="仿宋_GB2312"/>
          <w:highlight w:val="none"/>
        </w:rPr>
        <w:t>保险人协商</w:t>
      </w:r>
      <w:r>
        <w:rPr>
          <w:rFonts w:hint="eastAsia" w:ascii="仿宋_GB2312" w:eastAsia="仿宋_GB2312"/>
          <w:highlight w:val="none"/>
        </w:rPr>
        <w:t>确定，具体起始日和终止日以保险单载明的起</w:t>
      </w:r>
      <w:r>
        <w:rPr>
          <w:rFonts w:ascii="仿宋_GB2312" w:eastAsia="仿宋_GB2312"/>
          <w:highlight w:val="none"/>
        </w:rPr>
        <w:t>讫</w:t>
      </w:r>
      <w:r>
        <w:rPr>
          <w:rFonts w:hint="eastAsia" w:ascii="仿宋_GB2312" w:eastAsia="仿宋_GB2312"/>
          <w:highlight w:val="none"/>
        </w:rPr>
        <w:t>日期为准。最长不超过一年。</w:t>
      </w:r>
    </w:p>
    <w:p>
      <w:pPr>
        <w:snapToGrid w:val="0"/>
        <w:spacing w:line="360" w:lineRule="auto"/>
        <w:jc w:val="center"/>
        <w:rPr>
          <w:rFonts w:ascii="仿宋_GB2312" w:eastAsia="仿宋_GB2312"/>
          <w:b/>
          <w:highlight w:val="none"/>
        </w:rPr>
      </w:pPr>
      <w:r>
        <w:rPr>
          <w:rFonts w:hint="eastAsia" w:ascii="仿宋_GB2312" w:eastAsia="仿宋_GB2312"/>
          <w:b/>
          <w:highlight w:val="none"/>
        </w:rPr>
        <w:t>保险人义务</w:t>
      </w:r>
    </w:p>
    <w:p>
      <w:pPr>
        <w:adjustRightInd w:val="0"/>
        <w:snapToGrid w:val="0"/>
        <w:spacing w:line="360" w:lineRule="auto"/>
        <w:ind w:firstLine="482" w:firstLineChars="200"/>
        <w:rPr>
          <w:rFonts w:ascii="仿宋_GB2312" w:eastAsia="仿宋_GB2312"/>
          <w:b/>
          <w:bCs/>
          <w:highlight w:val="none"/>
        </w:rPr>
      </w:pPr>
      <w:r>
        <w:rPr>
          <w:rFonts w:hint="eastAsia" w:ascii="仿宋_GB2312" w:eastAsia="仿宋_GB2312"/>
          <w:b/>
          <w:highlight w:val="none"/>
        </w:rPr>
        <w:t>第</w:t>
      </w:r>
      <w:r>
        <w:rPr>
          <w:rFonts w:ascii="仿宋_GB2312" w:eastAsia="仿宋_GB2312"/>
          <w:b/>
          <w:highlight w:val="none"/>
        </w:rPr>
        <w:t>十一条</w:t>
      </w:r>
      <w:r>
        <w:rPr>
          <w:rFonts w:hint="eastAsia" w:ascii="仿宋_GB2312" w:eastAsia="仿宋_GB2312"/>
          <w:highlight w:val="none"/>
        </w:rPr>
        <w:t xml:space="preserve"> 本保险合同成立后，保险人应当及时向投保人签发保险单或其它保险凭证。</w:t>
      </w:r>
    </w:p>
    <w:p>
      <w:pPr>
        <w:adjustRightInd w:val="0"/>
        <w:snapToGrid w:val="0"/>
        <w:spacing w:line="360" w:lineRule="auto"/>
        <w:ind w:firstLine="482" w:firstLineChars="200"/>
        <w:rPr>
          <w:highlight w:val="none"/>
        </w:rPr>
      </w:pPr>
      <w:r>
        <w:rPr>
          <w:rFonts w:hint="eastAsia" w:ascii="仿宋_GB2312" w:eastAsia="仿宋_GB2312"/>
          <w:b/>
          <w:highlight w:val="none"/>
        </w:rPr>
        <w:t>第</w:t>
      </w:r>
      <w:r>
        <w:rPr>
          <w:rFonts w:ascii="仿宋_GB2312" w:eastAsia="仿宋_GB2312"/>
          <w:b/>
          <w:highlight w:val="none"/>
        </w:rPr>
        <w:t>十二条</w:t>
      </w:r>
      <w:r>
        <w:rPr>
          <w:rFonts w:hint="eastAsia" w:ascii="仿宋_GB2312" w:eastAsia="仿宋_GB2312"/>
          <w:highlight w:val="none"/>
        </w:rPr>
        <w:t xml:space="preserve"> 保险事故发生后，投保人、被保险人提供的有关索赔的证明和资料不完整的，保险人应当及时一次性通知投保人、被保险人补充提供。</w:t>
      </w:r>
    </w:p>
    <w:p>
      <w:pPr>
        <w:adjustRightInd w:val="0"/>
        <w:snapToGrid w:val="0"/>
        <w:spacing w:line="360" w:lineRule="auto"/>
        <w:ind w:firstLine="482" w:firstLineChars="200"/>
        <w:rPr>
          <w:highlight w:val="none"/>
        </w:rPr>
      </w:pPr>
      <w:r>
        <w:rPr>
          <w:rFonts w:hint="eastAsia" w:ascii="仿宋_GB2312" w:eastAsia="仿宋_GB2312"/>
          <w:b/>
          <w:highlight w:val="none"/>
        </w:rPr>
        <w:t>第</w:t>
      </w:r>
      <w:r>
        <w:rPr>
          <w:rFonts w:ascii="仿宋_GB2312" w:eastAsia="仿宋_GB2312"/>
          <w:b/>
          <w:highlight w:val="none"/>
        </w:rPr>
        <w:t>十三条</w:t>
      </w:r>
      <w:r>
        <w:rPr>
          <w:rFonts w:hint="eastAsia" w:ascii="仿宋_GB2312" w:eastAsia="仿宋_GB2312"/>
          <w:highlight w:val="none"/>
        </w:rPr>
        <w:t xml:space="preserve"> 保险人收到被保险人的赔偿请求后，应当及时就是否属于保险责任作出核定，并将核定结果通知被保险人。 </w:t>
      </w:r>
    </w:p>
    <w:p>
      <w:pPr>
        <w:snapToGrid w:val="0"/>
        <w:spacing w:line="360" w:lineRule="auto"/>
        <w:jc w:val="center"/>
        <w:rPr>
          <w:rFonts w:ascii="仿宋_GB2312" w:eastAsia="仿宋_GB2312"/>
          <w:b/>
          <w:highlight w:val="none"/>
        </w:rPr>
      </w:pPr>
      <w:r>
        <w:rPr>
          <w:rFonts w:hint="eastAsia" w:ascii="仿宋_GB2312" w:eastAsia="仿宋_GB2312"/>
          <w:b/>
          <w:highlight w:val="none"/>
        </w:rPr>
        <w:t>投保人、被保险人义务</w:t>
      </w:r>
    </w:p>
    <w:p>
      <w:pPr>
        <w:snapToGrid w:val="0"/>
        <w:spacing w:line="360" w:lineRule="auto"/>
        <w:ind w:firstLine="482" w:firstLineChars="200"/>
        <w:rPr>
          <w:rFonts w:ascii="仿宋_GB2312" w:eastAsia="仿宋_GB2312"/>
          <w:b/>
          <w:highlight w:val="none"/>
        </w:rPr>
      </w:pPr>
      <w:r>
        <w:rPr>
          <w:rFonts w:hint="eastAsia" w:ascii="仿宋_GB2312" w:eastAsia="仿宋_GB2312"/>
          <w:b/>
          <w:highlight w:val="none"/>
        </w:rPr>
        <w:t xml:space="preserve">第十四条 </w:t>
      </w:r>
      <w:r>
        <w:rPr>
          <w:rFonts w:hint="eastAsia" w:ascii="仿宋_GB2312" w:eastAsia="仿宋_GB2312"/>
          <w:highlight w:val="none"/>
        </w:rPr>
        <w:t>投保人开展与投保合同相关的业务，应遵守相关法律及行政法规。若存在有关规定的，应取得主管部门的审批、认定资格。</w:t>
      </w:r>
    </w:p>
    <w:p>
      <w:pPr>
        <w:adjustRightInd w:val="0"/>
        <w:snapToGrid w:val="0"/>
        <w:spacing w:line="360" w:lineRule="auto"/>
        <w:ind w:firstLine="482" w:firstLineChars="200"/>
        <w:jc w:val="left"/>
        <w:rPr>
          <w:rFonts w:ascii="仿宋_GB2312" w:eastAsia="仿宋_GB2312"/>
          <w:bCs/>
          <w:highlight w:val="none"/>
        </w:rPr>
      </w:pPr>
      <w:r>
        <w:rPr>
          <w:rFonts w:hint="eastAsia" w:ascii="仿宋_GB2312" w:eastAsia="仿宋_GB2312"/>
          <w:b/>
          <w:bCs/>
          <w:highlight w:val="none"/>
        </w:rPr>
        <w:t xml:space="preserve">第十五条 </w:t>
      </w:r>
      <w:r>
        <w:rPr>
          <w:rFonts w:hint="eastAsia" w:ascii="仿宋_GB2312" w:eastAsia="仿宋_GB2312"/>
          <w:bCs/>
          <w:highlight w:val="none"/>
        </w:rPr>
        <w:t>投保人应履行如实告知义务，如实答复保险人就有关情况提出的询问，如实填写投保单。</w:t>
      </w:r>
    </w:p>
    <w:p>
      <w:pPr>
        <w:widowControl/>
        <w:snapToGrid w:val="0"/>
        <w:spacing w:line="360" w:lineRule="auto"/>
        <w:ind w:firstLine="472" w:firstLineChars="196"/>
        <w:jc w:val="left"/>
        <w:rPr>
          <w:rFonts w:ascii="仿宋_GB2312" w:eastAsia="仿宋_GB2312"/>
          <w:highlight w:val="none"/>
        </w:rPr>
      </w:pPr>
      <w:r>
        <w:rPr>
          <w:rFonts w:hint="eastAsia" w:ascii="仿宋_GB2312" w:eastAsia="仿宋_GB2312"/>
          <w:b/>
          <w:highlight w:val="none"/>
        </w:rPr>
        <w:t xml:space="preserve">第十六条 </w:t>
      </w:r>
      <w:r>
        <w:rPr>
          <w:rFonts w:hint="eastAsia" w:ascii="仿宋_GB2312" w:eastAsia="仿宋_GB2312"/>
          <w:highlight w:val="none"/>
        </w:rPr>
        <w:t>投保人投保时应向保险人提供以下资料：</w:t>
      </w:r>
    </w:p>
    <w:p>
      <w:pPr>
        <w:widowControl/>
        <w:numPr>
          <w:ilvl w:val="0"/>
          <w:numId w:val="42"/>
        </w:numPr>
        <w:snapToGrid w:val="0"/>
        <w:spacing w:line="360" w:lineRule="auto"/>
        <w:ind w:left="0" w:firstLine="480" w:firstLineChars="200"/>
        <w:jc w:val="left"/>
        <w:rPr>
          <w:rFonts w:ascii="仿宋_GB2312" w:eastAsia="仿宋_GB2312"/>
          <w:highlight w:val="none"/>
        </w:rPr>
      </w:pPr>
      <w:r>
        <w:rPr>
          <w:rFonts w:hint="eastAsia" w:ascii="仿宋_GB2312" w:eastAsia="仿宋_GB2312"/>
          <w:highlight w:val="none"/>
        </w:rPr>
        <w:t>投保人营业</w:t>
      </w:r>
      <w:r>
        <w:rPr>
          <w:rFonts w:ascii="仿宋_GB2312" w:eastAsia="仿宋_GB2312"/>
          <w:highlight w:val="none"/>
        </w:rPr>
        <w:t>执照及相关</w:t>
      </w:r>
      <w:r>
        <w:rPr>
          <w:rFonts w:hint="eastAsia" w:ascii="仿宋_GB2312" w:eastAsia="仿宋_GB2312"/>
          <w:highlight w:val="none"/>
        </w:rPr>
        <w:t>资质证明材料；</w:t>
      </w:r>
    </w:p>
    <w:p>
      <w:pPr>
        <w:widowControl/>
        <w:numPr>
          <w:ilvl w:val="0"/>
          <w:numId w:val="42"/>
        </w:numPr>
        <w:snapToGrid w:val="0"/>
        <w:spacing w:line="360" w:lineRule="auto"/>
        <w:ind w:left="0" w:firstLine="480" w:firstLineChars="200"/>
        <w:jc w:val="left"/>
        <w:rPr>
          <w:rFonts w:ascii="仿宋_GB2312" w:eastAsia="仿宋_GB2312"/>
          <w:highlight w:val="none"/>
        </w:rPr>
      </w:pPr>
      <w:r>
        <w:rPr>
          <w:rFonts w:hint="eastAsia" w:ascii="仿宋_GB2312" w:eastAsia="仿宋_GB2312"/>
          <w:highlight w:val="none"/>
        </w:rPr>
        <w:t>采购</w:t>
      </w:r>
      <w:r>
        <w:rPr>
          <w:rFonts w:ascii="仿宋_GB2312" w:eastAsia="仿宋_GB2312"/>
          <w:highlight w:val="none"/>
        </w:rPr>
        <w:t>协议</w:t>
      </w:r>
      <w:r>
        <w:rPr>
          <w:rFonts w:hint="eastAsia" w:ascii="仿宋_GB2312" w:eastAsia="仿宋_GB2312"/>
          <w:highlight w:val="none"/>
        </w:rPr>
        <w:t>及</w:t>
      </w:r>
      <w:r>
        <w:rPr>
          <w:rFonts w:ascii="仿宋_GB2312" w:eastAsia="仿宋_GB2312"/>
          <w:highlight w:val="none"/>
        </w:rPr>
        <w:t>相关文件</w:t>
      </w:r>
      <w:r>
        <w:rPr>
          <w:rFonts w:hint="eastAsia" w:ascii="仿宋_GB2312" w:eastAsia="仿宋_GB2312"/>
          <w:highlight w:val="none"/>
        </w:rPr>
        <w:t>；</w:t>
      </w:r>
    </w:p>
    <w:p>
      <w:pPr>
        <w:widowControl/>
        <w:numPr>
          <w:ilvl w:val="0"/>
          <w:numId w:val="42"/>
        </w:numPr>
        <w:snapToGrid w:val="0"/>
        <w:spacing w:line="360" w:lineRule="auto"/>
        <w:ind w:left="0" w:firstLine="480" w:firstLineChars="200"/>
        <w:jc w:val="left"/>
        <w:rPr>
          <w:rFonts w:ascii="仿宋_GB2312" w:eastAsia="仿宋_GB2312"/>
          <w:highlight w:val="none"/>
        </w:rPr>
      </w:pPr>
      <w:r>
        <w:rPr>
          <w:rFonts w:hint="eastAsia" w:ascii="仿宋_GB2312" w:eastAsia="仿宋_GB2312"/>
          <w:highlight w:val="none"/>
        </w:rPr>
        <w:t>被保险人相关信息资料；</w:t>
      </w:r>
    </w:p>
    <w:p>
      <w:pPr>
        <w:widowControl/>
        <w:numPr>
          <w:ilvl w:val="0"/>
          <w:numId w:val="42"/>
        </w:numPr>
        <w:snapToGrid w:val="0"/>
        <w:spacing w:line="360" w:lineRule="auto"/>
        <w:ind w:left="0" w:firstLine="480" w:firstLineChars="200"/>
        <w:jc w:val="left"/>
        <w:rPr>
          <w:rFonts w:ascii="仿宋_GB2312" w:eastAsia="仿宋_GB2312"/>
          <w:highlight w:val="none"/>
        </w:rPr>
      </w:pPr>
      <w:r>
        <w:rPr>
          <w:rFonts w:hint="eastAsia" w:ascii="仿宋_GB2312" w:eastAsia="仿宋_GB2312"/>
          <w:highlight w:val="none"/>
        </w:rPr>
        <w:t>保险人要求提供的其他相关材料。</w:t>
      </w:r>
    </w:p>
    <w:p>
      <w:pPr>
        <w:adjustRightInd w:val="0"/>
        <w:snapToGrid w:val="0"/>
        <w:spacing w:line="360" w:lineRule="auto"/>
        <w:ind w:firstLine="482" w:firstLineChars="200"/>
        <w:jc w:val="left"/>
        <w:rPr>
          <w:rFonts w:ascii="仿宋_GB2312" w:eastAsia="仿宋_GB2312"/>
          <w:bCs/>
          <w:highlight w:val="none"/>
        </w:rPr>
      </w:pPr>
      <w:r>
        <w:rPr>
          <w:rFonts w:hint="eastAsia" w:ascii="仿宋_GB2312" w:eastAsia="仿宋_GB2312"/>
          <w:b/>
          <w:bCs/>
          <w:highlight w:val="none"/>
        </w:rPr>
        <w:t>第十七条</w:t>
      </w:r>
      <w:r>
        <w:rPr>
          <w:rFonts w:hint="eastAsia" w:ascii="仿宋_GB2312" w:eastAsia="仿宋_GB2312"/>
          <w:bCs/>
          <w:highlight w:val="none"/>
        </w:rPr>
        <w:t xml:space="preserve"> 除本</w:t>
      </w:r>
      <w:r>
        <w:rPr>
          <w:rFonts w:ascii="仿宋_GB2312" w:eastAsia="仿宋_GB2312"/>
          <w:bCs/>
          <w:highlight w:val="none"/>
        </w:rPr>
        <w:t>保险合同</w:t>
      </w:r>
      <w:r>
        <w:rPr>
          <w:rFonts w:hint="eastAsia" w:ascii="仿宋_GB2312" w:eastAsia="仿宋_GB2312"/>
          <w:bCs/>
          <w:highlight w:val="none"/>
        </w:rPr>
        <w:t>另有</w:t>
      </w:r>
      <w:r>
        <w:rPr>
          <w:rFonts w:ascii="仿宋_GB2312" w:eastAsia="仿宋_GB2312"/>
          <w:bCs/>
          <w:highlight w:val="none"/>
        </w:rPr>
        <w:t>约定</w:t>
      </w:r>
      <w:r>
        <w:rPr>
          <w:rFonts w:hint="eastAsia" w:ascii="仿宋_GB2312" w:eastAsia="仿宋_GB2312"/>
          <w:bCs/>
          <w:highlight w:val="none"/>
        </w:rPr>
        <w:t>外</w:t>
      </w:r>
      <w:r>
        <w:rPr>
          <w:rFonts w:ascii="仿宋_GB2312" w:eastAsia="仿宋_GB2312"/>
          <w:bCs/>
          <w:highlight w:val="none"/>
        </w:rPr>
        <w:t>，</w:t>
      </w:r>
      <w:r>
        <w:rPr>
          <w:rFonts w:hint="eastAsia" w:ascii="仿宋_GB2312" w:eastAsia="仿宋_GB2312"/>
          <w:highlight w:val="none"/>
        </w:rPr>
        <w:t>投保人应在保险合同</w:t>
      </w:r>
      <w:r>
        <w:rPr>
          <w:rFonts w:ascii="仿宋_GB2312" w:eastAsia="仿宋_GB2312"/>
          <w:highlight w:val="none"/>
        </w:rPr>
        <w:t>成立时</w:t>
      </w:r>
      <w:r>
        <w:rPr>
          <w:rFonts w:hint="eastAsia" w:ascii="仿宋_GB2312" w:eastAsia="仿宋_GB2312"/>
          <w:highlight w:val="none"/>
        </w:rPr>
        <w:t>一次性交清全部保险费。</w:t>
      </w:r>
      <w:r>
        <w:rPr>
          <w:rFonts w:hint="eastAsia" w:ascii="仿宋_GB2312" w:eastAsia="仿宋_GB2312"/>
          <w:b/>
          <w:highlight w:val="none"/>
        </w:rPr>
        <w:t>投保人</w:t>
      </w:r>
      <w:r>
        <w:rPr>
          <w:rFonts w:ascii="仿宋_GB2312" w:eastAsia="仿宋_GB2312"/>
          <w:b/>
          <w:highlight w:val="none"/>
        </w:rPr>
        <w:t>未按约定交付保险费的，对于保险费交付之前发生的保险事故，保险人不承担赔偿责任。</w:t>
      </w:r>
    </w:p>
    <w:p>
      <w:pPr>
        <w:snapToGrid w:val="0"/>
        <w:spacing w:after="120" w:afterLines="50" w:line="360" w:lineRule="auto"/>
        <w:ind w:firstLine="472" w:firstLineChars="196"/>
        <w:rPr>
          <w:rFonts w:ascii="仿宋_GB2312" w:eastAsia="仿宋_GB2312"/>
          <w:highlight w:val="none"/>
        </w:rPr>
      </w:pPr>
      <w:r>
        <w:rPr>
          <w:rFonts w:hint="eastAsia" w:ascii="仿宋_GB2312" w:eastAsia="仿宋_GB2312"/>
          <w:b/>
          <w:highlight w:val="none"/>
        </w:rPr>
        <w:t xml:space="preserve">第十八条 </w:t>
      </w:r>
      <w:r>
        <w:rPr>
          <w:rFonts w:hint="eastAsia" w:ascii="仿宋_GB2312" w:eastAsia="仿宋_GB2312"/>
          <w:highlight w:val="none"/>
        </w:rPr>
        <w:t>在保险期间内，如投保人履约能力发生重大变化，履约风险显著增加的，投保人应当按照保险合同的约定及时通知保险人，保险人可以按照保险合同约定增加保险费或者解除保险合同。</w:t>
      </w:r>
    </w:p>
    <w:p>
      <w:pPr>
        <w:spacing w:line="360" w:lineRule="auto"/>
        <w:ind w:firstLine="482" w:firstLineChars="200"/>
        <w:rPr>
          <w:rFonts w:ascii="仿宋_GB2312" w:hAnsi="仿宋" w:eastAsia="仿宋_GB2312"/>
          <w:highlight w:val="none"/>
        </w:rPr>
      </w:pPr>
      <w:r>
        <w:rPr>
          <w:rFonts w:hint="eastAsia" w:ascii="仿宋_GB2312" w:hAnsi="仿宋" w:eastAsia="仿宋_GB2312"/>
          <w:b/>
          <w:highlight w:val="none"/>
        </w:rPr>
        <w:t>第十</w:t>
      </w:r>
      <w:r>
        <w:rPr>
          <w:rFonts w:ascii="仿宋_GB2312" w:hAnsi="仿宋" w:eastAsia="仿宋_GB2312"/>
          <w:b/>
          <w:highlight w:val="none"/>
        </w:rPr>
        <w:t>九</w:t>
      </w:r>
      <w:r>
        <w:rPr>
          <w:rFonts w:hint="eastAsia" w:ascii="仿宋_GB2312" w:hAnsi="仿宋" w:eastAsia="仿宋_GB2312"/>
          <w:b/>
          <w:highlight w:val="none"/>
        </w:rPr>
        <w:t>条</w:t>
      </w:r>
      <w:r>
        <w:rPr>
          <w:rFonts w:ascii="仿宋_GB2312" w:hAnsi="仿宋" w:eastAsia="仿宋_GB2312"/>
          <w:b/>
          <w:highlight w:val="none"/>
        </w:rPr>
        <w:t xml:space="preserve"> </w:t>
      </w:r>
      <w:r>
        <w:rPr>
          <w:rFonts w:hint="eastAsia" w:ascii="仿宋_GB2312" w:eastAsia="仿宋_GB2312"/>
          <w:highlight w:val="none"/>
        </w:rPr>
        <w:t>在保险期间内，</w:t>
      </w:r>
      <w:r>
        <w:rPr>
          <w:rFonts w:hint="eastAsia" w:ascii="仿宋_GB2312" w:hAnsi="仿宋" w:eastAsia="仿宋_GB2312"/>
          <w:highlight w:val="none"/>
        </w:rPr>
        <w:t>被保险人应及时检查并协助保险人了解采购</w:t>
      </w:r>
      <w:r>
        <w:rPr>
          <w:rFonts w:ascii="仿宋_GB2312" w:hAnsi="仿宋" w:eastAsia="仿宋_GB2312"/>
          <w:highlight w:val="none"/>
        </w:rPr>
        <w:t>协议</w:t>
      </w:r>
      <w:r>
        <w:rPr>
          <w:rFonts w:hint="eastAsia" w:ascii="仿宋_GB2312" w:hAnsi="仿宋" w:eastAsia="仿宋_GB2312"/>
          <w:highlight w:val="none"/>
        </w:rPr>
        <w:t>的执行情况，如发现投保人存在违约风险，或有任何其他可能导致本保险合同风险显著增加的情况，被保险人应采取措施降低或消除上述风险，并应按照本保险合同约定及时通知保险人。</w:t>
      </w:r>
    </w:p>
    <w:p>
      <w:pPr>
        <w:spacing w:line="360" w:lineRule="auto"/>
        <w:ind w:firstLine="482" w:firstLineChars="200"/>
        <w:rPr>
          <w:rFonts w:ascii="仿宋_GB2312" w:hAnsi="仿宋" w:eastAsia="仿宋_GB2312"/>
          <w:b/>
          <w:highlight w:val="none"/>
        </w:rPr>
      </w:pPr>
      <w:r>
        <w:rPr>
          <w:rFonts w:hint="eastAsia" w:ascii="仿宋_GB2312" w:hAnsi="仿宋" w:eastAsia="仿宋_GB2312"/>
          <w:b/>
          <w:highlight w:val="none"/>
        </w:rPr>
        <w:t>第二十条</w:t>
      </w:r>
      <w:r>
        <w:rPr>
          <w:rFonts w:ascii="仿宋_GB2312" w:hAnsi="仿宋" w:eastAsia="仿宋_GB2312"/>
          <w:b/>
          <w:highlight w:val="none"/>
        </w:rPr>
        <w:t xml:space="preserve"> </w:t>
      </w:r>
      <w:r>
        <w:rPr>
          <w:rFonts w:hint="eastAsia" w:ascii="仿宋_GB2312" w:hAnsi="仿宋" w:eastAsia="仿宋_GB2312"/>
          <w:highlight w:val="none"/>
        </w:rPr>
        <w:t>当发生保险事故时，被保险人应该尽力采取必要、合理的措施，防止或减少损失，</w:t>
      </w:r>
      <w:r>
        <w:rPr>
          <w:rFonts w:hint="eastAsia" w:ascii="仿宋_GB2312" w:hAnsi="仿宋" w:eastAsia="仿宋_GB2312"/>
          <w:b/>
          <w:highlight w:val="none"/>
        </w:rPr>
        <w:t>否则，对因此扩大的损失，保险人不负责赔偿。</w:t>
      </w:r>
    </w:p>
    <w:p>
      <w:pPr>
        <w:spacing w:line="360" w:lineRule="auto"/>
        <w:ind w:firstLine="482" w:firstLineChars="200"/>
        <w:rPr>
          <w:rFonts w:ascii="仿宋_GB2312" w:hAnsi="仿宋" w:eastAsia="仿宋_GB2312"/>
          <w:highlight w:val="none"/>
        </w:rPr>
      </w:pPr>
      <w:r>
        <w:rPr>
          <w:rFonts w:hint="eastAsia" w:ascii="仿宋_GB2312" w:hAnsi="仿宋" w:eastAsia="仿宋_GB2312"/>
          <w:b/>
          <w:highlight w:val="none"/>
        </w:rPr>
        <w:t>第二十一条</w:t>
      </w:r>
      <w:r>
        <w:rPr>
          <w:rFonts w:ascii="仿宋_GB2312" w:hAnsi="仿宋" w:eastAsia="仿宋_GB2312"/>
          <w:b/>
          <w:highlight w:val="none"/>
        </w:rPr>
        <w:t xml:space="preserve"> </w:t>
      </w:r>
      <w:r>
        <w:rPr>
          <w:rFonts w:hint="eastAsia" w:ascii="仿宋_GB2312" w:hAnsi="仿宋" w:eastAsia="仿宋_GB2312"/>
          <w:highlight w:val="none"/>
        </w:rPr>
        <w:t>当发生保险事故时，投保人、被保险人应当及时通知保险人，并书面说明事故发生的原因、经过、损失情况和处理情况</w:t>
      </w:r>
      <w:r>
        <w:rPr>
          <w:rFonts w:ascii="仿宋_GB2312" w:hAnsi="仿宋" w:eastAsia="仿宋_GB2312"/>
          <w:highlight w:val="none"/>
        </w:rPr>
        <w:t>;涉及违法、犯罪的，应立即向公安机关报案。</w:t>
      </w:r>
    </w:p>
    <w:p>
      <w:pPr>
        <w:spacing w:line="360" w:lineRule="auto"/>
        <w:ind w:firstLine="482" w:firstLineChars="200"/>
        <w:rPr>
          <w:rFonts w:ascii="仿宋_GB2312" w:hAnsi="仿宋" w:eastAsia="仿宋_GB2312"/>
          <w:highlight w:val="none"/>
        </w:rPr>
      </w:pPr>
      <w:r>
        <w:rPr>
          <w:rFonts w:hint="eastAsia" w:ascii="仿宋_GB2312" w:hAnsi="仿宋" w:eastAsia="仿宋_GB2312"/>
          <w:b/>
          <w:highlight w:val="none"/>
        </w:rPr>
        <w:t>第二十二条</w:t>
      </w:r>
      <w:r>
        <w:rPr>
          <w:rFonts w:ascii="仿宋_GB2312" w:hAnsi="仿宋" w:eastAsia="仿宋_GB2312"/>
          <w:highlight w:val="none"/>
        </w:rPr>
        <w:t xml:space="preserve"> 发生保险事故后，</w:t>
      </w:r>
      <w:r>
        <w:rPr>
          <w:rFonts w:hint="eastAsia" w:ascii="仿宋_GB2312" w:hAnsi="仿宋" w:eastAsia="仿宋_GB2312"/>
          <w:highlight w:val="none"/>
        </w:rPr>
        <w:t>被保险人应向保险人提供下列证明和资料：</w:t>
      </w:r>
    </w:p>
    <w:p>
      <w:pPr>
        <w:spacing w:line="360" w:lineRule="auto"/>
        <w:ind w:firstLine="480" w:firstLineChars="200"/>
        <w:rPr>
          <w:rFonts w:ascii="仿宋_GB2312" w:hAnsi="仿宋" w:eastAsia="仿宋_GB2312"/>
          <w:highlight w:val="none"/>
        </w:rPr>
      </w:pPr>
      <w:r>
        <w:rPr>
          <w:rFonts w:hint="eastAsia" w:ascii="仿宋_GB2312" w:hAnsi="仿宋" w:eastAsia="仿宋_GB2312"/>
          <w:highlight w:val="none"/>
        </w:rPr>
        <w:t>（一）保险单正本；</w:t>
      </w:r>
      <w:r>
        <w:rPr>
          <w:rFonts w:ascii="仿宋_GB2312" w:hAnsi="仿宋" w:eastAsia="仿宋_GB2312"/>
          <w:highlight w:val="none"/>
        </w:rPr>
        <w:t xml:space="preserve"> </w:t>
      </w:r>
    </w:p>
    <w:p>
      <w:pPr>
        <w:spacing w:line="360" w:lineRule="auto"/>
        <w:ind w:firstLine="480" w:firstLineChars="200"/>
        <w:rPr>
          <w:rFonts w:ascii="仿宋_GB2312" w:hAnsi="仿宋" w:eastAsia="仿宋_GB2312"/>
          <w:highlight w:val="none"/>
        </w:rPr>
      </w:pPr>
      <w:r>
        <w:rPr>
          <w:rFonts w:hint="eastAsia" w:ascii="仿宋_GB2312" w:hAnsi="仿宋" w:eastAsia="仿宋_GB2312"/>
          <w:highlight w:val="none"/>
        </w:rPr>
        <w:t>（二）索赔申请书；</w:t>
      </w:r>
    </w:p>
    <w:p>
      <w:pPr>
        <w:spacing w:line="360" w:lineRule="auto"/>
        <w:ind w:firstLine="480" w:firstLineChars="200"/>
        <w:rPr>
          <w:rFonts w:ascii="仿宋_GB2312" w:hAnsi="仿宋" w:eastAsia="仿宋_GB2312"/>
          <w:highlight w:val="none"/>
        </w:rPr>
      </w:pPr>
      <w:r>
        <w:rPr>
          <w:rFonts w:hint="eastAsia" w:ascii="仿宋_GB2312" w:hAnsi="仿宋" w:eastAsia="仿宋_GB2312"/>
          <w:highlight w:val="none"/>
        </w:rPr>
        <w:t>（三）采购</w:t>
      </w:r>
      <w:r>
        <w:rPr>
          <w:rFonts w:ascii="仿宋_GB2312" w:hAnsi="仿宋" w:eastAsia="仿宋_GB2312"/>
          <w:highlight w:val="none"/>
        </w:rPr>
        <w:t>协议</w:t>
      </w:r>
      <w:r>
        <w:rPr>
          <w:rFonts w:hint="eastAsia" w:ascii="仿宋_GB2312" w:hAnsi="仿宋" w:eastAsia="仿宋_GB2312"/>
          <w:highlight w:val="none"/>
        </w:rPr>
        <w:t>副本；</w:t>
      </w:r>
    </w:p>
    <w:p>
      <w:pPr>
        <w:spacing w:line="360" w:lineRule="auto"/>
        <w:ind w:firstLine="480" w:firstLineChars="200"/>
        <w:rPr>
          <w:rFonts w:ascii="仿宋_GB2312" w:hAnsi="仿宋" w:eastAsia="仿宋_GB2312"/>
          <w:highlight w:val="none"/>
        </w:rPr>
      </w:pPr>
      <w:r>
        <w:rPr>
          <w:rFonts w:hint="eastAsia" w:ascii="仿宋_GB2312" w:hAnsi="仿宋" w:eastAsia="仿宋_GB2312"/>
          <w:highlight w:val="none"/>
        </w:rPr>
        <w:t>（四）</w:t>
      </w:r>
      <w:r>
        <w:rPr>
          <w:rFonts w:ascii="仿宋_GB2312" w:hAnsi="仿宋" w:eastAsia="仿宋_GB2312"/>
          <w:highlight w:val="none"/>
        </w:rPr>
        <w:t>相关损失</w:t>
      </w:r>
      <w:r>
        <w:rPr>
          <w:rFonts w:hint="eastAsia" w:ascii="仿宋_GB2312" w:hAnsi="仿宋" w:eastAsia="仿宋_GB2312"/>
          <w:highlight w:val="none"/>
        </w:rPr>
        <w:t>证</w:t>
      </w:r>
      <w:r>
        <w:rPr>
          <w:rFonts w:ascii="仿宋_GB2312" w:hAnsi="仿宋" w:eastAsia="仿宋_GB2312"/>
          <w:highlight w:val="none"/>
        </w:rPr>
        <w:t>明</w:t>
      </w:r>
      <w:r>
        <w:rPr>
          <w:rFonts w:hint="eastAsia" w:ascii="仿宋_GB2312" w:hAnsi="仿宋" w:eastAsia="仿宋_GB2312"/>
          <w:highlight w:val="none"/>
        </w:rPr>
        <w:t>；</w:t>
      </w:r>
    </w:p>
    <w:p>
      <w:pPr>
        <w:spacing w:line="360" w:lineRule="auto"/>
        <w:ind w:firstLine="480" w:firstLineChars="200"/>
        <w:rPr>
          <w:rFonts w:ascii="仿宋_GB2312" w:hAnsi="仿宋" w:eastAsia="仿宋_GB2312"/>
          <w:highlight w:val="none"/>
        </w:rPr>
      </w:pPr>
      <w:r>
        <w:rPr>
          <w:rFonts w:hint="eastAsia" w:ascii="仿宋_GB2312" w:hAnsi="仿宋" w:eastAsia="仿宋_GB2312"/>
          <w:highlight w:val="none"/>
        </w:rPr>
        <w:t>（五）仲裁机构出具的裁决书或司法机关出具的裁定书、判决书等（适用于仲裁或诉讼确定损失的方式）；</w:t>
      </w:r>
    </w:p>
    <w:p>
      <w:pPr>
        <w:spacing w:line="360" w:lineRule="auto"/>
        <w:ind w:firstLine="480" w:firstLineChars="200"/>
        <w:rPr>
          <w:rFonts w:ascii="仿宋_GB2312" w:hAnsi="仿宋_GB2312" w:eastAsia="仿宋_GB2312" w:cs="仿宋_GB2312"/>
          <w:highlight w:val="none"/>
        </w:rPr>
      </w:pPr>
      <w:r>
        <w:rPr>
          <w:rFonts w:hint="eastAsia" w:ascii="仿宋_GB2312" w:hAnsi="仿宋" w:eastAsia="仿宋_GB2312"/>
          <w:highlight w:val="none"/>
        </w:rPr>
        <w:t>（六）保险人要求投保人、被保险人提供的与确定保险事故</w:t>
      </w:r>
      <w:r>
        <w:rPr>
          <w:rFonts w:hint="eastAsia" w:ascii="仿宋_GB2312" w:hAnsi="仿宋_GB2312" w:eastAsia="仿宋_GB2312" w:cs="仿宋_GB2312"/>
          <w:highlight w:val="none"/>
        </w:rPr>
        <w:t>的性质、原因、损失程度等有关的其他证明和资料。</w:t>
      </w:r>
    </w:p>
    <w:p>
      <w:pPr>
        <w:spacing w:line="360" w:lineRule="auto"/>
        <w:ind w:firstLine="482" w:firstLineChars="200"/>
        <w:rPr>
          <w:rFonts w:ascii="仿宋_GB2312" w:hAnsi="仿宋" w:eastAsia="仿宋_GB2312"/>
          <w:highlight w:val="none"/>
        </w:rPr>
      </w:pPr>
      <w:r>
        <w:rPr>
          <w:rFonts w:hint="eastAsia" w:ascii="仿宋_GB2312" w:eastAsia="仿宋_GB2312" w:cs="微软雅黑"/>
          <w:b/>
          <w:bCs/>
          <w:highlight w:val="none"/>
        </w:rPr>
        <w:t>被保险人未履行前款约定的索赔材料提供义务，导致保险人无法核实损失情况的，保险人对无法核实的部分不承担赔偿责任。</w:t>
      </w:r>
    </w:p>
    <w:p>
      <w:pPr>
        <w:snapToGrid w:val="0"/>
        <w:spacing w:line="360" w:lineRule="auto"/>
        <w:jc w:val="center"/>
        <w:rPr>
          <w:rFonts w:ascii="仿宋_GB2312" w:eastAsia="仿宋_GB2312"/>
          <w:b/>
          <w:highlight w:val="none"/>
        </w:rPr>
      </w:pPr>
    </w:p>
    <w:p>
      <w:pPr>
        <w:snapToGrid w:val="0"/>
        <w:spacing w:line="360" w:lineRule="auto"/>
        <w:jc w:val="center"/>
        <w:rPr>
          <w:rFonts w:ascii="仿宋_GB2312" w:eastAsia="仿宋_GB2312" w:cs="黑体"/>
          <w:b/>
          <w:highlight w:val="none"/>
          <w:lang w:val="zh-CN"/>
        </w:rPr>
      </w:pPr>
      <w:r>
        <w:rPr>
          <w:rFonts w:hint="eastAsia" w:ascii="仿宋_GB2312" w:eastAsia="仿宋_GB2312"/>
          <w:b/>
          <w:highlight w:val="none"/>
        </w:rPr>
        <w:t>赔偿</w:t>
      </w:r>
      <w:r>
        <w:rPr>
          <w:rFonts w:hint="eastAsia" w:ascii="仿宋_GB2312" w:eastAsia="仿宋_GB2312" w:cs="黑体"/>
          <w:b/>
          <w:highlight w:val="none"/>
          <w:lang w:val="zh-CN"/>
        </w:rPr>
        <w:t>处理</w:t>
      </w:r>
    </w:p>
    <w:p>
      <w:pPr>
        <w:spacing w:line="360" w:lineRule="auto"/>
        <w:ind w:firstLine="482" w:firstLineChars="200"/>
        <w:rPr>
          <w:rFonts w:ascii="仿宋_GB2312" w:eastAsia="仿宋_GB2312"/>
          <w:highlight w:val="none"/>
        </w:rPr>
      </w:pPr>
      <w:r>
        <w:rPr>
          <w:rFonts w:hint="eastAsia" w:ascii="仿宋_GB2312" w:eastAsia="仿宋_GB2312"/>
          <w:b/>
          <w:bCs/>
          <w:highlight w:val="none"/>
        </w:rPr>
        <w:t xml:space="preserve">第二十三条 </w:t>
      </w:r>
      <w:r>
        <w:rPr>
          <w:rFonts w:hint="eastAsia" w:ascii="仿宋_GB2312" w:eastAsia="仿宋_GB2312"/>
          <w:bCs/>
          <w:highlight w:val="none"/>
        </w:rPr>
        <w:t>发生保险责任范围内的损失，保险人</w:t>
      </w:r>
      <w:r>
        <w:rPr>
          <w:rFonts w:hint="eastAsia" w:ascii="仿宋_GB2312" w:eastAsia="仿宋_GB2312"/>
          <w:highlight w:val="none"/>
        </w:rPr>
        <w:t>按照被保险人实际损失扣除保险单载明的免赔额（率）后的金额进行赔偿，</w:t>
      </w:r>
      <w:r>
        <w:rPr>
          <w:rFonts w:ascii="仿宋_GB2312" w:eastAsia="仿宋_GB2312"/>
          <w:highlight w:val="none"/>
        </w:rPr>
        <w:t>但</w:t>
      </w:r>
      <w:r>
        <w:rPr>
          <w:rFonts w:hint="eastAsia" w:ascii="仿宋_GB2312" w:eastAsia="仿宋_GB2312"/>
          <w:highlight w:val="none"/>
        </w:rPr>
        <w:t>最</w:t>
      </w:r>
      <w:r>
        <w:rPr>
          <w:rFonts w:ascii="仿宋_GB2312" w:eastAsia="仿宋_GB2312"/>
          <w:highlight w:val="none"/>
        </w:rPr>
        <w:t>高</w:t>
      </w:r>
      <w:r>
        <w:rPr>
          <w:rFonts w:hint="eastAsia" w:ascii="仿宋_GB2312" w:eastAsia="仿宋_GB2312"/>
          <w:highlight w:val="none"/>
        </w:rPr>
        <w:t>以</w:t>
      </w:r>
      <w:r>
        <w:rPr>
          <w:rFonts w:ascii="仿宋_GB2312" w:eastAsia="仿宋_GB2312"/>
          <w:highlight w:val="none"/>
        </w:rPr>
        <w:t>保险金额</w:t>
      </w:r>
      <w:r>
        <w:rPr>
          <w:rFonts w:hint="eastAsia" w:ascii="仿宋_GB2312" w:eastAsia="仿宋_GB2312"/>
          <w:highlight w:val="none"/>
        </w:rPr>
        <w:t>为</w:t>
      </w:r>
      <w:r>
        <w:rPr>
          <w:rFonts w:ascii="仿宋_GB2312" w:eastAsia="仿宋_GB2312"/>
          <w:highlight w:val="none"/>
        </w:rPr>
        <w:t>限。</w:t>
      </w:r>
    </w:p>
    <w:p>
      <w:pPr>
        <w:spacing w:line="360" w:lineRule="auto"/>
        <w:ind w:firstLine="482" w:firstLineChars="200"/>
        <w:rPr>
          <w:rFonts w:ascii="仿宋_GB2312" w:eastAsia="仿宋_GB2312"/>
          <w:b/>
          <w:highlight w:val="none"/>
        </w:rPr>
      </w:pPr>
      <w:r>
        <w:rPr>
          <w:rFonts w:hint="eastAsia" w:ascii="仿宋_GB2312" w:eastAsia="仿宋_GB2312"/>
          <w:b/>
          <w:highlight w:val="none"/>
        </w:rPr>
        <w:t>投保人已经向被保险人部分履行违约责任的，保险人赔偿保险金时，应当扣减该部分金额。</w:t>
      </w:r>
    </w:p>
    <w:p>
      <w:pPr>
        <w:spacing w:line="360" w:lineRule="auto"/>
        <w:ind w:firstLine="482" w:firstLineChars="200"/>
        <w:rPr>
          <w:rFonts w:ascii="仿宋_GB2312" w:eastAsia="仿宋_GB2312"/>
          <w:highlight w:val="none"/>
        </w:rPr>
      </w:pPr>
      <w:r>
        <w:rPr>
          <w:rFonts w:hint="eastAsia" w:ascii="仿宋_GB2312" w:eastAsia="仿宋_GB2312"/>
          <w:b/>
          <w:bCs/>
          <w:highlight w:val="none"/>
        </w:rPr>
        <w:t>第二十四条</w:t>
      </w:r>
      <w:r>
        <w:rPr>
          <w:rFonts w:ascii="仿宋_GB2312" w:eastAsia="仿宋_GB2312"/>
          <w:highlight w:val="none"/>
        </w:rPr>
        <w:t> </w:t>
      </w:r>
      <w:r>
        <w:rPr>
          <w:rFonts w:hint="eastAsia" w:ascii="仿宋_GB2312" w:eastAsia="仿宋_GB2312"/>
          <w:highlight w:val="none"/>
        </w:rPr>
        <w:t>发生保险责任范围内的损失，保险人自向被保险人赔偿保险金之日起，在赔偿金额范围内代位行使被保险人对投保人请求赔偿的权利，被保险人应当向保险人提供必要的文件和所知道的情况，</w:t>
      </w:r>
      <w:r>
        <w:rPr>
          <w:rFonts w:hint="eastAsia" w:ascii="仿宋_GB2312" w:eastAsia="仿宋_GB2312" w:cs="微软雅黑"/>
          <w:bCs/>
          <w:highlight w:val="none"/>
        </w:rPr>
        <w:t>积极协助保险人向投保人进行追偿</w:t>
      </w:r>
      <w:r>
        <w:rPr>
          <w:rFonts w:hint="eastAsia" w:ascii="仿宋_GB2312" w:eastAsia="仿宋_GB2312"/>
          <w:highlight w:val="none"/>
        </w:rPr>
        <w:t>。</w:t>
      </w:r>
    </w:p>
    <w:p>
      <w:pPr>
        <w:spacing w:line="360" w:lineRule="auto"/>
        <w:ind w:firstLine="472" w:firstLineChars="196"/>
        <w:rPr>
          <w:rFonts w:ascii="仿宋_GB2312" w:eastAsia="仿宋_GB2312"/>
          <w:highlight w:val="none"/>
        </w:rPr>
      </w:pPr>
      <w:r>
        <w:rPr>
          <w:rFonts w:hint="eastAsia" w:ascii="仿宋_GB2312" w:eastAsia="仿宋_GB2312"/>
          <w:b/>
          <w:highlight w:val="none"/>
        </w:rPr>
        <w:t xml:space="preserve">第二十五条 </w:t>
      </w:r>
      <w:r>
        <w:rPr>
          <w:rFonts w:hint="eastAsia" w:ascii="仿宋_GB2312" w:eastAsia="仿宋_GB2312"/>
          <w:highlight w:val="none"/>
        </w:rPr>
        <w:t>被保险人向保险人请求赔偿的诉讼时效期间为二年，自其知道或应当知道保险事故发生之日起计算。</w:t>
      </w:r>
    </w:p>
    <w:p>
      <w:pPr>
        <w:snapToGrid w:val="0"/>
        <w:spacing w:line="360" w:lineRule="auto"/>
        <w:jc w:val="center"/>
        <w:rPr>
          <w:rFonts w:ascii="仿宋_GB2312" w:eastAsia="仿宋_GB2312"/>
          <w:b/>
          <w:highlight w:val="none"/>
        </w:rPr>
      </w:pPr>
      <w:r>
        <w:rPr>
          <w:rFonts w:hint="eastAsia" w:ascii="仿宋_GB2312" w:eastAsia="仿宋_GB2312"/>
          <w:b/>
          <w:highlight w:val="none"/>
        </w:rPr>
        <w:t>争议处理和</w:t>
      </w:r>
      <w:r>
        <w:rPr>
          <w:rFonts w:ascii="仿宋_GB2312" w:eastAsia="仿宋_GB2312"/>
          <w:b/>
          <w:highlight w:val="none"/>
        </w:rPr>
        <w:t>法律适用</w:t>
      </w:r>
    </w:p>
    <w:p>
      <w:pPr>
        <w:adjustRightInd w:val="0"/>
        <w:snapToGrid w:val="0"/>
        <w:spacing w:line="360" w:lineRule="auto"/>
        <w:ind w:firstLine="482" w:firstLineChars="200"/>
        <w:rPr>
          <w:rFonts w:ascii="仿宋_GB2312" w:eastAsia="仿宋_GB2312"/>
          <w:highlight w:val="none"/>
        </w:rPr>
      </w:pPr>
      <w:r>
        <w:rPr>
          <w:rFonts w:hint="eastAsia" w:ascii="仿宋_GB2312" w:eastAsia="仿宋_GB2312"/>
          <w:b/>
          <w:highlight w:val="none"/>
        </w:rPr>
        <w:t>第</w:t>
      </w:r>
      <w:r>
        <w:rPr>
          <w:rFonts w:ascii="仿宋_GB2312" w:eastAsia="仿宋_GB2312"/>
          <w:b/>
          <w:highlight w:val="none"/>
        </w:rPr>
        <w:t>二十</w:t>
      </w:r>
      <w:r>
        <w:rPr>
          <w:rFonts w:hint="eastAsia" w:ascii="仿宋_GB2312" w:eastAsia="仿宋_GB2312"/>
          <w:b/>
          <w:highlight w:val="none"/>
        </w:rPr>
        <w:t>六条</w:t>
      </w:r>
      <w:r>
        <w:rPr>
          <w:rFonts w:hint="eastAsia" w:ascii="仿宋_GB2312" w:eastAsia="仿宋_GB2312"/>
          <w:highlight w:val="none"/>
        </w:rPr>
        <w:t xml:space="preserve"> 本保险合同的争议解决方式由保险合同双方从下列两种方式中选择一种，并在保险单中载明：</w:t>
      </w:r>
    </w:p>
    <w:p>
      <w:pPr>
        <w:adjustRightInd w:val="0"/>
        <w:snapToGrid w:val="0"/>
        <w:spacing w:line="360" w:lineRule="auto"/>
        <w:ind w:firstLine="480" w:firstLineChars="200"/>
        <w:rPr>
          <w:rFonts w:ascii="仿宋_GB2312" w:eastAsia="仿宋_GB2312"/>
          <w:highlight w:val="none"/>
        </w:rPr>
      </w:pPr>
      <w:r>
        <w:rPr>
          <w:rFonts w:hint="eastAsia" w:ascii="仿宋_GB2312" w:eastAsia="仿宋_GB2312"/>
          <w:highlight w:val="none"/>
        </w:rPr>
        <w:t>（一）因履行本合同发生的争议，由保险合同双方协商解决，协商不成的，提交保险单载明的仲裁委员会仲裁；</w:t>
      </w:r>
    </w:p>
    <w:p>
      <w:pPr>
        <w:adjustRightInd w:val="0"/>
        <w:snapToGrid w:val="0"/>
        <w:spacing w:line="360" w:lineRule="auto"/>
        <w:ind w:firstLine="480" w:firstLineChars="200"/>
        <w:rPr>
          <w:rFonts w:ascii="仿宋_GB2312" w:eastAsia="仿宋_GB2312"/>
          <w:highlight w:val="none"/>
        </w:rPr>
      </w:pPr>
      <w:r>
        <w:rPr>
          <w:rFonts w:hint="eastAsia" w:ascii="仿宋_GB2312" w:eastAsia="仿宋_GB2312"/>
          <w:highlight w:val="none"/>
        </w:rPr>
        <w:t>（二）因履行本合同发生的争议，由保险合同双方协商解决，协商不成的，依法向人民法院起诉。</w:t>
      </w:r>
    </w:p>
    <w:p>
      <w:pPr>
        <w:adjustRightInd w:val="0"/>
        <w:snapToGrid w:val="0"/>
        <w:spacing w:line="360" w:lineRule="auto"/>
        <w:ind w:firstLine="482" w:firstLineChars="200"/>
        <w:rPr>
          <w:rFonts w:ascii="仿宋_GB2312" w:eastAsia="仿宋_GB2312"/>
          <w:highlight w:val="none"/>
        </w:rPr>
      </w:pPr>
      <w:r>
        <w:rPr>
          <w:rFonts w:hint="eastAsia" w:ascii="仿宋_GB2312" w:eastAsia="仿宋_GB2312"/>
          <w:b/>
          <w:highlight w:val="none"/>
        </w:rPr>
        <w:t>第</w:t>
      </w:r>
      <w:r>
        <w:rPr>
          <w:rFonts w:ascii="仿宋_GB2312" w:eastAsia="仿宋_GB2312"/>
          <w:b/>
          <w:highlight w:val="none"/>
        </w:rPr>
        <w:t>二十</w:t>
      </w:r>
      <w:r>
        <w:rPr>
          <w:rFonts w:hint="eastAsia" w:ascii="仿宋_GB2312" w:eastAsia="仿宋_GB2312"/>
          <w:b/>
          <w:highlight w:val="none"/>
        </w:rPr>
        <w:t>七</w:t>
      </w:r>
      <w:r>
        <w:rPr>
          <w:rFonts w:ascii="仿宋_GB2312" w:eastAsia="仿宋_GB2312"/>
          <w:b/>
          <w:highlight w:val="none"/>
        </w:rPr>
        <w:t>条</w:t>
      </w:r>
      <w:r>
        <w:rPr>
          <w:rFonts w:hint="eastAsia" w:ascii="仿宋_GB2312" w:eastAsia="仿宋_GB2312"/>
          <w:highlight w:val="none"/>
        </w:rPr>
        <w:t xml:space="preserve"> 与本保险合同有关的以及履行本保险合同产生的一切争议处理适用中华人民共和国法律（不包括港澳台地区法律）。</w:t>
      </w:r>
    </w:p>
    <w:p>
      <w:pPr>
        <w:snapToGrid w:val="0"/>
        <w:spacing w:line="360" w:lineRule="auto"/>
        <w:jc w:val="center"/>
        <w:rPr>
          <w:rFonts w:ascii="仿宋_GB2312" w:eastAsia="仿宋_GB2312"/>
          <w:b/>
          <w:highlight w:val="none"/>
        </w:rPr>
      </w:pPr>
      <w:r>
        <w:rPr>
          <w:rFonts w:hint="eastAsia" w:ascii="仿宋_GB2312" w:eastAsia="仿宋_GB2312"/>
          <w:b/>
          <w:highlight w:val="none"/>
        </w:rPr>
        <w:t>其他事项</w:t>
      </w:r>
    </w:p>
    <w:p>
      <w:pPr>
        <w:autoSpaceDE w:val="0"/>
        <w:autoSpaceDN w:val="0"/>
        <w:adjustRightInd w:val="0"/>
        <w:spacing w:line="360" w:lineRule="auto"/>
        <w:ind w:firstLine="472" w:firstLineChars="196"/>
        <w:rPr>
          <w:rFonts w:ascii="仿宋_GB2312" w:hAnsi="仿宋_GB2312" w:eastAsia="仿宋_GB2312" w:cs="仿宋_GB2312"/>
          <w:highlight w:val="none"/>
        </w:rPr>
      </w:pPr>
      <w:r>
        <w:rPr>
          <w:rFonts w:hint="eastAsia" w:ascii="仿宋_GB2312" w:eastAsia="仿宋_GB2312"/>
          <w:b/>
          <w:highlight w:val="none"/>
        </w:rPr>
        <w:t xml:space="preserve">第二十八条 </w:t>
      </w:r>
      <w:r>
        <w:rPr>
          <w:rFonts w:hint="eastAsia" w:ascii="仿宋_GB2312" w:hAnsi="仿宋_GB2312" w:eastAsia="仿宋_GB2312" w:cs="仿宋_GB2312"/>
          <w:highlight w:val="none"/>
        </w:rPr>
        <w:t>保险责任开始前，投保人要求解除保险合同的，应经被保险人同意，并当向保险人支付相当于保险费</w:t>
      </w:r>
      <w:r>
        <w:rPr>
          <w:rFonts w:ascii="仿宋_GB2312" w:hAnsi="仿宋_GB2312" w:eastAsia="仿宋_GB2312" w:cs="仿宋_GB2312"/>
          <w:highlight w:val="none"/>
        </w:rPr>
        <w:t>5%</w:t>
      </w:r>
      <w:r>
        <w:rPr>
          <w:rFonts w:hint="eastAsia" w:ascii="仿宋_GB2312" w:hAnsi="仿宋_GB2312" w:eastAsia="仿宋_GB2312" w:cs="仿宋_GB2312"/>
          <w:highlight w:val="none"/>
        </w:rPr>
        <w:t>的退保手续费，保险人应当退还剩余部分保险费。</w:t>
      </w:r>
    </w:p>
    <w:p>
      <w:pPr>
        <w:autoSpaceDE w:val="0"/>
        <w:autoSpaceDN w:val="0"/>
        <w:adjustRightInd w:val="0"/>
        <w:spacing w:line="360" w:lineRule="auto"/>
        <w:ind w:firstLine="482" w:firstLineChars="200"/>
        <w:jc w:val="left"/>
        <w:rPr>
          <w:rFonts w:ascii="仿宋_GB2312" w:eastAsia="仿宋_GB2312"/>
          <w:b/>
          <w:bCs/>
          <w:highlight w:val="none"/>
        </w:rPr>
      </w:pPr>
      <w:r>
        <w:rPr>
          <w:rFonts w:hint="eastAsia" w:ascii="仿宋_GB2312" w:eastAsia="仿宋_GB2312"/>
          <w:b/>
          <w:highlight w:val="none"/>
        </w:rPr>
        <w:t>第</w:t>
      </w:r>
      <w:r>
        <w:rPr>
          <w:rFonts w:ascii="仿宋_GB2312" w:eastAsia="仿宋_GB2312"/>
          <w:b/>
          <w:highlight w:val="none"/>
        </w:rPr>
        <w:t>二十九</w:t>
      </w:r>
      <w:r>
        <w:rPr>
          <w:rFonts w:hint="eastAsia" w:ascii="仿宋_GB2312" w:eastAsia="仿宋_GB2312"/>
          <w:b/>
          <w:highlight w:val="none"/>
        </w:rPr>
        <w:t>条</w:t>
      </w:r>
      <w:r>
        <w:rPr>
          <w:rFonts w:hint="eastAsia" w:ascii="仿宋_GB2312" w:eastAsia="仿宋_GB2312"/>
          <w:highlight w:val="none"/>
        </w:rPr>
        <w:t xml:space="preserve"> 保险合同生效后，未经被保险人书面同意，投保人不得解除本保险合同。在</w:t>
      </w:r>
      <w:r>
        <w:rPr>
          <w:rFonts w:hint="eastAsia" w:ascii="仿宋_GB2312" w:eastAsia="仿宋_GB2312" w:cs="仿宋_GB2312"/>
          <w:highlight w:val="none"/>
          <w:lang w:val="zh-CN"/>
        </w:rPr>
        <w:t>保险期</w:t>
      </w:r>
      <w:r>
        <w:rPr>
          <w:rFonts w:hint="eastAsia" w:ascii="仿宋_GB2312" w:eastAsia="仿宋_GB2312"/>
          <w:highlight w:val="none"/>
        </w:rPr>
        <w:t>间内，如果投保人和被保险人均书面要求解除保险合同的，保险人按照保险责任开始之日起至合同解除之日止期间与保险期间的日比例计收保险费，并退还剩余部分保险费。</w:t>
      </w:r>
      <w:r>
        <w:rPr>
          <w:rFonts w:hint="eastAsia" w:ascii="仿宋_GB2312" w:eastAsia="仿宋_GB2312"/>
          <w:b/>
          <w:highlight w:val="none"/>
        </w:rPr>
        <w:t>保险合同因采购</w:t>
      </w:r>
      <w:r>
        <w:rPr>
          <w:rFonts w:ascii="仿宋_GB2312" w:eastAsia="仿宋_GB2312"/>
          <w:b/>
          <w:highlight w:val="none"/>
        </w:rPr>
        <w:t>协议</w:t>
      </w:r>
      <w:r>
        <w:rPr>
          <w:rFonts w:hint="eastAsia" w:ascii="仿宋_GB2312" w:eastAsia="仿宋_GB2312"/>
          <w:b/>
          <w:highlight w:val="none"/>
        </w:rPr>
        <w:t>提前</w:t>
      </w:r>
      <w:r>
        <w:rPr>
          <w:rFonts w:ascii="仿宋_GB2312" w:eastAsia="仿宋_GB2312"/>
          <w:b/>
          <w:highlight w:val="none"/>
        </w:rPr>
        <w:t>履行完毕</w:t>
      </w:r>
      <w:r>
        <w:rPr>
          <w:rFonts w:hint="eastAsia" w:ascii="仿宋_GB2312" w:eastAsia="仿宋_GB2312"/>
          <w:b/>
          <w:highlight w:val="none"/>
        </w:rPr>
        <w:t>而责任终止的，保险人不退还保险费。</w:t>
      </w:r>
    </w:p>
    <w:p>
      <w:pPr>
        <w:spacing w:line="360" w:lineRule="auto"/>
        <w:rPr>
          <w:highlight w:val="none"/>
        </w:rPr>
      </w:pPr>
    </w:p>
    <w:p>
      <w:pPr>
        <w:widowControl/>
        <w:jc w:val="left"/>
        <w:rPr>
          <w:rFonts w:ascii="宋体"/>
          <w:b/>
          <w:highlight w:val="none"/>
        </w:rPr>
      </w:pPr>
      <w:r>
        <w:rPr>
          <w:rFonts w:ascii="宋体"/>
          <w:b/>
          <w:highlight w:val="none"/>
        </w:rPr>
        <w:br w:type="page"/>
      </w:r>
    </w:p>
    <w:p>
      <w:pPr>
        <w:snapToGrid w:val="0"/>
        <w:spacing w:line="600" w:lineRule="exact"/>
        <w:jc w:val="center"/>
        <w:rPr>
          <w:rFonts w:ascii="宋体"/>
          <w:b/>
          <w:sz w:val="44"/>
          <w:szCs w:val="44"/>
          <w:highlight w:val="none"/>
        </w:rPr>
      </w:pPr>
      <w:r>
        <w:rPr>
          <w:rFonts w:hint="eastAsia" w:ascii="宋体"/>
          <w:b/>
          <w:sz w:val="44"/>
          <w:szCs w:val="44"/>
          <w:highlight w:val="none"/>
        </w:rPr>
        <w:t>中国人民财产保险股份有限公司</w:t>
      </w:r>
    </w:p>
    <w:p>
      <w:pPr>
        <w:snapToGrid w:val="0"/>
        <w:spacing w:line="600" w:lineRule="exact"/>
        <w:jc w:val="center"/>
        <w:rPr>
          <w:rFonts w:ascii="仿宋_GB2312" w:eastAsia="仿宋_GB2312"/>
          <w:b/>
          <w:sz w:val="36"/>
          <w:szCs w:val="36"/>
          <w:highlight w:val="none"/>
        </w:rPr>
      </w:pPr>
      <w:r>
        <w:rPr>
          <w:rFonts w:ascii="宋体"/>
          <w:b/>
          <w:sz w:val="44"/>
          <w:szCs w:val="44"/>
          <w:highlight w:val="none"/>
        </w:rPr>
        <w:t>供货履约</w:t>
      </w:r>
      <w:r>
        <w:rPr>
          <w:rFonts w:hint="eastAsia" w:ascii="宋体"/>
          <w:b/>
          <w:sz w:val="44"/>
          <w:szCs w:val="44"/>
          <w:highlight w:val="none"/>
        </w:rPr>
        <w:t>保证保险费率表</w:t>
      </w:r>
    </w:p>
    <w:p>
      <w:pPr>
        <w:snapToGrid w:val="0"/>
        <w:spacing w:line="600" w:lineRule="exact"/>
        <w:ind w:firstLine="640" w:firstLineChars="200"/>
        <w:rPr>
          <w:rFonts w:ascii="仿宋_GB2312" w:eastAsia="仿宋_GB2312"/>
          <w:sz w:val="32"/>
          <w:szCs w:val="32"/>
          <w:highlight w:val="none"/>
        </w:rPr>
      </w:pPr>
    </w:p>
    <w:p>
      <w:pPr>
        <w:snapToGrid w:val="0"/>
        <w:spacing w:line="600" w:lineRule="exact"/>
        <w:ind w:firstLine="643" w:firstLineChars="200"/>
        <w:jc w:val="left"/>
        <w:rPr>
          <w:rFonts w:ascii="仿宋_GB2312" w:eastAsia="仿宋_GB2312"/>
          <w:bCs/>
          <w:sz w:val="32"/>
          <w:szCs w:val="32"/>
          <w:highlight w:val="none"/>
        </w:rPr>
      </w:pPr>
      <w:r>
        <w:rPr>
          <w:rFonts w:hint="eastAsia" w:ascii="仿宋_GB2312" w:eastAsia="仿宋_GB2312"/>
          <w:b/>
          <w:bCs/>
          <w:sz w:val="32"/>
          <w:szCs w:val="32"/>
          <w:highlight w:val="none"/>
        </w:rPr>
        <w:t>一、年基准费率</w:t>
      </w:r>
    </w:p>
    <w:p>
      <w:pPr>
        <w:snapToGrid w:val="0"/>
        <w:spacing w:line="600" w:lineRule="exact"/>
        <w:ind w:firstLine="640" w:firstLineChars="200"/>
        <w:rPr>
          <w:rFonts w:ascii="仿宋_GB2312" w:eastAsia="仿宋_GB2312"/>
          <w:bCs/>
          <w:sz w:val="32"/>
          <w:szCs w:val="32"/>
          <w:highlight w:val="none"/>
        </w:rPr>
      </w:pPr>
      <w:r>
        <w:rPr>
          <w:rFonts w:hint="eastAsia" w:ascii="仿宋_GB2312" w:eastAsia="仿宋_GB2312"/>
          <w:bCs/>
          <w:sz w:val="32"/>
          <w:szCs w:val="32"/>
          <w:highlight w:val="none"/>
        </w:rPr>
        <w:t>1.5%</w:t>
      </w:r>
      <w:bookmarkStart w:id="65" w:name="OLE_LINK1"/>
    </w:p>
    <w:p>
      <w:pPr>
        <w:snapToGrid w:val="0"/>
        <w:spacing w:line="600" w:lineRule="exact"/>
        <w:ind w:firstLine="643" w:firstLineChars="200"/>
        <w:rPr>
          <w:rFonts w:ascii="仿宋_GB2312" w:eastAsia="仿宋_GB2312"/>
          <w:b/>
          <w:bCs/>
          <w:sz w:val="32"/>
          <w:szCs w:val="32"/>
          <w:highlight w:val="none"/>
        </w:rPr>
      </w:pPr>
      <w:r>
        <w:rPr>
          <w:rFonts w:hint="eastAsia" w:ascii="仿宋_GB2312" w:eastAsia="仿宋_GB2312"/>
          <w:b/>
          <w:bCs/>
          <w:sz w:val="32"/>
          <w:szCs w:val="32"/>
          <w:highlight w:val="none"/>
        </w:rPr>
        <w:t>二、费率调整系数</w:t>
      </w:r>
      <w:bookmarkEnd w:id="65"/>
    </w:p>
    <w:p>
      <w:pPr>
        <w:snapToGrid w:val="0"/>
        <w:spacing w:line="600" w:lineRule="exact"/>
        <w:ind w:firstLine="640" w:firstLineChars="200"/>
        <w:rPr>
          <w:rFonts w:ascii="仿宋_GB2312" w:eastAsia="仿宋_GB2312"/>
          <w:bCs/>
          <w:sz w:val="32"/>
          <w:szCs w:val="32"/>
          <w:highlight w:val="none"/>
        </w:rPr>
      </w:pPr>
      <w:r>
        <w:rPr>
          <w:rFonts w:hint="eastAsia" w:ascii="仿宋_GB2312" w:eastAsia="仿宋_GB2312"/>
          <w:bCs/>
          <w:sz w:val="32"/>
          <w:szCs w:val="32"/>
          <w:highlight w:val="none"/>
        </w:rPr>
        <w:t>费率调整系数为以下各项系数的乘积。</w:t>
      </w:r>
    </w:p>
    <w:p>
      <w:pPr>
        <w:snapToGrid w:val="0"/>
        <w:spacing w:line="600" w:lineRule="exact"/>
        <w:ind w:firstLine="640" w:firstLineChars="200"/>
        <w:rPr>
          <w:rFonts w:ascii="仿宋_GB2312" w:eastAsia="仿宋_GB2312"/>
          <w:bCs/>
          <w:sz w:val="32"/>
          <w:szCs w:val="32"/>
          <w:highlight w:val="none"/>
        </w:rPr>
      </w:pPr>
      <w:r>
        <w:rPr>
          <w:rFonts w:hint="eastAsia" w:ascii="仿宋_GB2312" w:eastAsia="仿宋_GB2312"/>
          <w:bCs/>
          <w:sz w:val="32"/>
          <w:szCs w:val="32"/>
          <w:highlight w:val="none"/>
        </w:rPr>
        <w:t>（一）保险期限调整系数</w:t>
      </w:r>
    </w:p>
    <w:tbl>
      <w:tblPr>
        <w:tblStyle w:val="35"/>
        <w:tblW w:w="0" w:type="auto"/>
        <w:jc w:val="center"/>
        <w:tblLayout w:type="autofit"/>
        <w:tblCellMar>
          <w:top w:w="0" w:type="dxa"/>
          <w:left w:w="0" w:type="dxa"/>
          <w:bottom w:w="0" w:type="dxa"/>
          <w:right w:w="0" w:type="dxa"/>
        </w:tblCellMar>
      </w:tblPr>
      <w:tblGrid>
        <w:gridCol w:w="4464"/>
        <w:gridCol w:w="3423"/>
      </w:tblGrid>
      <w:tr>
        <w:tblPrEx>
          <w:tblCellMar>
            <w:top w:w="0" w:type="dxa"/>
            <w:left w:w="0" w:type="dxa"/>
            <w:bottom w:w="0" w:type="dxa"/>
            <w:right w:w="0" w:type="dxa"/>
          </w:tblCellMar>
        </w:tblPrEx>
        <w:trPr>
          <w:trHeight w:val="541" w:hRule="atLeast"/>
          <w:jc w:val="center"/>
        </w:trPr>
        <w:tc>
          <w:tcPr>
            <w:tcW w:w="4464" w:type="dxa"/>
            <w:tcBorders>
              <w:top w:val="single" w:color="000000" w:sz="8" w:space="0"/>
              <w:left w:val="single" w:color="000000" w:sz="8" w:space="0"/>
              <w:bottom w:val="single" w:color="auto" w:sz="4" w:space="0"/>
              <w:right w:val="single" w:color="000000" w:sz="8" w:space="0"/>
            </w:tcBorders>
            <w:noWrap w:val="0"/>
            <w:tcMar>
              <w:top w:w="0" w:type="dxa"/>
              <w:left w:w="108" w:type="dxa"/>
              <w:bottom w:w="0" w:type="dxa"/>
              <w:right w:w="108" w:type="dxa"/>
            </w:tcMar>
            <w:vAlign w:val="center"/>
          </w:tcPr>
          <w:p>
            <w:pPr>
              <w:autoSpaceDN w:val="0"/>
              <w:jc w:val="center"/>
              <w:textAlignment w:val="center"/>
              <w:rPr>
                <w:rFonts w:ascii="宋体" w:cs="Calibri"/>
                <w:b/>
                <w:szCs w:val="21"/>
                <w:highlight w:val="none"/>
              </w:rPr>
            </w:pPr>
            <w:r>
              <w:rPr>
                <w:rFonts w:hint="eastAsia" w:ascii="宋体"/>
                <w:b/>
                <w:szCs w:val="21"/>
                <w:highlight w:val="none"/>
              </w:rPr>
              <w:t>保险期限</w:t>
            </w:r>
          </w:p>
        </w:tc>
        <w:tc>
          <w:tcPr>
            <w:tcW w:w="3423" w:type="dxa"/>
            <w:tcBorders>
              <w:top w:val="single" w:color="000000" w:sz="8" w:space="0"/>
              <w:left w:val="nil"/>
              <w:bottom w:val="single" w:color="auto" w:sz="4" w:space="0"/>
              <w:right w:val="single" w:color="000000" w:sz="8" w:space="0"/>
            </w:tcBorders>
            <w:noWrap w:val="0"/>
            <w:tcMar>
              <w:top w:w="0" w:type="dxa"/>
              <w:left w:w="108" w:type="dxa"/>
              <w:bottom w:w="0" w:type="dxa"/>
              <w:right w:w="108" w:type="dxa"/>
            </w:tcMar>
            <w:vAlign w:val="center"/>
          </w:tcPr>
          <w:p>
            <w:pPr>
              <w:autoSpaceDN w:val="0"/>
              <w:jc w:val="center"/>
              <w:textAlignment w:val="center"/>
              <w:rPr>
                <w:rFonts w:ascii="宋体" w:cs="Calibri"/>
                <w:b/>
                <w:szCs w:val="21"/>
                <w:highlight w:val="none"/>
              </w:rPr>
            </w:pPr>
            <w:r>
              <w:rPr>
                <w:rFonts w:hint="eastAsia" w:ascii="宋体"/>
                <w:b/>
                <w:szCs w:val="21"/>
                <w:highlight w:val="none"/>
              </w:rPr>
              <w:t>调整系数</w:t>
            </w:r>
          </w:p>
        </w:tc>
      </w:tr>
      <w:tr>
        <w:tblPrEx>
          <w:tblCellMar>
            <w:top w:w="0" w:type="dxa"/>
            <w:left w:w="0" w:type="dxa"/>
            <w:bottom w:w="0" w:type="dxa"/>
            <w:right w:w="0" w:type="dxa"/>
          </w:tblCellMar>
        </w:tblPrEx>
        <w:trPr>
          <w:trHeight w:val="541" w:hRule="atLeast"/>
          <w:jc w:val="center"/>
        </w:trPr>
        <w:tc>
          <w:tcPr>
            <w:tcW w:w="446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cs="Calibri"/>
                <w:szCs w:val="21"/>
                <w:highlight w:val="none"/>
              </w:rPr>
            </w:pPr>
            <w:r>
              <w:rPr>
                <w:rFonts w:hint="eastAsia" w:ascii="宋体"/>
                <w:szCs w:val="21"/>
                <w:highlight w:val="none"/>
              </w:rPr>
              <w:t>＜</w:t>
            </w:r>
            <w:r>
              <w:rPr>
                <w:rFonts w:ascii="宋体"/>
                <w:szCs w:val="21"/>
                <w:highlight w:val="none"/>
              </w:rPr>
              <w:t>1个月（</w:t>
            </w:r>
            <w:r>
              <w:rPr>
                <w:rFonts w:hint="eastAsia" w:ascii="宋体"/>
                <w:szCs w:val="21"/>
                <w:highlight w:val="none"/>
              </w:rPr>
              <w:t>不</w:t>
            </w:r>
            <w:r>
              <w:rPr>
                <w:rFonts w:ascii="宋体"/>
                <w:szCs w:val="21"/>
                <w:highlight w:val="none"/>
              </w:rPr>
              <w:t>含）</w:t>
            </w:r>
          </w:p>
        </w:tc>
        <w:tc>
          <w:tcPr>
            <w:tcW w:w="342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cs="Calibri"/>
                <w:szCs w:val="21"/>
                <w:highlight w:val="none"/>
              </w:rPr>
            </w:pPr>
            <w:r>
              <w:rPr>
                <w:rFonts w:ascii="宋体"/>
                <w:szCs w:val="21"/>
                <w:highlight w:val="none"/>
              </w:rPr>
              <w:t>0.15</w:t>
            </w:r>
          </w:p>
        </w:tc>
      </w:tr>
      <w:tr>
        <w:tblPrEx>
          <w:tblCellMar>
            <w:top w:w="0" w:type="dxa"/>
            <w:left w:w="0" w:type="dxa"/>
            <w:bottom w:w="0" w:type="dxa"/>
            <w:right w:w="0" w:type="dxa"/>
          </w:tblCellMar>
        </w:tblPrEx>
        <w:trPr>
          <w:trHeight w:val="541" w:hRule="atLeast"/>
          <w:jc w:val="center"/>
        </w:trPr>
        <w:tc>
          <w:tcPr>
            <w:tcW w:w="446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1-3个月（</w:t>
            </w:r>
            <w:r>
              <w:rPr>
                <w:rFonts w:hint="eastAsia" w:ascii="宋体"/>
                <w:szCs w:val="21"/>
                <w:highlight w:val="none"/>
              </w:rPr>
              <w:t>不</w:t>
            </w:r>
            <w:r>
              <w:rPr>
                <w:rFonts w:ascii="宋体"/>
                <w:szCs w:val="21"/>
                <w:highlight w:val="none"/>
              </w:rPr>
              <w:t>含）</w:t>
            </w:r>
          </w:p>
        </w:tc>
        <w:tc>
          <w:tcPr>
            <w:tcW w:w="342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eastAsia="PMingLiU"/>
                <w:bCs/>
                <w:szCs w:val="21"/>
                <w:highlight w:val="none"/>
                <w:lang w:val="zh-TW" w:eastAsia="zh-TW"/>
              </w:rPr>
              <w:t>0.15</w:t>
            </w:r>
            <w:r>
              <w:rPr>
                <w:rFonts w:hint="eastAsia" w:ascii="宋体"/>
                <w:bCs/>
                <w:szCs w:val="21"/>
                <w:highlight w:val="none"/>
                <w:lang w:val="zh-TW"/>
              </w:rPr>
              <w:t>，</w:t>
            </w:r>
            <w:r>
              <w:rPr>
                <w:rFonts w:ascii="宋体"/>
                <w:szCs w:val="21"/>
                <w:highlight w:val="none"/>
              </w:rPr>
              <w:t>0.25</w:t>
            </w:r>
            <w:r>
              <w:rPr>
                <w:rFonts w:hint="eastAsia" w:ascii="宋体"/>
                <w:szCs w:val="21"/>
                <w:highlight w:val="none"/>
              </w:rPr>
              <w:t>）</w:t>
            </w:r>
          </w:p>
        </w:tc>
      </w:tr>
      <w:tr>
        <w:tblPrEx>
          <w:tblCellMar>
            <w:top w:w="0" w:type="dxa"/>
            <w:left w:w="0" w:type="dxa"/>
            <w:bottom w:w="0" w:type="dxa"/>
            <w:right w:w="0" w:type="dxa"/>
          </w:tblCellMar>
        </w:tblPrEx>
        <w:trPr>
          <w:trHeight w:val="541" w:hRule="atLeast"/>
          <w:jc w:val="center"/>
        </w:trPr>
        <w:tc>
          <w:tcPr>
            <w:tcW w:w="446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3-6个月（</w:t>
            </w:r>
            <w:r>
              <w:rPr>
                <w:rFonts w:hint="eastAsia" w:ascii="宋体"/>
                <w:szCs w:val="21"/>
                <w:highlight w:val="none"/>
              </w:rPr>
              <w:t>不</w:t>
            </w:r>
            <w:r>
              <w:rPr>
                <w:rFonts w:ascii="宋体"/>
                <w:szCs w:val="21"/>
                <w:highlight w:val="none"/>
              </w:rPr>
              <w:t>含）</w:t>
            </w:r>
          </w:p>
        </w:tc>
        <w:tc>
          <w:tcPr>
            <w:tcW w:w="342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0.25</w:t>
            </w:r>
            <w:r>
              <w:rPr>
                <w:rFonts w:hint="eastAsia" w:ascii="宋体"/>
                <w:szCs w:val="21"/>
                <w:highlight w:val="none"/>
              </w:rPr>
              <w:t>，</w:t>
            </w:r>
            <w:r>
              <w:rPr>
                <w:rFonts w:ascii="宋体"/>
                <w:szCs w:val="21"/>
                <w:highlight w:val="none"/>
              </w:rPr>
              <w:t>0.5</w:t>
            </w:r>
            <w:r>
              <w:rPr>
                <w:rFonts w:hint="eastAsia" w:ascii="宋体"/>
                <w:szCs w:val="21"/>
                <w:highlight w:val="none"/>
              </w:rPr>
              <w:t>）</w:t>
            </w:r>
          </w:p>
        </w:tc>
      </w:tr>
      <w:tr>
        <w:tblPrEx>
          <w:tblCellMar>
            <w:top w:w="0" w:type="dxa"/>
            <w:left w:w="0" w:type="dxa"/>
            <w:bottom w:w="0" w:type="dxa"/>
            <w:right w:w="0" w:type="dxa"/>
          </w:tblCellMar>
        </w:tblPrEx>
        <w:trPr>
          <w:trHeight w:val="541" w:hRule="atLeast"/>
          <w:jc w:val="center"/>
        </w:trPr>
        <w:tc>
          <w:tcPr>
            <w:tcW w:w="446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6-9个月（</w:t>
            </w:r>
            <w:r>
              <w:rPr>
                <w:rFonts w:hint="eastAsia" w:ascii="宋体"/>
                <w:szCs w:val="21"/>
                <w:highlight w:val="none"/>
              </w:rPr>
              <w:t>不</w:t>
            </w:r>
            <w:r>
              <w:rPr>
                <w:rFonts w:ascii="宋体"/>
                <w:szCs w:val="21"/>
                <w:highlight w:val="none"/>
              </w:rPr>
              <w:t>含）</w:t>
            </w:r>
          </w:p>
        </w:tc>
        <w:tc>
          <w:tcPr>
            <w:tcW w:w="342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0.5</w:t>
            </w:r>
            <w:r>
              <w:rPr>
                <w:rFonts w:hint="eastAsia" w:ascii="宋体"/>
                <w:szCs w:val="21"/>
                <w:highlight w:val="none"/>
              </w:rPr>
              <w:t>，</w:t>
            </w:r>
            <w:r>
              <w:rPr>
                <w:rFonts w:ascii="宋体"/>
                <w:szCs w:val="21"/>
                <w:highlight w:val="none"/>
              </w:rPr>
              <w:t>0.75</w:t>
            </w:r>
            <w:r>
              <w:rPr>
                <w:rFonts w:hint="eastAsia" w:ascii="宋体"/>
                <w:szCs w:val="21"/>
                <w:highlight w:val="none"/>
              </w:rPr>
              <w:t>）</w:t>
            </w:r>
          </w:p>
        </w:tc>
      </w:tr>
      <w:tr>
        <w:tblPrEx>
          <w:tblCellMar>
            <w:top w:w="0" w:type="dxa"/>
            <w:left w:w="0" w:type="dxa"/>
            <w:bottom w:w="0" w:type="dxa"/>
            <w:right w:w="0" w:type="dxa"/>
          </w:tblCellMar>
        </w:tblPrEx>
        <w:trPr>
          <w:trHeight w:val="541" w:hRule="atLeast"/>
          <w:jc w:val="center"/>
        </w:trPr>
        <w:tc>
          <w:tcPr>
            <w:tcW w:w="446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9-12个月</w:t>
            </w:r>
          </w:p>
        </w:tc>
        <w:tc>
          <w:tcPr>
            <w:tcW w:w="342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0.75</w:t>
            </w:r>
            <w:r>
              <w:rPr>
                <w:rFonts w:hint="eastAsia" w:ascii="宋体"/>
                <w:szCs w:val="21"/>
                <w:highlight w:val="none"/>
              </w:rPr>
              <w:t>，</w:t>
            </w:r>
            <w:r>
              <w:rPr>
                <w:rFonts w:ascii="宋体"/>
                <w:szCs w:val="21"/>
                <w:highlight w:val="none"/>
              </w:rPr>
              <w:t>1.0</w:t>
            </w:r>
            <w:r>
              <w:rPr>
                <w:rFonts w:hint="eastAsia" w:ascii="宋体"/>
                <w:szCs w:val="21"/>
                <w:highlight w:val="none"/>
              </w:rPr>
              <w:t>]</w:t>
            </w:r>
          </w:p>
        </w:tc>
      </w:tr>
    </w:tbl>
    <w:p>
      <w:pPr>
        <w:snapToGrid w:val="0"/>
        <w:spacing w:line="600" w:lineRule="exact"/>
        <w:ind w:left="643"/>
        <w:rPr>
          <w:rFonts w:ascii="仿宋_GB2312" w:eastAsia="仿宋_GB2312"/>
          <w:bCs/>
          <w:sz w:val="32"/>
          <w:szCs w:val="32"/>
          <w:highlight w:val="none"/>
        </w:rPr>
      </w:pPr>
    </w:p>
    <w:p>
      <w:pPr>
        <w:snapToGrid w:val="0"/>
        <w:spacing w:line="600" w:lineRule="exact"/>
        <w:ind w:firstLine="640" w:firstLineChars="200"/>
        <w:rPr>
          <w:rFonts w:ascii="仿宋_GB2312" w:eastAsia="仿宋_GB2312"/>
          <w:sz w:val="32"/>
          <w:szCs w:val="32"/>
          <w:highlight w:val="none"/>
        </w:rPr>
      </w:pPr>
      <w:r>
        <w:rPr>
          <w:rFonts w:hint="eastAsia" w:ascii="仿宋_GB2312" w:eastAsia="仿宋_GB2312"/>
          <w:bCs/>
          <w:sz w:val="32"/>
          <w:szCs w:val="32"/>
          <w:highlight w:val="none"/>
        </w:rPr>
        <w:t>（二）投保人</w:t>
      </w:r>
      <w:r>
        <w:rPr>
          <w:rFonts w:hint="eastAsia" w:ascii="仿宋_GB2312" w:eastAsia="仿宋_GB2312"/>
          <w:sz w:val="32"/>
          <w:szCs w:val="32"/>
          <w:highlight w:val="none"/>
        </w:rPr>
        <w:t>企业</w:t>
      </w:r>
      <w:r>
        <w:rPr>
          <w:rFonts w:hint="eastAsia" w:ascii="仿宋_GB2312" w:eastAsia="仿宋_GB2312"/>
          <w:bCs/>
          <w:sz w:val="32"/>
          <w:szCs w:val="32"/>
          <w:highlight w:val="none"/>
        </w:rPr>
        <w:t>性质</w:t>
      </w:r>
      <w:r>
        <w:rPr>
          <w:rFonts w:hint="eastAsia" w:ascii="仿宋_GB2312" w:eastAsia="仿宋_GB2312"/>
          <w:sz w:val="32"/>
          <w:szCs w:val="32"/>
          <w:highlight w:val="none"/>
        </w:rPr>
        <w:t>调整系数</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339"/>
        <w:gridCol w:w="37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39" w:type="dxa"/>
            <w:noWrap w:val="0"/>
            <w:vAlign w:val="center"/>
          </w:tcPr>
          <w:p>
            <w:pPr>
              <w:autoSpaceDN w:val="0"/>
              <w:jc w:val="center"/>
              <w:textAlignment w:val="center"/>
              <w:rPr>
                <w:rFonts w:ascii="宋体"/>
                <w:b/>
                <w:szCs w:val="21"/>
                <w:highlight w:val="none"/>
              </w:rPr>
            </w:pPr>
            <w:r>
              <w:rPr>
                <w:rFonts w:hint="eastAsia" w:ascii="宋体"/>
                <w:b/>
                <w:szCs w:val="21"/>
                <w:highlight w:val="none"/>
              </w:rPr>
              <w:t>投保企业类别</w:t>
            </w:r>
          </w:p>
        </w:tc>
        <w:tc>
          <w:tcPr>
            <w:tcW w:w="3749" w:type="dxa"/>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39" w:type="dxa"/>
            <w:noWrap w:val="0"/>
            <w:vAlign w:val="center"/>
          </w:tcPr>
          <w:p>
            <w:pPr>
              <w:autoSpaceDN w:val="0"/>
              <w:jc w:val="center"/>
              <w:textAlignment w:val="center"/>
              <w:rPr>
                <w:rFonts w:ascii="宋体"/>
                <w:szCs w:val="21"/>
                <w:highlight w:val="none"/>
              </w:rPr>
            </w:pPr>
            <w:r>
              <w:rPr>
                <w:rFonts w:hint="eastAsia" w:ascii="宋体"/>
                <w:szCs w:val="21"/>
                <w:highlight w:val="none"/>
              </w:rPr>
              <w:t>大型国企或央企</w:t>
            </w:r>
          </w:p>
        </w:tc>
        <w:tc>
          <w:tcPr>
            <w:tcW w:w="3749"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0.5</w:t>
            </w:r>
            <w:r>
              <w:rPr>
                <w:rFonts w:hint="eastAsia" w:ascii="宋体"/>
                <w:szCs w:val="21"/>
                <w:highlight w:val="none"/>
              </w:rPr>
              <w:t>，</w:t>
            </w:r>
            <w:r>
              <w:rPr>
                <w:rFonts w:ascii="宋体"/>
                <w:szCs w:val="21"/>
                <w:highlight w:val="none"/>
              </w:rPr>
              <w:t>0.75</w:t>
            </w:r>
            <w:r>
              <w:rPr>
                <w:rFonts w:hint="eastAsia" w:ascii="宋体"/>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39" w:type="dxa"/>
            <w:noWrap w:val="0"/>
            <w:vAlign w:val="center"/>
          </w:tcPr>
          <w:p>
            <w:pPr>
              <w:autoSpaceDN w:val="0"/>
              <w:jc w:val="center"/>
              <w:textAlignment w:val="center"/>
              <w:rPr>
                <w:rFonts w:ascii="宋体"/>
                <w:szCs w:val="21"/>
                <w:highlight w:val="none"/>
              </w:rPr>
            </w:pPr>
            <w:r>
              <w:rPr>
                <w:rFonts w:hint="eastAsia" w:ascii="宋体"/>
                <w:szCs w:val="21"/>
                <w:highlight w:val="none"/>
              </w:rPr>
              <w:t>大型民企</w:t>
            </w:r>
          </w:p>
        </w:tc>
        <w:tc>
          <w:tcPr>
            <w:tcW w:w="3749"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0.75</w:t>
            </w:r>
            <w:r>
              <w:rPr>
                <w:rFonts w:hint="eastAsia" w:ascii="宋体"/>
                <w:szCs w:val="21"/>
                <w:highlight w:val="none"/>
              </w:rPr>
              <w:t>，</w:t>
            </w:r>
            <w:r>
              <w:rPr>
                <w:rFonts w:ascii="宋体"/>
                <w:szCs w:val="21"/>
                <w:highlight w:val="none"/>
              </w:rPr>
              <w:t>0.9</w:t>
            </w:r>
            <w:r>
              <w:rPr>
                <w:rFonts w:hint="eastAsia" w:ascii="宋体"/>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39" w:type="dxa"/>
            <w:noWrap w:val="0"/>
            <w:vAlign w:val="center"/>
          </w:tcPr>
          <w:p>
            <w:pPr>
              <w:autoSpaceDN w:val="0"/>
              <w:jc w:val="center"/>
              <w:textAlignment w:val="center"/>
              <w:rPr>
                <w:rFonts w:ascii="宋体"/>
                <w:szCs w:val="21"/>
                <w:highlight w:val="none"/>
              </w:rPr>
            </w:pPr>
            <w:r>
              <w:rPr>
                <w:rFonts w:hint="eastAsia" w:ascii="宋体"/>
                <w:szCs w:val="21"/>
                <w:highlight w:val="none"/>
              </w:rPr>
              <w:t>中型企业</w:t>
            </w:r>
          </w:p>
        </w:tc>
        <w:tc>
          <w:tcPr>
            <w:tcW w:w="3749"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0.9</w:t>
            </w:r>
            <w:r>
              <w:rPr>
                <w:rFonts w:hint="eastAsia" w:ascii="宋体"/>
                <w:szCs w:val="21"/>
                <w:highlight w:val="none"/>
              </w:rPr>
              <w:t>，</w:t>
            </w:r>
            <w:r>
              <w:rPr>
                <w:rFonts w:ascii="宋体"/>
                <w:szCs w:val="21"/>
                <w:highlight w:val="none"/>
              </w:rPr>
              <w:t>1.0</w:t>
            </w:r>
            <w:r>
              <w:rPr>
                <w:rFonts w:hint="eastAsia" w:ascii="宋体"/>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339" w:type="dxa"/>
            <w:noWrap w:val="0"/>
            <w:vAlign w:val="center"/>
          </w:tcPr>
          <w:p>
            <w:pPr>
              <w:autoSpaceDN w:val="0"/>
              <w:jc w:val="center"/>
              <w:textAlignment w:val="center"/>
              <w:rPr>
                <w:rFonts w:ascii="宋体"/>
                <w:szCs w:val="21"/>
                <w:highlight w:val="none"/>
              </w:rPr>
            </w:pPr>
            <w:r>
              <w:rPr>
                <w:rFonts w:hint="eastAsia" w:ascii="宋体"/>
                <w:szCs w:val="21"/>
                <w:highlight w:val="none"/>
              </w:rPr>
              <w:t>小微型企业</w:t>
            </w:r>
          </w:p>
        </w:tc>
        <w:tc>
          <w:tcPr>
            <w:tcW w:w="3749"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w:t>
            </w:r>
            <w:r>
              <w:rPr>
                <w:rFonts w:ascii="宋体"/>
                <w:szCs w:val="21"/>
                <w:highlight w:val="none"/>
              </w:rPr>
              <w:t>1.5</w:t>
            </w:r>
            <w:r>
              <w:rPr>
                <w:rFonts w:hint="eastAsia" w:ascii="宋体"/>
                <w:szCs w:val="21"/>
                <w:highlight w:val="none"/>
              </w:rPr>
              <w:t>]</w:t>
            </w:r>
          </w:p>
        </w:tc>
      </w:tr>
    </w:tbl>
    <w:p>
      <w:pPr>
        <w:snapToGrid w:val="0"/>
        <w:spacing w:line="600" w:lineRule="exact"/>
        <w:ind w:firstLine="640" w:firstLineChars="200"/>
        <w:rPr>
          <w:rFonts w:ascii="仿宋_GB2312" w:eastAsia="仿宋_GB2312"/>
          <w:bCs/>
          <w:sz w:val="32"/>
          <w:szCs w:val="32"/>
          <w:highlight w:val="none"/>
        </w:rPr>
      </w:pPr>
    </w:p>
    <w:p>
      <w:pPr>
        <w:snapToGrid w:val="0"/>
        <w:spacing w:line="600" w:lineRule="exact"/>
        <w:ind w:firstLine="640" w:firstLineChars="200"/>
        <w:rPr>
          <w:rFonts w:ascii="仿宋_GB2312" w:eastAsia="仿宋_GB2312"/>
          <w:sz w:val="32"/>
          <w:szCs w:val="32"/>
          <w:highlight w:val="none"/>
        </w:rPr>
      </w:pPr>
      <w:r>
        <w:rPr>
          <w:rFonts w:ascii="仿宋_GB2312" w:eastAsia="仿宋_GB2312"/>
          <w:bCs/>
          <w:sz w:val="32"/>
          <w:szCs w:val="32"/>
          <w:highlight w:val="none"/>
        </w:rPr>
        <w:br w:type="page"/>
      </w:r>
      <w:r>
        <w:rPr>
          <w:rFonts w:hint="eastAsia" w:ascii="仿宋_GB2312" w:eastAsia="仿宋_GB2312"/>
          <w:bCs/>
          <w:sz w:val="32"/>
          <w:szCs w:val="32"/>
          <w:highlight w:val="none"/>
        </w:rPr>
        <w:t>（三）投</w:t>
      </w:r>
      <w:r>
        <w:rPr>
          <w:rFonts w:ascii="仿宋_GB2312" w:eastAsia="仿宋_GB2312"/>
          <w:bCs/>
          <w:sz w:val="32"/>
          <w:szCs w:val="32"/>
          <w:highlight w:val="none"/>
        </w:rPr>
        <w:t>保</w:t>
      </w:r>
      <w:r>
        <w:rPr>
          <w:rFonts w:hint="eastAsia" w:ascii="仿宋_GB2312" w:eastAsia="仿宋_GB2312"/>
          <w:bCs/>
          <w:sz w:val="32"/>
          <w:szCs w:val="32"/>
          <w:highlight w:val="none"/>
        </w:rPr>
        <w:t>人</w:t>
      </w:r>
      <w:r>
        <w:rPr>
          <w:rFonts w:hint="eastAsia" w:ascii="仿宋_GB2312" w:eastAsia="仿宋_GB2312"/>
          <w:sz w:val="32"/>
          <w:szCs w:val="32"/>
          <w:highlight w:val="none"/>
        </w:rPr>
        <w:t>信用资</w:t>
      </w:r>
      <w:r>
        <w:rPr>
          <w:rFonts w:ascii="仿宋_GB2312" w:eastAsia="仿宋_GB2312"/>
          <w:sz w:val="32"/>
          <w:szCs w:val="32"/>
          <w:highlight w:val="none"/>
        </w:rPr>
        <w:t>质</w:t>
      </w:r>
      <w:r>
        <w:rPr>
          <w:rFonts w:hint="eastAsia" w:ascii="仿宋_GB2312" w:eastAsia="仿宋_GB2312"/>
          <w:bCs/>
          <w:sz w:val="32"/>
          <w:szCs w:val="32"/>
          <w:highlight w:val="none"/>
        </w:rPr>
        <w:t>调整</w:t>
      </w:r>
      <w:r>
        <w:rPr>
          <w:rFonts w:hint="eastAsia" w:ascii="仿宋_GB2312" w:eastAsia="仿宋_GB2312"/>
          <w:sz w:val="32"/>
          <w:szCs w:val="32"/>
          <w:highlight w:val="none"/>
        </w:rPr>
        <w:t>系数</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80"/>
        <w:gridCol w:w="41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b/>
                <w:szCs w:val="21"/>
                <w:highlight w:val="none"/>
              </w:rPr>
            </w:pPr>
            <w:r>
              <w:rPr>
                <w:rFonts w:hint="eastAsia" w:ascii="宋体"/>
                <w:b/>
                <w:szCs w:val="21"/>
                <w:highlight w:val="none"/>
              </w:rPr>
              <w:t>信用资</w:t>
            </w:r>
            <w:r>
              <w:rPr>
                <w:rFonts w:ascii="宋体"/>
                <w:b/>
                <w:szCs w:val="21"/>
                <w:highlight w:val="none"/>
              </w:rPr>
              <w:t>质</w:t>
            </w:r>
          </w:p>
        </w:tc>
        <w:tc>
          <w:tcPr>
            <w:tcW w:w="4116" w:type="dxa"/>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信用情况</w:t>
            </w:r>
            <w:r>
              <w:rPr>
                <w:rFonts w:ascii="宋体"/>
                <w:szCs w:val="21"/>
                <w:highlight w:val="none"/>
              </w:rPr>
              <w:t>良好，资质</w:t>
            </w:r>
            <w:r>
              <w:rPr>
                <w:rFonts w:hint="eastAsia" w:ascii="宋体"/>
                <w:szCs w:val="21"/>
                <w:highlight w:val="none"/>
              </w:rPr>
              <w:t>等级较</w:t>
            </w:r>
            <w:r>
              <w:rPr>
                <w:rFonts w:ascii="宋体"/>
                <w:szCs w:val="21"/>
                <w:highlight w:val="none"/>
              </w:rPr>
              <w:t>高</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0.7</w:t>
            </w:r>
            <w:r>
              <w:rPr>
                <w:rFonts w:hint="eastAsia" w:ascii="宋体"/>
                <w:szCs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信用情况较</w:t>
            </w:r>
            <w:r>
              <w:rPr>
                <w:rFonts w:ascii="宋体"/>
                <w:szCs w:val="21"/>
                <w:highlight w:val="none"/>
              </w:rPr>
              <w:t>好，资质</w:t>
            </w:r>
            <w:r>
              <w:rPr>
                <w:rFonts w:hint="eastAsia" w:ascii="宋体"/>
                <w:szCs w:val="21"/>
                <w:highlight w:val="none"/>
              </w:rPr>
              <w:t>等级一</w:t>
            </w:r>
            <w:r>
              <w:rPr>
                <w:rFonts w:ascii="宋体"/>
                <w:szCs w:val="21"/>
                <w:highlight w:val="none"/>
              </w:rPr>
              <w:t>般</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信用情况较</w:t>
            </w:r>
            <w:r>
              <w:rPr>
                <w:rFonts w:ascii="宋体"/>
                <w:szCs w:val="21"/>
                <w:highlight w:val="none"/>
              </w:rPr>
              <w:t>弱，资质</w:t>
            </w:r>
            <w:r>
              <w:rPr>
                <w:rFonts w:hint="eastAsia" w:ascii="宋体"/>
                <w:szCs w:val="21"/>
                <w:highlight w:val="none"/>
              </w:rPr>
              <w:t>等级较</w:t>
            </w:r>
            <w:r>
              <w:rPr>
                <w:rFonts w:ascii="宋体"/>
                <w:szCs w:val="21"/>
                <w:highlight w:val="none"/>
              </w:rPr>
              <w:t>低</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1.3</w:t>
            </w:r>
            <w:r>
              <w:rPr>
                <w:rFonts w:hint="eastAsia" w:ascii="宋体"/>
                <w:szCs w:val="21"/>
                <w:highlight w:val="none"/>
              </w:rPr>
              <w:t>,1.8]</w:t>
            </w:r>
          </w:p>
        </w:tc>
      </w:tr>
    </w:tbl>
    <w:p>
      <w:pPr>
        <w:snapToGrid w:val="0"/>
        <w:spacing w:line="600" w:lineRule="exact"/>
        <w:ind w:firstLine="640" w:firstLineChars="200"/>
        <w:rPr>
          <w:rFonts w:ascii="仿宋_GB2312" w:eastAsia="仿宋_GB2312"/>
          <w:bCs/>
          <w:sz w:val="32"/>
          <w:szCs w:val="32"/>
          <w:highlight w:val="none"/>
        </w:rPr>
      </w:pPr>
    </w:p>
    <w:p>
      <w:pPr>
        <w:snapToGrid w:val="0"/>
        <w:spacing w:line="600" w:lineRule="exact"/>
        <w:ind w:firstLine="640" w:firstLineChars="200"/>
        <w:rPr>
          <w:rFonts w:ascii="仿宋_GB2312" w:eastAsia="仿宋_GB2312"/>
          <w:sz w:val="32"/>
          <w:szCs w:val="32"/>
          <w:highlight w:val="none"/>
        </w:rPr>
      </w:pPr>
      <w:r>
        <w:rPr>
          <w:rFonts w:hint="eastAsia" w:ascii="仿宋_GB2312" w:eastAsia="仿宋_GB2312"/>
          <w:bCs/>
          <w:sz w:val="32"/>
          <w:szCs w:val="32"/>
          <w:highlight w:val="none"/>
        </w:rPr>
        <w:t>（四）</w:t>
      </w:r>
      <w:r>
        <w:rPr>
          <w:rFonts w:hint="eastAsia" w:ascii="仿宋_GB2312" w:eastAsia="仿宋_GB2312"/>
          <w:sz w:val="32"/>
          <w:szCs w:val="32"/>
          <w:highlight w:val="none"/>
        </w:rPr>
        <w:t>产品定制化调整系数</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80"/>
        <w:gridCol w:w="41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b/>
                <w:szCs w:val="21"/>
                <w:highlight w:val="none"/>
              </w:rPr>
            </w:pPr>
            <w:r>
              <w:rPr>
                <w:rFonts w:hint="eastAsia" w:ascii="宋体"/>
                <w:b/>
                <w:szCs w:val="21"/>
                <w:highlight w:val="none"/>
              </w:rPr>
              <w:t>产品是否定制化</w:t>
            </w:r>
          </w:p>
        </w:tc>
        <w:tc>
          <w:tcPr>
            <w:tcW w:w="4116" w:type="dxa"/>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非定制类产品</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0.7</w:t>
            </w:r>
            <w:r>
              <w:rPr>
                <w:rFonts w:hint="eastAsia" w:ascii="宋体"/>
                <w:szCs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定制化产品</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w:t>
            </w:r>
            <w:r>
              <w:rPr>
                <w:rFonts w:ascii="宋体"/>
                <w:szCs w:val="21"/>
                <w:highlight w:val="none"/>
              </w:rPr>
              <w:t>1.5</w:t>
            </w:r>
            <w:r>
              <w:rPr>
                <w:rFonts w:hint="eastAsia" w:ascii="宋体"/>
                <w:szCs w:val="21"/>
                <w:highlight w:val="none"/>
              </w:rPr>
              <w:t>]</w:t>
            </w:r>
          </w:p>
        </w:tc>
      </w:tr>
    </w:tbl>
    <w:p>
      <w:pPr>
        <w:snapToGrid w:val="0"/>
        <w:spacing w:line="600" w:lineRule="exact"/>
        <w:rPr>
          <w:rFonts w:ascii="仿宋_GB2312" w:eastAsia="仿宋_GB2312"/>
          <w:bCs/>
          <w:sz w:val="32"/>
          <w:szCs w:val="32"/>
          <w:highlight w:val="none"/>
        </w:rPr>
      </w:pPr>
    </w:p>
    <w:p>
      <w:pPr>
        <w:snapToGrid w:val="0"/>
        <w:spacing w:line="600" w:lineRule="exact"/>
        <w:ind w:firstLine="640" w:firstLineChars="200"/>
        <w:rPr>
          <w:rFonts w:ascii="仿宋_GB2312" w:eastAsia="仿宋_GB2312"/>
          <w:sz w:val="32"/>
          <w:szCs w:val="32"/>
          <w:highlight w:val="none"/>
        </w:rPr>
      </w:pPr>
      <w:r>
        <w:rPr>
          <w:rFonts w:hint="eastAsia" w:ascii="仿宋_GB2312" w:eastAsia="仿宋_GB2312"/>
          <w:bCs/>
          <w:sz w:val="32"/>
          <w:szCs w:val="32"/>
          <w:highlight w:val="none"/>
        </w:rPr>
        <w:t>（五）</w:t>
      </w:r>
      <w:r>
        <w:rPr>
          <w:rFonts w:hint="eastAsia" w:ascii="仿宋_GB2312" w:eastAsia="仿宋_GB2312"/>
          <w:sz w:val="32"/>
          <w:szCs w:val="32"/>
          <w:highlight w:val="none"/>
        </w:rPr>
        <w:t>上一年度供应的</w:t>
      </w:r>
      <w:r>
        <w:rPr>
          <w:rFonts w:ascii="仿宋_GB2312" w:eastAsia="仿宋_GB2312"/>
          <w:sz w:val="32"/>
          <w:szCs w:val="32"/>
          <w:highlight w:val="none"/>
        </w:rPr>
        <w:t>产品质量</w:t>
      </w:r>
      <w:r>
        <w:rPr>
          <w:rFonts w:hint="eastAsia" w:ascii="仿宋_GB2312" w:eastAsia="仿宋_GB2312"/>
          <w:bCs/>
          <w:sz w:val="32"/>
          <w:szCs w:val="32"/>
          <w:highlight w:val="none"/>
        </w:rPr>
        <w:t>调整</w:t>
      </w:r>
      <w:r>
        <w:rPr>
          <w:rFonts w:hint="eastAsia" w:ascii="仿宋_GB2312" w:eastAsia="仿宋_GB2312"/>
          <w:sz w:val="32"/>
          <w:szCs w:val="32"/>
          <w:highlight w:val="none"/>
        </w:rPr>
        <w:t>系数</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80"/>
        <w:gridCol w:w="41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b/>
                <w:szCs w:val="21"/>
                <w:highlight w:val="none"/>
              </w:rPr>
            </w:pPr>
            <w:r>
              <w:rPr>
                <w:rFonts w:hint="eastAsia" w:ascii="宋体"/>
                <w:b/>
                <w:szCs w:val="21"/>
                <w:highlight w:val="none"/>
              </w:rPr>
              <w:t>产品质量</w:t>
            </w:r>
          </w:p>
        </w:tc>
        <w:tc>
          <w:tcPr>
            <w:tcW w:w="4116" w:type="dxa"/>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left"/>
              <w:textAlignment w:val="center"/>
              <w:rPr>
                <w:rFonts w:ascii="宋体"/>
                <w:szCs w:val="21"/>
                <w:highlight w:val="none"/>
              </w:rPr>
            </w:pPr>
            <w:r>
              <w:rPr>
                <w:rFonts w:hint="eastAsia" w:ascii="宋体"/>
                <w:szCs w:val="21"/>
                <w:highlight w:val="none"/>
              </w:rPr>
              <w:t>产品</w:t>
            </w:r>
            <w:r>
              <w:rPr>
                <w:rFonts w:ascii="宋体"/>
                <w:szCs w:val="21"/>
                <w:highlight w:val="none"/>
              </w:rPr>
              <w:t>验收、运</w:t>
            </w:r>
            <w:r>
              <w:rPr>
                <w:rFonts w:hint="eastAsia" w:ascii="宋体"/>
                <w:szCs w:val="21"/>
                <w:highlight w:val="none"/>
              </w:rPr>
              <w:t>行</w:t>
            </w:r>
            <w:r>
              <w:rPr>
                <w:rFonts w:ascii="宋体"/>
                <w:szCs w:val="21"/>
                <w:highlight w:val="none"/>
              </w:rPr>
              <w:t>质量</w:t>
            </w:r>
            <w:r>
              <w:rPr>
                <w:rFonts w:hint="eastAsia" w:ascii="宋体"/>
                <w:szCs w:val="21"/>
                <w:highlight w:val="none"/>
              </w:rPr>
              <w:t>优良</w:t>
            </w:r>
            <w:r>
              <w:rPr>
                <w:rFonts w:ascii="宋体"/>
                <w:szCs w:val="21"/>
                <w:highlight w:val="none"/>
              </w:rPr>
              <w:t>，质量</w:t>
            </w:r>
            <w:r>
              <w:rPr>
                <w:rFonts w:hint="eastAsia" w:ascii="宋体"/>
                <w:szCs w:val="21"/>
                <w:highlight w:val="none"/>
              </w:rPr>
              <w:t>抽检</w:t>
            </w:r>
            <w:r>
              <w:rPr>
                <w:rFonts w:ascii="宋体"/>
                <w:szCs w:val="21"/>
                <w:highlight w:val="none"/>
              </w:rPr>
              <w:t>全部达标</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0.8</w:t>
            </w:r>
            <w:r>
              <w:rPr>
                <w:rFonts w:hint="eastAsia" w:ascii="宋体"/>
                <w:szCs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left"/>
              <w:textAlignment w:val="center"/>
              <w:rPr>
                <w:rFonts w:ascii="宋体"/>
                <w:szCs w:val="21"/>
                <w:highlight w:val="none"/>
              </w:rPr>
            </w:pPr>
            <w:r>
              <w:rPr>
                <w:rFonts w:hint="eastAsia" w:ascii="宋体"/>
                <w:szCs w:val="21"/>
                <w:highlight w:val="none"/>
              </w:rPr>
              <w:t>产品</w:t>
            </w:r>
            <w:r>
              <w:rPr>
                <w:rFonts w:ascii="宋体"/>
                <w:szCs w:val="21"/>
                <w:highlight w:val="none"/>
              </w:rPr>
              <w:t>验收、运</w:t>
            </w:r>
            <w:r>
              <w:rPr>
                <w:rFonts w:hint="eastAsia" w:ascii="宋体"/>
                <w:szCs w:val="21"/>
                <w:highlight w:val="none"/>
              </w:rPr>
              <w:t>行</w:t>
            </w:r>
            <w:r>
              <w:rPr>
                <w:rFonts w:ascii="宋体"/>
                <w:szCs w:val="21"/>
                <w:highlight w:val="none"/>
              </w:rPr>
              <w:t>质量</w:t>
            </w:r>
            <w:r>
              <w:rPr>
                <w:rFonts w:hint="eastAsia" w:ascii="宋体"/>
                <w:szCs w:val="21"/>
                <w:highlight w:val="none"/>
              </w:rPr>
              <w:t>较</w:t>
            </w:r>
            <w:r>
              <w:rPr>
                <w:rFonts w:ascii="宋体"/>
                <w:szCs w:val="21"/>
                <w:highlight w:val="none"/>
              </w:rPr>
              <w:t>好，质量</w:t>
            </w:r>
            <w:r>
              <w:rPr>
                <w:rFonts w:hint="eastAsia" w:ascii="宋体"/>
                <w:szCs w:val="21"/>
                <w:highlight w:val="none"/>
              </w:rPr>
              <w:t>抽检合格</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产品</w:t>
            </w:r>
            <w:r>
              <w:rPr>
                <w:rFonts w:ascii="宋体"/>
                <w:szCs w:val="21"/>
                <w:highlight w:val="none"/>
              </w:rPr>
              <w:t>验收</w:t>
            </w:r>
            <w:r>
              <w:rPr>
                <w:rFonts w:hint="eastAsia" w:ascii="宋体"/>
                <w:szCs w:val="21"/>
                <w:highlight w:val="none"/>
              </w:rPr>
              <w:t>出现不合格</w:t>
            </w:r>
            <w:r>
              <w:rPr>
                <w:rFonts w:ascii="宋体"/>
                <w:szCs w:val="21"/>
                <w:highlight w:val="none"/>
              </w:rPr>
              <w:t>产品、运</w:t>
            </w:r>
            <w:r>
              <w:rPr>
                <w:rFonts w:hint="eastAsia" w:ascii="宋体"/>
                <w:szCs w:val="21"/>
                <w:highlight w:val="none"/>
              </w:rPr>
              <w:t>行过程</w:t>
            </w:r>
            <w:r>
              <w:rPr>
                <w:rFonts w:ascii="宋体"/>
                <w:szCs w:val="21"/>
                <w:highlight w:val="none"/>
              </w:rPr>
              <w:t>中出现质量问题，质量</w:t>
            </w:r>
            <w:r>
              <w:rPr>
                <w:rFonts w:hint="eastAsia" w:ascii="宋体"/>
                <w:szCs w:val="21"/>
                <w:highlight w:val="none"/>
              </w:rPr>
              <w:t>抽检有</w:t>
            </w:r>
            <w:r>
              <w:rPr>
                <w:rFonts w:ascii="宋体"/>
                <w:szCs w:val="21"/>
                <w:highlight w:val="none"/>
              </w:rPr>
              <w:t>不</w:t>
            </w:r>
            <w:r>
              <w:rPr>
                <w:rFonts w:hint="eastAsia" w:ascii="宋体"/>
                <w:szCs w:val="21"/>
                <w:highlight w:val="none"/>
              </w:rPr>
              <w:t>合格记录</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1.3</w:t>
            </w:r>
            <w:r>
              <w:rPr>
                <w:rFonts w:hint="eastAsia" w:ascii="宋体"/>
                <w:szCs w:val="21"/>
                <w:highlight w:val="none"/>
              </w:rPr>
              <w:t>，</w:t>
            </w:r>
            <w:r>
              <w:rPr>
                <w:rFonts w:ascii="宋体"/>
                <w:szCs w:val="21"/>
                <w:highlight w:val="none"/>
              </w:rPr>
              <w:t>1.8</w:t>
            </w:r>
            <w:r>
              <w:rPr>
                <w:rFonts w:hint="eastAsia" w:ascii="宋体"/>
                <w:szCs w:val="21"/>
                <w:highlight w:val="none"/>
              </w:rPr>
              <w:t>]</w:t>
            </w:r>
          </w:p>
        </w:tc>
      </w:tr>
    </w:tbl>
    <w:p>
      <w:pPr>
        <w:snapToGrid w:val="0"/>
        <w:spacing w:line="600" w:lineRule="exact"/>
        <w:ind w:firstLine="640" w:firstLineChars="200"/>
        <w:rPr>
          <w:rFonts w:ascii="仿宋_GB2312" w:eastAsia="仿宋_GB2312"/>
          <w:bCs/>
          <w:sz w:val="32"/>
          <w:szCs w:val="32"/>
          <w:highlight w:val="none"/>
        </w:rPr>
      </w:pPr>
    </w:p>
    <w:p>
      <w:pPr>
        <w:snapToGrid w:val="0"/>
        <w:spacing w:line="600" w:lineRule="exact"/>
        <w:ind w:firstLine="640" w:firstLineChars="200"/>
        <w:rPr>
          <w:rFonts w:ascii="仿宋_GB2312" w:eastAsia="仿宋_GB2312"/>
          <w:sz w:val="32"/>
          <w:szCs w:val="32"/>
          <w:highlight w:val="none"/>
        </w:rPr>
      </w:pPr>
      <w:r>
        <w:rPr>
          <w:rFonts w:hint="eastAsia" w:ascii="仿宋_GB2312" w:eastAsia="仿宋_GB2312"/>
          <w:bCs/>
          <w:sz w:val="32"/>
          <w:szCs w:val="32"/>
          <w:highlight w:val="none"/>
        </w:rPr>
        <w:t>（六）</w:t>
      </w:r>
      <w:r>
        <w:rPr>
          <w:rFonts w:hint="eastAsia" w:ascii="仿宋_GB2312" w:eastAsia="仿宋_GB2312"/>
          <w:sz w:val="32"/>
          <w:szCs w:val="32"/>
          <w:highlight w:val="none"/>
        </w:rPr>
        <w:t>上一年度供货的及时</w:t>
      </w:r>
      <w:r>
        <w:rPr>
          <w:rFonts w:ascii="仿宋_GB2312" w:eastAsia="仿宋_GB2312"/>
          <w:sz w:val="32"/>
          <w:szCs w:val="32"/>
          <w:highlight w:val="none"/>
        </w:rPr>
        <w:t>与准确性</w:t>
      </w:r>
      <w:r>
        <w:rPr>
          <w:rFonts w:hint="eastAsia" w:ascii="仿宋_GB2312" w:eastAsia="仿宋_GB2312"/>
          <w:bCs/>
          <w:sz w:val="32"/>
          <w:szCs w:val="32"/>
          <w:highlight w:val="none"/>
        </w:rPr>
        <w:t>调整</w:t>
      </w:r>
      <w:r>
        <w:rPr>
          <w:rFonts w:hint="eastAsia" w:ascii="仿宋_GB2312" w:eastAsia="仿宋_GB2312"/>
          <w:sz w:val="32"/>
          <w:szCs w:val="32"/>
          <w:highlight w:val="none"/>
        </w:rPr>
        <w:t>系数</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80"/>
        <w:gridCol w:w="41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b/>
                <w:szCs w:val="21"/>
                <w:highlight w:val="none"/>
              </w:rPr>
            </w:pPr>
            <w:r>
              <w:rPr>
                <w:rFonts w:hint="eastAsia" w:ascii="宋体"/>
                <w:b/>
                <w:szCs w:val="21"/>
                <w:highlight w:val="none"/>
              </w:rPr>
              <w:t>供货及时及准确</w:t>
            </w:r>
            <w:r>
              <w:rPr>
                <w:rFonts w:ascii="宋体"/>
                <w:b/>
                <w:szCs w:val="21"/>
                <w:highlight w:val="none"/>
              </w:rPr>
              <w:t>性</w:t>
            </w:r>
          </w:p>
        </w:tc>
        <w:tc>
          <w:tcPr>
            <w:tcW w:w="4116" w:type="dxa"/>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left"/>
              <w:textAlignment w:val="center"/>
              <w:rPr>
                <w:rFonts w:ascii="宋体"/>
                <w:szCs w:val="21"/>
                <w:highlight w:val="none"/>
              </w:rPr>
            </w:pPr>
            <w:r>
              <w:rPr>
                <w:rFonts w:hint="eastAsia" w:ascii="宋体"/>
                <w:szCs w:val="21"/>
                <w:highlight w:val="none"/>
              </w:rPr>
              <w:t>能够严格、准确地按照买卖合同约定的时间、地点及方式等条件交付货物</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0.8</w:t>
            </w:r>
            <w:r>
              <w:rPr>
                <w:rFonts w:hint="eastAsia" w:ascii="宋体"/>
                <w:szCs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left"/>
              <w:textAlignment w:val="center"/>
              <w:rPr>
                <w:rFonts w:ascii="宋体"/>
                <w:szCs w:val="21"/>
                <w:highlight w:val="none"/>
              </w:rPr>
            </w:pPr>
            <w:r>
              <w:rPr>
                <w:rFonts w:hint="eastAsia" w:ascii="宋体"/>
                <w:szCs w:val="21"/>
                <w:highlight w:val="none"/>
              </w:rPr>
              <w:t>能够按照买卖合同约定的时间、地点及方式等条件交付货物，未出现延迟供货、数量短缺等情形</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left"/>
              <w:textAlignment w:val="center"/>
              <w:rPr>
                <w:rFonts w:ascii="宋体"/>
                <w:szCs w:val="21"/>
                <w:highlight w:val="none"/>
              </w:rPr>
            </w:pPr>
            <w:r>
              <w:rPr>
                <w:rFonts w:hint="eastAsia" w:ascii="宋体"/>
                <w:szCs w:val="21"/>
                <w:highlight w:val="none"/>
              </w:rPr>
              <w:t>未严格</w:t>
            </w:r>
            <w:r>
              <w:rPr>
                <w:rFonts w:ascii="宋体"/>
                <w:szCs w:val="21"/>
                <w:highlight w:val="none"/>
              </w:rPr>
              <w:t>按</w:t>
            </w:r>
            <w:r>
              <w:rPr>
                <w:rFonts w:hint="eastAsia" w:ascii="宋体"/>
                <w:szCs w:val="21"/>
                <w:highlight w:val="none"/>
              </w:rPr>
              <w:t>合同要求，出现延迟供货、数量短缺、错误交付、未能在规定时间内有效处理等情形</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1.3</w:t>
            </w:r>
            <w:r>
              <w:rPr>
                <w:rFonts w:hint="eastAsia" w:ascii="宋体"/>
                <w:szCs w:val="21"/>
                <w:highlight w:val="none"/>
              </w:rPr>
              <w:t>，</w:t>
            </w:r>
            <w:r>
              <w:rPr>
                <w:rFonts w:ascii="宋体"/>
                <w:szCs w:val="21"/>
                <w:highlight w:val="none"/>
              </w:rPr>
              <w:t>1.8</w:t>
            </w:r>
            <w:r>
              <w:rPr>
                <w:rFonts w:hint="eastAsia" w:ascii="宋体"/>
                <w:szCs w:val="21"/>
                <w:highlight w:val="none"/>
              </w:rPr>
              <w:t>]</w:t>
            </w:r>
          </w:p>
        </w:tc>
      </w:tr>
    </w:tbl>
    <w:p>
      <w:pPr>
        <w:snapToGrid w:val="0"/>
        <w:spacing w:line="600" w:lineRule="exact"/>
        <w:rPr>
          <w:rFonts w:ascii="仿宋_GB2312" w:eastAsia="仿宋_GB2312"/>
          <w:sz w:val="32"/>
          <w:szCs w:val="32"/>
          <w:highlight w:val="none"/>
        </w:rPr>
      </w:pPr>
      <w:r>
        <w:rPr>
          <w:rFonts w:hint="eastAsia" w:ascii="仿宋_GB2312" w:eastAsia="仿宋_GB2312"/>
          <w:bCs/>
          <w:sz w:val="32"/>
          <w:szCs w:val="32"/>
          <w:highlight w:val="none"/>
        </w:rPr>
        <w:t xml:space="preserve">  （七）</w:t>
      </w:r>
      <w:r>
        <w:rPr>
          <w:rFonts w:hint="eastAsia" w:ascii="仿宋_GB2312" w:eastAsia="仿宋_GB2312"/>
          <w:sz w:val="32"/>
          <w:szCs w:val="32"/>
          <w:highlight w:val="none"/>
        </w:rPr>
        <w:t>上一年度售后</w:t>
      </w:r>
      <w:r>
        <w:rPr>
          <w:rFonts w:ascii="仿宋_GB2312" w:eastAsia="仿宋_GB2312"/>
          <w:sz w:val="32"/>
          <w:szCs w:val="32"/>
          <w:highlight w:val="none"/>
        </w:rPr>
        <w:t>服务</w:t>
      </w:r>
      <w:r>
        <w:rPr>
          <w:rFonts w:hint="eastAsia" w:ascii="仿宋_GB2312" w:eastAsia="仿宋_GB2312"/>
          <w:bCs/>
          <w:sz w:val="32"/>
          <w:szCs w:val="32"/>
          <w:highlight w:val="none"/>
        </w:rPr>
        <w:t>调整</w:t>
      </w:r>
      <w:r>
        <w:rPr>
          <w:rFonts w:hint="eastAsia" w:ascii="仿宋_GB2312" w:eastAsia="仿宋_GB2312"/>
          <w:sz w:val="32"/>
          <w:szCs w:val="32"/>
          <w:highlight w:val="none"/>
        </w:rPr>
        <w:t>系数</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80"/>
        <w:gridCol w:w="41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b/>
                <w:szCs w:val="21"/>
                <w:highlight w:val="none"/>
              </w:rPr>
            </w:pPr>
            <w:r>
              <w:rPr>
                <w:rFonts w:hint="eastAsia" w:ascii="宋体"/>
                <w:b/>
                <w:szCs w:val="21"/>
                <w:highlight w:val="none"/>
              </w:rPr>
              <w:t>售后</w:t>
            </w:r>
            <w:r>
              <w:rPr>
                <w:rFonts w:ascii="宋体"/>
                <w:b/>
                <w:szCs w:val="21"/>
                <w:highlight w:val="none"/>
              </w:rPr>
              <w:t>服务</w:t>
            </w:r>
          </w:p>
        </w:tc>
        <w:tc>
          <w:tcPr>
            <w:tcW w:w="4116" w:type="dxa"/>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严格按照合同约定，进行技术培训，安装调试后验收合格，质保期内，严格履行服务承诺</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0.8</w:t>
            </w:r>
            <w:r>
              <w:rPr>
                <w:rFonts w:hint="eastAsia" w:ascii="宋体"/>
                <w:szCs w:val="21"/>
                <w:highlight w:val="none"/>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jc w:val="center"/>
              <w:textAlignment w:val="center"/>
              <w:rPr>
                <w:rFonts w:ascii="宋体"/>
                <w:szCs w:val="21"/>
                <w:highlight w:val="none"/>
              </w:rPr>
            </w:pPr>
            <w:r>
              <w:rPr>
                <w:rFonts w:hint="eastAsia" w:ascii="宋体"/>
                <w:szCs w:val="21"/>
                <w:highlight w:val="none"/>
              </w:rPr>
              <w:t>能够按照合同约定，进行技术培训，安装调试后验收基本合格，质保期内，能够履行服务承诺</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3780" w:type="dxa"/>
            <w:noWrap w:val="0"/>
            <w:vAlign w:val="center"/>
          </w:tcPr>
          <w:p>
            <w:pPr>
              <w:autoSpaceDN w:val="0"/>
              <w:textAlignment w:val="center"/>
              <w:rPr>
                <w:rFonts w:ascii="宋体"/>
                <w:szCs w:val="21"/>
                <w:highlight w:val="none"/>
              </w:rPr>
            </w:pPr>
            <w:r>
              <w:rPr>
                <w:rFonts w:hint="eastAsia" w:ascii="宋体"/>
                <w:szCs w:val="21"/>
                <w:highlight w:val="none"/>
              </w:rPr>
              <w:t>未能按照合同约定，进行技术培训，安装调试后验收出现不合格，质保期内，未能严格履行服务承诺</w:t>
            </w:r>
          </w:p>
        </w:tc>
        <w:tc>
          <w:tcPr>
            <w:tcW w:w="4116" w:type="dxa"/>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1.3</w:t>
            </w:r>
            <w:r>
              <w:rPr>
                <w:rFonts w:hint="eastAsia" w:ascii="宋体"/>
                <w:szCs w:val="21"/>
                <w:highlight w:val="none"/>
              </w:rPr>
              <w:t>，</w:t>
            </w:r>
            <w:r>
              <w:rPr>
                <w:rFonts w:ascii="宋体"/>
                <w:szCs w:val="21"/>
                <w:highlight w:val="none"/>
              </w:rPr>
              <w:t>1.8</w:t>
            </w:r>
            <w:r>
              <w:rPr>
                <w:rFonts w:hint="eastAsia" w:ascii="宋体"/>
                <w:szCs w:val="21"/>
                <w:highlight w:val="none"/>
              </w:rPr>
              <w:t>]</w:t>
            </w:r>
          </w:p>
        </w:tc>
      </w:tr>
    </w:tbl>
    <w:p>
      <w:pPr>
        <w:snapToGrid w:val="0"/>
        <w:spacing w:line="600" w:lineRule="exact"/>
        <w:rPr>
          <w:rFonts w:ascii="仿宋_GB2312" w:eastAsia="仿宋_GB2312"/>
          <w:bCs/>
          <w:sz w:val="32"/>
          <w:szCs w:val="32"/>
          <w:highlight w:val="none"/>
        </w:rPr>
      </w:pPr>
      <w:r>
        <w:rPr>
          <w:rFonts w:hint="eastAsia" w:ascii="仿宋_GB2312" w:eastAsia="仿宋_GB2312"/>
          <w:bCs/>
          <w:sz w:val="32"/>
          <w:szCs w:val="32"/>
          <w:highlight w:val="none"/>
        </w:rPr>
        <w:t xml:space="preserve"> </w:t>
      </w:r>
    </w:p>
    <w:p>
      <w:pPr>
        <w:snapToGrid w:val="0"/>
        <w:spacing w:line="600" w:lineRule="exact"/>
        <w:ind w:firstLine="640" w:firstLineChars="200"/>
        <w:rPr>
          <w:rFonts w:ascii="仿宋_GB2312" w:eastAsia="仿宋_GB2312"/>
          <w:bCs/>
          <w:sz w:val="32"/>
          <w:szCs w:val="32"/>
          <w:highlight w:val="none"/>
        </w:rPr>
      </w:pPr>
      <w:r>
        <w:rPr>
          <w:rFonts w:hint="eastAsia" w:ascii="仿宋_GB2312" w:eastAsia="仿宋_GB2312"/>
          <w:bCs/>
          <w:sz w:val="32"/>
          <w:szCs w:val="32"/>
          <w:highlight w:val="none"/>
        </w:rPr>
        <w:t>（八）抵押、担保比例调整系数</w:t>
      </w:r>
    </w:p>
    <w:tbl>
      <w:tblPr>
        <w:tblStyle w:val="35"/>
        <w:tblW w:w="8222" w:type="dxa"/>
        <w:jc w:val="center"/>
        <w:tblLayout w:type="autofit"/>
        <w:tblCellMar>
          <w:top w:w="0" w:type="dxa"/>
          <w:left w:w="108" w:type="dxa"/>
          <w:bottom w:w="0" w:type="dxa"/>
          <w:right w:w="108" w:type="dxa"/>
        </w:tblCellMar>
      </w:tblPr>
      <w:tblGrid>
        <w:gridCol w:w="2266"/>
        <w:gridCol w:w="1701"/>
        <w:gridCol w:w="4255"/>
      </w:tblGrid>
      <w:tr>
        <w:tblPrEx>
          <w:tblCellMar>
            <w:top w:w="0" w:type="dxa"/>
            <w:left w:w="108" w:type="dxa"/>
            <w:bottom w:w="0" w:type="dxa"/>
            <w:right w:w="108" w:type="dxa"/>
          </w:tblCellMar>
        </w:tblPrEx>
        <w:trPr>
          <w:trHeight w:val="510" w:hRule="atLeast"/>
          <w:jc w:val="center"/>
        </w:trPr>
        <w:tc>
          <w:tcPr>
            <w:tcW w:w="3967"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b/>
                <w:szCs w:val="21"/>
                <w:highlight w:val="none"/>
              </w:rPr>
            </w:pPr>
            <w:r>
              <w:rPr>
                <w:rFonts w:hint="eastAsia" w:ascii="宋体"/>
                <w:b/>
                <w:szCs w:val="21"/>
                <w:highlight w:val="none"/>
              </w:rPr>
              <w:t>反担保方式</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CellMar>
            <w:top w:w="0" w:type="dxa"/>
            <w:left w:w="108" w:type="dxa"/>
            <w:bottom w:w="0" w:type="dxa"/>
            <w:right w:w="108" w:type="dxa"/>
          </w:tblCellMar>
        </w:tblPrEx>
        <w:trPr>
          <w:trHeight w:val="510" w:hRule="atLeast"/>
          <w:jc w:val="center"/>
        </w:trPr>
        <w:tc>
          <w:tcPr>
            <w:tcW w:w="2266" w:type="dxa"/>
            <w:vMerge w:val="restart"/>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抵押</w:t>
            </w:r>
            <w:r>
              <w:rPr>
                <w:rFonts w:ascii="宋体"/>
                <w:szCs w:val="21"/>
                <w:highlight w:val="none"/>
              </w:rPr>
              <w:t>/质押反担保：</w:t>
            </w:r>
          </w:p>
          <w:p>
            <w:pPr>
              <w:autoSpaceDN w:val="0"/>
              <w:jc w:val="center"/>
              <w:textAlignment w:val="center"/>
              <w:rPr>
                <w:rFonts w:ascii="宋体"/>
                <w:szCs w:val="21"/>
                <w:highlight w:val="none"/>
              </w:rPr>
            </w:pPr>
            <w:r>
              <w:rPr>
                <w:rFonts w:hint="eastAsia" w:ascii="宋体"/>
                <w:szCs w:val="21"/>
                <w:highlight w:val="none"/>
              </w:rPr>
              <w:t>抵（质）押金额占保险金额的比例</w:t>
            </w:r>
          </w:p>
        </w:tc>
        <w:tc>
          <w:tcPr>
            <w:tcW w:w="1701"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ascii="宋体"/>
                <w:szCs w:val="21"/>
                <w:highlight w:val="none"/>
              </w:rPr>
              <w:t>0-10%</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w:t>
            </w:r>
            <w:r>
              <w:rPr>
                <w:rFonts w:ascii="宋体"/>
                <w:szCs w:val="21"/>
                <w:highlight w:val="none"/>
              </w:rPr>
              <w:t>0.9</w:t>
            </w:r>
            <w:r>
              <w:rPr>
                <w:rFonts w:hint="eastAsia" w:ascii="宋体"/>
                <w:szCs w:val="21"/>
                <w:highlight w:val="none"/>
              </w:rPr>
              <w:t>）</w:t>
            </w:r>
          </w:p>
        </w:tc>
      </w:tr>
      <w:tr>
        <w:tblPrEx>
          <w:tblCellMar>
            <w:top w:w="0" w:type="dxa"/>
            <w:left w:w="108" w:type="dxa"/>
            <w:bottom w:w="0" w:type="dxa"/>
            <w:right w:w="108" w:type="dxa"/>
          </w:tblCellMar>
        </w:tblPrEx>
        <w:trPr>
          <w:trHeight w:val="510" w:hRule="atLeast"/>
          <w:jc w:val="center"/>
        </w:trPr>
        <w:tc>
          <w:tcPr>
            <w:tcW w:w="2266" w:type="dxa"/>
            <w:vMerge w:val="continue"/>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p>
        </w:tc>
        <w:tc>
          <w:tcPr>
            <w:tcW w:w="1701"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ascii="宋体"/>
                <w:szCs w:val="21"/>
                <w:highlight w:val="none"/>
              </w:rPr>
              <w:t>10%-30%</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0.9</w:t>
            </w:r>
            <w:r>
              <w:rPr>
                <w:rFonts w:hint="eastAsia" w:ascii="宋体"/>
                <w:szCs w:val="21"/>
                <w:highlight w:val="none"/>
              </w:rPr>
              <w:t>，</w:t>
            </w:r>
            <w:r>
              <w:rPr>
                <w:rFonts w:ascii="宋体"/>
                <w:szCs w:val="21"/>
                <w:highlight w:val="none"/>
              </w:rPr>
              <w:t>0.8</w:t>
            </w:r>
            <w:r>
              <w:rPr>
                <w:rFonts w:hint="eastAsia" w:ascii="宋体"/>
                <w:szCs w:val="21"/>
                <w:highlight w:val="none"/>
              </w:rPr>
              <w:t>）</w:t>
            </w:r>
          </w:p>
        </w:tc>
      </w:tr>
      <w:tr>
        <w:tblPrEx>
          <w:tblCellMar>
            <w:top w:w="0" w:type="dxa"/>
            <w:left w:w="108" w:type="dxa"/>
            <w:bottom w:w="0" w:type="dxa"/>
            <w:right w:w="108" w:type="dxa"/>
          </w:tblCellMar>
        </w:tblPrEx>
        <w:trPr>
          <w:trHeight w:val="510" w:hRule="atLeast"/>
          <w:jc w:val="center"/>
        </w:trPr>
        <w:tc>
          <w:tcPr>
            <w:tcW w:w="2266" w:type="dxa"/>
            <w:vMerge w:val="continue"/>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p>
        </w:tc>
        <w:tc>
          <w:tcPr>
            <w:tcW w:w="1701"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ascii="宋体"/>
                <w:szCs w:val="21"/>
                <w:highlight w:val="none"/>
              </w:rPr>
              <w:t>30%-50%</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0.8</w:t>
            </w:r>
            <w:r>
              <w:rPr>
                <w:rFonts w:hint="eastAsia" w:ascii="宋体"/>
                <w:szCs w:val="21"/>
                <w:highlight w:val="none"/>
              </w:rPr>
              <w:t>，</w:t>
            </w:r>
            <w:r>
              <w:rPr>
                <w:rFonts w:ascii="宋体"/>
                <w:szCs w:val="21"/>
                <w:highlight w:val="none"/>
              </w:rPr>
              <w:t>0.7</w:t>
            </w:r>
            <w:r>
              <w:rPr>
                <w:rFonts w:hint="eastAsia" w:ascii="宋体"/>
                <w:szCs w:val="21"/>
                <w:highlight w:val="none"/>
              </w:rPr>
              <w:t>）</w:t>
            </w:r>
          </w:p>
        </w:tc>
      </w:tr>
      <w:tr>
        <w:tblPrEx>
          <w:tblCellMar>
            <w:top w:w="0" w:type="dxa"/>
            <w:left w:w="108" w:type="dxa"/>
            <w:bottom w:w="0" w:type="dxa"/>
            <w:right w:w="108" w:type="dxa"/>
          </w:tblCellMar>
        </w:tblPrEx>
        <w:trPr>
          <w:trHeight w:val="510" w:hRule="atLeast"/>
          <w:jc w:val="center"/>
        </w:trPr>
        <w:tc>
          <w:tcPr>
            <w:tcW w:w="2266" w:type="dxa"/>
            <w:vMerge w:val="continue"/>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p>
        </w:tc>
        <w:tc>
          <w:tcPr>
            <w:tcW w:w="1701"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w:t>
            </w:r>
            <w:r>
              <w:rPr>
                <w:rFonts w:ascii="宋体"/>
                <w:szCs w:val="21"/>
                <w:highlight w:val="none"/>
              </w:rPr>
              <w:t>50%</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0.7</w:t>
            </w:r>
            <w:r>
              <w:rPr>
                <w:rFonts w:hint="eastAsia" w:ascii="宋体"/>
                <w:szCs w:val="21"/>
                <w:highlight w:val="none"/>
              </w:rPr>
              <w:t>，</w:t>
            </w:r>
            <w:r>
              <w:rPr>
                <w:rFonts w:ascii="宋体"/>
                <w:szCs w:val="21"/>
                <w:highlight w:val="none"/>
              </w:rPr>
              <w:t>0.5</w:t>
            </w:r>
            <w:r>
              <w:rPr>
                <w:rFonts w:hint="eastAsia" w:ascii="宋体"/>
                <w:szCs w:val="21"/>
                <w:highlight w:val="none"/>
              </w:rPr>
              <w:t>）</w:t>
            </w:r>
          </w:p>
        </w:tc>
      </w:tr>
      <w:tr>
        <w:tblPrEx>
          <w:tblCellMar>
            <w:top w:w="0" w:type="dxa"/>
            <w:left w:w="108" w:type="dxa"/>
            <w:bottom w:w="0" w:type="dxa"/>
            <w:right w:w="108" w:type="dxa"/>
          </w:tblCellMar>
        </w:tblPrEx>
        <w:trPr>
          <w:trHeight w:val="510" w:hRule="atLeast"/>
          <w:jc w:val="center"/>
        </w:trPr>
        <w:tc>
          <w:tcPr>
            <w:tcW w:w="3967"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保证反担保</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0.85</w:t>
            </w:r>
            <w:r>
              <w:rPr>
                <w:rFonts w:hint="eastAsia" w:ascii="宋体"/>
                <w:szCs w:val="21"/>
                <w:highlight w:val="none"/>
              </w:rPr>
              <w:t>，</w:t>
            </w:r>
            <w:r>
              <w:rPr>
                <w:rFonts w:ascii="宋体"/>
                <w:szCs w:val="21"/>
                <w:highlight w:val="none"/>
              </w:rPr>
              <w:t>1.0</w:t>
            </w:r>
            <w:r>
              <w:rPr>
                <w:rFonts w:hint="eastAsia" w:ascii="宋体"/>
                <w:szCs w:val="21"/>
                <w:highlight w:val="none"/>
              </w:rPr>
              <w:t>]</w:t>
            </w:r>
          </w:p>
        </w:tc>
      </w:tr>
      <w:tr>
        <w:tblPrEx>
          <w:tblCellMar>
            <w:top w:w="0" w:type="dxa"/>
            <w:left w:w="108" w:type="dxa"/>
            <w:bottom w:w="0" w:type="dxa"/>
            <w:right w:w="108" w:type="dxa"/>
          </w:tblCellMar>
        </w:tblPrEx>
        <w:trPr>
          <w:trHeight w:val="510" w:hRule="atLeast"/>
          <w:jc w:val="center"/>
        </w:trPr>
        <w:tc>
          <w:tcPr>
            <w:tcW w:w="3967" w:type="dxa"/>
            <w:gridSpan w:val="2"/>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未办理反担保</w:t>
            </w:r>
          </w:p>
        </w:tc>
        <w:tc>
          <w:tcPr>
            <w:tcW w:w="4255" w:type="dxa"/>
            <w:tcBorders>
              <w:top w:val="single" w:color="000000" w:sz="4" w:space="0"/>
              <w:left w:val="single" w:color="000000" w:sz="4" w:space="0"/>
              <w:bottom w:val="single" w:color="000000" w:sz="4" w:space="0"/>
              <w:right w:val="single" w:color="000000" w:sz="8" w:space="0"/>
            </w:tcBorders>
            <w:noWrap w:val="0"/>
            <w:vAlign w:val="center"/>
          </w:tcPr>
          <w:p>
            <w:pPr>
              <w:autoSpaceDN w:val="0"/>
              <w:jc w:val="center"/>
              <w:textAlignment w:val="center"/>
              <w:rPr>
                <w:rFonts w:ascii="宋体"/>
                <w:szCs w:val="21"/>
                <w:highlight w:val="none"/>
              </w:rPr>
            </w:pPr>
            <w:r>
              <w:rPr>
                <w:rFonts w:ascii="宋体"/>
                <w:szCs w:val="21"/>
                <w:highlight w:val="none"/>
              </w:rPr>
              <w:t>1.0</w:t>
            </w:r>
          </w:p>
        </w:tc>
      </w:tr>
    </w:tbl>
    <w:p>
      <w:pPr>
        <w:snapToGrid w:val="0"/>
        <w:spacing w:line="600" w:lineRule="exact"/>
        <w:rPr>
          <w:rFonts w:ascii="仿宋_GB2312" w:eastAsia="仿宋_GB2312"/>
          <w:bCs/>
          <w:sz w:val="32"/>
          <w:szCs w:val="32"/>
          <w:highlight w:val="none"/>
        </w:rPr>
      </w:pPr>
      <w:r>
        <w:rPr>
          <w:rFonts w:hint="eastAsia" w:ascii="仿宋_GB2312" w:eastAsia="仿宋_GB2312"/>
          <w:bCs/>
          <w:sz w:val="32"/>
          <w:szCs w:val="32"/>
          <w:highlight w:val="none"/>
        </w:rPr>
        <w:t xml:space="preserve">   </w:t>
      </w:r>
    </w:p>
    <w:p>
      <w:pPr>
        <w:snapToGrid w:val="0"/>
        <w:spacing w:line="600" w:lineRule="exact"/>
        <w:ind w:firstLine="640" w:firstLineChars="200"/>
        <w:rPr>
          <w:rFonts w:ascii="仿宋_GB2312" w:eastAsia="仿宋_GB2312"/>
          <w:bCs/>
          <w:sz w:val="32"/>
          <w:szCs w:val="32"/>
          <w:highlight w:val="none"/>
        </w:rPr>
      </w:pPr>
      <w:r>
        <w:rPr>
          <w:rFonts w:hint="eastAsia" w:ascii="仿宋_GB2312" w:eastAsia="仿宋_GB2312"/>
          <w:bCs/>
          <w:sz w:val="32"/>
          <w:szCs w:val="32"/>
          <w:highlight w:val="none"/>
        </w:rPr>
        <w:t>（九）历史赔付情况调整系数</w:t>
      </w:r>
    </w:p>
    <w:tbl>
      <w:tblPr>
        <w:tblStyle w:val="35"/>
        <w:tblW w:w="8213" w:type="dxa"/>
        <w:jc w:val="center"/>
        <w:tblLayout w:type="autofit"/>
        <w:tblCellMar>
          <w:top w:w="0" w:type="dxa"/>
          <w:left w:w="0" w:type="dxa"/>
          <w:bottom w:w="0" w:type="dxa"/>
          <w:right w:w="0" w:type="dxa"/>
        </w:tblCellMar>
      </w:tblPr>
      <w:tblGrid>
        <w:gridCol w:w="2529"/>
        <w:gridCol w:w="5684"/>
      </w:tblGrid>
      <w:tr>
        <w:tblPrEx>
          <w:tblCellMar>
            <w:top w:w="0" w:type="dxa"/>
            <w:left w:w="0" w:type="dxa"/>
            <w:bottom w:w="0" w:type="dxa"/>
            <w:right w:w="0" w:type="dxa"/>
          </w:tblCellMar>
        </w:tblPrEx>
        <w:trPr>
          <w:trHeight w:val="567" w:hRule="atLeast"/>
          <w:jc w:val="center"/>
        </w:trPr>
        <w:tc>
          <w:tcPr>
            <w:tcW w:w="2529"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b/>
                <w:szCs w:val="21"/>
                <w:highlight w:val="none"/>
              </w:rPr>
            </w:pPr>
            <w:r>
              <w:rPr>
                <w:rFonts w:hint="eastAsia" w:ascii="宋体"/>
                <w:b/>
                <w:szCs w:val="21"/>
                <w:highlight w:val="none"/>
              </w:rPr>
              <w:t>历史赔付率</w:t>
            </w:r>
          </w:p>
        </w:tc>
        <w:tc>
          <w:tcPr>
            <w:tcW w:w="56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CellMar>
            <w:top w:w="0" w:type="dxa"/>
            <w:left w:w="0" w:type="dxa"/>
            <w:bottom w:w="0" w:type="dxa"/>
            <w:right w:w="0" w:type="dxa"/>
          </w:tblCellMar>
        </w:tblPrEx>
        <w:trPr>
          <w:trHeight w:val="567" w:hRule="atLeast"/>
          <w:jc w:val="center"/>
        </w:trPr>
        <w:tc>
          <w:tcPr>
            <w:tcW w:w="2529"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25%及以下</w:t>
            </w:r>
          </w:p>
        </w:tc>
        <w:tc>
          <w:tcPr>
            <w:tcW w:w="56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0.5</w:t>
            </w:r>
          </w:p>
        </w:tc>
      </w:tr>
      <w:tr>
        <w:tblPrEx>
          <w:tblCellMar>
            <w:top w:w="0" w:type="dxa"/>
            <w:left w:w="0" w:type="dxa"/>
            <w:bottom w:w="0" w:type="dxa"/>
            <w:right w:w="0" w:type="dxa"/>
          </w:tblCellMar>
        </w:tblPrEx>
        <w:trPr>
          <w:trHeight w:val="567" w:hRule="atLeast"/>
          <w:jc w:val="center"/>
        </w:trPr>
        <w:tc>
          <w:tcPr>
            <w:tcW w:w="2529"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25%-50%</w:t>
            </w:r>
          </w:p>
        </w:tc>
        <w:tc>
          <w:tcPr>
            <w:tcW w:w="56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0.5</w:t>
            </w:r>
            <w:r>
              <w:rPr>
                <w:rFonts w:hint="eastAsia" w:ascii="宋体"/>
                <w:szCs w:val="21"/>
                <w:highlight w:val="none"/>
              </w:rPr>
              <w:t>，</w:t>
            </w:r>
            <w:r>
              <w:rPr>
                <w:rFonts w:ascii="宋体"/>
                <w:szCs w:val="21"/>
                <w:highlight w:val="none"/>
              </w:rPr>
              <w:t>0.8</w:t>
            </w:r>
            <w:r>
              <w:rPr>
                <w:rFonts w:hint="eastAsia" w:ascii="宋体"/>
                <w:szCs w:val="21"/>
                <w:highlight w:val="none"/>
              </w:rPr>
              <w:t>）</w:t>
            </w:r>
          </w:p>
        </w:tc>
      </w:tr>
      <w:tr>
        <w:tblPrEx>
          <w:tblCellMar>
            <w:top w:w="0" w:type="dxa"/>
            <w:left w:w="0" w:type="dxa"/>
            <w:bottom w:w="0" w:type="dxa"/>
            <w:right w:w="0" w:type="dxa"/>
          </w:tblCellMar>
        </w:tblPrEx>
        <w:trPr>
          <w:trHeight w:val="567" w:hRule="atLeast"/>
          <w:jc w:val="center"/>
        </w:trPr>
        <w:tc>
          <w:tcPr>
            <w:tcW w:w="2529"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50%-75%</w:t>
            </w:r>
          </w:p>
        </w:tc>
        <w:tc>
          <w:tcPr>
            <w:tcW w:w="56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0.8</w:t>
            </w:r>
            <w:r>
              <w:rPr>
                <w:rFonts w:hint="eastAsia" w:ascii="宋体"/>
                <w:szCs w:val="21"/>
                <w:highlight w:val="none"/>
              </w:rPr>
              <w:t>，</w:t>
            </w:r>
            <w:r>
              <w:rPr>
                <w:rFonts w:ascii="宋体"/>
                <w:szCs w:val="21"/>
                <w:highlight w:val="none"/>
              </w:rPr>
              <w:t>1.0</w:t>
            </w:r>
            <w:r>
              <w:rPr>
                <w:rFonts w:hint="eastAsia" w:ascii="宋体"/>
                <w:szCs w:val="21"/>
                <w:highlight w:val="none"/>
              </w:rPr>
              <w:t>）</w:t>
            </w:r>
          </w:p>
        </w:tc>
      </w:tr>
      <w:tr>
        <w:tblPrEx>
          <w:tblCellMar>
            <w:top w:w="0" w:type="dxa"/>
            <w:left w:w="0" w:type="dxa"/>
            <w:bottom w:w="0" w:type="dxa"/>
            <w:right w:w="0" w:type="dxa"/>
          </w:tblCellMar>
        </w:tblPrEx>
        <w:trPr>
          <w:trHeight w:val="567" w:hRule="atLeast"/>
          <w:jc w:val="center"/>
        </w:trPr>
        <w:tc>
          <w:tcPr>
            <w:tcW w:w="2529"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75%-100%</w:t>
            </w:r>
          </w:p>
        </w:tc>
        <w:tc>
          <w:tcPr>
            <w:tcW w:w="56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w:t>
            </w:r>
            <w:r>
              <w:rPr>
                <w:rFonts w:ascii="宋体"/>
                <w:szCs w:val="21"/>
                <w:highlight w:val="none"/>
              </w:rPr>
              <w:t>1.2</w:t>
            </w:r>
            <w:r>
              <w:rPr>
                <w:rFonts w:hint="eastAsia" w:ascii="宋体"/>
                <w:szCs w:val="21"/>
                <w:highlight w:val="none"/>
              </w:rPr>
              <w:t>）</w:t>
            </w:r>
          </w:p>
        </w:tc>
      </w:tr>
      <w:tr>
        <w:tblPrEx>
          <w:tblCellMar>
            <w:top w:w="0" w:type="dxa"/>
            <w:left w:w="0" w:type="dxa"/>
            <w:bottom w:w="0" w:type="dxa"/>
            <w:right w:w="0" w:type="dxa"/>
          </w:tblCellMar>
        </w:tblPrEx>
        <w:trPr>
          <w:trHeight w:val="567" w:hRule="atLeast"/>
          <w:jc w:val="center"/>
        </w:trPr>
        <w:tc>
          <w:tcPr>
            <w:tcW w:w="2529"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ascii="宋体"/>
                <w:szCs w:val="21"/>
                <w:highlight w:val="none"/>
              </w:rPr>
              <w:t>100%及以上</w:t>
            </w:r>
          </w:p>
        </w:tc>
        <w:tc>
          <w:tcPr>
            <w:tcW w:w="56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hint="eastAsia" w:ascii="宋体"/>
                <w:szCs w:val="21"/>
                <w:highlight w:val="none"/>
              </w:rPr>
              <w:t>1.2，</w:t>
            </w:r>
            <w:r>
              <w:rPr>
                <w:rFonts w:ascii="宋体"/>
                <w:szCs w:val="21"/>
                <w:highlight w:val="none"/>
              </w:rPr>
              <w:t>2.0</w:t>
            </w:r>
            <w:r>
              <w:rPr>
                <w:rFonts w:hint="eastAsia" w:ascii="宋体"/>
                <w:szCs w:val="21"/>
                <w:highlight w:val="none"/>
              </w:rPr>
              <w:t>]</w:t>
            </w:r>
          </w:p>
        </w:tc>
      </w:tr>
    </w:tbl>
    <w:p>
      <w:pPr>
        <w:spacing w:line="600" w:lineRule="exact"/>
        <w:ind w:firstLine="640" w:firstLineChars="200"/>
        <w:rPr>
          <w:rFonts w:ascii="仿宋_GB2312" w:eastAsia="仿宋_GB2312"/>
          <w:sz w:val="32"/>
          <w:szCs w:val="32"/>
          <w:highlight w:val="none"/>
        </w:rPr>
      </w:pPr>
      <w:r>
        <w:rPr>
          <w:rFonts w:hint="eastAsia" w:ascii="仿宋_GB2312" w:eastAsia="仿宋_GB2312"/>
          <w:sz w:val="32"/>
          <w:szCs w:val="32"/>
          <w:highlight w:val="none"/>
        </w:rPr>
        <w:t>注：历史赔付率为上一事故年度已报告赔付率，事故年度已报告赔付率 = （事故年度已核赔款 + 事故年度未核赔款） / 事故年度已赚保费。</w:t>
      </w:r>
    </w:p>
    <w:p>
      <w:pPr>
        <w:spacing w:line="600" w:lineRule="exact"/>
        <w:ind w:firstLine="640" w:firstLineChars="200"/>
        <w:rPr>
          <w:rFonts w:ascii="仿宋_GB2312" w:eastAsia="仿宋_GB2312"/>
          <w:sz w:val="32"/>
          <w:szCs w:val="32"/>
          <w:highlight w:val="none"/>
        </w:rPr>
      </w:pPr>
    </w:p>
    <w:p>
      <w:pPr>
        <w:spacing w:line="600" w:lineRule="exact"/>
        <w:ind w:firstLine="640" w:firstLineChars="200"/>
        <w:rPr>
          <w:rFonts w:ascii="仿宋_GB2312" w:eastAsia="仿宋_GB2312"/>
          <w:sz w:val="32"/>
          <w:szCs w:val="32"/>
          <w:highlight w:val="none"/>
        </w:rPr>
      </w:pPr>
      <w:r>
        <w:rPr>
          <w:rFonts w:hint="eastAsia" w:ascii="仿宋_GB2312" w:eastAsia="仿宋_GB2312"/>
          <w:sz w:val="32"/>
          <w:szCs w:val="32"/>
          <w:highlight w:val="none"/>
        </w:rPr>
        <w:t xml:space="preserve">（十）续保优惠系数 </w:t>
      </w:r>
    </w:p>
    <w:tbl>
      <w:tblPr>
        <w:tblStyle w:val="35"/>
        <w:tblW w:w="82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40"/>
        <w:gridCol w:w="4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0"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b/>
                <w:szCs w:val="21"/>
                <w:highlight w:val="none"/>
              </w:rPr>
            </w:pPr>
            <w:r>
              <w:rPr>
                <w:rFonts w:hint="eastAsia" w:ascii="宋体"/>
                <w:b/>
                <w:szCs w:val="21"/>
                <w:highlight w:val="none"/>
              </w:rPr>
              <w:t>承保情况</w:t>
            </w:r>
          </w:p>
        </w:tc>
        <w:tc>
          <w:tcPr>
            <w:tcW w:w="4649"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0"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新保</w:t>
            </w:r>
          </w:p>
        </w:tc>
        <w:tc>
          <w:tcPr>
            <w:tcW w:w="4649"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1.2</w:t>
            </w:r>
            <w:r>
              <w:rPr>
                <w:rFonts w:hint="eastAsia" w:ascii="宋体"/>
                <w:szCs w:val="21"/>
                <w:highlight w:val="none"/>
              </w:rPr>
              <w:t>，</w:t>
            </w:r>
            <w:r>
              <w:rPr>
                <w:rFonts w:ascii="宋体"/>
                <w:szCs w:val="21"/>
                <w:highlight w:val="none"/>
              </w:rPr>
              <w:t>1.0</w:t>
            </w:r>
            <w:r>
              <w:rPr>
                <w:rFonts w:hint="eastAsia" w:ascii="宋体"/>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0"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续保</w:t>
            </w:r>
          </w:p>
        </w:tc>
        <w:tc>
          <w:tcPr>
            <w:tcW w:w="4649"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hint="eastAsia" w:ascii="宋体"/>
                <w:szCs w:val="21"/>
                <w:highlight w:val="none"/>
              </w:rPr>
              <w:t>1.0，</w:t>
            </w:r>
            <w:r>
              <w:rPr>
                <w:rFonts w:ascii="宋体"/>
                <w:szCs w:val="21"/>
                <w:highlight w:val="none"/>
              </w:rPr>
              <w:t>0.9</w:t>
            </w:r>
            <w:r>
              <w:rPr>
                <w:rFonts w:hint="eastAsia" w:ascii="宋体"/>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0"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szCs w:val="21"/>
                <w:highlight w:val="none"/>
              </w:rPr>
            </w:pPr>
            <w:r>
              <w:rPr>
                <w:rFonts w:hint="eastAsia" w:ascii="宋体"/>
                <w:szCs w:val="21"/>
                <w:highlight w:val="none"/>
              </w:rPr>
              <w:t>两次及以上续保</w:t>
            </w:r>
          </w:p>
        </w:tc>
        <w:tc>
          <w:tcPr>
            <w:tcW w:w="4649" w:type="dxa"/>
            <w:tcBorders>
              <w:top w:val="single" w:color="auto" w:sz="4" w:space="0"/>
              <w:left w:val="single" w:color="auto" w:sz="4" w:space="0"/>
              <w:bottom w:val="single" w:color="auto" w:sz="4" w:space="0"/>
              <w:right w:val="single" w:color="auto" w:sz="4" w:space="0"/>
            </w:tcBorders>
            <w:noWrap w:val="0"/>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0.9</w:t>
            </w:r>
            <w:r>
              <w:rPr>
                <w:rFonts w:hint="eastAsia" w:ascii="宋体"/>
                <w:szCs w:val="21"/>
                <w:highlight w:val="none"/>
              </w:rPr>
              <w:t>，</w:t>
            </w:r>
            <w:r>
              <w:rPr>
                <w:rFonts w:ascii="宋体"/>
                <w:szCs w:val="21"/>
                <w:highlight w:val="none"/>
              </w:rPr>
              <w:t>0.8</w:t>
            </w:r>
            <w:r>
              <w:rPr>
                <w:rFonts w:hint="eastAsia" w:ascii="宋体"/>
                <w:szCs w:val="21"/>
                <w:highlight w:val="none"/>
              </w:rPr>
              <w:t>]</w:t>
            </w:r>
          </w:p>
        </w:tc>
      </w:tr>
    </w:tbl>
    <w:p>
      <w:pPr>
        <w:snapToGrid w:val="0"/>
        <w:spacing w:line="600" w:lineRule="exact"/>
        <w:ind w:firstLine="640" w:firstLineChars="200"/>
        <w:rPr>
          <w:rFonts w:ascii="仿宋_GB2312" w:eastAsia="仿宋_GB2312"/>
          <w:bCs/>
          <w:sz w:val="32"/>
          <w:szCs w:val="32"/>
          <w:highlight w:val="none"/>
        </w:rPr>
      </w:pPr>
    </w:p>
    <w:p>
      <w:pPr>
        <w:snapToGrid w:val="0"/>
        <w:spacing w:line="600" w:lineRule="exact"/>
        <w:ind w:firstLine="640" w:firstLineChars="200"/>
        <w:rPr>
          <w:rFonts w:ascii="仿宋_GB2312" w:eastAsia="仿宋_GB2312" w:cs="仿宋_GB2312"/>
          <w:bCs/>
          <w:sz w:val="32"/>
          <w:szCs w:val="32"/>
          <w:highlight w:val="none"/>
        </w:rPr>
      </w:pPr>
      <w:r>
        <w:rPr>
          <w:rFonts w:hint="eastAsia" w:ascii="仿宋_GB2312" w:eastAsia="仿宋_GB2312"/>
          <w:bCs/>
          <w:sz w:val="32"/>
          <w:szCs w:val="32"/>
          <w:highlight w:val="none"/>
        </w:rPr>
        <w:t>（十一）业务渠道调整系数</w:t>
      </w:r>
    </w:p>
    <w:tbl>
      <w:tblPr>
        <w:tblStyle w:val="35"/>
        <w:tblW w:w="0" w:type="auto"/>
        <w:jc w:val="center"/>
        <w:tblBorders>
          <w:top w:val="single" w:color="000000" w:sz="8" w:space="0"/>
          <w:left w:val="single" w:color="000000" w:sz="8" w:space="0"/>
          <w:bottom w:val="single" w:color="auto" w:sz="4"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4771"/>
        <w:gridCol w:w="3423"/>
      </w:tblGrid>
      <w:tr>
        <w:tblPrEx>
          <w:tblBorders>
            <w:top w:val="single" w:color="000000" w:sz="8" w:space="0"/>
            <w:left w:val="single" w:color="000000" w:sz="8" w:space="0"/>
            <w:bottom w:val="single" w:color="auto" w:sz="4"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41" w:hRule="atLeast"/>
          <w:jc w:val="center"/>
        </w:trPr>
        <w:tc>
          <w:tcPr>
            <w:tcW w:w="4771" w:type="dxa"/>
            <w:noWrap w:val="0"/>
            <w:tcMar>
              <w:top w:w="0" w:type="dxa"/>
              <w:left w:w="108" w:type="dxa"/>
              <w:bottom w:w="0" w:type="dxa"/>
              <w:right w:w="108" w:type="dxa"/>
            </w:tcMar>
            <w:vAlign w:val="center"/>
          </w:tcPr>
          <w:p>
            <w:pPr>
              <w:autoSpaceDN w:val="0"/>
              <w:jc w:val="center"/>
              <w:textAlignment w:val="center"/>
              <w:rPr>
                <w:rFonts w:ascii="宋体"/>
                <w:b/>
                <w:szCs w:val="21"/>
                <w:highlight w:val="none"/>
              </w:rPr>
            </w:pPr>
            <w:r>
              <w:rPr>
                <w:rFonts w:hint="eastAsia" w:ascii="宋体"/>
                <w:b/>
                <w:szCs w:val="21"/>
                <w:highlight w:val="none"/>
              </w:rPr>
              <w:t>业务渠道</w:t>
            </w:r>
          </w:p>
        </w:tc>
        <w:tc>
          <w:tcPr>
            <w:tcW w:w="3423" w:type="dxa"/>
            <w:noWrap w:val="0"/>
            <w:tcMar>
              <w:top w:w="0" w:type="dxa"/>
              <w:left w:w="108" w:type="dxa"/>
              <w:bottom w:w="0" w:type="dxa"/>
              <w:right w:w="108" w:type="dxa"/>
            </w:tcMar>
            <w:vAlign w:val="center"/>
          </w:tcPr>
          <w:p>
            <w:pPr>
              <w:autoSpaceDN w:val="0"/>
              <w:jc w:val="center"/>
              <w:textAlignment w:val="center"/>
              <w:rPr>
                <w:rFonts w:ascii="宋体"/>
                <w:b/>
                <w:szCs w:val="21"/>
                <w:highlight w:val="none"/>
              </w:rPr>
            </w:pPr>
            <w:r>
              <w:rPr>
                <w:rFonts w:hint="eastAsia" w:ascii="宋体"/>
                <w:b/>
                <w:szCs w:val="21"/>
                <w:highlight w:val="none"/>
              </w:rPr>
              <w:t>调整系数</w:t>
            </w:r>
          </w:p>
        </w:tc>
      </w:tr>
      <w:tr>
        <w:tblPrEx>
          <w:tblBorders>
            <w:top w:val="single" w:color="000000" w:sz="8" w:space="0"/>
            <w:left w:val="single" w:color="000000" w:sz="8" w:space="0"/>
            <w:bottom w:val="single" w:color="auto" w:sz="4"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41" w:hRule="atLeast"/>
          <w:jc w:val="center"/>
        </w:trPr>
        <w:tc>
          <w:tcPr>
            <w:tcW w:w="4771" w:type="dxa"/>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szCs w:val="21"/>
                <w:highlight w:val="none"/>
              </w:rPr>
              <w:t>电销、网销、直销</w:t>
            </w:r>
          </w:p>
        </w:tc>
        <w:tc>
          <w:tcPr>
            <w:tcW w:w="3423" w:type="dxa"/>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0.7</w:t>
            </w:r>
            <w:r>
              <w:rPr>
                <w:rFonts w:hint="eastAsia" w:ascii="宋体"/>
                <w:szCs w:val="21"/>
                <w:highlight w:val="none"/>
              </w:rPr>
              <w:t>，1.0）</w:t>
            </w:r>
          </w:p>
        </w:tc>
      </w:tr>
      <w:tr>
        <w:tblPrEx>
          <w:tblBorders>
            <w:top w:val="single" w:color="000000" w:sz="8" w:space="0"/>
            <w:left w:val="single" w:color="000000" w:sz="8" w:space="0"/>
            <w:bottom w:val="single" w:color="auto" w:sz="4"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41" w:hRule="atLeast"/>
          <w:jc w:val="center"/>
        </w:trPr>
        <w:tc>
          <w:tcPr>
            <w:tcW w:w="4771" w:type="dxa"/>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szCs w:val="21"/>
                <w:highlight w:val="none"/>
              </w:rPr>
              <w:t>经纪人、代理人业务</w:t>
            </w:r>
          </w:p>
        </w:tc>
        <w:tc>
          <w:tcPr>
            <w:tcW w:w="3423" w:type="dxa"/>
            <w:noWrap w:val="0"/>
            <w:tcMar>
              <w:top w:w="0" w:type="dxa"/>
              <w:left w:w="108" w:type="dxa"/>
              <w:bottom w:w="0" w:type="dxa"/>
              <w:right w:w="108" w:type="dxa"/>
            </w:tcMar>
            <w:vAlign w:val="center"/>
          </w:tcPr>
          <w:p>
            <w:pPr>
              <w:autoSpaceDN w:val="0"/>
              <w:jc w:val="center"/>
              <w:textAlignment w:val="center"/>
              <w:rPr>
                <w:rFonts w:ascii="宋体"/>
                <w:szCs w:val="21"/>
                <w:highlight w:val="none"/>
              </w:rPr>
            </w:pPr>
            <w:r>
              <w:rPr>
                <w:rFonts w:hint="eastAsia" w:ascii="宋体"/>
                <w:bCs/>
                <w:szCs w:val="21"/>
                <w:highlight w:val="none"/>
                <w:lang w:val="zh-TW"/>
              </w:rPr>
              <w:t>[</w:t>
            </w:r>
            <w:r>
              <w:rPr>
                <w:rFonts w:ascii="宋体"/>
                <w:szCs w:val="21"/>
                <w:highlight w:val="none"/>
              </w:rPr>
              <w:t>1.0</w:t>
            </w:r>
            <w:r>
              <w:rPr>
                <w:rFonts w:hint="eastAsia" w:ascii="宋体"/>
                <w:szCs w:val="21"/>
                <w:highlight w:val="none"/>
              </w:rPr>
              <w:t>，</w:t>
            </w:r>
            <w:r>
              <w:rPr>
                <w:rFonts w:ascii="宋体"/>
                <w:szCs w:val="21"/>
                <w:highlight w:val="none"/>
              </w:rPr>
              <w:t>1.5</w:t>
            </w:r>
            <w:r>
              <w:rPr>
                <w:rFonts w:hint="eastAsia" w:ascii="宋体"/>
                <w:szCs w:val="21"/>
                <w:highlight w:val="none"/>
              </w:rPr>
              <w:t>]</w:t>
            </w:r>
          </w:p>
        </w:tc>
      </w:tr>
    </w:tbl>
    <w:p>
      <w:pPr>
        <w:spacing w:line="600" w:lineRule="exact"/>
        <w:rPr>
          <w:rFonts w:ascii="仿宋_GB2312" w:eastAsia="仿宋_GB2312"/>
          <w:sz w:val="32"/>
          <w:szCs w:val="32"/>
          <w:highlight w:val="none"/>
        </w:rPr>
      </w:pPr>
    </w:p>
    <w:p>
      <w:pPr>
        <w:snapToGrid w:val="0"/>
        <w:spacing w:line="600" w:lineRule="exact"/>
        <w:ind w:left="643"/>
        <w:rPr>
          <w:rFonts w:ascii="仿宋_GB2312" w:eastAsia="仿宋_GB2312"/>
          <w:b/>
          <w:bCs/>
          <w:sz w:val="32"/>
          <w:szCs w:val="32"/>
          <w:highlight w:val="none"/>
        </w:rPr>
      </w:pPr>
      <w:r>
        <w:rPr>
          <w:rFonts w:hint="eastAsia" w:ascii="仿宋_GB2312" w:eastAsia="仿宋_GB2312"/>
          <w:b/>
          <w:bCs/>
          <w:sz w:val="32"/>
          <w:szCs w:val="32"/>
          <w:highlight w:val="none"/>
        </w:rPr>
        <w:t>三、保险费计算公式</w:t>
      </w:r>
    </w:p>
    <w:p>
      <w:pPr>
        <w:snapToGrid w:val="0"/>
        <w:spacing w:line="600" w:lineRule="exact"/>
        <w:ind w:firstLine="640" w:firstLineChars="200"/>
        <w:rPr>
          <w:rFonts w:ascii="仿宋_GB2312" w:eastAsia="仿宋_GB2312"/>
          <w:sz w:val="32"/>
          <w:szCs w:val="32"/>
          <w:highlight w:val="none"/>
        </w:rPr>
      </w:pPr>
      <w:r>
        <w:rPr>
          <w:rFonts w:hint="eastAsia" w:ascii="仿宋_GB2312" w:eastAsia="仿宋_GB2312"/>
          <w:bCs/>
          <w:sz w:val="32"/>
          <w:szCs w:val="32"/>
          <w:highlight w:val="none"/>
        </w:rPr>
        <w:t>保险费=保险金额（元</w:t>
      </w:r>
      <w:r>
        <w:rPr>
          <w:rFonts w:ascii="仿宋_GB2312" w:eastAsia="仿宋_GB2312"/>
          <w:bCs/>
          <w:sz w:val="32"/>
          <w:szCs w:val="32"/>
          <w:highlight w:val="none"/>
        </w:rPr>
        <w:t>）</w:t>
      </w:r>
      <w:r>
        <w:rPr>
          <w:rFonts w:hint="eastAsia" w:ascii="仿宋_GB2312" w:eastAsia="仿宋_GB2312"/>
          <w:bCs/>
          <w:sz w:val="32"/>
          <w:szCs w:val="32"/>
          <w:highlight w:val="none"/>
        </w:rPr>
        <w:t>×年基准费率×费率调整系数</w:t>
      </w:r>
    </w:p>
    <w:p>
      <w:pPr>
        <w:spacing w:line="500" w:lineRule="exact"/>
        <w:rPr>
          <w:rFonts w:hint="eastAsia"/>
          <w:highlight w:val="none"/>
        </w:rPr>
      </w:pPr>
    </w:p>
    <w:sectPr>
      <w:footerReference r:id="rId9" w:type="even"/>
      <w:pgSz w:w="11906" w:h="16838"/>
      <w:pgMar w:top="1701" w:right="1701" w:bottom="1701" w:left="1701"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楷体_GB2312">
    <w:altName w:val="楷体"/>
    <w:panose1 w:val="02010609030101010101"/>
    <w:charset w:val="86"/>
    <w:family w:val="modern"/>
    <w:pitch w:val="default"/>
    <w:sig w:usb0="00000001" w:usb1="080E0000" w:usb2="0000001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E0002EFF" w:usb1="C000785B" w:usb2="00000009" w:usb3="00000000" w:csb0="000001FF" w:csb1="00000000"/>
  </w:font>
  <w:font w:name="创艺简标宋">
    <w:altName w:val="宋体"/>
    <w:panose1 w:val="00000000000000000000"/>
    <w:charset w:val="86"/>
    <w:family w:val="auto"/>
    <w:pitch w:val="default"/>
    <w:sig w:usb0="00000001" w:usb1="080E0000" w:usb2="00000010" w:usb3="00000000" w:csb0="00040000" w:csb1="00000000"/>
  </w:font>
  <w:font w:name="MS Gothic">
    <w:panose1 w:val="020B0609070205080204"/>
    <w:charset w:val="80"/>
    <w:family w:val="modern"/>
    <w:pitch w:val="default"/>
    <w:sig w:usb0="E00002FF" w:usb1="6AC7FDFB" w:usb2="08000012" w:usb3="00000000" w:csb0="4002009F" w:csb1="DFD7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FFFFFFFF" w:usb1="E9FFFFFF" w:usb2="0000003F" w:usb3="00000000" w:csb0="603F01FF" w:csb1="FFFF0000"/>
  </w:font>
  <w:font w:name="PMingLiU">
    <w:altName w:val="Microsoft JhengHei"/>
    <w:panose1 w:val="02020500000000000000"/>
    <w:charset w:val="88"/>
    <w:family w:val="auto"/>
    <w:pitch w:val="default"/>
    <w:sig w:usb0="A00002FF" w:usb1="28CFFCFA" w:usb2="00000016" w:usb3="00000000" w:csb0="00100001" w:csb1="00000000"/>
  </w:font>
  <w:font w:name="楷体">
    <w:panose1 w:val="02010609060101010101"/>
    <w:charset w:val="86"/>
    <w:family w:val="auto"/>
    <w:pitch w:val="default"/>
    <w:sig w:usb0="800002BF" w:usb1="38CF7CFA" w:usb2="00000016" w:usb3="00000000" w:csb0="00040001" w:csb1="00000000"/>
  </w:font>
  <w:font w:name="Microsoft JhengHei">
    <w:panose1 w:val="020B0604030504040204"/>
    <w:charset w:val="88"/>
    <w:family w:val="auto"/>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720" w:firstLine="210" w:firstLineChars="100"/>
      <w:jc w:val="center"/>
      <w:rPr>
        <w:rFonts w:hint="eastAsia"/>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39"/>
      </w:rPr>
    </w:pPr>
    <w:r>
      <w:fldChar w:fldCharType="begin"/>
    </w:r>
    <w:r>
      <w:rPr>
        <w:rStyle w:val="39"/>
      </w:rPr>
      <w:instrText xml:space="preserve">PAGE  </w:instrText>
    </w:r>
    <w:r>
      <w:fldChar w:fldCharType="separate"/>
    </w:r>
    <w:r>
      <w:fldChar w:fldCharType="end"/>
    </w:r>
  </w:p>
  <w:p>
    <w:pPr>
      <w:pStyle w:val="1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center"/>
      <w:rPr>
        <w:rFonts w:hint="eastAsia"/>
      </w:rPr>
    </w:pPr>
    <w:r>
      <w:rPr>
        <w:rFonts w:hint="eastAsia"/>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hint="eastAsia"/>
        <w:szCs w:val="21"/>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4"/>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ENkS8/pAQAAzAMAAA4AAABkcnMvZTJvRG9jLnhtbK1TwY7TMBC9 I/EPlu80aaWFKGq6WqgWISFAWvgA17EbS7bHst0m5QPgDzhx4c539Tt27CRdtFz2sJdk7Jl5M+/N eH09GE2OwgcFtqHLRUmJsBxaZfcN/fb19lVFSYjMtkyDFQ09iUCvNy9frHtXixV0oFvhCYLYUPeu oV2Mri6KwDthWFiAExadErxhEY9+X7Se9YhudLEqy9dFD751HrgIAW+3o5NOiP4pgCCl4mIL/GCE jSOqF5pFpBQ65QLd5G6lFDx+ljKISHRDkWnMXyyC9i59i82a1XvPXKf41AJ7SguPOBmmLBa9QG1Z ZOTg1X9QRnEPAWRccDDFSCQrgiyW5SNt7jrmROaCUgd3ET08Hyz/dPziiWpxE3Dulhmc+PnXz/Pv v+c/P8iyXFVJot6FGiPvHMbG4S0MGD7fB7xMzAfpTfojJ4J+FPh0EVgMkfCUVK2qqkQXR998QPzi Id35EN8LMCQZDfU4wSwsO34McQydQ1I1C7dK6zxFbUmPqFfVm6uccXEhurZYJLEYu01WHHbDRG0H 7QmZ4aPAih3475T0uBINtfgCKNEfLCqetmc2/GzsZoNZjokNjZSM5rs4btnBebXv8t6lfoO7OUTs OVNJbYy1p+5wyFmMaSHTFv17zlEPj3BzD1BLAwQKAAAAAACHTuJAAAAAAAAAAAAAAAAABgAAAF9y ZWxzL1BLAwQUAAAACACHTuJAihRmPNEAAACUAQAACwAAAF9yZWxzLy5yZWxzpZDBasMwDIbvg72D 0X1xmsMYo04vo9Br6R7A2IpjGltGMtn69vMOg2X0tqN+oe8T//7wmRa1IkukbGDX9aAwO/IxBwPv l+PTCyipNnu7UEYDNxQ4jI8P+zMutrYjmWMR1ShZDMy1lletxc2YrHRUMLfNRJxsbSMHXay72oB6 6Ptnzb8ZMG6Y6uQN8MkPoC630sx/2Ck6JqGpdo6SpmmK7h5VB7Zlju7INuEbuUazHLAa8CwaB2pZ 134EfV+/+6fe00c+47rVfoeM649Xb7ocvwBQSwMEFAAAAAgAh07iQH7m5SD3AAAA4QEAABMAAABb Q29udGVudF9UeXBlc10ueG1slZFBTsMwEEX3SNzB8hYlTrtACCXpgrRLQKgcYGRPEotkbHlMaG+P k7YbRJFY2jP/vye73BzGQUwY2Dqq5CovpEDSzljqKvm+32UPUnAEMjA4wkoekeWmvr0p90ePLFKa uJJ9jP5RKdY9jsC580hp0rowQkzH0CkP+gM6VOuiuFfaUUSKWZw7ZF022MLnEMX2kK5PJgEHluLp tDizKgneD1ZDTKZqIvODkp0JeUouO9xbz3dJQ6pfCfPkOuCce0lPE6xB8QohPsOYNJQJrIz7ooBT /nfJbDly5trWasybwE2KveF0sbrWjmvXOP3f8u2SunSr5YPqb1BLAQIUABQAAAAIAIdO4kB+5uUg 9wAAAOEBAAATAAAAAAAAAAEAIAAAAFUEAABbQ29udGVudF9UeXBlc10ueG1sUEsBAhQACgAAAAAA h07iQAAAAAAAAAAAAAAAAAYAAAAAAAAAAAAQAAAANwMAAF9yZWxzL1BLAQIUABQAAAAIAIdO4kCK FGY80QAAAJQBAAALAAAAAAAAAAEAIAAAAFsDAABfcmVscy8ucmVsc1BLAQIUAAoAAAAAAIdO4kAA AAAAAAAAAAAAAAAEAAAAAAAAAAAAEAAAAAAAAABkcnMvUEsBAhQAFAAAAAgAh07iQGhpgkvTAAAA BQEAAA8AAAAAAAAAAQAgAAAAIgAAAGRycy9kb3ducmV2LnhtbFBLAQIUABQAAAAIAIdO4kBDZEvP 6QEAAMwDAAAOAAAAAAAAAAEAIAAAACIBAABkcnMvZTJvRG9jLnhtbFBLBQYAAAAABgAGAFkBAAB9 BQAAAAA= ">
              <v:fill on="f" focussize="0,0"/>
              <v:stroke on="f" weight="1.25pt"/>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ind w:firstLine="180"/>
      <w:jc w:val="left"/>
      <w:rPr>
        <w:rFonts w:hint="eastAsia" w:eastAsia="仿宋_GB2312"/>
        <w:sz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4"/>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CIGHRLpAQAAzAMAAA4AAABkcnMvZTJvRG9jLnhtbK1TzY7TMBC+ I/EOlu80aaWFbNR0BVSLkBAgLTyA69iNJf9p7DYpDwBvwIkLd56rz7FjJ+mi5bIHLsnYM/PNfN+M 1zeD0eQoIChnG7pclJQIy12r7L6hX7/cvqgoCZHZlmlnRUNPItCbzfNn697XYuU6p1sBBEFsqHvf 0C5GXxdF4J0wLCycFxad0oFhEY+wL1pgPaIbXazK8mXRO2g9OC5CwNvt6KQTIjwF0EmpuNg6fjDC xhEVhGYRKYVO+UA3uVspBY+fpAwiEt1QZBrzF4ugvUvfYrNm9R6Y7xSfWmBPaeERJ8OUxaIXqC2L jBxA/QNlFAcXnIwL7kwxEsmKIItl+Uibu455kbmg1MFfRA//D5Z/PH4GolrchGtKLDM48fPPH+df f86/v5NlubpOEvU+1Bh55zE2Dm/cgOHzfcDLxHyQYNIfORH0o8Cni8BiiISnpGpVVSW6OPrmA+IX D+keQnwnnCHJaCjgBLOw7PghxDF0DknVrLtVWucpakt6RL2qXl3ljIsL0bXFIonF2G2y4rAbJmo7 156QGT4KrNg5+EZJjyvRUIsvgBL93qLiaXtmA2ZjNxvMckxsaKRkNN/GccsOHtS+y3uX+g3+9SFi z5lKamOsPXWHQ85iTAuZtujvc456eISbe1BLAwQKAAAAAACHTuJAAAAAAAAAAAAAAAAABgAAAF9y ZWxzL1BLAwQUAAAACACHTuJAihRmPNEAAACUAQAACwAAAF9yZWxzLy5yZWxzpZDBasMwDIbvg72D 0X1xmsMYo04vo9Br6R7A2IpjGltGMtn69vMOg2X0tqN+oe8T//7wmRa1IkukbGDX9aAwO/IxBwPv l+PTCyipNnu7UEYDNxQ4jI8P+zMutrYjmWMR1ShZDMy1lletxc2YrHRUMLfNRJxsbSMHXay72oB6 6Ptnzb8ZMG6Y6uQN8MkPoC630sx/2Ck6JqGpdo6SpmmK7h5VB7Zlju7INuEbuUazHLAa8CwaB2pZ 134EfV+/+6fe00c+47rVfoeM649Xb7ocvwBQSwMEFAAAAAgAh07iQH7m5SD3AAAA4QEAABMAAABb Q29udGVudF9UeXBlc10ueG1slZFBTsMwEEX3SNzB8hYlTrtACCXpgrRLQKgcYGRPEotkbHlMaG+P k7YbRJFY2jP/vye73BzGQUwY2Dqq5CovpEDSzljqKvm+32UPUnAEMjA4wkoekeWmvr0p90ePLFKa uJJ9jP5RKdY9jsC580hp0rowQkzH0CkP+gM6VOuiuFfaUUSKWZw7ZF022MLnEMX2kK5PJgEHluLp tDizKgneD1ZDTKZqIvODkp0JeUouO9xbz3dJQ6pfCfPkOuCce0lPE6xB8QohPsOYNJQJrIz7ooBT /nfJbDly5trWasybwE2KveF0sbrWjmvXOP3f8u2SunSr5YPqb1BLAQIUABQAAAAIAIdO4kB+5uUg 9wAAAOEBAAATAAAAAAAAAAEAIAAAAFUEAABbQ29udGVudF9UeXBlc10ueG1sUEsBAhQACgAAAAAA h07iQAAAAAAAAAAAAAAAAAYAAAAAAAAAAAAQAAAANwMAAF9yZWxzL1BLAQIUABQAAAAIAIdO4kCK FGY80QAAAJQBAAALAAAAAAAAAAEAIAAAAFsDAABfcmVscy8ucmVsc1BLAQIUAAoAAAAAAIdO4kAA AAAAAAAAAAAAAAAEAAAAAAAAAAAAEAAAAAAAAABkcnMvUEsBAhQAFAAAAAgAh07iQGhpgkvTAAAA BQEAAA8AAAAAAAAAAQAgAAAAIgAAAGRycy9kb3ducmV2LnhtbFBLAQIUABQAAAAIAIdO4kAiBh0S 6QEAAMwDAAAOAAAAAAAAAAEAIAAAACIBAABkcnMvZTJvRG9jLnhtbFBLBQYAAAAABgAGAFkBAAB9 BQAAAAA= ">
              <v:fill on="f" focussize="0,0"/>
              <v:stroke on="f" weight="1.25pt"/>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72</w:t>
                    </w:r>
                    <w:r>
                      <w:fldChar w:fldCharType="end"/>
                    </w:r>
                    <w:r>
                      <w:t xml:space="preserve"> 页</w:t>
                    </w:r>
                  </w:p>
                </w:txbxContent>
              </v:textbox>
            </v:shape>
          </w:pict>
        </mc:Fallback>
      </mc:AlternateContent>
    </w:r>
    <w:r>
      <w:rPr>
        <w:rFonts w:hint="eastAsia" w:eastAsia="仿宋_GB2312"/>
        <w:sz w:val="18"/>
        <w:u w:val="single"/>
      </w:rPr>
      <w:t xml:space="preserve">                                                                                                 </w:t>
    </w:r>
    <w:r>
      <w:rPr>
        <w:rFonts w:hint="eastAsia" w:eastAsia="仿宋_GB2312"/>
        <w:sz w:val="18"/>
      </w:rPr>
      <w:t xml:space="preserve">                 </w:t>
    </w:r>
  </w:p>
  <w:p>
    <w:pPr>
      <w:pStyle w:val="14"/>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39"/>
      </w:rPr>
    </w:pPr>
    <w:r>
      <w:fldChar w:fldCharType="begin"/>
    </w:r>
    <w:r>
      <w:rPr>
        <w:rStyle w:val="39"/>
      </w:rPr>
      <w:instrText xml:space="preserve">PAGE  </w:instrText>
    </w:r>
    <w:r>
      <w:fldChar w:fldCharType="separate"/>
    </w:r>
    <w:r>
      <w:fldChar w:fldCharType="end"/>
    </w:r>
  </w:p>
  <w:p>
    <w:pPr>
      <w:pStyle w:val="1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1"/>
      <w:spacing w:line="760" w:lineRule="exact"/>
      <w:jc w:val="both"/>
      <w:rPr>
        <w:rFonts w:hint="eastAsia" w:ascii="宋体" w:eastAsia="宋体"/>
        <w:sz w:val="16"/>
        <w:szCs w:val="16"/>
        <w:u w:val="single"/>
      </w:rPr>
    </w:pP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softHyphen/>
    </w:r>
    <w:r>
      <w:rPr>
        <w:rFonts w:hint="eastAsia" w:ascii="宋体" w:eastAsia="宋体"/>
        <w:sz w:val="16"/>
        <w:szCs w:val="16"/>
        <w:u w:val="single"/>
      </w:rPr>
      <w:t xml:space="preserve">                              </w:t>
    </w:r>
    <w:r>
      <w:rPr>
        <w:rFonts w:hint="eastAsia" w:ascii="宋体" w:eastAsia="宋体"/>
        <w:sz w:val="16"/>
        <w:szCs w:val="16"/>
        <w:u w:val="single"/>
        <w:lang w:eastAsia="zh-CN"/>
      </w:rPr>
      <w:t>干窑镇采购“警立方”项目</w:t>
    </w:r>
    <w:r>
      <w:rPr>
        <w:rFonts w:hint="eastAsia" w:ascii="宋体" w:eastAsia="宋体"/>
        <w:sz w:val="16"/>
        <w:szCs w:val="16"/>
        <w:u w:val="single"/>
      </w:rPr>
      <w:t xml:space="preserve">采购文件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9ECA7D"/>
    <w:multiLevelType w:val="singleLevel"/>
    <w:tmpl w:val="D09ECA7D"/>
    <w:lvl w:ilvl="0" w:tentative="0">
      <w:start w:val="2"/>
      <w:numFmt w:val="decimal"/>
      <w:suff w:val="nothing"/>
      <w:lvlText w:val="%1、"/>
      <w:lvlJc w:val="left"/>
    </w:lvl>
  </w:abstractNum>
  <w:abstractNum w:abstractNumId="1">
    <w:nsid w:val="00000012"/>
    <w:multiLevelType w:val="singleLevel"/>
    <w:tmpl w:val="00000012"/>
    <w:lvl w:ilvl="0" w:tentative="0">
      <w:start w:val="1"/>
      <w:numFmt w:val="decimal"/>
      <w:pStyle w:val="17"/>
      <w:lvlText w:val="%1."/>
      <w:lvlJc w:val="left"/>
      <w:pPr>
        <w:tabs>
          <w:tab w:val="left" w:pos="1058"/>
        </w:tabs>
        <w:ind w:left="1058" w:hanging="360"/>
      </w:pPr>
    </w:lvl>
  </w:abstractNum>
  <w:abstractNum w:abstractNumId="2">
    <w:nsid w:val="019F6BBF"/>
    <w:multiLevelType w:val="multilevel"/>
    <w:tmpl w:val="019F6BBF"/>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2371543"/>
    <w:multiLevelType w:val="multilevel"/>
    <w:tmpl w:val="02371543"/>
    <w:lvl w:ilvl="0" w:tentative="0">
      <w:start w:val="1"/>
      <w:numFmt w:val="japaneseCounting"/>
      <w:lvlText w:val="第%1条"/>
      <w:lvlJc w:val="left"/>
      <w:pPr>
        <w:ind w:left="2439" w:hanging="1305"/>
      </w:pPr>
      <w:rPr>
        <w:rFonts w:hint="eastAsia" w:ascii="仿宋_GB2312" w:eastAsia="仿宋_GB2312"/>
        <w:b/>
        <w:sz w:val="32"/>
        <w:szCs w:val="32"/>
        <w:lang w:val="en-US"/>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05287802"/>
    <w:multiLevelType w:val="multilevel"/>
    <w:tmpl w:val="05287802"/>
    <w:lvl w:ilvl="0" w:tentative="0">
      <w:start w:val="1"/>
      <w:numFmt w:val="decimal"/>
      <w:lvlText w:val="%1."/>
      <w:lvlJc w:val="right"/>
      <w:pPr>
        <w:ind w:left="660" w:hanging="420"/>
      </w:pPr>
      <w:rPr>
        <w:rFonts w:hint="eastAsia"/>
      </w:rPr>
    </w:lvl>
    <w:lvl w:ilvl="1" w:tentative="0">
      <w:start w:val="1"/>
      <w:numFmt w:val="lowerLetter"/>
      <w:lvlText w:val="%2)"/>
      <w:lvlJc w:val="left"/>
      <w:pPr>
        <w:ind w:left="1080" w:hanging="420"/>
      </w:pPr>
      <w:rPr>
        <w:rFonts w:hint="eastAsia"/>
      </w:rPr>
    </w:lvl>
    <w:lvl w:ilvl="2" w:tentative="0">
      <w:start w:val="1"/>
      <w:numFmt w:val="lowerRoman"/>
      <w:lvlText w:val="%3."/>
      <w:lvlJc w:val="right"/>
      <w:pPr>
        <w:ind w:left="1500" w:hanging="420"/>
      </w:pPr>
      <w:rPr>
        <w:rFonts w:hint="eastAsia"/>
      </w:rPr>
    </w:lvl>
    <w:lvl w:ilvl="3" w:tentative="0">
      <w:start w:val="1"/>
      <w:numFmt w:val="decimal"/>
      <w:lvlText w:val="%4."/>
      <w:lvlJc w:val="left"/>
      <w:pPr>
        <w:ind w:left="1920" w:hanging="420"/>
      </w:pPr>
      <w:rPr>
        <w:rFonts w:hint="eastAsia"/>
      </w:rPr>
    </w:lvl>
    <w:lvl w:ilvl="4" w:tentative="0">
      <w:start w:val="1"/>
      <w:numFmt w:val="lowerLetter"/>
      <w:lvlText w:val="%5)"/>
      <w:lvlJc w:val="left"/>
      <w:pPr>
        <w:ind w:left="2340" w:hanging="420"/>
      </w:pPr>
      <w:rPr>
        <w:rFonts w:hint="eastAsia"/>
      </w:rPr>
    </w:lvl>
    <w:lvl w:ilvl="5" w:tentative="0">
      <w:start w:val="1"/>
      <w:numFmt w:val="lowerRoman"/>
      <w:lvlText w:val="%6."/>
      <w:lvlJc w:val="right"/>
      <w:pPr>
        <w:ind w:left="2760" w:hanging="420"/>
      </w:pPr>
      <w:rPr>
        <w:rFonts w:hint="eastAsia"/>
      </w:rPr>
    </w:lvl>
    <w:lvl w:ilvl="6" w:tentative="0">
      <w:start w:val="1"/>
      <w:numFmt w:val="decimal"/>
      <w:lvlText w:val="%7."/>
      <w:lvlJc w:val="left"/>
      <w:pPr>
        <w:ind w:left="3180" w:hanging="420"/>
      </w:pPr>
      <w:rPr>
        <w:rFonts w:hint="eastAsia"/>
      </w:rPr>
    </w:lvl>
    <w:lvl w:ilvl="7" w:tentative="0">
      <w:start w:val="1"/>
      <w:numFmt w:val="lowerLetter"/>
      <w:lvlText w:val="%8)"/>
      <w:lvlJc w:val="left"/>
      <w:pPr>
        <w:ind w:left="3600" w:hanging="420"/>
      </w:pPr>
      <w:rPr>
        <w:rFonts w:hint="eastAsia"/>
      </w:rPr>
    </w:lvl>
    <w:lvl w:ilvl="8" w:tentative="0">
      <w:start w:val="1"/>
      <w:numFmt w:val="lowerRoman"/>
      <w:lvlText w:val="%9."/>
      <w:lvlJc w:val="right"/>
      <w:pPr>
        <w:ind w:left="4020" w:hanging="420"/>
      </w:pPr>
      <w:rPr>
        <w:rFonts w:hint="eastAsia"/>
      </w:rPr>
    </w:lvl>
  </w:abstractNum>
  <w:abstractNum w:abstractNumId="5">
    <w:nsid w:val="0560643A"/>
    <w:multiLevelType w:val="multilevel"/>
    <w:tmpl w:val="0560643A"/>
    <w:lvl w:ilvl="0" w:tentative="0">
      <w:start w:val="1"/>
      <w:numFmt w:val="decimal"/>
      <w:lvlText w:val="%1."/>
      <w:lvlJc w:val="right"/>
      <w:pPr>
        <w:ind w:left="660" w:hanging="420"/>
      </w:pPr>
      <w:rPr>
        <w:rFonts w:hint="eastAsia"/>
      </w:rPr>
    </w:lvl>
    <w:lvl w:ilvl="1" w:tentative="0">
      <w:start w:val="1"/>
      <w:numFmt w:val="lowerLetter"/>
      <w:lvlText w:val="%2)"/>
      <w:lvlJc w:val="left"/>
      <w:pPr>
        <w:ind w:left="1080" w:hanging="420"/>
      </w:pPr>
    </w:lvl>
    <w:lvl w:ilvl="2" w:tentative="0">
      <w:start w:val="1"/>
      <w:numFmt w:val="lowerRoman"/>
      <w:lvlText w:val="%3."/>
      <w:lvlJc w:val="right"/>
      <w:pPr>
        <w:ind w:left="1500" w:hanging="420"/>
      </w:pPr>
    </w:lvl>
    <w:lvl w:ilvl="3" w:tentative="0">
      <w:start w:val="1"/>
      <w:numFmt w:val="decimal"/>
      <w:lvlText w:val="%4."/>
      <w:lvlJc w:val="left"/>
      <w:pPr>
        <w:ind w:left="1920" w:hanging="420"/>
      </w:pPr>
    </w:lvl>
    <w:lvl w:ilvl="4" w:tentative="0">
      <w:start w:val="1"/>
      <w:numFmt w:val="lowerLetter"/>
      <w:lvlText w:val="%5)"/>
      <w:lvlJc w:val="left"/>
      <w:pPr>
        <w:ind w:left="2340" w:hanging="420"/>
      </w:pPr>
    </w:lvl>
    <w:lvl w:ilvl="5" w:tentative="0">
      <w:start w:val="1"/>
      <w:numFmt w:val="lowerRoman"/>
      <w:lvlText w:val="%6."/>
      <w:lvlJc w:val="right"/>
      <w:pPr>
        <w:ind w:left="2760" w:hanging="420"/>
      </w:pPr>
    </w:lvl>
    <w:lvl w:ilvl="6" w:tentative="0">
      <w:start w:val="1"/>
      <w:numFmt w:val="decimal"/>
      <w:lvlText w:val="%7."/>
      <w:lvlJc w:val="left"/>
      <w:pPr>
        <w:ind w:left="3180" w:hanging="420"/>
      </w:pPr>
    </w:lvl>
    <w:lvl w:ilvl="7" w:tentative="0">
      <w:start w:val="1"/>
      <w:numFmt w:val="lowerLetter"/>
      <w:lvlText w:val="%8)"/>
      <w:lvlJc w:val="left"/>
      <w:pPr>
        <w:ind w:left="3600" w:hanging="420"/>
      </w:pPr>
    </w:lvl>
    <w:lvl w:ilvl="8" w:tentative="0">
      <w:start w:val="1"/>
      <w:numFmt w:val="lowerRoman"/>
      <w:lvlText w:val="%9."/>
      <w:lvlJc w:val="right"/>
      <w:pPr>
        <w:ind w:left="4020" w:hanging="420"/>
      </w:pPr>
    </w:lvl>
  </w:abstractNum>
  <w:abstractNum w:abstractNumId="6">
    <w:nsid w:val="0610429E"/>
    <w:multiLevelType w:val="multilevel"/>
    <w:tmpl w:val="0610429E"/>
    <w:lvl w:ilvl="0" w:tentative="0">
      <w:start w:val="1"/>
      <w:numFmt w:val="decimal"/>
      <w:lvlText w:val="%1."/>
      <w:lvlJc w:val="left"/>
      <w:pPr>
        <w:ind w:left="1122" w:hanging="420"/>
      </w:pPr>
    </w:lvl>
    <w:lvl w:ilvl="1" w:tentative="0">
      <w:start w:val="1"/>
      <w:numFmt w:val="decimal"/>
      <w:lvlText w:val="%2."/>
      <w:lvlJc w:val="left"/>
      <w:pPr>
        <w:ind w:left="1542" w:hanging="42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7">
    <w:nsid w:val="07C677C5"/>
    <w:multiLevelType w:val="multilevel"/>
    <w:tmpl w:val="07C677C5"/>
    <w:lvl w:ilvl="0" w:tentative="0">
      <w:start w:val="1"/>
      <w:numFmt w:val="decimal"/>
      <w:lvlText w:val="%1."/>
      <w:lvlJc w:val="left"/>
      <w:pPr>
        <w:ind w:left="988"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8">
    <w:nsid w:val="0B671C2E"/>
    <w:multiLevelType w:val="multilevel"/>
    <w:tmpl w:val="0B671C2E"/>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
    <w:nsid w:val="0B9B656A"/>
    <w:multiLevelType w:val="multilevel"/>
    <w:tmpl w:val="0B9B656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168A7140"/>
    <w:multiLevelType w:val="multilevel"/>
    <w:tmpl w:val="168A7140"/>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1">
    <w:nsid w:val="17926F77"/>
    <w:multiLevelType w:val="multilevel"/>
    <w:tmpl w:val="17926F77"/>
    <w:lvl w:ilvl="0" w:tentative="0">
      <w:start w:val="1"/>
      <w:numFmt w:val="decimal"/>
      <w:lvlText w:val="%1、"/>
      <w:lvlJc w:val="left"/>
      <w:pPr>
        <w:ind w:left="988" w:hanging="420"/>
      </w:pPr>
      <w:rPr>
        <w:rFonts w:hint="eastAsia"/>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abstractNum w:abstractNumId="12">
    <w:nsid w:val="18884EAC"/>
    <w:multiLevelType w:val="multilevel"/>
    <w:tmpl w:val="18884EAC"/>
    <w:lvl w:ilvl="0" w:tentative="0">
      <w:start w:val="1"/>
      <w:numFmt w:val="decimal"/>
      <w:lvlText w:val="%1."/>
      <w:lvlJc w:val="left"/>
      <w:pPr>
        <w:ind w:left="420" w:hanging="420"/>
      </w:pPr>
      <w:rPr>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1B6B0A5F"/>
    <w:multiLevelType w:val="multilevel"/>
    <w:tmpl w:val="1B6B0A5F"/>
    <w:lvl w:ilvl="0" w:tentative="0">
      <w:start w:val="1"/>
      <w:numFmt w:val="decimal"/>
      <w:lvlText w:val="%1."/>
      <w:lvlJc w:val="left"/>
      <w:pPr>
        <w:ind w:left="2940" w:hanging="420"/>
      </w:pPr>
      <w:rPr>
        <w:rFonts w:ascii="宋体" w:hAnsi="宋体" w:eastAsia="宋体"/>
        <w:b w:val="0"/>
        <w:sz w:val="24"/>
        <w:szCs w:val="24"/>
      </w:rPr>
    </w:lvl>
    <w:lvl w:ilvl="1" w:tentative="0">
      <w:start w:val="1"/>
      <w:numFmt w:val="lowerLetter"/>
      <w:lvlText w:val="%2)"/>
      <w:lvlJc w:val="left"/>
      <w:pPr>
        <w:ind w:left="3360" w:hanging="420"/>
      </w:pPr>
    </w:lvl>
    <w:lvl w:ilvl="2" w:tentative="0">
      <w:start w:val="1"/>
      <w:numFmt w:val="lowerRoman"/>
      <w:lvlText w:val="%3."/>
      <w:lvlJc w:val="right"/>
      <w:pPr>
        <w:ind w:left="3780" w:hanging="420"/>
      </w:pPr>
    </w:lvl>
    <w:lvl w:ilvl="3" w:tentative="0">
      <w:start w:val="1"/>
      <w:numFmt w:val="decimal"/>
      <w:lvlText w:val="%4."/>
      <w:lvlJc w:val="left"/>
      <w:pPr>
        <w:ind w:left="4200" w:hanging="420"/>
      </w:pPr>
    </w:lvl>
    <w:lvl w:ilvl="4" w:tentative="0">
      <w:start w:val="1"/>
      <w:numFmt w:val="lowerLetter"/>
      <w:lvlText w:val="%5)"/>
      <w:lvlJc w:val="left"/>
      <w:pPr>
        <w:ind w:left="4620" w:hanging="420"/>
      </w:pPr>
    </w:lvl>
    <w:lvl w:ilvl="5" w:tentative="0">
      <w:start w:val="1"/>
      <w:numFmt w:val="lowerRoman"/>
      <w:lvlText w:val="%6."/>
      <w:lvlJc w:val="right"/>
      <w:pPr>
        <w:ind w:left="5040" w:hanging="420"/>
      </w:pPr>
    </w:lvl>
    <w:lvl w:ilvl="6" w:tentative="0">
      <w:start w:val="1"/>
      <w:numFmt w:val="decimal"/>
      <w:lvlText w:val="%7."/>
      <w:lvlJc w:val="left"/>
      <w:pPr>
        <w:ind w:left="5460" w:hanging="420"/>
      </w:pPr>
    </w:lvl>
    <w:lvl w:ilvl="7" w:tentative="0">
      <w:start w:val="1"/>
      <w:numFmt w:val="lowerLetter"/>
      <w:lvlText w:val="%8)"/>
      <w:lvlJc w:val="left"/>
      <w:pPr>
        <w:ind w:left="5880" w:hanging="420"/>
      </w:pPr>
    </w:lvl>
    <w:lvl w:ilvl="8" w:tentative="0">
      <w:start w:val="1"/>
      <w:numFmt w:val="lowerRoman"/>
      <w:lvlText w:val="%9."/>
      <w:lvlJc w:val="right"/>
      <w:pPr>
        <w:ind w:left="6300" w:hanging="420"/>
      </w:pPr>
    </w:lvl>
  </w:abstractNum>
  <w:abstractNum w:abstractNumId="14">
    <w:nsid w:val="22500319"/>
    <w:multiLevelType w:val="multilevel"/>
    <w:tmpl w:val="22500319"/>
    <w:lvl w:ilvl="0" w:tentative="0">
      <w:start w:val="1"/>
      <w:numFmt w:val="decimal"/>
      <w:lvlText w:val="%1."/>
      <w:lvlJc w:val="left"/>
      <w:pPr>
        <w:ind w:left="902" w:hanging="420"/>
      </w:pPr>
      <w:rPr>
        <w:rFonts w:hint="eastAsia"/>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5">
    <w:nsid w:val="23332674"/>
    <w:multiLevelType w:val="multilevel"/>
    <w:tmpl w:val="23332674"/>
    <w:lvl w:ilvl="0" w:tentative="0">
      <w:start w:val="1"/>
      <w:numFmt w:val="japaneseCounting"/>
      <w:lvlText w:val="（%1）"/>
      <w:lvlJc w:val="left"/>
      <w:pPr>
        <w:ind w:left="1430" w:hanging="720"/>
      </w:pPr>
      <w:rPr>
        <w:rFonts w:cs="Times New Roman"/>
        <w:color w:val="auto"/>
      </w:rPr>
    </w:lvl>
    <w:lvl w:ilvl="1" w:tentative="0">
      <w:start w:val="1"/>
      <w:numFmt w:val="lowerLetter"/>
      <w:lvlText w:val="%2)"/>
      <w:lvlJc w:val="left"/>
      <w:pPr>
        <w:ind w:left="2825" w:hanging="420"/>
      </w:pPr>
    </w:lvl>
    <w:lvl w:ilvl="2" w:tentative="0">
      <w:start w:val="1"/>
      <w:numFmt w:val="lowerRoman"/>
      <w:lvlText w:val="%3."/>
      <w:lvlJc w:val="right"/>
      <w:pPr>
        <w:ind w:left="3245" w:hanging="420"/>
      </w:pPr>
    </w:lvl>
    <w:lvl w:ilvl="3" w:tentative="0">
      <w:start w:val="1"/>
      <w:numFmt w:val="decimal"/>
      <w:lvlText w:val="%4."/>
      <w:lvlJc w:val="left"/>
      <w:pPr>
        <w:ind w:left="3665" w:hanging="420"/>
      </w:pPr>
    </w:lvl>
    <w:lvl w:ilvl="4" w:tentative="0">
      <w:start w:val="1"/>
      <w:numFmt w:val="lowerLetter"/>
      <w:lvlText w:val="%5)"/>
      <w:lvlJc w:val="left"/>
      <w:pPr>
        <w:ind w:left="4085" w:hanging="420"/>
      </w:pPr>
    </w:lvl>
    <w:lvl w:ilvl="5" w:tentative="0">
      <w:start w:val="1"/>
      <w:numFmt w:val="lowerRoman"/>
      <w:lvlText w:val="%6."/>
      <w:lvlJc w:val="right"/>
      <w:pPr>
        <w:ind w:left="4505" w:hanging="420"/>
      </w:pPr>
    </w:lvl>
    <w:lvl w:ilvl="6" w:tentative="0">
      <w:start w:val="1"/>
      <w:numFmt w:val="decimal"/>
      <w:lvlText w:val="%7."/>
      <w:lvlJc w:val="left"/>
      <w:pPr>
        <w:ind w:left="4925" w:hanging="420"/>
      </w:pPr>
    </w:lvl>
    <w:lvl w:ilvl="7" w:tentative="0">
      <w:start w:val="1"/>
      <w:numFmt w:val="lowerLetter"/>
      <w:lvlText w:val="%8)"/>
      <w:lvlJc w:val="left"/>
      <w:pPr>
        <w:ind w:left="5345" w:hanging="420"/>
      </w:pPr>
    </w:lvl>
    <w:lvl w:ilvl="8" w:tentative="0">
      <w:start w:val="1"/>
      <w:numFmt w:val="lowerRoman"/>
      <w:lvlText w:val="%9."/>
      <w:lvlJc w:val="right"/>
      <w:pPr>
        <w:ind w:left="5765" w:hanging="420"/>
      </w:pPr>
    </w:lvl>
  </w:abstractNum>
  <w:abstractNum w:abstractNumId="16">
    <w:nsid w:val="2C754304"/>
    <w:multiLevelType w:val="multilevel"/>
    <w:tmpl w:val="2C754304"/>
    <w:lvl w:ilvl="0" w:tentative="0">
      <w:start w:val="1"/>
      <w:numFmt w:val="decimal"/>
      <w:lvlText w:val="%1."/>
      <w:lvlJc w:val="left"/>
      <w:pPr>
        <w:ind w:left="420" w:hanging="420"/>
      </w:pPr>
      <w:rPr>
        <w:rFonts w:hint="default"/>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30CB0B2F"/>
    <w:multiLevelType w:val="multilevel"/>
    <w:tmpl w:val="30CB0B2F"/>
    <w:lvl w:ilvl="0" w:tentative="0">
      <w:start w:val="1"/>
      <w:numFmt w:val="decimal"/>
      <w:lvlText w:val="%1、"/>
      <w:lvlJc w:val="left"/>
      <w:pPr>
        <w:ind w:left="90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31C2147C"/>
    <w:multiLevelType w:val="multilevel"/>
    <w:tmpl w:val="31C2147C"/>
    <w:lvl w:ilvl="0" w:tentative="0">
      <w:start w:val="1"/>
      <w:numFmt w:val="decimal"/>
      <w:lvlText w:val="（%1）"/>
      <w:lvlJc w:val="left"/>
      <w:pPr>
        <w:ind w:left="704" w:hanging="420"/>
      </w:pPr>
      <w:rPr>
        <w:rFonts w:hint="eastAsia"/>
      </w:rPr>
    </w:lvl>
    <w:lvl w:ilvl="1" w:tentative="0">
      <w:start w:val="1"/>
      <w:numFmt w:val="decimal"/>
      <w:lvlText w:val="%2、"/>
      <w:lvlJc w:val="left"/>
      <w:pPr>
        <w:ind w:left="1260" w:hanging="360"/>
      </w:pPr>
      <w:rPr>
        <w:rFonts w:hint="default"/>
      </w:rPr>
    </w:lvl>
    <w:lvl w:ilvl="2" w:tentative="0">
      <w:start w:val="1"/>
      <w:numFmt w:val="japaneseCounting"/>
      <w:lvlText w:val="(%3)"/>
      <w:lvlJc w:val="left"/>
      <w:pPr>
        <w:ind w:left="1800" w:hanging="480"/>
      </w:pPr>
      <w:rPr>
        <w:rFonts w:hint="default"/>
      </w:rPr>
    </w:lvl>
    <w:lvl w:ilvl="3" w:tentative="0">
      <w:start w:val="1"/>
      <w:numFmt w:val="decimal"/>
      <w:lvlText w:val="%4."/>
      <w:lvlJc w:val="left"/>
      <w:pPr>
        <w:ind w:left="2160" w:hanging="420"/>
      </w:pPr>
      <w:rPr>
        <w:rFonts w:hint="eastAsia"/>
      </w:rPr>
    </w:lvl>
    <w:lvl w:ilvl="4" w:tentative="0">
      <w:start w:val="1"/>
      <w:numFmt w:val="lowerLetter"/>
      <w:lvlText w:val="%5)"/>
      <w:lvlJc w:val="left"/>
      <w:pPr>
        <w:ind w:left="2580" w:hanging="420"/>
      </w:pPr>
      <w:rPr>
        <w:rFonts w:hint="eastAsia"/>
      </w:rPr>
    </w:lvl>
    <w:lvl w:ilvl="5" w:tentative="0">
      <w:start w:val="1"/>
      <w:numFmt w:val="lowerRoman"/>
      <w:lvlText w:val="%6."/>
      <w:lvlJc w:val="right"/>
      <w:pPr>
        <w:ind w:left="3000" w:hanging="420"/>
      </w:pPr>
      <w:rPr>
        <w:rFonts w:hint="eastAsia"/>
      </w:rPr>
    </w:lvl>
    <w:lvl w:ilvl="6" w:tentative="0">
      <w:start w:val="1"/>
      <w:numFmt w:val="decimal"/>
      <w:lvlText w:val="%7."/>
      <w:lvlJc w:val="left"/>
      <w:pPr>
        <w:ind w:left="3420" w:hanging="420"/>
      </w:pPr>
      <w:rPr>
        <w:rFonts w:hint="eastAsia"/>
      </w:rPr>
    </w:lvl>
    <w:lvl w:ilvl="7" w:tentative="0">
      <w:start w:val="1"/>
      <w:numFmt w:val="lowerLetter"/>
      <w:lvlText w:val="%8)"/>
      <w:lvlJc w:val="left"/>
      <w:pPr>
        <w:ind w:left="3840" w:hanging="420"/>
      </w:pPr>
      <w:rPr>
        <w:rFonts w:hint="eastAsia"/>
      </w:rPr>
    </w:lvl>
    <w:lvl w:ilvl="8" w:tentative="0">
      <w:start w:val="1"/>
      <w:numFmt w:val="lowerRoman"/>
      <w:lvlText w:val="%9."/>
      <w:lvlJc w:val="right"/>
      <w:pPr>
        <w:ind w:left="4260" w:hanging="420"/>
      </w:pPr>
      <w:rPr>
        <w:rFonts w:hint="eastAsia"/>
      </w:rPr>
    </w:lvl>
  </w:abstractNum>
  <w:abstractNum w:abstractNumId="19">
    <w:nsid w:val="323555CD"/>
    <w:multiLevelType w:val="multilevel"/>
    <w:tmpl w:val="323555C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34DF7F7B"/>
    <w:multiLevelType w:val="multilevel"/>
    <w:tmpl w:val="34DF7F7B"/>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396403C6"/>
    <w:multiLevelType w:val="multilevel"/>
    <w:tmpl w:val="396403C6"/>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2">
    <w:nsid w:val="3E09207E"/>
    <w:multiLevelType w:val="multilevel"/>
    <w:tmpl w:val="3E09207E"/>
    <w:lvl w:ilvl="0" w:tentative="0">
      <w:start w:val="1"/>
      <w:numFmt w:val="decimal"/>
      <w:lvlText w:val="%1"/>
      <w:lvlJc w:val="left"/>
      <w:pPr>
        <w:ind w:left="420" w:hanging="420"/>
      </w:pPr>
      <w:rPr>
        <w:rFonts w:hint="default"/>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402F11D9"/>
    <w:multiLevelType w:val="multilevel"/>
    <w:tmpl w:val="402F11D9"/>
    <w:lvl w:ilvl="0" w:tentative="0">
      <w:start w:val="1"/>
      <w:numFmt w:val="decimal"/>
      <w:lvlText w:val="（%1）"/>
      <w:lvlJc w:val="left"/>
      <w:pPr>
        <w:ind w:left="704" w:hanging="420"/>
      </w:pPr>
      <w:rPr>
        <w:rFonts w:hint="eastAsia"/>
      </w:rPr>
    </w:lvl>
    <w:lvl w:ilvl="1" w:tentative="0">
      <w:start w:val="1"/>
      <w:numFmt w:val="decimal"/>
      <w:lvlText w:val="%2、"/>
      <w:lvlJc w:val="left"/>
      <w:pPr>
        <w:ind w:left="1260" w:hanging="360"/>
      </w:pPr>
      <w:rPr>
        <w:rFonts w:hint="default"/>
      </w:rPr>
    </w:lvl>
    <w:lvl w:ilvl="2" w:tentative="0">
      <w:start w:val="1"/>
      <w:numFmt w:val="japaneseCounting"/>
      <w:lvlText w:val="(%3)"/>
      <w:lvlJc w:val="left"/>
      <w:pPr>
        <w:ind w:left="1800" w:hanging="480"/>
      </w:pPr>
      <w:rPr>
        <w:rFonts w:hint="default"/>
      </w:r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4">
    <w:nsid w:val="44AE02BC"/>
    <w:multiLevelType w:val="multilevel"/>
    <w:tmpl w:val="44AE02BC"/>
    <w:lvl w:ilvl="0" w:tentative="0">
      <w:start w:val="1"/>
      <w:numFmt w:val="decimal"/>
      <w:lvlText w:val="%1."/>
      <w:lvlJc w:val="left"/>
      <w:pPr>
        <w:ind w:left="420" w:hanging="420"/>
      </w:pPr>
      <w:rPr>
        <w:rFonts w:hint="default"/>
        <w:b/>
        <w:color w:val="auto"/>
        <w:sz w:val="24"/>
        <w:szCs w:val="24"/>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488E2465"/>
    <w:multiLevelType w:val="multilevel"/>
    <w:tmpl w:val="488E2465"/>
    <w:lvl w:ilvl="0" w:tentative="0">
      <w:start w:val="1"/>
      <w:numFmt w:val="chineseCountingThousand"/>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6">
    <w:nsid w:val="49186645"/>
    <w:multiLevelType w:val="multilevel"/>
    <w:tmpl w:val="49186645"/>
    <w:lvl w:ilvl="0" w:tentative="0">
      <w:start w:val="1"/>
      <w:numFmt w:val="decimal"/>
      <w:lvlText w:val="（%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517710AE"/>
    <w:multiLevelType w:val="multilevel"/>
    <w:tmpl w:val="517710AE"/>
    <w:lvl w:ilvl="0" w:tentative="0">
      <w:start w:val="1"/>
      <w:numFmt w:val="decimal"/>
      <w:lvlText w:val="%1、"/>
      <w:lvlJc w:val="left"/>
      <w:pPr>
        <w:ind w:left="420" w:hanging="420"/>
      </w:pPr>
      <w:rPr>
        <w:rFonts w:hint="eastAsia"/>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51F602BC"/>
    <w:multiLevelType w:val="multilevel"/>
    <w:tmpl w:val="51F602BC"/>
    <w:lvl w:ilvl="0" w:tentative="0">
      <w:start w:val="1"/>
      <w:numFmt w:val="chineseCountingThousand"/>
      <w:lvlText w:val="%1、"/>
      <w:lvlJc w:val="left"/>
      <w:pPr>
        <w:ind w:left="988" w:hanging="420"/>
      </w:pPr>
      <w:rPr>
        <w:rFonts w:hint="default"/>
        <w:b/>
        <w:color w:val="auto"/>
        <w:sz w:val="24"/>
        <w:szCs w:val="24"/>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29">
    <w:nsid w:val="56A967B0"/>
    <w:multiLevelType w:val="multilevel"/>
    <w:tmpl w:val="56A967B0"/>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0">
    <w:nsid w:val="5BEC3417"/>
    <w:multiLevelType w:val="multilevel"/>
    <w:tmpl w:val="5BEC3417"/>
    <w:lvl w:ilvl="0" w:tentative="0">
      <w:start w:val="1"/>
      <w:numFmt w:val="decimal"/>
      <w:lvlText w:val="（%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5D3E65B2"/>
    <w:multiLevelType w:val="multilevel"/>
    <w:tmpl w:val="5D3E65B2"/>
    <w:lvl w:ilvl="0" w:tentative="0">
      <w:start w:val="1"/>
      <w:numFmt w:val="chineseCountingThousand"/>
      <w:lvlText w:val="%1、"/>
      <w:lvlJc w:val="left"/>
      <w:pPr>
        <w:ind w:left="420" w:hanging="420"/>
      </w:pPr>
    </w:lvl>
    <w:lvl w:ilvl="1" w:tentative="0">
      <w:start w:val="1"/>
      <w:numFmt w:val="chineseCountingThousand"/>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5D960E59"/>
    <w:multiLevelType w:val="multilevel"/>
    <w:tmpl w:val="5D960E59"/>
    <w:lvl w:ilvl="0" w:tentative="0">
      <w:start w:val="1"/>
      <w:numFmt w:val="decimal"/>
      <w:lvlText w:val="（%1）"/>
      <w:lvlJc w:val="left"/>
      <w:pPr>
        <w:ind w:left="90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3">
    <w:nsid w:val="6A580B65"/>
    <w:multiLevelType w:val="multilevel"/>
    <w:tmpl w:val="6A580B65"/>
    <w:lvl w:ilvl="0" w:tentative="0">
      <w:start w:val="1"/>
      <w:numFmt w:val="decimal"/>
      <w:lvlText w:val="%1、"/>
      <w:lvlJc w:val="righ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4">
    <w:nsid w:val="6AB61384"/>
    <w:multiLevelType w:val="multilevel"/>
    <w:tmpl w:val="6AB61384"/>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rPr>
        <w:rFonts w:hint="eastAsia"/>
      </w:r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5">
    <w:nsid w:val="6BA60312"/>
    <w:multiLevelType w:val="multilevel"/>
    <w:tmpl w:val="6BA60312"/>
    <w:lvl w:ilvl="0" w:tentative="0">
      <w:start w:val="1"/>
      <w:numFmt w:val="decimal"/>
      <w:lvlText w:val="%1."/>
      <w:lvlJc w:val="left"/>
      <w:pPr>
        <w:ind w:left="902" w:hanging="420"/>
      </w:pPr>
      <w:rPr>
        <w:rFonts w:hint="default"/>
        <w:color w:val="auto"/>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36">
    <w:nsid w:val="6C000936"/>
    <w:multiLevelType w:val="multilevel"/>
    <w:tmpl w:val="6C000936"/>
    <w:lvl w:ilvl="0" w:tentative="0">
      <w:start w:val="1"/>
      <w:numFmt w:val="decimal"/>
      <w:lvlText w:val="（%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6DDB26C8"/>
    <w:multiLevelType w:val="multilevel"/>
    <w:tmpl w:val="6DDB26C8"/>
    <w:lvl w:ilvl="0" w:tentative="0">
      <w:start w:val="1"/>
      <w:numFmt w:val="decimal"/>
      <w:lvlText w:val="%1."/>
      <w:lvlJc w:val="left"/>
      <w:pPr>
        <w:ind w:left="900" w:hanging="420"/>
      </w:pPr>
    </w:lvl>
    <w:lvl w:ilvl="1" w:tentative="0">
      <w:start w:val="1"/>
      <w:numFmt w:val="decimal"/>
      <w:lvlText w:val="%2."/>
      <w:lvlJc w:val="left"/>
      <w:pPr>
        <w:ind w:left="1320" w:hanging="420"/>
      </w:pPr>
      <w:rPr>
        <w:rFonts w:hint="default"/>
        <w:color w:val="auto"/>
      </w:r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8">
    <w:nsid w:val="6EB853A0"/>
    <w:multiLevelType w:val="multilevel"/>
    <w:tmpl w:val="6EB853A0"/>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9">
    <w:nsid w:val="71BF0797"/>
    <w:multiLevelType w:val="multilevel"/>
    <w:tmpl w:val="71BF0797"/>
    <w:lvl w:ilvl="0" w:tentative="0">
      <w:start w:val="1"/>
      <w:numFmt w:val="decimal"/>
      <w:lvlText w:val="（%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40">
    <w:nsid w:val="7AA02DDD"/>
    <w:multiLevelType w:val="multilevel"/>
    <w:tmpl w:val="7AA02DDD"/>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1">
    <w:nsid w:val="7B2E69B8"/>
    <w:multiLevelType w:val="multilevel"/>
    <w:tmpl w:val="7B2E69B8"/>
    <w:lvl w:ilvl="0" w:tentative="0">
      <w:start w:val="1"/>
      <w:numFmt w:val="decimal"/>
      <w:lvlText w:val="（%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num>
  <w:num w:numId="5">
    <w:abstractNumId w:val="17"/>
  </w:num>
  <w:num w:numId="6">
    <w:abstractNumId w:val="5"/>
  </w:num>
  <w:num w:numId="7">
    <w:abstractNumId w:val="4"/>
  </w:num>
  <w:num w:numId="8">
    <w:abstractNumId w:val="32"/>
  </w:num>
  <w:num w:numId="9">
    <w:abstractNumId w:val="8"/>
  </w:num>
  <w:num w:numId="10">
    <w:abstractNumId w:val="16"/>
  </w:num>
  <w:num w:numId="11">
    <w:abstractNumId w:val="2"/>
  </w:num>
  <w:num w:numId="12">
    <w:abstractNumId w:val="23"/>
  </w:num>
  <w:num w:numId="13">
    <w:abstractNumId w:val="18"/>
  </w:num>
  <w:num w:numId="14">
    <w:abstractNumId w:val="21"/>
  </w:num>
  <w:num w:numId="15">
    <w:abstractNumId w:val="10"/>
  </w:num>
  <w:num w:numId="16">
    <w:abstractNumId w:val="35"/>
  </w:num>
  <w:num w:numId="17">
    <w:abstractNumId w:val="29"/>
  </w:num>
  <w:num w:numId="18">
    <w:abstractNumId w:val="14"/>
  </w:num>
  <w:num w:numId="19">
    <w:abstractNumId w:val="34"/>
  </w:num>
  <w:num w:numId="20">
    <w:abstractNumId w:val="33"/>
  </w:num>
  <w:num w:numId="21">
    <w:abstractNumId w:val="41"/>
  </w:num>
  <w:num w:numId="22">
    <w:abstractNumId w:val="30"/>
  </w:num>
  <w:num w:numId="23">
    <w:abstractNumId w:val="26"/>
  </w:num>
  <w:num w:numId="24">
    <w:abstractNumId w:val="36"/>
  </w:num>
  <w:num w:numId="25">
    <w:abstractNumId w:val="39"/>
  </w:num>
  <w:num w:numId="26">
    <w:abstractNumId w:val="38"/>
  </w:num>
  <w:num w:numId="27">
    <w:abstractNumId w:val="20"/>
  </w:num>
  <w:num w:numId="28">
    <w:abstractNumId w:val="13"/>
  </w:num>
  <w:num w:numId="29">
    <w:abstractNumId w:val="27"/>
  </w:num>
  <w:num w:numId="30">
    <w:abstractNumId w:val="31"/>
  </w:num>
  <w:num w:numId="31">
    <w:abstractNumId w:val="25"/>
  </w:num>
  <w:num w:numId="32">
    <w:abstractNumId w:val="24"/>
  </w:num>
  <w:num w:numId="33">
    <w:abstractNumId w:val="19"/>
  </w:num>
  <w:num w:numId="34">
    <w:abstractNumId w:val="37"/>
  </w:num>
  <w:num w:numId="35">
    <w:abstractNumId w:val="11"/>
  </w:num>
  <w:num w:numId="36">
    <w:abstractNumId w:val="0"/>
  </w:num>
  <w:num w:numId="37">
    <w:abstractNumId w:val="12"/>
  </w:num>
  <w:num w:numId="38">
    <w:abstractNumId w:val="40"/>
  </w:num>
  <w:num w:numId="39">
    <w:abstractNumId w:val="28"/>
  </w:num>
  <w:num w:numId="40">
    <w:abstractNumId w:val="9"/>
  </w:num>
  <w:num w:numId="4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ookNames" w:val="year1_2;filetype1_2"/>
    <w:docVar w:name="commondata" w:val="eyJoZGlkIjoiM2NjMGE1ODNjYzkzNmZlOTk2MjZjNGRkZTU1NzIxZjIifQ=="/>
    <w:docVar w:name="CurUserName" w:val="采购监管处收发室"/>
    <w:docVar w:name="DeleteMarces" w:val="False"/>
    <w:docVar w:name="DocName" w:val="0EF90D4B09DBFB9E4825742B0028ACBF_1.doc"/>
    <w:docVar w:name="haha" w:val="100"/>
    <w:docVar w:name="NewInfo" w:val="〔2009〕20&amp;;&amp;浙财采监字"/>
    <w:docVar w:name="OldInfo" w:val=" "/>
    <w:docVar w:name="SplitTool" w:val="False"/>
    <w:docVar w:name="TitleStr" w:val="浙江省财政厅;文件;"/>
    <w:docVar w:name="TrackMark" w:val="1"/>
  </w:docVars>
  <w:rsids>
    <w:rsidRoot w:val="00172A27"/>
    <w:rsid w:val="00000F06"/>
    <w:rsid w:val="00001C4A"/>
    <w:rsid w:val="00001FFB"/>
    <w:rsid w:val="000034F3"/>
    <w:rsid w:val="000045D0"/>
    <w:rsid w:val="00004904"/>
    <w:rsid w:val="00005DDD"/>
    <w:rsid w:val="00012435"/>
    <w:rsid w:val="00014879"/>
    <w:rsid w:val="00015CAE"/>
    <w:rsid w:val="00016C26"/>
    <w:rsid w:val="00017B25"/>
    <w:rsid w:val="00020410"/>
    <w:rsid w:val="000235A1"/>
    <w:rsid w:val="00024A31"/>
    <w:rsid w:val="00026D69"/>
    <w:rsid w:val="000324DB"/>
    <w:rsid w:val="00033659"/>
    <w:rsid w:val="000336AF"/>
    <w:rsid w:val="000340A8"/>
    <w:rsid w:val="000344D7"/>
    <w:rsid w:val="00036714"/>
    <w:rsid w:val="00036AB7"/>
    <w:rsid w:val="00036F1C"/>
    <w:rsid w:val="000374B7"/>
    <w:rsid w:val="00037662"/>
    <w:rsid w:val="0004043E"/>
    <w:rsid w:val="000409F3"/>
    <w:rsid w:val="000410E8"/>
    <w:rsid w:val="00043C02"/>
    <w:rsid w:val="000440AF"/>
    <w:rsid w:val="00044653"/>
    <w:rsid w:val="000447BB"/>
    <w:rsid w:val="00044E1D"/>
    <w:rsid w:val="0004513B"/>
    <w:rsid w:val="00046063"/>
    <w:rsid w:val="00046E53"/>
    <w:rsid w:val="000478E9"/>
    <w:rsid w:val="00051D74"/>
    <w:rsid w:val="000534D5"/>
    <w:rsid w:val="00054C4C"/>
    <w:rsid w:val="00054E6A"/>
    <w:rsid w:val="000555C4"/>
    <w:rsid w:val="00055977"/>
    <w:rsid w:val="00057D5F"/>
    <w:rsid w:val="0006062C"/>
    <w:rsid w:val="00061AA2"/>
    <w:rsid w:val="00062B65"/>
    <w:rsid w:val="00062BC8"/>
    <w:rsid w:val="0006337E"/>
    <w:rsid w:val="0006487D"/>
    <w:rsid w:val="00064DFE"/>
    <w:rsid w:val="00064EBB"/>
    <w:rsid w:val="00065885"/>
    <w:rsid w:val="00066DC4"/>
    <w:rsid w:val="00067495"/>
    <w:rsid w:val="00067675"/>
    <w:rsid w:val="00071685"/>
    <w:rsid w:val="00072C56"/>
    <w:rsid w:val="00072EDB"/>
    <w:rsid w:val="00073479"/>
    <w:rsid w:val="00073F32"/>
    <w:rsid w:val="00074933"/>
    <w:rsid w:val="00074A36"/>
    <w:rsid w:val="00074DDA"/>
    <w:rsid w:val="00080228"/>
    <w:rsid w:val="000806ED"/>
    <w:rsid w:val="00081D8A"/>
    <w:rsid w:val="00082A8C"/>
    <w:rsid w:val="00084C50"/>
    <w:rsid w:val="000862D2"/>
    <w:rsid w:val="00086A98"/>
    <w:rsid w:val="00087527"/>
    <w:rsid w:val="000875A2"/>
    <w:rsid w:val="000903F9"/>
    <w:rsid w:val="00093CFF"/>
    <w:rsid w:val="00095A09"/>
    <w:rsid w:val="00095AC0"/>
    <w:rsid w:val="00095ECA"/>
    <w:rsid w:val="00096582"/>
    <w:rsid w:val="000965A5"/>
    <w:rsid w:val="00096AA6"/>
    <w:rsid w:val="00097018"/>
    <w:rsid w:val="00097168"/>
    <w:rsid w:val="000A07CE"/>
    <w:rsid w:val="000A1534"/>
    <w:rsid w:val="000A15FB"/>
    <w:rsid w:val="000A1D74"/>
    <w:rsid w:val="000A363F"/>
    <w:rsid w:val="000A3DCD"/>
    <w:rsid w:val="000A6602"/>
    <w:rsid w:val="000A6D62"/>
    <w:rsid w:val="000B0875"/>
    <w:rsid w:val="000B20D6"/>
    <w:rsid w:val="000B3722"/>
    <w:rsid w:val="000B41EC"/>
    <w:rsid w:val="000B41FA"/>
    <w:rsid w:val="000B4AB6"/>
    <w:rsid w:val="000B4D88"/>
    <w:rsid w:val="000B65C8"/>
    <w:rsid w:val="000B67C0"/>
    <w:rsid w:val="000B7350"/>
    <w:rsid w:val="000B7C27"/>
    <w:rsid w:val="000C0A7D"/>
    <w:rsid w:val="000C2FE2"/>
    <w:rsid w:val="000C46B4"/>
    <w:rsid w:val="000C54AF"/>
    <w:rsid w:val="000C710B"/>
    <w:rsid w:val="000C72E7"/>
    <w:rsid w:val="000C751D"/>
    <w:rsid w:val="000D10AD"/>
    <w:rsid w:val="000D2701"/>
    <w:rsid w:val="000D3D47"/>
    <w:rsid w:val="000D5087"/>
    <w:rsid w:val="000D6389"/>
    <w:rsid w:val="000D657B"/>
    <w:rsid w:val="000D793F"/>
    <w:rsid w:val="000D7A73"/>
    <w:rsid w:val="000E378C"/>
    <w:rsid w:val="000E3BA2"/>
    <w:rsid w:val="000E3C6B"/>
    <w:rsid w:val="000E3F3F"/>
    <w:rsid w:val="000E4D7F"/>
    <w:rsid w:val="000E4F84"/>
    <w:rsid w:val="000E6B4C"/>
    <w:rsid w:val="000E7117"/>
    <w:rsid w:val="000F083E"/>
    <w:rsid w:val="000F1D1F"/>
    <w:rsid w:val="000F2517"/>
    <w:rsid w:val="000F265F"/>
    <w:rsid w:val="000F268D"/>
    <w:rsid w:val="000F3206"/>
    <w:rsid w:val="000F32C8"/>
    <w:rsid w:val="000F33EC"/>
    <w:rsid w:val="000F3A1C"/>
    <w:rsid w:val="000F4BED"/>
    <w:rsid w:val="000F5B6F"/>
    <w:rsid w:val="00100445"/>
    <w:rsid w:val="00100668"/>
    <w:rsid w:val="0010068B"/>
    <w:rsid w:val="00100D90"/>
    <w:rsid w:val="00101514"/>
    <w:rsid w:val="001018BC"/>
    <w:rsid w:val="00101CE5"/>
    <w:rsid w:val="00102A64"/>
    <w:rsid w:val="00102DCD"/>
    <w:rsid w:val="00103144"/>
    <w:rsid w:val="00103B6D"/>
    <w:rsid w:val="00103EB1"/>
    <w:rsid w:val="00105866"/>
    <w:rsid w:val="001067F3"/>
    <w:rsid w:val="00106BBE"/>
    <w:rsid w:val="00107D27"/>
    <w:rsid w:val="00110123"/>
    <w:rsid w:val="00110D7C"/>
    <w:rsid w:val="00111A30"/>
    <w:rsid w:val="00112764"/>
    <w:rsid w:val="001149A4"/>
    <w:rsid w:val="00114A57"/>
    <w:rsid w:val="001166DF"/>
    <w:rsid w:val="001171C5"/>
    <w:rsid w:val="00117849"/>
    <w:rsid w:val="00117CDA"/>
    <w:rsid w:val="00117E4C"/>
    <w:rsid w:val="00120BD0"/>
    <w:rsid w:val="00120F5A"/>
    <w:rsid w:val="00121072"/>
    <w:rsid w:val="0012228D"/>
    <w:rsid w:val="0012339D"/>
    <w:rsid w:val="001257E7"/>
    <w:rsid w:val="00126B25"/>
    <w:rsid w:val="00126BA0"/>
    <w:rsid w:val="0012725D"/>
    <w:rsid w:val="0013063C"/>
    <w:rsid w:val="0013398F"/>
    <w:rsid w:val="00133D52"/>
    <w:rsid w:val="00133F35"/>
    <w:rsid w:val="00134C1E"/>
    <w:rsid w:val="00135262"/>
    <w:rsid w:val="00135402"/>
    <w:rsid w:val="00136418"/>
    <w:rsid w:val="001404D6"/>
    <w:rsid w:val="00140A8F"/>
    <w:rsid w:val="00141AAF"/>
    <w:rsid w:val="00141E97"/>
    <w:rsid w:val="00143162"/>
    <w:rsid w:val="00143617"/>
    <w:rsid w:val="001439BF"/>
    <w:rsid w:val="00143D78"/>
    <w:rsid w:val="00144C97"/>
    <w:rsid w:val="001450B9"/>
    <w:rsid w:val="00147AAA"/>
    <w:rsid w:val="001504C3"/>
    <w:rsid w:val="001517A6"/>
    <w:rsid w:val="00152D0D"/>
    <w:rsid w:val="00153C6A"/>
    <w:rsid w:val="001545F0"/>
    <w:rsid w:val="00154E9C"/>
    <w:rsid w:val="0015707B"/>
    <w:rsid w:val="0015713E"/>
    <w:rsid w:val="00157432"/>
    <w:rsid w:val="00157633"/>
    <w:rsid w:val="00157C30"/>
    <w:rsid w:val="00160586"/>
    <w:rsid w:val="0016120E"/>
    <w:rsid w:val="00161421"/>
    <w:rsid w:val="00162D76"/>
    <w:rsid w:val="00162E11"/>
    <w:rsid w:val="00163A27"/>
    <w:rsid w:val="00163CD3"/>
    <w:rsid w:val="001644CB"/>
    <w:rsid w:val="00164EC5"/>
    <w:rsid w:val="001661D4"/>
    <w:rsid w:val="00166451"/>
    <w:rsid w:val="00166A26"/>
    <w:rsid w:val="00172113"/>
    <w:rsid w:val="00172503"/>
    <w:rsid w:val="00174B9C"/>
    <w:rsid w:val="00175CBD"/>
    <w:rsid w:val="00176EB8"/>
    <w:rsid w:val="0017777D"/>
    <w:rsid w:val="00177D3E"/>
    <w:rsid w:val="001806AF"/>
    <w:rsid w:val="001822B4"/>
    <w:rsid w:val="0018418C"/>
    <w:rsid w:val="00184CC7"/>
    <w:rsid w:val="001858DC"/>
    <w:rsid w:val="00186BAD"/>
    <w:rsid w:val="0018762C"/>
    <w:rsid w:val="00187B39"/>
    <w:rsid w:val="00190618"/>
    <w:rsid w:val="001924C8"/>
    <w:rsid w:val="0019255A"/>
    <w:rsid w:val="00192D5C"/>
    <w:rsid w:val="00192E2C"/>
    <w:rsid w:val="001943A4"/>
    <w:rsid w:val="00195570"/>
    <w:rsid w:val="00195B76"/>
    <w:rsid w:val="00195EF6"/>
    <w:rsid w:val="0019638C"/>
    <w:rsid w:val="00197258"/>
    <w:rsid w:val="001A20FE"/>
    <w:rsid w:val="001A2878"/>
    <w:rsid w:val="001A3C23"/>
    <w:rsid w:val="001A6A23"/>
    <w:rsid w:val="001A6BF9"/>
    <w:rsid w:val="001B1202"/>
    <w:rsid w:val="001B591B"/>
    <w:rsid w:val="001B73C7"/>
    <w:rsid w:val="001C01AC"/>
    <w:rsid w:val="001C027C"/>
    <w:rsid w:val="001C0561"/>
    <w:rsid w:val="001C1E00"/>
    <w:rsid w:val="001C4E84"/>
    <w:rsid w:val="001C79A1"/>
    <w:rsid w:val="001D02CE"/>
    <w:rsid w:val="001D067E"/>
    <w:rsid w:val="001D1684"/>
    <w:rsid w:val="001D451A"/>
    <w:rsid w:val="001D4A1A"/>
    <w:rsid w:val="001D67DA"/>
    <w:rsid w:val="001E0AFD"/>
    <w:rsid w:val="001E0F28"/>
    <w:rsid w:val="001E115E"/>
    <w:rsid w:val="001E1C99"/>
    <w:rsid w:val="001E1F88"/>
    <w:rsid w:val="001E2055"/>
    <w:rsid w:val="001E327E"/>
    <w:rsid w:val="001E4568"/>
    <w:rsid w:val="001E6933"/>
    <w:rsid w:val="001E743C"/>
    <w:rsid w:val="001E751E"/>
    <w:rsid w:val="001F0855"/>
    <w:rsid w:val="001F1335"/>
    <w:rsid w:val="001F21FE"/>
    <w:rsid w:val="001F3DA3"/>
    <w:rsid w:val="001F4212"/>
    <w:rsid w:val="001F4C58"/>
    <w:rsid w:val="001F5545"/>
    <w:rsid w:val="001F6D9E"/>
    <w:rsid w:val="001F7678"/>
    <w:rsid w:val="00200685"/>
    <w:rsid w:val="00202247"/>
    <w:rsid w:val="002023B0"/>
    <w:rsid w:val="00203F2A"/>
    <w:rsid w:val="00204223"/>
    <w:rsid w:val="00204A10"/>
    <w:rsid w:val="00207FD3"/>
    <w:rsid w:val="002108AF"/>
    <w:rsid w:val="00210BEF"/>
    <w:rsid w:val="00211776"/>
    <w:rsid w:val="0021347A"/>
    <w:rsid w:val="00213878"/>
    <w:rsid w:val="00213C47"/>
    <w:rsid w:val="0021478C"/>
    <w:rsid w:val="00214DC8"/>
    <w:rsid w:val="00214EA3"/>
    <w:rsid w:val="0021505E"/>
    <w:rsid w:val="0021660E"/>
    <w:rsid w:val="00217420"/>
    <w:rsid w:val="00220A00"/>
    <w:rsid w:val="00220B20"/>
    <w:rsid w:val="00221D53"/>
    <w:rsid w:val="0022232F"/>
    <w:rsid w:val="0022347E"/>
    <w:rsid w:val="0022399C"/>
    <w:rsid w:val="0022475F"/>
    <w:rsid w:val="00225769"/>
    <w:rsid w:val="002264C1"/>
    <w:rsid w:val="00226FFF"/>
    <w:rsid w:val="00227E3A"/>
    <w:rsid w:val="0023370B"/>
    <w:rsid w:val="00234119"/>
    <w:rsid w:val="002356AC"/>
    <w:rsid w:val="002357A2"/>
    <w:rsid w:val="00237035"/>
    <w:rsid w:val="002400B9"/>
    <w:rsid w:val="00242502"/>
    <w:rsid w:val="00242F27"/>
    <w:rsid w:val="0024376B"/>
    <w:rsid w:val="00243BCD"/>
    <w:rsid w:val="00244701"/>
    <w:rsid w:val="00244C62"/>
    <w:rsid w:val="00246EE8"/>
    <w:rsid w:val="002476B6"/>
    <w:rsid w:val="00251653"/>
    <w:rsid w:val="00252848"/>
    <w:rsid w:val="00252B22"/>
    <w:rsid w:val="00252BD8"/>
    <w:rsid w:val="0025307C"/>
    <w:rsid w:val="002561EC"/>
    <w:rsid w:val="00256709"/>
    <w:rsid w:val="00257A16"/>
    <w:rsid w:val="00257C47"/>
    <w:rsid w:val="0026098C"/>
    <w:rsid w:val="00260A46"/>
    <w:rsid w:val="00262EE2"/>
    <w:rsid w:val="002637FA"/>
    <w:rsid w:val="0026604A"/>
    <w:rsid w:val="00266189"/>
    <w:rsid w:val="00266C0A"/>
    <w:rsid w:val="0026761F"/>
    <w:rsid w:val="00267742"/>
    <w:rsid w:val="00267CF9"/>
    <w:rsid w:val="00271B83"/>
    <w:rsid w:val="00271DF5"/>
    <w:rsid w:val="002723CB"/>
    <w:rsid w:val="00272E5F"/>
    <w:rsid w:val="00274716"/>
    <w:rsid w:val="00274B75"/>
    <w:rsid w:val="00275C84"/>
    <w:rsid w:val="00275F78"/>
    <w:rsid w:val="00276FE0"/>
    <w:rsid w:val="00277114"/>
    <w:rsid w:val="002802CB"/>
    <w:rsid w:val="0028055A"/>
    <w:rsid w:val="00280C11"/>
    <w:rsid w:val="00281B91"/>
    <w:rsid w:val="0028272C"/>
    <w:rsid w:val="00284DA1"/>
    <w:rsid w:val="00284E5B"/>
    <w:rsid w:val="00285A69"/>
    <w:rsid w:val="00285CBF"/>
    <w:rsid w:val="00286B31"/>
    <w:rsid w:val="00290099"/>
    <w:rsid w:val="0029052F"/>
    <w:rsid w:val="002926CB"/>
    <w:rsid w:val="00292BC0"/>
    <w:rsid w:val="002942E7"/>
    <w:rsid w:val="002969F3"/>
    <w:rsid w:val="00297014"/>
    <w:rsid w:val="00297E0F"/>
    <w:rsid w:val="002A09CD"/>
    <w:rsid w:val="002A2B13"/>
    <w:rsid w:val="002A3246"/>
    <w:rsid w:val="002A3897"/>
    <w:rsid w:val="002A4647"/>
    <w:rsid w:val="002A4B7F"/>
    <w:rsid w:val="002A5C14"/>
    <w:rsid w:val="002A7638"/>
    <w:rsid w:val="002A779A"/>
    <w:rsid w:val="002A7C85"/>
    <w:rsid w:val="002A7CF7"/>
    <w:rsid w:val="002B2776"/>
    <w:rsid w:val="002B2CCE"/>
    <w:rsid w:val="002B2F72"/>
    <w:rsid w:val="002B3F8C"/>
    <w:rsid w:val="002B484A"/>
    <w:rsid w:val="002B5F42"/>
    <w:rsid w:val="002B65D8"/>
    <w:rsid w:val="002C024E"/>
    <w:rsid w:val="002C0E1C"/>
    <w:rsid w:val="002C16CC"/>
    <w:rsid w:val="002C1B03"/>
    <w:rsid w:val="002C2BF7"/>
    <w:rsid w:val="002C2E39"/>
    <w:rsid w:val="002C303F"/>
    <w:rsid w:val="002C31D1"/>
    <w:rsid w:val="002C34A0"/>
    <w:rsid w:val="002C42CA"/>
    <w:rsid w:val="002C48AC"/>
    <w:rsid w:val="002C5D98"/>
    <w:rsid w:val="002C64CD"/>
    <w:rsid w:val="002C70EF"/>
    <w:rsid w:val="002C71F1"/>
    <w:rsid w:val="002C760E"/>
    <w:rsid w:val="002D08FC"/>
    <w:rsid w:val="002D0DA6"/>
    <w:rsid w:val="002D130B"/>
    <w:rsid w:val="002D353A"/>
    <w:rsid w:val="002D370B"/>
    <w:rsid w:val="002D4D56"/>
    <w:rsid w:val="002D6A3A"/>
    <w:rsid w:val="002D78D8"/>
    <w:rsid w:val="002D7D5F"/>
    <w:rsid w:val="002E03E7"/>
    <w:rsid w:val="002E0A51"/>
    <w:rsid w:val="002E0F75"/>
    <w:rsid w:val="002E27D3"/>
    <w:rsid w:val="002E65DD"/>
    <w:rsid w:val="002E68A9"/>
    <w:rsid w:val="002E7EF6"/>
    <w:rsid w:val="002F0063"/>
    <w:rsid w:val="002F0128"/>
    <w:rsid w:val="002F06A1"/>
    <w:rsid w:val="002F1046"/>
    <w:rsid w:val="002F2168"/>
    <w:rsid w:val="002F2808"/>
    <w:rsid w:val="002F2C8F"/>
    <w:rsid w:val="002F4A55"/>
    <w:rsid w:val="002F4C22"/>
    <w:rsid w:val="002F4CEB"/>
    <w:rsid w:val="002F6A47"/>
    <w:rsid w:val="002F6A68"/>
    <w:rsid w:val="002F7C26"/>
    <w:rsid w:val="002F7DF1"/>
    <w:rsid w:val="002F7EFD"/>
    <w:rsid w:val="00302841"/>
    <w:rsid w:val="003037EB"/>
    <w:rsid w:val="00304A8F"/>
    <w:rsid w:val="00306DD5"/>
    <w:rsid w:val="00307882"/>
    <w:rsid w:val="0030799B"/>
    <w:rsid w:val="00307DB3"/>
    <w:rsid w:val="00307F1D"/>
    <w:rsid w:val="003105AE"/>
    <w:rsid w:val="00311BEC"/>
    <w:rsid w:val="00312DFA"/>
    <w:rsid w:val="00314BC2"/>
    <w:rsid w:val="00316A09"/>
    <w:rsid w:val="00316CA9"/>
    <w:rsid w:val="00321F46"/>
    <w:rsid w:val="0032244F"/>
    <w:rsid w:val="00323D6A"/>
    <w:rsid w:val="00324901"/>
    <w:rsid w:val="0032502D"/>
    <w:rsid w:val="0032536D"/>
    <w:rsid w:val="00325CFD"/>
    <w:rsid w:val="003273D4"/>
    <w:rsid w:val="00327464"/>
    <w:rsid w:val="00330583"/>
    <w:rsid w:val="00330B51"/>
    <w:rsid w:val="00330BE7"/>
    <w:rsid w:val="0033140D"/>
    <w:rsid w:val="00332F47"/>
    <w:rsid w:val="00334955"/>
    <w:rsid w:val="003354C6"/>
    <w:rsid w:val="003356A8"/>
    <w:rsid w:val="00335930"/>
    <w:rsid w:val="00335A2C"/>
    <w:rsid w:val="00335E6B"/>
    <w:rsid w:val="00336681"/>
    <w:rsid w:val="00337A70"/>
    <w:rsid w:val="003413FA"/>
    <w:rsid w:val="00342437"/>
    <w:rsid w:val="003435C8"/>
    <w:rsid w:val="00343763"/>
    <w:rsid w:val="0034420A"/>
    <w:rsid w:val="00345437"/>
    <w:rsid w:val="00345946"/>
    <w:rsid w:val="00345A72"/>
    <w:rsid w:val="00347D1A"/>
    <w:rsid w:val="00350E10"/>
    <w:rsid w:val="00351B30"/>
    <w:rsid w:val="00352905"/>
    <w:rsid w:val="00354EBF"/>
    <w:rsid w:val="00355321"/>
    <w:rsid w:val="0035537D"/>
    <w:rsid w:val="00355CA8"/>
    <w:rsid w:val="003578A6"/>
    <w:rsid w:val="00360034"/>
    <w:rsid w:val="003616B6"/>
    <w:rsid w:val="00362368"/>
    <w:rsid w:val="003624B0"/>
    <w:rsid w:val="00362955"/>
    <w:rsid w:val="003629B1"/>
    <w:rsid w:val="00362FA1"/>
    <w:rsid w:val="00365445"/>
    <w:rsid w:val="00366093"/>
    <w:rsid w:val="003666FF"/>
    <w:rsid w:val="00366BD9"/>
    <w:rsid w:val="0036729C"/>
    <w:rsid w:val="003675A7"/>
    <w:rsid w:val="003706FD"/>
    <w:rsid w:val="0037289E"/>
    <w:rsid w:val="00372E7F"/>
    <w:rsid w:val="0037521B"/>
    <w:rsid w:val="00376D30"/>
    <w:rsid w:val="00377351"/>
    <w:rsid w:val="003777B2"/>
    <w:rsid w:val="0038071C"/>
    <w:rsid w:val="003823E4"/>
    <w:rsid w:val="00382516"/>
    <w:rsid w:val="00385F83"/>
    <w:rsid w:val="003862B5"/>
    <w:rsid w:val="003872D9"/>
    <w:rsid w:val="00390205"/>
    <w:rsid w:val="00390DDD"/>
    <w:rsid w:val="0039135B"/>
    <w:rsid w:val="00391F12"/>
    <w:rsid w:val="003927AC"/>
    <w:rsid w:val="00392C48"/>
    <w:rsid w:val="00392CE0"/>
    <w:rsid w:val="00396A42"/>
    <w:rsid w:val="003970FD"/>
    <w:rsid w:val="003A1C9F"/>
    <w:rsid w:val="003A1E47"/>
    <w:rsid w:val="003A37CB"/>
    <w:rsid w:val="003A4629"/>
    <w:rsid w:val="003A46D0"/>
    <w:rsid w:val="003A48E8"/>
    <w:rsid w:val="003A5543"/>
    <w:rsid w:val="003A5A96"/>
    <w:rsid w:val="003A78EA"/>
    <w:rsid w:val="003A7FAD"/>
    <w:rsid w:val="003B1004"/>
    <w:rsid w:val="003B17D1"/>
    <w:rsid w:val="003B3D76"/>
    <w:rsid w:val="003B5F5F"/>
    <w:rsid w:val="003C16C5"/>
    <w:rsid w:val="003C272B"/>
    <w:rsid w:val="003C2787"/>
    <w:rsid w:val="003C2881"/>
    <w:rsid w:val="003C5D8F"/>
    <w:rsid w:val="003C68DC"/>
    <w:rsid w:val="003D0063"/>
    <w:rsid w:val="003D0C60"/>
    <w:rsid w:val="003D3DFD"/>
    <w:rsid w:val="003D4A0E"/>
    <w:rsid w:val="003D5D1D"/>
    <w:rsid w:val="003D770E"/>
    <w:rsid w:val="003D7C83"/>
    <w:rsid w:val="003E0CB4"/>
    <w:rsid w:val="003E2965"/>
    <w:rsid w:val="003E45A1"/>
    <w:rsid w:val="003E74F0"/>
    <w:rsid w:val="003E7A05"/>
    <w:rsid w:val="003F04F6"/>
    <w:rsid w:val="003F2693"/>
    <w:rsid w:val="003F353D"/>
    <w:rsid w:val="003F36CA"/>
    <w:rsid w:val="003F45C1"/>
    <w:rsid w:val="003F51C7"/>
    <w:rsid w:val="003F5C5F"/>
    <w:rsid w:val="003F616A"/>
    <w:rsid w:val="00400155"/>
    <w:rsid w:val="00401073"/>
    <w:rsid w:val="0040242B"/>
    <w:rsid w:val="0040312A"/>
    <w:rsid w:val="004044A6"/>
    <w:rsid w:val="00404EF6"/>
    <w:rsid w:val="00405D6F"/>
    <w:rsid w:val="0040611D"/>
    <w:rsid w:val="004063B8"/>
    <w:rsid w:val="00406800"/>
    <w:rsid w:val="0040778C"/>
    <w:rsid w:val="0040791B"/>
    <w:rsid w:val="004103D9"/>
    <w:rsid w:val="004118D7"/>
    <w:rsid w:val="00411F32"/>
    <w:rsid w:val="00412199"/>
    <w:rsid w:val="004122AF"/>
    <w:rsid w:val="00412763"/>
    <w:rsid w:val="00413859"/>
    <w:rsid w:val="004140E2"/>
    <w:rsid w:val="004158E4"/>
    <w:rsid w:val="00416040"/>
    <w:rsid w:val="0041652D"/>
    <w:rsid w:val="004205A6"/>
    <w:rsid w:val="00420C20"/>
    <w:rsid w:val="00420C64"/>
    <w:rsid w:val="00424351"/>
    <w:rsid w:val="00425074"/>
    <w:rsid w:val="00425B22"/>
    <w:rsid w:val="00426486"/>
    <w:rsid w:val="0043028A"/>
    <w:rsid w:val="00430719"/>
    <w:rsid w:val="004307C4"/>
    <w:rsid w:val="00432722"/>
    <w:rsid w:val="00433746"/>
    <w:rsid w:val="00433A52"/>
    <w:rsid w:val="00434B26"/>
    <w:rsid w:val="00434BBB"/>
    <w:rsid w:val="00434ED1"/>
    <w:rsid w:val="00435373"/>
    <w:rsid w:val="0043685B"/>
    <w:rsid w:val="0043783B"/>
    <w:rsid w:val="00440E60"/>
    <w:rsid w:val="0044520D"/>
    <w:rsid w:val="00445F49"/>
    <w:rsid w:val="00446BFF"/>
    <w:rsid w:val="00447B04"/>
    <w:rsid w:val="004504E4"/>
    <w:rsid w:val="00451607"/>
    <w:rsid w:val="0045516B"/>
    <w:rsid w:val="00457E59"/>
    <w:rsid w:val="0046120E"/>
    <w:rsid w:val="00462271"/>
    <w:rsid w:val="0046258A"/>
    <w:rsid w:val="00463DE6"/>
    <w:rsid w:val="004648E4"/>
    <w:rsid w:val="00466628"/>
    <w:rsid w:val="00466DBB"/>
    <w:rsid w:val="004701E4"/>
    <w:rsid w:val="00470D18"/>
    <w:rsid w:val="00471167"/>
    <w:rsid w:val="00471498"/>
    <w:rsid w:val="00471B76"/>
    <w:rsid w:val="00471D78"/>
    <w:rsid w:val="00471F08"/>
    <w:rsid w:val="004730BD"/>
    <w:rsid w:val="00475ACD"/>
    <w:rsid w:val="00476849"/>
    <w:rsid w:val="004777B3"/>
    <w:rsid w:val="004806A9"/>
    <w:rsid w:val="0048155D"/>
    <w:rsid w:val="00482BD1"/>
    <w:rsid w:val="00482F41"/>
    <w:rsid w:val="00484006"/>
    <w:rsid w:val="0048408E"/>
    <w:rsid w:val="00484D32"/>
    <w:rsid w:val="00484E38"/>
    <w:rsid w:val="0048518E"/>
    <w:rsid w:val="004851F0"/>
    <w:rsid w:val="00485F70"/>
    <w:rsid w:val="0048722F"/>
    <w:rsid w:val="00490AD2"/>
    <w:rsid w:val="00490ADA"/>
    <w:rsid w:val="004929B1"/>
    <w:rsid w:val="004939A1"/>
    <w:rsid w:val="00493B3D"/>
    <w:rsid w:val="00495656"/>
    <w:rsid w:val="004962FA"/>
    <w:rsid w:val="00497986"/>
    <w:rsid w:val="00497B13"/>
    <w:rsid w:val="004A1163"/>
    <w:rsid w:val="004A14B1"/>
    <w:rsid w:val="004A1DB5"/>
    <w:rsid w:val="004A290E"/>
    <w:rsid w:val="004A31B2"/>
    <w:rsid w:val="004A6E4A"/>
    <w:rsid w:val="004A6E96"/>
    <w:rsid w:val="004A7E26"/>
    <w:rsid w:val="004B0256"/>
    <w:rsid w:val="004B2105"/>
    <w:rsid w:val="004B3641"/>
    <w:rsid w:val="004B3F88"/>
    <w:rsid w:val="004B4F02"/>
    <w:rsid w:val="004C0065"/>
    <w:rsid w:val="004C0498"/>
    <w:rsid w:val="004C0DBE"/>
    <w:rsid w:val="004C30A9"/>
    <w:rsid w:val="004C30F4"/>
    <w:rsid w:val="004C4E52"/>
    <w:rsid w:val="004C5917"/>
    <w:rsid w:val="004C68E3"/>
    <w:rsid w:val="004C7272"/>
    <w:rsid w:val="004C7DB6"/>
    <w:rsid w:val="004D03A0"/>
    <w:rsid w:val="004D297F"/>
    <w:rsid w:val="004D5AAB"/>
    <w:rsid w:val="004D5B4C"/>
    <w:rsid w:val="004D67BF"/>
    <w:rsid w:val="004E05AF"/>
    <w:rsid w:val="004E2F9F"/>
    <w:rsid w:val="004E3054"/>
    <w:rsid w:val="004E30BA"/>
    <w:rsid w:val="004E5642"/>
    <w:rsid w:val="004E5CAF"/>
    <w:rsid w:val="004F1594"/>
    <w:rsid w:val="004F2347"/>
    <w:rsid w:val="004F2B6F"/>
    <w:rsid w:val="004F2F02"/>
    <w:rsid w:val="004F3AB7"/>
    <w:rsid w:val="004F64FD"/>
    <w:rsid w:val="004F75A6"/>
    <w:rsid w:val="00500567"/>
    <w:rsid w:val="00500F76"/>
    <w:rsid w:val="005021F2"/>
    <w:rsid w:val="00502CA7"/>
    <w:rsid w:val="005034F5"/>
    <w:rsid w:val="005052B2"/>
    <w:rsid w:val="00507F0C"/>
    <w:rsid w:val="00510249"/>
    <w:rsid w:val="00510772"/>
    <w:rsid w:val="005126BD"/>
    <w:rsid w:val="00513AF8"/>
    <w:rsid w:val="00513AFE"/>
    <w:rsid w:val="00514871"/>
    <w:rsid w:val="00515593"/>
    <w:rsid w:val="00515BC5"/>
    <w:rsid w:val="00515BE2"/>
    <w:rsid w:val="00516008"/>
    <w:rsid w:val="005165BF"/>
    <w:rsid w:val="00516AA0"/>
    <w:rsid w:val="00520502"/>
    <w:rsid w:val="005213C6"/>
    <w:rsid w:val="005220C6"/>
    <w:rsid w:val="0052310F"/>
    <w:rsid w:val="00523A2F"/>
    <w:rsid w:val="005268D5"/>
    <w:rsid w:val="005309A4"/>
    <w:rsid w:val="00530EBA"/>
    <w:rsid w:val="00530FFC"/>
    <w:rsid w:val="00531BBD"/>
    <w:rsid w:val="00532136"/>
    <w:rsid w:val="005323D4"/>
    <w:rsid w:val="00533A26"/>
    <w:rsid w:val="00533E62"/>
    <w:rsid w:val="00533FE9"/>
    <w:rsid w:val="005359E8"/>
    <w:rsid w:val="00537090"/>
    <w:rsid w:val="00537720"/>
    <w:rsid w:val="00537809"/>
    <w:rsid w:val="00537A93"/>
    <w:rsid w:val="00540814"/>
    <w:rsid w:val="00541933"/>
    <w:rsid w:val="005419E1"/>
    <w:rsid w:val="00541A10"/>
    <w:rsid w:val="00542572"/>
    <w:rsid w:val="0054293B"/>
    <w:rsid w:val="005440A4"/>
    <w:rsid w:val="00544437"/>
    <w:rsid w:val="00545556"/>
    <w:rsid w:val="00546EEA"/>
    <w:rsid w:val="005474C9"/>
    <w:rsid w:val="005479DD"/>
    <w:rsid w:val="00550419"/>
    <w:rsid w:val="00551649"/>
    <w:rsid w:val="005522D9"/>
    <w:rsid w:val="005528C0"/>
    <w:rsid w:val="00552EB0"/>
    <w:rsid w:val="005550BE"/>
    <w:rsid w:val="0055737C"/>
    <w:rsid w:val="005601B6"/>
    <w:rsid w:val="00560D04"/>
    <w:rsid w:val="00561332"/>
    <w:rsid w:val="00561EBE"/>
    <w:rsid w:val="0056235A"/>
    <w:rsid w:val="00562957"/>
    <w:rsid w:val="00563120"/>
    <w:rsid w:val="00564294"/>
    <w:rsid w:val="00567DD4"/>
    <w:rsid w:val="00567F16"/>
    <w:rsid w:val="00570067"/>
    <w:rsid w:val="00570CA5"/>
    <w:rsid w:val="00571310"/>
    <w:rsid w:val="00571CC8"/>
    <w:rsid w:val="00574609"/>
    <w:rsid w:val="00574760"/>
    <w:rsid w:val="005752D3"/>
    <w:rsid w:val="005756D3"/>
    <w:rsid w:val="00577274"/>
    <w:rsid w:val="00577A3F"/>
    <w:rsid w:val="00577C83"/>
    <w:rsid w:val="00577F8E"/>
    <w:rsid w:val="00580228"/>
    <w:rsid w:val="0058367F"/>
    <w:rsid w:val="005840C4"/>
    <w:rsid w:val="00584576"/>
    <w:rsid w:val="00585EFC"/>
    <w:rsid w:val="00586F37"/>
    <w:rsid w:val="0058715C"/>
    <w:rsid w:val="0059009F"/>
    <w:rsid w:val="005909DA"/>
    <w:rsid w:val="00591155"/>
    <w:rsid w:val="00591484"/>
    <w:rsid w:val="00592297"/>
    <w:rsid w:val="00595D73"/>
    <w:rsid w:val="00597155"/>
    <w:rsid w:val="00597528"/>
    <w:rsid w:val="00597E93"/>
    <w:rsid w:val="005A092E"/>
    <w:rsid w:val="005A12BA"/>
    <w:rsid w:val="005A162D"/>
    <w:rsid w:val="005A1CF7"/>
    <w:rsid w:val="005A2290"/>
    <w:rsid w:val="005A3863"/>
    <w:rsid w:val="005A4762"/>
    <w:rsid w:val="005A4BB1"/>
    <w:rsid w:val="005A4F84"/>
    <w:rsid w:val="005A5229"/>
    <w:rsid w:val="005A557D"/>
    <w:rsid w:val="005A5944"/>
    <w:rsid w:val="005A5C5E"/>
    <w:rsid w:val="005A7158"/>
    <w:rsid w:val="005A7340"/>
    <w:rsid w:val="005A755C"/>
    <w:rsid w:val="005B0343"/>
    <w:rsid w:val="005B14B5"/>
    <w:rsid w:val="005B2535"/>
    <w:rsid w:val="005B2763"/>
    <w:rsid w:val="005B2CEE"/>
    <w:rsid w:val="005B327E"/>
    <w:rsid w:val="005B4427"/>
    <w:rsid w:val="005B4E09"/>
    <w:rsid w:val="005B5ED9"/>
    <w:rsid w:val="005C1290"/>
    <w:rsid w:val="005C2619"/>
    <w:rsid w:val="005C332E"/>
    <w:rsid w:val="005C3B69"/>
    <w:rsid w:val="005C512E"/>
    <w:rsid w:val="005C5227"/>
    <w:rsid w:val="005C57E0"/>
    <w:rsid w:val="005C6D13"/>
    <w:rsid w:val="005C7339"/>
    <w:rsid w:val="005C7C81"/>
    <w:rsid w:val="005D04FC"/>
    <w:rsid w:val="005D05FB"/>
    <w:rsid w:val="005D169A"/>
    <w:rsid w:val="005D3154"/>
    <w:rsid w:val="005D4E47"/>
    <w:rsid w:val="005D5B89"/>
    <w:rsid w:val="005D6175"/>
    <w:rsid w:val="005D7442"/>
    <w:rsid w:val="005E19A7"/>
    <w:rsid w:val="005E25D9"/>
    <w:rsid w:val="005E2C8E"/>
    <w:rsid w:val="005E337D"/>
    <w:rsid w:val="005E4D8B"/>
    <w:rsid w:val="005E6BC9"/>
    <w:rsid w:val="005E6F33"/>
    <w:rsid w:val="005E789F"/>
    <w:rsid w:val="005F26B1"/>
    <w:rsid w:val="005F354E"/>
    <w:rsid w:val="005F3986"/>
    <w:rsid w:val="005F4237"/>
    <w:rsid w:val="005F453E"/>
    <w:rsid w:val="005F4903"/>
    <w:rsid w:val="005F631D"/>
    <w:rsid w:val="005F6D77"/>
    <w:rsid w:val="005F75B8"/>
    <w:rsid w:val="006013E2"/>
    <w:rsid w:val="00602466"/>
    <w:rsid w:val="00602507"/>
    <w:rsid w:val="00602B8E"/>
    <w:rsid w:val="0060445F"/>
    <w:rsid w:val="00604E89"/>
    <w:rsid w:val="0060508E"/>
    <w:rsid w:val="00605B21"/>
    <w:rsid w:val="00606BBE"/>
    <w:rsid w:val="0061036E"/>
    <w:rsid w:val="006106B3"/>
    <w:rsid w:val="006107C8"/>
    <w:rsid w:val="00611B1B"/>
    <w:rsid w:val="006126D5"/>
    <w:rsid w:val="00612E47"/>
    <w:rsid w:val="006145C4"/>
    <w:rsid w:val="00614763"/>
    <w:rsid w:val="00614D2D"/>
    <w:rsid w:val="00615F15"/>
    <w:rsid w:val="00620EA3"/>
    <w:rsid w:val="0062251C"/>
    <w:rsid w:val="00622644"/>
    <w:rsid w:val="00624561"/>
    <w:rsid w:val="00624826"/>
    <w:rsid w:val="00624CAB"/>
    <w:rsid w:val="00624D25"/>
    <w:rsid w:val="006256FB"/>
    <w:rsid w:val="00625AB8"/>
    <w:rsid w:val="00625CB8"/>
    <w:rsid w:val="0062607F"/>
    <w:rsid w:val="00627832"/>
    <w:rsid w:val="00627961"/>
    <w:rsid w:val="00627F50"/>
    <w:rsid w:val="00630187"/>
    <w:rsid w:val="006313C1"/>
    <w:rsid w:val="006323F4"/>
    <w:rsid w:val="00634452"/>
    <w:rsid w:val="00634EE2"/>
    <w:rsid w:val="0063573D"/>
    <w:rsid w:val="00636128"/>
    <w:rsid w:val="0063683E"/>
    <w:rsid w:val="00636BF7"/>
    <w:rsid w:val="0063788D"/>
    <w:rsid w:val="0064109B"/>
    <w:rsid w:val="00641FA5"/>
    <w:rsid w:val="006421F7"/>
    <w:rsid w:val="00643793"/>
    <w:rsid w:val="006448F0"/>
    <w:rsid w:val="00644CC0"/>
    <w:rsid w:val="00644F06"/>
    <w:rsid w:val="00645A79"/>
    <w:rsid w:val="00646303"/>
    <w:rsid w:val="0064762E"/>
    <w:rsid w:val="00647EED"/>
    <w:rsid w:val="00650215"/>
    <w:rsid w:val="006513EC"/>
    <w:rsid w:val="00651DA6"/>
    <w:rsid w:val="00653CA4"/>
    <w:rsid w:val="006542DF"/>
    <w:rsid w:val="00655212"/>
    <w:rsid w:val="00655525"/>
    <w:rsid w:val="006563D4"/>
    <w:rsid w:val="006568CD"/>
    <w:rsid w:val="006571F2"/>
    <w:rsid w:val="00657DCC"/>
    <w:rsid w:val="0066062A"/>
    <w:rsid w:val="006614AE"/>
    <w:rsid w:val="00661CB6"/>
    <w:rsid w:val="00663680"/>
    <w:rsid w:val="00663CF6"/>
    <w:rsid w:val="00664DD7"/>
    <w:rsid w:val="006657FA"/>
    <w:rsid w:val="00665A48"/>
    <w:rsid w:val="00671AA4"/>
    <w:rsid w:val="00671BE2"/>
    <w:rsid w:val="00672049"/>
    <w:rsid w:val="006722CC"/>
    <w:rsid w:val="00674D54"/>
    <w:rsid w:val="006761A7"/>
    <w:rsid w:val="0067632E"/>
    <w:rsid w:val="0067779C"/>
    <w:rsid w:val="00680141"/>
    <w:rsid w:val="00680971"/>
    <w:rsid w:val="00681BB0"/>
    <w:rsid w:val="00683465"/>
    <w:rsid w:val="006838A1"/>
    <w:rsid w:val="00684532"/>
    <w:rsid w:val="006850CC"/>
    <w:rsid w:val="00690743"/>
    <w:rsid w:val="00691D0C"/>
    <w:rsid w:val="00692B6B"/>
    <w:rsid w:val="00692C58"/>
    <w:rsid w:val="006962A6"/>
    <w:rsid w:val="00696773"/>
    <w:rsid w:val="00696E97"/>
    <w:rsid w:val="0069795C"/>
    <w:rsid w:val="00697E42"/>
    <w:rsid w:val="006A0393"/>
    <w:rsid w:val="006A116B"/>
    <w:rsid w:val="006A13D0"/>
    <w:rsid w:val="006A1BFE"/>
    <w:rsid w:val="006A27D1"/>
    <w:rsid w:val="006A2AA5"/>
    <w:rsid w:val="006A2B84"/>
    <w:rsid w:val="006A2DB4"/>
    <w:rsid w:val="006A38C4"/>
    <w:rsid w:val="006A42D6"/>
    <w:rsid w:val="006A4CEC"/>
    <w:rsid w:val="006A6828"/>
    <w:rsid w:val="006A6E93"/>
    <w:rsid w:val="006A7557"/>
    <w:rsid w:val="006A7CF1"/>
    <w:rsid w:val="006A7D5A"/>
    <w:rsid w:val="006A7E19"/>
    <w:rsid w:val="006B0506"/>
    <w:rsid w:val="006B156A"/>
    <w:rsid w:val="006B202E"/>
    <w:rsid w:val="006B281A"/>
    <w:rsid w:val="006B42DB"/>
    <w:rsid w:val="006B4381"/>
    <w:rsid w:val="006B5A24"/>
    <w:rsid w:val="006B6ABD"/>
    <w:rsid w:val="006C1703"/>
    <w:rsid w:val="006C177B"/>
    <w:rsid w:val="006C1882"/>
    <w:rsid w:val="006C1DCE"/>
    <w:rsid w:val="006C22F0"/>
    <w:rsid w:val="006C267D"/>
    <w:rsid w:val="006C29C5"/>
    <w:rsid w:val="006C2FFB"/>
    <w:rsid w:val="006C39B4"/>
    <w:rsid w:val="006C4CFD"/>
    <w:rsid w:val="006C4FED"/>
    <w:rsid w:val="006C55C5"/>
    <w:rsid w:val="006C7B4F"/>
    <w:rsid w:val="006D04FB"/>
    <w:rsid w:val="006D0A58"/>
    <w:rsid w:val="006D15C0"/>
    <w:rsid w:val="006D1F2B"/>
    <w:rsid w:val="006D2100"/>
    <w:rsid w:val="006D21D7"/>
    <w:rsid w:val="006D3C30"/>
    <w:rsid w:val="006D47CA"/>
    <w:rsid w:val="006D4DBA"/>
    <w:rsid w:val="006D61F7"/>
    <w:rsid w:val="006D6AEB"/>
    <w:rsid w:val="006D7B1D"/>
    <w:rsid w:val="006E0D31"/>
    <w:rsid w:val="006E0F43"/>
    <w:rsid w:val="006E1DF3"/>
    <w:rsid w:val="006E3E34"/>
    <w:rsid w:val="006E7AEF"/>
    <w:rsid w:val="006F0ABE"/>
    <w:rsid w:val="006F1CCE"/>
    <w:rsid w:val="006F2FED"/>
    <w:rsid w:val="006F34BC"/>
    <w:rsid w:val="006F5D5E"/>
    <w:rsid w:val="006F6A20"/>
    <w:rsid w:val="00700157"/>
    <w:rsid w:val="00702148"/>
    <w:rsid w:val="00703A78"/>
    <w:rsid w:val="00706FAA"/>
    <w:rsid w:val="00707850"/>
    <w:rsid w:val="0071051A"/>
    <w:rsid w:val="00711667"/>
    <w:rsid w:val="00711850"/>
    <w:rsid w:val="007118B7"/>
    <w:rsid w:val="00711B06"/>
    <w:rsid w:val="00711EC7"/>
    <w:rsid w:val="00712F63"/>
    <w:rsid w:val="00712FBD"/>
    <w:rsid w:val="00714D5A"/>
    <w:rsid w:val="00720113"/>
    <w:rsid w:val="007219B0"/>
    <w:rsid w:val="00722C42"/>
    <w:rsid w:val="00723C2A"/>
    <w:rsid w:val="00724011"/>
    <w:rsid w:val="00725B6C"/>
    <w:rsid w:val="007274F8"/>
    <w:rsid w:val="0072791E"/>
    <w:rsid w:val="00727E77"/>
    <w:rsid w:val="00730C98"/>
    <w:rsid w:val="00732650"/>
    <w:rsid w:val="00733D9E"/>
    <w:rsid w:val="0073444A"/>
    <w:rsid w:val="00734D5B"/>
    <w:rsid w:val="00735080"/>
    <w:rsid w:val="007358D6"/>
    <w:rsid w:val="00735B52"/>
    <w:rsid w:val="00736659"/>
    <w:rsid w:val="00736A2A"/>
    <w:rsid w:val="00736F33"/>
    <w:rsid w:val="00740C0E"/>
    <w:rsid w:val="00741E4D"/>
    <w:rsid w:val="00742804"/>
    <w:rsid w:val="0074304E"/>
    <w:rsid w:val="00743558"/>
    <w:rsid w:val="00743CBF"/>
    <w:rsid w:val="007440C5"/>
    <w:rsid w:val="007442C8"/>
    <w:rsid w:val="007447D2"/>
    <w:rsid w:val="00745CFF"/>
    <w:rsid w:val="00751718"/>
    <w:rsid w:val="00751AD4"/>
    <w:rsid w:val="00751D31"/>
    <w:rsid w:val="00752CFC"/>
    <w:rsid w:val="00754068"/>
    <w:rsid w:val="0075479E"/>
    <w:rsid w:val="00755391"/>
    <w:rsid w:val="0075544A"/>
    <w:rsid w:val="007559C5"/>
    <w:rsid w:val="00756F43"/>
    <w:rsid w:val="00760CAF"/>
    <w:rsid w:val="00761F06"/>
    <w:rsid w:val="00762BF4"/>
    <w:rsid w:val="00763B51"/>
    <w:rsid w:val="007667B0"/>
    <w:rsid w:val="00767B94"/>
    <w:rsid w:val="00767D66"/>
    <w:rsid w:val="007708D6"/>
    <w:rsid w:val="007711A3"/>
    <w:rsid w:val="00771E1E"/>
    <w:rsid w:val="0077217E"/>
    <w:rsid w:val="007723AD"/>
    <w:rsid w:val="00773AA0"/>
    <w:rsid w:val="0077545B"/>
    <w:rsid w:val="00776203"/>
    <w:rsid w:val="00777A6A"/>
    <w:rsid w:val="007820A7"/>
    <w:rsid w:val="00783159"/>
    <w:rsid w:val="00783EDB"/>
    <w:rsid w:val="0078423F"/>
    <w:rsid w:val="00785BC8"/>
    <w:rsid w:val="00786D01"/>
    <w:rsid w:val="00787EBA"/>
    <w:rsid w:val="00790FDC"/>
    <w:rsid w:val="00791CCF"/>
    <w:rsid w:val="00792215"/>
    <w:rsid w:val="00792647"/>
    <w:rsid w:val="00792954"/>
    <w:rsid w:val="007930BD"/>
    <w:rsid w:val="00794F1B"/>
    <w:rsid w:val="007955BA"/>
    <w:rsid w:val="0079639D"/>
    <w:rsid w:val="00796844"/>
    <w:rsid w:val="00797AB2"/>
    <w:rsid w:val="007A04CA"/>
    <w:rsid w:val="007A1D6A"/>
    <w:rsid w:val="007A2A6A"/>
    <w:rsid w:val="007A33B0"/>
    <w:rsid w:val="007A4477"/>
    <w:rsid w:val="007A6588"/>
    <w:rsid w:val="007B072D"/>
    <w:rsid w:val="007B3272"/>
    <w:rsid w:val="007B3CA0"/>
    <w:rsid w:val="007B4BCD"/>
    <w:rsid w:val="007B4C6E"/>
    <w:rsid w:val="007B6385"/>
    <w:rsid w:val="007B64E1"/>
    <w:rsid w:val="007B7853"/>
    <w:rsid w:val="007C05E7"/>
    <w:rsid w:val="007C0D43"/>
    <w:rsid w:val="007C1B7F"/>
    <w:rsid w:val="007C1EDB"/>
    <w:rsid w:val="007C216A"/>
    <w:rsid w:val="007C39A6"/>
    <w:rsid w:val="007C4DA2"/>
    <w:rsid w:val="007C5693"/>
    <w:rsid w:val="007C5B30"/>
    <w:rsid w:val="007C643F"/>
    <w:rsid w:val="007C6966"/>
    <w:rsid w:val="007C730C"/>
    <w:rsid w:val="007C7C1A"/>
    <w:rsid w:val="007D0F47"/>
    <w:rsid w:val="007D14C0"/>
    <w:rsid w:val="007D1B5E"/>
    <w:rsid w:val="007D24DF"/>
    <w:rsid w:val="007D6149"/>
    <w:rsid w:val="007D68B1"/>
    <w:rsid w:val="007D718B"/>
    <w:rsid w:val="007D7347"/>
    <w:rsid w:val="007D7C70"/>
    <w:rsid w:val="007E2CB1"/>
    <w:rsid w:val="007E421A"/>
    <w:rsid w:val="007E4AA0"/>
    <w:rsid w:val="007E53E8"/>
    <w:rsid w:val="007E5E25"/>
    <w:rsid w:val="007E5FE6"/>
    <w:rsid w:val="007E6253"/>
    <w:rsid w:val="007E6388"/>
    <w:rsid w:val="007E6777"/>
    <w:rsid w:val="007E6E6E"/>
    <w:rsid w:val="007E6F6C"/>
    <w:rsid w:val="007E6F98"/>
    <w:rsid w:val="007E7AFC"/>
    <w:rsid w:val="007F1254"/>
    <w:rsid w:val="007F1B1A"/>
    <w:rsid w:val="007F24D3"/>
    <w:rsid w:val="007F2C7A"/>
    <w:rsid w:val="007F370F"/>
    <w:rsid w:val="007F4F03"/>
    <w:rsid w:val="007F4FCC"/>
    <w:rsid w:val="007F5612"/>
    <w:rsid w:val="007F5D45"/>
    <w:rsid w:val="007F651B"/>
    <w:rsid w:val="007F70EF"/>
    <w:rsid w:val="0080145C"/>
    <w:rsid w:val="008020FE"/>
    <w:rsid w:val="00803AB2"/>
    <w:rsid w:val="00803AB7"/>
    <w:rsid w:val="00803E22"/>
    <w:rsid w:val="00804C0B"/>
    <w:rsid w:val="00804E45"/>
    <w:rsid w:val="00806C6B"/>
    <w:rsid w:val="00807695"/>
    <w:rsid w:val="00807A16"/>
    <w:rsid w:val="00807F46"/>
    <w:rsid w:val="008102ED"/>
    <w:rsid w:val="008105E7"/>
    <w:rsid w:val="00811D58"/>
    <w:rsid w:val="00812D95"/>
    <w:rsid w:val="008133E4"/>
    <w:rsid w:val="00815153"/>
    <w:rsid w:val="008156ED"/>
    <w:rsid w:val="00815D82"/>
    <w:rsid w:val="0081667F"/>
    <w:rsid w:val="0082030B"/>
    <w:rsid w:val="00822D27"/>
    <w:rsid w:val="008236A5"/>
    <w:rsid w:val="008246FD"/>
    <w:rsid w:val="00824894"/>
    <w:rsid w:val="00825463"/>
    <w:rsid w:val="00825A40"/>
    <w:rsid w:val="00825DB9"/>
    <w:rsid w:val="00826B64"/>
    <w:rsid w:val="00830049"/>
    <w:rsid w:val="00834919"/>
    <w:rsid w:val="008354DF"/>
    <w:rsid w:val="008359A5"/>
    <w:rsid w:val="00835E7F"/>
    <w:rsid w:val="00836164"/>
    <w:rsid w:val="008363C2"/>
    <w:rsid w:val="008365CC"/>
    <w:rsid w:val="00836C7A"/>
    <w:rsid w:val="008374E2"/>
    <w:rsid w:val="00837DA1"/>
    <w:rsid w:val="008415C1"/>
    <w:rsid w:val="008426C3"/>
    <w:rsid w:val="00842708"/>
    <w:rsid w:val="00843405"/>
    <w:rsid w:val="00843746"/>
    <w:rsid w:val="0084483E"/>
    <w:rsid w:val="00847E2F"/>
    <w:rsid w:val="008500B5"/>
    <w:rsid w:val="0085153E"/>
    <w:rsid w:val="0085170A"/>
    <w:rsid w:val="00853195"/>
    <w:rsid w:val="00854586"/>
    <w:rsid w:val="00854627"/>
    <w:rsid w:val="008562D5"/>
    <w:rsid w:val="008568B6"/>
    <w:rsid w:val="00856CE9"/>
    <w:rsid w:val="008572B4"/>
    <w:rsid w:val="008609FE"/>
    <w:rsid w:val="008623EF"/>
    <w:rsid w:val="00862566"/>
    <w:rsid w:val="008643E8"/>
    <w:rsid w:val="008644C8"/>
    <w:rsid w:val="008644F1"/>
    <w:rsid w:val="0086556E"/>
    <w:rsid w:val="00865D28"/>
    <w:rsid w:val="00865DFF"/>
    <w:rsid w:val="008670C8"/>
    <w:rsid w:val="00867300"/>
    <w:rsid w:val="008702B8"/>
    <w:rsid w:val="008703B7"/>
    <w:rsid w:val="00870759"/>
    <w:rsid w:val="00870FFE"/>
    <w:rsid w:val="0087101F"/>
    <w:rsid w:val="0087260E"/>
    <w:rsid w:val="0087355E"/>
    <w:rsid w:val="00874D3B"/>
    <w:rsid w:val="008752A3"/>
    <w:rsid w:val="00875CF1"/>
    <w:rsid w:val="0087663C"/>
    <w:rsid w:val="00877277"/>
    <w:rsid w:val="0088046F"/>
    <w:rsid w:val="00880E00"/>
    <w:rsid w:val="00881CD1"/>
    <w:rsid w:val="00881E4C"/>
    <w:rsid w:val="008829B6"/>
    <w:rsid w:val="00883BBC"/>
    <w:rsid w:val="00883E54"/>
    <w:rsid w:val="00884135"/>
    <w:rsid w:val="00885135"/>
    <w:rsid w:val="0088531E"/>
    <w:rsid w:val="00885F45"/>
    <w:rsid w:val="008869EC"/>
    <w:rsid w:val="0088721D"/>
    <w:rsid w:val="00890AF9"/>
    <w:rsid w:val="0089150B"/>
    <w:rsid w:val="00891CE1"/>
    <w:rsid w:val="00892A33"/>
    <w:rsid w:val="00892A7C"/>
    <w:rsid w:val="0089321C"/>
    <w:rsid w:val="008935FA"/>
    <w:rsid w:val="00895347"/>
    <w:rsid w:val="00896C46"/>
    <w:rsid w:val="008A2964"/>
    <w:rsid w:val="008A328F"/>
    <w:rsid w:val="008A43A2"/>
    <w:rsid w:val="008A4F17"/>
    <w:rsid w:val="008A6E6F"/>
    <w:rsid w:val="008A75BD"/>
    <w:rsid w:val="008B0EB8"/>
    <w:rsid w:val="008B14FF"/>
    <w:rsid w:val="008B1F98"/>
    <w:rsid w:val="008B2202"/>
    <w:rsid w:val="008B2403"/>
    <w:rsid w:val="008B272E"/>
    <w:rsid w:val="008B296B"/>
    <w:rsid w:val="008B4729"/>
    <w:rsid w:val="008B479E"/>
    <w:rsid w:val="008B5D45"/>
    <w:rsid w:val="008B6A0E"/>
    <w:rsid w:val="008B71CA"/>
    <w:rsid w:val="008B71EE"/>
    <w:rsid w:val="008B730D"/>
    <w:rsid w:val="008B7725"/>
    <w:rsid w:val="008C076B"/>
    <w:rsid w:val="008C20C8"/>
    <w:rsid w:val="008C21D2"/>
    <w:rsid w:val="008C4624"/>
    <w:rsid w:val="008C536B"/>
    <w:rsid w:val="008C56C8"/>
    <w:rsid w:val="008C6266"/>
    <w:rsid w:val="008C63F3"/>
    <w:rsid w:val="008C763D"/>
    <w:rsid w:val="008D0DFE"/>
    <w:rsid w:val="008D3470"/>
    <w:rsid w:val="008D36A1"/>
    <w:rsid w:val="008D4E84"/>
    <w:rsid w:val="008D589E"/>
    <w:rsid w:val="008D5DCB"/>
    <w:rsid w:val="008D738A"/>
    <w:rsid w:val="008E07A8"/>
    <w:rsid w:val="008E1688"/>
    <w:rsid w:val="008E168A"/>
    <w:rsid w:val="008E17E1"/>
    <w:rsid w:val="008E29CC"/>
    <w:rsid w:val="008E442D"/>
    <w:rsid w:val="008E4599"/>
    <w:rsid w:val="008E5B3F"/>
    <w:rsid w:val="008E661C"/>
    <w:rsid w:val="008E7F3E"/>
    <w:rsid w:val="008F080B"/>
    <w:rsid w:val="008F0DC6"/>
    <w:rsid w:val="008F13E0"/>
    <w:rsid w:val="008F2DFD"/>
    <w:rsid w:val="008F5391"/>
    <w:rsid w:val="008F6534"/>
    <w:rsid w:val="008F6708"/>
    <w:rsid w:val="008F73DC"/>
    <w:rsid w:val="00900330"/>
    <w:rsid w:val="00900E8F"/>
    <w:rsid w:val="0090277E"/>
    <w:rsid w:val="00903F3F"/>
    <w:rsid w:val="009040CD"/>
    <w:rsid w:val="00904F18"/>
    <w:rsid w:val="00905143"/>
    <w:rsid w:val="00905277"/>
    <w:rsid w:val="00905605"/>
    <w:rsid w:val="00906158"/>
    <w:rsid w:val="00906479"/>
    <w:rsid w:val="009067DF"/>
    <w:rsid w:val="00906AFB"/>
    <w:rsid w:val="00906D52"/>
    <w:rsid w:val="0090700F"/>
    <w:rsid w:val="0091097A"/>
    <w:rsid w:val="00911D1C"/>
    <w:rsid w:val="00912D25"/>
    <w:rsid w:val="00913909"/>
    <w:rsid w:val="009145BD"/>
    <w:rsid w:val="00914B14"/>
    <w:rsid w:val="00916E4B"/>
    <w:rsid w:val="00920848"/>
    <w:rsid w:val="00920A24"/>
    <w:rsid w:val="00920EFF"/>
    <w:rsid w:val="00921984"/>
    <w:rsid w:val="00921A3F"/>
    <w:rsid w:val="00921BE0"/>
    <w:rsid w:val="00921F94"/>
    <w:rsid w:val="00922687"/>
    <w:rsid w:val="00922DF0"/>
    <w:rsid w:val="0092398D"/>
    <w:rsid w:val="00923CE5"/>
    <w:rsid w:val="00925B24"/>
    <w:rsid w:val="00927983"/>
    <w:rsid w:val="009307AF"/>
    <w:rsid w:val="00930A32"/>
    <w:rsid w:val="0093228A"/>
    <w:rsid w:val="009333E0"/>
    <w:rsid w:val="00933BDF"/>
    <w:rsid w:val="00934D9A"/>
    <w:rsid w:val="00936B03"/>
    <w:rsid w:val="009408AE"/>
    <w:rsid w:val="00945586"/>
    <w:rsid w:val="00945B15"/>
    <w:rsid w:val="00946645"/>
    <w:rsid w:val="00946BFC"/>
    <w:rsid w:val="00947FCF"/>
    <w:rsid w:val="009504D0"/>
    <w:rsid w:val="0095151A"/>
    <w:rsid w:val="00951862"/>
    <w:rsid w:val="00951CCF"/>
    <w:rsid w:val="00952F54"/>
    <w:rsid w:val="009534A1"/>
    <w:rsid w:val="0095446A"/>
    <w:rsid w:val="00954F68"/>
    <w:rsid w:val="009555E1"/>
    <w:rsid w:val="009559D6"/>
    <w:rsid w:val="00956176"/>
    <w:rsid w:val="009600BA"/>
    <w:rsid w:val="00960991"/>
    <w:rsid w:val="009616B5"/>
    <w:rsid w:val="00961C32"/>
    <w:rsid w:val="00963018"/>
    <w:rsid w:val="00964364"/>
    <w:rsid w:val="00965BF2"/>
    <w:rsid w:val="00966B24"/>
    <w:rsid w:val="00967A5A"/>
    <w:rsid w:val="00970DB4"/>
    <w:rsid w:val="009723D6"/>
    <w:rsid w:val="00972639"/>
    <w:rsid w:val="00973EFD"/>
    <w:rsid w:val="0097406C"/>
    <w:rsid w:val="00975407"/>
    <w:rsid w:val="0097605F"/>
    <w:rsid w:val="0097654F"/>
    <w:rsid w:val="0097662B"/>
    <w:rsid w:val="00977284"/>
    <w:rsid w:val="00977F18"/>
    <w:rsid w:val="00980D34"/>
    <w:rsid w:val="009818AD"/>
    <w:rsid w:val="00982095"/>
    <w:rsid w:val="009833BD"/>
    <w:rsid w:val="00984188"/>
    <w:rsid w:val="0098434A"/>
    <w:rsid w:val="00984C49"/>
    <w:rsid w:val="009865F0"/>
    <w:rsid w:val="00987123"/>
    <w:rsid w:val="00990819"/>
    <w:rsid w:val="009918F5"/>
    <w:rsid w:val="00991B1D"/>
    <w:rsid w:val="00991BC2"/>
    <w:rsid w:val="009921B3"/>
    <w:rsid w:val="009922F8"/>
    <w:rsid w:val="009924B9"/>
    <w:rsid w:val="00992E5A"/>
    <w:rsid w:val="0099404C"/>
    <w:rsid w:val="009945FC"/>
    <w:rsid w:val="00994BB1"/>
    <w:rsid w:val="00996CB5"/>
    <w:rsid w:val="0099740B"/>
    <w:rsid w:val="009A008B"/>
    <w:rsid w:val="009A014F"/>
    <w:rsid w:val="009A01FD"/>
    <w:rsid w:val="009A040C"/>
    <w:rsid w:val="009A1C6B"/>
    <w:rsid w:val="009A28C4"/>
    <w:rsid w:val="009A7030"/>
    <w:rsid w:val="009A7746"/>
    <w:rsid w:val="009B0D47"/>
    <w:rsid w:val="009B17A5"/>
    <w:rsid w:val="009B1A2D"/>
    <w:rsid w:val="009B20F2"/>
    <w:rsid w:val="009B3CE5"/>
    <w:rsid w:val="009B3DCC"/>
    <w:rsid w:val="009B474C"/>
    <w:rsid w:val="009B49A0"/>
    <w:rsid w:val="009B5179"/>
    <w:rsid w:val="009B6795"/>
    <w:rsid w:val="009B6FCC"/>
    <w:rsid w:val="009B7279"/>
    <w:rsid w:val="009C14DE"/>
    <w:rsid w:val="009C158A"/>
    <w:rsid w:val="009C1720"/>
    <w:rsid w:val="009C2BDA"/>
    <w:rsid w:val="009C30BF"/>
    <w:rsid w:val="009C32F3"/>
    <w:rsid w:val="009C38FE"/>
    <w:rsid w:val="009C3AAD"/>
    <w:rsid w:val="009C47D3"/>
    <w:rsid w:val="009C5BDA"/>
    <w:rsid w:val="009D0CAC"/>
    <w:rsid w:val="009D205C"/>
    <w:rsid w:val="009D2144"/>
    <w:rsid w:val="009D2CAB"/>
    <w:rsid w:val="009D3195"/>
    <w:rsid w:val="009D3536"/>
    <w:rsid w:val="009D3B09"/>
    <w:rsid w:val="009D4B8B"/>
    <w:rsid w:val="009D5AAB"/>
    <w:rsid w:val="009D6E81"/>
    <w:rsid w:val="009E1C86"/>
    <w:rsid w:val="009E2F84"/>
    <w:rsid w:val="009E2F8A"/>
    <w:rsid w:val="009E3926"/>
    <w:rsid w:val="009E594C"/>
    <w:rsid w:val="009E5F24"/>
    <w:rsid w:val="009E6CD2"/>
    <w:rsid w:val="009E6E8F"/>
    <w:rsid w:val="009E7D73"/>
    <w:rsid w:val="009E7ED8"/>
    <w:rsid w:val="009F04B8"/>
    <w:rsid w:val="009F0FED"/>
    <w:rsid w:val="009F26AF"/>
    <w:rsid w:val="009F3FD1"/>
    <w:rsid w:val="009F410C"/>
    <w:rsid w:val="009F452D"/>
    <w:rsid w:val="009F5DF1"/>
    <w:rsid w:val="009F65A5"/>
    <w:rsid w:val="009F76FE"/>
    <w:rsid w:val="00A00071"/>
    <w:rsid w:val="00A0089A"/>
    <w:rsid w:val="00A02310"/>
    <w:rsid w:val="00A032F0"/>
    <w:rsid w:val="00A03E9C"/>
    <w:rsid w:val="00A05280"/>
    <w:rsid w:val="00A0642D"/>
    <w:rsid w:val="00A078AB"/>
    <w:rsid w:val="00A103E8"/>
    <w:rsid w:val="00A109A0"/>
    <w:rsid w:val="00A114E7"/>
    <w:rsid w:val="00A11CDF"/>
    <w:rsid w:val="00A12FD1"/>
    <w:rsid w:val="00A1310E"/>
    <w:rsid w:val="00A14D33"/>
    <w:rsid w:val="00A1546F"/>
    <w:rsid w:val="00A16662"/>
    <w:rsid w:val="00A16D04"/>
    <w:rsid w:val="00A1775D"/>
    <w:rsid w:val="00A17C91"/>
    <w:rsid w:val="00A202B9"/>
    <w:rsid w:val="00A20552"/>
    <w:rsid w:val="00A227E9"/>
    <w:rsid w:val="00A22FE5"/>
    <w:rsid w:val="00A237C2"/>
    <w:rsid w:val="00A23C09"/>
    <w:rsid w:val="00A25415"/>
    <w:rsid w:val="00A26F78"/>
    <w:rsid w:val="00A27395"/>
    <w:rsid w:val="00A30E32"/>
    <w:rsid w:val="00A31400"/>
    <w:rsid w:val="00A32E02"/>
    <w:rsid w:val="00A332FD"/>
    <w:rsid w:val="00A33BBF"/>
    <w:rsid w:val="00A33CF0"/>
    <w:rsid w:val="00A346F4"/>
    <w:rsid w:val="00A34DA3"/>
    <w:rsid w:val="00A37AF6"/>
    <w:rsid w:val="00A41B49"/>
    <w:rsid w:val="00A421D9"/>
    <w:rsid w:val="00A42587"/>
    <w:rsid w:val="00A44610"/>
    <w:rsid w:val="00A450DE"/>
    <w:rsid w:val="00A4691C"/>
    <w:rsid w:val="00A47277"/>
    <w:rsid w:val="00A47996"/>
    <w:rsid w:val="00A500AD"/>
    <w:rsid w:val="00A50F71"/>
    <w:rsid w:val="00A52158"/>
    <w:rsid w:val="00A52DEF"/>
    <w:rsid w:val="00A52E6A"/>
    <w:rsid w:val="00A539F6"/>
    <w:rsid w:val="00A53A30"/>
    <w:rsid w:val="00A55CA1"/>
    <w:rsid w:val="00A6067B"/>
    <w:rsid w:val="00A609A1"/>
    <w:rsid w:val="00A60FA2"/>
    <w:rsid w:val="00A61344"/>
    <w:rsid w:val="00A61C23"/>
    <w:rsid w:val="00A62E1A"/>
    <w:rsid w:val="00A63FB7"/>
    <w:rsid w:val="00A653E2"/>
    <w:rsid w:val="00A6593E"/>
    <w:rsid w:val="00A6678F"/>
    <w:rsid w:val="00A66D98"/>
    <w:rsid w:val="00A675E5"/>
    <w:rsid w:val="00A701EF"/>
    <w:rsid w:val="00A71885"/>
    <w:rsid w:val="00A7278A"/>
    <w:rsid w:val="00A740A8"/>
    <w:rsid w:val="00A75438"/>
    <w:rsid w:val="00A75EC1"/>
    <w:rsid w:val="00A766AF"/>
    <w:rsid w:val="00A814AD"/>
    <w:rsid w:val="00A816A7"/>
    <w:rsid w:val="00A834DA"/>
    <w:rsid w:val="00A85BDB"/>
    <w:rsid w:val="00A8678A"/>
    <w:rsid w:val="00A86A34"/>
    <w:rsid w:val="00A86CDF"/>
    <w:rsid w:val="00A86DB4"/>
    <w:rsid w:val="00A90780"/>
    <w:rsid w:val="00A90D59"/>
    <w:rsid w:val="00A913F0"/>
    <w:rsid w:val="00A9255C"/>
    <w:rsid w:val="00A9262A"/>
    <w:rsid w:val="00A93406"/>
    <w:rsid w:val="00A937E7"/>
    <w:rsid w:val="00A93E17"/>
    <w:rsid w:val="00A944F3"/>
    <w:rsid w:val="00A94F2E"/>
    <w:rsid w:val="00A9567A"/>
    <w:rsid w:val="00A9591F"/>
    <w:rsid w:val="00A962CF"/>
    <w:rsid w:val="00A96372"/>
    <w:rsid w:val="00A966D7"/>
    <w:rsid w:val="00A96743"/>
    <w:rsid w:val="00AA1461"/>
    <w:rsid w:val="00AA169C"/>
    <w:rsid w:val="00AA1F87"/>
    <w:rsid w:val="00AA4E0E"/>
    <w:rsid w:val="00AA65F1"/>
    <w:rsid w:val="00AA6783"/>
    <w:rsid w:val="00AB0E7C"/>
    <w:rsid w:val="00AB17DF"/>
    <w:rsid w:val="00AB2A5B"/>
    <w:rsid w:val="00AB2BC4"/>
    <w:rsid w:val="00AB3AD1"/>
    <w:rsid w:val="00AB567F"/>
    <w:rsid w:val="00AB680E"/>
    <w:rsid w:val="00AB7712"/>
    <w:rsid w:val="00AB7929"/>
    <w:rsid w:val="00AC1449"/>
    <w:rsid w:val="00AC267D"/>
    <w:rsid w:val="00AC2CA0"/>
    <w:rsid w:val="00AC306E"/>
    <w:rsid w:val="00AC408F"/>
    <w:rsid w:val="00AC79B1"/>
    <w:rsid w:val="00AD0CF3"/>
    <w:rsid w:val="00AD474A"/>
    <w:rsid w:val="00AD4D4B"/>
    <w:rsid w:val="00AD67DB"/>
    <w:rsid w:val="00AD72F7"/>
    <w:rsid w:val="00AD741E"/>
    <w:rsid w:val="00AD7498"/>
    <w:rsid w:val="00AE2548"/>
    <w:rsid w:val="00AE2C48"/>
    <w:rsid w:val="00AE311A"/>
    <w:rsid w:val="00AE3BF0"/>
    <w:rsid w:val="00AE4BBF"/>
    <w:rsid w:val="00AE4D15"/>
    <w:rsid w:val="00AF0080"/>
    <w:rsid w:val="00AF1324"/>
    <w:rsid w:val="00AF210F"/>
    <w:rsid w:val="00AF2874"/>
    <w:rsid w:val="00AF2EA1"/>
    <w:rsid w:val="00AF32E2"/>
    <w:rsid w:val="00AF38C6"/>
    <w:rsid w:val="00AF3F81"/>
    <w:rsid w:val="00AF44C1"/>
    <w:rsid w:val="00AF5EFC"/>
    <w:rsid w:val="00AF6C5E"/>
    <w:rsid w:val="00AF6C9D"/>
    <w:rsid w:val="00B0024D"/>
    <w:rsid w:val="00B0045F"/>
    <w:rsid w:val="00B00CD3"/>
    <w:rsid w:val="00B0121C"/>
    <w:rsid w:val="00B01B97"/>
    <w:rsid w:val="00B01BCE"/>
    <w:rsid w:val="00B03A79"/>
    <w:rsid w:val="00B03DE9"/>
    <w:rsid w:val="00B03F6B"/>
    <w:rsid w:val="00B07B78"/>
    <w:rsid w:val="00B13A6C"/>
    <w:rsid w:val="00B14217"/>
    <w:rsid w:val="00B166AD"/>
    <w:rsid w:val="00B16850"/>
    <w:rsid w:val="00B1736A"/>
    <w:rsid w:val="00B1759A"/>
    <w:rsid w:val="00B17B78"/>
    <w:rsid w:val="00B20E11"/>
    <w:rsid w:val="00B21409"/>
    <w:rsid w:val="00B224EE"/>
    <w:rsid w:val="00B24355"/>
    <w:rsid w:val="00B246AF"/>
    <w:rsid w:val="00B24DA0"/>
    <w:rsid w:val="00B24E1C"/>
    <w:rsid w:val="00B251FB"/>
    <w:rsid w:val="00B254DD"/>
    <w:rsid w:val="00B26538"/>
    <w:rsid w:val="00B26E48"/>
    <w:rsid w:val="00B27965"/>
    <w:rsid w:val="00B304AD"/>
    <w:rsid w:val="00B30FEE"/>
    <w:rsid w:val="00B32F16"/>
    <w:rsid w:val="00B336F7"/>
    <w:rsid w:val="00B33B9B"/>
    <w:rsid w:val="00B33E7F"/>
    <w:rsid w:val="00B373ED"/>
    <w:rsid w:val="00B375EB"/>
    <w:rsid w:val="00B410F3"/>
    <w:rsid w:val="00B42A95"/>
    <w:rsid w:val="00B446A4"/>
    <w:rsid w:val="00B44DBD"/>
    <w:rsid w:val="00B4536C"/>
    <w:rsid w:val="00B45F75"/>
    <w:rsid w:val="00B46830"/>
    <w:rsid w:val="00B46947"/>
    <w:rsid w:val="00B473F2"/>
    <w:rsid w:val="00B478F1"/>
    <w:rsid w:val="00B50CAA"/>
    <w:rsid w:val="00B50D39"/>
    <w:rsid w:val="00B50EDE"/>
    <w:rsid w:val="00B538AB"/>
    <w:rsid w:val="00B576FF"/>
    <w:rsid w:val="00B60215"/>
    <w:rsid w:val="00B615A7"/>
    <w:rsid w:val="00B61675"/>
    <w:rsid w:val="00B62512"/>
    <w:rsid w:val="00B62A14"/>
    <w:rsid w:val="00B62F1A"/>
    <w:rsid w:val="00B6403E"/>
    <w:rsid w:val="00B65F8C"/>
    <w:rsid w:val="00B66391"/>
    <w:rsid w:val="00B66879"/>
    <w:rsid w:val="00B66F59"/>
    <w:rsid w:val="00B6729E"/>
    <w:rsid w:val="00B673D2"/>
    <w:rsid w:val="00B70786"/>
    <w:rsid w:val="00B719C7"/>
    <w:rsid w:val="00B71AAA"/>
    <w:rsid w:val="00B74633"/>
    <w:rsid w:val="00B74BED"/>
    <w:rsid w:val="00B7578D"/>
    <w:rsid w:val="00B76E72"/>
    <w:rsid w:val="00B77F8E"/>
    <w:rsid w:val="00B80464"/>
    <w:rsid w:val="00B807BC"/>
    <w:rsid w:val="00B822A5"/>
    <w:rsid w:val="00B82B19"/>
    <w:rsid w:val="00B82BA8"/>
    <w:rsid w:val="00B832FC"/>
    <w:rsid w:val="00B8745D"/>
    <w:rsid w:val="00B87DE1"/>
    <w:rsid w:val="00B9106D"/>
    <w:rsid w:val="00B9113E"/>
    <w:rsid w:val="00B9174C"/>
    <w:rsid w:val="00B91971"/>
    <w:rsid w:val="00B92C63"/>
    <w:rsid w:val="00B93888"/>
    <w:rsid w:val="00B94215"/>
    <w:rsid w:val="00B9491B"/>
    <w:rsid w:val="00B9537A"/>
    <w:rsid w:val="00B95384"/>
    <w:rsid w:val="00B95386"/>
    <w:rsid w:val="00B96960"/>
    <w:rsid w:val="00B96FA9"/>
    <w:rsid w:val="00BA038C"/>
    <w:rsid w:val="00BA2BEE"/>
    <w:rsid w:val="00BA3276"/>
    <w:rsid w:val="00BA3EB2"/>
    <w:rsid w:val="00BA4EC1"/>
    <w:rsid w:val="00BA58B7"/>
    <w:rsid w:val="00BA5A5C"/>
    <w:rsid w:val="00BA7650"/>
    <w:rsid w:val="00BB1071"/>
    <w:rsid w:val="00BB137F"/>
    <w:rsid w:val="00BB225A"/>
    <w:rsid w:val="00BB3BE1"/>
    <w:rsid w:val="00BB4133"/>
    <w:rsid w:val="00BB426C"/>
    <w:rsid w:val="00BB53DE"/>
    <w:rsid w:val="00BB7198"/>
    <w:rsid w:val="00BC0236"/>
    <w:rsid w:val="00BC0591"/>
    <w:rsid w:val="00BC1805"/>
    <w:rsid w:val="00BC1C5A"/>
    <w:rsid w:val="00BC2717"/>
    <w:rsid w:val="00BC416A"/>
    <w:rsid w:val="00BC43C6"/>
    <w:rsid w:val="00BC5B0B"/>
    <w:rsid w:val="00BC7529"/>
    <w:rsid w:val="00BC7BAD"/>
    <w:rsid w:val="00BD0789"/>
    <w:rsid w:val="00BD16F8"/>
    <w:rsid w:val="00BD18D0"/>
    <w:rsid w:val="00BD3215"/>
    <w:rsid w:val="00BD365B"/>
    <w:rsid w:val="00BD3971"/>
    <w:rsid w:val="00BD3D82"/>
    <w:rsid w:val="00BD41D4"/>
    <w:rsid w:val="00BD428F"/>
    <w:rsid w:val="00BD45DA"/>
    <w:rsid w:val="00BD46E0"/>
    <w:rsid w:val="00BD4FC3"/>
    <w:rsid w:val="00BD600F"/>
    <w:rsid w:val="00BD62A8"/>
    <w:rsid w:val="00BE052A"/>
    <w:rsid w:val="00BE0F44"/>
    <w:rsid w:val="00BE1E90"/>
    <w:rsid w:val="00BE5862"/>
    <w:rsid w:val="00BE5F0C"/>
    <w:rsid w:val="00BE635A"/>
    <w:rsid w:val="00BE7D4E"/>
    <w:rsid w:val="00BF092A"/>
    <w:rsid w:val="00BF3165"/>
    <w:rsid w:val="00BF335A"/>
    <w:rsid w:val="00BF337C"/>
    <w:rsid w:val="00BF4078"/>
    <w:rsid w:val="00BF4AE2"/>
    <w:rsid w:val="00BF7B87"/>
    <w:rsid w:val="00C01215"/>
    <w:rsid w:val="00C03564"/>
    <w:rsid w:val="00C0357A"/>
    <w:rsid w:val="00C0357D"/>
    <w:rsid w:val="00C03BEE"/>
    <w:rsid w:val="00C04466"/>
    <w:rsid w:val="00C0480E"/>
    <w:rsid w:val="00C0535D"/>
    <w:rsid w:val="00C05439"/>
    <w:rsid w:val="00C065BD"/>
    <w:rsid w:val="00C06A93"/>
    <w:rsid w:val="00C07F19"/>
    <w:rsid w:val="00C10448"/>
    <w:rsid w:val="00C106C6"/>
    <w:rsid w:val="00C123FE"/>
    <w:rsid w:val="00C1266C"/>
    <w:rsid w:val="00C12B57"/>
    <w:rsid w:val="00C12FB0"/>
    <w:rsid w:val="00C13D3F"/>
    <w:rsid w:val="00C14346"/>
    <w:rsid w:val="00C16CDD"/>
    <w:rsid w:val="00C17423"/>
    <w:rsid w:val="00C179D6"/>
    <w:rsid w:val="00C17CE3"/>
    <w:rsid w:val="00C21B8A"/>
    <w:rsid w:val="00C23198"/>
    <w:rsid w:val="00C23878"/>
    <w:rsid w:val="00C23880"/>
    <w:rsid w:val="00C241FC"/>
    <w:rsid w:val="00C246E9"/>
    <w:rsid w:val="00C24F5B"/>
    <w:rsid w:val="00C251F3"/>
    <w:rsid w:val="00C25A48"/>
    <w:rsid w:val="00C25C8D"/>
    <w:rsid w:val="00C2652D"/>
    <w:rsid w:val="00C26A76"/>
    <w:rsid w:val="00C31A55"/>
    <w:rsid w:val="00C327E0"/>
    <w:rsid w:val="00C32F1B"/>
    <w:rsid w:val="00C34298"/>
    <w:rsid w:val="00C3794B"/>
    <w:rsid w:val="00C379AA"/>
    <w:rsid w:val="00C404F5"/>
    <w:rsid w:val="00C42DA7"/>
    <w:rsid w:val="00C449BF"/>
    <w:rsid w:val="00C44CAC"/>
    <w:rsid w:val="00C46294"/>
    <w:rsid w:val="00C50388"/>
    <w:rsid w:val="00C51021"/>
    <w:rsid w:val="00C53CD6"/>
    <w:rsid w:val="00C54CF4"/>
    <w:rsid w:val="00C55C16"/>
    <w:rsid w:val="00C5621D"/>
    <w:rsid w:val="00C57771"/>
    <w:rsid w:val="00C577E7"/>
    <w:rsid w:val="00C60A1B"/>
    <w:rsid w:val="00C60B18"/>
    <w:rsid w:val="00C61467"/>
    <w:rsid w:val="00C6178B"/>
    <w:rsid w:val="00C61BD7"/>
    <w:rsid w:val="00C62802"/>
    <w:rsid w:val="00C6287C"/>
    <w:rsid w:val="00C63CFA"/>
    <w:rsid w:val="00C64EE9"/>
    <w:rsid w:val="00C66FE8"/>
    <w:rsid w:val="00C6711D"/>
    <w:rsid w:val="00C70265"/>
    <w:rsid w:val="00C709C3"/>
    <w:rsid w:val="00C7154B"/>
    <w:rsid w:val="00C73EA2"/>
    <w:rsid w:val="00C7427C"/>
    <w:rsid w:val="00C76BCB"/>
    <w:rsid w:val="00C77AE0"/>
    <w:rsid w:val="00C8045D"/>
    <w:rsid w:val="00C817F6"/>
    <w:rsid w:val="00C82D8B"/>
    <w:rsid w:val="00C82E0D"/>
    <w:rsid w:val="00C84B5F"/>
    <w:rsid w:val="00C84C5C"/>
    <w:rsid w:val="00C8511D"/>
    <w:rsid w:val="00C8592B"/>
    <w:rsid w:val="00C86797"/>
    <w:rsid w:val="00C87213"/>
    <w:rsid w:val="00C87B41"/>
    <w:rsid w:val="00C87CC4"/>
    <w:rsid w:val="00C91127"/>
    <w:rsid w:val="00C92328"/>
    <w:rsid w:val="00C934A6"/>
    <w:rsid w:val="00C95897"/>
    <w:rsid w:val="00CA06BC"/>
    <w:rsid w:val="00CA121C"/>
    <w:rsid w:val="00CA1971"/>
    <w:rsid w:val="00CA2200"/>
    <w:rsid w:val="00CA4009"/>
    <w:rsid w:val="00CA434F"/>
    <w:rsid w:val="00CA463E"/>
    <w:rsid w:val="00CA4CCD"/>
    <w:rsid w:val="00CA5076"/>
    <w:rsid w:val="00CA557C"/>
    <w:rsid w:val="00CB1953"/>
    <w:rsid w:val="00CB1B2B"/>
    <w:rsid w:val="00CB1D34"/>
    <w:rsid w:val="00CB2192"/>
    <w:rsid w:val="00CB26CA"/>
    <w:rsid w:val="00CB2A4E"/>
    <w:rsid w:val="00CB2DFD"/>
    <w:rsid w:val="00CB5079"/>
    <w:rsid w:val="00CB718F"/>
    <w:rsid w:val="00CB7848"/>
    <w:rsid w:val="00CC023A"/>
    <w:rsid w:val="00CC1B5B"/>
    <w:rsid w:val="00CC1F91"/>
    <w:rsid w:val="00CC34B5"/>
    <w:rsid w:val="00CC5C16"/>
    <w:rsid w:val="00CC6A22"/>
    <w:rsid w:val="00CD0C87"/>
    <w:rsid w:val="00CD1252"/>
    <w:rsid w:val="00CD2DF3"/>
    <w:rsid w:val="00CD35D7"/>
    <w:rsid w:val="00CD6A05"/>
    <w:rsid w:val="00CD733D"/>
    <w:rsid w:val="00CD7883"/>
    <w:rsid w:val="00CE1A98"/>
    <w:rsid w:val="00CE2309"/>
    <w:rsid w:val="00CE306A"/>
    <w:rsid w:val="00CE33AF"/>
    <w:rsid w:val="00CE3C2A"/>
    <w:rsid w:val="00CE3CE3"/>
    <w:rsid w:val="00CE48EE"/>
    <w:rsid w:val="00CE5296"/>
    <w:rsid w:val="00CE64E3"/>
    <w:rsid w:val="00CF0651"/>
    <w:rsid w:val="00CF0A06"/>
    <w:rsid w:val="00CF0E34"/>
    <w:rsid w:val="00CF16B7"/>
    <w:rsid w:val="00CF21FC"/>
    <w:rsid w:val="00CF2553"/>
    <w:rsid w:val="00CF3308"/>
    <w:rsid w:val="00CF375D"/>
    <w:rsid w:val="00CF4D81"/>
    <w:rsid w:val="00CF706E"/>
    <w:rsid w:val="00CF79D4"/>
    <w:rsid w:val="00CF7D06"/>
    <w:rsid w:val="00D004F1"/>
    <w:rsid w:val="00D00C7B"/>
    <w:rsid w:val="00D024F9"/>
    <w:rsid w:val="00D027F0"/>
    <w:rsid w:val="00D028D0"/>
    <w:rsid w:val="00D02BA6"/>
    <w:rsid w:val="00D04705"/>
    <w:rsid w:val="00D05267"/>
    <w:rsid w:val="00D055D9"/>
    <w:rsid w:val="00D06EE4"/>
    <w:rsid w:val="00D078D5"/>
    <w:rsid w:val="00D07A95"/>
    <w:rsid w:val="00D104C9"/>
    <w:rsid w:val="00D1167C"/>
    <w:rsid w:val="00D11767"/>
    <w:rsid w:val="00D11E82"/>
    <w:rsid w:val="00D12043"/>
    <w:rsid w:val="00D12DAB"/>
    <w:rsid w:val="00D1364A"/>
    <w:rsid w:val="00D139BB"/>
    <w:rsid w:val="00D14A58"/>
    <w:rsid w:val="00D15011"/>
    <w:rsid w:val="00D15CDB"/>
    <w:rsid w:val="00D16052"/>
    <w:rsid w:val="00D16299"/>
    <w:rsid w:val="00D17212"/>
    <w:rsid w:val="00D17670"/>
    <w:rsid w:val="00D23A90"/>
    <w:rsid w:val="00D23CBA"/>
    <w:rsid w:val="00D23EE1"/>
    <w:rsid w:val="00D250D9"/>
    <w:rsid w:val="00D27E09"/>
    <w:rsid w:val="00D30A56"/>
    <w:rsid w:val="00D31DDB"/>
    <w:rsid w:val="00D3247D"/>
    <w:rsid w:val="00D32BB7"/>
    <w:rsid w:val="00D33483"/>
    <w:rsid w:val="00D36888"/>
    <w:rsid w:val="00D36DB4"/>
    <w:rsid w:val="00D37896"/>
    <w:rsid w:val="00D40252"/>
    <w:rsid w:val="00D41A8D"/>
    <w:rsid w:val="00D4350D"/>
    <w:rsid w:val="00D44688"/>
    <w:rsid w:val="00D45540"/>
    <w:rsid w:val="00D45DB2"/>
    <w:rsid w:val="00D46034"/>
    <w:rsid w:val="00D469FE"/>
    <w:rsid w:val="00D52346"/>
    <w:rsid w:val="00D52433"/>
    <w:rsid w:val="00D52D19"/>
    <w:rsid w:val="00D52E5A"/>
    <w:rsid w:val="00D5387F"/>
    <w:rsid w:val="00D54745"/>
    <w:rsid w:val="00D55560"/>
    <w:rsid w:val="00D55892"/>
    <w:rsid w:val="00D5689E"/>
    <w:rsid w:val="00D60777"/>
    <w:rsid w:val="00D611F8"/>
    <w:rsid w:val="00D6136A"/>
    <w:rsid w:val="00D618BA"/>
    <w:rsid w:val="00D62100"/>
    <w:rsid w:val="00D6292C"/>
    <w:rsid w:val="00D63BBF"/>
    <w:rsid w:val="00D64CCE"/>
    <w:rsid w:val="00D657A1"/>
    <w:rsid w:val="00D665C5"/>
    <w:rsid w:val="00D66D49"/>
    <w:rsid w:val="00D70840"/>
    <w:rsid w:val="00D70FC4"/>
    <w:rsid w:val="00D724D5"/>
    <w:rsid w:val="00D7457B"/>
    <w:rsid w:val="00D75271"/>
    <w:rsid w:val="00D75519"/>
    <w:rsid w:val="00D758DC"/>
    <w:rsid w:val="00D808B5"/>
    <w:rsid w:val="00D84B82"/>
    <w:rsid w:val="00D84C99"/>
    <w:rsid w:val="00D85E6D"/>
    <w:rsid w:val="00D87003"/>
    <w:rsid w:val="00D92922"/>
    <w:rsid w:val="00D92D5C"/>
    <w:rsid w:val="00D9446F"/>
    <w:rsid w:val="00D944EB"/>
    <w:rsid w:val="00D946CB"/>
    <w:rsid w:val="00D947DB"/>
    <w:rsid w:val="00D94A7E"/>
    <w:rsid w:val="00D956B1"/>
    <w:rsid w:val="00D95A77"/>
    <w:rsid w:val="00D95ED8"/>
    <w:rsid w:val="00D96507"/>
    <w:rsid w:val="00D96B15"/>
    <w:rsid w:val="00D96D27"/>
    <w:rsid w:val="00D9723D"/>
    <w:rsid w:val="00DA2003"/>
    <w:rsid w:val="00DA2297"/>
    <w:rsid w:val="00DA2840"/>
    <w:rsid w:val="00DA44FC"/>
    <w:rsid w:val="00DA4678"/>
    <w:rsid w:val="00DA4FC6"/>
    <w:rsid w:val="00DA5A2F"/>
    <w:rsid w:val="00DB0BDE"/>
    <w:rsid w:val="00DB3634"/>
    <w:rsid w:val="00DB3CC7"/>
    <w:rsid w:val="00DB3EF9"/>
    <w:rsid w:val="00DB46E1"/>
    <w:rsid w:val="00DB4CD2"/>
    <w:rsid w:val="00DB61C6"/>
    <w:rsid w:val="00DB666B"/>
    <w:rsid w:val="00DB68C7"/>
    <w:rsid w:val="00DB6A18"/>
    <w:rsid w:val="00DB79B2"/>
    <w:rsid w:val="00DB7D09"/>
    <w:rsid w:val="00DC152E"/>
    <w:rsid w:val="00DC195D"/>
    <w:rsid w:val="00DC3D5D"/>
    <w:rsid w:val="00DC5913"/>
    <w:rsid w:val="00DC64D9"/>
    <w:rsid w:val="00DD35B3"/>
    <w:rsid w:val="00DD37CF"/>
    <w:rsid w:val="00DD37DE"/>
    <w:rsid w:val="00DD410E"/>
    <w:rsid w:val="00DD4A1A"/>
    <w:rsid w:val="00DD4D9A"/>
    <w:rsid w:val="00DD78BA"/>
    <w:rsid w:val="00DD79FF"/>
    <w:rsid w:val="00DE062A"/>
    <w:rsid w:val="00DE0A8C"/>
    <w:rsid w:val="00DE128F"/>
    <w:rsid w:val="00DE13AD"/>
    <w:rsid w:val="00DE20EC"/>
    <w:rsid w:val="00DE2822"/>
    <w:rsid w:val="00DE39B6"/>
    <w:rsid w:val="00DE5015"/>
    <w:rsid w:val="00DE62DF"/>
    <w:rsid w:val="00DE696C"/>
    <w:rsid w:val="00DE6EC6"/>
    <w:rsid w:val="00DE71F1"/>
    <w:rsid w:val="00DF1A51"/>
    <w:rsid w:val="00DF2839"/>
    <w:rsid w:val="00DF34BC"/>
    <w:rsid w:val="00DF55CA"/>
    <w:rsid w:val="00DF5E08"/>
    <w:rsid w:val="00E03DAD"/>
    <w:rsid w:val="00E0574B"/>
    <w:rsid w:val="00E07FD5"/>
    <w:rsid w:val="00E112C4"/>
    <w:rsid w:val="00E1142F"/>
    <w:rsid w:val="00E13B63"/>
    <w:rsid w:val="00E14E59"/>
    <w:rsid w:val="00E1562F"/>
    <w:rsid w:val="00E16746"/>
    <w:rsid w:val="00E16A59"/>
    <w:rsid w:val="00E2005F"/>
    <w:rsid w:val="00E20371"/>
    <w:rsid w:val="00E21BBD"/>
    <w:rsid w:val="00E22B9F"/>
    <w:rsid w:val="00E23500"/>
    <w:rsid w:val="00E2417B"/>
    <w:rsid w:val="00E24B2F"/>
    <w:rsid w:val="00E24BF2"/>
    <w:rsid w:val="00E24CED"/>
    <w:rsid w:val="00E2764A"/>
    <w:rsid w:val="00E303A5"/>
    <w:rsid w:val="00E3289B"/>
    <w:rsid w:val="00E3315B"/>
    <w:rsid w:val="00E33F90"/>
    <w:rsid w:val="00E350B6"/>
    <w:rsid w:val="00E357AC"/>
    <w:rsid w:val="00E35F3C"/>
    <w:rsid w:val="00E364D9"/>
    <w:rsid w:val="00E407B2"/>
    <w:rsid w:val="00E42623"/>
    <w:rsid w:val="00E42B69"/>
    <w:rsid w:val="00E431D3"/>
    <w:rsid w:val="00E44DA7"/>
    <w:rsid w:val="00E451E8"/>
    <w:rsid w:val="00E453C2"/>
    <w:rsid w:val="00E476C6"/>
    <w:rsid w:val="00E514DB"/>
    <w:rsid w:val="00E5196B"/>
    <w:rsid w:val="00E51E16"/>
    <w:rsid w:val="00E52C2C"/>
    <w:rsid w:val="00E54169"/>
    <w:rsid w:val="00E54C58"/>
    <w:rsid w:val="00E5537E"/>
    <w:rsid w:val="00E56C1B"/>
    <w:rsid w:val="00E573B2"/>
    <w:rsid w:val="00E57C16"/>
    <w:rsid w:val="00E60477"/>
    <w:rsid w:val="00E61FC3"/>
    <w:rsid w:val="00E63303"/>
    <w:rsid w:val="00E6466A"/>
    <w:rsid w:val="00E6505D"/>
    <w:rsid w:val="00E65129"/>
    <w:rsid w:val="00E653AD"/>
    <w:rsid w:val="00E66542"/>
    <w:rsid w:val="00E66F4F"/>
    <w:rsid w:val="00E6712F"/>
    <w:rsid w:val="00E7181A"/>
    <w:rsid w:val="00E72868"/>
    <w:rsid w:val="00E73507"/>
    <w:rsid w:val="00E739F9"/>
    <w:rsid w:val="00E73CC0"/>
    <w:rsid w:val="00E7492C"/>
    <w:rsid w:val="00E74B57"/>
    <w:rsid w:val="00E7530B"/>
    <w:rsid w:val="00E7578F"/>
    <w:rsid w:val="00E76110"/>
    <w:rsid w:val="00E76660"/>
    <w:rsid w:val="00E76919"/>
    <w:rsid w:val="00E803C0"/>
    <w:rsid w:val="00E8050A"/>
    <w:rsid w:val="00E8063E"/>
    <w:rsid w:val="00E80DE8"/>
    <w:rsid w:val="00E81543"/>
    <w:rsid w:val="00E8251D"/>
    <w:rsid w:val="00E82C08"/>
    <w:rsid w:val="00E8383F"/>
    <w:rsid w:val="00E848B1"/>
    <w:rsid w:val="00E85EA0"/>
    <w:rsid w:val="00E8699D"/>
    <w:rsid w:val="00E93E59"/>
    <w:rsid w:val="00E9478B"/>
    <w:rsid w:val="00E952EF"/>
    <w:rsid w:val="00E9667A"/>
    <w:rsid w:val="00E96B30"/>
    <w:rsid w:val="00EA009B"/>
    <w:rsid w:val="00EA1728"/>
    <w:rsid w:val="00EA4678"/>
    <w:rsid w:val="00EA5889"/>
    <w:rsid w:val="00EA6A8D"/>
    <w:rsid w:val="00EA77C7"/>
    <w:rsid w:val="00EB2105"/>
    <w:rsid w:val="00EB4C49"/>
    <w:rsid w:val="00EB5018"/>
    <w:rsid w:val="00EB54FE"/>
    <w:rsid w:val="00EB5F30"/>
    <w:rsid w:val="00EB62B1"/>
    <w:rsid w:val="00EB75A3"/>
    <w:rsid w:val="00EB76CE"/>
    <w:rsid w:val="00EB79C5"/>
    <w:rsid w:val="00EC0BDA"/>
    <w:rsid w:val="00EC1449"/>
    <w:rsid w:val="00EC2418"/>
    <w:rsid w:val="00EC39AC"/>
    <w:rsid w:val="00EC561C"/>
    <w:rsid w:val="00EC7A70"/>
    <w:rsid w:val="00ED0402"/>
    <w:rsid w:val="00ED2C5E"/>
    <w:rsid w:val="00ED385C"/>
    <w:rsid w:val="00ED69A4"/>
    <w:rsid w:val="00ED6A90"/>
    <w:rsid w:val="00ED7509"/>
    <w:rsid w:val="00EE0375"/>
    <w:rsid w:val="00EE05B0"/>
    <w:rsid w:val="00EE1940"/>
    <w:rsid w:val="00EE2136"/>
    <w:rsid w:val="00EE3B21"/>
    <w:rsid w:val="00EE5E0B"/>
    <w:rsid w:val="00EE7704"/>
    <w:rsid w:val="00EE775F"/>
    <w:rsid w:val="00EF005D"/>
    <w:rsid w:val="00EF1915"/>
    <w:rsid w:val="00EF3401"/>
    <w:rsid w:val="00EF460D"/>
    <w:rsid w:val="00EF4987"/>
    <w:rsid w:val="00EF584D"/>
    <w:rsid w:val="00EF6C97"/>
    <w:rsid w:val="00EF7910"/>
    <w:rsid w:val="00EF7A21"/>
    <w:rsid w:val="00F004BF"/>
    <w:rsid w:val="00F00904"/>
    <w:rsid w:val="00F03A95"/>
    <w:rsid w:val="00F03B02"/>
    <w:rsid w:val="00F0407A"/>
    <w:rsid w:val="00F0577D"/>
    <w:rsid w:val="00F0676F"/>
    <w:rsid w:val="00F07736"/>
    <w:rsid w:val="00F0790C"/>
    <w:rsid w:val="00F07FF1"/>
    <w:rsid w:val="00F10005"/>
    <w:rsid w:val="00F101AE"/>
    <w:rsid w:val="00F10839"/>
    <w:rsid w:val="00F115F7"/>
    <w:rsid w:val="00F11A46"/>
    <w:rsid w:val="00F11FFF"/>
    <w:rsid w:val="00F1209E"/>
    <w:rsid w:val="00F1241F"/>
    <w:rsid w:val="00F12D7B"/>
    <w:rsid w:val="00F15B69"/>
    <w:rsid w:val="00F1785C"/>
    <w:rsid w:val="00F17D55"/>
    <w:rsid w:val="00F20F65"/>
    <w:rsid w:val="00F210F3"/>
    <w:rsid w:val="00F2333B"/>
    <w:rsid w:val="00F25622"/>
    <w:rsid w:val="00F26151"/>
    <w:rsid w:val="00F26253"/>
    <w:rsid w:val="00F26A00"/>
    <w:rsid w:val="00F2712B"/>
    <w:rsid w:val="00F27E4E"/>
    <w:rsid w:val="00F3035F"/>
    <w:rsid w:val="00F329C1"/>
    <w:rsid w:val="00F34BC9"/>
    <w:rsid w:val="00F35505"/>
    <w:rsid w:val="00F4008E"/>
    <w:rsid w:val="00F400B6"/>
    <w:rsid w:val="00F41CCA"/>
    <w:rsid w:val="00F43170"/>
    <w:rsid w:val="00F43628"/>
    <w:rsid w:val="00F45026"/>
    <w:rsid w:val="00F45B00"/>
    <w:rsid w:val="00F45DE1"/>
    <w:rsid w:val="00F51FAD"/>
    <w:rsid w:val="00F52E4F"/>
    <w:rsid w:val="00F5372F"/>
    <w:rsid w:val="00F53787"/>
    <w:rsid w:val="00F53BF3"/>
    <w:rsid w:val="00F548E1"/>
    <w:rsid w:val="00F54A15"/>
    <w:rsid w:val="00F55A63"/>
    <w:rsid w:val="00F56620"/>
    <w:rsid w:val="00F56C38"/>
    <w:rsid w:val="00F604A7"/>
    <w:rsid w:val="00F6077B"/>
    <w:rsid w:val="00F6189D"/>
    <w:rsid w:val="00F62013"/>
    <w:rsid w:val="00F625D3"/>
    <w:rsid w:val="00F62A43"/>
    <w:rsid w:val="00F62E2E"/>
    <w:rsid w:val="00F6449E"/>
    <w:rsid w:val="00F6466B"/>
    <w:rsid w:val="00F66457"/>
    <w:rsid w:val="00F66DEA"/>
    <w:rsid w:val="00F719AA"/>
    <w:rsid w:val="00F71E2F"/>
    <w:rsid w:val="00F72560"/>
    <w:rsid w:val="00F72D1C"/>
    <w:rsid w:val="00F747C2"/>
    <w:rsid w:val="00F75161"/>
    <w:rsid w:val="00F77B47"/>
    <w:rsid w:val="00F804EB"/>
    <w:rsid w:val="00F8065F"/>
    <w:rsid w:val="00F80D3E"/>
    <w:rsid w:val="00F80F7F"/>
    <w:rsid w:val="00F81061"/>
    <w:rsid w:val="00F814FA"/>
    <w:rsid w:val="00F81CD3"/>
    <w:rsid w:val="00F81FF1"/>
    <w:rsid w:val="00F822E9"/>
    <w:rsid w:val="00F83534"/>
    <w:rsid w:val="00F83627"/>
    <w:rsid w:val="00F83FA1"/>
    <w:rsid w:val="00F84647"/>
    <w:rsid w:val="00F84BB1"/>
    <w:rsid w:val="00F85762"/>
    <w:rsid w:val="00F874E3"/>
    <w:rsid w:val="00F87903"/>
    <w:rsid w:val="00F903D2"/>
    <w:rsid w:val="00F905D3"/>
    <w:rsid w:val="00F90657"/>
    <w:rsid w:val="00F909F7"/>
    <w:rsid w:val="00F90E0F"/>
    <w:rsid w:val="00F91563"/>
    <w:rsid w:val="00F919F3"/>
    <w:rsid w:val="00F93536"/>
    <w:rsid w:val="00F9420B"/>
    <w:rsid w:val="00F9434F"/>
    <w:rsid w:val="00F96B2C"/>
    <w:rsid w:val="00F970F6"/>
    <w:rsid w:val="00F976CC"/>
    <w:rsid w:val="00FA0DF1"/>
    <w:rsid w:val="00FA20B4"/>
    <w:rsid w:val="00FA2454"/>
    <w:rsid w:val="00FA26DF"/>
    <w:rsid w:val="00FA3DF8"/>
    <w:rsid w:val="00FA3FE0"/>
    <w:rsid w:val="00FA47EE"/>
    <w:rsid w:val="00FA4829"/>
    <w:rsid w:val="00FA5D20"/>
    <w:rsid w:val="00FA67AC"/>
    <w:rsid w:val="00FA7EC6"/>
    <w:rsid w:val="00FB0326"/>
    <w:rsid w:val="00FB1E1F"/>
    <w:rsid w:val="00FB2128"/>
    <w:rsid w:val="00FB3581"/>
    <w:rsid w:val="00FB368C"/>
    <w:rsid w:val="00FB7C28"/>
    <w:rsid w:val="00FC0575"/>
    <w:rsid w:val="00FC18AE"/>
    <w:rsid w:val="00FC2E76"/>
    <w:rsid w:val="00FC4C60"/>
    <w:rsid w:val="00FC4CA1"/>
    <w:rsid w:val="00FC5F7D"/>
    <w:rsid w:val="00FC7481"/>
    <w:rsid w:val="00FD277A"/>
    <w:rsid w:val="00FD33F2"/>
    <w:rsid w:val="00FD3E2A"/>
    <w:rsid w:val="00FD4218"/>
    <w:rsid w:val="00FD4A9E"/>
    <w:rsid w:val="00FD599F"/>
    <w:rsid w:val="00FD5D62"/>
    <w:rsid w:val="00FD687C"/>
    <w:rsid w:val="00FD75E0"/>
    <w:rsid w:val="00FE0827"/>
    <w:rsid w:val="00FE2959"/>
    <w:rsid w:val="00FE3373"/>
    <w:rsid w:val="00FE3B15"/>
    <w:rsid w:val="00FE3C87"/>
    <w:rsid w:val="00FE3DFF"/>
    <w:rsid w:val="00FE4842"/>
    <w:rsid w:val="00FE4B83"/>
    <w:rsid w:val="00FE4EF2"/>
    <w:rsid w:val="00FF1EEB"/>
    <w:rsid w:val="00FF1FE6"/>
    <w:rsid w:val="00FF2004"/>
    <w:rsid w:val="00FF4292"/>
    <w:rsid w:val="00FF4D33"/>
    <w:rsid w:val="00FF4F2C"/>
    <w:rsid w:val="00FF5FC5"/>
    <w:rsid w:val="00FF6042"/>
    <w:rsid w:val="00FF6D29"/>
    <w:rsid w:val="00FF751C"/>
    <w:rsid w:val="011502A9"/>
    <w:rsid w:val="01160D5A"/>
    <w:rsid w:val="01F46001"/>
    <w:rsid w:val="027A4500"/>
    <w:rsid w:val="02CD622A"/>
    <w:rsid w:val="031950C9"/>
    <w:rsid w:val="033315D0"/>
    <w:rsid w:val="045036B3"/>
    <w:rsid w:val="047323F9"/>
    <w:rsid w:val="04D82536"/>
    <w:rsid w:val="063E64AA"/>
    <w:rsid w:val="06F23208"/>
    <w:rsid w:val="06FD6FB3"/>
    <w:rsid w:val="07077FD7"/>
    <w:rsid w:val="0780034D"/>
    <w:rsid w:val="07995D19"/>
    <w:rsid w:val="089424E6"/>
    <w:rsid w:val="0A1A3655"/>
    <w:rsid w:val="0A8F54AC"/>
    <w:rsid w:val="0AA330D3"/>
    <w:rsid w:val="0AC81333"/>
    <w:rsid w:val="0C0C2CE8"/>
    <w:rsid w:val="0CBA2775"/>
    <w:rsid w:val="0D293F18"/>
    <w:rsid w:val="0D2F6144"/>
    <w:rsid w:val="0DB77C03"/>
    <w:rsid w:val="0DF5390B"/>
    <w:rsid w:val="0E906D13"/>
    <w:rsid w:val="0EE32EE6"/>
    <w:rsid w:val="0F307514"/>
    <w:rsid w:val="0FDE1CA1"/>
    <w:rsid w:val="0FDE1E81"/>
    <w:rsid w:val="0FEF495E"/>
    <w:rsid w:val="100E16EB"/>
    <w:rsid w:val="101B1553"/>
    <w:rsid w:val="10FC3FE9"/>
    <w:rsid w:val="11553BDD"/>
    <w:rsid w:val="118178D3"/>
    <w:rsid w:val="120F6DC0"/>
    <w:rsid w:val="126B1E60"/>
    <w:rsid w:val="12834FB6"/>
    <w:rsid w:val="12EB0CCE"/>
    <w:rsid w:val="134659ED"/>
    <w:rsid w:val="13816583"/>
    <w:rsid w:val="13AE7037"/>
    <w:rsid w:val="1411364F"/>
    <w:rsid w:val="1454504C"/>
    <w:rsid w:val="14941161"/>
    <w:rsid w:val="14A4079D"/>
    <w:rsid w:val="14B523A1"/>
    <w:rsid w:val="15210B5F"/>
    <w:rsid w:val="1524679D"/>
    <w:rsid w:val="15EE3B38"/>
    <w:rsid w:val="16290B23"/>
    <w:rsid w:val="168548B9"/>
    <w:rsid w:val="17F90C5D"/>
    <w:rsid w:val="18B352B0"/>
    <w:rsid w:val="190B0126"/>
    <w:rsid w:val="19B27B65"/>
    <w:rsid w:val="19C64EE3"/>
    <w:rsid w:val="1AA705C7"/>
    <w:rsid w:val="1AFA259D"/>
    <w:rsid w:val="1BE02A50"/>
    <w:rsid w:val="1CDE224B"/>
    <w:rsid w:val="1E167FCF"/>
    <w:rsid w:val="1F42592D"/>
    <w:rsid w:val="1FD72C61"/>
    <w:rsid w:val="20102F13"/>
    <w:rsid w:val="21022930"/>
    <w:rsid w:val="21AF371E"/>
    <w:rsid w:val="2231435A"/>
    <w:rsid w:val="225501C7"/>
    <w:rsid w:val="23235DAF"/>
    <w:rsid w:val="24256C9F"/>
    <w:rsid w:val="24D73D26"/>
    <w:rsid w:val="254954E3"/>
    <w:rsid w:val="25DD5D1C"/>
    <w:rsid w:val="26831C46"/>
    <w:rsid w:val="283A6E54"/>
    <w:rsid w:val="284C1A87"/>
    <w:rsid w:val="290E77DB"/>
    <w:rsid w:val="296C00C3"/>
    <w:rsid w:val="297A7E46"/>
    <w:rsid w:val="2A131022"/>
    <w:rsid w:val="2B3C6AC9"/>
    <w:rsid w:val="2B7B1C5D"/>
    <w:rsid w:val="2C07785E"/>
    <w:rsid w:val="2C0D4BEC"/>
    <w:rsid w:val="2D9042F7"/>
    <w:rsid w:val="2DC77C4D"/>
    <w:rsid w:val="2F6405B4"/>
    <w:rsid w:val="304B55A6"/>
    <w:rsid w:val="30701433"/>
    <w:rsid w:val="309C3C8E"/>
    <w:rsid w:val="31B35B2D"/>
    <w:rsid w:val="3336692C"/>
    <w:rsid w:val="34A4083B"/>
    <w:rsid w:val="35166E50"/>
    <w:rsid w:val="356461CC"/>
    <w:rsid w:val="35A26B4B"/>
    <w:rsid w:val="35EA3A14"/>
    <w:rsid w:val="365161C9"/>
    <w:rsid w:val="36592B9B"/>
    <w:rsid w:val="36713ADC"/>
    <w:rsid w:val="369D6F2B"/>
    <w:rsid w:val="36E80F49"/>
    <w:rsid w:val="376B4D71"/>
    <w:rsid w:val="37C63F2E"/>
    <w:rsid w:val="38AA5B03"/>
    <w:rsid w:val="39440A0C"/>
    <w:rsid w:val="3A733F23"/>
    <w:rsid w:val="3A8E7C8C"/>
    <w:rsid w:val="3A9B048D"/>
    <w:rsid w:val="3A9F1FBE"/>
    <w:rsid w:val="3ADD2EB4"/>
    <w:rsid w:val="3B232CED"/>
    <w:rsid w:val="3B304175"/>
    <w:rsid w:val="3C971C56"/>
    <w:rsid w:val="3C9C3AD9"/>
    <w:rsid w:val="3D145A6E"/>
    <w:rsid w:val="3DA83E81"/>
    <w:rsid w:val="3E993DFA"/>
    <w:rsid w:val="3F702F92"/>
    <w:rsid w:val="407707ED"/>
    <w:rsid w:val="41E1069B"/>
    <w:rsid w:val="43392429"/>
    <w:rsid w:val="434C1256"/>
    <w:rsid w:val="43671467"/>
    <w:rsid w:val="43E01E04"/>
    <w:rsid w:val="44944145"/>
    <w:rsid w:val="44A23F81"/>
    <w:rsid w:val="44AA2F4C"/>
    <w:rsid w:val="44B11E84"/>
    <w:rsid w:val="465836E9"/>
    <w:rsid w:val="471076F6"/>
    <w:rsid w:val="473C453F"/>
    <w:rsid w:val="488C6B50"/>
    <w:rsid w:val="498A081D"/>
    <w:rsid w:val="49E1570C"/>
    <w:rsid w:val="4A081521"/>
    <w:rsid w:val="4A105DBC"/>
    <w:rsid w:val="4D40640B"/>
    <w:rsid w:val="4D5D7FF4"/>
    <w:rsid w:val="4D766DB8"/>
    <w:rsid w:val="4F660978"/>
    <w:rsid w:val="4F876634"/>
    <w:rsid w:val="4F8D77AB"/>
    <w:rsid w:val="50B05E64"/>
    <w:rsid w:val="5152320E"/>
    <w:rsid w:val="51D8115C"/>
    <w:rsid w:val="51DB3C14"/>
    <w:rsid w:val="527E4A6C"/>
    <w:rsid w:val="53D8739D"/>
    <w:rsid w:val="549E23BB"/>
    <w:rsid w:val="553112AF"/>
    <w:rsid w:val="556F4772"/>
    <w:rsid w:val="55D10834"/>
    <w:rsid w:val="560B7B0E"/>
    <w:rsid w:val="56936146"/>
    <w:rsid w:val="56D007FF"/>
    <w:rsid w:val="56D41EF8"/>
    <w:rsid w:val="579404DC"/>
    <w:rsid w:val="57A51EB7"/>
    <w:rsid w:val="57F96FCE"/>
    <w:rsid w:val="58121C97"/>
    <w:rsid w:val="591064A4"/>
    <w:rsid w:val="595A2602"/>
    <w:rsid w:val="595B0516"/>
    <w:rsid w:val="59D13C70"/>
    <w:rsid w:val="5B6C5663"/>
    <w:rsid w:val="5B94486F"/>
    <w:rsid w:val="5BAD54A7"/>
    <w:rsid w:val="5C7F6C0F"/>
    <w:rsid w:val="5C861549"/>
    <w:rsid w:val="5D0C0CE5"/>
    <w:rsid w:val="5D5D78A3"/>
    <w:rsid w:val="5F1003BD"/>
    <w:rsid w:val="5F787F77"/>
    <w:rsid w:val="605837C2"/>
    <w:rsid w:val="607B0AC3"/>
    <w:rsid w:val="609525CA"/>
    <w:rsid w:val="60ED1650"/>
    <w:rsid w:val="613526DE"/>
    <w:rsid w:val="624146C2"/>
    <w:rsid w:val="631B7490"/>
    <w:rsid w:val="63374B98"/>
    <w:rsid w:val="63C00881"/>
    <w:rsid w:val="63E8113D"/>
    <w:rsid w:val="64A11264"/>
    <w:rsid w:val="64A6271B"/>
    <w:rsid w:val="65673611"/>
    <w:rsid w:val="662C2497"/>
    <w:rsid w:val="66AF0428"/>
    <w:rsid w:val="674E15E6"/>
    <w:rsid w:val="67A9647F"/>
    <w:rsid w:val="67C05A92"/>
    <w:rsid w:val="68602046"/>
    <w:rsid w:val="68895046"/>
    <w:rsid w:val="68BA12C7"/>
    <w:rsid w:val="699848AE"/>
    <w:rsid w:val="6A0E213E"/>
    <w:rsid w:val="6A4470E3"/>
    <w:rsid w:val="6A8D3FD3"/>
    <w:rsid w:val="6AE67555"/>
    <w:rsid w:val="6B43383E"/>
    <w:rsid w:val="6B4A3B12"/>
    <w:rsid w:val="6B513D52"/>
    <w:rsid w:val="6B740E0C"/>
    <w:rsid w:val="6BC40643"/>
    <w:rsid w:val="6C044D7B"/>
    <w:rsid w:val="6C992574"/>
    <w:rsid w:val="6CEA5B20"/>
    <w:rsid w:val="6D1E6F10"/>
    <w:rsid w:val="6D232661"/>
    <w:rsid w:val="6DAC169C"/>
    <w:rsid w:val="6EAF493F"/>
    <w:rsid w:val="6EFA4CA5"/>
    <w:rsid w:val="6F805D62"/>
    <w:rsid w:val="6FA6785F"/>
    <w:rsid w:val="706461E4"/>
    <w:rsid w:val="70CA3DEC"/>
    <w:rsid w:val="70DC33CF"/>
    <w:rsid w:val="70FA47F7"/>
    <w:rsid w:val="71594A68"/>
    <w:rsid w:val="71AD47A1"/>
    <w:rsid w:val="726F7CF9"/>
    <w:rsid w:val="73065439"/>
    <w:rsid w:val="7318428F"/>
    <w:rsid w:val="73B452D9"/>
    <w:rsid w:val="73C8327F"/>
    <w:rsid w:val="73FE13D0"/>
    <w:rsid w:val="75141259"/>
    <w:rsid w:val="75A629FF"/>
    <w:rsid w:val="765E46BC"/>
    <w:rsid w:val="76977502"/>
    <w:rsid w:val="774C43A1"/>
    <w:rsid w:val="7A2A00A3"/>
    <w:rsid w:val="7AB433F0"/>
    <w:rsid w:val="7B011A7B"/>
    <w:rsid w:val="7B0F1047"/>
    <w:rsid w:val="7B97334D"/>
    <w:rsid w:val="7BDE61B7"/>
    <w:rsid w:val="7CEA0316"/>
    <w:rsid w:val="7D060DE1"/>
    <w:rsid w:val="7D571031"/>
    <w:rsid w:val="7D5B4A17"/>
    <w:rsid w:val="7E156CC3"/>
    <w:rsid w:val="7EA1382C"/>
    <w:rsid w:val="7F1350E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39" w:semiHidden="0" w:name="toc 2"/>
    <w:lsdException w:qFormat="1" w:unhideWhenUsed="0" w:uiPriority="0" w:semiHidden="0" w:name="toc 3"/>
    <w:lsdException w:unhideWhenUsed="0" w:uiPriority="0" w:semiHidden="0" w:name="toc 4"/>
    <w:lsdException w:qFormat="1"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99"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4"/>
      <w:szCs w:val="24"/>
      <w:lang w:val="en-US" w:eastAsia="zh-CN" w:bidi="ar-SA"/>
    </w:rPr>
  </w:style>
  <w:style w:type="paragraph" w:styleId="2">
    <w:name w:val="heading 1"/>
    <w:basedOn w:val="1"/>
    <w:next w:val="1"/>
    <w:link w:val="43"/>
    <w:qFormat/>
    <w:uiPriority w:val="0"/>
    <w:pPr>
      <w:keepNext/>
      <w:keepLines/>
      <w:spacing w:before="340" w:after="330" w:line="578" w:lineRule="auto"/>
      <w:jc w:val="center"/>
      <w:outlineLvl w:val="0"/>
    </w:pPr>
    <w:rPr>
      <w:b/>
      <w:bCs/>
      <w:kern w:val="44"/>
      <w:sz w:val="32"/>
      <w:szCs w:val="44"/>
    </w:rPr>
  </w:style>
  <w:style w:type="paragraph" w:styleId="3">
    <w:name w:val="heading 2"/>
    <w:basedOn w:val="1"/>
    <w:next w:val="1"/>
    <w:link w:val="44"/>
    <w:qFormat/>
    <w:uiPriority w:val="0"/>
    <w:pPr>
      <w:keepNext/>
      <w:keepLines/>
      <w:spacing w:before="260" w:beforeLines="0" w:after="260" w:afterLines="0" w:line="416" w:lineRule="auto"/>
      <w:outlineLvl w:val="1"/>
    </w:pPr>
    <w:rPr>
      <w:rFonts w:ascii="Arial" w:hAnsi="Arial" w:eastAsia="黑体"/>
      <w:b/>
      <w:bCs/>
      <w:sz w:val="32"/>
      <w:szCs w:val="32"/>
    </w:rPr>
  </w:style>
  <w:style w:type="character" w:default="1" w:styleId="37">
    <w:name w:val="Default Paragraph Font"/>
    <w:uiPriority w:val="0"/>
  </w:style>
  <w:style w:type="table" w:default="1" w:styleId="35">
    <w:name w:val="Normal Table"/>
    <w:semiHidden/>
    <w:uiPriority w:val="0"/>
    <w:tblPr>
      <w:tblStyle w:val="35"/>
      <w:tblCellMar>
        <w:top w:w="0" w:type="dxa"/>
        <w:left w:w="108" w:type="dxa"/>
        <w:bottom w:w="0" w:type="dxa"/>
        <w:right w:w="108" w:type="dxa"/>
      </w:tblCellMar>
    </w:tblPr>
  </w:style>
  <w:style w:type="paragraph" w:styleId="4">
    <w:name w:val="List Number"/>
    <w:basedOn w:val="1"/>
    <w:uiPriority w:val="0"/>
    <w:pPr>
      <w:widowControl/>
      <w:tabs>
        <w:tab w:val="left" w:pos="454"/>
        <w:tab w:val="left" w:pos="720"/>
      </w:tabs>
      <w:spacing w:after="156" w:afterLines="50"/>
      <w:ind w:left="454" w:hanging="284"/>
      <w:jc w:val="left"/>
    </w:pPr>
    <w:rPr>
      <w:kern w:val="0"/>
      <w:sz w:val="24"/>
      <w:szCs w:val="20"/>
    </w:rPr>
  </w:style>
  <w:style w:type="paragraph" w:styleId="5">
    <w:name w:val="Normal Indent"/>
    <w:basedOn w:val="1"/>
    <w:next w:val="6"/>
    <w:link w:val="45"/>
    <w:qFormat/>
    <w:uiPriority w:val="0"/>
    <w:pPr>
      <w:ind w:firstLine="420"/>
    </w:pPr>
    <w:rPr>
      <w:sz w:val="21"/>
      <w:szCs w:val="20"/>
    </w:rPr>
  </w:style>
  <w:style w:type="paragraph" w:styleId="6">
    <w:name w:val="toc 5"/>
    <w:basedOn w:val="1"/>
    <w:next w:val="1"/>
    <w:qFormat/>
    <w:uiPriority w:val="0"/>
    <w:pPr>
      <w:ind w:left="1680" w:leftChars="800"/>
    </w:pPr>
  </w:style>
  <w:style w:type="paragraph" w:styleId="7">
    <w:name w:val="caption"/>
    <w:basedOn w:val="1"/>
    <w:next w:val="1"/>
    <w:qFormat/>
    <w:uiPriority w:val="0"/>
    <w:pPr>
      <w:spacing w:before="152" w:beforeLines="0" w:after="160" w:afterLines="0"/>
    </w:pPr>
    <w:rPr>
      <w:rFonts w:ascii="Arial" w:hAnsi="Arial" w:eastAsia="黑体" w:cs="Arial"/>
      <w:sz w:val="20"/>
      <w:szCs w:val="20"/>
    </w:rPr>
  </w:style>
  <w:style w:type="paragraph" w:styleId="8">
    <w:name w:val="Document Map"/>
    <w:basedOn w:val="1"/>
    <w:uiPriority w:val="0"/>
    <w:pPr>
      <w:shd w:val="clear" w:color="auto" w:fill="000080"/>
    </w:pPr>
  </w:style>
  <w:style w:type="paragraph" w:styleId="9">
    <w:name w:val="toa heading"/>
    <w:basedOn w:val="1"/>
    <w:next w:val="1"/>
    <w:uiPriority w:val="0"/>
    <w:pPr>
      <w:spacing w:before="120"/>
    </w:pPr>
    <w:rPr>
      <w:rFonts w:ascii="Arial" w:hAnsi="Arial" w:cs="Arial"/>
      <w:sz w:val="24"/>
    </w:rPr>
  </w:style>
  <w:style w:type="paragraph" w:styleId="10">
    <w:name w:val="annotation text"/>
    <w:basedOn w:val="1"/>
    <w:link w:val="46"/>
    <w:uiPriority w:val="0"/>
    <w:pPr>
      <w:jc w:val="left"/>
    </w:pPr>
    <w:rPr>
      <w:sz w:val="21"/>
    </w:rPr>
  </w:style>
  <w:style w:type="paragraph" w:styleId="11">
    <w:name w:val="Body Text 3"/>
    <w:basedOn w:val="1"/>
    <w:link w:val="47"/>
    <w:qFormat/>
    <w:uiPriority w:val="0"/>
    <w:pPr>
      <w:snapToGrid w:val="0"/>
      <w:spacing w:before="50" w:beforeLines="0" w:after="50" w:afterLines="0"/>
    </w:pPr>
    <w:rPr>
      <w:rFonts w:hAnsi="宋体" w:eastAsia="仿宋_GB2312"/>
      <w:b/>
      <w:bCs/>
      <w:szCs w:val="20"/>
    </w:rPr>
  </w:style>
  <w:style w:type="paragraph" w:styleId="12">
    <w:name w:val="Body Text"/>
    <w:basedOn w:val="1"/>
    <w:next w:val="13"/>
    <w:link w:val="48"/>
    <w:qFormat/>
    <w:uiPriority w:val="0"/>
    <w:pPr>
      <w:spacing w:after="120" w:afterLines="0"/>
    </w:pPr>
    <w:rPr>
      <w:sz w:val="28"/>
    </w:rPr>
  </w:style>
  <w:style w:type="paragraph" w:customStyle="1" w:styleId="13">
    <w:name w:val="Default"/>
    <w:next w:val="14"/>
    <w:qFormat/>
    <w:uiPriority w:val="0"/>
    <w:pPr>
      <w:widowControl w:val="0"/>
      <w:autoSpaceDE w:val="0"/>
      <w:autoSpaceDN w:val="0"/>
      <w:adjustRightInd w:val="0"/>
      <w:spacing w:before="120" w:after="120"/>
      <w:jc w:val="center"/>
    </w:pPr>
    <w:rPr>
      <w:rFonts w:ascii="宋体" w:cs="宋体"/>
      <w:color w:val="000000"/>
      <w:sz w:val="24"/>
      <w:szCs w:val="24"/>
      <w:lang w:val="en-US" w:eastAsia="zh-CN" w:bidi="ar-SA"/>
    </w:rPr>
  </w:style>
  <w:style w:type="paragraph" w:styleId="14">
    <w:name w:val="footer"/>
    <w:basedOn w:val="1"/>
    <w:next w:val="15"/>
    <w:link w:val="49"/>
    <w:qFormat/>
    <w:uiPriority w:val="0"/>
    <w:pPr>
      <w:tabs>
        <w:tab w:val="center" w:pos="4153"/>
        <w:tab w:val="right" w:pos="8306"/>
      </w:tabs>
      <w:snapToGrid w:val="0"/>
      <w:jc w:val="left"/>
    </w:pPr>
    <w:rPr>
      <w:rFonts w:eastAsia="黑体"/>
      <w:snapToGrid w:val="0"/>
      <w:kern w:val="0"/>
      <w:sz w:val="18"/>
      <w:szCs w:val="18"/>
    </w:rPr>
  </w:style>
  <w:style w:type="paragraph" w:styleId="15">
    <w:name w:val="toc 2"/>
    <w:basedOn w:val="1"/>
    <w:next w:val="1"/>
    <w:uiPriority w:val="39"/>
    <w:pPr>
      <w:ind w:left="420" w:leftChars="200"/>
    </w:pPr>
  </w:style>
  <w:style w:type="paragraph" w:styleId="16">
    <w:name w:val="Body Text Indent"/>
    <w:basedOn w:val="1"/>
    <w:next w:val="1"/>
    <w:link w:val="50"/>
    <w:qFormat/>
    <w:uiPriority w:val="0"/>
    <w:pPr>
      <w:spacing w:line="200" w:lineRule="exact"/>
      <w:ind w:firstLine="301"/>
    </w:pPr>
    <w:rPr>
      <w:rFonts w:ascii="宋体" w:hAnsi="Courier New"/>
      <w:spacing w:val="-4"/>
      <w:sz w:val="18"/>
      <w:szCs w:val="20"/>
    </w:rPr>
  </w:style>
  <w:style w:type="paragraph" w:styleId="17">
    <w:name w:val="List Number 3"/>
    <w:basedOn w:val="1"/>
    <w:uiPriority w:val="0"/>
    <w:pPr>
      <w:numPr>
        <w:ilvl w:val="0"/>
        <w:numId w:val="1"/>
      </w:numPr>
      <w:tabs>
        <w:tab w:val="left" w:pos="1200"/>
      </w:tabs>
    </w:pPr>
  </w:style>
  <w:style w:type="paragraph" w:styleId="18">
    <w:name w:val="List 2"/>
    <w:basedOn w:val="1"/>
    <w:qFormat/>
    <w:uiPriority w:val="0"/>
    <w:pPr>
      <w:ind w:left="100" w:leftChars="200" w:hanging="200" w:hangingChars="200"/>
    </w:pPr>
    <w:rPr>
      <w:sz w:val="28"/>
    </w:rPr>
  </w:style>
  <w:style w:type="paragraph" w:styleId="19">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20">
    <w:name w:val="Plain Text"/>
    <w:basedOn w:val="1"/>
    <w:next w:val="1"/>
    <w:link w:val="51"/>
    <w:qFormat/>
    <w:uiPriority w:val="0"/>
    <w:pPr>
      <w:spacing w:before="156" w:beforeLines="50" w:after="156" w:afterLines="50" w:line="400" w:lineRule="exact"/>
    </w:pPr>
    <w:rPr>
      <w:rFonts w:ascii="宋体" w:hAnsi="Courier New"/>
    </w:rPr>
  </w:style>
  <w:style w:type="paragraph" w:styleId="21">
    <w:name w:val="Date"/>
    <w:basedOn w:val="1"/>
    <w:next w:val="1"/>
    <w:uiPriority w:val="0"/>
    <w:pPr>
      <w:ind w:leftChars="2500"/>
    </w:pPr>
    <w:rPr>
      <w:rFonts w:eastAsia="楷体_GB2312"/>
      <w:sz w:val="32"/>
      <w:szCs w:val="20"/>
    </w:rPr>
  </w:style>
  <w:style w:type="paragraph" w:styleId="22">
    <w:name w:val="Body Text Indent 2"/>
    <w:basedOn w:val="1"/>
    <w:uiPriority w:val="0"/>
    <w:pPr>
      <w:snapToGrid w:val="0"/>
      <w:ind w:firstLine="542" w:firstLineChars="225"/>
    </w:pPr>
    <w:rPr>
      <w:rFonts w:ascii="仿宋_GB2312" w:hAnsi="宋体" w:cs="Arial"/>
      <w:b/>
      <w:bCs/>
      <w:color w:val="000000"/>
      <w:sz w:val="24"/>
    </w:rPr>
  </w:style>
  <w:style w:type="paragraph" w:styleId="23">
    <w:name w:val="Balloon Text"/>
    <w:basedOn w:val="1"/>
    <w:link w:val="52"/>
    <w:qFormat/>
    <w:uiPriority w:val="0"/>
    <w:rPr>
      <w:sz w:val="18"/>
      <w:szCs w:val="18"/>
    </w:rPr>
  </w:style>
  <w:style w:type="paragraph" w:styleId="24">
    <w:name w:val="header"/>
    <w:basedOn w:val="1"/>
    <w:link w:val="53"/>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5">
    <w:name w:val="toc 1"/>
    <w:basedOn w:val="1"/>
    <w:next w:val="1"/>
    <w:uiPriority w:val="39"/>
  </w:style>
  <w:style w:type="paragraph" w:styleId="26">
    <w:name w:val="List"/>
    <w:basedOn w:val="1"/>
    <w:uiPriority w:val="0"/>
    <w:pPr>
      <w:ind w:left="200" w:hanging="200" w:hangingChars="200"/>
    </w:pPr>
    <w:rPr>
      <w:sz w:val="28"/>
    </w:rPr>
  </w:style>
  <w:style w:type="paragraph" w:styleId="27">
    <w:name w:val="toc 6"/>
    <w:basedOn w:val="1"/>
    <w:next w:val="1"/>
    <w:qFormat/>
    <w:uiPriority w:val="0"/>
    <w:pPr>
      <w:ind w:left="2100" w:leftChars="1000"/>
    </w:pPr>
  </w:style>
  <w:style w:type="paragraph" w:styleId="28">
    <w:name w:val="Body Text Indent 3"/>
    <w:basedOn w:val="1"/>
    <w:uiPriority w:val="0"/>
    <w:pPr>
      <w:snapToGrid w:val="0"/>
      <w:ind w:firstLine="480" w:firstLineChars="200"/>
      <w:jc w:val="left"/>
    </w:pPr>
    <w:rPr>
      <w:rFonts w:ascii="仿宋_GB2312" w:hAnsi="宋体" w:eastAsia="仿宋_GB2312"/>
      <w:color w:val="000000"/>
      <w:sz w:val="24"/>
    </w:rPr>
  </w:style>
  <w:style w:type="paragraph" w:styleId="29">
    <w:name w:val="Body Text 2"/>
    <w:basedOn w:val="1"/>
    <w:next w:val="1"/>
    <w:uiPriority w:val="0"/>
    <w:pPr>
      <w:widowControl/>
      <w:snapToGrid w:val="0"/>
      <w:spacing w:before="50" w:beforeLines="0" w:after="156" w:afterLines="50" w:line="400" w:lineRule="exact"/>
      <w:jc w:val="left"/>
    </w:pPr>
    <w:rPr>
      <w:rFonts w:ascii="宋体" w:hAnsi="宋体"/>
      <w:color w:val="000000"/>
      <w:sz w:val="24"/>
    </w:rPr>
  </w:style>
  <w:style w:type="paragraph" w:styleId="3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1">
    <w:name w:val="Title"/>
    <w:basedOn w:val="1"/>
    <w:next w:val="1"/>
    <w:link w:val="54"/>
    <w:qFormat/>
    <w:uiPriority w:val="0"/>
    <w:pPr>
      <w:widowControl/>
      <w:pBdr>
        <w:top w:val="single" w:color="A7BFDE" w:sz="8" w:space="10"/>
        <w:bottom w:val="single" w:color="9BBB59" w:sz="24" w:space="15"/>
      </w:pBdr>
      <w:jc w:val="center"/>
    </w:pPr>
    <w:rPr>
      <w:rFonts w:ascii="Cambria" w:hAnsi="Cambria"/>
      <w:i/>
      <w:iCs/>
      <w:color w:val="243F60"/>
      <w:kern w:val="0"/>
      <w:sz w:val="60"/>
      <w:szCs w:val="60"/>
      <w:lang w:eastAsia="en-US" w:bidi="en-US"/>
    </w:rPr>
  </w:style>
  <w:style w:type="paragraph" w:styleId="32">
    <w:name w:val="annotation subject"/>
    <w:basedOn w:val="10"/>
    <w:next w:val="10"/>
    <w:link w:val="55"/>
    <w:uiPriority w:val="0"/>
    <w:rPr>
      <w:b/>
      <w:bCs/>
      <w:sz w:val="24"/>
      <w:lang w:val="en-US" w:eastAsia="zh-CN"/>
    </w:rPr>
  </w:style>
  <w:style w:type="paragraph" w:styleId="33">
    <w:name w:val="Body Text First Indent"/>
    <w:basedOn w:val="12"/>
    <w:next w:val="1"/>
    <w:link w:val="56"/>
    <w:uiPriority w:val="0"/>
    <w:pPr>
      <w:ind w:firstLine="420" w:firstLineChars="100"/>
    </w:pPr>
    <w:rPr>
      <w:lang w:val="en-US" w:eastAsia="zh-CN"/>
    </w:rPr>
  </w:style>
  <w:style w:type="paragraph" w:styleId="34">
    <w:name w:val="Body Text First Indent 2"/>
    <w:basedOn w:val="16"/>
    <w:next w:val="1"/>
    <w:link w:val="57"/>
    <w:uiPriority w:val="0"/>
    <w:pPr>
      <w:spacing w:after="120" w:line="240" w:lineRule="auto"/>
      <w:ind w:left="420" w:leftChars="200" w:firstLine="420" w:firstLineChars="200"/>
    </w:pPr>
    <w:rPr>
      <w:rFonts w:ascii="Times New Roman" w:hAnsi="Times New Roman"/>
      <w:spacing w:val="0"/>
      <w:sz w:val="21"/>
      <w:szCs w:val="24"/>
      <w:lang w:val="en-US" w:eastAsia="zh-CN"/>
    </w:rPr>
  </w:style>
  <w:style w:type="table" w:styleId="36">
    <w:name w:val="Table Grid"/>
    <w:basedOn w:val="35"/>
    <w:qFormat/>
    <w:uiPriority w:val="0"/>
    <w:pPr>
      <w:widowControl w:val="0"/>
      <w:jc w:val="both"/>
    </w:pPr>
    <w:tblPr>
      <w:tblStyle w:val="35"/>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qFormat/>
    <w:uiPriority w:val="22"/>
    <w:rPr>
      <w:b/>
      <w:bCs/>
    </w:rPr>
  </w:style>
  <w:style w:type="character" w:styleId="39">
    <w:name w:val="page number"/>
    <w:basedOn w:val="37"/>
    <w:qFormat/>
    <w:uiPriority w:val="0"/>
  </w:style>
  <w:style w:type="character" w:styleId="40">
    <w:name w:val="FollowedHyperlink"/>
    <w:uiPriority w:val="99"/>
    <w:rPr>
      <w:color w:val="800080"/>
      <w:u w:val="single"/>
    </w:rPr>
  </w:style>
  <w:style w:type="character" w:styleId="41">
    <w:name w:val="Hyperlink"/>
    <w:uiPriority w:val="99"/>
    <w:rPr>
      <w:color w:val="0000FF"/>
      <w:u w:val="single"/>
    </w:rPr>
  </w:style>
  <w:style w:type="character" w:styleId="42">
    <w:name w:val="annotation reference"/>
    <w:uiPriority w:val="0"/>
    <w:rPr>
      <w:sz w:val="21"/>
      <w:szCs w:val="21"/>
    </w:rPr>
  </w:style>
  <w:style w:type="character" w:customStyle="1" w:styleId="43">
    <w:name w:val="标题 1 Char"/>
    <w:basedOn w:val="37"/>
    <w:link w:val="2"/>
    <w:uiPriority w:val="0"/>
    <w:rPr>
      <w:b/>
      <w:bCs/>
      <w:kern w:val="44"/>
      <w:sz w:val="32"/>
      <w:szCs w:val="44"/>
    </w:rPr>
  </w:style>
  <w:style w:type="character" w:customStyle="1" w:styleId="44">
    <w:name w:val="标题 2 Char"/>
    <w:basedOn w:val="37"/>
    <w:link w:val="3"/>
    <w:uiPriority w:val="0"/>
    <w:rPr>
      <w:rFonts w:ascii="Arial" w:hAnsi="Arial" w:eastAsia="黑体"/>
      <w:b/>
      <w:bCs/>
      <w:kern w:val="2"/>
      <w:sz w:val="32"/>
      <w:szCs w:val="32"/>
    </w:rPr>
  </w:style>
  <w:style w:type="character" w:customStyle="1" w:styleId="45">
    <w:name w:val="正文缩进 Char"/>
    <w:link w:val="5"/>
    <w:qFormat/>
    <w:uiPriority w:val="0"/>
    <w:rPr>
      <w:rFonts w:eastAsia="宋体"/>
      <w:kern w:val="2"/>
      <w:sz w:val="21"/>
      <w:lang w:val="en-US" w:eastAsia="zh-CN" w:bidi="ar-SA"/>
    </w:rPr>
  </w:style>
  <w:style w:type="character" w:customStyle="1" w:styleId="46">
    <w:name w:val="批注文字 Char1"/>
    <w:link w:val="10"/>
    <w:uiPriority w:val="0"/>
    <w:rPr>
      <w:kern w:val="2"/>
      <w:sz w:val="21"/>
      <w:szCs w:val="24"/>
    </w:rPr>
  </w:style>
  <w:style w:type="character" w:customStyle="1" w:styleId="47">
    <w:name w:val="正文文本 3 Char"/>
    <w:link w:val="11"/>
    <w:qFormat/>
    <w:uiPriority w:val="0"/>
    <w:rPr>
      <w:rFonts w:hAnsi="宋体" w:eastAsia="仿宋_GB2312"/>
      <w:b/>
      <w:bCs/>
      <w:kern w:val="2"/>
      <w:sz w:val="24"/>
    </w:rPr>
  </w:style>
  <w:style w:type="character" w:customStyle="1" w:styleId="48">
    <w:name w:val="正文文本 Char"/>
    <w:link w:val="12"/>
    <w:qFormat/>
    <w:uiPriority w:val="0"/>
    <w:rPr>
      <w:kern w:val="2"/>
      <w:sz w:val="28"/>
      <w:szCs w:val="24"/>
    </w:rPr>
  </w:style>
  <w:style w:type="character" w:customStyle="1" w:styleId="49">
    <w:name w:val="页脚 Char"/>
    <w:link w:val="14"/>
    <w:qFormat/>
    <w:locked/>
    <w:uiPriority w:val="0"/>
    <w:rPr>
      <w:rFonts w:eastAsia="黑体"/>
      <w:snapToGrid w:val="0"/>
      <w:sz w:val="18"/>
      <w:szCs w:val="18"/>
    </w:rPr>
  </w:style>
  <w:style w:type="character" w:customStyle="1" w:styleId="50">
    <w:name w:val="正文文本缩进 Char"/>
    <w:link w:val="16"/>
    <w:qFormat/>
    <w:uiPriority w:val="0"/>
    <w:rPr>
      <w:rFonts w:ascii="宋体" w:hAnsi="Courier New"/>
      <w:spacing w:val="-4"/>
      <w:kern w:val="2"/>
      <w:sz w:val="18"/>
    </w:rPr>
  </w:style>
  <w:style w:type="character" w:customStyle="1" w:styleId="51">
    <w:name w:val="纯文本 Char"/>
    <w:aliases w:val="普通文字 Char Char Char,普通文字 Char Char Char Char Char,纯文本 Char Char Char Char Char Char Char Char Char Char,孙普 Char,普通文字 Char Char2,Texte Char,纯文本 Char Char Char Char Char Char Char Char Char Char Char Char Char Char1,纯文本 Char Char Char1,普通文字 Char2"/>
    <w:link w:val="20"/>
    <w:qFormat/>
    <w:uiPriority w:val="0"/>
    <w:rPr>
      <w:rFonts w:ascii="宋体" w:hAnsi="Courier New" w:eastAsia="宋体"/>
      <w:kern w:val="2"/>
      <w:sz w:val="24"/>
      <w:szCs w:val="24"/>
      <w:lang w:val="en-US" w:eastAsia="zh-CN" w:bidi="ar-SA"/>
    </w:rPr>
  </w:style>
  <w:style w:type="character" w:customStyle="1" w:styleId="52">
    <w:name w:val="批注框文本 Char"/>
    <w:link w:val="23"/>
    <w:qFormat/>
    <w:locked/>
    <w:uiPriority w:val="0"/>
    <w:rPr>
      <w:kern w:val="2"/>
      <w:sz w:val="18"/>
      <w:szCs w:val="18"/>
    </w:rPr>
  </w:style>
  <w:style w:type="character" w:customStyle="1" w:styleId="53">
    <w:name w:val="页眉 Char"/>
    <w:link w:val="24"/>
    <w:qFormat/>
    <w:uiPriority w:val="99"/>
    <w:rPr>
      <w:rFonts w:eastAsia="仿宋_GB2312"/>
      <w:kern w:val="2"/>
      <w:sz w:val="18"/>
    </w:rPr>
  </w:style>
  <w:style w:type="character" w:customStyle="1" w:styleId="54">
    <w:name w:val="标题 Char"/>
    <w:basedOn w:val="37"/>
    <w:link w:val="31"/>
    <w:qFormat/>
    <w:uiPriority w:val="0"/>
    <w:rPr>
      <w:rFonts w:ascii="Cambria" w:hAnsi="Cambria"/>
      <w:i/>
      <w:iCs/>
      <w:color w:val="243F60"/>
      <w:sz w:val="60"/>
      <w:szCs w:val="60"/>
      <w:lang w:eastAsia="en-US" w:bidi="en-US"/>
    </w:rPr>
  </w:style>
  <w:style w:type="character" w:customStyle="1" w:styleId="55">
    <w:name w:val="批注主题 Char"/>
    <w:basedOn w:val="46"/>
    <w:link w:val="32"/>
    <w:uiPriority w:val="0"/>
    <w:rPr>
      <w:b/>
      <w:bCs/>
      <w:sz w:val="24"/>
    </w:rPr>
  </w:style>
  <w:style w:type="character" w:customStyle="1" w:styleId="56">
    <w:name w:val="正文首行缩进 Char"/>
    <w:basedOn w:val="48"/>
    <w:link w:val="33"/>
    <w:uiPriority w:val="0"/>
  </w:style>
  <w:style w:type="character" w:customStyle="1" w:styleId="57">
    <w:name w:val="正文首行缩进 2 Char"/>
    <w:basedOn w:val="50"/>
    <w:link w:val="34"/>
    <w:uiPriority w:val="0"/>
    <w:rPr>
      <w:sz w:val="21"/>
      <w:szCs w:val="24"/>
    </w:rPr>
  </w:style>
  <w:style w:type="paragraph" w:customStyle="1" w:styleId="58">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59">
    <w:name w:val="xl53"/>
    <w:basedOn w:val="1"/>
    <w:next w:val="1"/>
    <w:qFormat/>
    <w:uiPriority w:val="0"/>
    <w:pPr>
      <w:spacing w:before="280" w:after="280" w:line="100" w:lineRule="exact"/>
      <w:jc w:val="center"/>
    </w:pPr>
    <w:rPr>
      <w:rFonts w:ascii="宋体"/>
      <w:b/>
      <w:sz w:val="20"/>
    </w:rPr>
  </w:style>
  <w:style w:type="paragraph" w:customStyle="1" w:styleId="60">
    <w:name w:val="表格文字"/>
    <w:basedOn w:val="16"/>
    <w:next w:val="12"/>
    <w:uiPriority w:val="0"/>
    <w:pPr>
      <w:spacing w:before="80" w:after="80"/>
    </w:pPr>
    <w:rPr>
      <w:rFonts w:ascii="Arial" w:hAnsi="Arial" w:eastAsia="仿宋_GB2312"/>
      <w:spacing w:val="10"/>
      <w:sz w:val="28"/>
    </w:rPr>
  </w:style>
  <w:style w:type="character" w:customStyle="1" w:styleId="61">
    <w:name w:val=" Char Char"/>
    <w:uiPriority w:val="0"/>
    <w:rPr>
      <w:rFonts w:ascii="宋体" w:hAnsi="Courier New" w:eastAsia="楷体_GB2312"/>
      <w:kern w:val="2"/>
      <w:sz w:val="26"/>
      <w:lang w:val="en-US" w:eastAsia="zh-CN" w:bidi="ar-SA"/>
    </w:rPr>
  </w:style>
  <w:style w:type="character" w:customStyle="1" w:styleId="62">
    <w:name w:val="正文样式1 Char"/>
    <w:link w:val="63"/>
    <w:qFormat/>
    <w:locked/>
    <w:uiPriority w:val="0"/>
    <w:rPr>
      <w:rFonts w:ascii="宋体" w:hAnsi="宋体" w:eastAsia="仿宋"/>
      <w:sz w:val="28"/>
      <w:szCs w:val="24"/>
    </w:rPr>
  </w:style>
  <w:style w:type="paragraph" w:customStyle="1" w:styleId="63">
    <w:name w:val="正文样式1"/>
    <w:basedOn w:val="1"/>
    <w:link w:val="62"/>
    <w:qFormat/>
    <w:uiPriority w:val="0"/>
    <w:pPr>
      <w:spacing w:line="360" w:lineRule="auto"/>
      <w:ind w:firstLine="200" w:firstLineChars="200"/>
      <w:jc w:val="left"/>
    </w:pPr>
    <w:rPr>
      <w:rFonts w:ascii="宋体" w:hAnsi="宋体" w:eastAsia="仿宋"/>
      <w:kern w:val="0"/>
      <w:sz w:val="28"/>
    </w:rPr>
  </w:style>
  <w:style w:type="character" w:customStyle="1" w:styleId="64">
    <w:name w:val="普通文字 Char Char1"/>
    <w:aliases w:val="纯文本 Char Char Char,纯文本 Char Char1,普通文字 Char Char Char1,普通文字 Char Char Char Char,普通文字 Char1,小 Char,Texte Char Char,纯文本 Char Char Char Char Char Char Char Char Char Char Char Char Char Char,普通文字1 Char,普通文字2 Char,普通文字3 Char,普通文字4 Char"/>
    <w:uiPriority w:val="0"/>
    <w:rPr>
      <w:rFonts w:ascii="宋体" w:hAnsi="Courier New" w:eastAsia="宋体"/>
      <w:kern w:val="2"/>
      <w:sz w:val="24"/>
      <w:szCs w:val="24"/>
      <w:lang w:val="en-US" w:eastAsia="zh-CN" w:bidi="ar-SA"/>
    </w:rPr>
  </w:style>
  <w:style w:type="character" w:customStyle="1" w:styleId="65">
    <w:name w:val="标准正文格式 Char Char"/>
    <w:link w:val="66"/>
    <w:uiPriority w:val="0"/>
    <w:rPr>
      <w:rFonts w:ascii="宋体" w:eastAsia="仿宋_GB2312" w:cs="宋体"/>
      <w:color w:val="000000"/>
      <w:sz w:val="24"/>
      <w:lang w:val="en-US" w:eastAsia="zh-CN" w:bidi="ar-SA"/>
    </w:rPr>
  </w:style>
  <w:style w:type="paragraph" w:customStyle="1" w:styleId="66">
    <w:name w:val="标准正文格式"/>
    <w:basedOn w:val="1"/>
    <w:link w:val="65"/>
    <w:uiPriority w:val="0"/>
    <w:pPr>
      <w:widowControl/>
      <w:adjustRightInd w:val="0"/>
      <w:spacing w:before="60" w:beforeLines="0" w:after="120" w:afterLines="0" w:line="360" w:lineRule="auto"/>
      <w:ind w:firstLine="200" w:firstLineChars="200"/>
      <w:textAlignment w:val="baseline"/>
    </w:pPr>
    <w:rPr>
      <w:rFonts w:ascii="宋体" w:eastAsia="仿宋_GB2312" w:cs="宋体"/>
      <w:color w:val="000000"/>
      <w:kern w:val="0"/>
      <w:szCs w:val="20"/>
    </w:rPr>
  </w:style>
  <w:style w:type="character" w:customStyle="1" w:styleId="67">
    <w:name w:val="列出段落 Char"/>
    <w:link w:val="68"/>
    <w:qFormat/>
    <w:locked/>
    <w:uiPriority w:val="34"/>
    <w:rPr>
      <w:rFonts w:ascii="Calibri" w:hAnsi="Calibri"/>
      <w:kern w:val="2"/>
      <w:sz w:val="24"/>
      <w:szCs w:val="22"/>
    </w:rPr>
  </w:style>
  <w:style w:type="paragraph" w:customStyle="1" w:styleId="68">
    <w:name w:val="列出段落1"/>
    <w:basedOn w:val="1"/>
    <w:link w:val="67"/>
    <w:qFormat/>
    <w:uiPriority w:val="34"/>
    <w:pPr>
      <w:spacing w:line="360" w:lineRule="auto"/>
      <w:ind w:firstLine="420" w:firstLineChars="200"/>
    </w:pPr>
    <w:rPr>
      <w:rFonts w:ascii="Calibri" w:hAnsi="Calibri"/>
      <w:szCs w:val="22"/>
    </w:rPr>
  </w:style>
  <w:style w:type="character" w:customStyle="1" w:styleId="69">
    <w:name w:val="font61"/>
    <w:uiPriority w:val="0"/>
    <w:rPr>
      <w:rFonts w:hint="default" w:ascii="Times New Roman" w:hAnsi="Times New Roman" w:cs="Times New Roman"/>
      <w:b/>
      <w:color w:val="FF0000"/>
      <w:sz w:val="14"/>
      <w:szCs w:val="14"/>
      <w:u w:val="none"/>
    </w:rPr>
  </w:style>
  <w:style w:type="character" w:customStyle="1" w:styleId="70">
    <w:name w:val="unnamed1"/>
    <w:basedOn w:val="37"/>
    <w:uiPriority w:val="0"/>
  </w:style>
  <w:style w:type="character" w:customStyle="1" w:styleId="71">
    <w:name w:val="正文首行缩进 Char1"/>
    <w:basedOn w:val="48"/>
    <w:uiPriority w:val="0"/>
    <w:rPr>
      <w:sz w:val="24"/>
    </w:rPr>
  </w:style>
  <w:style w:type="character" w:customStyle="1" w:styleId="72">
    <w:name w:val="bookmark-item"/>
    <w:basedOn w:val="37"/>
    <w:uiPriority w:val="0"/>
  </w:style>
  <w:style w:type="character" w:customStyle="1" w:styleId="73">
    <w:name w:val="标题 1 Char Char"/>
    <w:qFormat/>
    <w:uiPriority w:val="0"/>
    <w:rPr>
      <w:rFonts w:eastAsia="宋体"/>
      <w:b/>
      <w:spacing w:val="-2"/>
      <w:sz w:val="24"/>
      <w:lang w:val="en-US" w:eastAsia="zh-CN" w:bidi="ar-SA"/>
    </w:rPr>
  </w:style>
  <w:style w:type="character" w:customStyle="1" w:styleId="74">
    <w:name w:val="font41"/>
    <w:uiPriority w:val="0"/>
    <w:rPr>
      <w:rFonts w:hint="eastAsia" w:ascii="宋体" w:hAnsi="宋体" w:eastAsia="宋体" w:cs="宋体"/>
      <w:b/>
      <w:color w:val="FF0000"/>
      <w:sz w:val="21"/>
      <w:szCs w:val="21"/>
      <w:u w:val="none"/>
    </w:rPr>
  </w:style>
  <w:style w:type="character" w:customStyle="1" w:styleId="75">
    <w:name w:val="fontstyle01"/>
    <w:basedOn w:val="37"/>
    <w:qFormat/>
    <w:uiPriority w:val="99"/>
    <w:rPr>
      <w:rFonts w:ascii="仿宋" w:hAnsi="仿宋" w:cs="Times New Roman"/>
      <w:color w:val="000000"/>
      <w:sz w:val="30"/>
      <w:szCs w:val="30"/>
    </w:rPr>
  </w:style>
  <w:style w:type="character" w:customStyle="1" w:styleId="76">
    <w:name w:val="纯文本 字符2"/>
    <w:qFormat/>
    <w:uiPriority w:val="0"/>
    <w:rPr>
      <w:rFonts w:ascii="宋体" w:hAnsi="Courier New" w:eastAsia="宋体"/>
      <w:kern w:val="2"/>
      <w:sz w:val="24"/>
      <w:szCs w:val="24"/>
      <w:lang w:val="en-US" w:eastAsia="zh-CN" w:bidi="ar-SA"/>
    </w:rPr>
  </w:style>
  <w:style w:type="character" w:customStyle="1" w:styleId="77">
    <w:name w:val="批注文字 Char"/>
    <w:uiPriority w:val="0"/>
    <w:rPr>
      <w:kern w:val="2"/>
      <w:sz w:val="21"/>
      <w:szCs w:val="24"/>
    </w:rPr>
  </w:style>
  <w:style w:type="character" w:customStyle="1" w:styleId="78">
    <w:name w:val="彩色列表 - 强调文字颜色 1 Char"/>
    <w:link w:val="79"/>
    <w:qFormat/>
    <w:locked/>
    <w:uiPriority w:val="34"/>
    <w:rPr>
      <w:rFonts w:ascii="Calibri" w:hAnsi="Calibri"/>
      <w:kern w:val="2"/>
      <w:sz w:val="24"/>
      <w:szCs w:val="22"/>
    </w:rPr>
  </w:style>
  <w:style w:type="paragraph" w:customStyle="1" w:styleId="79">
    <w:name w:val="彩色列表 - 强调文字颜色 11"/>
    <w:basedOn w:val="1"/>
    <w:link w:val="78"/>
    <w:qFormat/>
    <w:uiPriority w:val="34"/>
    <w:pPr>
      <w:spacing w:line="360" w:lineRule="auto"/>
      <w:ind w:firstLine="420" w:firstLineChars="200"/>
    </w:pPr>
    <w:rPr>
      <w:rFonts w:ascii="Calibri" w:hAnsi="Calibri"/>
      <w:szCs w:val="22"/>
    </w:rPr>
  </w:style>
  <w:style w:type="paragraph" w:customStyle="1" w:styleId="80">
    <w:name w:val="1 Char Char Char Char"/>
    <w:basedOn w:val="1"/>
    <w:uiPriority w:val="0"/>
    <w:rPr>
      <w:rFonts w:ascii="Tahoma" w:hAnsi="Tahoma"/>
      <w:sz w:val="24"/>
      <w:szCs w:val="20"/>
    </w:rPr>
  </w:style>
  <w:style w:type="paragraph" w:customStyle="1" w:styleId="81">
    <w:name w:val="封面第一行"/>
    <w:basedOn w:val="1"/>
    <w:uiPriority w:val="0"/>
    <w:pPr>
      <w:spacing w:line="360" w:lineRule="auto"/>
      <w:jc w:val="center"/>
    </w:pPr>
    <w:rPr>
      <w:rFonts w:ascii="黑体" w:hAnsi="宋体" w:eastAsia="黑体" w:cs="宋体"/>
      <w:sz w:val="56"/>
      <w:szCs w:val="20"/>
    </w:rPr>
  </w:style>
  <w:style w:type="paragraph" w:customStyle="1" w:styleId="82">
    <w:name w:val=" Char Char12"/>
    <w:basedOn w:val="1"/>
    <w:uiPriority w:val="0"/>
    <w:rPr>
      <w:szCs w:val="21"/>
    </w:rPr>
  </w:style>
  <w:style w:type="paragraph" w:customStyle="1" w:styleId="83">
    <w:name w:val="默认段落字体 Para Char Char Char Char Char Char Char Char Char1 Char Char Char Char"/>
    <w:basedOn w:val="1"/>
    <w:uiPriority w:val="0"/>
    <w:rPr>
      <w:rFonts w:ascii="Tahoma" w:hAnsi="Tahoma"/>
      <w:sz w:val="24"/>
      <w:szCs w:val="20"/>
    </w:rPr>
  </w:style>
  <w:style w:type="paragraph" w:customStyle="1" w:styleId="84">
    <w:name w:val="纯文本4"/>
    <w:basedOn w:val="1"/>
    <w:qFormat/>
    <w:uiPriority w:val="0"/>
    <w:pPr>
      <w:adjustRightInd w:val="0"/>
      <w:textAlignment w:val="baseline"/>
    </w:pPr>
    <w:rPr>
      <w:rFonts w:ascii="宋体" w:hAnsi="Courier New" w:eastAsia="楷体_GB2312"/>
      <w:sz w:val="26"/>
      <w:szCs w:val="20"/>
    </w:rPr>
  </w:style>
  <w:style w:type="paragraph" w:customStyle="1" w:styleId="85">
    <w:name w:val="正文 New New New New New New"/>
    <w:uiPriority w:val="0"/>
    <w:pPr>
      <w:widowControl w:val="0"/>
      <w:jc w:val="both"/>
    </w:pPr>
    <w:rPr>
      <w:kern w:val="2"/>
      <w:sz w:val="21"/>
      <w:lang w:val="en-US" w:eastAsia="zh-CN" w:bidi="ar-SA"/>
    </w:rPr>
  </w:style>
  <w:style w:type="paragraph" w:customStyle="1" w:styleId="86">
    <w:name w:val="正文 New"/>
    <w:uiPriority w:val="0"/>
    <w:pPr>
      <w:widowControl w:val="0"/>
      <w:jc w:val="both"/>
    </w:pPr>
    <w:rPr>
      <w:kern w:val="2"/>
      <w:sz w:val="21"/>
      <w:szCs w:val="24"/>
      <w:lang w:val="en-US" w:eastAsia="zh-CN" w:bidi="ar-SA"/>
    </w:rPr>
  </w:style>
  <w:style w:type="paragraph" w:customStyle="1" w:styleId="87">
    <w:name w:val=" Char Char Char Char Char Char"/>
    <w:basedOn w:val="1"/>
    <w:uiPriority w:val="0"/>
    <w:pPr>
      <w:widowControl/>
      <w:spacing w:after="160" w:line="240" w:lineRule="exact"/>
      <w:jc w:val="left"/>
    </w:pPr>
    <w:rPr>
      <w:kern w:val="0"/>
      <w:szCs w:val="20"/>
    </w:rPr>
  </w:style>
  <w:style w:type="paragraph" w:styleId="88">
    <w:name w:val="List Paragraph"/>
    <w:basedOn w:val="1"/>
    <w:qFormat/>
    <w:uiPriority w:val="34"/>
    <w:pPr>
      <w:spacing w:line="360" w:lineRule="auto"/>
      <w:ind w:firstLine="420" w:firstLineChars="200"/>
    </w:pPr>
    <w:rPr>
      <w:rFonts w:ascii="Calibri" w:hAnsi="Calibri"/>
      <w:sz w:val="24"/>
      <w:szCs w:val="22"/>
    </w:rPr>
  </w:style>
  <w:style w:type="paragraph" w:customStyle="1" w:styleId="89">
    <w:name w:val="[Normal]"/>
    <w:qFormat/>
    <w:uiPriority w:val="0"/>
    <w:pPr>
      <w:jc w:val="center"/>
    </w:pPr>
    <w:rPr>
      <w:rFonts w:ascii="宋体" w:hAnsi="宋体"/>
      <w:sz w:val="24"/>
      <w:szCs w:val="22"/>
      <w:lang w:val="zh-CN" w:eastAsia="zh-CN" w:bidi="ar-SA"/>
    </w:rPr>
  </w:style>
  <w:style w:type="paragraph" w:customStyle="1" w:styleId="90">
    <w:name w:val="List Paragraph1"/>
    <w:basedOn w:val="1"/>
    <w:qFormat/>
    <w:uiPriority w:val="99"/>
    <w:pPr>
      <w:ind w:firstLine="420" w:firstLineChars="200"/>
    </w:pPr>
  </w:style>
  <w:style w:type="paragraph" w:customStyle="1" w:styleId="91">
    <w:name w:val="Char12"/>
    <w:basedOn w:val="1"/>
    <w:qFormat/>
    <w:uiPriority w:val="0"/>
    <w:pPr>
      <w:spacing w:line="380" w:lineRule="exact"/>
      <w:ind w:firstLine="361" w:firstLineChars="150"/>
    </w:pPr>
    <w:rPr>
      <w:rFonts w:ascii="宋体" w:hAnsi="宋体"/>
      <w:b/>
      <w:sz w:val="24"/>
    </w:rPr>
  </w:style>
  <w:style w:type="paragraph" w:customStyle="1" w:styleId="92">
    <w:name w:val="f1"/>
    <w:basedOn w:val="1"/>
    <w:uiPriority w:val="0"/>
    <w:pPr>
      <w:widowControl/>
      <w:spacing w:before="100" w:beforeLines="0" w:beforeAutospacing="1" w:after="100" w:afterLines="0" w:afterAutospacing="1"/>
      <w:jc w:val="center"/>
    </w:pPr>
    <w:rPr>
      <w:rFonts w:ascii="Helvetica" w:hAnsi="Helvetica" w:cs="Helvetica"/>
      <w:b/>
      <w:bCs/>
      <w:color w:val="FF8080"/>
      <w:spacing w:val="160"/>
      <w:kern w:val="0"/>
      <w:sz w:val="80"/>
      <w:szCs w:val="80"/>
    </w:rPr>
  </w:style>
  <w:style w:type="paragraph" w:customStyle="1" w:styleId="93">
    <w:name w:val="纯文本3"/>
    <w:basedOn w:val="1"/>
    <w:qFormat/>
    <w:uiPriority w:val="0"/>
    <w:pPr>
      <w:adjustRightInd w:val="0"/>
      <w:textAlignment w:val="baseline"/>
    </w:pPr>
    <w:rPr>
      <w:rFonts w:ascii="宋体" w:hAnsi="Courier New" w:eastAsia="楷体_GB2312"/>
      <w:sz w:val="26"/>
      <w:szCs w:val="20"/>
    </w:rPr>
  </w:style>
  <w:style w:type="paragraph" w:customStyle="1" w:styleId="94">
    <w:name w:val="纯文本1"/>
    <w:basedOn w:val="1"/>
    <w:qFormat/>
    <w:uiPriority w:val="0"/>
    <w:pPr>
      <w:adjustRightInd w:val="0"/>
      <w:textAlignment w:val="baseline"/>
    </w:pPr>
    <w:rPr>
      <w:rFonts w:ascii="宋体" w:hAnsi="Courier New" w:eastAsia="楷体_GB2312"/>
      <w:sz w:val="26"/>
      <w:szCs w:val="20"/>
    </w:rPr>
  </w:style>
  <w:style w:type="paragraph" w:customStyle="1" w:styleId="95">
    <w:name w:val=" Char"/>
    <w:basedOn w:val="2"/>
    <w:uiPriority w:val="0"/>
    <w:pPr>
      <w:adjustRightInd w:val="0"/>
      <w:snapToGrid w:val="0"/>
      <w:spacing w:before="240" w:beforeLines="0" w:after="240" w:afterLines="0" w:line="348" w:lineRule="auto"/>
    </w:pPr>
  </w:style>
  <w:style w:type="paragraph" w:customStyle="1" w:styleId="96">
    <w:name w:val="Char1"/>
    <w:basedOn w:val="1"/>
    <w:qFormat/>
    <w:uiPriority w:val="0"/>
    <w:pPr>
      <w:spacing w:line="380" w:lineRule="exact"/>
      <w:ind w:firstLine="361" w:firstLineChars="150"/>
    </w:pPr>
    <w:rPr>
      <w:rFonts w:ascii="宋体" w:hAnsi="宋体"/>
      <w:b/>
      <w:sz w:val="24"/>
    </w:rPr>
  </w:style>
  <w:style w:type="paragraph" w:customStyle="1" w:styleId="97">
    <w:name w:val="正文段"/>
    <w:basedOn w:val="1"/>
    <w:uiPriority w:val="0"/>
    <w:pPr>
      <w:widowControl/>
      <w:snapToGrid w:val="0"/>
      <w:spacing w:after="156" w:afterLines="50"/>
      <w:ind w:firstLine="200" w:firstLineChars="200"/>
    </w:pPr>
    <w:rPr>
      <w:kern w:val="0"/>
      <w:sz w:val="24"/>
      <w:szCs w:val="20"/>
    </w:rPr>
  </w:style>
  <w:style w:type="paragraph" w:customStyle="1" w:styleId="98">
    <w:name w:val="Normal_16"/>
    <w:uiPriority w:val="0"/>
    <w:pPr>
      <w:spacing w:before="120" w:after="240"/>
      <w:jc w:val="both"/>
    </w:pPr>
    <w:rPr>
      <w:rFonts w:ascii="Calibri" w:hAnsi="Calibri"/>
      <w:sz w:val="22"/>
      <w:szCs w:val="22"/>
      <w:lang w:val="en-US" w:eastAsia="en-US" w:bidi="ar-SA"/>
    </w:rPr>
  </w:style>
  <w:style w:type="paragraph" w:customStyle="1" w:styleId="99">
    <w:name w:val="默认段落字体 Para Char Char Char Char"/>
    <w:basedOn w:val="1"/>
    <w:uiPriority w:val="0"/>
  </w:style>
  <w:style w:type="paragraph" w:customStyle="1" w:styleId="100">
    <w:name w:val="Plain Text"/>
    <w:basedOn w:val="1"/>
    <w:uiPriority w:val="0"/>
    <w:pPr>
      <w:adjustRightInd w:val="0"/>
      <w:textAlignment w:val="baseline"/>
    </w:pPr>
    <w:rPr>
      <w:rFonts w:ascii="宋体" w:hAnsi="Courier New" w:eastAsia="楷体_GB2312"/>
      <w:sz w:val="26"/>
      <w:szCs w:val="20"/>
    </w:rPr>
  </w:style>
  <w:style w:type="paragraph" w:customStyle="1" w:styleId="101">
    <w:name w:val="正文2"/>
    <w:basedOn w:val="1"/>
    <w:link w:val="102"/>
    <w:qFormat/>
    <w:uiPriority w:val="0"/>
    <w:pPr>
      <w:spacing w:before="156" w:line="360" w:lineRule="auto"/>
      <w:ind w:firstLine="510" w:firstLineChars="200"/>
    </w:pPr>
    <w:rPr>
      <w:szCs w:val="20"/>
    </w:rPr>
  </w:style>
  <w:style w:type="character" w:customStyle="1" w:styleId="102">
    <w:name w:val="正文2 Char"/>
    <w:link w:val="101"/>
    <w:qFormat/>
    <w:uiPriority w:val="0"/>
    <w:rPr>
      <w:kern w:val="2"/>
      <w:sz w:val="24"/>
    </w:rPr>
  </w:style>
  <w:style w:type="paragraph" w:customStyle="1" w:styleId="103">
    <w:name w:val="Normal"/>
    <w:uiPriority w:val="0"/>
    <w:pPr>
      <w:widowControl w:val="0"/>
      <w:jc w:val="both"/>
    </w:pPr>
    <w:rPr>
      <w:rFonts w:hint="eastAsia"/>
      <w:kern w:val="2"/>
      <w:sz w:val="21"/>
      <w:lang w:val="en-US" w:eastAsia="zh-CN" w:bidi="ar-SA"/>
    </w:rPr>
  </w:style>
  <w:style w:type="paragraph" w:customStyle="1" w:styleId="104">
    <w:name w:val="Normal_18"/>
    <w:uiPriority w:val="0"/>
    <w:pPr>
      <w:spacing w:before="120" w:after="240"/>
      <w:jc w:val="both"/>
    </w:pPr>
    <w:rPr>
      <w:rFonts w:ascii="Calibri" w:hAnsi="Calibri"/>
      <w:sz w:val="22"/>
      <w:szCs w:val="22"/>
      <w:lang w:val="en-US" w:eastAsia="en-US" w:bidi="ar-SA"/>
    </w:rPr>
  </w:style>
  <w:style w:type="paragraph" w:customStyle="1" w:styleId="105">
    <w:name w:val="Char"/>
    <w:basedOn w:val="1"/>
    <w:uiPriority w:val="0"/>
    <w:pPr>
      <w:tabs>
        <w:tab w:val="left" w:pos="360"/>
      </w:tabs>
    </w:pPr>
  </w:style>
  <w:style w:type="paragraph" w:customStyle="1" w:styleId="106">
    <w:name w:val=" Char Char Char Char Char Char Char"/>
    <w:basedOn w:val="1"/>
    <w:uiPriority w:val="0"/>
    <w:rPr>
      <w:szCs w:val="21"/>
    </w:rPr>
  </w:style>
  <w:style w:type="paragraph" w:customStyle="1" w:styleId="107">
    <w:name w:val="表内文字"/>
    <w:basedOn w:val="1"/>
    <w:uiPriority w:val="0"/>
    <w:pPr>
      <w:tabs>
        <w:tab w:val="left" w:pos="1418"/>
      </w:tabs>
      <w:spacing w:line="360" w:lineRule="auto"/>
      <w:jc w:val="center"/>
    </w:pPr>
    <w:rPr>
      <w:rFonts w:ascii="仿宋_GB2312" w:eastAsia="仿宋_GB2312"/>
      <w:spacing w:val="-20"/>
      <w:kern w:val="0"/>
      <w:sz w:val="24"/>
    </w:rPr>
  </w:style>
  <w:style w:type="paragraph" w:customStyle="1" w:styleId="108">
    <w:name w:val="纯文本2"/>
    <w:basedOn w:val="1"/>
    <w:qFormat/>
    <w:uiPriority w:val="0"/>
    <w:pPr>
      <w:adjustRightInd w:val="0"/>
      <w:textAlignment w:val="baseline"/>
    </w:pPr>
    <w:rPr>
      <w:rFonts w:ascii="宋体" w:hAnsi="Courier New" w:eastAsia="楷体_GB2312"/>
      <w:sz w:val="26"/>
      <w:szCs w:val="20"/>
    </w:rPr>
  </w:style>
  <w:style w:type="paragraph" w:customStyle="1" w:styleId="109">
    <w:name w:val="标准正文"/>
    <w:basedOn w:val="1"/>
    <w:qFormat/>
    <w:uiPriority w:val="0"/>
    <w:pPr>
      <w:spacing w:line="360" w:lineRule="auto"/>
      <w:ind w:firstLine="200" w:firstLineChars="200"/>
    </w:pPr>
    <w:rPr>
      <w:sz w:val="24"/>
      <w:szCs w:val="20"/>
    </w:rPr>
  </w:style>
  <w:style w:type="paragraph" w:customStyle="1" w:styleId="110">
    <w:name w:val="Char Char Char Char Char Char"/>
    <w:basedOn w:val="1"/>
    <w:uiPriority w:val="0"/>
    <w:pPr>
      <w:ind w:firstLine="200" w:firstLineChars="200"/>
    </w:pPr>
  </w:style>
  <w:style w:type="paragraph" w:customStyle="1" w:styleId="111">
    <w:name w:val="Normal_17"/>
    <w:uiPriority w:val="0"/>
    <w:pPr>
      <w:spacing w:before="120" w:after="240"/>
      <w:jc w:val="both"/>
    </w:pPr>
    <w:rPr>
      <w:rFonts w:ascii="Calibri" w:hAnsi="Calibri"/>
      <w:sz w:val="22"/>
      <w:szCs w:val="22"/>
      <w:lang w:val="en-US" w:eastAsia="en-US" w:bidi="ar-SA"/>
    </w:rPr>
  </w:style>
  <w:style w:type="character" w:customStyle="1" w:styleId="112">
    <w:name w:val="纯文本 Char3"/>
    <w:qFormat/>
    <w:uiPriority w:val="0"/>
    <w:rPr>
      <w:rFonts w:ascii="宋体" w:hAnsi="Courier New" w:eastAsia="宋体" w:cs="Arial"/>
      <w:snapToGrid w:val="0"/>
      <w:kern w:val="2"/>
      <w:sz w:val="21"/>
      <w:szCs w:val="21"/>
      <w:lang w:val="en-US" w:eastAsia="zh-CN" w:bidi="ar-SA"/>
    </w:rPr>
  </w:style>
  <w:style w:type="character" w:customStyle="1" w:styleId="113">
    <w:name w:val="*正文 Char"/>
    <w:link w:val="114"/>
    <w:qFormat/>
    <w:locked/>
    <w:uiPriority w:val="0"/>
    <w:rPr>
      <w:rFonts w:ascii="宋体" w:hAnsi="宋体"/>
      <w:kern w:val="2"/>
      <w:sz w:val="24"/>
      <w:szCs w:val="24"/>
    </w:rPr>
  </w:style>
  <w:style w:type="paragraph" w:customStyle="1" w:styleId="114">
    <w:name w:val="*正文"/>
    <w:basedOn w:val="1"/>
    <w:link w:val="113"/>
    <w:qFormat/>
    <w:uiPriority w:val="0"/>
    <w:pPr>
      <w:spacing w:line="360" w:lineRule="auto"/>
      <w:ind w:firstLine="200" w:firstLineChars="200"/>
    </w:pPr>
    <w:rPr>
      <w:rFonts w:ascii="宋体" w:hAnsi="宋体"/>
    </w:rPr>
  </w:style>
  <w:style w:type="character" w:customStyle="1" w:styleId="115">
    <w:name w:val="font01"/>
    <w:uiPriority w:val="0"/>
    <w:rPr>
      <w:rFonts w:hint="default" w:ascii="Times New Roman" w:hAnsi="Times New Roman" w:cs="Times New Roman"/>
      <w:b/>
      <w:color w:val="000000"/>
      <w:sz w:val="22"/>
      <w:szCs w:val="22"/>
      <w:u w:val="none"/>
    </w:rPr>
  </w:style>
  <w:style w:type="character" w:customStyle="1" w:styleId="116">
    <w:name w:val="BZ_二级标题 Char"/>
    <w:link w:val="117"/>
    <w:qFormat/>
    <w:uiPriority w:val="0"/>
    <w:rPr>
      <w:rFonts w:ascii="Calibri" w:hAnsi="Calibri" w:eastAsia="黑体"/>
      <w:bCs/>
      <w:kern w:val="2"/>
      <w:sz w:val="24"/>
      <w:szCs w:val="32"/>
    </w:rPr>
  </w:style>
  <w:style w:type="paragraph" w:customStyle="1" w:styleId="117">
    <w:name w:val="BZ_二级标题"/>
    <w:basedOn w:val="3"/>
    <w:next w:val="118"/>
    <w:link w:val="116"/>
    <w:qFormat/>
    <w:uiPriority w:val="0"/>
    <w:pPr>
      <w:widowControl/>
      <w:spacing w:before="0" w:after="0" w:line="360" w:lineRule="auto"/>
      <w:ind w:left="576" w:hanging="576"/>
    </w:pPr>
    <w:rPr>
      <w:rFonts w:ascii="Calibri" w:hAnsi="Calibri"/>
      <w:b w:val="0"/>
      <w:sz w:val="24"/>
    </w:rPr>
  </w:style>
  <w:style w:type="paragraph" w:customStyle="1" w:styleId="118">
    <w:name w:val="BZ_正文"/>
    <w:basedOn w:val="1"/>
    <w:link w:val="119"/>
    <w:qFormat/>
    <w:uiPriority w:val="0"/>
    <w:pPr>
      <w:widowControl/>
      <w:spacing w:line="360" w:lineRule="auto"/>
      <w:ind w:firstLine="200" w:firstLineChars="200"/>
    </w:pPr>
    <w:rPr>
      <w:rFonts w:ascii="Calibri" w:hAnsi="Calibri"/>
      <w:kern w:val="0"/>
      <w:sz w:val="22"/>
      <w:szCs w:val="22"/>
    </w:rPr>
  </w:style>
  <w:style w:type="character" w:customStyle="1" w:styleId="119">
    <w:name w:val="BZ_正文 Char Char"/>
    <w:link w:val="118"/>
    <w:qFormat/>
    <w:uiPriority w:val="0"/>
    <w:rPr>
      <w:rFonts w:ascii="Calibri" w:hAnsi="Calibri"/>
      <w:sz w:val="22"/>
      <w:szCs w:val="22"/>
    </w:rPr>
  </w:style>
  <w:style w:type="character" w:customStyle="1" w:styleId="120">
    <w:name w:val="正 Char"/>
    <w:link w:val="121"/>
    <w:qFormat/>
    <w:uiPriority w:val="0"/>
    <w:rPr>
      <w:kern w:val="2"/>
      <w:sz w:val="24"/>
      <w:szCs w:val="23"/>
    </w:rPr>
  </w:style>
  <w:style w:type="paragraph" w:customStyle="1" w:styleId="121">
    <w:name w:val="正"/>
    <w:basedOn w:val="1"/>
    <w:link w:val="120"/>
    <w:qFormat/>
    <w:uiPriority w:val="0"/>
    <w:pPr>
      <w:spacing w:line="360" w:lineRule="auto"/>
      <w:ind w:firstLine="480" w:firstLineChars="200"/>
    </w:pPr>
    <w:rPr>
      <w:szCs w:val="23"/>
    </w:rPr>
  </w:style>
  <w:style w:type="character" w:customStyle="1" w:styleId="122">
    <w:name w:val="图表样式 字符"/>
    <w:link w:val="123"/>
    <w:uiPriority w:val="0"/>
    <w:rPr>
      <w:rFonts w:ascii="黑体" w:hAnsi="黑体" w:eastAsia="黑体"/>
      <w:b/>
      <w:kern w:val="2"/>
      <w:sz w:val="21"/>
      <w:szCs w:val="21"/>
      <w:lang w:val="zh-TW" w:eastAsia="zh-TW"/>
    </w:rPr>
  </w:style>
  <w:style w:type="paragraph" w:customStyle="1" w:styleId="123">
    <w:name w:val="图表样式"/>
    <w:basedOn w:val="1"/>
    <w:link w:val="122"/>
    <w:qFormat/>
    <w:uiPriority w:val="0"/>
    <w:pPr>
      <w:spacing w:line="360" w:lineRule="auto"/>
      <w:jc w:val="center"/>
    </w:pPr>
    <w:rPr>
      <w:rFonts w:ascii="黑体" w:hAnsi="黑体" w:eastAsia="黑体"/>
      <w:b/>
      <w:sz w:val="21"/>
      <w:szCs w:val="21"/>
      <w:lang w:val="zh-TW" w:eastAsia="zh-TW"/>
    </w:rPr>
  </w:style>
  <w:style w:type="character" w:customStyle="1" w:styleId="124">
    <w:name w:val="标题 6 字符"/>
    <w:qFormat/>
    <w:locked/>
    <w:uiPriority w:val="9"/>
    <w:rPr>
      <w:rFonts w:ascii="Cambria" w:hAnsi="Cambria" w:eastAsia="宋体"/>
      <w:b/>
      <w:kern w:val="2"/>
      <w:sz w:val="24"/>
      <w:lang w:val="en-US" w:eastAsia="zh-CN"/>
    </w:rPr>
  </w:style>
  <w:style w:type="character" w:customStyle="1" w:styleId="125">
    <w:name w:val="表格样式 字符"/>
    <w:link w:val="126"/>
    <w:uiPriority w:val="0"/>
    <w:rPr>
      <w:rFonts w:ascii="仿宋" w:hAnsi="仿宋" w:eastAsia="仿宋"/>
      <w:kern w:val="2"/>
      <w:sz w:val="21"/>
      <w:szCs w:val="21"/>
      <w:lang w:val="zh-TW" w:eastAsia="zh-TW"/>
    </w:rPr>
  </w:style>
  <w:style w:type="paragraph" w:customStyle="1" w:styleId="126">
    <w:name w:val="表格样式"/>
    <w:basedOn w:val="1"/>
    <w:link w:val="125"/>
    <w:qFormat/>
    <w:uiPriority w:val="0"/>
    <w:pPr>
      <w:spacing w:line="360" w:lineRule="auto"/>
      <w:jc w:val="center"/>
    </w:pPr>
    <w:rPr>
      <w:rFonts w:ascii="仿宋" w:hAnsi="仿宋" w:eastAsia="仿宋"/>
      <w:sz w:val="21"/>
      <w:szCs w:val="21"/>
      <w:lang w:val="zh-TW" w:eastAsia="zh-TW"/>
    </w:rPr>
  </w:style>
  <w:style w:type="paragraph" w:customStyle="1" w:styleId="127">
    <w:name w:val="正文_17"/>
    <w:qFormat/>
    <w:uiPriority w:val="0"/>
    <w:pPr>
      <w:widowControl w:val="0"/>
      <w:jc w:val="both"/>
    </w:pPr>
    <w:rPr>
      <w:kern w:val="2"/>
      <w:sz w:val="21"/>
      <w:szCs w:val="24"/>
      <w:lang w:val="en-US" w:eastAsia="zh-CN" w:bidi="ar-SA"/>
    </w:rPr>
  </w:style>
  <w:style w:type="paragraph" w:customStyle="1" w:styleId="128">
    <w:name w:val="列表段落1"/>
    <w:basedOn w:val="1"/>
    <w:qFormat/>
    <w:uiPriority w:val="0"/>
    <w:pPr>
      <w:ind w:firstLine="420" w:firstLineChars="200"/>
    </w:pPr>
    <w:rPr>
      <w:rFonts w:ascii="Calibri" w:hAnsi="Calibri"/>
      <w:sz w:val="21"/>
    </w:rPr>
  </w:style>
  <w:style w:type="paragraph" w:customStyle="1" w:styleId="129">
    <w:name w:val="WW-正文缩进"/>
    <w:basedOn w:val="1"/>
    <w:qFormat/>
    <w:uiPriority w:val="0"/>
    <w:pPr>
      <w:suppressAutoHyphens/>
      <w:ind w:firstLine="420"/>
    </w:pPr>
    <w:rPr>
      <w:kern w:val="1"/>
      <w:sz w:val="21"/>
    </w:rPr>
  </w:style>
  <w:style w:type="paragraph" w:customStyle="1" w:styleId="130">
    <w:name w:val="正文缩进1"/>
    <w:qFormat/>
    <w:uiPriority w:val="99"/>
    <w:pPr>
      <w:spacing w:line="580" w:lineRule="exact"/>
      <w:ind w:firstLine="420" w:firstLineChars="200"/>
      <w:jc w:val="both"/>
    </w:pPr>
    <w:rPr>
      <w:kern w:val="2"/>
      <w:sz w:val="32"/>
      <w:szCs w:val="22"/>
      <w:lang w:val="en-US" w:eastAsia="zh-CN" w:bidi="ar-SA"/>
    </w:rPr>
  </w:style>
  <w:style w:type="paragraph" w:customStyle="1" w:styleId="131">
    <w:name w:val="中10 - 图题"/>
    <w:basedOn w:val="1"/>
    <w:next w:val="121"/>
    <w:qFormat/>
    <w:uiPriority w:val="0"/>
    <w:pPr>
      <w:keepNext/>
      <w:jc w:val="center"/>
    </w:pPr>
    <w:rPr>
      <w:sz w:val="22"/>
    </w:rPr>
  </w:style>
  <w:style w:type="paragraph" w:customStyle="1" w:styleId="132">
    <w:name w:val="表格表头"/>
    <w:basedOn w:val="1"/>
    <w:uiPriority w:val="0"/>
    <w:pPr>
      <w:spacing w:line="360" w:lineRule="auto"/>
      <w:jc w:val="center"/>
      <w:outlineLvl w:val="0"/>
    </w:pPr>
    <w:rPr>
      <w:rFonts w:hint="eastAsia" w:ascii="宋体" w:hAnsi="宋体" w:eastAsia="黑体"/>
      <w:szCs w:val="21"/>
    </w:rPr>
  </w:style>
  <w:style w:type="paragraph" w:customStyle="1" w:styleId="133">
    <w:name w:val="表1"/>
    <w:basedOn w:val="1"/>
    <w:uiPriority w:val="0"/>
    <w:pPr>
      <w:tabs>
        <w:tab w:val="left" w:pos="0"/>
      </w:tabs>
      <w:spacing w:line="360" w:lineRule="auto"/>
      <w:jc w:val="center"/>
    </w:pPr>
    <w:rPr>
      <w:rFonts w:ascii="Arial" w:hAnsi="Arial"/>
      <w:sz w:val="21"/>
      <w:szCs w:val="20"/>
    </w:rPr>
  </w:style>
  <w:style w:type="paragraph" w:customStyle="1" w:styleId="134">
    <w:name w:val="纯文本6"/>
    <w:basedOn w:val="1"/>
    <w:uiPriority w:val="0"/>
    <w:pPr>
      <w:widowControl/>
      <w:overflowPunct w:val="0"/>
      <w:autoSpaceDE w:val="0"/>
      <w:autoSpaceDN w:val="0"/>
      <w:adjustRightInd w:val="0"/>
      <w:jc w:val="left"/>
    </w:pPr>
    <w:rPr>
      <w:rFonts w:ascii="宋体" w:hAnsi="Courier New"/>
      <w:kern w:val="0"/>
      <w:sz w:val="21"/>
      <w:szCs w:val="20"/>
    </w:rPr>
  </w:style>
  <w:style w:type="paragraph" w:customStyle="1" w:styleId="135">
    <w:name w:val="_Style 2"/>
    <w:basedOn w:val="1"/>
    <w:qFormat/>
    <w:uiPriority w:val="34"/>
    <w:pPr>
      <w:adjustRightInd w:val="0"/>
      <w:snapToGrid w:val="0"/>
      <w:spacing w:line="360" w:lineRule="auto"/>
      <w:ind w:firstLine="420" w:firstLineChars="200"/>
    </w:pPr>
  </w:style>
  <w:style w:type="paragraph" w:customStyle="1" w:styleId="136">
    <w:name w:val="tableheading"/>
    <w:basedOn w:val="1"/>
    <w:uiPriority w:val="0"/>
    <w:pPr>
      <w:widowControl/>
      <w:spacing w:before="100" w:beforeAutospacing="1" w:after="100" w:afterAutospacing="1"/>
      <w:jc w:val="left"/>
    </w:pPr>
    <w:rPr>
      <w:rFonts w:ascii="宋体" w:hAnsi="宋体" w:cs="宋体"/>
      <w:kern w:val="0"/>
    </w:rPr>
  </w:style>
  <w:style w:type="paragraph" w:customStyle="1" w:styleId="137">
    <w:name w:val="列出段落11"/>
    <w:basedOn w:val="1"/>
    <w:qFormat/>
    <w:uiPriority w:val="34"/>
    <w:pPr>
      <w:ind w:firstLine="420" w:firstLineChars="200"/>
    </w:pPr>
    <w:rPr>
      <w:sz w:val="21"/>
    </w:rPr>
  </w:style>
  <w:style w:type="paragraph" w:customStyle="1" w:styleId="138">
    <w:name w:val="正文1"/>
    <w:basedOn w:val="19"/>
    <w:next w:val="1"/>
    <w:qFormat/>
    <w:uiPriority w:val="0"/>
    <w:pPr>
      <w:widowControl w:val="0"/>
      <w:jc w:val="both"/>
    </w:pPr>
    <w:rPr>
      <w:kern w:val="2"/>
      <w:sz w:val="21"/>
      <w:lang w:val="en-US" w:eastAsia="zh-CN" w:bidi="ar-SA"/>
    </w:rPr>
  </w:style>
  <w:style w:type="paragraph" w:customStyle="1" w:styleId="139">
    <w:name w:val="Table Paragraph"/>
    <w:basedOn w:val="1"/>
    <w:qFormat/>
    <w:uiPriority w:val="1"/>
    <w:pPr>
      <w:autoSpaceDE w:val="0"/>
      <w:autoSpaceDN w:val="0"/>
      <w:jc w:val="left"/>
    </w:pPr>
    <w:rPr>
      <w:rFonts w:ascii="宋体" w:hAnsi="宋体" w:cs="宋体"/>
      <w:kern w:val="0"/>
      <w:sz w:val="22"/>
      <w:szCs w:val="22"/>
      <w:lang w:eastAsia="en-US"/>
    </w:rPr>
  </w:style>
  <w:style w:type="character" w:customStyle="1" w:styleId="140">
    <w:name w:val="正文2 Char Char"/>
    <w:qFormat/>
    <w:uiPriority w:val="0"/>
    <w:rPr>
      <w:rFonts w:eastAsia="宋体"/>
      <w:kern w:val="2"/>
      <w:sz w:val="24"/>
      <w:lang w:val="en-US" w:eastAsia="zh-CN" w:bidi="ar-SA"/>
    </w:rPr>
  </w:style>
  <w:style w:type="character" w:customStyle="1" w:styleId="141">
    <w:name w:val="NormalCharacter"/>
    <w:qFormat/>
    <w:uiPriority w:val="0"/>
    <w:rPr>
      <w:kern w:val="2"/>
      <w:sz w:val="21"/>
      <w:szCs w:val="24"/>
      <w:lang w:val="en-US" w:eastAsia="zh-CN" w:bidi="ar-SA"/>
    </w:rPr>
  </w:style>
  <w:style w:type="character" w:customStyle="1" w:styleId="142">
    <w:name w:val="UserStyle_12"/>
    <w:qFormat/>
    <w:uiPriority w:val="0"/>
    <w:rPr>
      <w:kern w:val="2"/>
      <w:sz w:val="21"/>
      <w:szCs w:val="24"/>
      <w:lang w:val="en-US" w:eastAsia="zh-CN" w:bidi="ar-SA"/>
    </w:rPr>
  </w:style>
  <w:style w:type="paragraph" w:customStyle="1" w:styleId="143">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144">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145">
    <w:name w:val="font11"/>
    <w:basedOn w:val="37"/>
    <w:uiPriority w:val="0"/>
    <w:rPr>
      <w:rFonts w:ascii="Calibri" w:hAnsi="Calibri" w:cs="Calibri"/>
      <w:color w:val="000000"/>
      <w:sz w:val="24"/>
      <w:szCs w:val="24"/>
      <w:u w:val="none"/>
    </w:rPr>
  </w:style>
  <w:style w:type="character" w:customStyle="1" w:styleId="146">
    <w:name w:val="font31"/>
    <w:basedOn w:val="37"/>
    <w:uiPriority w:val="0"/>
    <w:rPr>
      <w:rFonts w:hint="eastAsia" w:ascii="宋体" w:hAnsi="宋体" w:eastAsia="宋体" w:cs="宋体"/>
      <w:color w:val="FF0000"/>
      <w:sz w:val="24"/>
      <w:szCs w:val="24"/>
      <w:u w:val="none"/>
    </w:rPr>
  </w:style>
  <w:style w:type="paragraph" w:customStyle="1" w:styleId="147">
    <w:name w:val="Heading1"/>
    <w:basedOn w:val="1"/>
    <w:next w:val="1"/>
    <w:qFormat/>
    <w:uiPriority w:val="0"/>
    <w:pPr>
      <w:keepNext/>
      <w:keepLines/>
      <w:tabs>
        <w:tab w:val="left" w:pos="432"/>
      </w:tabs>
      <w:spacing w:before="340" w:after="330" w:line="578" w:lineRule="auto"/>
      <w:ind w:left="432" w:hanging="432"/>
      <w:jc w:val="both"/>
      <w:textAlignment w:val="baseline"/>
    </w:pPr>
    <w:rPr>
      <w:rFonts w:ascii="Calibri" w:hAnsi="Calibri" w:eastAsia="宋体" w:cs="Times New Roman"/>
      <w:b/>
      <w:bCs/>
      <w:kern w:val="44"/>
      <w:sz w:val="44"/>
      <w:szCs w:val="44"/>
      <w:lang w:val="en-US" w:eastAsia="zh-CN" w:bidi="ar-SA"/>
    </w:rPr>
  </w:style>
  <w:style w:type="character" w:customStyle="1" w:styleId="148">
    <w:name w:val="font21"/>
    <w:basedOn w:val="37"/>
    <w:uiPriority w:val="0"/>
    <w:rPr>
      <w:rFonts w:hint="eastAsia" w:ascii="宋体" w:hAnsi="宋体" w:eastAsia="宋体" w:cs="宋体"/>
      <w:b/>
      <w:bCs/>
      <w:color w:val="000000"/>
      <w:sz w:val="24"/>
      <w:szCs w:val="24"/>
      <w:u w:val="none"/>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theme/theme1.xml" Type="http://schemas.openxmlformats.org/officeDocument/2006/relationships/theme"/><Relationship Id="rId11" Target="media/image1.png" Type="http://schemas.openxmlformats.org/officeDocument/2006/relationships/image"/><Relationship Id="rId12" Target="media/image2.png" Type="http://schemas.openxmlformats.org/officeDocument/2006/relationships/image"/><Relationship Id="rId13" Target="../customXml/item1.xml" Type="http://schemas.openxmlformats.org/officeDocument/2006/relationships/customXml"/><Relationship Id="rId14" Target="numbering.xml" Type="http://schemas.openxmlformats.org/officeDocument/2006/relationships/numbering"/><Relationship Id="rId15" Target="fontTable.xml" Type="http://schemas.openxmlformats.org/officeDocument/2006/relationships/fontTable"/><Relationship Id="rId2" Target="settings.xml" Type="http://schemas.openxmlformats.org/officeDocument/2006/relationships/settings"/><Relationship Id="rId3" Target="footer1.xml" Type="http://schemas.openxmlformats.org/officeDocument/2006/relationships/footer"/><Relationship Id="rId4" Target="footer2.xml" Type="http://schemas.openxmlformats.org/officeDocument/2006/relationships/footer"/><Relationship Id="rId5" Target="footer3.xml" Type="http://schemas.openxmlformats.org/officeDocument/2006/relationships/footer"/><Relationship Id="rId6" Target="footer4.xml" Type="http://schemas.openxmlformats.org/officeDocument/2006/relationships/footer"/><Relationship Id="rId7" Target="header1.xml" Type="http://schemas.openxmlformats.org/officeDocument/2006/relationships/header"/><Relationship Id="rId8" Target="footer5.xml" Type="http://schemas.openxmlformats.org/officeDocument/2006/relationships/footer"/><Relationship Id="rId9" Target="footer6.xml" Type="http://schemas.openxmlformats.org/officeDocument/2006/relationships/foot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青鸟杭办</Company>
  <Pages>81</Pages>
  <Words>35366</Words>
  <Characters>39147</Characters>
  <Lines>275</Lines>
  <Paragraphs>77</Paragraphs>
  <TotalTime>21</TotalTime>
  <ScaleCrop>false</ScaleCrop>
  <LinksUpToDate>false</LinksUpToDate>
  <CharactersWithSpaces>43921</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2020-05-22T08:46:00Z</dcterms:created>
  <dc:creator>黄旭明</dc:creator>
  <cp:lastModifiedBy>WPS_1701756769</cp:lastModifiedBy>
  <cp:lastPrinted>2021-04-25T02:03:00Z</cp:lastPrinted>
  <dcterms:modified xsi:type="dcterms:W3CDTF">2024-02-22T10:31:16Z</dcterms:modified>
  <cp:revision>130</cp:revision>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4907E25A9EB345728D5618951AFDF47B_13</vt:lpwstr>
  </property>
</Properties>
</file>