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7E46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浙江正大工程管理咨询有限公司</w:t>
      </w:r>
      <w:r>
        <w:rPr>
          <w:b/>
          <w:sz w:val="28"/>
          <w:szCs w:val="28"/>
        </w:rPr>
        <w:t>关于</w:t>
      </w:r>
      <w:r>
        <w:rPr>
          <w:rFonts w:hint="eastAsia"/>
          <w:b/>
          <w:sz w:val="28"/>
          <w:szCs w:val="28"/>
          <w:lang w:eastAsia="zh-CN"/>
        </w:rPr>
        <w:t>海宁市教育局市属公办学校师生健康饮水工程2025-2027年度设备租赁服务</w:t>
      </w:r>
      <w:r>
        <w:rPr>
          <w:rFonts w:hint="eastAsia"/>
          <w:b/>
          <w:sz w:val="28"/>
          <w:szCs w:val="28"/>
          <w:lang w:val="en-US" w:eastAsia="zh-CN"/>
        </w:rPr>
        <w:t>项目征集</w:t>
      </w:r>
      <w:r>
        <w:rPr>
          <w:rFonts w:hint="eastAsia"/>
          <w:b/>
          <w:sz w:val="28"/>
          <w:szCs w:val="28"/>
          <w:lang w:eastAsia="zh-CN"/>
        </w:rPr>
        <w:t>文件</w:t>
      </w:r>
      <w:r>
        <w:rPr>
          <w:rFonts w:hint="eastAsia"/>
          <w:b/>
          <w:sz w:val="28"/>
          <w:szCs w:val="28"/>
          <w:lang w:val="en-US" w:eastAsia="zh-CN"/>
        </w:rPr>
        <w:t>的</w:t>
      </w:r>
      <w:r>
        <w:rPr>
          <w:b/>
          <w:sz w:val="28"/>
          <w:szCs w:val="28"/>
        </w:rPr>
        <w:t>更正公告</w:t>
      </w:r>
    </w:p>
    <w:p w14:paraId="12E06F7A">
      <w:pPr>
        <w:spacing w:line="360" w:lineRule="auto"/>
        <w:ind w:firstLine="360" w:firstLineChars="15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一、项目名称：</w:t>
      </w:r>
      <w:r>
        <w:rPr>
          <w:rFonts w:hint="eastAsia"/>
          <w:sz w:val="24"/>
          <w:lang w:eastAsia="zh-CN"/>
        </w:rPr>
        <w:t>海宁市人民海宁市教育局市属公办学校师生健康饮水工程2025-2027年度设备租赁服务</w:t>
      </w:r>
    </w:p>
    <w:p w14:paraId="1DC8BE45">
      <w:pPr>
        <w:spacing w:line="360" w:lineRule="auto"/>
        <w:ind w:firstLine="360" w:firstLineChars="15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二、项目编号：ZDCG2025029</w:t>
      </w:r>
    </w:p>
    <w:p w14:paraId="6C670B4D">
      <w:pPr>
        <w:spacing w:line="360" w:lineRule="auto"/>
        <w:ind w:firstLine="360" w:firstLineChars="15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三、采购方式：</w:t>
      </w:r>
      <w:r>
        <w:rPr>
          <w:rFonts w:hint="eastAsia"/>
          <w:sz w:val="24"/>
          <w:lang w:val="en-US" w:eastAsia="zh-CN"/>
        </w:rPr>
        <w:t>框架协议</w:t>
      </w:r>
    </w:p>
    <w:p w14:paraId="61258BCB"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四、更正日期：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</w:p>
    <w:p w14:paraId="6F57AE51">
      <w:pPr>
        <w:spacing w:line="360" w:lineRule="auto"/>
        <w:ind w:firstLine="360" w:firstLineChars="15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五、首次公告日期：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日</w:t>
      </w:r>
    </w:p>
    <w:p w14:paraId="6ED0595B"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</w:rPr>
        <w:t>、更正事项：</w:t>
      </w:r>
    </w:p>
    <w:tbl>
      <w:tblPr>
        <w:tblStyle w:val="6"/>
        <w:tblW w:w="10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53"/>
        <w:gridCol w:w="3533"/>
        <w:gridCol w:w="4889"/>
      </w:tblGrid>
      <w:tr w14:paraId="1D23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83" w:type="dxa"/>
            <w:noWrap w:val="0"/>
            <w:vAlign w:val="center"/>
          </w:tcPr>
          <w:p w14:paraId="7AB06043">
            <w:pPr>
              <w:spacing w:line="31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53" w:type="dxa"/>
            <w:noWrap w:val="0"/>
            <w:vAlign w:val="center"/>
          </w:tcPr>
          <w:p w14:paraId="4466A49A">
            <w:pPr>
              <w:spacing w:line="31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更正事项</w:t>
            </w:r>
          </w:p>
        </w:tc>
        <w:tc>
          <w:tcPr>
            <w:tcW w:w="3533" w:type="dxa"/>
            <w:noWrap w:val="0"/>
            <w:vAlign w:val="center"/>
          </w:tcPr>
          <w:p w14:paraId="5F0BAE35">
            <w:pPr>
              <w:spacing w:line="31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更正前内容</w:t>
            </w:r>
          </w:p>
        </w:tc>
        <w:tc>
          <w:tcPr>
            <w:tcW w:w="4889" w:type="dxa"/>
            <w:noWrap w:val="0"/>
            <w:vAlign w:val="center"/>
          </w:tcPr>
          <w:p w14:paraId="24A17EC4">
            <w:pPr>
              <w:spacing w:line="31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更正后内容</w:t>
            </w:r>
          </w:p>
        </w:tc>
      </w:tr>
      <w:tr w14:paraId="2D47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83" w:type="dxa"/>
            <w:noWrap w:val="0"/>
            <w:vAlign w:val="center"/>
          </w:tcPr>
          <w:p w14:paraId="0FA08D9B">
            <w:pPr>
              <w:spacing w:line="310" w:lineRule="exact"/>
              <w:jc w:val="center"/>
              <w:rPr>
                <w:rFonts w:hint="eastAsia" w:ascii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40353B9B">
            <w:pPr>
              <w:spacing w:line="310" w:lineRule="exact"/>
              <w:jc w:val="center"/>
              <w:rPr>
                <w:rFonts w:hint="default" w:ascii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1"/>
                <w:lang w:val="en-US" w:eastAsia="zh-CN"/>
              </w:rPr>
              <w:t>征集文件第二章采购需求——3.2租赁物技术要求表</w:t>
            </w:r>
          </w:p>
        </w:tc>
        <w:tc>
          <w:tcPr>
            <w:tcW w:w="3533" w:type="dxa"/>
            <w:noWrap w:val="0"/>
            <w:vAlign w:val="center"/>
          </w:tcPr>
          <w:p w14:paraId="0EB5CBD7">
            <w:pPr>
              <w:spacing w:line="310" w:lineRule="exact"/>
              <w:rPr>
                <w:rFonts w:hint="default" w:ascii="宋体" w:hAnsi="宋体" w:eastAsia="宋体" w:cs="Arial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/>
                <w:kern w:val="0"/>
                <w:sz w:val="24"/>
                <w:szCs w:val="21"/>
                <w:lang w:val="en-US" w:eastAsia="zh-CN"/>
              </w:rPr>
              <w:t>详见征集文件</w:t>
            </w:r>
          </w:p>
        </w:tc>
        <w:tc>
          <w:tcPr>
            <w:tcW w:w="4889" w:type="dxa"/>
            <w:noWrap w:val="0"/>
            <w:vAlign w:val="center"/>
          </w:tcPr>
          <w:p w14:paraId="14EFE3EE">
            <w:pPr>
              <w:spacing w:line="310" w:lineRule="exact"/>
              <w:jc w:val="center"/>
              <w:rPr>
                <w:rFonts w:hint="default" w:ascii="宋体" w:hAnsi="宋体" w:eastAsia="宋体" w:cs="Arial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  <w:lang w:val="en-US" w:eastAsia="zh-CN"/>
              </w:rPr>
              <w:t>确定“</w:t>
            </w:r>
            <w:r>
              <w:rPr>
                <w:rFonts w:hint="eastAsia" w:ascii="宋体"/>
                <w:b/>
                <w:bCs/>
                <w:kern w:val="0"/>
                <w:sz w:val="24"/>
                <w:szCs w:val="21"/>
                <w:highlight w:val="none"/>
                <w:lang w:val="en-US" w:eastAsia="zh-CN"/>
              </w:rPr>
              <w:t>租赁物技术要求表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highlight w:val="none"/>
                <w:lang w:val="en-US" w:eastAsia="zh-CN"/>
              </w:rPr>
              <w:t>”中序号1“3水嘴直饮水平台”为核心产品。</w:t>
            </w:r>
          </w:p>
        </w:tc>
      </w:tr>
      <w:tr w14:paraId="3501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783" w:type="dxa"/>
            <w:noWrap w:val="0"/>
            <w:vAlign w:val="center"/>
          </w:tcPr>
          <w:p w14:paraId="17637546">
            <w:pPr>
              <w:spacing w:line="310" w:lineRule="exact"/>
              <w:jc w:val="center"/>
              <w:rPr>
                <w:rFonts w:hint="eastAsia" w:ascii="宋体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0A93E812">
            <w:pPr>
              <w:spacing w:line="310" w:lineRule="exact"/>
              <w:rPr>
                <w:rFonts w:hint="eastAsia" w:ascii="宋体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szCs w:val="21"/>
                <w:lang w:val="en-US" w:eastAsia="zh-CN"/>
              </w:rPr>
              <w:t>征集文件第四章评审办法及评分标准</w:t>
            </w:r>
          </w:p>
        </w:tc>
        <w:tc>
          <w:tcPr>
            <w:tcW w:w="3533" w:type="dxa"/>
            <w:noWrap w:val="0"/>
            <w:vAlign w:val="center"/>
          </w:tcPr>
          <w:p w14:paraId="08F06450">
            <w:pPr>
              <w:spacing w:line="310" w:lineRule="exact"/>
              <w:rPr>
                <w:rFonts w:hint="eastAsia" w:ascii="宋体"/>
                <w:kern w:val="0"/>
                <w:sz w:val="24"/>
                <w:szCs w:val="21"/>
              </w:rPr>
            </w:pPr>
            <w:r>
              <w:rPr>
                <w:rFonts w:hint="eastAsia" w:ascii="宋体"/>
                <w:kern w:val="0"/>
                <w:sz w:val="24"/>
                <w:szCs w:val="21"/>
              </w:rPr>
              <w:t>一 、总则</w:t>
            </w:r>
          </w:p>
          <w:p w14:paraId="1F16A632">
            <w:pPr>
              <w:spacing w:line="310" w:lineRule="exact"/>
              <w:rPr>
                <w:rFonts w:hint="eastAsia" w:ascii="宋体"/>
                <w:kern w:val="0"/>
                <w:sz w:val="24"/>
                <w:szCs w:val="21"/>
              </w:rPr>
            </w:pPr>
            <w:r>
              <w:rPr>
                <w:rFonts w:hint="eastAsia" w:ascii="宋体"/>
                <w:kern w:val="0"/>
                <w:sz w:val="24"/>
                <w:szCs w:val="21"/>
              </w:rPr>
              <w:t>本次评审采用质量优先法，即对满足采购需求且响应报价要求的服务进行质量综合评分。合格供应商的质量得分为技术分和商务资信分的总和，总分为100分。入围资格按照质量评分从高到低排序，质量评分相同的，按技术分得分由高到低顺序排列，仍不能分出前后的，以电子响应文件解密先后顺序确定。评分过程中采用四舍五入法，并保留小数2位。</w:t>
            </w:r>
          </w:p>
          <w:p w14:paraId="0C7CAC66">
            <w:pPr>
              <w:spacing w:line="310" w:lineRule="exact"/>
              <w:rPr>
                <w:rFonts w:hint="eastAsia" w:ascii="宋体"/>
                <w:kern w:val="0"/>
                <w:sz w:val="24"/>
                <w:szCs w:val="21"/>
              </w:rPr>
            </w:pPr>
            <w:r>
              <w:rPr>
                <w:rFonts w:hint="eastAsia" w:ascii="宋体"/>
                <w:kern w:val="0"/>
                <w:sz w:val="24"/>
                <w:szCs w:val="21"/>
              </w:rPr>
              <w:t>供应商质量分=技术分+商务资信分</w:t>
            </w:r>
          </w:p>
          <w:p w14:paraId="2C7C2DE7">
            <w:pPr>
              <w:spacing w:line="310" w:lineRule="exact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hint="eastAsia" w:ascii="宋体"/>
                <w:kern w:val="0"/>
                <w:sz w:val="24"/>
                <w:szCs w:val="21"/>
              </w:rPr>
              <w:t>本次采购入围上限数量 8家，淘汰比例不低于20%，且至少淘汰一家供应商。</w:t>
            </w:r>
          </w:p>
        </w:tc>
        <w:tc>
          <w:tcPr>
            <w:tcW w:w="4889" w:type="dxa"/>
            <w:noWrap w:val="0"/>
            <w:vAlign w:val="center"/>
          </w:tcPr>
          <w:p w14:paraId="24D6AEBE">
            <w:pPr>
              <w:spacing w:line="310" w:lineRule="exact"/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  <w:t>一 、总则</w:t>
            </w:r>
          </w:p>
          <w:p w14:paraId="6DC6BFBA">
            <w:pPr>
              <w:spacing w:line="310" w:lineRule="exact"/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  <w:t>本次评审采用质量优先法，即对满足采购需求且响应报价要求的服务进行质量综合评分。合格供应商的质量得分为技术分和商务资信分的总和，总分为100分。入围资格按照质量评分从高到低排序，质量评分相同的，按技术分得分由高到低顺序排列，仍不能分出前后的，以电子响应文件解密先后顺序确定。评分过程中采用四舍五入法，并保留小数2位。</w:t>
            </w:r>
          </w:p>
          <w:p w14:paraId="30C60968">
            <w:pPr>
              <w:spacing w:line="310" w:lineRule="exact"/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  <w:t>供应商质量分=技术分+商务资信分</w:t>
            </w:r>
          </w:p>
          <w:p w14:paraId="331F0D87">
            <w:pPr>
              <w:spacing w:line="310" w:lineRule="exact"/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  <w:t>本次采购入围上限数量 8家，淘汰比例不低于20%，且至少淘汰一家供应商。</w:t>
            </w:r>
          </w:p>
          <w:p w14:paraId="3DFC5DB1">
            <w:pPr>
              <w:spacing w:line="310" w:lineRule="exact"/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核心产品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提供相同品牌产品且通过资格审查、符合性审查的不同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参加同一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投标的，按一家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计算，评审后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质量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得分最高的同品牌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获得入围资格；评审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质量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得分相同的，采取随机抽取方式确定。</w:t>
            </w:r>
          </w:p>
        </w:tc>
      </w:tr>
      <w:tr w14:paraId="51A0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783" w:type="dxa"/>
            <w:noWrap w:val="0"/>
            <w:vAlign w:val="center"/>
          </w:tcPr>
          <w:p w14:paraId="084101C7">
            <w:pPr>
              <w:spacing w:line="310" w:lineRule="exact"/>
              <w:jc w:val="center"/>
              <w:rPr>
                <w:rFonts w:hint="eastAsia" w:asci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1453" w:type="dxa"/>
            <w:noWrap w:val="0"/>
            <w:vAlign w:val="center"/>
          </w:tcPr>
          <w:p w14:paraId="278A1FAB">
            <w:pPr>
              <w:spacing w:line="310" w:lineRule="exact"/>
              <w:rPr>
                <w:rFonts w:hint="eastAsia" w:ascii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szCs w:val="21"/>
                <w:lang w:val="en-US" w:eastAsia="zh-CN"/>
              </w:rPr>
              <w:t>征集文件</w:t>
            </w:r>
            <w:r>
              <w:rPr>
                <w:rFonts w:hint="eastAsia" w:ascii="宋体"/>
                <w:kern w:val="0"/>
                <w:sz w:val="24"/>
                <w:szCs w:val="21"/>
                <w:lang w:eastAsia="zh-CN"/>
              </w:rPr>
              <w:t>附件5： 技术响应表</w:t>
            </w:r>
          </w:p>
        </w:tc>
        <w:tc>
          <w:tcPr>
            <w:tcW w:w="3533" w:type="dxa"/>
            <w:noWrap w:val="0"/>
            <w:vAlign w:val="center"/>
          </w:tcPr>
          <w:p w14:paraId="72B454EB">
            <w:pPr>
              <w:spacing w:line="310" w:lineRule="exact"/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1"/>
                <w:lang w:val="en-US" w:eastAsia="zh-CN"/>
              </w:rPr>
              <w:t>详见征集文件</w:t>
            </w:r>
          </w:p>
        </w:tc>
        <w:tc>
          <w:tcPr>
            <w:tcW w:w="4889" w:type="dxa"/>
            <w:noWrap w:val="0"/>
            <w:vAlign w:val="center"/>
          </w:tcPr>
          <w:p w14:paraId="426D0321">
            <w:pPr>
              <w:spacing w:line="310" w:lineRule="exact"/>
              <w:rPr>
                <w:rFonts w:hint="default" w:asci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1"/>
                <w:lang w:val="en-US" w:eastAsia="zh-CN"/>
              </w:rPr>
              <w:t>详见更正公告附件</w:t>
            </w:r>
          </w:p>
        </w:tc>
      </w:tr>
    </w:tbl>
    <w:p w14:paraId="5880B4BB">
      <w:pPr>
        <w:spacing w:line="360" w:lineRule="auto"/>
        <w:ind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 </w:t>
      </w:r>
      <w:r>
        <w:rPr>
          <w:rFonts w:hint="eastAsia"/>
          <w:b/>
          <w:sz w:val="24"/>
          <w:lang w:eastAsia="zh-CN"/>
        </w:rPr>
        <w:t>征集文件</w:t>
      </w:r>
      <w:r>
        <w:rPr>
          <w:rFonts w:hint="eastAsia"/>
          <w:b/>
          <w:sz w:val="24"/>
        </w:rPr>
        <w:t>中对应内容作相应修改。</w:t>
      </w:r>
    </w:p>
    <w:p w14:paraId="23403B0C"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各</w:t>
      </w:r>
      <w:r>
        <w:rPr>
          <w:rFonts w:hint="eastAsia"/>
          <w:sz w:val="24"/>
          <w:lang w:eastAsia="zh-CN"/>
        </w:rPr>
        <w:t>供应商</w:t>
      </w:r>
      <w:r>
        <w:rPr>
          <w:rFonts w:hint="eastAsia"/>
          <w:sz w:val="24"/>
        </w:rPr>
        <w:t>须按更正后的内容编制本项目</w:t>
      </w:r>
      <w:r>
        <w:rPr>
          <w:rFonts w:hint="eastAsia"/>
          <w:sz w:val="24"/>
          <w:lang w:eastAsia="zh-CN"/>
        </w:rPr>
        <w:t>响应文件</w:t>
      </w:r>
      <w:r>
        <w:rPr>
          <w:rFonts w:hint="eastAsia"/>
          <w:sz w:val="24"/>
        </w:rPr>
        <w:t>，更正公告是</w:t>
      </w:r>
      <w:r>
        <w:rPr>
          <w:rFonts w:hint="eastAsia"/>
          <w:sz w:val="24"/>
          <w:lang w:eastAsia="zh-CN"/>
        </w:rPr>
        <w:t>征集文件</w:t>
      </w:r>
      <w:r>
        <w:rPr>
          <w:rFonts w:hint="eastAsia"/>
          <w:sz w:val="24"/>
        </w:rPr>
        <w:t>的补充，与</w:t>
      </w:r>
      <w:r>
        <w:rPr>
          <w:rFonts w:hint="eastAsia"/>
          <w:sz w:val="24"/>
          <w:lang w:eastAsia="zh-CN"/>
        </w:rPr>
        <w:t>征集文件</w:t>
      </w:r>
      <w:r>
        <w:rPr>
          <w:rFonts w:hint="eastAsia"/>
          <w:sz w:val="24"/>
        </w:rPr>
        <w:t>具有同等法律效力，不按更正公告要求编制</w:t>
      </w:r>
      <w:r>
        <w:rPr>
          <w:rFonts w:hint="eastAsia"/>
          <w:sz w:val="24"/>
          <w:lang w:eastAsia="zh-CN"/>
        </w:rPr>
        <w:t>响应文件</w:t>
      </w:r>
      <w:r>
        <w:rPr>
          <w:rFonts w:hint="eastAsia"/>
          <w:sz w:val="24"/>
        </w:rPr>
        <w:t>的后果自负。</w:t>
      </w:r>
    </w:p>
    <w:p w14:paraId="09D5F4BA"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七</w:t>
      </w:r>
      <w:r>
        <w:rPr>
          <w:rFonts w:hint="eastAsia"/>
          <w:sz w:val="24"/>
        </w:rPr>
        <w:t>、采购机构联系方式</w:t>
      </w:r>
    </w:p>
    <w:p w14:paraId="01CC110A"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机构名称：浙江正大工程管理咨询有限公司</w:t>
      </w:r>
    </w:p>
    <w:p w14:paraId="0254C267"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机构地点：海宁市长丰路436号保安大厦10层</w:t>
      </w:r>
    </w:p>
    <w:p w14:paraId="21D9971C"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联系人：金晓丽</w:t>
      </w:r>
    </w:p>
    <w:p w14:paraId="6A208EE6">
      <w:pPr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联系电话：15068376091</w:t>
      </w:r>
    </w:p>
    <w:p w14:paraId="07F6A7DD">
      <w:pPr>
        <w:pStyle w:val="8"/>
        <w:rPr>
          <w:rFonts w:hint="eastAsia" w:ascii="Times New Roman" w:hAnsi="Times New Roman" w:eastAsia="宋体" w:cs="Times New Roman"/>
          <w:sz w:val="24"/>
        </w:rPr>
      </w:pPr>
    </w:p>
    <w:p w14:paraId="3D8A5079">
      <w:pPr>
        <w:pStyle w:val="8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66E43434">
      <w:pPr>
        <w:pStyle w:val="8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52AFC2A6">
      <w:pPr>
        <w:pStyle w:val="8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4390AF07">
      <w:pPr>
        <w:pStyle w:val="8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1BB180C2">
      <w:pPr>
        <w:pStyle w:val="8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452E79C9">
      <w:pPr>
        <w:pStyle w:val="8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3C4D9D93">
      <w:pPr>
        <w:pStyle w:val="8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6DCAA05A">
      <w:pPr>
        <w:pStyle w:val="8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附件：</w:t>
      </w:r>
    </w:p>
    <w:p w14:paraId="1AFCC7DD">
      <w:pPr>
        <w:pStyle w:val="2"/>
        <w:spacing w:line="32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更正后内容：</w:t>
      </w:r>
    </w:p>
    <w:p w14:paraId="7C4836E8">
      <w:pPr>
        <w:widowControl/>
        <w:spacing w:line="400" w:lineRule="exact"/>
        <w:jc w:val="center"/>
        <w:rPr>
          <w:rFonts w:hint="eastAsia" w:ascii="楷体_GB2312" w:eastAsia="楷体_GB2312"/>
          <w:b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sz w:val="36"/>
          <w:szCs w:val="36"/>
          <w:lang w:eastAsia="zh-CN"/>
        </w:rPr>
        <w:t>技术响应表</w:t>
      </w:r>
    </w:p>
    <w:p w14:paraId="050E239B">
      <w:pPr>
        <w:snapToGrid w:val="0"/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Style w:val="5"/>
        <w:tblW w:w="10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36"/>
        <w:gridCol w:w="4299"/>
        <w:gridCol w:w="893"/>
        <w:gridCol w:w="1854"/>
        <w:gridCol w:w="680"/>
        <w:gridCol w:w="1742"/>
      </w:tblGrid>
      <w:tr w14:paraId="7DC3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A422B">
            <w:pPr>
              <w:rPr>
                <w:rFonts w:hAnsi="宋体"/>
                <w:szCs w:val="21"/>
              </w:rPr>
            </w:pPr>
            <w:bookmarkStart w:id="0" w:name="_Toc382928118"/>
            <w:r>
              <w:rPr>
                <w:rFonts w:hint="eastAsia" w:ascii="宋体" w:hAnsi="宋体"/>
                <w:lang w:eastAsia="zh-CN"/>
              </w:rPr>
              <w:t>征集文件</w:t>
            </w:r>
            <w:r>
              <w:rPr>
                <w:rFonts w:hint="eastAsia" w:ascii="宋体" w:hAnsi="宋体"/>
              </w:rPr>
              <w:t>要求</w:t>
            </w:r>
            <w:bookmarkEnd w:id="0"/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B9DE5">
            <w:pPr>
              <w:rPr>
                <w:rFonts w:hAnsi="宋体"/>
                <w:szCs w:val="21"/>
              </w:rPr>
            </w:pPr>
            <w:bookmarkStart w:id="1" w:name="_Toc402963129"/>
            <w:r>
              <w:rPr>
                <w:rFonts w:hint="eastAsia" w:ascii="宋体" w:hAnsi="宋体"/>
              </w:rPr>
              <w:t>投标文件响应</w:t>
            </w:r>
            <w:bookmarkEnd w:id="1"/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08040">
            <w:pPr>
              <w:rPr>
                <w:rFonts w:hAnsi="宋体"/>
                <w:szCs w:val="21"/>
              </w:rPr>
            </w:pPr>
            <w:bookmarkStart w:id="2" w:name="_Toc402963130"/>
            <w:r>
              <w:rPr>
                <w:rFonts w:hint="eastAsia" w:ascii="宋体" w:hAnsi="宋体"/>
                <w:b/>
                <w:bCs/>
              </w:rPr>
              <w:t>偏离</w:t>
            </w:r>
            <w:bookmarkEnd w:id="2"/>
            <w:r>
              <w:rPr>
                <w:rFonts w:hAnsi="宋体"/>
                <w:b/>
                <w:bCs/>
              </w:rPr>
              <w:br w:type="textWrapping"/>
            </w:r>
            <w:r>
              <w:rPr>
                <w:rFonts w:hint="eastAsia" w:ascii="宋体" w:hAnsi="宋体"/>
                <w:b/>
                <w:bCs/>
              </w:rPr>
              <w:t>情况</w:t>
            </w: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7CD9A1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所投产品是否获得生产厂家书面授权（本项不填默认未获得）</w:t>
            </w:r>
          </w:p>
        </w:tc>
      </w:tr>
      <w:tr w14:paraId="0027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255D">
            <w:pPr>
              <w:widowControl/>
              <w:jc w:val="center"/>
              <w:rPr>
                <w:rFonts w:hAnsi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序号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651E">
            <w:pPr>
              <w:widowControl/>
              <w:jc w:val="center"/>
              <w:rPr>
                <w:rFonts w:ascii="宋体" w:hAnsi="宋体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highlight w:val="none"/>
              </w:rPr>
              <w:t>品名</w:t>
            </w:r>
          </w:p>
        </w:tc>
        <w:tc>
          <w:tcPr>
            <w:tcW w:w="4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B783">
            <w:pPr>
              <w:widowControl/>
              <w:jc w:val="center"/>
              <w:rPr>
                <w:rFonts w:hAnsi="宋体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highlight w:val="none"/>
              </w:rPr>
              <w:t>主要功能/技术参数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86E6">
            <w:pPr>
              <w:jc w:val="center"/>
              <w:rPr>
                <w:rFonts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</w:rPr>
              <w:t>品牌及规格型号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76BE">
            <w:pPr>
              <w:jc w:val="center"/>
              <w:rPr>
                <w:rFonts w:hAnsi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主要功能/技术参数</w:t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B4F6"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2BD6">
            <w:pPr>
              <w:widowControl/>
              <w:jc w:val="center"/>
              <w:rPr>
                <w:rFonts w:hAnsi="宋体"/>
                <w:szCs w:val="21"/>
              </w:rPr>
            </w:pPr>
          </w:p>
        </w:tc>
      </w:tr>
      <w:tr w14:paraId="4C41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E72E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D41E">
            <w:pPr>
              <w:widowControl/>
              <w:spacing w:before="60" w:after="60"/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3水嘴直饮水平台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（核心产品</w:t>
            </w:r>
            <w:bookmarkStart w:id="3" w:name="_GoBack"/>
            <w:bookmarkEnd w:id="3"/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4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F38D9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1、采用SUS304不锈钢水龙头，不锈钢水龙头单独的卫生批件</w:t>
            </w:r>
            <w:r>
              <w:rPr>
                <w:rFonts w:hint="eastAsia"/>
                <w:color w:val="auto"/>
                <w:lang w:val="en-US" w:eastAsia="zh-CN"/>
              </w:rPr>
              <w:t>可查或在</w:t>
            </w:r>
            <w:r>
              <w:rPr>
                <w:rFonts w:hint="eastAsia"/>
                <w:color w:val="auto"/>
              </w:rPr>
              <w:t>整机涉水批件附件可查，为防止烫伤学生，龙头出水均为温开水且温开水出水水温可调，龙头数量为3个，出水按键采用触摸按键；</w:t>
            </w:r>
          </w:p>
          <w:p w14:paraId="59D6D0FD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2、整机尺寸长宽高不大于140cm\60cm\</w:t>
            </w:r>
            <w:r>
              <w:rPr>
                <w:rFonts w:hint="eastAsia"/>
                <w:color w:val="auto"/>
                <w:lang w:val="en-US" w:eastAsia="zh-CN"/>
              </w:rPr>
              <w:t>155</w:t>
            </w:r>
            <w:r>
              <w:rPr>
                <w:rFonts w:hint="eastAsia"/>
                <w:color w:val="auto"/>
              </w:rPr>
              <w:t>cm；防止课间接水拥挤，龙头间距需要≥40cm；</w:t>
            </w:r>
          </w:p>
          <w:p w14:paraId="0803AF94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3、额定电压：220V，额定功率在3000-3300W；</w:t>
            </w:r>
          </w:p>
          <w:p w14:paraId="43DF8C2C">
            <w:pPr>
              <w:pStyle w:val="4"/>
              <w:ind w:firstLine="0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▲4、过滤系统：不少于5级过滤，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核心工艺采用反渗透或纳滤膜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</w:rPr>
              <w:t>投标时提供有效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的</w:t>
            </w:r>
            <w:r>
              <w:rPr>
                <w:rFonts w:hint="eastAsia"/>
                <w:b/>
                <w:bCs/>
                <w:color w:val="auto"/>
              </w:rPr>
              <w:t>涉及饮用水卫生安全许可批件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扫描件加盖供应商公章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）；</w:t>
            </w:r>
          </w:p>
          <w:p w14:paraId="47761B73">
            <w:pPr>
              <w:pStyle w:val="4"/>
              <w:ind w:firstLine="0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△5、整机采用SUS304不锈钢材质，厚度≥1.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</w:rPr>
              <w:t>mm，水槽不锈钢整体压铸成型，水槽可直接连接地漏排废水，无需人工倒水；水胆：采用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SUS</w:t>
            </w:r>
            <w:r>
              <w:rPr>
                <w:rFonts w:hint="eastAsia"/>
                <w:b/>
                <w:bCs/>
                <w:color w:val="auto"/>
              </w:rPr>
              <w:t>304不锈钢，容量≥30L，厚度≥1.0mm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；</w:t>
            </w:r>
            <w:r>
              <w:rPr>
                <w:rFonts w:hint="eastAsia"/>
                <w:b/>
                <w:bCs/>
                <w:color w:val="auto"/>
              </w:rPr>
              <w:t>（投标时提供有效的水胆涉及饮用水卫生安全产品卫生许可批件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扫描件加盖供应商公章</w:t>
            </w:r>
            <w:r>
              <w:rPr>
                <w:rFonts w:hint="eastAsia"/>
                <w:b/>
                <w:bCs/>
                <w:color w:val="auto"/>
              </w:rPr>
              <w:t>）</w:t>
            </w:r>
          </w:p>
          <w:p w14:paraId="4AA701CF">
            <w:pPr>
              <w:pStyle w:val="4"/>
              <w:ind w:firstLine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、制水量：净水能力≥30L/h，制温开水能力≥150L/h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 w14:paraId="2F8A6B07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>、具有自动故障报警功能，可显示故障类型，且以上功能设置按键具有防乱设置保护措施；</w:t>
            </w:r>
          </w:p>
          <w:p w14:paraId="655EFD97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、设备内部涉及净水的管道，采用SUS304不锈钢材质；</w:t>
            </w:r>
          </w:p>
          <w:p w14:paraId="7D234545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、其他功能：具有显示总净水量、TDS值、热胆水温显示，为方便管理可设置定时开关机等功能；</w:t>
            </w:r>
          </w:p>
          <w:p w14:paraId="2CC7603D">
            <w:pPr>
              <w:pStyle w:val="4"/>
              <w:ind w:firstLine="0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▲1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</w:rPr>
              <w:t>、设备须具有外壳防护等级IP44认证和防触电类型I类认证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</w:rPr>
              <w:t>投标时</w:t>
            </w:r>
            <w:r>
              <w:rPr>
                <w:rFonts w:hint="eastAsia"/>
                <w:b/>
                <w:bCs/>
                <w:color w:val="auto"/>
                <w:lang w:eastAsia="zh-Hans"/>
              </w:rPr>
              <w:t>提供具备CMA标志检测报告证明材料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扫描件加盖供应商公章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；</w:t>
            </w:r>
          </w:p>
          <w:p w14:paraId="35915DD1">
            <w:pPr>
              <w:pStyle w:val="4"/>
              <w:ind w:firstLine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、采用隔夜水排空技术。</w:t>
            </w:r>
            <w:r>
              <w:rPr>
                <w:rFonts w:hint="eastAsia"/>
                <w:color w:val="auto"/>
                <w:lang w:eastAsia="zh-Hans"/>
              </w:rPr>
              <w:t>可</w:t>
            </w:r>
            <w:r>
              <w:rPr>
                <w:rFonts w:hint="eastAsia"/>
                <w:color w:val="auto"/>
              </w:rPr>
              <w:t>定时排空水胆内的隔夜水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 w14:paraId="228CEE0D">
            <w:pPr>
              <w:pStyle w:val="4"/>
              <w:ind w:firstLine="0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▲1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</w:rPr>
              <w:t>、加热方法采用热交换加热原理，为保证水质安全，设备须具有纯物理内部管道热水杀菌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；</w:t>
            </w:r>
            <w:r>
              <w:rPr>
                <w:rFonts w:hint="eastAsia"/>
                <w:b/>
                <w:bCs/>
                <w:color w:val="auto"/>
              </w:rPr>
              <w:t>水温调控不得采用原水或经过净化处理的原水和热水直接混合方式，应为烧开后物理降温至符合温水水温标准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；</w:t>
            </w:r>
          </w:p>
          <w:p w14:paraId="1B987EE0">
            <w:pPr>
              <w:pStyle w:val="4"/>
              <w:ind w:firstLine="0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△1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</w:rPr>
              <w:t>、出水嘴具有防溅、隔热功能；水槽防溅水设计；加热时保证内胆不承压，配置双重泄压装置，杜绝内胆爆炸隐患；</w:t>
            </w:r>
          </w:p>
          <w:p w14:paraId="7645079A">
            <w:pPr>
              <w:pStyle w:val="4"/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14、</w:t>
            </w:r>
            <w:r>
              <w:rPr>
                <w:rFonts w:hint="eastAsia"/>
                <w:b w:val="0"/>
                <w:bCs w:val="0"/>
                <w:color w:val="auto"/>
              </w:rPr>
              <w:t>出水水质符合 CJ94-2005《饮用净水水质标准》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或《生活饮用水水质处理器卫生安全与功能评价规范——反渗透处理装置》（2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</w:rPr>
              <w:t>001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）的要求</w:t>
            </w:r>
            <w:r>
              <w:rPr>
                <w:rFonts w:hint="eastAsia"/>
                <w:b w:val="0"/>
                <w:bCs w:val="0"/>
                <w:color w:val="auto"/>
              </w:rPr>
              <w:t>。</w:t>
            </w:r>
          </w:p>
          <w:p w14:paraId="2C7A35F0">
            <w:pPr>
              <w:pStyle w:val="4"/>
              <w:ind w:firstLine="0" w:firstLineChars="0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</w:rPr>
              <w:t>▲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15、所投直饮水设备应具有国家CCC认证证书，要求所投型号及描述一致。（投标时提供证书扫描件加盖供应商公章）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03058">
            <w:pPr>
              <w:jc w:val="both"/>
              <w:rPr>
                <w:rFonts w:hAnsi="宋体"/>
                <w:szCs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11BFC">
            <w:pPr>
              <w:jc w:val="both"/>
              <w:rPr>
                <w:rFonts w:hAnsi="宋体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3D250">
            <w:pPr>
              <w:jc w:val="both"/>
              <w:rPr>
                <w:rFonts w:hAnsi="宋体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1DDC7">
            <w:pPr>
              <w:jc w:val="both"/>
              <w:rPr>
                <w:rFonts w:hAnsi="宋体"/>
                <w:szCs w:val="21"/>
              </w:rPr>
            </w:pPr>
          </w:p>
        </w:tc>
      </w:tr>
      <w:tr w14:paraId="68C0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FBB3A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359D">
            <w:pPr>
              <w:widowControl/>
              <w:spacing w:before="60" w:after="60"/>
              <w:jc w:val="center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4水嘴直饮水平台</w:t>
            </w:r>
          </w:p>
        </w:tc>
        <w:tc>
          <w:tcPr>
            <w:tcW w:w="4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81A8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1、采用SUS304不锈钢水龙头，不锈钢水龙头单独的卫生批件</w:t>
            </w:r>
            <w:r>
              <w:rPr>
                <w:rFonts w:hint="eastAsia"/>
                <w:color w:val="auto"/>
                <w:lang w:val="en-US" w:eastAsia="zh-CN"/>
              </w:rPr>
              <w:t>可查或在</w:t>
            </w:r>
            <w:r>
              <w:rPr>
                <w:rFonts w:hint="eastAsia"/>
                <w:color w:val="auto"/>
              </w:rPr>
              <w:t>整机涉水批件附件可查，为防止烫伤学生，龙头出水均为温开水且温开水出水水温可调，龙头数量为4个，出水按键采用触摸按键；</w:t>
            </w:r>
          </w:p>
          <w:p w14:paraId="099C557B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2、整机尺寸长宽高不大于160cm\60cm\1</w:t>
            </w:r>
            <w:r>
              <w:rPr>
                <w:rFonts w:hint="eastAsia"/>
                <w:color w:val="auto"/>
                <w:lang w:val="en-US" w:eastAsia="zh-CN"/>
              </w:rPr>
              <w:t>55</w:t>
            </w:r>
            <w:r>
              <w:rPr>
                <w:rFonts w:hint="eastAsia"/>
                <w:color w:val="auto"/>
              </w:rPr>
              <w:t>cm；防止课间接水拥挤，龙头间距需要≥40cm；</w:t>
            </w:r>
          </w:p>
          <w:p w14:paraId="37295333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3、额定电压：220V，额定功率在3000-3300W；</w:t>
            </w:r>
          </w:p>
          <w:p w14:paraId="17633445">
            <w:pPr>
              <w:pStyle w:val="4"/>
              <w:ind w:firstLine="0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▲4、过滤系统：不少于5级过滤，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核心工艺采用反渗透或纳滤膜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</w:rPr>
              <w:t>投标时提供有效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的</w:t>
            </w:r>
            <w:r>
              <w:rPr>
                <w:rFonts w:hint="eastAsia"/>
                <w:b/>
                <w:bCs/>
                <w:color w:val="auto"/>
              </w:rPr>
              <w:t>涉及饮用水卫生安全许可批件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扫描件加盖供应商公章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；</w:t>
            </w:r>
          </w:p>
          <w:p w14:paraId="10903575">
            <w:pPr>
              <w:pStyle w:val="4"/>
              <w:ind w:firstLine="0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△5、整机采用SUS304不锈钢材质，厚度≥1.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</w:rPr>
              <w:t>mm，水槽不锈钢整体压铸成型，水槽可直接连接地漏排废水，无需人工倒水；水胆：采用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SUS</w:t>
            </w:r>
            <w:r>
              <w:rPr>
                <w:rFonts w:hint="eastAsia"/>
                <w:b/>
                <w:bCs/>
                <w:color w:val="auto"/>
              </w:rPr>
              <w:t>304不锈钢，容量≥30L，厚度≥1.0mm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；</w:t>
            </w:r>
            <w:r>
              <w:rPr>
                <w:rFonts w:hint="eastAsia"/>
                <w:b/>
                <w:bCs/>
                <w:color w:val="auto"/>
              </w:rPr>
              <w:t>（投标时提供有效的水胆涉及饮用水卫生安全产品卫生许可批件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扫描件加盖供应商公章</w:t>
            </w:r>
            <w:r>
              <w:rPr>
                <w:rFonts w:hint="eastAsia"/>
                <w:b/>
                <w:bCs/>
                <w:color w:val="auto"/>
              </w:rPr>
              <w:t>）</w:t>
            </w:r>
          </w:p>
          <w:p w14:paraId="67FCE92E">
            <w:pPr>
              <w:pStyle w:val="4"/>
              <w:ind w:firstLine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、制水量：净水能力≥</w:t>
            </w:r>
            <w:r>
              <w:rPr>
                <w:color w:val="auto"/>
              </w:rPr>
              <w:t>60</w:t>
            </w:r>
            <w:r>
              <w:rPr>
                <w:rFonts w:hint="eastAsia"/>
                <w:color w:val="auto"/>
              </w:rPr>
              <w:t>L/h，制温开水能力≥160L/h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 w14:paraId="0D2A3C36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>、具有自动故障报警功能，可显示故障类型，且以上功能设置按键具有防乱设置保护措施；</w:t>
            </w:r>
          </w:p>
          <w:p w14:paraId="7943002F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、设备内部涉及净水的管道，采用SUS304不锈钢材质；</w:t>
            </w:r>
          </w:p>
          <w:p w14:paraId="29808815">
            <w:pPr>
              <w:pStyle w:val="4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、其他功能：具有显示总净水量、TDS值、热胆水温显示，为方便管理可设置定时开关机等功能；</w:t>
            </w:r>
          </w:p>
          <w:p w14:paraId="738CA664">
            <w:pPr>
              <w:pStyle w:val="4"/>
              <w:ind w:firstLine="0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▲1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</w:rPr>
              <w:t>、设备须具有外壳防护等级IP44认证和防触电类型I类认证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</w:rPr>
              <w:t>投标时</w:t>
            </w:r>
            <w:r>
              <w:rPr>
                <w:rFonts w:hint="eastAsia"/>
                <w:b/>
                <w:bCs/>
                <w:color w:val="auto"/>
                <w:lang w:eastAsia="zh-Hans"/>
              </w:rPr>
              <w:t>提供具备CMA</w:t>
            </w:r>
            <w:r>
              <w:rPr>
                <w:rFonts w:hint="eastAsia"/>
                <w:b/>
                <w:bCs/>
                <w:color w:val="auto"/>
              </w:rPr>
              <w:t>等</w:t>
            </w:r>
            <w:r>
              <w:rPr>
                <w:rFonts w:hint="eastAsia"/>
                <w:b/>
                <w:bCs/>
                <w:color w:val="auto"/>
                <w:lang w:eastAsia="zh-Hans"/>
              </w:rPr>
              <w:t>标志检测报告证明材料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扫描件加盖供应商公章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；</w:t>
            </w:r>
          </w:p>
          <w:p w14:paraId="4CE7A788">
            <w:pPr>
              <w:pStyle w:val="4"/>
              <w:ind w:firstLine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、采用隔夜水排空技术。</w:t>
            </w:r>
            <w:r>
              <w:rPr>
                <w:rFonts w:hint="eastAsia"/>
                <w:color w:val="auto"/>
                <w:lang w:eastAsia="zh-Hans"/>
              </w:rPr>
              <w:t>可</w:t>
            </w:r>
            <w:r>
              <w:rPr>
                <w:rFonts w:hint="eastAsia"/>
                <w:color w:val="auto"/>
              </w:rPr>
              <w:t>定时排空水胆内的隔夜水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 w14:paraId="42E7A553">
            <w:pPr>
              <w:pStyle w:val="4"/>
              <w:ind w:firstLine="0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▲1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</w:rPr>
              <w:t>、加热方法采用热交换加热原理，为保证水质安全，设备须具有纯物理内部管道热水杀菌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；</w:t>
            </w:r>
            <w:r>
              <w:rPr>
                <w:rFonts w:hint="eastAsia"/>
                <w:b/>
                <w:bCs/>
                <w:color w:val="auto"/>
              </w:rPr>
              <w:t>水温调控不得采用原水或经过净化处理的原水和热水直接混合方式，应为烧开后物理降温至符合温水水温标准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；</w:t>
            </w:r>
          </w:p>
          <w:p w14:paraId="0BDBA88B">
            <w:pPr>
              <w:pStyle w:val="4"/>
              <w:ind w:firstLine="0"/>
              <w:rPr>
                <w:rFonts w:hint="default"/>
                <w:b/>
                <w:bCs/>
                <w:color w:val="auto"/>
                <w:lang w:val="en-US"/>
              </w:rPr>
            </w:pPr>
            <w:r>
              <w:rPr>
                <w:rFonts w:hint="eastAsia"/>
                <w:b/>
                <w:bCs/>
                <w:color w:val="auto"/>
              </w:rPr>
              <w:t>△1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</w:rPr>
              <w:t>、出水嘴具有防溅、隔热功能；水槽防溅水设计；加热时保证内胆不承压，配置双重泄压装置，杜绝内胆爆炸隐患；</w:t>
            </w:r>
          </w:p>
          <w:p w14:paraId="391E9C65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14、</w:t>
            </w:r>
            <w:r>
              <w:rPr>
                <w:rFonts w:hint="eastAsia"/>
                <w:b w:val="0"/>
                <w:bCs w:val="0"/>
                <w:color w:val="auto"/>
              </w:rPr>
              <w:t>出水水质符合 CJ94-2005《饮用净水水质标准》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或《生活饮用水水质处理器卫生安全与功能评价规范——反渗透处理装置》（2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</w:rPr>
              <w:t>001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）的要求</w:t>
            </w:r>
            <w:r>
              <w:rPr>
                <w:rFonts w:hint="eastAsia"/>
                <w:b w:val="0"/>
                <w:bCs w:val="0"/>
                <w:color w:val="auto"/>
              </w:rPr>
              <w:t>。</w:t>
            </w:r>
          </w:p>
          <w:p w14:paraId="4DE1B4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</w:rPr>
              <w:t>▲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15、所投直饮水设备应具有国家CCC认证证书，要求所投型号及描述一致。（投标时提供证书扫描件加盖供应商公章）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122E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239A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F38E7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5C218">
            <w:pPr>
              <w:jc w:val="center"/>
              <w:rPr>
                <w:rFonts w:hAnsi="宋体"/>
                <w:szCs w:val="21"/>
              </w:rPr>
            </w:pPr>
          </w:p>
        </w:tc>
      </w:tr>
    </w:tbl>
    <w:p w14:paraId="5240C5C8">
      <w:pPr>
        <w:pStyle w:val="8"/>
        <w:rPr>
          <w:rFonts w:hint="eastAsia" w:ascii="Times New Roman" w:hAnsi="Times New Roman" w:eastAsia="宋体" w:cs="Times New Roman"/>
          <w:sz w:val="24"/>
        </w:rPr>
      </w:pPr>
    </w:p>
    <w:p w14:paraId="21118693">
      <w:pPr>
        <w:pStyle w:val="8"/>
        <w:rPr>
          <w:rFonts w:hint="eastAsia" w:ascii="Times New Roman" w:hAnsi="Times New Roman" w:eastAsia="宋体" w:cs="Times New Roman"/>
          <w:sz w:val="24"/>
        </w:rPr>
      </w:pPr>
    </w:p>
    <w:p w14:paraId="24DEDC93">
      <w:pPr>
        <w:pStyle w:val="8"/>
        <w:rPr>
          <w:rFonts w:hint="eastAsia" w:ascii="Times New Roman" w:hAnsi="Times New Roman" w:eastAsia="宋体" w:cs="Times New Roman"/>
          <w:sz w:val="24"/>
        </w:rPr>
      </w:pPr>
    </w:p>
    <w:p w14:paraId="6FAB74C4">
      <w:pPr>
        <w:pStyle w:val="8"/>
        <w:rPr>
          <w:rFonts w:hint="eastAsia" w:ascii="Times New Roman" w:hAnsi="Times New Roman" w:eastAsia="宋体" w:cs="Times New Roman"/>
          <w:sz w:val="24"/>
        </w:rPr>
      </w:pPr>
    </w:p>
    <w:p w14:paraId="1B21619C">
      <w:pPr>
        <w:pStyle w:val="8"/>
        <w:rPr>
          <w:rFonts w:hint="eastAsia" w:ascii="Times New Roman" w:hAnsi="Times New Roman" w:eastAsia="宋体" w:cs="Times New Roman"/>
          <w:sz w:val="24"/>
        </w:rPr>
      </w:pPr>
    </w:p>
    <w:p w14:paraId="11AAC4EA">
      <w:pPr>
        <w:pStyle w:val="8"/>
        <w:rPr>
          <w:rFonts w:hint="eastAsia" w:ascii="Times New Roman" w:hAnsi="Times New Roman" w:eastAsia="宋体" w:cs="Times New Roman"/>
          <w:sz w:val="24"/>
        </w:rPr>
      </w:pPr>
    </w:p>
    <w:p w14:paraId="3FCAD624">
      <w:pPr>
        <w:pStyle w:val="8"/>
        <w:rPr>
          <w:rFonts w:hint="eastAsia" w:ascii="Times New Roman" w:hAnsi="Times New Roman" w:eastAsia="宋体" w:cs="Times New Roman"/>
          <w:sz w:val="24"/>
        </w:rPr>
      </w:pPr>
    </w:p>
    <w:p w14:paraId="390BEE71">
      <w:pPr>
        <w:pStyle w:val="8"/>
        <w:rPr>
          <w:rFonts w:hint="eastAsia" w:ascii="Times New Roman" w:hAnsi="Times New Roman" w:eastAsia="宋体" w:cs="Times New Roman"/>
          <w:sz w:val="24"/>
        </w:rPr>
      </w:pPr>
    </w:p>
    <w:p w14:paraId="6559FEA0">
      <w:pPr>
        <w:pStyle w:val="8"/>
        <w:rPr>
          <w:rFonts w:hint="eastAsia" w:ascii="Times New Roman" w:hAnsi="Times New Roman" w:eastAsia="宋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21F64"/>
    <w:rsid w:val="081F3529"/>
    <w:rsid w:val="09286A8B"/>
    <w:rsid w:val="151C291B"/>
    <w:rsid w:val="1A5339C4"/>
    <w:rsid w:val="1B2D7691"/>
    <w:rsid w:val="215E0285"/>
    <w:rsid w:val="37FE1FDF"/>
    <w:rsid w:val="3AFD268F"/>
    <w:rsid w:val="42257A78"/>
    <w:rsid w:val="42A17F23"/>
    <w:rsid w:val="500777CC"/>
    <w:rsid w:val="584F2D6B"/>
    <w:rsid w:val="58673A73"/>
    <w:rsid w:val="5A4D278B"/>
    <w:rsid w:val="653D7F10"/>
    <w:rsid w:val="6AFD06C6"/>
    <w:rsid w:val="6DD26922"/>
    <w:rsid w:val="7762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sz w:val="28"/>
      <w:szCs w:val="20"/>
    </w:rPr>
  </w:style>
  <w:style w:type="paragraph" w:styleId="4">
    <w:name w:val="Body Text First Indent"/>
    <w:basedOn w:val="3"/>
    <w:next w:val="1"/>
    <w:qFormat/>
    <w:uiPriority w:val="0"/>
    <w:pPr>
      <w:spacing w:after="120"/>
      <w:ind w:firstLine="420"/>
      <w:jc w:val="both"/>
    </w:pPr>
    <w:rPr>
      <w:sz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basedOn w:val="1"/>
    <w:qFormat/>
    <w:uiPriority w:val="1"/>
    <w:pPr>
      <w:widowControl w:val="0"/>
      <w:jc w:val="both"/>
    </w:pPr>
    <w:rPr>
      <w:rFonts w:ascii="宋体" w:hAnsi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2583</Words>
  <Characters>2829</Characters>
  <Lines>0</Lines>
  <Paragraphs>0</Paragraphs>
  <TotalTime>0</TotalTime>
  <ScaleCrop>false</ScaleCrop>
  <LinksUpToDate>false</LinksUpToDate>
  <CharactersWithSpaces>2837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2025-07-16T06:44:00Z</dcterms:created>
  <dc:creator>xxxJINxxx</dc:creator>
  <cp:lastModifiedBy>xxxJINxxx</cp:lastModifiedBy>
  <dcterms:modified xsi:type="dcterms:W3CDTF">2025-07-16T09:15:38Z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4E14020EE1674BECAAA008BC7E0942CA_11</vt:lpwstr>
  </property>
  <property fmtid="{D5CDD505-2E9C-101B-9397-08002B2CF9AE}" pid="4" name="KSOTemplateDocerSaveRecord">
    <vt:lpwstr>eyJoZGlkIjoiYWNkNjQ3ZDAxNjc5Y2YxNTNjYzQ4ZjQzMDZiYWRiY2YiLCJ1c2VySWQiOiI0MTU3NDI4NjYifQ==</vt:lpwstr>
  </property>
</Properties>
</file>