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kern w:val="0"/>
          <w:szCs w:val="21"/>
        </w:rPr>
      </w:pPr>
      <w:bookmarkStart w:id="0" w:name="_GoBack"/>
      <w:bookmarkEnd w:id="0"/>
      <w:r>
        <w:rPr>
          <w:rFonts w:hint="eastAsia" w:ascii="宋体" w:hAnsi="宋体"/>
          <w:kern w:val="0"/>
          <w:szCs w:val="21"/>
        </w:rPr>
        <w:t>附件：</w:t>
      </w:r>
    </w:p>
    <w:p>
      <w:pPr>
        <w:widowControl/>
        <w:jc w:val="right"/>
        <w:rPr>
          <w:rFonts w:ascii="宋体" w:hAnsi="宋体"/>
          <w:kern w:val="0"/>
          <w:szCs w:val="21"/>
        </w:rPr>
      </w:pPr>
      <w:r>
        <w:rPr>
          <w:rFonts w:hint="eastAsia" w:ascii="宋体" w:hAnsi="宋体"/>
          <w:kern w:val="0"/>
          <w:szCs w:val="21"/>
        </w:rPr>
        <w:t>单位：人民币元</w:t>
      </w: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8"/>
        <w:gridCol w:w="1500"/>
        <w:gridCol w:w="5335"/>
        <w:gridCol w:w="1327"/>
        <w:gridCol w:w="1125"/>
        <w:gridCol w:w="799"/>
        <w:gridCol w:w="845"/>
        <w:gridCol w:w="1239"/>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序号</w:t>
            </w:r>
          </w:p>
        </w:tc>
        <w:tc>
          <w:tcPr>
            <w:tcW w:w="52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宋体" w:hAnsi="宋体" w:cs="Arial"/>
                <w:bCs/>
                <w:color w:val="000000"/>
              </w:rPr>
            </w:pPr>
            <w:r>
              <w:rPr>
                <w:rFonts w:hint="eastAsia" w:ascii="宋体" w:hAnsi="宋体" w:cs="Arial"/>
                <w:bCs/>
                <w:color w:val="000000"/>
              </w:rPr>
              <w:t>项目内容</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color w:val="000000"/>
                <w:szCs w:val="21"/>
              </w:rPr>
            </w:pPr>
            <w:r>
              <w:rPr>
                <w:rFonts w:hint="eastAsia" w:ascii="新宋体" w:hAnsi="新宋体" w:eastAsia="新宋体" w:cs="宋体"/>
                <w:kern w:val="0"/>
                <w:sz w:val="22"/>
                <w:szCs w:val="22"/>
              </w:rPr>
              <w:t>参数和功能需求</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color w:val="000000"/>
                <w:szCs w:val="21"/>
              </w:rPr>
            </w:pPr>
            <w:r>
              <w:rPr>
                <w:rFonts w:hint="eastAsia" w:ascii="宋体" w:hAnsi="宋体" w:cs="Arial"/>
                <w:color w:val="000000"/>
                <w:szCs w:val="21"/>
              </w:rPr>
              <w:t>品牌及产地</w:t>
            </w: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color w:val="000000"/>
                <w:szCs w:val="21"/>
              </w:rPr>
            </w:pPr>
            <w:r>
              <w:rPr>
                <w:rFonts w:hint="eastAsia" w:ascii="宋体" w:hAnsi="宋体" w:cs="Arial"/>
                <w:color w:val="000000"/>
                <w:szCs w:val="21"/>
              </w:rPr>
              <w:t>型号规格</w:t>
            </w:r>
          </w:p>
        </w:tc>
        <w:tc>
          <w:tcPr>
            <w:tcW w:w="2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color w:val="000000"/>
                <w:szCs w:val="21"/>
              </w:rPr>
            </w:pPr>
            <w:r>
              <w:rPr>
                <w:rFonts w:hint="eastAsia" w:ascii="宋体" w:hAnsi="宋体" w:cs="Arial"/>
                <w:color w:val="000000"/>
                <w:szCs w:val="21"/>
              </w:rPr>
              <w:t>单位</w:t>
            </w:r>
          </w:p>
        </w:tc>
        <w:tc>
          <w:tcPr>
            <w:tcW w:w="298"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color w:val="000000"/>
                <w:szCs w:val="21"/>
              </w:rPr>
            </w:pPr>
            <w:r>
              <w:rPr>
                <w:rFonts w:hint="eastAsia" w:ascii="宋体" w:hAnsi="宋体" w:cs="Arial"/>
                <w:color w:val="000000"/>
                <w:szCs w:val="21"/>
              </w:rPr>
              <w:t>数量</w:t>
            </w:r>
          </w:p>
        </w:tc>
        <w:tc>
          <w:tcPr>
            <w:tcW w:w="437"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color w:val="000000"/>
                <w:szCs w:val="21"/>
              </w:rPr>
            </w:pPr>
            <w:r>
              <w:rPr>
                <w:rFonts w:hint="eastAsia" w:ascii="宋体" w:hAnsi="宋体" w:cs="Arial"/>
                <w:color w:val="000000"/>
                <w:szCs w:val="21"/>
              </w:rPr>
              <w:t>单价</w:t>
            </w:r>
          </w:p>
        </w:tc>
        <w:tc>
          <w:tcPr>
            <w:tcW w:w="436" w:type="pct"/>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cs="Arial"/>
                <w:color w:val="000000"/>
                <w:szCs w:val="21"/>
              </w:rPr>
            </w:pPr>
            <w:r>
              <w:rPr>
                <w:rFonts w:hint="eastAsia" w:ascii="宋体" w:hAnsi="宋体" w:cs="Arial"/>
                <w:color w:val="000000"/>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
                <w:bCs/>
                <w:color w:val="000000"/>
              </w:rPr>
            </w:pPr>
            <w:r>
              <w:rPr>
                <w:rFonts w:hint="eastAsia" w:ascii="宋体" w:hAnsi="宋体" w:cs="Arial"/>
                <w:b/>
                <w:bCs/>
                <w:color w:val="000000"/>
              </w:rPr>
              <w:t>一</w:t>
            </w:r>
          </w:p>
        </w:tc>
        <w:tc>
          <w:tcPr>
            <w:tcW w:w="2411"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r>
              <w:rPr>
                <w:rFonts w:hint="eastAsia" w:ascii="宋体" w:hAnsi="宋体" w:cs="Arial"/>
                <w:b/>
                <w:color w:val="000000"/>
                <w:szCs w:val="21"/>
              </w:rPr>
              <w:t>标准防护设施、辅助设施（场地32米长*16米宽*5米高）</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298"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437"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3米下环保软质收弹器</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1、受弹软着落，且弹头完整，减少场馆铅蒸汽。2、防弹钢板满足92钢芯弹、79微冲弹、及目前警用所以手枪弹。 3、墙面背板65锰防弹钢板（同3米以上受弹）。4、3米米以下采用轨道式下挂6层12毫米厚Pu板，Pu板可左右轨道平移。5、外挂整副橡胶帘。</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9500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3米上吸附式收弹器</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1、3米以上吸附式类型（墙面背板65锰防弹钢板），外张橡胶砖。2、防弹钢板满足92钢芯弹、79微冲弹、及目前警用所以手枪弹。3、橡胶砖品牌：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移动防弹射击棚</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1、可活动设计（改变射距），使射手之间有可靠的安全保护空间，由高1.8m、宽1.2m的防弹隔离板将射击地线分隔为6个射击位。</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2、防弹隔离板主材防弹钢板、装饰板、不锈钢框架，大呢绒滑轮和上部防弹玻璃组成。每套射击棚提供可折叠台板一套，耳罩两副。组建一套。</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3、带射手位监控、yoga主机支架、射击台板。</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70400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顶部及局部钢板防护</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1、一道压线，防止子弹向上偏离，破坏了场馆顶部的设备，以防弹钢板为主材，通过角铁组建。挡板与地面呈</w:t>
            </w:r>
            <w:r>
              <w:rPr>
                <w:rFonts w:ascii="宋体" w:hAnsi="宋体" w:cs="宋体"/>
                <w:color w:val="000000"/>
                <w:kern w:val="0"/>
                <w:sz w:val="22"/>
                <w:szCs w:val="22"/>
              </w:rPr>
              <w:t>30</w:t>
            </w:r>
            <w:r>
              <w:rPr>
                <w:rFonts w:hint="eastAsia" w:ascii="宋体" w:hAnsi="宋体" w:cs="宋体"/>
                <w:color w:val="000000"/>
                <w:kern w:val="0"/>
                <w:sz w:val="22"/>
                <w:szCs w:val="22"/>
              </w:rPr>
              <w:t>～</w:t>
            </w:r>
            <w:r>
              <w:rPr>
                <w:rFonts w:ascii="宋体" w:hAnsi="宋体" w:cs="宋体"/>
                <w:color w:val="000000"/>
                <w:kern w:val="0"/>
                <w:sz w:val="22"/>
                <w:szCs w:val="22"/>
              </w:rPr>
              <w:t>40</w:t>
            </w:r>
            <w:r>
              <w:rPr>
                <w:rFonts w:hint="eastAsia" w:ascii="宋体" w:hAnsi="宋体" w:cs="宋体"/>
                <w:color w:val="000000"/>
                <w:kern w:val="0"/>
                <w:sz w:val="22"/>
                <w:szCs w:val="22"/>
              </w:rPr>
              <w:t>度角，距地面垂直高度为4</w:t>
            </w:r>
            <w:r>
              <w:rPr>
                <w:rFonts w:ascii="宋体" w:hAnsi="宋体" w:cs="宋体"/>
                <w:color w:val="000000"/>
                <w:kern w:val="0"/>
                <w:sz w:val="22"/>
                <w:szCs w:val="22"/>
              </w:rPr>
              <w:t>m</w:t>
            </w:r>
            <w:r>
              <w:rPr>
                <w:rFonts w:hint="eastAsia" w:ascii="宋体" w:hAnsi="宋体" w:cs="宋体"/>
                <w:color w:val="000000"/>
                <w:kern w:val="0"/>
                <w:sz w:val="22"/>
                <w:szCs w:val="22"/>
              </w:rPr>
              <w:t>左右。外贴消音板（或橡胶砖，品牌： 绿谷牌 ，产品名称：全胶丝染色橡胶砖）。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2、场馆中局部风口、管道等需要外包防弹钢板处理</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5</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底防弹墙</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角铁框架+防弹钢板+外张橡胶砖，作用是保护靶标的底座（箱体、移动机构）。橡胶砖品牌：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6</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防弹观摩隔断</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left"/>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、射击馆分射击区、观摩区控制室两部分，为安全考虑和便于观摩，在射击区和观摩控制室之间建防弹玻璃隔断。两侧玻璃门，用于人员出入。</w:t>
            </w:r>
          </w:p>
          <w:p>
            <w:pPr>
              <w:widowControl/>
              <w:spacing w:line="240" w:lineRule="atLeast"/>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、防弹玻璃规格要求符合质检部门的要求，保证安全，厚度20mm。</w:t>
            </w:r>
          </w:p>
          <w:p>
            <w:pPr>
              <w:widowControl/>
              <w:jc w:val="left"/>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、防弹玻璃上下部制作框架隔断，用于固定玻璃，安装观摩电视等，框架内外饰面美观实用。</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7</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射击区泛光照明</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1、靶区泛光照明设备采用LED平板灯，（可调明暗，分路接入调光硅箱模拟日光及明暗变化）</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2、照明灯色温4000K，照度≮200Lux，可调节光照度，符合节能环保要求。</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61440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8</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常规情景模拟灯光</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要求结合环境模拟控制技术，采用由电脑控制的自动天候模拟，包括场馆对风、光、雷、电、雾等自然天候的模拟。其中，全天候模拟训练的需求，天候模拟的功能可由电脑单路控制也可由电脑按照组态控制的模式进行。</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2、硬件含频闪灯4盏、15米射距顺光8盏、逆光8盏 、调光硅箱、战场音源管理、造雾机、造烟机各一台。</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9</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靶面照明</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1、通过在靶标正面安装200W LED投光灯，满足射击亮度需求。</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2、靶面照度≮1000 Lux，符合节能环保要求。</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道</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10</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通风</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rPr>
                <w:rFonts w:hint="eastAsia" w:ascii="宋体" w:hAnsi="宋体" w:cs="宋体"/>
                <w:color w:val="000000"/>
                <w:kern w:val="0"/>
                <w:sz w:val="22"/>
                <w:szCs w:val="22"/>
              </w:rPr>
            </w:pPr>
            <w:r>
              <w:rPr>
                <w:rFonts w:hint="eastAsia" w:ascii="宋体" w:hAnsi="宋体" w:cs="宋体"/>
                <w:color w:val="000000"/>
                <w:kern w:val="0"/>
                <w:sz w:val="22"/>
                <w:szCs w:val="22"/>
              </w:rPr>
              <w:t>1、射击地线维持每分钟15m流动速度，场内空气平均每10分钟循环一次，以排除场内因枪械发射产生的铅蒸汽、未燃尽火药的剩余物与其它废气，控制场内的空气污染。</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2、现场已预留4处风机口，选用大功率离心风机，镀锌钢板风管做消音处理。管道引入（风机噪音小于65分贝）。</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3、新风（进风量不小于32000）一组，安装于25射击地线处后方，防弹玻璃处，风口8组，风管风速8-12m/s，风口风速1.5-4m/s。</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4、场馆中间排风两组，安装在20米、10米射击底线处。</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5、场馆底部排风一组，安装在靶标处的地面（采用下出风方式）。</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6、排风量不小于38000立方米每小时，风口24组，风管风速8-12m/s风口风速1.5-4m/s。</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158000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地面消音防护</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rPr>
                <w:rFonts w:hint="eastAsia" w:ascii="宋体" w:hAnsi="宋体" w:cs="宋体"/>
                <w:color w:val="000000"/>
                <w:kern w:val="0"/>
                <w:sz w:val="22"/>
                <w:szCs w:val="22"/>
              </w:rPr>
            </w:pPr>
            <w:r>
              <w:rPr>
                <w:rFonts w:hint="eastAsia" w:ascii="宋体" w:hAnsi="宋体" w:cs="宋体"/>
                <w:color w:val="000000"/>
                <w:kern w:val="0"/>
                <w:sz w:val="22"/>
                <w:szCs w:val="22"/>
              </w:rPr>
              <w:t>1、场内地面满铺规格为500mm×500mm×30mm的防跳弹橡胶吸音橡胶砖。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2、含胶比例，满足枪弹需求。</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163840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墙面消音防护</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1、消音墙体厚底40cm以上，采用木龙骨+消音棉+木工板+外部张贴500mm*500mm*30mm橡胶砖。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2、防止偏离的子弹正面撞击墙体及反弹跳弹。</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3、橡胶砖品牌：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153600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顶面铝扣板吊顶</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1、材料0.8厚铝合金方板板材、龙骨、吊杆、消音棉等。</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2、配合处理顶棚内的各种管线及设备，确定好灯位、通风口及各种照明孔口的位置。</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
                <w:bCs/>
                <w:color w:val="000000"/>
              </w:rPr>
            </w:pPr>
            <w:r>
              <w:rPr>
                <w:rFonts w:hint="eastAsia" w:ascii="宋体" w:hAnsi="宋体" w:cs="Arial"/>
                <w:b/>
                <w:bCs/>
                <w:color w:val="000000"/>
              </w:rPr>
              <w:t>二</w:t>
            </w:r>
          </w:p>
        </w:tc>
        <w:tc>
          <w:tcPr>
            <w:tcW w:w="2411"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r>
              <w:rPr>
                <w:rFonts w:hint="eastAsia" w:ascii="宋体" w:hAnsi="宋体" w:cs="Arial"/>
                <w:b/>
                <w:szCs w:val="21"/>
              </w:rPr>
              <w:t>主靶标实弹射击设备（场地32米长*16米宽*5米高）</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298"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437"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侧转声电定位报靶系统</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每套靶标设备含：、靶标移动机构、靶箱（含工控机，报靶设备、控制设备、转靶机构）、靶夹一套，超声靶腔、靶标（胸环和半身）两套，射手位单独控制显示设备一套，报靶软件一套（可精度报靶、靶型多样化），各器材组建一套。</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2、自动报靶采用声电定位方法，报靶精度误差小于3mm，时间间隔小于0.2秒。3、靶标可侧转隐显，侧转时间小于0.7秒，可预设隐显时间、次数、循环、或多靶标联动。4、靶标无金属边框或防护（安全起见）。</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5、配合移动射击棚前后移动变换射距。6、总控台可以实现集中控制和单个控制；集中控制时各靶标移动和隐显误差不得超过0.5秒。7、增加一视屏报靶功能。</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8、射手位配yoga3，控制显示一体。</w:t>
            </w:r>
          </w:p>
          <w:tbl>
            <w:tblPr>
              <w:tblStyle w:val="4"/>
              <w:tblW w:w="0" w:type="auto"/>
              <w:tblInd w:w="2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4"/>
              <w:gridCol w:w="24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pPr>
                  <w:r>
                    <w:t xml:space="preserve">适用枪种 </w:t>
                  </w:r>
                </w:p>
              </w:tc>
              <w:tc>
                <w:tcPr>
                  <w:tcW w:w="2459" w:type="dxa"/>
                  <w:noWrap w:val="0"/>
                  <w:vAlign w:val="center"/>
                </w:tcPr>
                <w:p>
                  <w:pPr>
                    <w:pStyle w:val="8"/>
                    <w:keepLines/>
                    <w:ind w:left="-2" w:leftChars="-1" w:firstLine="226" w:firstLineChars="108"/>
                    <w:jc w:val="center"/>
                    <w:rPr>
                      <w:rFonts w:hint="eastAsia"/>
                    </w:rPr>
                  </w:pPr>
                  <w:r>
                    <w:rPr>
                      <w:rFonts w:hint="eastAsia"/>
                    </w:rPr>
                    <w:t>54、64、77、92手枪，</w:t>
                  </w:r>
                  <w:r>
                    <w:t>微冲</w:t>
                  </w:r>
                  <w:r>
                    <w:rPr>
                      <w:rFonts w:hint="eastAsia"/>
                    </w:rPr>
                    <w:t xml:space="preserve">及步枪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pPr>
                  <w:r>
                    <w:t xml:space="preserve">报靶精度 </w:t>
                  </w:r>
                </w:p>
              </w:tc>
              <w:tc>
                <w:tcPr>
                  <w:tcW w:w="2459" w:type="dxa"/>
                  <w:noWrap w:val="0"/>
                  <w:vAlign w:val="center"/>
                </w:tcPr>
                <w:p>
                  <w:pPr>
                    <w:pStyle w:val="8"/>
                    <w:keepLines/>
                    <w:ind w:left="-2" w:leftChars="-1" w:firstLine="226" w:firstLineChars="108"/>
                    <w:jc w:val="center"/>
                    <w:rPr>
                      <w:rFonts w:hint="eastAsia"/>
                    </w:rPr>
                  </w:pPr>
                  <w:r>
                    <w:rPr>
                      <w:rFonts w:hint="eastAsia"/>
                    </w:rPr>
                    <w:t>8环以内≤1mm，8环以外≤3mm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pPr>
                  <w:r>
                    <w:rPr>
                      <w:rFonts w:hint="eastAsia"/>
                    </w:rPr>
                    <w:t>误报率</w:t>
                  </w:r>
                </w:p>
              </w:tc>
              <w:tc>
                <w:tcPr>
                  <w:tcW w:w="2459" w:type="dxa"/>
                  <w:noWrap w:val="0"/>
                  <w:vAlign w:val="center"/>
                </w:tcPr>
                <w:p>
                  <w:pPr>
                    <w:pStyle w:val="8"/>
                    <w:keepLines/>
                    <w:ind w:left="-2" w:leftChars="-1" w:firstLine="226" w:firstLineChars="108"/>
                    <w:jc w:val="center"/>
                    <w:rPr>
                      <w:rFonts w:hint="eastAsia"/>
                    </w:rPr>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rPr>
                      <w:rFonts w:hint="eastAsia"/>
                    </w:rPr>
                  </w:pPr>
                  <w:r>
                    <w:rPr>
                      <w:rFonts w:hint="eastAsia"/>
                    </w:rPr>
                    <w:t>报靶灵敏度</w:t>
                  </w:r>
                </w:p>
              </w:tc>
              <w:tc>
                <w:tcPr>
                  <w:tcW w:w="2459" w:type="dxa"/>
                  <w:noWrap w:val="0"/>
                  <w:vAlign w:val="center"/>
                </w:tcPr>
                <w:p>
                  <w:pPr>
                    <w:pStyle w:val="8"/>
                    <w:keepLines/>
                    <w:ind w:left="-2" w:leftChars="-1" w:firstLine="226" w:firstLineChars="108"/>
                    <w:jc w:val="center"/>
                    <w:rPr>
                      <w:rFonts w:hint="eastAsia"/>
                    </w:rPr>
                  </w:pPr>
                  <w:r>
                    <w:rPr>
                      <w:rFonts w:hint="eastAsia"/>
                    </w:rPr>
                    <w:t>≤10发/秒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rPr>
                      <w:rFonts w:hint="eastAsia"/>
                    </w:rPr>
                  </w:pPr>
                  <w:r>
                    <w:rPr>
                      <w:rFonts w:hint="eastAsia"/>
                    </w:rPr>
                    <w:t>转靶时间</w:t>
                  </w:r>
                </w:p>
              </w:tc>
              <w:tc>
                <w:tcPr>
                  <w:tcW w:w="2459" w:type="dxa"/>
                  <w:noWrap w:val="0"/>
                  <w:vAlign w:val="center"/>
                </w:tcPr>
                <w:p>
                  <w:pPr>
                    <w:pStyle w:val="8"/>
                    <w:keepLines/>
                    <w:ind w:left="-2" w:leftChars="-1" w:firstLine="226" w:firstLineChars="108"/>
                    <w:jc w:val="center"/>
                    <w:rPr>
                      <w:rFonts w:hint="eastAsia"/>
                    </w:rPr>
                  </w:pPr>
                  <w:r>
                    <w:rPr>
                      <w:rFonts w:hint="eastAsia"/>
                    </w:rPr>
                    <w:t>≤1秒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rPr>
                      <w:rFonts w:hint="eastAsia"/>
                    </w:rPr>
                  </w:pPr>
                  <w:r>
                    <w:rPr>
                      <w:rFonts w:hint="eastAsia"/>
                    </w:rPr>
                    <w:t>显、隐靶时间</w:t>
                  </w:r>
                </w:p>
              </w:tc>
              <w:tc>
                <w:tcPr>
                  <w:tcW w:w="2459" w:type="dxa"/>
                  <w:noWrap w:val="0"/>
                  <w:vAlign w:val="center"/>
                </w:tcPr>
                <w:p>
                  <w:pPr>
                    <w:pStyle w:val="8"/>
                    <w:keepLines/>
                    <w:ind w:left="-2" w:leftChars="-1" w:firstLine="226" w:firstLineChars="108"/>
                    <w:jc w:val="center"/>
                    <w:rPr>
                      <w:rFonts w:hint="eastAsia"/>
                    </w:rPr>
                  </w:pPr>
                  <w:r>
                    <w:rPr>
                      <w:rFonts w:hint="eastAsia"/>
                    </w:rPr>
                    <w:t>1～255秒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rPr>
                      <w:rFonts w:hint="eastAsia"/>
                    </w:rPr>
                  </w:pPr>
                  <w:r>
                    <w:rPr>
                      <w:rFonts w:hint="eastAsia"/>
                    </w:rPr>
                    <w:t>循环显隐靶次数</w:t>
                  </w:r>
                </w:p>
              </w:tc>
              <w:tc>
                <w:tcPr>
                  <w:tcW w:w="2459" w:type="dxa"/>
                  <w:noWrap w:val="0"/>
                  <w:vAlign w:val="center"/>
                </w:tcPr>
                <w:p>
                  <w:pPr>
                    <w:pStyle w:val="8"/>
                    <w:keepLines/>
                    <w:ind w:left="-2" w:leftChars="-1" w:firstLine="226" w:firstLineChars="108"/>
                    <w:jc w:val="center"/>
                    <w:rPr>
                      <w:rFonts w:hint="eastAsia"/>
                    </w:rPr>
                  </w:pPr>
                  <w:r>
                    <w:rPr>
                      <w:rFonts w:hint="eastAsia"/>
                    </w:rPr>
                    <w:t>1～255次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pPr>
                  <w:r>
                    <w:t xml:space="preserve">工作环境温度 </w:t>
                  </w:r>
                </w:p>
              </w:tc>
              <w:tc>
                <w:tcPr>
                  <w:tcW w:w="2459" w:type="dxa"/>
                  <w:noWrap w:val="0"/>
                  <w:vAlign w:val="center"/>
                </w:tcPr>
                <w:p>
                  <w:pPr>
                    <w:pStyle w:val="8"/>
                    <w:keepLines/>
                    <w:ind w:left="-2" w:leftChars="-1" w:firstLine="226" w:firstLineChars="108"/>
                    <w:jc w:val="center"/>
                    <w:rPr>
                      <w:rFonts w:hint="eastAsia"/>
                    </w:rPr>
                  </w:pPr>
                  <w:r>
                    <w:rPr>
                      <w:rFonts w:hint="eastAsia"/>
                    </w:rPr>
                    <w:t xml:space="preserve">－10℃ ～＋50℃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rPr>
                      <w:rFonts w:hint="eastAsia"/>
                    </w:rPr>
                  </w:pPr>
                  <w:r>
                    <w:rPr>
                      <w:rFonts w:hint="eastAsia"/>
                    </w:rPr>
                    <w:t>靶标尺寸</w:t>
                  </w:r>
                </w:p>
              </w:tc>
              <w:tc>
                <w:tcPr>
                  <w:tcW w:w="2459" w:type="dxa"/>
                  <w:noWrap w:val="0"/>
                  <w:vAlign w:val="center"/>
                </w:tcPr>
                <w:p>
                  <w:pPr>
                    <w:pStyle w:val="8"/>
                    <w:keepLines/>
                    <w:ind w:left="-2" w:leftChars="-1" w:firstLine="226" w:firstLineChars="108"/>
                    <w:jc w:val="center"/>
                    <w:rPr>
                      <w:rFonts w:hint="eastAsia"/>
                    </w:rPr>
                  </w:pPr>
                  <w:r>
                    <w:rPr>
                      <w:rFonts w:hint="eastAsia"/>
                    </w:rPr>
                    <w:t>1000×730×80mm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pPr>
                  <w:r>
                    <w:t xml:space="preserve">工作环境湿度 </w:t>
                  </w:r>
                </w:p>
              </w:tc>
              <w:tc>
                <w:tcPr>
                  <w:tcW w:w="2459" w:type="dxa"/>
                  <w:noWrap w:val="0"/>
                  <w:vAlign w:val="center"/>
                </w:tcPr>
                <w:p>
                  <w:pPr>
                    <w:pStyle w:val="8"/>
                    <w:keepLines/>
                    <w:ind w:left="-2" w:leftChars="-1" w:firstLine="226" w:firstLineChars="108"/>
                    <w:jc w:val="center"/>
                    <w:rPr>
                      <w:rFonts w:hint="eastAsia"/>
                    </w:rPr>
                  </w:pPr>
                  <w:r>
                    <w:rPr>
                      <w:rFonts w:hint="eastAsia"/>
                    </w:rPr>
                    <w:t xml:space="preserve">≤80％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514" w:type="dxa"/>
                  <w:noWrap w:val="0"/>
                  <w:vAlign w:val="center"/>
                </w:tcPr>
                <w:p>
                  <w:pPr>
                    <w:pStyle w:val="8"/>
                    <w:keepLines/>
                    <w:ind w:left="-2" w:leftChars="-1" w:firstLine="226" w:firstLineChars="108"/>
                    <w:jc w:val="center"/>
                  </w:pPr>
                  <w:r>
                    <w:t xml:space="preserve">工作电压 </w:t>
                  </w:r>
                </w:p>
              </w:tc>
              <w:tc>
                <w:tcPr>
                  <w:tcW w:w="2459" w:type="dxa"/>
                  <w:noWrap w:val="0"/>
                  <w:vAlign w:val="center"/>
                </w:tcPr>
                <w:p>
                  <w:pPr>
                    <w:pStyle w:val="8"/>
                    <w:keepLines/>
                    <w:ind w:left="-2" w:leftChars="-1" w:firstLine="226" w:firstLineChars="108"/>
                    <w:jc w:val="center"/>
                    <w:rPr>
                      <w:rFonts w:hint="eastAsia"/>
                    </w:rPr>
                  </w:pPr>
                  <w:r>
                    <w:rPr>
                      <w:rFonts w:hint="eastAsia"/>
                    </w:rPr>
                    <w:t xml:space="preserve">AC 220V 50Hz </w:t>
                  </w:r>
                </w:p>
              </w:tc>
            </w:tr>
          </w:tbl>
          <w:p>
            <w:pPr>
              <w:widowControl/>
              <w:jc w:val="left"/>
              <w:rPr>
                <w:rFonts w:hint="eastAsia" w:ascii="宋体" w:hAnsi="宋体" w:cs="宋体"/>
                <w:color w:val="000000"/>
                <w:kern w:val="0"/>
                <w:sz w:val="22"/>
                <w:szCs w:val="22"/>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Cs-1</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改进增加视屏报靶功能</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5"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组合运动平台</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bCs/>
                <w:szCs w:val="21"/>
              </w:rPr>
            </w:pPr>
            <w:r>
              <w:rPr>
                <w:rFonts w:hint="eastAsia" w:ascii="宋体" w:hAnsi="宋体"/>
                <w:bCs/>
                <w:szCs w:val="21"/>
              </w:rPr>
              <w:t>1、运动轨道平台采用横向直线运行方式，模拟运动射击目标，搭载摇摆的靶机，实现运动中的显隐目标模拟，构建多维战场情况。靶机在运动轨道平台上由驱动电机牵引同步带进行运动，速度可调，并可通过计算机</w:t>
            </w:r>
            <w:r>
              <w:rPr>
                <w:rFonts w:ascii="宋体" w:hAnsi="宋体"/>
                <w:bCs/>
                <w:szCs w:val="21"/>
              </w:rPr>
              <w:t>/</w:t>
            </w:r>
            <w:r>
              <w:rPr>
                <w:rFonts w:hint="eastAsia" w:ascii="宋体" w:hAnsi="宋体"/>
                <w:bCs/>
                <w:szCs w:val="21"/>
              </w:rPr>
              <w:t>控制器实施操作，手动或自动完成靶标动作，加速、减速、停止、返回等运动动作。</w:t>
            </w:r>
            <w:r>
              <w:rPr>
                <w:rFonts w:ascii="宋体" w:hAnsi="宋体"/>
                <w:bCs/>
                <w:szCs w:val="21"/>
              </w:rPr>
              <w:t xml:space="preserve"> </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2、15米长两组轨道，分别配置5台摇摆靶，5台侧转靶。实现运动平台和靶机的联动，模拟人质、歹徒在作战过程中的多种状态。</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2、靶标参数如下</w:t>
            </w:r>
          </w:p>
          <w:tbl>
            <w:tblPr>
              <w:tblStyle w:val="4"/>
              <w:tblW w:w="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外形尺寸</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t>500</w:t>
                  </w:r>
                  <w:r>
                    <w:rPr>
                      <w:rFonts w:hint="eastAsia"/>
                    </w:rPr>
                    <w:t>×</w:t>
                  </w:r>
                  <w:r>
                    <w:t>265</w:t>
                  </w:r>
                  <w:r>
                    <w:rPr>
                      <w:rFonts w:hint="eastAsia"/>
                    </w:rPr>
                    <w:t>×</w:t>
                  </w:r>
                  <w:r>
                    <w:t>425mm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靶机重量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w:t>
                  </w:r>
                  <w:r>
                    <w:t>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机体材料</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靶机转动</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rPr>
                      <w:rFonts w:hint="eastAsia"/>
                      <w:lang w:eastAsia="zh-CN"/>
                    </w:rPr>
                  </w:pPr>
                  <w:r>
                    <w:rPr>
                      <w:rFonts w:hint="eastAsia"/>
                    </w:rPr>
                    <w:t>摇摆</w:t>
                  </w:r>
                  <w:r>
                    <w:rPr>
                      <w:rFonts w:hint="eastAsia"/>
                      <w:lang w:eastAsia="zh-CN"/>
                    </w:rPr>
                    <w:t>（侧转）</w:t>
                  </w:r>
                  <w:r>
                    <w:rPr>
                      <w:rFonts w:hint="eastAsia"/>
                    </w:rPr>
                    <w:t>靶：</w:t>
                  </w:r>
                  <w:r>
                    <w:t>60</w:t>
                  </w:r>
                  <w:r>
                    <w:rPr>
                      <w:rFonts w:hint="eastAsia"/>
                    </w:rPr>
                    <w:t>度</w:t>
                  </w:r>
                  <w:r>
                    <w:t>1.5S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工作电源</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电池供电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通讯方式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无线通讯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最大无线遥控距离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w:t>
                  </w:r>
                  <w:r>
                    <w:t>800m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靶板材质</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报靶方式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命中报靶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靶机控制方式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rPr>
                      <w:rFonts w:hint="eastAsia"/>
                    </w:rPr>
                    <w:t>遥控器控制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运动平台牵引速度</w:t>
                  </w:r>
                </w:p>
              </w:tc>
              <w:tc>
                <w:tcPr>
                  <w:tcW w:w="2977"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left="0" w:firstLine="0" w:firstLineChars="0"/>
                  </w:pPr>
                  <w:r>
                    <w:rPr>
                      <w:rFonts w:hint="eastAsia"/>
                    </w:rPr>
                    <w:t>独立运动平台：</w:t>
                  </w:r>
                  <w:r>
                    <w:t>0.3-5</w:t>
                  </w:r>
                  <w:r>
                    <w:rPr>
                      <w:rFonts w:hint="eastAsia"/>
                    </w:rPr>
                    <w:t>米</w:t>
                  </w:r>
                  <w:r>
                    <w:t>/</w:t>
                  </w:r>
                  <w:r>
                    <w:rPr>
                      <w:rFonts w:hint="eastAsia"/>
                    </w:rPr>
                    <w:t>秒可调；</w:t>
                  </w:r>
                </w:p>
                <w:p>
                  <w:pPr>
                    <w:pStyle w:val="8"/>
                    <w:spacing w:line="360" w:lineRule="auto"/>
                    <w:ind w:left="0" w:firstLine="0" w:firstLineChars="0"/>
                  </w:pPr>
                  <w:r>
                    <w:rPr>
                      <w:rFonts w:hint="eastAsia"/>
                    </w:rPr>
                    <w:t>组合战术平台：</w:t>
                  </w:r>
                  <w:r>
                    <w:t>0.3-0.7</w:t>
                  </w:r>
                  <w:r>
                    <w:rPr>
                      <w:rFonts w:hint="eastAsia"/>
                    </w:rPr>
                    <w:t>米</w:t>
                  </w:r>
                  <w:r>
                    <w:t>/</w:t>
                  </w:r>
                  <w:r>
                    <w:rPr>
                      <w:rFonts w:hint="eastAsia"/>
                    </w:rPr>
                    <w:t>秒可调；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130" w:firstLine="0" w:firstLineChars="0"/>
                  </w:pPr>
                  <w:r>
                    <w:rPr>
                      <w:rFonts w:hint="eastAsia"/>
                    </w:rPr>
                    <w:t>使用温度</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firstLine="0" w:firstLineChars="0"/>
                  </w:pPr>
                  <w:r>
                    <w:t>-10</w:t>
                  </w:r>
                  <w:r>
                    <w:rPr>
                      <w:rFonts w:hint="eastAsia"/>
                    </w:rPr>
                    <w:t>℃～</w:t>
                  </w:r>
                  <w:r>
                    <w:t>+50</w:t>
                  </w:r>
                  <w:r>
                    <w:rPr>
                      <w:rFonts w:hint="eastAsia"/>
                    </w:rPr>
                    <w:t>℃</w:t>
                  </w:r>
                </w:p>
              </w:tc>
            </w:tr>
          </w:tbl>
          <w:p>
            <w:pPr>
              <w:widowControl/>
              <w:jc w:val="left"/>
              <w:rPr>
                <w:rFonts w:hint="eastAsia" w:ascii="宋体" w:hAnsi="宋体" w:cs="宋体"/>
                <w:color w:val="000000"/>
                <w:kern w:val="0"/>
                <w:sz w:val="22"/>
                <w:szCs w:val="22"/>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Ts-6</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靶场控制系统</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靶场设备集中控制台放置于观摩控制室,采用平台式控制台+集控柜方式；所有控制设备、器材均安放在集控柜内；布线隐蔽无外露</w:t>
            </w:r>
            <w:r>
              <w:rPr>
                <w:rFonts w:hint="eastAsia" w:ascii="宋体" w:hAnsi="宋体" w:cs="宋体"/>
                <w:color w:val="000000"/>
                <w:kern w:val="0"/>
                <w:szCs w:val="21"/>
              </w:rPr>
              <w:br w:type="textWrapping"/>
            </w:r>
            <w:r>
              <w:rPr>
                <w:rFonts w:hint="eastAsia" w:ascii="宋体" w:hAnsi="宋体" w:cs="宋体"/>
                <w:color w:val="000000"/>
                <w:kern w:val="0"/>
                <w:szCs w:val="21"/>
              </w:rPr>
              <w:t>2、 硬件含控制台一张，主控电脑（含21寸液晶显示器）1台，辅屏3台（19寸液晶显示器）（显示靶面情况及监控画面），激光打印机一台。提供各设备电源开关，全局广播</w:t>
            </w:r>
            <w:r>
              <w:rPr>
                <w:rFonts w:hint="eastAsia" w:ascii="宋体" w:hAnsi="宋体" w:cs="宋体"/>
                <w:color w:val="000000"/>
                <w:kern w:val="0"/>
                <w:szCs w:val="21"/>
              </w:rPr>
              <w:br w:type="textWrapping"/>
            </w:r>
            <w:r>
              <w:rPr>
                <w:rFonts w:hint="eastAsia" w:ascii="宋体" w:hAnsi="宋体" w:cs="宋体"/>
                <w:color w:val="000000"/>
                <w:kern w:val="0"/>
                <w:szCs w:val="21"/>
              </w:rPr>
              <w:t>3、 软件含集中控制软件、报靶软件、速射靶软件、影像靶操作软件、成绩管理软件等。视频管理（靶面可显示在射手位、总控台、观摩电视）</w:t>
            </w:r>
            <w:r>
              <w:rPr>
                <w:rFonts w:hint="eastAsia" w:ascii="宋体" w:hAnsi="宋体" w:cs="宋体"/>
                <w:color w:val="000000"/>
                <w:kern w:val="0"/>
                <w:szCs w:val="21"/>
              </w:rPr>
              <w:br w:type="textWrapping"/>
            </w:r>
            <w:r>
              <w:rPr>
                <w:rFonts w:hint="eastAsia" w:ascii="宋体" w:hAnsi="宋体" w:cs="宋体"/>
                <w:color w:val="000000"/>
                <w:kern w:val="0"/>
                <w:szCs w:val="21"/>
              </w:rPr>
              <w:t>4、 靶场设备集中控制台配置靶场专用设备的各类控制设备，组成设备供电与照明、通风，靶标工作参数设置与控制，广播对讲系统。设计控制面板有中文提示、灯光显示的按钮控制开关组件，用以控制靶场种类设备与设施所需的电源.</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Cs w:val="21"/>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BK-2</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rPr>
              <w:t>教官手持便携式控制系统</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1、手持式10寸平板电脑，安装靶场控制系统的同步软件，教官可在射击区域操控靶场设备。</w:t>
            </w:r>
          </w:p>
          <w:p>
            <w:pPr>
              <w:widowControl/>
              <w:jc w:val="left"/>
              <w:rPr>
                <w:rFonts w:hint="eastAsia" w:ascii="宋体" w:hAnsi="宋体" w:cs="宋体"/>
                <w:color w:val="000000"/>
                <w:kern w:val="0"/>
                <w:szCs w:val="21"/>
              </w:rPr>
            </w:pPr>
            <w:r>
              <w:rPr>
                <w:rFonts w:hint="eastAsia" w:ascii="宋体" w:hAnsi="宋体" w:cs="宋体"/>
                <w:color w:val="000000"/>
                <w:kern w:val="0"/>
                <w:szCs w:val="21"/>
              </w:rPr>
              <w:t>2、无线网络控制训练的进程，图形化电子地图的操作控制界面，实现对训练科目的实时控制和训练成绩查询。</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联想miix改</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10000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5</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观摩电视（成绩显示）</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Cs w:val="21"/>
              </w:rPr>
            </w:pPr>
            <w:r>
              <w:rPr>
                <w:rFonts w:hint="eastAsia" w:ascii="宋体" w:hAnsi="宋体" w:cs="宋体"/>
                <w:color w:val="000000"/>
                <w:kern w:val="0"/>
                <w:szCs w:val="21"/>
              </w:rPr>
              <w:t>1、42寸液晶电视，</w:t>
            </w:r>
            <w:r>
              <w:rPr>
                <w:rFonts w:hint="eastAsia" w:ascii="宋体" w:hAnsi="宋体"/>
                <w:szCs w:val="21"/>
              </w:rPr>
              <w:t>国产一线品牌，安装在观摩控制室，实时显示射击区域的成绩。</w:t>
            </w:r>
          </w:p>
          <w:p>
            <w:pPr>
              <w:widowControl/>
              <w:rPr>
                <w:rFonts w:ascii="宋体" w:hAnsi="宋体" w:cs="宋体"/>
                <w:color w:val="000000"/>
                <w:kern w:val="0"/>
                <w:szCs w:val="21"/>
              </w:rPr>
            </w:pPr>
            <w:r>
              <w:rPr>
                <w:rFonts w:hint="eastAsia" w:ascii="宋体" w:hAnsi="宋体"/>
                <w:szCs w:val="21"/>
              </w:rPr>
              <w:t>2、类似画中画，可实时显示监控下的射手姿态、靶面状况和打靶成绩。</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海信</w:t>
            </w:r>
          </w:p>
          <w:p>
            <w:pPr>
              <w:widowControl/>
              <w:jc w:val="center"/>
              <w:rPr>
                <w:rFonts w:hint="eastAsia" w:ascii="宋体" w:hAnsi="宋体" w:cs="宋体"/>
                <w:color w:val="000000"/>
                <w:kern w:val="0"/>
                <w:szCs w:val="21"/>
              </w:rPr>
            </w:pPr>
            <w:r>
              <w:rPr>
                <w:rFonts w:hint="eastAsia" w:ascii="宋体" w:hAnsi="宋体" w:cs="宋体"/>
                <w:color w:val="000000"/>
                <w:kern w:val="0"/>
                <w:szCs w:val="21"/>
              </w:rPr>
              <w:t>青岛</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42寸液晶、带网络高清接口</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3500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6</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模拟掩体</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1、外购实物垃圾桶、邮筒、电话亭加装呢绒滑轮。</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2、等比例制作车、门、窗、树模型。</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自制改制</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
                <w:bCs/>
                <w:color w:val="000000"/>
              </w:rPr>
            </w:pPr>
            <w:r>
              <w:rPr>
                <w:rFonts w:hint="eastAsia" w:ascii="宋体" w:hAnsi="宋体" w:cs="Arial"/>
                <w:b/>
                <w:bCs/>
                <w:color w:val="000000"/>
              </w:rPr>
              <w:t>三</w:t>
            </w:r>
          </w:p>
        </w:tc>
        <w:tc>
          <w:tcPr>
            <w:tcW w:w="2411"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r>
              <w:rPr>
                <w:rFonts w:hint="eastAsia" w:ascii="宋体" w:hAnsi="宋体" w:cs="Arial"/>
                <w:b/>
                <w:bCs/>
                <w:szCs w:val="21"/>
              </w:rPr>
              <w:t>影像模拟训练系统（实弹单屏对抗影像靶）（场地8米宽*12米长*5米高，投影训练画面3.3米高* 5米宽）</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397"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298"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437"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动态画面目标显示设备</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6000流明高级工程级投影机，DLP技术，带镜头漂移和更换功能，双灯头设计，工作中自动按时更换工作灯泡，分辨率1920*1080以上（高清），330瓦以上灯泡。</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52000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电动卷帘橡胶屏幕</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大于3.3米*5米，采用电动卷帘方式进行安装,屏幕采用高耐弹专用环保橡胶材料制成，表面白色专用屏幕油漆涂色，下边空心钢管找平，加电磁铁固定，每平米厘米耐弹15发以上。</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58000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58000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实弹定位组件</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非制冷红外热成像仪和控制器，精确定位计算软件，整屏实弹定位精度小于1像素，开机自动校准，无需屏幕电烙铁烫点的单人半自动校正技术。适合5.8mm以上枪支的射击训练。</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125000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125000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激光定位组件</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高清晰百万级数字摄像机，精确定位计算软件，整屏激光定位精度小于1像素，开机自动校准，无需屏幕人工激光标点和摘脱滤光片的计算机自动校正技术。</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16000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5</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投影安装总成</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投影机、热像仪、激光定位度精密微调安装座，防跳弹通风罩壳，一般采用吊顶安装设计。</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3000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6</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对抗数字影像采集</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高清视频场景采集摄像机，分辨率大于1920*1080，无拖影停顿现象，150LUX照度也可用，含防弹玻璃防护和备用防弹玻璃一块.</w:t>
            </w:r>
          </w:p>
          <w:p>
            <w:pPr>
              <w:rPr>
                <w:rFonts w:ascii="宋体" w:hAnsi="宋体" w:cs="宋体"/>
                <w:sz w:val="24"/>
              </w:rPr>
            </w:pPr>
            <w:r>
              <w:rPr>
                <w:rFonts w:hint="eastAsia"/>
              </w:rPr>
              <w:t>模拟对抗隔断（电动升降投影屏双面涂黑替代）。</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25000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25000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7</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模拟激光训练枪（92式）</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具有完备仿真效果的独立运行激光训练仿真枪，激光器采用内置方法安装，模拟枪支具有上膛、气动后座、更换弹夹等功能，可配合软件实现瞄靶轨迹射手位显示功能，可与激光模拟手电配合同时使用。扳机具有双动训练功能，一次充气可击发20-30发以上，无气可采用击锤双动击发形式不影响训练使用。充气后也可根据训练情况和科目，选择气动后座训练或不气动后座的双动击发训练或再改为气动后座训练的功能。</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4</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8</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92手枪激光管</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可内置在92式手枪内，无需改动枪支结构，可完成实枪的激光射击训练，做到枪支真实、扳机真实的训练。内置电池，可满足不少于15000发的激光射击训练，可根据训练距离的远近调整激光器的偏角改变模拟射击的弹道高。</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3000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9</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64手枪激光管</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可内置在64式手枪内，无需改动枪支结构，可完成实枪的激光射击训练，做到枪支真实、扳机真实的训练。内置电池，可满足不少于15000发的激光射击训练，</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2</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3000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10</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3D训练进程控制器</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通过受训者的正常战术动作，如搜索、躲避、射击等，实现3D场景与受训者贴近实战的人机交互能力。能够准确识别训练动作，不需要预设没有实战意义的姿态动作。设备的适用范围为整个训练区域。在单次训练中，受训者可以很方便地在任意位置开展训练，并能到达训练区域的任意位置。对应的3D训练科目不低于5套。</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12000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反向攻击器</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提供模拟歹徒反向射击功能的设备。训练过程中，反向攻击器的朝向始终跟随受训者，当训练科目中出现歹徒向受训者射击的画面时，反向攻击器同步发射子弹或激光，给受训者提供真实的心理和生理感受。特殊材质子弹要保证受训人员安全,和场馆不受影响如受潮等。</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6000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战术训练掩体</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模拟高矮墙体、模拟门窗、模拟车辆等，具备隐蔽时间提醒功能，训练人员躲进闪出感应，提示进入掩体时间并报警，可根据客户要求定制，感应器可以取出可与情景训练程序联用。</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7000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7000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战术对抗背心</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在人机对抗和人人对抗中使用，支持震动、灯光闪烁、声音、烟雾4种被命中模式</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18000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数码单警8件套</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单警8件套模拟训练设备，含手枪，手电筒，催泪喷剂，匕首，**通，警棍，警绳，手铐的拔出插入的实时检测，外形和使用方法与实装一致。在屏幕上有文字提示，如果使用对场景有触发，那么跳转到对应场景。</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12000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12000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15</w:t>
            </w:r>
          </w:p>
        </w:tc>
        <w:tc>
          <w:tcPr>
            <w:tcW w:w="529" w:type="pct"/>
            <w:tcBorders>
              <w:top w:val="single" w:color="auto" w:sz="4" w:space="0"/>
              <w:left w:val="single" w:color="auto" w:sz="4" w:space="0"/>
              <w:bottom w:val="single" w:color="auto" w:sz="4" w:space="0"/>
              <w:right w:val="single" w:color="auto" w:sz="4" w:space="0"/>
            </w:tcBorders>
            <w:noWrap w:val="0"/>
            <w:vAlign w:val="center"/>
          </w:tcPr>
          <w:p>
            <w:r>
              <w:rPr>
                <w:rFonts w:hint="eastAsia"/>
              </w:rPr>
              <w:t>瞄准分析科目</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射击瞄准作为武器操作的基本技能，又因为训练对实弹的限制，不能进行科学的评估，该科目用于对射手的射击过程中的各种动作进行采集、分析，对据枪、瞄准、跟踪、击发等关键点进行分析，找出射击动作的规律，为射手提供可参考的图表，供其改进射击动作、为提高射击水平和射击精度提供依据。</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16</w:t>
            </w:r>
          </w:p>
        </w:tc>
        <w:tc>
          <w:tcPr>
            <w:tcW w:w="529" w:type="pct"/>
            <w:tcBorders>
              <w:top w:val="single" w:color="auto" w:sz="4" w:space="0"/>
              <w:left w:val="single" w:color="auto" w:sz="4" w:space="0"/>
              <w:bottom w:val="single" w:color="auto" w:sz="4" w:space="0"/>
              <w:right w:val="single" w:color="auto" w:sz="4" w:space="0"/>
            </w:tcBorders>
            <w:noWrap w:val="0"/>
            <w:vAlign w:val="center"/>
          </w:tcPr>
          <w:p>
            <w:r>
              <w:rPr>
                <w:rFonts w:hint="eastAsia"/>
              </w:rPr>
              <w:t>靶标训练科目</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适合初学射击的学员训练、考核；该科目可满足多人同时进行射击训练，射击成绩可在投影屏幕和观摩区同步实时显示；包括标准射击科目、隐显射击科目、运动射击科目，实现从基础的射击技能至较高层次的战术训练功能。</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17</w:t>
            </w:r>
          </w:p>
        </w:tc>
        <w:tc>
          <w:tcPr>
            <w:tcW w:w="529" w:type="pct"/>
            <w:tcBorders>
              <w:top w:val="single" w:color="auto" w:sz="4" w:space="0"/>
              <w:left w:val="single" w:color="auto" w:sz="4" w:space="0"/>
              <w:bottom w:val="single" w:color="auto" w:sz="4" w:space="0"/>
              <w:right w:val="single" w:color="auto" w:sz="4" w:space="0"/>
            </w:tcBorders>
            <w:noWrap w:val="0"/>
            <w:vAlign w:val="center"/>
          </w:tcPr>
          <w:p>
            <w:r>
              <w:rPr>
                <w:rFonts w:hint="eastAsia"/>
              </w:rPr>
              <w:t>实景训练科目</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利用警棍、催泪喷射器、手枪等警械武器进行情景情况的处置，内置针对公安、军队及其他的执法机构的各种训练科目共200余套。情景判定训练科目有多种分支情节，受训人员需要根据不同的分支场景，实时地做出判断，使用正确的警械武器对事件进行处理。系统为开放式设计，不仅提供了大量根据真实案例拍摄的医院查缉、医患纠纷、***调解、家庭暴力、影厅劫持人质、检查站拦截、丛林战、山地战等实景科目，还可以根据训练和教学要求，自行拍摄、编辑训练软件，以便不断地有针对性地充实训练内容。考评和分析系统可以对训练过程的动作和语音进行回放，供教官讲评和考核。情景判定训练科目的编辑器支持全身、头部、胸部、腹部、左手臂、右手臂、左腿、右腿八个热点区域，支持两个歹徒和两个人质的热点区域的绘制。</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18</w:t>
            </w:r>
          </w:p>
        </w:tc>
        <w:tc>
          <w:tcPr>
            <w:tcW w:w="529" w:type="pct"/>
            <w:tcBorders>
              <w:top w:val="single" w:color="auto" w:sz="4" w:space="0"/>
              <w:left w:val="single" w:color="auto" w:sz="4" w:space="0"/>
              <w:bottom w:val="single" w:color="auto" w:sz="4" w:space="0"/>
              <w:right w:val="single" w:color="auto" w:sz="4" w:space="0"/>
            </w:tcBorders>
            <w:noWrap w:val="0"/>
            <w:vAlign w:val="center"/>
          </w:tcPr>
          <w:p>
            <w:r>
              <w:rPr>
                <w:rFonts w:hint="eastAsia"/>
              </w:rPr>
              <w:t>对抗训练科目</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使用两台高清摄像机，将高清图像投射到多个屏幕上，通过屏幕中间防弹卷帘的隔断，使训练的双方人员互不影响，实现人与人的对抗训练功能。训练过程中可实时判断命中从而获得胜负结果，并通过体感背心（震动、灯光闪烁、声音、烟雾）等增加训练者的实战感。</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19</w:t>
            </w:r>
          </w:p>
        </w:tc>
        <w:tc>
          <w:tcPr>
            <w:tcW w:w="529" w:type="pct"/>
            <w:tcBorders>
              <w:top w:val="single" w:color="auto" w:sz="4" w:space="0"/>
              <w:left w:val="single" w:color="auto" w:sz="4" w:space="0"/>
              <w:bottom w:val="single" w:color="auto" w:sz="4" w:space="0"/>
              <w:right w:val="single" w:color="auto" w:sz="4" w:space="0"/>
            </w:tcBorders>
            <w:noWrap w:val="0"/>
            <w:vAlign w:val="center"/>
          </w:tcPr>
          <w:p>
            <w:r>
              <w:rPr>
                <w:rFonts w:hint="eastAsia"/>
              </w:rPr>
              <w:t>3D训练科目</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提供基于不同训练目的的科目：</w:t>
            </w:r>
            <w:r>
              <w:rPr>
                <w:rFonts w:hint="eastAsia"/>
              </w:rPr>
              <w:br w:type="textWrapping"/>
            </w:r>
            <w:r>
              <w:rPr>
                <w:rFonts w:hint="eastAsia"/>
              </w:rPr>
              <w:t>（1）基础靶标科目：提供多种靶标如胸环靶、身靶，靶标运动方式可以设置起倒、侧转、摇摆，训练参数可以根据需要调整，如数量、距离、时间。靶标种类可以扩展。（2）训练设备支持科目：支持3D训练进程控制器，支持反向攻击器，支持模拟投掷武器（手雷、爆震弹、催泪弹、闪光弹、烟雾弹）训练，支持天候模拟设备的双向控制（晴、风、雨、雪、雾、闪电等），支持语音识别设备的控制（需配备语音识别设备），支持狙击模拟设备的训练（需配备狙击枪）；（3）提供典型案例的模拟科目，包括重庆周克华案件、昆明火车站事件；（4）提供休闲科目，目标包括动物、气球、飞鸟等。</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20</w:t>
            </w:r>
          </w:p>
        </w:tc>
        <w:tc>
          <w:tcPr>
            <w:tcW w:w="529" w:type="pct"/>
            <w:tcBorders>
              <w:top w:val="single" w:color="auto" w:sz="4" w:space="0"/>
              <w:left w:val="single" w:color="auto" w:sz="4" w:space="0"/>
              <w:bottom w:val="single" w:color="auto" w:sz="4" w:space="0"/>
              <w:right w:val="single" w:color="auto" w:sz="4" w:space="0"/>
            </w:tcBorders>
            <w:noWrap w:val="0"/>
            <w:vAlign w:val="center"/>
          </w:tcPr>
          <w:p>
            <w:r>
              <w:rPr>
                <w:rFonts w:hint="eastAsia"/>
              </w:rPr>
              <w:t>目标记忆识别科目</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rPr>
              <w:t>该科目充分结合训练的需求，突出训练人员的记忆能力及射击能力，让受训人员在短时间内记忆目标，并要求快速识别，射击命中；</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总控系统</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8核16线程16G内存计算机，500G固态硬盘，机柜式设备。机柜中含必要的网络通讯设备，设备工作状态显示设备等，具有2屏高清实时3D渲染和运行能力，无线靶道输出显示功能，外置超高清摄像头接入功能，控制天候模拟设备的能力。</w:t>
            </w:r>
          </w:p>
          <w:p>
            <w:pPr>
              <w:rPr>
                <w:rFonts w:hint="eastAsia"/>
              </w:rPr>
            </w:pPr>
            <w:r>
              <w:rPr>
                <w:rFonts w:hint="eastAsia"/>
              </w:rPr>
              <w:t>2、150套以上基础和情景训练节目，包括基础靶道类节目、执法情景类节目、3D实时渲染自由走动类节目、实时编辑类**训练节目、实时对抗了训练等。</w:t>
            </w:r>
          </w:p>
          <w:p>
            <w:pPr>
              <w:rPr>
                <w:rFonts w:hint="eastAsia"/>
              </w:rPr>
            </w:pPr>
            <w:r>
              <w:rPr>
                <w:rFonts w:hint="eastAsia"/>
              </w:rPr>
              <w:t xml:space="preserve">3、安装单人和小组近距离作战能力测评软硬件，对单兵的近距离快速反应作战能力，小组协调配合能力、不同亮照度下的作战能力、打击不同距离目标作战能力、打击不同颜色不同大小目标的能力、打击不同运动方式和速度目标的能力、不同射击姿势、不同射击空间、不同武器装备熟练度、自身不同运动状态下打击目标能力、绝对反应速度等进行量化测评。  </w:t>
            </w:r>
          </w:p>
          <w:p>
            <w:pPr>
              <w:rPr>
                <w:rFonts w:hint="eastAsia"/>
              </w:rPr>
            </w:pPr>
            <w:r>
              <w:rPr>
                <w:rFonts w:hint="eastAsia"/>
              </w:rPr>
              <w:t>4、</w:t>
            </w:r>
            <w:r>
              <w:rPr>
                <w:rFonts w:hint="eastAsia" w:ascii="宋体" w:hAnsi="宋体" w:cs="宋体"/>
                <w:color w:val="000000"/>
                <w:kern w:val="0"/>
                <w:szCs w:val="21"/>
              </w:rPr>
              <w:t>平台式控制台+集控柜方式；所有控制设备、器材均安放在集控柜内；布线隐蔽无外露。</w:t>
            </w:r>
          </w:p>
          <w:p>
            <w:pPr>
              <w:rPr>
                <w:rFonts w:hint="eastAsia"/>
              </w:rPr>
            </w:pPr>
            <w:r>
              <w:rPr>
                <w:rFonts w:hint="eastAsia"/>
              </w:rPr>
              <w:t xml:space="preserve">                                                                               </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MX-5</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百叶窗式收弹器</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bCs/>
                <w:szCs w:val="21"/>
              </w:rPr>
            </w:pPr>
            <w:r>
              <w:rPr>
                <w:rFonts w:ascii="宋体" w:hAnsi="宋体"/>
                <w:bCs/>
                <w:szCs w:val="21"/>
              </w:rPr>
              <w:t>1</w:t>
            </w:r>
            <w:r>
              <w:rPr>
                <w:rFonts w:hint="eastAsia" w:ascii="宋体" w:hAnsi="宋体"/>
                <w:bCs/>
                <w:szCs w:val="21"/>
              </w:rPr>
              <w:t>、角铁框架支撑（防锈处理），主材防弹钢板、高密度橡胶砖，防护等价满足92式手枪弹。</w:t>
            </w:r>
          </w:p>
          <w:p>
            <w:pPr>
              <w:spacing w:line="240" w:lineRule="atLeast"/>
              <w:rPr>
                <w:rFonts w:hint="eastAsia" w:ascii="宋体" w:hAnsi="宋体"/>
                <w:bCs/>
                <w:szCs w:val="21"/>
              </w:rPr>
            </w:pPr>
            <w:r>
              <w:rPr>
                <w:rFonts w:ascii="宋体" w:hAnsi="宋体"/>
                <w:bCs/>
                <w:szCs w:val="21"/>
              </w:rPr>
              <w:t>2</w:t>
            </w:r>
            <w:r>
              <w:rPr>
                <w:rFonts w:hint="eastAsia" w:ascii="宋体" w:hAnsi="宋体"/>
                <w:bCs/>
                <w:szCs w:val="21"/>
              </w:rPr>
              <w:t>、收弹器正面面积8</w:t>
            </w:r>
            <w:r>
              <w:rPr>
                <w:rFonts w:ascii="宋体" w:hAnsi="宋体"/>
                <w:bCs/>
                <w:szCs w:val="21"/>
              </w:rPr>
              <w:t>*</w:t>
            </w:r>
            <w:r>
              <w:rPr>
                <w:rFonts w:hint="eastAsia" w:ascii="宋体" w:hAnsi="宋体"/>
                <w:bCs/>
                <w:szCs w:val="21"/>
              </w:rPr>
              <w:t>4米，（四层）百叶窗类型。</w:t>
            </w:r>
          </w:p>
          <w:p>
            <w:pPr>
              <w:spacing w:line="240" w:lineRule="atLeast"/>
              <w:rPr>
                <w:rFonts w:ascii="宋体"/>
                <w:bCs/>
                <w:szCs w:val="21"/>
              </w:rPr>
            </w:pPr>
            <w:r>
              <w:rPr>
                <w:rFonts w:hint="eastAsia" w:ascii="宋体" w:hAnsi="宋体"/>
                <w:bCs/>
                <w:szCs w:val="21"/>
              </w:rPr>
              <w:t>3、收弹器</w:t>
            </w:r>
            <w:r>
              <w:rPr>
                <w:rFonts w:hint="eastAsia" w:ascii="宋体" w:hAnsi="宋体"/>
                <w:szCs w:val="21"/>
              </w:rPr>
              <w:t>外贴挂高弹力橡胶砖（</w:t>
            </w:r>
            <w:r>
              <w:rPr>
                <w:rFonts w:ascii="宋体" w:hAnsi="宋体"/>
                <w:szCs w:val="21"/>
              </w:rPr>
              <w:t>500*500*</w:t>
            </w:r>
            <w:r>
              <w:rPr>
                <w:rFonts w:hint="eastAsia" w:ascii="宋体" w:hAnsi="宋体"/>
                <w:szCs w:val="21"/>
              </w:rPr>
              <w:t>30mm），并且确保无反弹；防弹材料可更换。</w:t>
            </w:r>
          </w:p>
          <w:p>
            <w:pPr>
              <w:widowControl/>
              <w:jc w:val="left"/>
              <w:rPr>
                <w:rFonts w:hint="eastAsia" w:ascii="宋体" w:hAnsi="宋体"/>
                <w:bCs/>
                <w:szCs w:val="21"/>
              </w:rPr>
            </w:pPr>
            <w:r>
              <w:rPr>
                <w:rFonts w:ascii="宋体" w:hAnsi="宋体"/>
                <w:bCs/>
                <w:szCs w:val="21"/>
              </w:rPr>
              <w:t>4</w:t>
            </w:r>
            <w:r>
              <w:rPr>
                <w:rFonts w:hint="eastAsia" w:ascii="宋体" w:hAnsi="宋体"/>
                <w:bCs/>
                <w:szCs w:val="21"/>
              </w:rPr>
              <w:t>、底部制作抽屉式拉槽，便于清理弹头。</w:t>
            </w:r>
          </w:p>
          <w:p>
            <w:pPr>
              <w:widowControl/>
              <w:jc w:val="left"/>
              <w:rPr>
                <w:rFonts w:ascii="宋体" w:hAnsi="宋体" w:cs="宋体"/>
                <w:color w:val="000000"/>
                <w:kern w:val="0"/>
                <w:sz w:val="22"/>
                <w:szCs w:val="22"/>
              </w:rPr>
            </w:pPr>
            <w:r>
              <w:rPr>
                <w:rFonts w:hint="eastAsia" w:ascii="宋体" w:hAnsi="宋体"/>
                <w:bCs/>
                <w:szCs w:val="21"/>
              </w:rPr>
              <w:t>5、橡胶砖</w:t>
            </w:r>
            <w:r>
              <w:rPr>
                <w:rFonts w:hint="eastAsia" w:ascii="宋体" w:hAnsi="宋体" w:cs="宋体"/>
                <w:color w:val="000000"/>
                <w:kern w:val="0"/>
                <w:sz w:val="22"/>
                <w:szCs w:val="22"/>
              </w:rPr>
              <w:t>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92钢芯弹防护标准</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射击区泛光照明</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1、靶区泛光照明设备采用LED平板灯，（可调明暗，分路接入调光硅箱模拟日光及明暗变化）</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2、照明灯色温4000K，照度≮200Lux，可调节光照度，符合节能环保要求。</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地面消音防护</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rPr>
                <w:rFonts w:hint="eastAsia" w:ascii="宋体" w:hAnsi="宋体" w:cs="宋体"/>
                <w:color w:val="000000"/>
                <w:kern w:val="0"/>
                <w:sz w:val="22"/>
                <w:szCs w:val="22"/>
              </w:rPr>
            </w:pPr>
            <w:r>
              <w:rPr>
                <w:rFonts w:hint="eastAsia" w:ascii="宋体" w:hAnsi="宋体" w:cs="宋体"/>
                <w:color w:val="000000"/>
                <w:kern w:val="0"/>
                <w:sz w:val="22"/>
                <w:szCs w:val="22"/>
              </w:rPr>
              <w:t>1、场内地面满铺规格为500mm×500mm×30mm的防跳弹橡胶吸音橡胶砖。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2、含胶比例，满足枪弹需求。</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30720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25</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墙面消音防护</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1、消音墙体厚底40cm以上，采用木龙骨+消音棉+木工板+外部张贴500mm*500mm*30mm橡胶砖。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2、防止偏离的子弹正面撞击墙体及反弹跳弹。</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3、品牌： 绿谷牌 ，产品名称：全胶丝染色橡胶砖</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26</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顶面普通铝扣板吊顶</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1、材料0.8厚铝合金方板板材、龙骨、吊杆、消音棉等。</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2、配合处理顶棚内的各种管线及设备，确定好灯位、通风口及各种照明孔口的位置。</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23040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27</w:t>
            </w:r>
          </w:p>
        </w:tc>
        <w:tc>
          <w:tcPr>
            <w:tcW w:w="5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通风</w:t>
            </w:r>
          </w:p>
        </w:tc>
        <w:tc>
          <w:tcPr>
            <w:tcW w:w="188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rPr>
                <w:rFonts w:hint="eastAsia" w:ascii="宋体" w:hAnsi="宋体" w:cs="宋体"/>
                <w:color w:val="000000"/>
                <w:kern w:val="0"/>
                <w:sz w:val="22"/>
                <w:szCs w:val="22"/>
              </w:rPr>
            </w:pPr>
            <w:r>
              <w:rPr>
                <w:rFonts w:hint="eastAsia" w:ascii="宋体" w:hAnsi="宋体" w:cs="宋体"/>
                <w:color w:val="000000"/>
                <w:kern w:val="0"/>
                <w:sz w:val="22"/>
                <w:szCs w:val="22"/>
              </w:rPr>
              <w:t>1、射击地线维持每分钟15m流动速度，场内空气平均每10分钟循环一次，以排除场内因枪械发射产生的铅蒸汽、未燃尽火药的剩余物与其它废气，控制场内的空气污染。</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2、现场已预留2处风机井，选用大功率离心风机，镀锌钢板风管做消音处理。管道引入（风机噪音小于65分贝）。</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3、新风（进风量不小于6200立方米每小时）一组，安装于射击地线处，进风口3组以上。风管风速8-12m/s风口风速1.5-4m/s。</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4、场馆底部排风（排风量不小于5100立方米每小时）一组，出风口3组以上。风管风速8-12m/s风口风速1.5-4m/s。</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N</w:t>
            </w:r>
            <w:r>
              <w:rPr>
                <w:rFonts w:hint="eastAsia" w:ascii="宋体" w:hAnsi="宋体" w:cs="宋体"/>
                <w:color w:val="000000"/>
                <w:kern w:val="0"/>
                <w:sz w:val="22"/>
                <w:szCs w:val="22"/>
              </w:rPr>
              <w:t>rist</w:t>
            </w:r>
          </w:p>
          <w:p>
            <w:pPr>
              <w:widowControl/>
              <w:jc w:val="center"/>
              <w:rPr>
                <w:rFonts w:hint="eastAsia" w:ascii="新宋体" w:hAnsi="新宋体" w:eastAsia="新宋体" w:cs="宋体"/>
                <w:kern w:val="0"/>
                <w:sz w:val="22"/>
                <w:szCs w:val="22"/>
              </w:rPr>
            </w:pPr>
            <w:r>
              <w:rPr>
                <w:rFonts w:hint="eastAsia" w:ascii="宋体" w:hAnsi="宋体" w:cs="宋体"/>
                <w:color w:val="000000"/>
                <w:kern w:val="0"/>
                <w:sz w:val="22"/>
                <w:szCs w:val="22"/>
              </w:rPr>
              <w:t>南京</w:t>
            </w:r>
          </w:p>
        </w:tc>
        <w:tc>
          <w:tcPr>
            <w:tcW w:w="3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实弹型</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35000</w:t>
            </w:r>
          </w:p>
        </w:tc>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5000" w:type="pct"/>
            <w:gridSpan w:val="9"/>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kern w:val="0"/>
                <w:sz w:val="24"/>
              </w:rPr>
              <w:t>合计   人民币（大写）：</w:t>
            </w:r>
            <w:r>
              <w:rPr>
                <w:rFonts w:hint="eastAsia" w:ascii="宋体" w:hAnsi="宋体" w:cs="宋体"/>
                <w:kern w:val="0"/>
                <w:sz w:val="24"/>
                <w:u w:val="single"/>
              </w:rPr>
              <w:t xml:space="preserve">   </w:t>
            </w:r>
            <w:r>
              <w:rPr>
                <w:rFonts w:ascii="宋体" w:hAnsi="宋体" w:cs="宋体"/>
                <w:kern w:val="0"/>
                <w:sz w:val="24"/>
                <w:u w:val="single"/>
              </w:rPr>
              <w:fldChar w:fldCharType="begin"/>
            </w:r>
            <w:r>
              <w:rPr>
                <w:rFonts w:ascii="宋体" w:hAnsi="宋体" w:cs="宋体"/>
                <w:kern w:val="0"/>
                <w:sz w:val="24"/>
                <w:u w:val="single"/>
              </w:rPr>
              <w:instrText xml:space="preserve"> </w:instrText>
            </w:r>
            <w:r>
              <w:rPr>
                <w:rFonts w:hint="eastAsia" w:ascii="宋体" w:hAnsi="宋体" w:cs="宋体"/>
                <w:kern w:val="0"/>
                <w:sz w:val="24"/>
                <w:u w:val="single"/>
              </w:rPr>
              <w:instrText xml:space="preserve">= 3985240 \* CHINESENUM2</w:instrText>
            </w:r>
            <w:r>
              <w:rPr>
                <w:rFonts w:ascii="宋体" w:hAnsi="宋体" w:cs="宋体"/>
                <w:kern w:val="0"/>
                <w:sz w:val="24"/>
                <w:u w:val="single"/>
              </w:rPr>
              <w:instrText xml:space="preserve"> </w:instrText>
            </w:r>
            <w:r>
              <w:rPr>
                <w:rFonts w:ascii="宋体" w:hAnsi="宋体" w:cs="宋体"/>
                <w:kern w:val="0"/>
                <w:sz w:val="24"/>
                <w:u w:val="single"/>
              </w:rPr>
              <w:fldChar w:fldCharType="separate"/>
            </w:r>
            <w:r>
              <w:rPr>
                <w:rFonts w:hint="eastAsia" w:ascii="宋体" w:hAnsi="宋体" w:cs="宋体"/>
                <w:kern w:val="0"/>
                <w:sz w:val="24"/>
                <w:u w:val="single"/>
              </w:rPr>
              <w:t>叁佰玖拾捌万伍仟贰佰肆拾</w:t>
            </w:r>
            <w:r>
              <w:rPr>
                <w:rFonts w:ascii="宋体" w:hAnsi="宋体" w:cs="宋体"/>
                <w:kern w:val="0"/>
                <w:sz w:val="24"/>
                <w:u w:val="single"/>
              </w:rPr>
              <w:fldChar w:fldCharType="end"/>
            </w:r>
            <w:r>
              <w:rPr>
                <w:rFonts w:hint="eastAsia" w:ascii="宋体" w:hAnsi="宋体" w:cs="宋体"/>
                <w:kern w:val="0"/>
                <w:sz w:val="24"/>
                <w:u w:val="single"/>
              </w:rPr>
              <w:t xml:space="preserve">   </w:t>
            </w:r>
            <w:r>
              <w:rPr>
                <w:rFonts w:hint="eastAsia" w:ascii="宋体" w:hAnsi="宋体" w:cs="宋体"/>
                <w:kern w:val="0"/>
                <w:sz w:val="24"/>
              </w:rPr>
              <w:t>元整  （小写）</w:t>
            </w:r>
            <w:r>
              <w:rPr>
                <w:rFonts w:hint="eastAsia" w:ascii="宋体" w:hAnsi="宋体" w:cs="宋体"/>
                <w:kern w:val="0"/>
                <w:sz w:val="24"/>
                <w:u w:val="single"/>
              </w:rPr>
              <w:t xml:space="preserve">   </w:t>
            </w:r>
            <w:r>
              <w:rPr>
                <w:rFonts w:ascii="宋体" w:hAnsi="宋体" w:cs="宋体"/>
                <w:kern w:val="0"/>
                <w:sz w:val="24"/>
                <w:u w:val="single"/>
              </w:rPr>
              <w:t>3985240</w:t>
            </w:r>
            <w:r>
              <w:rPr>
                <w:rFonts w:hint="eastAsia" w:ascii="宋体" w:hAnsi="宋体" w:cs="宋体"/>
                <w:kern w:val="0"/>
                <w:sz w:val="24"/>
                <w:u w:val="single"/>
              </w:rPr>
              <w:t xml:space="preserve">   </w:t>
            </w:r>
            <w:r>
              <w:rPr>
                <w:rFonts w:hint="eastAsia" w:ascii="宋体" w:hAnsi="宋体" w:cs="宋体"/>
                <w:kern w:val="0"/>
                <w:sz w:val="24"/>
              </w:rPr>
              <w:t>元</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54"/>
    <w:rsid w:val="00030DD7"/>
    <w:rsid w:val="00037A18"/>
    <w:rsid w:val="00060DD2"/>
    <w:rsid w:val="00075E38"/>
    <w:rsid w:val="000A14CA"/>
    <w:rsid w:val="000B346B"/>
    <w:rsid w:val="000D6712"/>
    <w:rsid w:val="00127157"/>
    <w:rsid w:val="001454FA"/>
    <w:rsid w:val="001E5756"/>
    <w:rsid w:val="001E7C0B"/>
    <w:rsid w:val="002146E9"/>
    <w:rsid w:val="00265427"/>
    <w:rsid w:val="002667B4"/>
    <w:rsid w:val="00286B0E"/>
    <w:rsid w:val="002A32C8"/>
    <w:rsid w:val="002C4CC3"/>
    <w:rsid w:val="002D52B1"/>
    <w:rsid w:val="00315D40"/>
    <w:rsid w:val="00335A03"/>
    <w:rsid w:val="003405EF"/>
    <w:rsid w:val="003A2954"/>
    <w:rsid w:val="003C28B0"/>
    <w:rsid w:val="003D5257"/>
    <w:rsid w:val="00436837"/>
    <w:rsid w:val="00443116"/>
    <w:rsid w:val="00447F50"/>
    <w:rsid w:val="0045645C"/>
    <w:rsid w:val="004B3D40"/>
    <w:rsid w:val="004D1CB4"/>
    <w:rsid w:val="00545734"/>
    <w:rsid w:val="005710BC"/>
    <w:rsid w:val="005A6E79"/>
    <w:rsid w:val="005D0AE2"/>
    <w:rsid w:val="005D75DF"/>
    <w:rsid w:val="00614889"/>
    <w:rsid w:val="006E2589"/>
    <w:rsid w:val="006F2FDB"/>
    <w:rsid w:val="0071540F"/>
    <w:rsid w:val="0074503F"/>
    <w:rsid w:val="007A2DFF"/>
    <w:rsid w:val="007B0C82"/>
    <w:rsid w:val="007F0F77"/>
    <w:rsid w:val="007F7371"/>
    <w:rsid w:val="00811AA1"/>
    <w:rsid w:val="008211B0"/>
    <w:rsid w:val="008508E3"/>
    <w:rsid w:val="00853DE6"/>
    <w:rsid w:val="00854B9A"/>
    <w:rsid w:val="008F1A6E"/>
    <w:rsid w:val="0091778D"/>
    <w:rsid w:val="00933ED5"/>
    <w:rsid w:val="00934914"/>
    <w:rsid w:val="00950A19"/>
    <w:rsid w:val="00951E30"/>
    <w:rsid w:val="009E47F8"/>
    <w:rsid w:val="009F582C"/>
    <w:rsid w:val="00A26643"/>
    <w:rsid w:val="00A26DF9"/>
    <w:rsid w:val="00A40E76"/>
    <w:rsid w:val="00A50524"/>
    <w:rsid w:val="00A71C7F"/>
    <w:rsid w:val="00AB5722"/>
    <w:rsid w:val="00AB7516"/>
    <w:rsid w:val="00B204E5"/>
    <w:rsid w:val="00BB0540"/>
    <w:rsid w:val="00BC77B7"/>
    <w:rsid w:val="00BE0FBE"/>
    <w:rsid w:val="00C074E3"/>
    <w:rsid w:val="00C1686F"/>
    <w:rsid w:val="00C460FC"/>
    <w:rsid w:val="00C81076"/>
    <w:rsid w:val="00CF22A0"/>
    <w:rsid w:val="00D2684C"/>
    <w:rsid w:val="00D458E6"/>
    <w:rsid w:val="00D53528"/>
    <w:rsid w:val="00D56339"/>
    <w:rsid w:val="00D739FA"/>
    <w:rsid w:val="00DA3A40"/>
    <w:rsid w:val="00E003BD"/>
    <w:rsid w:val="00E0106B"/>
    <w:rsid w:val="00E1149D"/>
    <w:rsid w:val="00E16CF7"/>
    <w:rsid w:val="00E568DC"/>
    <w:rsid w:val="00E62564"/>
    <w:rsid w:val="00E976BF"/>
    <w:rsid w:val="00E97F70"/>
    <w:rsid w:val="00EE796F"/>
    <w:rsid w:val="00EF7F59"/>
    <w:rsid w:val="00F300BA"/>
    <w:rsid w:val="00F63833"/>
    <w:rsid w:val="00F77495"/>
    <w:rsid w:val="00FA4829"/>
    <w:rsid w:val="00FC1450"/>
    <w:rsid w:val="00FC3BC0"/>
    <w:rsid w:val="00FD161D"/>
    <w:rsid w:val="00FD73CD"/>
    <w:rsid w:val="38F43D12"/>
    <w:rsid w:val="5F8D41BF"/>
    <w:rsid w:val="72120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Body1! Char"/>
    <w:basedOn w:val="5"/>
    <w:link w:val="8"/>
    <w:locked/>
    <w:uiPriority w:val="0"/>
    <w:rPr>
      <w:rFonts w:ascii="Arial" w:hAnsi="Arial" w:eastAsia="宋体"/>
      <w:sz w:val="21"/>
      <w:szCs w:val="21"/>
      <w:lang w:bidi="ar-SA"/>
    </w:rPr>
  </w:style>
  <w:style w:type="paragraph" w:customStyle="1" w:styleId="8">
    <w:name w:val="Body1!"/>
    <w:basedOn w:val="1"/>
    <w:link w:val="7"/>
    <w:uiPriority w:val="0"/>
    <w:pPr>
      <w:widowControl/>
      <w:tabs>
        <w:tab w:val="left" w:pos="1247"/>
      </w:tabs>
      <w:spacing w:before="120" w:line="288" w:lineRule="auto"/>
      <w:ind w:left="1247" w:firstLine="200" w:firstLineChars="200"/>
    </w:pPr>
    <w:rPr>
      <w:rFonts w:ascii="Arial" w:hAnsi="Arial"/>
      <w:kern w:val="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1</Pages>
  <Words>1298</Words>
  <Characters>7400</Characters>
  <Lines>61</Lines>
  <Paragraphs>17</Paragraphs>
  <TotalTime>0</TotalTime>
  <ScaleCrop>false</ScaleCrop>
  <LinksUpToDate>false</LinksUpToDate>
  <CharactersWithSpaces>8681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2018-05-04T01:55:00Z</dcterms:created>
  <dc:creator>PC</dc:creator>
  <cp:lastModifiedBy>WPS_1701756769</cp:lastModifiedBy>
  <dcterms:modified xsi:type="dcterms:W3CDTF">2024-02-23T02:37:47Z</dcterms:modified>
  <cp:revision>51</cp:revision>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C2B1784F4A7E4486B220954D98195E5F_13</vt:lpwstr>
  </property>
</Properties>
</file>