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40" w:after="240" w:line="500" w:lineRule="exact"/>
        <w:jc w:val="center"/>
        <w:rPr>
          <w:rFonts w:hint="eastAsia" w:eastAsia="楷体_GB2312"/>
          <w:bCs w:val="0"/>
          <w:kern w:val="2"/>
          <w:sz w:val="32"/>
          <w:szCs w:val="32"/>
        </w:rPr>
      </w:pPr>
      <w:bookmarkStart w:id="2" w:name="_GoBack"/>
      <w:bookmarkEnd w:id="2"/>
      <w:bookmarkStart w:id="0" w:name="_Toc11729"/>
      <w:r>
        <w:rPr>
          <w:rFonts w:hint="eastAsia" w:eastAsia="楷体_GB2312"/>
          <w:bCs w:val="0"/>
          <w:kern w:val="2"/>
          <w:sz w:val="32"/>
          <w:szCs w:val="32"/>
        </w:rPr>
        <w:t>招标需求</w:t>
      </w:r>
      <w:bookmarkEnd w:id="0"/>
    </w:p>
    <w:p>
      <w:pPr>
        <w:spacing w:line="360" w:lineRule="auto"/>
        <w:ind w:firstLine="422" w:firstLineChars="200"/>
        <w:rPr>
          <w:b/>
        </w:rPr>
      </w:pPr>
      <w:r>
        <w:rPr>
          <w:rFonts w:hint="eastAsia"/>
          <w:b/>
        </w:rPr>
        <w:t>一、项目概况</w:t>
      </w:r>
    </w:p>
    <w:p>
      <w:pPr>
        <w:spacing w:line="360" w:lineRule="auto"/>
        <w:ind w:firstLine="420" w:firstLineChars="200"/>
        <w:rPr>
          <w:rFonts w:hint="eastAsia" w:ascii="宋体" w:hAnsi="宋体"/>
          <w:szCs w:val="21"/>
        </w:rPr>
      </w:pPr>
      <w:r>
        <w:rPr>
          <w:rFonts w:hint="eastAsia" w:ascii="宋体" w:hAnsi="宋体"/>
          <w:szCs w:val="21"/>
        </w:rPr>
        <w:t>1.1项目名称：</w:t>
      </w:r>
      <w:r>
        <w:rPr>
          <w:rFonts w:hint="eastAsia" w:ascii="宋体" w:hAnsi="宋体"/>
          <w:szCs w:val="21"/>
          <w:lang w:eastAsia="zh-CN"/>
        </w:rPr>
        <w:t>梧桐邻里（一号店）招商运营管理项目</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1.2项目实施单位：</w:t>
      </w:r>
      <w:r>
        <w:rPr>
          <w:rFonts w:hint="eastAsia" w:ascii="宋体" w:hAnsi="宋体"/>
          <w:szCs w:val="21"/>
          <w:lang w:eastAsia="zh-CN"/>
        </w:rPr>
        <w:t>桐乡市振东新区建设投资有限公司</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1.3项目基本情况</w:t>
      </w:r>
    </w:p>
    <w:p>
      <w:pPr>
        <w:spacing w:line="360" w:lineRule="auto"/>
        <w:ind w:firstLine="420" w:firstLineChars="200"/>
        <w:rPr>
          <w:rFonts w:hint="eastAsia" w:ascii="宋体" w:hAnsi="宋体" w:eastAsia="宋体"/>
          <w:szCs w:val="21"/>
          <w:lang w:eastAsia="zh-CN"/>
        </w:rPr>
      </w:pPr>
      <w:r>
        <w:rPr>
          <w:rFonts w:hint="eastAsia" w:ascii="宋体" w:hAnsi="宋体"/>
          <w:szCs w:val="21"/>
          <w:lang w:eastAsia="zh-CN"/>
        </w:rPr>
        <w:t>梧桐邻里（一号店）</w:t>
      </w:r>
      <w:r>
        <w:rPr>
          <w:rFonts w:hint="eastAsia" w:ascii="宋体" w:hAnsi="宋体"/>
          <w:szCs w:val="21"/>
          <w:lang w:val="en-US" w:eastAsia="zh-CN"/>
        </w:rPr>
        <w:t>位于</w:t>
      </w:r>
      <w:r>
        <w:rPr>
          <w:rFonts w:hint="eastAsia" w:ascii="宋体" w:hAnsi="宋体"/>
          <w:szCs w:val="21"/>
        </w:rPr>
        <w:t>体育东路511号</w:t>
      </w:r>
      <w:r>
        <w:rPr>
          <w:rFonts w:hint="eastAsia" w:ascii="宋体" w:hAnsi="宋体"/>
          <w:szCs w:val="21"/>
          <w:lang w:eastAsia="zh-CN"/>
        </w:rPr>
        <w:t>，</w:t>
      </w:r>
      <w:r>
        <w:rPr>
          <w:rFonts w:hint="eastAsia" w:ascii="宋体" w:hAnsi="宋体"/>
          <w:szCs w:val="21"/>
        </w:rPr>
        <w:t>项目用地面积21496.27㎡（其中</w:t>
      </w:r>
      <w:r>
        <w:rPr>
          <w:rFonts w:hint="eastAsia" w:ascii="宋体" w:hAnsi="宋体"/>
          <w:szCs w:val="21"/>
          <w:lang w:eastAsia="zh-CN"/>
        </w:rPr>
        <w:t>：</w:t>
      </w:r>
      <w:r>
        <w:rPr>
          <w:rFonts w:hint="eastAsia" w:ascii="宋体" w:hAnsi="宋体"/>
          <w:szCs w:val="21"/>
        </w:rPr>
        <w:t>零售商业用地7736.78㎡，公园绿地用地13759.49㎡），总建筑面积26187.51㎡，其中</w:t>
      </w:r>
      <w:r>
        <w:rPr>
          <w:rFonts w:hint="eastAsia" w:ascii="宋体" w:hAnsi="宋体"/>
          <w:szCs w:val="21"/>
          <w:lang w:eastAsia="zh-CN"/>
        </w:rPr>
        <w:t>：</w:t>
      </w:r>
      <w:r>
        <w:rPr>
          <w:rFonts w:hint="eastAsia" w:ascii="宋体" w:hAnsi="宋体"/>
          <w:szCs w:val="21"/>
        </w:rPr>
        <w:t>地上面积16198.52㎡（物管用房368.9㎡，商业15829.62㎡），地下建筑面积9988.99㎡</w:t>
      </w:r>
      <w:r>
        <w:rPr>
          <w:rFonts w:hint="eastAsia" w:ascii="宋体" w:hAnsi="宋体"/>
          <w:szCs w:val="21"/>
          <w:lang w:eastAsia="zh-CN"/>
        </w:rPr>
        <w:t>。</w:t>
      </w:r>
    </w:p>
    <w:p>
      <w:pPr>
        <w:spacing w:line="360" w:lineRule="auto"/>
        <w:ind w:firstLine="420" w:firstLineChars="200"/>
        <w:rPr>
          <w:rFonts w:hint="eastAsia" w:ascii="宋体" w:hAnsi="宋体"/>
          <w:szCs w:val="21"/>
        </w:rPr>
      </w:pPr>
      <w:r>
        <w:rPr>
          <w:rFonts w:hint="eastAsia" w:ascii="宋体" w:hAnsi="宋体"/>
          <w:szCs w:val="21"/>
          <w:lang w:val="en-US" w:eastAsia="zh-CN"/>
        </w:rPr>
        <w:t>1.4</w:t>
      </w:r>
      <w:r>
        <w:rPr>
          <w:rFonts w:hint="eastAsia" w:ascii="宋体" w:hAnsi="宋体"/>
          <w:szCs w:val="21"/>
        </w:rPr>
        <w:t>项目合作范围</w:t>
      </w:r>
    </w:p>
    <w:p>
      <w:pPr>
        <w:spacing w:line="360" w:lineRule="auto"/>
        <w:ind w:firstLine="420" w:firstLineChars="200"/>
        <w:rPr>
          <w:rFonts w:hint="eastAsia" w:ascii="宋体" w:hAnsi="宋体"/>
          <w:szCs w:val="21"/>
        </w:rPr>
      </w:pPr>
      <w:r>
        <w:rPr>
          <w:rFonts w:hint="eastAsia" w:ascii="宋体" w:hAnsi="宋体"/>
          <w:szCs w:val="21"/>
        </w:rPr>
        <w:t>项目招商运营合作范围：</w:t>
      </w:r>
      <w:r>
        <w:rPr>
          <w:rFonts w:hint="eastAsia" w:ascii="宋体" w:hAnsi="宋体"/>
          <w:szCs w:val="21"/>
          <w:lang w:eastAsia="zh-CN"/>
        </w:rPr>
        <w:t>梧桐邻里（一号店），</w:t>
      </w:r>
      <w:r>
        <w:rPr>
          <w:rFonts w:hint="eastAsia" w:ascii="宋体" w:hAnsi="宋体"/>
          <w:szCs w:val="21"/>
        </w:rPr>
        <w:t>剔除社区（建筑面积2132㎡）及室外运动场馆。</w:t>
      </w:r>
    </w:p>
    <w:p>
      <w:pPr>
        <w:spacing w:line="360" w:lineRule="auto"/>
        <w:ind w:firstLine="420" w:firstLineChars="200"/>
        <w:rPr>
          <w:rFonts w:hint="eastAsia" w:ascii="宋体" w:hAnsi="宋体"/>
          <w:szCs w:val="21"/>
          <w:highlight w:val="red"/>
        </w:rPr>
      </w:pPr>
      <w:r>
        <w:rPr>
          <w:rFonts w:hint="eastAsia" w:ascii="宋体" w:hAnsi="宋体"/>
          <w:szCs w:val="21"/>
          <w:lang w:val="en-US" w:eastAsia="zh-CN"/>
        </w:rPr>
        <w:t>说明：</w:t>
      </w:r>
      <w:r>
        <w:rPr>
          <w:rFonts w:hint="eastAsia" w:ascii="宋体" w:hAnsi="宋体"/>
          <w:szCs w:val="21"/>
        </w:rPr>
        <w:t>社区及室外运动场馆由</w:t>
      </w:r>
      <w:r>
        <w:rPr>
          <w:rFonts w:hint="eastAsia" w:ascii="宋体" w:hAnsi="宋体"/>
          <w:szCs w:val="21"/>
          <w:lang w:val="en-US" w:eastAsia="zh-CN"/>
        </w:rPr>
        <w:t>采购人</w:t>
      </w:r>
      <w:r>
        <w:rPr>
          <w:rFonts w:hint="eastAsia" w:ascii="宋体" w:hAnsi="宋体"/>
          <w:szCs w:val="21"/>
        </w:rPr>
        <w:t>负责招商，租金归</w:t>
      </w:r>
      <w:r>
        <w:rPr>
          <w:rFonts w:hint="eastAsia" w:ascii="宋体" w:hAnsi="宋体"/>
          <w:szCs w:val="21"/>
          <w:lang w:val="en-US" w:eastAsia="zh-CN"/>
        </w:rPr>
        <w:t>采购人</w:t>
      </w:r>
      <w:r>
        <w:rPr>
          <w:rFonts w:hint="eastAsia" w:ascii="宋体" w:hAnsi="宋体"/>
          <w:szCs w:val="21"/>
        </w:rPr>
        <w:t>收取，不纳入招商合作范围，不计入分成收益。但</w:t>
      </w:r>
      <w:r>
        <w:rPr>
          <w:rFonts w:hint="eastAsia" w:ascii="宋体" w:hAnsi="宋体"/>
          <w:szCs w:val="21"/>
          <w:lang w:eastAsia="zh-CN"/>
        </w:rPr>
        <w:t>中标运营商</w:t>
      </w:r>
      <w:r>
        <w:rPr>
          <w:rFonts w:hint="eastAsia" w:ascii="宋体" w:hAnsi="宋体"/>
          <w:szCs w:val="21"/>
        </w:rPr>
        <w:t>需对于社区及室外运动场馆提供与其它商户同等的商业物业管理服务。</w:t>
      </w:r>
    </w:p>
    <w:p>
      <w:pPr>
        <w:spacing w:line="360" w:lineRule="auto"/>
        <w:ind w:firstLine="420" w:firstLineChars="200"/>
        <w:rPr>
          <w:rFonts w:hint="eastAsia" w:ascii="宋体" w:hAnsi="宋体"/>
          <w:szCs w:val="21"/>
        </w:rPr>
      </w:pPr>
      <w:r>
        <w:rPr>
          <w:rFonts w:hint="eastAsia" w:ascii="宋体" w:hAnsi="宋体"/>
          <w:szCs w:val="21"/>
          <w:lang w:val="en-US" w:eastAsia="zh-CN"/>
        </w:rPr>
        <w:t>1.5</w:t>
      </w:r>
      <w:r>
        <w:rPr>
          <w:rFonts w:hint="eastAsia" w:ascii="宋体" w:hAnsi="宋体"/>
          <w:szCs w:val="21"/>
        </w:rPr>
        <w:t>项目合作内容</w:t>
      </w:r>
    </w:p>
    <w:p>
      <w:pPr>
        <w:spacing w:line="360" w:lineRule="auto"/>
        <w:ind w:firstLine="420" w:firstLineChars="200"/>
        <w:rPr>
          <w:rFonts w:hint="eastAsia" w:ascii="宋体" w:hAnsi="宋体" w:eastAsia="宋体"/>
          <w:szCs w:val="21"/>
          <w:lang w:eastAsia="zh-CN"/>
        </w:rPr>
      </w:pPr>
      <w:r>
        <w:rPr>
          <w:rFonts w:hint="eastAsia" w:ascii="宋体" w:hAnsi="宋体"/>
          <w:szCs w:val="21"/>
        </w:rPr>
        <w:t>梧桐邻里（一号店）的招商、运营、促销、咨询服务、物业管理</w:t>
      </w:r>
      <w:r>
        <w:rPr>
          <w:rFonts w:hint="eastAsia" w:ascii="宋体" w:hAnsi="宋体"/>
          <w:szCs w:val="21"/>
          <w:lang w:val="en-US" w:eastAsia="zh-CN"/>
        </w:rPr>
        <w:t>及局部装修调整</w:t>
      </w:r>
      <w:r>
        <w:rPr>
          <w:rFonts w:hint="eastAsia" w:ascii="宋体" w:hAnsi="宋体"/>
          <w:szCs w:val="21"/>
        </w:rPr>
        <w:t>等</w:t>
      </w:r>
      <w:r>
        <w:rPr>
          <w:rFonts w:hint="eastAsia" w:ascii="宋体" w:hAnsi="宋体"/>
          <w:szCs w:val="21"/>
          <w:lang w:eastAsia="zh-CN"/>
        </w:rPr>
        <w:t>。</w:t>
      </w:r>
    </w:p>
    <w:p>
      <w:pPr>
        <w:spacing w:line="360" w:lineRule="auto"/>
        <w:ind w:firstLine="420" w:firstLineChars="200"/>
        <w:rPr>
          <w:rFonts w:hint="eastAsia" w:ascii="宋体" w:hAnsi="宋体"/>
          <w:szCs w:val="21"/>
        </w:rPr>
      </w:pPr>
      <w:r>
        <w:rPr>
          <w:rFonts w:hint="eastAsia" w:ascii="宋体" w:hAnsi="宋体"/>
          <w:szCs w:val="21"/>
          <w:lang w:val="en-US" w:eastAsia="zh-CN"/>
        </w:rPr>
        <w:t>1.6</w:t>
      </w:r>
      <w:r>
        <w:rPr>
          <w:rFonts w:hint="eastAsia" w:ascii="宋体" w:hAnsi="宋体"/>
          <w:szCs w:val="21"/>
        </w:rPr>
        <w:t>项目合作期限</w:t>
      </w:r>
    </w:p>
    <w:p>
      <w:pPr>
        <w:spacing w:line="360" w:lineRule="auto"/>
        <w:ind w:firstLine="420" w:firstLineChars="200"/>
        <w:rPr>
          <w:rFonts w:hint="eastAsia" w:ascii="宋体" w:hAnsi="宋体"/>
          <w:szCs w:val="21"/>
        </w:rPr>
      </w:pPr>
      <w:r>
        <w:rPr>
          <w:rFonts w:hint="eastAsia" w:ascii="宋体" w:hAnsi="宋体"/>
          <w:szCs w:val="21"/>
        </w:rPr>
        <w:t>合作期限自签订</w:t>
      </w:r>
      <w:r>
        <w:rPr>
          <w:rFonts w:hint="eastAsia" w:ascii="宋体" w:hAnsi="宋体"/>
          <w:szCs w:val="21"/>
          <w:lang w:val="en-US" w:eastAsia="zh-CN"/>
        </w:rPr>
        <w:t>协议</w:t>
      </w:r>
      <w:r>
        <w:rPr>
          <w:rFonts w:hint="eastAsia" w:ascii="宋体" w:hAnsi="宋体"/>
          <w:szCs w:val="21"/>
        </w:rPr>
        <w:t>之日起满5年止，含项目准备期6个月。</w:t>
      </w:r>
    </w:p>
    <w:p>
      <w:pPr>
        <w:spacing w:line="360" w:lineRule="auto"/>
        <w:ind w:firstLine="422" w:firstLineChars="200"/>
        <w:rPr>
          <w:rFonts w:hint="default" w:eastAsia="宋体"/>
          <w:b/>
          <w:lang w:val="en-US" w:eastAsia="zh-CN"/>
        </w:rPr>
      </w:pPr>
      <w:r>
        <w:rPr>
          <w:rFonts w:hint="eastAsia"/>
          <w:b/>
          <w:lang w:val="en-US" w:eastAsia="zh-CN"/>
        </w:rPr>
        <w:t>二</w:t>
      </w:r>
      <w:r>
        <w:rPr>
          <w:rFonts w:hint="eastAsia"/>
          <w:b/>
        </w:rPr>
        <w:t>、项</w:t>
      </w:r>
      <w:r>
        <w:rPr>
          <w:rFonts w:hint="eastAsia"/>
          <w:b/>
          <w:highlight w:val="none"/>
        </w:rPr>
        <w:t>目公司</w:t>
      </w:r>
      <w:r>
        <w:rPr>
          <w:rFonts w:hint="eastAsia"/>
          <w:b/>
          <w:highlight w:val="none"/>
          <w:lang w:val="en-US" w:eastAsia="zh-CN"/>
        </w:rPr>
        <w:t>成立与运营方式</w:t>
      </w:r>
    </w:p>
    <w:p>
      <w:pPr>
        <w:snapToGrid w:val="0"/>
        <w:spacing w:line="360" w:lineRule="auto"/>
        <w:ind w:firstLine="420"/>
        <w:rPr>
          <w:rFonts w:hint="eastAsia" w:ascii="宋体" w:hAnsi="宋体"/>
          <w:szCs w:val="21"/>
          <w:lang w:val="en-US" w:eastAsia="zh-CN"/>
        </w:rPr>
      </w:pPr>
      <w:bookmarkStart w:id="1" w:name="_Hlk90884109"/>
      <w:r>
        <w:rPr>
          <w:rFonts w:hint="eastAsia" w:ascii="宋体" w:hAnsi="宋体"/>
          <w:szCs w:val="21"/>
          <w:lang w:val="en-US" w:eastAsia="zh-CN"/>
        </w:rPr>
        <w:t>2.1项目公司成立</w:t>
      </w:r>
    </w:p>
    <w:p>
      <w:pPr>
        <w:snapToGrid w:val="0"/>
        <w:spacing w:line="360" w:lineRule="auto"/>
        <w:ind w:firstLine="420"/>
        <w:rPr>
          <w:rFonts w:hint="eastAsia" w:ascii="宋体" w:hAnsi="宋体"/>
          <w:szCs w:val="21"/>
        </w:rPr>
      </w:pPr>
      <w:r>
        <w:rPr>
          <w:rFonts w:hint="eastAsia" w:ascii="宋体" w:hAnsi="宋体"/>
          <w:szCs w:val="21"/>
          <w:lang w:val="en-US" w:eastAsia="zh-CN"/>
        </w:rPr>
        <w:t>项目公司应</w:t>
      </w:r>
      <w:r>
        <w:rPr>
          <w:rFonts w:hint="eastAsia" w:ascii="宋体" w:hAnsi="宋体"/>
          <w:szCs w:val="21"/>
        </w:rPr>
        <w:t>在签订</w:t>
      </w:r>
      <w:r>
        <w:rPr>
          <w:rFonts w:hint="eastAsia" w:ascii="宋体" w:hAnsi="宋体"/>
          <w:szCs w:val="21"/>
          <w:lang w:val="en-US" w:eastAsia="zh-CN"/>
        </w:rPr>
        <w:t>协议</w:t>
      </w:r>
      <w:r>
        <w:rPr>
          <w:rFonts w:hint="eastAsia" w:ascii="宋体" w:hAnsi="宋体"/>
          <w:szCs w:val="21"/>
        </w:rPr>
        <w:t>之日起10日内</w:t>
      </w:r>
      <w:r>
        <w:rPr>
          <w:rFonts w:hint="eastAsia" w:ascii="宋体" w:hAnsi="宋体"/>
          <w:szCs w:val="21"/>
          <w:lang w:val="en-US" w:eastAsia="zh-CN"/>
        </w:rPr>
        <w:t>成立，</w:t>
      </w:r>
      <w:r>
        <w:rPr>
          <w:rFonts w:hint="eastAsia" w:ascii="宋体" w:hAnsi="宋体"/>
          <w:szCs w:val="21"/>
        </w:rPr>
        <w:t>注册资本不少于人民币</w:t>
      </w:r>
      <w:r>
        <w:rPr>
          <w:rFonts w:hint="eastAsia" w:ascii="宋体" w:hAnsi="宋体"/>
          <w:szCs w:val="21"/>
          <w:lang w:val="en-US" w:eastAsia="zh-CN"/>
        </w:rPr>
        <w:t>5</w:t>
      </w:r>
      <w:r>
        <w:rPr>
          <w:rFonts w:hint="eastAsia" w:ascii="宋体" w:hAnsi="宋体"/>
          <w:szCs w:val="21"/>
        </w:rPr>
        <w:t>00万元。</w:t>
      </w:r>
    </w:p>
    <w:p>
      <w:pPr>
        <w:snapToGrid w:val="0"/>
        <w:spacing w:line="360" w:lineRule="auto"/>
        <w:ind w:firstLine="42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2.2运营方式</w:t>
      </w:r>
    </w:p>
    <w:p>
      <w:pPr>
        <w:snapToGrid w:val="0"/>
        <w:spacing w:line="360" w:lineRule="auto"/>
        <w:ind w:firstLine="420"/>
        <w:rPr>
          <w:rFonts w:hint="eastAsia" w:ascii="宋体" w:hAnsi="宋体"/>
          <w:szCs w:val="21"/>
        </w:rPr>
      </w:pPr>
      <w:r>
        <w:rPr>
          <w:rFonts w:hint="eastAsia" w:ascii="宋体" w:hAnsi="宋体" w:eastAsia="宋体" w:cs="Times New Roman"/>
          <w:szCs w:val="21"/>
          <w:lang w:val="en-US" w:eastAsia="zh-CN"/>
        </w:rPr>
        <w:t>合作期</w:t>
      </w:r>
      <w:r>
        <w:rPr>
          <w:rFonts w:hint="default" w:ascii="宋体" w:hAnsi="宋体" w:eastAsia="宋体" w:cs="Times New Roman"/>
          <w:szCs w:val="21"/>
          <w:lang w:val="en-US" w:eastAsia="zh-CN"/>
        </w:rPr>
        <w:t>内，由</w:t>
      </w:r>
      <w:r>
        <w:rPr>
          <w:rFonts w:hint="eastAsia" w:ascii="宋体" w:hAnsi="宋体" w:eastAsia="宋体" w:cs="Times New Roman"/>
          <w:szCs w:val="21"/>
          <w:lang w:val="en-US" w:eastAsia="zh-CN"/>
        </w:rPr>
        <w:t>项目公司以</w:t>
      </w:r>
      <w:r>
        <w:rPr>
          <w:rFonts w:hint="default" w:ascii="宋体" w:hAnsi="宋体" w:eastAsia="宋体" w:cs="Times New Roman"/>
          <w:szCs w:val="21"/>
          <w:lang w:val="en-US" w:eastAsia="zh-CN"/>
        </w:rPr>
        <w:t>自身名义与招租商户签订相关租赁合同、管理服务协议等，并向招租商户直接收取各项费用（包括但不限于租金、物业管理费、能源费、停车费及广告收入等）</w:t>
      </w:r>
      <w:r>
        <w:rPr>
          <w:rFonts w:hint="eastAsia" w:ascii="宋体" w:hAnsi="宋体" w:eastAsia="宋体" w:cs="Times New Roman"/>
          <w:szCs w:val="21"/>
          <w:lang w:val="en-US" w:eastAsia="zh-CN"/>
        </w:rPr>
        <w:t>，采购人和中标运营商</w:t>
      </w:r>
      <w:r>
        <w:rPr>
          <w:rFonts w:hint="default" w:ascii="宋体" w:hAnsi="宋体" w:eastAsia="宋体" w:cs="Times New Roman"/>
          <w:szCs w:val="21"/>
          <w:lang w:val="en-US" w:eastAsia="zh-CN"/>
        </w:rPr>
        <w:t>双方根据项目公司分成收益（租金）按</w:t>
      </w:r>
      <w:r>
        <w:rPr>
          <w:rFonts w:hint="eastAsia" w:ascii="宋体" w:hAnsi="宋体" w:eastAsia="宋体" w:cs="Times New Roman"/>
          <w:szCs w:val="21"/>
          <w:lang w:val="en-US" w:eastAsia="zh-CN"/>
        </w:rPr>
        <w:t>约定</w:t>
      </w:r>
      <w:r>
        <w:rPr>
          <w:rFonts w:hint="default" w:ascii="宋体" w:hAnsi="宋体" w:eastAsia="宋体" w:cs="Times New Roman"/>
          <w:szCs w:val="21"/>
          <w:lang w:val="en-US" w:eastAsia="zh-CN"/>
        </w:rPr>
        <w:t>比例分成，</w:t>
      </w:r>
      <w:r>
        <w:rPr>
          <w:rFonts w:hint="eastAsia" w:ascii="宋体" w:hAnsi="宋体" w:eastAsia="宋体" w:cs="Times New Roman"/>
          <w:szCs w:val="21"/>
          <w:lang w:val="en-US" w:eastAsia="zh-CN"/>
        </w:rPr>
        <w:t>采购人</w:t>
      </w:r>
      <w:r>
        <w:rPr>
          <w:rFonts w:hint="default" w:ascii="宋体" w:hAnsi="宋体" w:eastAsia="宋体" w:cs="Times New Roman"/>
          <w:szCs w:val="21"/>
          <w:lang w:val="en-US" w:eastAsia="zh-CN"/>
        </w:rPr>
        <w:t>以从项目公司获得的分成收入作为当年度收取的租赁费。</w:t>
      </w:r>
    </w:p>
    <w:bookmarkEnd w:id="1"/>
    <w:p>
      <w:pPr>
        <w:spacing w:line="360" w:lineRule="auto"/>
        <w:ind w:firstLine="422" w:firstLineChars="200"/>
        <w:rPr>
          <w:rFonts w:hint="eastAsia" w:ascii="Times New Roman" w:hAnsi="Times New Roman" w:eastAsia="宋体" w:cs="Times New Roman"/>
          <w:b/>
          <w:lang w:val="en-US" w:eastAsia="zh-CN"/>
        </w:rPr>
      </w:pPr>
      <w:r>
        <w:rPr>
          <w:rFonts w:hint="eastAsia" w:ascii="Times New Roman" w:hAnsi="Times New Roman" w:eastAsia="宋体" w:cs="Times New Roman"/>
          <w:b/>
          <w:lang w:val="en-US" w:eastAsia="zh-CN"/>
        </w:rPr>
        <w:t xml:space="preserve">三、项目招商运营 </w:t>
      </w:r>
    </w:p>
    <w:p>
      <w:pPr>
        <w:snapToGrid w:val="0"/>
        <w:spacing w:line="360" w:lineRule="auto"/>
        <w:ind w:firstLine="420"/>
        <w:rPr>
          <w:rFonts w:hint="eastAsia" w:ascii="宋体" w:hAnsi="宋体"/>
          <w:szCs w:val="21"/>
        </w:rPr>
      </w:pPr>
      <w:r>
        <w:rPr>
          <w:rFonts w:hint="eastAsia" w:ascii="宋体" w:hAnsi="宋体"/>
          <w:szCs w:val="21"/>
          <w:lang w:val="en-US" w:eastAsia="zh-CN"/>
        </w:rPr>
        <w:t>3.1</w:t>
      </w:r>
      <w:r>
        <w:rPr>
          <w:rFonts w:hint="eastAsia" w:ascii="宋体" w:hAnsi="宋体"/>
          <w:szCs w:val="21"/>
        </w:rPr>
        <w:t>开业时间</w:t>
      </w:r>
    </w:p>
    <w:p>
      <w:pPr>
        <w:snapToGrid w:val="0"/>
        <w:spacing w:line="360" w:lineRule="auto"/>
        <w:ind w:firstLine="420"/>
        <w:rPr>
          <w:rFonts w:hint="eastAsia" w:ascii="宋体" w:hAnsi="宋体"/>
          <w:szCs w:val="21"/>
          <w:lang w:eastAsia="zh-CN"/>
        </w:rPr>
      </w:pPr>
      <w:r>
        <w:rPr>
          <w:rFonts w:hint="eastAsia" w:ascii="宋体" w:hAnsi="宋体"/>
          <w:szCs w:val="21"/>
        </w:rPr>
        <w:t>自协议签订之日起6个月内</w:t>
      </w:r>
      <w:r>
        <w:rPr>
          <w:rFonts w:hint="eastAsia" w:ascii="宋体" w:hAnsi="宋体"/>
          <w:szCs w:val="21"/>
          <w:lang w:eastAsia="zh-CN"/>
        </w:rPr>
        <w:t>。</w:t>
      </w:r>
    </w:p>
    <w:p>
      <w:pPr>
        <w:snapToGrid w:val="0"/>
        <w:spacing w:line="360" w:lineRule="auto"/>
        <w:ind w:firstLine="420"/>
        <w:rPr>
          <w:rFonts w:hint="eastAsia" w:ascii="宋体" w:hAnsi="宋体"/>
          <w:szCs w:val="21"/>
          <w:lang w:val="en-US" w:eastAsia="zh-CN"/>
        </w:rPr>
      </w:pPr>
      <w:r>
        <w:rPr>
          <w:rFonts w:hint="eastAsia" w:ascii="宋体" w:hAnsi="宋体"/>
          <w:szCs w:val="21"/>
          <w:lang w:val="en-US" w:eastAsia="zh-CN"/>
        </w:rPr>
        <w:t>3.2项目交付</w:t>
      </w:r>
    </w:p>
    <w:p>
      <w:pPr>
        <w:snapToGrid w:val="0"/>
        <w:spacing w:line="360" w:lineRule="auto"/>
        <w:ind w:firstLine="420"/>
        <w:rPr>
          <w:rFonts w:hint="eastAsia" w:ascii="宋体" w:hAnsi="宋体"/>
          <w:szCs w:val="21"/>
          <w:lang w:eastAsia="zh-CN"/>
        </w:rPr>
      </w:pPr>
      <w:r>
        <w:rPr>
          <w:rFonts w:hint="eastAsia" w:ascii="宋体" w:hAnsi="宋体"/>
          <w:szCs w:val="21"/>
          <w:lang w:val="en-US" w:eastAsia="zh-CN"/>
        </w:rPr>
        <w:t>采购人自</w:t>
      </w:r>
      <w:r>
        <w:rPr>
          <w:rFonts w:hint="eastAsia" w:ascii="宋体" w:hAnsi="宋体"/>
          <w:szCs w:val="21"/>
          <w:lang w:eastAsia="zh-CN"/>
        </w:rPr>
        <w:t>协议签订之日起30日内完成项目整体交付，交付后项目</w:t>
      </w:r>
      <w:r>
        <w:rPr>
          <w:rFonts w:hint="eastAsia" w:ascii="宋体" w:hAnsi="宋体"/>
          <w:szCs w:val="21"/>
          <w:lang w:val="en-US" w:eastAsia="zh-CN"/>
        </w:rPr>
        <w:t>产生的</w:t>
      </w:r>
      <w:r>
        <w:rPr>
          <w:rFonts w:hint="eastAsia" w:ascii="宋体" w:hAnsi="宋体"/>
          <w:szCs w:val="21"/>
          <w:lang w:eastAsia="zh-CN"/>
        </w:rPr>
        <w:t>全部收入</w:t>
      </w:r>
      <w:r>
        <w:rPr>
          <w:rFonts w:hint="eastAsia" w:ascii="宋体" w:hAnsi="宋体"/>
          <w:szCs w:val="21"/>
          <w:lang w:val="en-US" w:eastAsia="zh-CN"/>
        </w:rPr>
        <w:t>和</w:t>
      </w:r>
      <w:r>
        <w:rPr>
          <w:rFonts w:hint="eastAsia" w:ascii="宋体" w:hAnsi="宋体"/>
          <w:szCs w:val="21"/>
          <w:lang w:eastAsia="zh-CN"/>
        </w:rPr>
        <w:t>支出均</w:t>
      </w:r>
      <w:r>
        <w:rPr>
          <w:rFonts w:hint="eastAsia" w:ascii="宋体" w:hAnsi="宋体"/>
          <w:szCs w:val="21"/>
          <w:lang w:val="en-US" w:eastAsia="zh-CN"/>
        </w:rPr>
        <w:t>属</w:t>
      </w:r>
      <w:r>
        <w:rPr>
          <w:rFonts w:hint="eastAsia" w:ascii="宋体" w:hAnsi="宋体"/>
          <w:szCs w:val="21"/>
          <w:lang w:eastAsia="zh-CN"/>
        </w:rPr>
        <w:t>项目公司。</w:t>
      </w:r>
    </w:p>
    <w:p>
      <w:pPr>
        <w:snapToGrid w:val="0"/>
        <w:spacing w:line="360" w:lineRule="auto"/>
        <w:ind w:firstLine="420"/>
        <w:rPr>
          <w:rFonts w:hint="eastAsia" w:ascii="宋体" w:hAnsi="宋体"/>
          <w:szCs w:val="21"/>
          <w:lang w:val="en-US" w:eastAsia="zh-CN"/>
        </w:rPr>
      </w:pPr>
      <w:r>
        <w:rPr>
          <w:rFonts w:hint="eastAsia" w:ascii="宋体" w:hAnsi="宋体"/>
          <w:szCs w:val="21"/>
          <w:lang w:val="en-US" w:eastAsia="zh-CN"/>
        </w:rPr>
        <w:t>3.3</w:t>
      </w:r>
      <w:r>
        <w:rPr>
          <w:rFonts w:hint="eastAsia" w:ascii="宋体" w:hAnsi="宋体"/>
          <w:szCs w:val="21"/>
        </w:rPr>
        <w:t>项目招商</w:t>
      </w:r>
    </w:p>
    <w:p>
      <w:pPr>
        <w:snapToGrid w:val="0"/>
        <w:spacing w:line="360" w:lineRule="auto"/>
        <w:ind w:firstLine="420"/>
        <w:rPr>
          <w:rFonts w:hint="eastAsia" w:ascii="宋体" w:hAnsi="宋体"/>
          <w:szCs w:val="21"/>
          <w:lang w:val="en-US" w:eastAsia="zh-CN"/>
        </w:rPr>
      </w:pPr>
      <w:r>
        <w:rPr>
          <w:rFonts w:hint="eastAsia" w:ascii="宋体" w:hAnsi="宋体"/>
          <w:szCs w:val="21"/>
          <w:lang w:val="en-US" w:eastAsia="zh-CN"/>
        </w:rPr>
        <w:t>项目公司根据项目定位进行招商招租。项目公司对合作范围内商业享有完整的承租权、运营权、使用权和转租权，使用形式包括但不限于自营、联营、合资、合作等各种合法商业经营形式。</w:t>
      </w:r>
    </w:p>
    <w:p>
      <w:pPr>
        <w:snapToGrid w:val="0"/>
        <w:spacing w:line="360" w:lineRule="auto"/>
        <w:ind w:firstLine="420"/>
        <w:rPr>
          <w:rFonts w:hint="eastAsia" w:ascii="宋体" w:hAnsi="宋体"/>
          <w:szCs w:val="21"/>
        </w:rPr>
      </w:pPr>
      <w:r>
        <w:rPr>
          <w:rFonts w:hint="eastAsia" w:ascii="宋体" w:hAnsi="宋体"/>
          <w:szCs w:val="21"/>
          <w:lang w:val="en-US" w:eastAsia="zh-CN"/>
        </w:rPr>
        <w:t>说明：自协议约定交付之日起60日内，现续存期内商户租赁合同转签至项目公司</w:t>
      </w:r>
      <w:r>
        <w:rPr>
          <w:rFonts w:hint="eastAsia" w:ascii="宋体" w:hAnsi="宋体"/>
          <w:szCs w:val="21"/>
        </w:rPr>
        <w:t>。</w:t>
      </w:r>
    </w:p>
    <w:p>
      <w:pPr>
        <w:snapToGrid w:val="0"/>
        <w:spacing w:line="360" w:lineRule="auto"/>
        <w:ind w:firstLine="420"/>
        <w:rPr>
          <w:rFonts w:hint="eastAsia" w:ascii="宋体" w:hAnsi="宋体"/>
          <w:szCs w:val="21"/>
        </w:rPr>
      </w:pPr>
      <w:r>
        <w:rPr>
          <w:rFonts w:hint="eastAsia" w:ascii="宋体" w:hAnsi="宋体"/>
          <w:szCs w:val="21"/>
          <w:lang w:val="en-US" w:eastAsia="zh-CN"/>
        </w:rPr>
        <w:t>3.4</w:t>
      </w:r>
      <w:r>
        <w:rPr>
          <w:rFonts w:hint="eastAsia" w:ascii="宋体" w:hAnsi="宋体"/>
          <w:szCs w:val="21"/>
        </w:rPr>
        <w:t>物业管理服务</w:t>
      </w:r>
    </w:p>
    <w:p>
      <w:pPr>
        <w:snapToGrid w:val="0"/>
        <w:spacing w:line="360" w:lineRule="auto"/>
        <w:ind w:firstLine="420"/>
        <w:rPr>
          <w:rFonts w:hint="eastAsia" w:ascii="宋体" w:hAnsi="宋体"/>
          <w:szCs w:val="21"/>
        </w:rPr>
      </w:pPr>
      <w:r>
        <w:rPr>
          <w:rFonts w:hint="eastAsia" w:ascii="宋体" w:hAnsi="宋体"/>
          <w:szCs w:val="21"/>
        </w:rPr>
        <w:t>项目公司享有</w:t>
      </w:r>
      <w:r>
        <w:rPr>
          <w:rFonts w:hint="eastAsia" w:ascii="宋体" w:hAnsi="宋体"/>
          <w:szCs w:val="21"/>
          <w:lang w:val="en-US" w:eastAsia="zh-CN"/>
        </w:rPr>
        <w:t>本项目的</w:t>
      </w:r>
      <w:r>
        <w:rPr>
          <w:rFonts w:hint="eastAsia" w:ascii="宋体" w:hAnsi="宋体"/>
          <w:szCs w:val="21"/>
        </w:rPr>
        <w:t>物业管理权利，并有权以其自身名义与招租商户签订管理服务协议。</w:t>
      </w:r>
    </w:p>
    <w:p>
      <w:pPr>
        <w:snapToGrid w:val="0"/>
        <w:spacing w:line="360" w:lineRule="auto"/>
        <w:ind w:firstLine="420"/>
        <w:rPr>
          <w:rFonts w:hint="eastAsia" w:ascii="宋体" w:hAnsi="宋体"/>
          <w:szCs w:val="21"/>
        </w:rPr>
      </w:pPr>
      <w:r>
        <w:rPr>
          <w:rFonts w:hint="eastAsia" w:ascii="宋体" w:hAnsi="宋体"/>
          <w:szCs w:val="21"/>
          <w:lang w:val="en-US" w:eastAsia="zh-CN"/>
        </w:rPr>
        <w:t>3.5</w:t>
      </w:r>
      <w:r>
        <w:rPr>
          <w:rFonts w:hint="eastAsia" w:ascii="宋体" w:hAnsi="宋体"/>
          <w:szCs w:val="21"/>
        </w:rPr>
        <w:t>设施设备的日常维护、保养与维修</w:t>
      </w:r>
    </w:p>
    <w:p>
      <w:pPr>
        <w:snapToGrid w:val="0"/>
        <w:spacing w:line="360" w:lineRule="auto"/>
        <w:ind w:firstLine="420"/>
        <w:rPr>
          <w:rFonts w:hint="eastAsia" w:ascii="宋体" w:hAnsi="宋体"/>
          <w:szCs w:val="21"/>
        </w:rPr>
      </w:pPr>
      <w:r>
        <w:rPr>
          <w:rFonts w:hint="eastAsia" w:ascii="宋体" w:hAnsi="宋体"/>
          <w:szCs w:val="21"/>
        </w:rPr>
        <w:t>合作范围内相关设施设备的日常维护、保养由</w:t>
      </w:r>
      <w:r>
        <w:rPr>
          <w:rFonts w:hint="eastAsia" w:ascii="宋体" w:hAnsi="宋体"/>
          <w:szCs w:val="21"/>
          <w:lang w:eastAsia="zh-CN"/>
        </w:rPr>
        <w:t>项目公司</w:t>
      </w:r>
      <w:r>
        <w:rPr>
          <w:rFonts w:hint="eastAsia" w:ascii="宋体" w:hAnsi="宋体"/>
          <w:szCs w:val="21"/>
        </w:rPr>
        <w:t>负责，所需费用列入经营成本。</w:t>
      </w:r>
    </w:p>
    <w:p>
      <w:pPr>
        <w:snapToGrid w:val="0"/>
        <w:spacing w:line="360" w:lineRule="auto"/>
        <w:ind w:firstLine="420"/>
        <w:rPr>
          <w:rFonts w:hint="eastAsia" w:ascii="宋体" w:hAnsi="宋体"/>
          <w:szCs w:val="21"/>
        </w:rPr>
      </w:pPr>
      <w:r>
        <w:rPr>
          <w:rFonts w:hint="eastAsia" w:ascii="宋体" w:hAnsi="宋体"/>
          <w:szCs w:val="21"/>
          <w:lang w:val="en-US" w:eastAsia="zh-CN"/>
        </w:rPr>
        <w:t>3.6</w:t>
      </w:r>
      <w:r>
        <w:rPr>
          <w:rFonts w:hint="eastAsia" w:ascii="宋体" w:hAnsi="宋体"/>
          <w:szCs w:val="21"/>
        </w:rPr>
        <w:t>规范运营</w:t>
      </w:r>
    </w:p>
    <w:p>
      <w:pPr>
        <w:snapToGrid w:val="0"/>
        <w:spacing w:line="360" w:lineRule="auto"/>
        <w:ind w:firstLine="420"/>
        <w:rPr>
          <w:rFonts w:hint="eastAsia" w:ascii="宋体" w:hAnsi="宋体"/>
          <w:szCs w:val="21"/>
        </w:rPr>
      </w:pPr>
      <w:r>
        <w:rPr>
          <w:rFonts w:hint="eastAsia" w:ascii="宋体" w:hAnsi="宋体"/>
          <w:szCs w:val="21"/>
          <w:lang w:val="en-US" w:eastAsia="zh-CN"/>
        </w:rPr>
        <w:t>中标运营商</w:t>
      </w:r>
      <w:r>
        <w:rPr>
          <w:rFonts w:hint="eastAsia" w:ascii="宋体" w:hAnsi="宋体"/>
          <w:szCs w:val="21"/>
        </w:rPr>
        <w:t>应确保项目公司的运营管理符合各项规范，完成项目移交后，项目公司承担本项目消防、食品安全、疫情防控、安全生产等经营责任。</w:t>
      </w:r>
    </w:p>
    <w:p>
      <w:pPr>
        <w:snapToGrid w:val="0"/>
        <w:spacing w:line="360" w:lineRule="auto"/>
        <w:ind w:firstLine="420"/>
        <w:rPr>
          <w:rFonts w:hint="eastAsia" w:ascii="宋体" w:hAnsi="宋体"/>
          <w:szCs w:val="21"/>
        </w:rPr>
      </w:pPr>
      <w:r>
        <w:rPr>
          <w:rFonts w:hint="eastAsia" w:ascii="宋体" w:hAnsi="宋体"/>
          <w:szCs w:val="21"/>
        </w:rPr>
        <w:t>项目合作范围内，停车费的收取需符合相关政策法规要求，收费标准由双方共同制定，广告设定仅限商场内商户，如果涉及商场外需经</w:t>
      </w:r>
      <w:r>
        <w:rPr>
          <w:rFonts w:hint="eastAsia" w:ascii="宋体" w:hAnsi="宋体"/>
          <w:szCs w:val="21"/>
          <w:lang w:val="en-US" w:eastAsia="zh-CN"/>
        </w:rPr>
        <w:t>采购人</w:t>
      </w:r>
      <w:r>
        <w:rPr>
          <w:rFonts w:hint="eastAsia" w:ascii="宋体" w:hAnsi="宋体"/>
          <w:szCs w:val="21"/>
        </w:rPr>
        <w:t>批准，公益广告除外。</w:t>
      </w:r>
      <w:r>
        <w:rPr>
          <w:rFonts w:hint="eastAsia" w:ascii="宋体" w:hAnsi="宋体"/>
          <w:szCs w:val="21"/>
          <w:lang w:val="en-US" w:eastAsia="zh-CN"/>
        </w:rPr>
        <w:t>中标运营商</w:t>
      </w:r>
      <w:r>
        <w:rPr>
          <w:rFonts w:hint="eastAsia" w:ascii="宋体" w:hAnsi="宋体"/>
          <w:szCs w:val="21"/>
        </w:rPr>
        <w:t>需按投标文件</w:t>
      </w:r>
      <w:r>
        <w:rPr>
          <w:rFonts w:hint="eastAsia" w:ascii="宋体" w:hAnsi="宋体"/>
          <w:szCs w:val="21"/>
          <w:lang w:val="en-US" w:eastAsia="zh-CN"/>
        </w:rPr>
        <w:t>提交</w:t>
      </w:r>
      <w:r>
        <w:rPr>
          <w:rFonts w:hint="eastAsia" w:ascii="宋体" w:hAnsi="宋体"/>
          <w:szCs w:val="21"/>
        </w:rPr>
        <w:t>的招商运营方案进行项目策划，项目</w:t>
      </w:r>
      <w:r>
        <w:rPr>
          <w:rFonts w:hint="eastAsia" w:ascii="宋体" w:hAnsi="宋体"/>
          <w:szCs w:val="21"/>
          <w:lang w:val="en-US" w:eastAsia="zh-CN"/>
        </w:rPr>
        <w:t>移交</w:t>
      </w:r>
      <w:r>
        <w:rPr>
          <w:rFonts w:hint="eastAsia" w:ascii="宋体" w:hAnsi="宋体"/>
          <w:szCs w:val="21"/>
        </w:rPr>
        <w:t>后，须结合法定节假日、中国传统节日、双十一、双十二、店庆等促销时机，组织商场开展中大型营销活动，且每月至少1次，全年不少于12次。</w:t>
      </w:r>
    </w:p>
    <w:p>
      <w:pPr>
        <w:snapToGrid w:val="0"/>
        <w:spacing w:line="360" w:lineRule="auto"/>
        <w:ind w:firstLine="420"/>
        <w:rPr>
          <w:rFonts w:hint="default" w:ascii="宋体" w:hAnsi="宋体" w:eastAsia="宋体"/>
          <w:szCs w:val="21"/>
          <w:lang w:val="en-US" w:eastAsia="zh-CN"/>
        </w:rPr>
      </w:pPr>
      <w:r>
        <w:rPr>
          <w:rFonts w:hint="eastAsia" w:ascii="宋体" w:hAnsi="宋体"/>
          <w:szCs w:val="21"/>
          <w:lang w:val="en-US" w:eastAsia="zh-CN"/>
        </w:rPr>
        <w:t>3.7项目负责人要求</w:t>
      </w:r>
    </w:p>
    <w:p>
      <w:pPr>
        <w:snapToGrid w:val="0"/>
        <w:spacing w:line="360" w:lineRule="auto"/>
        <w:ind w:firstLine="420"/>
        <w:rPr>
          <w:rFonts w:hint="eastAsia" w:ascii="宋体" w:hAnsi="宋体"/>
          <w:szCs w:val="21"/>
        </w:rPr>
      </w:pPr>
      <w:r>
        <w:rPr>
          <w:rFonts w:hint="eastAsia" w:ascii="宋体" w:hAnsi="宋体"/>
          <w:szCs w:val="21"/>
        </w:rPr>
        <w:t>项目负责人为投标文件中设定的项目负责人，合作期内</w:t>
      </w:r>
      <w:r>
        <w:rPr>
          <w:rFonts w:hint="eastAsia" w:ascii="宋体" w:hAnsi="宋体"/>
          <w:szCs w:val="21"/>
          <w:lang w:val="en-US" w:eastAsia="zh-CN"/>
        </w:rPr>
        <w:t>中标运营商</w:t>
      </w:r>
      <w:r>
        <w:rPr>
          <w:rFonts w:hint="eastAsia" w:ascii="宋体" w:hAnsi="宋体"/>
          <w:szCs w:val="21"/>
        </w:rPr>
        <w:t>需变更项目负责人的，需经</w:t>
      </w:r>
      <w:r>
        <w:rPr>
          <w:rFonts w:hint="eastAsia" w:ascii="宋体" w:hAnsi="宋体"/>
          <w:szCs w:val="21"/>
          <w:lang w:val="en-US" w:eastAsia="zh-CN"/>
        </w:rPr>
        <w:t>采购人</w:t>
      </w:r>
      <w:r>
        <w:rPr>
          <w:rFonts w:hint="eastAsia" w:ascii="宋体" w:hAnsi="宋体"/>
          <w:szCs w:val="21"/>
        </w:rPr>
        <w:t>书面批准同意。</w:t>
      </w:r>
    </w:p>
    <w:p>
      <w:pPr>
        <w:snapToGrid w:val="0"/>
        <w:spacing w:line="360" w:lineRule="auto"/>
        <w:ind w:firstLine="420"/>
        <w:rPr>
          <w:rFonts w:hint="eastAsia" w:ascii="宋体" w:hAnsi="宋体"/>
          <w:szCs w:val="21"/>
        </w:rPr>
      </w:pPr>
      <w:r>
        <w:rPr>
          <w:rFonts w:hint="eastAsia" w:ascii="宋体" w:hAnsi="宋体"/>
          <w:szCs w:val="21"/>
          <w:lang w:val="en-US" w:eastAsia="zh-CN"/>
        </w:rPr>
        <w:t>3.8</w:t>
      </w:r>
      <w:r>
        <w:rPr>
          <w:rFonts w:hint="eastAsia" w:ascii="宋体" w:hAnsi="宋体"/>
          <w:szCs w:val="21"/>
        </w:rPr>
        <w:t>项目公司管理团队要求</w:t>
      </w:r>
    </w:p>
    <w:p>
      <w:pPr>
        <w:snapToGrid w:val="0"/>
        <w:spacing w:line="360" w:lineRule="auto"/>
        <w:ind w:firstLine="420"/>
        <w:rPr>
          <w:rFonts w:hint="eastAsia" w:ascii="宋体" w:hAnsi="宋体"/>
          <w:szCs w:val="21"/>
        </w:rPr>
      </w:pPr>
      <w:r>
        <w:rPr>
          <w:rFonts w:hint="eastAsia" w:ascii="宋体" w:hAnsi="宋体"/>
          <w:szCs w:val="21"/>
          <w:lang w:val="en-US" w:eastAsia="zh-CN"/>
        </w:rPr>
        <w:t>中标运营商</w:t>
      </w:r>
      <w:r>
        <w:rPr>
          <w:rFonts w:hint="eastAsia" w:ascii="宋体" w:hAnsi="宋体"/>
          <w:szCs w:val="21"/>
        </w:rPr>
        <w:t>指派、调拨符合项目经营需求并具备相应专业商业管理人员，且管理团队人员人员数量、岗位安排等需与投标文件</w:t>
      </w:r>
      <w:r>
        <w:rPr>
          <w:rFonts w:hint="eastAsia" w:ascii="宋体" w:hAnsi="宋体"/>
          <w:szCs w:val="21"/>
          <w:lang w:val="en-US" w:eastAsia="zh-CN"/>
        </w:rPr>
        <w:t>提交的</w:t>
      </w:r>
      <w:r>
        <w:rPr>
          <w:rFonts w:hint="eastAsia" w:ascii="宋体" w:hAnsi="宋体"/>
          <w:szCs w:val="21"/>
        </w:rPr>
        <w:t>运营方案数量、岗位相一致。</w:t>
      </w:r>
    </w:p>
    <w:p>
      <w:pPr>
        <w:snapToGrid w:val="0"/>
        <w:spacing w:line="360" w:lineRule="auto"/>
        <w:ind w:firstLine="420"/>
        <w:rPr>
          <w:rFonts w:hint="eastAsia" w:ascii="宋体" w:hAnsi="宋体"/>
          <w:szCs w:val="21"/>
        </w:rPr>
      </w:pPr>
      <w:r>
        <w:rPr>
          <w:rFonts w:hint="eastAsia" w:ascii="宋体" w:hAnsi="宋体"/>
          <w:szCs w:val="21"/>
          <w:lang w:val="en-US" w:eastAsia="zh-CN"/>
        </w:rPr>
        <w:t>3.9</w:t>
      </w:r>
      <w:r>
        <w:rPr>
          <w:rFonts w:hint="eastAsia" w:ascii="宋体" w:hAnsi="宋体"/>
          <w:szCs w:val="21"/>
        </w:rPr>
        <w:t>团队进驻时间要求</w:t>
      </w:r>
    </w:p>
    <w:p>
      <w:pPr>
        <w:snapToGrid w:val="0"/>
        <w:spacing w:line="360" w:lineRule="auto"/>
        <w:ind w:firstLine="420"/>
        <w:rPr>
          <w:rFonts w:hint="eastAsia" w:ascii="宋体" w:hAnsi="宋体"/>
          <w:szCs w:val="21"/>
        </w:rPr>
      </w:pPr>
      <w:r>
        <w:rPr>
          <w:rFonts w:hint="eastAsia" w:ascii="宋体" w:hAnsi="宋体"/>
          <w:szCs w:val="21"/>
        </w:rPr>
        <w:t>项目负责人在签订协议后7日内进驻项目，其余管理团队（人员不少于：</w:t>
      </w:r>
      <w:r>
        <w:rPr>
          <w:rFonts w:hint="eastAsia" w:ascii="宋体" w:hAnsi="宋体" w:eastAsia="宋体" w:cs="Times New Roman"/>
          <w:color w:val="auto"/>
          <w:szCs w:val="21"/>
          <w:highlight w:val="none"/>
          <w:lang w:val="en-US" w:eastAsia="zh-CN"/>
        </w:rPr>
        <w:t>专职管理人员2人、</w:t>
      </w:r>
      <w:r>
        <w:rPr>
          <w:rFonts w:hint="eastAsia" w:ascii="宋体" w:hAnsi="宋体"/>
          <w:szCs w:val="21"/>
        </w:rPr>
        <w:t>保安15人、保洁6人、工程维修2人、消控</w:t>
      </w:r>
      <w:r>
        <w:rPr>
          <w:rFonts w:hint="eastAsia" w:ascii="宋体" w:hAnsi="宋体" w:eastAsia="宋体" w:cs="Times New Roman"/>
          <w:szCs w:val="21"/>
        </w:rPr>
        <w:t>3人</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便民服务中心1人</w:t>
      </w:r>
      <w:r>
        <w:rPr>
          <w:rFonts w:hint="eastAsia" w:ascii="宋体" w:hAnsi="宋体" w:eastAsia="宋体" w:cs="Times New Roman"/>
          <w:szCs w:val="21"/>
        </w:rPr>
        <w:t>等）需在签订</w:t>
      </w:r>
      <w:r>
        <w:rPr>
          <w:rFonts w:hint="eastAsia" w:ascii="宋体" w:hAnsi="宋体"/>
          <w:szCs w:val="21"/>
        </w:rPr>
        <w:t>协议后30日内全部进驻项目。</w:t>
      </w:r>
    </w:p>
    <w:p>
      <w:pPr>
        <w:spacing w:line="360" w:lineRule="auto"/>
        <w:ind w:firstLine="422" w:firstLineChars="200"/>
        <w:rPr>
          <w:rFonts w:hint="eastAsia" w:ascii="Times New Roman" w:hAnsi="Times New Roman" w:eastAsia="宋体" w:cs="Times New Roman"/>
          <w:b/>
          <w:lang w:val="en-US" w:eastAsia="zh-CN"/>
        </w:rPr>
      </w:pPr>
      <w:r>
        <w:rPr>
          <w:rFonts w:hint="eastAsia" w:ascii="Times New Roman" w:hAnsi="Times New Roman" w:eastAsia="宋体" w:cs="Times New Roman"/>
          <w:b/>
          <w:lang w:val="en-US" w:eastAsia="zh-CN"/>
        </w:rPr>
        <w:t>四、招商运营管理要求</w:t>
      </w:r>
    </w:p>
    <w:p>
      <w:pPr>
        <w:snapToGrid w:val="0"/>
        <w:spacing w:line="360" w:lineRule="auto"/>
        <w:ind w:firstLine="420"/>
        <w:rPr>
          <w:rFonts w:hint="eastAsia" w:ascii="宋体" w:hAnsi="宋体"/>
          <w:szCs w:val="21"/>
        </w:rPr>
      </w:pPr>
      <w:r>
        <w:rPr>
          <w:rFonts w:hint="eastAsia" w:ascii="宋体" w:hAnsi="宋体"/>
          <w:szCs w:val="21"/>
          <w:lang w:val="en-US" w:eastAsia="zh-CN"/>
        </w:rPr>
        <w:t>4.1</w:t>
      </w:r>
      <w:r>
        <w:rPr>
          <w:rFonts w:hint="eastAsia" w:ascii="宋体" w:hAnsi="宋体"/>
          <w:szCs w:val="21"/>
        </w:rPr>
        <w:t>商业定位</w:t>
      </w:r>
    </w:p>
    <w:p>
      <w:pPr>
        <w:snapToGrid w:val="0"/>
        <w:spacing w:line="360" w:lineRule="auto"/>
        <w:ind w:firstLine="420"/>
        <w:rPr>
          <w:rFonts w:hint="eastAsia" w:ascii="宋体" w:hAnsi="宋体"/>
          <w:szCs w:val="21"/>
          <w:lang w:val="en-US" w:eastAsia="zh-CN"/>
        </w:rPr>
      </w:pPr>
      <w:r>
        <w:rPr>
          <w:rFonts w:hint="eastAsia" w:ascii="宋体" w:hAnsi="宋体"/>
          <w:szCs w:val="21"/>
          <w:lang w:eastAsia="zh-CN"/>
        </w:rPr>
        <w:t>中标运营商</w:t>
      </w:r>
      <w:r>
        <w:rPr>
          <w:rFonts w:hint="eastAsia" w:ascii="宋体" w:hAnsi="宋体"/>
          <w:szCs w:val="21"/>
          <w:lang w:val="en-US" w:eastAsia="zh-CN"/>
        </w:rPr>
        <w:t>需对项目所在区域进行充分调研，提出符合桐乡市场需求的商业定位，合理规划业态，业态必须符合社会公序良俗。</w:t>
      </w:r>
    </w:p>
    <w:p>
      <w:pPr>
        <w:snapToGrid w:val="0"/>
        <w:spacing w:line="360" w:lineRule="auto"/>
        <w:ind w:firstLine="420"/>
        <w:rPr>
          <w:rFonts w:hint="eastAsia" w:ascii="宋体" w:hAnsi="宋体"/>
          <w:szCs w:val="21"/>
          <w:lang w:val="en-US" w:eastAsia="zh-CN"/>
        </w:rPr>
      </w:pPr>
      <w:r>
        <w:rPr>
          <w:rFonts w:hint="eastAsia" w:ascii="宋体" w:hAnsi="宋体"/>
          <w:szCs w:val="21"/>
          <w:lang w:val="en-US" w:eastAsia="zh-CN"/>
        </w:rPr>
        <w:t>协议签订后1个月内，</w:t>
      </w:r>
      <w:r>
        <w:rPr>
          <w:rFonts w:hint="eastAsia" w:ascii="宋体" w:hAnsi="宋体"/>
          <w:szCs w:val="21"/>
          <w:lang w:eastAsia="zh-CN"/>
        </w:rPr>
        <w:t>中标运营商</w:t>
      </w:r>
      <w:r>
        <w:rPr>
          <w:rFonts w:hint="eastAsia" w:ascii="宋体" w:hAnsi="宋体"/>
          <w:szCs w:val="21"/>
          <w:lang w:val="en-US" w:eastAsia="zh-CN"/>
        </w:rPr>
        <w:t>应结合投标文件的招商运营方案，形成项目解读报告及执行方案与采购人商洽，运营方案实施需通过采购人审核同意。</w:t>
      </w:r>
    </w:p>
    <w:p>
      <w:pPr>
        <w:snapToGrid w:val="0"/>
        <w:spacing w:line="360" w:lineRule="auto"/>
        <w:ind w:firstLine="420"/>
        <w:rPr>
          <w:rFonts w:hint="eastAsia" w:ascii="宋体" w:hAnsi="宋体"/>
          <w:szCs w:val="21"/>
          <w:lang w:val="en-US" w:eastAsia="zh-CN"/>
        </w:rPr>
      </w:pPr>
      <w:r>
        <w:rPr>
          <w:rFonts w:hint="eastAsia" w:ascii="宋体" w:hAnsi="宋体"/>
          <w:szCs w:val="21"/>
          <w:lang w:val="en-US" w:eastAsia="zh-CN"/>
        </w:rPr>
        <w:t>为突出梧桐邻里（一号店）的便民服务宗旨，保留便民服务中心（不少于6大种类档口功能，且有专人现场负责运营每周运营不少于40小时）、药房、平价快剪等（收费标准不得高于市场平均价）。</w:t>
      </w:r>
    </w:p>
    <w:p>
      <w:pPr>
        <w:snapToGrid w:val="0"/>
        <w:spacing w:line="360" w:lineRule="auto"/>
        <w:ind w:firstLine="420"/>
        <w:rPr>
          <w:rFonts w:hint="eastAsia" w:ascii="宋体" w:hAnsi="宋体"/>
          <w:szCs w:val="21"/>
        </w:rPr>
      </w:pPr>
      <w:r>
        <w:rPr>
          <w:rFonts w:hint="eastAsia" w:ascii="宋体" w:hAnsi="宋体"/>
          <w:szCs w:val="21"/>
          <w:lang w:val="en-US" w:eastAsia="zh-CN"/>
        </w:rPr>
        <w:t>本项目内禁止引入如下内容商铺：（1）涉毒涉赌类如棋牌室、含赌博性质的茶室及电竞店等；（2）洗浴类如洗浴店、足浴店等；（3）除社区外其它办公类如建材家装等。</w:t>
      </w:r>
    </w:p>
    <w:p>
      <w:pPr>
        <w:snapToGrid w:val="0"/>
        <w:spacing w:line="360" w:lineRule="auto"/>
        <w:ind w:firstLine="420"/>
        <w:rPr>
          <w:rFonts w:hint="eastAsia" w:ascii="宋体" w:hAnsi="宋体"/>
          <w:szCs w:val="21"/>
        </w:rPr>
      </w:pPr>
      <w:r>
        <w:rPr>
          <w:rFonts w:hint="eastAsia" w:ascii="宋体" w:hAnsi="宋体"/>
          <w:szCs w:val="21"/>
          <w:lang w:val="en-US" w:eastAsia="zh-CN"/>
        </w:rPr>
        <w:t>4.2</w:t>
      </w:r>
      <w:r>
        <w:rPr>
          <w:rFonts w:hint="eastAsia" w:ascii="宋体" w:hAnsi="宋体"/>
          <w:szCs w:val="21"/>
        </w:rPr>
        <w:t>开铺率</w:t>
      </w:r>
    </w:p>
    <w:p>
      <w:pPr>
        <w:snapToGrid w:val="0"/>
        <w:spacing w:line="360" w:lineRule="auto"/>
        <w:ind w:firstLine="420"/>
        <w:rPr>
          <w:rFonts w:hint="eastAsia" w:ascii="宋体" w:hAnsi="宋体"/>
          <w:szCs w:val="21"/>
        </w:rPr>
      </w:pPr>
      <w:r>
        <w:rPr>
          <w:rFonts w:hint="eastAsia" w:ascii="宋体" w:hAnsi="宋体"/>
          <w:szCs w:val="21"/>
        </w:rPr>
        <w:t>年度平均开铺率按开铺建筑面积与招商总建筑面积13697.62平方米(不含社区)计算。</w:t>
      </w:r>
    </w:p>
    <w:p>
      <w:pPr>
        <w:snapToGrid w:val="0"/>
        <w:spacing w:line="360" w:lineRule="auto"/>
        <w:ind w:firstLine="420"/>
        <w:rPr>
          <w:rFonts w:hint="eastAsia" w:ascii="宋体" w:hAnsi="宋体"/>
          <w:szCs w:val="21"/>
        </w:rPr>
      </w:pPr>
      <w:r>
        <w:rPr>
          <w:rFonts w:hint="eastAsia" w:ascii="宋体" w:hAnsi="宋体"/>
          <w:szCs w:val="21"/>
        </w:rPr>
        <w:t>开业开铺率确认标准以正式签订租赁和物业合同、缴纳首次租金和物业费为依据；首年测算时间为开业当天至当年12月31日24:00，以后年度以财务年度1月1日至12月31日为计算期。</w:t>
      </w:r>
    </w:p>
    <w:p>
      <w:pPr>
        <w:snapToGrid w:val="0"/>
        <w:spacing w:line="360" w:lineRule="auto"/>
        <w:ind w:firstLine="420"/>
        <w:rPr>
          <w:rFonts w:hint="eastAsia" w:ascii="宋体" w:hAnsi="宋体"/>
          <w:szCs w:val="21"/>
        </w:rPr>
      </w:pPr>
      <w:r>
        <w:rPr>
          <w:rFonts w:hint="eastAsia" w:ascii="宋体" w:hAnsi="宋体"/>
          <w:szCs w:val="21"/>
        </w:rPr>
        <w:t>年平均开铺率=开铺建筑面积/招商总建筑面积，以正式签订租赁和物业合同、按日实缴租金和物业费为标准，实缴不满365天（一年）的，按实缴天数/365天折算。</w:t>
      </w:r>
    </w:p>
    <w:p>
      <w:pPr>
        <w:snapToGrid w:val="0"/>
        <w:spacing w:line="360" w:lineRule="auto"/>
        <w:ind w:firstLine="420"/>
        <w:rPr>
          <w:rFonts w:hint="eastAsia" w:ascii="宋体" w:hAnsi="宋体"/>
          <w:szCs w:val="21"/>
        </w:rPr>
      </w:pPr>
      <w:r>
        <w:rPr>
          <w:rFonts w:hint="eastAsia" w:ascii="宋体" w:hAnsi="宋体"/>
          <w:szCs w:val="21"/>
        </w:rPr>
        <w:t>本项目重开业时开铺率不低于85%，此后合作期内每年平均开铺率不低于90%。</w:t>
      </w:r>
    </w:p>
    <w:p>
      <w:pPr>
        <w:snapToGrid w:val="0"/>
        <w:spacing w:line="360" w:lineRule="auto"/>
        <w:ind w:firstLine="420"/>
        <w:rPr>
          <w:rFonts w:hint="eastAsia" w:ascii="宋体" w:hAnsi="宋体"/>
          <w:szCs w:val="21"/>
        </w:rPr>
      </w:pPr>
      <w:r>
        <w:rPr>
          <w:rFonts w:hint="eastAsia" w:ascii="宋体" w:hAnsi="宋体"/>
          <w:szCs w:val="21"/>
          <w:lang w:val="en-US" w:eastAsia="zh-CN"/>
        </w:rPr>
        <w:t>4.3</w:t>
      </w:r>
      <w:r>
        <w:rPr>
          <w:rFonts w:hint="eastAsia" w:ascii="宋体" w:hAnsi="宋体"/>
          <w:szCs w:val="21"/>
        </w:rPr>
        <w:t>连锁品牌</w:t>
      </w:r>
    </w:p>
    <w:p>
      <w:pPr>
        <w:snapToGrid w:val="0"/>
        <w:spacing w:line="360" w:lineRule="auto"/>
        <w:ind w:firstLine="420"/>
        <w:rPr>
          <w:rFonts w:hint="eastAsia" w:ascii="宋体" w:hAnsi="宋体"/>
          <w:szCs w:val="21"/>
        </w:rPr>
      </w:pPr>
      <w:r>
        <w:rPr>
          <w:rFonts w:hint="eastAsia" w:ascii="宋体" w:hAnsi="宋体"/>
          <w:szCs w:val="21"/>
        </w:rPr>
        <w:t>引入连锁品牌（指国内开具连锁店数量不少于10家，具备良好的运营管理能力及品牌辨识度）。</w:t>
      </w:r>
    </w:p>
    <w:p>
      <w:pPr>
        <w:snapToGrid w:val="0"/>
        <w:spacing w:line="360" w:lineRule="auto"/>
        <w:ind w:firstLine="420"/>
        <w:rPr>
          <w:rFonts w:hint="eastAsia" w:ascii="宋体" w:hAnsi="宋体"/>
          <w:szCs w:val="21"/>
        </w:rPr>
      </w:pPr>
      <w:r>
        <w:rPr>
          <w:rFonts w:hint="eastAsia" w:ascii="宋体" w:hAnsi="宋体"/>
          <w:szCs w:val="21"/>
        </w:rPr>
        <w:t>本项目连锁品牌商铺招商面积占比不低于30%。</w:t>
      </w:r>
    </w:p>
    <w:p>
      <w:pPr>
        <w:snapToGrid w:val="0"/>
        <w:spacing w:line="360" w:lineRule="auto"/>
        <w:ind w:firstLine="420"/>
        <w:rPr>
          <w:rFonts w:hint="eastAsia" w:ascii="宋体" w:hAnsi="宋体"/>
          <w:szCs w:val="21"/>
        </w:rPr>
      </w:pPr>
      <w:r>
        <w:rPr>
          <w:rFonts w:hint="eastAsia" w:ascii="宋体" w:hAnsi="宋体"/>
          <w:szCs w:val="21"/>
        </w:rPr>
        <w:t>连锁品牌占比=连锁品牌商铺建筑面积/招商总建筑面积，以正式签订租赁和物业合同、按日实缴租金和物业费为标准，实缴不满365天，按实缴天数/365天折算。</w:t>
      </w:r>
    </w:p>
    <w:p>
      <w:pPr>
        <w:snapToGrid w:val="0"/>
        <w:spacing w:line="360" w:lineRule="auto"/>
        <w:ind w:firstLine="420"/>
        <w:rPr>
          <w:rFonts w:hint="eastAsia" w:ascii="宋体" w:hAnsi="宋体"/>
          <w:szCs w:val="21"/>
        </w:rPr>
      </w:pPr>
      <w:r>
        <w:rPr>
          <w:rFonts w:hint="eastAsia" w:ascii="宋体" w:hAnsi="宋体"/>
          <w:szCs w:val="21"/>
        </w:rPr>
        <w:t>首年测算时间为开业当天至当年12月31日24:00，以后年度以财务年度1月1日至12月31日为计算期。</w:t>
      </w:r>
    </w:p>
    <w:p>
      <w:pPr>
        <w:snapToGrid w:val="0"/>
        <w:spacing w:line="360" w:lineRule="auto"/>
        <w:ind w:firstLine="420"/>
        <w:rPr>
          <w:rFonts w:hint="eastAsia" w:ascii="宋体" w:hAnsi="宋体"/>
          <w:szCs w:val="21"/>
        </w:rPr>
      </w:pPr>
      <w:r>
        <w:rPr>
          <w:rFonts w:hint="eastAsia" w:ascii="宋体" w:hAnsi="宋体"/>
          <w:szCs w:val="21"/>
          <w:lang w:val="en-US" w:eastAsia="zh-CN"/>
        </w:rPr>
        <w:t>4.4</w:t>
      </w:r>
      <w:r>
        <w:rPr>
          <w:rFonts w:hint="eastAsia" w:ascii="宋体" w:hAnsi="宋体"/>
          <w:szCs w:val="21"/>
        </w:rPr>
        <w:t>设施设备完好率</w:t>
      </w:r>
    </w:p>
    <w:p>
      <w:pPr>
        <w:snapToGrid w:val="0"/>
        <w:spacing w:line="360" w:lineRule="auto"/>
        <w:ind w:firstLine="420"/>
        <w:rPr>
          <w:rFonts w:hint="eastAsia" w:ascii="宋体" w:hAnsi="宋体"/>
          <w:szCs w:val="21"/>
        </w:rPr>
      </w:pPr>
      <w:r>
        <w:rPr>
          <w:rFonts w:hint="eastAsia" w:ascii="宋体" w:hAnsi="宋体"/>
          <w:szCs w:val="21"/>
          <w:lang w:eastAsia="zh-CN"/>
        </w:rPr>
        <w:t>采购人</w:t>
      </w:r>
      <w:r>
        <w:rPr>
          <w:rFonts w:hint="eastAsia" w:ascii="宋体" w:hAnsi="宋体"/>
          <w:szCs w:val="21"/>
        </w:rPr>
        <w:t>对设施设备组织不定期组织检查，设施设备完好率达95%以上。</w:t>
      </w:r>
    </w:p>
    <w:p>
      <w:pPr>
        <w:snapToGrid w:val="0"/>
        <w:spacing w:line="360" w:lineRule="auto"/>
        <w:ind w:firstLine="420"/>
        <w:rPr>
          <w:rFonts w:hint="eastAsia" w:ascii="宋体" w:hAnsi="宋体"/>
          <w:szCs w:val="21"/>
        </w:rPr>
      </w:pPr>
      <w:r>
        <w:rPr>
          <w:rFonts w:hint="eastAsia" w:ascii="宋体" w:hAnsi="宋体"/>
          <w:szCs w:val="21"/>
          <w:lang w:val="en-US" w:eastAsia="zh-CN"/>
        </w:rPr>
        <w:t>4.5</w:t>
      </w:r>
      <w:r>
        <w:rPr>
          <w:rFonts w:hint="eastAsia" w:ascii="宋体" w:hAnsi="宋体"/>
          <w:szCs w:val="21"/>
        </w:rPr>
        <w:t>商户装修管理</w:t>
      </w:r>
    </w:p>
    <w:p>
      <w:pPr>
        <w:snapToGrid w:val="0"/>
        <w:spacing w:line="360" w:lineRule="auto"/>
        <w:ind w:firstLine="420"/>
        <w:rPr>
          <w:rFonts w:hint="eastAsia" w:ascii="宋体" w:hAnsi="宋体"/>
          <w:szCs w:val="21"/>
        </w:rPr>
      </w:pPr>
      <w:r>
        <w:rPr>
          <w:rFonts w:hint="eastAsia" w:ascii="宋体" w:hAnsi="宋体"/>
          <w:szCs w:val="21"/>
          <w:lang w:eastAsia="zh-CN"/>
        </w:rPr>
        <w:t>项目公司</w:t>
      </w:r>
      <w:r>
        <w:rPr>
          <w:rFonts w:hint="eastAsia" w:ascii="宋体" w:hAnsi="宋体"/>
          <w:szCs w:val="21"/>
        </w:rPr>
        <w:t>负责项目招租商户及一号店社区、室外运动场馆的商铺装修管理。</w:t>
      </w:r>
    </w:p>
    <w:p>
      <w:pPr>
        <w:spacing w:line="360" w:lineRule="auto"/>
        <w:ind w:firstLine="422" w:firstLineChars="200"/>
        <w:rPr>
          <w:rFonts w:hint="default" w:ascii="Times New Roman" w:hAnsi="Times New Roman" w:eastAsia="宋体" w:cs="Times New Roman"/>
          <w:b/>
          <w:lang w:val="en-US" w:eastAsia="zh-CN"/>
        </w:rPr>
      </w:pPr>
      <w:r>
        <w:rPr>
          <w:rFonts w:hint="eastAsia" w:ascii="Times New Roman" w:hAnsi="Times New Roman" w:eastAsia="宋体" w:cs="Times New Roman"/>
          <w:b/>
          <w:lang w:val="en-US" w:eastAsia="zh-CN"/>
        </w:rPr>
        <w:t>五、项目前期工作</w:t>
      </w:r>
    </w:p>
    <w:p>
      <w:pPr>
        <w:snapToGrid w:val="0"/>
        <w:spacing w:line="360" w:lineRule="auto"/>
        <w:ind w:firstLine="420"/>
        <w:rPr>
          <w:rFonts w:hint="eastAsia" w:ascii="宋体" w:hAnsi="宋体" w:eastAsia="宋体"/>
          <w:szCs w:val="21"/>
          <w:lang w:eastAsia="zh-CN"/>
        </w:rPr>
      </w:pPr>
      <w:r>
        <w:rPr>
          <w:rFonts w:hint="eastAsia" w:ascii="宋体" w:hAnsi="宋体"/>
          <w:szCs w:val="21"/>
          <w:lang w:val="en-US" w:eastAsia="zh-CN"/>
        </w:rPr>
        <w:t>5.1准备期</w:t>
      </w:r>
    </w:p>
    <w:p>
      <w:pPr>
        <w:snapToGrid w:val="0"/>
        <w:spacing w:line="360" w:lineRule="auto"/>
        <w:ind w:firstLine="420"/>
        <w:rPr>
          <w:rFonts w:hint="eastAsia" w:ascii="宋体" w:hAnsi="宋体"/>
          <w:szCs w:val="21"/>
        </w:rPr>
      </w:pPr>
      <w:r>
        <w:rPr>
          <w:rFonts w:hint="eastAsia" w:ascii="宋体" w:hAnsi="宋体"/>
          <w:szCs w:val="21"/>
          <w:lang w:val="en-US" w:eastAsia="zh-CN"/>
        </w:rPr>
        <w:t>自</w:t>
      </w:r>
      <w:r>
        <w:rPr>
          <w:rFonts w:hint="eastAsia" w:ascii="宋体" w:hAnsi="宋体"/>
          <w:szCs w:val="21"/>
        </w:rPr>
        <w:t>协议签订之日起30日内，双方正式完成项目经营权移交。</w:t>
      </w:r>
      <w:r>
        <w:rPr>
          <w:rFonts w:hint="eastAsia" w:ascii="宋体" w:hAnsi="宋体"/>
          <w:szCs w:val="21"/>
          <w:lang w:val="en-US" w:eastAsia="zh-CN"/>
        </w:rPr>
        <w:t>中标运营商</w:t>
      </w:r>
      <w:r>
        <w:rPr>
          <w:rFonts w:hint="eastAsia" w:ascii="宋体" w:hAnsi="宋体"/>
          <w:szCs w:val="21"/>
        </w:rPr>
        <w:t>如有装修调改需要，于协议签订之日起30日内提交装修调改意见及设计方案，经</w:t>
      </w:r>
      <w:r>
        <w:rPr>
          <w:rFonts w:hint="eastAsia" w:ascii="宋体" w:hAnsi="宋体"/>
          <w:szCs w:val="21"/>
          <w:lang w:val="en-US" w:eastAsia="zh-CN"/>
        </w:rPr>
        <w:t>采购人</w:t>
      </w:r>
      <w:r>
        <w:rPr>
          <w:rFonts w:hint="eastAsia" w:ascii="宋体" w:hAnsi="宋体"/>
          <w:szCs w:val="21"/>
        </w:rPr>
        <w:t>审核同意后方可实施，费用由</w:t>
      </w:r>
      <w:r>
        <w:rPr>
          <w:rFonts w:hint="eastAsia" w:ascii="宋体" w:hAnsi="宋体"/>
          <w:szCs w:val="21"/>
          <w:lang w:val="en-US" w:eastAsia="zh-CN"/>
        </w:rPr>
        <w:t>中标运营商</w:t>
      </w:r>
      <w:r>
        <w:rPr>
          <w:rFonts w:hint="eastAsia" w:ascii="宋体" w:hAnsi="宋体"/>
          <w:szCs w:val="21"/>
        </w:rPr>
        <w:t>承担纳入运营成本中。</w:t>
      </w:r>
    </w:p>
    <w:p>
      <w:pPr>
        <w:snapToGrid w:val="0"/>
        <w:spacing w:line="360" w:lineRule="auto"/>
        <w:ind w:firstLine="420"/>
        <w:rPr>
          <w:rFonts w:hint="default" w:ascii="宋体" w:hAnsi="宋体" w:eastAsia="宋体"/>
          <w:szCs w:val="21"/>
          <w:lang w:val="en-US" w:eastAsia="zh-CN"/>
        </w:rPr>
      </w:pPr>
      <w:r>
        <w:rPr>
          <w:rFonts w:hint="eastAsia" w:ascii="宋体" w:hAnsi="宋体"/>
          <w:szCs w:val="21"/>
          <w:lang w:val="en-US" w:eastAsia="zh-CN"/>
        </w:rPr>
        <w:t>5.2准备期费用的承担</w:t>
      </w:r>
    </w:p>
    <w:p>
      <w:pPr>
        <w:snapToGrid w:val="0"/>
        <w:spacing w:line="360" w:lineRule="auto"/>
        <w:ind w:firstLine="42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准备期费用是指项目准备期间发生的开业宣传费和信息化建设费，采购人在限额以内支付，详见下表：</w:t>
      </w:r>
    </w:p>
    <w:tbl>
      <w:tblPr>
        <w:tblStyle w:val="5"/>
        <w:tblW w:w="49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6"/>
        <w:gridCol w:w="1502"/>
        <w:gridCol w:w="3379"/>
        <w:gridCol w:w="985"/>
        <w:gridCol w:w="3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369"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序号</w:t>
            </w:r>
          </w:p>
        </w:tc>
        <w:tc>
          <w:tcPr>
            <w:tcW w:w="754"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jc w:val="center"/>
              <w:rPr>
                <w:rFonts w:hint="default" w:ascii="宋体" w:hAnsi="宋体" w:eastAsia="宋体" w:cs="Times New Roman"/>
                <w:b/>
                <w:bCs/>
                <w:szCs w:val="21"/>
                <w:lang w:val="en-US" w:eastAsia="zh-CN"/>
              </w:rPr>
            </w:pPr>
            <w:r>
              <w:rPr>
                <w:rFonts w:hint="eastAsia" w:ascii="宋体" w:hAnsi="宋体" w:eastAsia="宋体" w:cs="Times New Roman"/>
                <w:b/>
                <w:bCs/>
                <w:szCs w:val="21"/>
                <w:lang w:val="en-US" w:eastAsia="zh-CN"/>
              </w:rPr>
              <w:t>费用类别</w:t>
            </w:r>
          </w:p>
        </w:tc>
        <w:tc>
          <w:tcPr>
            <w:tcW w:w="1698"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服务内容</w:t>
            </w:r>
          </w:p>
        </w:tc>
        <w:tc>
          <w:tcPr>
            <w:tcW w:w="494"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金额</w:t>
            </w:r>
          </w:p>
        </w:tc>
        <w:tc>
          <w:tcPr>
            <w:tcW w:w="1681" w:type="pct"/>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支付方式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9" w:hRule="atLeast"/>
        </w:trPr>
        <w:tc>
          <w:tcPr>
            <w:tcW w:w="369"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开业宣传费</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为本项目重开业进行的各类宣传活动，包括为开业进行的提前推广（不包括准备期日常运营推广活动）、招商推广、开业活动等        </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50万元</w:t>
            </w:r>
          </w:p>
        </w:tc>
        <w:tc>
          <w:tcPr>
            <w:tcW w:w="1681"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重开业后30日内，采购人根据推广实际发生数或审计结果支付，大于等于50万按50万支付，小于50万，按实支付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7" w:hRule="atLeast"/>
        </w:trPr>
        <w:tc>
          <w:tcPr>
            <w:tcW w:w="369"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信息化建设费</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用于本项目业务管理平台、工程物业平台、巡场系统、会员管理系统（包括公众号、小程序、抖音聚合页）等信息化建设、配套软硬件设施投入、大数据分析。无论合同存续或任何原因解除、终止，其全部成果、软硬件、信息均归采购人所有。</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50万元</w:t>
            </w:r>
          </w:p>
        </w:tc>
        <w:tc>
          <w:tcPr>
            <w:tcW w:w="1681"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default" w:ascii="宋体" w:hAnsi="宋体" w:eastAsia="宋体" w:cs="Times New Roman"/>
                <w:szCs w:val="21"/>
                <w:lang w:val="en-US" w:eastAsia="zh-Hans"/>
              </w:rPr>
            </w:pPr>
            <w:r>
              <w:rPr>
                <w:rFonts w:hint="eastAsia" w:ascii="宋体" w:hAnsi="宋体" w:eastAsia="宋体" w:cs="Times New Roman"/>
                <w:szCs w:val="21"/>
                <w:lang w:val="en-US" w:eastAsia="zh-CN"/>
              </w:rPr>
              <w:t>重开业后30日内，采购人根据实际发生数或审计结果支付，大于等于50万按50万支付，小于50万，按实支付</w:t>
            </w:r>
          </w:p>
        </w:tc>
      </w:tr>
    </w:tbl>
    <w:p>
      <w:pPr>
        <w:spacing w:line="360" w:lineRule="auto"/>
        <w:ind w:firstLine="422" w:firstLineChars="200"/>
        <w:rPr>
          <w:rFonts w:hint="eastAsia" w:ascii="Times New Roman" w:hAnsi="Times New Roman" w:eastAsia="宋体" w:cs="Times New Roman"/>
          <w:b/>
          <w:lang w:val="en-US" w:eastAsia="zh-CN"/>
        </w:rPr>
      </w:pPr>
    </w:p>
    <w:p>
      <w:pPr>
        <w:spacing w:line="360" w:lineRule="auto"/>
        <w:ind w:firstLine="422" w:firstLineChars="200"/>
        <w:rPr>
          <w:rFonts w:hint="eastAsia" w:ascii="Times New Roman" w:hAnsi="Times New Roman" w:eastAsia="宋体" w:cs="Times New Roman"/>
          <w:b/>
          <w:lang w:val="en-US" w:eastAsia="zh-CN"/>
        </w:rPr>
      </w:pPr>
      <w:r>
        <w:rPr>
          <w:rFonts w:hint="eastAsia" w:ascii="Times New Roman" w:hAnsi="Times New Roman" w:eastAsia="宋体" w:cs="Times New Roman"/>
          <w:b/>
          <w:lang w:val="en-US" w:eastAsia="zh-CN"/>
        </w:rPr>
        <w:t>六、收益分成</w:t>
      </w:r>
    </w:p>
    <w:p>
      <w:pPr>
        <w:snapToGrid w:val="0"/>
        <w:spacing w:line="360" w:lineRule="auto"/>
        <w:ind w:firstLine="420"/>
        <w:rPr>
          <w:rFonts w:hint="eastAsia" w:ascii="宋体" w:hAnsi="宋体"/>
          <w:szCs w:val="21"/>
        </w:rPr>
      </w:pPr>
      <w:r>
        <w:rPr>
          <w:rFonts w:hint="eastAsia" w:ascii="宋体" w:hAnsi="宋体"/>
          <w:szCs w:val="21"/>
          <w:lang w:val="en-US" w:eastAsia="zh-CN"/>
        </w:rPr>
        <w:t>6.1</w:t>
      </w:r>
      <w:r>
        <w:rPr>
          <w:rFonts w:hint="eastAsia" w:ascii="宋体" w:hAnsi="宋体"/>
          <w:szCs w:val="21"/>
        </w:rPr>
        <w:t>项目经营总收入</w:t>
      </w:r>
    </w:p>
    <w:p>
      <w:pPr>
        <w:snapToGrid w:val="0"/>
        <w:spacing w:line="360" w:lineRule="auto"/>
        <w:ind w:firstLine="420"/>
        <w:rPr>
          <w:rFonts w:hint="eastAsia" w:ascii="宋体" w:hAnsi="宋体"/>
          <w:szCs w:val="21"/>
        </w:rPr>
      </w:pPr>
      <w:r>
        <w:rPr>
          <w:rFonts w:hint="eastAsia" w:ascii="宋体" w:hAnsi="宋体"/>
          <w:szCs w:val="21"/>
        </w:rPr>
        <w:t>项目合作期内，项目年总收入指</w:t>
      </w:r>
      <w:r>
        <w:rPr>
          <w:rFonts w:hint="eastAsia" w:ascii="宋体" w:hAnsi="宋体"/>
          <w:szCs w:val="21"/>
          <w:lang w:eastAsia="zh-CN"/>
        </w:rPr>
        <w:t>项目公司</w:t>
      </w:r>
      <w:r>
        <w:rPr>
          <w:rFonts w:hint="eastAsia" w:ascii="宋体" w:hAnsi="宋体"/>
          <w:szCs w:val="21"/>
        </w:rPr>
        <w:t>每年对外出租商铺及管理项目而产生的全部收入，包括但不限于招租商户的租金、停车费、管理费、能源费、广告位收入、垃圾清运费及多种经营收入等组成，由</w:t>
      </w:r>
      <w:r>
        <w:rPr>
          <w:rFonts w:hint="eastAsia" w:ascii="宋体" w:hAnsi="宋体"/>
          <w:szCs w:val="21"/>
          <w:lang w:eastAsia="zh-CN"/>
        </w:rPr>
        <w:t>项目公司</w:t>
      </w:r>
      <w:r>
        <w:rPr>
          <w:rFonts w:hint="eastAsia" w:ascii="宋体" w:hAnsi="宋体"/>
          <w:szCs w:val="21"/>
        </w:rPr>
        <w:t>直接收取。</w:t>
      </w:r>
    </w:p>
    <w:p>
      <w:pPr>
        <w:snapToGrid w:val="0"/>
        <w:spacing w:line="360" w:lineRule="auto"/>
        <w:ind w:firstLine="420"/>
        <w:rPr>
          <w:rFonts w:hint="eastAsia" w:ascii="宋体" w:hAnsi="宋体"/>
          <w:szCs w:val="21"/>
        </w:rPr>
      </w:pPr>
      <w:r>
        <w:rPr>
          <w:rFonts w:hint="eastAsia" w:ascii="宋体" w:hAnsi="宋体"/>
          <w:szCs w:val="21"/>
        </w:rPr>
        <w:t>项目重开业后年度项目总收入不得低于500万元(不包含社区、室外运动场馆租金，且按照年开铺率100%计算，不足的按实际开铺率进行折算。）</w:t>
      </w:r>
    </w:p>
    <w:p>
      <w:pPr>
        <w:snapToGrid w:val="0"/>
        <w:spacing w:line="360" w:lineRule="auto"/>
        <w:ind w:firstLine="420"/>
        <w:rPr>
          <w:rFonts w:hint="eastAsia" w:ascii="宋体" w:hAnsi="宋体"/>
          <w:szCs w:val="21"/>
        </w:rPr>
      </w:pPr>
      <w:r>
        <w:rPr>
          <w:rFonts w:hint="eastAsia" w:ascii="宋体" w:hAnsi="宋体"/>
          <w:szCs w:val="21"/>
          <w:lang w:val="en-US" w:eastAsia="zh-CN"/>
        </w:rPr>
        <w:t>6.2</w:t>
      </w:r>
      <w:r>
        <w:rPr>
          <w:rFonts w:hint="eastAsia" w:ascii="宋体" w:hAnsi="宋体"/>
          <w:szCs w:val="21"/>
        </w:rPr>
        <w:t>项目总成本</w:t>
      </w:r>
    </w:p>
    <w:p>
      <w:pPr>
        <w:snapToGrid w:val="0"/>
        <w:spacing w:line="360" w:lineRule="auto"/>
        <w:ind w:firstLine="420"/>
        <w:rPr>
          <w:rFonts w:hint="eastAsia" w:ascii="宋体" w:hAnsi="宋体"/>
          <w:szCs w:val="21"/>
        </w:rPr>
      </w:pPr>
      <w:r>
        <w:rPr>
          <w:rFonts w:hint="eastAsia" w:ascii="宋体" w:hAnsi="宋体"/>
          <w:szCs w:val="21"/>
        </w:rPr>
        <w:t>项目总成本指项目公司为满足项目招商、运营、管理、装修调改等支出的各项经营成本，主要包括项目公司人员经费（含管理人员、专业技术人员、安保、保洁等）、营销推广费、运营期招商调改费用、零星维修费（含水电设施维护、零星维修与耗材等）、设备设施的维护保养及年检费用（电梯、监控、消防、空调等设备设施的维护保养及年检费用）、公共能耗费用、日常经费（含办公费、通讯费、绿化养护及租摆的管理、垃圾清运、业务接待等）、保险费用、商户入驻装修调改等。</w:t>
      </w:r>
    </w:p>
    <w:p>
      <w:pPr>
        <w:snapToGrid w:val="0"/>
        <w:spacing w:line="360" w:lineRule="auto"/>
        <w:ind w:firstLine="420"/>
        <w:rPr>
          <w:rFonts w:hint="eastAsia" w:ascii="宋体" w:hAnsi="宋体"/>
          <w:szCs w:val="21"/>
        </w:rPr>
      </w:pPr>
      <w:r>
        <w:rPr>
          <w:rFonts w:hint="eastAsia" w:ascii="宋体" w:hAnsi="宋体"/>
          <w:szCs w:val="21"/>
        </w:rPr>
        <w:t>项目总成本不含准备期相关费用及折旧摊销、利息。</w:t>
      </w:r>
    </w:p>
    <w:p>
      <w:pPr>
        <w:snapToGrid w:val="0"/>
        <w:spacing w:line="360" w:lineRule="auto"/>
        <w:ind w:firstLine="420"/>
        <w:rPr>
          <w:rFonts w:hint="eastAsia" w:ascii="宋体" w:hAnsi="宋体"/>
          <w:szCs w:val="21"/>
        </w:rPr>
      </w:pPr>
      <w:r>
        <w:rPr>
          <w:rFonts w:hint="eastAsia" w:ascii="宋体" w:hAnsi="宋体"/>
          <w:szCs w:val="21"/>
        </w:rPr>
        <w:t>项目总成本按限额（项目年总收入*55%）计算，年总成本超出项目年总收入*55%部分由</w:t>
      </w:r>
      <w:r>
        <w:rPr>
          <w:rFonts w:hint="eastAsia" w:ascii="宋体" w:hAnsi="宋体"/>
          <w:szCs w:val="21"/>
          <w:lang w:val="en-US" w:eastAsia="zh-CN"/>
        </w:rPr>
        <w:t>中标运营商</w:t>
      </w:r>
      <w:r>
        <w:rPr>
          <w:rFonts w:hint="eastAsia" w:ascii="宋体" w:hAnsi="宋体"/>
          <w:szCs w:val="21"/>
        </w:rPr>
        <w:t>自行承担，年总成本少于250万元部分作为</w:t>
      </w:r>
      <w:r>
        <w:rPr>
          <w:rFonts w:hint="eastAsia" w:ascii="宋体" w:hAnsi="宋体"/>
          <w:szCs w:val="21"/>
          <w:lang w:val="en-US" w:eastAsia="zh-CN"/>
        </w:rPr>
        <w:t>采购人</w:t>
      </w:r>
      <w:r>
        <w:rPr>
          <w:rFonts w:hint="eastAsia" w:ascii="宋体" w:hAnsi="宋体"/>
          <w:szCs w:val="21"/>
        </w:rPr>
        <w:t>独享收益，不计入收益分成。</w:t>
      </w:r>
    </w:p>
    <w:p>
      <w:pPr>
        <w:snapToGrid w:val="0"/>
        <w:spacing w:line="360" w:lineRule="auto"/>
        <w:ind w:firstLine="420"/>
        <w:rPr>
          <w:rFonts w:hint="eastAsia" w:ascii="宋体" w:hAnsi="宋体"/>
          <w:szCs w:val="21"/>
        </w:rPr>
      </w:pPr>
      <w:r>
        <w:rPr>
          <w:rFonts w:hint="eastAsia" w:ascii="宋体" w:hAnsi="宋体"/>
          <w:szCs w:val="21"/>
          <w:lang w:val="en-US" w:eastAsia="zh-CN"/>
        </w:rPr>
        <w:t>6.3</w:t>
      </w:r>
      <w:r>
        <w:rPr>
          <w:rFonts w:hint="eastAsia" w:ascii="宋体" w:hAnsi="宋体"/>
          <w:szCs w:val="21"/>
        </w:rPr>
        <w:t>分成收益（租金）计算</w:t>
      </w:r>
    </w:p>
    <w:p>
      <w:pPr>
        <w:snapToGrid w:val="0"/>
        <w:spacing w:line="360" w:lineRule="auto"/>
        <w:ind w:firstLine="420"/>
        <w:rPr>
          <w:rFonts w:hint="eastAsia" w:ascii="宋体" w:hAnsi="宋体"/>
          <w:szCs w:val="21"/>
        </w:rPr>
      </w:pPr>
      <w:r>
        <w:rPr>
          <w:rFonts w:hint="eastAsia" w:ascii="宋体" w:hAnsi="宋体"/>
          <w:szCs w:val="21"/>
        </w:rPr>
        <w:t>分成收益是指项目公司当年度发生的总收入减总成本，再扣除税金及附加后的收益（最终金额以年度审计结果为准）。</w:t>
      </w:r>
    </w:p>
    <w:p>
      <w:pPr>
        <w:snapToGrid w:val="0"/>
        <w:spacing w:line="360" w:lineRule="auto"/>
        <w:ind w:firstLine="420"/>
        <w:rPr>
          <w:rFonts w:hint="eastAsia" w:ascii="宋体" w:hAnsi="宋体"/>
          <w:szCs w:val="21"/>
        </w:rPr>
      </w:pPr>
      <w:r>
        <w:rPr>
          <w:rFonts w:hint="eastAsia" w:ascii="宋体" w:hAnsi="宋体"/>
          <w:szCs w:val="21"/>
        </w:rPr>
        <w:t>双方按中标比例分配，</w:t>
      </w:r>
      <w:r>
        <w:rPr>
          <w:rFonts w:hint="eastAsia" w:ascii="宋体" w:hAnsi="宋体"/>
          <w:szCs w:val="21"/>
          <w:lang w:val="en-US" w:eastAsia="zh-CN"/>
        </w:rPr>
        <w:t>采购人</w:t>
      </w:r>
      <w:r>
        <w:rPr>
          <w:rFonts w:hint="eastAsia" w:ascii="宋体" w:hAnsi="宋体"/>
          <w:szCs w:val="21"/>
        </w:rPr>
        <w:t>按分成收益计算金额收取当年度租金。</w:t>
      </w:r>
    </w:p>
    <w:p>
      <w:pPr>
        <w:snapToGrid w:val="0"/>
        <w:spacing w:line="360" w:lineRule="auto"/>
        <w:ind w:firstLine="420"/>
        <w:rPr>
          <w:rFonts w:hint="eastAsia" w:ascii="宋体" w:hAnsi="宋体"/>
          <w:szCs w:val="21"/>
          <w:lang w:eastAsia="zh-CN"/>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）当年度项目总成本高于250万元，且高于项目总收入*55%时：</w:t>
      </w:r>
    </w:p>
    <w:p>
      <w:pPr>
        <w:snapToGrid w:val="0"/>
        <w:spacing w:line="360" w:lineRule="auto"/>
        <w:ind w:firstLine="420"/>
        <w:rPr>
          <w:rFonts w:hint="eastAsia" w:ascii="宋体" w:hAnsi="宋体"/>
          <w:szCs w:val="21"/>
          <w:lang w:eastAsia="zh-CN"/>
        </w:rPr>
      </w:pPr>
      <w:r>
        <w:rPr>
          <w:rFonts w:hint="eastAsia" w:ascii="宋体" w:hAnsi="宋体"/>
          <w:szCs w:val="21"/>
          <w:lang w:eastAsia="zh-CN"/>
        </w:rPr>
        <w:t xml:space="preserve"> </w:t>
      </w:r>
      <w:r>
        <w:rPr>
          <w:rFonts w:hint="eastAsia" w:ascii="宋体" w:hAnsi="宋体"/>
          <w:szCs w:val="21"/>
        </w:rPr>
        <w:t>分成收益</w:t>
      </w:r>
      <w:r>
        <w:rPr>
          <w:rFonts w:hint="eastAsia" w:ascii="宋体" w:hAnsi="宋体"/>
          <w:szCs w:val="21"/>
          <w:lang w:eastAsia="zh-CN"/>
        </w:rPr>
        <w:t>（</w:t>
      </w:r>
      <w:r>
        <w:rPr>
          <w:rFonts w:hint="eastAsia" w:ascii="宋体" w:hAnsi="宋体"/>
          <w:szCs w:val="21"/>
          <w:lang w:val="en-US" w:eastAsia="zh-CN"/>
        </w:rPr>
        <w:t>租金</w:t>
      </w:r>
      <w:r>
        <w:rPr>
          <w:rFonts w:hint="eastAsia" w:ascii="宋体" w:hAnsi="宋体"/>
          <w:szCs w:val="21"/>
          <w:lang w:eastAsia="zh-CN"/>
        </w:rPr>
        <w:t>）=【总收入*45%-税金及附加】*分成比例</w:t>
      </w:r>
    </w:p>
    <w:p>
      <w:pPr>
        <w:snapToGrid w:val="0"/>
        <w:spacing w:line="360" w:lineRule="auto"/>
        <w:ind w:firstLine="420"/>
        <w:rPr>
          <w:rFonts w:hint="eastAsia" w:ascii="宋体" w:hAnsi="宋体"/>
          <w:szCs w:val="21"/>
          <w:lang w:eastAsia="zh-CN"/>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）当年度项目总成本高于250万元时，但低于项目总收入*55%时：</w:t>
      </w:r>
    </w:p>
    <w:p>
      <w:pPr>
        <w:snapToGrid w:val="0"/>
        <w:spacing w:line="360" w:lineRule="auto"/>
        <w:ind w:firstLine="420"/>
        <w:rPr>
          <w:rFonts w:hint="eastAsia" w:ascii="宋体" w:hAnsi="宋体"/>
          <w:szCs w:val="21"/>
          <w:lang w:eastAsia="zh-CN"/>
        </w:rPr>
      </w:pPr>
      <w:r>
        <w:rPr>
          <w:rFonts w:hint="eastAsia" w:ascii="宋体" w:hAnsi="宋体"/>
          <w:szCs w:val="21"/>
          <w:lang w:eastAsia="zh-CN"/>
        </w:rPr>
        <w:t xml:space="preserve"> </w:t>
      </w:r>
      <w:r>
        <w:rPr>
          <w:rFonts w:hint="eastAsia" w:ascii="宋体" w:hAnsi="宋体"/>
          <w:szCs w:val="21"/>
        </w:rPr>
        <w:t>分成收益</w:t>
      </w:r>
      <w:r>
        <w:rPr>
          <w:rFonts w:hint="eastAsia" w:ascii="宋体" w:hAnsi="宋体"/>
          <w:szCs w:val="21"/>
          <w:lang w:eastAsia="zh-CN"/>
        </w:rPr>
        <w:t>（</w:t>
      </w:r>
      <w:r>
        <w:rPr>
          <w:rFonts w:hint="eastAsia" w:ascii="宋体" w:hAnsi="宋体"/>
          <w:szCs w:val="21"/>
          <w:lang w:val="en-US" w:eastAsia="zh-CN"/>
        </w:rPr>
        <w:t>租金</w:t>
      </w:r>
      <w:r>
        <w:rPr>
          <w:rFonts w:hint="eastAsia" w:ascii="宋体" w:hAnsi="宋体"/>
          <w:szCs w:val="21"/>
          <w:lang w:eastAsia="zh-CN"/>
        </w:rPr>
        <w:t>）=【总收入-项目总成本-税金及附加】*分成比例</w:t>
      </w:r>
    </w:p>
    <w:p>
      <w:pPr>
        <w:snapToGrid w:val="0"/>
        <w:spacing w:line="360" w:lineRule="auto"/>
        <w:ind w:firstLine="420"/>
        <w:rPr>
          <w:rFonts w:hint="eastAsia" w:ascii="宋体" w:hAnsi="宋体"/>
          <w:szCs w:val="21"/>
          <w:lang w:eastAsia="zh-CN"/>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）当年度项目总成本低于250万元时，但高于项目总收入*55%时：</w:t>
      </w:r>
    </w:p>
    <w:p>
      <w:pPr>
        <w:snapToGrid w:val="0"/>
        <w:spacing w:line="360" w:lineRule="auto"/>
        <w:ind w:firstLine="420"/>
        <w:rPr>
          <w:rFonts w:hint="eastAsia" w:ascii="宋体" w:hAnsi="宋体"/>
          <w:szCs w:val="21"/>
          <w:lang w:eastAsia="zh-CN"/>
        </w:rPr>
      </w:pPr>
      <w:r>
        <w:rPr>
          <w:rFonts w:hint="eastAsia" w:ascii="宋体" w:hAnsi="宋体"/>
          <w:szCs w:val="21"/>
          <w:lang w:eastAsia="zh-CN"/>
        </w:rPr>
        <w:t xml:space="preserve"> </w:t>
      </w:r>
      <w:r>
        <w:rPr>
          <w:rFonts w:hint="eastAsia" w:ascii="宋体" w:hAnsi="宋体"/>
          <w:szCs w:val="21"/>
        </w:rPr>
        <w:t>分成收益</w:t>
      </w:r>
      <w:r>
        <w:rPr>
          <w:rFonts w:hint="eastAsia" w:ascii="宋体" w:hAnsi="宋体"/>
          <w:szCs w:val="21"/>
          <w:lang w:eastAsia="zh-CN"/>
        </w:rPr>
        <w:t>（</w:t>
      </w:r>
      <w:r>
        <w:rPr>
          <w:rFonts w:hint="eastAsia" w:ascii="宋体" w:hAnsi="宋体"/>
          <w:szCs w:val="21"/>
          <w:lang w:val="en-US" w:eastAsia="zh-CN"/>
        </w:rPr>
        <w:t>租金</w:t>
      </w:r>
      <w:r>
        <w:rPr>
          <w:rFonts w:hint="eastAsia" w:ascii="宋体" w:hAnsi="宋体"/>
          <w:szCs w:val="21"/>
          <w:lang w:eastAsia="zh-CN"/>
        </w:rPr>
        <w:t>）=【总收入*45%-税金及附加】*分成比例+（250万元-当年度项目总成本）</w:t>
      </w:r>
    </w:p>
    <w:p>
      <w:pPr>
        <w:snapToGrid w:val="0"/>
        <w:spacing w:line="360" w:lineRule="auto"/>
        <w:ind w:firstLine="420"/>
        <w:rPr>
          <w:rFonts w:hint="eastAsia" w:ascii="宋体" w:hAnsi="宋体"/>
          <w:szCs w:val="21"/>
          <w:lang w:eastAsia="zh-CN"/>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）当年度项目总成本低于250万元时，且低于项目总收入*55%时：</w:t>
      </w:r>
    </w:p>
    <w:p>
      <w:pPr>
        <w:snapToGrid w:val="0"/>
        <w:spacing w:line="360" w:lineRule="auto"/>
        <w:ind w:left="420" w:leftChars="200" w:firstLine="0" w:firstLineChars="0"/>
        <w:rPr>
          <w:rFonts w:hint="eastAsia" w:ascii="宋体" w:hAnsi="宋体"/>
          <w:szCs w:val="21"/>
        </w:rPr>
      </w:pPr>
      <w:r>
        <w:rPr>
          <w:rFonts w:hint="eastAsia" w:ascii="宋体" w:hAnsi="宋体"/>
          <w:szCs w:val="21"/>
          <w:lang w:eastAsia="zh-CN"/>
        </w:rPr>
        <w:t xml:space="preserve"> </w:t>
      </w:r>
      <w:r>
        <w:rPr>
          <w:rFonts w:hint="eastAsia" w:ascii="宋体" w:hAnsi="宋体"/>
          <w:szCs w:val="21"/>
        </w:rPr>
        <w:t>分成收益</w:t>
      </w:r>
      <w:r>
        <w:rPr>
          <w:rFonts w:hint="eastAsia" w:ascii="宋体" w:hAnsi="宋体"/>
          <w:szCs w:val="21"/>
          <w:lang w:eastAsia="zh-CN"/>
        </w:rPr>
        <w:t>（</w:t>
      </w:r>
      <w:r>
        <w:rPr>
          <w:rFonts w:hint="eastAsia" w:ascii="宋体" w:hAnsi="宋体"/>
          <w:szCs w:val="21"/>
          <w:lang w:val="en-US" w:eastAsia="zh-CN"/>
        </w:rPr>
        <w:t>租金</w:t>
      </w:r>
      <w:r>
        <w:rPr>
          <w:rFonts w:hint="eastAsia" w:ascii="宋体" w:hAnsi="宋体"/>
          <w:szCs w:val="21"/>
          <w:lang w:eastAsia="zh-CN"/>
        </w:rPr>
        <w:t>）=【总收入-项目总成本-税金及附加】*分成比例+（250万元-当年度项目总成本）。</w:t>
      </w:r>
      <w:r>
        <w:rPr>
          <w:rFonts w:hint="eastAsia" w:ascii="宋体" w:hAnsi="宋体"/>
          <w:szCs w:val="21"/>
          <w:lang w:val="en-US" w:eastAsia="zh-CN"/>
        </w:rPr>
        <w:t>6</w:t>
      </w:r>
      <w:r>
        <w:rPr>
          <w:rFonts w:hint="eastAsia" w:ascii="宋体" w:hAnsi="宋体"/>
          <w:szCs w:val="21"/>
        </w:rPr>
        <w:t>.4收益保底</w:t>
      </w:r>
    </w:p>
    <w:p>
      <w:pPr>
        <w:snapToGrid w:val="0"/>
        <w:spacing w:line="360" w:lineRule="auto"/>
        <w:ind w:firstLine="420"/>
        <w:rPr>
          <w:rFonts w:hint="eastAsia" w:ascii="宋体" w:hAnsi="宋体"/>
          <w:szCs w:val="21"/>
        </w:rPr>
      </w:pPr>
      <w:r>
        <w:rPr>
          <w:rFonts w:hint="eastAsia" w:ascii="宋体" w:hAnsi="宋体"/>
          <w:szCs w:val="21"/>
          <w:lang w:val="en-US" w:eastAsia="zh-CN"/>
        </w:rPr>
        <w:t>采购人</w:t>
      </w:r>
      <w:r>
        <w:rPr>
          <w:rFonts w:hint="eastAsia" w:ascii="宋体" w:hAnsi="宋体"/>
          <w:szCs w:val="21"/>
        </w:rPr>
        <w:t>年度收益</w:t>
      </w:r>
      <w:r>
        <w:rPr>
          <w:rFonts w:hint="eastAsia" w:ascii="宋体" w:hAnsi="宋体"/>
          <w:szCs w:val="21"/>
          <w:lang w:val="en-US" w:eastAsia="zh-CN"/>
        </w:rPr>
        <w:t>为</w:t>
      </w:r>
      <w:r>
        <w:rPr>
          <w:rFonts w:hint="eastAsia" w:ascii="宋体" w:hAnsi="宋体"/>
          <w:szCs w:val="21"/>
        </w:rPr>
        <w:t>保底模式：</w:t>
      </w:r>
    </w:p>
    <w:p>
      <w:pPr>
        <w:numPr>
          <w:ilvl w:val="0"/>
          <w:numId w:val="1"/>
        </w:numPr>
        <w:snapToGrid w:val="0"/>
        <w:spacing w:line="360" w:lineRule="auto"/>
        <w:ind w:firstLine="420"/>
        <w:rPr>
          <w:rFonts w:hint="eastAsia" w:ascii="宋体" w:hAnsi="宋体"/>
          <w:szCs w:val="21"/>
        </w:rPr>
      </w:pPr>
      <w:r>
        <w:rPr>
          <w:rFonts w:hint="eastAsia" w:ascii="宋体" w:hAnsi="宋体"/>
          <w:szCs w:val="21"/>
        </w:rPr>
        <w:t>项目准备期不保底，项目总成本按不高于营业收入55%情况下，</w:t>
      </w:r>
      <w:r>
        <w:rPr>
          <w:rFonts w:hint="eastAsia" w:ascii="宋体" w:hAnsi="宋体"/>
          <w:szCs w:val="21"/>
          <w:lang w:val="en-US" w:eastAsia="zh-CN"/>
        </w:rPr>
        <w:t>采购人</w:t>
      </w:r>
      <w:r>
        <w:rPr>
          <w:rFonts w:hint="eastAsia" w:ascii="宋体" w:hAnsi="宋体"/>
          <w:szCs w:val="21"/>
        </w:rPr>
        <w:t>分成收益根据</w:t>
      </w:r>
      <w:r>
        <w:rPr>
          <w:rFonts w:hint="eastAsia" w:ascii="宋体" w:hAnsi="宋体"/>
          <w:szCs w:val="21"/>
          <w:lang w:val="en-US" w:eastAsia="zh-CN"/>
        </w:rPr>
        <w:t>6</w:t>
      </w:r>
      <w:r>
        <w:rPr>
          <w:rFonts w:hint="eastAsia" w:ascii="宋体" w:hAnsi="宋体"/>
          <w:szCs w:val="21"/>
        </w:rPr>
        <w:t>.3条按实计算。</w:t>
      </w:r>
    </w:p>
    <w:p>
      <w:pPr>
        <w:numPr>
          <w:ilvl w:val="0"/>
          <w:numId w:val="1"/>
        </w:numPr>
        <w:snapToGrid w:val="0"/>
        <w:spacing w:line="360" w:lineRule="auto"/>
        <w:ind w:firstLine="420"/>
        <w:rPr>
          <w:rFonts w:hint="eastAsia" w:ascii="宋体" w:hAnsi="宋体"/>
          <w:szCs w:val="21"/>
        </w:rPr>
      </w:pPr>
      <w:r>
        <w:rPr>
          <w:rFonts w:hint="eastAsia" w:ascii="宋体" w:hAnsi="宋体"/>
          <w:szCs w:val="21"/>
        </w:rPr>
        <w:t>正式开业后第一年、第二年若按</w:t>
      </w:r>
      <w:r>
        <w:rPr>
          <w:rFonts w:hint="eastAsia" w:ascii="宋体" w:hAnsi="宋体"/>
          <w:szCs w:val="21"/>
          <w:lang w:val="en-US" w:eastAsia="zh-CN"/>
        </w:rPr>
        <w:t>6</w:t>
      </w:r>
      <w:r>
        <w:rPr>
          <w:rFonts w:hint="eastAsia" w:ascii="宋体" w:hAnsi="宋体"/>
          <w:szCs w:val="21"/>
        </w:rPr>
        <w:t>.3条计算的</w:t>
      </w:r>
      <w:r>
        <w:rPr>
          <w:rFonts w:hint="eastAsia" w:ascii="宋体" w:hAnsi="宋体"/>
          <w:szCs w:val="21"/>
          <w:lang w:val="en-US" w:eastAsia="zh-CN"/>
        </w:rPr>
        <w:t>采购人</w:t>
      </w:r>
      <w:r>
        <w:rPr>
          <w:rFonts w:hint="eastAsia" w:ascii="宋体" w:hAnsi="宋体"/>
          <w:szCs w:val="21"/>
        </w:rPr>
        <w:t>实际收益低于100万元的，差额部分由</w:t>
      </w:r>
      <w:r>
        <w:rPr>
          <w:rFonts w:hint="eastAsia" w:ascii="宋体" w:hAnsi="宋体"/>
          <w:szCs w:val="21"/>
          <w:lang w:val="en-US" w:eastAsia="zh-CN"/>
        </w:rPr>
        <w:t>中标运营商</w:t>
      </w:r>
      <w:r>
        <w:rPr>
          <w:rFonts w:hint="eastAsia" w:ascii="宋体" w:hAnsi="宋体"/>
          <w:szCs w:val="21"/>
        </w:rPr>
        <w:t>补足。</w:t>
      </w:r>
    </w:p>
    <w:p>
      <w:pPr>
        <w:numPr>
          <w:ilvl w:val="0"/>
          <w:numId w:val="1"/>
        </w:numPr>
        <w:snapToGrid w:val="0"/>
        <w:spacing w:line="360" w:lineRule="auto"/>
        <w:ind w:firstLine="420"/>
        <w:rPr>
          <w:rFonts w:hint="eastAsia" w:ascii="宋体" w:hAnsi="宋体"/>
          <w:szCs w:val="21"/>
        </w:rPr>
      </w:pPr>
      <w:r>
        <w:rPr>
          <w:rFonts w:hint="eastAsia" w:ascii="宋体" w:hAnsi="宋体"/>
          <w:szCs w:val="21"/>
        </w:rPr>
        <w:t>正式开业后第三年</w:t>
      </w:r>
      <w:r>
        <w:rPr>
          <w:rFonts w:hint="eastAsia" w:ascii="宋体" w:hAnsi="宋体"/>
          <w:szCs w:val="21"/>
          <w:lang w:eastAsia="zh-CN"/>
        </w:rPr>
        <w:t>、</w:t>
      </w:r>
      <w:r>
        <w:rPr>
          <w:rFonts w:hint="eastAsia" w:ascii="宋体" w:hAnsi="宋体"/>
          <w:szCs w:val="21"/>
          <w:lang w:val="en-US" w:eastAsia="zh-CN"/>
        </w:rPr>
        <w:t>第四年若</w:t>
      </w:r>
      <w:r>
        <w:rPr>
          <w:rFonts w:hint="eastAsia" w:ascii="宋体" w:hAnsi="宋体"/>
          <w:szCs w:val="21"/>
        </w:rPr>
        <w:t>按</w:t>
      </w:r>
      <w:r>
        <w:rPr>
          <w:rFonts w:hint="eastAsia" w:ascii="宋体" w:hAnsi="宋体"/>
          <w:szCs w:val="21"/>
          <w:lang w:val="en-US" w:eastAsia="zh-CN"/>
        </w:rPr>
        <w:t>6</w:t>
      </w:r>
      <w:r>
        <w:rPr>
          <w:rFonts w:hint="eastAsia" w:ascii="宋体" w:hAnsi="宋体"/>
          <w:szCs w:val="21"/>
        </w:rPr>
        <w:t>.3条计算的</w:t>
      </w:r>
      <w:r>
        <w:rPr>
          <w:rFonts w:hint="eastAsia" w:ascii="宋体" w:hAnsi="宋体"/>
          <w:szCs w:val="21"/>
          <w:lang w:val="en-US" w:eastAsia="zh-CN"/>
        </w:rPr>
        <w:t>采购人</w:t>
      </w:r>
      <w:r>
        <w:rPr>
          <w:rFonts w:hint="eastAsia" w:ascii="宋体" w:hAnsi="宋体"/>
          <w:szCs w:val="21"/>
        </w:rPr>
        <w:t>实际收益低于150万元的，差额部分由</w:t>
      </w:r>
      <w:r>
        <w:rPr>
          <w:rFonts w:hint="eastAsia" w:ascii="宋体" w:hAnsi="宋体"/>
          <w:szCs w:val="21"/>
          <w:lang w:val="en-US" w:eastAsia="zh-CN"/>
        </w:rPr>
        <w:t>中标运营商</w:t>
      </w:r>
      <w:r>
        <w:rPr>
          <w:rFonts w:hint="eastAsia" w:ascii="宋体" w:hAnsi="宋体"/>
          <w:szCs w:val="21"/>
        </w:rPr>
        <w:t>补足。</w:t>
      </w:r>
    </w:p>
    <w:p>
      <w:pPr>
        <w:numPr>
          <w:ilvl w:val="0"/>
          <w:numId w:val="1"/>
        </w:numPr>
        <w:snapToGrid w:val="0"/>
        <w:spacing w:line="360" w:lineRule="auto"/>
        <w:ind w:firstLine="420"/>
        <w:rPr>
          <w:rFonts w:hint="eastAsia" w:ascii="宋体" w:hAnsi="宋体"/>
          <w:szCs w:val="21"/>
        </w:rPr>
      </w:pPr>
      <w:r>
        <w:rPr>
          <w:rFonts w:hint="eastAsia" w:ascii="宋体" w:hAnsi="宋体"/>
          <w:szCs w:val="21"/>
        </w:rPr>
        <w:t>正式开业后第五年起，按</w:t>
      </w:r>
      <w:r>
        <w:rPr>
          <w:rFonts w:hint="eastAsia" w:ascii="宋体" w:hAnsi="宋体"/>
          <w:szCs w:val="21"/>
          <w:lang w:val="en-US" w:eastAsia="zh-CN"/>
        </w:rPr>
        <w:t>6</w:t>
      </w:r>
      <w:r>
        <w:rPr>
          <w:rFonts w:hint="eastAsia" w:ascii="宋体" w:hAnsi="宋体"/>
          <w:szCs w:val="21"/>
        </w:rPr>
        <w:t>.3条计算的</w:t>
      </w:r>
      <w:r>
        <w:rPr>
          <w:rFonts w:hint="eastAsia" w:ascii="宋体" w:hAnsi="宋体"/>
          <w:szCs w:val="21"/>
          <w:lang w:val="en-US" w:eastAsia="zh-CN"/>
        </w:rPr>
        <w:t>采购人</w:t>
      </w:r>
      <w:r>
        <w:rPr>
          <w:rFonts w:hint="eastAsia" w:ascii="宋体" w:hAnsi="宋体"/>
          <w:szCs w:val="21"/>
        </w:rPr>
        <w:t>实际收益低于200万元的，差额部分由</w:t>
      </w:r>
      <w:r>
        <w:rPr>
          <w:rFonts w:hint="eastAsia" w:ascii="宋体" w:hAnsi="宋体"/>
          <w:szCs w:val="21"/>
          <w:lang w:val="en-US" w:eastAsia="zh-CN"/>
        </w:rPr>
        <w:t>中标运营商</w:t>
      </w:r>
      <w:r>
        <w:rPr>
          <w:rFonts w:hint="eastAsia" w:ascii="宋体" w:hAnsi="宋体"/>
          <w:szCs w:val="21"/>
        </w:rPr>
        <w:t>补足。</w:t>
      </w:r>
    </w:p>
    <w:p>
      <w:pPr>
        <w:numPr>
          <w:ilvl w:val="0"/>
          <w:numId w:val="1"/>
        </w:numPr>
        <w:snapToGrid w:val="0"/>
        <w:spacing w:line="360" w:lineRule="auto"/>
        <w:ind w:firstLine="420"/>
        <w:rPr>
          <w:rFonts w:hint="eastAsia" w:ascii="宋体" w:hAnsi="宋体"/>
          <w:szCs w:val="21"/>
        </w:rPr>
      </w:pPr>
      <w:r>
        <w:rPr>
          <w:rFonts w:hint="eastAsia" w:ascii="宋体" w:hAnsi="宋体"/>
          <w:szCs w:val="21"/>
        </w:rPr>
        <w:t>本项目年平均开铺率若达到100%情况下，当年度分成收益不得低于500万元。</w:t>
      </w:r>
    </w:p>
    <w:p>
      <w:pPr>
        <w:spacing w:line="360" w:lineRule="auto"/>
        <w:ind w:firstLine="422" w:firstLineChars="200"/>
        <w:rPr>
          <w:rFonts w:hint="eastAsia" w:ascii="Times New Roman" w:hAnsi="Times New Roman" w:eastAsia="宋体" w:cs="Times New Roman"/>
          <w:b/>
          <w:lang w:val="en-US" w:eastAsia="zh-CN"/>
        </w:rPr>
      </w:pPr>
      <w:r>
        <w:rPr>
          <w:rFonts w:hint="eastAsia" w:ascii="Times New Roman" w:hAnsi="Times New Roman" w:eastAsia="宋体" w:cs="Times New Roman"/>
          <w:b/>
          <w:lang w:val="en-US" w:eastAsia="zh-CN"/>
        </w:rPr>
        <w:t>七、分成收益（租金）支付</w:t>
      </w:r>
    </w:p>
    <w:p>
      <w:pPr>
        <w:snapToGrid w:val="0"/>
        <w:spacing w:line="360" w:lineRule="auto"/>
        <w:ind w:firstLine="420"/>
        <w:rPr>
          <w:rFonts w:hint="eastAsia" w:ascii="宋体" w:hAnsi="宋体"/>
          <w:szCs w:val="21"/>
        </w:rPr>
      </w:pPr>
      <w:r>
        <w:rPr>
          <w:rFonts w:hint="eastAsia" w:ascii="宋体" w:hAnsi="宋体"/>
          <w:szCs w:val="21"/>
          <w:lang w:val="en-US" w:eastAsia="zh-CN"/>
        </w:rPr>
        <w:t>7</w:t>
      </w:r>
      <w:r>
        <w:rPr>
          <w:rFonts w:hint="eastAsia" w:ascii="宋体" w:hAnsi="宋体"/>
          <w:szCs w:val="21"/>
        </w:rPr>
        <w:t>.1支付方式</w:t>
      </w:r>
    </w:p>
    <w:p>
      <w:pPr>
        <w:snapToGrid w:val="0"/>
        <w:spacing w:line="360" w:lineRule="auto"/>
        <w:ind w:firstLine="420"/>
        <w:rPr>
          <w:rFonts w:hint="eastAsia" w:ascii="宋体" w:hAnsi="宋体"/>
          <w:szCs w:val="21"/>
        </w:rPr>
      </w:pPr>
      <w:r>
        <w:rPr>
          <w:rFonts w:hint="eastAsia" w:ascii="宋体" w:hAnsi="宋体"/>
          <w:szCs w:val="21"/>
        </w:rPr>
        <w:t>合作期期限内，项目公司按</w:t>
      </w:r>
      <w:r>
        <w:rPr>
          <w:rFonts w:hint="eastAsia" w:ascii="宋体" w:hAnsi="宋体"/>
          <w:szCs w:val="21"/>
          <w:lang w:val="en-US" w:eastAsia="zh-CN"/>
        </w:rPr>
        <w:t>6.3</w:t>
      </w:r>
      <w:r>
        <w:rPr>
          <w:rFonts w:hint="eastAsia" w:ascii="宋体" w:hAnsi="宋体"/>
          <w:szCs w:val="21"/>
        </w:rPr>
        <w:t>条计算的金额，作为项目公司支付的租金。</w:t>
      </w:r>
    </w:p>
    <w:p>
      <w:pPr>
        <w:snapToGrid w:val="0"/>
        <w:spacing w:line="360" w:lineRule="auto"/>
        <w:ind w:firstLine="420"/>
        <w:rPr>
          <w:rFonts w:hint="eastAsia" w:ascii="宋体" w:hAnsi="宋体"/>
          <w:szCs w:val="21"/>
        </w:rPr>
      </w:pPr>
      <w:r>
        <w:rPr>
          <w:rFonts w:hint="eastAsia" w:ascii="宋体" w:hAnsi="宋体"/>
          <w:szCs w:val="21"/>
        </w:rPr>
        <w:t>项目公司以6个月为周期预付租金，按照审计后确认的年净收益结算，多退少补。</w:t>
      </w:r>
    </w:p>
    <w:p>
      <w:pPr>
        <w:snapToGrid w:val="0"/>
        <w:spacing w:line="360" w:lineRule="auto"/>
        <w:ind w:firstLine="420"/>
        <w:rPr>
          <w:rFonts w:hint="eastAsia" w:ascii="宋体" w:hAnsi="宋体"/>
          <w:szCs w:val="21"/>
        </w:rPr>
      </w:pPr>
      <w:r>
        <w:rPr>
          <w:rFonts w:hint="eastAsia" w:ascii="宋体" w:hAnsi="宋体"/>
          <w:szCs w:val="21"/>
          <w:lang w:val="en-US" w:eastAsia="zh-CN"/>
        </w:rPr>
        <w:t>7</w:t>
      </w:r>
      <w:r>
        <w:rPr>
          <w:rFonts w:hint="eastAsia" w:ascii="宋体" w:hAnsi="宋体"/>
          <w:szCs w:val="21"/>
        </w:rPr>
        <w:t>.2 资金收付</w:t>
      </w:r>
    </w:p>
    <w:p>
      <w:pPr>
        <w:snapToGrid w:val="0"/>
        <w:spacing w:line="360" w:lineRule="auto"/>
        <w:ind w:firstLine="420"/>
        <w:rPr>
          <w:rFonts w:hint="eastAsia" w:ascii="宋体" w:hAnsi="宋体"/>
          <w:szCs w:val="21"/>
        </w:rPr>
      </w:pPr>
      <w:r>
        <w:rPr>
          <w:rFonts w:hint="eastAsia" w:ascii="宋体" w:hAnsi="宋体"/>
          <w:szCs w:val="21"/>
        </w:rPr>
        <w:t>合作期内，项目公司含税总收入每季度末10个工作日内，将收入金额转入</w:t>
      </w:r>
      <w:r>
        <w:rPr>
          <w:rFonts w:hint="eastAsia" w:ascii="宋体" w:hAnsi="宋体"/>
          <w:szCs w:val="21"/>
          <w:lang w:val="en-US" w:eastAsia="zh-CN"/>
        </w:rPr>
        <w:t>采购人</w:t>
      </w:r>
      <w:r>
        <w:rPr>
          <w:rFonts w:hint="eastAsia" w:ascii="宋体" w:hAnsi="宋体"/>
          <w:szCs w:val="21"/>
        </w:rPr>
        <w:t>指定帐户，</w:t>
      </w:r>
      <w:r>
        <w:rPr>
          <w:rFonts w:hint="eastAsia" w:ascii="宋体" w:hAnsi="宋体"/>
          <w:szCs w:val="21"/>
          <w:lang w:val="en-US" w:eastAsia="zh-CN"/>
        </w:rPr>
        <w:t>采购人</w:t>
      </w:r>
      <w:r>
        <w:rPr>
          <w:rFonts w:hint="eastAsia" w:ascii="宋体" w:hAnsi="宋体"/>
          <w:szCs w:val="21"/>
        </w:rPr>
        <w:t>以房租</w:t>
      </w:r>
      <w:r>
        <w:rPr>
          <w:rFonts w:hint="eastAsia" w:ascii="宋体" w:hAnsi="宋体"/>
          <w:szCs w:val="21"/>
          <w:lang w:val="en-US" w:eastAsia="zh-CN"/>
        </w:rPr>
        <w:t>和</w:t>
      </w:r>
      <w:r>
        <w:rPr>
          <w:rFonts w:hint="eastAsia" w:ascii="宋体" w:hAnsi="宋体"/>
          <w:szCs w:val="21"/>
        </w:rPr>
        <w:t>管理费等方式作为收入，</w:t>
      </w:r>
      <w:r>
        <w:rPr>
          <w:rFonts w:hint="eastAsia" w:ascii="宋体" w:hAnsi="宋体"/>
          <w:szCs w:val="21"/>
          <w:lang w:val="en-US" w:eastAsia="zh-CN"/>
        </w:rPr>
        <w:t>采购人</w:t>
      </w:r>
      <w:r>
        <w:rPr>
          <w:rFonts w:hint="eastAsia" w:ascii="宋体" w:hAnsi="宋体"/>
          <w:szCs w:val="21"/>
        </w:rPr>
        <w:t>收到该笔款项后于10个工作日内支付含税服务费给项目公司，转账日期及涉及款项以不影响项目整体运营及成本支付为原则。</w:t>
      </w:r>
    </w:p>
    <w:p>
      <w:pPr>
        <w:snapToGrid w:val="0"/>
        <w:spacing w:line="360" w:lineRule="auto"/>
        <w:ind w:firstLine="420"/>
        <w:rPr>
          <w:rFonts w:hint="eastAsia" w:ascii="宋体" w:hAnsi="宋体"/>
          <w:szCs w:val="21"/>
        </w:rPr>
      </w:pPr>
      <w:r>
        <w:rPr>
          <w:rFonts w:hint="eastAsia" w:ascii="宋体" w:hAnsi="宋体"/>
          <w:szCs w:val="21"/>
          <w:lang w:val="en-US" w:eastAsia="zh-CN"/>
        </w:rPr>
        <w:t>7</w:t>
      </w:r>
      <w:r>
        <w:rPr>
          <w:rFonts w:hint="eastAsia" w:ascii="宋体" w:hAnsi="宋体"/>
          <w:szCs w:val="21"/>
        </w:rPr>
        <w:t>.3结算时间</w:t>
      </w:r>
    </w:p>
    <w:p>
      <w:pPr>
        <w:snapToGrid w:val="0"/>
        <w:spacing w:line="360" w:lineRule="auto"/>
        <w:ind w:firstLine="420"/>
        <w:rPr>
          <w:rFonts w:hint="eastAsia" w:ascii="宋体" w:hAnsi="宋体" w:eastAsia="宋体"/>
          <w:szCs w:val="21"/>
          <w:lang w:eastAsia="zh-CN"/>
        </w:rPr>
      </w:pPr>
      <w:r>
        <w:rPr>
          <w:rFonts w:hint="eastAsia" w:ascii="宋体" w:hAnsi="宋体"/>
          <w:szCs w:val="21"/>
        </w:rPr>
        <w:t>自协议签订之日始至当年度的12月31日止的期间为首租期，项目公司于下一年度的1月15日前向</w:t>
      </w:r>
      <w:r>
        <w:rPr>
          <w:rFonts w:hint="eastAsia" w:ascii="宋体" w:hAnsi="宋体"/>
          <w:szCs w:val="21"/>
          <w:lang w:val="en-US" w:eastAsia="zh-CN"/>
        </w:rPr>
        <w:t>采购人</w:t>
      </w:r>
      <w:r>
        <w:rPr>
          <w:rFonts w:hint="eastAsia" w:ascii="宋体" w:hAnsi="宋体"/>
          <w:szCs w:val="21"/>
        </w:rPr>
        <w:t>结算首租期租金</w:t>
      </w:r>
      <w:r>
        <w:rPr>
          <w:rFonts w:hint="eastAsia" w:ascii="宋体" w:hAnsi="宋体"/>
          <w:szCs w:val="21"/>
          <w:lang w:eastAsia="zh-CN"/>
        </w:rPr>
        <w:t>。</w:t>
      </w:r>
    </w:p>
    <w:p>
      <w:pPr>
        <w:snapToGrid w:val="0"/>
        <w:spacing w:line="360" w:lineRule="auto"/>
        <w:ind w:firstLine="420"/>
        <w:rPr>
          <w:rFonts w:hint="eastAsia" w:ascii="宋体" w:hAnsi="宋体"/>
          <w:szCs w:val="21"/>
        </w:rPr>
      </w:pPr>
      <w:r>
        <w:rPr>
          <w:rFonts w:hint="eastAsia" w:ascii="宋体" w:hAnsi="宋体"/>
          <w:szCs w:val="21"/>
        </w:rPr>
        <w:t>除首租期租金外，其他以6个月为周期向</w:t>
      </w:r>
      <w:r>
        <w:rPr>
          <w:rFonts w:hint="eastAsia" w:ascii="宋体" w:hAnsi="宋体"/>
          <w:szCs w:val="21"/>
          <w:lang w:val="en-US" w:eastAsia="zh-CN"/>
        </w:rPr>
        <w:t>采购人</w:t>
      </w:r>
      <w:r>
        <w:rPr>
          <w:rFonts w:hint="eastAsia" w:ascii="宋体" w:hAnsi="宋体"/>
          <w:szCs w:val="21"/>
        </w:rPr>
        <w:t>结算租金。自第二年起，每年4月15日前，</w:t>
      </w:r>
      <w:r>
        <w:rPr>
          <w:rFonts w:hint="eastAsia" w:ascii="宋体" w:hAnsi="宋体"/>
          <w:szCs w:val="21"/>
          <w:lang w:val="en-US" w:eastAsia="zh-CN"/>
        </w:rPr>
        <w:t>中标运营商</w:t>
      </w:r>
      <w:r>
        <w:rPr>
          <w:rFonts w:hint="eastAsia" w:ascii="宋体" w:hAnsi="宋体"/>
          <w:szCs w:val="21"/>
        </w:rPr>
        <w:t>按照审计后确认的年净收益结算租金，多退少补。</w:t>
      </w:r>
    </w:p>
    <w:p>
      <w:pPr>
        <w:spacing w:line="360" w:lineRule="auto"/>
        <w:ind w:firstLine="422" w:firstLineChars="200"/>
        <w:rPr>
          <w:rFonts w:hint="eastAsia" w:ascii="Times New Roman" w:hAnsi="Times New Roman" w:eastAsia="宋体" w:cs="Times New Roman"/>
          <w:b/>
          <w:lang w:val="en-US" w:eastAsia="zh-CN"/>
        </w:rPr>
      </w:pPr>
      <w:r>
        <w:rPr>
          <w:rFonts w:hint="eastAsia" w:ascii="Times New Roman" w:hAnsi="Times New Roman" w:eastAsia="宋体" w:cs="Times New Roman"/>
          <w:b/>
          <w:lang w:val="en-US" w:eastAsia="zh-CN"/>
        </w:rPr>
        <w:t>八、税费</w:t>
      </w:r>
    </w:p>
    <w:p>
      <w:pPr>
        <w:snapToGrid w:val="0"/>
        <w:spacing w:line="360" w:lineRule="auto"/>
        <w:ind w:firstLine="420"/>
        <w:rPr>
          <w:rFonts w:hint="eastAsia" w:ascii="宋体" w:hAnsi="宋体"/>
          <w:szCs w:val="21"/>
        </w:rPr>
      </w:pPr>
      <w:r>
        <w:rPr>
          <w:rFonts w:hint="eastAsia" w:ascii="宋体" w:hAnsi="宋体"/>
          <w:szCs w:val="21"/>
        </w:rPr>
        <w:t>因土地使用权、房产所有权而产生的国家或地方规定的任何税收和费用，按国家规定由纳税义务人各自承担，涉及双方的纳税义务各自依法承担。</w:t>
      </w:r>
    </w:p>
    <w:p>
      <w:pPr>
        <w:spacing w:line="360" w:lineRule="auto"/>
        <w:ind w:firstLine="422" w:firstLineChars="200"/>
        <w:rPr>
          <w:rFonts w:hint="eastAsia" w:ascii="Times New Roman" w:hAnsi="Times New Roman" w:eastAsia="宋体" w:cs="Times New Roman"/>
          <w:b/>
          <w:lang w:val="en-US" w:eastAsia="zh-CN"/>
        </w:rPr>
      </w:pPr>
      <w:r>
        <w:rPr>
          <w:rFonts w:hint="eastAsia" w:ascii="Times New Roman" w:hAnsi="Times New Roman" w:eastAsia="宋体" w:cs="Times New Roman"/>
          <w:b/>
          <w:lang w:val="en-US" w:eastAsia="zh-CN"/>
        </w:rPr>
        <w:t>九、优惠政策</w:t>
      </w:r>
    </w:p>
    <w:p>
      <w:pPr>
        <w:snapToGrid w:val="0"/>
        <w:spacing w:line="360" w:lineRule="auto"/>
        <w:ind w:firstLine="420"/>
        <w:rPr>
          <w:rFonts w:hint="eastAsia" w:ascii="宋体" w:hAnsi="宋体"/>
          <w:szCs w:val="21"/>
          <w:lang w:val="en-US" w:eastAsia="zh-CN"/>
        </w:rPr>
      </w:pPr>
      <w:r>
        <w:rPr>
          <w:rFonts w:hint="eastAsia" w:ascii="宋体" w:hAnsi="宋体"/>
          <w:szCs w:val="21"/>
          <w:lang w:val="en-US" w:eastAsia="zh-CN"/>
        </w:rPr>
        <w:t xml:space="preserve">9.1在项目经营过程中，中标运营商积极争取政府的税费减免、扶持奖励或返还等优惠政策，根据该等优惠政策取得的资金或收入纳入项目公司收入，并入分成收益计算。 </w:t>
      </w:r>
    </w:p>
    <w:p>
      <w:pPr>
        <w:snapToGrid w:val="0"/>
        <w:spacing w:line="360" w:lineRule="auto"/>
        <w:ind w:firstLine="420"/>
        <w:rPr>
          <w:rFonts w:hint="eastAsia" w:ascii="宋体" w:hAnsi="宋体"/>
          <w:szCs w:val="21"/>
        </w:rPr>
      </w:pPr>
      <w:r>
        <w:rPr>
          <w:rFonts w:hint="eastAsia" w:ascii="宋体" w:hAnsi="宋体"/>
          <w:szCs w:val="21"/>
          <w:lang w:val="en-US" w:eastAsia="zh-CN"/>
        </w:rPr>
        <w:t>9.2引入品牌桐乡市首店入驻奖励：本项目引入入驻一线城市10万平方以上商业综合体，或入驻银泰、万象城等同级别著名商业综合体的知名品牌，且是桐乡市首开店，根据入驻品牌效应采购人可逐情给予项目公司10万元以内的奖励政策</w:t>
      </w:r>
      <w:r>
        <w:rPr>
          <w:rFonts w:hint="eastAsia" w:ascii="宋体" w:hAnsi="宋体"/>
          <w:szCs w:val="21"/>
        </w:rPr>
        <w:t>。</w:t>
      </w:r>
    </w:p>
    <w:p>
      <w:pPr>
        <w:snapToGrid w:val="0"/>
        <w:spacing w:line="360" w:lineRule="auto"/>
        <w:ind w:firstLine="420"/>
        <w:rPr>
          <w:rFonts w:hint="eastAsia" w:ascii="宋体" w:hAnsi="宋体"/>
          <w:szCs w:val="21"/>
        </w:rPr>
      </w:pPr>
      <w:r>
        <w:rPr>
          <w:rFonts w:hint="eastAsia" w:ascii="宋体" w:hAnsi="宋体"/>
          <w:szCs w:val="21"/>
          <w:lang w:val="en-US" w:eastAsia="zh-CN"/>
        </w:rPr>
        <w:t>9.</w:t>
      </w:r>
      <w:r>
        <w:rPr>
          <w:rFonts w:hint="eastAsia" w:ascii="宋体" w:hAnsi="宋体" w:eastAsia="宋体" w:cs="Times New Roman"/>
          <w:szCs w:val="21"/>
          <w:lang w:val="en-US" w:eastAsia="zh-CN"/>
        </w:rPr>
        <w:t>3数字化运营成效奖励：获桐乡市</w:t>
      </w:r>
      <w:r>
        <w:rPr>
          <w:rFonts w:hint="eastAsia" w:ascii="宋体" w:hAnsi="宋体"/>
          <w:szCs w:val="21"/>
        </w:rPr>
        <w:t xml:space="preserve">政府及以上奖励的，给予10万元以内奖励，年度奖励政策按：桐乡市级奖4万；嘉兴市级奖6万；省级奖8万；国家级奖10万，同一奖励按最高级别计算。 </w:t>
      </w:r>
    </w:p>
    <w:p>
      <w:pPr>
        <w:spacing w:line="360" w:lineRule="auto"/>
        <w:ind w:firstLine="422" w:firstLineChars="200"/>
        <w:rPr>
          <w:rFonts w:hint="default" w:ascii="Times New Roman" w:hAnsi="Times New Roman" w:eastAsia="宋体" w:cs="Times New Roman"/>
          <w:b/>
          <w:lang w:val="en-US" w:eastAsia="zh-CN"/>
        </w:rPr>
      </w:pPr>
      <w:r>
        <w:rPr>
          <w:rFonts w:hint="eastAsia" w:ascii="Times New Roman" w:hAnsi="Times New Roman" w:eastAsia="宋体" w:cs="Times New Roman"/>
          <w:b/>
          <w:lang w:val="en-US" w:eastAsia="zh-CN"/>
        </w:rPr>
        <w:t>十、项目考核</w:t>
      </w:r>
    </w:p>
    <w:p>
      <w:pPr>
        <w:snapToGrid w:val="0"/>
        <w:spacing w:line="360" w:lineRule="auto"/>
        <w:ind w:firstLine="42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合作期内，前三年采购人对项目公司进行一次综合考核，后续每年进行考核，合作期内项目公司连续两年亏损的，双方可协商解约，终止合作。</w:t>
      </w:r>
    </w:p>
    <w:p>
      <w:pPr>
        <w:snapToGrid w:val="0"/>
        <w:spacing w:line="360" w:lineRule="auto"/>
        <w:ind w:firstLine="42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具体考核指标详见《合作协议》附件。</w:t>
      </w:r>
    </w:p>
    <w:p>
      <w:pPr>
        <w:spacing w:line="360" w:lineRule="auto"/>
        <w:ind w:firstLine="422" w:firstLineChars="200"/>
        <w:rPr>
          <w:rFonts w:hint="eastAsia" w:ascii="Times New Roman" w:hAnsi="Times New Roman" w:eastAsia="宋体" w:cs="Times New Roman"/>
          <w:b/>
          <w:lang w:val="en-US" w:eastAsia="zh-CN"/>
        </w:rPr>
      </w:pPr>
      <w:r>
        <w:rPr>
          <w:rFonts w:hint="eastAsia" w:ascii="Times New Roman" w:hAnsi="Times New Roman" w:eastAsia="宋体" w:cs="Times New Roman"/>
          <w:b/>
          <w:lang w:val="en-US" w:eastAsia="zh-CN"/>
        </w:rPr>
        <w:t>十一、违约责任</w:t>
      </w:r>
    </w:p>
    <w:p>
      <w:pPr>
        <w:numPr>
          <w:ilvl w:val="0"/>
          <w:numId w:val="0"/>
        </w:numPr>
        <w:snapToGrid w:val="0"/>
        <w:spacing w:line="360" w:lineRule="auto"/>
        <w:ind w:left="420" w:leftChars="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中标运营商/项目公司的相关违约责任详见《合作协议》第17条。</w:t>
      </w:r>
    </w:p>
    <w:p>
      <w:pPr>
        <w:snapToGrid w:val="0"/>
        <w:spacing w:line="360" w:lineRule="auto"/>
        <w:ind w:firstLine="420"/>
        <w:rPr>
          <w:rFonts w:ascii="Arial Unicode MS" w:hAnsi="Arial Unicode MS" w:cs="Arial Unicode MS"/>
          <w:b/>
          <w:szCs w:val="21"/>
        </w:rPr>
      </w:pPr>
      <w:r>
        <w:rPr>
          <w:rFonts w:hint="eastAsia" w:ascii="Arial Unicode MS" w:hAnsi="Arial Unicode MS" w:cs="Arial Unicode MS"/>
          <w:b/>
          <w:szCs w:val="21"/>
        </w:rPr>
        <w:t>十</w:t>
      </w:r>
      <w:r>
        <w:rPr>
          <w:rFonts w:hint="eastAsia" w:ascii="Arial Unicode MS" w:hAnsi="Arial Unicode MS" w:cs="Arial Unicode MS"/>
          <w:b/>
          <w:szCs w:val="21"/>
          <w:lang w:val="en-US" w:eastAsia="zh-CN"/>
        </w:rPr>
        <w:t>二</w:t>
      </w:r>
      <w:r>
        <w:rPr>
          <w:rFonts w:hint="eastAsia" w:ascii="Arial Unicode MS" w:hAnsi="Arial Unicode MS" w:cs="Arial Unicode MS"/>
          <w:b/>
          <w:szCs w:val="21"/>
        </w:rPr>
        <w:t>、信用要求</w:t>
      </w:r>
    </w:p>
    <w:p>
      <w:pPr>
        <w:snapToGrid w:val="0"/>
        <w:spacing w:line="360" w:lineRule="auto"/>
        <w:ind w:firstLine="420"/>
        <w:rPr>
          <w:rFonts w:hint="eastAsia" w:ascii="宋体" w:hAnsi="宋体"/>
          <w:szCs w:val="21"/>
        </w:rPr>
      </w:pPr>
      <w:r>
        <w:rPr>
          <w:rFonts w:hint="eastAsia" w:ascii="宋体" w:hAnsi="宋体"/>
          <w:szCs w:val="21"/>
          <w:lang w:val="en-US" w:eastAsia="zh-CN"/>
        </w:rPr>
        <w:t>12.1中标运营商</w:t>
      </w:r>
      <w:r>
        <w:rPr>
          <w:rFonts w:hint="eastAsia" w:ascii="宋体" w:hAnsi="宋体"/>
          <w:szCs w:val="21"/>
        </w:rPr>
        <w:t>未被“信用中国”（www.creditchina.gov.cn）列入失信被执行人、重大税收违法案件当事人名单。</w:t>
      </w:r>
    </w:p>
    <w:p>
      <w:pPr>
        <w:snapToGrid w:val="0"/>
        <w:spacing w:line="360" w:lineRule="auto"/>
        <w:ind w:firstLine="420"/>
        <w:rPr>
          <w:rFonts w:hint="eastAsia" w:ascii="宋体" w:hAnsi="宋体"/>
          <w:szCs w:val="21"/>
        </w:rPr>
      </w:pPr>
      <w:r>
        <w:rPr>
          <w:rFonts w:hint="eastAsia" w:ascii="宋体" w:hAnsi="宋体"/>
          <w:szCs w:val="21"/>
          <w:lang w:val="en-US" w:eastAsia="zh-CN"/>
        </w:rPr>
        <w:t>12.2中标运营商</w:t>
      </w:r>
      <w:r>
        <w:rPr>
          <w:rFonts w:hint="eastAsia" w:ascii="宋体" w:hAnsi="宋体"/>
          <w:szCs w:val="21"/>
        </w:rPr>
        <w:t>应于协议签订之日10个工作日内向</w:t>
      </w:r>
      <w:r>
        <w:rPr>
          <w:rFonts w:hint="eastAsia" w:ascii="宋体" w:hAnsi="宋体"/>
          <w:szCs w:val="21"/>
          <w:lang w:val="en-US" w:eastAsia="zh-CN"/>
        </w:rPr>
        <w:t>采购人</w:t>
      </w:r>
      <w:r>
        <w:rPr>
          <w:rFonts w:hint="eastAsia" w:ascii="宋体" w:hAnsi="宋体"/>
          <w:szCs w:val="21"/>
        </w:rPr>
        <w:t>提交保证金</w:t>
      </w:r>
      <w:r>
        <w:rPr>
          <w:rFonts w:hint="eastAsia" w:ascii="宋体" w:hAnsi="宋体"/>
          <w:szCs w:val="21"/>
          <w:lang w:eastAsia="zh-CN"/>
        </w:rPr>
        <w:t>（</w:t>
      </w:r>
      <w:r>
        <w:rPr>
          <w:rFonts w:hint="eastAsia" w:ascii="宋体" w:hAnsi="宋体"/>
          <w:szCs w:val="21"/>
          <w:lang w:val="en-US" w:eastAsia="zh-CN"/>
        </w:rPr>
        <w:t>现金到账</w:t>
      </w:r>
      <w:r>
        <w:rPr>
          <w:rFonts w:hint="eastAsia" w:ascii="宋体" w:hAnsi="宋体"/>
          <w:szCs w:val="21"/>
          <w:lang w:eastAsia="zh-CN"/>
        </w:rPr>
        <w:t>）</w:t>
      </w:r>
      <w:r>
        <w:rPr>
          <w:rFonts w:hint="eastAsia" w:ascii="宋体" w:hAnsi="宋体"/>
          <w:szCs w:val="21"/>
        </w:rPr>
        <w:t>，金额为</w:t>
      </w:r>
      <w:r>
        <w:rPr>
          <w:rFonts w:hint="eastAsia" w:ascii="宋体" w:hAnsi="宋体"/>
          <w:szCs w:val="21"/>
          <w:lang w:val="en-US" w:eastAsia="zh-CN"/>
        </w:rPr>
        <w:t>人民币：</w:t>
      </w:r>
      <w:r>
        <w:rPr>
          <w:rFonts w:hint="eastAsia" w:ascii="宋体" w:hAnsi="宋体"/>
          <w:b/>
          <w:bCs/>
          <w:szCs w:val="21"/>
          <w:lang w:val="en-US" w:eastAsia="zh-CN"/>
        </w:rPr>
        <w:t>壹佰</w:t>
      </w:r>
      <w:r>
        <w:rPr>
          <w:rFonts w:hint="eastAsia" w:ascii="宋体" w:hAnsi="宋体"/>
          <w:b/>
          <w:bCs/>
          <w:szCs w:val="21"/>
        </w:rPr>
        <w:t>万元整</w:t>
      </w:r>
      <w:r>
        <w:rPr>
          <w:rFonts w:hint="eastAsia" w:ascii="宋体" w:hAnsi="宋体"/>
          <w:szCs w:val="21"/>
          <w:lang w:eastAsia="zh-CN"/>
        </w:rPr>
        <w:t>。</w:t>
      </w:r>
    </w:p>
    <w:p>
      <w:pPr>
        <w:ind w:firstLine="420" w:firstLineChars="200"/>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D12AAD"/>
    <w:multiLevelType w:val="singleLevel"/>
    <w:tmpl w:val="34D12AA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lODRiMzljMjg0Yjc2MjI5NDVhOTM3YjQ3OTg3YTAifQ=="/>
  </w:docVars>
  <w:rsids>
    <w:rsidRoot w:val="00000000"/>
    <w:rsid w:val="113B5A13"/>
    <w:rsid w:val="449C6DD7"/>
    <w:rsid w:val="4CE8320B"/>
    <w:rsid w:val="52DA1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7"/>
    <w:semiHidden/>
    <w:unhideWhenUsed/>
    <w:qFormat/>
    <w:uiPriority w:val="0"/>
    <w:pPr>
      <w:keepNext/>
      <w:keepLines/>
      <w:spacing w:before="260" w:after="260" w:line="416" w:lineRule="auto"/>
      <w:outlineLvl w:val="2"/>
    </w:pPr>
    <w:rPr>
      <w:rFonts w:asciiTheme="minorAscii" w:hAnsiTheme="minorAscii"/>
      <w:bCs/>
      <w:sz w:val="28"/>
      <w:szCs w:val="32"/>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character" w:customStyle="1" w:styleId="7">
    <w:name w:val="标题 3 字符"/>
    <w:basedOn w:val="6"/>
    <w:link w:val="3"/>
    <w:qFormat/>
    <w:uiPriority w:val="9"/>
    <w:rPr>
      <w:rFonts w:asciiTheme="minorAscii" w:hAnsiTheme="minorAscii" w:eastAsiaTheme="minorEastAsia"/>
      <w:bCs/>
      <w:sz w:val="28"/>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4482</Words>
  <Characters>4776</Characters>
  <Lines>0</Lines>
  <Paragraphs>0</Paragraphs>
  <TotalTime>0</TotalTime>
  <ScaleCrop>false</ScaleCrop>
  <LinksUpToDate>false</LinksUpToDate>
  <CharactersWithSpaces>4792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Mr.Q</dc:creator>
  <cp:lastModifiedBy>正大咨询</cp:lastModifiedBy>
  <dcterms:modified xsi:type="dcterms:W3CDTF">2022-09-02T06:03:45Z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72F8EEFEB46940D8B31FBFD32947C0A4</vt:lpwstr>
  </property>
</Properties>
</file>