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宋体" w:hAnsi="宋体"/>
          <w:b/>
          <w:bCs/>
          <w:sz w:val="32"/>
          <w:szCs w:val="32"/>
        </w:rPr>
      </w:pPr>
      <w:r>
        <w:rPr>
          <w:rFonts w:hint="eastAsia" w:ascii="宋体" w:hAnsi="宋体"/>
          <w:b/>
          <w:bCs/>
          <w:sz w:val="32"/>
          <w:szCs w:val="32"/>
        </w:rPr>
        <w:t>海盐县农业经济局应急指挥软件平台及大屏显示系统、扩声系统等采购项目合同</w:t>
      </w:r>
    </w:p>
    <w:p>
      <w:pPr>
        <w:pStyle w:val="2"/>
        <w:ind w:firstLine="210"/>
      </w:pPr>
    </w:p>
    <w:p>
      <w:pPr>
        <w:keepNext w:val="0"/>
        <w:keepLines w:val="0"/>
        <w:pageBreakBefore w:val="0"/>
        <w:kinsoku/>
        <w:wordWrap w:val="0"/>
        <w:overflowPunct/>
        <w:topLinePunct w:val="0"/>
        <w:autoSpaceDE/>
        <w:autoSpaceDN/>
        <w:bidi w:val="0"/>
        <w:adjustRightInd/>
        <w:spacing w:line="480" w:lineRule="exact"/>
        <w:ind w:left="0" w:leftChars="0" w:right="0" w:rightChars="0" w:firstLine="48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甲、乙双方根据（项目编号：</w:t>
      </w:r>
      <w:r>
        <w:rPr>
          <w:rFonts w:hint="eastAsia" w:asciiTheme="minorEastAsia" w:hAnsiTheme="minorEastAsia" w:eastAsiaTheme="minorEastAsia" w:cstheme="minorEastAsia"/>
          <w:sz w:val="28"/>
          <w:szCs w:val="28"/>
        </w:rPr>
        <w:t>盐政采（2018）A032号</w:t>
      </w:r>
      <w:r>
        <w:rPr>
          <w:rFonts w:hint="eastAsia" w:asciiTheme="minorEastAsia" w:hAnsiTheme="minorEastAsia" w:eastAsiaTheme="minorEastAsia" w:cstheme="minorEastAsia"/>
          <w:sz w:val="28"/>
          <w:szCs w:val="28"/>
        </w:rPr>
        <w:t>）项目招标结果和招标文件的要求，并经双方协调一致，订立本采购合同。</w:t>
      </w:r>
    </w:p>
    <w:p>
      <w:pPr>
        <w:keepNext w:val="0"/>
        <w:keepLines w:val="0"/>
        <w:pageBreakBefore w:val="0"/>
        <w:numPr>
          <w:ilvl w:val="0"/>
          <w:numId w:val="1"/>
        </w:numPr>
        <w:tabs>
          <w:tab w:val="left" w:pos="845"/>
        </w:tabs>
        <w:kinsoku/>
        <w:wordWrap w:val="0"/>
        <w:overflowPunct/>
        <w:topLinePunct w:val="0"/>
        <w:autoSpaceDE/>
        <w:autoSpaceDN/>
        <w:bidi w:val="0"/>
        <w:adjustRightInd/>
        <w:spacing w:line="48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合同文件</w:t>
      </w:r>
      <w:bookmarkStart w:id="0" w:name="_GoBack"/>
      <w:bookmarkEnd w:id="0"/>
    </w:p>
    <w:p>
      <w:pPr>
        <w:keepNext w:val="0"/>
        <w:keepLines w:val="0"/>
        <w:pageBreakBefore w:val="0"/>
        <w:numPr>
          <w:ilvl w:val="1"/>
          <w:numId w:val="2"/>
        </w:numPr>
        <w:tabs>
          <w:tab w:val="left" w:pos="1365"/>
        </w:tabs>
        <w:kinsoku/>
        <w:wordWrap w:val="0"/>
        <w:overflowPunct/>
        <w:topLinePunct w:val="0"/>
        <w:autoSpaceDE/>
        <w:autoSpaceDN/>
        <w:bidi w:val="0"/>
        <w:adjustRightInd/>
        <w:spacing w:line="48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本合同书</w:t>
      </w:r>
    </w:p>
    <w:p>
      <w:pPr>
        <w:keepNext w:val="0"/>
        <w:keepLines w:val="0"/>
        <w:pageBreakBefore w:val="0"/>
        <w:numPr>
          <w:ilvl w:val="1"/>
          <w:numId w:val="2"/>
        </w:numPr>
        <w:tabs>
          <w:tab w:val="left" w:pos="1365"/>
        </w:tabs>
        <w:kinsoku/>
        <w:wordWrap w:val="0"/>
        <w:overflowPunct/>
        <w:topLinePunct w:val="0"/>
        <w:autoSpaceDE/>
        <w:autoSpaceDN/>
        <w:bidi w:val="0"/>
        <w:adjustRightInd/>
        <w:spacing w:line="48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中标/成交通知书</w:t>
      </w:r>
    </w:p>
    <w:p>
      <w:pPr>
        <w:keepNext w:val="0"/>
        <w:keepLines w:val="0"/>
        <w:pageBreakBefore w:val="0"/>
        <w:numPr>
          <w:ilvl w:val="1"/>
          <w:numId w:val="2"/>
        </w:numPr>
        <w:tabs>
          <w:tab w:val="left" w:pos="1365"/>
        </w:tabs>
        <w:kinsoku/>
        <w:wordWrap w:val="0"/>
        <w:overflowPunct/>
        <w:topLinePunct w:val="0"/>
        <w:autoSpaceDE/>
        <w:autoSpaceDN/>
        <w:bidi w:val="0"/>
        <w:adjustRightInd/>
        <w:spacing w:line="48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中标单位投标文件</w:t>
      </w:r>
    </w:p>
    <w:p>
      <w:pPr>
        <w:keepNext w:val="0"/>
        <w:keepLines w:val="0"/>
        <w:pageBreakBefore w:val="0"/>
        <w:numPr>
          <w:ilvl w:val="1"/>
          <w:numId w:val="2"/>
        </w:numPr>
        <w:tabs>
          <w:tab w:val="left" w:pos="1365"/>
        </w:tabs>
        <w:kinsoku/>
        <w:wordWrap w:val="0"/>
        <w:overflowPunct/>
        <w:topLinePunct w:val="0"/>
        <w:autoSpaceDE/>
        <w:autoSpaceDN/>
        <w:bidi w:val="0"/>
        <w:adjustRightInd/>
        <w:spacing w:line="48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变更补充文件</w:t>
      </w:r>
    </w:p>
    <w:p>
      <w:pPr>
        <w:keepNext w:val="0"/>
        <w:keepLines w:val="0"/>
        <w:pageBreakBefore w:val="0"/>
        <w:numPr>
          <w:ilvl w:val="1"/>
          <w:numId w:val="2"/>
        </w:numPr>
        <w:tabs>
          <w:tab w:val="left" w:pos="1365"/>
        </w:tabs>
        <w:kinsoku/>
        <w:wordWrap w:val="0"/>
        <w:overflowPunct/>
        <w:topLinePunct w:val="0"/>
        <w:autoSpaceDE/>
        <w:autoSpaceDN/>
        <w:bidi w:val="0"/>
        <w:adjustRightInd/>
        <w:spacing w:line="48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招标文件</w:t>
      </w:r>
    </w:p>
    <w:p>
      <w:pPr>
        <w:keepNext w:val="0"/>
        <w:keepLines w:val="0"/>
        <w:pageBreakBefore w:val="0"/>
        <w:numPr>
          <w:ilvl w:val="1"/>
          <w:numId w:val="2"/>
        </w:numPr>
        <w:tabs>
          <w:tab w:val="left" w:pos="1365"/>
        </w:tabs>
        <w:kinsoku/>
        <w:wordWrap w:val="0"/>
        <w:overflowPunct/>
        <w:topLinePunct w:val="0"/>
        <w:autoSpaceDE/>
        <w:autoSpaceDN/>
        <w:bidi w:val="0"/>
        <w:adjustRightInd/>
        <w:spacing w:line="48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本合同专用条款</w:t>
      </w:r>
    </w:p>
    <w:p>
      <w:pPr>
        <w:keepNext w:val="0"/>
        <w:keepLines w:val="0"/>
        <w:pageBreakBefore w:val="0"/>
        <w:numPr>
          <w:ilvl w:val="1"/>
          <w:numId w:val="2"/>
        </w:numPr>
        <w:tabs>
          <w:tab w:val="left" w:pos="1365"/>
        </w:tabs>
        <w:kinsoku/>
        <w:wordWrap w:val="0"/>
        <w:overflowPunct/>
        <w:topLinePunct w:val="0"/>
        <w:autoSpaceDE/>
        <w:autoSpaceDN/>
        <w:bidi w:val="0"/>
        <w:adjustRightInd/>
        <w:spacing w:line="48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本合同通用条款</w:t>
      </w:r>
    </w:p>
    <w:p>
      <w:pPr>
        <w:keepNext w:val="0"/>
        <w:keepLines w:val="0"/>
        <w:pageBreakBefore w:val="0"/>
        <w:numPr>
          <w:ilvl w:val="1"/>
          <w:numId w:val="2"/>
        </w:numPr>
        <w:tabs>
          <w:tab w:val="left" w:pos="1365"/>
        </w:tabs>
        <w:kinsoku/>
        <w:wordWrap w:val="0"/>
        <w:overflowPunct/>
        <w:topLinePunct w:val="0"/>
        <w:autoSpaceDE/>
        <w:autoSpaceDN/>
        <w:bidi w:val="0"/>
        <w:adjustRightInd/>
        <w:spacing w:line="48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标准、规范、图纸及有关技术文件</w:t>
      </w:r>
    </w:p>
    <w:p>
      <w:pPr>
        <w:keepNext w:val="0"/>
        <w:keepLines w:val="0"/>
        <w:pageBreakBefore w:val="0"/>
        <w:numPr>
          <w:ilvl w:val="1"/>
          <w:numId w:val="2"/>
        </w:numPr>
        <w:tabs>
          <w:tab w:val="left" w:pos="1365"/>
        </w:tabs>
        <w:kinsoku/>
        <w:wordWrap w:val="0"/>
        <w:overflowPunct/>
        <w:topLinePunct w:val="0"/>
        <w:autoSpaceDE/>
        <w:autoSpaceDN/>
        <w:bidi w:val="0"/>
        <w:adjustRightInd/>
        <w:spacing w:line="48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其他</w:t>
      </w:r>
    </w:p>
    <w:p>
      <w:pPr>
        <w:keepNext w:val="0"/>
        <w:keepLines w:val="0"/>
        <w:pageBreakBefore w:val="0"/>
        <w:kinsoku/>
        <w:wordWrap w:val="0"/>
        <w:overflowPunct/>
        <w:topLinePunct w:val="0"/>
        <w:autoSpaceDE/>
        <w:autoSpaceDN/>
        <w:bidi w:val="0"/>
        <w:adjustRightInd/>
        <w:spacing w:line="480" w:lineRule="exact"/>
        <w:ind w:left="0" w:leftChars="0" w:right="0" w:rightChars="0" w:firstLine="48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上述所指合同文件应认为是互相补充和解释的，但是有模棱两可或互相矛盾之处，以其所列内容顺序为准。</w:t>
      </w:r>
    </w:p>
    <w:p>
      <w:pPr>
        <w:keepNext w:val="0"/>
        <w:keepLines w:val="0"/>
        <w:pageBreakBefore w:val="0"/>
        <w:numPr>
          <w:ilvl w:val="0"/>
          <w:numId w:val="2"/>
        </w:numPr>
        <w:tabs>
          <w:tab w:val="left" w:pos="845"/>
        </w:tabs>
        <w:kinsoku/>
        <w:wordWrap w:val="0"/>
        <w:overflowPunct/>
        <w:topLinePunct w:val="0"/>
        <w:autoSpaceDE/>
        <w:autoSpaceDN/>
        <w:bidi w:val="0"/>
        <w:adjustRightInd/>
        <w:spacing w:line="48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合同金额</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壹佰叁拾柒万玖仟捌佰捌拾元整</w:t>
      </w:r>
      <w:r>
        <w:rPr>
          <w:rFonts w:hint="eastAsia" w:asciiTheme="minorEastAsia" w:hAnsiTheme="minorEastAsia" w:eastAsiaTheme="minorEastAsia" w:cstheme="minorEastAsia"/>
          <w:sz w:val="28"/>
          <w:szCs w:val="28"/>
        </w:rPr>
        <w:t>（大写）</w:t>
      </w:r>
      <w:r>
        <w:rPr>
          <w:rFonts w:hint="eastAsia" w:asciiTheme="minorEastAsia" w:hAnsiTheme="minorEastAsia" w:eastAsiaTheme="minorEastAsia" w:cstheme="minorEastAsia"/>
          <w:sz w:val="28"/>
          <w:szCs w:val="28"/>
          <w:lang w:eastAsia="zh-CN"/>
        </w:rPr>
        <w:t>。</w:t>
      </w:r>
    </w:p>
    <w:p>
      <w:pPr>
        <w:keepNext w:val="0"/>
        <w:keepLines w:val="0"/>
        <w:pageBreakBefore w:val="0"/>
        <w:numPr>
          <w:ilvl w:val="0"/>
          <w:numId w:val="2"/>
        </w:numPr>
        <w:tabs>
          <w:tab w:val="left" w:pos="845"/>
        </w:tabs>
        <w:kinsoku/>
        <w:wordWrap w:val="0"/>
        <w:overflowPunct/>
        <w:topLinePunct w:val="0"/>
        <w:autoSpaceDE/>
        <w:autoSpaceDN/>
        <w:bidi w:val="0"/>
        <w:adjustRightInd/>
        <w:spacing w:line="480" w:lineRule="exac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包括货款、标准附件、备品备件、专用工具、包装、运输、装卸、保险、税金、货到检查以及安装、调试、培训、保修等一切税金和费用。</w:t>
      </w:r>
      <w:r>
        <w:rPr>
          <w:rFonts w:hint="eastAsia" w:asciiTheme="minorEastAsia" w:hAnsiTheme="minorEastAsia" w:eastAsiaTheme="minorEastAsia" w:cstheme="minorEastAsia"/>
          <w:sz w:val="28"/>
          <w:szCs w:val="28"/>
        </w:rPr>
        <w:t>另验收未通过的，验收费用由乙方支付</w:t>
      </w:r>
      <w:r>
        <w:rPr>
          <w:rFonts w:hint="eastAsia" w:asciiTheme="minorEastAsia" w:hAnsiTheme="minorEastAsia" w:eastAsiaTheme="minorEastAsia" w:cstheme="minorEastAsia"/>
          <w:sz w:val="28"/>
          <w:szCs w:val="28"/>
        </w:rPr>
        <w:t>。</w:t>
      </w:r>
    </w:p>
    <w:p>
      <w:pPr>
        <w:keepNext w:val="0"/>
        <w:keepLines w:val="0"/>
        <w:pageBreakBefore w:val="0"/>
        <w:kinsoku/>
        <w:wordWrap w:val="0"/>
        <w:overflowPunct/>
        <w:topLinePunct w:val="0"/>
        <w:autoSpaceDE/>
        <w:autoSpaceDN/>
        <w:bidi w:val="0"/>
        <w:adjustRightInd/>
        <w:spacing w:line="480" w:lineRule="exact"/>
        <w:ind w:left="0" w:leftChars="0" w:right="0" w:rightChars="0" w:firstLine="118" w:firstLineChars="49"/>
        <w:textAlignment w:val="auto"/>
        <w:outlineLvl w:val="9"/>
        <w:rPr>
          <w:rFonts w:hint="eastAsia" w:asciiTheme="minorEastAsia" w:hAnsiTheme="minorEastAsia" w:eastAsiaTheme="minorEastAsia" w:cstheme="minorEastAsia"/>
          <w:b w:val="0"/>
          <w:bCs w:val="0"/>
          <w:kern w:val="0"/>
          <w:sz w:val="28"/>
          <w:szCs w:val="28"/>
        </w:rPr>
      </w:pPr>
      <w:r>
        <w:rPr>
          <w:rFonts w:hint="eastAsia" w:asciiTheme="minorEastAsia" w:hAnsiTheme="minorEastAsia" w:eastAsiaTheme="minorEastAsia" w:cstheme="minorEastAsia"/>
          <w:b w:val="0"/>
          <w:bCs w:val="0"/>
          <w:kern w:val="0"/>
          <w:sz w:val="28"/>
          <w:szCs w:val="28"/>
        </w:rPr>
        <w:t>项目编号：                                     单位：元</w:t>
      </w:r>
    </w:p>
    <w:tbl>
      <w:tblPr>
        <w:tblStyle w:val="9"/>
        <w:tblW w:w="8095" w:type="dxa"/>
        <w:tblInd w:w="93" w:type="dxa"/>
        <w:tblLayout w:type="fixed"/>
        <w:tblCellMar>
          <w:top w:w="0" w:type="dxa"/>
          <w:left w:w="108" w:type="dxa"/>
          <w:bottom w:w="0" w:type="dxa"/>
          <w:right w:w="108" w:type="dxa"/>
        </w:tblCellMar>
      </w:tblPr>
      <w:tblGrid>
        <w:gridCol w:w="724"/>
        <w:gridCol w:w="2395"/>
        <w:gridCol w:w="773"/>
        <w:gridCol w:w="161"/>
        <w:gridCol w:w="782"/>
        <w:gridCol w:w="130"/>
        <w:gridCol w:w="1004"/>
        <w:gridCol w:w="2126"/>
      </w:tblGrid>
      <w:tr>
        <w:tblPrEx>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序号</w:t>
            </w:r>
          </w:p>
        </w:tc>
        <w:tc>
          <w:tcPr>
            <w:tcW w:w="23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名称</w:t>
            </w:r>
          </w:p>
        </w:tc>
        <w:tc>
          <w:tcPr>
            <w:tcW w:w="9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数量</w:t>
            </w:r>
          </w:p>
        </w:tc>
        <w:tc>
          <w:tcPr>
            <w:tcW w:w="91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产地</w:t>
            </w:r>
          </w:p>
        </w:tc>
        <w:tc>
          <w:tcPr>
            <w:tcW w:w="10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制造商</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规格</w:t>
            </w:r>
            <w:r>
              <w:rPr>
                <w:rFonts w:hint="eastAsia" w:asciiTheme="minorEastAsia" w:hAnsiTheme="minorEastAsia" w:eastAsiaTheme="minorEastAsia" w:cstheme="minorEastAsia"/>
                <w:color w:val="000000"/>
                <w:kern w:val="0"/>
                <w:sz w:val="24"/>
                <w:szCs w:val="24"/>
                <w:lang w:eastAsia="zh-CN"/>
              </w:rPr>
              <w:t>型号</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一、应急软件平台</w:t>
            </w:r>
          </w:p>
        </w:tc>
        <w:tc>
          <w:tcPr>
            <w:tcW w:w="9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91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0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智慧农业云平台（应急指挥）系统</w:t>
            </w:r>
          </w:p>
        </w:tc>
        <w:tc>
          <w:tcPr>
            <w:tcW w:w="9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91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0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平台技术标准建设</w:t>
            </w:r>
          </w:p>
        </w:tc>
        <w:tc>
          <w:tcPr>
            <w:tcW w:w="9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1项</w:t>
            </w:r>
          </w:p>
        </w:tc>
        <w:tc>
          <w:tcPr>
            <w:tcW w:w="91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浙江</w:t>
            </w:r>
          </w:p>
        </w:tc>
        <w:tc>
          <w:tcPr>
            <w:tcW w:w="10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森特</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定制</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农业大数据中心建设</w:t>
            </w:r>
          </w:p>
        </w:tc>
        <w:tc>
          <w:tcPr>
            <w:tcW w:w="9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1项</w:t>
            </w:r>
          </w:p>
        </w:tc>
        <w:tc>
          <w:tcPr>
            <w:tcW w:w="91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浙江</w:t>
            </w:r>
          </w:p>
        </w:tc>
        <w:tc>
          <w:tcPr>
            <w:tcW w:w="10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森特</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定制</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农业行政监管</w:t>
            </w:r>
          </w:p>
        </w:tc>
        <w:tc>
          <w:tcPr>
            <w:tcW w:w="9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1项</w:t>
            </w:r>
          </w:p>
        </w:tc>
        <w:tc>
          <w:tcPr>
            <w:tcW w:w="91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浙江</w:t>
            </w:r>
          </w:p>
        </w:tc>
        <w:tc>
          <w:tcPr>
            <w:tcW w:w="10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森特</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定制</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农业灾变应急预警</w:t>
            </w:r>
          </w:p>
        </w:tc>
        <w:tc>
          <w:tcPr>
            <w:tcW w:w="9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1项</w:t>
            </w:r>
          </w:p>
        </w:tc>
        <w:tc>
          <w:tcPr>
            <w:tcW w:w="91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浙江</w:t>
            </w:r>
          </w:p>
        </w:tc>
        <w:tc>
          <w:tcPr>
            <w:tcW w:w="10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森特</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定制</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为农综合服务平台</w:t>
            </w:r>
          </w:p>
        </w:tc>
        <w:tc>
          <w:tcPr>
            <w:tcW w:w="9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1项</w:t>
            </w:r>
          </w:p>
        </w:tc>
        <w:tc>
          <w:tcPr>
            <w:tcW w:w="91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浙江</w:t>
            </w:r>
          </w:p>
        </w:tc>
        <w:tc>
          <w:tcPr>
            <w:tcW w:w="10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森特</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定制</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应急终端接入管理调度</w:t>
            </w:r>
          </w:p>
        </w:tc>
        <w:tc>
          <w:tcPr>
            <w:tcW w:w="9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1项</w:t>
            </w:r>
          </w:p>
        </w:tc>
        <w:tc>
          <w:tcPr>
            <w:tcW w:w="91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浙江</w:t>
            </w:r>
          </w:p>
        </w:tc>
        <w:tc>
          <w:tcPr>
            <w:tcW w:w="10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森特</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定制</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系统管理</w:t>
            </w:r>
          </w:p>
        </w:tc>
        <w:tc>
          <w:tcPr>
            <w:tcW w:w="9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1项</w:t>
            </w:r>
          </w:p>
        </w:tc>
        <w:tc>
          <w:tcPr>
            <w:tcW w:w="91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浙江</w:t>
            </w:r>
          </w:p>
        </w:tc>
        <w:tc>
          <w:tcPr>
            <w:tcW w:w="10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森特</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定制</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资源整合</w:t>
            </w:r>
          </w:p>
        </w:tc>
        <w:tc>
          <w:tcPr>
            <w:tcW w:w="9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1项</w:t>
            </w:r>
          </w:p>
        </w:tc>
        <w:tc>
          <w:tcPr>
            <w:tcW w:w="91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浙江</w:t>
            </w:r>
          </w:p>
        </w:tc>
        <w:tc>
          <w:tcPr>
            <w:tcW w:w="10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森特</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定制</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数据处理及技术服务</w:t>
            </w:r>
          </w:p>
        </w:tc>
        <w:tc>
          <w:tcPr>
            <w:tcW w:w="9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1项</w:t>
            </w:r>
          </w:p>
        </w:tc>
        <w:tc>
          <w:tcPr>
            <w:tcW w:w="91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浙江</w:t>
            </w:r>
          </w:p>
        </w:tc>
        <w:tc>
          <w:tcPr>
            <w:tcW w:w="10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森特</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定制</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安全评测</w:t>
            </w:r>
          </w:p>
        </w:tc>
        <w:tc>
          <w:tcPr>
            <w:tcW w:w="9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1项</w:t>
            </w:r>
          </w:p>
        </w:tc>
        <w:tc>
          <w:tcPr>
            <w:tcW w:w="91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浙江</w:t>
            </w:r>
          </w:p>
        </w:tc>
        <w:tc>
          <w:tcPr>
            <w:tcW w:w="10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森特</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定制</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全景图</w:t>
            </w:r>
          </w:p>
        </w:tc>
        <w:tc>
          <w:tcPr>
            <w:tcW w:w="9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3张</w:t>
            </w:r>
          </w:p>
        </w:tc>
        <w:tc>
          <w:tcPr>
            <w:tcW w:w="91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浙江</w:t>
            </w:r>
          </w:p>
        </w:tc>
        <w:tc>
          <w:tcPr>
            <w:tcW w:w="10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森特</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定制</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平台对接</w:t>
            </w:r>
          </w:p>
        </w:tc>
        <w:tc>
          <w:tcPr>
            <w:tcW w:w="9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1项</w:t>
            </w:r>
          </w:p>
        </w:tc>
        <w:tc>
          <w:tcPr>
            <w:tcW w:w="91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浙江</w:t>
            </w:r>
          </w:p>
        </w:tc>
        <w:tc>
          <w:tcPr>
            <w:tcW w:w="10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森特</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定制</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13</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合计</w:t>
            </w:r>
          </w:p>
        </w:tc>
        <w:tc>
          <w:tcPr>
            <w:tcW w:w="4976"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含安装调试：￥496400元</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二、应急指挥中心</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大屏幕显示系统</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★LCD拼接屏</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海康威视</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DS-D2046NH-E</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拼接屏专用支架</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12套</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海康威视</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46寸</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★视频综合平台</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1套</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海康威视</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DS-B21-08D-12DU</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专用线缆</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16根</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海康威视</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DVI</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扩声系统</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19</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吸顶音箱</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6只</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YAMAHA</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NS-IC600</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功放</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CROWN</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XLS1002</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21</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一托四无线鹅颈话筒</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1套</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BLEY</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BH-410会议</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22</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一托二手持无线话筒</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1套</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BLEY</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AC-2200D</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23</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有线鹅颈话筒</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8套</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AKG</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CGN321 STS</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调音台</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YAMAHA</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MG12</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25</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数字处理器</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BSS</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BLU-50</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26</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混音器</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Relacart</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DIM-802</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27</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时序电源器</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SPIRIT</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PS-88K</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28</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集中控制系统</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29</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网络型中央控制主机</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ITC</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TS-9100D</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千兆无线路由</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TP-LINK</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TL-WR842N</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31</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专用中控无线触摸平板</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华为</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M5</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32</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一键联主机</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华远视清</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M800</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33</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一键联按键</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华远视清</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M800</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34</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光纤收发器</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1对</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汤湖</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HTB-GS</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专用移动录入设备</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戴尔</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灵越燃7000 II</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36</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红外发射棒</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4根</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ITC</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TS-IR</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37</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编程软件</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1套</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ITC</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TS-9100DR</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38</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电源控制器</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ITC</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TS-9101</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39</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无线上网系统</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千兆无线路由</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TP-LINK</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TL-WR842N</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41</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交换机</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锐捷</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RG-S2928G-E</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42</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光纤收发器</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1对</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汤湖</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HTB-GS</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43</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监控系统</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44</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高清摄像头(含安装底座)</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海康威视</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DS-2DF5220S-D4</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45</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红外半球型网络摄像机</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海康威视</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DS-2CD2325FD-IS</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46</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拾音器</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2个</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海康威视</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IS-SYQ100-B</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47</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摄像机电源</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2只</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一安</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DC12V/2A</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48</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NVR网络硬盘录像机</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海康威视</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DS-7908N-K4</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49</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监控级硬盘</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1块</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西数</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WD40PURX</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50</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专用工作站</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戴尔</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i5 7500</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51</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交换机</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锐捷</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RG-S5750-24GT/8SFP-E</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52</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光纤收发器</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1对</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汤湖</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HTB-GS</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53</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控制室系统</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54</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防雷接地</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1项</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矿森</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3*30</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55</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机柜PDU</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2个</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公牛</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10位</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56</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机柜</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图腾</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600*800*2055/42U</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57</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配电箱</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1个</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正泰</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定制</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58</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线缆</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1项</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秦山</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定制</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59</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集成及辅材</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1项</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电信</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定制</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60</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合计</w:t>
            </w:r>
          </w:p>
        </w:tc>
        <w:tc>
          <w:tcPr>
            <w:tcW w:w="4976"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含安装调试：￥613540元</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三、移动指挥中心</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移动指挥中心</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61</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单兵系统</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1套</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海康威视</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DS-MH2430/GLE</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62</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布控球套装</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1套</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海康威视</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DS-MH6171-S</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63</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布控球三角架</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1个</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海康威视</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DS-1018HM</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64</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4G流量通讯费</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2条</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电信</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4G</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65</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合计</w:t>
            </w:r>
          </w:p>
        </w:tc>
        <w:tc>
          <w:tcPr>
            <w:tcW w:w="4976"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含安装调试：￥37200元</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四、应急基点建设</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应急基点接入</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66</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枪机</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海康威视</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DS-2CD2T26WD-I8</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67</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球机</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海康威视</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DS-2DE7330IW-A</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68</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2T硬盘</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10块</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海康威视</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WD20PURX</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69</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录像机</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海康威视</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DS-7608N-K2</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70</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4口POE交换机（工业级）</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10台</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优特普</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UTP7204E-POE</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71</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立杆</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20个</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顺通</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4M-不锈钢</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72</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机箱及防雷接地</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10个</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正泰</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定制</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73</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生态环境信息采集系统</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2套</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电信</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定制</w:t>
            </w: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74</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基点网络电路</w:t>
            </w:r>
          </w:p>
        </w:tc>
        <w:tc>
          <w:tcPr>
            <w:tcW w:w="7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1项</w:t>
            </w:r>
          </w:p>
        </w:tc>
        <w:tc>
          <w:tcPr>
            <w:tcW w:w="94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中国</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电信</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定制</w:t>
            </w:r>
          </w:p>
        </w:tc>
      </w:tr>
      <w:tr>
        <w:tblPrEx>
          <w:tblLayout w:type="fixed"/>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75</w:t>
            </w:r>
          </w:p>
        </w:tc>
        <w:tc>
          <w:tcPr>
            <w:tcW w:w="23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合计</w:t>
            </w:r>
          </w:p>
        </w:tc>
        <w:tc>
          <w:tcPr>
            <w:tcW w:w="4976"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含安装调试：￥232740元</w:t>
            </w:r>
          </w:p>
        </w:tc>
      </w:tr>
      <w:tr>
        <w:tblPrEx>
          <w:tblLayout w:type="fixed"/>
          <w:tblCellMar>
            <w:top w:w="0" w:type="dxa"/>
            <w:left w:w="108" w:type="dxa"/>
            <w:bottom w:w="0" w:type="dxa"/>
            <w:right w:w="108" w:type="dxa"/>
          </w:tblCellMar>
        </w:tblPrEx>
        <w:trPr>
          <w:trHeight w:val="404" w:hRule="atLeast"/>
        </w:trPr>
        <w:tc>
          <w:tcPr>
            <w:tcW w:w="3119"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总计</w:t>
            </w:r>
          </w:p>
        </w:tc>
        <w:tc>
          <w:tcPr>
            <w:tcW w:w="4976"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 xml:space="preserve">￥1,379,880.00元金额   </w:t>
            </w:r>
          </w:p>
          <w:p>
            <w:pPr>
              <w:keepNext w:val="0"/>
              <w:keepLines w:val="0"/>
              <w:pageBreakBefore w:val="0"/>
              <w:widowControl/>
              <w:kinsoku/>
              <w:overflowPunct/>
              <w:topLinePunct w:val="0"/>
              <w:autoSpaceDE/>
              <w:autoSpaceDN/>
              <w:bidi w:val="0"/>
              <w:adjustRightInd/>
              <w:spacing w:line="480" w:lineRule="exact"/>
              <w:ind w:left="0" w:leftChars="0" w:right="0" w:rightChars="0"/>
              <w:jc w:val="center"/>
              <w:textAlignment w:val="auto"/>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大写： 壹佰叁拾柒万玖仟捌佰捌拾元整</w:t>
            </w:r>
          </w:p>
        </w:tc>
      </w:tr>
    </w:tbl>
    <w:p>
      <w:pPr>
        <w:pStyle w:val="2"/>
        <w:keepNext w:val="0"/>
        <w:keepLines w:val="0"/>
        <w:pageBreakBefore w:val="0"/>
        <w:kinsoku/>
        <w:overflowPunct/>
        <w:topLinePunct w:val="0"/>
        <w:autoSpaceDE/>
        <w:autoSpaceDN/>
        <w:bidi w:val="0"/>
        <w:adjustRightInd/>
        <w:spacing w:after="0" w:line="480" w:lineRule="exact"/>
        <w:ind w:left="0" w:leftChars="0" w:right="0" w:rightChars="0" w:firstLine="21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numPr>
          <w:ilvl w:val="0"/>
          <w:numId w:val="2"/>
        </w:numPr>
        <w:tabs>
          <w:tab w:val="left" w:pos="84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质量保证</w:t>
      </w:r>
    </w:p>
    <w:p>
      <w:pPr>
        <w:keepNext w:val="0"/>
        <w:keepLines w:val="0"/>
        <w:pageBreakBefore w:val="0"/>
        <w:widowControl w:val="0"/>
        <w:numPr>
          <w:ilvl w:val="1"/>
          <w:numId w:val="2"/>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乙方应保证货物是全新、未使用过的原装合格正品，并完全符合招标文件及本合同规定的质量、规格和性能的要求。</w:t>
      </w:r>
    </w:p>
    <w:p>
      <w:pPr>
        <w:keepNext w:val="0"/>
        <w:keepLines w:val="0"/>
        <w:pageBreakBefore w:val="0"/>
        <w:widowControl w:val="0"/>
        <w:numPr>
          <w:ilvl w:val="1"/>
          <w:numId w:val="2"/>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产品的技术标准按国家标准执行，无国家标准的，按行业标准执行，无国家和行业标准的，按企业标准执行；但在招标文件中有特别要求的，按招标文件中规定的要求执行，并且符合相关法律、法规规定的要求。</w:t>
      </w:r>
    </w:p>
    <w:p>
      <w:pPr>
        <w:keepNext w:val="0"/>
        <w:keepLines w:val="0"/>
        <w:pageBreakBefore w:val="0"/>
        <w:widowControl w:val="0"/>
        <w:numPr>
          <w:ilvl w:val="1"/>
          <w:numId w:val="2"/>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产品的包装，国家或行业主管部门有规定的，按规定执行。</w:t>
      </w:r>
    </w:p>
    <w:p>
      <w:pPr>
        <w:keepNext w:val="0"/>
        <w:keepLines w:val="0"/>
        <w:pageBreakBefore w:val="0"/>
        <w:widowControl w:val="0"/>
        <w:numPr>
          <w:ilvl w:val="1"/>
          <w:numId w:val="2"/>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乙方提供主要设备的质量保证期为现场安装验收合格之后的</w:t>
      </w:r>
      <w:r>
        <w:rPr>
          <w:rFonts w:hint="eastAsia" w:asciiTheme="minorEastAsia" w:hAnsiTheme="minorEastAsia" w:eastAsiaTheme="minorEastAsia" w:cstheme="minorEastAsia"/>
          <w:kern w:val="0"/>
          <w:sz w:val="28"/>
          <w:szCs w:val="28"/>
          <w:lang w:val="en-US" w:eastAsia="zh-CN"/>
        </w:rPr>
        <w:t>36</w:t>
      </w:r>
      <w:r>
        <w:rPr>
          <w:rFonts w:hint="eastAsia" w:asciiTheme="minorEastAsia" w:hAnsiTheme="minorEastAsia" w:eastAsiaTheme="minorEastAsia" w:cstheme="minorEastAsia"/>
          <w:kern w:val="0"/>
          <w:sz w:val="28"/>
          <w:szCs w:val="28"/>
        </w:rPr>
        <w:t xml:space="preserve">个月。如甲方原因导致不能及时安装的，产品的质保期自到货之日起 </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个月后开始计算。在质保期内因产品本身的质量问题发生故障，乙方应负责免费修理和更换 。</w:t>
      </w:r>
    </w:p>
    <w:p>
      <w:pPr>
        <w:keepNext w:val="0"/>
        <w:keepLines w:val="0"/>
        <w:pageBreakBefore w:val="0"/>
        <w:widowControl w:val="0"/>
        <w:numPr>
          <w:ilvl w:val="1"/>
          <w:numId w:val="2"/>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所提供的货物及服务完全符合合同规定的运行性能和安全要求，乙方应保护甲方在使用该系统或其任何一</w:t>
      </w:r>
      <w:r>
        <w:rPr>
          <w:rFonts w:hint="eastAsia" w:asciiTheme="minorEastAsia" w:hAnsiTheme="minorEastAsia" w:eastAsiaTheme="minorEastAsia" w:cstheme="minorEastAsia"/>
          <w:sz w:val="28"/>
          <w:szCs w:val="28"/>
        </w:rPr>
        <w:t>部分时不受第三方提出侵犯专利权、商标权或工业设备等知识产权的指控，如果第三方提出侵权指控，乙方须与第三方交涉并承担可能发生的一切法律责任和费用。</w:t>
      </w:r>
    </w:p>
    <w:p>
      <w:pPr>
        <w:keepNext w:val="0"/>
        <w:keepLines w:val="0"/>
        <w:pageBreakBefore w:val="0"/>
        <w:widowControl w:val="0"/>
        <w:numPr>
          <w:ilvl w:val="0"/>
          <w:numId w:val="2"/>
        </w:numPr>
        <w:tabs>
          <w:tab w:val="left" w:pos="84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到货验收及调试</w:t>
      </w:r>
    </w:p>
    <w:p>
      <w:pPr>
        <w:keepNext w:val="0"/>
        <w:keepLines w:val="0"/>
        <w:pageBreakBefore w:val="0"/>
        <w:widowControl w:val="0"/>
        <w:numPr>
          <w:ilvl w:val="1"/>
          <w:numId w:val="2"/>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将所供设备运至交货地点，并向甲方提供到货证明。采购人在收到到货证明5天内，对货物的外观、规格、数量、进行检验。如发现货物的外观、规格、数量与合同规定不符，甲方有权拒绝接受。设备到货时，须提供设备正常途径的供货证明。</w:t>
      </w:r>
    </w:p>
    <w:p>
      <w:pPr>
        <w:keepNext w:val="0"/>
        <w:keepLines w:val="0"/>
        <w:pageBreakBefore w:val="0"/>
        <w:widowControl w:val="0"/>
        <w:kinsoku/>
        <w:wordWrap w:val="0"/>
        <w:overflowPunct/>
        <w:topLinePunct w:val="0"/>
        <w:autoSpaceDE/>
        <w:autoSpaceDN/>
        <w:bidi w:val="0"/>
        <w:adjustRightInd/>
        <w:snapToGrid w:val="0"/>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所供设备现场设备安装时，根据要求决定由乙方工程师负责实施。主要内容如下：</w:t>
      </w:r>
    </w:p>
    <w:p>
      <w:pPr>
        <w:keepNext w:val="0"/>
        <w:keepLines w:val="0"/>
        <w:pageBreakBefore w:val="0"/>
        <w:widowControl w:val="0"/>
        <w:numPr>
          <w:ilvl w:val="2"/>
          <w:numId w:val="3"/>
        </w:numPr>
        <w:tabs>
          <w:tab w:val="left" w:pos="1129"/>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乙方应完成供货、安装，并协助用户完成整套设备系统的正常、</w:t>
      </w:r>
    </w:p>
    <w:p>
      <w:pPr>
        <w:keepNext w:val="0"/>
        <w:keepLines w:val="0"/>
        <w:pageBreakBefore w:val="0"/>
        <w:widowControl w:val="0"/>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稳定运行。包括：协助用户完成设备安装环境准备并验收，负责设备系统的初期维护等，并完成验收前期的各项准备工作等。</w:t>
      </w:r>
    </w:p>
    <w:p>
      <w:pPr>
        <w:keepNext w:val="0"/>
        <w:keepLines w:val="0"/>
        <w:pageBreakBefore w:val="0"/>
        <w:widowControl w:val="0"/>
        <w:numPr>
          <w:ilvl w:val="2"/>
          <w:numId w:val="3"/>
        </w:numPr>
        <w:tabs>
          <w:tab w:val="left" w:pos="1129"/>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乙方</w:t>
      </w:r>
      <w:r>
        <w:rPr>
          <w:rFonts w:hint="eastAsia" w:asciiTheme="minorEastAsia" w:hAnsiTheme="minorEastAsia" w:eastAsiaTheme="minorEastAsia" w:cstheme="minorEastAsia"/>
          <w:sz w:val="28"/>
          <w:szCs w:val="28"/>
        </w:rPr>
        <w:t>将投标设备与现有的设备进行集成，所有系统和设备能够</w:t>
      </w:r>
    </w:p>
    <w:p>
      <w:pPr>
        <w:keepNext w:val="0"/>
        <w:keepLines w:val="0"/>
        <w:pageBreakBefore w:val="0"/>
        <w:widowControl w:val="0"/>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连通并正常运转，所有硬件能够在相应平台上正常运行，同时达到招标/谈判需求要求的性能和投标产品技术规格中的性能。设备安装、调试所需的工具、仪器及安装材料由乙方负责。</w:t>
      </w:r>
    </w:p>
    <w:p>
      <w:pPr>
        <w:keepNext w:val="0"/>
        <w:keepLines w:val="0"/>
        <w:pageBreakBefore w:val="0"/>
        <w:widowControl w:val="0"/>
        <w:numPr>
          <w:ilvl w:val="2"/>
          <w:numId w:val="3"/>
        </w:numPr>
        <w:tabs>
          <w:tab w:val="left" w:pos="0"/>
          <w:tab w:val="left" w:pos="1129"/>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验收分到货清点验收、系统集成初验、工程终验三阶段。乙方将所 供设备运至交货地点，在甲方人员在场时拆箱，由甲方当场清点验收。安装调试完毕后，协助甲方完成系统集成初验。</w:t>
      </w:r>
    </w:p>
    <w:p>
      <w:pPr>
        <w:keepNext w:val="0"/>
        <w:keepLines w:val="0"/>
        <w:pageBreakBefore w:val="0"/>
        <w:widowControl w:val="0"/>
        <w:numPr>
          <w:ilvl w:val="2"/>
          <w:numId w:val="3"/>
        </w:numPr>
        <w:tabs>
          <w:tab w:val="left" w:pos="1129"/>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设备从初验合格次日起7天内，出现非甲方人为因素造成的无法排除的故障，由乙方予以整机调换。</w:t>
      </w:r>
    </w:p>
    <w:p>
      <w:pPr>
        <w:keepNext w:val="0"/>
        <w:keepLines w:val="0"/>
        <w:pageBreakBefore w:val="0"/>
        <w:widowControl w:val="0"/>
        <w:numPr>
          <w:ilvl w:val="2"/>
          <w:numId w:val="3"/>
        </w:numPr>
        <w:tabs>
          <w:tab w:val="left" w:pos="0"/>
          <w:tab w:val="left" w:pos="1129"/>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工程终验在初验合格后组织实施。工程终验时，</w:t>
      </w:r>
      <w:r>
        <w:rPr>
          <w:rFonts w:hint="eastAsia" w:asciiTheme="minorEastAsia" w:hAnsiTheme="minorEastAsia" w:eastAsiaTheme="minorEastAsia" w:cstheme="minorEastAsia"/>
          <w:kern w:val="0"/>
          <w:sz w:val="28"/>
          <w:szCs w:val="28"/>
        </w:rPr>
        <w:t>乙方</w:t>
      </w:r>
      <w:r>
        <w:rPr>
          <w:rFonts w:hint="eastAsia" w:asciiTheme="minorEastAsia" w:hAnsiTheme="minorEastAsia" w:eastAsiaTheme="minorEastAsia" w:cstheme="minorEastAsia"/>
          <w:sz w:val="28"/>
          <w:szCs w:val="28"/>
        </w:rPr>
        <w:t>须提供已办妥相应质保及售后服务手续，同时，协助</w:t>
      </w:r>
      <w:r>
        <w:rPr>
          <w:rFonts w:hint="eastAsia" w:asciiTheme="minorEastAsia" w:hAnsiTheme="minorEastAsia" w:eastAsiaTheme="minorEastAsia" w:cstheme="minorEastAsia"/>
          <w:kern w:val="0"/>
          <w:sz w:val="28"/>
          <w:szCs w:val="28"/>
        </w:rPr>
        <w:t>甲方</w:t>
      </w:r>
      <w:r>
        <w:rPr>
          <w:rFonts w:hint="eastAsia" w:asciiTheme="minorEastAsia" w:hAnsiTheme="minorEastAsia" w:eastAsiaTheme="minorEastAsia" w:cstheme="minorEastAsia"/>
          <w:sz w:val="28"/>
          <w:szCs w:val="28"/>
        </w:rPr>
        <w:t>通过电话查询售后服务手续办理情况予以验证。</w:t>
      </w:r>
    </w:p>
    <w:p>
      <w:pPr>
        <w:keepNext w:val="0"/>
        <w:keepLines w:val="0"/>
        <w:pageBreakBefore w:val="0"/>
        <w:widowControl w:val="0"/>
        <w:numPr>
          <w:ilvl w:val="0"/>
          <w:numId w:val="3"/>
        </w:numPr>
        <w:tabs>
          <w:tab w:val="left" w:pos="84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安装试运行</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乙方负责设备购置、安装、调试、试运行等全过程的工作。</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应提供安装计划给甲方认可。安装时乙方按需提供分派针对相对应设备的各个认证工程师负责安装、调试及运行工作，以检测其设计、制造、运行效果等，并提供所有测试和调试所需的工具、材料、仪器和劳务人员，直到保证正常稳定运行。安装结束前，乙方应提交测试和调试方法及记录表格给甲方。</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设备试运行应在甲方的监督下进行，此类监督不免除乙方应承担的相关责任。</w:t>
      </w:r>
    </w:p>
    <w:p>
      <w:pPr>
        <w:keepNext w:val="0"/>
        <w:keepLines w:val="0"/>
        <w:pageBreakBefore w:val="0"/>
        <w:widowControl w:val="0"/>
        <w:numPr>
          <w:ilvl w:val="0"/>
          <w:numId w:val="3"/>
        </w:numPr>
        <w:tabs>
          <w:tab w:val="left" w:pos="84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需提供的资料</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须在合同签订后五天内提交供甲方认可的需求分析报告、设计方案、设计说明书、项目实施计划书各一份，其中项目实施计划书的内容包括：设计、购置、交货、安装调试、质保期内规定完成的所有工作及活动。</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乙方应对合同中提供的设备主要部件建立质量保证计划。</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提供所有技术说明文档和设备安装、维护使用说明书。</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设备及其和安装有关的技术原理图、接线图。</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随机的辅助设备、专用电线电缆、随机软件、技术资料（包括操作手册、使用指南、维修指南和含维修网点在内的服务手册等）。</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设备运行所必需的随机消耗材料，相应的技术服务与质量保证。投标方应提供所供产品备件、附件和耗材的使用、消耗情况说明并推荐相应供应商及供货单价。</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在所供设备交付使用时，乙方必须向甲方提供产品说明书、质量保证书、保修卡、配置文档、使用手册、测试文档等必须具备的相关资料和必备的附件。</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乙方认为可能需要的其它文件。</w:t>
      </w:r>
    </w:p>
    <w:p>
      <w:pPr>
        <w:keepNext w:val="0"/>
        <w:keepLines w:val="0"/>
        <w:pageBreakBefore w:val="0"/>
        <w:widowControl w:val="0"/>
        <w:numPr>
          <w:ilvl w:val="0"/>
          <w:numId w:val="3"/>
        </w:numPr>
        <w:tabs>
          <w:tab w:val="left" w:pos="84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付款方式</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方式：合同签定后7日内甲方支付给乙方合同款的30%，设备供货安装后甲方支付给乙方合同款的40%，调试完成并验收合格后，甲方支付乙方合同款的剩余价款。原履约保证金转为质保金，质保期满后7天内无息退还。</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培训在项目实施过程中按采购人确定的时间进行。</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签订合同前若乙方不能提供相关产品原厂服务承诺函原件的，而只有乙方的质量保证和服务承诺书的，则合同总金额</w:t>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的余款在验收合格</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个月无异议后付清。</w:t>
      </w:r>
    </w:p>
    <w:p>
      <w:pPr>
        <w:keepNext w:val="0"/>
        <w:keepLines w:val="0"/>
        <w:pageBreakBefore w:val="0"/>
        <w:widowControl w:val="0"/>
        <w:numPr>
          <w:ilvl w:val="0"/>
          <w:numId w:val="3"/>
        </w:numPr>
        <w:tabs>
          <w:tab w:val="left" w:pos="84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售后服务</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售后服务内容以乙方承诺及相关要求等为准。备品备件的替换应按同等性能、同等配置要求进行。</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乙方应明确承诺售后服务保证，提供详细的服务地点、联系人、电话等有关资料；</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质保期的起始时间以该货物发票日期为准，质保期符合或优于国家标准（采购需求表中另有约定的例外）。在质保期内，设备的维修和保养所发生的一切费用均由乙方承担，质保期为3年并提供3年的免费维护。 </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设备签约的同时，双方签订质保期满后的维修保养协议或合同。</w:t>
      </w:r>
    </w:p>
    <w:p>
      <w:pPr>
        <w:keepNext w:val="0"/>
        <w:keepLines w:val="0"/>
        <w:pageBreakBefore w:val="0"/>
        <w:widowControl w:val="0"/>
        <w:numPr>
          <w:ilvl w:val="0"/>
          <w:numId w:val="3"/>
        </w:numPr>
        <w:tabs>
          <w:tab w:val="left" w:pos="84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履约保证金与质保金</w:t>
      </w:r>
    </w:p>
    <w:p>
      <w:pPr>
        <w:pStyle w:val="5"/>
        <w:keepNext w:val="0"/>
        <w:keepLines w:val="0"/>
        <w:pageBreakBefore w:val="0"/>
        <w:widowControl w:val="0"/>
        <w:kinsoku/>
        <w:wordWrap w:val="0"/>
        <w:overflowPunct/>
        <w:topLinePunct w:val="0"/>
        <w:autoSpaceDE/>
        <w:autoSpaceDN/>
        <w:bidi w:val="0"/>
        <w:adjustRightInd/>
        <w:spacing w:before="0" w:beforeLines="0" w:after="0" w:afterLines="0"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乙方交纳人民币</w:t>
      </w:r>
      <w:r>
        <w:rPr>
          <w:rFonts w:hint="eastAsia" w:asciiTheme="minorEastAsia" w:hAnsiTheme="minorEastAsia" w:eastAsiaTheme="minorEastAsia" w:cstheme="minorEastAsia"/>
          <w:b/>
          <w:bCs/>
          <w:sz w:val="28"/>
          <w:szCs w:val="28"/>
        </w:rPr>
        <w:t>50000</w:t>
      </w:r>
      <w:r>
        <w:rPr>
          <w:rFonts w:hint="eastAsia" w:asciiTheme="minorEastAsia" w:hAnsiTheme="minorEastAsia" w:eastAsiaTheme="minorEastAsia" w:cstheme="minorEastAsia"/>
          <w:sz w:val="28"/>
          <w:szCs w:val="28"/>
        </w:rPr>
        <w:t>元作为本合同的履约保证金。</w:t>
      </w:r>
    </w:p>
    <w:p>
      <w:pPr>
        <w:pStyle w:val="4"/>
        <w:keepNext w:val="0"/>
        <w:keepLines w:val="0"/>
        <w:pageBreakBefore w:val="0"/>
        <w:widowControl w:val="0"/>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质保金</w:t>
      </w:r>
      <w:r>
        <w:rPr>
          <w:rFonts w:hint="eastAsia" w:asciiTheme="minorEastAsia" w:hAnsiTheme="minorEastAsia" w:eastAsiaTheme="minorEastAsia" w:cstheme="minorEastAsia"/>
          <w:sz w:val="28"/>
          <w:szCs w:val="28"/>
        </w:rPr>
        <w:t>50000</w:t>
      </w:r>
      <w:r>
        <w:rPr>
          <w:rFonts w:hint="eastAsia" w:asciiTheme="minorEastAsia" w:hAnsiTheme="minorEastAsia" w:eastAsiaTheme="minorEastAsia" w:cstheme="minorEastAsia"/>
          <w:sz w:val="28"/>
          <w:szCs w:val="28"/>
        </w:rPr>
        <w:t>元。（履约保证金在中标投标人按合同约定交货验收合格后自行转为质保金）</w:t>
      </w:r>
    </w:p>
    <w:p>
      <w:pPr>
        <w:keepNext w:val="0"/>
        <w:keepLines w:val="0"/>
        <w:pageBreakBefore w:val="0"/>
        <w:widowControl w:val="0"/>
        <w:numPr>
          <w:ilvl w:val="0"/>
          <w:numId w:val="3"/>
        </w:numPr>
        <w:tabs>
          <w:tab w:val="left" w:pos="84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工期要求</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合同签定后</w:t>
      </w:r>
      <w:r>
        <w:rPr>
          <w:rFonts w:hint="eastAsia" w:asciiTheme="minorEastAsia" w:hAnsiTheme="minorEastAsia" w:eastAsiaTheme="minorEastAsia" w:cstheme="minorEastAsia"/>
          <w:sz w:val="28"/>
          <w:szCs w:val="28"/>
        </w:rPr>
        <w:t>60日</w:t>
      </w:r>
      <w:r>
        <w:rPr>
          <w:rFonts w:hint="eastAsia" w:asciiTheme="minorEastAsia" w:hAnsiTheme="minorEastAsia" w:eastAsiaTheme="minorEastAsia" w:cstheme="minorEastAsia"/>
          <w:sz w:val="28"/>
          <w:szCs w:val="28"/>
        </w:rPr>
        <w:t>内完成安装调试成功并交付使用。</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安装时间为：</w:t>
      </w:r>
      <w:r>
        <w:rPr>
          <w:rFonts w:hint="eastAsia" w:asciiTheme="minorEastAsia" w:hAnsiTheme="minorEastAsia" w:eastAsiaTheme="minorEastAsia" w:cstheme="minorEastAsia"/>
          <w:sz w:val="28"/>
          <w:szCs w:val="28"/>
        </w:rPr>
        <w:t>2018</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t>日至</w:t>
      </w:r>
      <w:r>
        <w:rPr>
          <w:rFonts w:hint="eastAsia" w:asciiTheme="minorEastAsia" w:hAnsiTheme="minorEastAsia" w:eastAsiaTheme="minorEastAsia" w:cstheme="minorEastAsia"/>
          <w:sz w:val="28"/>
          <w:szCs w:val="28"/>
        </w:rPr>
        <w:t>2019</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t>日。</w:t>
      </w:r>
    </w:p>
    <w:p>
      <w:pPr>
        <w:keepNext w:val="0"/>
        <w:keepLines w:val="0"/>
        <w:pageBreakBefore w:val="0"/>
        <w:widowControl w:val="0"/>
        <w:numPr>
          <w:ilvl w:val="0"/>
          <w:numId w:val="3"/>
        </w:numPr>
        <w:tabs>
          <w:tab w:val="left" w:pos="84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单位变动情况处理</w:t>
      </w:r>
    </w:p>
    <w:p>
      <w:pPr>
        <w:keepNext w:val="0"/>
        <w:keepLines w:val="0"/>
        <w:pageBreakBefore w:val="0"/>
        <w:widowControl w:val="0"/>
        <w:kinsoku/>
        <w:wordWrap w:val="0"/>
        <w:overflowPunct/>
        <w:topLinePunct w:val="0"/>
        <w:autoSpaceDE/>
        <w:autoSpaceDN/>
        <w:bidi w:val="0"/>
        <w:adjustRightInd/>
        <w:snapToGrid w:val="0"/>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乙方发生收购、兼并、重组等单位变动情况，责任顺延至收购方、兼并方、重组方等新主体。</w:t>
      </w:r>
    </w:p>
    <w:p>
      <w:pPr>
        <w:keepNext w:val="0"/>
        <w:keepLines w:val="0"/>
        <w:pageBreakBefore w:val="0"/>
        <w:widowControl w:val="0"/>
        <w:numPr>
          <w:ilvl w:val="0"/>
          <w:numId w:val="3"/>
        </w:numPr>
        <w:tabs>
          <w:tab w:val="left" w:pos="845"/>
        </w:tabs>
        <w:kinsoku/>
        <w:wordWrap w:val="0"/>
        <w:overflowPunct/>
        <w:topLinePunct w:val="0"/>
        <w:autoSpaceDE/>
        <w:autoSpaceDN/>
        <w:bidi w:val="0"/>
        <w:adjustRightInd/>
        <w:spacing w:line="480" w:lineRule="exact"/>
        <w:ind w:left="0" w:leftChars="0" w:right="0" w:rightChars="0" w:firstLine="638" w:firstLineChars="228"/>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合同的生效</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本合同其他未尽事宜按照项目招标文件（盐政采（</w:t>
      </w:r>
      <w:r>
        <w:rPr>
          <w:rFonts w:hint="eastAsia" w:asciiTheme="minorEastAsia" w:hAnsiTheme="minorEastAsia" w:eastAsiaTheme="minorEastAsia" w:cstheme="minorEastAsia"/>
          <w:sz w:val="28"/>
          <w:szCs w:val="28"/>
          <w:lang w:val="en-US" w:eastAsia="zh-CN"/>
        </w:rPr>
        <w:t>2018</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A032号要求执行和《合同法》规定双方协商解决。</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本合同经甲方、乙方法定代表人或其委托人签字并加盖双方公章后生效。</w:t>
      </w:r>
    </w:p>
    <w:p>
      <w:pPr>
        <w:keepNext w:val="0"/>
        <w:keepLines w:val="0"/>
        <w:pageBreakBefore w:val="0"/>
        <w:widowControl w:val="0"/>
        <w:numPr>
          <w:ilvl w:val="1"/>
          <w:numId w:val="3"/>
        </w:numPr>
        <w:tabs>
          <w:tab w:val="left" w:pos="1365"/>
        </w:tabs>
        <w:kinsoku/>
        <w:wordWrap w:val="0"/>
        <w:overflowPunct/>
        <w:topLinePunct w:val="0"/>
        <w:autoSpaceDE/>
        <w:autoSpaceDN/>
        <w:bidi w:val="0"/>
        <w:adjustRightInd/>
        <w:spacing w:line="480" w:lineRule="exact"/>
        <w:ind w:left="0" w:leftChars="0" w:right="0" w:rightChars="0" w:firstLine="635" w:firstLineChars="227"/>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本合同一式肆份，甲、乙双方各执壹份，海盐县财政局和海盐县公共资源交易中心各执壹份。</w:t>
      </w:r>
    </w:p>
    <w:p>
      <w:pPr>
        <w:pStyle w:val="2"/>
        <w:keepNext w:val="0"/>
        <w:keepLines w:val="0"/>
        <w:pageBreakBefore w:val="0"/>
        <w:kinsoku/>
        <w:overflowPunct/>
        <w:topLinePunct w:val="0"/>
        <w:autoSpaceDE/>
        <w:autoSpaceDN/>
        <w:bidi w:val="0"/>
        <w:adjustRightInd/>
        <w:spacing w:line="480" w:lineRule="exact"/>
        <w:ind w:right="0" w:rightChars="0"/>
        <w:textAlignment w:val="auto"/>
        <w:outlineLvl w:val="9"/>
        <w:rPr>
          <w:rFonts w:hint="eastAsia" w:asciiTheme="minorEastAsia" w:hAnsiTheme="minorEastAsia" w:eastAsiaTheme="minorEastAsia" w:cstheme="minorEastAsia"/>
          <w:sz w:val="28"/>
          <w:szCs w:val="28"/>
        </w:rPr>
      </w:pPr>
    </w:p>
    <w:p>
      <w:pPr>
        <w:pStyle w:val="2"/>
        <w:keepNext w:val="0"/>
        <w:keepLines w:val="0"/>
        <w:pageBreakBefore w:val="0"/>
        <w:kinsoku/>
        <w:overflowPunct/>
        <w:topLinePunct w:val="0"/>
        <w:autoSpaceDE/>
        <w:autoSpaceDN/>
        <w:bidi w:val="0"/>
        <w:adjustRightInd/>
        <w:spacing w:line="480" w:lineRule="exact"/>
        <w:ind w:right="0" w:rightChars="0"/>
        <w:textAlignment w:val="auto"/>
        <w:outlineLvl w:val="9"/>
        <w:rPr>
          <w:rFonts w:hint="eastAsia" w:asciiTheme="minorEastAsia" w:hAnsiTheme="minorEastAsia" w:eastAsiaTheme="minorEastAsia" w:cstheme="minorEastAsia"/>
          <w:sz w:val="28"/>
          <w:szCs w:val="28"/>
        </w:rPr>
      </w:pPr>
    </w:p>
    <w:p>
      <w:pPr>
        <w:pStyle w:val="2"/>
        <w:keepNext w:val="0"/>
        <w:keepLines w:val="0"/>
        <w:pageBreakBefore w:val="0"/>
        <w:kinsoku/>
        <w:overflowPunct/>
        <w:topLinePunct w:val="0"/>
        <w:autoSpaceDE/>
        <w:autoSpaceDN/>
        <w:bidi w:val="0"/>
        <w:adjustRightInd/>
        <w:spacing w:line="480" w:lineRule="exact"/>
        <w:ind w:right="0" w:rightChars="0"/>
        <w:textAlignment w:val="auto"/>
        <w:outlineLvl w:val="9"/>
        <w:rPr>
          <w:rFonts w:hint="eastAsia" w:asciiTheme="minorEastAsia" w:hAnsiTheme="minorEastAsia" w:eastAsiaTheme="minorEastAsia" w:cstheme="minorEastAsia"/>
          <w:sz w:val="28"/>
          <w:szCs w:val="28"/>
        </w:rPr>
      </w:pPr>
    </w:p>
    <w:p>
      <w:pPr>
        <w:pStyle w:val="2"/>
        <w:keepNext w:val="0"/>
        <w:keepLines w:val="0"/>
        <w:pageBreakBefore w:val="0"/>
        <w:kinsoku/>
        <w:overflowPunct/>
        <w:topLinePunct w:val="0"/>
        <w:autoSpaceDE/>
        <w:autoSpaceDN/>
        <w:bidi w:val="0"/>
        <w:adjustRightInd/>
        <w:spacing w:line="480" w:lineRule="exact"/>
        <w:ind w:right="0" w:rightChars="0"/>
        <w:textAlignment w:val="auto"/>
        <w:outlineLvl w:val="9"/>
        <w:rPr>
          <w:rFonts w:hint="eastAsia" w:asciiTheme="minorEastAsia" w:hAnsiTheme="minorEastAsia" w:eastAsiaTheme="minorEastAsia" w:cstheme="minorEastAsia"/>
          <w:sz w:val="28"/>
          <w:szCs w:val="28"/>
        </w:rPr>
      </w:pPr>
    </w:p>
    <w:p>
      <w:pPr>
        <w:pStyle w:val="2"/>
        <w:keepNext w:val="0"/>
        <w:keepLines w:val="0"/>
        <w:pageBreakBefore w:val="0"/>
        <w:kinsoku/>
        <w:overflowPunct/>
        <w:topLinePunct w:val="0"/>
        <w:autoSpaceDE/>
        <w:autoSpaceDN/>
        <w:bidi w:val="0"/>
        <w:adjustRightInd/>
        <w:spacing w:line="480" w:lineRule="exact"/>
        <w:ind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val="0"/>
        <w:overflowPunct/>
        <w:topLinePunct w:val="0"/>
        <w:autoSpaceDE/>
        <w:autoSpaceDN/>
        <w:bidi w:val="0"/>
        <w:adjustRightInd/>
        <w:snapToGrid w:val="0"/>
        <w:spacing w:line="480" w:lineRule="exact"/>
        <w:ind w:right="0" w:rightChars="0" w:firstLine="48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val="0"/>
        <w:overflowPunct/>
        <w:topLinePunct w:val="0"/>
        <w:autoSpaceDE/>
        <w:autoSpaceDN/>
        <w:bidi w:val="0"/>
        <w:adjustRightInd/>
        <w:snapToGrid w:val="0"/>
        <w:spacing w:line="400" w:lineRule="exact"/>
        <w:ind w:left="6916" w:leftChars="0" w:right="0" w:rightChars="0" w:hanging="6916" w:hangingChars="247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甲方：（盖章） 海盐县农业经济局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乙方：（盖章）中国电信股份</w:t>
      </w:r>
    </w:p>
    <w:p>
      <w:pPr>
        <w:keepNext w:val="0"/>
        <w:keepLines w:val="0"/>
        <w:pageBreakBefore w:val="0"/>
        <w:widowControl w:val="0"/>
        <w:kinsoku/>
        <w:wordWrap w:val="0"/>
        <w:overflowPunct/>
        <w:topLinePunct w:val="0"/>
        <w:autoSpaceDE/>
        <w:autoSpaceDN/>
        <w:bidi w:val="0"/>
        <w:adjustRightInd/>
        <w:snapToGrid w:val="0"/>
        <w:spacing w:line="400" w:lineRule="exact"/>
        <w:ind w:left="6914" w:leftChars="227" w:right="0" w:rightChars="0" w:hanging="6440" w:hangingChars="23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有限公司海盐分公司</w:t>
      </w:r>
    </w:p>
    <w:p>
      <w:pPr>
        <w:pStyle w:val="2"/>
        <w:rPr>
          <w:rFonts w:hint="eastAsia"/>
        </w:rPr>
      </w:pPr>
    </w:p>
    <w:p>
      <w:pPr>
        <w:pStyle w:val="2"/>
        <w:rPr>
          <w:rFonts w:hint="eastAsia"/>
        </w:rPr>
      </w:pPr>
    </w:p>
    <w:p>
      <w:pPr>
        <w:pStyle w:val="2"/>
        <w:rPr>
          <w:rFonts w:hint="eastAsia"/>
        </w:rPr>
      </w:pPr>
    </w:p>
    <w:p>
      <w:pPr>
        <w:keepNext w:val="0"/>
        <w:keepLines w:val="0"/>
        <w:pageBreakBefore w:val="0"/>
        <w:kinsoku/>
        <w:wordWrap w:val="0"/>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授权代表：                         授权代表：</w:t>
      </w:r>
    </w:p>
    <w:p>
      <w:pPr>
        <w:keepNext w:val="0"/>
        <w:keepLines w:val="0"/>
        <w:pageBreakBefore w:val="0"/>
        <w:kinsoku/>
        <w:wordWrap w:val="0"/>
        <w:overflowPunct/>
        <w:topLinePunct w:val="0"/>
        <w:autoSpaceDE/>
        <w:autoSpaceDN/>
        <w:bidi w:val="0"/>
        <w:adjustRightInd/>
        <w:snapToGrid w:val="0"/>
        <w:spacing w:line="480" w:lineRule="exact"/>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                         联系电话：</w:t>
      </w:r>
    </w:p>
    <w:p>
      <w:pPr>
        <w:keepNext w:val="0"/>
        <w:keepLines w:val="0"/>
        <w:pageBreakBefore w:val="0"/>
        <w:kinsoku/>
        <w:wordWrap w:val="0"/>
        <w:overflowPunct/>
        <w:topLinePunct w:val="0"/>
        <w:autoSpaceDE/>
        <w:autoSpaceDN/>
        <w:bidi w:val="0"/>
        <w:adjustRightInd/>
        <w:snapToGrid w:val="0"/>
        <w:spacing w:line="480" w:lineRule="exact"/>
        <w:ind w:left="0" w:leftChars="0" w:right="0" w:rightChars="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                             日期：</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2687943">
    <w:nsid w:val="5BF38CC7"/>
    <w:multiLevelType w:val="multilevel"/>
    <w:tmpl w:val="5BF38CC7"/>
    <w:lvl w:ilvl="0" w:tentative="1">
      <w:start w:val="1"/>
      <w:numFmt w:val="decimal"/>
      <w:lvlText w:val="%1."/>
      <w:lvlJc w:val="left"/>
      <w:pPr>
        <w:tabs>
          <w:tab w:val="left" w:pos="845"/>
        </w:tabs>
        <w:ind w:left="0" w:firstLine="567"/>
      </w:pPr>
      <w:rPr>
        <w:rFonts w:hint="eastAsia" w:ascii="宋体" w:hAnsi="宋体" w:eastAsia="宋体"/>
      </w:rPr>
    </w:lvl>
    <w:lvl w:ilvl="1" w:tentative="1">
      <w:start w:val="1"/>
      <w:numFmt w:val="decimal"/>
      <w:lvlText w:val="%1.%2"/>
      <w:lvlJc w:val="left"/>
      <w:pPr>
        <w:tabs>
          <w:tab w:val="left" w:pos="1365"/>
        </w:tabs>
        <w:ind w:left="378" w:firstLine="567"/>
      </w:pPr>
      <w:rPr>
        <w:rFonts w:hint="eastAsia" w:ascii="仿宋_GB2312" w:eastAsia="仿宋_GB2312"/>
        <w:b w:val="0"/>
        <w:bCs w:val="0"/>
        <w:i w:val="0"/>
        <w:iCs w:val="0"/>
      </w:rPr>
    </w:lvl>
    <w:lvl w:ilvl="2" w:tentative="1">
      <w:start w:val="1"/>
      <w:numFmt w:val="decimal"/>
      <w:lvlText w:val="%1.%2.%3"/>
      <w:lvlJc w:val="left"/>
      <w:pPr>
        <w:tabs>
          <w:tab w:val="left" w:pos="1129"/>
        </w:tabs>
        <w:ind w:left="1129" w:hanging="709"/>
      </w:pPr>
      <w:rPr>
        <w:rFonts w:hint="eastAsia" w:ascii="宋体" w:hAnsi="宋体" w:eastAsia="宋体"/>
      </w:rPr>
    </w:lvl>
    <w:lvl w:ilvl="3" w:tentative="1">
      <w:start w:val="1"/>
      <w:numFmt w:val="decimal"/>
      <w:lvlText w:val="%1.%2.%3.%4"/>
      <w:lvlJc w:val="left"/>
      <w:pPr>
        <w:tabs>
          <w:tab w:val="left" w:pos="1271"/>
        </w:tabs>
        <w:ind w:left="1271" w:hanging="851"/>
      </w:pPr>
      <w:rPr>
        <w:rFonts w:hint="eastAsia" w:ascii="宋体" w:hAnsi="宋体" w:eastAsia="宋体"/>
      </w:rPr>
    </w:lvl>
    <w:lvl w:ilvl="4" w:tentative="1">
      <w:start w:val="1"/>
      <w:numFmt w:val="decimal"/>
      <w:lvlText w:val="%1.%2.%3.%4.%5"/>
      <w:lvlJc w:val="left"/>
      <w:pPr>
        <w:tabs>
          <w:tab w:val="left" w:pos="1412"/>
        </w:tabs>
        <w:ind w:left="1412" w:hanging="992"/>
      </w:pPr>
      <w:rPr>
        <w:rFonts w:hint="eastAsia" w:ascii="宋体" w:hAnsi="宋体" w:eastAsia="宋体"/>
      </w:rPr>
    </w:lvl>
    <w:lvl w:ilvl="5" w:tentative="1">
      <w:start w:val="1"/>
      <w:numFmt w:val="decimal"/>
      <w:lvlText w:val="%1.%2.%3.%4.%5.%6."/>
      <w:lvlJc w:val="left"/>
      <w:pPr>
        <w:tabs>
          <w:tab w:val="left" w:pos="1554"/>
        </w:tabs>
        <w:ind w:left="1554" w:hanging="1134"/>
      </w:pPr>
      <w:rPr>
        <w:rFonts w:hint="eastAsia" w:ascii="宋体" w:hAnsi="宋体" w:eastAsia="宋体"/>
      </w:rPr>
    </w:lvl>
    <w:lvl w:ilvl="6" w:tentative="1">
      <w:start w:val="1"/>
      <w:numFmt w:val="decimal"/>
      <w:lvlText w:val="%1.%2.%3.%4.%5.%6.%7."/>
      <w:lvlJc w:val="left"/>
      <w:pPr>
        <w:tabs>
          <w:tab w:val="left" w:pos="1696"/>
        </w:tabs>
        <w:ind w:left="1696" w:hanging="1276"/>
      </w:pPr>
      <w:rPr>
        <w:rFonts w:hint="eastAsia" w:ascii="宋体" w:hAnsi="宋体" w:eastAsia="宋体"/>
      </w:rPr>
    </w:lvl>
    <w:lvl w:ilvl="7" w:tentative="1">
      <w:start w:val="1"/>
      <w:numFmt w:val="decimal"/>
      <w:lvlText w:val="%1.%2.%3.%4.%5.%6.%7.%8."/>
      <w:lvlJc w:val="left"/>
      <w:pPr>
        <w:tabs>
          <w:tab w:val="left" w:pos="1838"/>
        </w:tabs>
        <w:ind w:left="1838" w:hanging="1418"/>
      </w:pPr>
      <w:rPr>
        <w:rFonts w:hint="eastAsia" w:ascii="宋体" w:hAnsi="宋体" w:eastAsia="宋体"/>
      </w:rPr>
    </w:lvl>
    <w:lvl w:ilvl="8" w:tentative="1">
      <w:start w:val="1"/>
      <w:numFmt w:val="decimal"/>
      <w:lvlText w:val="%1.%2.%3.%4.%5.%6.%7.%8.%9."/>
      <w:lvlJc w:val="left"/>
      <w:pPr>
        <w:tabs>
          <w:tab w:val="left" w:pos="1979"/>
        </w:tabs>
        <w:ind w:left="1979" w:hanging="1559"/>
      </w:pPr>
      <w:rPr>
        <w:rFonts w:hint="eastAsia" w:ascii="宋体" w:hAnsi="宋体" w:eastAsia="宋体"/>
      </w:rPr>
    </w:lvl>
  </w:abstractNum>
  <w:num w:numId="1">
    <w:abstractNumId w:val="1542687943"/>
    <w:lvlOverride w:ilvl="0">
      <w:startOverride w:val="1"/>
    </w:lvlOverride>
  </w:num>
  <w:num w:numId="2">
    <w:abstractNumId w:val="1542687943"/>
    <w:lvlOverride w:ilvl="1">
      <w:startOverride w:val="1"/>
    </w:lvlOverride>
  </w:num>
  <w:num w:numId="3">
    <w:abstractNumId w:val="1542687943"/>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23"/>
    <w:rsid w:val="003E32E8"/>
    <w:rsid w:val="003E7623"/>
    <w:rsid w:val="00430818"/>
    <w:rsid w:val="00604786"/>
    <w:rsid w:val="006554E5"/>
    <w:rsid w:val="006928CE"/>
    <w:rsid w:val="009C3490"/>
    <w:rsid w:val="00A7423C"/>
    <w:rsid w:val="00A91AAE"/>
    <w:rsid w:val="00B70DEF"/>
    <w:rsid w:val="00BC0F1F"/>
    <w:rsid w:val="00BE6935"/>
    <w:rsid w:val="00EB381F"/>
    <w:rsid w:val="02855BB3"/>
    <w:rsid w:val="042221CA"/>
    <w:rsid w:val="0907557E"/>
    <w:rsid w:val="0A3A1C0B"/>
    <w:rsid w:val="115E2EF1"/>
    <w:rsid w:val="117D6CB8"/>
    <w:rsid w:val="129E5DBE"/>
    <w:rsid w:val="12C00F62"/>
    <w:rsid w:val="132438C7"/>
    <w:rsid w:val="136228CD"/>
    <w:rsid w:val="13AD2613"/>
    <w:rsid w:val="19333384"/>
    <w:rsid w:val="1AC27669"/>
    <w:rsid w:val="1B6D7BB8"/>
    <w:rsid w:val="1C243E41"/>
    <w:rsid w:val="20460849"/>
    <w:rsid w:val="22CB23CB"/>
    <w:rsid w:val="2AE4269C"/>
    <w:rsid w:val="2AEB5D0F"/>
    <w:rsid w:val="2BBA2980"/>
    <w:rsid w:val="2D17681F"/>
    <w:rsid w:val="2E8A20D2"/>
    <w:rsid w:val="2FAD754E"/>
    <w:rsid w:val="304B5540"/>
    <w:rsid w:val="308061CF"/>
    <w:rsid w:val="31061AC0"/>
    <w:rsid w:val="32EA61AA"/>
    <w:rsid w:val="33B466E1"/>
    <w:rsid w:val="35951514"/>
    <w:rsid w:val="37F372AE"/>
    <w:rsid w:val="3B660A01"/>
    <w:rsid w:val="3C2526F2"/>
    <w:rsid w:val="3F5605BF"/>
    <w:rsid w:val="43567F4C"/>
    <w:rsid w:val="438B6D6B"/>
    <w:rsid w:val="47215184"/>
    <w:rsid w:val="4B997143"/>
    <w:rsid w:val="4D0B2134"/>
    <w:rsid w:val="500367AB"/>
    <w:rsid w:val="5072608A"/>
    <w:rsid w:val="50A13EAF"/>
    <w:rsid w:val="54E93C4B"/>
    <w:rsid w:val="54F21051"/>
    <w:rsid w:val="563E774A"/>
    <w:rsid w:val="586C3DA7"/>
    <w:rsid w:val="5B26461E"/>
    <w:rsid w:val="5BF82194"/>
    <w:rsid w:val="5C3411A6"/>
    <w:rsid w:val="5CA76B4D"/>
    <w:rsid w:val="5D260B48"/>
    <w:rsid w:val="66B36F6E"/>
    <w:rsid w:val="68125720"/>
    <w:rsid w:val="6926728F"/>
    <w:rsid w:val="6AF026AD"/>
    <w:rsid w:val="6E57153F"/>
    <w:rsid w:val="739015BC"/>
    <w:rsid w:val="73D1336B"/>
    <w:rsid w:val="79683D3B"/>
    <w:rsid w:val="798B7DC9"/>
    <w:rsid w:val="7B383C02"/>
    <w:rsid w:val="7BC97255"/>
    <w:rsid w:val="7C6956FB"/>
    <w:rsid w:val="7EC4032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6"/>
    <w:unhideWhenUsed/>
    <w:qFormat/>
    <w:uiPriority w:val="99"/>
    <w:pPr>
      <w:ind w:firstLine="420" w:firstLineChars="100"/>
    </w:pPr>
  </w:style>
  <w:style w:type="paragraph" w:styleId="3">
    <w:name w:val="Body Text"/>
    <w:basedOn w:val="1"/>
    <w:link w:val="15"/>
    <w:unhideWhenUsed/>
    <w:qFormat/>
    <w:uiPriority w:val="99"/>
    <w:pPr>
      <w:spacing w:after="120"/>
    </w:pPr>
  </w:style>
  <w:style w:type="paragraph" w:styleId="4">
    <w:name w:val="annotation text"/>
    <w:basedOn w:val="1"/>
    <w:link w:val="11"/>
    <w:unhideWhenUsed/>
    <w:qFormat/>
    <w:uiPriority w:val="0"/>
    <w:pPr>
      <w:jc w:val="left"/>
    </w:pPr>
    <w:rPr>
      <w:rFonts w:ascii="仿宋_GB2312" w:eastAsia="仿宋_GB2312" w:hAnsiTheme="minorHAnsi" w:cstheme="minorBidi"/>
      <w:sz w:val="28"/>
      <w:szCs w:val="28"/>
    </w:rPr>
  </w:style>
  <w:style w:type="paragraph" w:styleId="5">
    <w:name w:val="Plain Text"/>
    <w:basedOn w:val="1"/>
    <w:link w:val="10"/>
    <w:qFormat/>
    <w:uiPriority w:val="0"/>
    <w:pPr>
      <w:spacing w:before="156" w:beforeLines="50" w:after="156" w:afterLines="50" w:line="400" w:lineRule="exact"/>
    </w:pPr>
    <w:rPr>
      <w:rFonts w:ascii="宋体" w:hAnsi="Courier New" w:eastAsiaTheme="minorEastAsia" w:cstheme="minorBidi"/>
      <w:sz w:val="24"/>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纯文本 Char"/>
    <w:link w:val="5"/>
    <w:qFormat/>
    <w:uiPriority w:val="0"/>
    <w:rPr>
      <w:rFonts w:ascii="宋体" w:hAnsi="Courier New"/>
      <w:sz w:val="24"/>
      <w:szCs w:val="24"/>
    </w:rPr>
  </w:style>
  <w:style w:type="character" w:customStyle="1" w:styleId="11">
    <w:name w:val="批注文字 Char"/>
    <w:link w:val="4"/>
    <w:qFormat/>
    <w:uiPriority w:val="0"/>
    <w:rPr>
      <w:rFonts w:ascii="仿宋_GB2312" w:eastAsia="仿宋_GB2312"/>
      <w:sz w:val="28"/>
      <w:szCs w:val="28"/>
    </w:rPr>
  </w:style>
  <w:style w:type="character" w:customStyle="1" w:styleId="12">
    <w:name w:val="纯文本 Char1"/>
    <w:basedOn w:val="8"/>
    <w:semiHidden/>
    <w:qFormat/>
    <w:uiPriority w:val="99"/>
    <w:rPr>
      <w:rFonts w:ascii="宋体" w:hAnsi="Courier New" w:eastAsia="宋体" w:cs="Courier New"/>
      <w:szCs w:val="21"/>
    </w:rPr>
  </w:style>
  <w:style w:type="character" w:customStyle="1" w:styleId="13">
    <w:name w:val="批注文字 Char1"/>
    <w:basedOn w:val="8"/>
    <w:semiHidden/>
    <w:qFormat/>
    <w:uiPriority w:val="99"/>
    <w:rPr>
      <w:rFonts w:ascii="Calibri" w:hAnsi="Calibri" w:eastAsia="宋体" w:cs="Times New Roman"/>
      <w:szCs w:val="24"/>
    </w:rPr>
  </w:style>
  <w:style w:type="paragraph" w:customStyle="1" w:styleId="14">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15">
    <w:name w:val="正文文本 Char"/>
    <w:basedOn w:val="8"/>
    <w:link w:val="3"/>
    <w:semiHidden/>
    <w:qFormat/>
    <w:uiPriority w:val="99"/>
    <w:rPr>
      <w:rFonts w:ascii="Calibri" w:hAnsi="Calibri" w:eastAsia="宋体" w:cs="Times New Roman"/>
      <w:szCs w:val="24"/>
    </w:rPr>
  </w:style>
  <w:style w:type="character" w:customStyle="1" w:styleId="16">
    <w:name w:val="正文首行缩进 Char"/>
    <w:basedOn w:val="15"/>
    <w:link w:val="2"/>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767</Words>
  <Characters>4376</Characters>
  <Lines>36</Lines>
  <Paragraphs>10</Paragraphs>
  <ScaleCrop>false</ScaleCrop>
  <LinksUpToDate>false</LinksUpToDate>
  <CharactersWithSpaces>5133</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2018-11-13T13:09:00Z</dcterms:created>
  <dc:creator>沈筼</dc:creator>
  <cp:lastModifiedBy>DELL01</cp:lastModifiedBy>
  <cp:lastPrinted>2018-11-20T05:14:45Z</cp:lastPrinted>
  <dcterms:modified xsi:type="dcterms:W3CDTF">2018-11-20T05:19:45Z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