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highlight w:val="none"/>
          <w:lang w:val="en-US" w:eastAsia="zh-CN"/>
        </w:rPr>
        <w:t>附件：更正后的商务技术得分表</w:t>
      </w:r>
    </w:p>
    <w:tbl>
      <w:tblPr>
        <w:tblStyle w:val="8"/>
        <w:tblW w:w="9193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27"/>
        <w:gridCol w:w="5894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627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项目</w:t>
            </w:r>
          </w:p>
        </w:tc>
        <w:tc>
          <w:tcPr>
            <w:tcW w:w="5894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细则内容</w:t>
            </w:r>
          </w:p>
        </w:tc>
        <w:tc>
          <w:tcPr>
            <w:tcW w:w="968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认证证书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客观分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投标人具有相关行业的认证体系（有效期内）：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ISO9001质量管理体系认证证书，得1分；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ISO14001环境管理体系认证证书，得1分；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480" w:firstLineChars="200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ISO45001职业健康安全管理体系认证证书或(GB/T 28001职业健康安全管理体系认证证书)，得1分。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同类项目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业绩（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客观分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投标人自2021年4月1日以来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（时间节点以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合同签订时间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为准）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已经完成或正在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同类项目，每提供一个得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分，最高得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分。须同时提供合同、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评价意见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，否则不得分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（复印件加盖公章）。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相关制度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根据投标人针对项目设定的各项内部管理制度和规章制度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、台账设置、考核办法等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体系的完备性、合理性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设计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保洁作业总体计划及设想：根据保洁区域现状调查与问题剖析，根据针对本项目组织设计的工作重点等情况打分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0、0.5、1、2、3、4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、5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针对本项目保洁区域作业总体目标、方法措施、保洁路线、保洁时间安排等情况打分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0、0.5、1、2、3、4分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0-4分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日常作业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方案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对本项目详细提出具体各河道的工作排班、保洁时间安排、分工计划，各河道的船只、人力、物力分配情况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0、0.5、1、2、3、4、5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、6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河道水生植物及垃圾打捞、装载、运输、处理的方式；死亡动物无害化处理方式等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情况打分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0、0.5、1、2、3、4、5分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拦截设施的设置、维护、保洁等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情况打分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0、0.5、1、2、3、4分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0-4分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作业质量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控制方案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水生植物高峰期间的作业管理与质量控制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方案打分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保洁质量管理制度、考核办法、台账设置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方案打分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文明安全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作业方案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配备的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现场管理员与作业人员的职责分工及培训；作业质量标准、检查考核办法、文明作业制度等况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4"/>
                <w:sz w:val="24"/>
                <w:szCs w:val="24"/>
                <w:highlight w:val="none"/>
              </w:rPr>
            </w:pP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安全生产管理网络及安全管理制；作业人员、现场管理员安全教育及安全生产措施；驾驶员、船员培训计划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意外事件（交通事故、自然灾害、卫生防疫、治安消防等）应急预案等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突发性方案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对本项目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突击性任务、突发性事件保洁作业处置方案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0、0.5、1、2、3、4分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设备配备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情况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根据投标人投入本项目的工具材料、其他船只等其他设施设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</w:rPr>
              <w:t>配备情况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0-</w:t>
            </w:r>
            <w:r>
              <w:rPr>
                <w:rFonts w:hint="default" w:ascii="宋体" w:hAnsi="宋体" w:eastAsia="宋体" w:cs="宋体"/>
                <w:color w:val="auto"/>
                <w:sz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人员配备情况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根据投标人投入本项目现场管理员、作业人员、驾驶员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的配置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人数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、专业素质、工作经验等情况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0、0.5、1、2、3、4、5分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/>
              <w:autoSpaceDE w:val="0"/>
              <w:autoSpaceDN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劳动资源紧急调拨能力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根据投标人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对于应对上级下达的创建、突击检查等需要紧急加班加点等情况，投标人具有本地化紧急调拨（加派）劳动力、机械、设备、物资等资源的方案及能力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、3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合理化建议</w:t>
            </w:r>
          </w:p>
        </w:tc>
        <w:tc>
          <w:tcPr>
            <w:tcW w:w="5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按照投标人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针对本项目提出的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有效的改进措施和合理化建议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等情况打分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0、0.5、1、2</w:t>
            </w:r>
            <w:r>
              <w:rPr>
                <w:rFonts w:hint="eastAsia" w:ascii="宋体" w:hAnsi="宋体" w:cs="宋体"/>
                <w:color w:val="FF0000"/>
                <w:sz w:val="24"/>
                <w:highlight w:val="none"/>
                <w:lang w:val="en-US" w:eastAsia="zh-CN"/>
              </w:rPr>
              <w:t>、3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0-3分</w:t>
            </w:r>
          </w:p>
        </w:tc>
      </w:tr>
    </w:tbl>
    <w:p/>
    <w:sectPr>
      <w:footerReference r:id="rId3" w:type="default"/>
      <w:pgSz w:w="11906" w:h="16838"/>
      <w:pgMar w:top="1361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F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6226F"/>
    <w:rsid w:val="089B486D"/>
    <w:rsid w:val="45E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toc 6"/>
    <w:basedOn w:val="1"/>
    <w:next w:val="1"/>
    <w:qFormat/>
    <w:uiPriority w:val="0"/>
    <w:pPr>
      <w:ind w:left="2100" w:leftChars="1000"/>
    </w:pPr>
    <w:rPr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2024-04-24T08:01:00Z</dcterms:created>
  <dc:creator>admin</dc:creator>
  <cp:lastModifiedBy>admin</cp:lastModifiedBy>
  <dcterms:modified xsi:type="dcterms:W3CDTF">2024-04-24T08:35:16Z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39C9544CE7454B1DB2EE8E803D8A62D3</vt:lpwstr>
  </property>
</Properties>
</file>